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3144B" w:rsidRPr="00563BE5" w14:paraId="164F3A84" w14:textId="77777777" w:rsidTr="0037374D">
        <w:trPr>
          <w:gridAfter w:val="1"/>
          <w:wAfter w:w="99" w:type="dxa"/>
          <w:trHeight w:hRule="exact" w:val="418"/>
          <w:jc w:val="center"/>
        </w:trPr>
        <w:tc>
          <w:tcPr>
            <w:tcW w:w="8721" w:type="dxa"/>
            <w:gridSpan w:val="4"/>
          </w:tcPr>
          <w:p w14:paraId="2239967F" w14:textId="77777777" w:rsidR="00B3144B" w:rsidRPr="00563BE5" w:rsidRDefault="00B3144B" w:rsidP="003C72DE">
            <w:pPr>
              <w:pStyle w:val="a3"/>
              <w:jc w:val="center"/>
              <w:rPr>
                <w:rFonts w:ascii="Tahoma" w:hAnsi="Tahoma" w:cs="Tahoma"/>
                <w:color w:val="000080"/>
                <w:rtl/>
              </w:rPr>
            </w:pPr>
            <w:bookmarkStart w:id="0" w:name="LastJudge"/>
            <w:r w:rsidRPr="00563BE5">
              <w:rPr>
                <w:rFonts w:ascii="Tahoma" w:hAnsi="Tahoma" w:cs="Tahoma"/>
                <w:b/>
                <w:bCs/>
                <w:color w:val="000080"/>
                <w:rtl/>
              </w:rPr>
              <w:t>בית המשפט המחוזי מרכז-לוד</w:t>
            </w:r>
          </w:p>
        </w:tc>
      </w:tr>
      <w:tr w:rsidR="00B3144B" w:rsidRPr="00563BE5" w14:paraId="40DD7B2C" w14:textId="77777777" w:rsidTr="0037374D">
        <w:trPr>
          <w:gridAfter w:val="1"/>
          <w:wAfter w:w="99" w:type="dxa"/>
          <w:trHeight w:val="337"/>
          <w:jc w:val="center"/>
        </w:trPr>
        <w:tc>
          <w:tcPr>
            <w:tcW w:w="5054" w:type="dxa"/>
            <w:gridSpan w:val="3"/>
          </w:tcPr>
          <w:p w14:paraId="78848C27" w14:textId="77777777" w:rsidR="00B3144B" w:rsidRPr="00563BE5" w:rsidRDefault="00B3144B" w:rsidP="003C72DE">
            <w:pPr>
              <w:rPr>
                <w:rFonts w:cs="FrankRuehl"/>
                <w:sz w:val="28"/>
                <w:szCs w:val="28"/>
                <w:rtl/>
              </w:rPr>
            </w:pPr>
            <w:r w:rsidRPr="00563BE5">
              <w:rPr>
                <w:rFonts w:cs="FrankRuehl"/>
                <w:sz w:val="28"/>
                <w:szCs w:val="28"/>
                <w:rtl/>
              </w:rPr>
              <w:t>ת"פ</w:t>
            </w:r>
            <w:r w:rsidRPr="00563BE5">
              <w:rPr>
                <w:rFonts w:cs="FrankRuehl" w:hint="cs"/>
                <w:sz w:val="28"/>
                <w:szCs w:val="28"/>
                <w:rtl/>
              </w:rPr>
              <w:t xml:space="preserve"> </w:t>
            </w:r>
            <w:r w:rsidRPr="00563BE5">
              <w:rPr>
                <w:rFonts w:cs="FrankRuehl"/>
                <w:sz w:val="28"/>
                <w:szCs w:val="28"/>
                <w:rtl/>
              </w:rPr>
              <w:t>22588-03-22</w:t>
            </w:r>
            <w:r w:rsidRPr="00563BE5">
              <w:rPr>
                <w:rFonts w:cs="FrankRuehl" w:hint="cs"/>
                <w:sz w:val="28"/>
                <w:szCs w:val="28"/>
                <w:rtl/>
              </w:rPr>
              <w:t xml:space="preserve"> </w:t>
            </w:r>
            <w:r w:rsidRPr="00563BE5">
              <w:rPr>
                <w:rFonts w:cs="FrankRuehl"/>
                <w:sz w:val="28"/>
                <w:szCs w:val="28"/>
                <w:rtl/>
              </w:rPr>
              <w:t>מדינת ישראל נ' גבאלי</w:t>
            </w:r>
          </w:p>
          <w:p w14:paraId="1001A8D6" w14:textId="77777777" w:rsidR="00B3144B" w:rsidRPr="00563BE5" w:rsidRDefault="00B3144B" w:rsidP="003C72DE">
            <w:pPr>
              <w:pStyle w:val="a3"/>
              <w:rPr>
                <w:rFonts w:cs="FrankRuehl"/>
                <w:sz w:val="28"/>
                <w:szCs w:val="28"/>
                <w:rtl/>
              </w:rPr>
            </w:pPr>
          </w:p>
        </w:tc>
        <w:tc>
          <w:tcPr>
            <w:tcW w:w="3667" w:type="dxa"/>
          </w:tcPr>
          <w:p w14:paraId="2AB6C62D" w14:textId="77777777" w:rsidR="00B3144B" w:rsidRPr="00563BE5" w:rsidRDefault="00B3144B" w:rsidP="003C72DE">
            <w:pPr>
              <w:pStyle w:val="a3"/>
              <w:jc w:val="right"/>
              <w:rPr>
                <w:rFonts w:cs="FrankRuehl"/>
                <w:sz w:val="28"/>
                <w:szCs w:val="28"/>
                <w:rtl/>
              </w:rPr>
            </w:pPr>
          </w:p>
        </w:tc>
      </w:tr>
      <w:tr w:rsidR="00B3144B" w:rsidRPr="00563BE5" w14:paraId="6AE40431" w14:textId="77777777" w:rsidTr="003737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BCB2420" w14:textId="77777777" w:rsidR="00B3144B" w:rsidRPr="00563BE5" w:rsidRDefault="00B3144B" w:rsidP="00B3144B">
            <w:pPr>
              <w:jc w:val="both"/>
              <w:rPr>
                <w:rFonts w:ascii="David" w:hAnsi="David"/>
                <w:sz w:val="26"/>
                <w:szCs w:val="26"/>
              </w:rPr>
            </w:pPr>
            <w:r w:rsidRPr="00563BE5">
              <w:rPr>
                <w:rFonts w:hint="cs"/>
                <w:rtl/>
              </w:rPr>
              <w:t xml:space="preserve"> </w:t>
            </w:r>
            <w:r w:rsidRPr="00563BE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B358AA3" w14:textId="77777777" w:rsidR="00B3144B" w:rsidRPr="00563BE5" w:rsidRDefault="00B3144B" w:rsidP="003C72DE">
            <w:pPr>
              <w:rPr>
                <w:rFonts w:ascii="David" w:hAnsi="David"/>
                <w:b/>
                <w:bCs/>
                <w:sz w:val="26"/>
                <w:szCs w:val="26"/>
                <w:rtl/>
              </w:rPr>
            </w:pPr>
            <w:r w:rsidRPr="00563BE5">
              <w:rPr>
                <w:rFonts w:ascii="David" w:hAnsi="David"/>
                <w:b/>
                <w:bCs/>
                <w:sz w:val="26"/>
                <w:szCs w:val="26"/>
                <w:rtl/>
              </w:rPr>
              <w:t>כבוד השופטת  מרב גרינברג</w:t>
            </w:r>
          </w:p>
          <w:p w14:paraId="20144CBC" w14:textId="77777777" w:rsidR="00B3144B" w:rsidRPr="00563BE5" w:rsidRDefault="00B3144B" w:rsidP="003C72DE">
            <w:pPr>
              <w:rPr>
                <w:rFonts w:ascii="David" w:hAnsi="David"/>
                <w:sz w:val="26"/>
                <w:szCs w:val="26"/>
                <w:rtl/>
              </w:rPr>
            </w:pPr>
          </w:p>
          <w:p w14:paraId="45D080A5" w14:textId="77777777" w:rsidR="00B3144B" w:rsidRPr="00563BE5" w:rsidRDefault="00B3144B" w:rsidP="00B3144B">
            <w:pPr>
              <w:jc w:val="both"/>
              <w:rPr>
                <w:rFonts w:ascii="David" w:hAnsi="David"/>
                <w:sz w:val="26"/>
                <w:szCs w:val="26"/>
              </w:rPr>
            </w:pPr>
          </w:p>
        </w:tc>
      </w:tr>
      <w:tr w:rsidR="00B3144B" w:rsidRPr="00563BE5" w14:paraId="00D08AA0" w14:textId="77777777" w:rsidTr="003737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81CC3A" w14:textId="77777777" w:rsidR="00B3144B" w:rsidRPr="00563BE5" w:rsidRDefault="00B3144B" w:rsidP="00B3144B">
            <w:pPr>
              <w:jc w:val="both"/>
              <w:rPr>
                <w:rFonts w:ascii="David" w:hAnsi="David"/>
                <w:sz w:val="26"/>
                <w:szCs w:val="26"/>
              </w:rPr>
            </w:pPr>
            <w:bookmarkStart w:id="1" w:name="FirstAppellant"/>
            <w:bookmarkStart w:id="2" w:name="FirstLawyer"/>
            <w:r w:rsidRPr="00563BE5">
              <w:rPr>
                <w:rFonts w:ascii="David" w:hAnsi="David"/>
                <w:sz w:val="26"/>
                <w:szCs w:val="26"/>
                <w:rtl/>
              </w:rPr>
              <w:t>בעניין:</w:t>
            </w:r>
          </w:p>
        </w:tc>
        <w:tc>
          <w:tcPr>
            <w:tcW w:w="3219" w:type="dxa"/>
            <w:tcBorders>
              <w:top w:val="nil"/>
              <w:left w:val="nil"/>
              <w:bottom w:val="nil"/>
              <w:right w:val="nil"/>
            </w:tcBorders>
            <w:shd w:val="clear" w:color="auto" w:fill="auto"/>
          </w:tcPr>
          <w:p w14:paraId="3684B3CC" w14:textId="77777777" w:rsidR="00B3144B" w:rsidRPr="00563BE5" w:rsidRDefault="00B3144B" w:rsidP="00B3144B">
            <w:pPr>
              <w:suppressLineNumbers/>
            </w:pPr>
            <w:r w:rsidRPr="00563BE5">
              <w:rPr>
                <w:rFonts w:ascii="Arial" w:hAnsi="Arial" w:hint="cs"/>
                <w:b/>
                <w:bCs/>
                <w:sz w:val="26"/>
                <w:szCs w:val="26"/>
                <w:rtl/>
              </w:rPr>
              <w:t>ה</w:t>
            </w:r>
            <w:r w:rsidRPr="00563BE5">
              <w:rPr>
                <w:rFonts w:ascii="Arial" w:hAnsi="Arial"/>
                <w:b/>
                <w:bCs/>
                <w:sz w:val="26"/>
                <w:szCs w:val="26"/>
                <w:rtl/>
              </w:rPr>
              <w:t>מאשימה</w:t>
            </w:r>
          </w:p>
          <w:p w14:paraId="1BF27413" w14:textId="77777777" w:rsidR="00B3144B" w:rsidRPr="00563BE5" w:rsidRDefault="00B3144B" w:rsidP="003C72D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F5BC402" w14:textId="77777777" w:rsidR="00B3144B" w:rsidRPr="00563BE5" w:rsidRDefault="00B3144B" w:rsidP="00B3144B">
            <w:pPr>
              <w:suppressLineNumbers/>
              <w:rPr>
                <w:rFonts w:ascii="Arial" w:hAnsi="Arial"/>
                <w:b/>
                <w:bCs/>
                <w:sz w:val="26"/>
                <w:szCs w:val="26"/>
                <w:rtl/>
              </w:rPr>
            </w:pPr>
            <w:r w:rsidRPr="00563BE5">
              <w:rPr>
                <w:rFonts w:ascii="Arial" w:hAnsi="Arial"/>
                <w:b/>
                <w:bCs/>
                <w:sz w:val="26"/>
                <w:szCs w:val="26"/>
                <w:rtl/>
              </w:rPr>
              <w:t>מדינת ישראל</w:t>
            </w:r>
            <w:r w:rsidRPr="00563BE5">
              <w:rPr>
                <w:rFonts w:ascii="Arial" w:hAnsi="Arial" w:hint="cs"/>
                <w:b/>
                <w:bCs/>
                <w:sz w:val="26"/>
                <w:szCs w:val="26"/>
                <w:rtl/>
              </w:rPr>
              <w:t xml:space="preserve"> </w:t>
            </w:r>
          </w:p>
          <w:p w14:paraId="3E7B6907" w14:textId="77777777" w:rsidR="00B3144B" w:rsidRPr="00563BE5" w:rsidRDefault="00B3144B" w:rsidP="00B3144B">
            <w:pPr>
              <w:suppressLineNumbers/>
              <w:rPr>
                <w:rFonts w:ascii="Arial" w:hAnsi="Arial"/>
                <w:b/>
                <w:bCs/>
                <w:sz w:val="26"/>
                <w:szCs w:val="26"/>
              </w:rPr>
            </w:pPr>
            <w:r w:rsidRPr="00563BE5">
              <w:rPr>
                <w:rFonts w:ascii="Arial" w:hAnsi="Arial"/>
                <w:b/>
                <w:bCs/>
                <w:sz w:val="26"/>
                <w:szCs w:val="26"/>
                <w:rtl/>
              </w:rPr>
              <w:t>ע"י ב"כ עוה"ד</w:t>
            </w:r>
            <w:r w:rsidRPr="00563BE5">
              <w:rPr>
                <w:rFonts w:ascii="Arial" w:hAnsi="Arial" w:hint="cs"/>
                <w:b/>
                <w:bCs/>
                <w:sz w:val="26"/>
                <w:szCs w:val="26"/>
                <w:rtl/>
              </w:rPr>
              <w:t xml:space="preserve"> יסמין שביט</w:t>
            </w:r>
          </w:p>
          <w:p w14:paraId="1F790564" w14:textId="77777777" w:rsidR="00B3144B" w:rsidRPr="00563BE5" w:rsidRDefault="00B3144B" w:rsidP="003C72DE">
            <w:pPr>
              <w:rPr>
                <w:rFonts w:ascii="David" w:hAnsi="David"/>
                <w:sz w:val="26"/>
                <w:szCs w:val="26"/>
              </w:rPr>
            </w:pPr>
          </w:p>
        </w:tc>
      </w:tr>
      <w:bookmarkEnd w:id="1"/>
      <w:bookmarkEnd w:id="2"/>
      <w:tr w:rsidR="00B3144B" w:rsidRPr="00563BE5" w14:paraId="0B6801BC" w14:textId="77777777" w:rsidTr="003737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62BF91" w14:textId="77777777" w:rsidR="00B3144B" w:rsidRPr="00563BE5" w:rsidRDefault="00B3144B" w:rsidP="00B3144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65BF44B" w14:textId="77777777" w:rsidR="00B3144B" w:rsidRPr="00563BE5" w:rsidRDefault="00B3144B" w:rsidP="00B3144B">
            <w:pPr>
              <w:jc w:val="center"/>
              <w:rPr>
                <w:rFonts w:ascii="David" w:hAnsi="David"/>
                <w:b/>
                <w:bCs/>
                <w:sz w:val="26"/>
                <w:szCs w:val="26"/>
                <w:rtl/>
              </w:rPr>
            </w:pPr>
          </w:p>
          <w:p w14:paraId="40B7C5A6" w14:textId="77777777" w:rsidR="00B3144B" w:rsidRPr="00563BE5" w:rsidRDefault="00B3144B" w:rsidP="00B3144B">
            <w:pPr>
              <w:jc w:val="center"/>
              <w:rPr>
                <w:rFonts w:ascii="David" w:hAnsi="David"/>
                <w:b/>
                <w:bCs/>
                <w:sz w:val="26"/>
                <w:szCs w:val="26"/>
                <w:rtl/>
              </w:rPr>
            </w:pPr>
            <w:r w:rsidRPr="00563BE5">
              <w:rPr>
                <w:rFonts w:ascii="David" w:hAnsi="David"/>
                <w:b/>
                <w:bCs/>
                <w:sz w:val="26"/>
                <w:szCs w:val="26"/>
                <w:rtl/>
              </w:rPr>
              <w:t>נגד</w:t>
            </w:r>
          </w:p>
          <w:p w14:paraId="65265A6D" w14:textId="77777777" w:rsidR="00B3144B" w:rsidRPr="00563BE5" w:rsidRDefault="00B3144B" w:rsidP="00B3144B">
            <w:pPr>
              <w:jc w:val="both"/>
              <w:rPr>
                <w:rFonts w:ascii="David" w:hAnsi="David"/>
                <w:sz w:val="26"/>
                <w:szCs w:val="26"/>
              </w:rPr>
            </w:pPr>
          </w:p>
        </w:tc>
      </w:tr>
      <w:tr w:rsidR="00B3144B" w:rsidRPr="00563BE5" w14:paraId="44608E5E" w14:textId="77777777" w:rsidTr="003737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173F9F" w14:textId="77777777" w:rsidR="00B3144B" w:rsidRPr="00563BE5" w:rsidRDefault="00B3144B" w:rsidP="003C72DE">
            <w:pPr>
              <w:rPr>
                <w:rFonts w:ascii="David" w:hAnsi="David"/>
                <w:sz w:val="26"/>
                <w:szCs w:val="26"/>
                <w:rtl/>
              </w:rPr>
            </w:pPr>
          </w:p>
        </w:tc>
        <w:tc>
          <w:tcPr>
            <w:tcW w:w="3219" w:type="dxa"/>
            <w:tcBorders>
              <w:top w:val="nil"/>
              <w:left w:val="nil"/>
              <w:bottom w:val="nil"/>
              <w:right w:val="nil"/>
            </w:tcBorders>
            <w:shd w:val="clear" w:color="auto" w:fill="auto"/>
          </w:tcPr>
          <w:p w14:paraId="06F084B1" w14:textId="77777777" w:rsidR="00B3144B" w:rsidRPr="00563BE5" w:rsidRDefault="00B3144B" w:rsidP="003C72DE">
            <w:pPr>
              <w:rPr>
                <w:rFonts w:ascii="Arial" w:hAnsi="Arial"/>
                <w:b/>
                <w:bCs/>
                <w:sz w:val="26"/>
                <w:szCs w:val="26"/>
                <w:rtl/>
              </w:rPr>
            </w:pPr>
            <w:r w:rsidRPr="00563BE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41F2A2E" w14:textId="77777777" w:rsidR="00B3144B" w:rsidRPr="00563BE5" w:rsidRDefault="00B3144B" w:rsidP="00B3144B">
            <w:pPr>
              <w:suppressLineNumbers/>
              <w:rPr>
                <w:rFonts w:ascii="Arial" w:hAnsi="Arial"/>
                <w:b/>
                <w:bCs/>
                <w:sz w:val="26"/>
                <w:szCs w:val="26"/>
              </w:rPr>
            </w:pPr>
            <w:r w:rsidRPr="00563BE5">
              <w:rPr>
                <w:rFonts w:ascii="Arial" w:hAnsi="Arial"/>
                <w:b/>
                <w:bCs/>
                <w:sz w:val="26"/>
                <w:szCs w:val="26"/>
                <w:rtl/>
              </w:rPr>
              <w:t>מחמד גבאלי</w:t>
            </w:r>
            <w:r w:rsidRPr="00563BE5">
              <w:rPr>
                <w:rFonts w:ascii="Arial" w:hAnsi="Arial"/>
                <w:b/>
                <w:bCs/>
                <w:sz w:val="26"/>
                <w:szCs w:val="26"/>
                <w:rtl/>
              </w:rPr>
              <w:br/>
              <w:t>ע"י ב"כ עוה"ד</w:t>
            </w:r>
            <w:r w:rsidRPr="00563BE5">
              <w:rPr>
                <w:rFonts w:ascii="Arial" w:hAnsi="Arial" w:hint="cs"/>
                <w:b/>
                <w:bCs/>
                <w:sz w:val="26"/>
                <w:szCs w:val="26"/>
                <w:rtl/>
              </w:rPr>
              <w:t xml:space="preserve"> שאדי נאטור</w:t>
            </w:r>
          </w:p>
          <w:p w14:paraId="4AA2032C" w14:textId="77777777" w:rsidR="00B3144B" w:rsidRPr="00563BE5" w:rsidRDefault="00B3144B" w:rsidP="003C72DE">
            <w:pPr>
              <w:rPr>
                <w:rFonts w:ascii="David" w:hAnsi="David"/>
                <w:sz w:val="26"/>
                <w:szCs w:val="26"/>
              </w:rPr>
            </w:pPr>
          </w:p>
        </w:tc>
      </w:tr>
    </w:tbl>
    <w:p w14:paraId="47428EC1" w14:textId="77777777" w:rsidR="0037374D" w:rsidRDefault="0037374D" w:rsidP="00563BE5">
      <w:pPr>
        <w:rPr>
          <w:rtl/>
        </w:rPr>
      </w:pPr>
    </w:p>
    <w:p w14:paraId="5F6B5D73" w14:textId="77777777" w:rsidR="0037374D" w:rsidRPr="0037374D" w:rsidRDefault="0037374D" w:rsidP="0037374D">
      <w:pPr>
        <w:spacing w:after="120" w:line="240" w:lineRule="exact"/>
        <w:ind w:left="283" w:hanging="283"/>
        <w:jc w:val="both"/>
        <w:rPr>
          <w:rFonts w:ascii="FrankRuehl" w:hAnsi="FrankRuehl" w:cs="FrankRuehl"/>
          <w:rtl/>
        </w:rPr>
      </w:pPr>
    </w:p>
    <w:p w14:paraId="34ECEEBA" w14:textId="77777777" w:rsidR="006B1A17" w:rsidRPr="006B1A17" w:rsidRDefault="006B1A17" w:rsidP="006B1A17">
      <w:pPr>
        <w:spacing w:before="120" w:after="120" w:line="240" w:lineRule="exact"/>
        <w:ind w:left="283" w:hanging="283"/>
        <w:jc w:val="both"/>
        <w:rPr>
          <w:rFonts w:ascii="FrankRuehl" w:hAnsi="FrankRuehl" w:cs="FrankRuehl"/>
          <w:rtl/>
        </w:rPr>
      </w:pPr>
    </w:p>
    <w:p w14:paraId="008F2945" w14:textId="77777777" w:rsidR="00E16C5A" w:rsidRDefault="00E16C5A" w:rsidP="00E16C5A">
      <w:pPr>
        <w:rPr>
          <w:rtl/>
        </w:rPr>
      </w:pPr>
      <w:bookmarkStart w:id="3" w:name="LawTable"/>
      <w:bookmarkEnd w:id="3"/>
    </w:p>
    <w:p w14:paraId="0F2EEB6D" w14:textId="77777777" w:rsidR="00E16C5A" w:rsidRPr="00E16C5A" w:rsidRDefault="00E16C5A" w:rsidP="00E16C5A">
      <w:pPr>
        <w:spacing w:before="120" w:after="120" w:line="240" w:lineRule="exact"/>
        <w:ind w:left="283" w:hanging="283"/>
        <w:jc w:val="both"/>
        <w:rPr>
          <w:rFonts w:ascii="FrankRuehl" w:hAnsi="FrankRuehl" w:cs="FrankRuehl"/>
          <w:rtl/>
        </w:rPr>
      </w:pPr>
    </w:p>
    <w:p w14:paraId="160A6049" w14:textId="77777777" w:rsidR="00E16C5A" w:rsidRPr="00E16C5A" w:rsidRDefault="00E16C5A" w:rsidP="00E16C5A">
      <w:pPr>
        <w:spacing w:before="120" w:after="120" w:line="240" w:lineRule="exact"/>
        <w:ind w:left="283" w:hanging="283"/>
        <w:jc w:val="both"/>
        <w:rPr>
          <w:rFonts w:ascii="FrankRuehl" w:hAnsi="FrankRuehl" w:cs="FrankRuehl"/>
          <w:rtl/>
        </w:rPr>
      </w:pPr>
    </w:p>
    <w:p w14:paraId="271C8B87" w14:textId="77777777" w:rsidR="00E16C5A" w:rsidRPr="00E16C5A" w:rsidRDefault="00E16C5A" w:rsidP="00E16C5A">
      <w:pPr>
        <w:spacing w:before="120" w:after="120" w:line="240" w:lineRule="exact"/>
        <w:ind w:left="283" w:hanging="283"/>
        <w:jc w:val="both"/>
        <w:rPr>
          <w:rFonts w:ascii="FrankRuehl" w:hAnsi="FrankRuehl" w:cs="FrankRuehl"/>
          <w:rtl/>
        </w:rPr>
      </w:pPr>
      <w:r w:rsidRPr="00E16C5A">
        <w:rPr>
          <w:rFonts w:ascii="FrankRuehl" w:hAnsi="FrankRuehl" w:cs="FrankRuehl"/>
          <w:rtl/>
        </w:rPr>
        <w:t xml:space="preserve">חקיקה שאוזכרה: </w:t>
      </w:r>
    </w:p>
    <w:p w14:paraId="0D218251" w14:textId="77777777" w:rsidR="00E16C5A" w:rsidRPr="00E16C5A" w:rsidRDefault="00E16C5A" w:rsidP="00E16C5A">
      <w:pPr>
        <w:spacing w:before="120" w:after="120" w:line="240" w:lineRule="exact"/>
        <w:ind w:left="283" w:hanging="283"/>
        <w:jc w:val="both"/>
        <w:rPr>
          <w:rFonts w:ascii="FrankRuehl" w:hAnsi="FrankRuehl" w:cs="FrankRuehl"/>
          <w:rtl/>
        </w:rPr>
      </w:pPr>
      <w:hyperlink r:id="rId7" w:history="1">
        <w:r w:rsidRPr="00E16C5A">
          <w:rPr>
            <w:rFonts w:ascii="FrankRuehl" w:hAnsi="FrankRuehl" w:cs="FrankRuehl"/>
            <w:color w:val="0000FF"/>
            <w:rtl/>
          </w:rPr>
          <w:t>חוק העונשין, תשל"ז-1977</w:t>
        </w:r>
      </w:hyperlink>
      <w:r w:rsidRPr="00E16C5A">
        <w:rPr>
          <w:rFonts w:ascii="FrankRuehl" w:hAnsi="FrankRuehl" w:cs="FrankRuehl"/>
          <w:rtl/>
        </w:rPr>
        <w:t xml:space="preserve">: סע'  </w:t>
      </w:r>
      <w:hyperlink r:id="rId8" w:history="1">
        <w:r w:rsidRPr="00E16C5A">
          <w:rPr>
            <w:rFonts w:ascii="FrankRuehl" w:hAnsi="FrankRuehl" w:cs="FrankRuehl"/>
            <w:color w:val="0000FF"/>
            <w:rtl/>
          </w:rPr>
          <w:t>144(א)</w:t>
        </w:r>
      </w:hyperlink>
    </w:p>
    <w:p w14:paraId="59910519" w14:textId="77777777" w:rsidR="00E16C5A" w:rsidRPr="00E16C5A" w:rsidRDefault="00E16C5A" w:rsidP="00E16C5A">
      <w:pPr>
        <w:rPr>
          <w:rtl/>
        </w:rPr>
      </w:pPr>
      <w:bookmarkStart w:id="4" w:name="LawTable_End"/>
      <w:bookmarkEnd w:id="4"/>
    </w:p>
    <w:p w14:paraId="2B7D83F6" w14:textId="77777777" w:rsidR="00563BE5" w:rsidRPr="006B1A17" w:rsidRDefault="00563BE5" w:rsidP="006B1A1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144B" w14:paraId="791EC09D" w14:textId="77777777" w:rsidTr="00B3144B">
        <w:trPr>
          <w:trHeight w:val="355"/>
          <w:jc w:val="center"/>
        </w:trPr>
        <w:tc>
          <w:tcPr>
            <w:tcW w:w="8820" w:type="dxa"/>
            <w:tcBorders>
              <w:top w:val="nil"/>
              <w:left w:val="nil"/>
              <w:bottom w:val="nil"/>
              <w:right w:val="nil"/>
            </w:tcBorders>
            <w:shd w:val="clear" w:color="auto" w:fill="auto"/>
          </w:tcPr>
          <w:p w14:paraId="093C3782" w14:textId="77777777" w:rsidR="00563BE5" w:rsidRPr="00563BE5" w:rsidRDefault="00563BE5" w:rsidP="00563BE5">
            <w:pPr>
              <w:jc w:val="center"/>
              <w:rPr>
                <w:rFonts w:ascii="David" w:hAnsi="David"/>
                <w:b/>
                <w:bCs/>
                <w:sz w:val="32"/>
                <w:szCs w:val="32"/>
                <w:u w:val="single"/>
                <w:rtl/>
              </w:rPr>
            </w:pPr>
            <w:bookmarkStart w:id="5" w:name="PsakDin" w:colFirst="0" w:colLast="0"/>
            <w:bookmarkEnd w:id="0"/>
            <w:r w:rsidRPr="00563BE5">
              <w:rPr>
                <w:rFonts w:ascii="David" w:hAnsi="David"/>
                <w:b/>
                <w:bCs/>
                <w:sz w:val="32"/>
                <w:szCs w:val="32"/>
                <w:u w:val="single"/>
                <w:rtl/>
              </w:rPr>
              <w:t>גזר דין</w:t>
            </w:r>
          </w:p>
          <w:p w14:paraId="662A201C" w14:textId="77777777" w:rsidR="00B3144B" w:rsidRPr="00563BE5" w:rsidRDefault="00B3144B" w:rsidP="00563BE5">
            <w:pPr>
              <w:jc w:val="center"/>
              <w:rPr>
                <w:rFonts w:ascii="David" w:hAnsi="David"/>
                <w:bCs/>
                <w:sz w:val="32"/>
                <w:szCs w:val="32"/>
                <w:u w:val="single"/>
                <w:rtl/>
              </w:rPr>
            </w:pPr>
          </w:p>
        </w:tc>
      </w:tr>
      <w:bookmarkEnd w:id="5"/>
    </w:tbl>
    <w:p w14:paraId="2BD03D33" w14:textId="77777777" w:rsidR="00B3144B" w:rsidRPr="000F2247" w:rsidRDefault="00B3144B" w:rsidP="00B3144B">
      <w:pPr>
        <w:rPr>
          <w:rFonts w:ascii="Arial" w:hAnsi="Arial"/>
          <w:b/>
          <w:bCs/>
          <w:sz w:val="26"/>
          <w:szCs w:val="26"/>
          <w:rtl/>
        </w:rPr>
      </w:pPr>
    </w:p>
    <w:p w14:paraId="6EC8923C" w14:textId="77777777" w:rsidR="00B3144B" w:rsidRDefault="00B3144B" w:rsidP="00B3144B">
      <w:pPr>
        <w:pStyle w:val="aa"/>
        <w:numPr>
          <w:ilvl w:val="0"/>
          <w:numId w:val="1"/>
        </w:numPr>
        <w:spacing w:line="360" w:lineRule="auto"/>
        <w:jc w:val="both"/>
      </w:pPr>
      <w:bookmarkStart w:id="6" w:name="ABSTRACT_START"/>
      <w:bookmarkEnd w:id="6"/>
      <w:r>
        <w:rPr>
          <w:rFonts w:hint="cs"/>
          <w:rtl/>
        </w:rPr>
        <w:t xml:space="preserve">הנאשם הורשע, במסגרת הסדר טיעון, בעובדות כתב אישום מתוקן בעבירות </w:t>
      </w:r>
      <w:r>
        <w:rPr>
          <w:rFonts w:hint="cs"/>
          <w:b/>
          <w:bCs/>
          <w:rtl/>
        </w:rPr>
        <w:t xml:space="preserve">החזקת נשק ואביזר נשק לפי </w:t>
      </w:r>
      <w:hyperlink r:id="rId9" w:history="1">
        <w:r w:rsidR="0037374D" w:rsidRPr="0037374D">
          <w:rPr>
            <w:rStyle w:val="Hyperlink"/>
            <w:rFonts w:hint="eastAsia"/>
            <w:b/>
            <w:bCs/>
            <w:rtl/>
          </w:rPr>
          <w:t>סעיפים</w:t>
        </w:r>
        <w:r w:rsidR="0037374D" w:rsidRPr="0037374D">
          <w:rPr>
            <w:rStyle w:val="Hyperlink"/>
            <w:b/>
            <w:bCs/>
            <w:rtl/>
          </w:rPr>
          <w:t xml:space="preserve"> 144(א)</w:t>
        </w:r>
      </w:hyperlink>
      <w:r>
        <w:rPr>
          <w:rFonts w:hint="cs"/>
          <w:b/>
          <w:bCs/>
          <w:rtl/>
        </w:rPr>
        <w:t xml:space="preserve"> רישא וסיפא ל</w:t>
      </w:r>
      <w:hyperlink r:id="rId10" w:history="1">
        <w:r w:rsidR="00563BE5" w:rsidRPr="00563BE5">
          <w:rPr>
            <w:b/>
            <w:bCs/>
            <w:color w:val="0000FF"/>
            <w:u w:val="single"/>
            <w:rtl/>
          </w:rPr>
          <w:t>חוק העונשין</w:t>
        </w:r>
      </w:hyperlink>
      <w:r>
        <w:rPr>
          <w:rFonts w:hint="cs"/>
          <w:b/>
          <w:bCs/>
          <w:rtl/>
        </w:rPr>
        <w:t>, תשל"ז-1977</w:t>
      </w:r>
      <w:r>
        <w:rPr>
          <w:rFonts w:hint="cs"/>
          <w:rtl/>
        </w:rPr>
        <w:t xml:space="preserve"> (להלן: "החוק").</w:t>
      </w:r>
    </w:p>
    <w:p w14:paraId="1F9EF74B" w14:textId="77777777" w:rsidR="00B3144B" w:rsidRDefault="00B3144B" w:rsidP="00B3144B">
      <w:pPr>
        <w:pStyle w:val="aa"/>
        <w:spacing w:line="360" w:lineRule="auto"/>
        <w:jc w:val="both"/>
      </w:pPr>
    </w:p>
    <w:p w14:paraId="3081B683" w14:textId="77777777" w:rsidR="00B3144B" w:rsidRDefault="00B3144B" w:rsidP="00B3144B">
      <w:pPr>
        <w:pStyle w:val="aa"/>
        <w:numPr>
          <w:ilvl w:val="0"/>
          <w:numId w:val="1"/>
        </w:numPr>
        <w:spacing w:line="360" w:lineRule="auto"/>
        <w:jc w:val="both"/>
        <w:rPr>
          <w:rtl/>
        </w:rPr>
      </w:pPr>
      <w:r>
        <w:rPr>
          <w:rFonts w:hint="cs"/>
          <w:rtl/>
        </w:rPr>
        <w:t xml:space="preserve">כמפורט בעובדות כתב האישום המתוקן, ביום 15.7.2021 או בסמוך לכך, תועד הנאשם מחזיק רובה סער קלאצ'ניקוב ומחסנית תחמושת מתאימה, בשטח הסמוך למתחם שבבעלות משפחתו ביישוב טייבה. </w:t>
      </w:r>
    </w:p>
    <w:p w14:paraId="7B439741" w14:textId="77777777" w:rsidR="00B3144B" w:rsidRDefault="00B3144B" w:rsidP="00B3144B">
      <w:pPr>
        <w:spacing w:line="360" w:lineRule="auto"/>
        <w:jc w:val="both"/>
        <w:rPr>
          <w:rtl/>
        </w:rPr>
      </w:pPr>
      <w:bookmarkStart w:id="7" w:name="ABSTRACT_END"/>
      <w:bookmarkEnd w:id="7"/>
    </w:p>
    <w:p w14:paraId="6B0E8662" w14:textId="77777777" w:rsidR="00B3144B" w:rsidRDefault="00B3144B" w:rsidP="00B3144B">
      <w:pPr>
        <w:pStyle w:val="aa"/>
        <w:numPr>
          <w:ilvl w:val="0"/>
          <w:numId w:val="1"/>
        </w:numPr>
        <w:spacing w:line="360" w:lineRule="auto"/>
        <w:jc w:val="both"/>
      </w:pPr>
      <w:r>
        <w:rPr>
          <w:rFonts w:hint="cs"/>
          <w:rtl/>
        </w:rPr>
        <w:t xml:space="preserve">ביום 17.7.22 הציגו הצדדים הסדר טיעון דיוני, לפיו הנאשם יודה ויורשע בעובדות כתב אישום מתוקן, יופנה לתסקיר שירות המבחן והצדדים יטענו באופן חופשי לעונש. </w:t>
      </w:r>
    </w:p>
    <w:p w14:paraId="27463B7D" w14:textId="77777777" w:rsidR="00B3144B" w:rsidRDefault="00B3144B" w:rsidP="00B3144B">
      <w:pPr>
        <w:pStyle w:val="aa"/>
        <w:spacing w:line="360" w:lineRule="auto"/>
        <w:jc w:val="both"/>
        <w:rPr>
          <w:rtl/>
        </w:rPr>
      </w:pPr>
    </w:p>
    <w:p w14:paraId="4C64F4D0" w14:textId="77777777" w:rsidR="00B3144B" w:rsidRDefault="00B3144B" w:rsidP="00B3144B">
      <w:pPr>
        <w:spacing w:line="360" w:lineRule="auto"/>
        <w:ind w:firstLine="360"/>
        <w:jc w:val="both"/>
        <w:rPr>
          <w:b/>
          <w:bCs/>
          <w:u w:val="single"/>
          <w:rtl/>
        </w:rPr>
      </w:pPr>
      <w:r>
        <w:rPr>
          <w:rFonts w:hint="cs"/>
          <w:b/>
          <w:bCs/>
          <w:u w:val="single"/>
          <w:rtl/>
        </w:rPr>
        <w:t>עיקרי תסקיר שירות המבחן</w:t>
      </w:r>
    </w:p>
    <w:p w14:paraId="5810B790" w14:textId="77777777" w:rsidR="00B3144B" w:rsidRDefault="00B3144B" w:rsidP="00B3144B">
      <w:pPr>
        <w:pStyle w:val="aa"/>
        <w:numPr>
          <w:ilvl w:val="0"/>
          <w:numId w:val="1"/>
        </w:numPr>
        <w:spacing w:line="360" w:lineRule="auto"/>
        <w:jc w:val="both"/>
        <w:rPr>
          <w:rtl/>
        </w:rPr>
      </w:pPr>
      <w:r>
        <w:rPr>
          <w:rFonts w:hint="cs"/>
          <w:rtl/>
        </w:rPr>
        <w:lastRenderedPageBreak/>
        <w:t xml:space="preserve">הנאשם, בן 21, ללא עבר פלילי, סיים 12 שנות לימוד בבית ספר בטייבה בחוג "ביולוגיה ומדעי הסביבה", בתום לימודיו החל לעבוד באטליז בפתח תקווה, בו עובד מזה כשלוש שנים עד היום. בגיל 19, במקביל לעבודתו, נרשם ללימודי הנדסת בניין, אך עקב ניהול התיק הפסיק לימודיו. הנאשם מאורס לבת זוגו, אך נוכח מצבו המשפטי נדחתה החתונה.  </w:t>
      </w:r>
    </w:p>
    <w:p w14:paraId="145EEDA6" w14:textId="77777777" w:rsidR="00B3144B" w:rsidRDefault="00B3144B" w:rsidP="00B3144B">
      <w:pPr>
        <w:pStyle w:val="aa"/>
        <w:spacing w:line="360" w:lineRule="auto"/>
        <w:jc w:val="both"/>
        <w:rPr>
          <w:rtl/>
        </w:rPr>
      </w:pPr>
    </w:p>
    <w:p w14:paraId="18CFC715" w14:textId="77777777" w:rsidR="00B3144B" w:rsidRDefault="00B3144B" w:rsidP="00B3144B">
      <w:pPr>
        <w:pStyle w:val="aa"/>
        <w:spacing w:line="360" w:lineRule="auto"/>
        <w:jc w:val="both"/>
        <w:rPr>
          <w:rtl/>
        </w:rPr>
      </w:pPr>
      <w:r>
        <w:rPr>
          <w:rFonts w:hint="cs"/>
          <w:b/>
          <w:bCs/>
          <w:rtl/>
        </w:rPr>
        <w:t>אשר לביצוע העבירות</w:t>
      </w:r>
      <w:r>
        <w:rPr>
          <w:rFonts w:hint="cs"/>
          <w:rtl/>
        </w:rPr>
        <w:t xml:space="preserve">, קיבל הנאשם אחריות על מעשיו, הביע חרטה והבנה לחומרת העבירה והשלכותיה. לדבריו, מצא את הנשק באופן אקראי במהלך שהותו עם חברים בשטח השייך למשפחת מוצאו והצטלם מתוך סקרנות ועיסוק בגבריות, ללא מחשבה על השלכות מעשיו. הנאשם שלל סכסוכים או איומים על חייו. לדבריו, ההליך המשפטי, ובמיוחד תקופת מעצרו, היוו גורמים מרתיעים עבורו. כיום מתמקד בתפקוד תעסוקתי ומשפחתי תקין. </w:t>
      </w:r>
    </w:p>
    <w:p w14:paraId="761538EF" w14:textId="77777777" w:rsidR="00B3144B" w:rsidRDefault="00B3144B" w:rsidP="00B3144B">
      <w:pPr>
        <w:pStyle w:val="aa"/>
        <w:spacing w:line="360" w:lineRule="auto"/>
        <w:jc w:val="both"/>
        <w:rPr>
          <w:rtl/>
        </w:rPr>
      </w:pPr>
    </w:p>
    <w:p w14:paraId="27360D88" w14:textId="77777777" w:rsidR="00B3144B" w:rsidRDefault="00B3144B" w:rsidP="00B3144B">
      <w:pPr>
        <w:pStyle w:val="aa"/>
        <w:spacing w:line="360" w:lineRule="auto"/>
        <w:jc w:val="both"/>
        <w:rPr>
          <w:rtl/>
        </w:rPr>
      </w:pPr>
      <w:r>
        <w:rPr>
          <w:rFonts w:hint="cs"/>
          <w:rtl/>
        </w:rPr>
        <w:t xml:space="preserve">שירות המבחן התרשם כי העבירה בוצעה על רקע חוסר בשלות, סקרנות, קיום קשרים חברתיים בעייתיים ועיסוק בגבריות. נוכח גילו, תפקודו התקין לאורך השנים ונכונותו לערוך שינוי חיובי בחייו, בא בהמלצה להסתפק בענישת עבודות שירות ברף נמוך ולהעמידו בצו מבחן.  </w:t>
      </w:r>
    </w:p>
    <w:p w14:paraId="5FB1D2AD" w14:textId="77777777" w:rsidR="00B3144B" w:rsidRDefault="00B3144B" w:rsidP="00B3144B">
      <w:pPr>
        <w:pStyle w:val="aa"/>
        <w:spacing w:line="360" w:lineRule="auto"/>
        <w:jc w:val="both"/>
        <w:rPr>
          <w:rtl/>
        </w:rPr>
      </w:pPr>
    </w:p>
    <w:p w14:paraId="43EC207F" w14:textId="77777777" w:rsidR="00B3144B" w:rsidRDefault="00B3144B" w:rsidP="00B3144B">
      <w:pPr>
        <w:spacing w:line="360" w:lineRule="auto"/>
        <w:ind w:firstLine="360"/>
        <w:jc w:val="both"/>
        <w:rPr>
          <w:b/>
          <w:bCs/>
          <w:u w:val="single"/>
          <w:rtl/>
        </w:rPr>
      </w:pPr>
      <w:r>
        <w:rPr>
          <w:rFonts w:hint="cs"/>
          <w:b/>
          <w:bCs/>
          <w:u w:val="single"/>
          <w:rtl/>
        </w:rPr>
        <w:t>תמצית הטיעונים לעונש</w:t>
      </w:r>
    </w:p>
    <w:p w14:paraId="54A78652" w14:textId="77777777" w:rsidR="00B3144B" w:rsidRDefault="00B3144B" w:rsidP="00B3144B">
      <w:pPr>
        <w:pStyle w:val="aa"/>
        <w:numPr>
          <w:ilvl w:val="0"/>
          <w:numId w:val="1"/>
        </w:numPr>
        <w:spacing w:line="360" w:lineRule="auto"/>
        <w:jc w:val="both"/>
        <w:rPr>
          <w:b/>
          <w:bCs/>
          <w:rtl/>
        </w:rPr>
      </w:pPr>
      <w:r>
        <w:rPr>
          <w:rFonts w:hint="cs"/>
          <w:rtl/>
        </w:rPr>
        <w:t xml:space="preserve">ב"כ המאשימה, עו"ד שירי, עמדה בטיעוניה על הקשיים הראייתיים שעמדו ברקע התיקון של כתב האישום במסגרת הסדר הטיעון. עוד עמדה על חומרת עבירות הנשק, הערכים המוגנים שנפגעו ופוטנציאל הנזק שעלול היה להיגרם מהחזקת נשק בלתי חוקי. עוד הדגישה לחומרה את העובדה שמדובר בנשק התקפי ואת הצורך להחמרה בענישת המחזיקים בו. </w:t>
      </w:r>
      <w:r>
        <w:rPr>
          <w:rFonts w:hint="cs"/>
          <w:b/>
          <w:bCs/>
          <w:rtl/>
        </w:rPr>
        <w:t>לפיכך עתרה למתחם ענישה הנע בין 48-24 חודשי מאסר</w:t>
      </w:r>
      <w:r>
        <w:rPr>
          <w:rFonts w:hint="cs"/>
          <w:rtl/>
        </w:rPr>
        <w:t xml:space="preserve">. באשר לנסיבות שאינן קשורות לביצוע העבירה, לשיטתה התמונה העולה מהתסקיר היא של נאשם הממזער מחומרת העבירות, גרסתו לפיה מצא את הנשק מלמדת על אי נטילת אחריות משמעותית. לדבריה אמנם נתוניו טובים אך היות ולא עבר טיפול אין מקום לחריגה מהמתחם, </w:t>
      </w:r>
      <w:r>
        <w:rPr>
          <w:rFonts w:hint="cs"/>
          <w:b/>
          <w:bCs/>
          <w:rtl/>
        </w:rPr>
        <w:t xml:space="preserve">בנסיבות אלו עתרה להשית עליו 26 חודשים בניכוי ימי מעצרו לצד ענישה נלווית.  </w:t>
      </w:r>
    </w:p>
    <w:p w14:paraId="39D8DDFE" w14:textId="77777777" w:rsidR="00B3144B" w:rsidRDefault="00B3144B" w:rsidP="00B3144B">
      <w:pPr>
        <w:pStyle w:val="aa"/>
        <w:spacing w:line="360" w:lineRule="auto"/>
        <w:jc w:val="both"/>
      </w:pPr>
    </w:p>
    <w:p w14:paraId="4FC929D2" w14:textId="77777777" w:rsidR="00B3144B" w:rsidRDefault="00B3144B" w:rsidP="00B3144B">
      <w:pPr>
        <w:pStyle w:val="aa"/>
        <w:spacing w:line="360" w:lineRule="auto"/>
        <w:jc w:val="both"/>
        <w:rPr>
          <w:b/>
          <w:bCs/>
          <w:u w:val="single"/>
          <w:rtl/>
        </w:rPr>
      </w:pPr>
      <w:r>
        <w:rPr>
          <w:rFonts w:hint="cs"/>
          <w:rtl/>
        </w:rPr>
        <w:t xml:space="preserve">ב"כ הנאשם, עו"ד נאטור, הפנה לתיקון כתב האישום לקולה ולנסיבות העבירה, שהן לשיטתו ברף הנמוך של החזקת נשק – תיעוד מצולם של החזקה רגעית של נשק שאינו שייך לו, ולפיכך עתר למתחם ענישה מתון יותר. עוד טען כי הנאשם לא עשה שימוש בנשק ולא התכוון לכך. </w:t>
      </w:r>
      <w:r>
        <w:rPr>
          <w:rFonts w:hint="cs"/>
          <w:b/>
          <w:bCs/>
          <w:rtl/>
        </w:rPr>
        <w:t>בנסיבות אלו עתר למתחם ענישה הנע בין 30-11 חודשי מאסר</w:t>
      </w:r>
      <w:r>
        <w:rPr>
          <w:rFonts w:hint="cs"/>
          <w:rtl/>
        </w:rPr>
        <w:t xml:space="preserve">, ובהתחשב בגילו הצעיר, עברו הנקי, שהייתו במעצר משך חודש ימים, עמידתו ללא הפרות בתנאים מגבילים, עתר לחרוג מהמתחם מטעמי שיקום ולהשית עליו עבודות שירות לתקופה של תשעה חודשים. </w:t>
      </w:r>
      <w:r>
        <w:rPr>
          <w:rFonts w:hint="cs"/>
          <w:b/>
          <w:bCs/>
          <w:rtl/>
        </w:rPr>
        <w:t>הנאשם בדברו האחרון</w:t>
      </w:r>
      <w:r>
        <w:rPr>
          <w:rFonts w:hint="cs"/>
          <w:rtl/>
        </w:rPr>
        <w:t xml:space="preserve"> בחר שלא להוסיף על דברי בא כוחו. </w:t>
      </w:r>
    </w:p>
    <w:p w14:paraId="7356413E" w14:textId="77777777" w:rsidR="00B3144B" w:rsidRDefault="00B3144B" w:rsidP="00B3144B">
      <w:pPr>
        <w:pStyle w:val="aa"/>
        <w:rPr>
          <w:rtl/>
        </w:rPr>
      </w:pPr>
    </w:p>
    <w:p w14:paraId="4F11CD33" w14:textId="77777777" w:rsidR="00B3144B" w:rsidRDefault="00B3144B" w:rsidP="00B3144B">
      <w:pPr>
        <w:pStyle w:val="aa"/>
        <w:spacing w:line="360" w:lineRule="auto"/>
        <w:jc w:val="both"/>
        <w:rPr>
          <w:rtl/>
        </w:rPr>
      </w:pPr>
      <w:r>
        <w:rPr>
          <w:rFonts w:hint="cs"/>
          <w:rtl/>
        </w:rPr>
        <w:t xml:space="preserve">הצדדים הגישו אסופת פסיקה לתמיכתה בעתירתם העונשית. </w:t>
      </w:r>
    </w:p>
    <w:p w14:paraId="78FA0A18" w14:textId="77777777" w:rsidR="00B3144B" w:rsidRDefault="00B3144B" w:rsidP="00B3144B">
      <w:pPr>
        <w:pStyle w:val="aa"/>
      </w:pPr>
    </w:p>
    <w:p w14:paraId="2B62427E" w14:textId="77777777" w:rsidR="00B3144B" w:rsidRDefault="00B3144B" w:rsidP="00B3144B">
      <w:pPr>
        <w:pStyle w:val="aa"/>
        <w:spacing w:line="360" w:lineRule="auto"/>
        <w:jc w:val="both"/>
        <w:rPr>
          <w:b/>
          <w:bCs/>
          <w:u w:val="single"/>
          <w:rtl/>
        </w:rPr>
      </w:pPr>
    </w:p>
    <w:p w14:paraId="739D9457" w14:textId="77777777" w:rsidR="00B3144B" w:rsidRDefault="00B3144B" w:rsidP="00B3144B">
      <w:pPr>
        <w:pStyle w:val="aa"/>
        <w:spacing w:line="360" w:lineRule="auto"/>
        <w:jc w:val="both"/>
        <w:rPr>
          <w:b/>
          <w:bCs/>
          <w:u w:val="single"/>
          <w:rtl/>
        </w:rPr>
      </w:pPr>
      <w:r>
        <w:rPr>
          <w:rFonts w:hint="cs"/>
          <w:b/>
          <w:bCs/>
          <w:u w:val="single"/>
          <w:rtl/>
        </w:rPr>
        <w:t>דיון והכרעה</w:t>
      </w:r>
    </w:p>
    <w:p w14:paraId="7F50D320" w14:textId="77777777" w:rsidR="00B3144B" w:rsidRDefault="00B3144B" w:rsidP="00B3144B">
      <w:pPr>
        <w:pStyle w:val="aa"/>
        <w:spacing w:line="360" w:lineRule="auto"/>
        <w:jc w:val="both"/>
        <w:rPr>
          <w:b/>
          <w:bCs/>
          <w:u w:val="single"/>
          <w:rtl/>
        </w:rPr>
      </w:pPr>
      <w:r>
        <w:rPr>
          <w:rFonts w:hint="cs"/>
          <w:b/>
          <w:bCs/>
          <w:u w:val="single"/>
          <w:rtl/>
        </w:rPr>
        <w:t>מתחם העונש ההולם</w:t>
      </w:r>
    </w:p>
    <w:p w14:paraId="5AC066D6" w14:textId="77777777" w:rsidR="00B3144B" w:rsidRDefault="00B3144B" w:rsidP="00B3144B">
      <w:pPr>
        <w:pStyle w:val="aa"/>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2361575" w14:textId="77777777" w:rsidR="00B3144B" w:rsidRDefault="00B3144B" w:rsidP="00B3144B">
      <w:pPr>
        <w:spacing w:line="360" w:lineRule="auto"/>
        <w:jc w:val="both"/>
      </w:pPr>
    </w:p>
    <w:p w14:paraId="0FE1EAB2" w14:textId="77777777" w:rsidR="00B3144B" w:rsidRDefault="00B3144B" w:rsidP="00B3144B">
      <w:pPr>
        <w:pStyle w:val="aa"/>
        <w:numPr>
          <w:ilvl w:val="0"/>
          <w:numId w:val="1"/>
        </w:numPr>
        <w:spacing w:after="120" w:line="360" w:lineRule="auto"/>
        <w:jc w:val="both"/>
        <w:rPr>
          <w:rtl/>
        </w:rPr>
      </w:pPr>
      <w:r>
        <w:rPr>
          <w:rFonts w:ascii="Times New Roman" w:eastAsia="Times New Roman" w:hAnsi="Times New Roman" w:hint="cs"/>
          <w:rtl/>
        </w:rPr>
        <w:t xml:space="preserve">רבות נכתב על חומרת עבירות הנשק, קלות כחמורות, ופגיעתן הקשה בערכים מוגנים של שלום הציבור ובטחונו. </w:t>
      </w:r>
      <w:r>
        <w:rPr>
          <w:rFonts w:hint="cs"/>
          <w:rtl/>
        </w:rPr>
        <w:t xml:space="preserve">מגמת הפסיקה בשנים האחרונות מלמדת על החמרה בענישה לצורך מיגור עבירות אלו, תוך מתן משקל בכורה לשיקולי הרתעה. מגמה זו אחידה ועקבית ביחס לכלל עברייני הנשק, אף כשהם נעדרי עבר פלילי, והאירוע הוא בגדר חריג בנוף חייהם הנורמטיבי. נוכח מימדיה המדאיגים של התופעה שהפכה זה מכבר למכת מדינה נרתמו גם בתי המשפט למאבק למיגורה באמצעות ענישה מרתיעה: </w:t>
      </w:r>
      <w:r>
        <w:rPr>
          <w:rFonts w:hint="cs"/>
          <w:b/>
          <w:bCs/>
          <w:rtl/>
        </w:rPr>
        <w:t xml:space="preserve">"...מכה זו מצריכה מענה הולם בדמות ענישה מחמירה של הטלת עונשי מאסר משמעותיים. מצויים אנו לעת הזאת במצב חירום של ממש בעניין עבירות נשק..." </w:t>
      </w:r>
      <w:r>
        <w:rPr>
          <w:rFonts w:hint="cs"/>
          <w:rtl/>
        </w:rPr>
        <w:t>(</w:t>
      </w:r>
      <w:hyperlink r:id="rId11" w:history="1">
        <w:r w:rsidR="00563BE5" w:rsidRPr="00563BE5">
          <w:rPr>
            <w:color w:val="0000FF"/>
            <w:u w:val="single"/>
            <w:rtl/>
          </w:rPr>
          <w:t>ע"פ 2251/21</w:t>
        </w:r>
      </w:hyperlink>
      <w:r>
        <w:rPr>
          <w:rFonts w:hint="cs"/>
          <w:rtl/>
        </w:rPr>
        <w:t xml:space="preserve"> </w:t>
      </w:r>
      <w:r>
        <w:rPr>
          <w:rFonts w:hint="cs"/>
          <w:b/>
          <w:bCs/>
          <w:rtl/>
        </w:rPr>
        <w:t>אבו עראר נ' מדינת ישראל</w:t>
      </w:r>
      <w:r>
        <w:rPr>
          <w:rFonts w:hint="cs"/>
          <w:rtl/>
        </w:rPr>
        <w:t xml:space="preserve"> (15.12.21);</w:t>
      </w:r>
      <w:r w:rsidRPr="00B3144B">
        <w:rPr>
          <w:rFonts w:eastAsia="Calibri" w:hint="cs"/>
          <w:rtl/>
        </w:rPr>
        <w:t xml:space="preserve"> </w:t>
      </w:r>
      <w:hyperlink r:id="rId12" w:history="1">
        <w:r w:rsidR="00563BE5" w:rsidRPr="00563BE5">
          <w:rPr>
            <w:rFonts w:eastAsia="Calibri"/>
            <w:color w:val="0000FF"/>
            <w:u w:val="single"/>
            <w:rtl/>
          </w:rPr>
          <w:t>ע"פ 587/22</w:t>
        </w:r>
      </w:hyperlink>
      <w:r w:rsidRPr="00B3144B">
        <w:rPr>
          <w:rFonts w:eastAsia="Calibri" w:hint="cs"/>
          <w:rtl/>
        </w:rPr>
        <w:t xml:space="preserve"> </w:t>
      </w:r>
      <w:r w:rsidRPr="00B3144B">
        <w:rPr>
          <w:rFonts w:eastAsia="Calibri" w:hint="cs"/>
          <w:b/>
          <w:bCs/>
          <w:rtl/>
        </w:rPr>
        <w:t>עדאב אבו נאעסה נ' מדינת ישראל</w:t>
      </w:r>
      <w:r w:rsidRPr="00B3144B">
        <w:rPr>
          <w:rFonts w:eastAsia="Calibri" w:hint="cs"/>
          <w:rtl/>
        </w:rPr>
        <w:t xml:space="preserve"> פסקה 13 (22.5.2022);</w:t>
      </w:r>
      <w:r>
        <w:rPr>
          <w:rFonts w:hint="cs"/>
          <w:rtl/>
        </w:rPr>
        <w:t xml:space="preserve"> (</w:t>
      </w:r>
      <w:hyperlink r:id="rId13" w:history="1">
        <w:r w:rsidR="00563BE5" w:rsidRPr="00563BE5">
          <w:rPr>
            <w:rFonts w:ascii="Times New Roman" w:eastAsia="Times New Roman" w:hAnsi="Times New Roman"/>
            <w:color w:val="0000FF"/>
            <w:u w:val="single"/>
            <w:rtl/>
          </w:rPr>
          <w:t>ע"פ 2482/22</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קדורה</w:t>
      </w:r>
      <w:r>
        <w:rPr>
          <w:rFonts w:ascii="Times New Roman" w:eastAsia="Times New Roman" w:hAnsi="Times New Roman" w:hint="cs"/>
          <w:rtl/>
        </w:rPr>
        <w:t>, פסקה 6</w:t>
      </w:r>
      <w:r>
        <w:rPr>
          <w:rFonts w:ascii="Times New Roman" w:eastAsia="Times New Roman" w:hAnsi="Times New Roman" w:hint="cs"/>
          <w:b/>
          <w:bCs/>
          <w:rtl/>
        </w:rPr>
        <w:t xml:space="preserve"> </w:t>
      </w:r>
      <w:r>
        <w:rPr>
          <w:rFonts w:ascii="Times New Roman" w:eastAsia="Times New Roman" w:hAnsi="Times New Roman" w:hint="cs"/>
          <w:rtl/>
        </w:rPr>
        <w:t>(14.4.2022);</w:t>
      </w:r>
      <w:hyperlink r:id="rId14" w:history="1">
        <w:r w:rsidR="00563BE5" w:rsidRPr="00563BE5">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5" w:history="1">
        <w:r w:rsidR="00563BE5" w:rsidRPr="00563BE5">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6" w:history="1">
        <w:r w:rsidR="00563BE5" w:rsidRPr="00563BE5">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7" w:history="1">
        <w:r w:rsidR="00563BE5" w:rsidRPr="00563BE5">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8" w:history="1">
        <w:r w:rsidR="00563BE5" w:rsidRPr="00563BE5">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9" w:history="1">
        <w:r w:rsidR="00563BE5" w:rsidRPr="00563BE5">
          <w:rPr>
            <w:color w:val="0000FF"/>
            <w:u w:val="single"/>
            <w:rtl/>
          </w:rPr>
          <w:t>ע"פ 116/13</w:t>
        </w:r>
      </w:hyperlink>
      <w:r w:rsidR="00563BE5">
        <w:rPr>
          <w:rFonts w:hint="cs"/>
          <w:rtl/>
        </w:rPr>
        <w:t xml:space="preserve"> </w:t>
      </w:r>
      <w:r>
        <w:rPr>
          <w:rFonts w:hint="cs"/>
          <w:b/>
          <w:bCs/>
          <w:rtl/>
        </w:rPr>
        <w:t>וקנין נ' מדינת ישראל</w:t>
      </w:r>
      <w:r>
        <w:rPr>
          <w:rFonts w:hint="cs"/>
          <w:rtl/>
        </w:rPr>
        <w:t>,</w:t>
      </w:r>
      <w:r w:rsidR="00563BE5">
        <w:rPr>
          <w:rFonts w:hint="cs"/>
          <w:rtl/>
        </w:rPr>
        <w:t xml:space="preserve"> </w:t>
      </w:r>
      <w:r>
        <w:rPr>
          <w:rFonts w:hint="cs"/>
          <w:rtl/>
        </w:rPr>
        <w:t xml:space="preserve">פס' 7 (31.7.2013)). </w:t>
      </w:r>
    </w:p>
    <w:p w14:paraId="68F56330" w14:textId="77777777" w:rsidR="00B3144B" w:rsidRPr="00B3144B" w:rsidRDefault="00B3144B" w:rsidP="00B3144B">
      <w:pPr>
        <w:numPr>
          <w:ilvl w:val="0"/>
          <w:numId w:val="1"/>
        </w:numPr>
        <w:spacing w:after="160" w:line="360" w:lineRule="auto"/>
        <w:contextualSpacing/>
        <w:jc w:val="both"/>
        <w:rPr>
          <w:rFonts w:ascii="Calibri"/>
          <w:rtl/>
        </w:rPr>
      </w:pPr>
      <w:r w:rsidRPr="00B3144B">
        <w:rPr>
          <w:rFonts w:ascii="Calibri" w:hint="cs"/>
          <w:rtl/>
        </w:rPr>
        <w:t xml:space="preserve">מגמה זו מצאה את ביטויה גם בחקיקה, במסגרת תיקון 140 לחוק, בו נקבעו עונשי מינימום לעבירות נשק באשר הן, באופן שככלל, העונש שיושת בגין עבירות אלו, לא יפחת מרבע העונש המרבי שנקבע לעבירה. התיקון נכנס לתוקף, לאחר  מועד ביצוע העבירה אך רוחו שורה גם על המקרה שבפנינו.  </w:t>
      </w:r>
    </w:p>
    <w:p w14:paraId="28EB0EF1" w14:textId="77777777" w:rsidR="00B3144B" w:rsidRDefault="00B3144B" w:rsidP="00B3144B">
      <w:pPr>
        <w:spacing w:line="360" w:lineRule="auto"/>
        <w:ind w:left="1134" w:right="1134"/>
        <w:jc w:val="both"/>
        <w:rPr>
          <w:b/>
          <w:bCs/>
        </w:rPr>
      </w:pPr>
    </w:p>
    <w:p w14:paraId="5CA8F99B" w14:textId="77777777" w:rsidR="00B3144B" w:rsidRPr="00B3144B" w:rsidRDefault="00B3144B" w:rsidP="00B3144B">
      <w:pPr>
        <w:pStyle w:val="aa"/>
        <w:numPr>
          <w:ilvl w:val="0"/>
          <w:numId w:val="1"/>
        </w:numPr>
        <w:spacing w:after="160" w:line="360" w:lineRule="auto"/>
        <w:ind w:left="714" w:hanging="357"/>
        <w:jc w:val="both"/>
        <w:textAlignment w:val="baseline"/>
        <w:rPr>
          <w:rFonts w:ascii="Calibri"/>
          <w:rtl/>
        </w:rPr>
      </w:pPr>
      <w:r>
        <w:rPr>
          <w:rFonts w:hint="cs"/>
          <w:rtl/>
        </w:rPr>
        <w:t xml:space="preserve">בענייננו, </w:t>
      </w:r>
      <w:r w:rsidRPr="00B3144B">
        <w:rPr>
          <w:rFonts w:ascii="Calibri" w:hint="cs"/>
          <w:rtl/>
        </w:rPr>
        <w:t xml:space="preserve">נסיבות ביצוע העבירה עמומות, גם הסיבות לביצועה, </w:t>
      </w:r>
      <w:r>
        <w:rPr>
          <w:rFonts w:hint="cs"/>
          <w:rtl/>
        </w:rPr>
        <w:t xml:space="preserve">הנאשם החזיק </w:t>
      </w:r>
      <w:r w:rsidRPr="00B3144B">
        <w:rPr>
          <w:rFonts w:ascii="Calibri" w:hint="cs"/>
          <w:rtl/>
        </w:rPr>
        <w:t xml:space="preserve">רובה סער קלאצ'ניקוב ומחסנית תואמת, </w:t>
      </w:r>
      <w:r w:rsidRPr="00B3144B">
        <w:rPr>
          <w:rFonts w:ascii="Calibri" w:hint="cs"/>
          <w:b/>
          <w:bCs/>
          <w:rtl/>
        </w:rPr>
        <w:t>נשק התקפי</w:t>
      </w:r>
      <w:r w:rsidRPr="00B3144B">
        <w:rPr>
          <w:rFonts w:ascii="Calibri" w:hint="cs"/>
          <w:rtl/>
        </w:rPr>
        <w:t xml:space="preserve"> שפוטנציאל הסיכון הגלום בו הוא גבוה במיוחד, ותועד מחזיק בו בשטח פתוח הסמוך לביתו. </w:t>
      </w:r>
      <w:r>
        <w:rPr>
          <w:rFonts w:ascii="Times New Roman" w:eastAsia="Times New Roman" w:hAnsi="Times New Roman" w:hint="cs"/>
          <w:rtl/>
        </w:rPr>
        <w:t xml:space="preserve">חומרת עבירות ההחזקה טמונה בסיכון הגלום בהן, הנאשם סיכן את שלומו וסביבתו, זמינותו של נשק מעלה את הסיכויים כי ייעשה בו שימוש למטרות פסולות. טענתו בתסקירו, כי מצא את הנשק באקראי אינה מגובה בראיות וממילא אין בה כדי להפחית מחומרת מעשיו. מנגד, הנשק לא היה טעון, הנאשם החזיק בו במקום הסמוך למגוריו כדי להצטלם איתו,  אניח לטובתו כי הנשק לא שייך לו וכי החזיקו לזמן קצר. </w:t>
      </w:r>
    </w:p>
    <w:p w14:paraId="597CA924" w14:textId="77777777" w:rsidR="00B3144B" w:rsidRDefault="00B3144B" w:rsidP="00B3144B">
      <w:pPr>
        <w:pStyle w:val="aa"/>
        <w:rPr>
          <w:rFonts w:ascii="Times New Roman" w:eastAsia="Times New Roman" w:hAnsi="Times New Roman"/>
        </w:rPr>
      </w:pPr>
    </w:p>
    <w:p w14:paraId="1E71B142" w14:textId="77777777" w:rsidR="00B3144B" w:rsidRDefault="00B3144B" w:rsidP="00B3144B">
      <w:pPr>
        <w:pStyle w:val="aa"/>
        <w:numPr>
          <w:ilvl w:val="0"/>
          <w:numId w:val="1"/>
        </w:numPr>
        <w:spacing w:after="120" w:line="360" w:lineRule="auto"/>
        <w:jc w:val="both"/>
        <w:textAlignment w:val="baseline"/>
        <w:rPr>
          <w:rFonts w:ascii="Times New Roman" w:eastAsia="Times New Roman" w:hAnsi="Times New Roman"/>
          <w:rtl/>
        </w:rPr>
      </w:pPr>
      <w:r>
        <w:rPr>
          <w:rFonts w:ascii="Times New Roman" w:eastAsia="Times New Roman" w:hAnsi="Times New Roman" w:hint="cs"/>
          <w:rtl/>
        </w:rPr>
        <w:t xml:space="preserve">בחינת מידת פגיעת מעשי הנאשם בערך המוגן מובילה למסקנה כי הפגיעה היא </w:t>
      </w:r>
      <w:r>
        <w:rPr>
          <w:rFonts w:ascii="Times New Roman" w:eastAsia="Times New Roman" w:hAnsi="Times New Roman" w:hint="cs"/>
          <w:b/>
          <w:bCs/>
          <w:rtl/>
        </w:rPr>
        <w:t>ברף הבינוני-נמוך</w:t>
      </w:r>
      <w:r>
        <w:rPr>
          <w:rFonts w:ascii="Times New Roman" w:eastAsia="Times New Roman" w:hAnsi="Times New Roman" w:hint="cs"/>
          <w:rtl/>
        </w:rPr>
        <w:t xml:space="preserve">. בהקשר זה נתתי דעתי לכך שמדובר בנשק התקפי שאינו טעון, ולכך שאין אינדיקציה לשימוש בנשק או לתכנון עבירה פלילית באמצעותו. </w:t>
      </w:r>
    </w:p>
    <w:p w14:paraId="0AA9E907" w14:textId="77777777" w:rsidR="00B3144B" w:rsidRDefault="00B3144B" w:rsidP="00B3144B">
      <w:pPr>
        <w:pStyle w:val="aa"/>
        <w:rPr>
          <w:rFonts w:ascii="Times New Roman" w:eastAsia="Times New Roman" w:hAnsi="Times New Roman"/>
        </w:rPr>
      </w:pPr>
    </w:p>
    <w:p w14:paraId="335D5FED" w14:textId="77777777" w:rsidR="00B3144B" w:rsidRDefault="00B3144B" w:rsidP="00B3144B">
      <w:pPr>
        <w:spacing w:after="120" w:line="360" w:lineRule="auto"/>
        <w:jc w:val="both"/>
        <w:textAlignment w:val="baseline"/>
        <w:rPr>
          <w:b/>
          <w:bCs/>
          <w:u w:val="single"/>
          <w:rtl/>
        </w:rPr>
      </w:pPr>
      <w:r>
        <w:rPr>
          <w:rFonts w:hint="cs"/>
          <w:b/>
          <w:bCs/>
          <w:u w:val="single"/>
          <w:rtl/>
        </w:rPr>
        <w:t>מדיניות הענישה הנוהגת</w:t>
      </w:r>
    </w:p>
    <w:p w14:paraId="2035CB49" w14:textId="77777777" w:rsidR="00B3144B" w:rsidRDefault="00B3144B" w:rsidP="00B3144B">
      <w:pPr>
        <w:pStyle w:val="aa"/>
        <w:numPr>
          <w:ilvl w:val="0"/>
          <w:numId w:val="1"/>
        </w:numPr>
        <w:spacing w:after="160" w:line="360" w:lineRule="auto"/>
        <w:jc w:val="both"/>
        <w:rPr>
          <w:rtl/>
        </w:rPr>
      </w:pPr>
      <w:r>
        <w:rPr>
          <w:rFonts w:hint="cs"/>
          <w:rtl/>
        </w:rPr>
        <w:t xml:space="preserve">בפסיקה ענפה הושתו על מחזיקי הנשק עונשי מאסר מאחורי סורג ובריח לתקופות לא קצרות. הפסיקה אינה מקלה עם נאשמים צעירים שזו להם הסתבכותם הראשונה עם החוק, אף בעבירות שבוצעו בנסיבות ברף חומרה בינוני-נמוך, וכוללת עונשי מאסר ממש, שאינם ניתנים לריצוי בדרך של עבודות שירות, בבחינת  </w:t>
      </w:r>
      <w:r>
        <w:rPr>
          <w:rFonts w:hint="cs"/>
          <w:b/>
          <w:bCs/>
          <w:rtl/>
        </w:rPr>
        <w:t>"אם מחזיקים- למאסר נשלחים</w:t>
      </w:r>
      <w:r>
        <w:rPr>
          <w:rFonts w:hint="cs"/>
          <w:rtl/>
        </w:rPr>
        <w:t xml:space="preserve">" (כב' השופט עמית, </w:t>
      </w:r>
      <w:hyperlink r:id="rId20" w:history="1">
        <w:r w:rsidR="00563BE5" w:rsidRPr="00563BE5">
          <w:rPr>
            <w:color w:val="0000FF"/>
            <w:u w:val="single"/>
            <w:rtl/>
          </w:rPr>
          <w:t>ע"פ 2482/22</w:t>
        </w:r>
      </w:hyperlink>
      <w:r>
        <w:rPr>
          <w:rFonts w:hint="cs"/>
          <w:rtl/>
        </w:rPr>
        <w:t xml:space="preserve"> </w:t>
      </w:r>
      <w:r>
        <w:rPr>
          <w:rFonts w:hint="cs"/>
          <w:b/>
          <w:bCs/>
          <w:rtl/>
        </w:rPr>
        <w:t>מדינת ישראל נ' קדורה</w:t>
      </w:r>
      <w:r>
        <w:rPr>
          <w:rFonts w:hint="cs"/>
          <w:rtl/>
        </w:rPr>
        <w:t>, פ' 6 (14.04.2022)).</w:t>
      </w:r>
    </w:p>
    <w:p w14:paraId="4AC46E3C" w14:textId="77777777" w:rsidR="00B3144B" w:rsidRDefault="00B3144B" w:rsidP="00B3144B">
      <w:pPr>
        <w:pStyle w:val="aa"/>
        <w:spacing w:after="160" w:line="360" w:lineRule="auto"/>
        <w:jc w:val="both"/>
        <w:rPr>
          <w:b/>
          <w:bCs/>
          <w:rtl/>
        </w:rPr>
      </w:pPr>
    </w:p>
    <w:p w14:paraId="6CC5CEE8" w14:textId="77777777" w:rsidR="00B3144B" w:rsidRDefault="00B3144B" w:rsidP="00B3144B">
      <w:pPr>
        <w:pStyle w:val="aa"/>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1" w:history="1">
        <w:r w:rsidR="00563BE5" w:rsidRPr="00563BE5">
          <w:rPr>
            <w:rFonts w:ascii="Times New Roman" w:eastAsia="Times New Roman" w:hAnsi="Times New Roman"/>
            <w:color w:val="0000FF"/>
            <w:u w:val="single"/>
            <w:rtl/>
          </w:rPr>
          <w:t>ע"פ 8320/21</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בסילה</w:t>
      </w:r>
      <w:r>
        <w:rPr>
          <w:rFonts w:ascii="Times New Roman" w:eastAsia="Times New Roman" w:hAnsi="Times New Roman" w:hint="cs"/>
          <w:rtl/>
        </w:rPr>
        <w:t xml:space="preserve"> (28.12.2021) הורשע נאשם בהחזקת רובה סער דמוי </w:t>
      </w:r>
      <w:r>
        <w:rPr>
          <w:rFonts w:ascii="Times New Roman" w:eastAsia="Times New Roman" w:hAnsi="Times New Roman"/>
        </w:rPr>
        <w:t>M-16</w:t>
      </w:r>
      <w:r>
        <w:rPr>
          <w:rFonts w:ascii="Times New Roman" w:eastAsia="Times New Roman" w:hAnsi="Times New Roman" w:hint="cs"/>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7B9F95AF" w14:textId="77777777" w:rsidR="00B3144B" w:rsidRDefault="00B3144B" w:rsidP="00B3144B">
      <w:pPr>
        <w:pStyle w:val="aa"/>
        <w:spacing w:after="120" w:line="360" w:lineRule="auto"/>
        <w:jc w:val="both"/>
        <w:rPr>
          <w:rFonts w:ascii="Times New Roman" w:eastAsia="Times New Roman" w:hAnsi="Times New Roman"/>
          <w:rtl/>
        </w:rPr>
      </w:pPr>
    </w:p>
    <w:p w14:paraId="343E6112" w14:textId="77777777" w:rsidR="00B3144B" w:rsidRDefault="00B3144B" w:rsidP="00B3144B">
      <w:pPr>
        <w:pStyle w:val="aa"/>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2" w:history="1">
        <w:r w:rsidR="00563BE5" w:rsidRPr="00563BE5">
          <w:rPr>
            <w:rFonts w:ascii="Times New Roman" w:eastAsia="Times New Roman" w:hAnsi="Times New Roman"/>
            <w:color w:val="0000FF"/>
            <w:u w:val="single"/>
            <w:rtl/>
          </w:rPr>
          <w:t>ע"פ 166/22</w:t>
        </w:r>
      </w:hyperlink>
      <w:r>
        <w:rPr>
          <w:rFonts w:ascii="Times New Roman" w:eastAsia="Times New Roman" w:hAnsi="Times New Roman" w:hint="cs"/>
          <w:rtl/>
        </w:rPr>
        <w:t xml:space="preserve"> </w:t>
      </w:r>
      <w:r>
        <w:rPr>
          <w:rFonts w:ascii="Times New Roman" w:eastAsia="Times New Roman" w:hAnsi="Times New Roman" w:hint="cs"/>
          <w:b/>
          <w:bCs/>
          <w:rtl/>
        </w:rPr>
        <w:t xml:space="preserve">טאהא נ' מדינת ישראל </w:t>
      </w:r>
      <w:r>
        <w:rPr>
          <w:rFonts w:ascii="Times New Roman" w:eastAsia="Times New Roman" w:hAnsi="Times New Roman" w:hint="cs"/>
          <w:rtl/>
        </w:rPr>
        <w:t xml:space="preserve">(1.6.2022) הורשע נאשם בהחזקת תת מקלע מאולתר ברכבו, הנאשם החזיקו לבקשת אחר, הנשק נמצא בחיפוש ערך שוטר ברכב. נקבע מתחם הנע בין 40-20 חודשי מאסר. הנאשם, צעיר ללא עבר, נדון למאסר בן 22 חודשים. ערעורו נדחה; </w:t>
      </w:r>
    </w:p>
    <w:p w14:paraId="581ECB2D" w14:textId="77777777" w:rsidR="00B3144B" w:rsidRDefault="00B3144B" w:rsidP="00B3144B">
      <w:pPr>
        <w:pStyle w:val="aa"/>
        <w:spacing w:after="120" w:line="360" w:lineRule="auto"/>
        <w:jc w:val="both"/>
        <w:rPr>
          <w:rFonts w:ascii="Times New Roman" w:eastAsia="Times New Roman" w:hAnsi="Times New Roman"/>
          <w:rtl/>
        </w:rPr>
      </w:pPr>
    </w:p>
    <w:p w14:paraId="30655CCF" w14:textId="77777777" w:rsidR="00B3144B" w:rsidRDefault="00B3144B" w:rsidP="00B3144B">
      <w:pPr>
        <w:pStyle w:val="aa"/>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3" w:history="1">
        <w:r w:rsidR="00563BE5" w:rsidRPr="00563BE5">
          <w:rPr>
            <w:rFonts w:ascii="Times New Roman" w:eastAsia="Times New Roman" w:hAnsi="Times New Roman"/>
            <w:color w:val="0000FF"/>
            <w:u w:val="single"/>
            <w:rtl/>
          </w:rPr>
          <w:t>ע"פ 1826/19</w:t>
        </w:r>
      </w:hyperlink>
      <w:r>
        <w:rPr>
          <w:rFonts w:ascii="Times New Roman" w:eastAsia="Times New Roman" w:hAnsi="Times New Roman" w:hint="cs"/>
          <w:rtl/>
        </w:rPr>
        <w:t xml:space="preserve"> </w:t>
      </w:r>
      <w:r>
        <w:rPr>
          <w:rFonts w:ascii="Times New Roman" w:eastAsia="Times New Roman" w:hAnsi="Times New Roman" w:hint="cs"/>
          <w:b/>
          <w:bCs/>
          <w:rtl/>
        </w:rPr>
        <w:t>אבו עסא נ' מדינת ישראל</w:t>
      </w:r>
      <w:r>
        <w:rPr>
          <w:rFonts w:ascii="Times New Roman" w:eastAsia="Times New Roman" w:hAnsi="Times New Roman" w:hint="cs"/>
          <w:rtl/>
        </w:rPr>
        <w:t xml:space="preserve">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3BA63469" w14:textId="77777777" w:rsidR="00B3144B" w:rsidRDefault="00B3144B" w:rsidP="00B3144B">
      <w:pPr>
        <w:pStyle w:val="aa"/>
        <w:spacing w:after="120" w:line="360" w:lineRule="auto"/>
        <w:jc w:val="both"/>
        <w:rPr>
          <w:rFonts w:ascii="Times New Roman" w:eastAsia="Times New Roman" w:hAnsi="Times New Roman"/>
        </w:rPr>
      </w:pPr>
    </w:p>
    <w:p w14:paraId="7235775C" w14:textId="77777777" w:rsidR="00B3144B" w:rsidRDefault="00B3144B" w:rsidP="00B3144B">
      <w:pPr>
        <w:pStyle w:val="aa"/>
        <w:spacing w:after="120" w:line="360" w:lineRule="auto"/>
        <w:jc w:val="both"/>
        <w:rPr>
          <w:rFonts w:ascii="Times New Roman" w:eastAsia="Times New Roman" w:hAnsi="Times New Roman"/>
          <w:rtl/>
        </w:rPr>
      </w:pPr>
      <w:r>
        <w:rPr>
          <w:rFonts w:ascii="Times New Roman" w:eastAsia="Times New Roman" w:hAnsi="Times New Roman" w:hint="cs"/>
          <w:rtl/>
        </w:rPr>
        <w:t xml:space="preserve">בע"פ 3850/20 </w:t>
      </w:r>
      <w:r>
        <w:rPr>
          <w:rFonts w:ascii="Times New Roman" w:eastAsia="Times New Roman" w:hAnsi="Times New Roman" w:hint="cs"/>
          <w:b/>
          <w:bCs/>
          <w:rtl/>
        </w:rPr>
        <w:t>אל מוגרבי נ' מדינת ישראל</w:t>
      </w:r>
      <w:r>
        <w:rPr>
          <w:rFonts w:ascii="Times New Roman" w:eastAsia="Times New Roman" w:hAnsi="Times New Roman" w:hint="cs"/>
          <w:rtl/>
        </w:rPr>
        <w:t xml:space="preserve"> (מיום 29.11.2020) הורשע הנאשם בהחזקת רובה סער במתחם ביתו. בית המשפט המחוזי (כב' השופט קובו) קבע מתחם ענישה שנע בין 12-36 חודשי מאסר וגזר עליו 15 חודשי מאסר בפועל. ערעורו נדחה ואף נקבע, כי הענישה שהושתה עליו הינה על הצד המקל;</w:t>
      </w:r>
    </w:p>
    <w:p w14:paraId="0830EEC0" w14:textId="77777777" w:rsidR="00B3144B" w:rsidRDefault="00B3144B" w:rsidP="00B3144B">
      <w:pPr>
        <w:pStyle w:val="aa"/>
        <w:spacing w:after="120" w:line="360" w:lineRule="auto"/>
        <w:jc w:val="both"/>
        <w:rPr>
          <w:rFonts w:ascii="Times New Roman" w:eastAsia="Times New Roman" w:hAnsi="Times New Roman"/>
        </w:rPr>
      </w:pPr>
    </w:p>
    <w:p w14:paraId="5843E5A2" w14:textId="77777777" w:rsidR="00B3144B" w:rsidRDefault="00B3144B" w:rsidP="00B3144B">
      <w:pPr>
        <w:spacing w:after="120" w:line="360" w:lineRule="auto"/>
        <w:ind w:left="720"/>
        <w:contextualSpacing/>
        <w:jc w:val="both"/>
        <w:rPr>
          <w:rtl/>
        </w:rPr>
      </w:pPr>
      <w:r>
        <w:rPr>
          <w:rFonts w:hint="cs"/>
          <w:rtl/>
        </w:rPr>
        <w:t>ב</w:t>
      </w:r>
      <w:hyperlink r:id="rId24" w:history="1">
        <w:r w:rsidR="00563BE5" w:rsidRPr="00563BE5">
          <w:rPr>
            <w:color w:val="0000FF"/>
            <w:u w:val="single"/>
            <w:rtl/>
          </w:rPr>
          <w:t>ת"פ (מח' מרכז) 42197-05-22</w:t>
        </w:r>
      </w:hyperlink>
      <w:r>
        <w:rPr>
          <w:rFonts w:hint="cs"/>
          <w:rtl/>
        </w:rPr>
        <w:t xml:space="preserve"> </w:t>
      </w:r>
      <w:r>
        <w:rPr>
          <w:rFonts w:hint="cs"/>
          <w:b/>
          <w:bCs/>
          <w:rtl/>
        </w:rPr>
        <w:t xml:space="preserve">מדינת ישראל נ' אטון </w:t>
      </w:r>
      <w:r>
        <w:rPr>
          <w:rFonts w:hint="cs"/>
          <w:rtl/>
        </w:rPr>
        <w:t xml:space="preserve">(גזר דיני מיום 15.9.2022) הורשע נאשם בעבירת החזקת נשק שנסיבותיה קלות יותר מעניינו, שם דובר בהחזקת אקדח טעון, מוסלק מתחת למכולה בשטח המשק בו התגורר. קבעתי מתחם ענישה הנע בין 30-14 חודשי מאסר. בהתחשב בעברו הפלילי הישן, חלוף הזמן ומנגד הודאתו המהירה וייעול ההליך המשפטי, גזרתי דינו למאסר בן 15 חודשים. לא הוגש ערעור; </w:t>
      </w:r>
    </w:p>
    <w:p w14:paraId="3FCD664C" w14:textId="77777777" w:rsidR="00B3144B" w:rsidRDefault="00B3144B" w:rsidP="00B3144B">
      <w:pPr>
        <w:spacing w:after="120" w:line="360" w:lineRule="auto"/>
        <w:ind w:left="720"/>
        <w:contextualSpacing/>
        <w:jc w:val="both"/>
        <w:rPr>
          <w:rtl/>
        </w:rPr>
      </w:pPr>
    </w:p>
    <w:p w14:paraId="45DA4168" w14:textId="77777777" w:rsidR="00B3144B" w:rsidRDefault="00B3144B" w:rsidP="00B3144B">
      <w:pPr>
        <w:numPr>
          <w:ilvl w:val="0"/>
          <w:numId w:val="1"/>
        </w:numPr>
        <w:spacing w:after="120" w:line="360" w:lineRule="auto"/>
        <w:contextualSpacing/>
        <w:jc w:val="both"/>
        <w:rPr>
          <w:rtl/>
        </w:rPr>
      </w:pPr>
      <w:r>
        <w:rPr>
          <w:rFonts w:hint="cs"/>
          <w:rtl/>
        </w:rPr>
        <w:t>ב</w:t>
      </w:r>
      <w:hyperlink r:id="rId25" w:history="1">
        <w:r w:rsidR="00563BE5" w:rsidRPr="00563BE5">
          <w:rPr>
            <w:color w:val="0000FF"/>
            <w:u w:val="single"/>
            <w:rtl/>
          </w:rPr>
          <w:t>ת"פ (מח' מרכז) 42106-01-22</w:t>
        </w:r>
      </w:hyperlink>
      <w:r>
        <w:rPr>
          <w:rFonts w:hint="cs"/>
          <w:rtl/>
        </w:rPr>
        <w:t xml:space="preserve"> </w:t>
      </w:r>
      <w:r>
        <w:rPr>
          <w:rFonts w:hint="cs"/>
          <w:b/>
          <w:bCs/>
          <w:rtl/>
        </w:rPr>
        <w:t xml:space="preserve">מדינת ישראל נ' וחידי </w:t>
      </w:r>
      <w:r>
        <w:rPr>
          <w:rFonts w:hint="cs"/>
          <w:rtl/>
        </w:rPr>
        <w:t xml:space="preserve">(גזר דיני מיום 13.2.2023) הורשע נאשם בעבירת החזקת רובה ארוך עם קת מסוג </w:t>
      </w:r>
      <w:r>
        <w:t>MP5</w:t>
      </w:r>
      <w:r>
        <w:rPr>
          <w:rFonts w:hint="cs"/>
          <w:rtl/>
        </w:rPr>
        <w:t xml:space="preserve"> ומחסנית תואמת, אותו החזיק מוסלק ברצפת מכולה הסמוכה לביתו. קבעתי מתחם ענישה הנע בין 30-15 חודשי מאסר. בהתחשב בגילו הצעיר (21), היעדר עבר פלילי ותסקירו החיובי, גזרתי דינו למאסר בן 15 חודשים. לא הוגש ערעור;  </w:t>
      </w:r>
    </w:p>
    <w:p w14:paraId="610C1DC7" w14:textId="77777777" w:rsidR="00B3144B" w:rsidRDefault="00B3144B" w:rsidP="00B3144B">
      <w:pPr>
        <w:spacing w:after="120" w:line="360" w:lineRule="auto"/>
        <w:ind w:left="720"/>
        <w:contextualSpacing/>
        <w:jc w:val="both"/>
      </w:pPr>
    </w:p>
    <w:p w14:paraId="28DF43D2" w14:textId="77777777" w:rsidR="00B3144B" w:rsidRDefault="00B3144B" w:rsidP="00B3144B">
      <w:pPr>
        <w:pStyle w:val="aa"/>
        <w:spacing w:after="160" w:line="360" w:lineRule="auto"/>
        <w:jc w:val="both"/>
        <w:rPr>
          <w:rFonts w:ascii="Times New Roman" w:eastAsia="Times New Roman" w:hAnsi="Times New Roman"/>
          <w:rtl/>
        </w:rPr>
      </w:pPr>
      <w:r>
        <w:rPr>
          <w:rFonts w:hint="cs"/>
          <w:rtl/>
        </w:rPr>
        <w:t xml:space="preserve">עוד מייחסת הפסיקה משנה חומרה לעבירות המבוצעות בנשק התקפי מסוג רובה סער, </w:t>
      </w:r>
      <w:r>
        <w:rPr>
          <w:rFonts w:ascii="Times New Roman" w:hAnsi="Times New Roman" w:hint="cs"/>
          <w:rtl/>
        </w:rPr>
        <w:t>"</w:t>
      </w:r>
      <w:r>
        <w:rPr>
          <w:rFonts w:ascii="Times New Roman" w:hAnsi="Times New Roman" w:hint="cs"/>
          <w:b/>
          <w:bCs/>
          <w:rtl/>
        </w:rPr>
        <w:t>נשק ארוך, אוטומטי ובעל פוטנציאל קטלני גבוה" (</w:t>
      </w:r>
      <w:hyperlink r:id="rId26" w:history="1">
        <w:r w:rsidR="00563BE5" w:rsidRPr="00563BE5">
          <w:rPr>
            <w:rFonts w:ascii="Times New Roman" w:hAnsi="Times New Roman"/>
            <w:color w:val="0000FF"/>
            <w:u w:val="single"/>
            <w:rtl/>
          </w:rPr>
          <w:t>ע"פ 1695/22</w:t>
        </w:r>
      </w:hyperlink>
      <w:r>
        <w:rPr>
          <w:rFonts w:ascii="Times New Roman" w:hAnsi="Times New Roman" w:hint="cs"/>
          <w:b/>
          <w:bCs/>
          <w:rtl/>
        </w:rPr>
        <w:t xml:space="preserve"> מדינת ישראל נ' מוחמד גנאים ואח' </w:t>
      </w:r>
      <w:r>
        <w:rPr>
          <w:rFonts w:ascii="Times New Roman" w:hAnsi="Times New Roman" w:hint="cs"/>
          <w:rtl/>
        </w:rPr>
        <w:t xml:space="preserve">(29.3.2022); </w:t>
      </w:r>
      <w:hyperlink r:id="rId27" w:history="1">
        <w:r w:rsidR="00563BE5" w:rsidRPr="00563BE5">
          <w:rPr>
            <w:color w:val="0000FF"/>
            <w:u w:val="single"/>
            <w:rtl/>
          </w:rPr>
          <w:t>ע"פ 1397/16</w:t>
        </w:r>
      </w:hyperlink>
      <w:r>
        <w:rPr>
          <w:rtl/>
        </w:rPr>
        <w:t xml:space="preserve"> </w:t>
      </w:r>
      <w:r>
        <w:rPr>
          <w:rFonts w:hint="cs"/>
          <w:b/>
          <w:bCs/>
          <w:rtl/>
        </w:rPr>
        <w:t>מדינת ישראל נ' חמאיל</w:t>
      </w:r>
      <w:r>
        <w:rPr>
          <w:rFonts w:hint="cs"/>
          <w:rtl/>
        </w:rPr>
        <w:t xml:space="preserve"> (6.9.2016); ענין נחאש). </w:t>
      </w:r>
    </w:p>
    <w:p w14:paraId="183991AE" w14:textId="77777777" w:rsidR="00B3144B" w:rsidRDefault="00B3144B" w:rsidP="00B3144B">
      <w:pPr>
        <w:pStyle w:val="aa"/>
        <w:spacing w:after="160" w:line="360" w:lineRule="auto"/>
        <w:jc w:val="both"/>
        <w:rPr>
          <w:b/>
          <w:bCs/>
          <w:rtl/>
        </w:rPr>
      </w:pPr>
    </w:p>
    <w:p w14:paraId="73967123" w14:textId="77777777" w:rsidR="00B3144B" w:rsidRDefault="00B3144B" w:rsidP="00B3144B">
      <w:pPr>
        <w:pStyle w:val="aa"/>
        <w:numPr>
          <w:ilvl w:val="0"/>
          <w:numId w:val="1"/>
        </w:numPr>
        <w:spacing w:after="160" w:line="360" w:lineRule="auto"/>
        <w:jc w:val="both"/>
        <w:rPr>
          <w:rtl/>
        </w:rPr>
      </w:pPr>
      <w:r>
        <w:rPr>
          <w:rFonts w:hint="cs"/>
          <w:rtl/>
        </w:rPr>
        <w:t xml:space="preserve">לאחר שבחנתי את נסיבות ביצוע העבירה, מדיניות הענישה הנוהגת ומידת הפגיעה בערכים המוגנים, אני קובעת מתחם ענישה שנע </w:t>
      </w:r>
      <w:r>
        <w:rPr>
          <w:rFonts w:hint="cs"/>
          <w:b/>
          <w:bCs/>
          <w:rtl/>
        </w:rPr>
        <w:t>בין 30-15 חודשי מאסר</w:t>
      </w:r>
      <w:r>
        <w:rPr>
          <w:rFonts w:hint="cs"/>
          <w:rtl/>
        </w:rPr>
        <w:t xml:space="preserve"> </w:t>
      </w:r>
      <w:r>
        <w:rPr>
          <w:rFonts w:hint="cs"/>
          <w:b/>
          <w:bCs/>
          <w:rtl/>
        </w:rPr>
        <w:t>בפועל</w:t>
      </w:r>
      <w:r>
        <w:rPr>
          <w:rFonts w:hint="cs"/>
          <w:rtl/>
        </w:rPr>
        <w:t xml:space="preserve">. </w:t>
      </w:r>
    </w:p>
    <w:p w14:paraId="6D7F3D01" w14:textId="77777777" w:rsidR="00B3144B" w:rsidRDefault="00B3144B" w:rsidP="00B3144B">
      <w:pPr>
        <w:pStyle w:val="aa"/>
        <w:spacing w:after="160" w:line="360" w:lineRule="auto"/>
        <w:jc w:val="both"/>
      </w:pPr>
    </w:p>
    <w:p w14:paraId="455441C7" w14:textId="77777777" w:rsidR="00B3144B" w:rsidRDefault="00B3144B" w:rsidP="00B3144B">
      <w:pPr>
        <w:spacing w:line="360" w:lineRule="auto"/>
        <w:jc w:val="both"/>
        <w:rPr>
          <w:b/>
          <w:bCs/>
          <w:u w:val="single"/>
          <w:rtl/>
        </w:rPr>
      </w:pPr>
      <w:r>
        <w:rPr>
          <w:rFonts w:hint="cs"/>
          <w:b/>
          <w:bCs/>
          <w:u w:val="single"/>
          <w:rtl/>
        </w:rPr>
        <w:t>גזירת העונש המתאים לנאשם</w:t>
      </w:r>
    </w:p>
    <w:p w14:paraId="4C6C5738" w14:textId="77777777" w:rsidR="00B3144B" w:rsidRDefault="00B3144B" w:rsidP="00B3144B">
      <w:pPr>
        <w:pStyle w:val="aa"/>
        <w:numPr>
          <w:ilvl w:val="0"/>
          <w:numId w:val="1"/>
        </w:numPr>
        <w:spacing w:line="360" w:lineRule="auto"/>
        <w:jc w:val="both"/>
      </w:pPr>
      <w:r>
        <w:rPr>
          <w:rFonts w:hint="cs"/>
          <w:rtl/>
        </w:rPr>
        <w:t xml:space="preserve">ההגנה מבקשת לאמץ את המלצת שירות המבחן ולהסתפק בענישת מאסר בדרך של עבודות שירות. הנאשם, בן טובים, חרף גילו הצעיר (21) שומר על רצף תעסוקתי יציב, וצפוי להינשא בקרוב. הנאשם נעדר עבר פלילי, היה עצור לראשונה בחייו במשך כחודש ימים, שהייתו קשתה עליו והותירה בו טראומה. תסקירו חיובי אך אינו כולל שילוב בהליכים טיפוליים, ההמלצה להסתפק בענישת עבודות שירות אינה נובעת מטעמים שיקומיים אלא מבוססת על נתוניו הטובים. הנאשם לא שולב בטיפול כלשהו בשירות המבחן ונראה כי לא ממש זקוק לו, ניכר כי נעדר דפוסים עברייניים, כשהעבירה בוצעה על רקע פזיזות וחוסר שיקול דעת. נתוניו הטובים והרקע לביצוע מעשיו אינם שונים מנתוניהם של נאשמים רבים אחרים שנדונו בתקופה האחרונה בגין עבירות נשק. רובם של עברייני הנשק בשנים האחרונות מחזיקים במידות טובות, בנים למשפחות נורמטיביות, המבצעים את העבירות על רקע נגישות וזמינות רבה של כלי נשק במגזר, ולצורך שיפור תדמיתם וחיזוק ביטחונם העצמי. </w:t>
      </w:r>
    </w:p>
    <w:p w14:paraId="735AD6B5" w14:textId="77777777" w:rsidR="00B3144B" w:rsidRDefault="00B3144B" w:rsidP="00B3144B">
      <w:pPr>
        <w:pStyle w:val="aa"/>
        <w:spacing w:line="360" w:lineRule="auto"/>
        <w:jc w:val="both"/>
      </w:pPr>
    </w:p>
    <w:p w14:paraId="7EEBD603" w14:textId="77777777" w:rsidR="00B3144B" w:rsidRDefault="00B3144B" w:rsidP="00B3144B">
      <w:pPr>
        <w:pStyle w:val="aa"/>
        <w:numPr>
          <w:ilvl w:val="0"/>
          <w:numId w:val="1"/>
        </w:numPr>
        <w:spacing w:after="160" w:line="360" w:lineRule="auto"/>
        <w:jc w:val="both"/>
        <w:rPr>
          <w:rtl/>
        </w:rPr>
      </w:pPr>
      <w:r>
        <w:rPr>
          <w:rFonts w:hint="cs"/>
          <w:rtl/>
        </w:rPr>
        <w:t xml:space="preserve">ב"כ הנאשם הפנה בטיעוניו לפסיקה מקלה, חלקה מהתקופה האחרונה שבה ביכר בית המשפט העליון את שיקולי שיקום עבריין הנשק על פני שליחתו למאסר. אלא שברובם ככולם, בניגוד למקרה שבפנינו, </w:t>
      </w:r>
      <w:r>
        <w:rPr>
          <w:rFonts w:hint="cs"/>
          <w:b/>
          <w:bCs/>
          <w:rtl/>
        </w:rPr>
        <w:t>מדובר במקרים חריגים ומיוחדים</w:t>
      </w:r>
      <w:r>
        <w:rPr>
          <w:rFonts w:hint="cs"/>
          <w:rtl/>
        </w:rPr>
        <w:t>. כך ב</w:t>
      </w:r>
      <w:hyperlink r:id="rId28" w:history="1">
        <w:r w:rsidR="00563BE5" w:rsidRPr="00563BE5">
          <w:rPr>
            <w:color w:val="0000FF"/>
            <w:u w:val="single"/>
            <w:rtl/>
          </w:rPr>
          <w:t>ע"פ 6332/22</w:t>
        </w:r>
      </w:hyperlink>
      <w:r>
        <w:rPr>
          <w:rFonts w:hint="cs"/>
          <w:rtl/>
        </w:rPr>
        <w:t xml:space="preserve"> </w:t>
      </w:r>
      <w:r>
        <w:rPr>
          <w:rFonts w:hint="cs"/>
          <w:b/>
          <w:bCs/>
          <w:rtl/>
        </w:rPr>
        <w:t xml:space="preserve">פדידה נ' מדינת ישראל </w:t>
      </w:r>
      <w:r>
        <w:rPr>
          <w:rFonts w:hint="cs"/>
          <w:rtl/>
        </w:rPr>
        <w:t>(16.2.23), נקבע על בסיס נסיבותיו האישיות הייחודיות של המערער וקשיים הראייתיים שהובילו לתיקון כתב האישום, כי מדובר במקרה "מאוד מיוחד" המצדיק הקלה בעונש, והעמידו על תשעה חודשי עבודות שירות; ב</w:t>
      </w:r>
      <w:hyperlink r:id="rId29" w:history="1">
        <w:r w:rsidR="00563BE5" w:rsidRPr="00563BE5">
          <w:rPr>
            <w:color w:val="0000FF"/>
            <w:u w:val="single"/>
            <w:rtl/>
          </w:rPr>
          <w:t>ע"פ 5807/20</w:t>
        </w:r>
      </w:hyperlink>
      <w:r>
        <w:rPr>
          <w:rFonts w:hint="cs"/>
          <w:rtl/>
        </w:rPr>
        <w:t xml:space="preserve"> </w:t>
      </w:r>
      <w:r>
        <w:rPr>
          <w:rFonts w:hint="cs"/>
          <w:b/>
          <w:bCs/>
          <w:rtl/>
        </w:rPr>
        <w:t>שיבלי נ' מדינת ישראל</w:t>
      </w:r>
      <w:r>
        <w:rPr>
          <w:rFonts w:hint="cs"/>
          <w:rtl/>
        </w:rPr>
        <w:t xml:space="preserve"> (מיום 30.12.2020) התקבל ערעורו של נאשם בעבירה של נשיאת נשק והובלתו שנגזרו עליו 12 חודשי מאסר. בית המשפט העליון מצא את נסיבותיו האישיות (עבר נקי, פוסט טראומה עקב פציעה במהלך שירותו הצבאי והמלצת שירות המבחן) ככזה המלמד על מקרה חריג שבחריגים המצדיק לאמץ את המלצת שירות המבחן ועונשו הופחת לתשעה חודשי עבודות שירות;  ב</w:t>
      </w:r>
      <w:hyperlink r:id="rId30" w:history="1">
        <w:r w:rsidR="00563BE5" w:rsidRPr="00563BE5">
          <w:rPr>
            <w:color w:val="0000FF"/>
            <w:u w:val="single"/>
            <w:rtl/>
          </w:rPr>
          <w:t>ע"פ 2826/19</w:t>
        </w:r>
      </w:hyperlink>
      <w:r>
        <w:rPr>
          <w:rFonts w:hint="cs"/>
          <w:rtl/>
        </w:rPr>
        <w:t xml:space="preserve"> </w:t>
      </w:r>
      <w:r>
        <w:rPr>
          <w:rFonts w:hint="cs"/>
          <w:b/>
          <w:bCs/>
          <w:rtl/>
        </w:rPr>
        <w:t>מרעאנה נ' מדינת ישראל</w:t>
      </w:r>
      <w:r>
        <w:rPr>
          <w:rFonts w:hint="cs"/>
          <w:rtl/>
        </w:rPr>
        <w:t xml:space="preserve"> (מיום 1.9.2019) הלך שוב בית המשפט העליון כברת דרך לקראת נאשם שהורשע בהחזקת אקדח ומחסנית ריקה בביתו ונדון לעשרה חודשי מאסר, הקל בעונשו והסתפק בתשעה חודשי עבודות שירות. גם בעניינו של נאשם זה נקבעו נסיבות מיוחדות, כשמעבר לנתוניו החיוביים והמלצת שירות המבחן, ניתן משקל למחיר אישי כבד ששילם בגין שיתוף פעולה עם רשויות החוק. </w:t>
      </w:r>
    </w:p>
    <w:p w14:paraId="387E1F76" w14:textId="77777777" w:rsidR="00B3144B" w:rsidRDefault="00B3144B" w:rsidP="00B3144B">
      <w:pPr>
        <w:pStyle w:val="aa"/>
        <w:spacing w:after="160" w:line="360" w:lineRule="auto"/>
        <w:jc w:val="both"/>
      </w:pPr>
    </w:p>
    <w:p w14:paraId="5989BAC5" w14:textId="77777777" w:rsidR="00B3144B" w:rsidRDefault="00B3144B" w:rsidP="00B3144B">
      <w:pPr>
        <w:pStyle w:val="aa"/>
        <w:numPr>
          <w:ilvl w:val="0"/>
          <w:numId w:val="1"/>
        </w:numPr>
        <w:spacing w:after="160" w:line="360" w:lineRule="auto"/>
        <w:jc w:val="both"/>
        <w:rPr>
          <w:b/>
          <w:bCs/>
          <w:rtl/>
        </w:rPr>
      </w:pPr>
      <w:r>
        <w:rPr>
          <w:rFonts w:hint="cs"/>
          <w:rtl/>
        </w:rPr>
        <w:t xml:space="preserve">לאחר שבחנתי את כלל השיקולים, מצאתי שיש בכוחם של נתוני הנאשם ופגיעת המאסר בו ובמשפחתו כדי לבסס את מיקום עונשו בתחתית מתחם הענישה אך לא כדי להביא לחריגה ממנו והסתפקות בענישה שאינה מאסר ממש.  צורך השעה הוא להחמיר בענישה בגין עבירות נשק, תוך מתן משקל בכורה לשיקולי הרתעה, אף אם הנאשמים נעדרי עבר פלילי, והאירוע הוא בגדר חריג בנוף חייהם הנורמטיבי </w:t>
      </w:r>
      <w:r w:rsidRPr="00B3144B">
        <w:rPr>
          <w:rFonts w:ascii="Calibri" w:eastAsia="Calibri" w:hAnsi="Calibri" w:hint="cs"/>
          <w:rtl/>
        </w:rPr>
        <w:t>"</w:t>
      </w:r>
      <w:r w:rsidRPr="00B3144B">
        <w:rPr>
          <w:rFonts w:ascii="Calibri" w:eastAsia="Calibri" w:hAnsi="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B3144B">
        <w:rPr>
          <w:rFonts w:ascii="Calibri" w:eastAsia="Calibri" w:hAnsi="Calibri" w:hint="cs"/>
          <w:rtl/>
        </w:rPr>
        <w:t>" (</w:t>
      </w:r>
      <w:hyperlink r:id="rId31" w:history="1">
        <w:r w:rsidR="00563BE5" w:rsidRPr="00563BE5">
          <w:rPr>
            <w:rFonts w:ascii="Calibri" w:eastAsia="Calibri" w:hAnsi="Calibri" w:hint="cs"/>
            <w:color w:val="0000FF"/>
            <w:u w:val="single"/>
            <w:rtl/>
          </w:rPr>
          <w:t>ע</w:t>
        </w:r>
        <w:r w:rsidR="00563BE5" w:rsidRPr="00563BE5">
          <w:rPr>
            <w:rFonts w:ascii="Calibri" w:eastAsia="Calibri" w:hAnsi="Calibri"/>
            <w:color w:val="0000FF"/>
            <w:u w:val="single"/>
            <w:rtl/>
          </w:rPr>
          <w:t>"</w:t>
        </w:r>
        <w:r w:rsidR="00563BE5" w:rsidRPr="00563BE5">
          <w:rPr>
            <w:rFonts w:ascii="Calibri" w:eastAsia="Calibri" w:hAnsi="Calibri" w:hint="cs"/>
            <w:color w:val="0000FF"/>
            <w:u w:val="single"/>
            <w:rtl/>
          </w:rPr>
          <w:t>פ</w:t>
        </w:r>
        <w:r w:rsidR="00563BE5" w:rsidRPr="00563BE5">
          <w:rPr>
            <w:rFonts w:ascii="Calibri" w:eastAsia="Calibri" w:hAnsi="Calibri"/>
            <w:color w:val="0000FF"/>
            <w:u w:val="single"/>
            <w:rtl/>
          </w:rPr>
          <w:t xml:space="preserve"> 587/22</w:t>
        </w:r>
      </w:hyperlink>
      <w:r w:rsidRPr="00B3144B">
        <w:rPr>
          <w:rFonts w:ascii="Calibri" w:eastAsia="Calibri" w:hAnsi="Calibri" w:hint="cs"/>
          <w:rtl/>
        </w:rPr>
        <w:t xml:space="preserve"> </w:t>
      </w:r>
      <w:r w:rsidRPr="00B3144B">
        <w:rPr>
          <w:rFonts w:ascii="Calibri" w:eastAsia="Calibri" w:hAnsi="Calibri" w:hint="cs"/>
          <w:b/>
          <w:bCs/>
          <w:rtl/>
        </w:rPr>
        <w:t>עדאב אבו נאעסה נ' מדינת ישראל</w:t>
      </w:r>
      <w:r w:rsidRPr="00B3144B">
        <w:rPr>
          <w:rFonts w:ascii="Calibri" w:eastAsia="Calibri" w:hAnsi="Calibri" w:hint="cs"/>
          <w:rtl/>
        </w:rPr>
        <w:t xml:space="preserve"> פסקה 13 (22.5.2022)).</w:t>
      </w:r>
      <w:r>
        <w:rPr>
          <w:rFonts w:hint="cs"/>
          <w:rtl/>
        </w:rPr>
        <w:t xml:space="preserve"> עוד אתחשב בנישואיו הצפויים ואשית עליו קנס מתון.</w:t>
      </w:r>
    </w:p>
    <w:p w14:paraId="13CF0DA8" w14:textId="77777777" w:rsidR="00B3144B" w:rsidRDefault="00B3144B" w:rsidP="00B3144B">
      <w:pPr>
        <w:pStyle w:val="aa"/>
        <w:spacing w:after="160" w:line="360" w:lineRule="auto"/>
        <w:jc w:val="both"/>
      </w:pPr>
    </w:p>
    <w:p w14:paraId="094BA3B3" w14:textId="77777777" w:rsidR="00B3144B" w:rsidRDefault="00B3144B" w:rsidP="00B3144B">
      <w:pPr>
        <w:pStyle w:val="aa"/>
        <w:numPr>
          <w:ilvl w:val="0"/>
          <w:numId w:val="1"/>
        </w:numPr>
        <w:spacing w:line="360" w:lineRule="auto"/>
        <w:jc w:val="both"/>
      </w:pPr>
      <w:r>
        <w:rPr>
          <w:rFonts w:hint="cs"/>
          <w:b/>
          <w:bCs/>
          <w:rtl/>
        </w:rPr>
        <w:t xml:space="preserve">לאור האמור לעיל אני גוזרת על הנאשם את העונשים הבאים: </w:t>
      </w:r>
    </w:p>
    <w:p w14:paraId="35D3D050" w14:textId="77777777" w:rsidR="00B3144B" w:rsidRDefault="00B3144B" w:rsidP="00B3144B">
      <w:pPr>
        <w:pStyle w:val="aa"/>
      </w:pPr>
    </w:p>
    <w:p w14:paraId="19EB4F14" w14:textId="77777777" w:rsidR="00B3144B" w:rsidRDefault="00B3144B" w:rsidP="00B3144B">
      <w:pPr>
        <w:pStyle w:val="aa"/>
        <w:numPr>
          <w:ilvl w:val="0"/>
          <w:numId w:val="2"/>
        </w:numPr>
        <w:spacing w:after="160" w:line="360" w:lineRule="auto"/>
        <w:jc w:val="both"/>
        <w:rPr>
          <w:rtl/>
        </w:rPr>
      </w:pPr>
      <w:r>
        <w:rPr>
          <w:rFonts w:hint="cs"/>
          <w:b/>
          <w:bCs/>
          <w:rtl/>
        </w:rPr>
        <w:t xml:space="preserve">15 חודשי מאסר בפועל </w:t>
      </w:r>
      <w:r>
        <w:rPr>
          <w:rFonts w:hint="cs"/>
          <w:rtl/>
        </w:rPr>
        <w:t xml:space="preserve">בניכוי ימי מעצרו 7.3.22 עד ליום 4.4.22. </w:t>
      </w:r>
    </w:p>
    <w:p w14:paraId="734566B6" w14:textId="77777777" w:rsidR="00B3144B" w:rsidRDefault="00B3144B" w:rsidP="00B3144B">
      <w:pPr>
        <w:pStyle w:val="aa"/>
        <w:numPr>
          <w:ilvl w:val="0"/>
          <w:numId w:val="2"/>
        </w:numPr>
        <w:spacing w:after="160" w:line="360" w:lineRule="auto"/>
        <w:jc w:val="both"/>
      </w:pPr>
      <w:r>
        <w:rPr>
          <w:rFonts w:hint="cs"/>
          <w:rtl/>
        </w:rPr>
        <w:t xml:space="preserve">מאסר על תנאי בן 10 חודשים לבל יעבור הנאשם עבירת נשק מסוג פשע תוך 3 שנים מיום שחרורו. </w:t>
      </w:r>
    </w:p>
    <w:p w14:paraId="48825A04" w14:textId="77777777" w:rsidR="00B3144B" w:rsidRDefault="00B3144B" w:rsidP="00B3144B">
      <w:pPr>
        <w:pStyle w:val="aa"/>
        <w:numPr>
          <w:ilvl w:val="0"/>
          <w:numId w:val="2"/>
        </w:numPr>
        <w:spacing w:after="160" w:line="360" w:lineRule="auto"/>
        <w:jc w:val="both"/>
      </w:pPr>
      <w:r>
        <w:rPr>
          <w:rFonts w:hint="cs"/>
          <w:rtl/>
        </w:rPr>
        <w:t xml:space="preserve">קנס בסך 3,000 ₪ או 30 ימי מאסר. הקנס ישולם בשלושה תשלומים שווים ורצופים החל מיום 2.7.23. </w:t>
      </w:r>
    </w:p>
    <w:p w14:paraId="4BC415B5" w14:textId="77777777" w:rsidR="00B3144B" w:rsidRDefault="00563BE5" w:rsidP="00B3144B">
      <w:pPr>
        <w:pStyle w:val="aa"/>
        <w:numPr>
          <w:ilvl w:val="0"/>
          <w:numId w:val="2"/>
        </w:numPr>
        <w:spacing w:after="160" w:line="360" w:lineRule="auto"/>
        <w:jc w:val="both"/>
      </w:pPr>
      <w:r w:rsidRPr="00563BE5">
        <w:rPr>
          <w:color w:val="FFFFFF"/>
          <w:sz w:val="2"/>
          <w:szCs w:val="2"/>
          <w:rtl/>
        </w:rPr>
        <w:t>5129371</w:t>
      </w:r>
      <w:r w:rsidR="00B3144B">
        <w:rPr>
          <w:rFonts w:hint="cs"/>
          <w:rtl/>
        </w:rPr>
        <w:t xml:space="preserve">הנאשם יתייצב לריצוי  מאסרו ביום 26.6.23 עד השעה 10:00 בבימ"ר "הדרים". לצורך הבטחת התייצבותו תעמודנה הערבויות שהופקדו בהליך המעצר. לאחר תחילת ריצוי המאסר, יושבו למפקיד. </w:t>
      </w:r>
    </w:p>
    <w:p w14:paraId="3C819AD1" w14:textId="77777777" w:rsidR="00B3144B" w:rsidRDefault="00563BE5" w:rsidP="00B3144B">
      <w:pPr>
        <w:spacing w:line="360" w:lineRule="auto"/>
        <w:jc w:val="both"/>
        <w:rPr>
          <w:b/>
          <w:bCs/>
        </w:rPr>
      </w:pPr>
      <w:r w:rsidRPr="00563BE5">
        <w:rPr>
          <w:b/>
          <w:bCs/>
          <w:color w:val="FFFFFF"/>
          <w:sz w:val="2"/>
          <w:szCs w:val="2"/>
          <w:rtl/>
        </w:rPr>
        <w:t>54678313</w:t>
      </w:r>
      <w:r w:rsidR="00B3144B">
        <w:rPr>
          <w:rFonts w:hint="cs"/>
          <w:b/>
          <w:bCs/>
          <w:rtl/>
        </w:rPr>
        <w:t xml:space="preserve">צו כללי למוצגים. הנשק – להשמדה </w:t>
      </w:r>
    </w:p>
    <w:p w14:paraId="531D2A80" w14:textId="77777777" w:rsidR="00B3144B" w:rsidRDefault="00B3144B" w:rsidP="00B3144B">
      <w:pPr>
        <w:spacing w:line="360" w:lineRule="auto"/>
        <w:jc w:val="both"/>
        <w:rPr>
          <w:b/>
          <w:bCs/>
          <w:rtl/>
        </w:rPr>
      </w:pPr>
      <w:r>
        <w:rPr>
          <w:rFonts w:hint="cs"/>
          <w:b/>
          <w:bCs/>
          <w:rtl/>
        </w:rPr>
        <w:t>זכות ערעור לבית המשפט העליון תוך 45 יום.</w:t>
      </w:r>
    </w:p>
    <w:p w14:paraId="20F463E4" w14:textId="77777777" w:rsidR="00B3144B" w:rsidRPr="000F2247" w:rsidRDefault="00563BE5" w:rsidP="00B3144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אייר תשפ"ג, 30 אפריל 2023, במעמד הצדדים. </w:t>
      </w:r>
      <w:bookmarkEnd w:id="8"/>
      <w:r w:rsidR="00B3144B">
        <w:rPr>
          <w:rFonts w:ascii="Arial" w:hAnsi="Arial"/>
          <w:b/>
          <w:bCs/>
          <w:sz w:val="26"/>
          <w:szCs w:val="26"/>
          <w:rtl/>
        </w:rPr>
        <w:tab/>
      </w:r>
      <w:r w:rsidR="00B3144B">
        <w:rPr>
          <w:rFonts w:ascii="Arial" w:hAnsi="Arial"/>
          <w:b/>
          <w:bCs/>
          <w:sz w:val="26"/>
          <w:szCs w:val="26"/>
          <w:rtl/>
        </w:rPr>
        <w:tab/>
      </w:r>
      <w:r w:rsidR="00B3144B">
        <w:rPr>
          <w:rFonts w:ascii="Arial" w:hAnsi="Arial"/>
          <w:b/>
          <w:bCs/>
          <w:sz w:val="26"/>
          <w:szCs w:val="26"/>
          <w:rtl/>
        </w:rPr>
        <w:tab/>
      </w:r>
      <w:r w:rsidR="00B3144B">
        <w:rPr>
          <w:rFonts w:ascii="Arial" w:hAnsi="Arial"/>
          <w:b/>
          <w:bCs/>
          <w:sz w:val="26"/>
          <w:szCs w:val="26"/>
          <w:rtl/>
        </w:rPr>
        <w:tab/>
      </w:r>
      <w:r w:rsidR="00B3144B">
        <w:rPr>
          <w:rFonts w:ascii="Arial" w:hAnsi="Arial"/>
          <w:b/>
          <w:bCs/>
          <w:sz w:val="26"/>
          <w:szCs w:val="26"/>
          <w:rtl/>
        </w:rPr>
        <w:tab/>
      </w:r>
      <w:r w:rsidR="00B3144B">
        <w:rPr>
          <w:rFonts w:ascii="Arial" w:hAnsi="Arial"/>
          <w:b/>
          <w:bCs/>
          <w:sz w:val="26"/>
          <w:szCs w:val="26"/>
          <w:rtl/>
        </w:rPr>
        <w:tab/>
      </w:r>
      <w:r w:rsidR="00B3144B">
        <w:rPr>
          <w:rFonts w:ascii="Arial" w:hAnsi="Arial"/>
          <w:b/>
          <w:bCs/>
          <w:sz w:val="26"/>
          <w:szCs w:val="26"/>
          <w:rtl/>
        </w:rPr>
        <w:tab/>
      </w:r>
      <w:r w:rsidR="00B3144B">
        <w:rPr>
          <w:rFonts w:ascii="Arial" w:hAnsi="Arial" w:hint="cs"/>
          <w:b/>
          <w:bCs/>
          <w:sz w:val="26"/>
          <w:szCs w:val="26"/>
          <w:rtl/>
        </w:rPr>
        <w:t xml:space="preserve">         </w:t>
      </w:r>
    </w:p>
    <w:p w14:paraId="5AA8F12D" w14:textId="77777777" w:rsidR="00B3144B" w:rsidRPr="000F2247" w:rsidRDefault="00B3144B" w:rsidP="00563BE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3932E7" w14:textId="77777777" w:rsidR="00B3144B" w:rsidRPr="000F2247" w:rsidRDefault="00B3144B" w:rsidP="00B3144B">
      <w:pPr>
        <w:jc w:val="center"/>
        <w:rPr>
          <w:rFonts w:ascii="Arial" w:hAnsi="Arial"/>
          <w:b/>
          <w:bCs/>
          <w:sz w:val="26"/>
          <w:szCs w:val="26"/>
          <w:rtl/>
        </w:rPr>
      </w:pPr>
    </w:p>
    <w:p w14:paraId="13627C72" w14:textId="77777777" w:rsidR="00584AAF" w:rsidRPr="00563BE5" w:rsidRDefault="00584AAF" w:rsidP="00563BE5">
      <w:pPr>
        <w:keepNext/>
        <w:rPr>
          <w:rFonts w:ascii="David" w:hAnsi="David"/>
          <w:color w:val="000000"/>
          <w:sz w:val="22"/>
          <w:szCs w:val="22"/>
          <w:rtl/>
        </w:rPr>
      </w:pPr>
    </w:p>
    <w:p w14:paraId="444CE18E" w14:textId="77777777" w:rsidR="00563BE5" w:rsidRPr="00563BE5" w:rsidRDefault="00563BE5" w:rsidP="00563BE5">
      <w:pPr>
        <w:keepNext/>
        <w:rPr>
          <w:rFonts w:ascii="David" w:hAnsi="David"/>
          <w:color w:val="000000"/>
          <w:sz w:val="22"/>
          <w:szCs w:val="22"/>
          <w:rtl/>
        </w:rPr>
      </w:pPr>
      <w:r w:rsidRPr="00563BE5">
        <w:rPr>
          <w:rFonts w:ascii="David" w:hAnsi="David"/>
          <w:color w:val="000000"/>
          <w:sz w:val="22"/>
          <w:szCs w:val="22"/>
          <w:rtl/>
        </w:rPr>
        <w:t>מרב גרינברג 54678313</w:t>
      </w:r>
    </w:p>
    <w:p w14:paraId="5475CAA5" w14:textId="77777777" w:rsidR="00563BE5" w:rsidRDefault="00563BE5" w:rsidP="00563BE5">
      <w:r w:rsidRPr="00563BE5">
        <w:rPr>
          <w:color w:val="000000"/>
          <w:rtl/>
        </w:rPr>
        <w:t>נוסח מסמך זה כפוף לשינויי ניסוח ועריכה</w:t>
      </w:r>
    </w:p>
    <w:p w14:paraId="45EBEF69" w14:textId="77777777" w:rsidR="00563BE5" w:rsidRDefault="00563BE5" w:rsidP="00563BE5">
      <w:pPr>
        <w:rPr>
          <w:rtl/>
        </w:rPr>
      </w:pPr>
    </w:p>
    <w:p w14:paraId="074C7653" w14:textId="77777777" w:rsidR="00563BE5" w:rsidRDefault="00563BE5" w:rsidP="00563BE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B640634" w14:textId="77777777" w:rsidR="00563BE5" w:rsidRPr="00563BE5" w:rsidRDefault="00563BE5" w:rsidP="00563BE5">
      <w:pPr>
        <w:jc w:val="center"/>
        <w:rPr>
          <w:color w:val="0000FF"/>
          <w:u w:val="single"/>
        </w:rPr>
      </w:pPr>
    </w:p>
    <w:sectPr w:rsidR="00563BE5" w:rsidRPr="00563BE5" w:rsidSect="00563BE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0CA65" w14:textId="77777777" w:rsidR="001B5330" w:rsidRDefault="001B5330" w:rsidP="00F7638D">
      <w:r>
        <w:separator/>
      </w:r>
    </w:p>
  </w:endnote>
  <w:endnote w:type="continuationSeparator" w:id="0">
    <w:p w14:paraId="676B6458" w14:textId="77777777" w:rsidR="001B5330" w:rsidRDefault="001B5330" w:rsidP="00F7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2F36" w14:textId="77777777" w:rsidR="00563BE5" w:rsidRDefault="00563BE5" w:rsidP="00563B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EBD9D3" w14:textId="77777777" w:rsidR="003C72DE" w:rsidRPr="00563BE5" w:rsidRDefault="00563BE5" w:rsidP="00563B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811F4" w14:textId="77777777" w:rsidR="00563BE5" w:rsidRDefault="00563BE5" w:rsidP="00563B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5F48">
      <w:rPr>
        <w:rFonts w:ascii="FrankRuehl" w:hAnsi="FrankRuehl" w:cs="FrankRuehl"/>
        <w:noProof/>
        <w:rtl/>
      </w:rPr>
      <w:t>1</w:t>
    </w:r>
    <w:r>
      <w:rPr>
        <w:rFonts w:ascii="FrankRuehl" w:hAnsi="FrankRuehl" w:cs="FrankRuehl"/>
        <w:rtl/>
      </w:rPr>
      <w:fldChar w:fldCharType="end"/>
    </w:r>
  </w:p>
  <w:p w14:paraId="5F157682" w14:textId="77777777" w:rsidR="003C72DE" w:rsidRPr="00563BE5" w:rsidRDefault="00563BE5" w:rsidP="00563B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E03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3EC9D" w14:textId="77777777" w:rsidR="001B5330" w:rsidRDefault="001B5330" w:rsidP="00F7638D">
      <w:r>
        <w:separator/>
      </w:r>
    </w:p>
  </w:footnote>
  <w:footnote w:type="continuationSeparator" w:id="0">
    <w:p w14:paraId="6A94BBA5" w14:textId="77777777" w:rsidR="001B5330" w:rsidRDefault="001B5330" w:rsidP="00F76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7FE3E" w14:textId="77777777" w:rsidR="00563BE5" w:rsidRPr="00563BE5" w:rsidRDefault="00563BE5" w:rsidP="00563B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22588-03-22</w:t>
    </w:r>
    <w:r>
      <w:rPr>
        <w:rFonts w:ascii="David" w:hAnsi="David"/>
        <w:color w:val="000000"/>
        <w:sz w:val="22"/>
        <w:szCs w:val="22"/>
        <w:rtl/>
      </w:rPr>
      <w:tab/>
      <w:t xml:space="preserve"> מדינת ישראל נ' מחמד גבאלי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3D6F" w14:textId="77777777" w:rsidR="00563BE5" w:rsidRPr="00563BE5" w:rsidRDefault="00563BE5" w:rsidP="00563BE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22588-03-22</w:t>
    </w:r>
    <w:r>
      <w:rPr>
        <w:rFonts w:ascii="David" w:hAnsi="David"/>
        <w:color w:val="000000"/>
        <w:sz w:val="22"/>
        <w:szCs w:val="22"/>
        <w:rtl/>
      </w:rPr>
      <w:tab/>
      <w:t xml:space="preserve"> מדינת ישראל נ' מחמד גבאלי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0429E98"/>
    <w:lvl w:ilvl="0" w:tplc="B5BC5C6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A2FE6006"/>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4645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569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144B"/>
    <w:rsid w:val="001B5330"/>
    <w:rsid w:val="001B5A3B"/>
    <w:rsid w:val="002F1CFB"/>
    <w:rsid w:val="0037374D"/>
    <w:rsid w:val="003C72DE"/>
    <w:rsid w:val="00563BE5"/>
    <w:rsid w:val="00584AAF"/>
    <w:rsid w:val="006A2066"/>
    <w:rsid w:val="006B1A17"/>
    <w:rsid w:val="006B749D"/>
    <w:rsid w:val="007A5D38"/>
    <w:rsid w:val="00895F48"/>
    <w:rsid w:val="00987CAA"/>
    <w:rsid w:val="00B3144B"/>
    <w:rsid w:val="00E16C5A"/>
    <w:rsid w:val="00F76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0A7610"/>
  <w15:chartTrackingRefBased/>
  <w15:docId w15:val="{569DF051-DA9F-4A34-B637-902A9723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14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144B"/>
    <w:pPr>
      <w:tabs>
        <w:tab w:val="center" w:pos="4153"/>
        <w:tab w:val="right" w:pos="8306"/>
      </w:tabs>
    </w:pPr>
  </w:style>
  <w:style w:type="character" w:customStyle="1" w:styleId="a4">
    <w:name w:val="כותרת עליונה תו"/>
    <w:link w:val="a3"/>
    <w:rsid w:val="00B3144B"/>
    <w:rPr>
      <w:rFonts w:ascii="Times New Roman" w:eastAsia="Times New Roman" w:hAnsi="Times New Roman" w:cs="David"/>
      <w:sz w:val="24"/>
      <w:szCs w:val="24"/>
    </w:rPr>
  </w:style>
  <w:style w:type="paragraph" w:styleId="a5">
    <w:name w:val="footer"/>
    <w:basedOn w:val="a"/>
    <w:link w:val="a6"/>
    <w:rsid w:val="00B3144B"/>
    <w:pPr>
      <w:tabs>
        <w:tab w:val="center" w:pos="4153"/>
        <w:tab w:val="right" w:pos="8306"/>
      </w:tabs>
    </w:pPr>
  </w:style>
  <w:style w:type="character" w:customStyle="1" w:styleId="a6">
    <w:name w:val="כותרת תחתונה תו"/>
    <w:link w:val="a5"/>
    <w:rsid w:val="00B3144B"/>
    <w:rPr>
      <w:rFonts w:ascii="Times New Roman" w:eastAsia="Times New Roman" w:hAnsi="Times New Roman" w:cs="David"/>
      <w:sz w:val="24"/>
      <w:szCs w:val="24"/>
    </w:rPr>
  </w:style>
  <w:style w:type="table" w:styleId="a7">
    <w:name w:val="Table Grid"/>
    <w:basedOn w:val="a1"/>
    <w:rsid w:val="00B314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3144B"/>
  </w:style>
  <w:style w:type="character" w:customStyle="1" w:styleId="a9">
    <w:name w:val="פיסקת רשימה תו"/>
    <w:link w:val="aa"/>
    <w:locked/>
    <w:rsid w:val="00B3144B"/>
    <w:rPr>
      <w:rFonts w:ascii="David" w:eastAsia="David" w:hAnsi="David" w:cs="David"/>
      <w:sz w:val="24"/>
      <w:szCs w:val="24"/>
    </w:rPr>
  </w:style>
  <w:style w:type="paragraph" w:styleId="aa">
    <w:name w:val="List Paragraph"/>
    <w:basedOn w:val="a"/>
    <w:link w:val="a9"/>
    <w:qFormat/>
    <w:rsid w:val="00B3144B"/>
    <w:pPr>
      <w:ind w:left="720"/>
      <w:contextualSpacing/>
    </w:pPr>
    <w:rPr>
      <w:rFonts w:ascii="David" w:eastAsia="David" w:hAnsi="David"/>
    </w:rPr>
  </w:style>
  <w:style w:type="character" w:styleId="Hyperlink">
    <w:name w:val="Hyperlink"/>
    <w:rsid w:val="00B31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513828" TargetMode="External"/><Relationship Id="rId18" Type="http://schemas.openxmlformats.org/officeDocument/2006/relationships/hyperlink" Target="http://www.nevo.co.il/case/27305799" TargetMode="External"/><Relationship Id="rId26" Type="http://schemas.openxmlformats.org/officeDocument/2006/relationships/hyperlink" Target="http://www.nevo.co.il/case/28384637" TargetMode="External"/><Relationship Id="rId21" Type="http://schemas.openxmlformats.org/officeDocument/2006/relationships/hyperlink" Target="http://www.nevo.co.il/case/28152132"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8268880"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case/2825742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8513828" TargetMode="External"/><Relationship Id="rId29" Type="http://schemas.openxmlformats.org/officeDocument/2006/relationships/hyperlink" Target="http://www.nevo.co.il/case/269346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513376" TargetMode="External"/><Relationship Id="rId24" Type="http://schemas.openxmlformats.org/officeDocument/2006/relationships/hyperlink" Target="http://www.nevo.co.il/case/2862115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5528737" TargetMode="External"/><Relationship Id="rId28" Type="http://schemas.openxmlformats.org/officeDocument/2006/relationships/hyperlink" Target="http://www.nevo.co.il/case/28963593"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568354" TargetMode="External"/><Relationship Id="rId31" Type="http://schemas.openxmlformats.org/officeDocument/2006/relationships/hyperlink" Target="http://www.nevo.co.il/case/28268880"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8229995" TargetMode="External"/><Relationship Id="rId27" Type="http://schemas.openxmlformats.org/officeDocument/2006/relationships/hyperlink" Target="http://www.nevo.co.il/case/21472788" TargetMode="External"/><Relationship Id="rId30" Type="http://schemas.openxmlformats.org/officeDocument/2006/relationships/hyperlink" Target="http://www.nevo.co.il/case/25637368"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2163</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12955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3145842</vt:i4>
      </vt:variant>
      <vt:variant>
        <vt:i4>72</vt:i4>
      </vt:variant>
      <vt:variant>
        <vt:i4>0</vt:i4>
      </vt:variant>
      <vt:variant>
        <vt:i4>5</vt:i4>
      </vt:variant>
      <vt:variant>
        <vt:lpwstr>http://www.nevo.co.il/case/28268880</vt:lpwstr>
      </vt:variant>
      <vt:variant>
        <vt:lpwstr/>
      </vt:variant>
      <vt:variant>
        <vt:i4>3473521</vt:i4>
      </vt:variant>
      <vt:variant>
        <vt:i4>69</vt:i4>
      </vt:variant>
      <vt:variant>
        <vt:i4>0</vt:i4>
      </vt:variant>
      <vt:variant>
        <vt:i4>5</vt:i4>
      </vt:variant>
      <vt:variant>
        <vt:lpwstr>http://www.nevo.co.il/case/25637368</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3211391</vt:i4>
      </vt:variant>
      <vt:variant>
        <vt:i4>63</vt:i4>
      </vt:variant>
      <vt:variant>
        <vt:i4>0</vt:i4>
      </vt:variant>
      <vt:variant>
        <vt:i4>5</vt:i4>
      </vt:variant>
      <vt:variant>
        <vt:lpwstr>http://www.nevo.co.il/case/28963593</vt:lpwstr>
      </vt:variant>
      <vt:variant>
        <vt:lpwstr/>
      </vt:variant>
      <vt:variant>
        <vt:i4>3932277</vt:i4>
      </vt:variant>
      <vt:variant>
        <vt:i4>60</vt:i4>
      </vt:variant>
      <vt:variant>
        <vt:i4>0</vt:i4>
      </vt:variant>
      <vt:variant>
        <vt:i4>5</vt:i4>
      </vt:variant>
      <vt:variant>
        <vt:lpwstr>http://www.nevo.co.il/case/21472788</vt:lpwstr>
      </vt:variant>
      <vt:variant>
        <vt:lpwstr/>
      </vt:variant>
      <vt:variant>
        <vt:i4>3539058</vt:i4>
      </vt:variant>
      <vt:variant>
        <vt:i4>57</vt:i4>
      </vt:variant>
      <vt:variant>
        <vt:i4>0</vt:i4>
      </vt:variant>
      <vt:variant>
        <vt:i4>5</vt:i4>
      </vt:variant>
      <vt:variant>
        <vt:lpwstr>http://www.nevo.co.il/case/28384637</vt:lpwstr>
      </vt:variant>
      <vt:variant>
        <vt:lpwstr/>
      </vt:variant>
      <vt:variant>
        <vt:i4>3473533</vt:i4>
      </vt:variant>
      <vt:variant>
        <vt:i4>54</vt:i4>
      </vt:variant>
      <vt:variant>
        <vt:i4>0</vt:i4>
      </vt:variant>
      <vt:variant>
        <vt:i4>5</vt:i4>
      </vt:variant>
      <vt:variant>
        <vt:lpwstr>http://www.nevo.co.il/case/28257427</vt:lpwstr>
      </vt:variant>
      <vt:variant>
        <vt:lpwstr/>
      </vt:variant>
      <vt:variant>
        <vt:i4>3145855</vt:i4>
      </vt:variant>
      <vt:variant>
        <vt:i4>51</vt:i4>
      </vt:variant>
      <vt:variant>
        <vt:i4>0</vt:i4>
      </vt:variant>
      <vt:variant>
        <vt:i4>5</vt:i4>
      </vt:variant>
      <vt:variant>
        <vt:lpwstr>http://www.nevo.co.il/case/28621153</vt:lpwstr>
      </vt:variant>
      <vt:variant>
        <vt:lpwstr/>
      </vt:variant>
      <vt:variant>
        <vt:i4>3932276</vt:i4>
      </vt:variant>
      <vt:variant>
        <vt:i4>48</vt:i4>
      </vt:variant>
      <vt:variant>
        <vt:i4>0</vt:i4>
      </vt:variant>
      <vt:variant>
        <vt:i4>5</vt:i4>
      </vt:variant>
      <vt:variant>
        <vt:lpwstr>http://www.nevo.co.il/case/25528737</vt:lpwstr>
      </vt:variant>
      <vt:variant>
        <vt:lpwstr/>
      </vt:variant>
      <vt:variant>
        <vt:i4>3145847</vt:i4>
      </vt:variant>
      <vt:variant>
        <vt:i4>45</vt:i4>
      </vt:variant>
      <vt:variant>
        <vt:i4>0</vt:i4>
      </vt:variant>
      <vt:variant>
        <vt:i4>5</vt:i4>
      </vt:variant>
      <vt:variant>
        <vt:lpwstr>http://www.nevo.co.il/case/28229995</vt:lpwstr>
      </vt:variant>
      <vt:variant>
        <vt:lpwstr/>
      </vt:variant>
      <vt:variant>
        <vt:i4>3276920</vt:i4>
      </vt:variant>
      <vt:variant>
        <vt:i4>42</vt:i4>
      </vt:variant>
      <vt:variant>
        <vt:i4>0</vt:i4>
      </vt:variant>
      <vt:variant>
        <vt:i4>5</vt:i4>
      </vt:variant>
      <vt:variant>
        <vt:lpwstr>http://www.nevo.co.il/case/28152132</vt:lpwstr>
      </vt:variant>
      <vt:variant>
        <vt:lpwstr/>
      </vt:variant>
      <vt:variant>
        <vt:i4>3539061</vt:i4>
      </vt:variant>
      <vt:variant>
        <vt:i4>39</vt:i4>
      </vt:variant>
      <vt:variant>
        <vt:i4>0</vt:i4>
      </vt:variant>
      <vt:variant>
        <vt:i4>5</vt:i4>
      </vt:variant>
      <vt:variant>
        <vt:lpwstr>http://www.nevo.co.il/case/28513828</vt:lpwstr>
      </vt:variant>
      <vt:variant>
        <vt:lpwstr/>
      </vt:variant>
      <vt:variant>
        <vt:i4>3407996</vt:i4>
      </vt:variant>
      <vt:variant>
        <vt:i4>36</vt:i4>
      </vt:variant>
      <vt:variant>
        <vt:i4>0</vt:i4>
      </vt:variant>
      <vt:variant>
        <vt:i4>5</vt:i4>
      </vt:variant>
      <vt:variant>
        <vt:lpwstr>http://www.nevo.co.il/case/5568354</vt:lpwstr>
      </vt:variant>
      <vt:variant>
        <vt:lpwstr/>
      </vt:variant>
      <vt:variant>
        <vt:i4>3997812</vt:i4>
      </vt:variant>
      <vt:variant>
        <vt:i4>33</vt:i4>
      </vt:variant>
      <vt:variant>
        <vt:i4>0</vt:i4>
      </vt:variant>
      <vt:variant>
        <vt:i4>5</vt:i4>
      </vt:variant>
      <vt:variant>
        <vt:lpwstr>http://www.nevo.co.il/case/27305799</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3145842</vt:i4>
      </vt:variant>
      <vt:variant>
        <vt:i4>15</vt:i4>
      </vt:variant>
      <vt:variant>
        <vt:i4>0</vt:i4>
      </vt:variant>
      <vt:variant>
        <vt:i4>5</vt:i4>
      </vt:variant>
      <vt:variant>
        <vt:lpwstr>http://www.nevo.co.il/case/28268880</vt:lpwstr>
      </vt:variant>
      <vt:variant>
        <vt:lpwstr/>
      </vt:variant>
      <vt:variant>
        <vt:i4>3342449</vt:i4>
      </vt:variant>
      <vt:variant>
        <vt:i4>12</vt:i4>
      </vt:variant>
      <vt:variant>
        <vt:i4>0</vt:i4>
      </vt:variant>
      <vt:variant>
        <vt:i4>5</vt:i4>
      </vt:variant>
      <vt:variant>
        <vt:lpwstr>http://www.nevo.co.il/case/27513376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22588</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גבאלי</vt:lpwstr>
  </property>
  <property fmtid="{D5CDD505-2E9C-101B-9397-08002B2CF9AE}" pid="10" name="LAWYER">
    <vt:lpwstr>יסמין שביט;שאדי נאטור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20230430</vt:lpwstr>
  </property>
  <property fmtid="{D5CDD505-2E9C-101B-9397-08002B2CF9AE}" pid="14" name="TYPE_N_DATE">
    <vt:lpwstr>39020230430</vt:lpwstr>
  </property>
  <property fmtid="{D5CDD505-2E9C-101B-9397-08002B2CF9AE}" pid="15" name="WORDNUMPAGES">
    <vt:lpwstr>7</vt:lpwstr>
  </property>
  <property fmtid="{D5CDD505-2E9C-101B-9397-08002B2CF9AE}" pid="16" name="TYPE_ABS_DATE">
    <vt:lpwstr>390020230430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27513376;28268880:2;28513828:2;27894608;27911638;28152132:2;28452933;27305799;5568354;28229995;25528737;28621153;28257427;28384637;21472788;28963593;26934681;25637368</vt:lpwstr>
  </property>
  <property fmtid="{D5CDD505-2E9C-101B-9397-08002B2CF9AE}" pid="36" name="LAWLISTTMP1">
    <vt:lpwstr>70301/144.a</vt:lpwstr>
  </property>
</Properties>
</file>