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00336" w:rsidRPr="00E0787E" w14:paraId="1F09FA45" w14:textId="77777777" w:rsidTr="00EE09A7">
        <w:trPr>
          <w:trHeight w:hRule="exact" w:val="418"/>
          <w:jc w:val="center"/>
        </w:trPr>
        <w:tc>
          <w:tcPr>
            <w:tcW w:w="8721" w:type="dxa"/>
            <w:gridSpan w:val="2"/>
          </w:tcPr>
          <w:p w14:paraId="16142CDE" w14:textId="77777777" w:rsidR="00800336" w:rsidRPr="00E0787E" w:rsidRDefault="00800336" w:rsidP="0067032B">
            <w:pPr>
              <w:pStyle w:val="a3"/>
              <w:jc w:val="center"/>
              <w:rPr>
                <w:rFonts w:ascii="Tahoma" w:hAnsi="Tahoma" w:cs="Tahoma"/>
                <w:color w:val="000080"/>
                <w:rtl/>
              </w:rPr>
            </w:pPr>
            <w:bookmarkStart w:id="0" w:name="LastJudge"/>
            <w:r w:rsidRPr="00E0787E">
              <w:rPr>
                <w:rFonts w:ascii="Tahoma" w:hAnsi="Tahoma" w:cs="Tahoma"/>
                <w:b/>
                <w:bCs/>
                <w:color w:val="000080"/>
                <w:rtl/>
              </w:rPr>
              <w:t>בית המשפט המחוזי בחיפה</w:t>
            </w:r>
          </w:p>
        </w:tc>
      </w:tr>
      <w:tr w:rsidR="00800336" w:rsidRPr="00E0787E" w14:paraId="2C327915" w14:textId="77777777" w:rsidTr="00EE09A7">
        <w:trPr>
          <w:trHeight w:val="337"/>
          <w:jc w:val="center"/>
        </w:trPr>
        <w:tc>
          <w:tcPr>
            <w:tcW w:w="5058" w:type="dxa"/>
          </w:tcPr>
          <w:p w14:paraId="5CD2F6B1" w14:textId="77777777" w:rsidR="00800336" w:rsidRPr="00E0787E" w:rsidRDefault="00800336" w:rsidP="0067032B">
            <w:pPr>
              <w:rPr>
                <w:rFonts w:cs="FrankRuehl"/>
                <w:sz w:val="28"/>
                <w:szCs w:val="28"/>
                <w:rtl/>
              </w:rPr>
            </w:pPr>
            <w:r w:rsidRPr="00E0787E">
              <w:rPr>
                <w:rFonts w:cs="FrankRuehl"/>
                <w:sz w:val="28"/>
                <w:szCs w:val="28"/>
                <w:rtl/>
              </w:rPr>
              <w:t>ת"פ</w:t>
            </w:r>
            <w:r w:rsidRPr="00E0787E">
              <w:rPr>
                <w:rFonts w:cs="FrankRuehl" w:hint="cs"/>
                <w:sz w:val="28"/>
                <w:szCs w:val="28"/>
                <w:rtl/>
              </w:rPr>
              <w:t xml:space="preserve"> </w:t>
            </w:r>
            <w:r w:rsidRPr="00E0787E">
              <w:rPr>
                <w:rFonts w:cs="FrankRuehl"/>
                <w:sz w:val="28"/>
                <w:szCs w:val="28"/>
                <w:rtl/>
              </w:rPr>
              <w:t>28844-03-22</w:t>
            </w:r>
            <w:r w:rsidRPr="00E0787E">
              <w:rPr>
                <w:rFonts w:cs="FrankRuehl" w:hint="cs"/>
                <w:sz w:val="28"/>
                <w:szCs w:val="28"/>
                <w:rtl/>
              </w:rPr>
              <w:t xml:space="preserve"> </w:t>
            </w:r>
            <w:r w:rsidRPr="00E0787E">
              <w:rPr>
                <w:rFonts w:cs="FrankRuehl"/>
                <w:sz w:val="28"/>
                <w:szCs w:val="28"/>
                <w:rtl/>
              </w:rPr>
              <w:t>מדינת ישראל נ' עמאש(עציר)</w:t>
            </w:r>
          </w:p>
          <w:p w14:paraId="244EC509" w14:textId="77777777" w:rsidR="00800336" w:rsidRPr="00E0787E" w:rsidRDefault="00800336" w:rsidP="0067032B">
            <w:pPr>
              <w:pStyle w:val="a3"/>
              <w:rPr>
                <w:rFonts w:cs="FrankRuehl"/>
                <w:sz w:val="28"/>
                <w:szCs w:val="28"/>
                <w:rtl/>
              </w:rPr>
            </w:pPr>
          </w:p>
        </w:tc>
        <w:tc>
          <w:tcPr>
            <w:tcW w:w="3663" w:type="dxa"/>
          </w:tcPr>
          <w:p w14:paraId="7CE9B0D9" w14:textId="77777777" w:rsidR="00800336" w:rsidRPr="00E0787E" w:rsidRDefault="00800336" w:rsidP="0067032B">
            <w:pPr>
              <w:pStyle w:val="a3"/>
              <w:jc w:val="right"/>
              <w:rPr>
                <w:rFonts w:cs="FrankRuehl"/>
                <w:sz w:val="28"/>
                <w:szCs w:val="28"/>
                <w:rtl/>
              </w:rPr>
            </w:pPr>
          </w:p>
        </w:tc>
      </w:tr>
    </w:tbl>
    <w:p w14:paraId="275BE509" w14:textId="77777777" w:rsidR="00800336" w:rsidRPr="00E0787E" w:rsidRDefault="00800336" w:rsidP="00800336">
      <w:pPr>
        <w:pStyle w:val="a3"/>
        <w:rPr>
          <w:rtl/>
        </w:rPr>
      </w:pPr>
      <w:r w:rsidRPr="00E0787E">
        <w:rPr>
          <w:rFonts w:hint="cs"/>
          <w:rtl/>
        </w:rPr>
        <w:t xml:space="preserve"> </w:t>
      </w:r>
    </w:p>
    <w:p w14:paraId="0B6E4BE9" w14:textId="77777777" w:rsidR="00800336" w:rsidRPr="00E0787E" w:rsidRDefault="00800336" w:rsidP="00800336">
      <w:pPr>
        <w:suppressLineNumbers/>
        <w:jc w:val="both"/>
        <w:rPr>
          <w:rFonts w:ascii="Arial" w:hAnsi="Arial"/>
          <w:szCs w:val="26"/>
          <w:rtl/>
        </w:rPr>
      </w:pPr>
    </w:p>
    <w:p w14:paraId="2162E19E" w14:textId="77777777" w:rsidR="00800336" w:rsidRPr="00E0787E" w:rsidRDefault="00800336" w:rsidP="00800336">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800336" w:rsidRPr="00E0787E" w14:paraId="344B915F" w14:textId="77777777" w:rsidTr="00800336">
        <w:trPr>
          <w:gridAfter w:val="1"/>
          <w:wAfter w:w="56" w:type="dxa"/>
        </w:trPr>
        <w:tc>
          <w:tcPr>
            <w:tcW w:w="8718" w:type="dxa"/>
            <w:gridSpan w:val="2"/>
            <w:shd w:val="clear" w:color="auto" w:fill="auto"/>
          </w:tcPr>
          <w:p w14:paraId="6976382C" w14:textId="77777777" w:rsidR="00800336" w:rsidRPr="00E0787E" w:rsidRDefault="00800336" w:rsidP="00800336">
            <w:pPr>
              <w:jc w:val="both"/>
              <w:rPr>
                <w:b/>
                <w:bCs/>
                <w:sz w:val="26"/>
                <w:szCs w:val="26"/>
                <w:rtl/>
              </w:rPr>
            </w:pPr>
            <w:r w:rsidRPr="00E0787E">
              <w:rPr>
                <w:rFonts w:hint="cs"/>
                <w:b/>
                <w:bCs/>
                <w:sz w:val="26"/>
                <w:szCs w:val="26"/>
                <w:rtl/>
              </w:rPr>
              <w:t>בפני כבוד השופטת אילת דגן</w:t>
            </w:r>
          </w:p>
          <w:p w14:paraId="7755DEA7" w14:textId="77777777" w:rsidR="00800336" w:rsidRPr="00E0787E" w:rsidRDefault="00800336" w:rsidP="00800336">
            <w:pPr>
              <w:jc w:val="both"/>
              <w:rPr>
                <w:b/>
                <w:bCs/>
                <w:sz w:val="26"/>
                <w:szCs w:val="26"/>
                <w:rtl/>
              </w:rPr>
            </w:pPr>
          </w:p>
        </w:tc>
      </w:tr>
      <w:tr w:rsidR="00800336" w:rsidRPr="00E0787E" w14:paraId="301BD98B" w14:textId="77777777" w:rsidTr="00800336">
        <w:trPr>
          <w:cantSplit/>
          <w:trHeight w:val="127"/>
        </w:trPr>
        <w:tc>
          <w:tcPr>
            <w:tcW w:w="2880" w:type="dxa"/>
            <w:shd w:val="clear" w:color="auto" w:fill="auto"/>
          </w:tcPr>
          <w:p w14:paraId="5214C825" w14:textId="77777777" w:rsidR="00800336" w:rsidRPr="00E0787E" w:rsidRDefault="00800336" w:rsidP="00800336">
            <w:pPr>
              <w:ind w:left="26"/>
              <w:jc w:val="both"/>
              <w:rPr>
                <w:b/>
                <w:bCs/>
                <w:sz w:val="26"/>
                <w:szCs w:val="26"/>
                <w:rtl/>
              </w:rPr>
            </w:pPr>
            <w:bookmarkStart w:id="1" w:name="FirstAppellant"/>
            <w:r w:rsidRPr="00E0787E">
              <w:rPr>
                <w:rFonts w:hint="cs"/>
                <w:b/>
                <w:bCs/>
                <w:sz w:val="26"/>
                <w:szCs w:val="26"/>
                <w:rtl/>
              </w:rPr>
              <w:t>המאשימה:</w:t>
            </w:r>
          </w:p>
        </w:tc>
        <w:tc>
          <w:tcPr>
            <w:tcW w:w="5922" w:type="dxa"/>
            <w:gridSpan w:val="2"/>
            <w:shd w:val="clear" w:color="auto" w:fill="auto"/>
          </w:tcPr>
          <w:p w14:paraId="024F1D18" w14:textId="77777777" w:rsidR="00800336" w:rsidRPr="00E0787E" w:rsidRDefault="00800336" w:rsidP="00800336">
            <w:pPr>
              <w:jc w:val="both"/>
              <w:rPr>
                <w:b/>
                <w:bCs/>
                <w:sz w:val="26"/>
                <w:szCs w:val="26"/>
                <w:rtl/>
              </w:rPr>
            </w:pPr>
            <w:r w:rsidRPr="00E0787E">
              <w:rPr>
                <w:rFonts w:hint="cs"/>
                <w:b/>
                <w:bCs/>
                <w:sz w:val="26"/>
                <w:szCs w:val="26"/>
                <w:rtl/>
              </w:rPr>
              <w:t>מדינת-ישראל</w:t>
            </w:r>
          </w:p>
        </w:tc>
      </w:tr>
      <w:bookmarkEnd w:id="1"/>
      <w:tr w:rsidR="00800336" w:rsidRPr="00E0787E" w14:paraId="47F6425A" w14:textId="77777777" w:rsidTr="00800336">
        <w:tc>
          <w:tcPr>
            <w:tcW w:w="8802" w:type="dxa"/>
            <w:gridSpan w:val="3"/>
            <w:shd w:val="clear" w:color="auto" w:fill="auto"/>
            <w:vAlign w:val="center"/>
          </w:tcPr>
          <w:p w14:paraId="37756957" w14:textId="77777777" w:rsidR="00800336" w:rsidRPr="00E0787E" w:rsidRDefault="00800336" w:rsidP="00800336">
            <w:pPr>
              <w:jc w:val="center"/>
              <w:rPr>
                <w:rFonts w:ascii="Arial" w:hAnsi="Arial"/>
                <w:b/>
                <w:bCs/>
                <w:sz w:val="26"/>
                <w:szCs w:val="26"/>
                <w:rtl/>
              </w:rPr>
            </w:pPr>
          </w:p>
          <w:p w14:paraId="2E56EFCB" w14:textId="77777777" w:rsidR="00800336" w:rsidRPr="00E0787E" w:rsidRDefault="00800336" w:rsidP="00800336">
            <w:pPr>
              <w:jc w:val="center"/>
              <w:rPr>
                <w:rFonts w:ascii="Arial" w:hAnsi="Arial"/>
                <w:b/>
                <w:bCs/>
                <w:sz w:val="26"/>
                <w:szCs w:val="26"/>
                <w:rtl/>
              </w:rPr>
            </w:pPr>
            <w:r w:rsidRPr="00E0787E">
              <w:rPr>
                <w:rFonts w:ascii="Arial" w:hAnsi="Arial" w:hint="cs"/>
                <w:b/>
                <w:bCs/>
                <w:sz w:val="26"/>
                <w:szCs w:val="26"/>
                <w:rtl/>
              </w:rPr>
              <w:t>- נגד -</w:t>
            </w:r>
          </w:p>
          <w:p w14:paraId="583A19A2" w14:textId="77777777" w:rsidR="00800336" w:rsidRPr="00E0787E" w:rsidRDefault="00800336" w:rsidP="00800336">
            <w:pPr>
              <w:jc w:val="center"/>
              <w:rPr>
                <w:rFonts w:ascii="Arial" w:hAnsi="Arial"/>
                <w:b/>
                <w:bCs/>
                <w:sz w:val="26"/>
                <w:szCs w:val="26"/>
                <w:rtl/>
              </w:rPr>
            </w:pPr>
          </w:p>
        </w:tc>
      </w:tr>
      <w:tr w:rsidR="00800336" w:rsidRPr="00E0787E" w14:paraId="76BE88A2" w14:textId="77777777" w:rsidTr="00800336">
        <w:tc>
          <w:tcPr>
            <w:tcW w:w="2880" w:type="dxa"/>
            <w:shd w:val="clear" w:color="auto" w:fill="auto"/>
          </w:tcPr>
          <w:p w14:paraId="4D5C631E" w14:textId="77777777" w:rsidR="00800336" w:rsidRPr="00E0787E" w:rsidRDefault="00800336" w:rsidP="00800336">
            <w:pPr>
              <w:ind w:left="26"/>
              <w:jc w:val="both"/>
              <w:rPr>
                <w:b/>
                <w:bCs/>
                <w:sz w:val="26"/>
                <w:szCs w:val="26"/>
                <w:rtl/>
              </w:rPr>
            </w:pPr>
            <w:bookmarkStart w:id="2" w:name="FirstLawyer"/>
            <w:r w:rsidRPr="00E0787E">
              <w:rPr>
                <w:rFonts w:hint="cs"/>
                <w:b/>
                <w:bCs/>
                <w:sz w:val="26"/>
                <w:szCs w:val="26"/>
                <w:rtl/>
              </w:rPr>
              <w:t>הנאשם:</w:t>
            </w:r>
          </w:p>
        </w:tc>
        <w:tc>
          <w:tcPr>
            <w:tcW w:w="5922" w:type="dxa"/>
            <w:gridSpan w:val="2"/>
            <w:shd w:val="clear" w:color="auto" w:fill="auto"/>
          </w:tcPr>
          <w:p w14:paraId="6C53495E" w14:textId="77777777" w:rsidR="00800336" w:rsidRPr="00E0787E" w:rsidRDefault="00800336" w:rsidP="00800336">
            <w:pPr>
              <w:jc w:val="both"/>
              <w:rPr>
                <w:b/>
                <w:bCs/>
                <w:sz w:val="26"/>
                <w:szCs w:val="26"/>
                <w:rtl/>
              </w:rPr>
            </w:pPr>
            <w:r w:rsidRPr="00E0787E">
              <w:rPr>
                <w:rFonts w:hint="cs"/>
                <w:b/>
                <w:bCs/>
                <w:sz w:val="26"/>
                <w:szCs w:val="26"/>
                <w:rtl/>
              </w:rPr>
              <w:t xml:space="preserve">אברהים עמאש (עציר), ת"ז </w:t>
            </w:r>
            <w:r w:rsidR="00E0787E">
              <w:rPr>
                <w:b/>
                <w:bCs/>
                <w:sz w:val="26"/>
                <w:szCs w:val="26"/>
              </w:rPr>
              <w:t>xxxxxxxxx</w:t>
            </w:r>
          </w:p>
          <w:p w14:paraId="52328253" w14:textId="77777777" w:rsidR="00800336" w:rsidRPr="00E0787E" w:rsidRDefault="00800336" w:rsidP="00800336">
            <w:pPr>
              <w:jc w:val="both"/>
              <w:rPr>
                <w:sz w:val="26"/>
                <w:szCs w:val="26"/>
              </w:rPr>
            </w:pPr>
            <w:r w:rsidRPr="00E0787E">
              <w:rPr>
                <w:rFonts w:hint="cs"/>
                <w:sz w:val="26"/>
                <w:szCs w:val="26"/>
                <w:rtl/>
              </w:rPr>
              <w:t>ע"י ב"כ עו"ד מוראד עמאש</w:t>
            </w:r>
          </w:p>
        </w:tc>
      </w:tr>
    </w:tbl>
    <w:p w14:paraId="068CB0EE" w14:textId="77777777" w:rsidR="00EE09A7" w:rsidRPr="00EE09A7" w:rsidRDefault="00EE09A7" w:rsidP="00EE09A7">
      <w:pPr>
        <w:spacing w:before="120" w:after="120" w:line="240" w:lineRule="exact"/>
        <w:ind w:left="283" w:hanging="283"/>
        <w:jc w:val="both"/>
        <w:rPr>
          <w:rFonts w:ascii="FrankRuehl" w:hAnsi="FrankRuehl" w:cs="FrankRuehl"/>
          <w:rtl/>
        </w:rPr>
      </w:pPr>
      <w:bookmarkStart w:id="3" w:name="LawTable"/>
      <w:bookmarkEnd w:id="2"/>
      <w:bookmarkEnd w:id="3"/>
    </w:p>
    <w:p w14:paraId="5E6C5A86" w14:textId="77777777" w:rsidR="00EE09A7" w:rsidRPr="00EE09A7" w:rsidRDefault="00EE09A7" w:rsidP="00EE09A7">
      <w:pPr>
        <w:spacing w:before="120" w:after="120" w:line="240" w:lineRule="exact"/>
        <w:ind w:left="283" w:hanging="283"/>
        <w:jc w:val="both"/>
        <w:rPr>
          <w:rFonts w:ascii="FrankRuehl" w:hAnsi="FrankRuehl" w:cs="FrankRuehl"/>
          <w:rtl/>
        </w:rPr>
      </w:pPr>
      <w:r w:rsidRPr="00EE09A7">
        <w:rPr>
          <w:rFonts w:ascii="FrankRuehl" w:hAnsi="FrankRuehl" w:cs="FrankRuehl"/>
          <w:rtl/>
        </w:rPr>
        <w:t xml:space="preserve">חקיקה שאוזכרה: </w:t>
      </w:r>
    </w:p>
    <w:p w14:paraId="7DD9AC21" w14:textId="77777777" w:rsidR="00EE09A7" w:rsidRPr="00EE09A7" w:rsidRDefault="00EE09A7" w:rsidP="00EE09A7">
      <w:pPr>
        <w:spacing w:before="120" w:after="120" w:line="240" w:lineRule="exact"/>
        <w:ind w:left="283" w:hanging="283"/>
        <w:jc w:val="both"/>
        <w:rPr>
          <w:rFonts w:ascii="FrankRuehl" w:hAnsi="FrankRuehl" w:cs="FrankRuehl"/>
          <w:color w:val="0000FF"/>
          <w:rtl/>
        </w:rPr>
      </w:pPr>
      <w:hyperlink r:id="rId7" w:history="1">
        <w:r w:rsidRPr="00EE09A7">
          <w:rPr>
            <w:rStyle w:val="Hyperlink"/>
            <w:rFonts w:ascii="FrankRuehl" w:hAnsi="FrankRuehl" w:cs="FrankRuehl"/>
            <w:u w:val="none"/>
            <w:rtl/>
          </w:rPr>
          <w:t>חוק העונשין, תשל"ז-1977</w:t>
        </w:r>
      </w:hyperlink>
      <w:r w:rsidRPr="00EE09A7">
        <w:rPr>
          <w:rFonts w:ascii="FrankRuehl" w:hAnsi="FrankRuehl" w:cs="FrankRuehl"/>
          <w:color w:val="0000FF"/>
          <w:rtl/>
        </w:rPr>
        <w:t xml:space="preserve">: סע'  </w:t>
      </w:r>
      <w:hyperlink r:id="rId8" w:history="1">
        <w:r w:rsidRPr="00EE09A7">
          <w:rPr>
            <w:rStyle w:val="Hyperlink"/>
            <w:rFonts w:ascii="FrankRuehl" w:hAnsi="FrankRuehl" w:cs="FrankRuehl"/>
            <w:u w:val="none"/>
          </w:rPr>
          <w:t>40</w:t>
        </w:r>
        <w:r w:rsidRPr="00EE09A7">
          <w:rPr>
            <w:rStyle w:val="Hyperlink"/>
            <w:rFonts w:ascii="FrankRuehl" w:hAnsi="FrankRuehl" w:cs="FrankRuehl"/>
            <w:u w:val="none"/>
            <w:rtl/>
          </w:rPr>
          <w:t>ב</w:t>
        </w:r>
      </w:hyperlink>
      <w:r w:rsidRPr="00EE09A7">
        <w:rPr>
          <w:rFonts w:ascii="FrankRuehl" w:hAnsi="FrankRuehl" w:cs="FrankRuehl"/>
          <w:color w:val="0000FF"/>
          <w:rtl/>
        </w:rPr>
        <w:t xml:space="preserve">, </w:t>
      </w:r>
      <w:hyperlink r:id="rId9" w:history="1">
        <w:r w:rsidRPr="00EE09A7">
          <w:rPr>
            <w:rStyle w:val="Hyperlink"/>
            <w:rFonts w:ascii="FrankRuehl" w:hAnsi="FrankRuehl" w:cs="FrankRuehl"/>
            <w:u w:val="none"/>
          </w:rPr>
          <w:t>40</w:t>
        </w:r>
        <w:r w:rsidRPr="00EE09A7">
          <w:rPr>
            <w:rStyle w:val="Hyperlink"/>
            <w:rFonts w:ascii="FrankRuehl" w:hAnsi="FrankRuehl" w:cs="FrankRuehl"/>
            <w:u w:val="none"/>
            <w:rtl/>
          </w:rPr>
          <w:t>ג</w:t>
        </w:r>
      </w:hyperlink>
      <w:r w:rsidRPr="00EE09A7">
        <w:rPr>
          <w:rFonts w:ascii="FrankRuehl" w:hAnsi="FrankRuehl" w:cs="FrankRuehl"/>
          <w:color w:val="0000FF"/>
          <w:rtl/>
        </w:rPr>
        <w:t xml:space="preserve">(א), </w:t>
      </w:r>
      <w:hyperlink r:id="rId10" w:history="1">
        <w:r w:rsidRPr="00EE09A7">
          <w:rPr>
            <w:rStyle w:val="Hyperlink"/>
            <w:rFonts w:ascii="FrankRuehl" w:hAnsi="FrankRuehl" w:cs="FrankRuehl"/>
            <w:u w:val="none"/>
          </w:rPr>
          <w:t xml:space="preserve">40 </w:t>
        </w:r>
        <w:r w:rsidRPr="00EE09A7">
          <w:rPr>
            <w:rStyle w:val="Hyperlink"/>
            <w:rFonts w:ascii="FrankRuehl" w:hAnsi="FrankRuehl" w:cs="FrankRuehl"/>
            <w:u w:val="none"/>
            <w:rtl/>
          </w:rPr>
          <w:t>ג</w:t>
        </w:r>
      </w:hyperlink>
      <w:r w:rsidRPr="00EE09A7">
        <w:rPr>
          <w:rFonts w:ascii="FrankRuehl" w:hAnsi="FrankRuehl" w:cs="FrankRuehl"/>
          <w:color w:val="0000FF"/>
          <w:rtl/>
        </w:rPr>
        <w:t xml:space="preserve">(ב), </w:t>
      </w:r>
      <w:hyperlink r:id="rId11" w:history="1">
        <w:r w:rsidRPr="00EE09A7">
          <w:rPr>
            <w:rStyle w:val="Hyperlink"/>
            <w:rFonts w:ascii="FrankRuehl" w:hAnsi="FrankRuehl" w:cs="FrankRuehl"/>
            <w:u w:val="none"/>
          </w:rPr>
          <w:t>40</w:t>
        </w:r>
        <w:r w:rsidRPr="00EE09A7">
          <w:rPr>
            <w:rStyle w:val="Hyperlink"/>
            <w:rFonts w:ascii="FrankRuehl" w:hAnsi="FrankRuehl" w:cs="FrankRuehl"/>
            <w:u w:val="none"/>
            <w:rtl/>
          </w:rPr>
          <w:t>ט</w:t>
        </w:r>
        <w:r w:rsidRPr="00EE09A7">
          <w:rPr>
            <w:rStyle w:val="Hyperlink"/>
            <w:rFonts w:ascii="FrankRuehl" w:hAnsi="FrankRuehl" w:cs="FrankRuehl"/>
            <w:u w:val="none"/>
          </w:rPr>
          <w:t>.</w:t>
        </w:r>
      </w:hyperlink>
      <w:r w:rsidRPr="00EE09A7">
        <w:rPr>
          <w:rFonts w:ascii="FrankRuehl" w:hAnsi="FrankRuehl" w:cs="FrankRuehl"/>
          <w:color w:val="0000FF"/>
          <w:rtl/>
        </w:rPr>
        <w:t xml:space="preserve">, </w:t>
      </w:r>
      <w:hyperlink r:id="rId12" w:history="1">
        <w:r w:rsidRPr="00EE09A7">
          <w:rPr>
            <w:rStyle w:val="Hyperlink"/>
            <w:rFonts w:ascii="FrankRuehl" w:hAnsi="FrankRuehl" w:cs="FrankRuehl"/>
            <w:u w:val="none"/>
          </w:rPr>
          <w:t>144</w:t>
        </w:r>
      </w:hyperlink>
      <w:r w:rsidRPr="00EE09A7">
        <w:rPr>
          <w:rFonts w:ascii="FrankRuehl" w:hAnsi="FrankRuehl" w:cs="FrankRuehl"/>
          <w:color w:val="0000FF"/>
          <w:rtl/>
        </w:rPr>
        <w:t xml:space="preserve">(ב), </w:t>
      </w:r>
      <w:hyperlink r:id="rId13" w:history="1">
        <w:r w:rsidRPr="00EE09A7">
          <w:rPr>
            <w:rStyle w:val="Hyperlink"/>
            <w:rFonts w:ascii="FrankRuehl" w:hAnsi="FrankRuehl" w:cs="FrankRuehl"/>
            <w:u w:val="none"/>
          </w:rPr>
          <w:t>144</w:t>
        </w:r>
      </w:hyperlink>
      <w:r w:rsidRPr="00EE09A7">
        <w:rPr>
          <w:rFonts w:ascii="FrankRuehl" w:hAnsi="FrankRuehl" w:cs="FrankRuehl"/>
          <w:color w:val="0000FF"/>
          <w:rtl/>
        </w:rPr>
        <w:t xml:space="preserve">(ז), </w:t>
      </w:r>
      <w:hyperlink r:id="rId14" w:history="1">
        <w:r w:rsidRPr="00EE09A7">
          <w:rPr>
            <w:rStyle w:val="Hyperlink"/>
            <w:rFonts w:ascii="FrankRuehl" w:hAnsi="FrankRuehl" w:cs="FrankRuehl"/>
            <w:u w:val="none"/>
          </w:rPr>
          <w:t>329.</w:t>
        </w:r>
        <w:r w:rsidRPr="00EE09A7">
          <w:rPr>
            <w:rStyle w:val="Hyperlink"/>
            <w:rFonts w:ascii="FrankRuehl" w:hAnsi="FrankRuehl" w:cs="FrankRuehl"/>
            <w:u w:val="none"/>
            <w:rtl/>
          </w:rPr>
          <w:t>א.1</w:t>
        </w:r>
        <w:r w:rsidRPr="00EE09A7">
          <w:rPr>
            <w:rStyle w:val="Hyperlink"/>
            <w:rFonts w:ascii="FrankRuehl" w:hAnsi="FrankRuehl" w:cs="FrankRuehl"/>
            <w:u w:val="none"/>
          </w:rPr>
          <w:t>.</w:t>
        </w:r>
      </w:hyperlink>
      <w:r w:rsidRPr="00EE09A7">
        <w:rPr>
          <w:rFonts w:ascii="FrankRuehl" w:hAnsi="FrankRuehl" w:cs="FrankRuehl"/>
          <w:color w:val="0000FF"/>
          <w:rtl/>
        </w:rPr>
        <w:t xml:space="preserve">, </w:t>
      </w:r>
      <w:hyperlink r:id="rId15" w:history="1">
        <w:r w:rsidRPr="00EE09A7">
          <w:rPr>
            <w:rStyle w:val="Hyperlink"/>
            <w:rFonts w:ascii="FrankRuehl" w:hAnsi="FrankRuehl" w:cs="FrankRuehl"/>
            <w:u w:val="none"/>
          </w:rPr>
          <w:t>329</w:t>
        </w:r>
      </w:hyperlink>
      <w:r w:rsidRPr="00EE09A7">
        <w:rPr>
          <w:rFonts w:ascii="FrankRuehl" w:hAnsi="FrankRuehl" w:cs="FrankRuehl"/>
          <w:color w:val="0000FF"/>
          <w:rtl/>
        </w:rPr>
        <w:t xml:space="preserve">(א)(1)(2), </w:t>
      </w:r>
      <w:hyperlink r:id="rId16" w:history="1">
        <w:r w:rsidRPr="00EE09A7">
          <w:rPr>
            <w:rStyle w:val="Hyperlink"/>
            <w:rFonts w:ascii="FrankRuehl" w:hAnsi="FrankRuehl" w:cs="FrankRuehl"/>
            <w:u w:val="none"/>
          </w:rPr>
          <w:t>329.</w:t>
        </w:r>
        <w:r w:rsidRPr="00EE09A7">
          <w:rPr>
            <w:rStyle w:val="Hyperlink"/>
            <w:rFonts w:ascii="FrankRuehl" w:hAnsi="FrankRuehl" w:cs="FrankRuehl"/>
            <w:u w:val="none"/>
            <w:rtl/>
          </w:rPr>
          <w:t>א.2</w:t>
        </w:r>
      </w:hyperlink>
      <w:r w:rsidRPr="00EE09A7">
        <w:rPr>
          <w:rFonts w:ascii="FrankRuehl" w:hAnsi="FrankRuehl" w:cs="FrankRuehl"/>
          <w:color w:val="0000FF"/>
          <w:rtl/>
        </w:rPr>
        <w:t xml:space="preserve">, </w:t>
      </w:r>
      <w:hyperlink r:id="rId17" w:history="1">
        <w:r w:rsidRPr="00EE09A7">
          <w:rPr>
            <w:rStyle w:val="Hyperlink"/>
            <w:rFonts w:ascii="FrankRuehl" w:hAnsi="FrankRuehl" w:cs="FrankRuehl"/>
            <w:u w:val="none"/>
          </w:rPr>
          <w:t xml:space="preserve">40 </w:t>
        </w:r>
        <w:r w:rsidRPr="00EE09A7">
          <w:rPr>
            <w:rStyle w:val="Hyperlink"/>
            <w:rFonts w:ascii="FrankRuehl" w:hAnsi="FrankRuehl" w:cs="FrankRuehl"/>
            <w:u w:val="none"/>
            <w:rtl/>
          </w:rPr>
          <w:t>יא</w:t>
        </w:r>
        <w:r w:rsidRPr="00EE09A7">
          <w:rPr>
            <w:rStyle w:val="Hyperlink"/>
            <w:rFonts w:ascii="FrankRuehl" w:hAnsi="FrankRuehl" w:cs="FrankRuehl"/>
            <w:u w:val="none"/>
          </w:rPr>
          <w:t>.</w:t>
        </w:r>
      </w:hyperlink>
    </w:p>
    <w:p w14:paraId="22AD6BF2" w14:textId="77777777" w:rsidR="00800336" w:rsidRPr="00EE09A7" w:rsidRDefault="00800336" w:rsidP="00EE09A7">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0336" w14:paraId="2B5EAE5E" w14:textId="77777777" w:rsidTr="00800336">
        <w:trPr>
          <w:trHeight w:val="355"/>
          <w:jc w:val="center"/>
        </w:trPr>
        <w:tc>
          <w:tcPr>
            <w:tcW w:w="8820" w:type="dxa"/>
            <w:tcBorders>
              <w:top w:val="nil"/>
              <w:left w:val="nil"/>
              <w:bottom w:val="nil"/>
              <w:right w:val="nil"/>
            </w:tcBorders>
            <w:shd w:val="clear" w:color="auto" w:fill="auto"/>
          </w:tcPr>
          <w:p w14:paraId="7212E36D" w14:textId="77777777" w:rsidR="00E0787E" w:rsidRPr="00E0787E" w:rsidRDefault="00E0787E" w:rsidP="00E0787E">
            <w:pPr>
              <w:jc w:val="center"/>
              <w:rPr>
                <w:rFonts w:ascii="David" w:hAnsi="David"/>
                <w:b/>
                <w:bCs/>
                <w:sz w:val="32"/>
                <w:szCs w:val="32"/>
                <w:u w:val="single"/>
                <w:rtl/>
              </w:rPr>
            </w:pPr>
            <w:bookmarkStart w:id="5" w:name="PsakDin" w:colFirst="0" w:colLast="0"/>
            <w:bookmarkEnd w:id="0"/>
            <w:r w:rsidRPr="00E0787E">
              <w:rPr>
                <w:rFonts w:ascii="David" w:hAnsi="David"/>
                <w:b/>
                <w:bCs/>
                <w:sz w:val="32"/>
                <w:szCs w:val="32"/>
                <w:u w:val="single"/>
                <w:rtl/>
              </w:rPr>
              <w:t>גזר דין</w:t>
            </w:r>
          </w:p>
          <w:p w14:paraId="59ABB57F" w14:textId="77777777" w:rsidR="00800336" w:rsidRPr="00E0787E" w:rsidRDefault="00800336" w:rsidP="00E0787E">
            <w:pPr>
              <w:jc w:val="center"/>
              <w:rPr>
                <w:rFonts w:ascii="David" w:hAnsi="David"/>
                <w:bCs/>
                <w:sz w:val="32"/>
                <w:szCs w:val="32"/>
                <w:u w:val="single"/>
                <w:rtl/>
              </w:rPr>
            </w:pPr>
          </w:p>
        </w:tc>
      </w:tr>
      <w:bookmarkEnd w:id="5"/>
    </w:tbl>
    <w:p w14:paraId="6A540ED5" w14:textId="77777777" w:rsidR="00800336" w:rsidRPr="000F2247" w:rsidRDefault="00800336" w:rsidP="00800336">
      <w:pPr>
        <w:rPr>
          <w:rFonts w:ascii="Arial" w:hAnsi="Arial"/>
          <w:b/>
          <w:bCs/>
          <w:sz w:val="26"/>
          <w:szCs w:val="26"/>
          <w:rtl/>
        </w:rPr>
      </w:pPr>
    </w:p>
    <w:p w14:paraId="35C9F48B" w14:textId="77777777" w:rsidR="00800336" w:rsidRDefault="00800336" w:rsidP="00800336">
      <w:pPr>
        <w:pStyle w:val="a9"/>
        <w:spacing w:line="360" w:lineRule="auto"/>
        <w:jc w:val="both"/>
        <w:rPr>
          <w:rFonts w:ascii="David" w:hAnsi="David" w:cs="David"/>
          <w:bCs/>
          <w:szCs w:val="24"/>
          <w:u w:val="single"/>
        </w:rPr>
      </w:pPr>
      <w:r>
        <w:rPr>
          <w:rFonts w:ascii="David" w:hAnsi="David" w:cs="David"/>
          <w:bCs/>
          <w:szCs w:val="24"/>
          <w:u w:val="single"/>
          <w:rtl/>
        </w:rPr>
        <w:t>כללי</w:t>
      </w:r>
    </w:p>
    <w:p w14:paraId="1FB7594E" w14:textId="77777777" w:rsidR="00800336" w:rsidRDefault="00800336" w:rsidP="00800336">
      <w:pPr>
        <w:spacing w:line="360" w:lineRule="auto"/>
        <w:ind w:left="84"/>
        <w:jc w:val="both"/>
        <w:rPr>
          <w:rFonts w:ascii="David" w:hAnsi="David"/>
        </w:rPr>
      </w:pPr>
    </w:p>
    <w:p w14:paraId="57E9D2E3" w14:textId="77777777" w:rsidR="00800336" w:rsidRDefault="00800336" w:rsidP="00800336">
      <w:pPr>
        <w:pStyle w:val="a9"/>
        <w:numPr>
          <w:ilvl w:val="0"/>
          <w:numId w:val="1"/>
        </w:numPr>
        <w:spacing w:line="360" w:lineRule="auto"/>
        <w:jc w:val="both"/>
        <w:rPr>
          <w:rFonts w:ascii="David" w:hAnsi="David" w:cs="David"/>
          <w:szCs w:val="24"/>
          <w:rtl/>
        </w:rPr>
      </w:pPr>
      <w:bookmarkStart w:id="6" w:name="ABSTRACT_START"/>
      <w:bookmarkEnd w:id="6"/>
      <w:r>
        <w:rPr>
          <w:rFonts w:ascii="David" w:hAnsi="David" w:cs="David"/>
          <w:szCs w:val="24"/>
          <w:rtl/>
        </w:rPr>
        <w:t xml:space="preserve">הנאשם </w:t>
      </w:r>
      <w:r>
        <w:rPr>
          <w:rFonts w:ascii="David" w:hAnsi="David" w:cs="David"/>
          <w:color w:val="000000"/>
          <w:szCs w:val="24"/>
          <w:rtl/>
        </w:rPr>
        <w:t>הורשע ב</w:t>
      </w:r>
      <w:r>
        <w:rPr>
          <w:rFonts w:ascii="David" w:hAnsi="David" w:cs="David"/>
          <w:szCs w:val="24"/>
          <w:rtl/>
        </w:rPr>
        <w:t xml:space="preserve">ביצוע עבירות של חבלה בכוונה מחמירה – עבירה לפי סעיף </w:t>
      </w:r>
      <w:hyperlink r:id="rId18" w:history="1">
        <w:r w:rsidR="00EE09A7" w:rsidRPr="00EE09A7">
          <w:rPr>
            <w:rStyle w:val="Hyperlink"/>
            <w:rFonts w:ascii="David" w:hAnsi="David" w:cs="David"/>
            <w:color w:val="0000FF"/>
            <w:szCs w:val="24"/>
            <w:rtl/>
          </w:rPr>
          <w:t>329(א)(1) + (2)</w:t>
        </w:r>
      </w:hyperlink>
      <w:r>
        <w:rPr>
          <w:rFonts w:ascii="David" w:hAnsi="David" w:cs="David"/>
          <w:szCs w:val="24"/>
          <w:rtl/>
        </w:rPr>
        <w:t xml:space="preserve"> </w:t>
      </w:r>
      <w:r>
        <w:rPr>
          <w:rFonts w:ascii="David" w:hAnsi="David" w:cs="David"/>
          <w:b/>
          <w:szCs w:val="24"/>
          <w:rtl/>
        </w:rPr>
        <w:t>ל</w:t>
      </w:r>
      <w:hyperlink r:id="rId19" w:history="1">
        <w:r w:rsidR="00E0787E" w:rsidRPr="00E0787E">
          <w:rPr>
            <w:rFonts w:ascii="David" w:hAnsi="David" w:cs="David"/>
            <w:b/>
            <w:color w:val="0000FF"/>
            <w:szCs w:val="24"/>
            <w:u w:val="single"/>
            <w:rtl/>
          </w:rPr>
          <w:t>חוק העונשין</w:t>
        </w:r>
      </w:hyperlink>
      <w:r>
        <w:rPr>
          <w:rFonts w:ascii="David" w:hAnsi="David" w:cs="David"/>
          <w:b/>
          <w:szCs w:val="24"/>
          <w:rtl/>
        </w:rPr>
        <w:t>, התשל"ז-1977</w:t>
      </w:r>
      <w:r>
        <w:rPr>
          <w:rFonts w:ascii="David" w:hAnsi="David" w:cs="David"/>
          <w:szCs w:val="24"/>
          <w:rtl/>
        </w:rPr>
        <w:t xml:space="preserve"> ועבירות בנשק (נשיאה והובלה)- עבירה לפי </w:t>
      </w:r>
      <w:hyperlink r:id="rId20" w:history="1">
        <w:r w:rsidR="00EE09A7" w:rsidRPr="00EE09A7">
          <w:rPr>
            <w:rStyle w:val="Hyperlink"/>
            <w:rFonts w:ascii="David" w:hAnsi="David" w:cs="David"/>
            <w:color w:val="0000FF"/>
            <w:szCs w:val="24"/>
            <w:rtl/>
          </w:rPr>
          <w:t>סעיף 144(ב)</w:t>
        </w:r>
      </w:hyperlink>
      <w:r>
        <w:rPr>
          <w:rFonts w:ascii="David" w:hAnsi="David" w:cs="David"/>
          <w:szCs w:val="24"/>
          <w:rtl/>
        </w:rPr>
        <w:t xml:space="preserve"> רישא וסיפא לחוק העונשין, התשל"ז – 1977</w:t>
      </w:r>
      <w:bookmarkStart w:id="7" w:name="ABSTRACT_END"/>
      <w:bookmarkEnd w:id="7"/>
      <w:r>
        <w:rPr>
          <w:rFonts w:ascii="David" w:hAnsi="David" w:cs="David"/>
          <w:szCs w:val="24"/>
          <w:rtl/>
        </w:rPr>
        <w:t>, (להלן-"</w:t>
      </w:r>
      <w:r>
        <w:rPr>
          <w:rFonts w:ascii="David" w:hAnsi="David" w:cs="David"/>
          <w:bCs/>
          <w:szCs w:val="24"/>
          <w:rtl/>
        </w:rPr>
        <w:t>חוק העונשין</w:t>
      </w:r>
      <w:r>
        <w:rPr>
          <w:rFonts w:ascii="David" w:hAnsi="David" w:cs="David"/>
          <w:szCs w:val="24"/>
          <w:rtl/>
        </w:rPr>
        <w:t>").</w:t>
      </w:r>
    </w:p>
    <w:p w14:paraId="404C283B" w14:textId="77777777" w:rsidR="00800336" w:rsidRDefault="00800336" w:rsidP="00800336">
      <w:pPr>
        <w:spacing w:line="360" w:lineRule="auto"/>
        <w:ind w:left="84"/>
        <w:jc w:val="both"/>
        <w:rPr>
          <w:rFonts w:ascii="David" w:hAnsi="David"/>
          <w:rtl/>
        </w:rPr>
      </w:pPr>
    </w:p>
    <w:p w14:paraId="44B02A23"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על פי הנטען בכתב האישום:</w:t>
      </w:r>
    </w:p>
    <w:p w14:paraId="354D5E3A"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 xml:space="preserve">בזמנים הרלוונטיים לכתב האישום, היו משפחת הנאשם ומשפחתו של מוחמד סאמי עמאש /המתלונן, קטין יליד שנת 2005 </w:t>
      </w:r>
      <w:r>
        <w:rPr>
          <w:rFonts w:ascii="David" w:hAnsi="David" w:cs="David"/>
          <w:b/>
          <w:szCs w:val="24"/>
          <w:rtl/>
        </w:rPr>
        <w:t>(</w:t>
      </w:r>
      <w:r>
        <w:rPr>
          <w:rFonts w:ascii="David" w:hAnsi="David" w:cs="David"/>
          <w:szCs w:val="24"/>
          <w:rtl/>
        </w:rPr>
        <w:t>להלן:</w:t>
      </w:r>
      <w:r>
        <w:rPr>
          <w:rFonts w:ascii="David" w:hAnsi="David" w:cs="David"/>
          <w:b/>
          <w:szCs w:val="24"/>
          <w:rtl/>
        </w:rPr>
        <w:t xml:space="preserve"> "</w:t>
      </w:r>
      <w:r>
        <w:rPr>
          <w:rFonts w:ascii="David" w:hAnsi="David" w:cs="David"/>
          <w:bCs/>
          <w:szCs w:val="24"/>
          <w:rtl/>
        </w:rPr>
        <w:t>המתלונן</w:t>
      </w:r>
      <w:r>
        <w:rPr>
          <w:rFonts w:ascii="David" w:hAnsi="David" w:cs="David"/>
          <w:b/>
          <w:szCs w:val="24"/>
          <w:rtl/>
        </w:rPr>
        <w:t>")</w:t>
      </w:r>
      <w:r>
        <w:rPr>
          <w:rFonts w:ascii="David" w:hAnsi="David" w:cs="David"/>
          <w:szCs w:val="24"/>
          <w:rtl/>
        </w:rPr>
        <w:t xml:space="preserve"> מצויים בסכסוך. </w:t>
      </w:r>
    </w:p>
    <w:p w14:paraId="7424A4EB"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בזמנים הרלוונטיים היו המתלונן וחברו הקטין סאהר עמאש, (להלן:"</w:t>
      </w:r>
      <w:r>
        <w:rPr>
          <w:rFonts w:ascii="David" w:hAnsi="David" w:cs="David"/>
          <w:bCs/>
          <w:szCs w:val="24"/>
          <w:rtl/>
        </w:rPr>
        <w:t>סאהר</w:t>
      </w:r>
      <w:r>
        <w:rPr>
          <w:rFonts w:ascii="David" w:hAnsi="David" w:cs="David"/>
          <w:b/>
          <w:szCs w:val="24"/>
          <w:rtl/>
        </w:rPr>
        <w:t xml:space="preserve">") </w:t>
      </w:r>
      <w:r>
        <w:rPr>
          <w:rFonts w:ascii="David" w:hAnsi="David" w:cs="David"/>
          <w:szCs w:val="24"/>
          <w:rtl/>
        </w:rPr>
        <w:t>תלמידים בבית ספר תיכון מקיף "אלמנארה" בג'סר א-זרקא.</w:t>
      </w:r>
    </w:p>
    <w:p w14:paraId="3CD7C102"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במועד שאינו ידוע במדויק, סמוך לפני מועד אירוע הירי מושא האישום, החזיק הנאשם בנשק מסוג תת מקלע או בנשק דומה, ובמחסנית לנשק ובתחמושת המתאימה לנשק, בלא רשות על פי דין להחזקתם, והחליט לירות ולפגוע במתלונן באמצעות תת המקלע, על רקע הסכסוך בין המשפחות, בכוונה להטיל בו נכות או מום או לגרום לו לחבלה חמורה.</w:t>
      </w:r>
    </w:p>
    <w:p w14:paraId="3C144A76"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 xml:space="preserve">בהמשך להחלטתו, ביום 23/02/2022 סמוך לשעה 11:20, הגיע הנאשם סמוך לבית הספר בו לומד המתלונן, כאשר הוא נושא ומוביל עמו את תת המקלע כשהוא טעון במחסנית </w:t>
      </w:r>
      <w:r>
        <w:rPr>
          <w:rFonts w:ascii="David" w:hAnsi="David" w:cs="David"/>
          <w:szCs w:val="24"/>
          <w:rtl/>
        </w:rPr>
        <w:lastRenderedPageBreak/>
        <w:t>ובתחמושת, ביודעו כי המתלונן אמור לצאת באותה עת מבית הספר, על מנת לירות ולפגוע בו באמצעות תת המקלע. הנאשם הגיע למקום יחד עם אחרים ברכב מסוג מאזדה בו נהג מוחמד דיאב עמאש,</w:t>
      </w:r>
      <w:r>
        <w:rPr>
          <w:rFonts w:ascii="David" w:hAnsi="David" w:cs="David"/>
          <w:b/>
          <w:szCs w:val="24"/>
          <w:rtl/>
        </w:rPr>
        <w:t xml:space="preserve"> </w:t>
      </w:r>
      <w:r>
        <w:rPr>
          <w:rFonts w:ascii="David" w:hAnsi="David" w:cs="David"/>
          <w:szCs w:val="24"/>
          <w:rtl/>
        </w:rPr>
        <w:t>קטין יליד אוקטובר 2004.</w:t>
      </w:r>
    </w:p>
    <w:p w14:paraId="71795772"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 xml:space="preserve">בשעה 11:20 או בסמוך לכך, ירד הנאשם מהרכב כשהוא אוחז בתת המקלע הטעון. הנאשם חבש לראשו כובע שהיה מחובר לחולצתו (קפוצ'ון) ועטה על פניו מסכה רפואית – מסכת קורונה, כדי להקשות על זיהויו. אותה עת יצאו מבית הספר בתום יום הלימודים המתלונן, מוחמד אחמד עמאש, סאהר ונוספים, בהם קטינים. </w:t>
      </w:r>
    </w:p>
    <w:p w14:paraId="571CB4A9"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משהבחין הנאשם במתלונן, כיוון את תת המקלע לעברו, כשבסמוך לו היו באותה עת סאהר וקטינים נוספים, וירה לכיוונם מספר כדורים, מטווח של מטרים ספורים, וזאת במטרה להטיל במתלונן נכות או מום או לגרום לו חבלה חמורה. מיד בהמשך, נמלט הנאשם מהמקום ברכב כשהוא נושא ומוביל את תת המקלע. בתגובה לירי, החלו המתלונן, סאהר ונוספים שהיו ליד המתלונן להימלט בריצה.</w:t>
      </w:r>
    </w:p>
    <w:p w14:paraId="034BA82A"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אחד מהקליעים שירה הנאשם פגע ברגלו השמאלית של סאהר ופצע אותו. כתוצאה מהירי, נגרמו לסאהר פצעי כניסה ויציאה בשוק שמאל, הוא נזקק לטיפול רפואי ואושפז למשך יומיים.</w:t>
      </w:r>
    </w:p>
    <w:p w14:paraId="087F14E6" w14:textId="77777777" w:rsidR="00800336" w:rsidRDefault="00800336" w:rsidP="00800336">
      <w:pPr>
        <w:pStyle w:val="a9"/>
        <w:spacing w:line="360" w:lineRule="auto"/>
        <w:ind w:left="84"/>
        <w:jc w:val="both"/>
        <w:rPr>
          <w:rFonts w:ascii="David" w:hAnsi="David" w:cs="David"/>
          <w:szCs w:val="24"/>
          <w:rtl/>
        </w:rPr>
      </w:pPr>
    </w:p>
    <w:p w14:paraId="0E517388"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הנאשם כפר במיוחס לו, טען שלא מכיר את המתלונן, טען כי לא קיים סכסוך קודם, וכי קיימת לו טענת אליבי. בהמשך, לאחר ניהול הוכחות מלא, לאחר שגרסתו נדחתה ולאחר שהמאשימה הוכיחה את האישום למעלה מספק סביר, הורשע הנאשם בהכרעת הדין מיום 22/11/23 במלוא המיוחס לו.</w:t>
      </w:r>
    </w:p>
    <w:p w14:paraId="65C9E6CF" w14:textId="77777777" w:rsidR="00800336" w:rsidRDefault="00800336" w:rsidP="00800336">
      <w:pPr>
        <w:spacing w:line="360" w:lineRule="auto"/>
        <w:ind w:left="84"/>
        <w:jc w:val="both"/>
        <w:rPr>
          <w:rtl/>
        </w:rPr>
      </w:pPr>
    </w:p>
    <w:p w14:paraId="0DA88FEC" w14:textId="77777777" w:rsidR="00800336" w:rsidRDefault="00800336" w:rsidP="00800336">
      <w:pPr>
        <w:pStyle w:val="a9"/>
        <w:spacing w:line="360" w:lineRule="auto"/>
        <w:jc w:val="both"/>
        <w:rPr>
          <w:rFonts w:ascii="David" w:hAnsi="David" w:cs="David"/>
          <w:b/>
          <w:szCs w:val="24"/>
          <w:u w:val="single"/>
          <w:rtl/>
        </w:rPr>
      </w:pPr>
      <w:r>
        <w:rPr>
          <w:rFonts w:ascii="David" w:hAnsi="David" w:cs="David"/>
          <w:b/>
          <w:szCs w:val="24"/>
          <w:u w:val="single"/>
          <w:rtl/>
        </w:rPr>
        <w:t>תסקיר שירות המבחן מיום 21/12/2023</w:t>
      </w:r>
    </w:p>
    <w:p w14:paraId="16A5FE25" w14:textId="77777777" w:rsidR="00800336" w:rsidRDefault="00800336" w:rsidP="00800336">
      <w:pPr>
        <w:pStyle w:val="a9"/>
        <w:spacing w:line="360" w:lineRule="auto"/>
        <w:jc w:val="both"/>
        <w:rPr>
          <w:rFonts w:ascii="David" w:hAnsi="David" w:cs="David"/>
          <w:b/>
          <w:szCs w:val="24"/>
          <w:u w:val="single"/>
          <w:rtl/>
        </w:rPr>
      </w:pPr>
    </w:p>
    <w:p w14:paraId="791387C3"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הנאשם, בן 21, רווק, טרם מעצרו התגורר עם הוריו בכפר ג'סר א-זרקא</w:t>
      </w:r>
      <w:r>
        <w:rPr>
          <w:rFonts w:ascii="David" w:hAnsi="David" w:cs="David"/>
          <w:szCs w:val="24"/>
        </w:rPr>
        <w:t>'</w:t>
      </w:r>
      <w:r>
        <w:rPr>
          <w:rFonts w:ascii="David" w:hAnsi="David" w:cs="David"/>
          <w:szCs w:val="24"/>
          <w:rtl/>
        </w:rPr>
        <w:t xml:space="preserve"> עבד כמלצר במלון בהרצליה וכן במאפיה השייכת לקרוב משפחה. </w:t>
      </w:r>
    </w:p>
    <w:p w14:paraId="7D4C3820" w14:textId="77777777" w:rsidR="00800336" w:rsidRDefault="00800336" w:rsidP="00800336">
      <w:pPr>
        <w:pStyle w:val="a9"/>
        <w:spacing w:line="360" w:lineRule="auto"/>
        <w:jc w:val="both"/>
        <w:rPr>
          <w:rFonts w:ascii="David" w:hAnsi="David" w:cs="David"/>
          <w:szCs w:val="24"/>
        </w:rPr>
      </w:pPr>
      <w:r>
        <w:rPr>
          <w:rFonts w:ascii="David" w:hAnsi="David" w:cs="David"/>
          <w:szCs w:val="24"/>
          <w:rtl/>
        </w:rPr>
        <w:t>משפחת הנאשם כוללת 6 נפשות. זוג הורים ולהם 4 ילדים, בטווח גילאים, 12 עד 27 שנים.</w:t>
      </w:r>
    </w:p>
    <w:p w14:paraId="7012203A" w14:textId="77777777" w:rsidR="00800336" w:rsidRDefault="00800336" w:rsidP="00800336">
      <w:pPr>
        <w:pStyle w:val="Ruller4"/>
        <w:ind w:left="720"/>
        <w:rPr>
          <w:rFonts w:ascii="David" w:hAnsi="David" w:cs="David"/>
          <w:sz w:val="24"/>
          <w:szCs w:val="24"/>
        </w:rPr>
      </w:pPr>
      <w:r>
        <w:rPr>
          <w:rFonts w:ascii="David" w:hAnsi="David" w:cs="David"/>
          <w:sz w:val="24"/>
          <w:szCs w:val="24"/>
          <w:rtl/>
        </w:rPr>
        <w:t>הנאשם הוא הילד השלישי, בסדר הילודה כאשר אחיו הבכור סובל מנכות כתוצאה מפגיעה בתאונת דרכים על ידי אחי המתלונן, דבר העומד בבסיס המניע לביצוע העבירות, כפי שנקבע בהכרעת הדין. אחיו הקטן בן 12, מאובחן כסובל מאוטיזם, לומד בבית ספר לחינוך מיוחד בכפר קרע.</w:t>
      </w:r>
    </w:p>
    <w:p w14:paraId="026B53F9" w14:textId="77777777" w:rsidR="00800336" w:rsidRDefault="00800336" w:rsidP="00800336">
      <w:pPr>
        <w:pStyle w:val="Ruller4"/>
        <w:rPr>
          <w:rFonts w:ascii="David" w:hAnsi="David" w:cs="David"/>
          <w:sz w:val="24"/>
          <w:szCs w:val="24"/>
        </w:rPr>
      </w:pPr>
    </w:p>
    <w:p w14:paraId="6A813785" w14:textId="77777777" w:rsidR="00800336" w:rsidRDefault="00800336" w:rsidP="00800336">
      <w:pPr>
        <w:pStyle w:val="Ruller4"/>
        <w:numPr>
          <w:ilvl w:val="0"/>
          <w:numId w:val="1"/>
        </w:numPr>
        <w:rPr>
          <w:rFonts w:ascii="David" w:hAnsi="David" w:cs="David"/>
          <w:sz w:val="24"/>
          <w:szCs w:val="24"/>
          <w:rtl/>
        </w:rPr>
      </w:pPr>
      <w:r>
        <w:rPr>
          <w:rFonts w:ascii="David" w:hAnsi="David" w:cs="David"/>
          <w:sz w:val="24"/>
          <w:szCs w:val="24"/>
          <w:rtl/>
        </w:rPr>
        <w:t xml:space="preserve">לנאשם אין הרשעות קודמות ועל פי דבריו גם לא למי ממשפחתו, שהיא משפחה נורמטיבית תומכת. </w:t>
      </w:r>
    </w:p>
    <w:p w14:paraId="7A3BCEC5" w14:textId="77777777" w:rsidR="00800336" w:rsidRDefault="00800336" w:rsidP="00800336">
      <w:pPr>
        <w:pStyle w:val="Ruller4"/>
        <w:ind w:left="84"/>
        <w:rPr>
          <w:rFonts w:ascii="David" w:hAnsi="David" w:cs="David"/>
          <w:sz w:val="24"/>
          <w:szCs w:val="24"/>
          <w:rtl/>
        </w:rPr>
      </w:pPr>
    </w:p>
    <w:p w14:paraId="63784A29" w14:textId="77777777" w:rsidR="00800336" w:rsidRDefault="00800336" w:rsidP="00800336">
      <w:pPr>
        <w:pStyle w:val="Ruller4"/>
        <w:numPr>
          <w:ilvl w:val="0"/>
          <w:numId w:val="1"/>
        </w:numPr>
        <w:rPr>
          <w:rFonts w:ascii="David" w:hAnsi="David" w:cs="David"/>
          <w:sz w:val="24"/>
          <w:szCs w:val="24"/>
          <w:rtl/>
        </w:rPr>
      </w:pPr>
      <w:r>
        <w:rPr>
          <w:rFonts w:ascii="David" w:hAnsi="David" w:cs="David"/>
          <w:sz w:val="24"/>
          <w:szCs w:val="24"/>
          <w:rtl/>
        </w:rPr>
        <w:lastRenderedPageBreak/>
        <w:t>באשר לעבירות הנדונות הנאשם הרחיק את עצמו מהעבירה הנדונה. הוא מסר שהוא לא מכיר את הבחור שנפצע מהירי ואף מתכוון לערער לבית המשפט העליון על הכרעת הדין.</w:t>
      </w:r>
    </w:p>
    <w:p w14:paraId="18C1E4A2" w14:textId="77777777" w:rsidR="00800336" w:rsidRDefault="00800336" w:rsidP="00800336">
      <w:pPr>
        <w:pStyle w:val="Ruller4"/>
        <w:ind w:left="84"/>
        <w:rPr>
          <w:rFonts w:ascii="David" w:hAnsi="David" w:cs="David"/>
          <w:sz w:val="24"/>
          <w:szCs w:val="24"/>
        </w:rPr>
      </w:pPr>
    </w:p>
    <w:p w14:paraId="616CD73E" w14:textId="77777777" w:rsidR="00800336" w:rsidRDefault="00800336" w:rsidP="00800336">
      <w:pPr>
        <w:pStyle w:val="Ruller4"/>
        <w:numPr>
          <w:ilvl w:val="0"/>
          <w:numId w:val="1"/>
        </w:numPr>
        <w:rPr>
          <w:rFonts w:ascii="David" w:hAnsi="David" w:cs="David"/>
          <w:sz w:val="24"/>
          <w:szCs w:val="24"/>
          <w:rtl/>
        </w:rPr>
      </w:pPr>
      <w:r>
        <w:rPr>
          <w:rFonts w:ascii="David" w:hAnsi="David" w:cs="David"/>
          <w:sz w:val="24"/>
          <w:szCs w:val="24"/>
          <w:rtl/>
        </w:rPr>
        <w:t xml:space="preserve">שירות המבחן התרשם מעמדה שטחית וקושי להכיר בפוטנציאל הפגיעה באחרים. הנאשם גדל במשפחה המתמודדת עם קשיי תפקוד שונים. להערכת השרות, הנאשם נדרש לקבל על עצמו תפקידים בוגרים, טרם גיבוש היכולת לכך, דבר שניכר שיצר אצלו תסכולים רבים. </w:t>
      </w:r>
    </w:p>
    <w:p w14:paraId="278A4ECD" w14:textId="77777777" w:rsidR="00800336" w:rsidRDefault="00800336" w:rsidP="00800336">
      <w:pPr>
        <w:pStyle w:val="Ruller4"/>
        <w:ind w:left="720"/>
        <w:rPr>
          <w:rFonts w:ascii="David" w:hAnsi="David" w:cs="David"/>
          <w:sz w:val="24"/>
          <w:szCs w:val="24"/>
          <w:rtl/>
        </w:rPr>
      </w:pPr>
      <w:r>
        <w:rPr>
          <w:rFonts w:ascii="David" w:hAnsi="David" w:cs="David"/>
          <w:sz w:val="24"/>
          <w:szCs w:val="24"/>
          <w:rtl/>
        </w:rPr>
        <w:t>שירות המבחן התרשם כי מדובר בבחור חסר בשלות, שעושה מאמץ לתפקד בחייו אך מגלה קשיים בהתמודדות יעילה במצבים רגשיים מורכבים. השירות התרשם כי הנאשם בעל מאפייני אישיות בלתי מגובשים</w:t>
      </w:r>
      <w:r>
        <w:rPr>
          <w:rFonts w:ascii="David" w:hAnsi="David" w:cs="David"/>
          <w:color w:val="FF0000"/>
          <w:sz w:val="24"/>
          <w:szCs w:val="24"/>
          <w:rtl/>
        </w:rPr>
        <w:t>,</w:t>
      </w:r>
      <w:r>
        <w:rPr>
          <w:rFonts w:ascii="David" w:hAnsi="David" w:cs="David"/>
          <w:sz w:val="24"/>
          <w:szCs w:val="24"/>
          <w:rtl/>
        </w:rPr>
        <w:t xml:space="preserve"> וטרם הצליח לגבש לעצמו מטרות ברורות בחייו.</w:t>
      </w:r>
    </w:p>
    <w:p w14:paraId="7FFDC9D0" w14:textId="77777777" w:rsidR="00800336" w:rsidRDefault="00800336" w:rsidP="00800336">
      <w:pPr>
        <w:pStyle w:val="Ruller4"/>
        <w:ind w:left="720"/>
        <w:rPr>
          <w:rFonts w:ascii="David" w:hAnsi="David" w:cs="David"/>
          <w:sz w:val="24"/>
          <w:szCs w:val="24"/>
          <w:rtl/>
        </w:rPr>
      </w:pPr>
      <w:r>
        <w:rPr>
          <w:rFonts w:ascii="David" w:hAnsi="David" w:cs="David"/>
          <w:sz w:val="24"/>
          <w:szCs w:val="24"/>
          <w:rtl/>
        </w:rPr>
        <w:t>השירות התרשם כי ברמה הרגשית האישיותית קיימים קשיים הבאים לידי ביטוי בנוקשות חשיבתית, התמודדות לא יעילה עם מצבי רוח, אימפולסיביות, דפוסי הסתרה וקושי להיעזר בסביבה לפתרון קשייו.</w:t>
      </w:r>
    </w:p>
    <w:p w14:paraId="46342B5F" w14:textId="77777777" w:rsidR="00800336" w:rsidRDefault="00800336" w:rsidP="00800336">
      <w:pPr>
        <w:pStyle w:val="Ruller4"/>
        <w:ind w:left="720"/>
        <w:rPr>
          <w:rFonts w:ascii="David" w:hAnsi="David" w:cs="David"/>
          <w:sz w:val="24"/>
          <w:szCs w:val="24"/>
          <w:rtl/>
        </w:rPr>
      </w:pPr>
      <w:r>
        <w:rPr>
          <w:rFonts w:ascii="David" w:hAnsi="David" w:cs="David"/>
          <w:sz w:val="24"/>
          <w:szCs w:val="24"/>
          <w:rtl/>
        </w:rPr>
        <w:t>השירות התרשם כי הנאשם מתקשה להכיל את רגשותיו המורכבים וניכרת יכולת מוגבלת לוויסות דחפיו, במצבים מורכבים רגשית עבורו. כך, לדעת השרות, הוא עלול לפעול באימפולסיביות ולא לחשוב על השלכות מעשיו. השירות התרשם מחוסר היכולת לחוש אמפתיה, הן ברמה הקוגניטיבית והן ברמה הרגשית.</w:t>
      </w:r>
    </w:p>
    <w:p w14:paraId="5A70AA43" w14:textId="77777777" w:rsidR="00800336" w:rsidRDefault="00800336" w:rsidP="00800336">
      <w:pPr>
        <w:pStyle w:val="Ruller4"/>
        <w:ind w:left="84"/>
        <w:rPr>
          <w:rFonts w:ascii="David" w:hAnsi="David" w:cs="David"/>
          <w:sz w:val="24"/>
          <w:szCs w:val="24"/>
        </w:rPr>
      </w:pPr>
    </w:p>
    <w:p w14:paraId="2F40A282" w14:textId="77777777" w:rsidR="00800336" w:rsidRDefault="00800336" w:rsidP="00800336">
      <w:pPr>
        <w:pStyle w:val="Ruller4"/>
        <w:ind w:left="720"/>
        <w:rPr>
          <w:rFonts w:ascii="David" w:hAnsi="David" w:cs="David"/>
          <w:sz w:val="24"/>
          <w:szCs w:val="24"/>
          <w:rtl/>
        </w:rPr>
      </w:pPr>
      <w:r>
        <w:rPr>
          <w:rFonts w:ascii="David" w:hAnsi="David" w:cs="David"/>
          <w:sz w:val="24"/>
          <w:szCs w:val="24"/>
          <w:rtl/>
        </w:rPr>
        <w:t xml:space="preserve">כאמור, הנאשם לא נוטל אחריות על ביצוע העבירות. הוא הרחיק את עצמו מהמעשים שיוחסו לו ולהערכת השירות, ייתכן שהוא מסתיר חלקים בעייתיים ומכשילים סביב התנהלותו וסביב קשרים פסולים בסביבתו. </w:t>
      </w:r>
    </w:p>
    <w:p w14:paraId="5DA72AB8" w14:textId="77777777" w:rsidR="00800336" w:rsidRDefault="00800336" w:rsidP="00800336">
      <w:pPr>
        <w:pStyle w:val="Ruller4"/>
        <w:ind w:left="720"/>
        <w:rPr>
          <w:rFonts w:ascii="David" w:hAnsi="David" w:cs="David"/>
          <w:sz w:val="24"/>
          <w:szCs w:val="24"/>
        </w:rPr>
      </w:pPr>
    </w:p>
    <w:p w14:paraId="711EB859" w14:textId="77777777" w:rsidR="00800336" w:rsidRDefault="00800336" w:rsidP="00800336">
      <w:pPr>
        <w:pStyle w:val="Ruller4"/>
        <w:numPr>
          <w:ilvl w:val="0"/>
          <w:numId w:val="1"/>
        </w:numPr>
        <w:rPr>
          <w:rFonts w:ascii="David" w:hAnsi="David" w:cs="David"/>
          <w:sz w:val="24"/>
          <w:szCs w:val="24"/>
          <w:rtl/>
        </w:rPr>
      </w:pPr>
      <w:r>
        <w:rPr>
          <w:rFonts w:ascii="David" w:hAnsi="David" w:cs="David"/>
          <w:sz w:val="24"/>
          <w:szCs w:val="24"/>
          <w:rtl/>
        </w:rPr>
        <w:t>בהתאם, סבור שירות המבחן כי קיים סיכון גבוה בינוני להישנות התנהגות דומה בעתיד. לאור כל האמור לעיל, ונוכח אי לקיחת אחריות, שירות המבחן לא בא בהמלצה שיקומית בעניינו.</w:t>
      </w:r>
    </w:p>
    <w:p w14:paraId="42931090" w14:textId="77777777" w:rsidR="00800336" w:rsidRDefault="00800336" w:rsidP="00800336">
      <w:pPr>
        <w:pStyle w:val="a9"/>
        <w:spacing w:line="360" w:lineRule="auto"/>
        <w:ind w:left="84"/>
        <w:jc w:val="both"/>
        <w:rPr>
          <w:rFonts w:ascii="David" w:hAnsi="David" w:cs="David"/>
          <w:szCs w:val="24"/>
          <w:rtl/>
        </w:rPr>
      </w:pPr>
    </w:p>
    <w:p w14:paraId="1EEF4340" w14:textId="77777777" w:rsidR="00800336" w:rsidRDefault="00800336" w:rsidP="00800336">
      <w:pPr>
        <w:pStyle w:val="a9"/>
        <w:spacing w:line="360" w:lineRule="auto"/>
        <w:jc w:val="both"/>
        <w:rPr>
          <w:rFonts w:ascii="David" w:hAnsi="David" w:cs="David"/>
          <w:bCs/>
          <w:szCs w:val="24"/>
          <w:u w:val="single"/>
          <w:rtl/>
        </w:rPr>
      </w:pPr>
      <w:r>
        <w:rPr>
          <w:rFonts w:ascii="David" w:hAnsi="David" w:cs="David"/>
          <w:bCs/>
          <w:szCs w:val="24"/>
          <w:u w:val="single"/>
          <w:rtl/>
        </w:rPr>
        <w:t>טענות המאשימה</w:t>
      </w:r>
    </w:p>
    <w:p w14:paraId="5BF3A70B" w14:textId="77777777" w:rsidR="00800336" w:rsidRDefault="00800336" w:rsidP="00800336">
      <w:pPr>
        <w:spacing w:line="360" w:lineRule="auto"/>
        <w:ind w:left="84"/>
        <w:jc w:val="both"/>
        <w:rPr>
          <w:rFonts w:ascii="David" w:hAnsi="David"/>
          <w:u w:val="single"/>
          <w:rtl/>
        </w:rPr>
      </w:pPr>
    </w:p>
    <w:p w14:paraId="2D5C4510"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המאשימה מפנה לכך שחבלה בכוונה מחמירה והאיסור בחוק על עבירות נשק נועדו להגן על ערכים חברתיים שכוללים שמירה על חיי אדם שלמות גופו ונפשו, ושמירה על הסדר הציבורי ואורח חיים תקין ובטוח, ולכך שעבירות הנשק הן עבירות חמורות מטבען ובימים אלו הפכו למכת מדינה. </w:t>
      </w:r>
    </w:p>
    <w:p w14:paraId="47D23826" w14:textId="77777777" w:rsidR="00800336" w:rsidRDefault="00800336" w:rsidP="00800336">
      <w:pPr>
        <w:pStyle w:val="a9"/>
        <w:spacing w:line="360" w:lineRule="auto"/>
        <w:jc w:val="both"/>
        <w:rPr>
          <w:rFonts w:ascii="David" w:hAnsi="David" w:cs="David"/>
          <w:szCs w:val="24"/>
          <w:rtl/>
        </w:rPr>
      </w:pPr>
    </w:p>
    <w:p w14:paraId="66C0F2A1"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 xml:space="preserve">לטענתה, יש לתת משקל לנזק שנגרם ולנזק שעלול היה להיגרם מביצוע העבירה של ירי מכוון, במיוחד עת הירי בוצע בשטח עירוני בסביבת בית ספר בשעה שהילדים יצאו מבית הספר ואך בנס לא נגרם נזק גדול יותר. </w:t>
      </w:r>
    </w:p>
    <w:p w14:paraId="1328E8C0"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 xml:space="preserve">יש לתת את הדעת על כך שמדובר בעבירה שבוצעה לאחר תכנון מקדים, הצטיידות בנשק ותחמושת, עטיית מסכה כדי להקשות על הזיהוי, והסתייעות ברכב לצורך הגעה לזירה והימלטות ממנה. </w:t>
      </w:r>
    </w:p>
    <w:p w14:paraId="2375D48F" w14:textId="77777777" w:rsidR="00800336" w:rsidRDefault="00800336" w:rsidP="00800336">
      <w:pPr>
        <w:pStyle w:val="a9"/>
        <w:spacing w:line="360" w:lineRule="auto"/>
        <w:jc w:val="both"/>
        <w:rPr>
          <w:rFonts w:ascii="David" w:hAnsi="David" w:cs="David"/>
          <w:szCs w:val="24"/>
          <w:rtl/>
        </w:rPr>
      </w:pPr>
    </w:p>
    <w:p w14:paraId="7A683E5F"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אשר למאפייני הנשק, מדובר בנשק שהוא תת מקלע, נשק אוטומטי בקצב אש גבוה, דיוק נמוך ונזק גדול ביותר. בית המשפט העליון עמד לא אחת על החומרה שיש לייחס לתופעת השימוש בנשק חם ברחובות העיר ועל כך שיש להילחם בתופעה ולמגרה באופן הנחרץ ביותר על ידי הטלת עונשי מאסר משמעותיים גם אם מדובר באנשים נטולי עבר פלילי.</w:t>
      </w:r>
    </w:p>
    <w:p w14:paraId="0C2DCD35" w14:textId="77777777" w:rsidR="00800336" w:rsidRDefault="00800336" w:rsidP="00800336">
      <w:pPr>
        <w:pStyle w:val="a9"/>
        <w:spacing w:line="360" w:lineRule="auto"/>
        <w:jc w:val="both"/>
        <w:rPr>
          <w:rFonts w:ascii="David" w:hAnsi="David" w:cs="David"/>
          <w:szCs w:val="24"/>
          <w:rtl/>
        </w:rPr>
      </w:pPr>
      <w:r>
        <w:rPr>
          <w:rFonts w:ascii="David" w:hAnsi="David" w:cs="David"/>
          <w:szCs w:val="24"/>
          <w:rtl/>
        </w:rPr>
        <w:t>היא מפנה בעניין זה בין השאר ל</w:t>
      </w:r>
      <w:hyperlink r:id="rId21" w:history="1">
        <w:r w:rsidR="00E0787E" w:rsidRPr="00E0787E">
          <w:rPr>
            <w:rFonts w:ascii="David" w:hAnsi="David" w:cs="David"/>
            <w:color w:val="0000FF"/>
            <w:szCs w:val="24"/>
            <w:u w:val="single"/>
            <w:rtl/>
          </w:rPr>
          <w:t>ע"פ 7878/09</w:t>
        </w:r>
      </w:hyperlink>
      <w:r>
        <w:rPr>
          <w:rFonts w:ascii="David" w:hAnsi="David" w:cs="David"/>
          <w:szCs w:val="24"/>
          <w:rtl/>
        </w:rPr>
        <w:t xml:space="preserve"> </w:t>
      </w:r>
      <w:r>
        <w:rPr>
          <w:rFonts w:ascii="David" w:hAnsi="David" w:cs="David"/>
          <w:b/>
          <w:bCs/>
          <w:szCs w:val="24"/>
          <w:rtl/>
        </w:rPr>
        <w:t>מדינת ישראל נ' פלוני</w:t>
      </w:r>
      <w:r>
        <w:rPr>
          <w:rFonts w:ascii="David" w:hAnsi="David" w:cs="David"/>
          <w:szCs w:val="24"/>
          <w:rtl/>
        </w:rPr>
        <w:t xml:space="preserve"> (ניתן ביום 3/8/10) (פורסם בנבו); </w:t>
      </w:r>
      <w:hyperlink r:id="rId22" w:history="1">
        <w:r w:rsidR="00E0787E" w:rsidRPr="00E0787E">
          <w:rPr>
            <w:rFonts w:ascii="David" w:hAnsi="David" w:cs="David"/>
            <w:color w:val="0000FF"/>
            <w:szCs w:val="24"/>
            <w:u w:val="single"/>
            <w:rtl/>
          </w:rPr>
          <w:t>ע"פ 4439/19</w:t>
        </w:r>
      </w:hyperlink>
      <w:r>
        <w:rPr>
          <w:rFonts w:ascii="David" w:hAnsi="David" w:cs="David"/>
          <w:szCs w:val="24"/>
          <w:rtl/>
        </w:rPr>
        <w:t xml:space="preserve"> </w:t>
      </w:r>
      <w:r>
        <w:rPr>
          <w:rFonts w:ascii="David" w:hAnsi="David" w:cs="David"/>
          <w:b/>
          <w:bCs/>
          <w:szCs w:val="24"/>
          <w:rtl/>
        </w:rPr>
        <w:t>מדינת ישראל נ' סובח ואח</w:t>
      </w:r>
      <w:r>
        <w:rPr>
          <w:rFonts w:ascii="David" w:hAnsi="David" w:cs="David"/>
          <w:szCs w:val="24"/>
          <w:rtl/>
        </w:rPr>
        <w:t xml:space="preserve">' (ניתן </w:t>
      </w:r>
      <w:hyperlink r:id="rId23" w:history="1">
        <w:r w:rsidR="00E0787E" w:rsidRPr="00E0787E">
          <w:rPr>
            <w:rFonts w:ascii="David" w:hAnsi="David" w:cs="David"/>
            <w:color w:val="0000FF"/>
            <w:szCs w:val="24"/>
            <w:u w:val="single"/>
            <w:rtl/>
          </w:rPr>
          <w:t>ב-15/11/19</w:t>
        </w:r>
      </w:hyperlink>
      <w:r>
        <w:rPr>
          <w:rFonts w:ascii="David" w:hAnsi="David" w:cs="David"/>
          <w:szCs w:val="24"/>
          <w:rtl/>
        </w:rPr>
        <w:t>) (פורסם בנבו).</w:t>
      </w:r>
    </w:p>
    <w:p w14:paraId="5426261F" w14:textId="77777777" w:rsidR="00800336" w:rsidRDefault="00800336" w:rsidP="00800336">
      <w:pPr>
        <w:spacing w:line="360" w:lineRule="auto"/>
        <w:ind w:left="84"/>
        <w:jc w:val="both"/>
        <w:rPr>
          <w:rFonts w:ascii="David" w:hAnsi="David"/>
          <w:rtl/>
        </w:rPr>
      </w:pPr>
    </w:p>
    <w:p w14:paraId="5691521F"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המאשימה טוענת למתחם עונש הולם בעבירות שביצע הנאשם הנע בן 6 עד 9 שנות מאסר בפועל תוך שמפנה בין השאר לפסיקה שלהלן: </w:t>
      </w:r>
    </w:p>
    <w:p w14:paraId="20084774" w14:textId="77777777" w:rsidR="00800336" w:rsidRDefault="00E0787E" w:rsidP="00800336">
      <w:pPr>
        <w:pStyle w:val="a9"/>
        <w:numPr>
          <w:ilvl w:val="0"/>
          <w:numId w:val="2"/>
        </w:numPr>
        <w:spacing w:line="360" w:lineRule="auto"/>
        <w:ind w:left="1080" w:right="0"/>
        <w:jc w:val="both"/>
        <w:rPr>
          <w:rFonts w:ascii="David" w:hAnsi="David" w:cs="David"/>
          <w:szCs w:val="24"/>
          <w:rtl/>
        </w:rPr>
      </w:pPr>
      <w:hyperlink r:id="rId24" w:history="1">
        <w:r w:rsidRPr="00E0787E">
          <w:rPr>
            <w:rFonts w:ascii="David" w:hAnsi="David" w:cs="David"/>
            <w:color w:val="0000FF"/>
            <w:szCs w:val="24"/>
            <w:u w:val="single"/>
            <w:rtl/>
          </w:rPr>
          <w:t>ע"פ 8721/14</w:t>
        </w:r>
      </w:hyperlink>
      <w:r w:rsidR="00800336">
        <w:rPr>
          <w:rFonts w:ascii="David" w:hAnsi="David" w:cs="David"/>
          <w:szCs w:val="24"/>
          <w:rtl/>
        </w:rPr>
        <w:t xml:space="preserve"> </w:t>
      </w:r>
      <w:r w:rsidR="00800336">
        <w:rPr>
          <w:rFonts w:ascii="David" w:hAnsi="David" w:cs="David"/>
          <w:b/>
          <w:bCs/>
          <w:szCs w:val="24"/>
          <w:rtl/>
        </w:rPr>
        <w:t>מוחמד אבו לבן נ' מדינת ישראל</w:t>
      </w:r>
      <w:r w:rsidR="00800336">
        <w:rPr>
          <w:rFonts w:ascii="David" w:hAnsi="David" w:cs="David"/>
          <w:szCs w:val="24"/>
          <w:rtl/>
        </w:rPr>
        <w:t xml:space="preserve"> (ניתן ביום 28/9/16) –המתחם נקבע על ידי בית המשפט המחוזי בין 6 ל-10 שנות מאסר ועל המערער נגזרו 9.5 שנות מאסר. </w:t>
      </w:r>
    </w:p>
    <w:p w14:paraId="78A9FEF6"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25" w:history="1">
        <w:r w:rsidRPr="00E0787E">
          <w:rPr>
            <w:rFonts w:ascii="David" w:hAnsi="David" w:cs="David"/>
            <w:color w:val="0000FF"/>
            <w:szCs w:val="24"/>
            <w:u w:val="single"/>
            <w:rtl/>
          </w:rPr>
          <w:t>ע"פ 1186/15</w:t>
        </w:r>
      </w:hyperlink>
      <w:r w:rsidR="00800336">
        <w:rPr>
          <w:rFonts w:ascii="David" w:hAnsi="David" w:cs="David"/>
          <w:szCs w:val="24"/>
          <w:rtl/>
        </w:rPr>
        <w:t xml:space="preserve"> </w:t>
      </w:r>
      <w:r w:rsidR="00800336">
        <w:rPr>
          <w:rFonts w:ascii="David" w:hAnsi="David" w:cs="David"/>
          <w:b/>
          <w:bCs/>
          <w:szCs w:val="24"/>
          <w:rtl/>
        </w:rPr>
        <w:t>מוחמד יונס נ' מדינת ישראל</w:t>
      </w:r>
      <w:r w:rsidR="00800336">
        <w:rPr>
          <w:rFonts w:ascii="David" w:hAnsi="David" w:cs="David"/>
          <w:szCs w:val="24"/>
          <w:rtl/>
        </w:rPr>
        <w:t xml:space="preserve"> (ניתן ב-23/11/16) המערער ירה 4 יריות במתלונן על רקע כעסו על כך שהמתלונן עומד להעיד נגדו בהליך פלילי. בערכאה הדיונית הורשע ונדון ל-11 שנות מאסר. בערעור הופחת עונשו ל-9 שנים וארבעה חודשים.</w:t>
      </w:r>
    </w:p>
    <w:p w14:paraId="2CA70AB2" w14:textId="77777777" w:rsidR="00800336" w:rsidRDefault="00E0787E" w:rsidP="00800336">
      <w:pPr>
        <w:pStyle w:val="a9"/>
        <w:numPr>
          <w:ilvl w:val="0"/>
          <w:numId w:val="2"/>
        </w:numPr>
        <w:spacing w:line="360" w:lineRule="auto"/>
        <w:ind w:left="1080" w:right="0"/>
        <w:jc w:val="both"/>
        <w:rPr>
          <w:rFonts w:ascii="David" w:hAnsi="David" w:cs="David"/>
          <w:szCs w:val="24"/>
          <w:rtl/>
        </w:rPr>
      </w:pPr>
      <w:hyperlink r:id="rId26" w:history="1">
        <w:r w:rsidRPr="00E0787E">
          <w:rPr>
            <w:rFonts w:ascii="David" w:hAnsi="David" w:cs="David"/>
            <w:color w:val="0000FF"/>
            <w:szCs w:val="24"/>
            <w:u w:val="single"/>
            <w:rtl/>
          </w:rPr>
          <w:t>ע"פ 6101/16</w:t>
        </w:r>
      </w:hyperlink>
      <w:r w:rsidR="00800336">
        <w:rPr>
          <w:rFonts w:ascii="David" w:hAnsi="David" w:cs="David"/>
          <w:szCs w:val="24"/>
          <w:rtl/>
        </w:rPr>
        <w:t xml:space="preserve"> </w:t>
      </w:r>
      <w:r w:rsidR="00800336">
        <w:rPr>
          <w:rFonts w:ascii="David" w:hAnsi="David" w:cs="David"/>
          <w:b/>
          <w:bCs/>
          <w:szCs w:val="24"/>
          <w:rtl/>
        </w:rPr>
        <w:t>אחמד עווד נ' מדינת ישראל</w:t>
      </w:r>
      <w:r w:rsidR="00800336">
        <w:rPr>
          <w:rFonts w:ascii="David" w:hAnsi="David" w:cs="David"/>
          <w:szCs w:val="24"/>
          <w:rtl/>
        </w:rPr>
        <w:t xml:space="preserve"> (ניתן ב28/6/17) (פורסם בנבו) הורשע בירי לעבר המתלונן שהיה סכסוך בינהם. בערכאה הדיונית הוטלו 9 שנים ובערעור הופחת עונשו ל-8 שנות מאסר. </w:t>
      </w:r>
    </w:p>
    <w:p w14:paraId="1F5214B9"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27" w:history="1">
        <w:r w:rsidRPr="00E0787E">
          <w:rPr>
            <w:rFonts w:ascii="David" w:hAnsi="David" w:cs="David"/>
            <w:color w:val="0000FF"/>
            <w:szCs w:val="24"/>
            <w:u w:val="single"/>
            <w:rtl/>
          </w:rPr>
          <w:t>ע"פ 6459/17</w:t>
        </w:r>
      </w:hyperlink>
      <w:r w:rsidR="00800336">
        <w:rPr>
          <w:rFonts w:ascii="David" w:hAnsi="David" w:cs="David"/>
          <w:szCs w:val="24"/>
          <w:rtl/>
        </w:rPr>
        <w:t xml:space="preserve"> </w:t>
      </w:r>
      <w:r w:rsidR="00800336">
        <w:rPr>
          <w:rFonts w:ascii="David" w:hAnsi="David" w:cs="David"/>
          <w:b/>
          <w:bCs/>
          <w:szCs w:val="24"/>
          <w:rtl/>
        </w:rPr>
        <w:t>מדינת ישראל נ' אור קדושים</w:t>
      </w:r>
      <w:r w:rsidR="00800336">
        <w:rPr>
          <w:rFonts w:ascii="David" w:hAnsi="David" w:cs="David"/>
          <w:szCs w:val="24"/>
          <w:rtl/>
        </w:rPr>
        <w:t xml:space="preserve"> (ניתן ב-27/2/18) (פורסם בנבו) המשיבים הורשעו יחד עם אדם נוסף על פי הודאתם בקשירת קשר וחבלה בכוונה מחמירה, נשיאת נשק ושיבוש מהלכי משפט שעה שאחד מהם ירה במתלונן. על היורה נגזרו 6 שנות מאסר בפועל. העונש הוחמר בערעור והועמד על 8 שנים. </w:t>
      </w:r>
    </w:p>
    <w:p w14:paraId="2AF1D0AE"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28" w:history="1">
        <w:r w:rsidRPr="00E0787E">
          <w:rPr>
            <w:rFonts w:ascii="David" w:hAnsi="David" w:cs="David"/>
            <w:color w:val="0000FF"/>
            <w:szCs w:val="24"/>
            <w:u w:val="single"/>
            <w:rtl/>
          </w:rPr>
          <w:t>ע"פ 768/13</w:t>
        </w:r>
      </w:hyperlink>
      <w:r w:rsidR="00800336">
        <w:rPr>
          <w:rFonts w:ascii="David" w:hAnsi="David" w:cs="David"/>
          <w:szCs w:val="24"/>
          <w:rtl/>
        </w:rPr>
        <w:t xml:space="preserve"> </w:t>
      </w:r>
      <w:r w:rsidR="00800336">
        <w:rPr>
          <w:rFonts w:ascii="David" w:hAnsi="David" w:cs="David"/>
          <w:b/>
          <w:bCs/>
          <w:szCs w:val="24"/>
          <w:rtl/>
        </w:rPr>
        <w:t>נאסר נ' מדינת ישראל</w:t>
      </w:r>
      <w:r w:rsidR="00800336">
        <w:rPr>
          <w:rFonts w:ascii="David" w:hAnsi="David" w:cs="David"/>
          <w:szCs w:val="24"/>
          <w:rtl/>
        </w:rPr>
        <w:t xml:space="preserve"> (ניתן ביום 27/10/14) (פורסם בנבו) המערער רדף אחרי המתלונן. המתלונן ברח והמערער ירה ברחוב הומה אדם. נגזרו עליו 7 שנות מאסר. ערעור נדחה. </w:t>
      </w:r>
    </w:p>
    <w:p w14:paraId="19DF6407"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29" w:history="1">
        <w:r w:rsidRPr="00E0787E">
          <w:rPr>
            <w:rFonts w:ascii="David" w:hAnsi="David" w:cs="David"/>
            <w:color w:val="0000FF"/>
            <w:szCs w:val="24"/>
            <w:u w:val="single"/>
            <w:rtl/>
          </w:rPr>
          <w:t>ע"פ 2909/04</w:t>
        </w:r>
      </w:hyperlink>
      <w:r w:rsidR="00800336">
        <w:rPr>
          <w:rFonts w:ascii="David" w:hAnsi="David" w:cs="David"/>
          <w:szCs w:val="24"/>
          <w:rtl/>
        </w:rPr>
        <w:t xml:space="preserve"> </w:t>
      </w:r>
      <w:r w:rsidR="00800336">
        <w:rPr>
          <w:rFonts w:ascii="David" w:hAnsi="David" w:cs="David"/>
          <w:b/>
          <w:bCs/>
          <w:szCs w:val="24"/>
          <w:rtl/>
        </w:rPr>
        <w:t>פנחס סדון נ' מדינת ישראל</w:t>
      </w:r>
      <w:r w:rsidR="00800336">
        <w:rPr>
          <w:rFonts w:ascii="David" w:hAnsi="David" w:cs="David"/>
          <w:szCs w:val="24"/>
          <w:rtl/>
        </w:rPr>
        <w:t xml:space="preserve"> (ניתן ביום 14/12/05) (פורסם בנבו), המערער הורשע, עפ"י הודאתו במסגרת הסדר טיעון, בעבירה של חבלה חמורה בנסיבות מחמירות. בית המשפט המחוזי השית על המערער עונש של 7 שנות מאסר בפועל בית המשפט העליון הותיר את העונש על כנו. </w:t>
      </w:r>
    </w:p>
    <w:p w14:paraId="2A0D1897"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30" w:history="1">
        <w:r w:rsidRPr="00E0787E">
          <w:rPr>
            <w:rFonts w:ascii="David" w:hAnsi="David" w:cs="David"/>
            <w:color w:val="0000FF"/>
            <w:szCs w:val="24"/>
            <w:u w:val="single"/>
            <w:rtl/>
          </w:rPr>
          <w:t>ע"פ 5376-18</w:t>
        </w:r>
      </w:hyperlink>
      <w:r w:rsidR="00800336">
        <w:rPr>
          <w:rFonts w:ascii="David" w:hAnsi="David" w:cs="David"/>
          <w:szCs w:val="24"/>
          <w:rtl/>
        </w:rPr>
        <w:t xml:space="preserve"> </w:t>
      </w:r>
      <w:r w:rsidR="00800336">
        <w:rPr>
          <w:rFonts w:ascii="David" w:hAnsi="David" w:cs="David"/>
          <w:b/>
          <w:bCs/>
          <w:szCs w:val="24"/>
          <w:rtl/>
        </w:rPr>
        <w:t>מוהנד אגבריה נ' מדינת ישראל</w:t>
      </w:r>
      <w:r w:rsidR="00800336">
        <w:rPr>
          <w:rFonts w:ascii="David" w:hAnsi="David" w:cs="David"/>
          <w:szCs w:val="24"/>
          <w:rtl/>
        </w:rPr>
        <w:t xml:space="preserve"> (פורסם בנבו) (ניתן ביום 25/12/19) המערער ירה באמצעות תמ"ק לעבר שני מתלוננים, כדור אחד פגע ברגל אחד מהם. נקבע מתחם שנע בין 6 ל- 10 שנים בגין נשיאת נשק וחבלה בכוונה מחמירה, הוא נידון ל- 7 שנים במחוזי, בית המשפט העליון הפחית 9 חודשים מהעונש. </w:t>
      </w:r>
    </w:p>
    <w:p w14:paraId="53752D99"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31" w:history="1">
        <w:r w:rsidRPr="00E0787E">
          <w:rPr>
            <w:rFonts w:ascii="David" w:hAnsi="David" w:cs="David"/>
            <w:color w:val="0000FF"/>
            <w:szCs w:val="24"/>
            <w:u w:val="single"/>
            <w:rtl/>
          </w:rPr>
          <w:t>ע"פ 6383/12</w:t>
        </w:r>
      </w:hyperlink>
      <w:r w:rsidR="00800336">
        <w:rPr>
          <w:rFonts w:ascii="David" w:hAnsi="David" w:cs="David"/>
          <w:szCs w:val="24"/>
          <w:rtl/>
        </w:rPr>
        <w:t xml:space="preserve"> </w:t>
      </w:r>
      <w:r w:rsidR="00800336">
        <w:rPr>
          <w:rFonts w:ascii="David" w:hAnsi="David" w:cs="David"/>
          <w:b/>
          <w:bCs/>
          <w:szCs w:val="24"/>
          <w:rtl/>
        </w:rPr>
        <w:t>זוהיר חאלד נ' מדינת ישראל</w:t>
      </w:r>
      <w:r w:rsidR="00800336">
        <w:rPr>
          <w:rFonts w:ascii="David" w:hAnsi="David" w:cs="David"/>
          <w:szCs w:val="24"/>
          <w:rtl/>
        </w:rPr>
        <w:t xml:space="preserve"> (ניתן ביום 29/9/14) (פורסם בנבו) המערער הורשע עפ"י הודאתו. בית המשפט המחוזי השית על המערער 8 שנות מאסר לריצוי בפועל.בית המשפט העליון קבע כי עונשו של המערער סוטה ממדיניות הענישה הנוהגת בצורה קיצונית. לפיכך, הקל בית המשפט העליון בעונשו של המערער והשית עליו 6 שנות מאסר בפועל. </w:t>
      </w:r>
    </w:p>
    <w:p w14:paraId="51633121"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32" w:history="1">
        <w:r w:rsidRPr="00E0787E">
          <w:rPr>
            <w:rFonts w:ascii="David" w:hAnsi="David" w:cs="David"/>
            <w:color w:val="0000FF"/>
            <w:szCs w:val="24"/>
            <w:u w:val="single"/>
            <w:rtl/>
          </w:rPr>
          <w:t>ת"פ (מחוזי מרכז) 25897-03-14</w:t>
        </w:r>
      </w:hyperlink>
      <w:r w:rsidR="00800336">
        <w:rPr>
          <w:rFonts w:ascii="David" w:hAnsi="David" w:cs="David"/>
          <w:szCs w:val="24"/>
          <w:rtl/>
        </w:rPr>
        <w:t xml:space="preserve"> </w:t>
      </w:r>
      <w:r w:rsidR="00800336">
        <w:rPr>
          <w:rFonts w:ascii="David" w:hAnsi="David" w:cs="David"/>
          <w:b/>
          <w:bCs/>
          <w:szCs w:val="24"/>
          <w:rtl/>
        </w:rPr>
        <w:t>מדינת ישראל נ' עמאר וחידי</w:t>
      </w:r>
      <w:r w:rsidR="00800336">
        <w:rPr>
          <w:rFonts w:ascii="David" w:hAnsi="David" w:cs="David"/>
          <w:szCs w:val="24"/>
          <w:rtl/>
        </w:rPr>
        <w:t xml:space="preserve"> (ניתן ביום 9/11/14) (פורסם בנבו) הנאשם הורשע עפ"י הודאתו במסגרת הסדר טיעון בעבירה של חבלה חמורה בנסיבות מחמירות. בית המשפט קבע כי מתחם העונש ההולם נע בין 4-9 שנות מאסר בפועל לצד פיצוי משמעותי והשית על הנאשם 5.5. שנות מאסר בפועל. המערער הגיש ערעור לבית המשפט העליון ברם בעקבות הערות בית המשפט חזר בו מהערעור. (</w:t>
      </w:r>
      <w:hyperlink r:id="rId33" w:history="1">
        <w:r w:rsidRPr="00E0787E">
          <w:rPr>
            <w:rFonts w:ascii="David" w:hAnsi="David" w:cs="David"/>
            <w:color w:val="0000FF"/>
            <w:szCs w:val="24"/>
            <w:u w:val="single"/>
            <w:rtl/>
          </w:rPr>
          <w:t>ע"פ 8766/14</w:t>
        </w:r>
      </w:hyperlink>
      <w:r w:rsidR="00800336">
        <w:rPr>
          <w:rFonts w:ascii="David" w:hAnsi="David" w:cs="David"/>
          <w:szCs w:val="24"/>
          <w:rtl/>
        </w:rPr>
        <w:t xml:space="preserve"> </w:t>
      </w:r>
      <w:r w:rsidR="00800336">
        <w:rPr>
          <w:rFonts w:ascii="David" w:hAnsi="David" w:cs="David"/>
          <w:b/>
          <w:bCs/>
          <w:szCs w:val="24"/>
          <w:rtl/>
        </w:rPr>
        <w:t>עמאר וחידי נ' מדינת ישראל</w:t>
      </w:r>
      <w:r w:rsidR="00800336">
        <w:rPr>
          <w:rFonts w:ascii="David" w:hAnsi="David" w:cs="David"/>
          <w:szCs w:val="24"/>
          <w:rtl/>
        </w:rPr>
        <w:t xml:space="preserve"> פורסם בנבו, ניתן ביום 2/3/16). </w:t>
      </w:r>
    </w:p>
    <w:p w14:paraId="6560A411"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34" w:history="1">
        <w:r w:rsidRPr="00E0787E">
          <w:rPr>
            <w:rFonts w:ascii="David" w:hAnsi="David" w:cs="David"/>
            <w:color w:val="0000FF"/>
            <w:szCs w:val="24"/>
            <w:u w:val="single"/>
            <w:rtl/>
          </w:rPr>
          <w:t>ת"פ (חיפה) 69905-11-17</w:t>
        </w:r>
      </w:hyperlink>
      <w:r w:rsidR="00800336">
        <w:rPr>
          <w:rFonts w:ascii="David" w:hAnsi="David" w:cs="David"/>
          <w:szCs w:val="24"/>
          <w:rtl/>
        </w:rPr>
        <w:t xml:space="preserve"> </w:t>
      </w:r>
      <w:r w:rsidR="00800336">
        <w:rPr>
          <w:rFonts w:ascii="David" w:hAnsi="David" w:cs="David"/>
          <w:b/>
          <w:bCs/>
          <w:szCs w:val="24"/>
          <w:rtl/>
        </w:rPr>
        <w:t>מדינת ישראל נ' נעים עמאש</w:t>
      </w:r>
      <w:r w:rsidR="00800336">
        <w:rPr>
          <w:rFonts w:ascii="David" w:hAnsi="David" w:cs="David"/>
          <w:szCs w:val="24"/>
          <w:rtl/>
        </w:rPr>
        <w:t xml:space="preserve"> (פורסם בנבו, ניתן ביום 4.2.19). המערער הורשע עפ"י הודאתו, בכתב אישום מתוקן, בעבירות של חבלה חמורה בנסיבות מחמירות ונשיאה והובלת נשק. בית המשפט המחוזי קבע כי מתחם העונש ההולם נע בין 4-6 שנות מאסר בפועל והשית על הנאשם עונש של 4.5 שנות מאסר בפועל. בעקבות הערות בית המשפט העליון חזר בו המערער מערעורו (</w:t>
      </w:r>
      <w:hyperlink r:id="rId35" w:history="1">
        <w:r w:rsidRPr="00E0787E">
          <w:rPr>
            <w:rFonts w:ascii="David" w:hAnsi="David" w:cs="David"/>
            <w:color w:val="0000FF"/>
            <w:szCs w:val="24"/>
            <w:u w:val="single"/>
            <w:rtl/>
          </w:rPr>
          <w:t>ע"פ 1843/19</w:t>
        </w:r>
      </w:hyperlink>
      <w:r w:rsidR="00800336">
        <w:rPr>
          <w:rFonts w:ascii="David" w:hAnsi="David" w:cs="David"/>
          <w:szCs w:val="24"/>
          <w:rtl/>
        </w:rPr>
        <w:t xml:space="preserve"> </w:t>
      </w:r>
      <w:r w:rsidR="00800336">
        <w:rPr>
          <w:rFonts w:ascii="David" w:hAnsi="David" w:cs="David"/>
          <w:b/>
          <w:bCs/>
          <w:szCs w:val="24"/>
          <w:rtl/>
        </w:rPr>
        <w:t>נעים עמאש נ' מדינת ישראל</w:t>
      </w:r>
      <w:r w:rsidR="00800336">
        <w:rPr>
          <w:rFonts w:ascii="David" w:hAnsi="David" w:cs="David"/>
          <w:szCs w:val="24"/>
          <w:rtl/>
        </w:rPr>
        <w:t xml:space="preserve">) (, (ניתן ביום 2/10/19) פורסם בנבו. </w:t>
      </w:r>
    </w:p>
    <w:p w14:paraId="4782FB4A" w14:textId="77777777" w:rsidR="00800336" w:rsidRDefault="00E0787E" w:rsidP="00800336">
      <w:pPr>
        <w:pStyle w:val="a9"/>
        <w:numPr>
          <w:ilvl w:val="0"/>
          <w:numId w:val="2"/>
        </w:numPr>
        <w:spacing w:line="360" w:lineRule="auto"/>
        <w:ind w:left="1080" w:right="0"/>
        <w:jc w:val="both"/>
        <w:rPr>
          <w:rFonts w:ascii="David" w:hAnsi="David" w:cs="David"/>
          <w:szCs w:val="24"/>
        </w:rPr>
      </w:pPr>
      <w:hyperlink r:id="rId36" w:history="1">
        <w:r w:rsidRPr="00E0787E">
          <w:rPr>
            <w:rFonts w:ascii="David" w:hAnsi="David" w:cs="David"/>
            <w:color w:val="0000FF"/>
            <w:szCs w:val="24"/>
            <w:u w:val="single"/>
            <w:rtl/>
          </w:rPr>
          <w:t>ת"פ (מחוזי מרכז) 17304-12-17</w:t>
        </w:r>
      </w:hyperlink>
      <w:r w:rsidR="00800336">
        <w:rPr>
          <w:rFonts w:ascii="David" w:hAnsi="David" w:cs="David"/>
          <w:szCs w:val="24"/>
          <w:rtl/>
        </w:rPr>
        <w:t xml:space="preserve"> </w:t>
      </w:r>
      <w:r w:rsidR="00800336">
        <w:rPr>
          <w:rFonts w:ascii="David" w:hAnsi="David" w:cs="David"/>
          <w:b/>
          <w:bCs/>
          <w:szCs w:val="24"/>
          <w:rtl/>
        </w:rPr>
        <w:t>מדינת ישראל נ' אבו מוסה</w:t>
      </w:r>
      <w:r w:rsidR="00800336">
        <w:rPr>
          <w:rFonts w:ascii="David" w:hAnsi="David" w:cs="David"/>
          <w:szCs w:val="24"/>
          <w:rtl/>
        </w:rPr>
        <w:t xml:space="preserve"> (ניתן ביום 30/5/19) (פורסם בנבו), הנאשם הורשע, על יסוד הודאתו במסגרת הסדר טיעון, בעבירות של חבלה חמורה בנסיבות מחמירות, פציעה בנסיבות מחמירות ונשיאת נשק. בית המשפט קבע כי מתחם העונש ההולם נע בין 54 חודשי מאסר ועד 7 שנות מאסר בפועל לצד פיצוי משמעותי והשית על הנאשם מאסר בפועל למשך 54 חודשים ופיצוי בסך 30,000 ₪. הוגש ערעור על חומרת העונש אך בעקבות הערות בית המשפט, חזר בו מערעורו (</w:t>
      </w:r>
      <w:hyperlink r:id="rId37" w:history="1">
        <w:r w:rsidRPr="00E0787E">
          <w:rPr>
            <w:rFonts w:ascii="David" w:hAnsi="David" w:cs="David"/>
            <w:color w:val="0000FF"/>
            <w:szCs w:val="24"/>
            <w:u w:val="single"/>
            <w:rtl/>
          </w:rPr>
          <w:t>ע"פ 4761/19</w:t>
        </w:r>
      </w:hyperlink>
      <w:r w:rsidR="00800336">
        <w:rPr>
          <w:rFonts w:ascii="David" w:hAnsi="David" w:cs="David"/>
          <w:szCs w:val="24"/>
          <w:rtl/>
        </w:rPr>
        <w:t xml:space="preserve"> </w:t>
      </w:r>
      <w:r w:rsidR="00800336">
        <w:rPr>
          <w:rFonts w:ascii="David" w:hAnsi="David" w:cs="David"/>
          <w:b/>
          <w:bCs/>
          <w:szCs w:val="24"/>
          <w:rtl/>
        </w:rPr>
        <w:t>אחמד אבו מוסא נגד מדינת ישראל</w:t>
      </w:r>
      <w:r w:rsidR="00800336">
        <w:rPr>
          <w:rFonts w:ascii="David" w:hAnsi="David" w:cs="David"/>
          <w:szCs w:val="24"/>
          <w:rtl/>
        </w:rPr>
        <w:t xml:space="preserve"> מיום 4/11/19).</w:t>
      </w:r>
    </w:p>
    <w:p w14:paraId="06EF1AEE" w14:textId="77777777" w:rsidR="00800336" w:rsidRDefault="00800336" w:rsidP="00800336">
      <w:pPr>
        <w:spacing w:line="360" w:lineRule="auto"/>
        <w:ind w:left="84"/>
        <w:jc w:val="both"/>
        <w:rPr>
          <w:rFonts w:ascii="David" w:hAnsi="David"/>
          <w:rtl/>
        </w:rPr>
      </w:pPr>
    </w:p>
    <w:p w14:paraId="1DE8D628"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ביחס לעונש בתוך המתחם, הנאשם ניהל הוכחות, נשמעו כל העדים בתיק, והוא לא חסך זמן שיפוטי. תסקיר שירות המבחן לא חיובי ואין המלצה שיקומית. לאור האמור, עותרת המאשימה לענישה ברף האמצעי - עליון של המתחם אליו טענה, בנוסף לענישה נלווית מרתיעה של מאסר על תנאי משמעותי לכל עבירה בה הורשע הנאשם, ופיצוי כספי למתלוננים. </w:t>
      </w:r>
    </w:p>
    <w:p w14:paraId="086C9121" w14:textId="77777777" w:rsidR="00800336" w:rsidRDefault="00800336" w:rsidP="00800336">
      <w:pPr>
        <w:pStyle w:val="a9"/>
        <w:spacing w:line="360" w:lineRule="auto"/>
        <w:ind w:left="84"/>
        <w:jc w:val="both"/>
        <w:rPr>
          <w:rFonts w:ascii="David" w:hAnsi="David" w:cs="David"/>
          <w:szCs w:val="24"/>
        </w:rPr>
      </w:pPr>
    </w:p>
    <w:p w14:paraId="4808553C" w14:textId="77777777" w:rsidR="00800336" w:rsidRDefault="00800336" w:rsidP="00800336">
      <w:pPr>
        <w:spacing w:line="360" w:lineRule="auto"/>
        <w:ind w:firstLine="360"/>
        <w:jc w:val="both"/>
        <w:rPr>
          <w:rFonts w:ascii="David" w:hAnsi="David"/>
          <w:bCs/>
          <w:u w:val="single"/>
          <w:rtl/>
        </w:rPr>
      </w:pPr>
      <w:r>
        <w:rPr>
          <w:rFonts w:hint="cs"/>
          <w:bCs/>
          <w:u w:val="single"/>
          <w:rtl/>
        </w:rPr>
        <w:t>טענות הנאשם</w:t>
      </w:r>
    </w:p>
    <w:p w14:paraId="02BACC1F" w14:textId="77777777" w:rsidR="00800336" w:rsidRDefault="00800336" w:rsidP="00800336">
      <w:pPr>
        <w:pStyle w:val="a9"/>
        <w:spacing w:line="360" w:lineRule="auto"/>
        <w:ind w:left="84"/>
        <w:jc w:val="both"/>
        <w:rPr>
          <w:rFonts w:ascii="David" w:hAnsi="David" w:cs="David"/>
          <w:szCs w:val="24"/>
          <w:rtl/>
        </w:rPr>
      </w:pPr>
    </w:p>
    <w:p w14:paraId="53357543"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הנאשם טוען כי תסקיר שרות המבחן אינו רלוונטי שכן התזה המרכזית שלו היא שהנאשם לא לוקח אחריות על מעשיו וככזה הוא לא בר שיקום, לא מתמודד עם מעשיו ולא בשל. כל הללו הם פרי הסתמכות על הכרעת הדין הקובעת כי הנאשם עשה את המיוחס לו, ברם הנאשם כופר בהרשעתו עד היום ועל כן מטבע הדברים לא יכול לקחת אחריות ולשתף פעולה, עת הוא מאמין בחפותו ומתכוון לערער על ההרשעה. במובן זה אך טבעי הוא כי לא ניתן לבוא בהמלצה שיקומית ובמצב דברים זה אין ערך מוסף לתסקיר. </w:t>
      </w:r>
    </w:p>
    <w:p w14:paraId="44E0676E" w14:textId="77777777" w:rsidR="00800336" w:rsidRDefault="00800336" w:rsidP="00800336">
      <w:pPr>
        <w:spacing w:line="360" w:lineRule="auto"/>
        <w:ind w:left="84"/>
        <w:jc w:val="both"/>
        <w:rPr>
          <w:rFonts w:ascii="David" w:hAnsi="David"/>
        </w:rPr>
      </w:pPr>
    </w:p>
    <w:p w14:paraId="6FECBA81"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הנאשם מפנה לכך שהמשפחה מנהלת אורח חיים נורמטיבי. מעולם לא הסתבך מי מבני המשפחה בפלילים. הנאשם מרגיש שהביא על משפחתו בושה בשל המעצר. עד מעצרו, ניהל הנאשם אורח חיים נורמטיבי. הוא עבד למחייתו, בבית מלון כמלצר, גם עבד במאפיה של המשפחה בשל הצורך לפרנס את המשפחה. הוא סיים 12 שנות לימוד, עם בגרות חלקית ויכולות גבוהות. הוא רצה להמשיך את לימודיו לאחר שיחסוך כספים, אך ההסתבכות בתיק זה מנעה את כל ההתקדמות שלו. ניהול ההוכחות עד תומו הוא לגיטימי שעה שהנאשם עדיין מחזיק בטענתו לפיה הוא חף מפשע ואין להחזיק את העובדה שניהל את התיק עד הסוף, לחובתו. </w:t>
      </w:r>
    </w:p>
    <w:p w14:paraId="67BBD501" w14:textId="77777777" w:rsidR="00800336" w:rsidRDefault="00800336" w:rsidP="00800336">
      <w:pPr>
        <w:pStyle w:val="a9"/>
        <w:spacing w:line="360" w:lineRule="auto"/>
        <w:rPr>
          <w:rFonts w:ascii="David" w:hAnsi="David" w:cs="David"/>
          <w:szCs w:val="24"/>
        </w:rPr>
      </w:pPr>
    </w:p>
    <w:p w14:paraId="2BE7882B"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הנאשם טוען כי יש מקום לשקול לקולא את התוצאות הלא חמורות של האירוע, שכן מדובר בפציעה קלה, הנפגע לא אושפז ימים רבים, ולא נגרמה לו נכות, או חס וחלילה מוות. </w:t>
      </w:r>
    </w:p>
    <w:p w14:paraId="6C5F9650" w14:textId="77777777" w:rsidR="00800336" w:rsidRDefault="00800336" w:rsidP="00800336">
      <w:pPr>
        <w:spacing w:line="360" w:lineRule="auto"/>
        <w:ind w:left="84"/>
        <w:jc w:val="both"/>
        <w:rPr>
          <w:rFonts w:ascii="David" w:hAnsi="David"/>
          <w:rtl/>
        </w:rPr>
      </w:pPr>
    </w:p>
    <w:p w14:paraId="2A1659D9"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לגבי מדיניות הענישה הנהוגה, בשים לב לעובדה שמדובר בנאשם שלחובתו אין הרשעות קודמות, ונוכח העובדה שזו היא הסתבכותו הראשונה עם החוק, לאור גילו הצעיר, סבור הנאשם כי יש למקם את עונשו של הנאשם בתחתית המתחם שבית המשפט יקבע בסופו של יום.</w:t>
      </w:r>
    </w:p>
    <w:p w14:paraId="3681AB21" w14:textId="77777777" w:rsidR="00800336" w:rsidRDefault="00800336" w:rsidP="00800336">
      <w:pPr>
        <w:pStyle w:val="a9"/>
        <w:spacing w:line="360" w:lineRule="auto"/>
        <w:rPr>
          <w:rFonts w:ascii="David" w:hAnsi="David" w:cs="David"/>
          <w:szCs w:val="24"/>
        </w:rPr>
      </w:pPr>
    </w:p>
    <w:p w14:paraId="278EEDE7"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לטענתו, הפסיקה שהציגה המאשימה לא מתאימה לנסיבות ענייננו שכן ברוב המקרים שהוצגו היה מדובר בריבוי עבירות, עבירות חמורות יותר, בנאשמים בעלי עבר פלילי ובהפעלה נוספת של מאסרים מותנים. </w:t>
      </w:r>
    </w:p>
    <w:p w14:paraId="31497363" w14:textId="77777777" w:rsidR="00800336" w:rsidRDefault="00800336" w:rsidP="00800336">
      <w:pPr>
        <w:pStyle w:val="a9"/>
        <w:spacing w:line="360" w:lineRule="auto"/>
        <w:jc w:val="both"/>
        <w:rPr>
          <w:rFonts w:ascii="David" w:hAnsi="David" w:cs="David"/>
          <w:color w:val="FF0000"/>
          <w:szCs w:val="24"/>
          <w:rtl/>
        </w:rPr>
      </w:pPr>
      <w:r>
        <w:rPr>
          <w:rFonts w:ascii="David" w:hAnsi="David" w:cs="David"/>
          <w:szCs w:val="24"/>
          <w:rtl/>
        </w:rPr>
        <w:t xml:space="preserve">הנאשם מבקש להסתמך על הפסיקה שלהלן: </w:t>
      </w:r>
    </w:p>
    <w:p w14:paraId="69DC66D8"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38" w:history="1">
        <w:r w:rsidRPr="00E0787E">
          <w:rPr>
            <w:rFonts w:ascii="David" w:hAnsi="David" w:cs="David"/>
            <w:color w:val="0000FF"/>
            <w:szCs w:val="24"/>
            <w:u w:val="single"/>
            <w:rtl/>
          </w:rPr>
          <w:t>ע"פ 1682/22</w:t>
        </w:r>
      </w:hyperlink>
      <w:r w:rsidR="00800336">
        <w:rPr>
          <w:rFonts w:ascii="David" w:hAnsi="David" w:cs="David"/>
          <w:szCs w:val="24"/>
          <w:rtl/>
        </w:rPr>
        <w:t xml:space="preserve"> </w:t>
      </w:r>
      <w:r w:rsidR="00800336">
        <w:rPr>
          <w:rFonts w:ascii="David" w:hAnsi="David" w:cs="David"/>
          <w:b/>
          <w:bCs/>
          <w:szCs w:val="24"/>
          <w:rtl/>
        </w:rPr>
        <w:t>סבג נגד מדינת ישראל</w:t>
      </w:r>
      <w:r w:rsidR="00800336">
        <w:rPr>
          <w:rFonts w:ascii="David" w:hAnsi="David" w:cs="David"/>
          <w:szCs w:val="24"/>
          <w:rtl/>
        </w:rPr>
        <w:t xml:space="preserve"> (ניתן ב-11/9/22) (פורסם בנבו), המערער הורשע, לאחר שמיעת ראיות, בביצוע עבירות נשק, החזקת סכין, וירי באזור מגורים, בצוותא חדא, על רקע סכסוך, בית המשפט המחוזי קבע מתחם עונש הנע בין 30 ל-60 חודשי מאסר, והטיל על המערער, שהוא בעל עבר פלילי מכביד, עונש מאסר של 45 חודשי מאסר בפועל, לצד מאסרים מותנים. בית המשפט העליון לא התערב. </w:t>
      </w:r>
    </w:p>
    <w:p w14:paraId="47624A0E"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39" w:history="1">
        <w:r w:rsidRPr="00E0787E">
          <w:rPr>
            <w:rFonts w:ascii="David" w:hAnsi="David" w:cs="David"/>
            <w:color w:val="0000FF"/>
            <w:szCs w:val="24"/>
            <w:u w:val="single"/>
            <w:rtl/>
          </w:rPr>
          <w:t>ע"פ 6496/21</w:t>
        </w:r>
      </w:hyperlink>
      <w:r w:rsidR="00800336">
        <w:rPr>
          <w:rFonts w:ascii="David" w:hAnsi="David" w:cs="David"/>
          <w:szCs w:val="24"/>
          <w:rtl/>
        </w:rPr>
        <w:t xml:space="preserve"> </w:t>
      </w:r>
      <w:r w:rsidR="00800336">
        <w:rPr>
          <w:rFonts w:ascii="David" w:hAnsi="David" w:cs="David"/>
          <w:b/>
          <w:bCs/>
          <w:szCs w:val="24"/>
          <w:rtl/>
        </w:rPr>
        <w:t>ריאן נגד מדינת ישראל</w:t>
      </w:r>
      <w:r w:rsidR="00800336">
        <w:rPr>
          <w:rFonts w:ascii="David" w:hAnsi="David" w:cs="David"/>
          <w:szCs w:val="24"/>
          <w:rtl/>
        </w:rPr>
        <w:t xml:space="preserve"> (ניתן ב-20/12/21) (פורסם בנבו) המערער הורשע בביצוע עבירות חבלה בכוונה מחמירה, נשיאת נשק, ירי בנשק חם, איומים, ונהיגה בזמן פסילה. בית המשפט קבע מתחם הנע בין 3 ל-6 שנות מאסר, והטיל על המערער 4 שנות מאסר בפועל, בנוסף לענישה נלווית.</w:t>
      </w:r>
    </w:p>
    <w:p w14:paraId="20BFCFE8"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40" w:history="1">
        <w:r w:rsidRPr="00E0787E">
          <w:rPr>
            <w:rFonts w:ascii="David" w:hAnsi="David" w:cs="David"/>
            <w:color w:val="0000FF"/>
            <w:szCs w:val="24"/>
            <w:u w:val="single"/>
            <w:rtl/>
          </w:rPr>
          <w:t>ע"פ 9104/20</w:t>
        </w:r>
      </w:hyperlink>
      <w:r w:rsidR="00800336">
        <w:rPr>
          <w:rFonts w:ascii="David" w:hAnsi="David" w:cs="David"/>
          <w:szCs w:val="24"/>
          <w:rtl/>
        </w:rPr>
        <w:t xml:space="preserve"> </w:t>
      </w:r>
      <w:r w:rsidR="00800336">
        <w:rPr>
          <w:rFonts w:ascii="David" w:hAnsi="David" w:cs="David"/>
          <w:b/>
          <w:bCs/>
          <w:szCs w:val="24"/>
          <w:rtl/>
        </w:rPr>
        <w:t xml:space="preserve">מדינת ישראל נגד טבצ'נקוב </w:t>
      </w:r>
      <w:r w:rsidR="00800336">
        <w:rPr>
          <w:rFonts w:ascii="David" w:hAnsi="David" w:cs="David"/>
          <w:szCs w:val="24"/>
          <w:rtl/>
        </w:rPr>
        <w:t>(ניתן ב-4/3/21) (פורסם בנבו), המשיב הורשע על יסוד הודאתו בעבירות של חבלה בכוונה מחמירה, נשיאת נשק, החזקת סם מסוכן. בית המשפט קבע מתחם הולם של 2.5 עד 5 שנות מאסר בפועל. בית המשפט העליון מצא בערעור שהוגש להחמיר בעונשו, והעמיד את עונשו על 4 שנות מאסר בפועל, כולל ענישה נלווית ובנוסף הופעל מאסר על תנאי למשך שנה כך</w:t>
      </w:r>
      <w:r w:rsidR="00800336">
        <w:rPr>
          <w:rFonts w:ascii="David" w:hAnsi="David" w:cs="David"/>
          <w:color w:val="FF0000"/>
          <w:szCs w:val="24"/>
          <w:rtl/>
        </w:rPr>
        <w:t xml:space="preserve"> </w:t>
      </w:r>
      <w:r w:rsidR="00800336">
        <w:rPr>
          <w:rFonts w:ascii="David" w:hAnsi="David" w:cs="David"/>
          <w:szCs w:val="24"/>
          <w:rtl/>
        </w:rPr>
        <w:t xml:space="preserve">שהעונש הכולל הועמד על 5 שנים. </w:t>
      </w:r>
    </w:p>
    <w:p w14:paraId="7997C26E"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41" w:history="1">
        <w:r w:rsidRPr="00E0787E">
          <w:rPr>
            <w:rFonts w:ascii="David" w:hAnsi="David" w:cs="David"/>
            <w:color w:val="0000FF"/>
            <w:szCs w:val="24"/>
            <w:u w:val="single"/>
            <w:rtl/>
          </w:rPr>
          <w:t>ע"פ 7069/20</w:t>
        </w:r>
      </w:hyperlink>
      <w:r w:rsidR="00800336">
        <w:rPr>
          <w:rFonts w:ascii="David" w:hAnsi="David" w:cs="David"/>
          <w:szCs w:val="24"/>
          <w:rtl/>
        </w:rPr>
        <w:t xml:space="preserve"> </w:t>
      </w:r>
      <w:r w:rsidR="00800336">
        <w:rPr>
          <w:rFonts w:ascii="David" w:hAnsi="David" w:cs="David"/>
          <w:b/>
          <w:bCs/>
          <w:szCs w:val="24"/>
          <w:rtl/>
        </w:rPr>
        <w:t>אבו חדיר נגד מדינת ישראל</w:t>
      </w:r>
      <w:r w:rsidR="00800336">
        <w:rPr>
          <w:rFonts w:ascii="David" w:hAnsi="David" w:cs="David"/>
          <w:szCs w:val="24"/>
          <w:rtl/>
        </w:rPr>
        <w:t xml:space="preserve"> (ניתן ב-11/2/21) (פורסם בנבו) המערער הורשע בעבירה של חבלה בכוונה מחמירה, נשיאת נשק, ירי, ביחד עם 3 אחרים. בית המשפט קבע מתחם עונש הולם בין 40 ל-72 חודשי מאסר בפועל. בית המשפט גזר על הנאשם 40 חודשי מאסר בפועל בין השאר נוכח נסיבות אישיות מיוחדות בהן התחשב, לצד מאסרים מותנים. בית המשפט העליון לא התערב. </w:t>
      </w:r>
    </w:p>
    <w:p w14:paraId="4E0AFD48"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42" w:history="1">
        <w:r w:rsidRPr="00E0787E">
          <w:rPr>
            <w:rFonts w:ascii="David" w:hAnsi="David" w:cs="David"/>
            <w:color w:val="0000FF"/>
            <w:szCs w:val="24"/>
            <w:u w:val="single"/>
            <w:rtl/>
          </w:rPr>
          <w:t>תפ"ח 17033-01-22</w:t>
        </w:r>
      </w:hyperlink>
      <w:r w:rsidR="00800336">
        <w:rPr>
          <w:rFonts w:ascii="David" w:hAnsi="David" w:cs="David"/>
          <w:szCs w:val="24"/>
          <w:rtl/>
        </w:rPr>
        <w:t xml:space="preserve"> </w:t>
      </w:r>
      <w:r w:rsidR="00800336">
        <w:rPr>
          <w:rFonts w:ascii="David" w:hAnsi="David" w:cs="David"/>
          <w:b/>
          <w:bCs/>
          <w:szCs w:val="24"/>
          <w:rtl/>
        </w:rPr>
        <w:t>מדינת ישראל נ' דוד עזרה</w:t>
      </w:r>
      <w:r w:rsidR="00800336">
        <w:rPr>
          <w:rFonts w:ascii="David" w:hAnsi="David" w:cs="David"/>
          <w:szCs w:val="24"/>
          <w:rtl/>
        </w:rPr>
        <w:t xml:space="preserve"> (ניתן ביום 13/7/23) (פורסם בנבו), הנאשם הורשע בחבלה חמורה, נשיאת נשק, בנוסף לעוד עבירות בהתאם להודאתו. בית המשפט גזר עונש של 5 שנים. </w:t>
      </w:r>
    </w:p>
    <w:p w14:paraId="16A38ECC" w14:textId="77777777" w:rsidR="00800336" w:rsidRDefault="00E0787E" w:rsidP="00800336">
      <w:pPr>
        <w:pStyle w:val="a9"/>
        <w:numPr>
          <w:ilvl w:val="0"/>
          <w:numId w:val="3"/>
        </w:numPr>
        <w:spacing w:line="360" w:lineRule="auto"/>
        <w:ind w:left="1080" w:right="0"/>
        <w:jc w:val="both"/>
        <w:rPr>
          <w:rFonts w:ascii="David" w:hAnsi="David" w:cs="David"/>
          <w:szCs w:val="24"/>
          <w:rtl/>
        </w:rPr>
      </w:pPr>
      <w:hyperlink r:id="rId43" w:history="1">
        <w:r w:rsidRPr="00E0787E">
          <w:rPr>
            <w:rFonts w:ascii="David" w:hAnsi="David" w:cs="David"/>
            <w:color w:val="0000FF"/>
            <w:szCs w:val="24"/>
            <w:u w:val="single"/>
            <w:rtl/>
          </w:rPr>
          <w:t>ע"פ 1843/19</w:t>
        </w:r>
      </w:hyperlink>
      <w:r w:rsidR="00800336">
        <w:rPr>
          <w:rFonts w:ascii="David" w:hAnsi="David" w:cs="David"/>
          <w:szCs w:val="24"/>
          <w:rtl/>
        </w:rPr>
        <w:t xml:space="preserve"> </w:t>
      </w:r>
      <w:r w:rsidR="00800336">
        <w:rPr>
          <w:rFonts w:ascii="David" w:hAnsi="David" w:cs="David"/>
          <w:b/>
          <w:bCs/>
          <w:szCs w:val="24"/>
          <w:rtl/>
        </w:rPr>
        <w:t>עמאש נגד מדינת ישראל</w:t>
      </w:r>
      <w:r w:rsidR="00800336">
        <w:rPr>
          <w:rFonts w:ascii="David" w:hAnsi="David" w:cs="David"/>
          <w:szCs w:val="24"/>
          <w:rtl/>
        </w:rPr>
        <w:t xml:space="preserve"> (ניתן ב-2/10/19) (פורסם בנבו) המערער הורשע בעבירות של חבלה בנסיבות מחמירות, החזקה ונשיאה של נשק. באותו מקרה, הנאשם אף ירה מספר כדורים על אדם נוסף, וגם פצע ילד בן 10, שעמד בסמוך. בית המשפט גזר עונש של 4.5 שנות מאסר. בית המשפט העליון לא התערב. </w:t>
      </w:r>
    </w:p>
    <w:p w14:paraId="1BA9E135" w14:textId="77777777" w:rsidR="00800336" w:rsidRDefault="00E0787E" w:rsidP="00800336">
      <w:pPr>
        <w:pStyle w:val="a9"/>
        <w:numPr>
          <w:ilvl w:val="0"/>
          <w:numId w:val="3"/>
        </w:numPr>
        <w:spacing w:line="360" w:lineRule="auto"/>
        <w:ind w:left="1080" w:right="0"/>
        <w:jc w:val="both"/>
        <w:rPr>
          <w:rFonts w:ascii="David" w:hAnsi="David" w:cs="David"/>
          <w:szCs w:val="24"/>
        </w:rPr>
      </w:pPr>
      <w:hyperlink r:id="rId44" w:history="1">
        <w:r w:rsidRPr="00E0787E">
          <w:rPr>
            <w:rFonts w:ascii="David" w:hAnsi="David" w:cs="David"/>
            <w:color w:val="0000FF"/>
            <w:szCs w:val="24"/>
            <w:u w:val="single"/>
            <w:rtl/>
          </w:rPr>
          <w:t>ע"פ 1971/19</w:t>
        </w:r>
      </w:hyperlink>
      <w:r w:rsidR="00800336">
        <w:rPr>
          <w:rFonts w:ascii="David" w:hAnsi="David" w:cs="David"/>
          <w:szCs w:val="24"/>
          <w:rtl/>
        </w:rPr>
        <w:t xml:space="preserve"> </w:t>
      </w:r>
      <w:r w:rsidR="00800336">
        <w:rPr>
          <w:rFonts w:ascii="David" w:hAnsi="David" w:cs="David"/>
          <w:b/>
          <w:bCs/>
          <w:szCs w:val="24"/>
          <w:rtl/>
        </w:rPr>
        <w:t>אבו חוסיין נגד מדינת ישראל</w:t>
      </w:r>
      <w:r w:rsidR="00800336">
        <w:rPr>
          <w:rFonts w:ascii="David" w:hAnsi="David" w:cs="David"/>
          <w:szCs w:val="24"/>
          <w:rtl/>
        </w:rPr>
        <w:t xml:space="preserve"> (ניתן ב-30/6/19) (פורסם בנבו), המערער הורשע בעבירות של חבלה חמורה בנסיבות מחמירות, נשיאת נשק והובלתו שלא כדין. המערער ירה לעבר מתלוננים מספר כדורים, על רקע סכסוך כספי, פגע לאחד המתלוננים בירך, בדומה למקרה שלנו. בית המשפט המחוזי גזר עליו 42 חודשי מאסר לריצוי בפועל, ובית המשפט העליון המליץ לו לחזור בו מהערעור. </w:t>
      </w:r>
    </w:p>
    <w:p w14:paraId="5F317177" w14:textId="77777777" w:rsidR="00800336" w:rsidRDefault="00E0787E" w:rsidP="00800336">
      <w:pPr>
        <w:pStyle w:val="a9"/>
        <w:numPr>
          <w:ilvl w:val="0"/>
          <w:numId w:val="3"/>
        </w:numPr>
        <w:spacing w:line="360" w:lineRule="auto"/>
        <w:ind w:left="1080" w:right="0"/>
        <w:jc w:val="both"/>
        <w:rPr>
          <w:rFonts w:ascii="David" w:hAnsi="David" w:cs="David"/>
          <w:szCs w:val="24"/>
        </w:rPr>
      </w:pPr>
      <w:hyperlink r:id="rId45" w:history="1">
        <w:r w:rsidRPr="00E0787E">
          <w:rPr>
            <w:rFonts w:ascii="David" w:hAnsi="David" w:cs="David"/>
            <w:color w:val="0000FF"/>
            <w:szCs w:val="24"/>
            <w:u w:val="single"/>
            <w:rtl/>
          </w:rPr>
          <w:t>ע"פ 1323/13</w:t>
        </w:r>
      </w:hyperlink>
      <w:r w:rsidR="00800336">
        <w:rPr>
          <w:rFonts w:ascii="David" w:hAnsi="David" w:cs="David"/>
          <w:szCs w:val="24"/>
          <w:rtl/>
        </w:rPr>
        <w:t xml:space="preserve"> </w:t>
      </w:r>
      <w:r w:rsidR="00800336">
        <w:rPr>
          <w:rFonts w:ascii="David" w:hAnsi="David" w:cs="David"/>
          <w:b/>
          <w:bCs/>
          <w:szCs w:val="24"/>
          <w:rtl/>
        </w:rPr>
        <w:t>רך חסן נ' מדינת ישראל</w:t>
      </w:r>
      <w:r w:rsidR="00800336">
        <w:rPr>
          <w:rFonts w:ascii="David" w:hAnsi="David" w:cs="David"/>
          <w:szCs w:val="24"/>
          <w:rtl/>
        </w:rPr>
        <w:t xml:space="preserve"> (ניתן ביום 5/6/13) (פורסם בנבו), בית המשפט המחוזי הטיל מאסר בפועל של 24 חודשים ועוד עונשים נלווים. בית המשפט העליון לא התערב.</w:t>
      </w:r>
    </w:p>
    <w:p w14:paraId="06DAB973" w14:textId="77777777" w:rsidR="00800336" w:rsidRDefault="00E0787E" w:rsidP="00800336">
      <w:pPr>
        <w:pStyle w:val="a9"/>
        <w:numPr>
          <w:ilvl w:val="0"/>
          <w:numId w:val="3"/>
        </w:numPr>
        <w:spacing w:line="360" w:lineRule="auto"/>
        <w:ind w:left="1080" w:right="0"/>
        <w:jc w:val="both"/>
        <w:rPr>
          <w:rFonts w:ascii="David" w:hAnsi="David" w:cs="David"/>
          <w:szCs w:val="24"/>
        </w:rPr>
      </w:pPr>
      <w:hyperlink r:id="rId46" w:history="1">
        <w:r w:rsidRPr="00E0787E">
          <w:rPr>
            <w:rFonts w:ascii="David" w:hAnsi="David" w:cs="David"/>
            <w:color w:val="0000FF"/>
            <w:szCs w:val="24"/>
            <w:u w:val="single"/>
            <w:rtl/>
          </w:rPr>
          <w:t>ת"פ 26801-07-13</w:t>
        </w:r>
      </w:hyperlink>
      <w:r w:rsidR="00800336">
        <w:rPr>
          <w:rFonts w:ascii="David" w:hAnsi="David" w:cs="David"/>
          <w:szCs w:val="24"/>
          <w:rtl/>
        </w:rPr>
        <w:t xml:space="preserve"> </w:t>
      </w:r>
      <w:r w:rsidR="00800336">
        <w:rPr>
          <w:rFonts w:ascii="David" w:hAnsi="David" w:cs="David"/>
          <w:b/>
          <w:bCs/>
          <w:szCs w:val="24"/>
          <w:rtl/>
        </w:rPr>
        <w:t>מדינת ישראל נ' ג'אהד ערבי</w:t>
      </w:r>
      <w:r w:rsidR="00800336">
        <w:rPr>
          <w:rFonts w:ascii="David" w:hAnsi="David" w:cs="David"/>
          <w:szCs w:val="24"/>
          <w:rtl/>
        </w:rPr>
        <w:t xml:space="preserve"> (ניתן ביום 7/4/14) (פורסם בנבו) ריבוי עבירות, גם החזקת נשק, גם החזקת סמים, ובית המשפט השית 42 חודשים של מאסר. הנאשמים שם היו בעלי עבר פלילי קשה. </w:t>
      </w:r>
    </w:p>
    <w:p w14:paraId="100934BE" w14:textId="77777777" w:rsidR="00800336" w:rsidRDefault="00800336" w:rsidP="00800336">
      <w:pPr>
        <w:pStyle w:val="a9"/>
        <w:spacing w:line="360" w:lineRule="auto"/>
        <w:ind w:left="1080"/>
        <w:jc w:val="both"/>
        <w:rPr>
          <w:rFonts w:ascii="David" w:hAnsi="David" w:cs="David"/>
          <w:szCs w:val="24"/>
        </w:rPr>
      </w:pPr>
    </w:p>
    <w:p w14:paraId="4C3906D5"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לטענת הנאשם, המאשימה ביקשה למקם את הנאשם במקום אמצעי עליון של המתחם, ואין הנמקה מדוע מוצדק הדבר בנסיבותיו של הנאשם. מדובר באדם נעדר הסתבכות פלילית שניהל, עובר לאירועים, אורח חיים נורמטיבי ביציבות תעסוקתית. הנאשם טוען למתחם שבין 30 ל-60 חודשים. הוא עותר, נוכח המצב הכלכלי הקשה, משפחה קשת יום, ילד נכה וילד שסובל מאוטיזם, להתחשב ולקבוע עונש על הצד הנמוך שבמתחם ולהתחשב גם בסוגיית הפיצוי. </w:t>
      </w:r>
    </w:p>
    <w:p w14:paraId="42C800DB" w14:textId="77777777" w:rsidR="00800336" w:rsidRDefault="00800336" w:rsidP="00800336">
      <w:pPr>
        <w:spacing w:line="360" w:lineRule="auto"/>
        <w:ind w:left="84"/>
        <w:jc w:val="both"/>
        <w:rPr>
          <w:rFonts w:ascii="David" w:hAnsi="David"/>
        </w:rPr>
      </w:pPr>
    </w:p>
    <w:p w14:paraId="0DD5A57B" w14:textId="77777777" w:rsidR="00800336" w:rsidRDefault="00800336" w:rsidP="00800336">
      <w:pPr>
        <w:spacing w:line="360" w:lineRule="auto"/>
        <w:ind w:firstLine="360"/>
        <w:jc w:val="both"/>
        <w:rPr>
          <w:bCs/>
          <w:u w:val="single"/>
          <w:rtl/>
        </w:rPr>
      </w:pPr>
      <w:r>
        <w:rPr>
          <w:rFonts w:hint="cs"/>
          <w:bCs/>
          <w:u w:val="single"/>
          <w:rtl/>
        </w:rPr>
        <w:t>דיון</w:t>
      </w:r>
    </w:p>
    <w:p w14:paraId="583A23F1" w14:textId="77777777" w:rsidR="00800336" w:rsidRDefault="00800336" w:rsidP="00800336">
      <w:pPr>
        <w:pStyle w:val="a9"/>
        <w:spacing w:line="360" w:lineRule="auto"/>
        <w:ind w:left="84"/>
        <w:jc w:val="both"/>
        <w:rPr>
          <w:rFonts w:ascii="David" w:hAnsi="David" w:cs="David"/>
          <w:b/>
          <w:szCs w:val="24"/>
          <w:u w:val="single"/>
          <w:rtl/>
        </w:rPr>
      </w:pPr>
    </w:p>
    <w:p w14:paraId="4981C099"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הנאשם כאמור הורשע בהכרעת הדין מיום 22/11/23, כמפורט לעיל. </w:t>
      </w:r>
    </w:p>
    <w:p w14:paraId="11C68494" w14:textId="77777777" w:rsidR="00800336" w:rsidRDefault="00800336" w:rsidP="00800336">
      <w:pPr>
        <w:spacing w:line="360" w:lineRule="auto"/>
        <w:ind w:left="84"/>
        <w:jc w:val="both"/>
        <w:rPr>
          <w:rFonts w:ascii="David" w:hAnsi="David"/>
          <w:rtl/>
        </w:rPr>
      </w:pPr>
    </w:p>
    <w:p w14:paraId="07D8D0D3"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לנאשם אין עבר פלילי, הוא עצור מיום 23/2/22 ועד היום.</w:t>
      </w:r>
    </w:p>
    <w:p w14:paraId="23CFE4D4" w14:textId="77777777" w:rsidR="00800336" w:rsidRDefault="00800336" w:rsidP="00800336">
      <w:pPr>
        <w:spacing w:line="360" w:lineRule="auto"/>
        <w:ind w:left="84"/>
        <w:jc w:val="both"/>
        <w:rPr>
          <w:rFonts w:ascii="David" w:hAnsi="David"/>
          <w:rtl/>
        </w:rPr>
      </w:pPr>
    </w:p>
    <w:p w14:paraId="798A5900" w14:textId="77777777" w:rsidR="00800336" w:rsidRDefault="00800336" w:rsidP="00800336">
      <w:pPr>
        <w:spacing w:line="360" w:lineRule="auto"/>
        <w:ind w:firstLine="360"/>
        <w:jc w:val="both"/>
        <w:rPr>
          <w:b/>
          <w:u w:val="single"/>
          <w:rtl/>
        </w:rPr>
      </w:pPr>
      <w:r>
        <w:rPr>
          <w:rFonts w:hint="cs"/>
          <w:b/>
          <w:u w:val="single"/>
          <w:rtl/>
        </w:rPr>
        <w:t>מנגנון גזירת העונש</w:t>
      </w:r>
    </w:p>
    <w:p w14:paraId="4B8559D9" w14:textId="77777777" w:rsidR="00800336" w:rsidRDefault="00800336" w:rsidP="00800336">
      <w:pPr>
        <w:pStyle w:val="a9"/>
        <w:spacing w:line="360" w:lineRule="auto"/>
        <w:ind w:left="84"/>
        <w:jc w:val="both"/>
        <w:rPr>
          <w:rFonts w:ascii="David" w:hAnsi="David" w:cs="David"/>
          <w:szCs w:val="24"/>
          <w:rtl/>
        </w:rPr>
      </w:pPr>
    </w:p>
    <w:p w14:paraId="55D4B59E" w14:textId="77777777" w:rsidR="00800336" w:rsidRDefault="00800336" w:rsidP="00800336">
      <w:pPr>
        <w:pStyle w:val="a9"/>
        <w:numPr>
          <w:ilvl w:val="0"/>
          <w:numId w:val="1"/>
        </w:numPr>
        <w:spacing w:after="160" w:line="360" w:lineRule="auto"/>
        <w:jc w:val="both"/>
        <w:rPr>
          <w:rStyle w:val="default"/>
          <w:rFonts w:ascii="David" w:hAnsi="David" w:cs="David"/>
          <w:szCs w:val="24"/>
          <w:rtl/>
        </w:rPr>
      </w:pPr>
      <w:r>
        <w:rPr>
          <w:rFonts w:ascii="David" w:hAnsi="David" w:cs="David"/>
          <w:szCs w:val="24"/>
          <w:rtl/>
        </w:rPr>
        <w:t>לפי תיקון 113 ל</w:t>
      </w:r>
      <w:hyperlink r:id="rId47" w:history="1">
        <w:r w:rsidR="00E0787E" w:rsidRPr="00E0787E">
          <w:rPr>
            <w:rFonts w:ascii="David" w:hAnsi="David" w:cs="David"/>
            <w:color w:val="0000FF"/>
            <w:szCs w:val="24"/>
            <w:u w:val="single"/>
            <w:rtl/>
          </w:rPr>
          <w:t>חוק העונשין</w:t>
        </w:r>
      </w:hyperlink>
      <w:r>
        <w:rPr>
          <w:rFonts w:ascii="David" w:hAnsi="David" w:cs="David"/>
          <w:szCs w:val="24"/>
          <w:rtl/>
        </w:rPr>
        <w:t xml:space="preserve"> תשל"ז-1977, העיקרון המנחה את בתי המשפט בעת גזירת העונש בהתאם </w:t>
      </w:r>
      <w:hyperlink r:id="rId48" w:history="1">
        <w:r w:rsidR="00EE09A7" w:rsidRPr="00EE09A7">
          <w:rPr>
            <w:rStyle w:val="Hyperlink"/>
            <w:rFonts w:ascii="David" w:hAnsi="David" w:cs="David"/>
            <w:color w:val="0000FF"/>
            <w:szCs w:val="24"/>
            <w:rtl/>
          </w:rPr>
          <w:t>לסעיף 40ב</w:t>
        </w:r>
      </w:hyperlink>
      <w:r>
        <w:rPr>
          <w:rFonts w:ascii="David" w:hAnsi="David" w:cs="David"/>
          <w:szCs w:val="24"/>
          <w:rtl/>
        </w:rPr>
        <w:t xml:space="preserve"> לחוק העונשין הוא עיקרון ההלימה היינו </w:t>
      </w:r>
      <w:r>
        <w:rPr>
          <w:rStyle w:val="default"/>
          <w:rFonts w:ascii="David" w:hAnsi="David" w:cs="David"/>
          <w:szCs w:val="24"/>
          <w:rtl/>
        </w:rPr>
        <w:t>"</w:t>
      </w:r>
      <w:r>
        <w:rPr>
          <w:rStyle w:val="default"/>
          <w:rFonts w:ascii="David" w:hAnsi="David" w:cs="David"/>
          <w:bCs/>
          <w:iCs/>
          <w:sz w:val="22"/>
          <w:szCs w:val="22"/>
          <w:rtl/>
        </w:rPr>
        <w:t>קיומו של יחס הולם בין חומרת מעשה העבירה בנסיבותיו ומידת אשמו של הנאשם ובין סוג ומידת העונש המוטל עליו</w:t>
      </w:r>
      <w:r>
        <w:rPr>
          <w:rStyle w:val="default"/>
          <w:rFonts w:ascii="David" w:hAnsi="David" w:cs="David"/>
          <w:szCs w:val="24"/>
          <w:rtl/>
        </w:rPr>
        <w:t xml:space="preserve">". </w:t>
      </w:r>
    </w:p>
    <w:p w14:paraId="5C485BCB" w14:textId="77777777" w:rsidR="00800336" w:rsidRDefault="00800336" w:rsidP="00800336">
      <w:pPr>
        <w:pStyle w:val="a9"/>
        <w:spacing w:after="160" w:line="360" w:lineRule="auto"/>
        <w:jc w:val="both"/>
      </w:pPr>
    </w:p>
    <w:p w14:paraId="5EF65C14" w14:textId="77777777" w:rsidR="00800336" w:rsidRDefault="00800336" w:rsidP="00800336">
      <w:pPr>
        <w:pStyle w:val="a9"/>
        <w:numPr>
          <w:ilvl w:val="0"/>
          <w:numId w:val="1"/>
        </w:numPr>
        <w:spacing w:after="160" w:line="360" w:lineRule="auto"/>
        <w:jc w:val="both"/>
        <w:rPr>
          <w:rFonts w:ascii="David" w:hAnsi="David" w:cs="David"/>
          <w:szCs w:val="24"/>
          <w:rtl/>
        </w:rPr>
      </w:pPr>
      <w:r>
        <w:rPr>
          <w:rFonts w:ascii="David" w:hAnsi="David" w:cs="David"/>
          <w:szCs w:val="24"/>
          <w:rtl/>
        </w:rPr>
        <w:t xml:space="preserve">בהתאם </w:t>
      </w:r>
      <w:hyperlink r:id="rId49" w:history="1">
        <w:r w:rsidR="00EE09A7" w:rsidRPr="00EE09A7">
          <w:rPr>
            <w:rStyle w:val="Hyperlink"/>
            <w:rFonts w:ascii="David" w:hAnsi="David" w:cs="David"/>
            <w:color w:val="0000FF"/>
            <w:szCs w:val="24"/>
            <w:rtl/>
          </w:rPr>
          <w:t>לסעיף 40ג(א)</w:t>
        </w:r>
      </w:hyperlink>
      <w:r>
        <w:rPr>
          <w:rFonts w:ascii="David" w:hAnsi="David" w:cs="David"/>
          <w:szCs w:val="24"/>
          <w:rtl/>
        </w:rPr>
        <w:t xml:space="preserve"> ל</w:t>
      </w:r>
      <w:hyperlink r:id="rId50" w:history="1">
        <w:r w:rsidR="00E0787E" w:rsidRPr="00E0787E">
          <w:rPr>
            <w:rFonts w:ascii="David" w:hAnsi="David" w:cs="David"/>
            <w:color w:val="0000FF"/>
            <w:szCs w:val="24"/>
            <w:u w:val="single"/>
            <w:rtl/>
          </w:rPr>
          <w:t>חוק העונשין</w:t>
        </w:r>
      </w:hyperlink>
      <w:r>
        <w:rPr>
          <w:rFonts w:ascii="David" w:hAnsi="David" w:cs="David"/>
          <w:szCs w:val="24"/>
          <w:rtl/>
        </w:rPr>
        <w:t xml:space="preserve"> יקבע בית המשפט את מתחם העונש ההולם לעבירה שבוצעה בהתחשב בערך החברתי שנפגע כתוצאה מביצוע העבירה ובמידת הפגיעה בו, במדיניות הענישה הנהוגה ובנסיבות הקשורות בביצוע העבירה בהתאם </w:t>
      </w:r>
      <w:hyperlink r:id="rId51" w:history="1">
        <w:r w:rsidR="00EE09A7" w:rsidRPr="00EE09A7">
          <w:rPr>
            <w:rStyle w:val="Hyperlink"/>
            <w:rFonts w:ascii="David" w:hAnsi="David" w:cs="David"/>
            <w:color w:val="0000FF"/>
            <w:szCs w:val="24"/>
            <w:rtl/>
          </w:rPr>
          <w:t>לסעיף 40ט.</w:t>
        </w:r>
      </w:hyperlink>
      <w:r>
        <w:rPr>
          <w:rFonts w:ascii="David" w:hAnsi="David" w:cs="David"/>
          <w:szCs w:val="24"/>
          <w:rtl/>
        </w:rPr>
        <w:t xml:space="preserve"> בהתאם לסעיף </w:t>
      </w:r>
      <w:hyperlink r:id="rId52" w:history="1">
        <w:r w:rsidR="00EE09A7" w:rsidRPr="00EE09A7">
          <w:rPr>
            <w:rStyle w:val="Hyperlink"/>
            <w:rFonts w:ascii="David" w:hAnsi="David" w:cs="David"/>
            <w:color w:val="0000FF"/>
            <w:szCs w:val="24"/>
            <w:rtl/>
          </w:rPr>
          <w:t>40 ג(ב)</w:t>
        </w:r>
      </w:hyperlink>
      <w:r>
        <w:rPr>
          <w:rFonts w:ascii="David" w:hAnsi="David" w:cs="David"/>
          <w:szCs w:val="24"/>
          <w:rtl/>
        </w:rPr>
        <w:t xml:space="preserve"> "ק (ב) בתוך מתחם העונש ההולם, יגזור בית המשפט המתאים לנאשם בהתחשב בנסיבות שאינן קשורות בביצוע העבירה כאמור בסעיף </w:t>
      </w:r>
      <w:hyperlink r:id="rId53" w:history="1">
        <w:r w:rsidR="00EE09A7" w:rsidRPr="00EE09A7">
          <w:rPr>
            <w:rStyle w:val="Hyperlink"/>
            <w:rFonts w:ascii="David" w:hAnsi="David" w:cs="David"/>
            <w:color w:val="0000FF"/>
            <w:szCs w:val="24"/>
            <w:rtl/>
          </w:rPr>
          <w:t>40 יא.</w:t>
        </w:r>
      </w:hyperlink>
    </w:p>
    <w:p w14:paraId="2C37433C" w14:textId="77777777" w:rsidR="00800336" w:rsidRDefault="00800336" w:rsidP="00800336">
      <w:pPr>
        <w:pStyle w:val="a9"/>
        <w:spacing w:after="160" w:line="360" w:lineRule="auto"/>
        <w:jc w:val="both"/>
        <w:rPr>
          <w:rFonts w:ascii="David" w:hAnsi="David" w:cs="David"/>
          <w:szCs w:val="24"/>
        </w:rPr>
      </w:pPr>
    </w:p>
    <w:p w14:paraId="5F1B11B6" w14:textId="77777777" w:rsidR="00800336" w:rsidRDefault="00800336" w:rsidP="00800336">
      <w:pPr>
        <w:pStyle w:val="a9"/>
        <w:spacing w:after="160" w:line="360" w:lineRule="auto"/>
        <w:jc w:val="both"/>
        <w:rPr>
          <w:rFonts w:ascii="David" w:hAnsi="David" w:cs="David"/>
          <w:szCs w:val="24"/>
        </w:rPr>
      </w:pPr>
      <w:r>
        <w:rPr>
          <w:rFonts w:ascii="David" w:hAnsi="David" w:cs="David"/>
          <w:szCs w:val="24"/>
          <w:rtl/>
        </w:rPr>
        <w:t>תחילה יש לקבוע, אפוא, את מתחם הענישה ההולם את העבירה בנסיבות הקשורות בביצועה. לאחר מכן בוחן בית המשפט את הנסיבות שאינן קשורות לעבירה וגוזר את העונש המצוי במתחם הענישה שנקבע בשלב הקודם.</w:t>
      </w:r>
    </w:p>
    <w:p w14:paraId="2C8366CF" w14:textId="77777777" w:rsidR="00800336" w:rsidRDefault="00800336" w:rsidP="00800336">
      <w:pPr>
        <w:pStyle w:val="a9"/>
        <w:spacing w:line="360" w:lineRule="auto"/>
        <w:ind w:left="84"/>
        <w:jc w:val="both"/>
        <w:rPr>
          <w:rFonts w:ascii="David" w:hAnsi="David" w:cs="David"/>
          <w:szCs w:val="24"/>
        </w:rPr>
      </w:pPr>
    </w:p>
    <w:p w14:paraId="480BD80F" w14:textId="77777777" w:rsidR="00800336" w:rsidRDefault="00800336" w:rsidP="00800336">
      <w:pPr>
        <w:pStyle w:val="a9"/>
        <w:numPr>
          <w:ilvl w:val="0"/>
          <w:numId w:val="1"/>
        </w:numPr>
        <w:spacing w:after="160" w:line="360" w:lineRule="auto"/>
        <w:jc w:val="both"/>
        <w:rPr>
          <w:rFonts w:ascii="David" w:hAnsi="David" w:cs="David"/>
          <w:szCs w:val="24"/>
        </w:rPr>
      </w:pPr>
      <w:r>
        <w:rPr>
          <w:rFonts w:ascii="David" w:hAnsi="David" w:cs="David"/>
          <w:color w:val="000000"/>
          <w:szCs w:val="24"/>
          <w:rtl/>
        </w:rPr>
        <w:t xml:space="preserve">על חומרת העבירות, הערכים החברתיים שנפגעו, הסיכון הגלום בעבירות בנשק והמדיניות הראויה ראו לדוגמה </w:t>
      </w:r>
      <w:hyperlink r:id="rId54" w:history="1">
        <w:r w:rsidR="00E0787E" w:rsidRPr="00E0787E">
          <w:rPr>
            <w:rFonts w:ascii="David" w:hAnsi="David" w:cs="David"/>
            <w:color w:val="0000FF"/>
            <w:szCs w:val="24"/>
            <w:u w:val="single"/>
            <w:rtl/>
          </w:rPr>
          <w:t>ע"פ 4945/13</w:t>
        </w:r>
      </w:hyperlink>
      <w:r w:rsidR="00E0787E">
        <w:rPr>
          <w:rFonts w:ascii="David" w:hAnsi="David" w:cs="David"/>
          <w:szCs w:val="24"/>
          <w:rtl/>
        </w:rPr>
        <w:t xml:space="preserve"> </w:t>
      </w:r>
      <w:r>
        <w:rPr>
          <w:rFonts w:ascii="David" w:hAnsi="David" w:cs="David"/>
          <w:bCs/>
          <w:szCs w:val="24"/>
          <w:rtl/>
        </w:rPr>
        <w:t>מדינת ישראל נ' עבד אלכרים סלימאן</w:t>
      </w:r>
      <w:r w:rsidR="00E0787E">
        <w:rPr>
          <w:rFonts w:ascii="David" w:hAnsi="David" w:cs="David"/>
          <w:szCs w:val="24"/>
          <w:rtl/>
        </w:rPr>
        <w:t xml:space="preserve"> </w:t>
      </w:r>
      <w:r>
        <w:rPr>
          <w:rFonts w:ascii="David" w:hAnsi="David" w:cs="David"/>
          <w:szCs w:val="24"/>
          <w:rtl/>
        </w:rPr>
        <w:t>(נבו 19.01.2014);‏</w:t>
      </w:r>
      <w:r>
        <w:rPr>
          <w:rFonts w:ascii="David" w:hAnsi="David" w:cs="David"/>
          <w:color w:val="000000"/>
          <w:szCs w:val="24"/>
          <w:rtl/>
        </w:rPr>
        <w:t xml:space="preserve">‏ </w:t>
      </w:r>
      <w:hyperlink r:id="rId55" w:history="1">
        <w:r w:rsidR="00E0787E" w:rsidRPr="00E0787E">
          <w:rPr>
            <w:rFonts w:ascii="David" w:hAnsi="David" w:cs="David"/>
            <w:color w:val="0000FF"/>
            <w:szCs w:val="24"/>
            <w:u w:val="single"/>
            <w:rtl/>
          </w:rPr>
          <w:t>ע"פ 9830/17</w:t>
        </w:r>
      </w:hyperlink>
      <w:r>
        <w:rPr>
          <w:rFonts w:ascii="David" w:hAnsi="David" w:cs="David"/>
          <w:szCs w:val="24"/>
          <w:rtl/>
        </w:rPr>
        <w:t xml:space="preserve"> </w:t>
      </w:r>
      <w:r>
        <w:rPr>
          <w:rFonts w:ascii="David" w:hAnsi="David" w:cs="David"/>
          <w:bCs/>
          <w:szCs w:val="24"/>
          <w:rtl/>
        </w:rPr>
        <w:t>פלאח חמודה נ' מדינת ישראל</w:t>
      </w:r>
      <w:r>
        <w:rPr>
          <w:rFonts w:ascii="David" w:hAnsi="David" w:cs="David"/>
          <w:szCs w:val="24"/>
          <w:rtl/>
        </w:rPr>
        <w:t xml:space="preserve"> (נבו 08.03.2018)‏‏. </w:t>
      </w:r>
    </w:p>
    <w:p w14:paraId="096C8E85" w14:textId="77777777" w:rsidR="00800336" w:rsidRDefault="00800336" w:rsidP="00800336">
      <w:pPr>
        <w:spacing w:line="360" w:lineRule="auto"/>
        <w:ind w:left="720"/>
        <w:jc w:val="both"/>
        <w:rPr>
          <w:rFonts w:ascii="David" w:hAnsi="David"/>
          <w:rtl/>
        </w:rPr>
      </w:pPr>
      <w:r>
        <w:rPr>
          <w:rFonts w:hint="cs"/>
          <w:rtl/>
        </w:rPr>
        <w:t>ב</w:t>
      </w:r>
      <w:hyperlink r:id="rId56" w:history="1">
        <w:r w:rsidR="00E0787E" w:rsidRPr="00E0787E">
          <w:rPr>
            <w:color w:val="0000FF"/>
            <w:u w:val="single"/>
            <w:rtl/>
          </w:rPr>
          <w:t>ע"פ 8641/12</w:t>
        </w:r>
      </w:hyperlink>
      <w:r>
        <w:rPr>
          <w:rFonts w:hint="cs"/>
          <w:rtl/>
        </w:rPr>
        <w:t xml:space="preserve"> </w:t>
      </w:r>
      <w:r>
        <w:rPr>
          <w:rFonts w:hint="cs"/>
          <w:bCs/>
          <w:rtl/>
        </w:rPr>
        <w:t>סעד נ' מדינת ישראל</w:t>
      </w:r>
      <w:r>
        <w:rPr>
          <w:rFonts w:hint="cs"/>
          <w:rtl/>
        </w:rPr>
        <w:t xml:space="preserve"> (5.8.13), הובאו הדברים בזו הלשון: </w:t>
      </w:r>
      <w:r>
        <w:rPr>
          <w:rFonts w:hint="cs"/>
          <w:b/>
          <w:rtl/>
        </w:rPr>
        <w:t>"</w:t>
      </w:r>
      <w:r>
        <w:rPr>
          <w:rFonts w:hint="cs"/>
          <w:bCs/>
          <w:iCs/>
          <w:sz w:val="22"/>
          <w:szCs w:val="22"/>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Fonts w:hint="cs"/>
          <w:b/>
          <w:rtl/>
        </w:rPr>
        <w:t>"</w:t>
      </w:r>
      <w:r>
        <w:rPr>
          <w:rFonts w:hint="cs"/>
          <w:rtl/>
        </w:rPr>
        <w:t xml:space="preserve">; </w:t>
      </w:r>
      <w:hyperlink r:id="rId57" w:history="1">
        <w:r w:rsidR="00E0787E" w:rsidRPr="00E0787E">
          <w:rPr>
            <w:b/>
            <w:color w:val="0000FF"/>
            <w:u w:val="single"/>
            <w:rtl/>
          </w:rPr>
          <w:t>ע"פ 4406/19</w:t>
        </w:r>
      </w:hyperlink>
      <w:r>
        <w:rPr>
          <w:rFonts w:hint="cs"/>
          <w:b/>
          <w:color w:val="000000"/>
          <w:rtl/>
        </w:rPr>
        <w:t xml:space="preserve"> </w:t>
      </w:r>
      <w:r>
        <w:rPr>
          <w:rFonts w:hint="cs"/>
          <w:bCs/>
          <w:color w:val="000000"/>
          <w:rtl/>
        </w:rPr>
        <w:t>מדינת ישראל נ' סובח</w:t>
      </w:r>
      <w:r>
        <w:rPr>
          <w:rFonts w:hint="cs"/>
          <w:color w:val="000000"/>
          <w:rtl/>
        </w:rPr>
        <w:t xml:space="preserve"> (5/11/19), מפי כב' הש' אלרון); </w:t>
      </w:r>
      <w:hyperlink r:id="rId58" w:history="1">
        <w:r w:rsidR="00E0787E" w:rsidRPr="00E0787E">
          <w:rPr>
            <w:color w:val="0000FF"/>
            <w:u w:val="single"/>
            <w:rtl/>
          </w:rPr>
          <w:t>ע"פ 1275/22</w:t>
        </w:r>
      </w:hyperlink>
      <w:r>
        <w:rPr>
          <w:rFonts w:hint="cs"/>
          <w:rtl/>
        </w:rPr>
        <w:t xml:space="preserve"> </w:t>
      </w:r>
      <w:r>
        <w:rPr>
          <w:rFonts w:hint="cs"/>
          <w:bCs/>
          <w:rtl/>
        </w:rPr>
        <w:t>פלוני נ' מדינת ישראל</w:t>
      </w:r>
      <w:r>
        <w:rPr>
          <w:rFonts w:hint="cs"/>
          <w:rtl/>
        </w:rPr>
        <w:t xml:space="preserve"> (30.11.22): </w:t>
      </w:r>
      <w:r>
        <w:rPr>
          <w:rFonts w:hint="cs"/>
          <w:b/>
          <w:i/>
          <w:rtl/>
        </w:rPr>
        <w:t xml:space="preserve">"... </w:t>
      </w:r>
      <w:r>
        <w:rPr>
          <w:rFonts w:hint="cs"/>
          <w:bCs/>
          <w:iCs/>
          <w:sz w:val="22"/>
          <w:szCs w:val="22"/>
          <w:rtl/>
        </w:rPr>
        <w:t>מדובר בתופעה המאיימת על הסדר הציבורי, על ביטחונם האישי של אזרחי המדינה ועל חוסנה של החברה. זו מחייבת צעדי אכיפה בלתי מתפשרים וניהול מאבק נחוש במחולליה. גם בית המשפט נדרש לתרום את חלקו למאבק זה, על-ידי החמרת הענישה ומתן משקל משמעותי לשיקולי הרתעה בעת גזירת הדי</w:t>
      </w:r>
      <w:r>
        <w:rPr>
          <w:rFonts w:hint="cs"/>
          <w:bCs/>
          <w:iCs/>
          <w:rtl/>
        </w:rPr>
        <w:t>ן</w:t>
      </w:r>
      <w:r>
        <w:rPr>
          <w:rFonts w:hint="cs"/>
          <w:b/>
          <w:i/>
          <w:rtl/>
        </w:rPr>
        <w:t xml:space="preserve"> </w:t>
      </w:r>
      <w:r>
        <w:rPr>
          <w:rFonts w:hint="cs"/>
          <w:rtl/>
        </w:rPr>
        <w:t>(</w:t>
      </w:r>
      <w:hyperlink r:id="rId59" w:history="1">
        <w:r w:rsidR="00E0787E" w:rsidRPr="00E0787E">
          <w:rPr>
            <w:color w:val="0000FF"/>
            <w:u w:val="single"/>
            <w:rtl/>
          </w:rPr>
          <w:t>ע"פ 3169/21</w:t>
        </w:r>
      </w:hyperlink>
      <w:r>
        <w:rPr>
          <w:rFonts w:hint="cs"/>
          <w:b/>
          <w:i/>
          <w:rtl/>
        </w:rPr>
        <w:t xml:space="preserve"> </w:t>
      </w:r>
      <w:r>
        <w:rPr>
          <w:rFonts w:hint="cs"/>
          <w:bCs/>
          <w:rtl/>
        </w:rPr>
        <w:t>מדינת ישראל נ' אגבאריה</w:t>
      </w:r>
      <w:r>
        <w:rPr>
          <w:rFonts w:hint="cs"/>
          <w:rtl/>
        </w:rPr>
        <w:t>, פסקה 6 (21/6/21)".</w:t>
      </w:r>
    </w:p>
    <w:p w14:paraId="24A43A57" w14:textId="77777777" w:rsidR="00800336" w:rsidRDefault="00800336" w:rsidP="00800336">
      <w:pPr>
        <w:pStyle w:val="a9"/>
        <w:spacing w:after="160" w:line="360" w:lineRule="auto"/>
        <w:jc w:val="both"/>
        <w:rPr>
          <w:rFonts w:ascii="David" w:hAnsi="David" w:cs="David"/>
          <w:szCs w:val="24"/>
        </w:rPr>
      </w:pPr>
    </w:p>
    <w:p w14:paraId="4B5EF405" w14:textId="77777777" w:rsidR="00800336" w:rsidRDefault="00800336" w:rsidP="00800336">
      <w:pPr>
        <w:pStyle w:val="a9"/>
        <w:numPr>
          <w:ilvl w:val="0"/>
          <w:numId w:val="1"/>
        </w:numPr>
        <w:spacing w:after="160" w:line="360" w:lineRule="auto"/>
        <w:jc w:val="both"/>
        <w:rPr>
          <w:rFonts w:ascii="David" w:hAnsi="David" w:cs="David"/>
          <w:szCs w:val="24"/>
        </w:rPr>
      </w:pPr>
      <w:r>
        <w:rPr>
          <w:rFonts w:ascii="David" w:hAnsi="David" w:cs="David"/>
          <w:szCs w:val="24"/>
          <w:rtl/>
        </w:rPr>
        <w:t>בענייננו אין מדובר בהחזקת נשק ונשיאת נשק בלבד אלא שימוש אלים בו במקום ציבורי לאחר תכנון מקדים, ליד בית ספר בו מתגודדים ילדים, תוך שהנאשם ארב למתלונן שייצא מבית הספר בכוונה לירות ולפגוע בו. ואכן בפועל, אחד הנערים (סאהר) נפצע מהירי.</w:t>
      </w:r>
    </w:p>
    <w:p w14:paraId="14C44A8C" w14:textId="77777777" w:rsidR="00800336" w:rsidRDefault="00800336" w:rsidP="00800336">
      <w:pPr>
        <w:spacing w:line="360" w:lineRule="auto"/>
        <w:ind w:left="720" w:hanging="720"/>
        <w:jc w:val="both"/>
        <w:rPr>
          <w:rFonts w:ascii="David" w:hAnsi="David"/>
          <w:color w:val="000000"/>
        </w:rPr>
      </w:pPr>
      <w:r>
        <w:rPr>
          <w:rFonts w:hint="cs"/>
          <w:rtl/>
        </w:rPr>
        <w:t xml:space="preserve">  </w:t>
      </w:r>
      <w:r>
        <w:rPr>
          <w:rFonts w:hint="cs"/>
          <w:color w:val="000000"/>
          <w:rtl/>
        </w:rPr>
        <w:tab/>
        <w:t xml:space="preserve">כפי שנקבע בהכרעת הדין, הנאשם פנה לפתרון אלים כנקמה על הסכסוך בין המשפחות </w:t>
      </w:r>
      <w:r>
        <w:rPr>
          <w:rFonts w:hint="cs"/>
          <w:rtl/>
        </w:rPr>
        <w:t>כל זאת ללא התגרות מוקדמת של המתלונן או איום שהופעל על הנאשם</w:t>
      </w:r>
      <w:r>
        <w:rPr>
          <w:rFonts w:hint="cs"/>
          <w:color w:val="000000"/>
          <w:rtl/>
        </w:rPr>
        <w:t>. לביצוע העבירה קדם תכנון והפעלת שיקול דעת. הנאשם השיג נשק אוטומטי, לבש בגדים כהים, כובע ומסכה שיקשו על זיהויו, הגיע ברכב לבית הספר וארב למתלונן. או אז וביציאתו של המתלונן עם ילדים נוספים מבית הספר, כיוון את הנשק וירה לכיוונו ונמלט תוך הסתייעות ברכב מילוט.</w:t>
      </w:r>
    </w:p>
    <w:p w14:paraId="496C9175" w14:textId="77777777" w:rsidR="00800336" w:rsidRDefault="00800336" w:rsidP="00800336">
      <w:pPr>
        <w:pStyle w:val="a9"/>
        <w:spacing w:line="360" w:lineRule="auto"/>
        <w:ind w:left="84"/>
        <w:jc w:val="both"/>
        <w:rPr>
          <w:rFonts w:ascii="David" w:hAnsi="David" w:cs="David"/>
          <w:color w:val="000000"/>
          <w:szCs w:val="24"/>
        </w:rPr>
      </w:pPr>
    </w:p>
    <w:p w14:paraId="651522F9" w14:textId="77777777" w:rsidR="00800336" w:rsidRDefault="00800336" w:rsidP="00800336">
      <w:pPr>
        <w:pStyle w:val="a9"/>
        <w:numPr>
          <w:ilvl w:val="0"/>
          <w:numId w:val="1"/>
        </w:numPr>
        <w:spacing w:after="160" w:line="360" w:lineRule="auto"/>
        <w:jc w:val="both"/>
        <w:rPr>
          <w:rFonts w:ascii="David" w:hAnsi="David" w:cs="David"/>
          <w:szCs w:val="24"/>
          <w:rtl/>
        </w:rPr>
      </w:pPr>
      <w:r>
        <w:rPr>
          <w:rFonts w:ascii="David" w:hAnsi="David" w:cs="David"/>
          <w:color w:val="000000"/>
          <w:szCs w:val="24"/>
          <w:rtl/>
        </w:rPr>
        <w:t xml:space="preserve">הערכים החברתיים שנפגעו כתוצאה מהעבירות שבוצעו על ידי הנאשם הם אפוא פגיעה בשלום הציבור </w:t>
      </w:r>
      <w:r>
        <w:rPr>
          <w:rFonts w:ascii="David" w:hAnsi="David" w:cs="David"/>
          <w:szCs w:val="24"/>
          <w:rtl/>
        </w:rPr>
        <w:t xml:space="preserve">ובטחונו, שלמות הגוף וסיכון החיים. </w:t>
      </w:r>
      <w:r>
        <w:rPr>
          <w:rFonts w:ascii="David" w:hAnsi="David" w:cs="David"/>
          <w:color w:val="000000"/>
          <w:szCs w:val="24"/>
          <w:rtl/>
        </w:rPr>
        <w:t>מידת הפגיעה בערכים המוגנים הינה משמעותית, נוכח פוטנציאל הנזק הטמון בביצוע העבירות והנזק שנגרם בפועל.</w:t>
      </w:r>
      <w:r>
        <w:rPr>
          <w:rFonts w:ascii="David" w:hAnsi="David" w:cs="David"/>
          <w:szCs w:val="24"/>
          <w:rtl/>
        </w:rPr>
        <w:t xml:space="preserve"> יש ליתן משקל לנזק שנגרם מביצוע העבירה של ירי מכוון, סמוך לבית ספר בשעה שהילדים יצאו מבית הספר שאך בנס לא נגרם נזק גדול יותר לנפגע ולשאר הילדים שיכלו להיפגע. </w:t>
      </w:r>
    </w:p>
    <w:p w14:paraId="76EB92C1" w14:textId="77777777" w:rsidR="00800336" w:rsidRDefault="00800336" w:rsidP="00800336">
      <w:pPr>
        <w:pStyle w:val="a9"/>
        <w:spacing w:after="160" w:line="360" w:lineRule="auto"/>
        <w:jc w:val="both"/>
        <w:rPr>
          <w:rFonts w:ascii="David" w:hAnsi="David" w:cs="David"/>
          <w:szCs w:val="24"/>
        </w:rPr>
      </w:pPr>
    </w:p>
    <w:p w14:paraId="4669F052" w14:textId="77777777" w:rsidR="00800336" w:rsidRDefault="00800336" w:rsidP="00800336">
      <w:pPr>
        <w:spacing w:line="360" w:lineRule="auto"/>
        <w:ind w:firstLine="720"/>
        <w:jc w:val="both"/>
        <w:rPr>
          <w:rFonts w:ascii="David" w:hAnsi="David"/>
          <w:b/>
          <w:color w:val="000000"/>
          <w:u w:val="single"/>
          <w:rtl/>
        </w:rPr>
      </w:pPr>
      <w:r>
        <w:rPr>
          <w:rFonts w:hint="cs"/>
          <w:b/>
          <w:color w:val="000000"/>
          <w:u w:val="single"/>
          <w:rtl/>
        </w:rPr>
        <w:t>מתחם הענישה והענישה בתוך המתחם</w:t>
      </w:r>
    </w:p>
    <w:p w14:paraId="69355D84" w14:textId="77777777" w:rsidR="00800336" w:rsidRDefault="00800336" w:rsidP="00800336">
      <w:pPr>
        <w:spacing w:line="360" w:lineRule="auto"/>
        <w:ind w:left="720"/>
        <w:jc w:val="both"/>
        <w:rPr>
          <w:b/>
          <w:color w:val="000000"/>
          <w:u w:val="single"/>
          <w:rtl/>
        </w:rPr>
      </w:pPr>
    </w:p>
    <w:p w14:paraId="3F518817" w14:textId="77777777" w:rsidR="00800336" w:rsidRDefault="00EE09A7" w:rsidP="00800336">
      <w:pPr>
        <w:pStyle w:val="a9"/>
        <w:numPr>
          <w:ilvl w:val="0"/>
          <w:numId w:val="1"/>
        </w:numPr>
        <w:spacing w:line="360" w:lineRule="auto"/>
        <w:jc w:val="both"/>
        <w:rPr>
          <w:rFonts w:ascii="David" w:hAnsi="David" w:cs="David"/>
          <w:szCs w:val="24"/>
          <w:rtl/>
        </w:rPr>
      </w:pPr>
      <w:hyperlink r:id="rId60" w:history="1">
        <w:r w:rsidRPr="00EE09A7">
          <w:rPr>
            <w:rStyle w:val="Hyperlink"/>
            <w:rFonts w:ascii="David" w:hAnsi="David" w:cs="David"/>
            <w:color w:val="0000FF"/>
            <w:szCs w:val="24"/>
            <w:rtl/>
          </w:rPr>
          <w:t>סעיף 329(א)(1)(2)</w:t>
        </w:r>
      </w:hyperlink>
      <w:r w:rsidR="00800336">
        <w:rPr>
          <w:rFonts w:ascii="David" w:hAnsi="David" w:cs="David"/>
          <w:szCs w:val="24"/>
          <w:rtl/>
        </w:rPr>
        <w:t xml:space="preserve"> ל</w:t>
      </w:r>
      <w:hyperlink r:id="rId61" w:history="1">
        <w:r w:rsidR="00E0787E" w:rsidRPr="00E0787E">
          <w:rPr>
            <w:rFonts w:ascii="David" w:hAnsi="David" w:cs="David"/>
            <w:color w:val="0000FF"/>
            <w:szCs w:val="24"/>
            <w:u w:val="single"/>
            <w:rtl/>
          </w:rPr>
          <w:t>חוק העונשין</w:t>
        </w:r>
      </w:hyperlink>
      <w:r w:rsidR="00800336">
        <w:rPr>
          <w:rFonts w:ascii="David" w:hAnsi="David" w:cs="David"/>
          <w:szCs w:val="24"/>
          <w:rtl/>
        </w:rPr>
        <w:t xml:space="preserve"> שכותרתו חבלה בכוונה מחמירה, שבו הורשע הנאשם, קובע, בין היתר, כי הפוצע אדם או גורם לו חבלה חמורה בין השאר בנשק מסוכן, בכוונה לגרום לו חבלה חמורה, דינו מאסר עד עשרים שנים. </w:t>
      </w:r>
    </w:p>
    <w:p w14:paraId="35DEACDA" w14:textId="77777777" w:rsidR="00800336" w:rsidRDefault="00800336" w:rsidP="00800336">
      <w:pPr>
        <w:spacing w:line="360" w:lineRule="auto"/>
        <w:jc w:val="both"/>
        <w:rPr>
          <w:rFonts w:ascii="David" w:hAnsi="David"/>
        </w:rPr>
      </w:pPr>
    </w:p>
    <w:p w14:paraId="3A9A0083" w14:textId="77777777" w:rsidR="00800336" w:rsidRDefault="00800336" w:rsidP="00800336">
      <w:pPr>
        <w:spacing w:line="360" w:lineRule="auto"/>
        <w:ind w:left="720"/>
        <w:jc w:val="both"/>
        <w:rPr>
          <w:rtl/>
        </w:rPr>
      </w:pPr>
      <w:r>
        <w:rPr>
          <w:rFonts w:hint="cs"/>
          <w:rtl/>
        </w:rPr>
        <w:t>כפי שהתבטא בית המשפט העליון ב</w:t>
      </w:r>
      <w:hyperlink r:id="rId62" w:history="1">
        <w:r w:rsidR="00E0787E" w:rsidRPr="00E0787E">
          <w:rPr>
            <w:color w:val="0000FF"/>
            <w:u w:val="single"/>
            <w:rtl/>
          </w:rPr>
          <w:t>ע"פ 8900/21</w:t>
        </w:r>
      </w:hyperlink>
      <w:r>
        <w:rPr>
          <w:rFonts w:hint="cs"/>
          <w:b/>
          <w:bCs/>
          <w:rtl/>
        </w:rPr>
        <w:t xml:space="preserve"> מחאג'נה נ' מדינת ישראל </w:t>
      </w:r>
      <w:r>
        <w:rPr>
          <w:rFonts w:hint="cs"/>
          <w:rtl/>
        </w:rPr>
        <w:t xml:space="preserve">(ניתן ב-14/8/22) </w:t>
      </w:r>
      <w:r>
        <w:rPr>
          <w:rFonts w:hint="cs"/>
          <w:b/>
          <w:bCs/>
          <w:rtl/>
        </w:rPr>
        <w:t>"</w:t>
      </w:r>
      <w:r>
        <w:rPr>
          <w:rFonts w:hint="cs"/>
          <w:b/>
          <w:bCs/>
          <w:i/>
          <w:iCs/>
          <w:sz w:val="22"/>
          <w:szCs w:val="22"/>
          <w:rtl/>
        </w:rPr>
        <w:t>לא בכדי העונש המרבי הקבוע בצדה של עבירת גרימת חבלה בכוונה מחמירה – 20 שנות מאסר בפועל, עונש המבטא את השקפתו הערכית של המחוקק ביחס לחומרת העבירה</w:t>
      </w:r>
      <w:r>
        <w:rPr>
          <w:rFonts w:hint="cs"/>
          <w:b/>
          <w:bCs/>
          <w:rtl/>
        </w:rPr>
        <w:t>"</w:t>
      </w:r>
      <w:r>
        <w:rPr>
          <w:rFonts w:hint="cs"/>
          <w:rtl/>
        </w:rPr>
        <w:t xml:space="preserve"> וראו גם</w:t>
      </w:r>
      <w:r>
        <w:rPr>
          <w:rFonts w:hint="cs"/>
          <w:b/>
          <w:bCs/>
          <w:rtl/>
        </w:rPr>
        <w:t xml:space="preserve"> </w:t>
      </w:r>
      <w:hyperlink r:id="rId63" w:history="1">
        <w:r w:rsidR="00E0787E" w:rsidRPr="00E0787E">
          <w:rPr>
            <w:color w:val="0000FF"/>
            <w:u w:val="single"/>
            <w:rtl/>
          </w:rPr>
          <w:t>ע"פ 687/22</w:t>
        </w:r>
      </w:hyperlink>
      <w:r>
        <w:rPr>
          <w:rFonts w:hint="cs"/>
          <w:b/>
          <w:bCs/>
          <w:rtl/>
        </w:rPr>
        <w:t xml:space="preserve"> טלוי נ' מדינת ישראל, (</w:t>
      </w:r>
      <w:r>
        <w:rPr>
          <w:rFonts w:hint="cs"/>
          <w:rtl/>
        </w:rPr>
        <w:t>ניתן ב-19/5/22</w:t>
      </w:r>
      <w:r>
        <w:rPr>
          <w:rFonts w:hint="cs"/>
          <w:b/>
          <w:bCs/>
          <w:rtl/>
        </w:rPr>
        <w:t xml:space="preserve">) </w:t>
      </w:r>
      <w:r>
        <w:rPr>
          <w:rFonts w:hint="cs"/>
          <w:rtl/>
        </w:rPr>
        <w:t xml:space="preserve">(פורסם בנבו). </w:t>
      </w:r>
    </w:p>
    <w:p w14:paraId="411268D9" w14:textId="77777777" w:rsidR="00800336" w:rsidRDefault="00800336" w:rsidP="00800336">
      <w:pPr>
        <w:spacing w:line="360" w:lineRule="auto"/>
        <w:ind w:left="720"/>
        <w:jc w:val="both"/>
        <w:rPr>
          <w:i/>
          <w:iCs/>
          <w:rtl/>
        </w:rPr>
      </w:pPr>
    </w:p>
    <w:p w14:paraId="7A4D1CB4" w14:textId="77777777" w:rsidR="00800336" w:rsidRDefault="00800336" w:rsidP="00800336">
      <w:pPr>
        <w:spacing w:line="360" w:lineRule="auto"/>
        <w:ind w:left="720"/>
        <w:jc w:val="both"/>
        <w:rPr>
          <w:rtl/>
        </w:rPr>
      </w:pPr>
      <w:r>
        <w:rPr>
          <w:rFonts w:hint="cs"/>
          <w:b/>
          <w:bCs/>
          <w:i/>
          <w:iCs/>
          <w:sz w:val="22"/>
          <w:szCs w:val="22"/>
          <w:rtl/>
        </w:rPr>
        <w:t>"בעבירה זו מעוגן היסוד הנפשי של כוונה, המלמדת על פגיעה בעצימות גבוהה במיוחד בערכים המוגנים שעל הפרק</w:t>
      </w:r>
      <w:r>
        <w:t>"</w:t>
      </w:r>
      <w:r>
        <w:rPr>
          <w:rFonts w:hint="cs"/>
          <w:rtl/>
        </w:rPr>
        <w:t xml:space="preserve">. ראו </w:t>
      </w:r>
      <w:hyperlink r:id="rId64" w:history="1">
        <w:r w:rsidR="00E0787E" w:rsidRPr="00E0787E">
          <w:rPr>
            <w:color w:val="0000FF"/>
            <w:u w:val="single"/>
            <w:rtl/>
          </w:rPr>
          <w:t>ע"פ 3105/23</w:t>
        </w:r>
      </w:hyperlink>
      <w:r w:rsidR="00E0787E">
        <w:rPr>
          <w:rFonts w:hint="cs"/>
          <w:rtl/>
        </w:rPr>
        <w:t xml:space="preserve"> </w:t>
      </w:r>
      <w:r>
        <w:rPr>
          <w:rFonts w:hint="cs"/>
          <w:b/>
          <w:bCs/>
          <w:rtl/>
        </w:rPr>
        <w:t>מדינת ישראל נ' סרחאן</w:t>
      </w:r>
      <w:r>
        <w:rPr>
          <w:rFonts w:hint="cs"/>
          <w:rtl/>
        </w:rPr>
        <w:t xml:space="preserve"> (ניתן ב-8/9/23 ).</w:t>
      </w:r>
    </w:p>
    <w:p w14:paraId="7B53175A" w14:textId="77777777" w:rsidR="00800336" w:rsidRDefault="00800336" w:rsidP="00800336">
      <w:pPr>
        <w:pStyle w:val="a9"/>
        <w:spacing w:after="160" w:line="360" w:lineRule="auto"/>
        <w:jc w:val="both"/>
        <w:rPr>
          <w:rFonts w:ascii="David" w:hAnsi="David" w:cs="David"/>
          <w:color w:val="000000"/>
          <w:szCs w:val="24"/>
          <w:rtl/>
        </w:rPr>
      </w:pPr>
    </w:p>
    <w:p w14:paraId="3DB3E28A" w14:textId="77777777" w:rsidR="00800336" w:rsidRDefault="00800336" w:rsidP="00800336">
      <w:pPr>
        <w:pStyle w:val="a9"/>
        <w:numPr>
          <w:ilvl w:val="0"/>
          <w:numId w:val="1"/>
        </w:numPr>
        <w:spacing w:after="160" w:line="360" w:lineRule="auto"/>
        <w:jc w:val="both"/>
        <w:rPr>
          <w:rFonts w:ascii="David" w:hAnsi="David" w:cs="David"/>
          <w:color w:val="000000"/>
          <w:szCs w:val="24"/>
          <w:rtl/>
        </w:rPr>
      </w:pPr>
      <w:r>
        <w:rPr>
          <w:rFonts w:ascii="David" w:hAnsi="David" w:cs="David"/>
          <w:color w:val="000000"/>
          <w:szCs w:val="24"/>
          <w:rtl/>
        </w:rPr>
        <w:t>העונש המרבי הקבוע ב</w:t>
      </w:r>
      <w:hyperlink r:id="rId65" w:history="1">
        <w:r w:rsidR="00E0787E" w:rsidRPr="00E0787E">
          <w:rPr>
            <w:rFonts w:ascii="David" w:hAnsi="David" w:cs="David"/>
            <w:color w:val="0000FF"/>
            <w:szCs w:val="24"/>
            <w:u w:val="single"/>
            <w:rtl/>
          </w:rPr>
          <w:t>חוק העונשין</w:t>
        </w:r>
      </w:hyperlink>
      <w:r>
        <w:rPr>
          <w:rFonts w:ascii="David" w:hAnsi="David" w:cs="David"/>
          <w:color w:val="000000"/>
          <w:szCs w:val="24"/>
          <w:rtl/>
        </w:rPr>
        <w:t xml:space="preserve"> בצדה של עבירה של נשיאת נשק הוא 10 שנות מאסר (</w:t>
      </w:r>
      <w:hyperlink r:id="rId66" w:history="1">
        <w:r w:rsidR="00EE09A7" w:rsidRPr="00EE09A7">
          <w:rPr>
            <w:rStyle w:val="Hyperlink"/>
            <w:rFonts w:ascii="David" w:hAnsi="David" w:cs="David"/>
            <w:color w:val="0000FF"/>
            <w:szCs w:val="24"/>
            <w:rtl/>
          </w:rPr>
          <w:t>סעיף 144(ב)</w:t>
        </w:r>
      </w:hyperlink>
      <w:r>
        <w:rPr>
          <w:rFonts w:ascii="David" w:hAnsi="David" w:cs="David"/>
          <w:color w:val="000000"/>
          <w:szCs w:val="24"/>
          <w:rtl/>
        </w:rPr>
        <w:t xml:space="preserve"> רישא לחוק העונשין).</w:t>
      </w:r>
    </w:p>
    <w:p w14:paraId="390691F0" w14:textId="77777777" w:rsidR="00800336" w:rsidRDefault="00800336" w:rsidP="00800336">
      <w:pPr>
        <w:pStyle w:val="a9"/>
        <w:spacing w:after="160" w:line="360" w:lineRule="auto"/>
        <w:jc w:val="both"/>
        <w:rPr>
          <w:rFonts w:ascii="David" w:hAnsi="David" w:cs="David"/>
          <w:color w:val="000000"/>
          <w:szCs w:val="24"/>
          <w:rtl/>
        </w:rPr>
      </w:pPr>
    </w:p>
    <w:p w14:paraId="4C197ACE" w14:textId="77777777" w:rsidR="00800336" w:rsidRDefault="00800336" w:rsidP="00800336">
      <w:pPr>
        <w:pStyle w:val="a9"/>
        <w:spacing w:after="160" w:line="360" w:lineRule="auto"/>
        <w:jc w:val="both"/>
        <w:rPr>
          <w:rFonts w:ascii="David" w:hAnsi="David" w:cs="David"/>
          <w:color w:val="000000"/>
          <w:szCs w:val="24"/>
          <w:rtl/>
        </w:rPr>
      </w:pPr>
      <w:r>
        <w:rPr>
          <w:rFonts w:ascii="David" w:hAnsi="David" w:cs="David"/>
          <w:color w:val="000000"/>
          <w:szCs w:val="24"/>
          <w:rtl/>
        </w:rPr>
        <w:t>ביום 8/12/21 נכנס לתוקף תיקון 140 ל</w:t>
      </w:r>
      <w:hyperlink r:id="rId67" w:history="1">
        <w:r w:rsidR="00E0787E" w:rsidRPr="00E0787E">
          <w:rPr>
            <w:rFonts w:ascii="David" w:hAnsi="David" w:cs="David"/>
            <w:color w:val="0000FF"/>
            <w:szCs w:val="24"/>
            <w:u w:val="single"/>
            <w:rtl/>
          </w:rPr>
          <w:t>חוק העונשין</w:t>
        </w:r>
      </w:hyperlink>
      <w:r>
        <w:rPr>
          <w:rFonts w:ascii="David" w:hAnsi="David" w:cs="David"/>
          <w:color w:val="000000"/>
          <w:szCs w:val="24"/>
          <w:rtl/>
        </w:rPr>
        <w:t xml:space="preserve"> כהוראת שעה, לתקופה של שלוש שנים, (</w:t>
      </w:r>
      <w:hyperlink r:id="rId68" w:history="1">
        <w:r w:rsidR="00EE09A7" w:rsidRPr="00EE09A7">
          <w:rPr>
            <w:rStyle w:val="Hyperlink"/>
            <w:rFonts w:ascii="David" w:hAnsi="David" w:cs="David"/>
            <w:color w:val="0000FF"/>
            <w:szCs w:val="24"/>
            <w:rtl/>
          </w:rPr>
          <w:t>סעיף 144(ז)</w:t>
        </w:r>
      </w:hyperlink>
      <w:r>
        <w:rPr>
          <w:rFonts w:ascii="David" w:hAnsi="David" w:cs="David"/>
          <w:color w:val="000000"/>
          <w:szCs w:val="24"/>
          <w:rtl/>
        </w:rPr>
        <w:t xml:space="preserve"> הקובע עונש שלא יפחת מרבע מהעונש המרבי הקבוע בחוק בגין עבירות בנשק (כפי שפורט לעיל) אלא אם כן קיימים טעמים מיוחדים שיירשמו להקל בעונש, היינו העונש המינימלי בענייננו על נשיאת נשק (ובלי לקחת בחשבון את העבירה של ירי ופציעה הגורמת חבלה בכוונה מחמירה, שהיא העבירה החמורה) לא יפחת מ-30 חודשים. </w:t>
      </w:r>
    </w:p>
    <w:p w14:paraId="088909C8" w14:textId="77777777" w:rsidR="00800336" w:rsidRDefault="00800336" w:rsidP="00800336">
      <w:pPr>
        <w:pStyle w:val="a9"/>
        <w:spacing w:after="160" w:line="360" w:lineRule="auto"/>
        <w:jc w:val="both"/>
        <w:rPr>
          <w:rFonts w:ascii="David" w:hAnsi="David" w:cs="David"/>
          <w:color w:val="000000"/>
          <w:szCs w:val="24"/>
          <w:rtl/>
        </w:rPr>
      </w:pPr>
    </w:p>
    <w:p w14:paraId="0C48E213" w14:textId="77777777" w:rsidR="00800336" w:rsidRDefault="00800336" w:rsidP="00800336">
      <w:pPr>
        <w:pStyle w:val="a9"/>
        <w:numPr>
          <w:ilvl w:val="0"/>
          <w:numId w:val="1"/>
        </w:numPr>
        <w:spacing w:line="360" w:lineRule="auto"/>
        <w:jc w:val="both"/>
        <w:rPr>
          <w:b/>
          <w:color w:val="000000"/>
          <w:u w:val="single"/>
          <w:rtl/>
        </w:rPr>
      </w:pPr>
      <w:r>
        <w:rPr>
          <w:rFonts w:ascii="David" w:hAnsi="David" w:cs="David"/>
          <w:szCs w:val="24"/>
          <w:rtl/>
        </w:rPr>
        <w:t xml:space="preserve">אשר למאפייני הנשק, מדובר בנשק שהוא תת מקלע, נשק אוטומטי בקצב אש גבוה, דיוק נמוך ונזק גדול יותר למעגל רחב של אנשים שהזדמנו למקום שלא בטובתם. </w:t>
      </w:r>
    </w:p>
    <w:p w14:paraId="6315B104" w14:textId="77777777" w:rsidR="00800336" w:rsidRDefault="00800336" w:rsidP="00800336">
      <w:pPr>
        <w:pStyle w:val="a9"/>
        <w:spacing w:after="160" w:line="360" w:lineRule="auto"/>
        <w:jc w:val="both"/>
        <w:rPr>
          <w:rFonts w:ascii="David" w:hAnsi="David" w:cs="David"/>
          <w:color w:val="000000"/>
          <w:szCs w:val="24"/>
        </w:rPr>
      </w:pPr>
    </w:p>
    <w:p w14:paraId="5234D68C" w14:textId="77777777" w:rsidR="00800336" w:rsidRDefault="00800336" w:rsidP="00800336">
      <w:pPr>
        <w:pStyle w:val="a9"/>
        <w:numPr>
          <w:ilvl w:val="0"/>
          <w:numId w:val="1"/>
        </w:numPr>
        <w:spacing w:after="160" w:line="360" w:lineRule="auto"/>
        <w:jc w:val="both"/>
        <w:rPr>
          <w:rFonts w:ascii="David" w:hAnsi="David" w:cs="David"/>
          <w:szCs w:val="24"/>
        </w:rPr>
      </w:pPr>
      <w:r>
        <w:rPr>
          <w:rFonts w:ascii="David" w:hAnsi="David" w:cs="David"/>
          <w:color w:val="000000"/>
          <w:szCs w:val="24"/>
          <w:rtl/>
        </w:rPr>
        <w:t xml:space="preserve">המתחם לטענת המאשימה נע בין 6 שנות מאסר בפועל ל-9 שנים. היא הפנתה לפסקי דין המשקפים לשיטתה את מדיניות הענישה בעבירות דומות. </w:t>
      </w:r>
      <w:r>
        <w:rPr>
          <w:rFonts w:ascii="David" w:hAnsi="David" w:cs="David"/>
          <w:szCs w:val="24"/>
          <w:rtl/>
        </w:rPr>
        <w:t xml:space="preserve">ברם פסקי הדין שהוצגו בתמיכה אינם תומכים במתחם שהציעה בשים לב לעבירות מושא האישום כאן ולנסיבות החיצוניות. מצד שני, גם המתחם הראוי שהציע הנאשם העומד לשיטתו על 30 עד 60 חודשי מאסר, אינו מתאים לענייננו. </w:t>
      </w:r>
    </w:p>
    <w:p w14:paraId="50178882" w14:textId="77777777" w:rsidR="00800336" w:rsidRDefault="00800336" w:rsidP="00800336">
      <w:pPr>
        <w:pStyle w:val="a9"/>
        <w:rPr>
          <w:rFonts w:ascii="David" w:hAnsi="David" w:cs="David"/>
          <w:szCs w:val="24"/>
        </w:rPr>
      </w:pPr>
    </w:p>
    <w:p w14:paraId="31DCC04A" w14:textId="77777777" w:rsidR="00800336" w:rsidRDefault="00800336" w:rsidP="00800336">
      <w:pPr>
        <w:pStyle w:val="a9"/>
        <w:spacing w:after="160" w:line="360" w:lineRule="auto"/>
        <w:jc w:val="both"/>
        <w:rPr>
          <w:rFonts w:ascii="David" w:hAnsi="David" w:cs="David"/>
          <w:szCs w:val="24"/>
          <w:rtl/>
        </w:rPr>
      </w:pPr>
      <w:r>
        <w:rPr>
          <w:rFonts w:ascii="David" w:hAnsi="David" w:cs="David"/>
          <w:szCs w:val="24"/>
          <w:rtl/>
        </w:rPr>
        <w:t xml:space="preserve">העונשים שהוצגו בפסקי הדין השונים בתוך המתחמים נקבעו בהתאם לשיקולים ייחודיים שבהתאם לכל מקרה ומקרה ולא ניתן ללמוד מהם גזירה שווה. </w:t>
      </w:r>
    </w:p>
    <w:p w14:paraId="7CC9A149" w14:textId="77777777" w:rsidR="00800336" w:rsidRDefault="00800336" w:rsidP="00800336">
      <w:pPr>
        <w:pStyle w:val="a9"/>
        <w:spacing w:after="160" w:line="360" w:lineRule="auto"/>
        <w:jc w:val="both"/>
        <w:rPr>
          <w:rFonts w:ascii="David" w:hAnsi="David" w:cs="David"/>
          <w:szCs w:val="24"/>
          <w:rtl/>
        </w:rPr>
      </w:pPr>
    </w:p>
    <w:p w14:paraId="5E3D5585" w14:textId="77777777" w:rsidR="00800336" w:rsidRDefault="00800336" w:rsidP="00800336">
      <w:pPr>
        <w:pStyle w:val="a9"/>
        <w:numPr>
          <w:ilvl w:val="0"/>
          <w:numId w:val="1"/>
        </w:numPr>
        <w:spacing w:after="160" w:line="360" w:lineRule="auto"/>
        <w:jc w:val="both"/>
        <w:rPr>
          <w:rFonts w:ascii="David" w:hAnsi="David" w:cs="David"/>
          <w:szCs w:val="24"/>
          <w:rtl/>
        </w:rPr>
      </w:pPr>
      <w:r>
        <w:rPr>
          <w:rFonts w:ascii="David" w:hAnsi="David" w:cs="David"/>
          <w:szCs w:val="24"/>
          <w:rtl/>
        </w:rPr>
        <w:t xml:space="preserve">המאשימה מבקשת להסתמך בין השאר על </w:t>
      </w:r>
      <w:hyperlink r:id="rId69" w:history="1">
        <w:r w:rsidR="00E0787E" w:rsidRPr="00E0787E">
          <w:rPr>
            <w:rFonts w:ascii="David" w:hAnsi="David" w:cs="David"/>
            <w:color w:val="0000FF"/>
            <w:szCs w:val="24"/>
            <w:u w:val="single"/>
            <w:rtl/>
          </w:rPr>
          <w:t>ע"פ 8721/14</w:t>
        </w:r>
      </w:hyperlink>
      <w:r>
        <w:rPr>
          <w:rFonts w:ascii="David" w:hAnsi="David" w:cs="David"/>
          <w:szCs w:val="24"/>
          <w:rtl/>
        </w:rPr>
        <w:t xml:space="preserve"> </w:t>
      </w:r>
      <w:r>
        <w:rPr>
          <w:rFonts w:ascii="David" w:hAnsi="David" w:cs="David"/>
          <w:b/>
          <w:bCs/>
          <w:szCs w:val="24"/>
          <w:rtl/>
        </w:rPr>
        <w:t>מוחמד אבו לבן נ' מדינת ישראל</w:t>
      </w:r>
      <w:r>
        <w:rPr>
          <w:rFonts w:ascii="David" w:hAnsi="David" w:cs="David"/>
          <w:szCs w:val="24"/>
          <w:rtl/>
        </w:rPr>
        <w:t xml:space="preserve"> (ניתן ביום 28/9/16).המקרה לא דומה לענייננו ואינו בר השוואה. שם הנאשם התעמר בארוסתו ומשפחתה לאחר שזו סירבה להינשא לו. הוא איים, הגביל את חופש התנועה שלה, ונקט באלימות אובססיבית מס' פעמים כדי להצר את צעדיה. החבלה בנסיבות מחמירות יוחסה למספר מקרים, אחת מהן פגיעה גם באחי הארוסה ובנוסף נפגעה גם עוברת אורח שהוסבו לה נזקים חמורים. הנאשם שם הורשע גם בעבירת איומים.</w:t>
      </w:r>
    </w:p>
    <w:p w14:paraId="7206ADA6" w14:textId="77777777" w:rsidR="00800336" w:rsidRDefault="00800336" w:rsidP="00800336">
      <w:pPr>
        <w:pStyle w:val="a9"/>
        <w:spacing w:after="160" w:line="360" w:lineRule="auto"/>
        <w:jc w:val="both"/>
        <w:rPr>
          <w:rFonts w:ascii="David" w:hAnsi="David" w:cs="David"/>
          <w:szCs w:val="24"/>
        </w:rPr>
      </w:pPr>
      <w:r>
        <w:rPr>
          <w:rFonts w:ascii="David" w:hAnsi="David" w:cs="David"/>
          <w:szCs w:val="24"/>
          <w:rtl/>
        </w:rPr>
        <w:t xml:space="preserve"> </w:t>
      </w:r>
    </w:p>
    <w:p w14:paraId="0540AD73" w14:textId="77777777" w:rsidR="00800336" w:rsidRDefault="00800336" w:rsidP="00800336">
      <w:pPr>
        <w:pStyle w:val="a9"/>
        <w:numPr>
          <w:ilvl w:val="0"/>
          <w:numId w:val="1"/>
        </w:numPr>
        <w:spacing w:after="160" w:line="360" w:lineRule="auto"/>
        <w:jc w:val="both"/>
        <w:rPr>
          <w:rFonts w:ascii="David" w:hAnsi="David" w:cs="David"/>
          <w:color w:val="000000"/>
          <w:szCs w:val="24"/>
          <w:rtl/>
        </w:rPr>
      </w:pPr>
      <w:r>
        <w:rPr>
          <w:rFonts w:ascii="David" w:hAnsi="David" w:cs="David"/>
          <w:color w:val="000000"/>
          <w:szCs w:val="24"/>
          <w:rtl/>
        </w:rPr>
        <w:t xml:space="preserve">גם הפסיקה שהציג הנאשם לא כולה מתאימה לקביעת המתחם הראוי בענייננו. </w:t>
      </w:r>
    </w:p>
    <w:p w14:paraId="1D4AB6DF" w14:textId="77777777" w:rsidR="00800336" w:rsidRDefault="00800336" w:rsidP="00800336">
      <w:pPr>
        <w:spacing w:line="360" w:lineRule="auto"/>
        <w:ind w:left="720"/>
        <w:jc w:val="both"/>
        <w:rPr>
          <w:rFonts w:ascii="David" w:hAnsi="David"/>
          <w:rtl/>
        </w:rPr>
      </w:pPr>
      <w:r>
        <w:rPr>
          <w:rFonts w:hint="cs"/>
          <w:rtl/>
        </w:rPr>
        <w:t xml:space="preserve">הנאשם מסתמך בין השאר על </w:t>
      </w:r>
      <w:hyperlink r:id="rId70" w:history="1">
        <w:r w:rsidR="00E0787E" w:rsidRPr="00E0787E">
          <w:rPr>
            <w:color w:val="0000FF"/>
            <w:u w:val="single"/>
            <w:rtl/>
          </w:rPr>
          <w:t>ע"פ 1682/22</w:t>
        </w:r>
      </w:hyperlink>
      <w:r>
        <w:rPr>
          <w:rFonts w:hint="cs"/>
          <w:rtl/>
        </w:rPr>
        <w:t xml:space="preserve"> </w:t>
      </w:r>
      <w:r>
        <w:rPr>
          <w:rFonts w:hint="cs"/>
          <w:b/>
          <w:bCs/>
          <w:rtl/>
        </w:rPr>
        <w:t>סבג נגד מדינת ישראל</w:t>
      </w:r>
      <w:r>
        <w:rPr>
          <w:rFonts w:hint="cs"/>
          <w:rtl/>
        </w:rPr>
        <w:t>, שם הורשע המערער, לאחר שמיעת ראיות, בביצוע עבירות נשק, החזקת סכין, וירי באזור מגורים, בצוותא חדא, על רקע סכסוך. בית המשפט המחוזי קבע מתחם עונש הנע בין 30 ל-60 חודשי מאסר, והטיל על המערער, שהוא בעל עבר פלילי מכביד, עונש מאסר של 45 חודשי מאסר בפועל, לצד מאסרים מותנים. המקרה לא דומה לענייננו. שם היה מדובר בקטטה בין שתי קבוצות ששתיהן הפעילו אלימות זו כנגד זו וסופה של הקטטה ההדדית, ירי. שם, בניגוד לענייננו, אין עבירה של חבלה בנסיבות מחמירות. אין שם תכנון מוקדם לירי והמקרה לא דומה.</w:t>
      </w:r>
    </w:p>
    <w:p w14:paraId="5656554A" w14:textId="77777777" w:rsidR="00800336" w:rsidRDefault="00800336" w:rsidP="00800336">
      <w:pPr>
        <w:spacing w:line="360" w:lineRule="auto"/>
        <w:jc w:val="both"/>
        <w:rPr>
          <w:rtl/>
        </w:rPr>
      </w:pPr>
    </w:p>
    <w:p w14:paraId="4912CE46" w14:textId="77777777" w:rsidR="00800336" w:rsidRDefault="00800336" w:rsidP="00800336">
      <w:pPr>
        <w:pStyle w:val="a9"/>
        <w:numPr>
          <w:ilvl w:val="0"/>
          <w:numId w:val="1"/>
        </w:numPr>
        <w:spacing w:line="360" w:lineRule="auto"/>
        <w:jc w:val="both"/>
        <w:rPr>
          <w:color w:val="000000"/>
          <w:rtl/>
        </w:rPr>
      </w:pPr>
      <w:r>
        <w:rPr>
          <w:rFonts w:ascii="David" w:hAnsi="David" w:cs="David"/>
          <w:color w:val="000000"/>
          <w:szCs w:val="24"/>
          <w:rtl/>
        </w:rPr>
        <w:t>להלן הפסיקה המתאימה לענייננו:</w:t>
      </w:r>
    </w:p>
    <w:p w14:paraId="71803DD3" w14:textId="77777777" w:rsidR="00800336" w:rsidRDefault="00E0787E" w:rsidP="00800336">
      <w:pPr>
        <w:pStyle w:val="a9"/>
        <w:numPr>
          <w:ilvl w:val="0"/>
          <w:numId w:val="4"/>
        </w:numPr>
        <w:spacing w:line="360" w:lineRule="auto"/>
        <w:ind w:left="1080" w:right="0"/>
        <w:jc w:val="both"/>
        <w:rPr>
          <w:rFonts w:ascii="David" w:hAnsi="David" w:cs="David"/>
          <w:szCs w:val="24"/>
          <w:rtl/>
        </w:rPr>
      </w:pPr>
      <w:hyperlink r:id="rId71" w:history="1">
        <w:r w:rsidRPr="00E0787E">
          <w:rPr>
            <w:rFonts w:ascii="David" w:hAnsi="David" w:cs="David"/>
            <w:color w:val="0000FF"/>
            <w:szCs w:val="24"/>
            <w:u w:val="single"/>
            <w:rtl/>
          </w:rPr>
          <w:t>ע"פ 4439/19</w:t>
        </w:r>
      </w:hyperlink>
      <w:r w:rsidR="00800336">
        <w:rPr>
          <w:rFonts w:ascii="David" w:hAnsi="David" w:cs="David"/>
          <w:szCs w:val="24"/>
          <w:rtl/>
        </w:rPr>
        <w:t xml:space="preserve"> </w:t>
      </w:r>
      <w:r w:rsidR="00800336">
        <w:rPr>
          <w:rFonts w:ascii="David" w:hAnsi="David" w:cs="David"/>
          <w:b/>
          <w:bCs/>
          <w:szCs w:val="24"/>
          <w:rtl/>
        </w:rPr>
        <w:t>מדינת ישראל נ' סובח ואח</w:t>
      </w:r>
      <w:r w:rsidR="00800336">
        <w:rPr>
          <w:rFonts w:ascii="David" w:hAnsi="David" w:cs="David"/>
          <w:szCs w:val="24"/>
          <w:rtl/>
        </w:rPr>
        <w:t xml:space="preserve">' (ניתן </w:t>
      </w:r>
      <w:hyperlink r:id="rId72" w:history="1">
        <w:r w:rsidRPr="00E0787E">
          <w:rPr>
            <w:rFonts w:ascii="David" w:hAnsi="David" w:cs="David"/>
            <w:color w:val="0000FF"/>
            <w:szCs w:val="24"/>
            <w:u w:val="single"/>
            <w:rtl/>
          </w:rPr>
          <w:t>ב-15/11/19</w:t>
        </w:r>
      </w:hyperlink>
      <w:r w:rsidR="00800336">
        <w:rPr>
          <w:rFonts w:ascii="David" w:hAnsi="David" w:cs="David"/>
          <w:szCs w:val="24"/>
          <w:rtl/>
        </w:rPr>
        <w:t xml:space="preserve">) (פורסם בנבו) עוסק במקרה דומה לענייננו. עבירות של חבלה בכוונה מחמירה ונשיאת נשק על רקע סכסוך משפחות שם נפצע המתלונן בבטנו ומתלונן אחר בירך. בית המשפט המחוזי קבע מתחם של 3.5 שנות מאסר עד 7 שנים ובתוך המתחם הקל בעונש בשל "סולחה" שנערכה בין המשפחות. בערעור לבית המשפט העליון סבר בית המשפט שמתן גושפנקא לסולחה כ"מרכיב משלים" לדרכי הענישה הקבועים בדין, יש בו כדי להוות הפרטה פסולה של ההליך הפלילי והחלשת ההרתעה מפני ביצוע עבירות משום כך יש לתת משקל מוגבל בלבד לקיומה של סולחה בין צדדים והורה על החמרת העונשים. כך, בית המשפט הורה על 6 שנות מאסר במקום 50 חודשים למשיב 1 שהיה נעדר עבר פלילי; 5 שנות מאסר במקום 42 חודשים למשיב 2 ו-3.5 שנות מאסר במקום 24 חודשים למשיב 3. </w:t>
      </w:r>
    </w:p>
    <w:p w14:paraId="5FD0C528" w14:textId="77777777" w:rsidR="00800336" w:rsidRDefault="00E0787E" w:rsidP="00800336">
      <w:pPr>
        <w:pStyle w:val="a9"/>
        <w:numPr>
          <w:ilvl w:val="0"/>
          <w:numId w:val="4"/>
        </w:numPr>
        <w:spacing w:line="360" w:lineRule="auto"/>
        <w:ind w:left="1080" w:right="0"/>
        <w:jc w:val="both"/>
        <w:rPr>
          <w:rFonts w:ascii="David" w:hAnsi="David" w:cs="David"/>
          <w:szCs w:val="24"/>
          <w:rtl/>
        </w:rPr>
      </w:pPr>
      <w:hyperlink r:id="rId73" w:history="1">
        <w:r w:rsidRPr="00E0787E">
          <w:rPr>
            <w:rFonts w:ascii="David" w:hAnsi="David" w:cs="David"/>
            <w:color w:val="0000FF"/>
            <w:szCs w:val="24"/>
            <w:u w:val="single"/>
            <w:rtl/>
          </w:rPr>
          <w:t>ע"פ 6496/21</w:t>
        </w:r>
      </w:hyperlink>
      <w:r w:rsidR="00800336">
        <w:rPr>
          <w:rFonts w:ascii="David" w:hAnsi="David" w:cs="David"/>
          <w:szCs w:val="24"/>
          <w:rtl/>
        </w:rPr>
        <w:t xml:space="preserve"> </w:t>
      </w:r>
      <w:r w:rsidR="00800336">
        <w:rPr>
          <w:rFonts w:ascii="David" w:hAnsi="David" w:cs="David"/>
          <w:b/>
          <w:bCs/>
          <w:szCs w:val="24"/>
          <w:rtl/>
        </w:rPr>
        <w:t>ריאן נגד מדינת ישראל</w:t>
      </w:r>
      <w:r w:rsidR="00800336">
        <w:rPr>
          <w:rFonts w:ascii="David" w:hAnsi="David" w:cs="David"/>
          <w:szCs w:val="24"/>
          <w:rtl/>
        </w:rPr>
        <w:t>, הורשע המערער בביצוע עבירות חבלה בכוונה מחמירה, נשיאת נשק, ירי בנשק חם, איומים, ונהיגה בזמן פסילה. בית המשפט קבע מתחם הנע בין 3 ל-6 שנות מאסר, והטיל על המערער 4 שנות מאסר בפועל, בנוסף לענישה נלווית.</w:t>
      </w:r>
    </w:p>
    <w:p w14:paraId="672872F6" w14:textId="77777777" w:rsidR="00800336" w:rsidRDefault="00E0787E" w:rsidP="00800336">
      <w:pPr>
        <w:pStyle w:val="a9"/>
        <w:numPr>
          <w:ilvl w:val="0"/>
          <w:numId w:val="4"/>
        </w:numPr>
        <w:spacing w:line="360" w:lineRule="auto"/>
        <w:ind w:left="1080" w:right="0"/>
        <w:jc w:val="both"/>
        <w:rPr>
          <w:rFonts w:ascii="David" w:hAnsi="David" w:cs="David"/>
          <w:szCs w:val="24"/>
          <w:rtl/>
        </w:rPr>
      </w:pPr>
      <w:hyperlink r:id="rId74" w:history="1">
        <w:r w:rsidRPr="00E0787E">
          <w:rPr>
            <w:rFonts w:ascii="David" w:hAnsi="David" w:cs="David"/>
            <w:color w:val="0000FF"/>
            <w:szCs w:val="24"/>
            <w:u w:val="single"/>
            <w:rtl/>
          </w:rPr>
          <w:t>ת"פ (מחוזי מרכז) 25897-03-14</w:t>
        </w:r>
      </w:hyperlink>
      <w:r w:rsidR="00800336">
        <w:rPr>
          <w:rFonts w:ascii="David" w:hAnsi="David" w:cs="David"/>
          <w:szCs w:val="24"/>
          <w:rtl/>
        </w:rPr>
        <w:t xml:space="preserve"> </w:t>
      </w:r>
      <w:r w:rsidR="00800336">
        <w:rPr>
          <w:rFonts w:ascii="David" w:hAnsi="David" w:cs="David"/>
          <w:b/>
          <w:bCs/>
          <w:szCs w:val="24"/>
          <w:rtl/>
        </w:rPr>
        <w:t>מדינת ישראל נ' עמאר וחידי</w:t>
      </w:r>
      <w:r w:rsidR="00800336">
        <w:rPr>
          <w:rFonts w:ascii="David" w:hAnsi="David" w:cs="David"/>
          <w:szCs w:val="24"/>
          <w:rtl/>
        </w:rPr>
        <w:t xml:space="preserve"> (ניתן ביום 9/11/14) (פורסם בנבו) הנאשם הורשע עפ"י הודאתו במסגרת הסדר טיעון בעבירה של חבלה בכוונה מחמירה. על פי עובדות כתב האישום המתוקן, הנאשם הגיע למקום האירוע על רקע סכסוך עם המתלונן, כשהוא נושא אקדח בקוטר 9 מ"מ. הנאשם נהג ברכב, שלף את האקדח, ירה מספר יריות בודדות באוויר ולאחר מכן ירה מספר יריות לעבר המתלונן ופגע בו. כתוצאה מהירי נגרמו למתלונן חבלות בפלג גוף עליון וביד שמאל. בית המשפט קבע כי מתחם העונש ההולם נע בין 4-9 שנות מאסר בפועל לצד פיצוי משמעותי והשית על הנאשם 5.5. שנות מאסר בפועל. המערער הגיש ערעור לבית המשפט העליון ברם בעקבות הערות בית המשפט חזר בו מהערעור. (</w:t>
      </w:r>
      <w:hyperlink r:id="rId75" w:history="1">
        <w:r w:rsidRPr="00E0787E">
          <w:rPr>
            <w:rFonts w:ascii="David" w:hAnsi="David" w:cs="David"/>
            <w:color w:val="0000FF"/>
            <w:szCs w:val="24"/>
            <w:u w:val="single"/>
            <w:rtl/>
          </w:rPr>
          <w:t>ע"פ 8766/14</w:t>
        </w:r>
      </w:hyperlink>
      <w:r w:rsidR="00800336">
        <w:rPr>
          <w:rFonts w:ascii="David" w:hAnsi="David" w:cs="David"/>
          <w:szCs w:val="24"/>
          <w:rtl/>
        </w:rPr>
        <w:t xml:space="preserve"> </w:t>
      </w:r>
      <w:r w:rsidR="00800336">
        <w:rPr>
          <w:rFonts w:ascii="David" w:hAnsi="David" w:cs="David"/>
          <w:b/>
          <w:bCs/>
          <w:szCs w:val="24"/>
          <w:rtl/>
        </w:rPr>
        <w:t>עמאר וחידי נ' מדינת ישראל</w:t>
      </w:r>
      <w:r w:rsidR="00800336">
        <w:rPr>
          <w:rFonts w:ascii="David" w:hAnsi="David" w:cs="David"/>
          <w:szCs w:val="24"/>
          <w:rtl/>
        </w:rPr>
        <w:t xml:space="preserve"> פורסם בנבו, ניתן ביום 2/3/16). </w:t>
      </w:r>
    </w:p>
    <w:p w14:paraId="15CF22A2" w14:textId="77777777" w:rsidR="00800336" w:rsidRDefault="00E0787E" w:rsidP="00800336">
      <w:pPr>
        <w:pStyle w:val="a9"/>
        <w:numPr>
          <w:ilvl w:val="0"/>
          <w:numId w:val="4"/>
        </w:numPr>
        <w:spacing w:line="360" w:lineRule="auto"/>
        <w:ind w:left="1080" w:right="0"/>
        <w:jc w:val="both"/>
        <w:rPr>
          <w:rFonts w:ascii="David" w:hAnsi="David" w:cs="David"/>
          <w:szCs w:val="24"/>
          <w:rtl/>
        </w:rPr>
      </w:pPr>
      <w:hyperlink r:id="rId76" w:history="1">
        <w:r w:rsidRPr="00E0787E">
          <w:rPr>
            <w:rFonts w:ascii="David" w:hAnsi="David" w:cs="David"/>
            <w:color w:val="0000FF"/>
            <w:szCs w:val="24"/>
            <w:u w:val="single"/>
            <w:rtl/>
          </w:rPr>
          <w:t>ע"פ 7069/20</w:t>
        </w:r>
      </w:hyperlink>
      <w:r w:rsidR="00800336">
        <w:rPr>
          <w:rFonts w:ascii="David" w:hAnsi="David" w:cs="David"/>
          <w:szCs w:val="24"/>
          <w:rtl/>
        </w:rPr>
        <w:t xml:space="preserve"> </w:t>
      </w:r>
      <w:r w:rsidR="00800336">
        <w:rPr>
          <w:rFonts w:ascii="David" w:hAnsi="David" w:cs="David"/>
          <w:b/>
          <w:bCs/>
          <w:szCs w:val="24"/>
          <w:rtl/>
        </w:rPr>
        <w:t>אבו חדיר נגד מדינת ישראל</w:t>
      </w:r>
      <w:r w:rsidR="00800336">
        <w:rPr>
          <w:rFonts w:ascii="David" w:hAnsi="David" w:cs="David"/>
          <w:szCs w:val="24"/>
          <w:rtl/>
        </w:rPr>
        <w:t xml:space="preserve"> הורשע המערער בעבירה של חבלה בכוונה מחמירה, נשיאת נשק, ירי, ביחד עם 3 אחרים. בית המשפט קבע מתחם עונש הולם בין 40 ל-72 חודשי מאסר בפועל. בית המשפט גזר על הנאשם 40 חודשי מאסר בפועל בין השאר נוכח נסיבות אי/שיות מיוחדות בהן התחשב, לצד מאסרים מותנים. בית המשפט העליון דחה את הערעור על חומרת העונש. </w:t>
      </w:r>
    </w:p>
    <w:p w14:paraId="46705D78" w14:textId="77777777" w:rsidR="00800336" w:rsidRDefault="00800336" w:rsidP="00800336">
      <w:pPr>
        <w:spacing w:line="360" w:lineRule="auto"/>
        <w:ind w:left="720"/>
        <w:jc w:val="both"/>
        <w:rPr>
          <w:rFonts w:ascii="David" w:hAnsi="David"/>
          <w:rtl/>
        </w:rPr>
      </w:pPr>
    </w:p>
    <w:p w14:paraId="5FBE9C68" w14:textId="77777777" w:rsidR="00800336" w:rsidRDefault="00800336" w:rsidP="00800336">
      <w:pPr>
        <w:pStyle w:val="a9"/>
        <w:numPr>
          <w:ilvl w:val="0"/>
          <w:numId w:val="1"/>
        </w:numPr>
        <w:spacing w:after="160" w:line="360" w:lineRule="auto"/>
        <w:jc w:val="both"/>
        <w:rPr>
          <w:rFonts w:ascii="David" w:hAnsi="David" w:cs="David"/>
          <w:szCs w:val="24"/>
          <w:rtl/>
        </w:rPr>
      </w:pPr>
      <w:r>
        <w:rPr>
          <w:rFonts w:ascii="David" w:hAnsi="David" w:cs="David"/>
          <w:szCs w:val="24"/>
          <w:rtl/>
        </w:rPr>
        <w:t xml:space="preserve">לאחר שבחנתי את טענות הצדדים ומכלול השיקולים הנדרשים, ובהתחשב בחומרת העבירות פוטנציאל הסיכון הרב הגלום בביצוען, פוטנציאל שהתממש בענייננו, הערכים החברתיים שנפגעו ומידת פגיעתם, הצורך בהרתעת היחיד והרבים מעשיית שימוש שלא כדין בנשק וכן במדיניות הענישה הנהוגה, בהתאם לפסיקה כמפורט לעיל ובנסיבות הספציפיות, אני סבורה כי מתחם העונש ההולם את העבירות בענייננו נע בטווח שבין 4 שנים ל-7 שנים. </w:t>
      </w:r>
    </w:p>
    <w:p w14:paraId="2E833D7D" w14:textId="77777777" w:rsidR="00800336" w:rsidRDefault="00800336" w:rsidP="00800336">
      <w:pPr>
        <w:pStyle w:val="a9"/>
        <w:spacing w:after="160" w:line="360" w:lineRule="auto"/>
        <w:jc w:val="both"/>
        <w:rPr>
          <w:rFonts w:ascii="David" w:hAnsi="David" w:cs="David"/>
          <w:szCs w:val="24"/>
        </w:rPr>
      </w:pPr>
    </w:p>
    <w:p w14:paraId="7BDAB9FA" w14:textId="77777777" w:rsidR="00800336" w:rsidRDefault="00800336" w:rsidP="00800336">
      <w:pPr>
        <w:pStyle w:val="a9"/>
        <w:numPr>
          <w:ilvl w:val="0"/>
          <w:numId w:val="1"/>
        </w:numPr>
        <w:spacing w:after="160" w:line="360" w:lineRule="auto"/>
        <w:jc w:val="both"/>
        <w:rPr>
          <w:rFonts w:ascii="David" w:hAnsi="David" w:cs="David"/>
          <w:szCs w:val="24"/>
        </w:rPr>
      </w:pPr>
      <w:r>
        <w:rPr>
          <w:rFonts w:ascii="David" w:hAnsi="David" w:cs="David"/>
          <w:color w:val="000000"/>
          <w:szCs w:val="24"/>
          <w:rtl/>
        </w:rPr>
        <w:t>באשר לענישה בתוך המתחם והשיקולים שאינם נוגעים לביצוע העבירה, צודק הסנגור המלומד כי העובדה לפיה תסקיר שרות המבחן לא בא בהמלצה שיקומית, אינה רלוונטית, שעה שהנאשם דבק בחפותו עד היום ובמצב דברים זה שלא לוקח אחריות, אין הוא מתאים לשיקום. עם זאת ישנם היבטים בתסקיר החשובים לענין נסיבותיו האישיות של הנאשם.</w:t>
      </w:r>
    </w:p>
    <w:p w14:paraId="111D964C" w14:textId="77777777" w:rsidR="00800336" w:rsidRDefault="00800336" w:rsidP="00800336">
      <w:pPr>
        <w:pStyle w:val="Ruller4"/>
        <w:numPr>
          <w:ilvl w:val="0"/>
          <w:numId w:val="1"/>
        </w:numPr>
        <w:rPr>
          <w:rFonts w:ascii="David" w:hAnsi="David" w:cs="David"/>
          <w:sz w:val="24"/>
          <w:szCs w:val="24"/>
          <w:rtl/>
        </w:rPr>
      </w:pPr>
      <w:r>
        <w:rPr>
          <w:rFonts w:ascii="David" w:hAnsi="David" w:cs="David"/>
          <w:sz w:val="24"/>
          <w:szCs w:val="24"/>
          <w:rtl/>
        </w:rPr>
        <w:t xml:space="preserve">שירות המבחן התרשם מעמדה שטחית וקושי להכיר בפוטנציאל הפגיעה באחרים. </w:t>
      </w:r>
    </w:p>
    <w:p w14:paraId="371B996F" w14:textId="77777777" w:rsidR="00800336" w:rsidRDefault="00800336" w:rsidP="00800336">
      <w:pPr>
        <w:pStyle w:val="Ruller4"/>
        <w:ind w:left="720"/>
        <w:rPr>
          <w:rFonts w:ascii="David" w:hAnsi="David" w:cs="David"/>
          <w:sz w:val="24"/>
          <w:szCs w:val="24"/>
        </w:rPr>
      </w:pPr>
      <w:r>
        <w:rPr>
          <w:rFonts w:ascii="David" w:hAnsi="David" w:cs="David"/>
          <w:sz w:val="24"/>
          <w:szCs w:val="24"/>
          <w:rtl/>
        </w:rPr>
        <w:t>התרשם כי מדובר בבחור חסר בשלות, בעל מאפייני אישיות בלתי מגובשים, נוקשות חשיבתית, התמודדות לא יעילה עם מצבי רוח, אימפולסיביות, דפוסי הסתרה וקושי להיעזר בסביבה לפתרון קשייו, יכולת מוגבלת לוויסות דחפיו, במצבים מורכבים רגשית עבורו באופן שהוא עלול לפעול באימפולסיביות ולא לחשוב על השלכות מעשיו. השירות התרשם מחוסר היכולת לחוש אמפתיה, הן ברמה הקוגניטיבית והן ברמה הרגשית.</w:t>
      </w:r>
    </w:p>
    <w:p w14:paraId="38D9F72A" w14:textId="77777777" w:rsidR="00800336" w:rsidRDefault="00800336" w:rsidP="00800336">
      <w:pPr>
        <w:pStyle w:val="Ruller4"/>
        <w:ind w:left="720"/>
        <w:rPr>
          <w:rFonts w:ascii="David" w:hAnsi="David" w:cs="David"/>
          <w:sz w:val="24"/>
          <w:szCs w:val="24"/>
        </w:rPr>
      </w:pPr>
      <w:r>
        <w:rPr>
          <w:rFonts w:ascii="David" w:hAnsi="David" w:cs="David"/>
          <w:sz w:val="24"/>
          <w:szCs w:val="24"/>
          <w:rtl/>
        </w:rPr>
        <w:t xml:space="preserve">בהתאם, סבור שירות המבחן כי קיים סיכון גבוה בינוני להישנות התנהגות דומה בעתיד. </w:t>
      </w:r>
    </w:p>
    <w:p w14:paraId="1CEBD6CF" w14:textId="77777777" w:rsidR="00800336" w:rsidRDefault="00800336" w:rsidP="00800336">
      <w:pPr>
        <w:spacing w:line="360" w:lineRule="auto"/>
        <w:ind w:left="720"/>
        <w:jc w:val="both"/>
        <w:rPr>
          <w:rFonts w:ascii="David" w:hAnsi="David"/>
          <w:rtl/>
        </w:rPr>
      </w:pPr>
    </w:p>
    <w:p w14:paraId="1E9C80CB" w14:textId="77777777" w:rsidR="00800336" w:rsidRDefault="00800336" w:rsidP="00800336">
      <w:pPr>
        <w:pStyle w:val="a9"/>
        <w:numPr>
          <w:ilvl w:val="0"/>
          <w:numId w:val="1"/>
        </w:numPr>
        <w:spacing w:line="360" w:lineRule="auto"/>
        <w:jc w:val="both"/>
        <w:rPr>
          <w:rFonts w:ascii="David" w:hAnsi="David" w:cs="David"/>
          <w:szCs w:val="24"/>
          <w:rtl/>
        </w:rPr>
      </w:pPr>
      <w:r>
        <w:rPr>
          <w:rFonts w:ascii="David" w:hAnsi="David" w:cs="David"/>
          <w:szCs w:val="24"/>
          <w:rtl/>
        </w:rPr>
        <w:t xml:space="preserve">הטענה של הנאשם לפיה הוא בכלל לא מכיר את המתלונן היא בלתי מתקבלת על הדעת נוכח הסכסוך בין שתי המשפחות שקדם לביצוע העבירות שהנאשם לא מכחיש שהוא מודע לו היטב. לא זו אף זו, הנאשם שָכֵן של המתלונן מזה שנים. כך, התכחשותו להיכרות מהווה היתממות ונסיון נפסד שאינו מתיישב עם השכל הישר, להרחיק עצמו מכל נגיעה לארוע. </w:t>
      </w:r>
    </w:p>
    <w:p w14:paraId="7505AB0F" w14:textId="77777777" w:rsidR="00800336" w:rsidRDefault="00800336" w:rsidP="00800336">
      <w:pPr>
        <w:spacing w:after="160" w:line="360" w:lineRule="auto"/>
        <w:ind w:left="720"/>
        <w:jc w:val="both"/>
        <w:rPr>
          <w:rFonts w:ascii="David" w:hAnsi="David"/>
        </w:rPr>
      </w:pPr>
      <w:r>
        <w:rPr>
          <w:rFonts w:hint="cs"/>
          <w:rtl/>
        </w:rPr>
        <w:t xml:space="preserve">כפי שכתבתי בהכרעת הדין, אף התרשמתי שהעדים פחדו להגיע לבית המשפט ולהעיד את שראו עיניהם, כפי שהעידו במשטרה, ועשו כל שלאיל ידם להתחמק או לחזור בהם. פחד זה נובע, להתרשמותי, מכיוונו של הנאשם או מי מטעמו ומתיישב עם התרשמות שירות המבחן בדבר מסוכנות בינונית גבוהה מצד הנאשם. </w:t>
      </w:r>
    </w:p>
    <w:p w14:paraId="75804AF1" w14:textId="77777777" w:rsidR="00800336" w:rsidRDefault="00800336" w:rsidP="00800336">
      <w:pPr>
        <w:spacing w:after="160" w:line="360" w:lineRule="auto"/>
        <w:ind w:left="720"/>
        <w:jc w:val="both"/>
        <w:rPr>
          <w:rtl/>
        </w:rPr>
      </w:pPr>
      <w:r>
        <w:rPr>
          <w:rFonts w:hint="cs"/>
          <w:rtl/>
        </w:rPr>
        <w:t>כל ההיבטים לעיל, יחד עם החומרה היתרה של ירי בשטח בו מצויים ילדים, ללא כל התחשבות בסיכון והיעדר אמפטיה מהווים שיקולים לחומרא. שיקול לחומרא נוסף הוא החשיבות שבהרתעה האישית לנאשם ולרבים בסביבתו והצורך לשים סוף למעגל האלימות בין המשפחות המסוכסכות</w:t>
      </w:r>
    </w:p>
    <w:p w14:paraId="55C8005A" w14:textId="77777777" w:rsidR="00800336" w:rsidRDefault="00800336" w:rsidP="00800336">
      <w:pPr>
        <w:pStyle w:val="a9"/>
        <w:spacing w:after="160" w:line="360" w:lineRule="auto"/>
        <w:jc w:val="both"/>
        <w:rPr>
          <w:rFonts w:ascii="David" w:hAnsi="David" w:cs="David"/>
          <w:color w:val="000000"/>
          <w:szCs w:val="24"/>
          <w:rtl/>
        </w:rPr>
      </w:pPr>
      <w:r>
        <w:rPr>
          <w:rFonts w:ascii="David" w:hAnsi="David" w:cs="David"/>
          <w:color w:val="000000"/>
          <w:szCs w:val="24"/>
          <w:rtl/>
        </w:rPr>
        <w:t xml:space="preserve">לקולא ניתן לציין כי אין לנאשם עבר פלילי. מדובר באדם צעיר שזו הסתבכותו הראשונה, הוא בא מבית נורמטיבי ותורם לפרנסת המשפחה קשת יום, המתקשה לפרנס את עצמה. </w:t>
      </w:r>
    </w:p>
    <w:p w14:paraId="74C25FD3" w14:textId="77777777" w:rsidR="00800336" w:rsidRDefault="00800336" w:rsidP="00800336">
      <w:pPr>
        <w:pStyle w:val="a9"/>
        <w:spacing w:after="160" w:line="360" w:lineRule="auto"/>
        <w:jc w:val="both"/>
        <w:rPr>
          <w:rFonts w:ascii="David" w:hAnsi="David" w:cs="David"/>
          <w:color w:val="000000"/>
          <w:szCs w:val="24"/>
        </w:rPr>
      </w:pPr>
    </w:p>
    <w:p w14:paraId="5FE30767" w14:textId="77777777" w:rsidR="00800336" w:rsidRDefault="00800336" w:rsidP="00800336">
      <w:pPr>
        <w:pStyle w:val="a9"/>
        <w:numPr>
          <w:ilvl w:val="0"/>
          <w:numId w:val="1"/>
        </w:numPr>
        <w:spacing w:after="160" w:line="360" w:lineRule="auto"/>
        <w:jc w:val="both"/>
        <w:rPr>
          <w:rFonts w:ascii="David" w:hAnsi="David" w:cs="David"/>
          <w:color w:val="000000"/>
          <w:szCs w:val="24"/>
          <w:rtl/>
        </w:rPr>
      </w:pPr>
      <w:r>
        <w:rPr>
          <w:rFonts w:ascii="David" w:hAnsi="David" w:cs="David"/>
          <w:color w:val="000000"/>
          <w:szCs w:val="24"/>
          <w:rtl/>
        </w:rPr>
        <w:t xml:space="preserve">באיזון כל השיקולים לענין הנסיבות האישיות, לחומרא ולקולא, ראוי להעמיד את הענישה הקונקרטית על הרף האמצעי-מתון בתוך המתחם. </w:t>
      </w:r>
    </w:p>
    <w:p w14:paraId="239FEE09" w14:textId="77777777" w:rsidR="00800336" w:rsidRDefault="00800336" w:rsidP="00800336">
      <w:pPr>
        <w:pStyle w:val="a9"/>
        <w:spacing w:after="160" w:line="360" w:lineRule="auto"/>
        <w:ind w:left="84"/>
        <w:jc w:val="both"/>
        <w:rPr>
          <w:rFonts w:ascii="David" w:hAnsi="David" w:cs="David"/>
          <w:color w:val="000000"/>
          <w:szCs w:val="24"/>
          <w:rtl/>
        </w:rPr>
      </w:pPr>
    </w:p>
    <w:p w14:paraId="497B8D29" w14:textId="77777777" w:rsidR="00800336" w:rsidRDefault="00800336" w:rsidP="00800336">
      <w:pPr>
        <w:pStyle w:val="a9"/>
        <w:numPr>
          <w:ilvl w:val="0"/>
          <w:numId w:val="1"/>
        </w:numPr>
        <w:spacing w:after="160" w:line="360" w:lineRule="auto"/>
        <w:jc w:val="both"/>
        <w:rPr>
          <w:rFonts w:ascii="David" w:hAnsi="David" w:cs="David"/>
          <w:b/>
          <w:color w:val="000000"/>
          <w:szCs w:val="24"/>
          <w:rtl/>
        </w:rPr>
      </w:pPr>
      <w:r>
        <w:rPr>
          <w:rFonts w:ascii="David" w:hAnsi="David" w:cs="David"/>
          <w:b/>
          <w:color w:val="000000"/>
          <w:szCs w:val="24"/>
          <w:rtl/>
        </w:rPr>
        <w:t xml:space="preserve">לפיכך אני גוזרת על הנאשם את העונשים שלהלן: </w:t>
      </w:r>
    </w:p>
    <w:p w14:paraId="23E33916" w14:textId="77777777" w:rsidR="00800336" w:rsidRDefault="00800336" w:rsidP="00800336">
      <w:pPr>
        <w:pStyle w:val="a9"/>
        <w:numPr>
          <w:ilvl w:val="0"/>
          <w:numId w:val="5"/>
        </w:numPr>
        <w:spacing w:after="160" w:line="360" w:lineRule="auto"/>
        <w:ind w:left="1080" w:right="0"/>
        <w:jc w:val="both"/>
        <w:rPr>
          <w:rFonts w:ascii="David" w:hAnsi="David" w:cs="David"/>
          <w:b/>
          <w:color w:val="000000"/>
          <w:szCs w:val="24"/>
          <w:rtl/>
        </w:rPr>
      </w:pPr>
      <w:r>
        <w:rPr>
          <w:rFonts w:ascii="David" w:hAnsi="David" w:cs="David"/>
          <w:b/>
          <w:color w:val="000000"/>
          <w:szCs w:val="24"/>
          <w:rtl/>
        </w:rPr>
        <w:t xml:space="preserve">חמש שנות מאסר בפועל (60 חודשים) בניכוי ימי מעצרו </w:t>
      </w:r>
      <w:r>
        <w:rPr>
          <w:rFonts w:ascii="David" w:hAnsi="David" w:cs="David"/>
          <w:szCs w:val="24"/>
          <w:rtl/>
        </w:rPr>
        <w:t>מיום 23/2/22.</w:t>
      </w:r>
    </w:p>
    <w:p w14:paraId="5F11B6A4" w14:textId="77777777" w:rsidR="00800336" w:rsidRDefault="00800336" w:rsidP="00800336">
      <w:pPr>
        <w:pStyle w:val="a9"/>
        <w:numPr>
          <w:ilvl w:val="0"/>
          <w:numId w:val="5"/>
        </w:numPr>
        <w:spacing w:line="360" w:lineRule="auto"/>
        <w:ind w:left="1080" w:right="0"/>
        <w:jc w:val="both"/>
        <w:rPr>
          <w:rFonts w:ascii="David" w:hAnsi="David" w:cs="David"/>
          <w:b/>
          <w:szCs w:val="24"/>
          <w:rtl/>
        </w:rPr>
      </w:pPr>
      <w:r>
        <w:rPr>
          <w:rFonts w:ascii="David" w:hAnsi="David" w:cs="David"/>
          <w:b/>
          <w:color w:val="000000"/>
          <w:szCs w:val="24"/>
          <w:rtl/>
        </w:rPr>
        <w:t>מאסר על תנאי למשך 12 חודשים, שהנאשם לא יישא בו זולת אם יעבור בתוך שלוש שנים מיום שחרורו עבירות בנשק מסוג פשע או עבירת אלימות</w:t>
      </w:r>
      <w:r>
        <w:rPr>
          <w:rFonts w:ascii="David" w:hAnsi="David" w:cs="David"/>
          <w:b/>
          <w:color w:val="FF0000"/>
          <w:szCs w:val="24"/>
          <w:rtl/>
        </w:rPr>
        <w:t xml:space="preserve"> </w:t>
      </w:r>
      <w:r>
        <w:rPr>
          <w:rFonts w:ascii="David" w:hAnsi="David" w:cs="David"/>
          <w:b/>
          <w:color w:val="000000"/>
          <w:szCs w:val="24"/>
          <w:rtl/>
        </w:rPr>
        <w:t xml:space="preserve">מסוג פשע, ויורשע בה בתוך תקופת התנאי או לאחריה. </w:t>
      </w:r>
    </w:p>
    <w:p w14:paraId="45988D84" w14:textId="77777777" w:rsidR="00800336" w:rsidRDefault="00800336" w:rsidP="00800336">
      <w:pPr>
        <w:pStyle w:val="a9"/>
        <w:numPr>
          <w:ilvl w:val="0"/>
          <w:numId w:val="5"/>
        </w:numPr>
        <w:spacing w:line="360" w:lineRule="auto"/>
        <w:ind w:left="1080" w:right="0"/>
        <w:jc w:val="both"/>
        <w:rPr>
          <w:rFonts w:ascii="David" w:hAnsi="David" w:cs="David"/>
          <w:b/>
          <w:szCs w:val="24"/>
          <w:rtl/>
        </w:rPr>
      </w:pPr>
      <w:r>
        <w:rPr>
          <w:rFonts w:ascii="David" w:hAnsi="David" w:cs="David"/>
          <w:b/>
          <w:szCs w:val="24"/>
          <w:rtl/>
        </w:rPr>
        <w:t xml:space="preserve">פיצוי בסך 20,000 ₪ לנפגע העבירה-סאהר. הפיצוי ישולם ב-10 תשלומים שווים ורצופים החל מ- 10/6/24 וב- 10 לכל חודש עוקב ויועבר לנפגע העבירה לפי פרטים עדכנים שיִימַסרו למזכירות על ידי המאשימה עד ליום 1/4/24. </w:t>
      </w:r>
    </w:p>
    <w:p w14:paraId="0879D5ED" w14:textId="77777777" w:rsidR="00800336" w:rsidRDefault="00800336" w:rsidP="00800336">
      <w:pPr>
        <w:pStyle w:val="a9"/>
        <w:spacing w:line="360" w:lineRule="auto"/>
        <w:ind w:left="1080"/>
        <w:jc w:val="both"/>
        <w:rPr>
          <w:rFonts w:ascii="David" w:hAnsi="David" w:cs="David"/>
          <w:b/>
          <w:szCs w:val="24"/>
        </w:rPr>
      </w:pPr>
      <w:r>
        <w:rPr>
          <w:rFonts w:ascii="David" w:hAnsi="David" w:cs="David"/>
          <w:b/>
          <w:szCs w:val="24"/>
          <w:rtl/>
        </w:rPr>
        <w:t xml:space="preserve">אי תשלום כל סכום במלואו ובמועדו יעמיד לפירעון מידי את מלוא הסכום בניכוי מה ששולם. </w:t>
      </w:r>
    </w:p>
    <w:p w14:paraId="451097D3" w14:textId="77777777" w:rsidR="00800336" w:rsidRDefault="00800336" w:rsidP="00800336">
      <w:pPr>
        <w:pStyle w:val="a9"/>
        <w:spacing w:line="360" w:lineRule="auto"/>
        <w:ind w:left="1080"/>
        <w:jc w:val="both"/>
        <w:rPr>
          <w:rFonts w:ascii="David" w:hAnsi="David" w:cs="David"/>
          <w:b/>
          <w:szCs w:val="24"/>
        </w:rPr>
      </w:pPr>
      <w:r>
        <w:rPr>
          <w:rFonts w:ascii="David" w:hAnsi="David" w:cs="David"/>
          <w:b/>
          <w:szCs w:val="24"/>
          <w:rtl/>
        </w:rPr>
        <w:t>חל איסור על הנאשם ליצור כל קשר עם הנפגע, בין ישיר ובין עקיף, בכל עניין הנוגע לפיצוי.</w:t>
      </w:r>
    </w:p>
    <w:p w14:paraId="289D525F" w14:textId="77777777" w:rsidR="00800336" w:rsidRDefault="00800336" w:rsidP="00800336">
      <w:pPr>
        <w:pStyle w:val="a9"/>
        <w:spacing w:line="360" w:lineRule="auto"/>
        <w:jc w:val="both"/>
        <w:rPr>
          <w:rFonts w:ascii="David" w:hAnsi="David" w:cs="David"/>
          <w:b/>
          <w:szCs w:val="24"/>
        </w:rPr>
      </w:pPr>
    </w:p>
    <w:p w14:paraId="366DBC63" w14:textId="77777777" w:rsidR="00800336" w:rsidRDefault="00E0787E" w:rsidP="00800336">
      <w:pPr>
        <w:spacing w:line="360" w:lineRule="auto"/>
        <w:ind w:left="720"/>
        <w:jc w:val="both"/>
        <w:rPr>
          <w:rFonts w:ascii="David" w:hAnsi="David"/>
          <w:rtl/>
        </w:rPr>
      </w:pPr>
      <w:r w:rsidRPr="00E0787E">
        <w:rPr>
          <w:bCs/>
          <w:color w:val="FFFFFF"/>
          <w:sz w:val="2"/>
          <w:szCs w:val="2"/>
          <w:rtl/>
        </w:rPr>
        <w:t>5129371</w:t>
      </w:r>
      <w:r w:rsidR="00800336">
        <w:rPr>
          <w:rFonts w:hint="cs"/>
          <w:bCs/>
          <w:rtl/>
        </w:rPr>
        <w:t xml:space="preserve">זכות ערעור לבית המשפט העליון. </w:t>
      </w:r>
    </w:p>
    <w:p w14:paraId="2AE0EC72" w14:textId="77777777" w:rsidR="00800336" w:rsidRPr="00E0787E" w:rsidRDefault="00E0787E" w:rsidP="00800336">
      <w:pPr>
        <w:rPr>
          <w:rFonts w:ascii="Arial" w:hAnsi="Arial"/>
          <w:b/>
          <w:bCs/>
          <w:color w:val="FFFFFF"/>
          <w:sz w:val="2"/>
          <w:szCs w:val="2"/>
          <w:rtl/>
        </w:rPr>
      </w:pPr>
      <w:r w:rsidRPr="00E0787E">
        <w:rPr>
          <w:rFonts w:ascii="Arial" w:hAnsi="Arial"/>
          <w:b/>
          <w:bCs/>
          <w:color w:val="FFFFFF"/>
          <w:sz w:val="2"/>
          <w:szCs w:val="2"/>
          <w:rtl/>
        </w:rPr>
        <w:t>54678313</w:t>
      </w:r>
    </w:p>
    <w:p w14:paraId="11DB9A06" w14:textId="77777777" w:rsidR="00800336" w:rsidRPr="000F2247" w:rsidRDefault="00800336" w:rsidP="00800336">
      <w:pPr>
        <w:rPr>
          <w:rFonts w:ascii="Arial" w:hAnsi="Arial"/>
          <w:b/>
          <w:bCs/>
          <w:sz w:val="26"/>
          <w:szCs w:val="26"/>
          <w:rtl/>
        </w:rPr>
      </w:pPr>
    </w:p>
    <w:p w14:paraId="30B08C08" w14:textId="77777777" w:rsidR="00800336" w:rsidRPr="000F2247" w:rsidRDefault="00E0787E" w:rsidP="0080033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אדר א' תשפ"ד, 14 פברואר 2024, במעמד ב"כ המאשימה, הנאשם וסנגורו. </w:t>
      </w:r>
      <w:bookmarkEnd w:id="8"/>
      <w:r w:rsidR="00800336">
        <w:rPr>
          <w:rFonts w:ascii="Arial" w:hAnsi="Arial"/>
          <w:b/>
          <w:bCs/>
          <w:sz w:val="26"/>
          <w:szCs w:val="26"/>
          <w:rtl/>
        </w:rPr>
        <w:tab/>
      </w:r>
      <w:r w:rsidR="00800336">
        <w:rPr>
          <w:rFonts w:ascii="Arial" w:hAnsi="Arial"/>
          <w:b/>
          <w:bCs/>
          <w:sz w:val="26"/>
          <w:szCs w:val="26"/>
          <w:rtl/>
        </w:rPr>
        <w:tab/>
      </w:r>
      <w:r w:rsidR="00800336">
        <w:rPr>
          <w:rFonts w:ascii="Arial" w:hAnsi="Arial"/>
          <w:b/>
          <w:bCs/>
          <w:sz w:val="26"/>
          <w:szCs w:val="26"/>
          <w:rtl/>
        </w:rPr>
        <w:tab/>
      </w:r>
      <w:r w:rsidR="00800336">
        <w:rPr>
          <w:rFonts w:ascii="Arial" w:hAnsi="Arial"/>
          <w:b/>
          <w:bCs/>
          <w:sz w:val="26"/>
          <w:szCs w:val="26"/>
          <w:rtl/>
        </w:rPr>
        <w:tab/>
      </w:r>
      <w:r w:rsidR="00800336">
        <w:rPr>
          <w:rFonts w:ascii="Arial" w:hAnsi="Arial"/>
          <w:b/>
          <w:bCs/>
          <w:sz w:val="26"/>
          <w:szCs w:val="26"/>
          <w:rtl/>
        </w:rPr>
        <w:tab/>
      </w:r>
      <w:r w:rsidR="00800336">
        <w:rPr>
          <w:rFonts w:ascii="Arial" w:hAnsi="Arial"/>
          <w:b/>
          <w:bCs/>
          <w:sz w:val="26"/>
          <w:szCs w:val="26"/>
          <w:rtl/>
        </w:rPr>
        <w:tab/>
      </w:r>
      <w:r w:rsidR="00800336">
        <w:rPr>
          <w:rFonts w:ascii="Arial" w:hAnsi="Arial"/>
          <w:b/>
          <w:bCs/>
          <w:sz w:val="26"/>
          <w:szCs w:val="26"/>
          <w:rtl/>
        </w:rPr>
        <w:tab/>
      </w:r>
      <w:r w:rsidR="00800336">
        <w:rPr>
          <w:rFonts w:ascii="Arial" w:hAnsi="Arial" w:hint="cs"/>
          <w:b/>
          <w:bCs/>
          <w:sz w:val="26"/>
          <w:szCs w:val="26"/>
          <w:rtl/>
        </w:rPr>
        <w:t xml:space="preserve">         </w:t>
      </w:r>
    </w:p>
    <w:p w14:paraId="7FF8DD0E" w14:textId="77777777" w:rsidR="00800336" w:rsidRPr="000F2247" w:rsidRDefault="00800336" w:rsidP="00E0787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9454D3D" w14:textId="77777777" w:rsidR="00800336" w:rsidRPr="000F2247" w:rsidRDefault="00800336" w:rsidP="00800336">
      <w:pPr>
        <w:jc w:val="center"/>
        <w:rPr>
          <w:rFonts w:ascii="Arial" w:hAnsi="Arial"/>
          <w:b/>
          <w:bCs/>
          <w:sz w:val="26"/>
          <w:szCs w:val="26"/>
          <w:rtl/>
        </w:rPr>
      </w:pPr>
    </w:p>
    <w:p w14:paraId="42B0C70C" w14:textId="77777777" w:rsidR="005920D5" w:rsidRPr="00E0787E" w:rsidRDefault="005920D5" w:rsidP="00E0787E">
      <w:pPr>
        <w:keepNext/>
        <w:rPr>
          <w:rFonts w:ascii="David" w:hAnsi="David"/>
          <w:color w:val="000000"/>
          <w:sz w:val="22"/>
          <w:szCs w:val="22"/>
          <w:rtl/>
        </w:rPr>
      </w:pPr>
    </w:p>
    <w:p w14:paraId="12D0DF72" w14:textId="77777777" w:rsidR="00E0787E" w:rsidRPr="00E0787E" w:rsidRDefault="00E0787E" w:rsidP="00E0787E">
      <w:pPr>
        <w:keepNext/>
        <w:rPr>
          <w:rFonts w:ascii="David" w:hAnsi="David"/>
          <w:color w:val="000000"/>
          <w:sz w:val="22"/>
          <w:szCs w:val="22"/>
          <w:rtl/>
        </w:rPr>
      </w:pPr>
      <w:r w:rsidRPr="00E0787E">
        <w:rPr>
          <w:rFonts w:ascii="David" w:hAnsi="David"/>
          <w:color w:val="000000"/>
          <w:sz w:val="22"/>
          <w:szCs w:val="22"/>
          <w:rtl/>
        </w:rPr>
        <w:t>אילת דגן 54678313</w:t>
      </w:r>
    </w:p>
    <w:p w14:paraId="7218C1D9" w14:textId="77777777" w:rsidR="00E0787E" w:rsidRDefault="00E0787E" w:rsidP="00E0787E">
      <w:r w:rsidRPr="00E0787E">
        <w:rPr>
          <w:color w:val="000000"/>
          <w:rtl/>
        </w:rPr>
        <w:t>נוסח מסמך זה כפוף לשינויי ניסוח ועריכה</w:t>
      </w:r>
    </w:p>
    <w:p w14:paraId="3AD18CD5" w14:textId="77777777" w:rsidR="00E0787E" w:rsidRDefault="00E0787E" w:rsidP="00E0787E">
      <w:pPr>
        <w:rPr>
          <w:rtl/>
        </w:rPr>
      </w:pPr>
    </w:p>
    <w:p w14:paraId="1414898B" w14:textId="77777777" w:rsidR="00E0787E" w:rsidRDefault="00E0787E" w:rsidP="00E0787E">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72ED5BE1" w14:textId="77777777" w:rsidR="00E0787E" w:rsidRPr="00E0787E" w:rsidRDefault="00E0787E" w:rsidP="00E0787E">
      <w:pPr>
        <w:jc w:val="center"/>
        <w:rPr>
          <w:color w:val="0000FF"/>
          <w:u w:val="single"/>
        </w:rPr>
      </w:pPr>
    </w:p>
    <w:sectPr w:rsidR="00E0787E" w:rsidRPr="00E0787E" w:rsidSect="00E0787E">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912D1" w14:textId="77777777" w:rsidR="008A0230" w:rsidRDefault="008A0230" w:rsidP="00541BB7">
      <w:r>
        <w:separator/>
      </w:r>
    </w:p>
  </w:endnote>
  <w:endnote w:type="continuationSeparator" w:id="0">
    <w:p w14:paraId="1FA37ABA" w14:textId="77777777" w:rsidR="008A0230" w:rsidRDefault="008A0230" w:rsidP="0054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2C6F6" w14:textId="77777777" w:rsidR="00E0787E" w:rsidRDefault="00E0787E" w:rsidP="00E078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B7AC66" w14:textId="77777777" w:rsidR="0067032B" w:rsidRPr="00E0787E" w:rsidRDefault="00E0787E" w:rsidP="00E078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019FF" w14:textId="77777777" w:rsidR="00E0787E" w:rsidRDefault="00E0787E" w:rsidP="00E078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332B">
      <w:rPr>
        <w:rFonts w:ascii="FrankRuehl" w:hAnsi="FrankRuehl" w:cs="FrankRuehl"/>
        <w:noProof/>
        <w:rtl/>
      </w:rPr>
      <w:t>1</w:t>
    </w:r>
    <w:r>
      <w:rPr>
        <w:rFonts w:ascii="FrankRuehl" w:hAnsi="FrankRuehl" w:cs="FrankRuehl"/>
        <w:rtl/>
      </w:rPr>
      <w:fldChar w:fldCharType="end"/>
    </w:r>
  </w:p>
  <w:p w14:paraId="6721F119" w14:textId="77777777" w:rsidR="0067032B" w:rsidRPr="00E0787E" w:rsidRDefault="00E0787E" w:rsidP="00E078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4E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D21B2" w14:textId="77777777" w:rsidR="008A0230" w:rsidRDefault="008A0230" w:rsidP="00541BB7">
      <w:r>
        <w:separator/>
      </w:r>
    </w:p>
  </w:footnote>
  <w:footnote w:type="continuationSeparator" w:id="0">
    <w:p w14:paraId="76F6294D" w14:textId="77777777" w:rsidR="008A0230" w:rsidRDefault="008A0230" w:rsidP="00541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9083A" w14:textId="77777777" w:rsidR="00E0787E" w:rsidRPr="00E0787E" w:rsidRDefault="00E0787E" w:rsidP="00E0787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28844-03-22</w:t>
    </w:r>
    <w:r>
      <w:rPr>
        <w:rFonts w:ascii="David" w:hAnsi="David"/>
        <w:color w:val="000000"/>
        <w:sz w:val="22"/>
        <w:szCs w:val="22"/>
        <w:rtl/>
      </w:rPr>
      <w:tab/>
      <w:t xml:space="preserve"> מדינת-ישראל נ' אברהים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9E1DD" w14:textId="77777777" w:rsidR="00E0787E" w:rsidRPr="00E0787E" w:rsidRDefault="00E0787E" w:rsidP="00E0787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28844-03-22</w:t>
    </w:r>
    <w:r>
      <w:rPr>
        <w:rFonts w:ascii="David" w:hAnsi="David"/>
        <w:color w:val="000000"/>
        <w:sz w:val="22"/>
        <w:szCs w:val="22"/>
        <w:rtl/>
      </w:rPr>
      <w:tab/>
      <w:t xml:space="preserve"> מדינת-ישראל נ' אברהים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D0900"/>
    <w:multiLevelType w:val="hybridMultilevel"/>
    <w:tmpl w:val="CC58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6B1E33"/>
    <w:multiLevelType w:val="hybridMultilevel"/>
    <w:tmpl w:val="A006B534"/>
    <w:lvl w:ilvl="0" w:tplc="88B64F10">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2" w15:restartNumberingAfterBreak="0">
    <w:nsid w:val="433B5F72"/>
    <w:multiLevelType w:val="hybridMultilevel"/>
    <w:tmpl w:val="F3B85ABC"/>
    <w:lvl w:ilvl="0" w:tplc="FDB845C6">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3" w15:restartNumberingAfterBreak="0">
    <w:nsid w:val="448729F8"/>
    <w:multiLevelType w:val="hybridMultilevel"/>
    <w:tmpl w:val="0D8C0CEE"/>
    <w:lvl w:ilvl="0" w:tplc="FDB845C6">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abstractNum w:abstractNumId="4" w15:restartNumberingAfterBreak="0">
    <w:nsid w:val="7F1B0953"/>
    <w:multiLevelType w:val="hybridMultilevel"/>
    <w:tmpl w:val="F7ECC78A"/>
    <w:lvl w:ilvl="0" w:tplc="3C2AA26E">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num w:numId="1" w16cid:durableId="799810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4390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9557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3819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4511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0336"/>
    <w:rsid w:val="001B5A3B"/>
    <w:rsid w:val="0047462E"/>
    <w:rsid w:val="00541BB7"/>
    <w:rsid w:val="005920D5"/>
    <w:rsid w:val="0067032B"/>
    <w:rsid w:val="006A219C"/>
    <w:rsid w:val="00800336"/>
    <w:rsid w:val="008A0230"/>
    <w:rsid w:val="0094046B"/>
    <w:rsid w:val="00AD332B"/>
    <w:rsid w:val="00E0787E"/>
    <w:rsid w:val="00EE0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318F59"/>
  <w15:chartTrackingRefBased/>
  <w15:docId w15:val="{65397333-3535-4BA7-B00F-C0D11D30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03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0336"/>
    <w:pPr>
      <w:tabs>
        <w:tab w:val="center" w:pos="4153"/>
        <w:tab w:val="right" w:pos="8306"/>
      </w:tabs>
    </w:pPr>
  </w:style>
  <w:style w:type="character" w:customStyle="1" w:styleId="a4">
    <w:name w:val="כותרת עליונה תו"/>
    <w:link w:val="a3"/>
    <w:rsid w:val="00800336"/>
    <w:rPr>
      <w:rFonts w:ascii="Times New Roman" w:eastAsia="Times New Roman" w:hAnsi="Times New Roman" w:cs="David"/>
      <w:sz w:val="24"/>
      <w:szCs w:val="24"/>
    </w:rPr>
  </w:style>
  <w:style w:type="paragraph" w:styleId="a5">
    <w:name w:val="footer"/>
    <w:basedOn w:val="a"/>
    <w:link w:val="a6"/>
    <w:rsid w:val="00800336"/>
    <w:pPr>
      <w:tabs>
        <w:tab w:val="center" w:pos="4153"/>
        <w:tab w:val="right" w:pos="8306"/>
      </w:tabs>
    </w:pPr>
  </w:style>
  <w:style w:type="character" w:customStyle="1" w:styleId="a6">
    <w:name w:val="כותרת תחתונה תו"/>
    <w:link w:val="a5"/>
    <w:rsid w:val="00800336"/>
    <w:rPr>
      <w:rFonts w:ascii="Times New Roman" w:eastAsia="Times New Roman" w:hAnsi="Times New Roman" w:cs="David"/>
      <w:sz w:val="24"/>
      <w:szCs w:val="24"/>
    </w:rPr>
  </w:style>
  <w:style w:type="table" w:styleId="a7">
    <w:name w:val="Table Grid"/>
    <w:basedOn w:val="a1"/>
    <w:rsid w:val="008003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0336"/>
  </w:style>
  <w:style w:type="paragraph" w:styleId="a9">
    <w:name w:val="List Paragraph"/>
    <w:basedOn w:val="a"/>
    <w:qFormat/>
    <w:rsid w:val="00800336"/>
    <w:pPr>
      <w:ind w:left="720"/>
      <w:contextualSpacing/>
    </w:pPr>
    <w:rPr>
      <w:rFonts w:ascii="Arial" w:eastAsia="Calibri" w:hAnsi="Arial" w:cs="FrankRuehl"/>
      <w:szCs w:val="28"/>
    </w:rPr>
  </w:style>
  <w:style w:type="paragraph" w:customStyle="1" w:styleId="Ruller4">
    <w:name w:val="Ruller4"/>
    <w:basedOn w:val="a"/>
    <w:rsid w:val="00800336"/>
    <w:pPr>
      <w:tabs>
        <w:tab w:val="left" w:pos="800"/>
      </w:tabs>
      <w:overflowPunct w:val="0"/>
      <w:autoSpaceDE w:val="0"/>
      <w:autoSpaceDN w:val="0"/>
      <w:adjustRightInd w:val="0"/>
      <w:spacing w:line="360" w:lineRule="auto"/>
      <w:jc w:val="both"/>
    </w:pPr>
    <w:rPr>
      <w:rFonts w:ascii="Arial TUR" w:hAnsi="Arial TUR" w:cs="FrankRuehl"/>
      <w:spacing w:val="10"/>
      <w:kern w:val="2"/>
      <w:sz w:val="22"/>
      <w:szCs w:val="28"/>
    </w:rPr>
  </w:style>
  <w:style w:type="character" w:customStyle="1" w:styleId="default">
    <w:name w:val="default"/>
    <w:rsid w:val="00800336"/>
    <w:rPr>
      <w:rFonts w:ascii="Times New Roman" w:hAnsi="Times New Roman" w:cs="Times New Roman" w:hint="default"/>
      <w:sz w:val="26"/>
      <w:szCs w:val="26"/>
    </w:rPr>
  </w:style>
  <w:style w:type="character" w:styleId="Hyperlink">
    <w:name w:val="Hyperlink"/>
    <w:rsid w:val="00E078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476990" TargetMode="External"/><Relationship Id="rId21" Type="http://schemas.openxmlformats.org/officeDocument/2006/relationships/hyperlink" Target="http://www.nevo.co.il/case/3826317" TargetMode="External"/><Relationship Id="rId42" Type="http://schemas.openxmlformats.org/officeDocument/2006/relationships/hyperlink" Target="http://www.nevo.co.il/case/28232419"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8280815" TargetMode="External"/><Relationship Id="rId68" Type="http://schemas.openxmlformats.org/officeDocument/2006/relationships/hyperlink" Target="http://www.nevo.co.il/law/70301/144.g" TargetMode="External"/><Relationship Id="rId16" Type="http://schemas.openxmlformats.org/officeDocument/2006/relationships/hyperlink" Target="http://www.nevo.co.il/law/70301/329.a.2" TargetMode="External"/><Relationship Id="rId11" Type="http://schemas.openxmlformats.org/officeDocument/2006/relationships/hyperlink" Target="http://www.nevo.co.il/law/70301/40i" TargetMode="External"/><Relationship Id="rId32" Type="http://schemas.openxmlformats.org/officeDocument/2006/relationships/hyperlink" Target="http://www.nevo.co.il/case/13051735" TargetMode="External"/><Relationship Id="rId37" Type="http://schemas.openxmlformats.org/officeDocument/2006/relationships/hyperlink" Target="http://www.nevo.co.il/case/25860719"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28330552" TargetMode="External"/><Relationship Id="rId74" Type="http://schemas.openxmlformats.org/officeDocument/2006/relationships/hyperlink" Target="http://www.nevo.co.il/case/13051735"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 TargetMode="External"/><Relationship Id="rId82"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case/22919929" TargetMode="External"/><Relationship Id="rId30" Type="http://schemas.openxmlformats.org/officeDocument/2006/relationships/hyperlink" Target="http://www.nevo.co.il/case/24493107" TargetMode="External"/><Relationship Id="rId35" Type="http://schemas.openxmlformats.org/officeDocument/2006/relationships/hyperlink" Target="http://www.nevo.co.il/case/25528733" TargetMode="External"/><Relationship Id="rId43" Type="http://schemas.openxmlformats.org/officeDocument/2006/relationships/hyperlink" Target="http://www.nevo.co.il/case/25528733" TargetMode="External"/><Relationship Id="rId48" Type="http://schemas.openxmlformats.org/officeDocument/2006/relationships/hyperlink" Target="http://www.nevo.co.il/law/70301/40b" TargetMode="External"/><Relationship Id="rId56" Type="http://schemas.openxmlformats.org/officeDocument/2006/relationships/hyperlink" Target="http://www.nevo.co.il/case/5573417" TargetMode="External"/><Relationship Id="rId64" Type="http://schemas.openxmlformats.org/officeDocument/2006/relationships/hyperlink" Target="http://www.nevo.co.il/case/29591501" TargetMode="External"/><Relationship Id="rId69" Type="http://schemas.openxmlformats.org/officeDocument/2006/relationships/hyperlink" Target="http://www.nevo.co.il/case/18749756"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40i" TargetMode="External"/><Relationship Id="rId72" Type="http://schemas.openxmlformats.org/officeDocument/2006/relationships/hyperlink" Target="http://www.nevo.co.il/case/26146729"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20032343" TargetMode="External"/><Relationship Id="rId33" Type="http://schemas.openxmlformats.org/officeDocument/2006/relationships/hyperlink" Target="http://www.nevo.co.il/case/18749870" TargetMode="External"/><Relationship Id="rId38" Type="http://schemas.openxmlformats.org/officeDocument/2006/relationships/hyperlink" Target="http://www.nevo.co.il/case/28384638" TargetMode="External"/><Relationship Id="rId46" Type="http://schemas.openxmlformats.org/officeDocument/2006/relationships/hyperlink" Target="http://www.nevo.co.il/case/7789548" TargetMode="External"/><Relationship Id="rId59" Type="http://schemas.openxmlformats.org/officeDocument/2006/relationships/hyperlink" Target="http://www.nevo.co.il/case/2760387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7078678" TargetMode="External"/><Relationship Id="rId54" Type="http://schemas.openxmlformats.org/officeDocument/2006/relationships/hyperlink" Target="http://www.nevo.co.il/case/7791493" TargetMode="External"/><Relationship Id="rId62" Type="http://schemas.openxmlformats.org/officeDocument/2006/relationships/hyperlink" Target="http://www.nevo.co.il/case/28207045" TargetMode="External"/><Relationship Id="rId70" Type="http://schemas.openxmlformats.org/officeDocument/2006/relationships/hyperlink" Target="http://www.nevo.co.il/case/28384638" TargetMode="External"/><Relationship Id="rId75" Type="http://schemas.openxmlformats.org/officeDocument/2006/relationships/hyperlink" Target="http://www.nevo.co.il/case/18749870"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1.2" TargetMode="External"/><Relationship Id="rId23" Type="http://schemas.openxmlformats.org/officeDocument/2006/relationships/hyperlink" Target="http://www.nevo.co.il/case/26146729" TargetMode="External"/><Relationship Id="rId28" Type="http://schemas.openxmlformats.org/officeDocument/2006/relationships/hyperlink" Target="http://www.nevo.co.il/case/5172636" TargetMode="External"/><Relationship Id="rId36" Type="http://schemas.openxmlformats.org/officeDocument/2006/relationships/hyperlink" Target="http://www.nevo.co.il/case/23386870" TargetMode="External"/><Relationship Id="rId49" Type="http://schemas.openxmlformats.org/officeDocument/2006/relationships/hyperlink" Target="http://www.nevo.co.il/law/70301/40c.a" TargetMode="External"/><Relationship Id="rId57" Type="http://schemas.openxmlformats.org/officeDocument/2006/relationships/hyperlink" Target="http://www.nevo.co.il/case/25824863"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case/5590183" TargetMode="External"/><Relationship Id="rId44" Type="http://schemas.openxmlformats.org/officeDocument/2006/relationships/hyperlink" Target="http://www.nevo.co.il/case/25546727" TargetMode="External"/><Relationship Id="rId52" Type="http://schemas.openxmlformats.org/officeDocument/2006/relationships/hyperlink" Target="http://www.nevo.co.il/law/70301/40c.b" TargetMode="External"/><Relationship Id="rId60" Type="http://schemas.openxmlformats.org/officeDocument/2006/relationships/hyperlink" Target="http://www.nevo.co.il/law/70301/329.a.1.2"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7933514"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law/70301/329.a.1.;329.a.2" TargetMode="External"/><Relationship Id="rId39" Type="http://schemas.openxmlformats.org/officeDocument/2006/relationships/hyperlink" Target="http://www.nevo.co.il/case/27933514" TargetMode="External"/><Relationship Id="rId34" Type="http://schemas.openxmlformats.org/officeDocument/2006/relationships/hyperlink" Target="http://www.nevo.co.il/case/23300124"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3509035" TargetMode="External"/><Relationship Id="rId76" Type="http://schemas.openxmlformats.org/officeDocument/2006/relationships/hyperlink" Target="http://www.nevo.co.il/case/27078678"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5824897" TargetMode="External"/><Relationship Id="rId2" Type="http://schemas.openxmlformats.org/officeDocument/2006/relationships/styles" Target="styles.xml"/><Relationship Id="rId29" Type="http://schemas.openxmlformats.org/officeDocument/2006/relationships/hyperlink" Target="http://www.nevo.co.il/case/5864075" TargetMode="External"/><Relationship Id="rId24" Type="http://schemas.openxmlformats.org/officeDocument/2006/relationships/hyperlink" Target="http://www.nevo.co.il/case/18749756" TargetMode="External"/><Relationship Id="rId40" Type="http://schemas.openxmlformats.org/officeDocument/2006/relationships/hyperlink" Target="http://www.nevo.co.il/case/27272576" TargetMode="External"/><Relationship Id="rId45" Type="http://schemas.openxmlformats.org/officeDocument/2006/relationships/hyperlink" Target="http://www.nevo.co.il/case/6473037" TargetMode="External"/><Relationship Id="rId66"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4746</Words>
  <Characters>23735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28425</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3997810</vt:i4>
      </vt:variant>
      <vt:variant>
        <vt:i4>207</vt:i4>
      </vt:variant>
      <vt:variant>
        <vt:i4>0</vt:i4>
      </vt:variant>
      <vt:variant>
        <vt:i4>5</vt:i4>
      </vt:variant>
      <vt:variant>
        <vt:lpwstr>http://www.nevo.co.il/case/27078678</vt:lpwstr>
      </vt:variant>
      <vt:variant>
        <vt:lpwstr/>
      </vt:variant>
      <vt:variant>
        <vt:i4>3670128</vt:i4>
      </vt:variant>
      <vt:variant>
        <vt:i4>204</vt:i4>
      </vt:variant>
      <vt:variant>
        <vt:i4>0</vt:i4>
      </vt:variant>
      <vt:variant>
        <vt:i4>5</vt:i4>
      </vt:variant>
      <vt:variant>
        <vt:lpwstr>http://www.nevo.co.il/case/18749870</vt:lpwstr>
      </vt:variant>
      <vt:variant>
        <vt:lpwstr/>
      </vt:variant>
      <vt:variant>
        <vt:i4>3342453</vt:i4>
      </vt:variant>
      <vt:variant>
        <vt:i4>201</vt:i4>
      </vt:variant>
      <vt:variant>
        <vt:i4>0</vt:i4>
      </vt:variant>
      <vt:variant>
        <vt:i4>5</vt:i4>
      </vt:variant>
      <vt:variant>
        <vt:lpwstr>http://www.nevo.co.il/case/13051735</vt:lpwstr>
      </vt:variant>
      <vt:variant>
        <vt:lpwstr/>
      </vt:variant>
      <vt:variant>
        <vt:i4>3735669</vt:i4>
      </vt:variant>
      <vt:variant>
        <vt:i4>198</vt:i4>
      </vt:variant>
      <vt:variant>
        <vt:i4>0</vt:i4>
      </vt:variant>
      <vt:variant>
        <vt:i4>5</vt:i4>
      </vt:variant>
      <vt:variant>
        <vt:lpwstr>http://www.nevo.co.il/case/27933514</vt:lpwstr>
      </vt:variant>
      <vt:variant>
        <vt:lpwstr/>
      </vt:variant>
      <vt:variant>
        <vt:i4>3604593</vt:i4>
      </vt:variant>
      <vt:variant>
        <vt:i4>195</vt:i4>
      </vt:variant>
      <vt:variant>
        <vt:i4>0</vt:i4>
      </vt:variant>
      <vt:variant>
        <vt:i4>5</vt:i4>
      </vt:variant>
      <vt:variant>
        <vt:lpwstr>http://www.nevo.co.il/case/26146729</vt:lpwstr>
      </vt:variant>
      <vt:variant>
        <vt:lpwstr/>
      </vt:variant>
      <vt:variant>
        <vt:i4>3604603</vt:i4>
      </vt:variant>
      <vt:variant>
        <vt:i4>192</vt:i4>
      </vt:variant>
      <vt:variant>
        <vt:i4>0</vt:i4>
      </vt:variant>
      <vt:variant>
        <vt:i4>5</vt:i4>
      </vt:variant>
      <vt:variant>
        <vt:lpwstr>http://www.nevo.co.il/case/25824897</vt:lpwstr>
      </vt:variant>
      <vt:variant>
        <vt:lpwstr/>
      </vt:variant>
      <vt:variant>
        <vt:i4>3539058</vt:i4>
      </vt:variant>
      <vt:variant>
        <vt:i4>189</vt:i4>
      </vt:variant>
      <vt:variant>
        <vt:i4>0</vt:i4>
      </vt:variant>
      <vt:variant>
        <vt:i4>5</vt:i4>
      </vt:variant>
      <vt:variant>
        <vt:lpwstr>http://www.nevo.co.il/case/28384638</vt:lpwstr>
      </vt:variant>
      <vt:variant>
        <vt:lpwstr/>
      </vt:variant>
      <vt:variant>
        <vt:i4>3801215</vt:i4>
      </vt:variant>
      <vt:variant>
        <vt:i4>186</vt:i4>
      </vt:variant>
      <vt:variant>
        <vt:i4>0</vt:i4>
      </vt:variant>
      <vt:variant>
        <vt:i4>5</vt:i4>
      </vt:variant>
      <vt:variant>
        <vt:lpwstr>http://www.nevo.co.il/case/18749756</vt:lpwstr>
      </vt:variant>
      <vt:variant>
        <vt:lpwstr/>
      </vt:variant>
      <vt:variant>
        <vt:i4>5177424</vt:i4>
      </vt:variant>
      <vt:variant>
        <vt:i4>183</vt:i4>
      </vt:variant>
      <vt:variant>
        <vt:i4>0</vt:i4>
      </vt:variant>
      <vt:variant>
        <vt:i4>5</vt:i4>
      </vt:variant>
      <vt:variant>
        <vt:lpwstr>http://www.nevo.co.il/law/70301/144.g</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3539057</vt:i4>
      </vt:variant>
      <vt:variant>
        <vt:i4>171</vt:i4>
      </vt:variant>
      <vt:variant>
        <vt:i4>0</vt:i4>
      </vt:variant>
      <vt:variant>
        <vt:i4>5</vt:i4>
      </vt:variant>
      <vt:variant>
        <vt:lpwstr>http://www.nevo.co.il/case/29591501</vt:lpwstr>
      </vt:variant>
      <vt:variant>
        <vt:lpwstr/>
      </vt:variant>
      <vt:variant>
        <vt:i4>3211388</vt:i4>
      </vt:variant>
      <vt:variant>
        <vt:i4>168</vt:i4>
      </vt:variant>
      <vt:variant>
        <vt:i4>0</vt:i4>
      </vt:variant>
      <vt:variant>
        <vt:i4>5</vt:i4>
      </vt:variant>
      <vt:variant>
        <vt:lpwstr>http://www.nevo.co.il/case/28280815</vt:lpwstr>
      </vt:variant>
      <vt:variant>
        <vt:lpwstr/>
      </vt:variant>
      <vt:variant>
        <vt:i4>3342460</vt:i4>
      </vt:variant>
      <vt:variant>
        <vt:i4>165</vt:i4>
      </vt:variant>
      <vt:variant>
        <vt:i4>0</vt:i4>
      </vt:variant>
      <vt:variant>
        <vt:i4>5</vt:i4>
      </vt:variant>
      <vt:variant>
        <vt:lpwstr>http://www.nevo.co.il/case/28207045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4784143</vt:i4>
      </vt:variant>
      <vt:variant>
        <vt:i4>159</vt:i4>
      </vt:variant>
      <vt:variant>
        <vt:i4>0</vt:i4>
      </vt:variant>
      <vt:variant>
        <vt:i4>5</vt:i4>
      </vt:variant>
      <vt:variant>
        <vt:lpwstr>http://www.nevo.co.il/law/70301/329.a.1.2</vt:lpwstr>
      </vt:variant>
      <vt:variant>
        <vt:lpwstr/>
      </vt:variant>
      <vt:variant>
        <vt:i4>3145851</vt:i4>
      </vt:variant>
      <vt:variant>
        <vt:i4>156</vt:i4>
      </vt:variant>
      <vt:variant>
        <vt:i4>0</vt:i4>
      </vt:variant>
      <vt:variant>
        <vt:i4>5</vt:i4>
      </vt:variant>
      <vt:variant>
        <vt:lpwstr>http://www.nevo.co.il/case/27603872</vt:lpwstr>
      </vt:variant>
      <vt:variant>
        <vt:lpwstr/>
      </vt:variant>
      <vt:variant>
        <vt:i4>3407994</vt:i4>
      </vt:variant>
      <vt:variant>
        <vt:i4>153</vt:i4>
      </vt:variant>
      <vt:variant>
        <vt:i4>0</vt:i4>
      </vt:variant>
      <vt:variant>
        <vt:i4>5</vt:i4>
      </vt:variant>
      <vt:variant>
        <vt:lpwstr>http://www.nevo.co.il/case/28330552</vt:lpwstr>
      </vt:variant>
      <vt:variant>
        <vt:lpwstr/>
      </vt:variant>
      <vt:variant>
        <vt:i4>3670139</vt:i4>
      </vt:variant>
      <vt:variant>
        <vt:i4>150</vt:i4>
      </vt:variant>
      <vt:variant>
        <vt:i4>0</vt:i4>
      </vt:variant>
      <vt:variant>
        <vt:i4>5</vt:i4>
      </vt:variant>
      <vt:variant>
        <vt:lpwstr>http://www.nevo.co.il/case/25824863</vt:lpwstr>
      </vt:variant>
      <vt:variant>
        <vt:lpwstr/>
      </vt:variant>
      <vt:variant>
        <vt:i4>3211379</vt:i4>
      </vt:variant>
      <vt:variant>
        <vt:i4>147</vt:i4>
      </vt:variant>
      <vt:variant>
        <vt:i4>0</vt:i4>
      </vt:variant>
      <vt:variant>
        <vt:i4>5</vt:i4>
      </vt:variant>
      <vt:variant>
        <vt:lpwstr>http://www.nevo.co.il/case/5573417</vt:lpwstr>
      </vt:variant>
      <vt:variant>
        <vt:lpwstr/>
      </vt:variant>
      <vt:variant>
        <vt:i4>3997815</vt:i4>
      </vt:variant>
      <vt:variant>
        <vt:i4>144</vt:i4>
      </vt:variant>
      <vt:variant>
        <vt:i4>0</vt:i4>
      </vt:variant>
      <vt:variant>
        <vt:i4>5</vt:i4>
      </vt:variant>
      <vt:variant>
        <vt:lpwstr>http://www.nevo.co.il/case/23509035</vt:lpwstr>
      </vt:variant>
      <vt:variant>
        <vt:lpwstr/>
      </vt:variant>
      <vt:variant>
        <vt:i4>3735675</vt:i4>
      </vt:variant>
      <vt:variant>
        <vt:i4>141</vt:i4>
      </vt:variant>
      <vt:variant>
        <vt:i4>0</vt:i4>
      </vt:variant>
      <vt:variant>
        <vt:i4>5</vt:i4>
      </vt:variant>
      <vt:variant>
        <vt:lpwstr>http://www.nevo.co.il/case/7791493</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4915202</vt:i4>
      </vt:variant>
      <vt:variant>
        <vt:i4>135</vt:i4>
      </vt:variant>
      <vt:variant>
        <vt:i4>0</vt:i4>
      </vt:variant>
      <vt:variant>
        <vt:i4>5</vt:i4>
      </vt:variant>
      <vt:variant>
        <vt:lpwstr>http://www.nevo.co.il/law/70301/40c.b</vt:lpwstr>
      </vt:variant>
      <vt:variant>
        <vt:lpwstr/>
      </vt:variant>
      <vt:variant>
        <vt:i4>6619233</vt:i4>
      </vt:variant>
      <vt:variant>
        <vt:i4>132</vt:i4>
      </vt:variant>
      <vt:variant>
        <vt:i4>0</vt:i4>
      </vt:variant>
      <vt:variant>
        <vt:i4>5</vt:i4>
      </vt:variant>
      <vt:variant>
        <vt:lpwstr>http://www.nevo.co.il/law/70301/40i</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4915202</vt:i4>
      </vt:variant>
      <vt:variant>
        <vt:i4>126</vt:i4>
      </vt:variant>
      <vt:variant>
        <vt:i4>0</vt:i4>
      </vt:variant>
      <vt:variant>
        <vt:i4>5</vt:i4>
      </vt:variant>
      <vt:variant>
        <vt:lpwstr>http://www.nevo.co.il/law/70301/40c.a</vt:lpwstr>
      </vt:variant>
      <vt:variant>
        <vt:lpwstr/>
      </vt:variant>
      <vt:variant>
        <vt:i4>6619233</vt:i4>
      </vt:variant>
      <vt:variant>
        <vt:i4>123</vt:i4>
      </vt:variant>
      <vt:variant>
        <vt:i4>0</vt:i4>
      </vt:variant>
      <vt:variant>
        <vt:i4>5</vt:i4>
      </vt:variant>
      <vt:variant>
        <vt:lpwstr>http://www.nevo.co.il/law/70301/40b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3276926</vt:i4>
      </vt:variant>
      <vt:variant>
        <vt:i4>117</vt:i4>
      </vt:variant>
      <vt:variant>
        <vt:i4>0</vt:i4>
      </vt:variant>
      <vt:variant>
        <vt:i4>5</vt:i4>
      </vt:variant>
      <vt:variant>
        <vt:lpwstr>http://www.nevo.co.il/case/7789548</vt:lpwstr>
      </vt:variant>
      <vt:variant>
        <vt:lpwstr/>
      </vt:variant>
      <vt:variant>
        <vt:i4>3539056</vt:i4>
      </vt:variant>
      <vt:variant>
        <vt:i4>114</vt:i4>
      </vt:variant>
      <vt:variant>
        <vt:i4>0</vt:i4>
      </vt:variant>
      <vt:variant>
        <vt:i4>5</vt:i4>
      </vt:variant>
      <vt:variant>
        <vt:lpwstr>http://www.nevo.co.il/case/6473037</vt:lpwstr>
      </vt:variant>
      <vt:variant>
        <vt:lpwstr/>
      </vt:variant>
      <vt:variant>
        <vt:i4>3342450</vt:i4>
      </vt:variant>
      <vt:variant>
        <vt:i4>111</vt:i4>
      </vt:variant>
      <vt:variant>
        <vt:i4>0</vt:i4>
      </vt:variant>
      <vt:variant>
        <vt:i4>5</vt:i4>
      </vt:variant>
      <vt:variant>
        <vt:lpwstr>http://www.nevo.co.il/case/25546727</vt:lpwstr>
      </vt:variant>
      <vt:variant>
        <vt:lpwstr/>
      </vt:variant>
      <vt:variant>
        <vt:i4>3932276</vt:i4>
      </vt:variant>
      <vt:variant>
        <vt:i4>108</vt:i4>
      </vt:variant>
      <vt:variant>
        <vt:i4>0</vt:i4>
      </vt:variant>
      <vt:variant>
        <vt:i4>5</vt:i4>
      </vt:variant>
      <vt:variant>
        <vt:lpwstr>http://www.nevo.co.il/case/25528733</vt:lpwstr>
      </vt:variant>
      <vt:variant>
        <vt:lpwstr/>
      </vt:variant>
      <vt:variant>
        <vt:i4>3342459</vt:i4>
      </vt:variant>
      <vt:variant>
        <vt:i4>105</vt:i4>
      </vt:variant>
      <vt:variant>
        <vt:i4>0</vt:i4>
      </vt:variant>
      <vt:variant>
        <vt:i4>5</vt:i4>
      </vt:variant>
      <vt:variant>
        <vt:lpwstr>http://www.nevo.co.il/case/28232419</vt:lpwstr>
      </vt:variant>
      <vt:variant>
        <vt:lpwstr/>
      </vt:variant>
      <vt:variant>
        <vt:i4>3997810</vt:i4>
      </vt:variant>
      <vt:variant>
        <vt:i4>102</vt:i4>
      </vt:variant>
      <vt:variant>
        <vt:i4>0</vt:i4>
      </vt:variant>
      <vt:variant>
        <vt:i4>5</vt:i4>
      </vt:variant>
      <vt:variant>
        <vt:lpwstr>http://www.nevo.co.il/case/27078678</vt:lpwstr>
      </vt:variant>
      <vt:variant>
        <vt:lpwstr/>
      </vt:variant>
      <vt:variant>
        <vt:i4>3473521</vt:i4>
      </vt:variant>
      <vt:variant>
        <vt:i4>99</vt:i4>
      </vt:variant>
      <vt:variant>
        <vt:i4>0</vt:i4>
      </vt:variant>
      <vt:variant>
        <vt:i4>5</vt:i4>
      </vt:variant>
      <vt:variant>
        <vt:lpwstr>http://www.nevo.co.il/case/27272576</vt:lpwstr>
      </vt:variant>
      <vt:variant>
        <vt:lpwstr/>
      </vt:variant>
      <vt:variant>
        <vt:i4>3735669</vt:i4>
      </vt:variant>
      <vt:variant>
        <vt:i4>96</vt:i4>
      </vt:variant>
      <vt:variant>
        <vt:i4>0</vt:i4>
      </vt:variant>
      <vt:variant>
        <vt:i4>5</vt:i4>
      </vt:variant>
      <vt:variant>
        <vt:lpwstr>http://www.nevo.co.il/case/27933514</vt:lpwstr>
      </vt:variant>
      <vt:variant>
        <vt:lpwstr/>
      </vt:variant>
      <vt:variant>
        <vt:i4>3539058</vt:i4>
      </vt:variant>
      <vt:variant>
        <vt:i4>93</vt:i4>
      </vt:variant>
      <vt:variant>
        <vt:i4>0</vt:i4>
      </vt:variant>
      <vt:variant>
        <vt:i4>5</vt:i4>
      </vt:variant>
      <vt:variant>
        <vt:lpwstr>http://www.nevo.co.il/case/28384638</vt:lpwstr>
      </vt:variant>
      <vt:variant>
        <vt:lpwstr/>
      </vt:variant>
      <vt:variant>
        <vt:i4>3866736</vt:i4>
      </vt:variant>
      <vt:variant>
        <vt:i4>90</vt:i4>
      </vt:variant>
      <vt:variant>
        <vt:i4>0</vt:i4>
      </vt:variant>
      <vt:variant>
        <vt:i4>5</vt:i4>
      </vt:variant>
      <vt:variant>
        <vt:lpwstr>http://www.nevo.co.il/case/25860719</vt:lpwstr>
      </vt:variant>
      <vt:variant>
        <vt:lpwstr/>
      </vt:variant>
      <vt:variant>
        <vt:i4>3145847</vt:i4>
      </vt:variant>
      <vt:variant>
        <vt:i4>87</vt:i4>
      </vt:variant>
      <vt:variant>
        <vt:i4>0</vt:i4>
      </vt:variant>
      <vt:variant>
        <vt:i4>5</vt:i4>
      </vt:variant>
      <vt:variant>
        <vt:lpwstr>http://www.nevo.co.il/case/23386870</vt:lpwstr>
      </vt:variant>
      <vt:variant>
        <vt:lpwstr/>
      </vt:variant>
      <vt:variant>
        <vt:i4>3932276</vt:i4>
      </vt:variant>
      <vt:variant>
        <vt:i4>84</vt:i4>
      </vt:variant>
      <vt:variant>
        <vt:i4>0</vt:i4>
      </vt:variant>
      <vt:variant>
        <vt:i4>5</vt:i4>
      </vt:variant>
      <vt:variant>
        <vt:lpwstr>http://www.nevo.co.il/case/25528733</vt:lpwstr>
      </vt:variant>
      <vt:variant>
        <vt:lpwstr/>
      </vt:variant>
      <vt:variant>
        <vt:i4>3342454</vt:i4>
      </vt:variant>
      <vt:variant>
        <vt:i4>81</vt:i4>
      </vt:variant>
      <vt:variant>
        <vt:i4>0</vt:i4>
      </vt:variant>
      <vt:variant>
        <vt:i4>5</vt:i4>
      </vt:variant>
      <vt:variant>
        <vt:lpwstr>http://www.nevo.co.il/case/23300124</vt:lpwstr>
      </vt:variant>
      <vt:variant>
        <vt:lpwstr/>
      </vt:variant>
      <vt:variant>
        <vt:i4>3670128</vt:i4>
      </vt:variant>
      <vt:variant>
        <vt:i4>78</vt:i4>
      </vt:variant>
      <vt:variant>
        <vt:i4>0</vt:i4>
      </vt:variant>
      <vt:variant>
        <vt:i4>5</vt:i4>
      </vt:variant>
      <vt:variant>
        <vt:lpwstr>http://www.nevo.co.il/case/18749870</vt:lpwstr>
      </vt:variant>
      <vt:variant>
        <vt:lpwstr/>
      </vt:variant>
      <vt:variant>
        <vt:i4>3342453</vt:i4>
      </vt:variant>
      <vt:variant>
        <vt:i4>75</vt:i4>
      </vt:variant>
      <vt:variant>
        <vt:i4>0</vt:i4>
      </vt:variant>
      <vt:variant>
        <vt:i4>5</vt:i4>
      </vt:variant>
      <vt:variant>
        <vt:lpwstr>http://www.nevo.co.il/case/13051735</vt:lpwstr>
      </vt:variant>
      <vt:variant>
        <vt:lpwstr/>
      </vt:variant>
      <vt:variant>
        <vt:i4>4063353</vt:i4>
      </vt:variant>
      <vt:variant>
        <vt:i4>72</vt:i4>
      </vt:variant>
      <vt:variant>
        <vt:i4>0</vt:i4>
      </vt:variant>
      <vt:variant>
        <vt:i4>5</vt:i4>
      </vt:variant>
      <vt:variant>
        <vt:lpwstr>http://www.nevo.co.il/case/5590183</vt:lpwstr>
      </vt:variant>
      <vt:variant>
        <vt:lpwstr/>
      </vt:variant>
      <vt:variant>
        <vt:i4>3473528</vt:i4>
      </vt:variant>
      <vt:variant>
        <vt:i4>69</vt:i4>
      </vt:variant>
      <vt:variant>
        <vt:i4>0</vt:i4>
      </vt:variant>
      <vt:variant>
        <vt:i4>5</vt:i4>
      </vt:variant>
      <vt:variant>
        <vt:lpwstr>http://www.nevo.co.il/case/24493107</vt:lpwstr>
      </vt:variant>
      <vt:variant>
        <vt:lpwstr/>
      </vt:variant>
      <vt:variant>
        <vt:i4>3539071</vt:i4>
      </vt:variant>
      <vt:variant>
        <vt:i4>66</vt:i4>
      </vt:variant>
      <vt:variant>
        <vt:i4>0</vt:i4>
      </vt:variant>
      <vt:variant>
        <vt:i4>5</vt:i4>
      </vt:variant>
      <vt:variant>
        <vt:lpwstr>http://www.nevo.co.il/case/5864075</vt:lpwstr>
      </vt:variant>
      <vt:variant>
        <vt:lpwstr/>
      </vt:variant>
      <vt:variant>
        <vt:i4>3276916</vt:i4>
      </vt:variant>
      <vt:variant>
        <vt:i4>63</vt:i4>
      </vt:variant>
      <vt:variant>
        <vt:i4>0</vt:i4>
      </vt:variant>
      <vt:variant>
        <vt:i4>5</vt:i4>
      </vt:variant>
      <vt:variant>
        <vt:lpwstr>http://www.nevo.co.il/case/5172636</vt:lpwstr>
      </vt:variant>
      <vt:variant>
        <vt:lpwstr/>
      </vt:variant>
      <vt:variant>
        <vt:i4>3145854</vt:i4>
      </vt:variant>
      <vt:variant>
        <vt:i4>60</vt:i4>
      </vt:variant>
      <vt:variant>
        <vt:i4>0</vt:i4>
      </vt:variant>
      <vt:variant>
        <vt:i4>5</vt:i4>
      </vt:variant>
      <vt:variant>
        <vt:lpwstr>http://www.nevo.co.il/case/22919929</vt:lpwstr>
      </vt:variant>
      <vt:variant>
        <vt:lpwstr/>
      </vt:variant>
      <vt:variant>
        <vt:i4>3735675</vt:i4>
      </vt:variant>
      <vt:variant>
        <vt:i4>57</vt:i4>
      </vt:variant>
      <vt:variant>
        <vt:i4>0</vt:i4>
      </vt:variant>
      <vt:variant>
        <vt:i4>5</vt:i4>
      </vt:variant>
      <vt:variant>
        <vt:lpwstr>http://www.nevo.co.il/case/21476990</vt:lpwstr>
      </vt:variant>
      <vt:variant>
        <vt:lpwstr/>
      </vt:variant>
      <vt:variant>
        <vt:i4>3407988</vt:i4>
      </vt:variant>
      <vt:variant>
        <vt:i4>54</vt:i4>
      </vt:variant>
      <vt:variant>
        <vt:i4>0</vt:i4>
      </vt:variant>
      <vt:variant>
        <vt:i4>5</vt:i4>
      </vt:variant>
      <vt:variant>
        <vt:lpwstr>http://www.nevo.co.il/case/20032343</vt:lpwstr>
      </vt:variant>
      <vt:variant>
        <vt:lpwstr/>
      </vt:variant>
      <vt:variant>
        <vt:i4>3801215</vt:i4>
      </vt:variant>
      <vt:variant>
        <vt:i4>51</vt:i4>
      </vt:variant>
      <vt:variant>
        <vt:i4>0</vt:i4>
      </vt:variant>
      <vt:variant>
        <vt:i4>5</vt:i4>
      </vt:variant>
      <vt:variant>
        <vt:lpwstr>http://www.nevo.co.il/case/18749756</vt:lpwstr>
      </vt:variant>
      <vt:variant>
        <vt:lpwstr/>
      </vt:variant>
      <vt:variant>
        <vt:i4>3604593</vt:i4>
      </vt:variant>
      <vt:variant>
        <vt:i4>48</vt:i4>
      </vt:variant>
      <vt:variant>
        <vt:i4>0</vt:i4>
      </vt:variant>
      <vt:variant>
        <vt:i4>5</vt:i4>
      </vt:variant>
      <vt:variant>
        <vt:lpwstr>http://www.nevo.co.il/case/26146729</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3473531</vt:i4>
      </vt:variant>
      <vt:variant>
        <vt:i4>42</vt:i4>
      </vt:variant>
      <vt:variant>
        <vt:i4>0</vt:i4>
      </vt:variant>
      <vt:variant>
        <vt:i4>5</vt:i4>
      </vt:variant>
      <vt:variant>
        <vt:lpwstr>http://www.nevo.co.il/case/3826317</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1048582</vt:i4>
      </vt:variant>
      <vt:variant>
        <vt:i4>33</vt:i4>
      </vt:variant>
      <vt:variant>
        <vt:i4>0</vt:i4>
      </vt:variant>
      <vt:variant>
        <vt:i4>5</vt:i4>
      </vt:variant>
      <vt:variant>
        <vt:lpwstr>http://www.nevo.co.il/law/70301/329.a.1.;329.a.2</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4784143</vt:i4>
      </vt:variant>
      <vt:variant>
        <vt:i4>24</vt:i4>
      </vt:variant>
      <vt:variant>
        <vt:i4>0</vt:i4>
      </vt:variant>
      <vt:variant>
        <vt:i4>5</vt:i4>
      </vt:variant>
      <vt:variant>
        <vt:lpwstr>http://www.nevo.co.il/law/70301/329.a.1.2</vt:lpwstr>
      </vt:variant>
      <vt:variant>
        <vt:lpwstr/>
      </vt:variant>
      <vt:variant>
        <vt:i4>4784143</vt:i4>
      </vt:variant>
      <vt:variant>
        <vt:i4>21</vt:i4>
      </vt:variant>
      <vt:variant>
        <vt:i4>0</vt:i4>
      </vt:variant>
      <vt:variant>
        <vt:i4>5</vt:i4>
      </vt:variant>
      <vt:variant>
        <vt:lpwstr>http://www.nevo.co.il/law/70301/329.a.1.</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28844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מדינת-ישראל</vt:lpwstr>
  </property>
  <property fmtid="{D5CDD505-2E9C-101B-9397-08002B2CF9AE}" pid="9" name="APPELLEE">
    <vt:lpwstr>אברהים עמאש</vt:lpwstr>
  </property>
  <property fmtid="{D5CDD505-2E9C-101B-9397-08002B2CF9AE}" pid="10" name="LAWYER">
    <vt:lpwstr>מוראד עמאש</vt:lpwstr>
  </property>
  <property fmtid="{D5CDD505-2E9C-101B-9397-08002B2CF9AE}" pid="11" name="JUDGE">
    <vt:lpwstr>אילת דגן</vt:lpwstr>
  </property>
  <property fmtid="{D5CDD505-2E9C-101B-9397-08002B2CF9AE}" pid="12" name="CITY">
    <vt:lpwstr>חי'</vt:lpwstr>
  </property>
  <property fmtid="{D5CDD505-2E9C-101B-9397-08002B2CF9AE}" pid="13" name="DATE">
    <vt:lpwstr>20240214</vt:lpwstr>
  </property>
  <property fmtid="{D5CDD505-2E9C-101B-9397-08002B2CF9AE}" pid="14" name="TYPE_N_DATE">
    <vt:lpwstr>39020240214</vt:lpwstr>
  </property>
  <property fmtid="{D5CDD505-2E9C-101B-9397-08002B2CF9AE}" pid="15" name="CASESLISTTMP1">
    <vt:lpwstr>3826317;25824897:2;26146729:2;18749756:2;20032343;21476990;22919929;5172636;5864075;24493107;5590183;13051735:2;18749870:2;23300124;25528733:2;23386870;25860719;28384638:2;27933514:2;27272576;27078678:2;28232419;25546727;6473037;7789548;7791493;23509035</vt:lpwstr>
  </property>
  <property fmtid="{D5CDD505-2E9C-101B-9397-08002B2CF9AE}" pid="16" name="CASESLISTTMP2">
    <vt:lpwstr>5573417;25824863;28330552;27603872;28207045;28280815;29591501</vt:lpwstr>
  </property>
  <property fmtid="{D5CDD505-2E9C-101B-9397-08002B2CF9AE}" pid="17" name="CASENOTES1">
    <vt:lpwstr>ProcID=188&amp;PartA=23&amp;PartB=11&amp;PartC=16</vt:lpwstr>
  </property>
  <property fmtid="{D5CDD505-2E9C-101B-9397-08002B2CF9AE}" pid="18" name="CASENOTES2">
    <vt:lpwstr>ProcID=188&amp;PartA=20&amp;PartB=12&amp;PartC=21</vt:lpwstr>
  </property>
  <property fmtid="{D5CDD505-2E9C-101B-9397-08002B2CF9AE}" pid="19" name="CASENOTES3">
    <vt:lpwstr>ProcID=188&amp;PartA=2&amp;PartB=10&amp;PartC=19</vt:lpwstr>
  </property>
  <property fmtid="{D5CDD505-2E9C-101B-9397-08002B2CF9AE}" pid="20" name="WORDNUMPAGES">
    <vt:lpwstr>13</vt:lpwstr>
  </property>
  <property fmtid="{D5CDD505-2E9C-101B-9397-08002B2CF9AE}" pid="21" name="TYPE_ABS_DATE">
    <vt:lpwstr>390020240214</vt:lpwstr>
  </property>
  <property fmtid="{D5CDD505-2E9C-101B-9397-08002B2CF9AE}" pid="22" name="ISABSTRACT">
    <vt:lpwstr>Y</vt:lpwstr>
  </property>
  <property fmtid="{D5CDD505-2E9C-101B-9397-08002B2CF9AE}" pid="23" name="LAWLISTTMP1">
    <vt:lpwstr>70301/329.a.1;329.a.2;144.b:2;040b;040c.a;040i;040c.b;40ja;329.a.1.2;144.g</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ies>
</file>