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75794C" w:rsidRPr="0037529A" w14:paraId="5AD81570" w14:textId="77777777" w:rsidTr="00565EE9">
        <w:trPr>
          <w:trHeight w:hRule="exact" w:val="418"/>
          <w:jc w:val="center"/>
        </w:trPr>
        <w:tc>
          <w:tcPr>
            <w:tcW w:w="8721" w:type="dxa"/>
            <w:gridSpan w:val="2"/>
          </w:tcPr>
          <w:p w14:paraId="6B0FDE82" w14:textId="77777777" w:rsidR="0075794C" w:rsidRPr="0037529A" w:rsidRDefault="0075794C" w:rsidP="008E600A">
            <w:pPr>
              <w:pStyle w:val="a3"/>
              <w:jc w:val="center"/>
              <w:rPr>
                <w:rFonts w:ascii="Tahoma" w:hAnsi="Tahoma" w:cs="Tahoma"/>
                <w:color w:val="000080"/>
                <w:rtl/>
              </w:rPr>
            </w:pPr>
            <w:bookmarkStart w:id="0" w:name="FirstLawyer"/>
            <w:r w:rsidRPr="0037529A">
              <w:rPr>
                <w:rFonts w:ascii="Tahoma" w:hAnsi="Tahoma" w:cs="Tahoma"/>
                <w:b/>
                <w:bCs/>
                <w:color w:val="000080"/>
                <w:rtl/>
              </w:rPr>
              <w:t>בית המשפט המחוזי בחיפה</w:t>
            </w:r>
          </w:p>
        </w:tc>
      </w:tr>
      <w:tr w:rsidR="0075794C" w:rsidRPr="0037529A" w14:paraId="53C090AA" w14:textId="77777777" w:rsidTr="00565EE9">
        <w:trPr>
          <w:trHeight w:val="337"/>
          <w:jc w:val="center"/>
        </w:trPr>
        <w:tc>
          <w:tcPr>
            <w:tcW w:w="5057" w:type="dxa"/>
          </w:tcPr>
          <w:p w14:paraId="2EBB5F67" w14:textId="77777777" w:rsidR="0075794C" w:rsidRPr="0037529A" w:rsidRDefault="0075794C" w:rsidP="008E600A">
            <w:pPr>
              <w:rPr>
                <w:rFonts w:cs="FrankRuehl"/>
                <w:sz w:val="28"/>
                <w:szCs w:val="28"/>
                <w:rtl/>
              </w:rPr>
            </w:pPr>
            <w:r w:rsidRPr="0037529A">
              <w:rPr>
                <w:b/>
                <w:bCs/>
                <w:sz w:val="26"/>
                <w:szCs w:val="26"/>
                <w:rtl/>
              </w:rPr>
              <w:t>תפ"ח</w:t>
            </w:r>
            <w:r w:rsidRPr="0037529A">
              <w:rPr>
                <w:rFonts w:cs="FrankRuehl" w:hint="cs"/>
                <w:sz w:val="28"/>
                <w:szCs w:val="28"/>
                <w:rtl/>
              </w:rPr>
              <w:t xml:space="preserve"> </w:t>
            </w:r>
            <w:r w:rsidRPr="0037529A">
              <w:rPr>
                <w:b/>
                <w:bCs/>
                <w:sz w:val="26"/>
                <w:szCs w:val="26"/>
                <w:rtl/>
              </w:rPr>
              <w:t>37780-03-22</w:t>
            </w:r>
            <w:r w:rsidRPr="0037529A">
              <w:rPr>
                <w:rFonts w:cs="FrankRuehl" w:hint="cs"/>
                <w:sz w:val="28"/>
                <w:szCs w:val="28"/>
                <w:rtl/>
              </w:rPr>
              <w:t xml:space="preserve"> </w:t>
            </w:r>
            <w:r w:rsidRPr="0037529A">
              <w:rPr>
                <w:b/>
                <w:bCs/>
                <w:sz w:val="26"/>
                <w:szCs w:val="26"/>
                <w:rtl/>
              </w:rPr>
              <w:t>מדינת ישראל נ' עווד(עציר)</w:t>
            </w:r>
          </w:p>
          <w:p w14:paraId="6547B39B" w14:textId="77777777" w:rsidR="0075794C" w:rsidRPr="0037529A" w:rsidRDefault="0075794C" w:rsidP="008E600A">
            <w:pPr>
              <w:pStyle w:val="a3"/>
              <w:rPr>
                <w:rFonts w:cs="FrankRuehl"/>
                <w:sz w:val="28"/>
                <w:szCs w:val="28"/>
                <w:rtl/>
              </w:rPr>
            </w:pPr>
          </w:p>
        </w:tc>
        <w:tc>
          <w:tcPr>
            <w:tcW w:w="3664" w:type="dxa"/>
          </w:tcPr>
          <w:p w14:paraId="0AC21C33" w14:textId="77777777" w:rsidR="0075794C" w:rsidRPr="0037529A" w:rsidRDefault="0075794C" w:rsidP="008E600A">
            <w:pPr>
              <w:pStyle w:val="a3"/>
              <w:jc w:val="right"/>
              <w:rPr>
                <w:rFonts w:cs="FrankRuehl"/>
                <w:sz w:val="28"/>
                <w:szCs w:val="28"/>
                <w:rtl/>
              </w:rPr>
            </w:pPr>
          </w:p>
        </w:tc>
      </w:tr>
    </w:tbl>
    <w:p w14:paraId="1D7AB62E" w14:textId="77777777" w:rsidR="0075794C" w:rsidRPr="0037529A" w:rsidRDefault="0075794C" w:rsidP="0075794C">
      <w:pPr>
        <w:pStyle w:val="a3"/>
        <w:rPr>
          <w:rtl/>
        </w:rPr>
      </w:pPr>
      <w:r w:rsidRPr="0037529A">
        <w:rPr>
          <w:rFonts w:hint="cs"/>
          <w:rtl/>
        </w:rPr>
        <w:t xml:space="preserve"> </w:t>
      </w:r>
    </w:p>
    <w:p w14:paraId="07ABD62F" w14:textId="77777777" w:rsidR="0075794C" w:rsidRPr="0037529A" w:rsidRDefault="0075794C" w:rsidP="0075794C">
      <w:pPr>
        <w:spacing w:line="360" w:lineRule="auto"/>
        <w:rPr>
          <w:rFonts w:ascii="David" w:hAnsi="David"/>
          <w:rtl/>
        </w:rPr>
      </w:pPr>
    </w:p>
    <w:p w14:paraId="664489E3" w14:textId="77777777" w:rsidR="0075794C" w:rsidRPr="0037529A" w:rsidRDefault="0075794C" w:rsidP="0075794C">
      <w:pPr>
        <w:spacing w:line="360" w:lineRule="auto"/>
        <w:rPr>
          <w:rFonts w:ascii="David" w:hAnsi="David"/>
          <w:rtl/>
        </w:rPr>
      </w:pPr>
    </w:p>
    <w:tbl>
      <w:tblPr>
        <w:bidiVisual/>
        <w:tblW w:w="8802" w:type="dxa"/>
        <w:tblInd w:w="-28" w:type="dxa"/>
        <w:tblLook w:val="01E0" w:firstRow="1" w:lastRow="1" w:firstColumn="1" w:lastColumn="1" w:noHBand="0" w:noVBand="0"/>
      </w:tblPr>
      <w:tblGrid>
        <w:gridCol w:w="2880"/>
        <w:gridCol w:w="5922"/>
      </w:tblGrid>
      <w:tr w:rsidR="0075794C" w:rsidRPr="0037529A" w14:paraId="66189685" w14:textId="77777777" w:rsidTr="0075794C">
        <w:tc>
          <w:tcPr>
            <w:tcW w:w="8718" w:type="dxa"/>
            <w:gridSpan w:val="2"/>
            <w:shd w:val="clear" w:color="auto" w:fill="auto"/>
          </w:tcPr>
          <w:p w14:paraId="6E6AA7DF" w14:textId="77777777" w:rsidR="0075794C" w:rsidRPr="0037529A" w:rsidRDefault="0075794C" w:rsidP="008E600A">
            <w:pPr>
              <w:rPr>
                <w:rFonts w:ascii="David" w:hAnsi="David"/>
                <w:b/>
                <w:bCs/>
                <w:sz w:val="26"/>
                <w:szCs w:val="26"/>
                <w:rtl/>
              </w:rPr>
            </w:pPr>
            <w:r w:rsidRPr="0037529A">
              <w:rPr>
                <w:rFonts w:ascii="David" w:hAnsi="David"/>
                <w:b/>
                <w:bCs/>
                <w:sz w:val="26"/>
                <w:szCs w:val="26"/>
                <w:rtl/>
              </w:rPr>
              <w:t>לפני הרכב כבוד השופטים:</w:t>
            </w:r>
          </w:p>
          <w:p w14:paraId="0CB7111F" w14:textId="77777777" w:rsidR="0075794C" w:rsidRPr="0037529A" w:rsidRDefault="0075794C" w:rsidP="008E600A">
            <w:pPr>
              <w:rPr>
                <w:rFonts w:ascii="David" w:hAnsi="David"/>
                <w:b/>
                <w:bCs/>
                <w:sz w:val="26"/>
                <w:szCs w:val="26"/>
                <w:rtl/>
              </w:rPr>
            </w:pPr>
            <w:r w:rsidRPr="0037529A">
              <w:rPr>
                <w:rFonts w:ascii="David" w:hAnsi="David" w:hint="cs"/>
                <w:b/>
                <w:bCs/>
                <w:sz w:val="26"/>
                <w:szCs w:val="26"/>
                <w:rtl/>
              </w:rPr>
              <w:t>רון שפירא</w:t>
            </w:r>
            <w:r w:rsidRPr="0037529A">
              <w:rPr>
                <w:rFonts w:ascii="David" w:hAnsi="David"/>
                <w:b/>
                <w:bCs/>
                <w:sz w:val="26"/>
                <w:szCs w:val="26"/>
                <w:rtl/>
              </w:rPr>
              <w:t>, נשיא [אב"ד]</w:t>
            </w:r>
            <w:r w:rsidRPr="0037529A">
              <w:rPr>
                <w:rFonts w:ascii="David" w:hAnsi="David"/>
                <w:b/>
                <w:bCs/>
                <w:sz w:val="26"/>
                <w:szCs w:val="26"/>
                <w:rtl/>
              </w:rPr>
              <w:br/>
              <w:t>רבקה איזנברג</w:t>
            </w:r>
            <w:r w:rsidRPr="0037529A">
              <w:rPr>
                <w:rFonts w:ascii="David" w:hAnsi="David"/>
                <w:b/>
                <w:bCs/>
                <w:sz w:val="26"/>
                <w:szCs w:val="26"/>
                <w:rtl/>
              </w:rPr>
              <w:br/>
              <w:t>אינאס סלאמה</w:t>
            </w:r>
            <w:r w:rsidRPr="0037529A">
              <w:rPr>
                <w:rStyle w:val="TimesNewRomanTimesNewRoman"/>
                <w:rFonts w:ascii="David" w:hAnsi="David"/>
                <w:rtl/>
              </w:rPr>
              <w:t xml:space="preserve"> </w:t>
            </w:r>
          </w:p>
        </w:tc>
      </w:tr>
      <w:tr w:rsidR="0075794C" w:rsidRPr="0037529A" w14:paraId="21371C19" w14:textId="77777777" w:rsidTr="0075794C">
        <w:trPr>
          <w:cantSplit/>
          <w:trHeight w:val="724"/>
        </w:trPr>
        <w:tc>
          <w:tcPr>
            <w:tcW w:w="2880" w:type="dxa"/>
            <w:shd w:val="clear" w:color="auto" w:fill="auto"/>
          </w:tcPr>
          <w:p w14:paraId="5853585D" w14:textId="77777777" w:rsidR="0075794C" w:rsidRPr="0037529A" w:rsidRDefault="0075794C" w:rsidP="0075794C">
            <w:pPr>
              <w:spacing w:line="360" w:lineRule="auto"/>
              <w:ind w:left="26"/>
              <w:rPr>
                <w:rFonts w:ascii="David" w:hAnsi="David"/>
                <w:b/>
                <w:bCs/>
                <w:sz w:val="26"/>
                <w:szCs w:val="26"/>
                <w:rtl/>
              </w:rPr>
            </w:pPr>
            <w:bookmarkStart w:id="1" w:name="FirstAppellant"/>
            <w:bookmarkStart w:id="2" w:name="LastJudge"/>
            <w:bookmarkEnd w:id="2"/>
          </w:p>
          <w:p w14:paraId="1071BEC8" w14:textId="77777777" w:rsidR="0075794C" w:rsidRPr="0037529A" w:rsidRDefault="0075794C" w:rsidP="0075794C">
            <w:pPr>
              <w:spacing w:line="360" w:lineRule="auto"/>
              <w:ind w:left="26"/>
              <w:rPr>
                <w:rFonts w:ascii="David" w:hAnsi="David"/>
                <w:b/>
                <w:bCs/>
                <w:sz w:val="26"/>
                <w:szCs w:val="26"/>
                <w:rtl/>
              </w:rPr>
            </w:pPr>
            <w:r w:rsidRPr="0037529A">
              <w:rPr>
                <w:rFonts w:ascii="David" w:hAnsi="David"/>
                <w:b/>
                <w:bCs/>
                <w:sz w:val="26"/>
                <w:szCs w:val="26"/>
                <w:rtl/>
              </w:rPr>
              <w:t>המאשימה</w:t>
            </w:r>
          </w:p>
        </w:tc>
        <w:tc>
          <w:tcPr>
            <w:tcW w:w="5922" w:type="dxa"/>
            <w:shd w:val="clear" w:color="auto" w:fill="auto"/>
          </w:tcPr>
          <w:p w14:paraId="76B0ADB5" w14:textId="77777777" w:rsidR="0075794C" w:rsidRPr="0037529A" w:rsidRDefault="0075794C" w:rsidP="0075794C">
            <w:pPr>
              <w:spacing w:line="360" w:lineRule="auto"/>
              <w:rPr>
                <w:rFonts w:ascii="David" w:hAnsi="David"/>
                <w:rtl/>
              </w:rPr>
            </w:pPr>
          </w:p>
          <w:p w14:paraId="7304FBA7" w14:textId="77777777" w:rsidR="0075794C" w:rsidRPr="0037529A" w:rsidRDefault="0075794C" w:rsidP="0075794C">
            <w:pPr>
              <w:spacing w:line="360" w:lineRule="auto"/>
              <w:rPr>
                <w:rFonts w:ascii="David" w:hAnsi="David"/>
                <w:b/>
                <w:bCs/>
                <w:sz w:val="26"/>
                <w:szCs w:val="26"/>
                <w:rtl/>
              </w:rPr>
            </w:pPr>
            <w:r w:rsidRPr="0037529A">
              <w:rPr>
                <w:rFonts w:ascii="David" w:hAnsi="David"/>
                <w:b/>
                <w:bCs/>
                <w:sz w:val="26"/>
                <w:szCs w:val="26"/>
                <w:rtl/>
              </w:rPr>
              <w:t xml:space="preserve">מדינת ישראל </w:t>
            </w:r>
            <w:r w:rsidRPr="0037529A">
              <w:rPr>
                <w:rFonts w:ascii="David" w:hAnsi="David"/>
                <w:b/>
                <w:bCs/>
                <w:sz w:val="26"/>
                <w:szCs w:val="26"/>
                <w:rtl/>
              </w:rPr>
              <w:br/>
            </w:r>
            <w:r w:rsidRPr="0037529A">
              <w:rPr>
                <w:rFonts w:ascii="David" w:hAnsi="David" w:hint="cs"/>
                <w:b/>
                <w:bCs/>
                <w:sz w:val="26"/>
                <w:szCs w:val="26"/>
                <w:rtl/>
              </w:rPr>
              <w:t>ע"י פרקליטות מחוז חיפה פלילי</w:t>
            </w:r>
          </w:p>
        </w:tc>
      </w:tr>
      <w:bookmarkEnd w:id="1"/>
      <w:tr w:rsidR="0075794C" w:rsidRPr="0037529A" w14:paraId="239EEC07" w14:textId="77777777" w:rsidTr="0075794C">
        <w:tc>
          <w:tcPr>
            <w:tcW w:w="8802" w:type="dxa"/>
            <w:gridSpan w:val="2"/>
            <w:shd w:val="clear" w:color="auto" w:fill="auto"/>
            <w:vAlign w:val="center"/>
          </w:tcPr>
          <w:p w14:paraId="5A3DAA3F" w14:textId="77777777" w:rsidR="0075794C" w:rsidRPr="0037529A" w:rsidRDefault="0075794C" w:rsidP="0075794C">
            <w:pPr>
              <w:spacing w:line="360" w:lineRule="auto"/>
              <w:jc w:val="center"/>
              <w:rPr>
                <w:rFonts w:ascii="David" w:hAnsi="David"/>
                <w:b/>
                <w:bCs/>
                <w:sz w:val="26"/>
                <w:szCs w:val="26"/>
                <w:rtl/>
              </w:rPr>
            </w:pPr>
          </w:p>
          <w:p w14:paraId="0AB91173" w14:textId="77777777" w:rsidR="0075794C" w:rsidRPr="0037529A" w:rsidRDefault="0075794C" w:rsidP="0075794C">
            <w:pPr>
              <w:spacing w:line="360" w:lineRule="auto"/>
              <w:jc w:val="center"/>
              <w:rPr>
                <w:rFonts w:ascii="David" w:hAnsi="David"/>
                <w:b/>
                <w:bCs/>
                <w:sz w:val="26"/>
                <w:szCs w:val="26"/>
                <w:rtl/>
              </w:rPr>
            </w:pPr>
            <w:r w:rsidRPr="0037529A">
              <w:rPr>
                <w:rFonts w:ascii="David" w:hAnsi="David"/>
                <w:b/>
                <w:bCs/>
                <w:sz w:val="26"/>
                <w:szCs w:val="26"/>
                <w:rtl/>
              </w:rPr>
              <w:t>נגד</w:t>
            </w:r>
          </w:p>
          <w:p w14:paraId="78DF2517" w14:textId="77777777" w:rsidR="0075794C" w:rsidRPr="0037529A" w:rsidRDefault="0075794C" w:rsidP="0075794C">
            <w:pPr>
              <w:spacing w:line="360" w:lineRule="auto"/>
              <w:rPr>
                <w:rFonts w:ascii="David" w:hAnsi="David"/>
                <w:b/>
                <w:bCs/>
                <w:sz w:val="26"/>
                <w:szCs w:val="26"/>
                <w:rtl/>
              </w:rPr>
            </w:pPr>
          </w:p>
        </w:tc>
      </w:tr>
      <w:tr w:rsidR="0075794C" w:rsidRPr="0037529A" w14:paraId="30F9B024" w14:textId="77777777" w:rsidTr="0075794C">
        <w:tc>
          <w:tcPr>
            <w:tcW w:w="2880" w:type="dxa"/>
            <w:shd w:val="clear" w:color="auto" w:fill="auto"/>
          </w:tcPr>
          <w:p w14:paraId="22D18802" w14:textId="77777777" w:rsidR="0075794C" w:rsidRPr="0037529A" w:rsidRDefault="0075794C" w:rsidP="0075794C">
            <w:pPr>
              <w:spacing w:line="360" w:lineRule="auto"/>
              <w:ind w:left="26"/>
              <w:rPr>
                <w:rFonts w:ascii="David" w:hAnsi="David"/>
                <w:b/>
                <w:bCs/>
                <w:sz w:val="26"/>
                <w:szCs w:val="26"/>
              </w:rPr>
            </w:pPr>
            <w:r w:rsidRPr="0037529A">
              <w:rPr>
                <w:rFonts w:ascii="David" w:hAnsi="David"/>
                <w:b/>
                <w:bCs/>
                <w:sz w:val="26"/>
                <w:szCs w:val="26"/>
                <w:rtl/>
              </w:rPr>
              <w:t>הנאשם</w:t>
            </w:r>
          </w:p>
        </w:tc>
        <w:tc>
          <w:tcPr>
            <w:tcW w:w="5922" w:type="dxa"/>
            <w:shd w:val="clear" w:color="auto" w:fill="auto"/>
          </w:tcPr>
          <w:p w14:paraId="5B5B88CB" w14:textId="77777777" w:rsidR="0075794C" w:rsidRPr="0037529A" w:rsidRDefault="0075794C" w:rsidP="0075794C">
            <w:pPr>
              <w:spacing w:line="360" w:lineRule="auto"/>
              <w:rPr>
                <w:rFonts w:ascii="David" w:hAnsi="David"/>
                <w:b/>
                <w:bCs/>
                <w:sz w:val="26"/>
                <w:szCs w:val="26"/>
                <w:rtl/>
              </w:rPr>
            </w:pPr>
            <w:r w:rsidRPr="0037529A">
              <w:rPr>
                <w:rFonts w:ascii="David" w:hAnsi="David"/>
                <w:b/>
                <w:bCs/>
                <w:sz w:val="26"/>
                <w:szCs w:val="26"/>
                <w:rtl/>
              </w:rPr>
              <w:t>חאלד עווד (עציר)</w:t>
            </w:r>
            <w:r w:rsidRPr="0037529A">
              <w:rPr>
                <w:rFonts w:ascii="David" w:hAnsi="David"/>
                <w:rtl/>
              </w:rPr>
              <w:t xml:space="preserve"> </w:t>
            </w:r>
            <w:r w:rsidRPr="0037529A">
              <w:rPr>
                <w:rFonts w:ascii="David" w:hAnsi="David"/>
                <w:b/>
                <w:bCs/>
                <w:sz w:val="26"/>
                <w:szCs w:val="26"/>
                <w:rtl/>
              </w:rPr>
              <w:t xml:space="preserve">ת"ז  </w:t>
            </w:r>
            <w:r w:rsidR="0037529A">
              <w:rPr>
                <w:rFonts w:ascii="David" w:hAnsi="David"/>
                <w:b/>
                <w:bCs/>
                <w:sz w:val="26"/>
                <w:szCs w:val="26"/>
              </w:rPr>
              <w:t>xxxxxxxxxx</w:t>
            </w:r>
          </w:p>
          <w:p w14:paraId="619BCC4E" w14:textId="77777777" w:rsidR="0075794C" w:rsidRPr="0037529A" w:rsidRDefault="0075794C" w:rsidP="0075794C">
            <w:pPr>
              <w:spacing w:line="360" w:lineRule="auto"/>
              <w:rPr>
                <w:rFonts w:ascii="David" w:hAnsi="David"/>
                <w:b/>
                <w:bCs/>
                <w:sz w:val="26"/>
                <w:szCs w:val="26"/>
                <w:rtl/>
              </w:rPr>
            </w:pPr>
            <w:r w:rsidRPr="0037529A">
              <w:rPr>
                <w:rFonts w:ascii="David" w:hAnsi="David" w:hint="cs"/>
                <w:b/>
                <w:bCs/>
                <w:sz w:val="26"/>
                <w:szCs w:val="26"/>
                <w:rtl/>
              </w:rPr>
              <w:t>ע"י עו"ד ששון בר עוז ועו"ד פהד נסיב חאג'</w:t>
            </w:r>
          </w:p>
        </w:tc>
      </w:tr>
    </w:tbl>
    <w:p w14:paraId="75E72CD1" w14:textId="77777777" w:rsidR="00153EDF" w:rsidRPr="00153EDF" w:rsidRDefault="00153EDF" w:rsidP="00153EDF">
      <w:pPr>
        <w:spacing w:before="120" w:after="120" w:line="240" w:lineRule="exact"/>
        <w:ind w:left="283" w:hanging="283"/>
        <w:jc w:val="both"/>
        <w:rPr>
          <w:rFonts w:ascii="FrankRuehl" w:hAnsi="FrankRuehl" w:cs="FrankRuehl"/>
          <w:rtl/>
        </w:rPr>
      </w:pPr>
    </w:p>
    <w:p w14:paraId="40AF42AA" w14:textId="77777777" w:rsidR="00B50425" w:rsidRDefault="00B50425" w:rsidP="00B50425">
      <w:pPr>
        <w:jc w:val="both"/>
        <w:rPr>
          <w:rFonts w:ascii="Arial" w:hAnsi="Arial"/>
          <w:rtl/>
        </w:rPr>
      </w:pPr>
      <w:bookmarkStart w:id="3" w:name="LawTable"/>
      <w:bookmarkEnd w:id="3"/>
    </w:p>
    <w:p w14:paraId="1E9D4D99" w14:textId="77777777" w:rsidR="00B50425" w:rsidRPr="00B50425" w:rsidRDefault="00B50425" w:rsidP="00B50425">
      <w:pPr>
        <w:spacing w:before="120" w:after="120" w:line="240" w:lineRule="exact"/>
        <w:ind w:left="283" w:hanging="283"/>
        <w:jc w:val="both"/>
        <w:rPr>
          <w:rFonts w:ascii="FrankRuehl" w:hAnsi="FrankRuehl" w:cs="FrankRuehl"/>
          <w:rtl/>
        </w:rPr>
      </w:pPr>
    </w:p>
    <w:p w14:paraId="13B6B842" w14:textId="77777777" w:rsidR="00B50425" w:rsidRPr="00B50425" w:rsidRDefault="00B50425" w:rsidP="00B50425">
      <w:pPr>
        <w:spacing w:before="120" w:after="120" w:line="240" w:lineRule="exact"/>
        <w:ind w:left="283" w:hanging="283"/>
        <w:jc w:val="both"/>
        <w:rPr>
          <w:rFonts w:ascii="FrankRuehl" w:hAnsi="FrankRuehl" w:cs="FrankRuehl"/>
          <w:rtl/>
        </w:rPr>
      </w:pPr>
    </w:p>
    <w:p w14:paraId="63C76F00" w14:textId="77777777" w:rsidR="00B50425" w:rsidRPr="00B50425" w:rsidRDefault="00B50425" w:rsidP="00B50425">
      <w:pPr>
        <w:spacing w:before="120" w:after="120" w:line="240" w:lineRule="exact"/>
        <w:ind w:left="283" w:hanging="283"/>
        <w:jc w:val="both"/>
        <w:rPr>
          <w:rFonts w:ascii="FrankRuehl" w:hAnsi="FrankRuehl" w:cs="FrankRuehl"/>
          <w:rtl/>
        </w:rPr>
      </w:pPr>
      <w:r w:rsidRPr="00B50425">
        <w:rPr>
          <w:rFonts w:ascii="FrankRuehl" w:hAnsi="FrankRuehl" w:cs="FrankRuehl"/>
          <w:rtl/>
        </w:rPr>
        <w:t xml:space="preserve">חקיקה שאוזכרה: </w:t>
      </w:r>
    </w:p>
    <w:p w14:paraId="74FA4796" w14:textId="77777777" w:rsidR="00B50425" w:rsidRPr="00B50425" w:rsidRDefault="00B50425" w:rsidP="00B50425">
      <w:pPr>
        <w:spacing w:before="120" w:after="120" w:line="240" w:lineRule="exact"/>
        <w:ind w:left="283" w:hanging="283"/>
        <w:jc w:val="both"/>
        <w:rPr>
          <w:rFonts w:ascii="FrankRuehl" w:hAnsi="FrankRuehl" w:cs="FrankRuehl"/>
          <w:rtl/>
        </w:rPr>
      </w:pPr>
      <w:hyperlink r:id="rId7" w:history="1">
        <w:r w:rsidRPr="00B50425">
          <w:rPr>
            <w:rFonts w:ascii="FrankRuehl" w:hAnsi="FrankRuehl" w:cs="FrankRuehl"/>
            <w:color w:val="0000FF"/>
            <w:rtl/>
          </w:rPr>
          <w:t>חוק העונשין, תשל"ז-1977</w:t>
        </w:r>
      </w:hyperlink>
      <w:r w:rsidRPr="00B50425">
        <w:rPr>
          <w:rFonts w:ascii="FrankRuehl" w:hAnsi="FrankRuehl" w:cs="FrankRuehl"/>
          <w:rtl/>
        </w:rPr>
        <w:t xml:space="preserve">: סע'  </w:t>
      </w:r>
      <w:hyperlink r:id="rId8" w:history="1">
        <w:r w:rsidRPr="00B50425">
          <w:rPr>
            <w:rFonts w:ascii="FrankRuehl" w:hAnsi="FrankRuehl" w:cs="FrankRuehl"/>
            <w:color w:val="0000FF"/>
            <w:rtl/>
          </w:rPr>
          <w:t>20(א)(2)(ב)</w:t>
        </w:r>
      </w:hyperlink>
      <w:r w:rsidRPr="00B50425">
        <w:rPr>
          <w:rFonts w:ascii="FrankRuehl" w:hAnsi="FrankRuehl" w:cs="FrankRuehl"/>
          <w:rtl/>
        </w:rPr>
        <w:t xml:space="preserve">, </w:t>
      </w:r>
      <w:hyperlink r:id="rId9" w:history="1">
        <w:r w:rsidRPr="00B50425">
          <w:rPr>
            <w:rFonts w:ascii="FrankRuehl" w:hAnsi="FrankRuehl" w:cs="FrankRuehl"/>
            <w:color w:val="0000FF"/>
            <w:rtl/>
          </w:rPr>
          <w:t>40ב'</w:t>
        </w:r>
      </w:hyperlink>
      <w:r w:rsidRPr="00B50425">
        <w:rPr>
          <w:rFonts w:ascii="FrankRuehl" w:hAnsi="FrankRuehl" w:cs="FrankRuehl"/>
          <w:rtl/>
        </w:rPr>
        <w:t xml:space="preserve">, </w:t>
      </w:r>
      <w:hyperlink r:id="rId10" w:history="1">
        <w:r w:rsidRPr="00B50425">
          <w:rPr>
            <w:rFonts w:ascii="FrankRuehl" w:hAnsi="FrankRuehl" w:cs="FrankRuehl"/>
            <w:color w:val="0000FF"/>
            <w:rtl/>
          </w:rPr>
          <w:t>40ג</w:t>
        </w:r>
      </w:hyperlink>
      <w:r w:rsidRPr="00B50425">
        <w:rPr>
          <w:rFonts w:ascii="FrankRuehl" w:hAnsi="FrankRuehl" w:cs="FrankRuehl"/>
          <w:rtl/>
        </w:rPr>
        <w:t xml:space="preserve">, </w:t>
      </w:r>
      <w:hyperlink r:id="rId11" w:history="1">
        <w:r w:rsidRPr="00B50425">
          <w:rPr>
            <w:rFonts w:ascii="FrankRuehl" w:hAnsi="FrankRuehl" w:cs="FrankRuehl"/>
            <w:color w:val="0000FF"/>
            <w:rtl/>
          </w:rPr>
          <w:t>40ו'</w:t>
        </w:r>
      </w:hyperlink>
      <w:r w:rsidRPr="00B50425">
        <w:rPr>
          <w:rFonts w:ascii="FrankRuehl" w:hAnsi="FrankRuehl" w:cs="FrankRuehl"/>
          <w:rtl/>
        </w:rPr>
        <w:t xml:space="preserve">, </w:t>
      </w:r>
      <w:hyperlink r:id="rId12" w:history="1">
        <w:r w:rsidRPr="00B50425">
          <w:rPr>
            <w:rFonts w:ascii="FrankRuehl" w:hAnsi="FrankRuehl" w:cs="FrankRuehl"/>
            <w:color w:val="0000FF"/>
            <w:rtl/>
          </w:rPr>
          <w:t>40ז'</w:t>
        </w:r>
      </w:hyperlink>
      <w:r w:rsidRPr="00B50425">
        <w:rPr>
          <w:rFonts w:ascii="FrankRuehl" w:hAnsi="FrankRuehl" w:cs="FrankRuehl"/>
          <w:rtl/>
        </w:rPr>
        <w:t xml:space="preserve">, </w:t>
      </w:r>
      <w:hyperlink r:id="rId13" w:history="1">
        <w:r w:rsidRPr="00B50425">
          <w:rPr>
            <w:rFonts w:ascii="FrankRuehl" w:hAnsi="FrankRuehl" w:cs="FrankRuehl"/>
            <w:color w:val="0000FF"/>
            <w:rtl/>
          </w:rPr>
          <w:t>144(ב)</w:t>
        </w:r>
      </w:hyperlink>
      <w:r w:rsidRPr="00B50425">
        <w:rPr>
          <w:rFonts w:ascii="FrankRuehl" w:hAnsi="FrankRuehl" w:cs="FrankRuehl"/>
          <w:rtl/>
        </w:rPr>
        <w:t xml:space="preserve">, </w:t>
      </w:r>
      <w:hyperlink r:id="rId14" w:history="1">
        <w:r w:rsidRPr="00B50425">
          <w:rPr>
            <w:rFonts w:ascii="FrankRuehl" w:hAnsi="FrankRuehl" w:cs="FrankRuehl"/>
            <w:color w:val="0000FF"/>
            <w:rtl/>
          </w:rPr>
          <w:t>244</w:t>
        </w:r>
      </w:hyperlink>
      <w:r w:rsidRPr="00B50425">
        <w:rPr>
          <w:rFonts w:ascii="FrankRuehl" w:hAnsi="FrankRuehl" w:cs="FrankRuehl"/>
          <w:rtl/>
        </w:rPr>
        <w:t xml:space="preserve">, </w:t>
      </w:r>
      <w:hyperlink r:id="rId15" w:history="1">
        <w:r w:rsidRPr="00B50425">
          <w:rPr>
            <w:rFonts w:ascii="FrankRuehl" w:hAnsi="FrankRuehl" w:cs="FrankRuehl"/>
            <w:color w:val="0000FF"/>
            <w:rtl/>
          </w:rPr>
          <w:t>301ג</w:t>
        </w:r>
      </w:hyperlink>
      <w:r w:rsidRPr="00B50425">
        <w:rPr>
          <w:rFonts w:ascii="FrankRuehl" w:hAnsi="FrankRuehl" w:cs="FrankRuehl"/>
          <w:rtl/>
        </w:rPr>
        <w:t xml:space="preserve">, </w:t>
      </w:r>
      <w:hyperlink r:id="rId16" w:history="1">
        <w:r w:rsidRPr="00B50425">
          <w:rPr>
            <w:rFonts w:ascii="FrankRuehl" w:hAnsi="FrankRuehl" w:cs="FrankRuehl"/>
            <w:color w:val="0000FF"/>
            <w:rtl/>
          </w:rPr>
          <w:t>40יא</w:t>
        </w:r>
      </w:hyperlink>
    </w:p>
    <w:p w14:paraId="4099379C" w14:textId="77777777" w:rsidR="00B50425" w:rsidRPr="00B50425" w:rsidRDefault="00B50425" w:rsidP="00B50425">
      <w:pPr>
        <w:jc w:val="both"/>
        <w:rPr>
          <w:rFonts w:ascii="Arial" w:hAnsi="Arial"/>
          <w:rtl/>
        </w:rPr>
      </w:pPr>
      <w:bookmarkStart w:id="4" w:name="LawTable_End"/>
      <w:bookmarkEnd w:id="4"/>
    </w:p>
    <w:p w14:paraId="50F727B9" w14:textId="77777777" w:rsidR="0075794C" w:rsidRPr="00153EDF" w:rsidRDefault="0075794C" w:rsidP="00153EDF">
      <w:pPr>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5794C" w14:paraId="6CEEF9D9" w14:textId="77777777" w:rsidTr="0075794C">
        <w:trPr>
          <w:trHeight w:val="355"/>
          <w:jc w:val="center"/>
        </w:trPr>
        <w:tc>
          <w:tcPr>
            <w:tcW w:w="8820" w:type="dxa"/>
            <w:tcBorders>
              <w:top w:val="nil"/>
              <w:left w:val="nil"/>
              <w:bottom w:val="nil"/>
              <w:right w:val="nil"/>
            </w:tcBorders>
            <w:shd w:val="clear" w:color="auto" w:fill="auto"/>
          </w:tcPr>
          <w:p w14:paraId="34BBCC0F" w14:textId="77777777" w:rsidR="0037529A" w:rsidRPr="0037529A" w:rsidRDefault="0037529A" w:rsidP="0037529A">
            <w:pPr>
              <w:spacing w:line="360" w:lineRule="auto"/>
              <w:jc w:val="center"/>
              <w:rPr>
                <w:rFonts w:ascii="Arial" w:hAnsi="Arial"/>
                <w:b/>
                <w:bCs/>
                <w:sz w:val="28"/>
                <w:szCs w:val="28"/>
                <w:u w:val="single"/>
                <w:rtl/>
              </w:rPr>
            </w:pPr>
            <w:bookmarkStart w:id="5" w:name="PsakDin" w:colFirst="0" w:colLast="0"/>
            <w:bookmarkEnd w:id="0"/>
            <w:r w:rsidRPr="0037529A">
              <w:rPr>
                <w:rFonts w:ascii="Arial" w:hAnsi="Arial"/>
                <w:b/>
                <w:bCs/>
                <w:sz w:val="28"/>
                <w:szCs w:val="28"/>
                <w:u w:val="single"/>
                <w:rtl/>
              </w:rPr>
              <w:t>גזר דין</w:t>
            </w:r>
          </w:p>
          <w:p w14:paraId="23902BD9" w14:textId="77777777" w:rsidR="0075794C" w:rsidRPr="0037529A" w:rsidRDefault="0075794C" w:rsidP="0037529A">
            <w:pPr>
              <w:spacing w:line="360" w:lineRule="auto"/>
              <w:jc w:val="center"/>
              <w:rPr>
                <w:rFonts w:ascii="Arial" w:hAnsi="Arial"/>
                <w:bCs/>
                <w:sz w:val="28"/>
                <w:szCs w:val="28"/>
                <w:u w:val="single"/>
                <w:rtl/>
              </w:rPr>
            </w:pPr>
          </w:p>
        </w:tc>
      </w:tr>
      <w:bookmarkEnd w:id="5"/>
    </w:tbl>
    <w:p w14:paraId="26F3E7C1" w14:textId="77777777" w:rsidR="0075794C" w:rsidRDefault="0075794C" w:rsidP="0075794C">
      <w:pPr>
        <w:jc w:val="both"/>
        <w:rPr>
          <w:rFonts w:ascii="Arial" w:hAnsi="Arial"/>
          <w:rtl/>
        </w:rPr>
      </w:pPr>
    </w:p>
    <w:p w14:paraId="760E9C92" w14:textId="77777777" w:rsidR="0075794C" w:rsidRDefault="0075794C" w:rsidP="0075794C">
      <w:pPr>
        <w:jc w:val="both"/>
        <w:rPr>
          <w:rFonts w:ascii="David" w:hAnsi="David"/>
        </w:rPr>
      </w:pPr>
      <w:r>
        <w:rPr>
          <w:rFonts w:ascii="David" w:hAnsi="David" w:hint="cs"/>
          <w:b/>
          <w:bCs/>
          <w:u w:val="single"/>
          <w:rtl/>
        </w:rPr>
        <w:t>השופטת רבקה איזנברג:</w:t>
      </w:r>
    </w:p>
    <w:p w14:paraId="2999757E" w14:textId="77777777" w:rsidR="0075794C" w:rsidRPr="00B05847" w:rsidRDefault="0075794C" w:rsidP="0075794C">
      <w:pPr>
        <w:jc w:val="both"/>
        <w:rPr>
          <w:rFonts w:ascii="Arial" w:hAnsi="Arial"/>
          <w:rtl/>
        </w:rPr>
      </w:pPr>
    </w:p>
    <w:p w14:paraId="7F3D1E57" w14:textId="77777777" w:rsidR="0075794C" w:rsidRDefault="0075794C" w:rsidP="0075794C">
      <w:pPr>
        <w:jc w:val="both"/>
        <w:rPr>
          <w:rFonts w:ascii="David" w:hAnsi="David"/>
        </w:rPr>
      </w:pPr>
      <w:r>
        <w:rPr>
          <w:rFonts w:ascii="David" w:hAnsi="David"/>
          <w:b/>
          <w:bCs/>
          <w:u w:val="single"/>
          <w:rtl/>
        </w:rPr>
        <w:t>מבוא</w:t>
      </w:r>
    </w:p>
    <w:p w14:paraId="66C1D8F4" w14:textId="77777777" w:rsidR="0075794C" w:rsidRDefault="0075794C" w:rsidP="0075794C">
      <w:pPr>
        <w:jc w:val="both"/>
        <w:rPr>
          <w:rFonts w:ascii="David" w:hAnsi="David"/>
          <w:rtl/>
        </w:rPr>
      </w:pPr>
    </w:p>
    <w:p w14:paraId="35ACF177" w14:textId="77777777" w:rsidR="0075794C" w:rsidRDefault="0075794C" w:rsidP="0075794C">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הורשע לאחר הודאתו בעובדות כתב אישום שתוקן במסגרת הסדר טיעון אליו הגיעו הצדדים, בביצוע עבירות של: המתה בקלות דעת, עבירה לפי </w:t>
      </w:r>
      <w:hyperlink r:id="rId17" w:history="1">
        <w:r w:rsidR="00565EE9" w:rsidRPr="00565EE9">
          <w:rPr>
            <w:rStyle w:val="Hyperlink"/>
            <w:rFonts w:ascii="David" w:hAnsi="David"/>
            <w:rtl/>
          </w:rPr>
          <w:t>סעיף 301ג</w:t>
        </w:r>
      </w:hyperlink>
      <w:r>
        <w:rPr>
          <w:rFonts w:ascii="David" w:hAnsi="David"/>
          <w:rtl/>
        </w:rPr>
        <w:t xml:space="preserve"> ל</w:t>
      </w:r>
      <w:hyperlink r:id="rId18" w:history="1">
        <w:r w:rsidR="0037529A" w:rsidRPr="0037529A">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עבירות בנשק (הובלה ונשיאה), עבירה לפי </w:t>
      </w:r>
      <w:hyperlink r:id="rId19" w:history="1">
        <w:r w:rsidR="00565EE9" w:rsidRPr="00565EE9">
          <w:rPr>
            <w:rStyle w:val="Hyperlink"/>
            <w:rFonts w:ascii="David" w:hAnsi="David"/>
            <w:rtl/>
          </w:rPr>
          <w:t>סעיף 144(ב)</w:t>
        </w:r>
      </w:hyperlink>
      <w:r>
        <w:rPr>
          <w:rFonts w:ascii="David" w:hAnsi="David"/>
          <w:rtl/>
        </w:rPr>
        <w:t xml:space="preserve"> רישא וסיפא לחוק ושיבוש מהלכי משפטי, עבירה לפי </w:t>
      </w:r>
      <w:hyperlink r:id="rId20" w:history="1">
        <w:r w:rsidR="00565EE9" w:rsidRPr="00565EE9">
          <w:rPr>
            <w:rStyle w:val="Hyperlink"/>
            <w:rFonts w:ascii="David" w:hAnsi="David"/>
            <w:rtl/>
          </w:rPr>
          <w:t>סעיף 244</w:t>
        </w:r>
      </w:hyperlink>
      <w:r>
        <w:rPr>
          <w:rFonts w:ascii="David" w:hAnsi="David"/>
          <w:rtl/>
        </w:rPr>
        <w:t xml:space="preserve"> לחוק.</w:t>
      </w:r>
    </w:p>
    <w:p w14:paraId="46B8407D" w14:textId="77777777" w:rsidR="0075794C" w:rsidRDefault="0075794C" w:rsidP="0075794C">
      <w:pPr>
        <w:ind w:left="720" w:hanging="720"/>
        <w:jc w:val="both"/>
        <w:rPr>
          <w:rFonts w:ascii="David" w:hAnsi="David"/>
          <w:rtl/>
        </w:rPr>
      </w:pPr>
      <w:bookmarkStart w:id="7" w:name="ABSTRACT_END"/>
      <w:bookmarkEnd w:id="7"/>
    </w:p>
    <w:p w14:paraId="258EE895" w14:textId="77777777" w:rsidR="0075794C" w:rsidRDefault="0075794C" w:rsidP="0075794C">
      <w:pPr>
        <w:spacing w:line="360" w:lineRule="auto"/>
        <w:ind w:left="720"/>
        <w:jc w:val="both"/>
        <w:rPr>
          <w:rFonts w:ascii="David" w:hAnsi="David"/>
          <w:rtl/>
        </w:rPr>
      </w:pPr>
      <w:r>
        <w:rPr>
          <w:rFonts w:ascii="David" w:hAnsi="David"/>
          <w:rtl/>
        </w:rPr>
        <w:t>ע"פ עובדות כתב האישום המתוקן: הנאשם, המנוח והוידה הינם אחים. הוידה הייתה נשואה למוחמד יחיא (להלן: "</w:t>
      </w:r>
      <w:r>
        <w:rPr>
          <w:rFonts w:ascii="David" w:hAnsi="David"/>
          <w:b/>
          <w:bCs/>
          <w:rtl/>
        </w:rPr>
        <w:t>מוחמד</w:t>
      </w:r>
      <w:r>
        <w:rPr>
          <w:rFonts w:ascii="David" w:hAnsi="David"/>
          <w:rtl/>
        </w:rPr>
        <w:t xml:space="preserve">") ובינה לבין מוחמד היה סכסוך מתמשך. על רקע הסכסוך בין מוחמד להוידה, התגלע סכסוך בין הנאשם והמנוח לבין מוחמד. </w:t>
      </w:r>
    </w:p>
    <w:p w14:paraId="767D688E" w14:textId="77777777" w:rsidR="0075794C" w:rsidRDefault="0075794C" w:rsidP="0075794C">
      <w:pPr>
        <w:ind w:left="720"/>
        <w:jc w:val="both"/>
        <w:rPr>
          <w:rFonts w:ascii="David" w:hAnsi="David"/>
          <w:sz w:val="22"/>
          <w:rtl/>
        </w:rPr>
      </w:pPr>
    </w:p>
    <w:p w14:paraId="4420F3EA" w14:textId="77777777" w:rsidR="0075794C" w:rsidRDefault="0075794C" w:rsidP="0075794C">
      <w:pPr>
        <w:spacing w:line="360" w:lineRule="auto"/>
        <w:ind w:left="720"/>
        <w:jc w:val="both"/>
        <w:rPr>
          <w:rFonts w:ascii="David" w:hAnsi="David"/>
          <w:rtl/>
        </w:rPr>
      </w:pPr>
      <w:r>
        <w:rPr>
          <w:rFonts w:ascii="David" w:hAnsi="David"/>
          <w:rtl/>
        </w:rPr>
        <w:lastRenderedPageBreak/>
        <w:t xml:space="preserve">בתאריך 18.2.22 בשעה 23:30 או בסמוך לכך, על רקע הסכסוך הנ"ל ולאחר חילופי הודעות טלפוניות, שכללו גידופים ואיומים בין המנוח לבין מוחמד, הגיעו המנוח והנאשם אל הבית של מוחמד ברכבו של המנוח מסוג רנו ל.ז. 58659601 כשהמנוח נוהג ברכב. הנאשם הגיע אל הבית בנסיעה ברכב, כשהוא נושא ומוביל בלא רשות על פי דין, אקדח טעון בתחמושת. </w:t>
      </w:r>
    </w:p>
    <w:p w14:paraId="3F3A3A3D" w14:textId="77777777" w:rsidR="0075794C" w:rsidRDefault="0075794C" w:rsidP="0075794C">
      <w:pPr>
        <w:ind w:left="720" w:firstLine="2"/>
        <w:jc w:val="both"/>
        <w:rPr>
          <w:rFonts w:ascii="David" w:hAnsi="David"/>
          <w:rtl/>
        </w:rPr>
      </w:pPr>
    </w:p>
    <w:p w14:paraId="37D91505" w14:textId="77777777" w:rsidR="0075794C" w:rsidRDefault="0075794C" w:rsidP="0075794C">
      <w:pPr>
        <w:spacing w:line="360" w:lineRule="auto"/>
        <w:ind w:left="720" w:firstLine="2"/>
        <w:jc w:val="both"/>
        <w:rPr>
          <w:rFonts w:ascii="David" w:hAnsi="David"/>
          <w:rtl/>
        </w:rPr>
      </w:pPr>
      <w:r>
        <w:rPr>
          <w:rFonts w:ascii="David" w:hAnsi="David"/>
          <w:rtl/>
        </w:rPr>
        <w:t xml:space="preserve">המנוח החנה את הרכב בסמוך לשער הכניסה של הבית, ירד מהרכב והחל לדפוק על שער הכניסה לבית. הנאשם ירד מהרכב והצטרף אל המנוח והשניים דרשו ממוחמד לפתוח את השער. תוך כדי המתואר לעיל, דרך הנאשם את האקדח שנשא על גופו. מוחמד פתח את השער לאחר שהצטייד בפטיש והמנוח והנאשם נכנסו לחצר הבית כשהנאשם נושא על גופו את האקדח הדרוך. מיד עם כניסתם לחצר החל עימות גופני ומילולי בין המנוח לבין מוחמד, במהלכו דחפו אחד את השני. </w:t>
      </w:r>
    </w:p>
    <w:p w14:paraId="1E083902" w14:textId="77777777" w:rsidR="0075794C" w:rsidRDefault="0075794C" w:rsidP="0075794C">
      <w:pPr>
        <w:ind w:left="720" w:firstLine="2"/>
        <w:jc w:val="both"/>
        <w:rPr>
          <w:rFonts w:ascii="David" w:hAnsi="David"/>
          <w:rtl/>
        </w:rPr>
      </w:pPr>
    </w:p>
    <w:p w14:paraId="3C7FD38C" w14:textId="77777777" w:rsidR="0075794C" w:rsidRDefault="0075794C" w:rsidP="0075794C">
      <w:pPr>
        <w:spacing w:line="360" w:lineRule="auto"/>
        <w:ind w:left="720" w:firstLine="2"/>
        <w:jc w:val="both"/>
        <w:rPr>
          <w:rFonts w:ascii="David" w:hAnsi="David"/>
          <w:rtl/>
        </w:rPr>
      </w:pPr>
      <w:r>
        <w:rPr>
          <w:rFonts w:ascii="David" w:hAnsi="David"/>
          <w:rtl/>
        </w:rPr>
        <w:t xml:space="preserve">מוחמד הבחין בנאשם שהתקרב לעברו כשהאקדח הדרוך בידו וחבט באמצעות הפטיש בנאשם באזור המצח משמאל. לאחר מכן השליך מוחמד את הפטיש אל הקרקע ותפס בידו את פרק ידו הימנית של הנאשם, שאחז באקדח באזור המותן, זאת כדי למנוע מהנאשם לירות. הנאשם נאבק במוחמד, הרים בכוחו את ידו הימנית שאחזה באקדח, תוך כדי שהוא מתגבר על אחיזתו של מוחמד בפרק כף ידו וירה ירייה אחת מהאקדח, תוך נטילת סיכון בלתי סביר לאפשרות גרימת תוצאת המוות, מתוך תקווה להצליח למנעה. הקליע שירה הנאשם פגע במצחו של המנוח, שעמד סמוך מאוד לנאשם ולמוחמד וגרם למותו. </w:t>
      </w:r>
    </w:p>
    <w:p w14:paraId="0EE38930" w14:textId="77777777" w:rsidR="0075794C" w:rsidRDefault="0075794C" w:rsidP="0075794C">
      <w:pPr>
        <w:ind w:left="720"/>
        <w:jc w:val="both"/>
        <w:rPr>
          <w:rFonts w:ascii="David" w:hAnsi="David"/>
          <w:rtl/>
        </w:rPr>
      </w:pPr>
    </w:p>
    <w:p w14:paraId="4A12BC6C" w14:textId="77777777" w:rsidR="0075794C" w:rsidRDefault="0075794C" w:rsidP="0075794C">
      <w:pPr>
        <w:spacing w:line="360" w:lineRule="auto"/>
        <w:ind w:left="720"/>
        <w:jc w:val="both"/>
        <w:rPr>
          <w:rFonts w:ascii="David" w:hAnsi="David"/>
          <w:rtl/>
        </w:rPr>
      </w:pPr>
      <w:r>
        <w:rPr>
          <w:rFonts w:ascii="David" w:hAnsi="David"/>
          <w:rtl/>
        </w:rPr>
        <w:t xml:space="preserve">לאחר שהנאשם ירה במנוח, המשיך מוחמד להיאבק בנאשם במטרה להוציא מידו את האקדח, אך הנאשם לא הרפה את אחיזתו. במהלך המאבק, הגיעו השניים סמוך לגדר החצר, מוחמד דחף את הנאשם אל הגדר והנאשם קפץ ממנה אל הרחוב, כשהאקדח בידו. בשלב זה זרק הנאשם את האקדח לעברו של מוחמד עלי, שכן המתגורר בסמוך לבית, והורה לו להעלים אותו, בכוונה להעלים ראייה, למנוע או להכשיל הליך שיפוטי. מוחמד עלי נענה להוראת הנאשם, נטל את האקדח והשליך אותו לעבר חצר מסגד שנמצא סמוך לבית. </w:t>
      </w:r>
    </w:p>
    <w:p w14:paraId="4BD347BC" w14:textId="77777777" w:rsidR="0075794C" w:rsidRDefault="0075794C" w:rsidP="0075794C">
      <w:pPr>
        <w:ind w:left="720"/>
        <w:jc w:val="both"/>
        <w:rPr>
          <w:rFonts w:ascii="David" w:hAnsi="David"/>
          <w:rtl/>
        </w:rPr>
      </w:pPr>
    </w:p>
    <w:p w14:paraId="0373E299" w14:textId="77777777" w:rsidR="0075794C" w:rsidRDefault="0075794C" w:rsidP="0075794C">
      <w:pPr>
        <w:spacing w:line="360" w:lineRule="auto"/>
        <w:ind w:left="720"/>
        <w:jc w:val="both"/>
        <w:rPr>
          <w:rFonts w:ascii="David" w:hAnsi="David"/>
          <w:rtl/>
        </w:rPr>
      </w:pPr>
      <w:r>
        <w:rPr>
          <w:rFonts w:ascii="David" w:hAnsi="David"/>
          <w:rtl/>
        </w:rPr>
        <w:t>הנאשם חזר לחצר, ניגש למנוח אשר שכב מתבוסס בדמו, קרא בשמו ומשראה שהמנוח אינו מגיב, צעק לעבר האנשים שהתקהלו במקום, להזמין אמבולנס ומיד לאחר מכן נמלט מהמקום. בחלוף זמן קצר חזר הנאשם למקום, בירר עם מוחמד עלי היכן האקדח, ניגש למסגד יחד עם אחר, שזהותו אינה ידועה למאשימה, במטרה לקחת את האקדח ולהעלים אותו. הנאשם פרץ את מנעול שער המסגד באמצעות חפץ כבד, נטל משטח המסגד את האקדח ונמלט עמו מהמקום. כל זאת עשה הנאשם במטרה להעלים ראייה ולמנוע או להכשיל הליך שיפוטי.</w:t>
      </w:r>
    </w:p>
    <w:p w14:paraId="0FC8BF42" w14:textId="77777777" w:rsidR="0075794C" w:rsidRDefault="0075794C" w:rsidP="0075794C">
      <w:pPr>
        <w:ind w:left="720"/>
        <w:jc w:val="both"/>
        <w:rPr>
          <w:rFonts w:ascii="David" w:hAnsi="David"/>
          <w:rtl/>
        </w:rPr>
      </w:pPr>
    </w:p>
    <w:p w14:paraId="235DF8E2" w14:textId="77777777" w:rsidR="0075794C" w:rsidRDefault="0075794C" w:rsidP="0075794C">
      <w:pPr>
        <w:spacing w:line="360" w:lineRule="auto"/>
        <w:ind w:left="720"/>
        <w:jc w:val="both"/>
        <w:rPr>
          <w:rFonts w:ascii="David" w:hAnsi="David"/>
          <w:rtl/>
        </w:rPr>
      </w:pPr>
      <w:r>
        <w:rPr>
          <w:rFonts w:ascii="David" w:hAnsi="David"/>
          <w:rtl/>
        </w:rPr>
        <w:t xml:space="preserve">הנאשם, הודה כי במעשיו כמתואר לעיל, נשא והוביל נשק ותחמושת לנשק בלא רשות על פי דין לנשיאתם ולהובלתם, וגרם למותו של המנוח בקלות דעת, תוך נטילת סיכון בלתי סביר לאפשרות גרימת תוצאת המוות, מתוך תקווה להצליח למנעה. עוד במעשיו אלה, עשה הנאשם דבר בכוונה למנוע או להכשיל הליך שיפוטי או להביא לידי עיוות דין על ידי העלמת ראיות. </w:t>
      </w:r>
    </w:p>
    <w:p w14:paraId="6721A887" w14:textId="77777777" w:rsidR="0075794C" w:rsidRDefault="0075794C" w:rsidP="0075794C">
      <w:pPr>
        <w:ind w:left="720"/>
        <w:jc w:val="both"/>
        <w:rPr>
          <w:rFonts w:ascii="David" w:hAnsi="David"/>
          <w:b/>
          <w:bCs/>
          <w:rtl/>
        </w:rPr>
      </w:pPr>
    </w:p>
    <w:p w14:paraId="114B2640" w14:textId="77777777" w:rsidR="0075794C" w:rsidRDefault="0075794C" w:rsidP="0075794C">
      <w:pPr>
        <w:spacing w:line="360" w:lineRule="auto"/>
        <w:ind w:left="720" w:hanging="720"/>
        <w:jc w:val="both"/>
        <w:rPr>
          <w:rFonts w:ascii="David" w:hAnsi="David"/>
          <w:rtl/>
        </w:rPr>
      </w:pPr>
      <w:r>
        <w:rPr>
          <w:rFonts w:ascii="David" w:hAnsi="David"/>
          <w:rtl/>
        </w:rPr>
        <w:t>2.</w:t>
      </w:r>
      <w:r>
        <w:rPr>
          <w:rFonts w:ascii="David" w:hAnsi="David"/>
          <w:rtl/>
        </w:rPr>
        <w:tab/>
      </w:r>
      <w:r>
        <w:rPr>
          <w:rFonts w:ascii="David" w:hAnsi="David"/>
          <w:b/>
          <w:bCs/>
          <w:rtl/>
        </w:rPr>
        <w:t xml:space="preserve">ראיות לעונש </w:t>
      </w:r>
      <w:r>
        <w:rPr>
          <w:rFonts w:ascii="David" w:hAnsi="David"/>
          <w:rtl/>
        </w:rPr>
        <w:t>– הצדדים לא הגישו ראיות לעונש והתמקדו בטיעוניהם בנסיבות ובייתר הנתונים הרלוונטיים לעבירות שביצע הנאשם. כמו כן לא הוגש תסקיר נפגעי העבירה -בעניין זה יצוין כי אלמנת המנוח, אשר הסדר הטיעון עם הנאשם נעשה גם בידיעתה ועל דעתה, לא הייתה מעוניינת להיפגש עם שירות המבחן או למסור הודעה כלשהיא בעניין העונש.</w:t>
      </w:r>
    </w:p>
    <w:p w14:paraId="0B072B9C" w14:textId="77777777" w:rsidR="0075794C" w:rsidRDefault="0075794C" w:rsidP="0075794C">
      <w:pPr>
        <w:ind w:left="720" w:hanging="720"/>
        <w:jc w:val="both"/>
        <w:rPr>
          <w:rFonts w:ascii="David" w:hAnsi="David"/>
          <w:rtl/>
        </w:rPr>
      </w:pPr>
    </w:p>
    <w:p w14:paraId="2D20C8A7" w14:textId="77777777" w:rsidR="0075794C" w:rsidRDefault="0075794C" w:rsidP="0075794C">
      <w:pPr>
        <w:spacing w:line="360" w:lineRule="auto"/>
        <w:ind w:left="720" w:hanging="720"/>
        <w:jc w:val="both"/>
        <w:rPr>
          <w:rFonts w:ascii="David" w:hAnsi="David"/>
          <w:rtl/>
        </w:rPr>
      </w:pPr>
      <w:r>
        <w:rPr>
          <w:rFonts w:ascii="David" w:hAnsi="David"/>
          <w:rtl/>
        </w:rPr>
        <w:t>3.</w:t>
      </w:r>
      <w:r>
        <w:rPr>
          <w:rFonts w:ascii="David" w:hAnsi="David"/>
          <w:rtl/>
        </w:rPr>
        <w:tab/>
      </w:r>
      <w:r>
        <w:rPr>
          <w:rFonts w:ascii="David" w:hAnsi="David"/>
          <w:b/>
          <w:bCs/>
          <w:rtl/>
        </w:rPr>
        <w:t xml:space="preserve">תמצית טענות המאשימה </w:t>
      </w:r>
      <w:r>
        <w:rPr>
          <w:rFonts w:ascii="David" w:hAnsi="David"/>
          <w:rtl/>
        </w:rPr>
        <w:t>-</w:t>
      </w:r>
      <w:r>
        <w:rPr>
          <w:rFonts w:ascii="David" w:hAnsi="David"/>
          <w:b/>
          <w:bCs/>
          <w:rtl/>
        </w:rPr>
        <w:t xml:space="preserve"> </w:t>
      </w:r>
      <w:r>
        <w:rPr>
          <w:rFonts w:ascii="David" w:hAnsi="David"/>
          <w:rtl/>
        </w:rPr>
        <w:t>ב"כ המאשימה הדגישה את הפגיעה בערכים המוגנים של קדושת  החיים, ואת הפוטנציאל ההרסני שבעבירות הנשק. ב"כ המאשימה הפנתה לכך שהנאשם הגיע לבית של מוחמד כשהוא מצויד בנשק טעון ודרך אותו עוד בטרם נכנס לחצר ובטרם החל העימות עם מוחמד. יחד עם זאת ב"כ המאשימה לא התעלמה מכך שהנאשם נעדר עבר פלילי, והודה בעובדות כתב האישום המתוקן (אם כי לאחר שכבר התקיימו מס' ישיבות הוכחות). בהתאם, טענה ב"כ המאשימה למתחם ענישה בין 10-12 שנות מאסר בפועל, וביקשה כי העונש שיוטל על הנאשם יהיה ברף האמצעי של המתחם בתוספת פיצוי לנפגעת העבירה-אלמנת המנוח.</w:t>
      </w:r>
    </w:p>
    <w:p w14:paraId="5DBE855C" w14:textId="77777777" w:rsidR="0075794C" w:rsidRDefault="0075794C" w:rsidP="0075794C">
      <w:pPr>
        <w:ind w:left="720" w:hanging="720"/>
        <w:jc w:val="both"/>
        <w:rPr>
          <w:rFonts w:ascii="David" w:hAnsi="David"/>
          <w:rtl/>
        </w:rPr>
      </w:pPr>
    </w:p>
    <w:p w14:paraId="710EFA54" w14:textId="77777777" w:rsidR="0075794C" w:rsidRDefault="0075794C" w:rsidP="0075794C">
      <w:pPr>
        <w:pStyle w:val="a9"/>
        <w:spacing w:after="0" w:line="360" w:lineRule="auto"/>
        <w:jc w:val="both"/>
        <w:rPr>
          <w:rFonts w:ascii="David" w:hAnsi="David" w:cs="David"/>
          <w:szCs w:val="24"/>
          <w:rtl/>
        </w:rPr>
      </w:pPr>
      <w:r>
        <w:rPr>
          <w:rFonts w:ascii="David" w:hAnsi="David" w:cs="David"/>
          <w:b/>
          <w:bCs/>
          <w:szCs w:val="24"/>
          <w:rtl/>
        </w:rPr>
        <w:t xml:space="preserve">תמצית טענות הנאשם </w:t>
      </w:r>
      <w:r>
        <w:rPr>
          <w:rFonts w:ascii="David" w:hAnsi="David" w:cs="David"/>
          <w:szCs w:val="24"/>
          <w:rtl/>
        </w:rPr>
        <w:t>- הנאשם הפנה לתוצאותיו הטראגיות של האירוע ולהשלכותיו על משפחת הנאשם ועל הנאשם עצמו. כן הפנה לכך שהירייה נורתה תוך כדי מאבק עם מוחמד וכי הנאשם הינו אדם נורמטיבי ממשפחה נורמטיבית, נעדר עבר פלילי.</w:t>
      </w:r>
    </w:p>
    <w:p w14:paraId="66A65589" w14:textId="77777777" w:rsidR="0075794C" w:rsidRDefault="0075794C" w:rsidP="0075794C">
      <w:pPr>
        <w:pStyle w:val="a9"/>
        <w:spacing w:after="0" w:line="240" w:lineRule="auto"/>
        <w:ind w:left="-58"/>
        <w:jc w:val="both"/>
        <w:rPr>
          <w:rFonts w:ascii="David" w:hAnsi="David" w:cs="David"/>
          <w:szCs w:val="24"/>
          <w:rtl/>
        </w:rPr>
      </w:pPr>
    </w:p>
    <w:p w14:paraId="162C4DB3" w14:textId="77777777" w:rsidR="0075794C" w:rsidRDefault="0075794C" w:rsidP="0075794C">
      <w:pPr>
        <w:pStyle w:val="a9"/>
        <w:spacing w:after="0" w:line="360" w:lineRule="auto"/>
        <w:jc w:val="both"/>
        <w:rPr>
          <w:rFonts w:ascii="David" w:hAnsi="David" w:cs="David"/>
          <w:szCs w:val="24"/>
          <w:rtl/>
        </w:rPr>
      </w:pPr>
      <w:r>
        <w:rPr>
          <w:rFonts w:ascii="David" w:hAnsi="David" w:cs="David"/>
          <w:szCs w:val="24"/>
          <w:rtl/>
        </w:rPr>
        <w:t>שני הצדדים הפנו לפסיקה, אם כי הסכימו כי לא איתרו פסיקה הדומה למקרה כגון דא ועתרו כי בית המשפט יבצע את ההתאמות הנדרשות מהפסיקה אליה הפנו.</w:t>
      </w:r>
    </w:p>
    <w:p w14:paraId="3CAD9934" w14:textId="77777777" w:rsidR="0075794C" w:rsidRDefault="0075794C" w:rsidP="0075794C">
      <w:pPr>
        <w:pStyle w:val="a9"/>
        <w:spacing w:after="0" w:line="240" w:lineRule="auto"/>
        <w:ind w:left="-58"/>
        <w:jc w:val="both"/>
        <w:rPr>
          <w:rFonts w:ascii="David" w:hAnsi="David" w:cs="David"/>
          <w:szCs w:val="24"/>
          <w:rtl/>
        </w:rPr>
      </w:pPr>
    </w:p>
    <w:p w14:paraId="6ADB3D2D" w14:textId="77777777" w:rsidR="0075794C" w:rsidRDefault="0075794C" w:rsidP="0075794C">
      <w:pPr>
        <w:pStyle w:val="a9"/>
        <w:spacing w:after="0" w:line="360" w:lineRule="auto"/>
        <w:ind w:left="662"/>
        <w:jc w:val="both"/>
        <w:rPr>
          <w:rFonts w:ascii="David" w:hAnsi="David" w:cs="David"/>
          <w:szCs w:val="24"/>
          <w:rtl/>
        </w:rPr>
      </w:pPr>
      <w:r>
        <w:rPr>
          <w:rFonts w:ascii="David" w:hAnsi="David" w:cs="David"/>
          <w:szCs w:val="24"/>
          <w:rtl/>
        </w:rPr>
        <w:t>אימו של הנאשם ביקשה בדמעות כי בית המשפט ינהג ברחמים עם הנאשם והזכירה שאיבדה כבר בן אחד-את המנוח. גם הנאשם עצמו ביקש מבית המשפט כי יתחשב בו ולא היה מסוגל להוסיף.</w:t>
      </w:r>
    </w:p>
    <w:p w14:paraId="77C6C6A7" w14:textId="77777777" w:rsidR="0075794C" w:rsidRDefault="0075794C" w:rsidP="0075794C">
      <w:pPr>
        <w:spacing w:line="360" w:lineRule="auto"/>
        <w:ind w:left="720" w:hanging="720"/>
        <w:jc w:val="both"/>
        <w:rPr>
          <w:rFonts w:ascii="David" w:hAnsi="David"/>
          <w:rtl/>
        </w:rPr>
      </w:pPr>
      <w:r>
        <w:rPr>
          <w:rFonts w:ascii="David" w:hAnsi="David"/>
          <w:b/>
          <w:bCs/>
          <w:u w:val="single"/>
          <w:rtl/>
        </w:rPr>
        <w:t>דיון</w:t>
      </w:r>
    </w:p>
    <w:p w14:paraId="1FBFF6AC" w14:textId="77777777" w:rsidR="0075794C" w:rsidRDefault="0075794C" w:rsidP="0075794C">
      <w:pPr>
        <w:spacing w:line="360" w:lineRule="auto"/>
        <w:ind w:left="720" w:hanging="720"/>
        <w:jc w:val="both"/>
        <w:rPr>
          <w:rFonts w:ascii="David" w:hAnsi="David"/>
          <w:spacing w:val="6"/>
        </w:rPr>
      </w:pPr>
      <w:r>
        <w:rPr>
          <w:rFonts w:ascii="David" w:hAnsi="David"/>
          <w:rtl/>
        </w:rPr>
        <w:t>4.</w:t>
      </w:r>
      <w:r>
        <w:rPr>
          <w:rFonts w:ascii="David" w:hAnsi="David"/>
          <w:rtl/>
        </w:rPr>
        <w:tab/>
      </w:r>
      <w:r>
        <w:rPr>
          <w:rFonts w:ascii="David" w:hAnsi="David"/>
          <w:b/>
          <w:bCs/>
          <w:rtl/>
        </w:rPr>
        <w:t xml:space="preserve">אירוע אחד או מספר אירועים </w:t>
      </w:r>
      <w:r>
        <w:rPr>
          <w:rFonts w:ascii="David" w:hAnsi="David"/>
          <w:rtl/>
        </w:rPr>
        <w:t>- המדובר בעבירות</w:t>
      </w:r>
      <w:r>
        <w:rPr>
          <w:rFonts w:ascii="David" w:hAnsi="David"/>
          <w:spacing w:val="6"/>
          <w:rtl/>
        </w:rPr>
        <w:t xml:space="preserve"> שבוצעו כחלק מאירוע אחד והמעשים המפורטים בכתב האישום מהווים מסכת עבריינית אחת. בהתאם לכך אקבע מתחם עונש הולם אחד לאירוע הכולל וזאת למרות שמדובר בריבוי עבירות, שכן כבר נקבע:</w:t>
      </w:r>
    </w:p>
    <w:p w14:paraId="2266DDA8" w14:textId="77777777" w:rsidR="0075794C" w:rsidRDefault="0075794C" w:rsidP="0075794C">
      <w:pPr>
        <w:spacing w:line="360" w:lineRule="auto"/>
        <w:ind w:left="720"/>
        <w:jc w:val="both"/>
        <w:rPr>
          <w:rFonts w:ascii="David" w:hAnsi="David"/>
          <w:rtl/>
        </w:rPr>
      </w:pPr>
      <w:r>
        <w:rPr>
          <w:rFonts w:ascii="David" w:hAnsi="David"/>
          <w:spacing w:val="6"/>
          <w:rtl/>
        </w:rPr>
        <w:t>"</w:t>
      </w:r>
      <w:r>
        <w:rPr>
          <w:rFonts w:ascii="David" w:hAnsi="David"/>
          <w:b/>
          <w:bCs/>
          <w:spacing w:val="6"/>
          <w:rtl/>
        </w:rPr>
        <w:t>בית המשפט יקבע מתחם ענישה אחד לפעולות שיש ביניהן קשר ענייני הדוק... כך שעבירות שיש ביניהן קשר הדוק ייחשבו לאירוע אחד. המובן שיינתן למונח "קשר הדוק" יתפתח ממקרה למקרה ואין צורך לקבוע אותו באופן קשיח כבר כעת. עם זאת, ניתן לומר כי ברגיל קשר כזה בין עבירות יימצא כאשר תהיה ביניהן סמיכות זמנים או כאשר הן תהיינה חלק מאותה תוכנית עבריינית אף כאשר הן בוצעו לאורך תקופת זמן שאינה קצרה</w:t>
      </w:r>
      <w:r>
        <w:rPr>
          <w:rFonts w:ascii="David" w:hAnsi="David"/>
          <w:spacing w:val="6"/>
          <w:rtl/>
        </w:rPr>
        <w:t>".</w:t>
      </w:r>
    </w:p>
    <w:p w14:paraId="5F524035" w14:textId="77777777" w:rsidR="0075794C" w:rsidRDefault="0075794C" w:rsidP="0075794C">
      <w:pPr>
        <w:spacing w:line="360" w:lineRule="auto"/>
        <w:ind w:left="720"/>
        <w:jc w:val="both"/>
        <w:rPr>
          <w:rFonts w:ascii="David" w:hAnsi="David"/>
          <w:rtl/>
        </w:rPr>
      </w:pPr>
      <w:r>
        <w:rPr>
          <w:rFonts w:ascii="David" w:hAnsi="David"/>
          <w:spacing w:val="6"/>
          <w:rtl/>
        </w:rPr>
        <w:t>(</w:t>
      </w:r>
      <w:hyperlink r:id="rId21" w:history="1">
        <w:r w:rsidR="0037529A" w:rsidRPr="0037529A">
          <w:rPr>
            <w:rFonts w:ascii="David" w:hAnsi="David"/>
            <w:color w:val="0000FF"/>
            <w:spacing w:val="6"/>
            <w:u w:val="single"/>
            <w:rtl/>
          </w:rPr>
          <w:t>ע"פ 4910/13</w:t>
        </w:r>
      </w:hyperlink>
      <w:r>
        <w:rPr>
          <w:rFonts w:ascii="David" w:hAnsi="David"/>
          <w:spacing w:val="6"/>
          <w:rtl/>
        </w:rPr>
        <w:t xml:space="preserve"> </w:t>
      </w:r>
      <w:r>
        <w:rPr>
          <w:rFonts w:ascii="David" w:hAnsi="David"/>
          <w:b/>
          <w:bCs/>
          <w:spacing w:val="6"/>
          <w:rtl/>
        </w:rPr>
        <w:t>ג'אבר נ' מדינת ישראל</w:t>
      </w:r>
      <w:r>
        <w:rPr>
          <w:rFonts w:ascii="David" w:hAnsi="David"/>
          <w:spacing w:val="6"/>
          <w:rtl/>
        </w:rPr>
        <w:t xml:space="preserve"> (29.10.2014), פסקה 5 לפסק דינה של כב' השופטת ברק ארז).</w:t>
      </w:r>
    </w:p>
    <w:p w14:paraId="71762AB6" w14:textId="77777777" w:rsidR="0075794C" w:rsidRDefault="0075794C" w:rsidP="0075794C">
      <w:pPr>
        <w:jc w:val="both"/>
        <w:rPr>
          <w:rFonts w:ascii="David" w:hAnsi="David"/>
          <w:rtl/>
        </w:rPr>
      </w:pPr>
    </w:p>
    <w:p w14:paraId="5D5172D0" w14:textId="77777777" w:rsidR="0075794C" w:rsidRPr="0075794C" w:rsidRDefault="0075794C" w:rsidP="0075794C">
      <w:pPr>
        <w:spacing w:line="360" w:lineRule="auto"/>
        <w:ind w:left="720" w:hanging="720"/>
        <w:jc w:val="both"/>
        <w:rPr>
          <w:rFonts w:ascii="Calibri" w:hAnsi="Calibri" w:cs="Arial"/>
          <w:sz w:val="22"/>
          <w:szCs w:val="22"/>
          <w:rtl/>
        </w:rPr>
      </w:pPr>
      <w:r>
        <w:rPr>
          <w:rFonts w:ascii="David" w:hAnsi="David"/>
          <w:rtl/>
        </w:rPr>
        <w:t>5.</w:t>
      </w:r>
      <w:r>
        <w:rPr>
          <w:rFonts w:ascii="David" w:hAnsi="David"/>
          <w:b/>
          <w:bCs/>
          <w:rtl/>
        </w:rPr>
        <w:tab/>
        <w:t xml:space="preserve">מתחם העונש ההולם </w:t>
      </w:r>
      <w:r>
        <w:rPr>
          <w:rFonts w:ascii="David" w:hAnsi="David"/>
          <w:rtl/>
        </w:rPr>
        <w:t>-</w:t>
      </w:r>
      <w:r>
        <w:rPr>
          <w:rFonts w:ascii="David" w:hAnsi="David"/>
          <w:b/>
          <w:bCs/>
          <w:rtl/>
        </w:rPr>
        <w:t xml:space="preserve"> </w:t>
      </w:r>
      <w:r>
        <w:rPr>
          <w:rFonts w:ascii="David" w:hAnsi="David"/>
          <w:rtl/>
        </w:rPr>
        <w:t xml:space="preserve">העיקרון המנחה בקביעת מתחם העונש הוא עיקרון ההלימה, שמשמעותו </w:t>
      </w:r>
      <w:r>
        <w:rPr>
          <w:rFonts w:ascii="David" w:hAnsi="David"/>
          <w:b/>
          <w:rtl/>
        </w:rPr>
        <w:t>"</w:t>
      </w:r>
      <w:r>
        <w:rPr>
          <w:rFonts w:ascii="David" w:hAnsi="David"/>
          <w:bCs/>
          <w:rtl/>
        </w:rPr>
        <w:t>קיומו של יחס הולם בין חומרת מעשה העבירה בנסיבותיו ומידת אשמו של הנאשם ובין סוג ומידת העונש המוטל עליו</w:t>
      </w:r>
      <w:r>
        <w:rPr>
          <w:rFonts w:ascii="David" w:hAnsi="David"/>
          <w:b/>
          <w:rtl/>
        </w:rPr>
        <w:t>"</w:t>
      </w:r>
      <w:r>
        <w:rPr>
          <w:rFonts w:ascii="David" w:hAnsi="David"/>
          <w:rtl/>
        </w:rPr>
        <w:t xml:space="preserve"> (</w:t>
      </w:r>
      <w:hyperlink r:id="rId22" w:history="1">
        <w:r w:rsidR="00565EE9" w:rsidRPr="00565EE9">
          <w:rPr>
            <w:rStyle w:val="Hyperlink"/>
            <w:rFonts w:ascii="David" w:hAnsi="David"/>
            <w:rtl/>
          </w:rPr>
          <w:t>סעיף 40ב'</w:t>
        </w:r>
      </w:hyperlink>
      <w:r>
        <w:rPr>
          <w:rFonts w:ascii="David" w:hAnsi="David"/>
          <w:rtl/>
        </w:rPr>
        <w:t xml:space="preserve"> לחוק).</w:t>
      </w:r>
      <w:r>
        <w:rPr>
          <w:rFonts w:ascii="Calibri" w:hAnsi="Calibri"/>
          <w:rtl/>
        </w:rPr>
        <w:t xml:space="preserve"> </w:t>
      </w:r>
    </w:p>
    <w:p w14:paraId="18AE8895" w14:textId="77777777" w:rsidR="0075794C" w:rsidRDefault="0075794C" w:rsidP="0075794C">
      <w:pPr>
        <w:spacing w:line="360" w:lineRule="auto"/>
        <w:ind w:left="720" w:hanging="720"/>
        <w:jc w:val="both"/>
        <w:rPr>
          <w:rFonts w:ascii="David" w:hAnsi="David"/>
          <w:rtl/>
        </w:rPr>
      </w:pPr>
      <w:r>
        <w:rPr>
          <w:rFonts w:ascii="Calibri" w:hAnsi="Calibri"/>
          <w:rtl/>
        </w:rPr>
        <w:tab/>
      </w:r>
      <w:r>
        <w:rPr>
          <w:rFonts w:ascii="David" w:hAnsi="David"/>
          <w:rtl/>
        </w:rPr>
        <w:t xml:space="preserve">יחס זה מבטא, למעשה, את עיקרון הגמול (ראה </w:t>
      </w:r>
      <w:hyperlink r:id="rId23" w:history="1">
        <w:r w:rsidR="0037529A" w:rsidRPr="0037529A">
          <w:rPr>
            <w:rFonts w:ascii="David" w:hAnsi="David"/>
            <w:color w:val="0000FF"/>
            <w:u w:val="single"/>
            <w:rtl/>
          </w:rPr>
          <w:t>ע.פ. 1523/10</w:t>
        </w:r>
      </w:hyperlink>
      <w:r>
        <w:rPr>
          <w:rFonts w:ascii="David" w:hAnsi="David"/>
          <w:rtl/>
        </w:rPr>
        <w:t xml:space="preserve"> </w:t>
      </w:r>
      <w:r>
        <w:rPr>
          <w:rFonts w:ascii="David" w:hAnsi="David"/>
          <w:b/>
          <w:bCs/>
          <w:rtl/>
        </w:rPr>
        <w:t>פלוני נ' מדינת ישראל</w:t>
      </w:r>
      <w:r>
        <w:rPr>
          <w:rFonts w:ascii="David" w:hAnsi="David"/>
          <w:rtl/>
        </w:rPr>
        <w:t xml:space="preserve">, 18.4.2012, לא פורסם). </w:t>
      </w:r>
    </w:p>
    <w:p w14:paraId="7ABA68A2" w14:textId="77777777" w:rsidR="0075794C" w:rsidRDefault="0075794C" w:rsidP="0075794C">
      <w:pPr>
        <w:ind w:left="720" w:hanging="720"/>
        <w:jc w:val="both"/>
        <w:rPr>
          <w:rFonts w:ascii="David" w:hAnsi="David"/>
          <w:rtl/>
        </w:rPr>
      </w:pPr>
    </w:p>
    <w:p w14:paraId="5C4D0B02" w14:textId="77777777" w:rsidR="0075794C" w:rsidRPr="0075794C" w:rsidRDefault="0075794C" w:rsidP="0075794C">
      <w:pPr>
        <w:keepNext/>
        <w:tabs>
          <w:tab w:val="left" w:pos="397"/>
          <w:tab w:val="left" w:pos="794"/>
        </w:tabs>
        <w:spacing w:line="360" w:lineRule="auto"/>
        <w:ind w:left="720"/>
        <w:jc w:val="both"/>
        <w:rPr>
          <w:rFonts w:ascii="David" w:hAnsi="David" w:cs="Arial"/>
          <w:sz w:val="22"/>
          <w:szCs w:val="22"/>
          <w:rtl/>
        </w:rPr>
      </w:pPr>
      <w:r>
        <w:rPr>
          <w:rFonts w:ascii="David" w:hAnsi="David"/>
          <w:rtl/>
        </w:rPr>
        <w:t xml:space="preserve">בנוסף וע"פ </w:t>
      </w:r>
      <w:hyperlink r:id="rId24" w:history="1">
        <w:r w:rsidR="00565EE9" w:rsidRPr="00565EE9">
          <w:rPr>
            <w:rStyle w:val="Hyperlink"/>
            <w:rFonts w:ascii="David" w:hAnsi="David"/>
            <w:rtl/>
          </w:rPr>
          <w:t>סעיף 40ג</w:t>
        </w:r>
      </w:hyperlink>
      <w:r>
        <w:rPr>
          <w:rFonts w:ascii="David" w:hAnsi="David"/>
          <w:rtl/>
        </w:rPr>
        <w:t xml:space="preserve"> </w:t>
      </w:r>
      <w:r>
        <w:rPr>
          <w:rFonts w:ascii="David" w:hAnsi="David" w:hint="cs"/>
          <w:rtl/>
        </w:rPr>
        <w:t xml:space="preserve">לחוק, בקביעת המתחם יש להתחשב </w:t>
      </w:r>
      <w:r>
        <w:rPr>
          <w:rFonts w:ascii="David" w:hAnsi="David" w:hint="cs"/>
          <w:b/>
          <w:bCs/>
          <w:rtl/>
        </w:rPr>
        <w:t>"בערך החברתי שנפגע מביצוע העבירה, במידת הפגיעה בו, במדיניות הענישה הנהוגה ובנסיבות הקשורות בביצוע העבירה כאמור בסעיף 40ט"</w:t>
      </w:r>
      <w:r>
        <w:rPr>
          <w:rFonts w:ascii="David" w:hAnsi="David" w:hint="cs"/>
          <w:rtl/>
        </w:rPr>
        <w:t>, (בו מוזכרות נסיבות שעניינן מידת התכנון, שיעור חלקו של הנאשם, הנזק הצפוי, סיבות המעשה, יכולת ההבנה של הנאשם, יכולתו להימנע מהמעשה, מצוקתו הנפשית, גבוליות האחריות הפלילית, דרגת האכזריות והניצול לרעה של המעמד כלפי הנפגע).</w:t>
      </w:r>
    </w:p>
    <w:p w14:paraId="12AC24D2" w14:textId="77777777" w:rsidR="0075794C" w:rsidRDefault="0075794C" w:rsidP="0075794C">
      <w:pPr>
        <w:spacing w:line="360" w:lineRule="auto"/>
        <w:ind w:left="720" w:hanging="720"/>
        <w:jc w:val="both"/>
        <w:rPr>
          <w:rFonts w:ascii="David" w:hAnsi="David"/>
          <w:rtl/>
        </w:rPr>
      </w:pPr>
      <w:r>
        <w:rPr>
          <w:rFonts w:ascii="David" w:hAnsi="David"/>
          <w:rtl/>
        </w:rPr>
        <w:tab/>
        <w:t xml:space="preserve">בתוך מתחם העונש ההולם, יגזור בית המשפט את העונש המתאים לנאשם, בהתחשב בנסיבות שאינן קשורות בביצוע העבירה, כאמור </w:t>
      </w:r>
      <w:hyperlink r:id="rId25" w:history="1">
        <w:r w:rsidR="00565EE9" w:rsidRPr="00565EE9">
          <w:rPr>
            <w:rStyle w:val="Hyperlink"/>
            <w:rFonts w:ascii="David" w:hAnsi="David"/>
            <w:rtl/>
          </w:rPr>
          <w:t>בסעיף 40יא</w:t>
        </w:r>
      </w:hyperlink>
      <w:r>
        <w:rPr>
          <w:rFonts w:ascii="David" w:hAnsi="David"/>
          <w:rtl/>
        </w:rPr>
        <w:t xml:space="preserve"> לחוק.</w:t>
      </w:r>
    </w:p>
    <w:p w14:paraId="710D3EA3" w14:textId="77777777" w:rsidR="0075794C" w:rsidRDefault="0075794C" w:rsidP="0075794C">
      <w:pPr>
        <w:ind w:left="720" w:hanging="720"/>
        <w:jc w:val="both"/>
        <w:rPr>
          <w:rFonts w:ascii="David" w:hAnsi="David"/>
          <w:rtl/>
        </w:rPr>
      </w:pPr>
    </w:p>
    <w:p w14:paraId="2428F5D1" w14:textId="77777777" w:rsidR="0075794C" w:rsidRDefault="0075794C" w:rsidP="0075794C">
      <w:pPr>
        <w:spacing w:line="360" w:lineRule="auto"/>
        <w:ind w:left="720" w:hanging="720"/>
        <w:jc w:val="both"/>
        <w:rPr>
          <w:rFonts w:ascii="David" w:hAnsi="David"/>
          <w:rtl/>
        </w:rPr>
      </w:pPr>
      <w:r>
        <w:rPr>
          <w:rFonts w:ascii="David" w:hAnsi="David"/>
          <w:rtl/>
        </w:rPr>
        <w:t>6.</w:t>
      </w:r>
      <w:r>
        <w:rPr>
          <w:rFonts w:ascii="David" w:hAnsi="David"/>
          <w:rtl/>
        </w:rPr>
        <w:tab/>
      </w:r>
      <w:r>
        <w:rPr>
          <w:rFonts w:ascii="David" w:hAnsi="David"/>
          <w:b/>
          <w:bCs/>
          <w:rtl/>
        </w:rPr>
        <w:t xml:space="preserve">הערכים החברתיים שנפגעו כתוצאה מביצוע העבירות של המתה בקלות דעת ועבירות בנשק </w:t>
      </w:r>
      <w:r>
        <w:rPr>
          <w:rFonts w:ascii="David" w:hAnsi="David"/>
          <w:rtl/>
        </w:rPr>
        <w:t>הינם בראש ובראשונה הערך העליון של קדושת החיים, שמירה על חיי אדם ובטחונו של אדם, הגנה על שלמות הגוף וכן פגיעה בסדר החברתי, בתחושת הביטחון של הציבור ושמירת החוק. וראו לעניין הפגיעה בקדושת החיים לעניין עבירה של המתה בקלות דעת:</w:t>
      </w:r>
    </w:p>
    <w:p w14:paraId="526B1D7B" w14:textId="77777777" w:rsidR="0075794C" w:rsidRDefault="0075794C" w:rsidP="0075794C">
      <w:pPr>
        <w:spacing w:line="360" w:lineRule="auto"/>
        <w:ind w:left="720" w:hanging="720"/>
        <w:jc w:val="both"/>
        <w:rPr>
          <w:rFonts w:ascii="David" w:hAnsi="David"/>
          <w:rtl/>
        </w:rPr>
      </w:pPr>
      <w:r>
        <w:rPr>
          <w:rFonts w:ascii="David" w:hAnsi="David"/>
          <w:rtl/>
        </w:rPr>
        <w:tab/>
      </w:r>
      <w:hyperlink r:id="rId26" w:history="1">
        <w:r w:rsidR="0037529A" w:rsidRPr="0037529A">
          <w:rPr>
            <w:rFonts w:ascii="David" w:hAnsi="David"/>
            <w:color w:val="0000FF"/>
            <w:u w:val="single"/>
            <w:rtl/>
          </w:rPr>
          <w:t>ע"פ  3545/18</w:t>
        </w:r>
      </w:hyperlink>
      <w:r>
        <w:rPr>
          <w:rFonts w:ascii="David" w:hAnsi="David"/>
          <w:b/>
          <w:bCs/>
          <w:rtl/>
        </w:rPr>
        <w:t xml:space="preserve"> אשרף קיקס נ' מדינת ישראל</w:t>
      </w:r>
      <w:r>
        <w:rPr>
          <w:rFonts w:ascii="David" w:hAnsi="David"/>
          <w:rtl/>
        </w:rPr>
        <w:t xml:space="preserve"> (24.2.2019)): </w:t>
      </w:r>
    </w:p>
    <w:p w14:paraId="7256C741" w14:textId="77777777" w:rsidR="0075794C" w:rsidRDefault="0075794C" w:rsidP="0075794C">
      <w:pPr>
        <w:spacing w:line="360" w:lineRule="auto"/>
        <w:ind w:left="720" w:hanging="720"/>
        <w:jc w:val="both"/>
        <w:rPr>
          <w:rFonts w:ascii="David" w:hAnsi="David"/>
          <w:b/>
          <w:bCs/>
          <w:rtl/>
        </w:rPr>
      </w:pPr>
      <w:r>
        <w:rPr>
          <w:rFonts w:ascii="David" w:hAnsi="David"/>
          <w:rtl/>
        </w:rPr>
        <w:tab/>
      </w:r>
      <w:r>
        <w:rPr>
          <w:rFonts w:ascii="David" w:hAnsi="David"/>
          <w:b/>
          <w:bCs/>
          <w:rtl/>
        </w:rPr>
        <w:t xml:space="preserve">"מנקודת מבט מוסרית ומשפטית יש לתת ביטוי לערך קדושת החיים, וזאת לא רק באמצעות הטלת איסור פלילי על פגיעה בערך זה, אלא גם בגזירת העונש המתאים. על העונש להיקבע מתוך ההבנה הבסיסית כי כל אדם הוא עולם ומלואו, ופגיעה בו היא, כשלעצמה, מעשה חמור מאין כמותו. יתרה מכך: פגיעה באדם אחד פוגעת לא רק בעולמו שלו, אלא גם בעולמות של אלו הקרובים לו – משפחה וחברים, שנאלצים להתמודד עם קשיים שאין דבר שיכול לרככם. לכך יש לתת את המשקל הראוי". </w:t>
      </w:r>
    </w:p>
    <w:p w14:paraId="06270513" w14:textId="77777777" w:rsidR="0075794C" w:rsidRDefault="0075794C" w:rsidP="0075794C">
      <w:pPr>
        <w:ind w:left="720" w:hanging="720"/>
        <w:jc w:val="both"/>
        <w:rPr>
          <w:rFonts w:ascii="David" w:hAnsi="David"/>
          <w:b/>
          <w:bCs/>
          <w:rtl/>
        </w:rPr>
      </w:pPr>
    </w:p>
    <w:p w14:paraId="21FA5224" w14:textId="77777777" w:rsidR="0075794C" w:rsidRDefault="0075794C" w:rsidP="0075794C">
      <w:pPr>
        <w:pStyle w:val="a9"/>
        <w:keepNext/>
        <w:tabs>
          <w:tab w:val="left" w:pos="397"/>
          <w:tab w:val="left" w:pos="794"/>
        </w:tabs>
        <w:spacing w:after="0" w:line="360" w:lineRule="auto"/>
        <w:jc w:val="both"/>
        <w:rPr>
          <w:rFonts w:ascii="David" w:hAnsi="David" w:cs="David"/>
          <w:szCs w:val="24"/>
          <w:rtl/>
        </w:rPr>
      </w:pPr>
      <w:r>
        <w:rPr>
          <w:rFonts w:ascii="David" w:hAnsi="David" w:cs="David"/>
          <w:szCs w:val="24"/>
          <w:rtl/>
        </w:rPr>
        <w:t>ולעניין הפגיעה בסדר החברתי ובביטחון הציבור לעניין עבירות של נשיאת והובלת הנשק ראו ב</w:t>
      </w:r>
      <w:hyperlink r:id="rId27" w:history="1">
        <w:r w:rsidR="0037529A" w:rsidRPr="0037529A">
          <w:rPr>
            <w:rFonts w:ascii="David" w:hAnsi="David" w:cs="David"/>
            <w:color w:val="0000FF"/>
            <w:szCs w:val="24"/>
            <w:u w:val="single"/>
            <w:rtl/>
          </w:rPr>
          <w:t>ע"פ 5717/14</w:t>
        </w:r>
      </w:hyperlink>
      <w:r>
        <w:rPr>
          <w:rFonts w:ascii="David" w:hAnsi="David" w:cs="David"/>
          <w:szCs w:val="24"/>
          <w:rtl/>
        </w:rPr>
        <w:t xml:space="preserve"> </w:t>
      </w:r>
      <w:r>
        <w:rPr>
          <w:rFonts w:ascii="David" w:hAnsi="David" w:cs="David"/>
          <w:b/>
          <w:bCs/>
          <w:szCs w:val="24"/>
          <w:rtl/>
        </w:rPr>
        <w:t>מדינת ישראל נ' גדבאן</w:t>
      </w:r>
      <w:r>
        <w:rPr>
          <w:rFonts w:ascii="David" w:hAnsi="David" w:cs="David"/>
          <w:szCs w:val="24"/>
          <w:rtl/>
        </w:rPr>
        <w:t xml:space="preserve"> (2.12.2014):</w:t>
      </w:r>
    </w:p>
    <w:p w14:paraId="1B2DF750" w14:textId="77777777" w:rsidR="0075794C" w:rsidRDefault="0075794C" w:rsidP="0075794C">
      <w:pPr>
        <w:spacing w:line="360" w:lineRule="auto"/>
        <w:ind w:left="720" w:hanging="720"/>
        <w:jc w:val="both"/>
        <w:rPr>
          <w:rFonts w:ascii="David" w:hAnsi="David"/>
          <w:rtl/>
        </w:rPr>
      </w:pPr>
      <w:r>
        <w:rPr>
          <w:rFonts w:ascii="David" w:hAnsi="David"/>
          <w:b/>
          <w:bCs/>
          <w:rtl/>
        </w:rPr>
        <w:tab/>
      </w:r>
      <w:r>
        <w:rPr>
          <w:rFonts w:ascii="David" w:hAnsi="David"/>
          <w:b/>
          <w:bCs/>
        </w:rPr>
        <w:t>"</w:t>
      </w:r>
      <w:r>
        <w:rPr>
          <w:rFonts w:ascii="David" w:hAnsi="David"/>
          <w:b/>
          <w:bCs/>
          <w:rtl/>
        </w:rPr>
        <w:t>לנוכח חומרת העבירות מסוג זה, ההשלכות הרות האסון ופוטנציאל הסכנה הגלום לשלמות החיים, הגוף והנפש ולביטחון הציבור ופוטנציאל הפגיעה הגלום בהם, בית משפט זה קבע פעם אחר פעם כי יש לשדר מסר עונשי אשר ירתיע מפני ביצוע עבירות אלו... חומרתן של החזקת ונשיאת נשק ללא היתר כדין אינה תחומה אך לעבירות עצמן ולהיותן מנוגדות לחוק החרות. לא אחת, עבירות אלה מובילות – ולמצער רב החשש שיובילו – לעבירות נוספות של שימוש בנשק תוך פגיעה בזולת, כפי שאכן אירע במקרה שלפנינו</w:t>
      </w:r>
      <w:r>
        <w:rPr>
          <w:rFonts w:ascii="David" w:hAnsi="David"/>
          <w:b/>
          <w:bCs/>
        </w:rPr>
        <w:t>".</w:t>
      </w:r>
    </w:p>
    <w:p w14:paraId="4D756F6F" w14:textId="77777777" w:rsidR="0075794C" w:rsidRDefault="0075794C" w:rsidP="0075794C">
      <w:pPr>
        <w:jc w:val="both"/>
        <w:rPr>
          <w:rFonts w:ascii="David" w:hAnsi="David"/>
          <w:rtl/>
        </w:rPr>
      </w:pPr>
    </w:p>
    <w:p w14:paraId="2D40D815" w14:textId="77777777" w:rsidR="0075794C" w:rsidRDefault="0075794C" w:rsidP="0075794C">
      <w:pPr>
        <w:pStyle w:val="a9"/>
        <w:keepNext/>
        <w:tabs>
          <w:tab w:val="left" w:pos="397"/>
          <w:tab w:val="left" w:pos="794"/>
        </w:tabs>
        <w:spacing w:after="0" w:line="360" w:lineRule="auto"/>
        <w:jc w:val="both"/>
        <w:rPr>
          <w:rFonts w:ascii="David" w:hAnsi="David" w:cs="David"/>
          <w:b/>
          <w:bCs/>
          <w:szCs w:val="24"/>
          <w:rtl/>
        </w:rPr>
      </w:pPr>
      <w:r>
        <w:rPr>
          <w:rFonts w:ascii="David" w:hAnsi="David" w:cs="David"/>
          <w:szCs w:val="24"/>
          <w:rtl/>
        </w:rPr>
        <w:t>דומה שבמקרה דנן, עת המנוח הוא אחיו של הנאשם והפגיעה היא למעשה במשפחתו של הנאשם עצמו, אין צורך להכביר מילים  על הפגיעה הקשה שנגרמה לקרובים לנפגע כתוצאה מביצוע עבירות אלו.</w:t>
      </w:r>
    </w:p>
    <w:p w14:paraId="2BAE608B" w14:textId="77777777" w:rsidR="0075794C" w:rsidRDefault="0075794C" w:rsidP="0075794C">
      <w:pPr>
        <w:pStyle w:val="a9"/>
        <w:keepNext/>
        <w:tabs>
          <w:tab w:val="left" w:pos="397"/>
          <w:tab w:val="left" w:pos="794"/>
        </w:tabs>
        <w:spacing w:after="0" w:line="240" w:lineRule="auto"/>
        <w:jc w:val="both"/>
        <w:rPr>
          <w:rFonts w:ascii="David" w:hAnsi="David" w:cs="David"/>
          <w:b/>
          <w:bCs/>
          <w:szCs w:val="24"/>
          <w:rtl/>
        </w:rPr>
      </w:pPr>
    </w:p>
    <w:p w14:paraId="5BBA6FD7" w14:textId="77777777" w:rsidR="0075794C" w:rsidRDefault="0075794C" w:rsidP="0075794C">
      <w:pPr>
        <w:pStyle w:val="a9"/>
        <w:keepNext/>
        <w:tabs>
          <w:tab w:val="left" w:pos="397"/>
          <w:tab w:val="left" w:pos="794"/>
        </w:tabs>
        <w:spacing w:after="0" w:line="360" w:lineRule="auto"/>
        <w:jc w:val="both"/>
        <w:rPr>
          <w:rFonts w:ascii="David" w:hAnsi="David" w:cs="David"/>
          <w:szCs w:val="24"/>
          <w:rtl/>
        </w:rPr>
      </w:pPr>
      <w:r>
        <w:rPr>
          <w:rFonts w:ascii="David" w:hAnsi="David" w:cs="David"/>
          <w:b/>
          <w:bCs/>
          <w:szCs w:val="24"/>
          <w:rtl/>
        </w:rPr>
        <w:t>הערכים שנפגעו כתוצאה מביצוע עבירת שיבוש מהלכי משפט</w:t>
      </w:r>
      <w:r>
        <w:rPr>
          <w:rFonts w:ascii="David" w:hAnsi="David" w:cs="David"/>
          <w:szCs w:val="24"/>
          <w:rtl/>
        </w:rPr>
        <w:t xml:space="preserve"> הינם פגיעה בשלטון החוק כבסיס לחברה מאורגנת, פגיעה בסדר הציבורי וכן פגיעה בתקינות ההליך המשפטי והוצאת האמת לאור. הנאשם ביקש ממוחמד עלי שיחביא את האקדח ובהמשך דאג להוציאו מהמקום בו הוחבא והעלימו ובכך ביקש לפגוע בחקירה, בגילוי האמת ובמיצוי ההליך המשפטי שהינו בסיס לכל חברה מתוקנת.</w:t>
      </w:r>
    </w:p>
    <w:p w14:paraId="1A615F8D" w14:textId="77777777" w:rsidR="0075794C" w:rsidRDefault="0075794C" w:rsidP="0075794C">
      <w:pPr>
        <w:pStyle w:val="a9"/>
        <w:keepNext/>
        <w:tabs>
          <w:tab w:val="left" w:pos="397"/>
          <w:tab w:val="left" w:pos="794"/>
        </w:tabs>
        <w:spacing w:after="0" w:line="240" w:lineRule="auto"/>
        <w:jc w:val="both"/>
        <w:rPr>
          <w:rFonts w:ascii="David" w:hAnsi="David" w:cs="David"/>
          <w:b/>
          <w:bCs/>
          <w:szCs w:val="24"/>
          <w:rtl/>
        </w:rPr>
      </w:pPr>
    </w:p>
    <w:p w14:paraId="249B72E6" w14:textId="77777777" w:rsidR="0075794C" w:rsidRPr="0075794C" w:rsidRDefault="0075794C" w:rsidP="0075794C">
      <w:pPr>
        <w:spacing w:line="360" w:lineRule="auto"/>
        <w:ind w:left="720" w:hanging="720"/>
        <w:jc w:val="both"/>
        <w:rPr>
          <w:rFonts w:ascii="Calibri" w:hAnsi="Calibri" w:cs="Arial"/>
          <w:szCs w:val="22"/>
          <w:rtl/>
        </w:rPr>
      </w:pPr>
      <w:r>
        <w:rPr>
          <w:rFonts w:ascii="David" w:hAnsi="David"/>
          <w:rtl/>
        </w:rPr>
        <w:t>7.</w:t>
      </w:r>
      <w:r>
        <w:rPr>
          <w:rFonts w:ascii="David" w:hAnsi="David"/>
          <w:rtl/>
        </w:rPr>
        <w:tab/>
      </w:r>
      <w:r>
        <w:rPr>
          <w:rFonts w:ascii="David" w:hAnsi="David"/>
          <w:b/>
          <w:bCs/>
          <w:rtl/>
        </w:rPr>
        <w:t xml:space="preserve">נסיבות הקשורות בביצוע העבירה </w:t>
      </w:r>
      <w:r>
        <w:rPr>
          <w:rFonts w:ascii="David" w:hAnsi="David"/>
          <w:rtl/>
        </w:rPr>
        <w:t>-</w:t>
      </w:r>
      <w:r>
        <w:rPr>
          <w:rFonts w:eastAsia="David"/>
          <w:rtl/>
        </w:rPr>
        <w:t xml:space="preserve"> </w:t>
      </w:r>
      <w:r>
        <w:rPr>
          <w:rFonts w:ascii="David" w:eastAsia="David" w:hAnsi="David"/>
          <w:rtl/>
        </w:rPr>
        <w:t xml:space="preserve">הנאשם אמנם לא התכוון להרוג את המנוח שהינו אחיו ואין המדובר בתכנון, אלא בירייה בודדת תוך כדי מאבק עם מוחמד. ואולם העובדה שהנאשם הגיע לבית מגוריו של מוחמד כשהוא נושא עימו אקדח טעון ואף דאג לדרוך אותו עוד בטרם נכנס לבית והתקרב לעבר מוחמד כשהאקדח דרוך בידו, מצביעה על כך שהביא בחשבון שימוש שיעשה בנשק. הנאשם הגיע עם המנוח להיפגש עם מוחמד כשהוא נושא עימו אקדח מוכן לפעולה. הנאשם היה צריך לצפות כאפשרות סבירה את גרימת המוות כתוצאה מהשימוש באקדח המוכן לשימוש שהביא עימו ויש בכך נסיבות מחמירות לבחינת אשמו. כן יש לזקוף לחומרה את ניסיונו לשבש את החקירה בהסתרת והעלמת האקדח. מאידך גיסא יש לתת את הדעת לכך שהירי באקדח היה כאמור, ירי בודד שנעשה רק לאחר שמוחמד חבט באמצעות פטיש בנאשם, תוך כדי מאבק וכי בסופו של דבר הנאשם ירה  שלא מתוך כוונה להרוג את המנוח ובהמשך אף חזר לחצר, ניגש למנוח, ביקש כי יוזמן אמבולנס. מות אחיו הינה תוצאה טראגית אשר </w:t>
      </w:r>
      <w:r>
        <w:rPr>
          <w:rFonts w:ascii="David" w:eastAsia="David" w:hAnsi="David" w:hint="cs"/>
          <w:rtl/>
        </w:rPr>
        <w:t>הנאשם</w:t>
      </w:r>
      <w:r>
        <w:rPr>
          <w:rFonts w:ascii="David" w:eastAsia="David" w:hAnsi="David"/>
          <w:rtl/>
        </w:rPr>
        <w:t xml:space="preserve"> לא ציפה, לא צפה ולא תכנן וניתן לומר כי בה כשלעצמה יש כבר עונש משמעותי אותו יישא הנאשם כל חייו.</w:t>
      </w:r>
      <w:r>
        <w:rPr>
          <w:rtl/>
        </w:rPr>
        <w:t xml:space="preserve"> </w:t>
      </w:r>
    </w:p>
    <w:p w14:paraId="7A93B0C0" w14:textId="77777777" w:rsidR="0075794C" w:rsidRDefault="0075794C" w:rsidP="0075794C">
      <w:pPr>
        <w:ind w:left="720" w:hanging="720"/>
        <w:jc w:val="both"/>
        <w:rPr>
          <w:rFonts w:ascii="David" w:hAnsi="David"/>
          <w:b/>
          <w:bCs/>
          <w:spacing w:val="10"/>
          <w:rtl/>
        </w:rPr>
      </w:pPr>
    </w:p>
    <w:p w14:paraId="0EF0B5BB" w14:textId="77777777" w:rsidR="0075794C" w:rsidRDefault="0075794C" w:rsidP="0075794C">
      <w:pPr>
        <w:keepNext/>
        <w:tabs>
          <w:tab w:val="left" w:pos="397"/>
          <w:tab w:val="left" w:pos="794"/>
        </w:tabs>
        <w:spacing w:line="360" w:lineRule="auto"/>
        <w:ind w:left="794" w:hanging="794"/>
        <w:jc w:val="both"/>
        <w:rPr>
          <w:rFonts w:ascii="David" w:hAnsi="David"/>
          <w:rtl/>
        </w:rPr>
      </w:pPr>
      <w:r>
        <w:rPr>
          <w:rFonts w:ascii="David" w:hAnsi="David"/>
          <w:rtl/>
        </w:rPr>
        <w:t>8.</w:t>
      </w:r>
      <w:r>
        <w:rPr>
          <w:rFonts w:ascii="David" w:hAnsi="David"/>
          <w:rtl/>
        </w:rPr>
        <w:tab/>
      </w:r>
      <w:r>
        <w:rPr>
          <w:rFonts w:ascii="David" w:hAnsi="David"/>
          <w:rtl/>
        </w:rPr>
        <w:tab/>
      </w:r>
      <w:r>
        <w:rPr>
          <w:rFonts w:ascii="David" w:hAnsi="David"/>
          <w:b/>
          <w:bCs/>
          <w:rtl/>
        </w:rPr>
        <w:t xml:space="preserve">אשר למדיניות הענישה הנהוגה בעבירות מסוג זה </w:t>
      </w:r>
      <w:r>
        <w:rPr>
          <w:rFonts w:ascii="David" w:hAnsi="David"/>
          <w:rtl/>
        </w:rPr>
        <w:t>-</w:t>
      </w:r>
      <w:r>
        <w:rPr>
          <w:rFonts w:ascii="David" w:hAnsi="David"/>
          <w:b/>
          <w:bCs/>
          <w:rtl/>
        </w:rPr>
        <w:t xml:space="preserve"> </w:t>
      </w:r>
      <w:r>
        <w:rPr>
          <w:rFonts w:ascii="David" w:hAnsi="David"/>
          <w:rtl/>
        </w:rPr>
        <w:t>ראשית יש להפנות לעונש המקסימלי שקבע המחוקק לצד העבירות: לעבירה של המתה בקלות דעת קבע המחוקק עונש של 12 שנות מאסר. לצד עבירות של הובלה ונשיאת נשק קבע המחוקק 10 שנות מאסר (תוך קביעת עונש מינימום בתיקון 140 לחוק) ולצד עבירת שיבוש מהלכי משפט קבע המחוקק 3 שנות מאסר. יחד עם זאת, הענישה תמיד אינדיבידואלית ויש לבחון כל מקרה ונסיבותיו.</w:t>
      </w:r>
    </w:p>
    <w:p w14:paraId="437883B3" w14:textId="77777777" w:rsidR="0075794C" w:rsidRDefault="0075794C" w:rsidP="0075794C">
      <w:pPr>
        <w:keepNext/>
        <w:tabs>
          <w:tab w:val="left" w:pos="397"/>
          <w:tab w:val="left" w:pos="794"/>
        </w:tabs>
        <w:spacing w:line="360" w:lineRule="auto"/>
        <w:ind w:left="794" w:hanging="778"/>
        <w:jc w:val="both"/>
        <w:rPr>
          <w:rFonts w:ascii="David" w:hAnsi="David"/>
          <w:b/>
          <w:bCs/>
          <w:spacing w:val="10"/>
          <w:rtl/>
        </w:rPr>
      </w:pPr>
      <w:r>
        <w:rPr>
          <w:rFonts w:ascii="David" w:hAnsi="David"/>
          <w:b/>
          <w:bCs/>
          <w:rtl/>
        </w:rPr>
        <w:tab/>
      </w:r>
      <w:r>
        <w:rPr>
          <w:rFonts w:ascii="David" w:hAnsi="David"/>
          <w:b/>
          <w:bCs/>
          <w:rtl/>
        </w:rPr>
        <w:tab/>
      </w:r>
      <w:r>
        <w:rPr>
          <w:rFonts w:ascii="David" w:hAnsi="David"/>
          <w:rtl/>
        </w:rPr>
        <w:t>בטרם תיסקר פסיקה רלוונטית</w:t>
      </w:r>
      <w:r>
        <w:rPr>
          <w:rFonts w:ascii="David" w:hAnsi="David"/>
          <w:spacing w:val="10"/>
          <w:rtl/>
        </w:rPr>
        <w:t>, יש לתת את הדעת למהותה של עבירת המתה בקלות דעת שנקבעה</w:t>
      </w:r>
      <w:r>
        <w:rPr>
          <w:rFonts w:ascii="Century" w:hAnsi="Century"/>
          <w:spacing w:val="10"/>
          <w:rtl/>
        </w:rPr>
        <w:t xml:space="preserve"> </w:t>
      </w:r>
      <w:r>
        <w:rPr>
          <w:rFonts w:ascii="David" w:hAnsi="David"/>
          <w:spacing w:val="10"/>
          <w:rtl/>
        </w:rPr>
        <w:t>במסגרת תיקון 137 לחוק. בעניינה של עבירה זו ראו את דברי כב' השופט עמית ב</w:t>
      </w:r>
      <w:hyperlink r:id="rId28" w:history="1">
        <w:r w:rsidR="0037529A" w:rsidRPr="0037529A">
          <w:rPr>
            <w:rFonts w:ascii="David" w:hAnsi="David"/>
            <w:color w:val="0000FF"/>
            <w:spacing w:val="10"/>
            <w:u w:val="single"/>
            <w:rtl/>
          </w:rPr>
          <w:t>ע"פ 6404/20</w:t>
        </w:r>
      </w:hyperlink>
      <w:r>
        <w:rPr>
          <w:rFonts w:ascii="David" w:hAnsi="David"/>
          <w:spacing w:val="10"/>
          <w:rtl/>
        </w:rPr>
        <w:t xml:space="preserve"> </w:t>
      </w:r>
      <w:r>
        <w:rPr>
          <w:rFonts w:ascii="David" w:hAnsi="David"/>
          <w:b/>
          <w:bCs/>
          <w:spacing w:val="10"/>
          <w:rtl/>
        </w:rPr>
        <w:t xml:space="preserve">חמזה עבאסי נ' מדינת ישראל </w:t>
      </w:r>
      <w:r>
        <w:rPr>
          <w:rFonts w:ascii="David" w:hAnsi="David"/>
          <w:spacing w:val="10"/>
          <w:rtl/>
        </w:rPr>
        <w:t>(5.4.2021):</w:t>
      </w:r>
    </w:p>
    <w:p w14:paraId="01614FC9" w14:textId="77777777" w:rsidR="0075794C" w:rsidRDefault="0075794C" w:rsidP="0075794C">
      <w:pPr>
        <w:spacing w:line="360" w:lineRule="auto"/>
        <w:ind w:left="780"/>
        <w:jc w:val="both"/>
        <w:rPr>
          <w:rFonts w:ascii="David" w:hAnsi="David"/>
          <w:rtl/>
        </w:rPr>
      </w:pPr>
      <w:r>
        <w:rPr>
          <w:rFonts w:ascii="David" w:hAnsi="David"/>
          <w:b/>
          <w:bCs/>
          <w:spacing w:val="10"/>
          <w:rtl/>
        </w:rPr>
        <w:t xml:space="preserve">"אכן, במסגרת תיקון 137, המחוקק ביקש להביא להלימה טובה יותר בין חומרת עבירת ההמתה לבין התיוג המוסרי והעונש בצדה, נוכח הפער בין מידת האשמה של הממית באדישות וזו של הממית בקלות דעת. אולם, בדברי ההסבר לתיקון 137 נכתב, בין היתר, שהעונש שנקבע בצד עבירת ההמתה בקלות דעת, 12 שנות מאסר, "עולה בקנה אחד עם העונשים שבתי המשפט נוהגים לגזור בעבירות הריגה בנסיבות של תאונות דרכים, מקרים שבהם מטבע הדברים היסוד הנפשי הוא, ככלל, קלות דעת, ומצד שני </w:t>
      </w:r>
      <w:r>
        <w:rPr>
          <w:rFonts w:ascii="David" w:hAnsi="David"/>
          <w:b/>
          <w:bCs/>
          <w:rtl/>
        </w:rPr>
        <w:t>מאפשר לגזור עונש הולם במקרים חמורים של המתה בקלות דעת, כגון מקרים שבהם ההמתה בוצעה תוך הפעלת אלימות כלפי הקרבן</w:t>
      </w:r>
      <w:r>
        <w:rPr>
          <w:rFonts w:ascii="David" w:hAnsi="David"/>
          <w:b/>
          <w:bCs/>
          <w:spacing w:val="10"/>
          <w:rtl/>
        </w:rPr>
        <w:t>".</w:t>
      </w:r>
    </w:p>
    <w:p w14:paraId="0D3E78C3" w14:textId="77777777" w:rsidR="0075794C" w:rsidRDefault="0075794C" w:rsidP="0075794C">
      <w:pPr>
        <w:ind w:left="780"/>
        <w:jc w:val="both"/>
        <w:rPr>
          <w:rFonts w:ascii="David" w:hAnsi="David"/>
          <w:rtl/>
        </w:rPr>
      </w:pPr>
    </w:p>
    <w:p w14:paraId="30AB80CC" w14:textId="77777777" w:rsidR="0075794C" w:rsidRDefault="0075794C" w:rsidP="0075794C">
      <w:pPr>
        <w:spacing w:line="360" w:lineRule="auto"/>
        <w:ind w:left="780"/>
        <w:jc w:val="both"/>
        <w:rPr>
          <w:rFonts w:ascii="David" w:hAnsi="David"/>
          <w:rtl/>
        </w:rPr>
      </w:pPr>
      <w:r>
        <w:rPr>
          <w:rFonts w:ascii="David" w:hAnsi="David"/>
          <w:rtl/>
        </w:rPr>
        <w:t xml:space="preserve">היסוד הנפשי של הנאשם כלפי התוצאה הקטלנית בעבירה זו, הוא יסוד של קלות דעת המוגדרת </w:t>
      </w:r>
      <w:hyperlink r:id="rId29" w:history="1">
        <w:r w:rsidR="00565EE9" w:rsidRPr="00565EE9">
          <w:rPr>
            <w:rStyle w:val="Hyperlink"/>
            <w:rFonts w:ascii="David" w:hAnsi="David"/>
            <w:rtl/>
          </w:rPr>
          <w:t>בסעיף 20(א)(2)(ב)</w:t>
        </w:r>
      </w:hyperlink>
      <w:r>
        <w:rPr>
          <w:rFonts w:ascii="David" w:hAnsi="David"/>
          <w:rtl/>
        </w:rPr>
        <w:t xml:space="preserve"> לחוק</w:t>
      </w:r>
      <w:r>
        <w:rPr>
          <w:rFonts w:ascii="David" w:hAnsi="David"/>
          <w:color w:val="FF0000"/>
          <w:rtl/>
        </w:rPr>
        <w:t xml:space="preserve"> </w:t>
      </w:r>
      <w:r>
        <w:rPr>
          <w:rFonts w:ascii="David" w:hAnsi="David"/>
          <w:rtl/>
        </w:rPr>
        <w:t xml:space="preserve">כנטילת סיכון בלתי סביר לאפשרות גרימת תוצאות המעשה, מתוך תקוה להצליח למנען. </w:t>
      </w:r>
    </w:p>
    <w:p w14:paraId="3E78DAAE" w14:textId="77777777" w:rsidR="0075794C" w:rsidRDefault="0075794C" w:rsidP="0075794C">
      <w:pPr>
        <w:ind w:left="780"/>
        <w:jc w:val="both"/>
        <w:rPr>
          <w:rFonts w:ascii="David" w:hAnsi="David"/>
          <w:rtl/>
        </w:rPr>
      </w:pPr>
    </w:p>
    <w:p w14:paraId="3D6A08C2" w14:textId="77777777" w:rsidR="0075794C" w:rsidRDefault="0075794C" w:rsidP="0075794C">
      <w:pPr>
        <w:spacing w:line="360" w:lineRule="auto"/>
        <w:ind w:left="780"/>
        <w:jc w:val="both"/>
        <w:rPr>
          <w:rFonts w:ascii="David" w:hAnsi="David"/>
          <w:rtl/>
        </w:rPr>
      </w:pPr>
      <w:r>
        <w:rPr>
          <w:rFonts w:ascii="David" w:hAnsi="David"/>
          <w:rtl/>
        </w:rPr>
        <w:t xml:space="preserve">בהתאם להגדרה זו, טווח הענישה העולה מהפסיקה שתיסקר הינו רחב, כשבצד ענישה מחמירה במקרים שההמתה בוצעה תוך הפעלת אלימות ובריונות כלפי הקרבן, קיימת גם ענישה מקלה יותר במקרים אחרים, כגון בהם היה מדובר באירועים מתגלגלים וכיוב'. </w:t>
      </w:r>
    </w:p>
    <w:p w14:paraId="27DEDDD5" w14:textId="77777777" w:rsidR="0075794C" w:rsidRDefault="0075794C" w:rsidP="0075794C">
      <w:pPr>
        <w:spacing w:line="360" w:lineRule="auto"/>
        <w:ind w:left="2" w:firstLine="778"/>
        <w:jc w:val="both"/>
        <w:rPr>
          <w:rFonts w:ascii="David" w:hAnsi="David"/>
          <w:rtl/>
        </w:rPr>
      </w:pPr>
      <w:r>
        <w:rPr>
          <w:rFonts w:ascii="David" w:hAnsi="David"/>
          <w:rtl/>
        </w:rPr>
        <w:t>וראו התייחסות בתי המשפט בהתייחס לנסיבות השונות של המקרים:</w:t>
      </w:r>
    </w:p>
    <w:p w14:paraId="2BF108AD" w14:textId="77777777" w:rsidR="0075794C" w:rsidRDefault="0075794C" w:rsidP="0075794C">
      <w:pPr>
        <w:ind w:left="720" w:firstLine="60"/>
        <w:jc w:val="both"/>
        <w:rPr>
          <w:rFonts w:ascii="David" w:hAnsi="David"/>
          <w:rtl/>
        </w:rPr>
      </w:pPr>
    </w:p>
    <w:p w14:paraId="58E69596" w14:textId="77777777" w:rsidR="0075794C" w:rsidRDefault="0037529A" w:rsidP="0075794C">
      <w:pPr>
        <w:spacing w:line="360" w:lineRule="auto"/>
        <w:ind w:left="720"/>
        <w:jc w:val="both"/>
        <w:rPr>
          <w:rFonts w:ascii="David" w:hAnsi="David"/>
          <w:rtl/>
        </w:rPr>
      </w:pPr>
      <w:hyperlink r:id="rId30" w:history="1">
        <w:r w:rsidRPr="0037529A">
          <w:rPr>
            <w:rFonts w:ascii="David" w:hAnsi="David"/>
            <w:color w:val="0000FF"/>
            <w:u w:val="single"/>
            <w:rtl/>
          </w:rPr>
          <w:t>ע"פ 8470/19</w:t>
        </w:r>
      </w:hyperlink>
      <w:r w:rsidR="0075794C">
        <w:rPr>
          <w:rFonts w:ascii="David" w:hAnsi="David"/>
          <w:rtl/>
        </w:rPr>
        <w:t xml:space="preserve">, 3426/20 </w:t>
      </w:r>
      <w:r w:rsidR="0075794C">
        <w:rPr>
          <w:rFonts w:ascii="David" w:hAnsi="David"/>
          <w:b/>
          <w:bCs/>
          <w:rtl/>
        </w:rPr>
        <w:t>מדינת ישראל נ' קונסטנטין בורובסקי</w:t>
      </w:r>
      <w:r w:rsidR="0075794C">
        <w:rPr>
          <w:rFonts w:ascii="David" w:hAnsi="David"/>
          <w:rtl/>
        </w:rPr>
        <w:t xml:space="preserve"> (25.8.2021) – על רקע בקשתו של המשיב לרכוש מהמנוח סמים, תקף המשיב את המנוח באגרופים בפניו והיכה בו עם בקבוק בירה מזכוכית, בהמשך  לאחר שהמנוח הלך אחרי המשיב וצעק לו שיחזיר לו את הפלאפון שלו, שב המשיב ותקף את המנוח במכת אגרוף. מותו של המנוח נגרם כתוצאה מהחבלות הקהות בראשו. הנאשם הורשע בעבירה של המתה בקלות דעת ובית המשפט המחוזי קבע את מתחם העונש בין 3-9 שנות מאסר וגזר על המשיב חמש וחצי שנות מאסר בפועל, מאסר על תנאי ופיצוי כספי על סך 75,000 ₪ לאימו של המנוח. בית המשפט העליון קבע כי לאור העובדה שהתנהגותו של המשיב כללה הפעלת אלימות ממשית ומכוונת כלפי המנוח שנועדה לפגוע בו והובילה בסופו של דבר למותו ולאור האכזריות שבמעשיו, העונש אינו נותן ביטוי הולם לערך קדושת החיים  והחמיר את עונש המאסר </w:t>
      </w:r>
      <w:r w:rsidR="0075794C">
        <w:rPr>
          <w:rFonts w:ascii="David" w:hAnsi="David"/>
          <w:u w:val="single"/>
          <w:rtl/>
        </w:rPr>
        <w:t>לריצוי בפועל ל 7 שנים.</w:t>
      </w:r>
    </w:p>
    <w:p w14:paraId="210572F0" w14:textId="77777777" w:rsidR="0075794C" w:rsidRDefault="0075794C" w:rsidP="0075794C">
      <w:pPr>
        <w:ind w:left="720"/>
        <w:jc w:val="both"/>
        <w:rPr>
          <w:rFonts w:ascii="David" w:hAnsi="David"/>
          <w:rtl/>
        </w:rPr>
      </w:pPr>
    </w:p>
    <w:p w14:paraId="691713B0" w14:textId="77777777" w:rsidR="0075794C" w:rsidRDefault="0037529A" w:rsidP="0075794C">
      <w:pPr>
        <w:spacing w:line="360" w:lineRule="auto"/>
        <w:ind w:left="720"/>
        <w:jc w:val="both"/>
        <w:rPr>
          <w:rFonts w:ascii="David" w:hAnsi="David"/>
          <w:b/>
          <w:bCs/>
          <w:rtl/>
        </w:rPr>
      </w:pPr>
      <w:hyperlink r:id="rId31" w:history="1">
        <w:r w:rsidRPr="0037529A">
          <w:rPr>
            <w:rFonts w:ascii="David" w:hAnsi="David"/>
            <w:color w:val="0000FF"/>
            <w:u w:val="single"/>
            <w:rtl/>
          </w:rPr>
          <w:t>ע"פ 6404/20</w:t>
        </w:r>
      </w:hyperlink>
      <w:r w:rsidR="0075794C">
        <w:rPr>
          <w:rFonts w:ascii="David" w:hAnsi="David"/>
          <w:rtl/>
        </w:rPr>
        <w:t>, 6460/20 בעניין</w:t>
      </w:r>
      <w:r w:rsidR="0075794C">
        <w:rPr>
          <w:rFonts w:ascii="David" w:hAnsi="David"/>
          <w:b/>
          <w:bCs/>
          <w:rtl/>
        </w:rPr>
        <w:t xml:space="preserve"> עבאסי </w:t>
      </w:r>
      <w:r w:rsidR="0075794C">
        <w:rPr>
          <w:rFonts w:ascii="David" w:hAnsi="David"/>
          <w:rtl/>
        </w:rPr>
        <w:t xml:space="preserve">(אוזכר לעיל)- על רקע סכסוך משפחות הגיע המערער כשהוא  עם אחרים במטרה לתקוף את משפחת הנפגעים. המערער הגיע כשהוא מחזיק בסכין ובמהלך הקטטה שפרצה דקר את המנוח ובן משפחה נוסף. המערער הורשע ע"פ הודאתו בעבירה של המתה בקלות דעת בצוותא וחבלה בכוונה מחמירה. בית המשפט המחוזי גזר על המערער עונש </w:t>
      </w:r>
      <w:r w:rsidR="0075794C">
        <w:rPr>
          <w:rFonts w:ascii="David" w:hAnsi="David"/>
          <w:u w:val="single"/>
          <w:rtl/>
        </w:rPr>
        <w:t>של 12 שנות מאסר בפועל</w:t>
      </w:r>
      <w:r w:rsidR="0075794C">
        <w:rPr>
          <w:rFonts w:ascii="David" w:hAnsi="David"/>
          <w:rtl/>
        </w:rPr>
        <w:t>, 8 חודשי מאסר על תנאי ופיצוי למשפחת הנפגעים בסך 90,000 ₪ בית המשפט העליון  קבע כי אכן מדובר בעונש ברף הגבוה ואולם לאור העובדה שהיה מדובר באירוע אלימות קשה, דחה את הערעור.</w:t>
      </w:r>
    </w:p>
    <w:p w14:paraId="355B311D" w14:textId="77777777" w:rsidR="0075794C" w:rsidRDefault="0075794C" w:rsidP="0075794C">
      <w:pPr>
        <w:ind w:left="720"/>
        <w:jc w:val="both"/>
        <w:rPr>
          <w:rFonts w:ascii="David" w:hAnsi="David"/>
          <w:rtl/>
        </w:rPr>
      </w:pPr>
    </w:p>
    <w:p w14:paraId="0677E7C7" w14:textId="77777777" w:rsidR="0075794C" w:rsidRDefault="0037529A" w:rsidP="0075794C">
      <w:pPr>
        <w:spacing w:line="360" w:lineRule="auto"/>
        <w:ind w:left="720"/>
        <w:jc w:val="both"/>
        <w:rPr>
          <w:rFonts w:ascii="David" w:hAnsi="David"/>
          <w:rtl/>
        </w:rPr>
      </w:pPr>
      <w:hyperlink r:id="rId32" w:history="1">
        <w:r w:rsidRPr="0037529A">
          <w:rPr>
            <w:rFonts w:ascii="David" w:hAnsi="David"/>
            <w:color w:val="0000FF"/>
            <w:u w:val="single"/>
            <w:rtl/>
          </w:rPr>
          <w:t>ע"פ 8718/20</w:t>
        </w:r>
      </w:hyperlink>
      <w:r w:rsidR="0075794C">
        <w:rPr>
          <w:rFonts w:ascii="David" w:hAnsi="David"/>
          <w:rtl/>
        </w:rPr>
        <w:t xml:space="preserve">, 8801/20 </w:t>
      </w:r>
      <w:r w:rsidR="0075794C">
        <w:rPr>
          <w:rFonts w:ascii="David" w:hAnsi="David"/>
          <w:b/>
          <w:bCs/>
          <w:rtl/>
        </w:rPr>
        <w:t>פלוני נ' מדינת ישראל (</w:t>
      </w:r>
      <w:r w:rsidR="0075794C">
        <w:rPr>
          <w:rFonts w:ascii="David" w:hAnsi="David"/>
          <w:rtl/>
        </w:rPr>
        <w:t>7.12.2022)-</w:t>
      </w:r>
      <w:r w:rsidR="0075794C">
        <w:rPr>
          <w:szCs w:val="26"/>
          <w:rtl/>
        </w:rPr>
        <w:t xml:space="preserve"> </w:t>
      </w:r>
      <w:r w:rsidR="0075794C">
        <w:rPr>
          <w:rFonts w:ascii="David" w:hAnsi="David"/>
          <w:rtl/>
        </w:rPr>
        <w:t xml:space="preserve">המערערים הורשעו בעבירות חמורות וביניהן המתה בקלות דעת בעקבות מותה של המנוחה אשר נסעה עימם ברכב. המערערים נסעו בפראות ובמהירות מופרזת בניסיון להימלט משוטרים, הפרו את כללי התעבורה וסיכנו רבים במהלך נסיעתם. כל זאת כאשר לקטין שנהג ברכב בהסכמת הבגיר לא היה רישיון נהיגה, וכאשר המערערים הורשעו בעבר בנהיגה ללא רישיון. ניסיון ההימלטות הסתיים בתאונה קשה וקטלנית ובמקום להושיט עזרה למנוחה ולהזעיק את גופי ההצלה, המערערים המשיכו בניסיון הימלטותם. בית המשפט המחוזי גזר על הבגיר 8 שנות מאסר לריצוי בפועל ועונשים נלווים ואילו על הקטין גזר 9 שנות מאסר לריצוי בפועל בצירוף עונשים נלווים. בית המשפט העליון קבע כי בנסיבות העניין יש להפחית בעונשים </w:t>
      </w:r>
      <w:r w:rsidR="0075794C">
        <w:rPr>
          <w:rFonts w:ascii="David" w:hAnsi="David"/>
          <w:u w:val="single"/>
          <w:rtl/>
        </w:rPr>
        <w:t>והעמיד את תקופת המאסר בפועל על 7 שנים.</w:t>
      </w:r>
    </w:p>
    <w:p w14:paraId="41036049" w14:textId="77777777" w:rsidR="0075794C" w:rsidRDefault="0075794C" w:rsidP="0075794C">
      <w:pPr>
        <w:ind w:left="720"/>
        <w:jc w:val="both"/>
        <w:rPr>
          <w:rFonts w:ascii="David" w:hAnsi="David"/>
          <w:rtl/>
        </w:rPr>
      </w:pPr>
    </w:p>
    <w:p w14:paraId="3991A3B1" w14:textId="77777777" w:rsidR="0075794C" w:rsidRDefault="0037529A" w:rsidP="0075794C">
      <w:pPr>
        <w:keepNext/>
        <w:tabs>
          <w:tab w:val="left" w:pos="397"/>
          <w:tab w:val="left" w:pos="794"/>
        </w:tabs>
        <w:spacing w:line="360" w:lineRule="auto"/>
        <w:ind w:left="720"/>
        <w:jc w:val="both"/>
        <w:rPr>
          <w:rFonts w:ascii="David" w:hAnsi="David"/>
          <w:rtl/>
        </w:rPr>
      </w:pPr>
      <w:hyperlink r:id="rId33" w:history="1">
        <w:r w:rsidRPr="0037529A">
          <w:rPr>
            <w:rFonts w:ascii="David" w:hAnsi="David"/>
            <w:color w:val="0000FF"/>
            <w:u w:val="single"/>
            <w:rtl/>
          </w:rPr>
          <w:t>תפ"ח (מחוזי ירושלים) 48909-11-20</w:t>
        </w:r>
      </w:hyperlink>
      <w:r w:rsidR="0075794C">
        <w:rPr>
          <w:rFonts w:ascii="David" w:hAnsi="David"/>
          <w:rtl/>
        </w:rPr>
        <w:t xml:space="preserve"> </w:t>
      </w:r>
      <w:r w:rsidR="0075794C">
        <w:rPr>
          <w:rFonts w:ascii="David" w:hAnsi="David"/>
          <w:b/>
          <w:bCs/>
          <w:rtl/>
        </w:rPr>
        <w:t xml:space="preserve">מדינת ישראל נ' אוחיון </w:t>
      </w:r>
      <w:r w:rsidR="0075794C">
        <w:rPr>
          <w:rFonts w:ascii="David" w:hAnsi="David"/>
          <w:rtl/>
        </w:rPr>
        <w:t>(25.1.2023)</w:t>
      </w:r>
      <w:r w:rsidR="0075794C">
        <w:rPr>
          <w:rFonts w:ascii="David" w:hAnsi="David"/>
          <w:b/>
          <w:bCs/>
          <w:rtl/>
        </w:rPr>
        <w:t>-</w:t>
      </w:r>
      <w:r w:rsidR="0075794C">
        <w:rPr>
          <w:rFonts w:ascii="David" w:hAnsi="David"/>
          <w:rtl/>
        </w:rPr>
        <w:t xml:space="preserve">על רקע שימוש בסמים וחשדו של המשיב בכך שהמנוח גנב לו את הפלאפון, התפתח עימות מילולי ופיסי בין המשיב למנוח. כתוצאה מהמאבק בין השניים נגרמו למנוח מס' חתכים מחפץ חד, אחד מהם פצע דקירה בחזה שגרם למותו. הנאשם הורשע לאחר שמיעת ראיות בעבירה של המתה בקלות דעת. בית המשפט קבע את מתחם הענישה בין 8-12 שנות מאסר בפועל וגזר </w:t>
      </w:r>
      <w:r w:rsidR="0075794C">
        <w:rPr>
          <w:rFonts w:ascii="David" w:hAnsi="David"/>
          <w:u w:val="single"/>
          <w:rtl/>
        </w:rPr>
        <w:t>על הנאשם 9 שנות מאסר לריצוי בפועל ועונשים נלווים.</w:t>
      </w:r>
    </w:p>
    <w:p w14:paraId="2341889B" w14:textId="77777777" w:rsidR="0075794C" w:rsidRDefault="0075794C" w:rsidP="0075794C">
      <w:pPr>
        <w:keepNext/>
        <w:tabs>
          <w:tab w:val="left" w:pos="397"/>
          <w:tab w:val="left" w:pos="794"/>
        </w:tabs>
        <w:ind w:left="720"/>
        <w:jc w:val="both"/>
        <w:rPr>
          <w:rFonts w:ascii="David" w:hAnsi="David"/>
          <w:rtl/>
        </w:rPr>
      </w:pPr>
    </w:p>
    <w:p w14:paraId="24226AD7" w14:textId="77777777" w:rsidR="0075794C" w:rsidRDefault="0037529A" w:rsidP="0075794C">
      <w:pPr>
        <w:keepNext/>
        <w:tabs>
          <w:tab w:val="left" w:pos="397"/>
          <w:tab w:val="left" w:pos="794"/>
        </w:tabs>
        <w:spacing w:line="360" w:lineRule="auto"/>
        <w:ind w:left="720"/>
        <w:jc w:val="both"/>
        <w:rPr>
          <w:rFonts w:ascii="David" w:hAnsi="David"/>
          <w:u w:val="single"/>
          <w:rtl/>
        </w:rPr>
      </w:pPr>
      <w:hyperlink r:id="rId34" w:history="1">
        <w:r w:rsidRPr="0037529A">
          <w:rPr>
            <w:rFonts w:ascii="David" w:hAnsi="David"/>
            <w:color w:val="0000FF"/>
            <w:u w:val="single"/>
            <w:rtl/>
          </w:rPr>
          <w:t>ת"פ (מחוזי חיפה) 44691-09-18</w:t>
        </w:r>
      </w:hyperlink>
      <w:r w:rsidR="0075794C">
        <w:rPr>
          <w:rFonts w:ascii="David" w:hAnsi="David"/>
          <w:rtl/>
        </w:rPr>
        <w:t xml:space="preserve"> </w:t>
      </w:r>
      <w:r w:rsidR="0075794C">
        <w:rPr>
          <w:rFonts w:ascii="David" w:hAnsi="David"/>
          <w:b/>
          <w:bCs/>
          <w:rtl/>
        </w:rPr>
        <w:t>מדינת ישראל נ' פזטנו (</w:t>
      </w:r>
      <w:r w:rsidR="0075794C">
        <w:rPr>
          <w:rFonts w:ascii="David" w:hAnsi="David"/>
          <w:rtl/>
        </w:rPr>
        <w:t>23.12.2019)</w:t>
      </w:r>
      <w:r w:rsidR="0075794C">
        <w:rPr>
          <w:rFonts w:ascii="David" w:hAnsi="David"/>
          <w:b/>
          <w:bCs/>
          <w:rtl/>
        </w:rPr>
        <w:t>-</w:t>
      </w:r>
      <w:r w:rsidR="0075794C">
        <w:rPr>
          <w:rFonts w:ascii="David" w:hAnsi="David"/>
          <w:rtl/>
        </w:rPr>
        <w:t xml:space="preserve">הנאשם תקף את המנוח על רקע סכסוך בין המנוח לחבריו. הנאשם היכה את המנוח באגרוף בראשו, המנוח נפל לארץ ואיבד את הכרתו. הנאשם החל לבצע במנוח פעולות החייאה, ובמקביל ביקש מאדם נוסף שנכח במקום שיזמין אמבולנס. הנאשם הורשע, על פי הודאתו, בעבירה שעניינה המתה בקלות דעת, וכן בתקיפה הגורמת חבלה ממשית והדחה בחקירה. בשל קשיים ראייתיים הוסכם בין הצדדים על טווח ענישה בין 4-6שנים. בית המשפט הביא בחשבון שהנאשם לא חפץ במות המנוח , לא הצטייד בכלי נשק מבעוד מועד ואף ניסה לסייע בהחייאת המנוח והזמנת מד"א למקום. בית המשפט </w:t>
      </w:r>
      <w:r w:rsidR="0075794C">
        <w:rPr>
          <w:rFonts w:ascii="David" w:hAnsi="David"/>
          <w:u w:val="single"/>
          <w:rtl/>
        </w:rPr>
        <w:t>העמיד מתחם הענישה בין 3-9 שנות מאסר וגזר על הנאשם 54 חודשי מאסר לריצוי בפועל וכן עונשים</w:t>
      </w:r>
      <w:r w:rsidR="0075794C">
        <w:rPr>
          <w:sz w:val="28"/>
          <w:szCs w:val="32"/>
          <w:u w:val="single"/>
          <w:rtl/>
        </w:rPr>
        <w:t xml:space="preserve"> </w:t>
      </w:r>
      <w:r w:rsidR="0075794C">
        <w:rPr>
          <w:rFonts w:ascii="David" w:hAnsi="David"/>
          <w:u w:val="single"/>
          <w:rtl/>
        </w:rPr>
        <w:t>נלווים.</w:t>
      </w:r>
    </w:p>
    <w:p w14:paraId="57698D5A" w14:textId="77777777" w:rsidR="0075794C" w:rsidRDefault="0075794C" w:rsidP="0075794C">
      <w:pPr>
        <w:keepNext/>
        <w:tabs>
          <w:tab w:val="left" w:pos="397"/>
          <w:tab w:val="left" w:pos="794"/>
        </w:tabs>
        <w:ind w:left="720"/>
        <w:jc w:val="both"/>
        <w:rPr>
          <w:rFonts w:ascii="Arial" w:hAnsi="Arial" w:cs="FrankRuehl"/>
          <w:szCs w:val="28"/>
        </w:rPr>
      </w:pPr>
    </w:p>
    <w:p w14:paraId="076087F8" w14:textId="77777777" w:rsidR="0075794C" w:rsidRPr="0075794C" w:rsidRDefault="0037529A" w:rsidP="0075794C">
      <w:pPr>
        <w:keepNext/>
        <w:tabs>
          <w:tab w:val="left" w:pos="397"/>
          <w:tab w:val="left" w:pos="794"/>
        </w:tabs>
        <w:spacing w:line="360" w:lineRule="auto"/>
        <w:ind w:left="720"/>
        <w:jc w:val="both"/>
        <w:rPr>
          <w:rFonts w:ascii="Calibri" w:hAnsi="Calibri" w:cs="Arial"/>
          <w:szCs w:val="22"/>
          <w:rtl/>
        </w:rPr>
      </w:pPr>
      <w:hyperlink r:id="rId35" w:history="1">
        <w:r w:rsidRPr="0037529A">
          <w:rPr>
            <w:rFonts w:ascii="David" w:hAnsi="David"/>
            <w:color w:val="0000FF"/>
            <w:u w:val="single"/>
            <w:rtl/>
          </w:rPr>
          <w:t>ת"פ (מחוזי ב"ש) 36765-05-19</w:t>
        </w:r>
      </w:hyperlink>
      <w:r w:rsidR="0075794C">
        <w:rPr>
          <w:rFonts w:ascii="David" w:hAnsi="David"/>
          <w:rtl/>
        </w:rPr>
        <w:t xml:space="preserve"> </w:t>
      </w:r>
      <w:r w:rsidR="0075794C">
        <w:rPr>
          <w:rFonts w:ascii="David" w:hAnsi="David" w:hint="cs"/>
          <w:b/>
          <w:bCs/>
          <w:rtl/>
        </w:rPr>
        <w:t>מדינת ישראל נ' אטייקה</w:t>
      </w:r>
      <w:r w:rsidR="0075794C">
        <w:rPr>
          <w:rFonts w:ascii="David" w:hAnsi="David" w:hint="cs"/>
          <w:rtl/>
        </w:rPr>
        <w:t xml:space="preserve"> (27.5.2020) –לאחר בילוי משותף שבמהלכו שתו המעורבים אלכוהול, פרצה קטטה שבמהלכה הכה המנוח את הנאשם ואדם נוסף באמצעות קרש ואילו הנאשם דקר אותו בירכו. השניים פינו את המנוח אל מוקד חירום שהיה סגור ומשם אל מוקד מד"א ומשם הוא פונה באמבולנס ובמהלך הפינוי נקבע מותו. הנאשם הורשע על פי הודאתו בעבירה של המתה בקלות דעת והצדדים הגיעו להסדר טיעון לפיו המאשימה תטען לעונש מאסר של 5 וחצי שנות מאסר בפועל, מאסר על תנאי ופיצוי למשפחת המנוח, והנאשם יטען טיעון פתוח לעונש. בית המשפט קבע כי לצד החומרה הרבה של נסיבות ביצוע המעשה, אין מדובר בדקירה באזורים המועדים לסכנה או כזו המעידה על כוונה של המבצע. כן הביא בית המשפט בחשבון שלאחר ביצוע המעשה, הנאשם ניסה ככל יכולתו, לעזור למנוח ולהביאו לקבלת טיפול. בהתאם גזר על הנאשם </w:t>
      </w:r>
      <w:r w:rsidR="0075794C">
        <w:rPr>
          <w:rFonts w:ascii="David" w:hAnsi="David" w:hint="cs"/>
          <w:u w:val="single"/>
          <w:rtl/>
        </w:rPr>
        <w:t>מאסר בפועל למשך 40 חודשים</w:t>
      </w:r>
      <w:r w:rsidR="0075794C">
        <w:rPr>
          <w:rFonts w:ascii="David" w:hAnsi="David" w:hint="cs"/>
          <w:rtl/>
        </w:rPr>
        <w:t>, וכן עונשים נלווים.</w:t>
      </w:r>
    </w:p>
    <w:p w14:paraId="1D4CF981" w14:textId="77777777" w:rsidR="0075794C" w:rsidRDefault="0075794C" w:rsidP="0075794C">
      <w:pPr>
        <w:keepNext/>
        <w:tabs>
          <w:tab w:val="left" w:pos="397"/>
          <w:tab w:val="left" w:pos="794"/>
        </w:tabs>
        <w:ind w:left="720"/>
        <w:jc w:val="both"/>
        <w:rPr>
          <w:rFonts w:ascii="Arial" w:hAnsi="Arial" w:cs="FrankRuehl"/>
          <w:szCs w:val="28"/>
          <w:rtl/>
        </w:rPr>
      </w:pPr>
    </w:p>
    <w:p w14:paraId="2D0C9D7C" w14:textId="77777777" w:rsidR="0075794C" w:rsidRDefault="0037529A" w:rsidP="0075794C">
      <w:pPr>
        <w:keepNext/>
        <w:tabs>
          <w:tab w:val="left" w:pos="397"/>
          <w:tab w:val="left" w:pos="794"/>
        </w:tabs>
        <w:spacing w:line="360" w:lineRule="auto"/>
        <w:ind w:left="720"/>
        <w:jc w:val="both"/>
        <w:rPr>
          <w:rFonts w:ascii="David" w:hAnsi="David"/>
          <w:szCs w:val="22"/>
          <w:rtl/>
        </w:rPr>
      </w:pPr>
      <w:hyperlink r:id="rId36" w:history="1">
        <w:r w:rsidRPr="0037529A">
          <w:rPr>
            <w:rFonts w:ascii="David" w:hAnsi="David"/>
            <w:color w:val="0000FF"/>
            <w:u w:val="single"/>
            <w:rtl/>
          </w:rPr>
          <w:t>ת"פ (מחוזי ב"ש) 4781-05-18</w:t>
        </w:r>
      </w:hyperlink>
      <w:r w:rsidR="0075794C">
        <w:rPr>
          <w:rFonts w:ascii="David" w:hAnsi="David"/>
          <w:rtl/>
        </w:rPr>
        <w:t xml:space="preserve"> </w:t>
      </w:r>
      <w:r w:rsidR="0075794C">
        <w:rPr>
          <w:rFonts w:ascii="David" w:hAnsi="David" w:hint="cs"/>
          <w:b/>
          <w:bCs/>
          <w:rtl/>
        </w:rPr>
        <w:t>מדינת ישראל נ' מירזייב</w:t>
      </w:r>
      <w:r w:rsidR="0075794C">
        <w:rPr>
          <w:rFonts w:ascii="David" w:hAnsi="David" w:hint="cs"/>
          <w:rtl/>
        </w:rPr>
        <w:t xml:space="preserve"> (10.9.2020) –על רקע ויכוח על מחיר מכירת בקבוק אלכוהול החל עימות אלים שבמהלכו המנוח אחז בסכין, אך בסופו של דבר הוטל לקרקע ממכסה המנוע שעליו עלה, נחבל בראשו ומת מפצעיו לאחר כשבוע אשפוז. הנאשם הורשע לאחר שמיעת הראיות בעבירת הריגה (סעיף 298)</w:t>
      </w:r>
      <w:r w:rsidR="0075794C">
        <w:rPr>
          <w:rFonts w:ascii="David" w:hAnsi="David"/>
          <w:rtl/>
        </w:rPr>
        <w:t xml:space="preserve">. בית המשפט קבע </w:t>
      </w:r>
      <w:r w:rsidR="0075794C">
        <w:rPr>
          <w:rFonts w:ascii="David" w:hAnsi="David"/>
          <w:u w:val="single"/>
          <w:rtl/>
        </w:rPr>
        <w:t>מתחם עונש בין 5 ל-10 שנות מאסר וגזר על הנאשם 6 שנות מאסר</w:t>
      </w:r>
      <w:r w:rsidR="0075794C">
        <w:rPr>
          <w:rFonts w:ascii="David" w:hAnsi="David"/>
          <w:rtl/>
        </w:rPr>
        <w:t xml:space="preserve"> ועונשים נלווים. יצוין כי בצד התוצאה הקשה הביא בית המשפט בחשבון </w:t>
      </w:r>
      <w:r w:rsidR="0075794C">
        <w:rPr>
          <w:rFonts w:ascii="David" w:hAnsi="David"/>
          <w:color w:val="000000"/>
          <w:spacing w:val="10"/>
          <w:rtl/>
        </w:rPr>
        <w:t>את העובדה שלא היה מדובר באירוע מתוכנן אלא באירוע "מתגלגל", התנהגותו האלימה של המנוח עצמו, העובדה שהמערער לא התכוון להמית את המנוח, בקשת המערער לקרוא לעזרת המשטרה במהלך האירוע, והתקיימות קרבה לסייג הגנה עצמית וההתגרות. ערעור שהגיש הנאשם לבית המשפט העליון נדחה. יצוין כי בית המשפט העליון</w:t>
      </w:r>
      <w:r w:rsidR="0075794C">
        <w:rPr>
          <w:rFonts w:ascii="David" w:hAnsi="David"/>
          <w:rtl/>
        </w:rPr>
        <w:t xml:space="preserve">  קבע כי הפגיעה שהובילה למוות הייתה מכוונת וכי המערער פעל באדישות ולא בקלות דעת. ואף לא מתקיימת קרבה להגנה עצמית. כאמור העונש נותר על כנו.</w:t>
      </w:r>
    </w:p>
    <w:p w14:paraId="58026CCC" w14:textId="77777777" w:rsidR="0075794C" w:rsidRDefault="0075794C" w:rsidP="0075794C">
      <w:pPr>
        <w:keepNext/>
        <w:tabs>
          <w:tab w:val="left" w:pos="397"/>
          <w:tab w:val="left" w:pos="794"/>
        </w:tabs>
        <w:ind w:left="720"/>
        <w:jc w:val="both"/>
        <w:rPr>
          <w:rFonts w:ascii="David" w:hAnsi="David"/>
          <w:rtl/>
        </w:rPr>
      </w:pPr>
    </w:p>
    <w:p w14:paraId="7014A446" w14:textId="77777777" w:rsidR="0075794C" w:rsidRDefault="0075794C" w:rsidP="0075794C">
      <w:pPr>
        <w:spacing w:line="360" w:lineRule="auto"/>
        <w:ind w:left="720" w:hanging="720"/>
        <w:jc w:val="both"/>
        <w:rPr>
          <w:rFonts w:ascii="David" w:hAnsi="David"/>
          <w:rtl/>
        </w:rPr>
      </w:pPr>
      <w:r>
        <w:rPr>
          <w:rFonts w:ascii="David" w:hAnsi="David"/>
          <w:rtl/>
        </w:rPr>
        <w:t>9.</w:t>
      </w:r>
      <w:r>
        <w:rPr>
          <w:rFonts w:ascii="David" w:hAnsi="David"/>
          <w:rtl/>
        </w:rPr>
        <w:tab/>
        <w:t xml:space="preserve">לאחר עיון בפסיקה, בהתאם לעיקרון ההלימה בהתייחס לפגיעה החמורה של הנאשם בערכים החברתיים שפורטו לעיל ובראשם קדושת החיים ולאחר בחינת כל הנסיבות הקשורות לביצוע העבירה ואשר פורטו לעיל, לרבות הגעה עם אקדח טעון ודרוך, אך משאין המדובר בתקיפה אכזרית, אלא בירי תוך כדי מאבק לאחר שמוחמד היכה עם פטיש בראשו ותוך הבאה בחשבון את הנזק שנגרם למשפחת המנוח, ואשר גם הנאשם הינו חלק ממנה ובהתחשב במדיניות הענישה הנהוגה, נראה כי מתחם העונש ההולם את העבירות שביצע הנאשם, נע בין 5 ל-11 שנות מאסר בפועל, בצירוף עונשים נלווים. </w:t>
      </w:r>
    </w:p>
    <w:p w14:paraId="62EF0D49" w14:textId="77777777" w:rsidR="0075794C" w:rsidRDefault="0075794C" w:rsidP="0075794C">
      <w:pPr>
        <w:ind w:left="720" w:hanging="720"/>
        <w:jc w:val="both"/>
        <w:rPr>
          <w:rFonts w:ascii="David" w:hAnsi="David"/>
          <w:rtl/>
        </w:rPr>
      </w:pPr>
    </w:p>
    <w:p w14:paraId="07DD8D1A" w14:textId="77777777" w:rsidR="0075794C" w:rsidRDefault="0075794C" w:rsidP="0075794C">
      <w:pPr>
        <w:spacing w:line="360" w:lineRule="auto"/>
        <w:ind w:left="720" w:hanging="720"/>
        <w:jc w:val="both"/>
        <w:rPr>
          <w:rFonts w:ascii="David" w:hAnsi="David"/>
          <w:rtl/>
        </w:rPr>
      </w:pPr>
      <w:r>
        <w:rPr>
          <w:rFonts w:ascii="David" w:hAnsi="David"/>
          <w:rtl/>
        </w:rPr>
        <w:t>10.</w:t>
      </w:r>
      <w:r>
        <w:rPr>
          <w:rFonts w:ascii="David" w:hAnsi="David"/>
          <w:rtl/>
        </w:rPr>
        <w:tab/>
      </w:r>
      <w:r>
        <w:rPr>
          <w:rFonts w:ascii="David" w:hAnsi="David"/>
          <w:b/>
          <w:bCs/>
          <w:rtl/>
        </w:rPr>
        <w:t xml:space="preserve">קביעת העונש הראוי לנאשם </w:t>
      </w:r>
      <w:r>
        <w:rPr>
          <w:rFonts w:ascii="David" w:hAnsi="David"/>
          <w:rtl/>
        </w:rPr>
        <w:t>–  קביעת עונשו של נאשם תיעשה בתוך המתחם שנקבע, אלא אם כן ישנן נסיבות המצדיקות סטייה ממנו</w:t>
      </w:r>
      <w:r>
        <w:rPr>
          <w:rFonts w:ascii="David" w:hAnsi="David"/>
          <w:b/>
          <w:bCs/>
          <w:rtl/>
        </w:rPr>
        <w:t xml:space="preserve">. </w:t>
      </w:r>
      <w:r>
        <w:rPr>
          <w:rFonts w:ascii="David" w:hAnsi="David"/>
          <w:rtl/>
        </w:rPr>
        <w:t>לא מצאתי כי במקרה דנן הוצגו נסיבות המצדיקות סטייה ממתחם העונש שנקבע כאמור לעיל ולפיכך העונש ייגזר במתחם שנקבע.</w:t>
      </w:r>
    </w:p>
    <w:p w14:paraId="597AE148" w14:textId="77777777" w:rsidR="0075794C" w:rsidRDefault="0075794C" w:rsidP="0075794C">
      <w:pPr>
        <w:keepNext/>
        <w:tabs>
          <w:tab w:val="left" w:pos="397"/>
          <w:tab w:val="left" w:pos="794"/>
        </w:tabs>
        <w:spacing w:line="360" w:lineRule="auto"/>
        <w:ind w:left="720" w:hanging="720"/>
        <w:jc w:val="both"/>
        <w:rPr>
          <w:rFonts w:ascii="David" w:hAnsi="David"/>
          <w:rtl/>
        </w:rPr>
      </w:pPr>
      <w:r>
        <w:rPr>
          <w:rFonts w:ascii="David" w:hAnsi="David"/>
          <w:b/>
          <w:bCs/>
          <w:rtl/>
        </w:rPr>
        <w:tab/>
      </w:r>
      <w:r>
        <w:rPr>
          <w:rFonts w:ascii="David" w:hAnsi="David"/>
          <w:b/>
          <w:bCs/>
          <w:rtl/>
        </w:rPr>
        <w:tab/>
      </w:r>
      <w:r>
        <w:rPr>
          <w:rFonts w:ascii="David" w:hAnsi="David"/>
          <w:rtl/>
        </w:rPr>
        <w:t xml:space="preserve">העונש הראוי בתוך המתחם נקבע על פי </w:t>
      </w:r>
      <w:r>
        <w:rPr>
          <w:rFonts w:ascii="David" w:hAnsi="David"/>
          <w:b/>
          <w:bCs/>
          <w:rtl/>
        </w:rPr>
        <w:t>נסיבות שאינן קשורות בביצוע העבירה ובנסיבותיה(</w:t>
      </w:r>
      <w:hyperlink r:id="rId37" w:history="1">
        <w:r w:rsidR="00565EE9" w:rsidRPr="00565EE9">
          <w:rPr>
            <w:rStyle w:val="Hyperlink"/>
            <w:rFonts w:ascii="David" w:hAnsi="David"/>
            <w:rtl/>
          </w:rPr>
          <w:t>סעיף 40יא</w:t>
        </w:r>
      </w:hyperlink>
      <w:r>
        <w:rPr>
          <w:rFonts w:ascii="David" w:hAnsi="David"/>
          <w:rtl/>
        </w:rPr>
        <w:t xml:space="preserve"> לחוק) - במקרה דנן, הנאשם אב ל 3 ילדים קטינים, נעדר עבר פלילי הודה בעובדות כתב האישום ולמרות שההודאה ניתנה לאחר מס' ישיבות הוכחות, עדיין חסך זמן שיפוטי ניכר בשמיעת המשך הראיות. אין המדובר בעבריין, אלא באדם נורמטיבי אשר עד לאירוע ניהל אורח חיים נורמטיבי, עבד ביחד עם אחיו המנוח ופרנס את משפחתו. אין ספק שהנאשם מתייסר על הריגת אחיו ויישא על עצמו כל חייו את האשמה בגין הטרגדיה שגרם למשפחתו שלו.</w:t>
      </w:r>
    </w:p>
    <w:p w14:paraId="5A2161E5" w14:textId="77777777" w:rsidR="0075794C" w:rsidRDefault="0075794C" w:rsidP="0075794C">
      <w:pPr>
        <w:ind w:left="720"/>
        <w:jc w:val="both"/>
        <w:rPr>
          <w:rFonts w:ascii="David" w:hAnsi="David"/>
          <w:rtl/>
        </w:rPr>
      </w:pPr>
    </w:p>
    <w:p w14:paraId="4DB566C2" w14:textId="77777777" w:rsidR="0075794C" w:rsidRDefault="0075794C" w:rsidP="0075794C">
      <w:pPr>
        <w:spacing w:line="360" w:lineRule="auto"/>
        <w:ind w:left="720"/>
        <w:jc w:val="both"/>
        <w:rPr>
          <w:rFonts w:ascii="David" w:hAnsi="David"/>
          <w:rtl/>
        </w:rPr>
      </w:pPr>
      <w:r>
        <w:rPr>
          <w:rFonts w:ascii="David" w:hAnsi="David"/>
          <w:rtl/>
        </w:rPr>
        <w:t>בצד האמור, יש להביא בחשבון בעת גזירת הדין גם שיקולי הרתעה הן של הנאשם והן של הציבור (</w:t>
      </w:r>
      <w:hyperlink r:id="rId38" w:history="1">
        <w:r w:rsidR="00565EE9" w:rsidRPr="00565EE9">
          <w:rPr>
            <w:rStyle w:val="Hyperlink"/>
            <w:rFonts w:ascii="David" w:hAnsi="David"/>
            <w:rtl/>
          </w:rPr>
          <w:t>סעיפים 40ו'</w:t>
        </w:r>
      </w:hyperlink>
      <w:r>
        <w:rPr>
          <w:rFonts w:ascii="David" w:hAnsi="David"/>
          <w:rtl/>
        </w:rPr>
        <w:t xml:space="preserve"> ו</w:t>
      </w:r>
      <w:hyperlink r:id="rId39" w:history="1">
        <w:r w:rsidR="00565EE9" w:rsidRPr="00565EE9">
          <w:rPr>
            <w:rStyle w:val="Hyperlink"/>
            <w:rFonts w:ascii="David" w:hAnsi="David"/>
            <w:rtl/>
          </w:rPr>
          <w:t>40ז'</w:t>
        </w:r>
      </w:hyperlink>
      <w:r>
        <w:rPr>
          <w:rFonts w:ascii="David" w:hAnsi="David"/>
          <w:rtl/>
        </w:rPr>
        <w:t xml:space="preserve"> לחוק), זאת במיוחד ביחס לחומרת העבירות ולסכנה הפוטנציאלית הטמונה בעבירות הנשק. סכנה זו בולטת דווקא במקרה זה ובתוצאתו הטראגית ויש להעביר בענישה מסר של הרתעת הרבים מפני נשיאת נשק או שימוש בנשק כפתרון לסכסוכים. </w:t>
      </w:r>
    </w:p>
    <w:p w14:paraId="4333EEC7" w14:textId="77777777" w:rsidR="0075794C" w:rsidRDefault="0075794C" w:rsidP="0075794C">
      <w:pPr>
        <w:ind w:left="720"/>
        <w:jc w:val="both"/>
        <w:rPr>
          <w:rFonts w:ascii="David" w:hAnsi="David"/>
          <w:rtl/>
        </w:rPr>
      </w:pPr>
    </w:p>
    <w:p w14:paraId="3A5C1B04" w14:textId="77777777" w:rsidR="0075794C" w:rsidRDefault="0075794C" w:rsidP="0075794C">
      <w:pPr>
        <w:pStyle w:val="a9"/>
        <w:keepNext/>
        <w:tabs>
          <w:tab w:val="left" w:pos="397"/>
          <w:tab w:val="left" w:pos="794"/>
        </w:tabs>
        <w:spacing w:after="0" w:line="360" w:lineRule="auto"/>
        <w:jc w:val="both"/>
        <w:rPr>
          <w:rFonts w:ascii="David" w:hAnsi="David" w:cs="David"/>
          <w:szCs w:val="24"/>
          <w:rtl/>
        </w:rPr>
      </w:pPr>
      <w:r>
        <w:rPr>
          <w:rFonts w:ascii="David" w:hAnsi="David" w:cs="David"/>
          <w:szCs w:val="24"/>
          <w:rtl/>
        </w:rPr>
        <w:t>בנוסף ולמרות שאלמנת המנוח לא מסרה עמדה לעניין הענישה או מצבה ומצב משפחתה, ברי כי עם מות המנוח ובנוסף לנזק הרגשי הכבד, נגדע גם מקור לפרנסתה ולפרנסת ילדיה ויש לחייב את הנאשם בפיצויה. בנסיבות, בהעדר מידע על מצבה הכלכלי וגם לאור הפסיקה על פיה מטרת הפיצוי בהליך הפלילי (בשונה מההליך האזרחי), היא בעיקרה ערכית, סמלית וחינוכית וסכום הפיצוי נקבע בדרך של הערכה כללית, בשונה מבדיקה פרטנית של היקף הנזק, מצאתי להציע סכום פיצוי מדוד שישולם בתשלומים כמפורט להלן.</w:t>
      </w:r>
    </w:p>
    <w:p w14:paraId="7A85304E" w14:textId="77777777" w:rsidR="0075794C" w:rsidRDefault="0075794C" w:rsidP="0075794C">
      <w:pPr>
        <w:ind w:left="720"/>
        <w:jc w:val="both"/>
        <w:rPr>
          <w:rFonts w:ascii="David" w:hAnsi="David"/>
          <w:rtl/>
        </w:rPr>
      </w:pPr>
    </w:p>
    <w:p w14:paraId="629B27F4" w14:textId="77777777" w:rsidR="0075794C" w:rsidRDefault="0075794C" w:rsidP="0075794C">
      <w:pPr>
        <w:spacing w:line="360" w:lineRule="auto"/>
        <w:ind w:left="720" w:hanging="720"/>
        <w:jc w:val="both"/>
        <w:rPr>
          <w:rFonts w:ascii="David" w:hAnsi="David"/>
          <w:rtl/>
        </w:rPr>
      </w:pPr>
      <w:r>
        <w:rPr>
          <w:rFonts w:ascii="David" w:hAnsi="David"/>
          <w:rtl/>
        </w:rPr>
        <w:t>11.</w:t>
      </w:r>
      <w:r>
        <w:rPr>
          <w:rFonts w:ascii="David" w:hAnsi="David"/>
          <w:rtl/>
        </w:rPr>
        <w:tab/>
        <w:t>לאור האמור אציע לחבריי לקבוע את העונש הכולל, שייגזר על הנאשם, לשבע וחצי שנות מאסר, מהן שש (6)</w:t>
      </w:r>
      <w:r>
        <w:rPr>
          <w:rFonts w:ascii="David" w:hAnsi="David" w:hint="cs"/>
          <w:rtl/>
        </w:rPr>
        <w:t xml:space="preserve"> שנים ועוד שישה (6) חודשים</w:t>
      </w:r>
      <w:r>
        <w:rPr>
          <w:rFonts w:ascii="David" w:hAnsi="David"/>
          <w:rtl/>
        </w:rPr>
        <w:t xml:space="preserve"> לריצוי בפועל והיתרה על תנאי, כפי שיפורט להלן: </w:t>
      </w:r>
    </w:p>
    <w:p w14:paraId="7558B326" w14:textId="77777777" w:rsidR="0075794C" w:rsidRDefault="0075794C" w:rsidP="0075794C">
      <w:pPr>
        <w:pStyle w:val="a9"/>
        <w:numPr>
          <w:ilvl w:val="0"/>
          <w:numId w:val="1"/>
        </w:numPr>
        <w:spacing w:after="0" w:line="360" w:lineRule="auto"/>
        <w:jc w:val="both"/>
        <w:rPr>
          <w:rFonts w:ascii="David" w:hAnsi="David" w:cs="David"/>
          <w:szCs w:val="24"/>
          <w:rtl/>
        </w:rPr>
      </w:pPr>
      <w:r>
        <w:rPr>
          <w:rFonts w:ascii="David" w:hAnsi="David" w:cs="David" w:hint="cs"/>
          <w:b/>
          <w:bCs/>
          <w:szCs w:val="24"/>
          <w:u w:val="single"/>
          <w:rtl/>
        </w:rPr>
        <w:t>6.5</w:t>
      </w:r>
      <w:r>
        <w:rPr>
          <w:rFonts w:ascii="David" w:hAnsi="David" w:cs="David"/>
          <w:b/>
          <w:bCs/>
          <w:szCs w:val="24"/>
          <w:rtl/>
        </w:rPr>
        <w:t xml:space="preserve"> – שש </w:t>
      </w:r>
      <w:r>
        <w:rPr>
          <w:rFonts w:ascii="David" w:hAnsi="David" w:cs="David" w:hint="cs"/>
          <w:b/>
          <w:bCs/>
          <w:szCs w:val="24"/>
          <w:rtl/>
        </w:rPr>
        <w:t xml:space="preserve">וחצי </w:t>
      </w:r>
      <w:r>
        <w:rPr>
          <w:rFonts w:ascii="David" w:hAnsi="David" w:cs="David"/>
          <w:b/>
          <w:bCs/>
          <w:szCs w:val="24"/>
          <w:rtl/>
        </w:rPr>
        <w:t>שנות מאסר</w:t>
      </w:r>
      <w:r>
        <w:rPr>
          <w:rFonts w:ascii="David" w:hAnsi="David" w:cs="David" w:hint="cs"/>
          <w:b/>
          <w:bCs/>
          <w:szCs w:val="24"/>
          <w:rtl/>
        </w:rPr>
        <w:t xml:space="preserve"> (שהם 78 חודשי מאסר) לריצוי</w:t>
      </w:r>
      <w:r>
        <w:rPr>
          <w:rFonts w:ascii="David" w:hAnsi="David" w:cs="David"/>
          <w:b/>
          <w:bCs/>
          <w:szCs w:val="24"/>
          <w:rtl/>
        </w:rPr>
        <w:t xml:space="preserve"> בפועל</w:t>
      </w:r>
      <w:r>
        <w:rPr>
          <w:rFonts w:ascii="David" w:hAnsi="David" w:cs="David"/>
          <w:szCs w:val="24"/>
          <w:rtl/>
        </w:rPr>
        <w:t xml:space="preserve">, בניכוי ימי מעצרו מיום 19.2.22. </w:t>
      </w:r>
    </w:p>
    <w:p w14:paraId="66DDAE24" w14:textId="77777777" w:rsidR="0075794C" w:rsidRDefault="0075794C" w:rsidP="0075794C">
      <w:pPr>
        <w:pStyle w:val="a9"/>
        <w:numPr>
          <w:ilvl w:val="0"/>
          <w:numId w:val="1"/>
        </w:numPr>
        <w:spacing w:after="0" w:line="360" w:lineRule="auto"/>
        <w:jc w:val="both"/>
        <w:rPr>
          <w:rFonts w:ascii="David" w:hAnsi="David" w:cs="David"/>
          <w:szCs w:val="24"/>
        </w:rPr>
      </w:pPr>
      <w:r>
        <w:rPr>
          <w:rFonts w:ascii="David" w:hAnsi="David" w:cs="David"/>
          <w:b/>
          <w:bCs/>
          <w:szCs w:val="24"/>
          <w:u w:val="single"/>
          <w:rtl/>
        </w:rPr>
        <w:t>12</w:t>
      </w:r>
      <w:r>
        <w:rPr>
          <w:rFonts w:ascii="David" w:hAnsi="David" w:cs="David"/>
          <w:b/>
          <w:bCs/>
          <w:szCs w:val="24"/>
          <w:rtl/>
        </w:rPr>
        <w:t xml:space="preserve"> – שנים עשר חודשי מאסר על תנאי</w:t>
      </w:r>
      <w:r>
        <w:rPr>
          <w:rFonts w:ascii="David" w:hAnsi="David" w:cs="David"/>
          <w:szCs w:val="24"/>
          <w:rtl/>
        </w:rPr>
        <w:t xml:space="preserve"> למשך שלוש שנים, והתנאי הוא שהנאשם לא יעבור עבירת אלימות או נשק מסוג פשע בתוך 3 שנים מיום שחרורו ממאסר. </w:t>
      </w:r>
    </w:p>
    <w:p w14:paraId="616E864C" w14:textId="77777777" w:rsidR="0075794C" w:rsidRDefault="0075794C" w:rsidP="0075794C">
      <w:pPr>
        <w:pStyle w:val="a9"/>
        <w:numPr>
          <w:ilvl w:val="0"/>
          <w:numId w:val="1"/>
        </w:numPr>
        <w:spacing w:after="0" w:line="360" w:lineRule="auto"/>
        <w:jc w:val="both"/>
        <w:rPr>
          <w:rFonts w:ascii="David" w:hAnsi="David" w:cs="David"/>
          <w:szCs w:val="24"/>
        </w:rPr>
      </w:pPr>
      <w:r>
        <w:rPr>
          <w:rFonts w:ascii="David" w:hAnsi="David" w:cs="David"/>
          <w:b/>
          <w:bCs/>
          <w:szCs w:val="24"/>
          <w:u w:val="single"/>
          <w:rtl/>
        </w:rPr>
        <w:t>6</w:t>
      </w:r>
      <w:r>
        <w:rPr>
          <w:rFonts w:ascii="David" w:hAnsi="David" w:cs="David"/>
          <w:b/>
          <w:bCs/>
          <w:szCs w:val="24"/>
          <w:rtl/>
        </w:rPr>
        <w:t xml:space="preserve"> –שישה חודשי מאסר על תנאי</w:t>
      </w:r>
      <w:r>
        <w:rPr>
          <w:rFonts w:ascii="David" w:hAnsi="David" w:cs="David"/>
          <w:szCs w:val="24"/>
          <w:rtl/>
        </w:rPr>
        <w:t xml:space="preserve"> למשך 3 שנים, שלא יעבור כל עבירת אלימות או נשק מסוג עוון. </w:t>
      </w:r>
    </w:p>
    <w:p w14:paraId="68230F0A" w14:textId="77777777" w:rsidR="0075794C" w:rsidRDefault="0075794C" w:rsidP="0075794C">
      <w:pPr>
        <w:pStyle w:val="a9"/>
        <w:numPr>
          <w:ilvl w:val="0"/>
          <w:numId w:val="1"/>
        </w:numPr>
        <w:spacing w:after="0" w:line="360" w:lineRule="auto"/>
        <w:jc w:val="both"/>
        <w:rPr>
          <w:rFonts w:ascii="David" w:hAnsi="David" w:cs="David"/>
          <w:szCs w:val="24"/>
        </w:rPr>
      </w:pPr>
      <w:r>
        <w:rPr>
          <w:rFonts w:ascii="David" w:hAnsi="David" w:cs="David"/>
          <w:b/>
          <w:bCs/>
          <w:szCs w:val="24"/>
          <w:rtl/>
        </w:rPr>
        <w:t>פיצוי לאשת המנוח בסך 120,000 ₪.</w:t>
      </w:r>
      <w:r>
        <w:rPr>
          <w:rFonts w:ascii="David" w:hAnsi="David" w:cs="David"/>
          <w:szCs w:val="24"/>
          <w:rtl/>
        </w:rPr>
        <w:t xml:space="preserve"> הפיצויים ישולמו ב-40 תשלומים חודשיים שווים ורצופים, החל מיום 10.12.23. אי תשלום אחד השיעורים במועד, יעמ</w:t>
      </w:r>
      <w:r>
        <w:rPr>
          <w:rFonts w:ascii="David" w:hAnsi="David" w:cs="David" w:hint="cs"/>
          <w:szCs w:val="24"/>
          <w:rtl/>
        </w:rPr>
        <w:t>י</w:t>
      </w:r>
      <w:r>
        <w:rPr>
          <w:rFonts w:ascii="David" w:hAnsi="David" w:cs="David"/>
          <w:szCs w:val="24"/>
          <w:rtl/>
        </w:rPr>
        <w:t xml:space="preserve">ד את מלוא הפיצוי לפירעון. </w:t>
      </w:r>
    </w:p>
    <w:p w14:paraId="2404CF05" w14:textId="77777777" w:rsidR="0075794C" w:rsidRDefault="0075794C" w:rsidP="0075794C">
      <w:pPr>
        <w:ind w:left="720"/>
        <w:jc w:val="both"/>
        <w:rPr>
          <w:rFonts w:ascii="David" w:hAnsi="David"/>
          <w:rtl/>
        </w:rPr>
      </w:pPr>
    </w:p>
    <w:p w14:paraId="6786CB3B" w14:textId="77777777" w:rsidR="0075794C" w:rsidRDefault="0075794C" w:rsidP="0075794C">
      <w:pPr>
        <w:spacing w:line="360" w:lineRule="auto"/>
        <w:ind w:left="720"/>
        <w:jc w:val="both"/>
        <w:rPr>
          <w:rFonts w:ascii="David" w:hAnsi="David"/>
          <w:rtl/>
        </w:rPr>
      </w:pPr>
      <w:r>
        <w:rPr>
          <w:rFonts w:ascii="David" w:hAnsi="David"/>
          <w:rtl/>
        </w:rPr>
        <w:t xml:space="preserve">אין בקביעת גובה הפיצוי כדי להגביל את אשת המנוח או כל נפגע אחר, לתבוע פיצוי בהליך נפרד על מלוא הנזק שנגרם לו. </w:t>
      </w:r>
    </w:p>
    <w:p w14:paraId="392F7D29" w14:textId="77777777" w:rsidR="0075794C" w:rsidRDefault="0075794C" w:rsidP="0075794C">
      <w:pPr>
        <w:spacing w:line="360" w:lineRule="auto"/>
        <w:ind w:left="720"/>
        <w:jc w:val="both"/>
        <w:rPr>
          <w:rFonts w:ascii="David" w:hAnsi="David"/>
          <w:rtl/>
        </w:rPr>
      </w:pPr>
    </w:p>
    <w:p w14:paraId="6DE168DB" w14:textId="77777777" w:rsidR="0075794C" w:rsidRDefault="0075794C" w:rsidP="0075794C">
      <w:pPr>
        <w:spacing w:line="360" w:lineRule="auto"/>
        <w:ind w:left="720"/>
        <w:jc w:val="both"/>
        <w:rPr>
          <w:rFonts w:ascii="David" w:hAnsi="David"/>
          <w:rtl/>
        </w:rPr>
      </w:pPr>
    </w:p>
    <w:p w14:paraId="7B808707" w14:textId="77777777" w:rsidR="0075794C" w:rsidRDefault="0075794C" w:rsidP="0075794C">
      <w:pPr>
        <w:spacing w:line="360" w:lineRule="auto"/>
        <w:ind w:left="720"/>
        <w:jc w:val="both"/>
        <w:rPr>
          <w:rFonts w:ascii="David" w:hAnsi="David"/>
          <w:rtl/>
        </w:rPr>
      </w:pPr>
    </w:p>
    <w:tbl>
      <w:tblPr>
        <w:bidiVisual/>
        <w:tblW w:w="2406" w:type="dxa"/>
        <w:tblInd w:w="6112" w:type="dxa"/>
        <w:tblLook w:val="01E0" w:firstRow="1" w:lastRow="1" w:firstColumn="1" w:lastColumn="1" w:noHBand="0" w:noVBand="0"/>
      </w:tblPr>
      <w:tblGrid>
        <w:gridCol w:w="2406"/>
      </w:tblGrid>
      <w:tr w:rsidR="0075794C" w14:paraId="160EB543" w14:textId="77777777" w:rsidTr="0075794C">
        <w:tc>
          <w:tcPr>
            <w:tcW w:w="2406" w:type="dxa"/>
            <w:tcBorders>
              <w:top w:val="nil"/>
              <w:left w:val="nil"/>
              <w:bottom w:val="single" w:sz="4" w:space="0" w:color="auto"/>
              <w:right w:val="nil"/>
            </w:tcBorders>
            <w:shd w:val="clear" w:color="auto" w:fill="auto"/>
            <w:vAlign w:val="center"/>
          </w:tcPr>
          <w:p w14:paraId="0CC8FFEC" w14:textId="77777777" w:rsidR="0075794C" w:rsidRPr="0075794C" w:rsidRDefault="0075794C" w:rsidP="0075794C">
            <w:pPr>
              <w:spacing w:line="360" w:lineRule="auto"/>
              <w:jc w:val="center"/>
              <w:rPr>
                <w:rFonts w:ascii="Courier New" w:hAnsi="Courier New"/>
                <w:b/>
                <w:bCs/>
              </w:rPr>
            </w:pPr>
          </w:p>
        </w:tc>
      </w:tr>
      <w:tr w:rsidR="0075794C" w14:paraId="0C8FB3BF" w14:textId="77777777" w:rsidTr="0075794C">
        <w:tc>
          <w:tcPr>
            <w:tcW w:w="2406" w:type="dxa"/>
            <w:tcBorders>
              <w:top w:val="single" w:sz="4" w:space="0" w:color="auto"/>
              <w:left w:val="nil"/>
              <w:bottom w:val="nil"/>
              <w:right w:val="nil"/>
            </w:tcBorders>
            <w:shd w:val="clear" w:color="auto" w:fill="auto"/>
          </w:tcPr>
          <w:p w14:paraId="4D4C8B7A" w14:textId="77777777" w:rsidR="0075794C" w:rsidRPr="0075794C" w:rsidRDefault="0075794C" w:rsidP="0075794C">
            <w:pPr>
              <w:pStyle w:val="3"/>
              <w:spacing w:line="360" w:lineRule="auto"/>
              <w:jc w:val="center"/>
              <w:rPr>
                <w:rFonts w:cs="Times New Roman"/>
                <w:sz w:val="24"/>
                <w:szCs w:val="24"/>
              </w:rPr>
            </w:pPr>
            <w:r w:rsidRPr="0075794C">
              <w:rPr>
                <w:rFonts w:hint="cs"/>
                <w:noProof/>
                <w:sz w:val="24"/>
                <w:szCs w:val="24"/>
                <w:rtl/>
              </w:rPr>
              <w:t>ר. איזנברג, שופטת</w:t>
            </w:r>
            <w:r w:rsidRPr="0075794C">
              <w:rPr>
                <w:sz w:val="24"/>
                <w:szCs w:val="24"/>
              </w:rPr>
              <w:t xml:space="preserve"> </w:t>
            </w:r>
          </w:p>
        </w:tc>
      </w:tr>
    </w:tbl>
    <w:p w14:paraId="7FEF537D" w14:textId="77777777" w:rsidR="0075794C" w:rsidRDefault="0075794C" w:rsidP="0075794C">
      <w:pPr>
        <w:spacing w:line="360" w:lineRule="auto"/>
        <w:ind w:left="720"/>
        <w:jc w:val="both"/>
        <w:rPr>
          <w:rFonts w:ascii="David" w:hAnsi="David"/>
        </w:rPr>
      </w:pPr>
    </w:p>
    <w:p w14:paraId="1B62EFF4" w14:textId="77777777" w:rsidR="0075794C" w:rsidRDefault="0075794C" w:rsidP="0075794C">
      <w:pPr>
        <w:spacing w:line="360" w:lineRule="auto"/>
        <w:ind w:left="720"/>
        <w:jc w:val="both"/>
        <w:rPr>
          <w:rFonts w:ascii="David" w:hAnsi="David"/>
          <w:b/>
          <w:bCs/>
          <w:u w:val="single"/>
          <w:rtl/>
        </w:rPr>
      </w:pPr>
    </w:p>
    <w:p w14:paraId="3D9C1BC3" w14:textId="77777777" w:rsidR="0075794C" w:rsidRPr="00B90710" w:rsidRDefault="0075794C" w:rsidP="0075794C">
      <w:pPr>
        <w:spacing w:line="360" w:lineRule="auto"/>
        <w:ind w:left="720"/>
        <w:jc w:val="both"/>
        <w:rPr>
          <w:rFonts w:ascii="David" w:hAnsi="David"/>
          <w:b/>
          <w:bCs/>
          <w:u w:val="single"/>
          <w:rtl/>
        </w:rPr>
      </w:pPr>
      <w:r w:rsidRPr="00B90710">
        <w:rPr>
          <w:rFonts w:ascii="David" w:hAnsi="David" w:hint="cs"/>
          <w:b/>
          <w:bCs/>
          <w:u w:val="single"/>
          <w:rtl/>
        </w:rPr>
        <w:t>השופט אינאס סלאמה</w:t>
      </w:r>
    </w:p>
    <w:p w14:paraId="28E1E38E" w14:textId="77777777" w:rsidR="0075794C" w:rsidRDefault="0075794C" w:rsidP="0075794C">
      <w:pPr>
        <w:ind w:left="720"/>
        <w:jc w:val="both"/>
        <w:rPr>
          <w:rFonts w:ascii="David" w:hAnsi="David"/>
          <w:rtl/>
        </w:rPr>
      </w:pPr>
    </w:p>
    <w:p w14:paraId="7CE37EA5" w14:textId="77777777" w:rsidR="0075794C" w:rsidRDefault="0075794C" w:rsidP="0075794C">
      <w:pPr>
        <w:spacing w:line="360" w:lineRule="auto"/>
        <w:ind w:left="720"/>
        <w:jc w:val="both"/>
        <w:rPr>
          <w:rFonts w:ascii="David" w:hAnsi="David"/>
          <w:rtl/>
        </w:rPr>
      </w:pPr>
      <w:r>
        <w:rPr>
          <w:rFonts w:ascii="David" w:hAnsi="David" w:hint="cs"/>
          <w:rtl/>
        </w:rPr>
        <w:t xml:space="preserve">אני מסכים. </w:t>
      </w:r>
    </w:p>
    <w:tbl>
      <w:tblPr>
        <w:bidiVisual/>
        <w:tblW w:w="2576" w:type="dxa"/>
        <w:tblInd w:w="5937" w:type="dxa"/>
        <w:tblLook w:val="01E0" w:firstRow="1" w:lastRow="1" w:firstColumn="1" w:lastColumn="1" w:noHBand="0" w:noVBand="0"/>
      </w:tblPr>
      <w:tblGrid>
        <w:gridCol w:w="2576"/>
      </w:tblGrid>
      <w:tr w:rsidR="0075794C" w14:paraId="650557B8" w14:textId="77777777" w:rsidTr="0075794C">
        <w:tc>
          <w:tcPr>
            <w:tcW w:w="2576" w:type="dxa"/>
            <w:tcBorders>
              <w:top w:val="nil"/>
              <w:left w:val="nil"/>
              <w:bottom w:val="single" w:sz="4" w:space="0" w:color="auto"/>
              <w:right w:val="nil"/>
            </w:tcBorders>
            <w:shd w:val="clear" w:color="auto" w:fill="auto"/>
            <w:vAlign w:val="center"/>
          </w:tcPr>
          <w:p w14:paraId="3E7E8BC2" w14:textId="77777777" w:rsidR="0075794C" w:rsidRPr="0075794C" w:rsidRDefault="0075794C" w:rsidP="0075794C">
            <w:pPr>
              <w:spacing w:line="360" w:lineRule="auto"/>
              <w:jc w:val="center"/>
              <w:rPr>
                <w:rFonts w:ascii="Courier New" w:hAnsi="Courier New"/>
                <w:b/>
                <w:bCs/>
              </w:rPr>
            </w:pPr>
          </w:p>
          <w:p w14:paraId="17C46938" w14:textId="77777777" w:rsidR="0075794C" w:rsidRPr="0075794C" w:rsidRDefault="0075794C" w:rsidP="0075794C">
            <w:pPr>
              <w:spacing w:line="360" w:lineRule="auto"/>
              <w:jc w:val="center"/>
              <w:rPr>
                <w:rFonts w:ascii="Courier New" w:hAnsi="Courier New"/>
                <w:b/>
                <w:bCs/>
              </w:rPr>
            </w:pPr>
          </w:p>
        </w:tc>
      </w:tr>
      <w:tr w:rsidR="0075794C" w14:paraId="2444D682" w14:textId="77777777" w:rsidTr="0075794C">
        <w:tc>
          <w:tcPr>
            <w:tcW w:w="2576" w:type="dxa"/>
            <w:tcBorders>
              <w:top w:val="single" w:sz="4" w:space="0" w:color="auto"/>
              <w:left w:val="nil"/>
              <w:bottom w:val="nil"/>
              <w:right w:val="nil"/>
            </w:tcBorders>
            <w:shd w:val="clear" w:color="auto" w:fill="auto"/>
          </w:tcPr>
          <w:p w14:paraId="19030789" w14:textId="77777777" w:rsidR="0075794C" w:rsidRPr="0075794C" w:rsidRDefault="0075794C" w:rsidP="0075794C">
            <w:pPr>
              <w:spacing w:line="360" w:lineRule="auto"/>
              <w:jc w:val="center"/>
              <w:rPr>
                <w:b/>
                <w:bCs/>
                <w:noProof/>
                <w:rtl/>
              </w:rPr>
            </w:pPr>
            <w:r w:rsidRPr="0075794C">
              <w:rPr>
                <w:rFonts w:hint="cs"/>
                <w:b/>
                <w:bCs/>
                <w:noProof/>
                <w:rtl/>
              </w:rPr>
              <w:t>א. סלאמה, שופט</w:t>
            </w:r>
          </w:p>
        </w:tc>
      </w:tr>
    </w:tbl>
    <w:p w14:paraId="7FE5F47E" w14:textId="77777777" w:rsidR="0075794C" w:rsidRDefault="0075794C" w:rsidP="0075794C">
      <w:pPr>
        <w:spacing w:line="360" w:lineRule="auto"/>
        <w:ind w:left="720"/>
        <w:jc w:val="both"/>
        <w:rPr>
          <w:rFonts w:ascii="David" w:hAnsi="David"/>
          <w:rtl/>
        </w:rPr>
      </w:pPr>
    </w:p>
    <w:p w14:paraId="33E1799D" w14:textId="77777777" w:rsidR="0075794C" w:rsidRDefault="0075794C" w:rsidP="0075794C">
      <w:pPr>
        <w:spacing w:line="360" w:lineRule="auto"/>
        <w:ind w:left="720"/>
        <w:jc w:val="both"/>
        <w:rPr>
          <w:rFonts w:ascii="David" w:hAnsi="David"/>
          <w:b/>
          <w:bCs/>
          <w:u w:val="single"/>
          <w:rtl/>
        </w:rPr>
      </w:pPr>
    </w:p>
    <w:p w14:paraId="6C034EFA" w14:textId="77777777" w:rsidR="0075794C" w:rsidRDefault="0075794C" w:rsidP="0075794C">
      <w:pPr>
        <w:spacing w:line="360" w:lineRule="auto"/>
        <w:ind w:left="720"/>
        <w:jc w:val="both"/>
        <w:rPr>
          <w:rFonts w:ascii="David" w:hAnsi="David"/>
          <w:b/>
          <w:bCs/>
          <w:u w:val="single"/>
          <w:rtl/>
        </w:rPr>
      </w:pPr>
    </w:p>
    <w:p w14:paraId="55F9CFF2" w14:textId="77777777" w:rsidR="0075794C" w:rsidRDefault="0075794C" w:rsidP="0075794C">
      <w:pPr>
        <w:spacing w:line="360" w:lineRule="auto"/>
        <w:ind w:left="720"/>
        <w:jc w:val="both"/>
        <w:rPr>
          <w:rFonts w:ascii="David" w:hAnsi="David"/>
          <w:b/>
          <w:bCs/>
          <w:u w:val="single"/>
          <w:rtl/>
        </w:rPr>
      </w:pPr>
    </w:p>
    <w:p w14:paraId="6BAB4BF5" w14:textId="77777777" w:rsidR="0075794C" w:rsidRDefault="0075794C" w:rsidP="0075794C">
      <w:pPr>
        <w:spacing w:line="360" w:lineRule="auto"/>
        <w:ind w:left="720"/>
        <w:jc w:val="both"/>
        <w:rPr>
          <w:rFonts w:ascii="David" w:hAnsi="David"/>
          <w:b/>
          <w:bCs/>
          <w:u w:val="single"/>
          <w:rtl/>
        </w:rPr>
      </w:pPr>
    </w:p>
    <w:p w14:paraId="258DD610" w14:textId="77777777" w:rsidR="0075794C" w:rsidRDefault="0075794C" w:rsidP="0075794C">
      <w:pPr>
        <w:spacing w:line="360" w:lineRule="auto"/>
        <w:ind w:left="720"/>
        <w:jc w:val="both"/>
        <w:rPr>
          <w:rFonts w:ascii="David" w:hAnsi="David"/>
          <w:b/>
          <w:bCs/>
          <w:u w:val="single"/>
          <w:rtl/>
        </w:rPr>
      </w:pPr>
    </w:p>
    <w:p w14:paraId="4D59F88E" w14:textId="77777777" w:rsidR="0075794C" w:rsidRDefault="0075794C" w:rsidP="0075794C">
      <w:pPr>
        <w:spacing w:line="360" w:lineRule="auto"/>
        <w:ind w:left="720"/>
        <w:jc w:val="both"/>
        <w:rPr>
          <w:rFonts w:ascii="David" w:hAnsi="David"/>
          <w:b/>
          <w:bCs/>
          <w:u w:val="single"/>
          <w:rtl/>
        </w:rPr>
      </w:pPr>
    </w:p>
    <w:p w14:paraId="0FA14A23" w14:textId="77777777" w:rsidR="0075794C" w:rsidRDefault="0075794C" w:rsidP="0075794C">
      <w:pPr>
        <w:spacing w:line="360" w:lineRule="auto"/>
        <w:ind w:left="720"/>
        <w:jc w:val="both"/>
        <w:rPr>
          <w:rFonts w:ascii="David" w:hAnsi="David"/>
          <w:b/>
          <w:bCs/>
          <w:u w:val="single"/>
          <w:rtl/>
        </w:rPr>
      </w:pPr>
      <w:r w:rsidRPr="00B90710">
        <w:rPr>
          <w:rFonts w:ascii="David" w:hAnsi="David" w:hint="cs"/>
          <w:b/>
          <w:bCs/>
          <w:u w:val="single"/>
          <w:rtl/>
        </w:rPr>
        <w:t>הנשיא רון שפירא</w:t>
      </w:r>
    </w:p>
    <w:p w14:paraId="39A5DF6E" w14:textId="77777777" w:rsidR="0075794C" w:rsidRDefault="0075794C" w:rsidP="0075794C">
      <w:pPr>
        <w:ind w:left="720"/>
        <w:jc w:val="both"/>
        <w:rPr>
          <w:rFonts w:ascii="David" w:hAnsi="David"/>
          <w:b/>
          <w:bCs/>
          <w:u w:val="single"/>
          <w:rtl/>
        </w:rPr>
      </w:pPr>
    </w:p>
    <w:p w14:paraId="2B795A13" w14:textId="77777777" w:rsidR="0075794C" w:rsidRDefault="0075794C" w:rsidP="0075794C">
      <w:pPr>
        <w:spacing w:line="360" w:lineRule="auto"/>
        <w:ind w:left="720"/>
        <w:jc w:val="both"/>
        <w:rPr>
          <w:rFonts w:ascii="David" w:hAnsi="David"/>
          <w:rtl/>
        </w:rPr>
      </w:pPr>
      <w:r w:rsidRPr="008310D3">
        <w:rPr>
          <w:rFonts w:ascii="David" w:hAnsi="David" w:hint="cs"/>
          <w:rtl/>
        </w:rPr>
        <w:t xml:space="preserve">בנסיבות העניין, </w:t>
      </w:r>
      <w:r>
        <w:rPr>
          <w:rFonts w:ascii="David" w:hAnsi="David" w:hint="cs"/>
          <w:rtl/>
        </w:rPr>
        <w:t xml:space="preserve">בהתחשב בהודאה במסגרת של הסדר הטיעון, בשינוי הוראות החיקוק בהתאם למוסכם בהסדר הטיעון,  ובהתחשב במכלול הנסיבות שהובילו להסדר, כפי שפורטו, בין היתר, בטיעוני ב"כ המאשימה, אני מצטרף לתוצאה אליה הגיעה חברתי, השופטת רבקה איזנברג.   </w:t>
      </w:r>
    </w:p>
    <w:p w14:paraId="69815FF2" w14:textId="77777777" w:rsidR="0075794C" w:rsidRDefault="0075794C" w:rsidP="0075794C">
      <w:pPr>
        <w:spacing w:line="360" w:lineRule="auto"/>
        <w:ind w:left="720"/>
        <w:jc w:val="both"/>
        <w:rPr>
          <w:rFonts w:ascii="David" w:hAnsi="David"/>
          <w:rtl/>
        </w:rPr>
      </w:pPr>
    </w:p>
    <w:p w14:paraId="234AA6F9" w14:textId="77777777" w:rsidR="0075794C" w:rsidRDefault="0075794C" w:rsidP="0075794C">
      <w:pPr>
        <w:spacing w:line="360" w:lineRule="auto"/>
        <w:ind w:left="720"/>
        <w:jc w:val="both"/>
        <w:rPr>
          <w:rFonts w:ascii="David" w:hAnsi="David"/>
          <w:rtl/>
        </w:rPr>
      </w:pPr>
      <w:r>
        <w:rPr>
          <w:rFonts w:ascii="David" w:hAnsi="David" w:hint="cs"/>
          <w:rtl/>
        </w:rPr>
        <w:t xml:space="preserve">אבקש להבהיר כי ככלל, באירועים מסוג זה, שבהם מגיע אדם חמוש בנשק לזירה שצפויה להתלקח, והוא נערך לשימוש בנשק עם הגעתו, סבור אני כי יש מקום להחמיר בענישה.  גם אם האירוע התפתח לא כפי שתוכנן מלכתחילה. עצם ההערכות לשימוש בנשק שלא כדין מצדיקה, ככלל, החמרה בענישה. </w:t>
      </w:r>
    </w:p>
    <w:p w14:paraId="01F4730E" w14:textId="77777777" w:rsidR="0075794C" w:rsidRDefault="0075794C" w:rsidP="0075794C">
      <w:pPr>
        <w:spacing w:line="360" w:lineRule="auto"/>
        <w:ind w:left="720"/>
        <w:jc w:val="both"/>
        <w:rPr>
          <w:rFonts w:ascii="David" w:hAnsi="David"/>
          <w:rtl/>
        </w:rPr>
      </w:pPr>
    </w:p>
    <w:p w14:paraId="19EE9656" w14:textId="77777777" w:rsidR="0075794C" w:rsidRPr="008310D3" w:rsidRDefault="0075794C" w:rsidP="0075794C">
      <w:pPr>
        <w:spacing w:line="360" w:lineRule="auto"/>
        <w:ind w:left="720"/>
        <w:jc w:val="both"/>
        <w:rPr>
          <w:rFonts w:ascii="David" w:hAnsi="David"/>
          <w:rtl/>
        </w:rPr>
      </w:pPr>
      <w:r>
        <w:rPr>
          <w:rFonts w:ascii="David" w:hAnsi="David" w:hint="cs"/>
          <w:rtl/>
        </w:rPr>
        <w:t xml:space="preserve">במקרה שבפנינו, כפי שפורט בהרחבה ע"י חברתי, על רקע הסדר הטיעון והנסיבות המשפחתיות והאחרות, אני מסכים לתוצאה אליה הגיעה. עם זאת מצאתי לנכון להבהיר את עמדתי ככלל, ובעיקר לעתיד לבוא. </w:t>
      </w:r>
    </w:p>
    <w:p w14:paraId="710A2833" w14:textId="77777777" w:rsidR="0075794C" w:rsidRDefault="0075794C" w:rsidP="0075794C">
      <w:pPr>
        <w:ind w:left="720"/>
        <w:jc w:val="both"/>
        <w:rPr>
          <w:rFonts w:ascii="David" w:hAnsi="David"/>
          <w:rtl/>
        </w:rPr>
      </w:pPr>
    </w:p>
    <w:p w14:paraId="2DB51DE5" w14:textId="77777777" w:rsidR="0075794C" w:rsidRDefault="0075794C" w:rsidP="0075794C">
      <w:pPr>
        <w:ind w:left="720"/>
        <w:jc w:val="both"/>
        <w:rPr>
          <w:rFonts w:ascii="David" w:hAnsi="David"/>
          <w:rtl/>
        </w:rPr>
      </w:pPr>
    </w:p>
    <w:tbl>
      <w:tblPr>
        <w:tblpPr w:leftFromText="180" w:rightFromText="180" w:vertAnchor="text" w:horzAnchor="page" w:tblpX="2238" w:tblpY="71"/>
        <w:bidiVisual/>
        <w:tblW w:w="0" w:type="auto"/>
        <w:tblLook w:val="01E0" w:firstRow="1" w:lastRow="1" w:firstColumn="1" w:lastColumn="1" w:noHBand="0" w:noVBand="0"/>
      </w:tblPr>
      <w:tblGrid>
        <w:gridCol w:w="2834"/>
      </w:tblGrid>
      <w:tr w:rsidR="0075794C" w14:paraId="372CB438" w14:textId="77777777" w:rsidTr="0075794C">
        <w:tc>
          <w:tcPr>
            <w:tcW w:w="2834" w:type="dxa"/>
            <w:tcBorders>
              <w:top w:val="nil"/>
              <w:left w:val="nil"/>
              <w:bottom w:val="single" w:sz="4" w:space="0" w:color="auto"/>
              <w:right w:val="nil"/>
            </w:tcBorders>
            <w:shd w:val="clear" w:color="auto" w:fill="auto"/>
            <w:vAlign w:val="center"/>
          </w:tcPr>
          <w:p w14:paraId="1848AD4A" w14:textId="77777777" w:rsidR="0075794C" w:rsidRPr="0075794C" w:rsidRDefault="0075794C" w:rsidP="0075794C">
            <w:pPr>
              <w:jc w:val="center"/>
              <w:rPr>
                <w:rFonts w:ascii="Courier New" w:hAnsi="Courier New"/>
                <w:b/>
                <w:bCs/>
              </w:rPr>
            </w:pPr>
          </w:p>
        </w:tc>
      </w:tr>
      <w:tr w:rsidR="0075794C" w14:paraId="2492CA05" w14:textId="77777777" w:rsidTr="0075794C">
        <w:tc>
          <w:tcPr>
            <w:tcW w:w="2834" w:type="dxa"/>
            <w:tcBorders>
              <w:top w:val="single" w:sz="4" w:space="0" w:color="auto"/>
              <w:left w:val="nil"/>
              <w:bottom w:val="nil"/>
              <w:right w:val="nil"/>
            </w:tcBorders>
            <w:shd w:val="clear" w:color="auto" w:fill="auto"/>
          </w:tcPr>
          <w:p w14:paraId="490A94FF" w14:textId="77777777" w:rsidR="0075794C" w:rsidRPr="0075794C" w:rsidRDefault="0075794C" w:rsidP="0075794C">
            <w:pPr>
              <w:jc w:val="center"/>
              <w:rPr>
                <w:b/>
                <w:bCs/>
                <w:noProof/>
                <w:rtl/>
              </w:rPr>
            </w:pPr>
            <w:r w:rsidRPr="0075794C">
              <w:rPr>
                <w:rFonts w:hint="cs"/>
                <w:b/>
                <w:bCs/>
                <w:rtl/>
              </w:rPr>
              <w:t>ר. שפירא, נשיא</w:t>
            </w:r>
          </w:p>
          <w:p w14:paraId="3602CD82" w14:textId="77777777" w:rsidR="0075794C" w:rsidRPr="0075794C" w:rsidRDefault="0075794C" w:rsidP="0075794C">
            <w:pPr>
              <w:jc w:val="center"/>
              <w:rPr>
                <w:b/>
                <w:bCs/>
                <w:noProof/>
                <w:rtl/>
              </w:rPr>
            </w:pPr>
            <w:r w:rsidRPr="0075794C">
              <w:rPr>
                <w:rFonts w:hint="cs"/>
                <w:b/>
                <w:bCs/>
                <w:rtl/>
              </w:rPr>
              <w:t>[אב"ד]</w:t>
            </w:r>
          </w:p>
        </w:tc>
      </w:tr>
    </w:tbl>
    <w:p w14:paraId="2E5CFAD5" w14:textId="77777777" w:rsidR="0075794C" w:rsidRDefault="0075794C" w:rsidP="0075794C">
      <w:pPr>
        <w:jc w:val="both"/>
        <w:rPr>
          <w:rtl/>
        </w:rPr>
      </w:pPr>
    </w:p>
    <w:p w14:paraId="400F8F20" w14:textId="77777777" w:rsidR="0075794C" w:rsidRDefault="0075794C" w:rsidP="0075794C">
      <w:pPr>
        <w:jc w:val="both"/>
        <w:rPr>
          <w:rtl/>
        </w:rPr>
      </w:pPr>
    </w:p>
    <w:p w14:paraId="2FF29EFC" w14:textId="77777777" w:rsidR="0075794C" w:rsidRDefault="0075794C" w:rsidP="0075794C">
      <w:pPr>
        <w:spacing w:line="360" w:lineRule="auto"/>
        <w:jc w:val="both"/>
        <w:rPr>
          <w:rtl/>
        </w:rPr>
      </w:pPr>
    </w:p>
    <w:p w14:paraId="09C9F3A8" w14:textId="77777777" w:rsidR="0075794C" w:rsidRDefault="0075794C" w:rsidP="0075794C">
      <w:pPr>
        <w:spacing w:line="360" w:lineRule="auto"/>
        <w:jc w:val="both"/>
        <w:rPr>
          <w:rtl/>
        </w:rPr>
      </w:pPr>
    </w:p>
    <w:p w14:paraId="239519CC" w14:textId="77777777" w:rsidR="0075794C" w:rsidRDefault="0075794C" w:rsidP="0075794C">
      <w:pPr>
        <w:spacing w:line="360" w:lineRule="auto"/>
        <w:jc w:val="both"/>
        <w:rPr>
          <w:rtl/>
        </w:rPr>
      </w:pPr>
    </w:p>
    <w:p w14:paraId="2A0B6F91" w14:textId="77777777" w:rsidR="0075794C" w:rsidRDefault="0075794C" w:rsidP="0075794C">
      <w:pPr>
        <w:spacing w:line="360" w:lineRule="auto"/>
        <w:jc w:val="both"/>
        <w:rPr>
          <w:rtl/>
        </w:rPr>
      </w:pPr>
    </w:p>
    <w:p w14:paraId="13C3D9F5" w14:textId="77777777" w:rsidR="0075794C" w:rsidRPr="00B05847" w:rsidRDefault="0075794C" w:rsidP="0075794C">
      <w:pPr>
        <w:spacing w:line="360" w:lineRule="auto"/>
        <w:jc w:val="both"/>
        <w:rPr>
          <w:rtl/>
        </w:rPr>
      </w:pPr>
    </w:p>
    <w:p w14:paraId="5B8D3C08" w14:textId="77777777" w:rsidR="0075794C" w:rsidRDefault="0075794C" w:rsidP="0075794C">
      <w:pPr>
        <w:spacing w:line="360" w:lineRule="auto"/>
        <w:jc w:val="both"/>
        <w:rPr>
          <w:rtl/>
        </w:rPr>
      </w:pPr>
      <w:r>
        <w:rPr>
          <w:rFonts w:hint="cs"/>
          <w:rtl/>
        </w:rPr>
        <w:t>אשר על כן, הוחלט כאמור בפסק דינה של השופטת רבקה איזנברג.</w:t>
      </w:r>
    </w:p>
    <w:p w14:paraId="5444E94E" w14:textId="77777777" w:rsidR="0075794C" w:rsidRPr="00E5541B" w:rsidRDefault="0075794C" w:rsidP="0075794C">
      <w:pPr>
        <w:spacing w:line="360" w:lineRule="auto"/>
        <w:jc w:val="both"/>
        <w:rPr>
          <w:b/>
          <w:bCs/>
          <w:rtl/>
        </w:rPr>
      </w:pPr>
      <w:r>
        <w:rPr>
          <w:rFonts w:hint="cs"/>
          <w:b/>
          <w:bCs/>
          <w:rtl/>
        </w:rPr>
        <w:t>זכות ערעור כחוק, הודעה.</w:t>
      </w:r>
    </w:p>
    <w:p w14:paraId="72B72C7A" w14:textId="77777777" w:rsidR="0075794C" w:rsidRDefault="0075794C" w:rsidP="0075794C">
      <w:pPr>
        <w:spacing w:line="360" w:lineRule="auto"/>
        <w:jc w:val="both"/>
        <w:rPr>
          <w:rFonts w:ascii="Arial" w:hAnsi="Arial"/>
          <w:rtl/>
        </w:rPr>
      </w:pPr>
    </w:p>
    <w:p w14:paraId="783227AC" w14:textId="77777777" w:rsidR="0075794C" w:rsidRDefault="0037529A" w:rsidP="0075794C">
      <w:pPr>
        <w:jc w:val="both"/>
        <w:rPr>
          <w:rFonts w:ascii="Arial" w:hAnsi="Arial"/>
          <w:rtl/>
        </w:rPr>
      </w:pPr>
      <w:bookmarkStart w:id="8" w:name="Nitan"/>
      <w:r>
        <w:rPr>
          <w:rFonts w:ascii="Arial" w:hAnsi="Arial"/>
          <w:rtl/>
        </w:rPr>
        <w:t xml:space="preserve">ניתן היום, ז' כסלו תשפ"ד, 20 נובמבר 2023, במעמד ב"כ הצדדים והנאשם.  </w:t>
      </w:r>
      <w:bookmarkEnd w:id="8"/>
    </w:p>
    <w:p w14:paraId="3728EC4B" w14:textId="77777777" w:rsidR="0075794C" w:rsidRPr="0037529A" w:rsidRDefault="0037529A" w:rsidP="0075794C">
      <w:pPr>
        <w:spacing w:line="360" w:lineRule="auto"/>
        <w:jc w:val="both"/>
        <w:rPr>
          <w:rFonts w:ascii="Arial" w:hAnsi="Arial"/>
          <w:color w:val="FFFFFF"/>
          <w:sz w:val="2"/>
          <w:szCs w:val="2"/>
          <w:rtl/>
        </w:rPr>
      </w:pPr>
      <w:r w:rsidRPr="0037529A">
        <w:rPr>
          <w:rFonts w:ascii="Arial" w:hAnsi="Arial"/>
          <w:color w:val="FFFFFF"/>
          <w:sz w:val="2"/>
          <w:szCs w:val="2"/>
          <w:rtl/>
        </w:rPr>
        <w:t>5129371</w:t>
      </w:r>
    </w:p>
    <w:tbl>
      <w:tblPr>
        <w:bidiVisual/>
        <w:tblW w:w="0" w:type="auto"/>
        <w:tblLook w:val="01E0" w:firstRow="1" w:lastRow="1" w:firstColumn="1" w:lastColumn="1" w:noHBand="0" w:noVBand="0"/>
      </w:tblPr>
      <w:tblGrid>
        <w:gridCol w:w="2834"/>
        <w:gridCol w:w="360"/>
        <w:gridCol w:w="2406"/>
        <w:gridCol w:w="346"/>
        <w:gridCol w:w="2576"/>
      </w:tblGrid>
      <w:tr w:rsidR="0075794C" w14:paraId="698D6E88" w14:textId="77777777" w:rsidTr="0075794C">
        <w:tc>
          <w:tcPr>
            <w:tcW w:w="2834" w:type="dxa"/>
            <w:tcBorders>
              <w:top w:val="nil"/>
              <w:left w:val="nil"/>
              <w:bottom w:val="single" w:sz="4" w:space="0" w:color="auto"/>
              <w:right w:val="nil"/>
            </w:tcBorders>
            <w:shd w:val="clear" w:color="auto" w:fill="auto"/>
            <w:vAlign w:val="center"/>
          </w:tcPr>
          <w:p w14:paraId="37FDC7FF" w14:textId="77777777" w:rsidR="0075794C" w:rsidRPr="0037529A" w:rsidRDefault="0037529A" w:rsidP="0075794C">
            <w:pPr>
              <w:spacing w:line="360" w:lineRule="auto"/>
              <w:jc w:val="center"/>
              <w:rPr>
                <w:rFonts w:ascii="Courier New" w:hAnsi="Courier New"/>
                <w:b/>
                <w:bCs/>
                <w:color w:val="FFFFFF"/>
                <w:sz w:val="2"/>
                <w:szCs w:val="2"/>
              </w:rPr>
            </w:pPr>
            <w:r w:rsidRPr="0037529A">
              <w:rPr>
                <w:rFonts w:ascii="Courier New" w:hAnsi="Courier New"/>
                <w:b/>
                <w:bCs/>
                <w:color w:val="FFFFFF"/>
                <w:sz w:val="2"/>
                <w:szCs w:val="2"/>
                <w:rtl/>
              </w:rPr>
              <w:t>54678313</w:t>
            </w:r>
          </w:p>
        </w:tc>
        <w:tc>
          <w:tcPr>
            <w:tcW w:w="360" w:type="dxa"/>
            <w:shd w:val="clear" w:color="auto" w:fill="auto"/>
            <w:vAlign w:val="center"/>
          </w:tcPr>
          <w:p w14:paraId="1DEE57CF" w14:textId="77777777" w:rsidR="0075794C" w:rsidRPr="0075794C" w:rsidRDefault="0075794C" w:rsidP="0075794C">
            <w:pPr>
              <w:spacing w:line="360" w:lineRule="auto"/>
              <w:jc w:val="center"/>
              <w:rPr>
                <w:rFonts w:ascii="Courier New" w:hAnsi="Courier New"/>
                <w:b/>
                <w:bCs/>
              </w:rPr>
            </w:pPr>
          </w:p>
        </w:tc>
        <w:tc>
          <w:tcPr>
            <w:tcW w:w="2406" w:type="dxa"/>
            <w:tcBorders>
              <w:top w:val="nil"/>
              <w:left w:val="nil"/>
              <w:bottom w:val="single" w:sz="4" w:space="0" w:color="auto"/>
              <w:right w:val="nil"/>
            </w:tcBorders>
            <w:shd w:val="clear" w:color="auto" w:fill="auto"/>
            <w:vAlign w:val="center"/>
          </w:tcPr>
          <w:p w14:paraId="5BAB4F54" w14:textId="77777777" w:rsidR="0075794C" w:rsidRPr="0075794C" w:rsidRDefault="0075794C" w:rsidP="0075794C">
            <w:pPr>
              <w:spacing w:line="360" w:lineRule="auto"/>
              <w:jc w:val="center"/>
              <w:rPr>
                <w:rFonts w:ascii="Courier New" w:hAnsi="Courier New"/>
                <w:b/>
                <w:bCs/>
              </w:rPr>
            </w:pPr>
          </w:p>
        </w:tc>
        <w:tc>
          <w:tcPr>
            <w:tcW w:w="346" w:type="dxa"/>
            <w:shd w:val="clear" w:color="auto" w:fill="auto"/>
            <w:vAlign w:val="center"/>
          </w:tcPr>
          <w:p w14:paraId="560F2D05" w14:textId="77777777" w:rsidR="0075794C" w:rsidRPr="0075794C" w:rsidRDefault="0075794C" w:rsidP="0075794C">
            <w:pPr>
              <w:spacing w:line="360" w:lineRule="auto"/>
              <w:jc w:val="center"/>
              <w:rPr>
                <w:rFonts w:ascii="Courier New" w:hAnsi="Courier New"/>
                <w:b/>
                <w:bCs/>
                <w:rtl/>
              </w:rPr>
            </w:pPr>
          </w:p>
        </w:tc>
        <w:tc>
          <w:tcPr>
            <w:tcW w:w="2576" w:type="dxa"/>
            <w:tcBorders>
              <w:top w:val="nil"/>
              <w:left w:val="nil"/>
              <w:bottom w:val="single" w:sz="4" w:space="0" w:color="auto"/>
              <w:right w:val="nil"/>
            </w:tcBorders>
            <w:shd w:val="clear" w:color="auto" w:fill="auto"/>
            <w:vAlign w:val="center"/>
          </w:tcPr>
          <w:p w14:paraId="1F3EFB0D" w14:textId="77777777" w:rsidR="0075794C" w:rsidRPr="0075794C" w:rsidRDefault="0075794C" w:rsidP="0075794C">
            <w:pPr>
              <w:spacing w:line="360" w:lineRule="auto"/>
              <w:jc w:val="center"/>
              <w:rPr>
                <w:rFonts w:ascii="Courier New" w:hAnsi="Courier New"/>
                <w:b/>
                <w:bCs/>
              </w:rPr>
            </w:pPr>
          </w:p>
          <w:p w14:paraId="4E31DA38" w14:textId="77777777" w:rsidR="0075794C" w:rsidRPr="0075794C" w:rsidRDefault="0075794C" w:rsidP="0075794C">
            <w:pPr>
              <w:spacing w:line="360" w:lineRule="auto"/>
              <w:jc w:val="center"/>
              <w:rPr>
                <w:rFonts w:ascii="Courier New" w:hAnsi="Courier New"/>
                <w:b/>
                <w:bCs/>
              </w:rPr>
            </w:pPr>
          </w:p>
        </w:tc>
      </w:tr>
      <w:tr w:rsidR="0075794C" w14:paraId="59F0DD52" w14:textId="77777777" w:rsidTr="0075794C">
        <w:tc>
          <w:tcPr>
            <w:tcW w:w="2834" w:type="dxa"/>
            <w:tcBorders>
              <w:top w:val="single" w:sz="4" w:space="0" w:color="auto"/>
              <w:left w:val="nil"/>
              <w:bottom w:val="nil"/>
              <w:right w:val="nil"/>
            </w:tcBorders>
            <w:shd w:val="clear" w:color="auto" w:fill="auto"/>
          </w:tcPr>
          <w:p w14:paraId="71D64F97" w14:textId="77777777" w:rsidR="0075794C" w:rsidRPr="0075794C" w:rsidRDefault="0075794C" w:rsidP="0075794C">
            <w:pPr>
              <w:spacing w:line="360" w:lineRule="auto"/>
              <w:jc w:val="center"/>
              <w:rPr>
                <w:b/>
                <w:bCs/>
                <w:noProof/>
                <w:rtl/>
              </w:rPr>
            </w:pPr>
            <w:r w:rsidRPr="0075794C">
              <w:rPr>
                <w:rFonts w:hint="cs"/>
                <w:b/>
                <w:bCs/>
                <w:rtl/>
              </w:rPr>
              <w:t>ר. שפירא, נשיא</w:t>
            </w:r>
          </w:p>
          <w:p w14:paraId="45B83B2E" w14:textId="77777777" w:rsidR="0075794C" w:rsidRPr="0075794C" w:rsidRDefault="0075794C" w:rsidP="0075794C">
            <w:pPr>
              <w:spacing w:line="360" w:lineRule="auto"/>
              <w:jc w:val="center"/>
              <w:rPr>
                <w:b/>
                <w:bCs/>
                <w:noProof/>
                <w:rtl/>
              </w:rPr>
            </w:pPr>
            <w:r w:rsidRPr="0075794C">
              <w:rPr>
                <w:rFonts w:hint="cs"/>
                <w:b/>
                <w:bCs/>
                <w:rtl/>
              </w:rPr>
              <w:t>[אב"ד]</w:t>
            </w:r>
          </w:p>
        </w:tc>
        <w:tc>
          <w:tcPr>
            <w:tcW w:w="360" w:type="dxa"/>
            <w:shd w:val="clear" w:color="auto" w:fill="auto"/>
          </w:tcPr>
          <w:p w14:paraId="47C34022" w14:textId="77777777" w:rsidR="0075794C" w:rsidRPr="0075794C" w:rsidRDefault="0075794C" w:rsidP="0075794C">
            <w:pPr>
              <w:spacing w:line="360" w:lineRule="auto"/>
              <w:jc w:val="center"/>
              <w:rPr>
                <w:b/>
                <w:bCs/>
                <w:noProof/>
                <w:color w:val="FF0000"/>
              </w:rPr>
            </w:pPr>
          </w:p>
        </w:tc>
        <w:tc>
          <w:tcPr>
            <w:tcW w:w="2406" w:type="dxa"/>
            <w:tcBorders>
              <w:top w:val="single" w:sz="4" w:space="0" w:color="auto"/>
              <w:left w:val="nil"/>
              <w:bottom w:val="nil"/>
              <w:right w:val="nil"/>
            </w:tcBorders>
            <w:shd w:val="clear" w:color="auto" w:fill="auto"/>
          </w:tcPr>
          <w:p w14:paraId="28802BD3" w14:textId="77777777" w:rsidR="0075794C" w:rsidRPr="0075794C" w:rsidRDefault="0075794C" w:rsidP="0075794C">
            <w:pPr>
              <w:pStyle w:val="3"/>
              <w:spacing w:line="360" w:lineRule="auto"/>
              <w:jc w:val="center"/>
              <w:rPr>
                <w:rFonts w:cs="Times New Roman"/>
                <w:sz w:val="24"/>
                <w:szCs w:val="24"/>
              </w:rPr>
            </w:pPr>
            <w:r w:rsidRPr="0075794C">
              <w:rPr>
                <w:rFonts w:hint="cs"/>
                <w:noProof/>
                <w:sz w:val="24"/>
                <w:szCs w:val="24"/>
                <w:rtl/>
              </w:rPr>
              <w:t>ר. איזנברג, שופטת</w:t>
            </w:r>
            <w:r w:rsidRPr="0075794C">
              <w:rPr>
                <w:sz w:val="24"/>
                <w:szCs w:val="24"/>
              </w:rPr>
              <w:t xml:space="preserve"> </w:t>
            </w:r>
          </w:p>
        </w:tc>
        <w:tc>
          <w:tcPr>
            <w:tcW w:w="346" w:type="dxa"/>
            <w:shd w:val="clear" w:color="auto" w:fill="auto"/>
          </w:tcPr>
          <w:p w14:paraId="581DFE77" w14:textId="77777777" w:rsidR="0075794C" w:rsidRPr="0075794C" w:rsidRDefault="0075794C" w:rsidP="0075794C">
            <w:pPr>
              <w:spacing w:line="360" w:lineRule="auto"/>
              <w:jc w:val="center"/>
              <w:rPr>
                <w:b/>
                <w:bCs/>
                <w:noProof/>
                <w:color w:val="FF0000"/>
              </w:rPr>
            </w:pPr>
          </w:p>
        </w:tc>
        <w:tc>
          <w:tcPr>
            <w:tcW w:w="2576" w:type="dxa"/>
            <w:tcBorders>
              <w:top w:val="single" w:sz="4" w:space="0" w:color="auto"/>
              <w:left w:val="nil"/>
              <w:bottom w:val="nil"/>
              <w:right w:val="nil"/>
            </w:tcBorders>
            <w:shd w:val="clear" w:color="auto" w:fill="auto"/>
          </w:tcPr>
          <w:p w14:paraId="11B7F9A5" w14:textId="77777777" w:rsidR="0075794C" w:rsidRPr="0075794C" w:rsidRDefault="0075794C" w:rsidP="0075794C">
            <w:pPr>
              <w:spacing w:line="360" w:lineRule="auto"/>
              <w:jc w:val="center"/>
              <w:rPr>
                <w:b/>
                <w:bCs/>
                <w:noProof/>
                <w:rtl/>
              </w:rPr>
            </w:pPr>
            <w:r w:rsidRPr="0075794C">
              <w:rPr>
                <w:rFonts w:hint="cs"/>
                <w:b/>
                <w:bCs/>
                <w:noProof/>
                <w:rtl/>
              </w:rPr>
              <w:t>א. סלאמה, שופט</w:t>
            </w:r>
          </w:p>
        </w:tc>
      </w:tr>
    </w:tbl>
    <w:p w14:paraId="08677D57" w14:textId="77777777" w:rsidR="0075794C" w:rsidRPr="00F3318C" w:rsidRDefault="00F3318C" w:rsidP="0075794C">
      <w:pPr>
        <w:pStyle w:val="a3"/>
        <w:spacing w:line="360" w:lineRule="auto"/>
        <w:jc w:val="center"/>
        <w:rPr>
          <w:color w:val="FFFFFF"/>
          <w:sz w:val="2"/>
          <w:szCs w:val="2"/>
          <w:rtl/>
        </w:rPr>
      </w:pPr>
      <w:r w:rsidRPr="00F3318C">
        <w:rPr>
          <w:color w:val="FFFFFF"/>
          <w:sz w:val="2"/>
          <w:szCs w:val="2"/>
          <w:rtl/>
        </w:rPr>
        <w:t>5129371</w:t>
      </w:r>
    </w:p>
    <w:p w14:paraId="05403153" w14:textId="77777777" w:rsidR="000627CA" w:rsidRPr="00F3318C" w:rsidRDefault="00F3318C" w:rsidP="0037529A">
      <w:pPr>
        <w:keepNext/>
        <w:rPr>
          <w:rFonts w:ascii="David" w:hAnsi="David"/>
          <w:color w:val="FFFFFF"/>
          <w:sz w:val="2"/>
          <w:szCs w:val="2"/>
          <w:rtl/>
        </w:rPr>
      </w:pPr>
      <w:r w:rsidRPr="00F3318C">
        <w:rPr>
          <w:rFonts w:ascii="David" w:hAnsi="David"/>
          <w:color w:val="FFFFFF"/>
          <w:sz w:val="2"/>
          <w:szCs w:val="2"/>
          <w:rtl/>
        </w:rPr>
        <w:t>54678313</w:t>
      </w:r>
    </w:p>
    <w:p w14:paraId="0AB0F1E8" w14:textId="77777777" w:rsidR="0037529A" w:rsidRDefault="0037529A" w:rsidP="0037529A">
      <w:pPr>
        <w:rPr>
          <w:rtl/>
        </w:rPr>
      </w:pPr>
    </w:p>
    <w:p w14:paraId="413CFFF6" w14:textId="77777777" w:rsidR="0037529A" w:rsidRDefault="0037529A" w:rsidP="0037529A">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5C34606D" w14:textId="77777777" w:rsidR="00F3318C" w:rsidRPr="00F3318C" w:rsidRDefault="00F3318C" w:rsidP="00F3318C">
      <w:pPr>
        <w:keepNext/>
        <w:rPr>
          <w:rFonts w:ascii="David" w:hAnsi="David"/>
          <w:color w:val="000000"/>
          <w:sz w:val="22"/>
          <w:szCs w:val="22"/>
          <w:rtl/>
        </w:rPr>
      </w:pPr>
    </w:p>
    <w:p w14:paraId="60640A31" w14:textId="77777777" w:rsidR="00F3318C" w:rsidRPr="00F3318C" w:rsidRDefault="00F3318C" w:rsidP="00F3318C">
      <w:pPr>
        <w:keepNext/>
        <w:rPr>
          <w:rFonts w:ascii="David" w:hAnsi="David"/>
          <w:color w:val="000000"/>
          <w:sz w:val="22"/>
          <w:szCs w:val="22"/>
          <w:rtl/>
        </w:rPr>
      </w:pPr>
      <w:r w:rsidRPr="00F3318C">
        <w:rPr>
          <w:rFonts w:ascii="David" w:hAnsi="David"/>
          <w:color w:val="000000"/>
          <w:sz w:val="22"/>
          <w:szCs w:val="22"/>
          <w:rtl/>
        </w:rPr>
        <w:t>רון שפירא 54678313-/</w:t>
      </w:r>
    </w:p>
    <w:p w14:paraId="78E7D669" w14:textId="77777777" w:rsidR="0037529A" w:rsidRPr="0037529A" w:rsidRDefault="00F3318C" w:rsidP="00F3318C">
      <w:pPr>
        <w:rPr>
          <w:color w:val="0000FF"/>
          <w:u w:val="single"/>
        </w:rPr>
      </w:pPr>
      <w:r w:rsidRPr="00F3318C">
        <w:rPr>
          <w:color w:val="000000"/>
          <w:u w:val="single"/>
          <w:rtl/>
        </w:rPr>
        <w:t>נוסח מסמך זה כפוף לשינויי ניסוח ועריכה</w:t>
      </w:r>
    </w:p>
    <w:sectPr w:rsidR="0037529A" w:rsidRPr="0037529A" w:rsidSect="00F3318C">
      <w:headerReference w:type="even" r:id="rId41"/>
      <w:headerReference w:type="default" r:id="rId42"/>
      <w:footerReference w:type="even" r:id="rId43"/>
      <w:footerReference w:type="default" r:id="rId44"/>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34A70" w14:textId="77777777" w:rsidR="00831C0B" w:rsidRDefault="00831C0B" w:rsidP="00725BA2">
      <w:r>
        <w:separator/>
      </w:r>
    </w:p>
  </w:endnote>
  <w:endnote w:type="continuationSeparator" w:id="0">
    <w:p w14:paraId="51F92F62" w14:textId="77777777" w:rsidR="00831C0B" w:rsidRDefault="00831C0B" w:rsidP="00725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2A312" w14:textId="77777777" w:rsidR="00F3318C" w:rsidRDefault="00F3318C" w:rsidP="00F3318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FC69E70" w14:textId="77777777" w:rsidR="008E600A" w:rsidRPr="00F3318C" w:rsidRDefault="00F3318C" w:rsidP="00F3318C">
    <w:pPr>
      <w:pStyle w:val="a5"/>
      <w:pBdr>
        <w:top w:val="single" w:sz="4" w:space="1" w:color="auto"/>
        <w:between w:val="single" w:sz="4" w:space="0" w:color="auto"/>
      </w:pBdr>
      <w:spacing w:after="60"/>
      <w:jc w:val="center"/>
      <w:rPr>
        <w:rFonts w:ascii="FrankRuehl" w:hAnsi="FrankRuehl" w:cs="FrankRuehl"/>
        <w:color w:val="000000"/>
      </w:rPr>
    </w:pPr>
    <w:r w:rsidRPr="00F3318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7A504" w14:textId="77777777" w:rsidR="00F3318C" w:rsidRDefault="00F3318C" w:rsidP="00F3318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27AD3">
      <w:rPr>
        <w:rFonts w:ascii="FrankRuehl" w:hAnsi="FrankRuehl" w:cs="FrankRuehl"/>
        <w:noProof/>
        <w:rtl/>
      </w:rPr>
      <w:t>1</w:t>
    </w:r>
    <w:r>
      <w:rPr>
        <w:rFonts w:ascii="FrankRuehl" w:hAnsi="FrankRuehl" w:cs="FrankRuehl"/>
        <w:rtl/>
      </w:rPr>
      <w:fldChar w:fldCharType="end"/>
    </w:r>
  </w:p>
  <w:p w14:paraId="08B24068" w14:textId="77777777" w:rsidR="008E600A" w:rsidRPr="00F3318C" w:rsidRDefault="00F3318C" w:rsidP="00F3318C">
    <w:pPr>
      <w:pStyle w:val="a5"/>
      <w:pBdr>
        <w:top w:val="single" w:sz="4" w:space="1" w:color="auto"/>
        <w:between w:val="single" w:sz="4" w:space="0" w:color="auto"/>
      </w:pBdr>
      <w:spacing w:after="60"/>
      <w:jc w:val="center"/>
      <w:rPr>
        <w:rFonts w:ascii="FrankRuehl" w:hAnsi="FrankRuehl" w:cs="FrankRuehl"/>
        <w:color w:val="000000"/>
      </w:rPr>
    </w:pPr>
    <w:r w:rsidRPr="00F3318C">
      <w:rPr>
        <w:rFonts w:ascii="FrankRuehl" w:hAnsi="FrankRuehl" w:cs="FrankRuehl"/>
        <w:color w:val="000000"/>
      </w:rPr>
      <w:pict w14:anchorId="620AB7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A31AAA" w14:textId="77777777" w:rsidR="00831C0B" w:rsidRDefault="00831C0B" w:rsidP="00725BA2">
      <w:r>
        <w:separator/>
      </w:r>
    </w:p>
  </w:footnote>
  <w:footnote w:type="continuationSeparator" w:id="0">
    <w:p w14:paraId="25C77E14" w14:textId="77777777" w:rsidR="00831C0B" w:rsidRDefault="00831C0B" w:rsidP="00725B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74568" w14:textId="77777777" w:rsidR="0037529A" w:rsidRPr="00F3318C" w:rsidRDefault="00F3318C" w:rsidP="00F3318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(חי') 37780-03-22</w:t>
    </w:r>
    <w:r>
      <w:rPr>
        <w:rFonts w:ascii="David" w:hAnsi="David"/>
        <w:color w:val="000000"/>
        <w:sz w:val="22"/>
        <w:szCs w:val="22"/>
        <w:rtl/>
      </w:rPr>
      <w:tab/>
      <w:t xml:space="preserve"> מדינת ישראל נ' חאלד עווד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1CF85" w14:textId="77777777" w:rsidR="0037529A" w:rsidRPr="00F3318C" w:rsidRDefault="00F3318C" w:rsidP="00F3318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(חי') 37780-03-22</w:t>
    </w:r>
    <w:r>
      <w:rPr>
        <w:rFonts w:ascii="David" w:hAnsi="David"/>
        <w:color w:val="000000"/>
        <w:sz w:val="22"/>
        <w:szCs w:val="22"/>
        <w:rtl/>
      </w:rPr>
      <w:tab/>
      <w:t xml:space="preserve"> מדינת ישראל נ' חאלד עווד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2E22C2"/>
    <w:multiLevelType w:val="hybridMultilevel"/>
    <w:tmpl w:val="E5603CAA"/>
    <w:lvl w:ilvl="0" w:tplc="6C7C610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4196429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5794C"/>
    <w:rsid w:val="000321A2"/>
    <w:rsid w:val="000627CA"/>
    <w:rsid w:val="00153EDF"/>
    <w:rsid w:val="001B5A3B"/>
    <w:rsid w:val="0037529A"/>
    <w:rsid w:val="00452B73"/>
    <w:rsid w:val="004D2E27"/>
    <w:rsid w:val="00565EE9"/>
    <w:rsid w:val="006B3DE7"/>
    <w:rsid w:val="00725BA2"/>
    <w:rsid w:val="0075794C"/>
    <w:rsid w:val="00823D67"/>
    <w:rsid w:val="00831C0B"/>
    <w:rsid w:val="008B1878"/>
    <w:rsid w:val="008E600A"/>
    <w:rsid w:val="00B50425"/>
    <w:rsid w:val="00E5339D"/>
    <w:rsid w:val="00F27AD3"/>
    <w:rsid w:val="00F331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CCB241"/>
  <w15:chartTrackingRefBased/>
  <w15:docId w15:val="{7DA7914B-2AAA-41AC-9F8D-5E9C623A1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794C"/>
    <w:pPr>
      <w:bidi/>
    </w:pPr>
    <w:rPr>
      <w:rFonts w:ascii="Times New Roman" w:eastAsia="Times New Roman" w:hAnsi="Times New Roman" w:cs="David"/>
      <w:sz w:val="24"/>
      <w:szCs w:val="24"/>
    </w:rPr>
  </w:style>
  <w:style w:type="paragraph" w:styleId="3">
    <w:name w:val="heading 3"/>
    <w:basedOn w:val="a"/>
    <w:next w:val="a"/>
    <w:link w:val="30"/>
    <w:qFormat/>
    <w:rsid w:val="0075794C"/>
    <w:pPr>
      <w:keepNext/>
      <w:spacing w:before="240" w:after="60"/>
      <w:outlineLvl w:val="2"/>
    </w:pPr>
    <w:rPr>
      <w:rFonts w:ascii="David" w:hAnsi="David"/>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75794C"/>
    <w:rPr>
      <w:rFonts w:ascii="David" w:eastAsia="Times New Roman" w:hAnsi="David" w:cs="David"/>
      <w:b/>
      <w:bCs/>
      <w:sz w:val="26"/>
      <w:szCs w:val="26"/>
    </w:rPr>
  </w:style>
  <w:style w:type="paragraph" w:styleId="a3">
    <w:name w:val="header"/>
    <w:basedOn w:val="a"/>
    <w:link w:val="a4"/>
    <w:rsid w:val="0075794C"/>
    <w:pPr>
      <w:tabs>
        <w:tab w:val="center" w:pos="4153"/>
        <w:tab w:val="right" w:pos="8306"/>
      </w:tabs>
    </w:pPr>
  </w:style>
  <w:style w:type="character" w:customStyle="1" w:styleId="a4">
    <w:name w:val="כותרת עליונה תו"/>
    <w:link w:val="a3"/>
    <w:rsid w:val="0075794C"/>
    <w:rPr>
      <w:rFonts w:ascii="Times New Roman" w:eastAsia="Times New Roman" w:hAnsi="Times New Roman" w:cs="David"/>
      <w:sz w:val="24"/>
      <w:szCs w:val="24"/>
    </w:rPr>
  </w:style>
  <w:style w:type="paragraph" w:styleId="a5">
    <w:name w:val="footer"/>
    <w:basedOn w:val="a"/>
    <w:link w:val="a6"/>
    <w:rsid w:val="0075794C"/>
    <w:pPr>
      <w:tabs>
        <w:tab w:val="center" w:pos="4153"/>
        <w:tab w:val="right" w:pos="8306"/>
      </w:tabs>
    </w:pPr>
  </w:style>
  <w:style w:type="character" w:customStyle="1" w:styleId="a6">
    <w:name w:val="כותרת תחתונה תו"/>
    <w:link w:val="a5"/>
    <w:rsid w:val="0075794C"/>
    <w:rPr>
      <w:rFonts w:ascii="Times New Roman" w:eastAsia="Times New Roman" w:hAnsi="Times New Roman" w:cs="David"/>
      <w:sz w:val="24"/>
      <w:szCs w:val="24"/>
    </w:rPr>
  </w:style>
  <w:style w:type="table" w:styleId="a7">
    <w:name w:val="Table Grid"/>
    <w:basedOn w:val="a1"/>
    <w:rsid w:val="0075794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5794C"/>
  </w:style>
  <w:style w:type="character" w:customStyle="1" w:styleId="TimesNewRomanTimesNewRoman">
    <w:name w:val="סגנון (לטיני) Times New Roman (עברית ושפות אחרות) Times New Roman..."/>
    <w:rsid w:val="0075794C"/>
    <w:rPr>
      <w:rFonts w:ascii="Times New Roman" w:hAnsi="Times New Roman" w:cs="David" w:hint="default"/>
      <w:b/>
      <w:bCs/>
      <w:sz w:val="26"/>
      <w:szCs w:val="26"/>
    </w:rPr>
  </w:style>
  <w:style w:type="character" w:styleId="Hyperlink">
    <w:name w:val="Hyperlink"/>
    <w:rsid w:val="0075794C"/>
    <w:rPr>
      <w:color w:val="0000FF"/>
      <w:u w:val="single"/>
    </w:rPr>
  </w:style>
  <w:style w:type="paragraph" w:styleId="a9">
    <w:name w:val="List Paragraph"/>
    <w:basedOn w:val="a"/>
    <w:qFormat/>
    <w:rsid w:val="0075794C"/>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4152609" TargetMode="External"/><Relationship Id="rId39" Type="http://schemas.openxmlformats.org/officeDocument/2006/relationships/hyperlink" Target="http://www.nevo.co.il/law/70301/40g" TargetMode="External"/><Relationship Id="rId21" Type="http://schemas.openxmlformats.org/officeDocument/2006/relationships/hyperlink" Target="http://www.nevo.co.il/case/13093721" TargetMode="External"/><Relationship Id="rId34" Type="http://schemas.openxmlformats.org/officeDocument/2006/relationships/hyperlink" Target="http://www.nevo.co.il/case/25010185"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law/70301/20.a.2.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f" TargetMode="External"/><Relationship Id="rId24" Type="http://schemas.openxmlformats.org/officeDocument/2006/relationships/hyperlink" Target="http://www.nevo.co.il/law/70301/40c" TargetMode="External"/><Relationship Id="rId32" Type="http://schemas.openxmlformats.org/officeDocument/2006/relationships/hyperlink" Target="http://www.nevo.co.il/case/27238781" TargetMode="External"/><Relationship Id="rId37" Type="http://schemas.openxmlformats.org/officeDocument/2006/relationships/hyperlink" Target="http://www.nevo.co.il/law/70301/40ja"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301c" TargetMode="External"/><Relationship Id="rId23" Type="http://schemas.openxmlformats.org/officeDocument/2006/relationships/hyperlink" Target="http://www.nevo.co.il/case/6243627" TargetMode="External"/><Relationship Id="rId28" Type="http://schemas.openxmlformats.org/officeDocument/2006/relationships/hyperlink" Target="http://www.nevo.co.il/case/27004212" TargetMode="External"/><Relationship Id="rId36" Type="http://schemas.openxmlformats.org/officeDocument/2006/relationships/hyperlink" Target="http://www.nevo.co.il/case/24147174" TargetMode="External"/><Relationship Id="rId10" Type="http://schemas.openxmlformats.org/officeDocument/2006/relationships/hyperlink" Target="http://www.nevo.co.il/law/70301/40c"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case/27004212"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244" TargetMode="External"/><Relationship Id="rId22" Type="http://schemas.openxmlformats.org/officeDocument/2006/relationships/hyperlink" Target="http://www.nevo.co.il/law/70301/40b" TargetMode="External"/><Relationship Id="rId27" Type="http://schemas.openxmlformats.org/officeDocument/2006/relationships/hyperlink" Target="http://www.nevo.co.il/case/17948201" TargetMode="External"/><Relationship Id="rId30" Type="http://schemas.openxmlformats.org/officeDocument/2006/relationships/hyperlink" Target="http://www.nevo.co.il/case/26291652" TargetMode="External"/><Relationship Id="rId35" Type="http://schemas.openxmlformats.org/officeDocument/2006/relationships/hyperlink" Target="http://www.nevo.co.il/case/25700135" TargetMode="External"/><Relationship Id="rId43" Type="http://schemas.openxmlformats.org/officeDocument/2006/relationships/footer" Target="footer1.xml"/><Relationship Id="rId8" Type="http://schemas.openxmlformats.org/officeDocument/2006/relationships/hyperlink" Target="http://www.nevo.co.il/law/70301/20.a.2.b" TargetMode="External"/><Relationship Id="rId3" Type="http://schemas.openxmlformats.org/officeDocument/2006/relationships/settings" Target="settings.xml"/><Relationship Id="rId12" Type="http://schemas.openxmlformats.org/officeDocument/2006/relationships/hyperlink" Target="http://www.nevo.co.il/law/70301/40g" TargetMode="External"/><Relationship Id="rId17" Type="http://schemas.openxmlformats.org/officeDocument/2006/relationships/hyperlink" Target="http://www.nevo.co.il/law/70301/301c" TargetMode="External"/><Relationship Id="rId25" Type="http://schemas.openxmlformats.org/officeDocument/2006/relationships/hyperlink" Target="http://www.nevo.co.il/law/70301/40ja" TargetMode="External"/><Relationship Id="rId33" Type="http://schemas.openxmlformats.org/officeDocument/2006/relationships/hyperlink" Target="http://www.nevo.co.il/case/27172720" TargetMode="External"/><Relationship Id="rId38" Type="http://schemas.openxmlformats.org/officeDocument/2006/relationships/hyperlink" Target="http://www.nevo.co.il/law/70301/40f" TargetMode="External"/><Relationship Id="rId46" Type="http://schemas.openxmlformats.org/officeDocument/2006/relationships/theme" Target="theme/theme1.xml"/><Relationship Id="rId20" Type="http://schemas.openxmlformats.org/officeDocument/2006/relationships/hyperlink" Target="http://www.nevo.co.il/law/70301/244"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3534</Words>
  <Characters>17673</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21165</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6619233</vt:i4>
      </vt:variant>
      <vt:variant>
        <vt:i4>96</vt:i4>
      </vt:variant>
      <vt:variant>
        <vt:i4>0</vt:i4>
      </vt:variant>
      <vt:variant>
        <vt:i4>5</vt:i4>
      </vt:variant>
      <vt:variant>
        <vt:lpwstr>http://www.nevo.co.il/law/70301/40g</vt:lpwstr>
      </vt:variant>
      <vt:variant>
        <vt:lpwstr/>
      </vt:variant>
      <vt:variant>
        <vt:i4>6619233</vt:i4>
      </vt:variant>
      <vt:variant>
        <vt:i4>93</vt:i4>
      </vt:variant>
      <vt:variant>
        <vt:i4>0</vt:i4>
      </vt:variant>
      <vt:variant>
        <vt:i4>5</vt:i4>
      </vt:variant>
      <vt:variant>
        <vt:lpwstr>http://www.nevo.co.il/law/70301/40f</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3342453</vt:i4>
      </vt:variant>
      <vt:variant>
        <vt:i4>87</vt:i4>
      </vt:variant>
      <vt:variant>
        <vt:i4>0</vt:i4>
      </vt:variant>
      <vt:variant>
        <vt:i4>5</vt:i4>
      </vt:variant>
      <vt:variant>
        <vt:lpwstr>http://www.nevo.co.il/case/24147174</vt:lpwstr>
      </vt:variant>
      <vt:variant>
        <vt:lpwstr/>
      </vt:variant>
      <vt:variant>
        <vt:i4>3539056</vt:i4>
      </vt:variant>
      <vt:variant>
        <vt:i4>84</vt:i4>
      </vt:variant>
      <vt:variant>
        <vt:i4>0</vt:i4>
      </vt:variant>
      <vt:variant>
        <vt:i4>5</vt:i4>
      </vt:variant>
      <vt:variant>
        <vt:lpwstr>http://www.nevo.co.il/case/25700135</vt:lpwstr>
      </vt:variant>
      <vt:variant>
        <vt:lpwstr/>
      </vt:variant>
      <vt:variant>
        <vt:i4>3801201</vt:i4>
      </vt:variant>
      <vt:variant>
        <vt:i4>81</vt:i4>
      </vt:variant>
      <vt:variant>
        <vt:i4>0</vt:i4>
      </vt:variant>
      <vt:variant>
        <vt:i4>5</vt:i4>
      </vt:variant>
      <vt:variant>
        <vt:lpwstr>http://www.nevo.co.il/case/25010185</vt:lpwstr>
      </vt:variant>
      <vt:variant>
        <vt:lpwstr/>
      </vt:variant>
      <vt:variant>
        <vt:i4>3342451</vt:i4>
      </vt:variant>
      <vt:variant>
        <vt:i4>78</vt:i4>
      </vt:variant>
      <vt:variant>
        <vt:i4>0</vt:i4>
      </vt:variant>
      <vt:variant>
        <vt:i4>5</vt:i4>
      </vt:variant>
      <vt:variant>
        <vt:lpwstr>http://www.nevo.co.il/case/27172720</vt:lpwstr>
      </vt:variant>
      <vt:variant>
        <vt:lpwstr/>
      </vt:variant>
      <vt:variant>
        <vt:i4>3145847</vt:i4>
      </vt:variant>
      <vt:variant>
        <vt:i4>75</vt:i4>
      </vt:variant>
      <vt:variant>
        <vt:i4>0</vt:i4>
      </vt:variant>
      <vt:variant>
        <vt:i4>5</vt:i4>
      </vt:variant>
      <vt:variant>
        <vt:lpwstr>http://www.nevo.co.il/case/27238781</vt:lpwstr>
      </vt:variant>
      <vt:variant>
        <vt:lpwstr/>
      </vt:variant>
      <vt:variant>
        <vt:i4>3604593</vt:i4>
      </vt:variant>
      <vt:variant>
        <vt:i4>72</vt:i4>
      </vt:variant>
      <vt:variant>
        <vt:i4>0</vt:i4>
      </vt:variant>
      <vt:variant>
        <vt:i4>5</vt:i4>
      </vt:variant>
      <vt:variant>
        <vt:lpwstr>http://www.nevo.co.il/case/27004212</vt:lpwstr>
      </vt:variant>
      <vt:variant>
        <vt:lpwstr/>
      </vt:variant>
      <vt:variant>
        <vt:i4>3407997</vt:i4>
      </vt:variant>
      <vt:variant>
        <vt:i4>69</vt:i4>
      </vt:variant>
      <vt:variant>
        <vt:i4>0</vt:i4>
      </vt:variant>
      <vt:variant>
        <vt:i4>5</vt:i4>
      </vt:variant>
      <vt:variant>
        <vt:lpwstr>http://www.nevo.co.il/case/26291652</vt:lpwstr>
      </vt:variant>
      <vt:variant>
        <vt:lpwstr/>
      </vt:variant>
      <vt:variant>
        <vt:i4>5505097</vt:i4>
      </vt:variant>
      <vt:variant>
        <vt:i4>66</vt:i4>
      </vt:variant>
      <vt:variant>
        <vt:i4>0</vt:i4>
      </vt:variant>
      <vt:variant>
        <vt:i4>5</vt:i4>
      </vt:variant>
      <vt:variant>
        <vt:lpwstr>http://www.nevo.co.il/law/70301/20.a.2.b</vt:lpwstr>
      </vt:variant>
      <vt:variant>
        <vt:lpwstr/>
      </vt:variant>
      <vt:variant>
        <vt:i4>3604593</vt:i4>
      </vt:variant>
      <vt:variant>
        <vt:i4>63</vt:i4>
      </vt:variant>
      <vt:variant>
        <vt:i4>0</vt:i4>
      </vt:variant>
      <vt:variant>
        <vt:i4>5</vt:i4>
      </vt:variant>
      <vt:variant>
        <vt:lpwstr>http://www.nevo.co.il/case/27004212</vt:lpwstr>
      </vt:variant>
      <vt:variant>
        <vt:lpwstr/>
      </vt:variant>
      <vt:variant>
        <vt:i4>3145845</vt:i4>
      </vt:variant>
      <vt:variant>
        <vt:i4>60</vt:i4>
      </vt:variant>
      <vt:variant>
        <vt:i4>0</vt:i4>
      </vt:variant>
      <vt:variant>
        <vt:i4>5</vt:i4>
      </vt:variant>
      <vt:variant>
        <vt:lpwstr>http://www.nevo.co.il/case/17948201</vt:lpwstr>
      </vt:variant>
      <vt:variant>
        <vt:lpwstr/>
      </vt:variant>
      <vt:variant>
        <vt:i4>3211379</vt:i4>
      </vt:variant>
      <vt:variant>
        <vt:i4>57</vt:i4>
      </vt:variant>
      <vt:variant>
        <vt:i4>0</vt:i4>
      </vt:variant>
      <vt:variant>
        <vt:i4>5</vt:i4>
      </vt:variant>
      <vt:variant>
        <vt:lpwstr>http://www.nevo.co.il/case/24152609</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6619233</vt:i4>
      </vt:variant>
      <vt:variant>
        <vt:i4>51</vt:i4>
      </vt:variant>
      <vt:variant>
        <vt:i4>0</vt:i4>
      </vt:variant>
      <vt:variant>
        <vt:i4>5</vt:i4>
      </vt:variant>
      <vt:variant>
        <vt:lpwstr>http://www.nevo.co.il/law/70301/40c</vt:lpwstr>
      </vt:variant>
      <vt:variant>
        <vt:lpwstr/>
      </vt:variant>
      <vt:variant>
        <vt:i4>3342455</vt:i4>
      </vt:variant>
      <vt:variant>
        <vt:i4>48</vt:i4>
      </vt:variant>
      <vt:variant>
        <vt:i4>0</vt:i4>
      </vt:variant>
      <vt:variant>
        <vt:i4>5</vt:i4>
      </vt:variant>
      <vt:variant>
        <vt:lpwstr>http://www.nevo.co.il/case/6243627</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6357095</vt:i4>
      </vt:variant>
      <vt:variant>
        <vt:i4>39</vt:i4>
      </vt:variant>
      <vt:variant>
        <vt:i4>0</vt:i4>
      </vt:variant>
      <vt:variant>
        <vt:i4>5</vt:i4>
      </vt:variant>
      <vt:variant>
        <vt:lpwstr>http://www.nevo.co.il/law/70301/244</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7995492</vt:i4>
      </vt:variant>
      <vt:variant>
        <vt:i4>33</vt:i4>
      </vt:variant>
      <vt:variant>
        <vt:i4>0</vt:i4>
      </vt:variant>
      <vt:variant>
        <vt:i4>5</vt:i4>
      </vt:variant>
      <vt:variant>
        <vt:lpwstr>http://www.nevo.co.il/law/70301</vt:lpwstr>
      </vt:variant>
      <vt:variant>
        <vt:lpwstr/>
      </vt:variant>
      <vt:variant>
        <vt:i4>393303</vt:i4>
      </vt:variant>
      <vt:variant>
        <vt:i4>30</vt:i4>
      </vt:variant>
      <vt:variant>
        <vt:i4>0</vt:i4>
      </vt:variant>
      <vt:variant>
        <vt:i4>5</vt:i4>
      </vt:variant>
      <vt:variant>
        <vt:lpwstr>http://www.nevo.co.il/law/70301/301c</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393303</vt:i4>
      </vt:variant>
      <vt:variant>
        <vt:i4>24</vt:i4>
      </vt:variant>
      <vt:variant>
        <vt:i4>0</vt:i4>
      </vt:variant>
      <vt:variant>
        <vt:i4>5</vt:i4>
      </vt:variant>
      <vt:variant>
        <vt:lpwstr>http://www.nevo.co.il/law/70301/301c</vt:lpwstr>
      </vt:variant>
      <vt:variant>
        <vt:lpwstr/>
      </vt:variant>
      <vt:variant>
        <vt:i4>6357095</vt:i4>
      </vt:variant>
      <vt:variant>
        <vt:i4>21</vt:i4>
      </vt:variant>
      <vt:variant>
        <vt:i4>0</vt:i4>
      </vt:variant>
      <vt:variant>
        <vt:i4>5</vt:i4>
      </vt:variant>
      <vt:variant>
        <vt:lpwstr>http://www.nevo.co.il/law/70301/244</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6619233</vt:i4>
      </vt:variant>
      <vt:variant>
        <vt:i4>15</vt:i4>
      </vt:variant>
      <vt:variant>
        <vt:i4>0</vt:i4>
      </vt:variant>
      <vt:variant>
        <vt:i4>5</vt:i4>
      </vt:variant>
      <vt:variant>
        <vt:lpwstr>http://www.nevo.co.il/law/70301/40g</vt:lpwstr>
      </vt:variant>
      <vt:variant>
        <vt:lpwstr/>
      </vt:variant>
      <vt:variant>
        <vt:i4>6619233</vt:i4>
      </vt:variant>
      <vt:variant>
        <vt:i4>12</vt:i4>
      </vt:variant>
      <vt:variant>
        <vt:i4>0</vt:i4>
      </vt:variant>
      <vt:variant>
        <vt:i4>5</vt:i4>
      </vt:variant>
      <vt:variant>
        <vt:lpwstr>http://www.nevo.co.il/law/70301/40f</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5505097</vt:i4>
      </vt:variant>
      <vt:variant>
        <vt:i4>3</vt:i4>
      </vt:variant>
      <vt:variant>
        <vt:i4>0</vt:i4>
      </vt:variant>
      <vt:variant>
        <vt:i4>5</vt:i4>
      </vt:variant>
      <vt:variant>
        <vt:lpwstr>http://www.nevo.co.il/law/70301/20.a.2.b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2025-01-19T16:51:00Z</dcterms:created>
  <dcterms:modified xsi:type="dcterms:W3CDTF">2025-01-19T16:51:00Z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37780</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חאלד עווד</vt:lpwstr>
  </property>
  <property fmtid="{D5CDD505-2E9C-101B-9397-08002B2CF9AE}" pid="10" name="LAWYER">
    <vt:lpwstr>ששון בר עוז ;פהד נסיב חאג'</vt:lpwstr>
  </property>
  <property fmtid="{D5CDD505-2E9C-101B-9397-08002B2CF9AE}" pid="11" name="JUDGE">
    <vt:lpwstr>רון שפירא;רבקה איזנברג ;אינאס סלאמה</vt:lpwstr>
  </property>
  <property fmtid="{D5CDD505-2E9C-101B-9397-08002B2CF9AE}" pid="12" name="CITY">
    <vt:lpwstr>חי'</vt:lpwstr>
  </property>
  <property fmtid="{D5CDD505-2E9C-101B-9397-08002B2CF9AE}" pid="13" name="DATE">
    <vt:lpwstr>20231120</vt:lpwstr>
  </property>
  <property fmtid="{D5CDD505-2E9C-101B-9397-08002B2CF9AE}" pid="14" name="TYPE_N_DATE">
    <vt:lpwstr>39020231120</vt:lpwstr>
  </property>
  <property fmtid="{D5CDD505-2E9C-101B-9397-08002B2CF9AE}" pid="15" name="WORDNUMPAGES">
    <vt:lpwstr>10</vt:lpwstr>
  </property>
  <property fmtid="{D5CDD505-2E9C-101B-9397-08002B2CF9AE}" pid="16" name="TYPE_ABS_DATE">
    <vt:lpwstr>390020231120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13093721;6243627;24152609;17948201;27004212:2;26291652;27238781;27172720;25010185;25700135;24147174</vt:lpwstr>
  </property>
  <property fmtid="{D5CDD505-2E9C-101B-9397-08002B2CF9AE}" pid="36" name="LAWLISTTMP1">
    <vt:lpwstr>70301/301c;144.b;244;040b;040c;40ja:2;020.a.2.b;040f;040g</vt:lpwstr>
  </property>
</Properties>
</file>