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52235" w:rsidRPr="00C263B7" w14:paraId="6AB74869" w14:textId="77777777" w:rsidTr="005C199A">
        <w:trPr>
          <w:trHeight w:hRule="exact" w:val="567"/>
          <w:jc w:val="center"/>
        </w:trPr>
        <w:tc>
          <w:tcPr>
            <w:tcW w:w="8721" w:type="dxa"/>
            <w:gridSpan w:val="2"/>
          </w:tcPr>
          <w:p w14:paraId="17A01213" w14:textId="77777777" w:rsidR="00452235" w:rsidRPr="00C263B7" w:rsidRDefault="00452235" w:rsidP="000310E4">
            <w:pPr>
              <w:pStyle w:val="a3"/>
              <w:jc w:val="center"/>
              <w:rPr>
                <w:rFonts w:ascii="David" w:hAnsi="David"/>
                <w:b/>
                <w:bCs/>
                <w:color w:val="000080"/>
                <w:sz w:val="28"/>
                <w:szCs w:val="28"/>
                <w:rtl/>
              </w:rPr>
            </w:pPr>
            <w:bookmarkStart w:id="0" w:name="LastJudge"/>
            <w:r w:rsidRPr="00C263B7">
              <w:rPr>
                <w:rFonts w:ascii="David" w:hAnsi="David"/>
                <w:b/>
                <w:bCs/>
                <w:color w:val="000080"/>
                <w:sz w:val="28"/>
                <w:szCs w:val="28"/>
                <w:rtl/>
              </w:rPr>
              <w:t>בית המשפט המחוזי בירושלים</w:t>
            </w:r>
          </w:p>
          <w:p w14:paraId="72E23279" w14:textId="77777777" w:rsidR="00452235" w:rsidRPr="00C263B7" w:rsidRDefault="00452235" w:rsidP="000310E4">
            <w:pPr>
              <w:pStyle w:val="a3"/>
              <w:jc w:val="center"/>
              <w:rPr>
                <w:rFonts w:ascii="Tahoma" w:hAnsi="Tahoma" w:cs="Tahoma"/>
                <w:b/>
                <w:bCs/>
                <w:color w:val="000080"/>
                <w:rtl/>
              </w:rPr>
            </w:pPr>
            <w:r w:rsidRPr="00C263B7">
              <w:rPr>
                <w:rFonts w:ascii="David" w:hAnsi="David"/>
                <w:b/>
                <w:bCs/>
                <w:color w:val="000080"/>
                <w:sz w:val="28"/>
                <w:szCs w:val="28"/>
                <w:rtl/>
              </w:rPr>
              <w:t>לפני כב' השופט אברהם רובין</w:t>
            </w:r>
          </w:p>
        </w:tc>
      </w:tr>
      <w:tr w:rsidR="00452235" w:rsidRPr="00C263B7" w14:paraId="29203AED" w14:textId="77777777" w:rsidTr="005C199A">
        <w:trPr>
          <w:trHeight w:val="337"/>
          <w:jc w:val="center"/>
        </w:trPr>
        <w:tc>
          <w:tcPr>
            <w:tcW w:w="5054" w:type="dxa"/>
          </w:tcPr>
          <w:p w14:paraId="1461D91C" w14:textId="77777777" w:rsidR="00452235" w:rsidRPr="00C263B7" w:rsidRDefault="00452235" w:rsidP="000310E4">
            <w:pPr>
              <w:rPr>
                <w:rFonts w:ascii="David" w:hAnsi="David"/>
                <w:b/>
                <w:bCs/>
                <w:rtl/>
              </w:rPr>
            </w:pPr>
            <w:r w:rsidRPr="00C263B7">
              <w:rPr>
                <w:rFonts w:ascii="David" w:hAnsi="David"/>
                <w:b/>
                <w:bCs/>
                <w:rtl/>
              </w:rPr>
              <w:t>ת"פ 3951-03-22 מדינת ישראל נ' אבו נא</w:t>
            </w:r>
            <w:r w:rsidRPr="00C263B7">
              <w:rPr>
                <w:rFonts w:ascii="David" w:hAnsi="David" w:hint="cs"/>
                <w:b/>
                <w:bCs/>
                <w:rtl/>
              </w:rPr>
              <w:t>ב</w:t>
            </w:r>
          </w:p>
          <w:p w14:paraId="08D2CF68" w14:textId="77777777" w:rsidR="00452235" w:rsidRPr="00C263B7" w:rsidRDefault="00452235" w:rsidP="000310E4">
            <w:pPr>
              <w:pStyle w:val="a3"/>
              <w:rPr>
                <w:rFonts w:cs="FrankRuehl"/>
                <w:b/>
                <w:bCs/>
                <w:sz w:val="28"/>
                <w:szCs w:val="28"/>
                <w:rtl/>
              </w:rPr>
            </w:pPr>
          </w:p>
        </w:tc>
        <w:tc>
          <w:tcPr>
            <w:tcW w:w="3667" w:type="dxa"/>
          </w:tcPr>
          <w:p w14:paraId="1A6B8028" w14:textId="77777777" w:rsidR="00452235" w:rsidRPr="00C263B7" w:rsidRDefault="00452235" w:rsidP="000310E4">
            <w:pPr>
              <w:pStyle w:val="a3"/>
              <w:jc w:val="right"/>
              <w:rPr>
                <w:rFonts w:cs="FrankRuehl"/>
                <w:b/>
                <w:bCs/>
                <w:sz w:val="28"/>
                <w:szCs w:val="28"/>
                <w:rtl/>
              </w:rPr>
            </w:pPr>
          </w:p>
        </w:tc>
      </w:tr>
    </w:tbl>
    <w:p w14:paraId="54815902" w14:textId="77777777" w:rsidR="00452235" w:rsidRPr="00C263B7" w:rsidRDefault="00452235" w:rsidP="00452235">
      <w:pPr>
        <w:pStyle w:val="a3"/>
        <w:rPr>
          <w:rtl/>
        </w:rPr>
      </w:pPr>
      <w:r w:rsidRPr="00C263B7">
        <w:rPr>
          <w:rFonts w:hint="cs"/>
          <w:rtl/>
        </w:rPr>
        <w:t xml:space="preserve"> </w:t>
      </w:r>
    </w:p>
    <w:p w14:paraId="01408370" w14:textId="77777777" w:rsidR="00452235" w:rsidRPr="00C263B7" w:rsidRDefault="00452235" w:rsidP="00452235">
      <w:pPr>
        <w:rPr>
          <w:rtl/>
        </w:rPr>
      </w:pPr>
    </w:p>
    <w:p w14:paraId="22FF0DC5" w14:textId="77777777" w:rsidR="00452235" w:rsidRPr="00C263B7" w:rsidRDefault="00452235" w:rsidP="0045223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3211"/>
        <w:gridCol w:w="4664"/>
      </w:tblGrid>
      <w:tr w:rsidR="00452235" w:rsidRPr="00C263B7" w14:paraId="240218F9" w14:textId="77777777" w:rsidTr="00452235">
        <w:trPr>
          <w:trHeight w:val="295"/>
          <w:jc w:val="center"/>
        </w:trPr>
        <w:tc>
          <w:tcPr>
            <w:tcW w:w="923" w:type="dxa"/>
            <w:tcBorders>
              <w:top w:val="nil"/>
              <w:left w:val="nil"/>
              <w:bottom w:val="nil"/>
              <w:right w:val="nil"/>
            </w:tcBorders>
            <w:shd w:val="clear" w:color="auto" w:fill="auto"/>
          </w:tcPr>
          <w:p w14:paraId="2DC00D3E" w14:textId="77777777" w:rsidR="00452235" w:rsidRPr="00C263B7" w:rsidRDefault="00452235" w:rsidP="00452235">
            <w:pPr>
              <w:jc w:val="both"/>
              <w:rPr>
                <w:rFonts w:ascii="David" w:hAnsi="David"/>
                <w:sz w:val="26"/>
                <w:szCs w:val="26"/>
              </w:rPr>
            </w:pPr>
          </w:p>
        </w:tc>
        <w:tc>
          <w:tcPr>
            <w:tcW w:w="7897" w:type="dxa"/>
            <w:gridSpan w:val="2"/>
            <w:tcBorders>
              <w:top w:val="nil"/>
              <w:left w:val="nil"/>
              <w:bottom w:val="nil"/>
              <w:right w:val="nil"/>
            </w:tcBorders>
            <w:shd w:val="clear" w:color="auto" w:fill="auto"/>
          </w:tcPr>
          <w:p w14:paraId="3BC8DE3A" w14:textId="77777777" w:rsidR="00452235" w:rsidRPr="00C263B7" w:rsidRDefault="00452235" w:rsidP="00452235">
            <w:pPr>
              <w:jc w:val="both"/>
              <w:rPr>
                <w:rFonts w:ascii="David" w:hAnsi="David"/>
                <w:sz w:val="26"/>
                <w:szCs w:val="26"/>
              </w:rPr>
            </w:pPr>
          </w:p>
        </w:tc>
      </w:tr>
      <w:tr w:rsidR="00452235" w:rsidRPr="00C263B7" w14:paraId="4F877C66" w14:textId="77777777" w:rsidTr="00452235">
        <w:trPr>
          <w:trHeight w:val="355"/>
          <w:jc w:val="center"/>
        </w:trPr>
        <w:tc>
          <w:tcPr>
            <w:tcW w:w="923" w:type="dxa"/>
            <w:tcBorders>
              <w:top w:val="nil"/>
              <w:left w:val="nil"/>
              <w:bottom w:val="nil"/>
              <w:right w:val="nil"/>
            </w:tcBorders>
            <w:shd w:val="clear" w:color="auto" w:fill="auto"/>
          </w:tcPr>
          <w:p w14:paraId="7F84C598" w14:textId="77777777" w:rsidR="00452235" w:rsidRPr="00C263B7" w:rsidRDefault="00452235" w:rsidP="00452235">
            <w:pPr>
              <w:jc w:val="both"/>
              <w:rPr>
                <w:rFonts w:ascii="David" w:hAnsi="David"/>
                <w:b/>
                <w:bCs/>
                <w:sz w:val="28"/>
                <w:szCs w:val="28"/>
              </w:rPr>
            </w:pPr>
            <w:bookmarkStart w:id="1" w:name="FirstAppellant"/>
            <w:r w:rsidRPr="00C263B7">
              <w:rPr>
                <w:rFonts w:ascii="David" w:hAnsi="David"/>
                <w:b/>
                <w:bCs/>
                <w:sz w:val="28"/>
                <w:szCs w:val="28"/>
                <w:rtl/>
              </w:rPr>
              <w:t>בעניין:</w:t>
            </w:r>
          </w:p>
        </w:tc>
        <w:tc>
          <w:tcPr>
            <w:tcW w:w="3219" w:type="dxa"/>
            <w:tcBorders>
              <w:top w:val="nil"/>
              <w:left w:val="nil"/>
              <w:bottom w:val="nil"/>
              <w:right w:val="nil"/>
            </w:tcBorders>
            <w:shd w:val="clear" w:color="auto" w:fill="auto"/>
          </w:tcPr>
          <w:p w14:paraId="239D60D1" w14:textId="77777777" w:rsidR="00452235" w:rsidRPr="00C263B7" w:rsidRDefault="00452235" w:rsidP="00452235">
            <w:pPr>
              <w:suppressLineNumbers/>
              <w:rPr>
                <w:b/>
                <w:bCs/>
                <w:sz w:val="28"/>
                <w:szCs w:val="28"/>
              </w:rPr>
            </w:pPr>
            <w:r w:rsidRPr="00C263B7">
              <w:rPr>
                <w:rFonts w:ascii="Arial" w:hAnsi="Arial" w:hint="cs"/>
                <w:b/>
                <w:bCs/>
                <w:sz w:val="28"/>
                <w:szCs w:val="28"/>
                <w:rtl/>
              </w:rPr>
              <w:t>ה</w:t>
            </w:r>
            <w:r w:rsidRPr="00C263B7">
              <w:rPr>
                <w:rFonts w:ascii="Arial" w:hAnsi="Arial"/>
                <w:b/>
                <w:bCs/>
                <w:sz w:val="28"/>
                <w:szCs w:val="28"/>
                <w:rtl/>
              </w:rPr>
              <w:t>מאשימה</w:t>
            </w:r>
          </w:p>
          <w:p w14:paraId="6797EA7F" w14:textId="77777777" w:rsidR="00452235" w:rsidRPr="00C263B7" w:rsidRDefault="00452235" w:rsidP="000310E4">
            <w:pPr>
              <w:rPr>
                <w:rFonts w:ascii="David" w:hAnsi="David"/>
                <w:b/>
                <w:bCs/>
                <w:sz w:val="28"/>
                <w:szCs w:val="28"/>
              </w:rPr>
            </w:pPr>
          </w:p>
        </w:tc>
        <w:tc>
          <w:tcPr>
            <w:tcW w:w="4678" w:type="dxa"/>
            <w:tcBorders>
              <w:top w:val="nil"/>
              <w:left w:val="nil"/>
              <w:bottom w:val="nil"/>
              <w:right w:val="nil"/>
            </w:tcBorders>
            <w:shd w:val="clear" w:color="auto" w:fill="auto"/>
            <w:vAlign w:val="center"/>
          </w:tcPr>
          <w:p w14:paraId="4A0BE94C" w14:textId="77777777" w:rsidR="00452235" w:rsidRPr="00C263B7" w:rsidRDefault="00452235" w:rsidP="00452235">
            <w:pPr>
              <w:suppressLineNumbers/>
              <w:rPr>
                <w:b/>
                <w:bCs/>
                <w:sz w:val="28"/>
                <w:szCs w:val="28"/>
              </w:rPr>
            </w:pPr>
            <w:r w:rsidRPr="00C263B7">
              <w:rPr>
                <w:rFonts w:ascii="Arial" w:hAnsi="Arial"/>
                <w:b/>
                <w:bCs/>
                <w:sz w:val="28"/>
                <w:szCs w:val="28"/>
                <w:rtl/>
              </w:rPr>
              <w:t>מדינת ישראל</w:t>
            </w:r>
            <w:r w:rsidRPr="00C263B7">
              <w:rPr>
                <w:rFonts w:ascii="Arial" w:hAnsi="Arial" w:hint="cs"/>
                <w:b/>
                <w:bCs/>
                <w:sz w:val="28"/>
                <w:szCs w:val="28"/>
                <w:rtl/>
              </w:rPr>
              <w:t xml:space="preserve"> </w:t>
            </w:r>
          </w:p>
          <w:p w14:paraId="4601D64F" w14:textId="77777777" w:rsidR="00452235" w:rsidRPr="00C263B7" w:rsidRDefault="00452235" w:rsidP="000310E4">
            <w:pPr>
              <w:rPr>
                <w:rFonts w:ascii="David" w:hAnsi="David"/>
                <w:b/>
                <w:bCs/>
                <w:sz w:val="28"/>
                <w:szCs w:val="28"/>
              </w:rPr>
            </w:pPr>
          </w:p>
        </w:tc>
      </w:tr>
      <w:bookmarkEnd w:id="1"/>
      <w:tr w:rsidR="00452235" w:rsidRPr="00C263B7" w14:paraId="518DD04C" w14:textId="77777777" w:rsidTr="00452235">
        <w:trPr>
          <w:trHeight w:val="355"/>
          <w:jc w:val="center"/>
        </w:trPr>
        <w:tc>
          <w:tcPr>
            <w:tcW w:w="923" w:type="dxa"/>
            <w:tcBorders>
              <w:top w:val="nil"/>
              <w:left w:val="nil"/>
              <w:bottom w:val="nil"/>
              <w:right w:val="nil"/>
            </w:tcBorders>
            <w:shd w:val="clear" w:color="auto" w:fill="auto"/>
          </w:tcPr>
          <w:p w14:paraId="1BBC3DE2" w14:textId="77777777" w:rsidR="00452235" w:rsidRPr="00C263B7" w:rsidRDefault="00452235" w:rsidP="00452235">
            <w:pPr>
              <w:jc w:val="both"/>
              <w:rPr>
                <w:rFonts w:ascii="David" w:hAnsi="David"/>
                <w:b/>
                <w:bCs/>
                <w:sz w:val="28"/>
                <w:szCs w:val="28"/>
                <w:rtl/>
              </w:rPr>
            </w:pPr>
          </w:p>
        </w:tc>
        <w:tc>
          <w:tcPr>
            <w:tcW w:w="7897" w:type="dxa"/>
            <w:gridSpan w:val="2"/>
            <w:tcBorders>
              <w:top w:val="nil"/>
              <w:left w:val="nil"/>
              <w:bottom w:val="nil"/>
              <w:right w:val="nil"/>
            </w:tcBorders>
            <w:shd w:val="clear" w:color="auto" w:fill="auto"/>
          </w:tcPr>
          <w:p w14:paraId="1F9EBF00" w14:textId="77777777" w:rsidR="00452235" w:rsidRPr="00C263B7" w:rsidRDefault="00452235" w:rsidP="00452235">
            <w:pPr>
              <w:jc w:val="center"/>
              <w:rPr>
                <w:rFonts w:ascii="David" w:hAnsi="David"/>
                <w:b/>
                <w:bCs/>
                <w:sz w:val="28"/>
                <w:szCs w:val="28"/>
                <w:rtl/>
              </w:rPr>
            </w:pPr>
          </w:p>
          <w:p w14:paraId="281229CF" w14:textId="77777777" w:rsidR="00452235" w:rsidRPr="00C263B7" w:rsidRDefault="00452235" w:rsidP="00452235">
            <w:pPr>
              <w:jc w:val="center"/>
              <w:rPr>
                <w:rFonts w:ascii="David" w:hAnsi="David"/>
                <w:b/>
                <w:bCs/>
                <w:sz w:val="28"/>
                <w:szCs w:val="28"/>
                <w:rtl/>
              </w:rPr>
            </w:pPr>
            <w:r w:rsidRPr="00C263B7">
              <w:rPr>
                <w:rFonts w:ascii="David" w:hAnsi="David"/>
                <w:b/>
                <w:bCs/>
                <w:sz w:val="28"/>
                <w:szCs w:val="28"/>
                <w:rtl/>
              </w:rPr>
              <w:t>נגד</w:t>
            </w:r>
          </w:p>
          <w:p w14:paraId="5BDAB6A0" w14:textId="77777777" w:rsidR="00452235" w:rsidRPr="00C263B7" w:rsidRDefault="00452235" w:rsidP="00452235">
            <w:pPr>
              <w:jc w:val="center"/>
              <w:rPr>
                <w:rFonts w:ascii="David" w:hAnsi="David"/>
                <w:b/>
                <w:bCs/>
                <w:sz w:val="28"/>
                <w:szCs w:val="28"/>
                <w:rtl/>
              </w:rPr>
            </w:pPr>
          </w:p>
          <w:p w14:paraId="709CFC74" w14:textId="77777777" w:rsidR="00452235" w:rsidRPr="00C263B7" w:rsidRDefault="00452235" w:rsidP="00452235">
            <w:pPr>
              <w:jc w:val="both"/>
              <w:rPr>
                <w:rFonts w:ascii="David" w:hAnsi="David"/>
                <w:b/>
                <w:bCs/>
                <w:sz w:val="28"/>
                <w:szCs w:val="28"/>
              </w:rPr>
            </w:pPr>
          </w:p>
        </w:tc>
      </w:tr>
      <w:tr w:rsidR="00452235" w:rsidRPr="00C263B7" w14:paraId="15AFFD9A" w14:textId="77777777" w:rsidTr="00452235">
        <w:trPr>
          <w:trHeight w:val="355"/>
          <w:jc w:val="center"/>
        </w:trPr>
        <w:tc>
          <w:tcPr>
            <w:tcW w:w="923" w:type="dxa"/>
            <w:tcBorders>
              <w:top w:val="nil"/>
              <w:left w:val="nil"/>
              <w:bottom w:val="nil"/>
              <w:right w:val="nil"/>
            </w:tcBorders>
            <w:shd w:val="clear" w:color="auto" w:fill="auto"/>
          </w:tcPr>
          <w:p w14:paraId="487CCBA6" w14:textId="77777777" w:rsidR="00452235" w:rsidRPr="00C263B7" w:rsidRDefault="00452235" w:rsidP="000310E4">
            <w:pPr>
              <w:rPr>
                <w:rFonts w:ascii="David" w:hAnsi="David"/>
                <w:b/>
                <w:bCs/>
                <w:sz w:val="28"/>
                <w:szCs w:val="28"/>
                <w:rtl/>
              </w:rPr>
            </w:pPr>
          </w:p>
        </w:tc>
        <w:tc>
          <w:tcPr>
            <w:tcW w:w="3219" w:type="dxa"/>
            <w:tcBorders>
              <w:top w:val="nil"/>
              <w:left w:val="nil"/>
              <w:bottom w:val="nil"/>
              <w:right w:val="nil"/>
            </w:tcBorders>
            <w:shd w:val="clear" w:color="auto" w:fill="auto"/>
          </w:tcPr>
          <w:p w14:paraId="769D898D" w14:textId="77777777" w:rsidR="00452235" w:rsidRPr="00C263B7" w:rsidRDefault="00452235" w:rsidP="000310E4">
            <w:pPr>
              <w:rPr>
                <w:rFonts w:ascii="Arial" w:hAnsi="Arial"/>
                <w:b/>
                <w:bCs/>
                <w:sz w:val="28"/>
                <w:szCs w:val="28"/>
                <w:rtl/>
              </w:rPr>
            </w:pPr>
            <w:r w:rsidRPr="00C263B7">
              <w:rPr>
                <w:rFonts w:ascii="Arial" w:hAnsi="Arial"/>
                <w:b/>
                <w:bCs/>
                <w:sz w:val="28"/>
                <w:szCs w:val="28"/>
                <w:rtl/>
              </w:rPr>
              <w:t>הנאש</w:t>
            </w:r>
            <w:r w:rsidRPr="00C263B7">
              <w:rPr>
                <w:rFonts w:ascii="Arial" w:hAnsi="Arial" w:hint="cs"/>
                <w:b/>
                <w:bCs/>
                <w:sz w:val="28"/>
                <w:szCs w:val="28"/>
                <w:rtl/>
              </w:rPr>
              <w:t>ם</w:t>
            </w:r>
          </w:p>
        </w:tc>
        <w:tc>
          <w:tcPr>
            <w:tcW w:w="4678" w:type="dxa"/>
            <w:tcBorders>
              <w:top w:val="nil"/>
              <w:left w:val="nil"/>
              <w:bottom w:val="nil"/>
              <w:right w:val="nil"/>
            </w:tcBorders>
            <w:shd w:val="clear" w:color="auto" w:fill="auto"/>
            <w:vAlign w:val="center"/>
          </w:tcPr>
          <w:p w14:paraId="14B2D5CB" w14:textId="77777777" w:rsidR="00452235" w:rsidRPr="00C263B7" w:rsidRDefault="00452235" w:rsidP="00452235">
            <w:pPr>
              <w:suppressLineNumbers/>
              <w:rPr>
                <w:b/>
                <w:bCs/>
                <w:sz w:val="28"/>
                <w:szCs w:val="28"/>
              </w:rPr>
            </w:pPr>
            <w:r w:rsidRPr="00C263B7">
              <w:rPr>
                <w:rFonts w:ascii="Arial" w:hAnsi="Arial"/>
                <w:b/>
                <w:bCs/>
                <w:sz w:val="28"/>
                <w:szCs w:val="28"/>
                <w:rtl/>
              </w:rPr>
              <w:t>חמיס אבו נאב</w:t>
            </w:r>
            <w:r w:rsidRPr="00C263B7">
              <w:rPr>
                <w:rFonts w:ascii="Arial" w:hAnsi="Arial" w:hint="cs"/>
                <w:b/>
                <w:bCs/>
                <w:sz w:val="28"/>
                <w:szCs w:val="28"/>
                <w:rtl/>
              </w:rPr>
              <w:t xml:space="preserve"> </w:t>
            </w:r>
            <w:r w:rsidRPr="00C263B7">
              <w:rPr>
                <w:rFonts w:hint="cs"/>
                <w:b/>
                <w:bCs/>
                <w:sz w:val="28"/>
                <w:szCs w:val="28"/>
                <w:rtl/>
              </w:rPr>
              <w:t xml:space="preserve">ת.ז. </w:t>
            </w:r>
            <w:r w:rsidR="00C263B7">
              <w:rPr>
                <w:b/>
                <w:bCs/>
                <w:sz w:val="28"/>
                <w:szCs w:val="28"/>
              </w:rPr>
              <w:t>xxxxxxxxx</w:t>
            </w:r>
          </w:p>
          <w:p w14:paraId="2BC0920E" w14:textId="77777777" w:rsidR="00452235" w:rsidRPr="00C263B7" w:rsidRDefault="00452235" w:rsidP="000310E4">
            <w:pPr>
              <w:rPr>
                <w:rFonts w:ascii="David" w:hAnsi="David"/>
                <w:b/>
                <w:bCs/>
                <w:sz w:val="28"/>
                <w:szCs w:val="28"/>
              </w:rPr>
            </w:pPr>
          </w:p>
        </w:tc>
      </w:tr>
      <w:tr w:rsidR="00452235" w:rsidRPr="00C263B7" w14:paraId="2B8CB983" w14:textId="77777777" w:rsidTr="00452235">
        <w:trPr>
          <w:trHeight w:val="355"/>
          <w:jc w:val="center"/>
        </w:trPr>
        <w:tc>
          <w:tcPr>
            <w:tcW w:w="923" w:type="dxa"/>
            <w:tcBorders>
              <w:top w:val="nil"/>
              <w:left w:val="nil"/>
              <w:bottom w:val="nil"/>
              <w:right w:val="nil"/>
            </w:tcBorders>
            <w:shd w:val="clear" w:color="auto" w:fill="auto"/>
          </w:tcPr>
          <w:p w14:paraId="1BA0C09C" w14:textId="77777777" w:rsidR="00452235" w:rsidRPr="00C263B7" w:rsidRDefault="00452235" w:rsidP="00452235">
            <w:pPr>
              <w:jc w:val="both"/>
              <w:rPr>
                <w:rFonts w:ascii="David" w:hAnsi="David"/>
                <w:b/>
                <w:bCs/>
                <w:sz w:val="28"/>
                <w:szCs w:val="28"/>
                <w:rtl/>
              </w:rPr>
            </w:pPr>
          </w:p>
        </w:tc>
        <w:tc>
          <w:tcPr>
            <w:tcW w:w="3219" w:type="dxa"/>
            <w:tcBorders>
              <w:top w:val="nil"/>
              <w:left w:val="nil"/>
              <w:bottom w:val="nil"/>
              <w:right w:val="nil"/>
            </w:tcBorders>
            <w:shd w:val="clear" w:color="auto" w:fill="auto"/>
          </w:tcPr>
          <w:p w14:paraId="0109D4FA" w14:textId="77777777" w:rsidR="00452235" w:rsidRPr="00C263B7" w:rsidRDefault="00452235" w:rsidP="00452235">
            <w:pPr>
              <w:jc w:val="both"/>
              <w:rPr>
                <w:rFonts w:ascii="David" w:hAnsi="David"/>
                <w:b/>
                <w:bCs/>
                <w:sz w:val="28"/>
                <w:szCs w:val="28"/>
                <w:rtl/>
              </w:rPr>
            </w:pPr>
          </w:p>
        </w:tc>
        <w:tc>
          <w:tcPr>
            <w:tcW w:w="4678" w:type="dxa"/>
            <w:tcBorders>
              <w:top w:val="nil"/>
              <w:left w:val="nil"/>
              <w:bottom w:val="nil"/>
              <w:right w:val="nil"/>
            </w:tcBorders>
            <w:shd w:val="clear" w:color="auto" w:fill="auto"/>
          </w:tcPr>
          <w:p w14:paraId="713C260D" w14:textId="77777777" w:rsidR="00452235" w:rsidRPr="00C263B7" w:rsidRDefault="00452235" w:rsidP="00452235">
            <w:pPr>
              <w:jc w:val="right"/>
              <w:rPr>
                <w:rFonts w:ascii="David" w:hAnsi="David"/>
                <w:b/>
                <w:bCs/>
                <w:sz w:val="28"/>
                <w:szCs w:val="28"/>
              </w:rPr>
            </w:pPr>
          </w:p>
        </w:tc>
      </w:tr>
    </w:tbl>
    <w:p w14:paraId="50B58E1C" w14:textId="77777777" w:rsidR="00C263B7" w:rsidRPr="00C263B7" w:rsidRDefault="00C263B7" w:rsidP="00C263B7">
      <w:pPr>
        <w:spacing w:before="120" w:after="120" w:line="240" w:lineRule="exact"/>
        <w:ind w:left="283" w:hanging="283"/>
        <w:jc w:val="both"/>
        <w:rPr>
          <w:rFonts w:ascii="FrankRuehl" w:hAnsi="FrankRuehl" w:cs="FrankRuehl"/>
          <w:rtl/>
        </w:rPr>
      </w:pPr>
    </w:p>
    <w:p w14:paraId="6019B8DD" w14:textId="77777777" w:rsidR="00064F76" w:rsidRPr="00064F76" w:rsidRDefault="00064F76" w:rsidP="00064F76">
      <w:pPr>
        <w:spacing w:before="120" w:after="120" w:line="240" w:lineRule="exact"/>
        <w:ind w:left="283" w:hanging="283"/>
        <w:jc w:val="both"/>
        <w:rPr>
          <w:rFonts w:ascii="FrankRuehl" w:hAnsi="FrankRuehl" w:cs="FrankRuehl"/>
          <w:rtl/>
        </w:rPr>
      </w:pPr>
    </w:p>
    <w:p w14:paraId="55D5D751" w14:textId="77777777" w:rsidR="0005607D" w:rsidRDefault="0005607D" w:rsidP="0005607D">
      <w:pPr>
        <w:rPr>
          <w:sz w:val="28"/>
          <w:szCs w:val="28"/>
          <w:rtl/>
        </w:rPr>
      </w:pPr>
      <w:bookmarkStart w:id="2" w:name="LawTable"/>
      <w:bookmarkEnd w:id="2"/>
    </w:p>
    <w:p w14:paraId="07B220E3" w14:textId="77777777" w:rsidR="0005607D" w:rsidRPr="0005607D" w:rsidRDefault="0005607D" w:rsidP="0005607D">
      <w:pPr>
        <w:spacing w:before="120" w:after="120" w:line="240" w:lineRule="exact"/>
        <w:ind w:left="283" w:hanging="283"/>
        <w:jc w:val="both"/>
        <w:rPr>
          <w:rFonts w:ascii="FrankRuehl" w:hAnsi="FrankRuehl" w:cs="FrankRuehl"/>
          <w:rtl/>
        </w:rPr>
      </w:pPr>
    </w:p>
    <w:p w14:paraId="57A44B80" w14:textId="77777777" w:rsidR="0005607D" w:rsidRPr="0005607D" w:rsidRDefault="0005607D" w:rsidP="0005607D">
      <w:pPr>
        <w:spacing w:before="120" w:after="120" w:line="240" w:lineRule="exact"/>
        <w:ind w:left="283" w:hanging="283"/>
        <w:jc w:val="both"/>
        <w:rPr>
          <w:rFonts w:ascii="FrankRuehl" w:hAnsi="FrankRuehl" w:cs="FrankRuehl"/>
          <w:rtl/>
        </w:rPr>
      </w:pPr>
    </w:p>
    <w:p w14:paraId="54F15FB1" w14:textId="77777777" w:rsidR="0005607D" w:rsidRPr="0005607D" w:rsidRDefault="0005607D" w:rsidP="0005607D">
      <w:pPr>
        <w:spacing w:before="120" w:after="120" w:line="240" w:lineRule="exact"/>
        <w:ind w:left="283" w:hanging="283"/>
        <w:jc w:val="both"/>
        <w:rPr>
          <w:rFonts w:ascii="FrankRuehl" w:hAnsi="FrankRuehl" w:cs="FrankRuehl"/>
          <w:rtl/>
        </w:rPr>
      </w:pPr>
      <w:r w:rsidRPr="0005607D">
        <w:rPr>
          <w:rFonts w:ascii="FrankRuehl" w:hAnsi="FrankRuehl" w:cs="FrankRuehl"/>
          <w:rtl/>
        </w:rPr>
        <w:t xml:space="preserve">חקיקה שאוזכרה: </w:t>
      </w:r>
    </w:p>
    <w:p w14:paraId="4AF0DC3F" w14:textId="77777777" w:rsidR="0005607D" w:rsidRPr="0005607D" w:rsidRDefault="0005607D" w:rsidP="0005607D">
      <w:pPr>
        <w:spacing w:before="120" w:after="120" w:line="240" w:lineRule="exact"/>
        <w:ind w:left="283" w:hanging="283"/>
        <w:jc w:val="both"/>
        <w:rPr>
          <w:rFonts w:ascii="FrankRuehl" w:hAnsi="FrankRuehl" w:cs="FrankRuehl"/>
          <w:rtl/>
        </w:rPr>
      </w:pPr>
      <w:hyperlink r:id="rId6" w:history="1">
        <w:r w:rsidRPr="0005607D">
          <w:rPr>
            <w:rFonts w:ascii="FrankRuehl" w:hAnsi="FrankRuehl" w:cs="FrankRuehl"/>
            <w:color w:val="0000FF"/>
            <w:rtl/>
          </w:rPr>
          <w:t>חוק העונשין, תשל"ז-1977</w:t>
        </w:r>
      </w:hyperlink>
      <w:r w:rsidRPr="0005607D">
        <w:rPr>
          <w:rFonts w:ascii="FrankRuehl" w:hAnsi="FrankRuehl" w:cs="FrankRuehl"/>
          <w:rtl/>
        </w:rPr>
        <w:t xml:space="preserve">: סע'  </w:t>
      </w:r>
      <w:hyperlink r:id="rId7" w:history="1">
        <w:r w:rsidRPr="0005607D">
          <w:rPr>
            <w:rFonts w:ascii="FrankRuehl" w:hAnsi="FrankRuehl" w:cs="FrankRuehl"/>
            <w:color w:val="0000FF"/>
            <w:rtl/>
          </w:rPr>
          <w:t>29</w:t>
        </w:r>
      </w:hyperlink>
      <w:r w:rsidRPr="0005607D">
        <w:rPr>
          <w:rFonts w:ascii="FrankRuehl" w:hAnsi="FrankRuehl" w:cs="FrankRuehl"/>
          <w:rtl/>
        </w:rPr>
        <w:t xml:space="preserve">, </w:t>
      </w:r>
      <w:hyperlink r:id="rId8" w:history="1">
        <w:r w:rsidRPr="0005607D">
          <w:rPr>
            <w:rFonts w:ascii="FrankRuehl" w:hAnsi="FrankRuehl" w:cs="FrankRuehl"/>
            <w:color w:val="0000FF"/>
            <w:rtl/>
          </w:rPr>
          <w:t>144(ב)</w:t>
        </w:r>
      </w:hyperlink>
      <w:r w:rsidRPr="0005607D">
        <w:rPr>
          <w:rFonts w:ascii="FrankRuehl" w:hAnsi="FrankRuehl" w:cs="FrankRuehl"/>
          <w:rtl/>
        </w:rPr>
        <w:t xml:space="preserve">, </w:t>
      </w:r>
      <w:hyperlink r:id="rId9" w:history="1">
        <w:r w:rsidRPr="0005607D">
          <w:rPr>
            <w:rFonts w:ascii="FrankRuehl" w:hAnsi="FrankRuehl" w:cs="FrankRuehl"/>
            <w:color w:val="0000FF"/>
            <w:rtl/>
          </w:rPr>
          <w:t>244</w:t>
        </w:r>
      </w:hyperlink>
    </w:p>
    <w:p w14:paraId="153E39A7" w14:textId="77777777" w:rsidR="0005607D" w:rsidRPr="0005607D" w:rsidRDefault="0005607D" w:rsidP="0005607D">
      <w:pPr>
        <w:rPr>
          <w:sz w:val="28"/>
          <w:szCs w:val="28"/>
          <w:rtl/>
        </w:rPr>
      </w:pPr>
      <w:bookmarkStart w:id="3" w:name="LawTable_End"/>
      <w:bookmarkEnd w:id="3"/>
    </w:p>
    <w:p w14:paraId="0F366A34" w14:textId="77777777" w:rsidR="00452235" w:rsidRPr="00064F76" w:rsidRDefault="00452235" w:rsidP="00064F76">
      <w:pPr>
        <w:rPr>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52235" w:rsidRPr="00D92D9A" w14:paraId="26E4A1F1" w14:textId="77777777" w:rsidTr="00452235">
        <w:trPr>
          <w:trHeight w:val="355"/>
          <w:jc w:val="center"/>
        </w:trPr>
        <w:tc>
          <w:tcPr>
            <w:tcW w:w="8820" w:type="dxa"/>
            <w:tcBorders>
              <w:top w:val="nil"/>
              <w:left w:val="nil"/>
              <w:bottom w:val="nil"/>
              <w:right w:val="nil"/>
            </w:tcBorders>
            <w:shd w:val="clear" w:color="auto" w:fill="auto"/>
          </w:tcPr>
          <w:p w14:paraId="3594F8A6" w14:textId="77777777" w:rsidR="00C263B7" w:rsidRPr="00C263B7" w:rsidRDefault="00C263B7" w:rsidP="00C263B7">
            <w:pPr>
              <w:jc w:val="center"/>
              <w:rPr>
                <w:rFonts w:ascii="David" w:hAnsi="David"/>
                <w:b/>
                <w:bCs/>
                <w:sz w:val="28"/>
                <w:szCs w:val="28"/>
                <w:u w:val="single"/>
                <w:rtl/>
              </w:rPr>
            </w:pPr>
            <w:bookmarkStart w:id="4" w:name="PsakDin" w:colFirst="0" w:colLast="0"/>
            <w:bookmarkEnd w:id="0"/>
            <w:r w:rsidRPr="00C263B7">
              <w:rPr>
                <w:rFonts w:ascii="David" w:hAnsi="David"/>
                <w:b/>
                <w:bCs/>
                <w:sz w:val="28"/>
                <w:szCs w:val="28"/>
                <w:u w:val="single"/>
                <w:rtl/>
              </w:rPr>
              <w:t>גזר דין</w:t>
            </w:r>
          </w:p>
          <w:p w14:paraId="2F13D524" w14:textId="77777777" w:rsidR="00452235" w:rsidRPr="00C263B7" w:rsidRDefault="00452235" w:rsidP="00C263B7">
            <w:pPr>
              <w:jc w:val="center"/>
              <w:rPr>
                <w:rFonts w:ascii="David" w:hAnsi="David"/>
                <w:b/>
                <w:bCs/>
                <w:sz w:val="28"/>
                <w:szCs w:val="28"/>
                <w:u w:val="single"/>
                <w:rtl/>
              </w:rPr>
            </w:pPr>
          </w:p>
        </w:tc>
      </w:tr>
      <w:bookmarkEnd w:id="4"/>
    </w:tbl>
    <w:p w14:paraId="2C25688D" w14:textId="77777777" w:rsidR="00452235" w:rsidRPr="000F2247" w:rsidRDefault="00452235" w:rsidP="00452235">
      <w:pPr>
        <w:rPr>
          <w:rFonts w:ascii="Arial" w:hAnsi="Arial"/>
          <w:b/>
          <w:bCs/>
          <w:sz w:val="26"/>
          <w:szCs w:val="26"/>
          <w:rtl/>
        </w:rPr>
      </w:pPr>
    </w:p>
    <w:p w14:paraId="3228C66F" w14:textId="77777777" w:rsidR="00452235" w:rsidRDefault="00452235" w:rsidP="00452235">
      <w:pPr>
        <w:spacing w:line="360" w:lineRule="auto"/>
        <w:rPr>
          <w:rFonts w:ascii="Arial" w:hAnsi="Arial"/>
          <w:b/>
          <w:bCs/>
          <w:sz w:val="26"/>
          <w:szCs w:val="26"/>
          <w:rtl/>
        </w:rPr>
      </w:pPr>
    </w:p>
    <w:p w14:paraId="615168AA" w14:textId="77777777" w:rsidR="00452235" w:rsidRDefault="00452235" w:rsidP="00452235">
      <w:pPr>
        <w:spacing w:line="360" w:lineRule="auto"/>
        <w:rPr>
          <w:rFonts w:ascii="Arial" w:hAnsi="Arial"/>
          <w:rtl/>
        </w:rPr>
      </w:pPr>
      <w:r>
        <w:rPr>
          <w:rFonts w:ascii="Arial" w:hAnsi="Arial" w:hint="cs"/>
          <w:rtl/>
        </w:rPr>
        <w:t>1.</w:t>
      </w:r>
      <w:r>
        <w:rPr>
          <w:rFonts w:ascii="Arial" w:hAnsi="Arial" w:hint="cs"/>
          <w:rtl/>
        </w:rPr>
        <w:tab/>
      </w:r>
      <w:r>
        <w:rPr>
          <w:rFonts w:ascii="Arial" w:hAnsi="Arial" w:hint="cs"/>
          <w:b/>
          <w:bCs/>
          <w:u w:val="single"/>
          <w:rtl/>
        </w:rPr>
        <w:t>העבירות בהן הורשע הנאשם</w:t>
      </w:r>
    </w:p>
    <w:p w14:paraId="0B292185" w14:textId="77777777" w:rsidR="00452235" w:rsidRDefault="00452235" w:rsidP="00452235">
      <w:pPr>
        <w:spacing w:line="360" w:lineRule="auto"/>
        <w:ind w:left="720" w:hanging="720"/>
        <w:jc w:val="both"/>
        <w:rPr>
          <w:rFonts w:ascii="Arial" w:hAnsi="Arial"/>
          <w:rtl/>
        </w:rPr>
      </w:pPr>
      <w:r>
        <w:rPr>
          <w:rFonts w:ascii="Arial" w:hAnsi="Arial"/>
          <w:rtl/>
        </w:rPr>
        <w:tab/>
      </w:r>
      <w:bookmarkStart w:id="5" w:name="ABSTRACT_START"/>
      <w:bookmarkEnd w:id="5"/>
      <w:r>
        <w:rPr>
          <w:rFonts w:ascii="Arial" w:hAnsi="Arial" w:hint="cs"/>
          <w:rtl/>
        </w:rPr>
        <w:t xml:space="preserve">הנאשם הורשע על יסוד הודאתו בכתב אישום מתוקן, במסגרת הסדר טיעון, בביצוע עבירה של נשיאת נשק </w:t>
      </w:r>
      <w:r>
        <w:rPr>
          <w:rFonts w:ascii="Arial" w:hAnsi="Arial"/>
          <w:rtl/>
        </w:rPr>
        <w:t>–</w:t>
      </w:r>
      <w:r>
        <w:rPr>
          <w:rFonts w:ascii="Arial" w:hAnsi="Arial" w:hint="cs"/>
          <w:rtl/>
        </w:rPr>
        <w:t xml:space="preserve"> עבירה לפי </w:t>
      </w:r>
      <w:hyperlink r:id="rId10" w:history="1">
        <w:r w:rsidR="005C199A" w:rsidRPr="005C199A">
          <w:rPr>
            <w:rStyle w:val="Hyperlink"/>
            <w:rFonts w:ascii="Arial" w:hAnsi="Arial" w:hint="eastAsia"/>
            <w:rtl/>
          </w:rPr>
          <w:t>סעיף</w:t>
        </w:r>
        <w:r w:rsidR="005C199A" w:rsidRPr="005C199A">
          <w:rPr>
            <w:rStyle w:val="Hyperlink"/>
            <w:rFonts w:ascii="Arial" w:hAnsi="Arial"/>
            <w:rtl/>
          </w:rPr>
          <w:t xml:space="preserve"> 144(ב)</w:t>
        </w:r>
      </w:hyperlink>
      <w:r>
        <w:rPr>
          <w:rFonts w:ascii="Arial" w:hAnsi="Arial" w:hint="cs"/>
          <w:rtl/>
        </w:rPr>
        <w:t xml:space="preserve"> בצירוף </w:t>
      </w:r>
      <w:hyperlink r:id="rId11" w:history="1">
        <w:r w:rsidR="005C199A" w:rsidRPr="005C199A">
          <w:rPr>
            <w:rStyle w:val="Hyperlink"/>
            <w:rFonts w:ascii="Arial" w:hAnsi="Arial" w:hint="eastAsia"/>
            <w:rtl/>
          </w:rPr>
          <w:t>סעיף</w:t>
        </w:r>
        <w:r w:rsidR="005C199A" w:rsidRPr="005C199A">
          <w:rPr>
            <w:rStyle w:val="Hyperlink"/>
            <w:rFonts w:ascii="Arial" w:hAnsi="Arial"/>
            <w:rtl/>
          </w:rPr>
          <w:t xml:space="preserve"> 29</w:t>
        </w:r>
      </w:hyperlink>
      <w:r>
        <w:rPr>
          <w:rFonts w:ascii="Arial" w:hAnsi="Arial" w:hint="cs"/>
          <w:rtl/>
        </w:rPr>
        <w:t xml:space="preserve"> ל</w:t>
      </w:r>
      <w:hyperlink r:id="rId12" w:history="1">
        <w:r w:rsidR="00C263B7" w:rsidRPr="00C263B7">
          <w:rPr>
            <w:rFonts w:ascii="Arial" w:hAnsi="Arial"/>
            <w:color w:val="0000FF"/>
            <w:u w:val="single"/>
            <w:rtl/>
          </w:rPr>
          <w:t>חוק העונשין</w:t>
        </w:r>
      </w:hyperlink>
      <w:r>
        <w:rPr>
          <w:rFonts w:ascii="Arial" w:hAnsi="Arial" w:hint="cs"/>
          <w:rtl/>
        </w:rPr>
        <w:t xml:space="preserve">, התשל"ז-1977, ובעבירה של שיבוש מהלכי משפט </w:t>
      </w:r>
      <w:r>
        <w:rPr>
          <w:rFonts w:ascii="Arial" w:hAnsi="Arial"/>
          <w:rtl/>
        </w:rPr>
        <w:t>–</w:t>
      </w:r>
      <w:r>
        <w:rPr>
          <w:rFonts w:ascii="Arial" w:hAnsi="Arial" w:hint="cs"/>
          <w:rtl/>
        </w:rPr>
        <w:t xml:space="preserve"> עבירה לפי </w:t>
      </w:r>
      <w:hyperlink r:id="rId13" w:history="1">
        <w:r w:rsidR="005C199A" w:rsidRPr="005C199A">
          <w:rPr>
            <w:rStyle w:val="Hyperlink"/>
            <w:rFonts w:ascii="Arial" w:hAnsi="Arial" w:hint="eastAsia"/>
            <w:rtl/>
          </w:rPr>
          <w:t>סעיף</w:t>
        </w:r>
        <w:r w:rsidR="005C199A" w:rsidRPr="005C199A">
          <w:rPr>
            <w:rStyle w:val="Hyperlink"/>
            <w:rFonts w:ascii="Arial" w:hAnsi="Arial"/>
            <w:rtl/>
          </w:rPr>
          <w:t xml:space="preserve"> 244</w:t>
        </w:r>
      </w:hyperlink>
      <w:r>
        <w:rPr>
          <w:rFonts w:ascii="Arial" w:hAnsi="Arial" w:hint="cs"/>
          <w:rtl/>
        </w:rPr>
        <w:t xml:space="preserve"> לחוק העונשין.</w:t>
      </w:r>
    </w:p>
    <w:p w14:paraId="43F7A40A" w14:textId="77777777" w:rsidR="00452235" w:rsidRDefault="00452235" w:rsidP="00452235">
      <w:pPr>
        <w:spacing w:line="360" w:lineRule="auto"/>
        <w:ind w:left="720" w:hanging="720"/>
        <w:jc w:val="both"/>
        <w:rPr>
          <w:rFonts w:ascii="Arial" w:hAnsi="Arial"/>
          <w:rtl/>
        </w:rPr>
      </w:pPr>
      <w:bookmarkStart w:id="6" w:name="ABSTRACT_END"/>
      <w:bookmarkEnd w:id="6"/>
      <w:r>
        <w:rPr>
          <w:rFonts w:ascii="Arial" w:hAnsi="Arial"/>
          <w:rtl/>
        </w:rPr>
        <w:tab/>
      </w:r>
      <w:r>
        <w:rPr>
          <w:rFonts w:ascii="Arial" w:hAnsi="Arial" w:hint="cs"/>
          <w:rtl/>
        </w:rPr>
        <w:t xml:space="preserve">על-פי האמור בכתב האישום המתוקן, ביום 13.2.22 התגלע סכסוך בין בן דודו של הנאשם (מג'די), לבין המתלונן, במהלכו התקוטטו השניים עד שהפרידו ביניהם. בהמשך אותו הערב התבקש הנאשם על-ידי אדם אחר, שזהותו איננה ידועה למאשימה, להתלוות אליו בנסיעה על קטנוע, זאת לאחר שאותו אחר גמל בלבו להגיע לבית משפחת המתלונן כדי לירות באוויר ובכך לאיים עליה. בשעה 20:16 הגיעו הנאשם והאחר סמוך לבית המתלונן כשהאחר </w:t>
      </w:r>
      <w:r>
        <w:rPr>
          <w:rFonts w:ascii="Arial" w:hAnsi="Arial" w:hint="cs"/>
          <w:rtl/>
        </w:rPr>
        <w:lastRenderedPageBreak/>
        <w:t>נוהג בקטנוע כשברשותו אקדח, והנאשם יושב מאחוריו. האחר עצר את הקטנוע סמוך לגדר ביתם של המתלונן ומשפחתו, וירה מהאקדח באוויר כ-8 כדורים במטרה לאיים ולהפחיד את המתלונן ובני משפחתו. בהמשך לכך נמלטו הנאשם והאחר מהמקום על גבי הקטנוע, בעוד המתלונן ובני משפחתו רודפים אחריהם. בשלב מסוים העביר האחר, שנהג בקטנוע, לנאשם את האקדח. בשעה 20:20 ירד הנאשם מהקטנוע אשר המשיך בנסיעה בלעדיו. הנאשם החל להימלט רגלית מהמקום כשברשותו האקדח. המתלונן הבחין בנאשם וחשד בו כמי שירה על ביתו, ואז ברח הנאשם לעבר בית משפחת עטון. כאשר הגיעה המשטרה למקום הסתיר הנאשם את האקדח בתחתית הספה, זאת בכוונה למנוע או להכשיל הליך שיפוטי. בסופו של דבר האקדח נתפס.</w:t>
      </w:r>
    </w:p>
    <w:p w14:paraId="0E5CDA5E" w14:textId="77777777" w:rsidR="00452235" w:rsidRDefault="00452235" w:rsidP="00452235">
      <w:pPr>
        <w:spacing w:line="360" w:lineRule="auto"/>
        <w:ind w:left="720" w:hanging="720"/>
        <w:jc w:val="both"/>
        <w:rPr>
          <w:rFonts w:ascii="Arial" w:hAnsi="Arial"/>
          <w:rtl/>
        </w:rPr>
      </w:pPr>
    </w:p>
    <w:p w14:paraId="1B320D9C" w14:textId="77777777" w:rsidR="00452235" w:rsidRDefault="00452235" w:rsidP="00452235">
      <w:pPr>
        <w:spacing w:line="360" w:lineRule="auto"/>
        <w:ind w:left="720" w:hanging="720"/>
        <w:jc w:val="both"/>
        <w:rPr>
          <w:rFonts w:ascii="Arial" w:hAnsi="Arial"/>
          <w:rtl/>
        </w:rPr>
      </w:pPr>
    </w:p>
    <w:p w14:paraId="6A40DBC2" w14:textId="77777777" w:rsidR="00452235" w:rsidRDefault="00452235" w:rsidP="00452235">
      <w:pPr>
        <w:spacing w:line="360" w:lineRule="auto"/>
        <w:ind w:left="720" w:hanging="720"/>
        <w:jc w:val="both"/>
        <w:rPr>
          <w:rFonts w:ascii="Arial" w:hAnsi="Arial"/>
          <w:rtl/>
        </w:rPr>
      </w:pPr>
    </w:p>
    <w:p w14:paraId="553B8342" w14:textId="77777777" w:rsidR="00452235" w:rsidRDefault="00452235" w:rsidP="00452235">
      <w:pPr>
        <w:spacing w:line="360" w:lineRule="auto"/>
        <w:ind w:left="720" w:hanging="720"/>
        <w:jc w:val="both"/>
        <w:rPr>
          <w:rFonts w:ascii="Arial" w:hAnsi="Arial"/>
          <w:rtl/>
        </w:rPr>
      </w:pPr>
      <w:r>
        <w:rPr>
          <w:rFonts w:ascii="Arial" w:hAnsi="Arial" w:hint="cs"/>
          <w:rtl/>
        </w:rPr>
        <w:t>2.</w:t>
      </w:r>
      <w:r>
        <w:rPr>
          <w:rFonts w:ascii="Arial" w:hAnsi="Arial" w:hint="cs"/>
          <w:rtl/>
        </w:rPr>
        <w:tab/>
      </w:r>
      <w:r>
        <w:rPr>
          <w:rFonts w:ascii="Arial" w:hAnsi="Arial" w:hint="cs"/>
          <w:b/>
          <w:bCs/>
          <w:u w:val="single"/>
          <w:rtl/>
        </w:rPr>
        <w:t>תסקיר שירות המבחן</w:t>
      </w:r>
    </w:p>
    <w:p w14:paraId="67275663" w14:textId="77777777" w:rsidR="00452235" w:rsidRDefault="00452235" w:rsidP="00452235">
      <w:pPr>
        <w:spacing w:line="360" w:lineRule="auto"/>
        <w:ind w:left="720" w:hanging="720"/>
        <w:jc w:val="both"/>
        <w:rPr>
          <w:rFonts w:ascii="Arial" w:hAnsi="Arial"/>
          <w:rtl/>
        </w:rPr>
      </w:pPr>
      <w:r>
        <w:rPr>
          <w:rFonts w:ascii="Arial" w:hAnsi="Arial"/>
          <w:rtl/>
        </w:rPr>
        <w:tab/>
      </w:r>
      <w:r>
        <w:rPr>
          <w:rFonts w:ascii="Arial" w:hAnsi="Arial" w:hint="cs"/>
          <w:rtl/>
        </w:rPr>
        <w:t xml:space="preserve">הנאשם יליד 12.9.00, כך שבזמן ביצוע העבירה הוא היה בן 21.5. עד למעצרו ניהל הנאשם חיים נורמטיביים ולא היה מעורב בפלילים. הנאשם למד בבית הספר עד כיתה י' ומאז ועד מעצרו הוא עבד, תחילה בעבודות מזדמנות ולאחר מכן כפועל ניקיון בבית מלון. לפני כשנה התארס הנאשם ברם חתונתו נדחתה בשל מעצרו. </w:t>
      </w:r>
    </w:p>
    <w:p w14:paraId="6B2A04E1" w14:textId="77777777" w:rsidR="00452235" w:rsidRDefault="00452235" w:rsidP="00452235">
      <w:pPr>
        <w:spacing w:line="360" w:lineRule="auto"/>
        <w:ind w:left="720" w:hanging="720"/>
        <w:jc w:val="both"/>
        <w:rPr>
          <w:rFonts w:ascii="Arial" w:hAnsi="Arial"/>
          <w:rtl/>
        </w:rPr>
      </w:pPr>
      <w:r>
        <w:rPr>
          <w:rFonts w:ascii="Arial" w:hAnsi="Arial"/>
          <w:rtl/>
        </w:rPr>
        <w:tab/>
      </w:r>
      <w:r>
        <w:rPr>
          <w:rFonts w:ascii="Arial" w:hAnsi="Arial" w:hint="cs"/>
          <w:rtl/>
        </w:rPr>
        <w:t xml:space="preserve">שירות המבחן התרשם כי הנאשם הציג בפניו רושם חיצוני (פסאדה) חיובי, והתקשה להתבונן באופן מעמיק על אופן פעולתו באירוע. כמו כן התרשם שירות המבחן מפער שקיים בין התייחסות הנאשם לנסיבות מעצרו וביצוע עבירות, לבין תיאורו את עצמו באופן חיובי. יחד עם זאת שירות המבחן התרשם שהנאשם מכה על חטא ביחס למעורבותו באירוע. </w:t>
      </w:r>
    </w:p>
    <w:p w14:paraId="460A21AD" w14:textId="77777777" w:rsidR="00452235" w:rsidRDefault="00452235" w:rsidP="00452235">
      <w:pPr>
        <w:spacing w:line="360" w:lineRule="auto"/>
        <w:ind w:left="720" w:hanging="720"/>
        <w:jc w:val="both"/>
        <w:rPr>
          <w:rFonts w:ascii="Arial" w:hAnsi="Arial"/>
          <w:rtl/>
        </w:rPr>
      </w:pPr>
      <w:r>
        <w:rPr>
          <w:rFonts w:ascii="Arial" w:hAnsi="Arial"/>
          <w:rtl/>
        </w:rPr>
        <w:tab/>
      </w:r>
      <w:r>
        <w:rPr>
          <w:rFonts w:ascii="Arial" w:hAnsi="Arial" w:hint="cs"/>
          <w:rtl/>
        </w:rPr>
        <w:t xml:space="preserve">הנאשם התקשה להסתגל לתנאי המעצר, שהוא הראשון בחייו. הנאשם תיאר תחושה של תסכול וחוסר אונים בעקבות מעצרו, וכן תחושת בושה מפני משפחתו וחשש לגבי השלכת מעצרו על עתידו. שירות המבחן סבור כי אישיותו של הנאשם מתאפיינת בחוסר בשלות שנובע בין היתר מגילו הצעיר, וכי הנאשם מתקשה להפעיל שיקול דעת בוגר ואחראי, להבין את הסיכונים האפשריים שיש בבחירותיו ואת המחירים שהוא עלול לשלם בגין התנהלותו. לצד זאת התרשם שירות המבחן, כי הנאשם נעדר מעורבות שולית קודמת בכלל, ובאירועי אלימות בפרט. מדובר בנאשם שגדל בסביבה משפחתית נורמטיבית, תפקד באופן תקין עד מעצרו, ומביע כיום שאיפות נורמטיביות לעתיד. שירות המבחן סבור כי מעורבותו של הנאשם בעבירות בהן הוא הורשע מהווה חריג בחייו. שירות המבחן לא התרשם מקיומם של דפוסים עברייניים באישיותו של הנאשם, ולהערכת שירות המבחן המעצר וההליכים המשפטיים מהווים גורמים מרתיעים מבחינת הנאשם. על בסיס האמור, ולאחר שיחה עם המתלונן אשר טען כי הסכסוך בין הצדדים עדיין פעיל, אם כי יודגש שאת הנאשם הוא איננו מכיר באופן אישי, סבור שירות המבחן כי קיימת מסוכנות בינונית </w:t>
      </w:r>
      <w:r>
        <w:rPr>
          <w:rFonts w:ascii="Arial" w:hAnsi="Arial"/>
          <w:rtl/>
        </w:rPr>
        <w:t>–</w:t>
      </w:r>
      <w:r>
        <w:rPr>
          <w:rFonts w:ascii="Arial" w:hAnsi="Arial" w:hint="cs"/>
          <w:rtl/>
        </w:rPr>
        <w:t xml:space="preserve"> נמוכה להישנות </w:t>
      </w:r>
      <w:r>
        <w:rPr>
          <w:rFonts w:ascii="Arial" w:hAnsi="Arial" w:hint="cs"/>
          <w:rtl/>
        </w:rPr>
        <w:lastRenderedPageBreak/>
        <w:t xml:space="preserve">ביצוע עבירות אלימות על ידי הנאשם, וכי גם החומרה הצפויה אם וככל שיבוצעו עבירות נוספות היא בינונית </w:t>
      </w:r>
      <w:r>
        <w:rPr>
          <w:rFonts w:ascii="Arial" w:hAnsi="Arial"/>
          <w:rtl/>
        </w:rPr>
        <w:t>–</w:t>
      </w:r>
      <w:r>
        <w:rPr>
          <w:rFonts w:ascii="Arial" w:hAnsi="Arial" w:hint="cs"/>
          <w:rtl/>
        </w:rPr>
        <w:t xml:space="preserve"> נמוכה. </w:t>
      </w:r>
    </w:p>
    <w:p w14:paraId="0DBAC018" w14:textId="77777777" w:rsidR="00452235" w:rsidRDefault="00452235" w:rsidP="00452235">
      <w:pPr>
        <w:spacing w:line="360" w:lineRule="auto"/>
        <w:ind w:left="720" w:hanging="720"/>
        <w:jc w:val="both"/>
        <w:rPr>
          <w:rFonts w:ascii="Arial" w:hAnsi="Arial"/>
          <w:rtl/>
        </w:rPr>
      </w:pPr>
      <w:r>
        <w:rPr>
          <w:rFonts w:ascii="Arial" w:hAnsi="Arial"/>
          <w:rtl/>
        </w:rPr>
        <w:tab/>
      </w:r>
      <w:r>
        <w:rPr>
          <w:rFonts w:ascii="Arial" w:hAnsi="Arial" w:hint="cs"/>
          <w:rtl/>
        </w:rPr>
        <w:t>בסיכומו של דבר ציין שירות המבחן בתסקיר, כי כיוון שהנאשם מתקשה לגלות יכולת התבוננות פנימית הרי שהוא איננו בשל להפיק תועלת מהתערבות טיפולית. על כן לא בא שירות המבחן בהמלצה טיפולית, מה גם שהנאשם עצור עד תום ההליכים. שירות המבחן המליץ כי בקביעת תקופת המאסר ייקח בית המשפט בחשבון את גילו הצעיר של הנאשם, את העדר העבר הפלילי, את העובדה שמדובר במאסרו הראשון, את העובדה שההליכים והמעצר מהווים גורמים מרתיעים מבחינת הנאשם, ואת שאיפתו לנהל בעתיד חיים נורמטיביים.</w:t>
      </w:r>
    </w:p>
    <w:p w14:paraId="50680ED1" w14:textId="77777777" w:rsidR="00452235" w:rsidRDefault="00452235" w:rsidP="00452235">
      <w:pPr>
        <w:spacing w:line="360" w:lineRule="auto"/>
        <w:ind w:left="720" w:hanging="720"/>
        <w:jc w:val="both"/>
        <w:rPr>
          <w:rFonts w:ascii="Arial" w:hAnsi="Arial"/>
          <w:rtl/>
        </w:rPr>
      </w:pPr>
    </w:p>
    <w:p w14:paraId="430D474F" w14:textId="77777777" w:rsidR="00452235" w:rsidRDefault="00452235" w:rsidP="00452235">
      <w:pPr>
        <w:spacing w:line="360" w:lineRule="auto"/>
        <w:ind w:left="720" w:hanging="720"/>
        <w:jc w:val="both"/>
        <w:rPr>
          <w:rFonts w:ascii="Arial" w:hAnsi="Arial"/>
          <w:rtl/>
        </w:rPr>
      </w:pPr>
    </w:p>
    <w:p w14:paraId="6F75844D" w14:textId="77777777" w:rsidR="00452235" w:rsidRDefault="00452235" w:rsidP="00452235">
      <w:pPr>
        <w:spacing w:line="360" w:lineRule="auto"/>
        <w:ind w:left="720" w:hanging="720"/>
        <w:jc w:val="both"/>
        <w:rPr>
          <w:rFonts w:ascii="Arial" w:hAnsi="Arial"/>
          <w:rtl/>
        </w:rPr>
      </w:pPr>
      <w:r>
        <w:rPr>
          <w:rFonts w:ascii="Arial" w:hAnsi="Arial" w:hint="cs"/>
          <w:rtl/>
        </w:rPr>
        <w:t xml:space="preserve"> </w:t>
      </w:r>
    </w:p>
    <w:p w14:paraId="0A617FAD" w14:textId="77777777" w:rsidR="00452235" w:rsidRDefault="00452235" w:rsidP="00452235">
      <w:pPr>
        <w:spacing w:line="360" w:lineRule="auto"/>
        <w:ind w:left="720" w:hanging="720"/>
        <w:jc w:val="both"/>
        <w:rPr>
          <w:rFonts w:ascii="Arial" w:hAnsi="Arial"/>
          <w:rtl/>
        </w:rPr>
      </w:pPr>
    </w:p>
    <w:p w14:paraId="596BD382" w14:textId="77777777" w:rsidR="00452235" w:rsidRDefault="00452235" w:rsidP="00452235">
      <w:pPr>
        <w:spacing w:line="360" w:lineRule="auto"/>
        <w:ind w:left="720" w:hanging="720"/>
        <w:jc w:val="both"/>
        <w:rPr>
          <w:rFonts w:ascii="Arial" w:hAnsi="Arial"/>
          <w:rtl/>
        </w:rPr>
      </w:pPr>
      <w:r>
        <w:rPr>
          <w:rFonts w:ascii="Arial" w:hAnsi="Arial" w:hint="cs"/>
          <w:rtl/>
        </w:rPr>
        <w:t>3.</w:t>
      </w:r>
      <w:r>
        <w:rPr>
          <w:rFonts w:ascii="Arial" w:hAnsi="Arial" w:hint="cs"/>
          <w:rtl/>
        </w:rPr>
        <w:tab/>
      </w:r>
      <w:r>
        <w:rPr>
          <w:rFonts w:ascii="Arial" w:hAnsi="Arial" w:hint="cs"/>
          <w:b/>
          <w:bCs/>
          <w:u w:val="single"/>
          <w:rtl/>
        </w:rPr>
        <w:t>טענות המאשימה לעונש</w:t>
      </w:r>
    </w:p>
    <w:p w14:paraId="189DFCE4" w14:textId="77777777" w:rsidR="00452235" w:rsidRDefault="00452235" w:rsidP="00452235">
      <w:pPr>
        <w:spacing w:line="360" w:lineRule="auto"/>
        <w:ind w:left="720" w:hanging="720"/>
        <w:jc w:val="both"/>
        <w:rPr>
          <w:rFonts w:ascii="Arial" w:hAnsi="Arial"/>
          <w:rtl/>
        </w:rPr>
      </w:pPr>
      <w:r>
        <w:rPr>
          <w:rFonts w:ascii="Arial" w:hAnsi="Arial"/>
          <w:rtl/>
        </w:rPr>
        <w:tab/>
      </w:r>
      <w:r>
        <w:rPr>
          <w:rFonts w:ascii="Arial" w:hAnsi="Arial" w:hint="cs"/>
          <w:rtl/>
        </w:rPr>
        <w:t>בטענותיו לעונש עמד ב"כ המאשימה על פסיקת בית המשפט העליון הרואה בחומרה את עבירות הנשק ומורה לגזור בגינן עונשי מאסר מרתיעים. ב"כ המאשימה הפנה לכך שעל-פי תיקון 140 ל</w:t>
      </w:r>
      <w:hyperlink r:id="rId14" w:history="1">
        <w:r w:rsidR="00C263B7" w:rsidRPr="00C263B7">
          <w:rPr>
            <w:rFonts w:ascii="Arial" w:hAnsi="Arial"/>
            <w:color w:val="0000FF"/>
            <w:u w:val="single"/>
            <w:rtl/>
          </w:rPr>
          <w:t>חוק העונשין</w:t>
        </w:r>
      </w:hyperlink>
      <w:r>
        <w:rPr>
          <w:rFonts w:ascii="Arial" w:hAnsi="Arial" w:hint="cs"/>
          <w:rtl/>
        </w:rPr>
        <w:t xml:space="preserve"> יש חובה לגזור על הנאשם עונש מינימום של 30 חודשי מאסר. </w:t>
      </w:r>
    </w:p>
    <w:p w14:paraId="7FFB886C" w14:textId="77777777" w:rsidR="00452235" w:rsidRDefault="00452235" w:rsidP="00452235">
      <w:pPr>
        <w:spacing w:line="360" w:lineRule="auto"/>
        <w:ind w:left="720" w:hanging="720"/>
        <w:jc w:val="both"/>
        <w:rPr>
          <w:rFonts w:ascii="Arial" w:hAnsi="Arial"/>
          <w:rtl/>
        </w:rPr>
      </w:pPr>
      <w:r>
        <w:rPr>
          <w:rFonts w:ascii="Arial" w:hAnsi="Arial"/>
          <w:rtl/>
        </w:rPr>
        <w:tab/>
      </w:r>
      <w:r>
        <w:rPr>
          <w:rFonts w:ascii="Arial" w:hAnsi="Arial" w:hint="cs"/>
          <w:rtl/>
        </w:rPr>
        <w:t xml:space="preserve">ב"כ המאשימה עמד על כך שהנאשם הסכים לקבל לרשותו את האקדח לאחר שהוא ידע כי בוצע בו ירי. ב"כ המאשימה הזכיר שיש לקחת בחשבון את העובדה שהנאשם ניסה להסתיר את הנשק, וכן יש לקחת בחשבון את העובדה שהנאשם לא מסר את שמו של המעורב הנוסף, למרות שהוא מכיר אותו. במישור הנסיבות שאינן קשורות בביצוע העבירה עמד ב"כ המאשימה על גילו הצעיר של הנאשם, עברו הפלילי הנקי, והודאתו שחסכה זמן שיפוטי. בסיכומם של דברים טען ב"כ המאשימה, כי יש להעמיד את מתחם העונש ההולם בגין שתי העבירות יחדיו על 48-32 חודשי מאסר בפועל לצד ענישה נלווית, וכי ראוי למקם את העונש המתאים בשליש התחתון של מתחם העונש ההולם, אך לא בתחתית ממש. </w:t>
      </w:r>
    </w:p>
    <w:p w14:paraId="6FAD9004" w14:textId="77777777" w:rsidR="00452235" w:rsidRDefault="00452235" w:rsidP="00452235">
      <w:pPr>
        <w:spacing w:line="360" w:lineRule="auto"/>
        <w:ind w:left="720" w:hanging="720"/>
        <w:jc w:val="both"/>
        <w:rPr>
          <w:rFonts w:ascii="Arial" w:hAnsi="Arial"/>
          <w:rtl/>
        </w:rPr>
      </w:pPr>
    </w:p>
    <w:p w14:paraId="707AE229" w14:textId="77777777" w:rsidR="00452235" w:rsidRDefault="00452235" w:rsidP="00452235">
      <w:pPr>
        <w:spacing w:line="360" w:lineRule="auto"/>
        <w:ind w:left="720" w:hanging="720"/>
        <w:jc w:val="both"/>
        <w:rPr>
          <w:rFonts w:ascii="Arial" w:hAnsi="Arial"/>
          <w:rtl/>
        </w:rPr>
      </w:pPr>
      <w:r>
        <w:rPr>
          <w:rFonts w:ascii="Arial" w:hAnsi="Arial" w:hint="cs"/>
          <w:rtl/>
        </w:rPr>
        <w:t>4.</w:t>
      </w:r>
      <w:r>
        <w:rPr>
          <w:rFonts w:ascii="Arial" w:hAnsi="Arial" w:hint="cs"/>
          <w:rtl/>
        </w:rPr>
        <w:tab/>
      </w:r>
      <w:r>
        <w:rPr>
          <w:rFonts w:ascii="Arial" w:hAnsi="Arial" w:hint="cs"/>
          <w:b/>
          <w:bCs/>
          <w:u w:val="single"/>
          <w:rtl/>
        </w:rPr>
        <w:t>טיעוני הנאשם לעונש</w:t>
      </w:r>
    </w:p>
    <w:p w14:paraId="354330B6" w14:textId="77777777" w:rsidR="00452235" w:rsidRDefault="00452235" w:rsidP="00452235">
      <w:pPr>
        <w:spacing w:line="360" w:lineRule="auto"/>
        <w:ind w:left="720" w:hanging="720"/>
        <w:jc w:val="both"/>
        <w:rPr>
          <w:rFonts w:ascii="Arial" w:hAnsi="Arial"/>
          <w:rtl/>
        </w:rPr>
      </w:pPr>
      <w:r>
        <w:rPr>
          <w:rFonts w:ascii="Arial" w:hAnsi="Arial"/>
          <w:rtl/>
        </w:rPr>
        <w:tab/>
      </w:r>
      <w:r>
        <w:rPr>
          <w:rFonts w:ascii="Arial" w:hAnsi="Arial" w:hint="cs"/>
          <w:rtl/>
        </w:rPr>
        <w:t>בטרם השמיע ב"כ הנאשם את טיעוניו העיד אביו של הנאשם. האב ביקש מבית המשפט להתחשב בכך שהנאשם היה אמור להתחתן בחודש אוקטובר, דבר שלא יצא לפועל בשל מעצרו. לדבריו, ארוסתו של הנאשם ממתינה לו כבר יותר משנה</w:t>
      </w:r>
      <w:r>
        <w:rPr>
          <w:rFonts w:ascii="Arial" w:hAnsi="Arial" w:hint="cs"/>
          <w:b/>
          <w:bCs/>
          <w:rtl/>
        </w:rPr>
        <w:t xml:space="preserve"> </w:t>
      </w:r>
      <w:r w:rsidRPr="00144821">
        <w:rPr>
          <w:rFonts w:ascii="Arial" w:hAnsi="Arial" w:hint="cs"/>
          <w:b/>
          <w:bCs/>
          <w:rtl/>
        </w:rPr>
        <w:t>"והמצב לא פשוט"</w:t>
      </w:r>
      <w:r>
        <w:rPr>
          <w:rFonts w:ascii="Arial" w:hAnsi="Arial" w:hint="cs"/>
          <w:rtl/>
        </w:rPr>
        <w:t>, כלשונו. האב ביקש כי בית המשפט יסתפק בימי מעצרו של הנאשם.</w:t>
      </w:r>
    </w:p>
    <w:p w14:paraId="6DB08CA8" w14:textId="77777777" w:rsidR="00452235" w:rsidRDefault="00452235" w:rsidP="00452235">
      <w:pPr>
        <w:spacing w:line="360" w:lineRule="auto"/>
        <w:ind w:left="720" w:hanging="720"/>
        <w:jc w:val="both"/>
        <w:rPr>
          <w:rFonts w:ascii="Arial" w:hAnsi="Arial"/>
          <w:rtl/>
        </w:rPr>
      </w:pPr>
    </w:p>
    <w:p w14:paraId="2911015E" w14:textId="77777777" w:rsidR="00452235" w:rsidRDefault="00452235" w:rsidP="00452235">
      <w:pPr>
        <w:spacing w:line="360" w:lineRule="auto"/>
        <w:ind w:left="720" w:hanging="720"/>
        <w:jc w:val="both"/>
        <w:rPr>
          <w:rFonts w:ascii="Arial" w:hAnsi="Arial"/>
          <w:rtl/>
        </w:rPr>
      </w:pPr>
      <w:r>
        <w:rPr>
          <w:rFonts w:ascii="Arial" w:hAnsi="Arial" w:hint="cs"/>
          <w:rtl/>
        </w:rPr>
        <w:t>5.</w:t>
      </w:r>
      <w:r>
        <w:rPr>
          <w:rFonts w:ascii="Arial" w:hAnsi="Arial" w:hint="cs"/>
          <w:rtl/>
        </w:rPr>
        <w:tab/>
        <w:t xml:space="preserve">ב"כ הנאשם הדגיש בטיעוניו כי גם בעבירות נשק הענישה היא עניין אינדיבידואלי, וכי את מתחם העונש ההולם יש לקבוע בהתאם לנסיבות העבירה הקונקרטית ולא על-פי תעריף קבוע מראש לסוג עבירות מסוים. </w:t>
      </w:r>
    </w:p>
    <w:p w14:paraId="0C6E4234" w14:textId="77777777" w:rsidR="00452235" w:rsidRDefault="00452235" w:rsidP="00452235">
      <w:pPr>
        <w:spacing w:line="360" w:lineRule="auto"/>
        <w:ind w:left="720"/>
        <w:jc w:val="both"/>
        <w:rPr>
          <w:rFonts w:ascii="Arial" w:hAnsi="Arial"/>
          <w:rtl/>
        </w:rPr>
      </w:pPr>
      <w:r>
        <w:rPr>
          <w:rFonts w:ascii="Arial" w:hAnsi="Arial" w:hint="cs"/>
          <w:rtl/>
        </w:rPr>
        <w:t>במישור הנסיבות שקשורות בביצוע העבירה הדגיש ב"כ הנאשם, שאין טענה בכתב האישום לפיה הנאשם ידע שהאחר נושא נשק, או שהנאשם תכנן עם האחר לעשות שימוש בנשק, או לאיים באמצעות נשק על משפחת המתלונן. ב"כ הנאשם טען כי נסיבות ביצוע העבירה כמתואר בכתב האישום מלמדות על כך שההחלטה של הנאשם לקבל את הנשק לידיו ולשאת אותו הייתה החלטה רגעית, וכי הנאשם נשא את הנשק למשך זמן קצר בלבד. ב"כ הנאשם הפנה לקביעת שירות המבחן לפיה אישיותו של הנאשם איננה בשלה.</w:t>
      </w:r>
    </w:p>
    <w:p w14:paraId="7CEE6A34" w14:textId="77777777" w:rsidR="00452235" w:rsidRDefault="00452235" w:rsidP="00452235">
      <w:pPr>
        <w:spacing w:line="360" w:lineRule="auto"/>
        <w:ind w:left="720"/>
        <w:jc w:val="both"/>
        <w:rPr>
          <w:rFonts w:ascii="Arial" w:hAnsi="Arial"/>
          <w:rtl/>
        </w:rPr>
      </w:pPr>
      <w:r>
        <w:rPr>
          <w:rFonts w:ascii="Arial" w:hAnsi="Arial" w:hint="cs"/>
          <w:rtl/>
        </w:rPr>
        <w:t xml:space="preserve">במישור הנסיבות שאינן קשורות בביצוע העבירה עמד ב"כ הנאשם על גילו הצעיר של הנאשם, על העדר העבר הפלילי, על ההודאה, על החרטה של הנאשם, ועל כך שהנאשם ניהל בעבר, ושואף לנהל גם בעתיד, חיים נורמטיביים. ב"כ הנאשם הסביר כי העובדה שהנאשם לא מסר את שמו של האחר למשטרה נובעת מחששו לעצמו ולמשפחתו. </w:t>
      </w:r>
    </w:p>
    <w:p w14:paraId="616D3843" w14:textId="77777777" w:rsidR="00452235" w:rsidRDefault="00452235" w:rsidP="00452235">
      <w:pPr>
        <w:spacing w:line="360" w:lineRule="auto"/>
        <w:ind w:left="720" w:hanging="720"/>
        <w:jc w:val="both"/>
        <w:rPr>
          <w:rFonts w:ascii="Arial" w:hAnsi="Arial"/>
          <w:rtl/>
        </w:rPr>
      </w:pPr>
      <w:r>
        <w:rPr>
          <w:rFonts w:ascii="Arial" w:hAnsi="Arial"/>
          <w:rtl/>
        </w:rPr>
        <w:tab/>
      </w:r>
      <w:r>
        <w:rPr>
          <w:rFonts w:ascii="Arial" w:hAnsi="Arial" w:hint="cs"/>
          <w:rtl/>
        </w:rPr>
        <w:t xml:space="preserve">לאור כל האמור טען ב"כ הנאשם כי יש להעמיד את מתחם העונש ההולם על מחצית המתחם לו טענה המאשימה, וכי בקביעת העונש המתאים יש לחרוג לקולא מהמתחם משיקולי שיקום. </w:t>
      </w:r>
    </w:p>
    <w:p w14:paraId="3614476B" w14:textId="77777777" w:rsidR="00452235" w:rsidRDefault="00452235" w:rsidP="00452235">
      <w:pPr>
        <w:spacing w:line="360" w:lineRule="auto"/>
        <w:ind w:left="720" w:hanging="720"/>
        <w:jc w:val="both"/>
        <w:rPr>
          <w:rFonts w:ascii="Arial" w:hAnsi="Arial"/>
          <w:rtl/>
        </w:rPr>
      </w:pPr>
    </w:p>
    <w:p w14:paraId="4304AEFC" w14:textId="77777777" w:rsidR="00452235" w:rsidRDefault="00452235" w:rsidP="00452235">
      <w:pPr>
        <w:spacing w:line="360" w:lineRule="auto"/>
        <w:ind w:left="720" w:hanging="720"/>
        <w:jc w:val="both"/>
        <w:rPr>
          <w:rFonts w:ascii="Arial" w:hAnsi="Arial"/>
          <w:b/>
          <w:bCs/>
          <w:u w:val="single"/>
          <w:rtl/>
        </w:rPr>
      </w:pPr>
      <w:r>
        <w:rPr>
          <w:rFonts w:ascii="Arial" w:hAnsi="Arial" w:hint="cs"/>
          <w:rtl/>
        </w:rPr>
        <w:t>6.</w:t>
      </w:r>
      <w:r>
        <w:rPr>
          <w:rFonts w:ascii="Arial" w:hAnsi="Arial" w:hint="cs"/>
          <w:rtl/>
        </w:rPr>
        <w:tab/>
      </w:r>
      <w:r>
        <w:rPr>
          <w:rFonts w:ascii="Arial" w:hAnsi="Arial" w:hint="cs"/>
          <w:b/>
          <w:bCs/>
          <w:u w:val="single"/>
          <w:rtl/>
        </w:rPr>
        <w:t>מתחם העונש ההולם</w:t>
      </w:r>
    </w:p>
    <w:p w14:paraId="25B9CE98" w14:textId="77777777" w:rsidR="00452235" w:rsidRDefault="00452235" w:rsidP="00452235">
      <w:pPr>
        <w:spacing w:line="360" w:lineRule="auto"/>
        <w:ind w:left="720" w:hanging="720"/>
        <w:jc w:val="both"/>
        <w:rPr>
          <w:rFonts w:ascii="Arial" w:hAnsi="Arial"/>
          <w:rtl/>
        </w:rPr>
      </w:pPr>
      <w:r>
        <w:rPr>
          <w:rFonts w:ascii="Arial" w:hAnsi="Arial"/>
          <w:rtl/>
        </w:rPr>
        <w:tab/>
      </w:r>
      <w:r>
        <w:rPr>
          <w:rFonts w:ascii="Arial" w:hAnsi="Arial" w:hint="cs"/>
          <w:rtl/>
        </w:rPr>
        <w:t>עבירות הנשק נועדו להגן על הערכים החשובים של חיי האדם, שלמות גופו ונפשו, וכן גם לקדם את השמירה על הסדר הציבורי התקין השליו והבטוח (</w:t>
      </w:r>
      <w:hyperlink r:id="rId15" w:history="1">
        <w:r w:rsidR="00C263B7" w:rsidRPr="00C263B7">
          <w:rPr>
            <w:rFonts w:ascii="Arial" w:hAnsi="Arial"/>
            <w:color w:val="0000FF"/>
            <w:u w:val="single"/>
            <w:rtl/>
          </w:rPr>
          <w:t>ע"פ 5522/20</w:t>
        </w:r>
      </w:hyperlink>
      <w:r>
        <w:rPr>
          <w:rFonts w:ascii="Arial" w:hAnsi="Arial" w:hint="cs"/>
          <w:rtl/>
        </w:rPr>
        <w:t xml:space="preserve"> </w:t>
      </w:r>
      <w:r>
        <w:rPr>
          <w:rFonts w:ascii="Arial" w:hAnsi="Arial" w:hint="cs"/>
          <w:b/>
          <w:bCs/>
          <w:rtl/>
        </w:rPr>
        <w:t>חלייחל נ' מ"י</w:t>
      </w:r>
      <w:r>
        <w:rPr>
          <w:rFonts w:ascii="Arial" w:hAnsi="Arial" w:hint="cs"/>
          <w:rtl/>
        </w:rPr>
        <w:t xml:space="preserve"> (24.2.21); </w:t>
      </w:r>
      <w:hyperlink r:id="rId16" w:history="1">
        <w:r w:rsidR="00C263B7" w:rsidRPr="00C263B7">
          <w:rPr>
            <w:rFonts w:ascii="Arial" w:hAnsi="Arial"/>
            <w:color w:val="0000FF"/>
            <w:u w:val="single"/>
            <w:rtl/>
          </w:rPr>
          <w:t>ע"פ 147/21</w:t>
        </w:r>
      </w:hyperlink>
      <w:r>
        <w:rPr>
          <w:rFonts w:ascii="Arial" w:hAnsi="Arial" w:hint="cs"/>
          <w:rtl/>
        </w:rPr>
        <w:t xml:space="preserve"> </w:t>
      </w:r>
      <w:r>
        <w:rPr>
          <w:rFonts w:ascii="Arial" w:hAnsi="Arial" w:hint="cs"/>
          <w:b/>
          <w:bCs/>
          <w:rtl/>
        </w:rPr>
        <w:t>מ"י נ' ביטון</w:t>
      </w:r>
      <w:r>
        <w:rPr>
          <w:rFonts w:ascii="Arial" w:hAnsi="Arial" w:hint="cs"/>
          <w:rtl/>
        </w:rPr>
        <w:t xml:space="preserve"> (14.2.21); </w:t>
      </w:r>
      <w:hyperlink r:id="rId17" w:history="1">
        <w:r w:rsidR="00C263B7" w:rsidRPr="00C263B7">
          <w:rPr>
            <w:rFonts w:ascii="Arial" w:hAnsi="Arial"/>
            <w:color w:val="0000FF"/>
            <w:u w:val="single"/>
            <w:rtl/>
          </w:rPr>
          <w:t>ע"פ 8017/20</w:t>
        </w:r>
      </w:hyperlink>
      <w:r>
        <w:rPr>
          <w:rFonts w:ascii="Arial" w:hAnsi="Arial" w:hint="cs"/>
          <w:rtl/>
        </w:rPr>
        <w:t xml:space="preserve"> </w:t>
      </w:r>
      <w:r>
        <w:rPr>
          <w:rFonts w:ascii="Arial" w:hAnsi="Arial" w:hint="cs"/>
          <w:b/>
          <w:bCs/>
          <w:rtl/>
        </w:rPr>
        <w:t>מ"י נ' גריפאת</w:t>
      </w:r>
      <w:r>
        <w:rPr>
          <w:rFonts w:ascii="Arial" w:hAnsi="Arial" w:hint="cs"/>
          <w:rtl/>
        </w:rPr>
        <w:t xml:space="preserve"> (22.12.20)). במקרה דנא מידת הפגיעה בערכים המוגנים בינונית עד גבוהה. מחד גיסא הנאשם נשא את הנשק לזמן קצר בלבד, ברם הוא הפסיק להחזיק את הנשק לא מרצונו אלא בשל העובדה שהוא נתפס. יש גם להזכיר כי הנאשם קיבל לרשותו את הנשק לאחר שידע כי בוצע בו ירי. לכך יש להוסיף כי הנאשם ביצע גם עבירה של שיבוש הליכי משפט בכך שניסה להסתיר את הנשק. בכך פגע הנאשם בערך המוגן של אכיפת החוק. פגיעתו של הנאשם בערך זה בינונית לנוכח העובדה שהאקדח נתפס בסופו של דבר, גם אם לא בסיועו של הנאשם. </w:t>
      </w:r>
    </w:p>
    <w:p w14:paraId="643756E9" w14:textId="77777777" w:rsidR="00452235" w:rsidRDefault="00452235" w:rsidP="00452235">
      <w:pPr>
        <w:spacing w:line="360" w:lineRule="auto"/>
        <w:ind w:left="720" w:hanging="720"/>
        <w:jc w:val="both"/>
        <w:rPr>
          <w:rFonts w:ascii="Arial" w:hAnsi="Arial"/>
          <w:rtl/>
        </w:rPr>
      </w:pPr>
    </w:p>
    <w:p w14:paraId="3A0E239A" w14:textId="77777777" w:rsidR="00452235" w:rsidRDefault="00452235" w:rsidP="00452235">
      <w:pPr>
        <w:spacing w:line="360" w:lineRule="auto"/>
        <w:ind w:left="720" w:hanging="720"/>
        <w:jc w:val="both"/>
        <w:rPr>
          <w:rFonts w:ascii="Arial" w:hAnsi="Arial"/>
          <w:rtl/>
        </w:rPr>
      </w:pPr>
      <w:r>
        <w:rPr>
          <w:rFonts w:ascii="Arial" w:hAnsi="Arial" w:hint="cs"/>
          <w:rtl/>
        </w:rPr>
        <w:t>7.</w:t>
      </w:r>
      <w:r>
        <w:rPr>
          <w:rFonts w:ascii="Arial" w:hAnsi="Arial" w:hint="cs"/>
          <w:rtl/>
        </w:rPr>
        <w:tab/>
        <w:t xml:space="preserve">אשר לענישה הנוהגת, המגמה העונשית הראויה בעניינן של עבירות נשק ברורה </w:t>
      </w:r>
      <w:r>
        <w:rPr>
          <w:rFonts w:ascii="Arial" w:hAnsi="Arial"/>
          <w:rtl/>
        </w:rPr>
        <w:t>–</w:t>
      </w:r>
      <w:r>
        <w:rPr>
          <w:rFonts w:ascii="Arial" w:hAnsi="Arial" w:hint="cs"/>
          <w:rtl/>
        </w:rPr>
        <w:t xml:space="preserve"> לנוכח חומרתן של עבירות הנשק וכן לנוכח ריבוי העבירות מסוג זה, ראוי להחמיר בענישה, בין היתר משיקולי הרתעה. בית המשפט העליון הבהיר לא פעם כי בעבירות נשק מתגמדים שיקולים שעניינם שיקום ונסיבות אישיות של הנאשם אל מול שיקולי הענישה האחרים (</w:t>
      </w:r>
      <w:hyperlink r:id="rId18" w:history="1">
        <w:r w:rsidR="00C263B7" w:rsidRPr="00C263B7">
          <w:rPr>
            <w:rFonts w:ascii="Arial" w:hAnsi="Arial"/>
            <w:color w:val="0000FF"/>
            <w:u w:val="single"/>
            <w:rtl/>
          </w:rPr>
          <w:t>ע"פ 4406/19</w:t>
        </w:r>
      </w:hyperlink>
      <w:r>
        <w:rPr>
          <w:rFonts w:ascii="Arial" w:hAnsi="Arial" w:hint="cs"/>
          <w:rtl/>
        </w:rPr>
        <w:t xml:space="preserve"> </w:t>
      </w:r>
      <w:r>
        <w:rPr>
          <w:rFonts w:ascii="Arial" w:hAnsi="Arial" w:hint="cs"/>
          <w:b/>
          <w:bCs/>
          <w:rtl/>
        </w:rPr>
        <w:t>מדינת ישראל נ' סובח</w:t>
      </w:r>
      <w:r>
        <w:rPr>
          <w:rFonts w:ascii="Arial" w:hAnsi="Arial" w:hint="cs"/>
          <w:rtl/>
        </w:rPr>
        <w:t xml:space="preserve"> (5.11.19)). אך לאחרונה נקבע בבית המשפט העליון כי: "</w:t>
      </w:r>
      <w:r>
        <w:rPr>
          <w:rFonts w:ascii="Arial" w:hAnsi="Arial" w:hint="cs"/>
          <w:b/>
          <w:bCs/>
          <w:rtl/>
        </w:rPr>
        <w:t>הענישה המחמירה והבלתי מתפשרת כאמור צריכה לחול ללא סייגים על כל נאשם בגיר באשר הוא... גם כאשר מדובר בעבריין צעיר שהסתבך לראשונה בפלילים ובקשתו לשיקום כנה ואף זוכה לתמיכתו של שירות המבחן</w:t>
      </w:r>
      <w:r>
        <w:rPr>
          <w:rFonts w:ascii="Arial" w:hAnsi="Arial" w:hint="cs"/>
          <w:rtl/>
        </w:rPr>
        <w:t xml:space="preserve">" (עניין </w:t>
      </w:r>
      <w:r>
        <w:rPr>
          <w:rFonts w:ascii="Arial" w:hAnsi="Arial" w:hint="cs"/>
          <w:b/>
          <w:bCs/>
          <w:rtl/>
        </w:rPr>
        <w:t xml:space="preserve">סובח </w:t>
      </w:r>
      <w:r>
        <w:rPr>
          <w:rFonts w:ascii="Arial" w:hAnsi="Arial" w:hint="cs"/>
          <w:rtl/>
        </w:rPr>
        <w:t xml:space="preserve">הנ"ל, וכן ראו - ע"פ 4407/22 </w:t>
      </w:r>
      <w:r>
        <w:rPr>
          <w:rFonts w:ascii="Arial" w:hAnsi="Arial" w:hint="cs"/>
          <w:b/>
          <w:bCs/>
          <w:rtl/>
        </w:rPr>
        <w:t xml:space="preserve">פלוני נ' מ"י </w:t>
      </w:r>
      <w:r>
        <w:rPr>
          <w:rFonts w:ascii="Arial" w:hAnsi="Arial" w:hint="cs"/>
          <w:rtl/>
        </w:rPr>
        <w:t xml:space="preserve">(28.7.22)). בעניין </w:t>
      </w:r>
      <w:r>
        <w:rPr>
          <w:rFonts w:ascii="Arial" w:hAnsi="Arial" w:hint="cs"/>
          <w:b/>
          <w:bCs/>
          <w:rtl/>
        </w:rPr>
        <w:t>סובח</w:t>
      </w:r>
      <w:r>
        <w:rPr>
          <w:rFonts w:ascii="Arial" w:hAnsi="Arial" w:hint="cs"/>
          <w:rtl/>
        </w:rPr>
        <w:t xml:space="preserve"> אף נפסק כי מתחם הענישה הראוי לנאשם בגיר בגין נשיאת נשק במרחב הציבורי צריך לנוע בין 30 ל-42 חודשי מאסר בפועל. יחד עם זאת בית המשפט העליון גם פסק, כי בצד ההחמרה הראויה בענישה לגבי עבירות נשק יש לזכור כי: "... </w:t>
      </w:r>
      <w:r w:rsidRPr="00DF2200">
        <w:rPr>
          <w:rFonts w:ascii="Arial" w:hAnsi="Arial" w:hint="cs"/>
          <w:b/>
          <w:bCs/>
          <w:rtl/>
        </w:rPr>
        <w:t>ברי, כי אין להטיל עונש אחד ואחיד על כל נאשם שעובר עבירת נשק מסוימת. הגישה האינדיבידואלית כלפי הענישה דורשת לבחון את מעשה העבירה הקונקרטי</w:t>
      </w:r>
      <w:r>
        <w:rPr>
          <w:rFonts w:ascii="Arial" w:hAnsi="Arial" w:hint="cs"/>
          <w:rtl/>
        </w:rPr>
        <w:t>" (</w:t>
      </w:r>
      <w:hyperlink r:id="rId19" w:history="1">
        <w:r w:rsidR="00C263B7" w:rsidRPr="00C263B7">
          <w:rPr>
            <w:rFonts w:ascii="Arial" w:hAnsi="Arial"/>
            <w:color w:val="0000FF"/>
            <w:u w:val="single"/>
            <w:rtl/>
          </w:rPr>
          <w:t>ע"פ 6383/21</w:t>
        </w:r>
      </w:hyperlink>
      <w:r>
        <w:rPr>
          <w:rFonts w:ascii="Arial" w:hAnsi="Arial" w:hint="cs"/>
          <w:rtl/>
        </w:rPr>
        <w:t xml:space="preserve"> </w:t>
      </w:r>
      <w:r>
        <w:rPr>
          <w:rFonts w:ascii="Arial" w:hAnsi="Arial" w:hint="cs"/>
          <w:b/>
          <w:bCs/>
          <w:rtl/>
        </w:rPr>
        <w:t>קריף נ' מ"י</w:t>
      </w:r>
      <w:r>
        <w:rPr>
          <w:rFonts w:ascii="Arial" w:hAnsi="Arial" w:hint="cs"/>
          <w:rtl/>
        </w:rPr>
        <w:t xml:space="preserve"> (13.2.22)).</w:t>
      </w:r>
    </w:p>
    <w:p w14:paraId="4B78A78E" w14:textId="77777777" w:rsidR="00452235" w:rsidRDefault="00452235" w:rsidP="00452235">
      <w:pPr>
        <w:spacing w:line="360" w:lineRule="auto"/>
        <w:ind w:left="720"/>
        <w:jc w:val="both"/>
        <w:rPr>
          <w:rFonts w:ascii="Arial" w:hAnsi="Arial"/>
          <w:rtl/>
        </w:rPr>
      </w:pPr>
      <w:r>
        <w:rPr>
          <w:rFonts w:ascii="Arial" w:hAnsi="Arial" w:hint="cs"/>
          <w:rtl/>
        </w:rPr>
        <w:t xml:space="preserve">בהמשך לפסיקה האמורה הציגה המאשימה כהדגמה של הפסיקה הנוהגת את פסק הדין בעניין </w:t>
      </w:r>
      <w:r>
        <w:rPr>
          <w:rFonts w:ascii="Arial" w:hAnsi="Arial" w:hint="cs"/>
          <w:b/>
          <w:bCs/>
          <w:rtl/>
        </w:rPr>
        <w:t>פלוני</w:t>
      </w:r>
      <w:r>
        <w:rPr>
          <w:rFonts w:ascii="Arial" w:hAnsi="Arial" w:hint="cs"/>
          <w:rtl/>
        </w:rPr>
        <w:t>, שם התקבל ערעורה של המדינה על קולת העונש ונגזר על הנאשם עונש של 28 חודשי מאסר בפועל, זאת תוך הדגשה של העיקרון לפיו ערכאת הערעור איננה נוהגת למצות את הדין. כמו כן הפנה ב"כ המאשימה ל</w:t>
      </w:r>
      <w:hyperlink r:id="rId20" w:history="1">
        <w:r w:rsidR="00C263B7" w:rsidRPr="00C263B7">
          <w:rPr>
            <w:rFonts w:ascii="Arial" w:hAnsi="Arial"/>
            <w:color w:val="0000FF"/>
            <w:u w:val="single"/>
            <w:rtl/>
          </w:rPr>
          <w:t>ע"פ 5522/20</w:t>
        </w:r>
      </w:hyperlink>
      <w:r>
        <w:rPr>
          <w:rFonts w:ascii="Arial" w:hAnsi="Arial" w:hint="cs"/>
          <w:rtl/>
        </w:rPr>
        <w:t xml:space="preserve"> </w:t>
      </w:r>
      <w:r>
        <w:rPr>
          <w:rFonts w:ascii="Arial" w:hAnsi="Arial" w:hint="cs"/>
          <w:b/>
          <w:bCs/>
          <w:rtl/>
        </w:rPr>
        <w:t>חלייחל נ' מ"י</w:t>
      </w:r>
      <w:r>
        <w:rPr>
          <w:rFonts w:ascii="Arial" w:hAnsi="Arial" w:hint="cs"/>
          <w:rtl/>
        </w:rPr>
        <w:t xml:space="preserve"> (24.2.21), במסגרתו נדחה ערעור של נאשם על חומרתו של עונש של 36 חודשי מאסר אשר נגזר עליו לאחר שהוא הורשע, על יסוד הסדר טיעון, בעבירה של נשיאת נשק.</w:t>
      </w:r>
    </w:p>
    <w:p w14:paraId="6EC0DFE7" w14:textId="77777777" w:rsidR="00452235" w:rsidRDefault="00452235" w:rsidP="00452235">
      <w:pPr>
        <w:spacing w:line="360" w:lineRule="auto"/>
        <w:ind w:left="720"/>
        <w:jc w:val="both"/>
        <w:rPr>
          <w:rFonts w:ascii="Arial" w:hAnsi="Arial"/>
          <w:rtl/>
        </w:rPr>
      </w:pPr>
      <w:r>
        <w:rPr>
          <w:rFonts w:ascii="Arial" w:hAnsi="Arial" w:hint="cs"/>
          <w:rtl/>
        </w:rPr>
        <w:t xml:space="preserve">ב"כ הנאשם הציג, לעומת זאת, פסקי דין לא מעטים בהם נגזרו על מי שביצעו עבירות נשק עונשים פחות חמורים מהעונש לו טוענת המאשימה. נזכיר בהקשר זה את </w:t>
      </w:r>
      <w:hyperlink r:id="rId21" w:history="1">
        <w:r w:rsidR="00C263B7" w:rsidRPr="00C263B7">
          <w:rPr>
            <w:rFonts w:ascii="Arial" w:hAnsi="Arial"/>
            <w:color w:val="0000FF"/>
            <w:u w:val="single"/>
            <w:rtl/>
          </w:rPr>
          <w:t>ע"פ 4332-21</w:t>
        </w:r>
      </w:hyperlink>
      <w:r>
        <w:rPr>
          <w:rFonts w:ascii="Arial" w:hAnsi="Arial" w:hint="cs"/>
          <w:rtl/>
        </w:rPr>
        <w:t xml:space="preserve"> </w:t>
      </w:r>
      <w:r>
        <w:rPr>
          <w:rFonts w:ascii="Arial" w:hAnsi="Arial" w:hint="cs"/>
          <w:b/>
          <w:bCs/>
          <w:rtl/>
        </w:rPr>
        <w:t>עאסלה נ' מ"י</w:t>
      </w:r>
      <w:r>
        <w:rPr>
          <w:rFonts w:ascii="Arial" w:hAnsi="Arial" w:hint="cs"/>
          <w:rtl/>
        </w:rPr>
        <w:t xml:space="preserve"> (20.2.22), בו הפחית בית המשפט העליון עונש של 15 חודשי מאסר אשר גזר בית המשפט המחוזי על המערער לאחר שהרשיע אותו, על יסוד הודאתו, בעבירה של החזקת נשק. בית המשפט העליון העמיד את העונש על 9 חודשי מאסר לריצוי בעבודות שירות. עם זאת, עיון בפסק הדין מלמד על נסיבות לקולא שאינן מתקיימות בעניינו של הנאשם שלפניי, למשל העובדה שהמערער באותו עניין הוביל את השוטרים מיוזמתו למקום בו הסליק את הנשק. כמו כן הפנה ב"כ הנאשם לע"פ 5530/20 </w:t>
      </w:r>
      <w:r>
        <w:rPr>
          <w:rFonts w:ascii="Arial" w:hAnsi="Arial" w:hint="cs"/>
          <w:b/>
          <w:bCs/>
          <w:rtl/>
        </w:rPr>
        <w:t>ענבתאוי נ' מ"י</w:t>
      </w:r>
      <w:r>
        <w:rPr>
          <w:rFonts w:ascii="Arial" w:hAnsi="Arial" w:hint="cs"/>
          <w:rtl/>
        </w:rPr>
        <w:t xml:space="preserve"> (22.11.20), במסגרתו נדחה ערעורו של המערער על עונש של 28 חודשי מאסר אשר נגזר עליו לאחר שהורשע בעבירות של החזקה נשיאה והובלת נשק ובעבירה של עסקה אחרת בנשק. בעניינם של מערערים אחרים שאוחד באותו פסק דין, אשר הורשעו בעבירות של החזקה, נשיאה והובלת נשק, קיבל בית המשפט את ערעור המדינה על גזר הדין שניתן בעניינם, ועונשם הוחמר והועמד על 10 ו-14 חודשי מאסר. </w:t>
      </w:r>
    </w:p>
    <w:p w14:paraId="785AA1A4" w14:textId="77777777" w:rsidR="00452235" w:rsidRDefault="00452235" w:rsidP="00452235">
      <w:pPr>
        <w:spacing w:line="360" w:lineRule="auto"/>
        <w:ind w:left="720" w:hanging="720"/>
        <w:jc w:val="both"/>
        <w:rPr>
          <w:rFonts w:ascii="Arial" w:hAnsi="Arial"/>
          <w:rtl/>
        </w:rPr>
      </w:pPr>
    </w:p>
    <w:p w14:paraId="47F8132E" w14:textId="77777777" w:rsidR="00452235" w:rsidRDefault="00452235" w:rsidP="00452235">
      <w:pPr>
        <w:spacing w:line="360" w:lineRule="auto"/>
        <w:ind w:left="720" w:hanging="720"/>
        <w:jc w:val="both"/>
        <w:rPr>
          <w:rFonts w:ascii="Arial" w:hAnsi="Arial"/>
          <w:rtl/>
        </w:rPr>
      </w:pPr>
      <w:r>
        <w:rPr>
          <w:rFonts w:ascii="Arial" w:hAnsi="Arial" w:hint="cs"/>
          <w:rtl/>
        </w:rPr>
        <w:t>8.</w:t>
      </w:r>
      <w:r>
        <w:rPr>
          <w:rFonts w:ascii="Arial" w:hAnsi="Arial" w:hint="cs"/>
          <w:rtl/>
        </w:rPr>
        <w:tab/>
        <w:t>אשר לנסיבות הקשורות בביצוע העבירה. אין בסיס לקבוע כי הנאשם תכנן את עבירת החזקת הנשק או את עבירת שיבוש מהלכי המשפט. אין טענה בכתב האישום לפיה הנאשם ידע כי האדם האחר נשא נשק, או שהוא תכנן להשתמש בו. אין גם טענה לפיה הנאשם ידע שבכוונת האדם האחר לאיים על המתלונן ומשפחתו. מנסיבות העניין כפי שהן מפורטות בכתב האישום עולה, כי החלטתו של הנאשם לקבל את הנשק לרשותו הייתה החלטה רגעית. בהמשך להחלטתו לשאת את הנשק נשא הנאשם את הנשק לפרק זמן קצר יחסית, אלא שהפסקת ההחזקה נסעה מתפיסתו של הנאשם ולא מהחלטתו לחדול מביצוע העבירה. בצד החומרה יש להביא בחשבון כי הנאשם קיבל את הנשק לרשותו לאחר שהיה מודע לכך שנעשה בו שימוש.</w:t>
      </w:r>
    </w:p>
    <w:p w14:paraId="13049645" w14:textId="77777777" w:rsidR="00452235" w:rsidRDefault="00452235" w:rsidP="00452235">
      <w:pPr>
        <w:spacing w:line="360" w:lineRule="auto"/>
        <w:ind w:left="720"/>
        <w:jc w:val="both"/>
        <w:rPr>
          <w:rFonts w:ascii="Arial" w:hAnsi="Arial"/>
          <w:rtl/>
        </w:rPr>
      </w:pPr>
      <w:r>
        <w:rPr>
          <w:rFonts w:ascii="Arial" w:hAnsi="Arial" w:hint="cs"/>
          <w:rtl/>
        </w:rPr>
        <w:t>הנזק שהיה צפוי מביצוע העבירות הוא נזק חמור יחסית. אם וככל שהיה מצליח הנאשם להחזיק בנשק מבלי שהוא ייפול לידי המשטרה, הרי שנשק זה היה חוזר מן הסתם לידיו של אותו אחר, אשר לא היסס לעשות בו שימוש, או לידיהם של אחרים שאף הם היו עלולים לעשות בו שימוש. הנזק שנגרם הלכה למעשה איננו חמור, כיוון שהנשק נתפס בחיפוש שערכה המשטרה.</w:t>
      </w:r>
    </w:p>
    <w:p w14:paraId="32057E47" w14:textId="77777777" w:rsidR="00452235" w:rsidRDefault="00452235" w:rsidP="00452235">
      <w:pPr>
        <w:spacing w:line="360" w:lineRule="auto"/>
        <w:ind w:left="720"/>
        <w:jc w:val="both"/>
        <w:rPr>
          <w:rFonts w:ascii="Arial" w:hAnsi="Arial"/>
          <w:rtl/>
        </w:rPr>
      </w:pPr>
      <w:r>
        <w:rPr>
          <w:rFonts w:ascii="Arial" w:hAnsi="Arial" w:hint="cs"/>
          <w:rtl/>
        </w:rPr>
        <w:t xml:space="preserve">ב"כ הנאשם עמד בטיעוניו על התרשמות שירות המבחן מאישיותו הבלתי בשלה של הנאשם על רקע גילו הצעיר יחסית. בנסיבות העניין לא ניתן לתת לשיקול זה משקל רב לזכות הנאשם. הנאשם היה בן 21.5 בעת ביצוע העבירות. אדם בגיל זה, גם אם אישיותו איננה בשלה לגמרי, יכול להבין היטב את הפסול שבהחזקת נשק שבו נעשה שימוש רגעים ספורים קודם לכן, ובוודאי שהוא מבין את המשמעות של הניסיון להסתיר את הנשק מהמשטרה. ניסיון הסתרה זה לכשעצמו מלמד עד כמה היה מודע הנאשם לפסול שבמעשהו. ובכל זאת יינתן משקל מסוים, נמוך יחסית, להתרשמות שירות המבחן מאישיותו הבלתי בשלה של הנאשם, אשר יתכן שהייתה לה השפעה מסוימת על החלטתו ליטול את הנשק לידיו. </w:t>
      </w:r>
    </w:p>
    <w:p w14:paraId="17CA3FE3" w14:textId="77777777" w:rsidR="00452235" w:rsidRDefault="00452235" w:rsidP="00452235">
      <w:pPr>
        <w:spacing w:line="360" w:lineRule="auto"/>
        <w:ind w:left="720" w:hanging="720"/>
        <w:jc w:val="both"/>
        <w:rPr>
          <w:rFonts w:ascii="Arial" w:hAnsi="Arial"/>
          <w:rtl/>
        </w:rPr>
      </w:pPr>
    </w:p>
    <w:p w14:paraId="4501B5FD" w14:textId="77777777" w:rsidR="00452235" w:rsidRDefault="00452235" w:rsidP="00452235">
      <w:pPr>
        <w:spacing w:line="360" w:lineRule="auto"/>
        <w:ind w:left="720" w:hanging="720"/>
        <w:jc w:val="both"/>
        <w:rPr>
          <w:rFonts w:ascii="Arial" w:hAnsi="Arial"/>
          <w:rtl/>
        </w:rPr>
      </w:pPr>
      <w:r>
        <w:rPr>
          <w:rFonts w:ascii="Arial" w:hAnsi="Arial" w:hint="cs"/>
          <w:rtl/>
        </w:rPr>
        <w:t>9.</w:t>
      </w:r>
      <w:r>
        <w:rPr>
          <w:rFonts w:ascii="Arial" w:hAnsi="Arial"/>
          <w:rtl/>
        </w:rPr>
        <w:tab/>
      </w:r>
      <w:r>
        <w:rPr>
          <w:rFonts w:ascii="Arial" w:hAnsi="Arial" w:hint="cs"/>
          <w:rtl/>
        </w:rPr>
        <w:t>בהתחשב בכל האמור, אני קובע כי מתחם העונש ההולם עומד על 24 עד 48 חודשי מאסר בפועל.</w:t>
      </w:r>
    </w:p>
    <w:p w14:paraId="6DAF9289" w14:textId="77777777" w:rsidR="00452235" w:rsidRDefault="00452235" w:rsidP="00452235">
      <w:pPr>
        <w:spacing w:line="360" w:lineRule="auto"/>
        <w:ind w:left="720" w:hanging="720"/>
        <w:jc w:val="both"/>
        <w:rPr>
          <w:rFonts w:ascii="Arial" w:hAnsi="Arial"/>
          <w:rtl/>
        </w:rPr>
      </w:pPr>
    </w:p>
    <w:p w14:paraId="039573A1" w14:textId="77777777" w:rsidR="00452235" w:rsidRDefault="00452235" w:rsidP="00452235">
      <w:pPr>
        <w:spacing w:line="360" w:lineRule="auto"/>
        <w:ind w:left="720" w:hanging="720"/>
        <w:jc w:val="both"/>
        <w:rPr>
          <w:rFonts w:ascii="Arial" w:hAnsi="Arial"/>
          <w:rtl/>
        </w:rPr>
      </w:pPr>
      <w:r>
        <w:rPr>
          <w:rFonts w:ascii="Arial" w:hAnsi="Arial" w:hint="cs"/>
          <w:rtl/>
        </w:rPr>
        <w:t>10.</w:t>
      </w:r>
      <w:r>
        <w:rPr>
          <w:rFonts w:ascii="Arial" w:hAnsi="Arial" w:hint="cs"/>
          <w:rtl/>
        </w:rPr>
        <w:tab/>
      </w:r>
      <w:r>
        <w:rPr>
          <w:rFonts w:ascii="Arial" w:hAnsi="Arial" w:hint="cs"/>
          <w:b/>
          <w:bCs/>
          <w:u w:val="single"/>
          <w:rtl/>
        </w:rPr>
        <w:t>העונש המתאים</w:t>
      </w:r>
    </w:p>
    <w:p w14:paraId="1781A3A9" w14:textId="77777777" w:rsidR="00452235" w:rsidRDefault="00452235" w:rsidP="00452235">
      <w:pPr>
        <w:spacing w:line="360" w:lineRule="auto"/>
        <w:ind w:left="720" w:hanging="720"/>
        <w:jc w:val="both"/>
        <w:rPr>
          <w:rFonts w:ascii="Arial" w:hAnsi="Arial"/>
          <w:rtl/>
        </w:rPr>
      </w:pPr>
      <w:r>
        <w:rPr>
          <w:rFonts w:ascii="Arial" w:hAnsi="Arial"/>
          <w:rtl/>
        </w:rPr>
        <w:tab/>
      </w:r>
      <w:r>
        <w:rPr>
          <w:rFonts w:ascii="Arial" w:hAnsi="Arial" w:hint="cs"/>
          <w:rtl/>
        </w:rPr>
        <w:t>הנאשם הודה במיוחס לו ובכך חסך מזמנה של המאשימה ומזמנו של בית המשפט. הנאשם צעיר בגילו. עד לביצוע העבירה הוא ניהל חיים נורמטיביים, וגם כיום לנאשם שאיפות נורמטיביות. כאמור בתסקיר שירות המבחן, ההתרשמות היא שהאירוע המדובר הוא מקרה חריג בחייו של הנאשם ובחיי בני משפחתו. שירות המבחן לא התרשם מקיום דפוסים עבריינים מושרשים אצל הנאשם. הנאשם הביע חרטה על מעשיו וחרטה זו נראית כנה, אם כי שירות המבחן התרשם שהנאשם מתקשה להעמיק בבחינת הסיבות שהביאו אותו לבצע את העבירות. בצד הודאתו של הנאשם לא ניתן שלא להביא בחשבון לחובתו את העובדה שהוא לא מסר עד היום את שמו של המעורב הנוסף באירוע. שמעתי את דברי ב"כ הנאשם, המבוססים על מה שמסר הנאשם לשירות המבחן, לפיהם הנאשם חושש לשלומו ולשלום משפחתו, אך אין בדברים אלו כדי לגרוע מהעובדה שהנאשם יכול היה לסייע לרשויות החקירה ולמאשימה מעבר להודאתו במיוחס לו, ובכך להקטין את הסיכון לציבור הנשקף מאותו אדם אחר המהלך חופשי.</w:t>
      </w:r>
    </w:p>
    <w:p w14:paraId="63703866" w14:textId="77777777" w:rsidR="00452235" w:rsidRDefault="00452235" w:rsidP="00452235">
      <w:pPr>
        <w:spacing w:line="360" w:lineRule="auto"/>
        <w:ind w:left="720" w:hanging="720"/>
        <w:jc w:val="both"/>
        <w:rPr>
          <w:rFonts w:ascii="Arial" w:hAnsi="Arial"/>
          <w:rtl/>
        </w:rPr>
      </w:pPr>
      <w:r>
        <w:rPr>
          <w:rFonts w:ascii="Arial" w:hAnsi="Arial"/>
          <w:rtl/>
        </w:rPr>
        <w:tab/>
      </w:r>
      <w:r>
        <w:rPr>
          <w:rFonts w:ascii="Arial" w:hAnsi="Arial" w:hint="cs"/>
          <w:rtl/>
        </w:rPr>
        <w:t xml:space="preserve">לנוכח כל האמור יש למקם את עונשו של הנאשם בשליש התחתון של מתחם העונש ההולם. </w:t>
      </w:r>
    </w:p>
    <w:p w14:paraId="63308F1F" w14:textId="77777777" w:rsidR="00452235" w:rsidRDefault="00452235" w:rsidP="00452235">
      <w:pPr>
        <w:spacing w:line="360" w:lineRule="auto"/>
        <w:ind w:left="720" w:hanging="720"/>
        <w:jc w:val="both"/>
        <w:rPr>
          <w:rFonts w:ascii="Arial" w:hAnsi="Arial"/>
          <w:rtl/>
        </w:rPr>
      </w:pPr>
    </w:p>
    <w:p w14:paraId="58EF91F2" w14:textId="77777777" w:rsidR="00452235" w:rsidRDefault="00452235" w:rsidP="00452235">
      <w:pPr>
        <w:spacing w:line="360" w:lineRule="auto"/>
        <w:ind w:left="720" w:hanging="720"/>
        <w:jc w:val="both"/>
        <w:rPr>
          <w:rFonts w:ascii="Arial" w:hAnsi="Arial"/>
          <w:rtl/>
        </w:rPr>
      </w:pPr>
      <w:r>
        <w:rPr>
          <w:rFonts w:ascii="Arial" w:hAnsi="Arial" w:hint="cs"/>
          <w:rtl/>
        </w:rPr>
        <w:t>11.</w:t>
      </w:r>
      <w:r>
        <w:rPr>
          <w:rFonts w:ascii="Arial" w:hAnsi="Arial" w:hint="cs"/>
          <w:rtl/>
        </w:rPr>
        <w:tab/>
        <w:t>ב"כ הנאשם טען כי יש לחרוג ממתחם העונש ההולם בשל שיקולי שיקום. טענה זו אינה משכנעת כלל. חריגה ממתחם העונש ההולם בשל שיקולי שיקום מוצדקת במקרים בהם מתרשם בית המשפט כי הנאשם השתקם או שיש סיכוי של ממש שישתקם. אכן הנאשם ניהל חיים נורמטיביים עד למעצרו, ברם אין בכך כדי לאיין את הרושם שנוצר כתוצאה מכישלונו החמור בכך שנטל את האקדח לידיו וניסה להסתיר אותו. במצב דברים זה לא ניתן לקבוע שיש סיכוי של ממש שהנאשם ישתקם. אציין בהקשר זה, כי הנאשם עצור עד תום ההליכים וכי במהלך מעצרו הוא משמש כחונך לעצור אחר, והוא אף עבר תהליך שיקומי מסוים בבית הכלא, אך אין בכך כדי לשנות את התוצאה הסופית, מה גם שבעבירות נשק שיקולי השיקום מקבלים משקל נמוך בהשוואה לשיקולי הענישה האחרים.</w:t>
      </w:r>
    </w:p>
    <w:p w14:paraId="79BECA27" w14:textId="77777777" w:rsidR="00452235" w:rsidRDefault="00452235" w:rsidP="00452235">
      <w:pPr>
        <w:spacing w:line="360" w:lineRule="auto"/>
        <w:ind w:left="720" w:hanging="720"/>
        <w:jc w:val="both"/>
        <w:rPr>
          <w:rFonts w:ascii="Arial" w:hAnsi="Arial"/>
          <w:rtl/>
        </w:rPr>
      </w:pPr>
    </w:p>
    <w:p w14:paraId="275E20D2" w14:textId="77777777" w:rsidR="00452235" w:rsidRDefault="00452235" w:rsidP="00452235">
      <w:pPr>
        <w:spacing w:line="360" w:lineRule="auto"/>
        <w:ind w:left="720" w:hanging="720"/>
        <w:jc w:val="both"/>
        <w:rPr>
          <w:rFonts w:ascii="Arial" w:hAnsi="Arial"/>
          <w:rtl/>
        </w:rPr>
      </w:pPr>
    </w:p>
    <w:p w14:paraId="611DEC6F" w14:textId="77777777" w:rsidR="00452235" w:rsidRDefault="00452235" w:rsidP="00452235">
      <w:pPr>
        <w:spacing w:line="360" w:lineRule="auto"/>
        <w:ind w:left="720" w:hanging="720"/>
        <w:jc w:val="both"/>
        <w:rPr>
          <w:rFonts w:ascii="Arial" w:hAnsi="Arial"/>
          <w:rtl/>
        </w:rPr>
      </w:pPr>
      <w:r>
        <w:rPr>
          <w:rFonts w:ascii="Arial" w:hAnsi="Arial" w:hint="cs"/>
          <w:rtl/>
        </w:rPr>
        <w:t>12.</w:t>
      </w:r>
      <w:r>
        <w:rPr>
          <w:rFonts w:ascii="Arial" w:hAnsi="Arial" w:hint="cs"/>
          <w:rtl/>
        </w:rPr>
        <w:tab/>
        <w:t xml:space="preserve">אשר על כן אני גוזר על הנאשם את העונשים שלהלן: </w:t>
      </w:r>
    </w:p>
    <w:p w14:paraId="5404377D" w14:textId="77777777" w:rsidR="00452235" w:rsidRDefault="00452235" w:rsidP="00452235">
      <w:pPr>
        <w:spacing w:line="360" w:lineRule="auto"/>
        <w:ind w:left="720" w:hanging="720"/>
        <w:jc w:val="both"/>
        <w:rPr>
          <w:rFonts w:ascii="Arial" w:hAnsi="Arial"/>
          <w:rtl/>
        </w:rPr>
      </w:pPr>
      <w:r>
        <w:rPr>
          <w:rFonts w:ascii="Arial" w:hAnsi="Arial"/>
          <w:rtl/>
        </w:rPr>
        <w:tab/>
      </w:r>
      <w:r>
        <w:rPr>
          <w:rFonts w:ascii="Arial" w:hAnsi="Arial" w:hint="cs"/>
          <w:rtl/>
        </w:rPr>
        <w:t>א. 30 חודשי מאסר בפועל בניכוי ימי מעצרו לפי רישומי שב"ס.</w:t>
      </w:r>
    </w:p>
    <w:p w14:paraId="40D19618" w14:textId="77777777" w:rsidR="00452235" w:rsidRDefault="00452235" w:rsidP="00452235">
      <w:pPr>
        <w:spacing w:line="360" w:lineRule="auto"/>
        <w:ind w:left="720" w:hanging="720"/>
        <w:jc w:val="both"/>
        <w:rPr>
          <w:rFonts w:ascii="Arial" w:hAnsi="Arial"/>
          <w:rtl/>
        </w:rPr>
      </w:pPr>
      <w:r>
        <w:rPr>
          <w:rFonts w:ascii="Arial" w:hAnsi="Arial"/>
          <w:rtl/>
        </w:rPr>
        <w:tab/>
      </w:r>
      <w:r>
        <w:rPr>
          <w:rFonts w:ascii="Arial" w:hAnsi="Arial" w:hint="cs"/>
          <w:rtl/>
        </w:rPr>
        <w:t>ב. 6 חודשי מאסר על תנאי אותם ירצה הנאשם בפועל אם בתוך 3 שנים מיום שחרורו מהכלא הוא יבצע עבירת נשק, ו-3 חודשי מאסר על תנאי אותם ירצה הנאשם בפועל אם בתוך 3 שנים מיום שחרורו מהכלא הוא יבצע עבירה של שיבוש מהלכי משפט.</w:t>
      </w:r>
    </w:p>
    <w:p w14:paraId="4377EED6" w14:textId="77777777" w:rsidR="00452235" w:rsidRDefault="00452235" w:rsidP="00452235">
      <w:pPr>
        <w:spacing w:line="360" w:lineRule="auto"/>
        <w:ind w:left="720" w:hanging="720"/>
        <w:jc w:val="both"/>
        <w:rPr>
          <w:rFonts w:ascii="Arial" w:hAnsi="Arial"/>
          <w:rtl/>
        </w:rPr>
      </w:pPr>
    </w:p>
    <w:p w14:paraId="6B125298" w14:textId="77777777" w:rsidR="00452235" w:rsidRPr="00377EC0" w:rsidRDefault="00C263B7" w:rsidP="00452235">
      <w:pPr>
        <w:spacing w:line="360" w:lineRule="auto"/>
        <w:ind w:left="720" w:hanging="720"/>
        <w:jc w:val="both"/>
        <w:rPr>
          <w:rFonts w:ascii="Arial" w:hAnsi="Arial"/>
          <w:b/>
          <w:bCs/>
          <w:sz w:val="26"/>
          <w:szCs w:val="26"/>
          <w:rtl/>
        </w:rPr>
      </w:pPr>
      <w:r w:rsidRPr="00C263B7">
        <w:rPr>
          <w:rFonts w:ascii="Arial" w:hAnsi="Arial"/>
          <w:b/>
          <w:bCs/>
          <w:color w:val="FFFFFF"/>
          <w:sz w:val="2"/>
          <w:szCs w:val="2"/>
          <w:rtl/>
        </w:rPr>
        <w:t>5129371</w:t>
      </w:r>
      <w:r w:rsidR="00452235" w:rsidRPr="00377EC0">
        <w:rPr>
          <w:rFonts w:ascii="Arial" w:hAnsi="Arial" w:hint="cs"/>
          <w:b/>
          <w:bCs/>
          <w:rtl/>
        </w:rPr>
        <w:t>הודע לנאשם על זכותו לערער לבית המשפט העליון בתוך 45 יום מהיום.</w:t>
      </w:r>
    </w:p>
    <w:p w14:paraId="38F77CAB" w14:textId="77777777" w:rsidR="00452235" w:rsidRPr="00C263B7" w:rsidRDefault="00C263B7" w:rsidP="00452235">
      <w:pPr>
        <w:rPr>
          <w:rFonts w:ascii="Arial" w:hAnsi="Arial"/>
          <w:b/>
          <w:bCs/>
          <w:color w:val="FFFFFF"/>
          <w:sz w:val="2"/>
          <w:szCs w:val="2"/>
          <w:rtl/>
        </w:rPr>
      </w:pPr>
      <w:r w:rsidRPr="00C263B7">
        <w:rPr>
          <w:rFonts w:ascii="Arial" w:hAnsi="Arial"/>
          <w:b/>
          <w:bCs/>
          <w:color w:val="FFFFFF"/>
          <w:sz w:val="2"/>
          <w:szCs w:val="2"/>
          <w:rtl/>
        </w:rPr>
        <w:t>54678313</w:t>
      </w:r>
    </w:p>
    <w:p w14:paraId="097671E2" w14:textId="77777777" w:rsidR="00452235" w:rsidRPr="000F2247" w:rsidRDefault="00452235" w:rsidP="00452235">
      <w:pPr>
        <w:rPr>
          <w:rFonts w:ascii="Arial" w:hAnsi="Arial"/>
          <w:b/>
          <w:bCs/>
          <w:sz w:val="26"/>
          <w:szCs w:val="26"/>
          <w:rtl/>
        </w:rPr>
      </w:pPr>
    </w:p>
    <w:p w14:paraId="1FFBA2B3" w14:textId="77777777" w:rsidR="00452235" w:rsidRPr="00F85523" w:rsidRDefault="00C263B7" w:rsidP="00452235">
      <w:pPr>
        <w:rPr>
          <w:rFonts w:ascii="Arial" w:hAnsi="Arial"/>
          <w:b/>
          <w:bCs/>
          <w:rtl/>
        </w:rPr>
      </w:pPr>
      <w:bookmarkStart w:id="7" w:name="Nitan"/>
      <w:r>
        <w:rPr>
          <w:rFonts w:ascii="Arial" w:hAnsi="Arial"/>
          <w:b/>
          <w:bCs/>
          <w:rtl/>
        </w:rPr>
        <w:t xml:space="preserve">ניתן היום,  ט"ו שבט תשפ"ג, 06 פברואר 2023, בנוכחות הצדדים. </w:t>
      </w:r>
      <w:bookmarkEnd w:id="7"/>
    </w:p>
    <w:p w14:paraId="139D7E54" w14:textId="77777777" w:rsidR="00452235" w:rsidRPr="000F2247" w:rsidRDefault="00452235" w:rsidP="00C263B7">
      <w:pPr>
        <w:jc w:val="center"/>
      </w:pPr>
      <w:r w:rsidRPr="00F85523">
        <w:rPr>
          <w:rFonts w:ascii="Arial" w:hAnsi="Arial"/>
          <w:b/>
          <w:bCs/>
          <w:rtl/>
        </w:rPr>
        <w:t xml:space="preserve">   </w:t>
      </w:r>
      <w:r w:rsidRPr="00F85523">
        <w:rPr>
          <w:rFonts w:ascii="Arial" w:hAnsi="Arial"/>
          <w:b/>
          <w:bCs/>
          <w:rtl/>
        </w:rPr>
        <w:tab/>
      </w:r>
      <w:r w:rsidRPr="00F85523">
        <w:rPr>
          <w:rFonts w:ascii="Arial" w:hAnsi="Arial"/>
          <w:b/>
          <w:bCs/>
          <w:rtl/>
        </w:rPr>
        <w:tab/>
      </w:r>
      <w:r w:rsidRPr="00F85523">
        <w:rPr>
          <w:rFonts w:ascii="Arial" w:hAnsi="Arial"/>
          <w:b/>
          <w:bCs/>
          <w:rtl/>
        </w:rPr>
        <w:tab/>
      </w:r>
      <w:r w:rsidRPr="00F85523">
        <w:rPr>
          <w:rFonts w:ascii="Arial" w:hAnsi="Arial"/>
          <w:b/>
          <w:bCs/>
          <w:rtl/>
        </w:rPr>
        <w:tab/>
      </w:r>
      <w:r w:rsidRPr="00F85523">
        <w:rPr>
          <w:rFonts w:ascii="Arial" w:hAnsi="Arial"/>
          <w:b/>
          <w:bCs/>
          <w:rtl/>
        </w:rPr>
        <w:tab/>
      </w:r>
    </w:p>
    <w:p w14:paraId="1C041311" w14:textId="77777777" w:rsidR="00452235" w:rsidRPr="008D779D" w:rsidRDefault="008D779D" w:rsidP="00452235">
      <w:pPr>
        <w:jc w:val="center"/>
        <w:rPr>
          <w:rFonts w:ascii="Arial" w:hAnsi="Arial"/>
          <w:b/>
          <w:bCs/>
          <w:color w:val="FFFFFF"/>
          <w:sz w:val="2"/>
          <w:szCs w:val="2"/>
          <w:rtl/>
        </w:rPr>
      </w:pPr>
      <w:r w:rsidRPr="008D779D">
        <w:rPr>
          <w:rFonts w:ascii="Arial" w:hAnsi="Arial"/>
          <w:b/>
          <w:bCs/>
          <w:color w:val="FFFFFF"/>
          <w:sz w:val="2"/>
          <w:szCs w:val="2"/>
          <w:rtl/>
        </w:rPr>
        <w:t>5129371</w:t>
      </w:r>
    </w:p>
    <w:p w14:paraId="635C2FA4" w14:textId="77777777" w:rsidR="00B65809" w:rsidRPr="008D779D" w:rsidRDefault="008D779D" w:rsidP="00C263B7">
      <w:pPr>
        <w:keepNext/>
        <w:rPr>
          <w:rFonts w:ascii="David" w:hAnsi="David"/>
          <w:color w:val="FFFFFF"/>
          <w:sz w:val="2"/>
          <w:szCs w:val="2"/>
          <w:rtl/>
        </w:rPr>
      </w:pPr>
      <w:r w:rsidRPr="008D779D">
        <w:rPr>
          <w:rFonts w:ascii="David" w:hAnsi="David"/>
          <w:color w:val="FFFFFF"/>
          <w:sz w:val="2"/>
          <w:szCs w:val="2"/>
          <w:rtl/>
        </w:rPr>
        <w:t>54678313</w:t>
      </w:r>
    </w:p>
    <w:p w14:paraId="629C96D2" w14:textId="77777777" w:rsidR="00C263B7" w:rsidRDefault="00C263B7" w:rsidP="00C263B7">
      <w:pPr>
        <w:rPr>
          <w:rtl/>
        </w:rPr>
      </w:pPr>
    </w:p>
    <w:p w14:paraId="2C52D3E0" w14:textId="77777777" w:rsidR="00C263B7" w:rsidRDefault="00C263B7" w:rsidP="00C263B7">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00970D33" w14:textId="77777777" w:rsidR="008D779D" w:rsidRPr="008D779D" w:rsidRDefault="008D779D" w:rsidP="008D779D">
      <w:pPr>
        <w:keepNext/>
        <w:rPr>
          <w:rFonts w:ascii="David" w:hAnsi="David"/>
          <w:color w:val="000000"/>
          <w:sz w:val="22"/>
          <w:szCs w:val="22"/>
          <w:rtl/>
        </w:rPr>
      </w:pPr>
    </w:p>
    <w:p w14:paraId="3DE20251" w14:textId="77777777" w:rsidR="008D779D" w:rsidRPr="008D779D" w:rsidRDefault="008D779D" w:rsidP="008D779D">
      <w:pPr>
        <w:keepNext/>
        <w:rPr>
          <w:rFonts w:ascii="David" w:hAnsi="David"/>
          <w:color w:val="000000"/>
          <w:sz w:val="22"/>
          <w:szCs w:val="22"/>
          <w:rtl/>
        </w:rPr>
      </w:pPr>
      <w:r w:rsidRPr="008D779D">
        <w:rPr>
          <w:rFonts w:ascii="David" w:hAnsi="David"/>
          <w:color w:val="000000"/>
          <w:sz w:val="22"/>
          <w:szCs w:val="22"/>
          <w:rtl/>
        </w:rPr>
        <w:t>אברהם רובין 54678313-/</w:t>
      </w:r>
    </w:p>
    <w:p w14:paraId="227FBE63" w14:textId="77777777" w:rsidR="00C263B7" w:rsidRPr="00C263B7" w:rsidRDefault="008D779D" w:rsidP="008D779D">
      <w:pPr>
        <w:rPr>
          <w:color w:val="0000FF"/>
          <w:u w:val="single"/>
        </w:rPr>
      </w:pPr>
      <w:r w:rsidRPr="008D779D">
        <w:rPr>
          <w:color w:val="000000"/>
          <w:u w:val="single"/>
          <w:rtl/>
        </w:rPr>
        <w:t>נוסח מסמך זה כפוף לשינויי ניסוח ועריכה</w:t>
      </w:r>
    </w:p>
    <w:sectPr w:rsidR="00C263B7" w:rsidRPr="00C263B7" w:rsidSect="008D779D">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8793F" w14:textId="77777777" w:rsidR="00DB2302" w:rsidRDefault="00DB2302" w:rsidP="00185268">
      <w:r>
        <w:separator/>
      </w:r>
    </w:p>
  </w:endnote>
  <w:endnote w:type="continuationSeparator" w:id="0">
    <w:p w14:paraId="3C7A0638" w14:textId="77777777" w:rsidR="00DB2302" w:rsidRDefault="00DB2302" w:rsidP="00185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CE95A" w14:textId="77777777" w:rsidR="008D779D" w:rsidRDefault="008D779D" w:rsidP="008D779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D610281" w14:textId="77777777" w:rsidR="000310E4" w:rsidRPr="008D779D" w:rsidRDefault="008D779D" w:rsidP="008D779D">
    <w:pPr>
      <w:pStyle w:val="a5"/>
      <w:pBdr>
        <w:top w:val="single" w:sz="4" w:space="1" w:color="auto"/>
        <w:between w:val="single" w:sz="4" w:space="0" w:color="auto"/>
      </w:pBdr>
      <w:spacing w:after="60"/>
      <w:jc w:val="center"/>
      <w:rPr>
        <w:rFonts w:ascii="FrankRuehl" w:hAnsi="FrankRuehl" w:cs="FrankRuehl"/>
        <w:color w:val="000000"/>
      </w:rPr>
    </w:pPr>
    <w:r w:rsidRPr="008D779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9A847" w14:textId="77777777" w:rsidR="008D779D" w:rsidRDefault="008D779D" w:rsidP="008D779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D58AE">
      <w:rPr>
        <w:rFonts w:ascii="FrankRuehl" w:hAnsi="FrankRuehl" w:cs="FrankRuehl"/>
        <w:noProof/>
        <w:rtl/>
      </w:rPr>
      <w:t>1</w:t>
    </w:r>
    <w:r>
      <w:rPr>
        <w:rFonts w:ascii="FrankRuehl" w:hAnsi="FrankRuehl" w:cs="FrankRuehl"/>
        <w:rtl/>
      </w:rPr>
      <w:fldChar w:fldCharType="end"/>
    </w:r>
  </w:p>
  <w:p w14:paraId="3E395022" w14:textId="77777777" w:rsidR="000310E4" w:rsidRPr="008D779D" w:rsidRDefault="008D779D" w:rsidP="008D779D">
    <w:pPr>
      <w:pStyle w:val="a5"/>
      <w:pBdr>
        <w:top w:val="single" w:sz="4" w:space="1" w:color="auto"/>
        <w:between w:val="single" w:sz="4" w:space="0" w:color="auto"/>
      </w:pBdr>
      <w:spacing w:after="60"/>
      <w:jc w:val="center"/>
      <w:rPr>
        <w:rFonts w:ascii="FrankRuehl" w:hAnsi="FrankRuehl" w:cs="FrankRuehl"/>
        <w:color w:val="000000"/>
      </w:rPr>
    </w:pPr>
    <w:r w:rsidRPr="008D779D">
      <w:rPr>
        <w:rFonts w:ascii="FrankRuehl" w:hAnsi="FrankRuehl" w:cs="FrankRuehl"/>
        <w:color w:val="000000"/>
      </w:rPr>
      <w:pict w14:anchorId="0761B6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DBD17" w14:textId="77777777" w:rsidR="00DB2302" w:rsidRDefault="00DB2302" w:rsidP="00185268">
      <w:r>
        <w:separator/>
      </w:r>
    </w:p>
  </w:footnote>
  <w:footnote w:type="continuationSeparator" w:id="0">
    <w:p w14:paraId="0621244C" w14:textId="77777777" w:rsidR="00DB2302" w:rsidRDefault="00DB2302" w:rsidP="00185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63E0D" w14:textId="77777777" w:rsidR="00C263B7" w:rsidRPr="008D779D" w:rsidRDefault="008D779D" w:rsidP="008D779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3951-03-22</w:t>
    </w:r>
    <w:r>
      <w:rPr>
        <w:rFonts w:ascii="David" w:hAnsi="David"/>
        <w:color w:val="000000"/>
        <w:sz w:val="22"/>
        <w:szCs w:val="22"/>
        <w:rtl/>
      </w:rPr>
      <w:tab/>
      <w:t xml:space="preserve"> מדינת ישראל נ' חמיס אבו נאב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93835" w14:textId="77777777" w:rsidR="00C263B7" w:rsidRPr="008D779D" w:rsidRDefault="008D779D" w:rsidP="008D779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3951-03-22</w:t>
    </w:r>
    <w:r>
      <w:rPr>
        <w:rFonts w:ascii="David" w:hAnsi="David"/>
        <w:color w:val="000000"/>
        <w:sz w:val="22"/>
        <w:szCs w:val="22"/>
        <w:rtl/>
      </w:rPr>
      <w:tab/>
      <w:t xml:space="preserve"> מדינת ישראל נ' חמיס אבו נאב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52235"/>
    <w:rsid w:val="000310E4"/>
    <w:rsid w:val="0005607D"/>
    <w:rsid w:val="00064F76"/>
    <w:rsid w:val="00185268"/>
    <w:rsid w:val="00452235"/>
    <w:rsid w:val="005C199A"/>
    <w:rsid w:val="005D58AE"/>
    <w:rsid w:val="005F5AF8"/>
    <w:rsid w:val="007566CD"/>
    <w:rsid w:val="007B6CF3"/>
    <w:rsid w:val="008D779D"/>
    <w:rsid w:val="009A4E4C"/>
    <w:rsid w:val="009B7800"/>
    <w:rsid w:val="00A706F0"/>
    <w:rsid w:val="00AF1E72"/>
    <w:rsid w:val="00B1039C"/>
    <w:rsid w:val="00B65809"/>
    <w:rsid w:val="00C263B7"/>
    <w:rsid w:val="00DB23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AAC886"/>
  <w15:chartTrackingRefBased/>
  <w15:docId w15:val="{D7D7AD84-B5DB-4809-A96A-D0C2C93A4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5223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52235"/>
    <w:pPr>
      <w:tabs>
        <w:tab w:val="center" w:pos="4153"/>
        <w:tab w:val="right" w:pos="8306"/>
      </w:tabs>
    </w:pPr>
  </w:style>
  <w:style w:type="character" w:customStyle="1" w:styleId="a4">
    <w:name w:val="כותרת עליונה תו"/>
    <w:link w:val="a3"/>
    <w:rsid w:val="00452235"/>
    <w:rPr>
      <w:rFonts w:ascii="Times New Roman" w:eastAsia="Times New Roman" w:hAnsi="Times New Roman" w:cs="David"/>
      <w:sz w:val="24"/>
      <w:szCs w:val="24"/>
    </w:rPr>
  </w:style>
  <w:style w:type="paragraph" w:styleId="a5">
    <w:name w:val="footer"/>
    <w:basedOn w:val="a"/>
    <w:link w:val="a6"/>
    <w:rsid w:val="00452235"/>
    <w:pPr>
      <w:tabs>
        <w:tab w:val="center" w:pos="4153"/>
        <w:tab w:val="right" w:pos="8306"/>
      </w:tabs>
    </w:pPr>
  </w:style>
  <w:style w:type="character" w:customStyle="1" w:styleId="a6">
    <w:name w:val="כותרת תחתונה תו"/>
    <w:link w:val="a5"/>
    <w:rsid w:val="00452235"/>
    <w:rPr>
      <w:rFonts w:ascii="Times New Roman" w:eastAsia="Times New Roman" w:hAnsi="Times New Roman" w:cs="David"/>
      <w:sz w:val="24"/>
      <w:szCs w:val="24"/>
    </w:rPr>
  </w:style>
  <w:style w:type="table" w:styleId="a7">
    <w:name w:val="Table Grid"/>
    <w:basedOn w:val="a1"/>
    <w:rsid w:val="0045223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52235"/>
  </w:style>
  <w:style w:type="character" w:styleId="Hyperlink">
    <w:name w:val="Hyperlink"/>
    <w:rsid w:val="00C263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law/70301/244" TargetMode="External"/><Relationship Id="rId18" Type="http://schemas.openxmlformats.org/officeDocument/2006/relationships/hyperlink" Target="http://www.nevo.co.il/case/25824863"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case/27721185" TargetMode="External"/><Relationship Id="rId7" Type="http://schemas.openxmlformats.org/officeDocument/2006/relationships/hyperlink" Target="http://www.nevo.co.il/law/70301/29"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7171364"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27309272" TargetMode="External"/><Relationship Id="rId20" Type="http://schemas.openxmlformats.org/officeDocument/2006/relationships/hyperlink" Target="http://www.nevo.co.il/case/26905927"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9"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26905927"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144.b" TargetMode="External"/><Relationship Id="rId19" Type="http://schemas.openxmlformats.org/officeDocument/2006/relationships/hyperlink" Target="http://www.nevo.co.il/case/27925239" TargetMode="External"/><Relationship Id="rId4" Type="http://schemas.openxmlformats.org/officeDocument/2006/relationships/footnotes" Target="footnotes.xml"/><Relationship Id="rId9" Type="http://schemas.openxmlformats.org/officeDocument/2006/relationships/hyperlink" Target="http://www.nevo.co.il/law/70301/244" TargetMode="External"/><Relationship Id="rId14" Type="http://schemas.openxmlformats.org/officeDocument/2006/relationships/hyperlink" Target="http://www.nevo.co.il/law/70301"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2291</Words>
  <Characters>11457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13721</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3932272</vt:i4>
      </vt:variant>
      <vt:variant>
        <vt:i4>45</vt:i4>
      </vt:variant>
      <vt:variant>
        <vt:i4>0</vt:i4>
      </vt:variant>
      <vt:variant>
        <vt:i4>5</vt:i4>
      </vt:variant>
      <vt:variant>
        <vt:lpwstr>http://www.nevo.co.il/case/27721185</vt:lpwstr>
      </vt:variant>
      <vt:variant>
        <vt:lpwstr/>
      </vt:variant>
      <vt:variant>
        <vt:i4>3932283</vt:i4>
      </vt:variant>
      <vt:variant>
        <vt:i4>42</vt:i4>
      </vt:variant>
      <vt:variant>
        <vt:i4>0</vt:i4>
      </vt:variant>
      <vt:variant>
        <vt:i4>5</vt:i4>
      </vt:variant>
      <vt:variant>
        <vt:lpwstr>http://www.nevo.co.il/case/26905927</vt:lpwstr>
      </vt:variant>
      <vt:variant>
        <vt:lpwstr/>
      </vt:variant>
      <vt:variant>
        <vt:i4>3997811</vt:i4>
      </vt:variant>
      <vt:variant>
        <vt:i4>39</vt:i4>
      </vt:variant>
      <vt:variant>
        <vt:i4>0</vt:i4>
      </vt:variant>
      <vt:variant>
        <vt:i4>5</vt:i4>
      </vt:variant>
      <vt:variant>
        <vt:lpwstr>http://www.nevo.co.il/case/27925239</vt:lpwstr>
      </vt:variant>
      <vt:variant>
        <vt:lpwstr/>
      </vt:variant>
      <vt:variant>
        <vt:i4>3670139</vt:i4>
      </vt:variant>
      <vt:variant>
        <vt:i4>36</vt:i4>
      </vt:variant>
      <vt:variant>
        <vt:i4>0</vt:i4>
      </vt:variant>
      <vt:variant>
        <vt:i4>5</vt:i4>
      </vt:variant>
      <vt:variant>
        <vt:lpwstr>http://www.nevo.co.il/case/25824863</vt:lpwstr>
      </vt:variant>
      <vt:variant>
        <vt:lpwstr/>
      </vt:variant>
      <vt:variant>
        <vt:i4>3407991</vt:i4>
      </vt:variant>
      <vt:variant>
        <vt:i4>33</vt:i4>
      </vt:variant>
      <vt:variant>
        <vt:i4>0</vt:i4>
      </vt:variant>
      <vt:variant>
        <vt:i4>5</vt:i4>
      </vt:variant>
      <vt:variant>
        <vt:lpwstr>http://www.nevo.co.il/case/27171364</vt:lpwstr>
      </vt:variant>
      <vt:variant>
        <vt:lpwstr/>
      </vt:variant>
      <vt:variant>
        <vt:i4>4128881</vt:i4>
      </vt:variant>
      <vt:variant>
        <vt:i4>30</vt:i4>
      </vt:variant>
      <vt:variant>
        <vt:i4>0</vt:i4>
      </vt:variant>
      <vt:variant>
        <vt:i4>5</vt:i4>
      </vt:variant>
      <vt:variant>
        <vt:lpwstr>http://www.nevo.co.il/case/27309272</vt:lpwstr>
      </vt:variant>
      <vt:variant>
        <vt:lpwstr/>
      </vt:variant>
      <vt:variant>
        <vt:i4>3932283</vt:i4>
      </vt:variant>
      <vt:variant>
        <vt:i4>27</vt:i4>
      </vt:variant>
      <vt:variant>
        <vt:i4>0</vt:i4>
      </vt:variant>
      <vt:variant>
        <vt:i4>5</vt:i4>
      </vt:variant>
      <vt:variant>
        <vt:lpwstr>http://www.nevo.co.il/case/26905927</vt:lpwstr>
      </vt:variant>
      <vt:variant>
        <vt:lpwstr/>
      </vt:variant>
      <vt:variant>
        <vt:i4>7995492</vt:i4>
      </vt:variant>
      <vt:variant>
        <vt:i4>24</vt:i4>
      </vt:variant>
      <vt:variant>
        <vt:i4>0</vt:i4>
      </vt:variant>
      <vt:variant>
        <vt:i4>5</vt:i4>
      </vt:variant>
      <vt:variant>
        <vt:lpwstr>http://www.nevo.co.il/law/70301</vt:lpwstr>
      </vt:variant>
      <vt:variant>
        <vt:lpwstr/>
      </vt:variant>
      <vt:variant>
        <vt:i4>6357095</vt:i4>
      </vt:variant>
      <vt:variant>
        <vt:i4>21</vt:i4>
      </vt:variant>
      <vt:variant>
        <vt:i4>0</vt:i4>
      </vt:variant>
      <vt:variant>
        <vt:i4>5</vt:i4>
      </vt:variant>
      <vt:variant>
        <vt:lpwstr>http://www.nevo.co.il/law/70301/244</vt:lpwstr>
      </vt:variant>
      <vt:variant>
        <vt:lpwstr/>
      </vt:variant>
      <vt:variant>
        <vt:i4>7995492</vt:i4>
      </vt:variant>
      <vt:variant>
        <vt:i4>18</vt:i4>
      </vt:variant>
      <vt:variant>
        <vt:i4>0</vt:i4>
      </vt:variant>
      <vt:variant>
        <vt:i4>5</vt:i4>
      </vt:variant>
      <vt:variant>
        <vt:lpwstr>http://www.nevo.co.il/law/70301</vt:lpwstr>
      </vt:variant>
      <vt:variant>
        <vt:lpwstr/>
      </vt:variant>
      <vt:variant>
        <vt:i4>7077991</vt:i4>
      </vt:variant>
      <vt:variant>
        <vt:i4>15</vt:i4>
      </vt:variant>
      <vt:variant>
        <vt:i4>0</vt:i4>
      </vt:variant>
      <vt:variant>
        <vt:i4>5</vt:i4>
      </vt:variant>
      <vt:variant>
        <vt:lpwstr>http://www.nevo.co.il/law/70301/29</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6357095</vt:i4>
      </vt:variant>
      <vt:variant>
        <vt:i4>9</vt:i4>
      </vt:variant>
      <vt:variant>
        <vt:i4>0</vt:i4>
      </vt:variant>
      <vt:variant>
        <vt:i4>5</vt:i4>
      </vt:variant>
      <vt:variant>
        <vt:lpwstr>http://www.nevo.co.il/law/70301/244</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2025-01-19T16:51:00Z</dcterms:created>
  <dcterms:modified xsi:type="dcterms:W3CDTF">2025-01-19T16:51:00Z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3951</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חמיס אבו נאב</vt:lpwstr>
  </property>
  <property fmtid="{D5CDD505-2E9C-101B-9397-08002B2CF9AE}" pid="10" name="JUDGE">
    <vt:lpwstr>אברהם רובין</vt:lpwstr>
  </property>
  <property fmtid="{D5CDD505-2E9C-101B-9397-08002B2CF9AE}" pid="11" name="CITY">
    <vt:lpwstr>י-ם</vt:lpwstr>
  </property>
  <property fmtid="{D5CDD505-2E9C-101B-9397-08002B2CF9AE}" pid="12" name="DATE">
    <vt:lpwstr>20230206</vt:lpwstr>
  </property>
  <property fmtid="{D5CDD505-2E9C-101B-9397-08002B2CF9AE}" pid="13" name="TYPE_N_DATE">
    <vt:lpwstr>39020230206</vt:lpwstr>
  </property>
  <property fmtid="{D5CDD505-2E9C-101B-9397-08002B2CF9AE}" pid="14" name="WORDNUMPAGES">
    <vt:lpwstr>7</vt:lpwstr>
  </property>
  <property fmtid="{D5CDD505-2E9C-101B-9397-08002B2CF9AE}" pid="15" name="TYPE_ABS_DATE">
    <vt:lpwstr>390020230206</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26905927:2;27309272;27171364;25824863;27925239;27721185</vt:lpwstr>
  </property>
  <property fmtid="{D5CDD505-2E9C-101B-9397-08002B2CF9AE}" pid="36" name="LAWLISTTMP1">
    <vt:lpwstr>70301/144.b;029;244</vt:lpwstr>
  </property>
</Properties>
</file>