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923"/>
        <w:gridCol w:w="3219"/>
        <w:gridCol w:w="989"/>
        <w:gridCol w:w="3689"/>
        <w:gridCol w:w="41"/>
      </w:tblGrid>
      <w:tr w:rsidR="00871830" w:rsidRPr="005B0B60" w14:paraId="1594E2FA" w14:textId="77777777" w:rsidTr="008306E5">
        <w:trPr>
          <w:trHeight w:hRule="exact" w:val="418"/>
          <w:jc w:val="center"/>
        </w:trPr>
        <w:tc>
          <w:tcPr>
            <w:tcW w:w="8861" w:type="dxa"/>
            <w:gridSpan w:val="5"/>
          </w:tcPr>
          <w:p w14:paraId="42501726" w14:textId="77777777" w:rsidR="00871830" w:rsidRPr="005B0B60" w:rsidRDefault="00871830" w:rsidP="00094007">
            <w:pPr>
              <w:pStyle w:val="a3"/>
              <w:jc w:val="center"/>
              <w:rPr>
                <w:rFonts w:ascii="Tahoma" w:hAnsi="Tahoma" w:cs="Tahoma"/>
                <w:color w:val="000080"/>
                <w:rtl/>
              </w:rPr>
            </w:pPr>
            <w:r w:rsidRPr="005B0B60">
              <w:rPr>
                <w:rFonts w:ascii="Tahoma" w:hAnsi="Tahoma" w:cs="Tahoma"/>
                <w:b/>
                <w:bCs/>
                <w:color w:val="000080"/>
                <w:rtl/>
              </w:rPr>
              <w:t>בית המשפט המחוזי בחיפה</w:t>
            </w:r>
          </w:p>
        </w:tc>
      </w:tr>
      <w:tr w:rsidR="00871830" w:rsidRPr="005B0B60" w14:paraId="0207C554" w14:textId="77777777" w:rsidTr="008306E5">
        <w:trPr>
          <w:trHeight w:val="337"/>
          <w:jc w:val="center"/>
        </w:trPr>
        <w:tc>
          <w:tcPr>
            <w:tcW w:w="5131" w:type="dxa"/>
            <w:gridSpan w:val="3"/>
          </w:tcPr>
          <w:p w14:paraId="0BD43FF4" w14:textId="77777777" w:rsidR="00871830" w:rsidRPr="005B0B60" w:rsidRDefault="00871830" w:rsidP="00094007">
            <w:pPr>
              <w:rPr>
                <w:rFonts w:cs="FrankRuehl"/>
                <w:sz w:val="28"/>
                <w:szCs w:val="28"/>
                <w:rtl/>
              </w:rPr>
            </w:pPr>
            <w:r w:rsidRPr="005B0B60">
              <w:rPr>
                <w:rFonts w:cs="FrankRuehl"/>
                <w:sz w:val="28"/>
                <w:szCs w:val="28"/>
                <w:rtl/>
              </w:rPr>
              <w:t>ת"פ</w:t>
            </w:r>
            <w:r w:rsidRPr="005B0B60">
              <w:rPr>
                <w:rFonts w:cs="FrankRuehl" w:hint="cs"/>
                <w:sz w:val="28"/>
                <w:szCs w:val="28"/>
                <w:rtl/>
              </w:rPr>
              <w:t xml:space="preserve"> </w:t>
            </w:r>
            <w:r w:rsidRPr="005B0B60">
              <w:rPr>
                <w:rFonts w:cs="FrankRuehl"/>
                <w:sz w:val="28"/>
                <w:szCs w:val="28"/>
                <w:rtl/>
              </w:rPr>
              <w:t>43581-03-22</w:t>
            </w:r>
            <w:r w:rsidRPr="005B0B60">
              <w:rPr>
                <w:rFonts w:cs="FrankRuehl" w:hint="cs"/>
                <w:sz w:val="28"/>
                <w:szCs w:val="28"/>
                <w:rtl/>
              </w:rPr>
              <w:t xml:space="preserve"> </w:t>
            </w:r>
            <w:r w:rsidRPr="005B0B60">
              <w:rPr>
                <w:rFonts w:cs="FrankRuehl"/>
                <w:sz w:val="28"/>
                <w:szCs w:val="28"/>
                <w:rtl/>
              </w:rPr>
              <w:t>מדינת ישראל נ' נג'מי(עציר)</w:t>
            </w:r>
          </w:p>
          <w:p w14:paraId="68A630C8" w14:textId="77777777" w:rsidR="00871830" w:rsidRPr="005B0B60" w:rsidRDefault="00871830" w:rsidP="00094007">
            <w:pPr>
              <w:pStyle w:val="a3"/>
              <w:rPr>
                <w:rFonts w:cs="FrankRuehl"/>
                <w:sz w:val="28"/>
                <w:szCs w:val="28"/>
                <w:rtl/>
              </w:rPr>
            </w:pPr>
          </w:p>
        </w:tc>
        <w:tc>
          <w:tcPr>
            <w:tcW w:w="3730" w:type="dxa"/>
            <w:gridSpan w:val="2"/>
          </w:tcPr>
          <w:p w14:paraId="4AAA4AE3" w14:textId="77777777" w:rsidR="00871830" w:rsidRPr="005B0B60" w:rsidRDefault="00871830" w:rsidP="00094007">
            <w:pPr>
              <w:pStyle w:val="a3"/>
              <w:jc w:val="right"/>
              <w:rPr>
                <w:rFonts w:cs="FrankRuehl"/>
                <w:sz w:val="28"/>
                <w:szCs w:val="28"/>
                <w:rtl/>
              </w:rPr>
            </w:pPr>
          </w:p>
        </w:tc>
      </w:tr>
      <w:tr w:rsidR="00871830" w:rsidRPr="005B0B60" w14:paraId="12412E6D" w14:textId="77777777" w:rsidTr="008306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295"/>
          <w:jc w:val="center"/>
        </w:trPr>
        <w:tc>
          <w:tcPr>
            <w:tcW w:w="923" w:type="dxa"/>
            <w:tcBorders>
              <w:top w:val="nil"/>
              <w:left w:val="nil"/>
              <w:bottom w:val="nil"/>
              <w:right w:val="nil"/>
            </w:tcBorders>
            <w:shd w:val="clear" w:color="auto" w:fill="auto"/>
          </w:tcPr>
          <w:p w14:paraId="7F29D957" w14:textId="77777777" w:rsidR="00871830" w:rsidRPr="005B0B60" w:rsidRDefault="00871830" w:rsidP="00871830">
            <w:pPr>
              <w:jc w:val="both"/>
              <w:rPr>
                <w:rFonts w:ascii="David" w:hAnsi="David"/>
                <w:sz w:val="26"/>
                <w:szCs w:val="26"/>
              </w:rPr>
            </w:pPr>
            <w:r w:rsidRPr="005B0B60">
              <w:rPr>
                <w:rFonts w:hint="cs"/>
                <w:rtl/>
              </w:rPr>
              <w:t xml:space="preserve"> </w:t>
            </w:r>
            <w:r w:rsidRPr="005B0B60">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0383D6CC" w14:textId="77777777" w:rsidR="00871830" w:rsidRPr="005B0B60" w:rsidRDefault="00871830" w:rsidP="00871830">
            <w:pPr>
              <w:jc w:val="both"/>
              <w:rPr>
                <w:rFonts w:ascii="David" w:hAnsi="David"/>
                <w:b/>
                <w:bCs/>
                <w:sz w:val="26"/>
                <w:szCs w:val="26"/>
                <w:rtl/>
              </w:rPr>
            </w:pPr>
            <w:r w:rsidRPr="005B0B60">
              <w:rPr>
                <w:rFonts w:ascii="David" w:hAnsi="David"/>
                <w:b/>
                <w:bCs/>
                <w:sz w:val="26"/>
                <w:szCs w:val="26"/>
                <w:rtl/>
              </w:rPr>
              <w:t>כבוד השופטת, סגנית הנשיא  דיאנה סלע</w:t>
            </w:r>
          </w:p>
          <w:p w14:paraId="73D401C9" w14:textId="77777777" w:rsidR="00871830" w:rsidRPr="005B0B60" w:rsidRDefault="00871830" w:rsidP="00871830">
            <w:pPr>
              <w:jc w:val="both"/>
              <w:rPr>
                <w:rFonts w:ascii="David" w:hAnsi="David"/>
                <w:sz w:val="26"/>
                <w:szCs w:val="26"/>
                <w:rtl/>
              </w:rPr>
            </w:pPr>
          </w:p>
          <w:p w14:paraId="27556645" w14:textId="77777777" w:rsidR="00871830" w:rsidRPr="005B0B60" w:rsidRDefault="00871830" w:rsidP="00871830">
            <w:pPr>
              <w:jc w:val="both"/>
              <w:rPr>
                <w:rFonts w:ascii="David" w:hAnsi="David"/>
                <w:sz w:val="38"/>
                <w:szCs w:val="38"/>
              </w:rPr>
            </w:pPr>
          </w:p>
        </w:tc>
      </w:tr>
      <w:tr w:rsidR="00871830" w:rsidRPr="005B0B60" w14:paraId="40018AEC" w14:textId="77777777" w:rsidTr="008306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699EB867" w14:textId="77777777" w:rsidR="00871830" w:rsidRPr="005B0B60" w:rsidRDefault="00871830" w:rsidP="00871830">
            <w:pPr>
              <w:jc w:val="both"/>
              <w:rPr>
                <w:rFonts w:ascii="David" w:hAnsi="David"/>
                <w:sz w:val="26"/>
                <w:szCs w:val="26"/>
              </w:rPr>
            </w:pPr>
            <w:bookmarkStart w:id="0" w:name="FirstAppellant"/>
            <w:bookmarkStart w:id="1" w:name="LastJudge"/>
            <w:bookmarkEnd w:id="1"/>
            <w:r w:rsidRPr="005B0B60">
              <w:rPr>
                <w:rFonts w:ascii="David" w:hAnsi="David"/>
                <w:sz w:val="26"/>
                <w:szCs w:val="26"/>
                <w:rtl/>
              </w:rPr>
              <w:t>בעניין:</w:t>
            </w:r>
          </w:p>
        </w:tc>
        <w:tc>
          <w:tcPr>
            <w:tcW w:w="3219" w:type="dxa"/>
            <w:tcBorders>
              <w:top w:val="nil"/>
              <w:left w:val="nil"/>
              <w:bottom w:val="nil"/>
              <w:right w:val="nil"/>
            </w:tcBorders>
            <w:shd w:val="clear" w:color="auto" w:fill="auto"/>
          </w:tcPr>
          <w:p w14:paraId="09153916" w14:textId="77777777" w:rsidR="00871830" w:rsidRPr="005B0B60" w:rsidRDefault="00871830" w:rsidP="00871830">
            <w:pPr>
              <w:suppressLineNumbers/>
              <w:jc w:val="both"/>
            </w:pPr>
            <w:r w:rsidRPr="005B0B60">
              <w:rPr>
                <w:rFonts w:ascii="Arial" w:hAnsi="Arial" w:hint="cs"/>
                <w:b/>
                <w:bCs/>
                <w:sz w:val="26"/>
                <w:szCs w:val="26"/>
                <w:rtl/>
              </w:rPr>
              <w:t>ה</w:t>
            </w:r>
            <w:r w:rsidRPr="005B0B60">
              <w:rPr>
                <w:rFonts w:ascii="Arial" w:hAnsi="Arial"/>
                <w:b/>
                <w:bCs/>
                <w:sz w:val="26"/>
                <w:szCs w:val="26"/>
                <w:rtl/>
              </w:rPr>
              <w:t>מאשימה</w:t>
            </w:r>
          </w:p>
          <w:p w14:paraId="0E3BC987" w14:textId="77777777" w:rsidR="00871830" w:rsidRPr="005B0B60" w:rsidRDefault="00871830" w:rsidP="00871830">
            <w:pPr>
              <w:jc w:val="both"/>
              <w:rPr>
                <w:rFonts w:ascii="David" w:hAnsi="David"/>
                <w:sz w:val="26"/>
                <w:szCs w:val="26"/>
              </w:rPr>
            </w:pPr>
          </w:p>
        </w:tc>
        <w:tc>
          <w:tcPr>
            <w:tcW w:w="4678" w:type="dxa"/>
            <w:gridSpan w:val="2"/>
            <w:tcBorders>
              <w:top w:val="nil"/>
              <w:left w:val="nil"/>
              <w:bottom w:val="nil"/>
              <w:right w:val="nil"/>
            </w:tcBorders>
            <w:shd w:val="clear" w:color="auto" w:fill="auto"/>
            <w:vAlign w:val="center"/>
          </w:tcPr>
          <w:p w14:paraId="26AEECED" w14:textId="77777777" w:rsidR="00871830" w:rsidRPr="005B0B60" w:rsidRDefault="00871830" w:rsidP="00871830">
            <w:pPr>
              <w:suppressLineNumbers/>
              <w:jc w:val="both"/>
            </w:pPr>
            <w:r w:rsidRPr="005B0B60">
              <w:rPr>
                <w:rFonts w:ascii="Arial" w:hAnsi="Arial"/>
                <w:b/>
                <w:bCs/>
                <w:sz w:val="26"/>
                <w:szCs w:val="26"/>
                <w:rtl/>
              </w:rPr>
              <w:t>מדינת ישראל</w:t>
            </w:r>
          </w:p>
          <w:p w14:paraId="1FC4125F" w14:textId="77777777" w:rsidR="00871830" w:rsidRPr="005B0B60" w:rsidRDefault="00871830" w:rsidP="00871830">
            <w:pPr>
              <w:jc w:val="both"/>
              <w:rPr>
                <w:rFonts w:ascii="David" w:hAnsi="David"/>
                <w:sz w:val="26"/>
                <w:szCs w:val="26"/>
              </w:rPr>
            </w:pPr>
          </w:p>
        </w:tc>
      </w:tr>
      <w:bookmarkEnd w:id="0"/>
      <w:tr w:rsidR="00871830" w:rsidRPr="005B0B60" w14:paraId="2064F8A5" w14:textId="77777777" w:rsidTr="008306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163B535B" w14:textId="77777777" w:rsidR="00871830" w:rsidRPr="005B0B60" w:rsidRDefault="00871830" w:rsidP="00871830">
            <w:pPr>
              <w:jc w:val="both"/>
              <w:rPr>
                <w:rFonts w:ascii="David" w:hAnsi="David"/>
                <w:sz w:val="26"/>
                <w:szCs w:val="26"/>
                <w:rtl/>
              </w:rPr>
            </w:pPr>
          </w:p>
        </w:tc>
        <w:tc>
          <w:tcPr>
            <w:tcW w:w="7897" w:type="dxa"/>
            <w:gridSpan w:val="3"/>
            <w:tcBorders>
              <w:top w:val="nil"/>
              <w:left w:val="nil"/>
              <w:bottom w:val="nil"/>
              <w:right w:val="nil"/>
            </w:tcBorders>
            <w:shd w:val="clear" w:color="auto" w:fill="auto"/>
          </w:tcPr>
          <w:p w14:paraId="7CF998CE" w14:textId="77777777" w:rsidR="00871830" w:rsidRPr="005B0B60" w:rsidRDefault="00871830" w:rsidP="00871830">
            <w:pPr>
              <w:jc w:val="both"/>
              <w:rPr>
                <w:rFonts w:ascii="David" w:hAnsi="David"/>
                <w:b/>
                <w:bCs/>
                <w:sz w:val="26"/>
                <w:szCs w:val="26"/>
                <w:rtl/>
              </w:rPr>
            </w:pPr>
          </w:p>
          <w:p w14:paraId="0E68135F" w14:textId="77777777" w:rsidR="00871830" w:rsidRPr="005B0B60" w:rsidRDefault="00871830" w:rsidP="00871830">
            <w:pPr>
              <w:jc w:val="center"/>
              <w:rPr>
                <w:rFonts w:ascii="David" w:hAnsi="David"/>
                <w:b/>
                <w:bCs/>
                <w:sz w:val="26"/>
                <w:szCs w:val="26"/>
                <w:rtl/>
              </w:rPr>
            </w:pPr>
            <w:r w:rsidRPr="005B0B60">
              <w:rPr>
                <w:rFonts w:ascii="David" w:hAnsi="David"/>
                <w:b/>
                <w:bCs/>
                <w:sz w:val="26"/>
                <w:szCs w:val="26"/>
                <w:rtl/>
              </w:rPr>
              <w:t>נגד</w:t>
            </w:r>
          </w:p>
          <w:p w14:paraId="49BBD2CB" w14:textId="77777777" w:rsidR="00871830" w:rsidRPr="005B0B60" w:rsidRDefault="00871830" w:rsidP="00871830">
            <w:pPr>
              <w:jc w:val="center"/>
              <w:rPr>
                <w:rFonts w:ascii="David" w:hAnsi="David"/>
                <w:b/>
                <w:bCs/>
                <w:sz w:val="26"/>
                <w:szCs w:val="26"/>
                <w:rtl/>
              </w:rPr>
            </w:pPr>
          </w:p>
          <w:p w14:paraId="459280D3" w14:textId="77777777" w:rsidR="00871830" w:rsidRPr="005B0B60" w:rsidRDefault="00871830" w:rsidP="00871830">
            <w:pPr>
              <w:jc w:val="both"/>
              <w:rPr>
                <w:rFonts w:ascii="David" w:hAnsi="David"/>
                <w:sz w:val="26"/>
                <w:szCs w:val="26"/>
              </w:rPr>
            </w:pPr>
          </w:p>
        </w:tc>
      </w:tr>
      <w:tr w:rsidR="00871830" w:rsidRPr="005B0B60" w14:paraId="75C30F77" w14:textId="77777777" w:rsidTr="008306E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gridAfter w:val="1"/>
          <w:wAfter w:w="41" w:type="dxa"/>
          <w:trHeight w:val="355"/>
          <w:jc w:val="center"/>
        </w:trPr>
        <w:tc>
          <w:tcPr>
            <w:tcW w:w="923" w:type="dxa"/>
            <w:tcBorders>
              <w:top w:val="nil"/>
              <w:left w:val="nil"/>
              <w:bottom w:val="nil"/>
              <w:right w:val="nil"/>
            </w:tcBorders>
            <w:shd w:val="clear" w:color="auto" w:fill="auto"/>
          </w:tcPr>
          <w:p w14:paraId="5CA38B2F" w14:textId="77777777" w:rsidR="00871830" w:rsidRPr="005B0B60" w:rsidRDefault="00871830" w:rsidP="00871830">
            <w:pPr>
              <w:jc w:val="both"/>
              <w:rPr>
                <w:rFonts w:ascii="David" w:hAnsi="David"/>
                <w:sz w:val="26"/>
                <w:szCs w:val="26"/>
                <w:rtl/>
              </w:rPr>
            </w:pPr>
          </w:p>
        </w:tc>
        <w:tc>
          <w:tcPr>
            <w:tcW w:w="3219" w:type="dxa"/>
            <w:tcBorders>
              <w:top w:val="nil"/>
              <w:left w:val="nil"/>
              <w:bottom w:val="nil"/>
              <w:right w:val="nil"/>
            </w:tcBorders>
            <w:shd w:val="clear" w:color="auto" w:fill="auto"/>
          </w:tcPr>
          <w:p w14:paraId="091F8197" w14:textId="77777777" w:rsidR="00871830" w:rsidRPr="005B0B60" w:rsidRDefault="00871830" w:rsidP="00871830">
            <w:pPr>
              <w:jc w:val="both"/>
              <w:rPr>
                <w:rFonts w:ascii="Arial" w:hAnsi="Arial"/>
                <w:b/>
                <w:bCs/>
                <w:sz w:val="26"/>
                <w:szCs w:val="26"/>
                <w:rtl/>
              </w:rPr>
            </w:pPr>
            <w:r w:rsidRPr="005B0B60">
              <w:rPr>
                <w:rFonts w:ascii="Arial" w:hAnsi="Arial"/>
                <w:b/>
                <w:bCs/>
                <w:sz w:val="26"/>
                <w:szCs w:val="26"/>
                <w:rtl/>
              </w:rPr>
              <w:t>הנאש</w:t>
            </w:r>
            <w:r w:rsidRPr="005B0B60">
              <w:rPr>
                <w:rFonts w:ascii="Arial" w:hAnsi="Arial" w:hint="cs"/>
                <w:b/>
                <w:bCs/>
                <w:sz w:val="26"/>
                <w:szCs w:val="26"/>
                <w:rtl/>
              </w:rPr>
              <w:t>ם</w:t>
            </w:r>
          </w:p>
        </w:tc>
        <w:tc>
          <w:tcPr>
            <w:tcW w:w="4678" w:type="dxa"/>
            <w:gridSpan w:val="2"/>
            <w:tcBorders>
              <w:top w:val="nil"/>
              <w:left w:val="nil"/>
              <w:bottom w:val="nil"/>
              <w:right w:val="nil"/>
            </w:tcBorders>
            <w:shd w:val="clear" w:color="auto" w:fill="auto"/>
            <w:vAlign w:val="center"/>
          </w:tcPr>
          <w:p w14:paraId="18BB2678" w14:textId="77777777" w:rsidR="00871830" w:rsidRPr="005B0B60" w:rsidRDefault="00871830" w:rsidP="00871830">
            <w:pPr>
              <w:suppressLineNumbers/>
              <w:jc w:val="both"/>
            </w:pPr>
            <w:r w:rsidRPr="005B0B60">
              <w:rPr>
                <w:rFonts w:ascii="Arial" w:hAnsi="Arial"/>
                <w:b/>
                <w:bCs/>
                <w:sz w:val="26"/>
                <w:szCs w:val="26"/>
                <w:rtl/>
              </w:rPr>
              <w:t>פאדי נג'מי (עציר)</w:t>
            </w:r>
          </w:p>
          <w:p w14:paraId="5EBF8E4D" w14:textId="77777777" w:rsidR="00871830" w:rsidRPr="005B0B60" w:rsidRDefault="00871830" w:rsidP="00871830">
            <w:pPr>
              <w:jc w:val="both"/>
              <w:rPr>
                <w:rFonts w:ascii="David" w:hAnsi="David"/>
                <w:sz w:val="26"/>
                <w:szCs w:val="26"/>
              </w:rPr>
            </w:pPr>
          </w:p>
        </w:tc>
      </w:tr>
    </w:tbl>
    <w:p w14:paraId="57352CDC" w14:textId="77777777" w:rsidR="008306E5" w:rsidRDefault="008306E5">
      <w:pPr>
        <w:rPr>
          <w:rtl/>
        </w:rPr>
      </w:pPr>
    </w:p>
    <w:p w14:paraId="2E06CBAA" w14:textId="77777777" w:rsidR="008306E5" w:rsidRPr="008306E5" w:rsidRDefault="008306E5" w:rsidP="008306E5">
      <w:pPr>
        <w:spacing w:after="120" w:line="240" w:lineRule="exact"/>
        <w:ind w:left="283" w:hanging="283"/>
        <w:jc w:val="both"/>
        <w:rPr>
          <w:rFonts w:ascii="FrankRuehl" w:hAnsi="FrankRuehl" w:cs="FrankRuehl"/>
          <w:rtl/>
        </w:rPr>
      </w:pPr>
    </w:p>
    <w:p w14:paraId="55C00722" w14:textId="77777777" w:rsidR="00E947EC" w:rsidRPr="00E947EC" w:rsidRDefault="00E947EC" w:rsidP="00E947EC">
      <w:pPr>
        <w:spacing w:before="120" w:after="120" w:line="240" w:lineRule="exact"/>
        <w:ind w:left="283" w:hanging="283"/>
        <w:jc w:val="both"/>
        <w:rPr>
          <w:rFonts w:ascii="FrankRuehl" w:hAnsi="FrankRuehl" w:cs="FrankRuehl"/>
          <w:rtl/>
        </w:rPr>
      </w:pPr>
    </w:p>
    <w:p w14:paraId="42DE7D0A" w14:textId="77777777" w:rsidR="00AF3B06" w:rsidRDefault="00AF3B06" w:rsidP="00AF3B06">
      <w:pPr>
        <w:jc w:val="center"/>
        <w:rPr>
          <w:rFonts w:ascii="David" w:hAnsi="David"/>
          <w:sz w:val="32"/>
          <w:szCs w:val="32"/>
          <w:rtl/>
        </w:rPr>
      </w:pPr>
      <w:bookmarkStart w:id="2" w:name="LawTable"/>
      <w:bookmarkEnd w:id="2"/>
    </w:p>
    <w:p w14:paraId="6C6FD2BB" w14:textId="77777777" w:rsidR="00AF3B06" w:rsidRPr="00AF3B06" w:rsidRDefault="00AF3B06" w:rsidP="00AF3B06">
      <w:pPr>
        <w:spacing w:before="120" w:after="120" w:line="240" w:lineRule="exact"/>
        <w:ind w:left="283" w:hanging="283"/>
        <w:jc w:val="both"/>
        <w:rPr>
          <w:rFonts w:ascii="FrankRuehl" w:hAnsi="FrankRuehl" w:cs="FrankRuehl"/>
          <w:rtl/>
        </w:rPr>
      </w:pPr>
    </w:p>
    <w:p w14:paraId="18F43191" w14:textId="77777777" w:rsidR="00AF3B06" w:rsidRPr="00AF3B06" w:rsidRDefault="00AF3B06" w:rsidP="00AF3B06">
      <w:pPr>
        <w:spacing w:before="120" w:after="120" w:line="240" w:lineRule="exact"/>
        <w:ind w:left="283" w:hanging="283"/>
        <w:jc w:val="both"/>
        <w:rPr>
          <w:rFonts w:ascii="FrankRuehl" w:hAnsi="FrankRuehl" w:cs="FrankRuehl"/>
          <w:rtl/>
        </w:rPr>
      </w:pPr>
    </w:p>
    <w:p w14:paraId="6B1E5539" w14:textId="77777777" w:rsidR="00AF3B06" w:rsidRPr="00AF3B06" w:rsidRDefault="00AF3B06" w:rsidP="00AF3B06">
      <w:pPr>
        <w:spacing w:before="120" w:after="120" w:line="240" w:lineRule="exact"/>
        <w:ind w:left="283" w:hanging="283"/>
        <w:jc w:val="both"/>
        <w:rPr>
          <w:rFonts w:ascii="FrankRuehl" w:hAnsi="FrankRuehl" w:cs="FrankRuehl"/>
          <w:rtl/>
        </w:rPr>
      </w:pPr>
      <w:r w:rsidRPr="00AF3B06">
        <w:rPr>
          <w:rFonts w:ascii="FrankRuehl" w:hAnsi="FrankRuehl" w:cs="FrankRuehl"/>
          <w:rtl/>
        </w:rPr>
        <w:t xml:space="preserve">חקיקה שאוזכרה: </w:t>
      </w:r>
    </w:p>
    <w:p w14:paraId="05B86BD7" w14:textId="77777777" w:rsidR="00AF3B06" w:rsidRPr="00AF3B06" w:rsidRDefault="00AF3B06" w:rsidP="00AF3B06">
      <w:pPr>
        <w:spacing w:before="120" w:after="120" w:line="240" w:lineRule="exact"/>
        <w:ind w:left="283" w:hanging="283"/>
        <w:jc w:val="both"/>
        <w:rPr>
          <w:rFonts w:ascii="FrankRuehl" w:hAnsi="FrankRuehl" w:cs="FrankRuehl"/>
          <w:rtl/>
        </w:rPr>
      </w:pPr>
      <w:hyperlink r:id="rId6" w:history="1">
        <w:r w:rsidRPr="00AF3B06">
          <w:rPr>
            <w:rFonts w:ascii="FrankRuehl" w:hAnsi="FrankRuehl" w:cs="FrankRuehl"/>
            <w:color w:val="0000FF"/>
            <w:rtl/>
          </w:rPr>
          <w:t>חוק העונשין, תשל"ז-1977</w:t>
        </w:r>
      </w:hyperlink>
      <w:r w:rsidRPr="00AF3B06">
        <w:rPr>
          <w:rFonts w:ascii="FrankRuehl" w:hAnsi="FrankRuehl" w:cs="FrankRuehl"/>
          <w:rtl/>
        </w:rPr>
        <w:t xml:space="preserve">: סע'  </w:t>
      </w:r>
      <w:hyperlink r:id="rId7" w:history="1">
        <w:r w:rsidRPr="00AF3B06">
          <w:rPr>
            <w:rFonts w:ascii="FrankRuehl" w:hAnsi="FrankRuehl" w:cs="FrankRuehl"/>
            <w:color w:val="0000FF"/>
            <w:rtl/>
          </w:rPr>
          <w:t>40</w:t>
        </w:r>
      </w:hyperlink>
      <w:r w:rsidRPr="00AF3B06">
        <w:rPr>
          <w:rFonts w:ascii="FrankRuehl" w:hAnsi="FrankRuehl" w:cs="FrankRuehl"/>
          <w:rtl/>
        </w:rPr>
        <w:t xml:space="preserve">, </w:t>
      </w:r>
      <w:hyperlink r:id="rId8" w:history="1">
        <w:r w:rsidRPr="00AF3B06">
          <w:rPr>
            <w:rFonts w:ascii="FrankRuehl" w:hAnsi="FrankRuehl" w:cs="FrankRuehl"/>
            <w:color w:val="0000FF"/>
            <w:rtl/>
          </w:rPr>
          <w:t>40ג</w:t>
        </w:r>
      </w:hyperlink>
      <w:r w:rsidRPr="00AF3B06">
        <w:rPr>
          <w:rFonts w:ascii="FrankRuehl" w:hAnsi="FrankRuehl" w:cs="FrankRuehl"/>
          <w:rtl/>
        </w:rPr>
        <w:t xml:space="preserve">, </w:t>
      </w:r>
      <w:hyperlink r:id="rId9" w:history="1">
        <w:r w:rsidRPr="00AF3B06">
          <w:rPr>
            <w:rFonts w:ascii="FrankRuehl" w:hAnsi="FrankRuehl" w:cs="FrankRuehl"/>
            <w:color w:val="0000FF"/>
            <w:rtl/>
          </w:rPr>
          <w:t>40ט</w:t>
        </w:r>
      </w:hyperlink>
      <w:r w:rsidRPr="00AF3B06">
        <w:rPr>
          <w:rFonts w:ascii="FrankRuehl" w:hAnsi="FrankRuehl" w:cs="FrankRuehl"/>
          <w:rtl/>
        </w:rPr>
        <w:t xml:space="preserve">, </w:t>
      </w:r>
      <w:hyperlink r:id="rId10" w:history="1">
        <w:r w:rsidRPr="00AF3B06">
          <w:rPr>
            <w:rFonts w:ascii="FrankRuehl" w:hAnsi="FrankRuehl" w:cs="FrankRuehl"/>
            <w:color w:val="0000FF"/>
            <w:rtl/>
          </w:rPr>
          <w:t>144(א)</w:t>
        </w:r>
      </w:hyperlink>
      <w:r w:rsidRPr="00AF3B06">
        <w:rPr>
          <w:rFonts w:ascii="FrankRuehl" w:hAnsi="FrankRuehl" w:cs="FrankRuehl"/>
          <w:rtl/>
        </w:rPr>
        <w:t xml:space="preserve">, </w:t>
      </w:r>
      <w:hyperlink r:id="rId11" w:history="1">
        <w:r w:rsidRPr="00AF3B06">
          <w:rPr>
            <w:rFonts w:ascii="FrankRuehl" w:hAnsi="FrankRuehl" w:cs="FrankRuehl"/>
            <w:color w:val="0000FF"/>
            <w:rtl/>
          </w:rPr>
          <w:t>340א(ב)(1)</w:t>
        </w:r>
      </w:hyperlink>
    </w:p>
    <w:p w14:paraId="0F0DBB99" w14:textId="77777777" w:rsidR="00AF3B06" w:rsidRPr="00AF3B06" w:rsidRDefault="00AF3B06" w:rsidP="00AF3B06">
      <w:pPr>
        <w:jc w:val="center"/>
        <w:rPr>
          <w:rFonts w:ascii="David" w:hAnsi="David"/>
          <w:sz w:val="32"/>
          <w:szCs w:val="32"/>
          <w:rtl/>
        </w:rPr>
      </w:pPr>
      <w:bookmarkStart w:id="3" w:name="LawTable_End"/>
      <w:bookmarkEnd w:id="3"/>
    </w:p>
    <w:p w14:paraId="1CE2A1AB" w14:textId="77777777" w:rsidR="008306E5" w:rsidRPr="00E947EC" w:rsidRDefault="008306E5" w:rsidP="00E947EC">
      <w:pPr>
        <w:jc w:val="center"/>
        <w:rPr>
          <w:rFonts w:ascii="David" w:hAnsi="David"/>
          <w:sz w:val="32"/>
          <w:szCs w:val="32"/>
          <w:rtl/>
        </w:rPr>
      </w:pPr>
    </w:p>
    <w:p w14:paraId="3D60E2BB" w14:textId="77777777" w:rsidR="008306E5" w:rsidRPr="005B0B60" w:rsidRDefault="008306E5" w:rsidP="005B0B60">
      <w:pPr>
        <w:jc w:val="center"/>
        <w:rPr>
          <w:rFonts w:ascii="David" w:hAnsi="David"/>
          <w:b/>
          <w:bCs/>
          <w:sz w:val="32"/>
          <w:szCs w:val="32"/>
          <w:rtl/>
        </w:rPr>
      </w:pPr>
      <w:bookmarkStart w:id="4" w:name="PsakDin"/>
      <w:r w:rsidRPr="005B0B60">
        <w:rPr>
          <w:rFonts w:ascii="David" w:hAnsi="David"/>
          <w:b/>
          <w:bCs/>
          <w:sz w:val="32"/>
          <w:szCs w:val="32"/>
          <w:rtl/>
        </w:rPr>
        <w:t>גזר דין</w:t>
      </w:r>
    </w:p>
    <w:bookmarkEnd w:id="4"/>
    <w:p w14:paraId="48E6EFF5" w14:textId="77777777" w:rsidR="008306E5" w:rsidRPr="00871830" w:rsidRDefault="008306E5" w:rsidP="00871830">
      <w:pPr>
        <w:jc w:val="center"/>
        <w:rPr>
          <w:rFonts w:ascii="David" w:hAnsi="David"/>
          <w:sz w:val="32"/>
          <w:szCs w:val="32"/>
          <w:u w:val="single"/>
          <w:rtl/>
        </w:rPr>
      </w:pPr>
    </w:p>
    <w:p w14:paraId="5E90638B" w14:textId="77777777" w:rsidR="00871830" w:rsidRPr="000F2247" w:rsidRDefault="00871830" w:rsidP="00871830">
      <w:pPr>
        <w:jc w:val="both"/>
        <w:rPr>
          <w:rFonts w:ascii="Arial" w:hAnsi="Arial"/>
          <w:b/>
          <w:bCs/>
          <w:sz w:val="26"/>
          <w:szCs w:val="26"/>
          <w:rtl/>
        </w:rPr>
      </w:pPr>
    </w:p>
    <w:p w14:paraId="6447A7A8" w14:textId="77777777" w:rsidR="00871830" w:rsidRDefault="00871830" w:rsidP="00871830">
      <w:pPr>
        <w:spacing w:line="360" w:lineRule="auto"/>
        <w:ind w:left="720" w:hanging="720"/>
        <w:jc w:val="both"/>
        <w:rPr>
          <w:rFonts w:ascii="Arial" w:hAnsi="Arial"/>
          <w:rtl/>
        </w:rPr>
      </w:pPr>
      <w:r w:rsidRPr="00921CD1">
        <w:rPr>
          <w:rFonts w:ascii="Arial" w:hAnsi="Arial" w:hint="cs"/>
          <w:b/>
          <w:bCs/>
          <w:rtl/>
        </w:rPr>
        <w:t>1.</w:t>
      </w:r>
      <w:r>
        <w:rPr>
          <w:rFonts w:ascii="Arial" w:hAnsi="Arial" w:hint="cs"/>
          <w:rtl/>
        </w:rPr>
        <w:tab/>
      </w:r>
      <w:bookmarkStart w:id="5" w:name="ABSTRACT_START"/>
      <w:bookmarkEnd w:id="5"/>
      <w:r>
        <w:rPr>
          <w:rFonts w:ascii="Arial" w:hAnsi="Arial" w:hint="cs"/>
          <w:rtl/>
        </w:rPr>
        <w:t>הנאשם הורשע על פי הודייתו בכתב אישום שתוקן במסגרת הסדר טיעון, בעבירות כדלהלן:</w:t>
      </w:r>
    </w:p>
    <w:p w14:paraId="2BF7C1E8" w14:textId="77777777" w:rsidR="00871830" w:rsidRDefault="00871830" w:rsidP="00871830">
      <w:pPr>
        <w:spacing w:line="360" w:lineRule="auto"/>
        <w:ind w:left="720"/>
        <w:jc w:val="both"/>
        <w:rPr>
          <w:rtl/>
        </w:rPr>
      </w:pPr>
      <w:r>
        <w:rPr>
          <w:rFonts w:hint="cs"/>
          <w:rtl/>
        </w:rPr>
        <w:t xml:space="preserve"> עבירות בנשק (החזקה) לפי </w:t>
      </w:r>
      <w:hyperlink r:id="rId12" w:history="1">
        <w:r w:rsidR="008306E5" w:rsidRPr="008306E5">
          <w:rPr>
            <w:rStyle w:val="Hyperlink"/>
            <w:rFonts w:hint="eastAsia"/>
            <w:rtl/>
          </w:rPr>
          <w:t>סעיף</w:t>
        </w:r>
        <w:r w:rsidR="008306E5" w:rsidRPr="008306E5">
          <w:rPr>
            <w:rStyle w:val="Hyperlink"/>
            <w:rtl/>
          </w:rPr>
          <w:t xml:space="preserve"> 144(א)</w:t>
        </w:r>
      </w:hyperlink>
      <w:r>
        <w:rPr>
          <w:rFonts w:hint="cs"/>
          <w:rtl/>
        </w:rPr>
        <w:t xml:space="preserve"> רישא וסיפא ל</w:t>
      </w:r>
      <w:hyperlink r:id="rId13" w:history="1">
        <w:r w:rsidR="005B0B60" w:rsidRPr="005B0B60">
          <w:rPr>
            <w:color w:val="0000FF"/>
            <w:u w:val="single"/>
            <w:rtl/>
          </w:rPr>
          <w:t>חוק העונשין</w:t>
        </w:r>
      </w:hyperlink>
      <w:r>
        <w:rPr>
          <w:rFonts w:hint="cs"/>
          <w:rtl/>
        </w:rPr>
        <w:t xml:space="preserve">, תשל"ז – 1977 (להלן: חוק העונשין), וירי מנשק חם – עבירה לפי </w:t>
      </w:r>
      <w:hyperlink r:id="rId14" w:history="1">
        <w:r w:rsidR="008306E5" w:rsidRPr="008306E5">
          <w:rPr>
            <w:rStyle w:val="Hyperlink"/>
            <w:rFonts w:hint="eastAsia"/>
            <w:rtl/>
          </w:rPr>
          <w:t>סעיף</w:t>
        </w:r>
        <w:r w:rsidR="008306E5" w:rsidRPr="008306E5">
          <w:rPr>
            <w:rStyle w:val="Hyperlink"/>
            <w:rtl/>
          </w:rPr>
          <w:t xml:space="preserve"> 340א(ב)(1)</w:t>
        </w:r>
      </w:hyperlink>
      <w:r>
        <w:rPr>
          <w:rFonts w:hint="cs"/>
          <w:rtl/>
        </w:rPr>
        <w:t xml:space="preserve"> לחוק העונשין. </w:t>
      </w:r>
    </w:p>
    <w:p w14:paraId="5AD6AE02" w14:textId="77777777" w:rsidR="00871830" w:rsidRPr="006B7263" w:rsidRDefault="00871830" w:rsidP="00871830">
      <w:pPr>
        <w:spacing w:line="360" w:lineRule="auto"/>
        <w:ind w:left="720"/>
        <w:jc w:val="both"/>
        <w:rPr>
          <w:sz w:val="20"/>
          <w:szCs w:val="20"/>
          <w:rtl/>
        </w:rPr>
      </w:pPr>
    </w:p>
    <w:p w14:paraId="78DE5C90" w14:textId="77777777" w:rsidR="00871830" w:rsidRPr="006B7263" w:rsidRDefault="00871830" w:rsidP="00871830">
      <w:pPr>
        <w:spacing w:line="360" w:lineRule="auto"/>
        <w:jc w:val="both"/>
        <w:rPr>
          <w:rFonts w:ascii="Arial" w:hAnsi="Arial"/>
          <w:u w:val="single"/>
          <w:rtl/>
        </w:rPr>
      </w:pPr>
      <w:bookmarkStart w:id="6" w:name="ABSTRACT_END"/>
      <w:bookmarkEnd w:id="6"/>
      <w:r w:rsidRPr="00921CD1">
        <w:rPr>
          <w:rFonts w:hint="cs"/>
          <w:b/>
          <w:bCs/>
          <w:rtl/>
        </w:rPr>
        <w:t>2.</w:t>
      </w:r>
      <w:r>
        <w:rPr>
          <w:rFonts w:hint="cs"/>
          <w:rtl/>
        </w:rPr>
        <w:tab/>
      </w:r>
      <w:r w:rsidRPr="006B7263">
        <w:rPr>
          <w:rFonts w:hint="cs"/>
          <w:b/>
          <w:bCs/>
          <w:u w:val="single"/>
          <w:rtl/>
        </w:rPr>
        <w:t>תמצית העובדות המפורטות בכתב האישום המתוקן</w:t>
      </w:r>
      <w:r w:rsidRPr="006B7263">
        <w:rPr>
          <w:rFonts w:hint="cs"/>
          <w:u w:val="single"/>
          <w:rtl/>
        </w:rPr>
        <w:t xml:space="preserve">; </w:t>
      </w:r>
    </w:p>
    <w:p w14:paraId="0591F85A" w14:textId="77777777" w:rsidR="00871830" w:rsidRDefault="00871830" w:rsidP="00871830">
      <w:pPr>
        <w:spacing w:line="360" w:lineRule="auto"/>
        <w:ind w:left="720"/>
        <w:jc w:val="both"/>
        <w:rPr>
          <w:rFonts w:ascii="Arial" w:hAnsi="Arial"/>
          <w:rtl/>
        </w:rPr>
      </w:pPr>
      <w:r>
        <w:rPr>
          <w:rFonts w:ascii="Arial" w:hAnsi="Arial" w:hint="cs"/>
          <w:rtl/>
        </w:rPr>
        <w:t xml:space="preserve">בתאריך 5/11/21 בשעות הערב, התקיים אירוע לכבוד אירוסי בתו של הנאשם, בבית גרושתו של הנאשם בג'דידה </w:t>
      </w:r>
      <w:r>
        <w:rPr>
          <w:rFonts w:ascii="Arial" w:hAnsi="Arial"/>
          <w:rtl/>
        </w:rPr>
        <w:t>–</w:t>
      </w:r>
      <w:r>
        <w:rPr>
          <w:rFonts w:ascii="Arial" w:hAnsi="Arial" w:hint="cs"/>
          <w:rtl/>
        </w:rPr>
        <w:t xml:space="preserve"> מכר (להלן: האירוע והבית, בהתאמה). במהלך האירוע, הנאשם שהה בחצר הבית, יחד עם אנשים נוספים. בשעה שאינה ידועה במדויק למאשימה, הנאשם החזיק אקדח טעון במחסנית וכדורים (להלן: האקדח), ללא רשות על פי דין, וירה מספר יריות באמצעות האקדח, תוך שהוא מפנה את קנה האקדח כלפי מעלה.</w:t>
      </w:r>
    </w:p>
    <w:p w14:paraId="4BF147DF" w14:textId="77777777" w:rsidR="00871830" w:rsidRPr="006B7263" w:rsidRDefault="00871830" w:rsidP="00871830">
      <w:pPr>
        <w:spacing w:line="360" w:lineRule="auto"/>
        <w:ind w:left="720"/>
        <w:jc w:val="both"/>
        <w:rPr>
          <w:rFonts w:ascii="Arial" w:hAnsi="Arial"/>
          <w:sz w:val="14"/>
          <w:szCs w:val="14"/>
          <w:rtl/>
        </w:rPr>
      </w:pPr>
    </w:p>
    <w:p w14:paraId="025F122D" w14:textId="77777777" w:rsidR="00871830" w:rsidRDefault="00871830" w:rsidP="00871830">
      <w:pPr>
        <w:spacing w:line="360" w:lineRule="auto"/>
        <w:ind w:left="720"/>
        <w:jc w:val="both"/>
        <w:rPr>
          <w:rFonts w:ascii="Arial" w:hAnsi="Arial"/>
          <w:rtl/>
        </w:rPr>
      </w:pPr>
      <w:r>
        <w:rPr>
          <w:rFonts w:ascii="Arial" w:hAnsi="Arial" w:hint="cs"/>
          <w:rtl/>
        </w:rPr>
        <w:t>האקדח הינו כלי נשק שסוגל לירות כדור או קליע ושבכוחו להמית אדם. המחסנית הינה אביזר לנשק והכדורים הינם תחמושת. במעשיו המתוארים לעיל, הנאשם החזיק נשק, אביזר לנשק ותחמושת, בלא רשות על פי דין, וכן ירה מנשק חם שלא כדין, באזור מגורים.</w:t>
      </w:r>
    </w:p>
    <w:p w14:paraId="14490BDC" w14:textId="77777777" w:rsidR="00871830" w:rsidRDefault="00871830" w:rsidP="00871830">
      <w:pPr>
        <w:spacing w:line="360" w:lineRule="auto"/>
        <w:jc w:val="both"/>
        <w:rPr>
          <w:rFonts w:ascii="Arial" w:hAnsi="Arial"/>
          <w:rtl/>
        </w:rPr>
      </w:pPr>
    </w:p>
    <w:p w14:paraId="5158C3A6" w14:textId="77777777" w:rsidR="00871830" w:rsidRDefault="00871830" w:rsidP="00871830">
      <w:pPr>
        <w:spacing w:line="360" w:lineRule="auto"/>
        <w:jc w:val="both"/>
        <w:rPr>
          <w:rFonts w:ascii="Arial" w:hAnsi="Arial"/>
          <w:rtl/>
        </w:rPr>
      </w:pPr>
      <w:r>
        <w:rPr>
          <w:rFonts w:ascii="Arial" w:hAnsi="Arial" w:hint="cs"/>
          <w:rtl/>
        </w:rPr>
        <w:t>3.</w:t>
      </w:r>
      <w:r>
        <w:rPr>
          <w:rFonts w:ascii="Arial" w:hAnsi="Arial" w:hint="cs"/>
          <w:rtl/>
        </w:rPr>
        <w:tab/>
      </w:r>
      <w:r w:rsidRPr="002F2BF2">
        <w:rPr>
          <w:rFonts w:ascii="Arial" w:hAnsi="Arial" w:hint="cs"/>
          <w:b/>
          <w:bCs/>
          <w:u w:val="single"/>
          <w:rtl/>
        </w:rPr>
        <w:t>הסדר הטיעון</w:t>
      </w:r>
      <w:r>
        <w:rPr>
          <w:rFonts w:ascii="Arial" w:hAnsi="Arial" w:hint="cs"/>
          <w:rtl/>
        </w:rPr>
        <w:t xml:space="preserve"> </w:t>
      </w:r>
    </w:p>
    <w:p w14:paraId="5556A825" w14:textId="77777777" w:rsidR="00871830" w:rsidRDefault="00871830" w:rsidP="00871830">
      <w:pPr>
        <w:spacing w:line="360" w:lineRule="auto"/>
        <w:ind w:left="720" w:hanging="720"/>
        <w:jc w:val="both"/>
        <w:rPr>
          <w:rFonts w:ascii="Arial" w:hAnsi="Arial"/>
          <w:rtl/>
        </w:rPr>
      </w:pPr>
      <w:r>
        <w:rPr>
          <w:rFonts w:ascii="Arial" w:hAnsi="Arial"/>
          <w:rtl/>
        </w:rPr>
        <w:lastRenderedPageBreak/>
        <w:tab/>
      </w:r>
      <w:r>
        <w:rPr>
          <w:rFonts w:ascii="Arial" w:hAnsi="Arial" w:hint="cs"/>
          <w:rtl/>
        </w:rPr>
        <w:t>הצדדים הגיעו להסכמה גם לעניין הענישה המבוקשת, ועתרו להטיל על הנאשם מאסר בפועל למשך 12 חודשים, ומאסר על תנאי לפי שיקול דעתו של בית המשפט.</w:t>
      </w:r>
    </w:p>
    <w:p w14:paraId="787D8268" w14:textId="77777777" w:rsidR="00871830" w:rsidRDefault="00871830" w:rsidP="00871830">
      <w:pPr>
        <w:spacing w:line="360" w:lineRule="auto"/>
        <w:jc w:val="both"/>
        <w:rPr>
          <w:rtl/>
        </w:rPr>
      </w:pPr>
    </w:p>
    <w:p w14:paraId="0200D05D" w14:textId="77777777" w:rsidR="00871830" w:rsidRDefault="00871830" w:rsidP="00871830">
      <w:pPr>
        <w:spacing w:line="360" w:lineRule="auto"/>
        <w:jc w:val="both"/>
        <w:rPr>
          <w:b/>
          <w:bCs/>
          <w:u w:val="single"/>
          <w:rtl/>
        </w:rPr>
      </w:pPr>
      <w:r>
        <w:rPr>
          <w:rFonts w:hint="cs"/>
          <w:rtl/>
        </w:rPr>
        <w:t>4.</w:t>
      </w:r>
      <w:r>
        <w:rPr>
          <w:rFonts w:hint="cs"/>
          <w:rtl/>
        </w:rPr>
        <w:tab/>
      </w:r>
      <w:r>
        <w:rPr>
          <w:rFonts w:hint="cs"/>
          <w:b/>
          <w:bCs/>
          <w:u w:val="single"/>
          <w:rtl/>
        </w:rPr>
        <w:t>ראיות לעונש</w:t>
      </w:r>
    </w:p>
    <w:p w14:paraId="74462792" w14:textId="77777777" w:rsidR="00871830" w:rsidRDefault="00871830" w:rsidP="00871830">
      <w:pPr>
        <w:spacing w:line="360" w:lineRule="auto"/>
        <w:ind w:left="720" w:hanging="720"/>
        <w:jc w:val="both"/>
        <w:rPr>
          <w:rtl/>
        </w:rPr>
      </w:pPr>
      <w:r>
        <w:rPr>
          <w:rtl/>
        </w:rPr>
        <w:tab/>
      </w:r>
      <w:r>
        <w:rPr>
          <w:rFonts w:hint="cs"/>
          <w:rtl/>
        </w:rPr>
        <w:t xml:space="preserve">לנאשם שש רשעות קודמות בעבירות שונות, החל משנת 01', אז הורשע במסירת ידיעות כוזבות, עבירה שבוצעה בשנת 98', שלוש עבירות בנייה (ביצוע עבודות בלא היתר וביצוע עבודות בסטייה מן ההיתר), בין השנים 03'-10', אי הגשת דוח במועד בשנת 11' ותקיפה סתם של בת זוג בשנת 18'. הוא מעולם לא ריצה עונשי מאסר בפועל ובין בעבודות שירות. </w:t>
      </w:r>
    </w:p>
    <w:p w14:paraId="4268F730" w14:textId="77777777" w:rsidR="00871830" w:rsidRDefault="00871830" w:rsidP="00871830">
      <w:pPr>
        <w:spacing w:line="360" w:lineRule="auto"/>
        <w:ind w:left="720" w:hanging="720"/>
        <w:jc w:val="both"/>
        <w:rPr>
          <w:rtl/>
        </w:rPr>
      </w:pPr>
    </w:p>
    <w:p w14:paraId="4FDFD39D" w14:textId="77777777" w:rsidR="00871830" w:rsidRDefault="00871830" w:rsidP="00871830">
      <w:pPr>
        <w:jc w:val="both"/>
        <w:rPr>
          <w:b/>
          <w:bCs/>
          <w:u w:val="single"/>
          <w:rtl/>
        </w:rPr>
      </w:pPr>
      <w:r w:rsidRPr="00A51EE2">
        <w:rPr>
          <w:rFonts w:hint="cs"/>
          <w:b/>
          <w:bCs/>
          <w:rtl/>
        </w:rPr>
        <w:t>5</w:t>
      </w:r>
      <w:r>
        <w:rPr>
          <w:rFonts w:hint="cs"/>
          <w:rtl/>
        </w:rPr>
        <w:t>.</w:t>
      </w:r>
      <w:r>
        <w:rPr>
          <w:rFonts w:hint="cs"/>
          <w:rtl/>
        </w:rPr>
        <w:tab/>
      </w:r>
      <w:r w:rsidRPr="00A51EE2">
        <w:rPr>
          <w:rFonts w:hint="cs"/>
          <w:b/>
          <w:bCs/>
          <w:u w:val="single"/>
          <w:rtl/>
        </w:rPr>
        <w:t>טיעוני המאשימה</w:t>
      </w:r>
    </w:p>
    <w:p w14:paraId="58C60C72" w14:textId="77777777" w:rsidR="00871830" w:rsidRDefault="00871830" w:rsidP="00871830">
      <w:pPr>
        <w:jc w:val="both"/>
        <w:rPr>
          <w:b/>
          <w:bCs/>
          <w:u w:val="single"/>
          <w:rtl/>
        </w:rPr>
      </w:pPr>
    </w:p>
    <w:p w14:paraId="40D84629" w14:textId="77777777" w:rsidR="00871830" w:rsidRDefault="00871830" w:rsidP="00871830">
      <w:pPr>
        <w:spacing w:line="360" w:lineRule="auto"/>
        <w:ind w:left="720"/>
        <w:jc w:val="both"/>
        <w:rPr>
          <w:rtl/>
        </w:rPr>
      </w:pPr>
      <w:r>
        <w:rPr>
          <w:rFonts w:hint="cs"/>
          <w:rtl/>
        </w:rPr>
        <w:t>ב"כ המאשימה עתר לכבד את הסדר הטיעון. הוא ציין כי ההסדר הוא פרי של משא ומתן ממושך בין הצדדים, ונכרת בעקבות הדיון המקדמי שנערך בפני בית המשפט, שבמסגרתו הועלו בפני בית המשפט סוגיות שלמעשה עומדות בבסיס התשתית הראייתית והקשיים הראייתיים בתיק.</w:t>
      </w:r>
    </w:p>
    <w:p w14:paraId="44085714" w14:textId="77777777" w:rsidR="00871830" w:rsidRDefault="00871830" w:rsidP="00871830">
      <w:pPr>
        <w:spacing w:line="360" w:lineRule="auto"/>
        <w:ind w:left="720"/>
        <w:jc w:val="both"/>
        <w:rPr>
          <w:rtl/>
        </w:rPr>
      </w:pPr>
    </w:p>
    <w:p w14:paraId="0F017F59" w14:textId="77777777" w:rsidR="00871830" w:rsidRDefault="00871830" w:rsidP="00871830">
      <w:pPr>
        <w:spacing w:line="360" w:lineRule="auto"/>
        <w:ind w:left="720"/>
        <w:jc w:val="both"/>
        <w:rPr>
          <w:rtl/>
        </w:rPr>
      </w:pPr>
      <w:r>
        <w:rPr>
          <w:rFonts w:hint="cs"/>
          <w:rtl/>
        </w:rPr>
        <w:t>הובהר כי העמדה העונשית המוסכמת היא נמוכה מהטיעון הרגיל של המאשימה בעבירות בנשק, ונמוכה גם מהפסיקה העדכנית של בית המשפט העליון בעבירות שכאלה; יחד עם זאת, נוכח הקשיים הראייתיים, וקיומן של סוגיות מודיעיניות מורכבות המתעוררות מתיק החקירה, הוחלט להתקשר בהסדר הטיעון, ובית המשפט מתבקש לכבדו.</w:t>
      </w:r>
    </w:p>
    <w:p w14:paraId="477F2E15" w14:textId="77777777" w:rsidR="00871830" w:rsidRDefault="00871830" w:rsidP="00871830">
      <w:pPr>
        <w:spacing w:line="360" w:lineRule="auto"/>
        <w:jc w:val="both"/>
        <w:rPr>
          <w:rtl/>
        </w:rPr>
      </w:pPr>
    </w:p>
    <w:p w14:paraId="7517B0AB" w14:textId="77777777" w:rsidR="00871830" w:rsidRPr="00A51EE2" w:rsidRDefault="00871830" w:rsidP="00871830">
      <w:pPr>
        <w:spacing w:line="360" w:lineRule="auto"/>
        <w:jc w:val="both"/>
        <w:rPr>
          <w:b/>
          <w:bCs/>
          <w:u w:val="single"/>
          <w:rtl/>
        </w:rPr>
      </w:pPr>
      <w:r>
        <w:rPr>
          <w:rFonts w:hint="cs"/>
          <w:b/>
          <w:bCs/>
          <w:rtl/>
        </w:rPr>
        <w:t>6.</w:t>
      </w:r>
      <w:r>
        <w:rPr>
          <w:rFonts w:hint="cs"/>
          <w:b/>
          <w:bCs/>
          <w:rtl/>
        </w:rPr>
        <w:tab/>
      </w:r>
      <w:r>
        <w:rPr>
          <w:rFonts w:hint="cs"/>
          <w:b/>
          <w:bCs/>
          <w:u w:val="single"/>
          <w:rtl/>
        </w:rPr>
        <w:t>טיעוני ההגנה</w:t>
      </w:r>
    </w:p>
    <w:p w14:paraId="28E1968B" w14:textId="77777777" w:rsidR="00871830" w:rsidRDefault="00871830" w:rsidP="00871830">
      <w:pPr>
        <w:spacing w:line="360" w:lineRule="auto"/>
        <w:ind w:left="720"/>
        <w:jc w:val="both"/>
        <w:rPr>
          <w:rtl/>
        </w:rPr>
      </w:pPr>
      <w:r>
        <w:rPr>
          <w:rFonts w:hint="cs"/>
          <w:rtl/>
        </w:rPr>
        <w:t xml:space="preserve">ב"כ הנאשם הצטרף לטיעוני המאשימה וטען לנסיבותיו האישיות של הנאשם. </w:t>
      </w:r>
    </w:p>
    <w:p w14:paraId="7159273D" w14:textId="77777777" w:rsidR="00871830" w:rsidRPr="003B2FCA" w:rsidRDefault="00871830" w:rsidP="00871830">
      <w:pPr>
        <w:spacing w:line="360" w:lineRule="auto"/>
        <w:ind w:left="720"/>
        <w:jc w:val="both"/>
        <w:rPr>
          <w:sz w:val="10"/>
          <w:szCs w:val="10"/>
          <w:rtl/>
        </w:rPr>
      </w:pPr>
    </w:p>
    <w:p w14:paraId="044339B6" w14:textId="77777777" w:rsidR="00871830" w:rsidRDefault="00871830" w:rsidP="00871830">
      <w:pPr>
        <w:spacing w:line="360" w:lineRule="auto"/>
        <w:ind w:left="720"/>
        <w:jc w:val="both"/>
        <w:rPr>
          <w:rtl/>
        </w:rPr>
      </w:pPr>
      <w:r>
        <w:rPr>
          <w:rFonts w:hint="cs"/>
          <w:rtl/>
        </w:rPr>
        <w:t xml:space="preserve">מדובר בנאשם יליד 1973, בן 49 לערך, גרוש, אב לשישה ילדים בטווח גילאים בין 5-19, העצור מיום 23/2/22. </w:t>
      </w:r>
    </w:p>
    <w:p w14:paraId="2209B9FC" w14:textId="77777777" w:rsidR="00871830" w:rsidRPr="001E126E" w:rsidRDefault="00871830" w:rsidP="00871830">
      <w:pPr>
        <w:spacing w:line="360" w:lineRule="auto"/>
        <w:ind w:left="720"/>
        <w:jc w:val="both"/>
        <w:rPr>
          <w:sz w:val="10"/>
          <w:szCs w:val="10"/>
          <w:rtl/>
        </w:rPr>
      </w:pPr>
    </w:p>
    <w:p w14:paraId="6A30BB3B" w14:textId="77777777" w:rsidR="00871830" w:rsidRDefault="00871830" w:rsidP="00871830">
      <w:pPr>
        <w:spacing w:line="360" w:lineRule="auto"/>
        <w:ind w:left="720"/>
        <w:jc w:val="both"/>
        <w:rPr>
          <w:rtl/>
        </w:rPr>
      </w:pPr>
      <w:r>
        <w:rPr>
          <w:rFonts w:hint="cs"/>
          <w:rtl/>
        </w:rPr>
        <w:t xml:space="preserve">אשר להרשעותיו הקודמות של הנאשם, נטען כי הן לא רבות, מרביתן בתחום התכנון והבנייה, ויש גם תקיפה של בת זוג </w:t>
      </w:r>
      <w:r>
        <w:rPr>
          <w:rtl/>
        </w:rPr>
        <w:t>–</w:t>
      </w:r>
      <w:r>
        <w:rPr>
          <w:rFonts w:hint="cs"/>
          <w:rtl/>
        </w:rPr>
        <w:t xml:space="preserve"> גרושתו </w:t>
      </w:r>
      <w:r>
        <w:rPr>
          <w:rtl/>
        </w:rPr>
        <w:t>–</w:t>
      </w:r>
      <w:r>
        <w:rPr>
          <w:rFonts w:hint="cs"/>
          <w:rtl/>
        </w:rPr>
        <w:t xml:space="preserve"> אך היום הם ביחסים טובים. הנאשם לא שהה במאסר מעולם.  </w:t>
      </w:r>
    </w:p>
    <w:p w14:paraId="6A8BB999" w14:textId="77777777" w:rsidR="00871830" w:rsidRPr="001E126E" w:rsidRDefault="00871830" w:rsidP="00871830">
      <w:pPr>
        <w:spacing w:line="360" w:lineRule="auto"/>
        <w:ind w:left="720"/>
        <w:jc w:val="both"/>
        <w:rPr>
          <w:sz w:val="10"/>
          <w:szCs w:val="10"/>
          <w:rtl/>
        </w:rPr>
      </w:pPr>
    </w:p>
    <w:p w14:paraId="0D5C0365" w14:textId="77777777" w:rsidR="00871830" w:rsidRDefault="00871830" w:rsidP="00871830">
      <w:pPr>
        <w:spacing w:line="360" w:lineRule="auto"/>
        <w:ind w:left="720"/>
        <w:jc w:val="both"/>
        <w:rPr>
          <w:rtl/>
        </w:rPr>
      </w:pPr>
      <w:r>
        <w:rPr>
          <w:rFonts w:hint="cs"/>
          <w:rtl/>
        </w:rPr>
        <w:t xml:space="preserve">גם הסנגור ציין </w:t>
      </w:r>
      <w:r>
        <w:rPr>
          <w:rtl/>
        </w:rPr>
        <w:t>–</w:t>
      </w:r>
      <w:r>
        <w:rPr>
          <w:rFonts w:hint="cs"/>
          <w:rtl/>
        </w:rPr>
        <w:t xml:space="preserve"> בדומה לב"כ המאשימה  - כי הסדר הטיעון הושג בעקבות הדיון המקדמי, שבו הוארו הנסיבות והבעייתיות בפרשה המתוארת, הקשורה לתחום המודיעין, ומשלא התבצעה השלמת חקירה, שהייתה מאוד בעייתית. </w:t>
      </w:r>
    </w:p>
    <w:p w14:paraId="1DFAE0E2" w14:textId="77777777" w:rsidR="00871830" w:rsidRPr="00DB427F" w:rsidRDefault="00871830" w:rsidP="00871830">
      <w:pPr>
        <w:spacing w:line="360" w:lineRule="auto"/>
        <w:ind w:left="720"/>
        <w:jc w:val="both"/>
        <w:rPr>
          <w:sz w:val="18"/>
          <w:szCs w:val="18"/>
          <w:rtl/>
        </w:rPr>
      </w:pPr>
    </w:p>
    <w:p w14:paraId="3C91F181" w14:textId="77777777" w:rsidR="00871830" w:rsidRDefault="00871830" w:rsidP="00871830">
      <w:pPr>
        <w:spacing w:line="360" w:lineRule="auto"/>
        <w:ind w:left="720"/>
        <w:jc w:val="both"/>
        <w:rPr>
          <w:rtl/>
        </w:rPr>
      </w:pPr>
      <w:r>
        <w:rPr>
          <w:rFonts w:hint="cs"/>
          <w:rtl/>
        </w:rPr>
        <w:t>הסנגור חזר והבהיר כי הנאשם קיבל אחריות לכל המיוחס, חסך מזמנו של בית המשפט, וביקש לכבד את ההסדר.</w:t>
      </w:r>
    </w:p>
    <w:p w14:paraId="45EAAC91" w14:textId="77777777" w:rsidR="00871830" w:rsidRDefault="00871830" w:rsidP="00871830">
      <w:pPr>
        <w:spacing w:line="360" w:lineRule="auto"/>
        <w:ind w:left="720"/>
        <w:jc w:val="both"/>
        <w:rPr>
          <w:rtl/>
        </w:rPr>
      </w:pPr>
    </w:p>
    <w:p w14:paraId="56EB142F" w14:textId="77777777" w:rsidR="00871830" w:rsidRPr="00A51EE2" w:rsidRDefault="00871830" w:rsidP="00871830">
      <w:pPr>
        <w:jc w:val="both"/>
        <w:rPr>
          <w:b/>
          <w:bCs/>
          <w:u w:val="single"/>
          <w:rtl/>
        </w:rPr>
      </w:pPr>
      <w:r>
        <w:rPr>
          <w:rFonts w:hint="cs"/>
          <w:b/>
          <w:bCs/>
          <w:rtl/>
        </w:rPr>
        <w:t>7.</w:t>
      </w:r>
      <w:r>
        <w:rPr>
          <w:rFonts w:hint="cs"/>
          <w:b/>
          <w:bCs/>
          <w:rtl/>
        </w:rPr>
        <w:tab/>
      </w:r>
      <w:r>
        <w:rPr>
          <w:rFonts w:hint="cs"/>
          <w:b/>
          <w:bCs/>
          <w:u w:val="single"/>
          <w:rtl/>
        </w:rPr>
        <w:t>דברי הנאשם</w:t>
      </w:r>
    </w:p>
    <w:p w14:paraId="1372434B" w14:textId="77777777" w:rsidR="00871830" w:rsidRDefault="00871830" w:rsidP="00871830">
      <w:pPr>
        <w:jc w:val="both"/>
        <w:rPr>
          <w:rtl/>
        </w:rPr>
      </w:pPr>
    </w:p>
    <w:p w14:paraId="218C3D29" w14:textId="77777777" w:rsidR="00871830" w:rsidRDefault="00871830" w:rsidP="00871830">
      <w:pPr>
        <w:jc w:val="both"/>
        <w:rPr>
          <w:rtl/>
        </w:rPr>
      </w:pPr>
      <w:r>
        <w:rPr>
          <w:rtl/>
        </w:rPr>
        <w:tab/>
      </w:r>
      <w:r>
        <w:rPr>
          <w:rFonts w:hint="cs"/>
          <w:rtl/>
        </w:rPr>
        <w:t>"טעיתי ואני מבקש סליחה" (עמ' 11 לפרוט').</w:t>
      </w:r>
    </w:p>
    <w:p w14:paraId="1C13081E" w14:textId="77777777" w:rsidR="00871830" w:rsidRPr="00DB427F" w:rsidRDefault="00871830" w:rsidP="00871830">
      <w:pPr>
        <w:jc w:val="both"/>
        <w:rPr>
          <w:sz w:val="20"/>
          <w:szCs w:val="20"/>
          <w:rtl/>
        </w:rPr>
      </w:pPr>
    </w:p>
    <w:p w14:paraId="212B1F8C" w14:textId="77777777" w:rsidR="00871830" w:rsidRPr="00DB427F" w:rsidRDefault="00871830" w:rsidP="00871830">
      <w:pPr>
        <w:jc w:val="both"/>
        <w:rPr>
          <w:sz w:val="18"/>
          <w:szCs w:val="18"/>
          <w:rtl/>
        </w:rPr>
      </w:pPr>
    </w:p>
    <w:p w14:paraId="0E65FDA0" w14:textId="77777777" w:rsidR="00871830" w:rsidRDefault="00871830" w:rsidP="00871830">
      <w:pPr>
        <w:jc w:val="both"/>
        <w:rPr>
          <w:b/>
          <w:bCs/>
          <w:u w:val="single"/>
          <w:rtl/>
        </w:rPr>
      </w:pPr>
      <w:r>
        <w:rPr>
          <w:b/>
          <w:bCs/>
          <w:rtl/>
        </w:rPr>
        <w:tab/>
      </w:r>
      <w:r>
        <w:rPr>
          <w:rFonts w:hint="cs"/>
          <w:b/>
          <w:bCs/>
          <w:u w:val="single"/>
          <w:rtl/>
        </w:rPr>
        <w:t>דיון</w:t>
      </w:r>
    </w:p>
    <w:p w14:paraId="79BFACB4" w14:textId="77777777" w:rsidR="00871830" w:rsidRDefault="00871830" w:rsidP="00871830">
      <w:pPr>
        <w:ind w:left="720" w:hanging="720"/>
        <w:jc w:val="both"/>
        <w:rPr>
          <w:rtl/>
        </w:rPr>
      </w:pPr>
      <w:r>
        <w:rPr>
          <w:rFonts w:hint="cs"/>
          <w:b/>
          <w:bCs/>
          <w:rtl/>
        </w:rPr>
        <w:t>8.</w:t>
      </w:r>
      <w:r>
        <w:rPr>
          <w:rFonts w:hint="cs"/>
          <w:b/>
          <w:bCs/>
          <w:rtl/>
        </w:rPr>
        <w:tab/>
      </w:r>
    </w:p>
    <w:p w14:paraId="49515D77" w14:textId="77777777" w:rsidR="00871830" w:rsidRDefault="00871830" w:rsidP="00871830">
      <w:pPr>
        <w:spacing w:line="360" w:lineRule="auto"/>
        <w:ind w:left="720" w:hanging="720"/>
        <w:jc w:val="both"/>
        <w:rPr>
          <w:rtl/>
        </w:rPr>
      </w:pPr>
      <w:r>
        <w:rPr>
          <w:b/>
          <w:bCs/>
          <w:rtl/>
        </w:rPr>
        <w:lastRenderedPageBreak/>
        <w:tab/>
      </w:r>
      <w:r>
        <w:rPr>
          <w:rFonts w:ascii="David" w:hAnsi="David"/>
          <w:rtl/>
        </w:rPr>
        <w:t>העיקרון המנחה את בתי המשפט בעת גזירת העונש הוא עקרון ההלימה</w:t>
      </w:r>
      <w:r>
        <w:rPr>
          <w:rFonts w:ascii="David" w:hAnsi="David"/>
        </w:rPr>
        <w:t>;</w:t>
      </w:r>
      <w:r>
        <w:rPr>
          <w:rFonts w:ascii="David" w:hAnsi="David" w:hint="cs"/>
          <w:rtl/>
        </w:rPr>
        <w:t xml:space="preserve"> דהיינו יחס הולם בין החומרה של מעשה העבירה בנסיבותיו ומידת אשמתו של הנאשם, לבין סוג העונש המוטל עליו ומידתו (</w:t>
      </w:r>
      <w:hyperlink r:id="rId15" w:history="1">
        <w:r w:rsidR="008306E5" w:rsidRPr="008306E5">
          <w:rPr>
            <w:rStyle w:val="Hyperlink"/>
            <w:rFonts w:ascii="David" w:hAnsi="David" w:hint="eastAsia"/>
            <w:rtl/>
          </w:rPr>
          <w:t>סעיף</w:t>
        </w:r>
        <w:r w:rsidR="008306E5" w:rsidRPr="008306E5">
          <w:rPr>
            <w:rStyle w:val="Hyperlink"/>
            <w:rFonts w:ascii="David" w:hAnsi="David"/>
            <w:rtl/>
          </w:rPr>
          <w:t xml:space="preserve"> 40</w:t>
        </w:r>
      </w:hyperlink>
      <w:r>
        <w:rPr>
          <w:rFonts w:ascii="David" w:hAnsi="David" w:hint="cs"/>
          <w:rtl/>
        </w:rPr>
        <w:t xml:space="preserve"> ל</w:t>
      </w:r>
      <w:hyperlink r:id="rId16" w:history="1">
        <w:r w:rsidR="005B0B60" w:rsidRPr="005B0B60">
          <w:rPr>
            <w:rFonts w:ascii="David" w:hAnsi="David"/>
            <w:color w:val="0000FF"/>
            <w:u w:val="single"/>
            <w:rtl/>
          </w:rPr>
          <w:t>חוק העונשין</w:t>
        </w:r>
      </w:hyperlink>
      <w:r>
        <w:rPr>
          <w:rFonts w:ascii="David" w:hAnsi="David" w:hint="cs"/>
          <w:rtl/>
        </w:rPr>
        <w:t>). טרם גזירת העונש על הנאשם, על בית המשפט לקבוע את מתחם העונש ההולם, המבוסס על נסיבות ביצוע העבירה הייחודית, הערכים החברתיים שנפגעו מביצועה ומידת הפגיעה בהם, מדיניות הענישה הנהוגה ונסיבות נוספות הקשורות בביצוע העבירה (</w:t>
      </w:r>
      <w:hyperlink r:id="rId17" w:history="1">
        <w:r w:rsidR="008306E5" w:rsidRPr="008306E5">
          <w:rPr>
            <w:rStyle w:val="Hyperlink"/>
            <w:rFonts w:ascii="David" w:hAnsi="David" w:hint="eastAsia"/>
            <w:rtl/>
          </w:rPr>
          <w:t>סעיפים</w:t>
        </w:r>
        <w:r w:rsidR="008306E5" w:rsidRPr="008306E5">
          <w:rPr>
            <w:rStyle w:val="Hyperlink"/>
            <w:rFonts w:ascii="David" w:hAnsi="David"/>
            <w:rtl/>
          </w:rPr>
          <w:t xml:space="preserve"> 40ג</w:t>
        </w:r>
      </w:hyperlink>
      <w:r>
        <w:rPr>
          <w:rFonts w:ascii="David" w:hAnsi="David" w:hint="cs"/>
          <w:rtl/>
        </w:rPr>
        <w:t xml:space="preserve"> ו-</w:t>
      </w:r>
      <w:hyperlink r:id="rId18" w:history="1">
        <w:r w:rsidR="008306E5" w:rsidRPr="008306E5">
          <w:rPr>
            <w:rStyle w:val="Hyperlink"/>
            <w:rFonts w:ascii="David" w:hAnsi="David"/>
            <w:rtl/>
          </w:rPr>
          <w:t>40ט</w:t>
        </w:r>
      </w:hyperlink>
      <w:r>
        <w:rPr>
          <w:rFonts w:ascii="David" w:hAnsi="David" w:hint="cs"/>
          <w:rtl/>
        </w:rPr>
        <w:t xml:space="preserve"> ל</w:t>
      </w:r>
      <w:hyperlink r:id="rId19" w:history="1">
        <w:r w:rsidR="005B0B60" w:rsidRPr="005B0B60">
          <w:rPr>
            <w:rFonts w:ascii="David" w:hAnsi="David"/>
            <w:color w:val="0000FF"/>
            <w:u w:val="single"/>
            <w:rtl/>
          </w:rPr>
          <w:t>חוק העונשין</w:t>
        </w:r>
      </w:hyperlink>
      <w:r>
        <w:rPr>
          <w:rFonts w:ascii="David" w:hAnsi="David" w:hint="cs"/>
          <w:rtl/>
        </w:rPr>
        <w:t>). יחד עם זאת, כל ענישה היא אינדיבידואלית, ובמסגרת הענישה ההולמת על בית המשפט לאזן בין מספר אינטרסים שונים: נסיבות ביצוע העבירה, תדירות העבירות, חומרתן, אופן ומידת ההשפעה שלהן על החברה מחד גיסא, ומאידך גיסא נסיבותיו האישיות של מבצע העבירה, עברו הפלילי, גילו, אפשרויות שיקום ועוד.</w:t>
      </w:r>
    </w:p>
    <w:p w14:paraId="517B839C" w14:textId="77777777" w:rsidR="00871830" w:rsidRDefault="00871830" w:rsidP="00871830">
      <w:pPr>
        <w:spacing w:line="360" w:lineRule="auto"/>
        <w:ind w:left="720" w:hanging="720"/>
        <w:jc w:val="both"/>
        <w:rPr>
          <w:rtl/>
        </w:rPr>
      </w:pPr>
      <w:r>
        <w:rPr>
          <w:rFonts w:hint="cs"/>
          <w:b/>
          <w:bCs/>
          <w:rtl/>
        </w:rPr>
        <w:t>9.</w:t>
      </w:r>
      <w:r>
        <w:rPr>
          <w:rtl/>
        </w:rPr>
        <w:tab/>
      </w:r>
      <w:r w:rsidRPr="00C560CC">
        <w:rPr>
          <w:rFonts w:hint="cs"/>
          <w:b/>
          <w:bCs/>
          <w:u w:val="single"/>
          <w:rtl/>
        </w:rPr>
        <w:t>חומרת העבירות והערכים החברתיים שנפגעו</w:t>
      </w:r>
      <w:r>
        <w:rPr>
          <w:rtl/>
        </w:rPr>
        <w:t xml:space="preserve"> </w:t>
      </w:r>
    </w:p>
    <w:p w14:paraId="0A74C84C" w14:textId="77777777" w:rsidR="00871830" w:rsidRDefault="00871830" w:rsidP="00871830">
      <w:pPr>
        <w:spacing w:line="360" w:lineRule="auto"/>
        <w:ind w:left="720" w:hanging="720"/>
        <w:jc w:val="both"/>
        <w:rPr>
          <w:rtl/>
        </w:rPr>
      </w:pPr>
      <w:r>
        <w:rPr>
          <w:b/>
          <w:bCs/>
          <w:rtl/>
        </w:rPr>
        <w:tab/>
      </w:r>
      <w:r>
        <w:rPr>
          <w:rFonts w:hint="cs"/>
          <w:rtl/>
        </w:rPr>
        <w:t>אין צורך להכביר במילים על חומרת מעשיו של הנאשם, אשר הורשע בעבירות בנשק (החזקה) ובירי מנשק חם באזור מגורים ללא היתר על פי דין.</w:t>
      </w:r>
    </w:p>
    <w:p w14:paraId="3D34D02B" w14:textId="77777777" w:rsidR="00871830" w:rsidRDefault="00871830" w:rsidP="00871830">
      <w:pPr>
        <w:spacing w:line="360" w:lineRule="auto"/>
        <w:ind w:left="720" w:hanging="720"/>
        <w:jc w:val="both"/>
        <w:rPr>
          <w:rtl/>
        </w:rPr>
      </w:pPr>
    </w:p>
    <w:p w14:paraId="2E22E32E" w14:textId="77777777" w:rsidR="00871830" w:rsidRDefault="00871830" w:rsidP="00871830">
      <w:pPr>
        <w:spacing w:line="360" w:lineRule="auto"/>
        <w:ind w:left="720" w:hanging="720"/>
        <w:jc w:val="both"/>
        <w:rPr>
          <w:rtl/>
        </w:rPr>
      </w:pPr>
      <w:r>
        <w:rPr>
          <w:rFonts w:hint="cs"/>
          <w:b/>
          <w:bCs/>
          <w:rtl/>
        </w:rPr>
        <w:t>10.</w:t>
      </w:r>
      <w:r>
        <w:rPr>
          <w:rFonts w:hint="cs"/>
          <w:b/>
          <w:bCs/>
          <w:rtl/>
        </w:rPr>
        <w:tab/>
      </w:r>
      <w:r w:rsidRPr="00C560CC">
        <w:rPr>
          <w:rFonts w:hint="cs"/>
          <w:rtl/>
        </w:rPr>
        <w:t>עיקרון ההלי</w:t>
      </w:r>
      <w:r>
        <w:rPr>
          <w:rFonts w:hint="cs"/>
          <w:rtl/>
        </w:rPr>
        <w:t xml:space="preserve">מה בכלל ובעבירות נשק בפרט מחייב בדיקה פרטנית של נסיבות המקרה, והעמדת הנאשם ביחס סביר לנסיבותיו של כל מקרה, לרבות פרמטרים שהפסיקה קבעה כגון התכנון שקדם למעשיו של הנאשם, חלקו בביצוע העבירות, ועוד. בענייננו, הצדדים הבהירו לבית המשפט כי קיימים קשיים ראייתיים משמעותיים שלא ניתן לפרטם, עקב סוגיות מודיעיניות מורכבות, שבגינן גם לא ניתן היה לערוך גם השלמת חקירה שנדרשה. </w:t>
      </w:r>
    </w:p>
    <w:p w14:paraId="0B722239" w14:textId="77777777" w:rsidR="00871830" w:rsidRDefault="00871830" w:rsidP="00871830">
      <w:pPr>
        <w:spacing w:line="360" w:lineRule="auto"/>
        <w:ind w:left="720" w:hanging="720"/>
        <w:jc w:val="both"/>
        <w:rPr>
          <w:rtl/>
        </w:rPr>
      </w:pPr>
    </w:p>
    <w:p w14:paraId="34979543" w14:textId="77777777" w:rsidR="00871830" w:rsidRDefault="00871830" w:rsidP="00871830">
      <w:pPr>
        <w:spacing w:line="360" w:lineRule="auto"/>
        <w:ind w:left="720"/>
        <w:jc w:val="both"/>
        <w:rPr>
          <w:rtl/>
        </w:rPr>
      </w:pPr>
      <w:r>
        <w:rPr>
          <w:rFonts w:hint="cs"/>
          <w:rtl/>
        </w:rPr>
        <w:t xml:space="preserve">בנסיבות אלה, לא פירטו הצדדים את כל הנדרש לצורך קביעתו של מתחם העונש ההולם, אלא הגיעו להסדר טיעון המתכלל את הסיכון והסיכוי של כל אחד מהצדדים, האינטרס הציבורי, מידת ההשקעה הראויה בפרשה הרלוונטית וכיוצא בזה. </w:t>
      </w:r>
    </w:p>
    <w:p w14:paraId="3645F9CA" w14:textId="77777777" w:rsidR="00871830" w:rsidRDefault="00871830" w:rsidP="00871830">
      <w:pPr>
        <w:spacing w:line="360" w:lineRule="auto"/>
        <w:ind w:left="720"/>
        <w:jc w:val="both"/>
        <w:rPr>
          <w:rtl/>
        </w:rPr>
      </w:pPr>
    </w:p>
    <w:p w14:paraId="358C9B0B" w14:textId="77777777" w:rsidR="00871830" w:rsidRDefault="00871830" w:rsidP="00871830">
      <w:pPr>
        <w:spacing w:line="360" w:lineRule="auto"/>
        <w:ind w:left="720" w:hanging="720"/>
        <w:jc w:val="both"/>
        <w:rPr>
          <w:rtl/>
        </w:rPr>
      </w:pPr>
      <w:r>
        <w:rPr>
          <w:rFonts w:hint="cs"/>
          <w:b/>
          <w:bCs/>
          <w:rtl/>
        </w:rPr>
        <w:tab/>
      </w:r>
      <w:r>
        <w:rPr>
          <w:rtl/>
        </w:rPr>
        <w:t>לא נעלמה מעיני ההלכה הפסוקה בכגון דא</w:t>
      </w:r>
      <w:r>
        <w:rPr>
          <w:b/>
          <w:bCs/>
          <w:rtl/>
        </w:rPr>
        <w:t xml:space="preserve"> </w:t>
      </w:r>
      <w:r>
        <w:rPr>
          <w:rtl/>
        </w:rPr>
        <w:t xml:space="preserve">(ע"פ </w:t>
      </w:r>
      <w:hyperlink r:id="rId20" w:history="1">
        <w:r w:rsidR="00E947EC" w:rsidRPr="00E947EC">
          <w:rPr>
            <w:color w:val="0000FF"/>
            <w:u w:val="single"/>
            <w:rtl/>
          </w:rPr>
          <w:t xml:space="preserve">512/13 </w:t>
        </w:r>
      </w:hyperlink>
      <w:r>
        <w:rPr>
          <w:rtl/>
        </w:rPr>
        <w:t xml:space="preserve"> </w:t>
      </w:r>
      <w:r>
        <w:rPr>
          <w:b/>
          <w:bCs/>
          <w:rtl/>
        </w:rPr>
        <w:t>פלוני נ' מדינת ישראל</w:t>
      </w:r>
      <w:r>
        <w:rPr>
          <w:rtl/>
        </w:rPr>
        <w:t xml:space="preserve"> (4/12/13), מפי כב' הש' מלצר; </w:t>
      </w:r>
      <w:hyperlink r:id="rId21" w:history="1">
        <w:r w:rsidR="005B0B60" w:rsidRPr="005B0B60">
          <w:rPr>
            <w:color w:val="0000FF"/>
            <w:u w:val="single"/>
            <w:rtl/>
          </w:rPr>
          <w:t>ע"פ 2454/18</w:t>
        </w:r>
      </w:hyperlink>
      <w:r>
        <w:rPr>
          <w:rtl/>
        </w:rPr>
        <w:t xml:space="preserve"> </w:t>
      </w:r>
      <w:r>
        <w:rPr>
          <w:b/>
          <w:bCs/>
          <w:rtl/>
        </w:rPr>
        <w:t>שינברג נ' מדינת ישראל</w:t>
      </w:r>
      <w:r>
        <w:rPr>
          <w:rtl/>
        </w:rPr>
        <w:t xml:space="preserve"> (6/12/18); מפי כב' הש' פוגלמן);  ואולם, בנתונים המיוחדים בתיק זה ובאופן חריג, אינני רואה לבחון את מתחם הענישה, שעה שאין חולק שמדובר במתחם הגבוה מהעונש המוסכם, וזאת מהטעמים שפורטו לעיל, שעה ששני הצדדים לא טענו לגופו של עניין לגבי המתחם, משיקולים הנוגעים אף הם לאינטרס הציבורי. </w:t>
      </w:r>
    </w:p>
    <w:p w14:paraId="6E24B49C" w14:textId="77777777" w:rsidR="00871830" w:rsidRPr="001E126E" w:rsidRDefault="00871830" w:rsidP="00871830">
      <w:pPr>
        <w:spacing w:line="360" w:lineRule="auto"/>
        <w:ind w:left="720" w:hanging="720"/>
        <w:jc w:val="both"/>
        <w:rPr>
          <w:sz w:val="20"/>
          <w:szCs w:val="20"/>
          <w:rtl/>
        </w:rPr>
      </w:pPr>
      <w:r>
        <w:rPr>
          <w:b/>
          <w:bCs/>
          <w:rtl/>
        </w:rPr>
        <w:tab/>
      </w:r>
    </w:p>
    <w:p w14:paraId="1131A6AE" w14:textId="77777777" w:rsidR="00871830" w:rsidRDefault="00871830" w:rsidP="00871830">
      <w:pPr>
        <w:spacing w:line="360" w:lineRule="auto"/>
        <w:ind w:left="720" w:hanging="720"/>
        <w:jc w:val="both"/>
        <w:rPr>
          <w:b/>
          <w:bCs/>
          <w:u w:val="single"/>
          <w:rtl/>
        </w:rPr>
      </w:pPr>
      <w:r>
        <w:rPr>
          <w:rFonts w:hint="cs"/>
          <w:b/>
          <w:bCs/>
          <w:rtl/>
        </w:rPr>
        <w:t>11.</w:t>
      </w:r>
      <w:r>
        <w:rPr>
          <w:rFonts w:hint="cs"/>
          <w:b/>
          <w:bCs/>
          <w:rtl/>
        </w:rPr>
        <w:tab/>
      </w:r>
      <w:r>
        <w:rPr>
          <w:rFonts w:hint="cs"/>
          <w:b/>
          <w:bCs/>
          <w:u w:val="single"/>
          <w:rtl/>
        </w:rPr>
        <w:t>הנסיבות שאינן קשורות בביצוע העבירה</w:t>
      </w:r>
    </w:p>
    <w:p w14:paraId="38D42B2A" w14:textId="77777777" w:rsidR="00871830" w:rsidRDefault="00871830" w:rsidP="00871830">
      <w:pPr>
        <w:spacing w:line="360" w:lineRule="auto"/>
        <w:ind w:left="720"/>
        <w:jc w:val="both"/>
        <w:rPr>
          <w:rtl/>
        </w:rPr>
      </w:pPr>
      <w:r>
        <w:rPr>
          <w:rFonts w:hint="cs"/>
          <w:rtl/>
        </w:rPr>
        <w:t xml:space="preserve">אשר לנסיבות שאינן קשורות בביצוע העבירה, הענישה היא לעולם אינדיבידואלית, ובית המשפט ישקול את השיקולים הנוגעים לנסיבותיו האישיות של הנאשם. </w:t>
      </w:r>
    </w:p>
    <w:p w14:paraId="3E88CED0" w14:textId="77777777" w:rsidR="00871830" w:rsidRPr="001E126E" w:rsidRDefault="00871830" w:rsidP="00871830">
      <w:pPr>
        <w:spacing w:line="360" w:lineRule="auto"/>
        <w:ind w:left="720"/>
        <w:jc w:val="both"/>
        <w:rPr>
          <w:sz w:val="12"/>
          <w:szCs w:val="12"/>
          <w:rtl/>
        </w:rPr>
      </w:pPr>
    </w:p>
    <w:p w14:paraId="2172D243" w14:textId="77777777" w:rsidR="00871830" w:rsidRDefault="00871830" w:rsidP="00871830">
      <w:pPr>
        <w:spacing w:line="360" w:lineRule="auto"/>
        <w:ind w:left="720"/>
        <w:jc w:val="both"/>
        <w:rPr>
          <w:rtl/>
        </w:rPr>
      </w:pPr>
      <w:r>
        <w:rPr>
          <w:rFonts w:hint="cs"/>
          <w:rtl/>
        </w:rPr>
        <w:t>מדובר בנאשם בן 49, גרוש ואב לשישה ילדים, אשר בעברו מספר הרשעות, אך מעולם לא ריצה עונש מאסר.</w:t>
      </w:r>
    </w:p>
    <w:p w14:paraId="4CF91FDE" w14:textId="77777777" w:rsidR="00871830" w:rsidRPr="001E126E" w:rsidRDefault="00871830" w:rsidP="00871830">
      <w:pPr>
        <w:spacing w:line="360" w:lineRule="auto"/>
        <w:ind w:left="720"/>
        <w:jc w:val="both"/>
        <w:rPr>
          <w:sz w:val="18"/>
          <w:szCs w:val="18"/>
          <w:rtl/>
        </w:rPr>
      </w:pPr>
    </w:p>
    <w:p w14:paraId="0C486516" w14:textId="77777777" w:rsidR="00871830" w:rsidRDefault="00871830" w:rsidP="00871830">
      <w:pPr>
        <w:spacing w:line="360" w:lineRule="auto"/>
        <w:ind w:left="720" w:hanging="720"/>
        <w:jc w:val="both"/>
        <w:rPr>
          <w:rtl/>
        </w:rPr>
      </w:pPr>
      <w:r>
        <w:rPr>
          <w:b/>
          <w:bCs/>
          <w:rtl/>
        </w:rPr>
        <w:tab/>
      </w:r>
      <w:r>
        <w:rPr>
          <w:rFonts w:hint="cs"/>
          <w:rtl/>
        </w:rPr>
        <w:t>אני רואה להתחשב בהודייתו המידית של הנאשם במשטרה, בתיקון כתב האישום המקורי בעקבות דיון משמעותי בין הצדדים, ובהודייתו בעובדות כתב האישום המתוקן בבית המשפט בהזדמנות הראשונה. כן ייזקפו לזכותו של הנאשם האחריות שנטל למעשיו, והחרטה שהביע בגינם.</w:t>
      </w:r>
    </w:p>
    <w:p w14:paraId="505AC3E0" w14:textId="77777777" w:rsidR="00871830" w:rsidRPr="00525D7B" w:rsidRDefault="00871830" w:rsidP="00871830">
      <w:pPr>
        <w:spacing w:line="360" w:lineRule="auto"/>
        <w:ind w:left="720" w:hanging="720"/>
        <w:jc w:val="both"/>
        <w:rPr>
          <w:sz w:val="18"/>
          <w:szCs w:val="18"/>
          <w:rtl/>
        </w:rPr>
      </w:pPr>
    </w:p>
    <w:p w14:paraId="45193BC5" w14:textId="77777777" w:rsidR="00871830" w:rsidRDefault="00871830" w:rsidP="00871830">
      <w:pPr>
        <w:spacing w:line="360" w:lineRule="auto"/>
        <w:ind w:left="720" w:hanging="720"/>
        <w:jc w:val="both"/>
        <w:rPr>
          <w:rtl/>
        </w:rPr>
      </w:pPr>
      <w:r>
        <w:rPr>
          <w:rtl/>
        </w:rPr>
        <w:tab/>
      </w:r>
      <w:r>
        <w:rPr>
          <w:rFonts w:hint="cs"/>
          <w:rtl/>
        </w:rPr>
        <w:t xml:space="preserve">הודייתו של הנאשם התיישבה עם האינטרס הציבורי לא רק מבחינת החיסכון בזמן שיפוטי יקר, אלא גם בעניינים הנוגעים לסוגיות מודיעיניות, חסיונות וכיוצא בזה, לרבות ההשלכות של כל אלה. </w:t>
      </w:r>
    </w:p>
    <w:p w14:paraId="7416D4C5" w14:textId="77777777" w:rsidR="00871830" w:rsidRDefault="00871830" w:rsidP="00871830">
      <w:pPr>
        <w:spacing w:line="360" w:lineRule="auto"/>
        <w:ind w:left="720" w:hanging="720"/>
        <w:jc w:val="both"/>
        <w:rPr>
          <w:rtl/>
        </w:rPr>
      </w:pPr>
      <w:r>
        <w:rPr>
          <w:rtl/>
        </w:rPr>
        <w:tab/>
      </w:r>
      <w:r>
        <w:rPr>
          <w:rFonts w:hint="cs"/>
          <w:rtl/>
        </w:rPr>
        <w:t>עוד אני רואה להתחשב בתקופת מעצרו של הנאשם בתיק זה מיום 23/2/22, ובעובדה שזה מאסרו הראשון של הנאשם.</w:t>
      </w:r>
    </w:p>
    <w:p w14:paraId="2AED9276" w14:textId="77777777" w:rsidR="00871830" w:rsidRPr="00525D7B" w:rsidRDefault="00871830" w:rsidP="00871830">
      <w:pPr>
        <w:spacing w:line="360" w:lineRule="auto"/>
        <w:ind w:left="720" w:hanging="720"/>
        <w:jc w:val="both"/>
        <w:rPr>
          <w:sz w:val="18"/>
          <w:szCs w:val="18"/>
          <w:rtl/>
        </w:rPr>
      </w:pPr>
    </w:p>
    <w:p w14:paraId="77188D4F" w14:textId="77777777" w:rsidR="00871830" w:rsidRDefault="00871830" w:rsidP="00871830">
      <w:pPr>
        <w:spacing w:line="360" w:lineRule="auto"/>
        <w:ind w:left="720" w:hanging="720"/>
        <w:jc w:val="both"/>
        <w:rPr>
          <w:b/>
          <w:bCs/>
          <w:u w:val="single"/>
          <w:rtl/>
        </w:rPr>
      </w:pPr>
      <w:r>
        <w:rPr>
          <w:rFonts w:hint="cs"/>
          <w:b/>
          <w:bCs/>
          <w:rtl/>
        </w:rPr>
        <w:t>12.</w:t>
      </w:r>
      <w:r>
        <w:rPr>
          <w:rFonts w:hint="cs"/>
          <w:b/>
          <w:bCs/>
          <w:rtl/>
        </w:rPr>
        <w:tab/>
      </w:r>
      <w:r>
        <w:rPr>
          <w:rFonts w:hint="cs"/>
          <w:b/>
          <w:bCs/>
          <w:u w:val="single"/>
          <w:rtl/>
        </w:rPr>
        <w:t>מדיניות בתי המשפט לגבי הסדרי טיעון</w:t>
      </w:r>
    </w:p>
    <w:p w14:paraId="03F204BE" w14:textId="77777777" w:rsidR="00871830" w:rsidRDefault="00871830" w:rsidP="00871830">
      <w:pPr>
        <w:spacing w:line="360" w:lineRule="auto"/>
        <w:ind w:left="720"/>
        <w:jc w:val="both"/>
        <w:rPr>
          <w:rFonts w:cs="Times New Roman"/>
          <w:sz w:val="22"/>
          <w:szCs w:val="22"/>
        </w:rPr>
      </w:pPr>
      <w:r>
        <w:rPr>
          <w:rFonts w:ascii="David" w:hAnsi="David"/>
          <w:rtl/>
        </w:rPr>
        <w:t>התשתית הנורמטיבית לעניין הסדרי טיעון נסקרה בהרחבה על ידי כב' הנשיאה ביניש</w:t>
      </w:r>
      <w:r>
        <w:rPr>
          <w:rFonts w:ascii="David" w:hAnsi="David" w:hint="cs"/>
          <w:rtl/>
        </w:rPr>
        <w:t xml:space="preserve"> ב</w:t>
      </w:r>
      <w:hyperlink r:id="rId22" w:history="1">
        <w:r w:rsidR="005B0B60" w:rsidRPr="005B0B60">
          <w:rPr>
            <w:rFonts w:ascii="David" w:hAnsi="David"/>
            <w:color w:val="0000FF"/>
            <w:u w:val="single"/>
            <w:rtl/>
          </w:rPr>
          <w:t>ע"פ 1958/98</w:t>
        </w:r>
      </w:hyperlink>
      <w:r>
        <w:rPr>
          <w:rFonts w:ascii="David" w:hAnsi="David" w:hint="cs"/>
          <w:rtl/>
        </w:rPr>
        <w:t xml:space="preserve"> </w:t>
      </w:r>
      <w:r w:rsidRPr="00DB427F">
        <w:rPr>
          <w:rFonts w:ascii="David" w:hAnsi="David" w:hint="cs"/>
          <w:b/>
          <w:bCs/>
          <w:rtl/>
        </w:rPr>
        <w:t>פלוני נ' מדינת ישראל</w:t>
      </w:r>
      <w:r>
        <w:rPr>
          <w:rFonts w:ascii="David" w:hAnsi="David" w:hint="cs"/>
          <w:rtl/>
        </w:rPr>
        <w:t>, פ"ד נז</w:t>
      </w:r>
      <w:r>
        <w:rPr>
          <w:rFonts w:ascii="David" w:hAnsi="David"/>
          <w:rtl/>
        </w:rPr>
        <w:t xml:space="preserve"> (1), 577, שם נקבע כי ככלל יקיים בית משפט הסדרי טיעון שהונחו בפניו, בשל הטעמים הקשורים בחשיבותם. בצד זה, מחובתו של בית המשפט לבחון אם הסדר הטיעון המסוים מאזן בין טובת ההנאה שמעניק ההסדר לנאשם לבין האינטרס הציבורי שיש בעונש המוצע במסגרתו. וכך נאמר</w:t>
      </w:r>
      <w:r>
        <w:rPr>
          <w:rFonts w:cs="Times New Roman" w:hint="cs"/>
          <w:sz w:val="22"/>
          <w:szCs w:val="22"/>
          <w:rtl/>
        </w:rPr>
        <w:t xml:space="preserve">: </w:t>
      </w:r>
    </w:p>
    <w:p w14:paraId="76AC9602" w14:textId="77777777" w:rsidR="00871830" w:rsidRPr="00871830" w:rsidRDefault="00871830" w:rsidP="00871830">
      <w:pPr>
        <w:spacing w:after="160" w:line="256" w:lineRule="auto"/>
        <w:ind w:left="720"/>
        <w:jc w:val="both"/>
        <w:rPr>
          <w:rFonts w:ascii="Calibri" w:hAnsi="Calibri" w:cs="Arial"/>
          <w:sz w:val="14"/>
          <w:szCs w:val="14"/>
          <w:rtl/>
        </w:rPr>
      </w:pPr>
    </w:p>
    <w:p w14:paraId="5603B247" w14:textId="77777777" w:rsidR="00871830" w:rsidRPr="00871830" w:rsidRDefault="00871830" w:rsidP="00871830">
      <w:pPr>
        <w:spacing w:after="160" w:line="360" w:lineRule="auto"/>
        <w:ind w:left="1440"/>
        <w:jc w:val="both"/>
        <w:rPr>
          <w:rFonts w:ascii="Calibri" w:hAnsi="Calibri" w:cs="Times New Roman"/>
          <w:sz w:val="2"/>
          <w:szCs w:val="2"/>
          <w:rtl/>
        </w:rPr>
      </w:pPr>
      <w:r>
        <w:rPr>
          <w:rFonts w:cs="Miriam"/>
          <w:rtl/>
        </w:rPr>
        <w:t xml:space="preserve">"... במסגרת בחינתו של העונש המוצע, ייתן בית-המשפט דעתו לכל שיקולי הענישה הרלוונטיים, ויבחן אם מקיים העונש המוצע את האיזון הדרוש ביניהם. לשם כך, יבחן בית -המשפט את העונש ההולם בנסיבות העניין, וישקיף עליו גם באספקלריה שהעמידה לרשותו התביעה בהסדר הטיעון שערכה. בבחינת הסדר הטיעון, נקודת המוצא היא מידת העונש המוצע בשים לב לסוג העבירה, לחומרתה ולנסיבות ביצועה. כמו בכל הליך של גזירת-הדין, ייתן בית-המשפט דעתו גם לנסיבות האישיות של הנאשם ולשיקולי מדיניות של ענישה ראויה, ויתחשב בכל אלה... הוא יבחן את העונש על -פי אמות המידה שמנינו, ויבדוק אם העונש המוסכם שהוצע לו אינו מפר את האיזון הדרוש בין טובת ההנאה שהנאשם מקבל לבין אינטרס הציבור. אם שוכנע בית-המשפט בקיומו של איזון כאמור, יאמץ את הסדר הטיעון. אם הופר האיזון האמור, אם התביעה הכללית חרגה בהפעלת השקלול ההולם במזיד, בשוגג או בתום -לב, ואם ציפיות הנאשם מנותקות מהצדקה עניינית, יסטה בית-המשפט מההסדר המוצע ויגזור את הדין על-פי שיקול-דעתו". </w:t>
      </w:r>
      <w:r>
        <w:rPr>
          <w:rFonts w:ascii="David" w:hAnsi="David"/>
          <w:rtl/>
        </w:rPr>
        <w:t>(שם, בעמ' 607- 610; כן ראו</w:t>
      </w:r>
      <w:r>
        <w:rPr>
          <w:rFonts w:ascii="David" w:hAnsi="David" w:hint="cs"/>
          <w:rtl/>
        </w:rPr>
        <w:t xml:space="preserve"> </w:t>
      </w:r>
      <w:hyperlink r:id="rId23" w:history="1">
        <w:r w:rsidR="005B0B60" w:rsidRPr="005B0B60">
          <w:rPr>
            <w:rFonts w:ascii="David" w:hAnsi="David"/>
            <w:color w:val="0000FF"/>
            <w:u w:val="single"/>
            <w:rtl/>
          </w:rPr>
          <w:t>ע"פ 1717/06</w:t>
        </w:r>
      </w:hyperlink>
      <w:r>
        <w:rPr>
          <w:rFonts w:ascii="David" w:hAnsi="David"/>
          <w:rtl/>
        </w:rPr>
        <w:t xml:space="preserve"> </w:t>
      </w:r>
      <w:r>
        <w:rPr>
          <w:rFonts w:ascii="David" w:hAnsi="David" w:hint="cs"/>
          <w:b/>
          <w:bCs/>
          <w:rtl/>
        </w:rPr>
        <w:t>אבו זינה נ' מ"י</w:t>
      </w:r>
      <w:r>
        <w:rPr>
          <w:rFonts w:ascii="David" w:hAnsi="David" w:hint="cs"/>
          <w:rtl/>
        </w:rPr>
        <w:t xml:space="preserve"> (12/11/07)</w:t>
      </w:r>
      <w:r>
        <w:rPr>
          <w:rtl/>
          <w:lang w:eastAsia="he-IL"/>
        </w:rPr>
        <w:t>, מפי כב' הש' רובינשטיין</w:t>
      </w:r>
      <w:r>
        <w:rPr>
          <w:rFonts w:ascii="David" w:hAnsi="David"/>
          <w:rtl/>
        </w:rPr>
        <w:t>; ראו גם</w:t>
      </w:r>
      <w:r>
        <w:rPr>
          <w:rFonts w:ascii="David" w:hAnsi="David" w:hint="cs"/>
          <w:rtl/>
        </w:rPr>
        <w:t xml:space="preserve"> </w:t>
      </w:r>
      <w:hyperlink r:id="rId24" w:history="1">
        <w:r w:rsidR="005B0B60" w:rsidRPr="005B0B60">
          <w:rPr>
            <w:rFonts w:ascii="David" w:hAnsi="David"/>
            <w:color w:val="0000FF"/>
            <w:u w:val="single"/>
            <w:rtl/>
          </w:rPr>
          <w:t>ע"פ 351/07</w:t>
        </w:r>
      </w:hyperlink>
      <w:r>
        <w:rPr>
          <w:rFonts w:ascii="David" w:hAnsi="David"/>
          <w:rtl/>
        </w:rPr>
        <w:t xml:space="preserve"> </w:t>
      </w:r>
      <w:r>
        <w:rPr>
          <w:rFonts w:ascii="David" w:hAnsi="David" w:hint="cs"/>
          <w:b/>
          <w:bCs/>
          <w:rtl/>
        </w:rPr>
        <w:t xml:space="preserve">פלוני נ' מ"י </w:t>
      </w:r>
      <w:r>
        <w:rPr>
          <w:rFonts w:ascii="David" w:hAnsi="David" w:hint="cs"/>
          <w:rtl/>
        </w:rPr>
        <w:t xml:space="preserve">(6/6/07), </w:t>
      </w:r>
      <w:r>
        <w:rPr>
          <w:rtl/>
          <w:lang w:eastAsia="he-IL"/>
        </w:rPr>
        <w:t>מפי כב' הש' פוגלמן</w:t>
      </w:r>
      <w:r>
        <w:rPr>
          <w:rFonts w:ascii="David" w:hAnsi="David"/>
          <w:rtl/>
        </w:rPr>
        <w:t>).</w:t>
      </w:r>
    </w:p>
    <w:p w14:paraId="66DB28D4" w14:textId="77777777" w:rsidR="00871830" w:rsidRPr="00871830" w:rsidRDefault="00871830" w:rsidP="00871830">
      <w:pPr>
        <w:spacing w:after="160" w:line="360" w:lineRule="auto"/>
        <w:ind w:left="720"/>
        <w:jc w:val="both"/>
        <w:rPr>
          <w:rFonts w:ascii="Calibri" w:hAnsi="Calibri" w:cs="Arial"/>
          <w:sz w:val="2"/>
          <w:szCs w:val="2"/>
          <w:rtl/>
        </w:rPr>
      </w:pPr>
      <w:r>
        <w:rPr>
          <w:rFonts w:ascii="David" w:hAnsi="David"/>
          <w:rtl/>
        </w:rPr>
        <w:t xml:space="preserve">עם זאת, הלכה היא כי רק במקרים חריגים יסטה בית המשפט מהסדר טיעון, אם שוכנע כי בשיקולי התביעה נפל פגם משמעותי, ואין די בכך שהענישה שונה מהענישה הראויה לפי השקפתו של בית המשפט כדי לקיים תנאי זה: </w:t>
      </w:r>
      <w:r w:rsidR="005B0B60">
        <w:rPr>
          <w:rFonts w:cs="Times New Roman" w:hint="cs"/>
          <w:sz w:val="22"/>
          <w:szCs w:val="22"/>
          <w:rtl/>
        </w:rPr>
        <w:t xml:space="preserve"> </w:t>
      </w:r>
    </w:p>
    <w:p w14:paraId="00BA4175" w14:textId="77777777" w:rsidR="00871830" w:rsidRPr="00871830" w:rsidRDefault="00871830" w:rsidP="00871830">
      <w:pPr>
        <w:spacing w:after="160" w:line="360" w:lineRule="auto"/>
        <w:ind w:left="720"/>
        <w:jc w:val="both"/>
        <w:rPr>
          <w:rFonts w:ascii="Calibri" w:hAnsi="Calibri" w:cs="Arial"/>
          <w:sz w:val="2"/>
          <w:szCs w:val="2"/>
          <w:rtl/>
        </w:rPr>
      </w:pPr>
    </w:p>
    <w:p w14:paraId="046DE353" w14:textId="77777777" w:rsidR="00871830" w:rsidRDefault="00871830" w:rsidP="00871830">
      <w:pPr>
        <w:spacing w:after="160" w:line="360" w:lineRule="auto"/>
        <w:ind w:left="1440"/>
        <w:jc w:val="both"/>
        <w:rPr>
          <w:rtl/>
          <w:lang w:eastAsia="he-IL"/>
        </w:rPr>
      </w:pPr>
      <w:r>
        <w:rPr>
          <w:rFonts w:cs="Miriam"/>
          <w:rtl/>
        </w:rPr>
        <w:t xml:space="preserve">"אכן, בגוזרו את העונש על בית המשפט לבחון את מכלול השיקולים הצריכים לעניין והעובדה שהושג הסדר טיעון אין בה כדי לפטור אותו מחובתו זו. אולם, מקום שבו מוצג בפני בית המשפט הסדר טיעון צריך הסדר זה להוות שיקול מרכזי בשיקוליו של בית המשפט הגוזר את העונש וככלל על בית המשפט לקיימו (ראו: </w:t>
      </w:r>
      <w:hyperlink r:id="rId25" w:history="1">
        <w:r w:rsidR="005B0B60" w:rsidRPr="005B0B60">
          <w:rPr>
            <w:rFonts w:cs="Miriam"/>
            <w:color w:val="0000FF"/>
            <w:u w:val="single"/>
            <w:rtl/>
          </w:rPr>
          <w:t>ע"פ 1958/98</w:t>
        </w:r>
      </w:hyperlink>
      <w:r>
        <w:rPr>
          <w:rFonts w:cs="Miriam"/>
          <w:rtl/>
        </w:rPr>
        <w:t xml:space="preserve"> פלוני נ' מ"י, פ"ד נז (1) 577, להלן: עניין פלוני). המקרים בהם יסטה בית המשפט מהסדר טיעון, על פי גישת האיזון שאומצה בעניין פלוני הנ"ל, הם אפוא המקרים החריגים ובית המשפט יעשה כן מקום ששוכנע כי נפל פגם משמעותי בשיקולי התביעה. לעומת זאת, העובדה לבדה שהעונש עליו הוסכם איננו העונש שראוי היה להטילו בנסיבות המקרה לפי השקפתו של בית המשפט, אין די בה כדי להביא לסטייה מן ההסדר</w:t>
      </w:r>
      <w:r>
        <w:rPr>
          <w:rFonts w:cs="Times New Roman" w:hint="cs"/>
          <w:rtl/>
        </w:rPr>
        <w:t xml:space="preserve">". </w:t>
      </w:r>
      <w:r>
        <w:rPr>
          <w:rtl/>
          <w:lang w:eastAsia="he-IL"/>
        </w:rPr>
        <w:t>(</w:t>
      </w:r>
      <w:hyperlink r:id="rId26" w:history="1">
        <w:r w:rsidR="005B0B60" w:rsidRPr="005B0B60">
          <w:rPr>
            <w:color w:val="0000FF"/>
            <w:u w:val="single"/>
            <w:rtl/>
            <w:lang w:eastAsia="he-IL"/>
          </w:rPr>
          <w:t>ע"פ 9600/04</w:t>
        </w:r>
      </w:hyperlink>
      <w:r>
        <w:rPr>
          <w:rtl/>
          <w:lang w:eastAsia="he-IL"/>
        </w:rPr>
        <w:t xml:space="preserve"> </w:t>
      </w:r>
      <w:r>
        <w:rPr>
          <w:b/>
          <w:bCs/>
          <w:rtl/>
          <w:lang w:eastAsia="he-IL"/>
        </w:rPr>
        <w:t>משראקי נ' מ"י</w:t>
      </w:r>
      <w:r>
        <w:rPr>
          <w:rtl/>
          <w:lang w:eastAsia="he-IL"/>
        </w:rPr>
        <w:t xml:space="preserve"> (2/3/05), מפי כב' הש' חיות). </w:t>
      </w:r>
    </w:p>
    <w:p w14:paraId="06B69503" w14:textId="77777777" w:rsidR="00871830" w:rsidRDefault="00871830" w:rsidP="00871830">
      <w:pPr>
        <w:spacing w:line="360" w:lineRule="auto"/>
        <w:ind w:left="720"/>
        <w:jc w:val="both"/>
        <w:rPr>
          <w:sz w:val="14"/>
          <w:szCs w:val="14"/>
          <w:rtl/>
          <w:lang w:eastAsia="he-IL"/>
        </w:rPr>
      </w:pPr>
    </w:p>
    <w:p w14:paraId="257F595C" w14:textId="77777777" w:rsidR="00871830" w:rsidRDefault="00871830" w:rsidP="00871830">
      <w:pPr>
        <w:spacing w:line="360" w:lineRule="auto"/>
        <w:ind w:left="720"/>
        <w:jc w:val="both"/>
        <w:rPr>
          <w:rtl/>
        </w:rPr>
      </w:pPr>
      <w:r>
        <w:rPr>
          <w:rtl/>
          <w:lang w:eastAsia="he-IL"/>
        </w:rPr>
        <w:t xml:space="preserve">לפיכך, לאחר </w:t>
      </w:r>
      <w:r w:rsidRPr="00871830">
        <w:rPr>
          <w:rFonts w:ascii="Calibri" w:hAnsi="Calibri"/>
          <w:rtl/>
          <w:lang w:eastAsia="he-IL"/>
        </w:rPr>
        <w:t>שמיעת טיעוניהם של הצדדים ביחס למכלול השיקולים שהנחו אותם בהגיעם להסדר,</w:t>
      </w:r>
      <w:r>
        <w:rPr>
          <w:rtl/>
          <w:lang w:eastAsia="he-IL"/>
        </w:rPr>
        <w:t xml:space="preserve"> עריכת איזונים בין מכלול השיקולים הנדרשים -  </w:t>
      </w:r>
      <w:r w:rsidRPr="00871830">
        <w:rPr>
          <w:rFonts w:ascii="Calibri" w:hAnsi="Calibri"/>
          <w:rtl/>
          <w:lang w:eastAsia="he-IL"/>
        </w:rPr>
        <w:t xml:space="preserve">חומרת העבירות בה הורשעו הנאשמים ומדיניות הענישה הראויה בעבירות כגון דא מחד גיסא, מול </w:t>
      </w:r>
      <w:r>
        <w:rPr>
          <w:rtl/>
        </w:rPr>
        <w:t>טיעוני הצדדים בדבר קשיים ראייתיים בהוכחת אשמתם של הנאשמים</w:t>
      </w:r>
      <w:r w:rsidRPr="00871830">
        <w:rPr>
          <w:rFonts w:ascii="Calibri" w:hAnsi="Calibri"/>
          <w:rtl/>
          <w:lang w:eastAsia="he-IL"/>
        </w:rPr>
        <w:t>, נסיבותיו האישיות של כל נאשם, הודייתו, חרטתו והסתמכותו על הסדר הטיעון, תוך מחילה על זכותו לטעון לחפותו ולדרוש מהתביעה כי תוכיח אשמתו מעבר לכל ספק סביר מאידך גיסא -  סבורני כי אין עסקינן באותם מקרים חריגים בהם יהא זה מן המידה לסטות מהסדר הטיעון שהוצג בפני. חזקה על הצדדים כי שקלו היטב את שיקוליהם בהגיעם להסדר המתואר לעיל</w:t>
      </w:r>
      <w:r w:rsidRPr="00871830">
        <w:rPr>
          <w:rFonts w:ascii="Calibri" w:hAnsi="Calibri" w:hint="cs"/>
          <w:rtl/>
          <w:lang w:eastAsia="he-IL"/>
        </w:rPr>
        <w:t xml:space="preserve">. </w:t>
      </w:r>
      <w:r>
        <w:rPr>
          <w:rFonts w:hint="cs"/>
          <w:rtl/>
        </w:rPr>
        <w:t xml:space="preserve"> </w:t>
      </w:r>
    </w:p>
    <w:p w14:paraId="2193DAA6" w14:textId="77777777" w:rsidR="00871830" w:rsidRPr="00DB427F" w:rsidRDefault="00871830" w:rsidP="00871830">
      <w:pPr>
        <w:spacing w:line="360" w:lineRule="auto"/>
        <w:ind w:left="720"/>
        <w:jc w:val="both"/>
        <w:rPr>
          <w:sz w:val="12"/>
          <w:szCs w:val="12"/>
          <w:rtl/>
        </w:rPr>
      </w:pPr>
    </w:p>
    <w:p w14:paraId="4037CF26" w14:textId="77777777" w:rsidR="00871830" w:rsidRPr="007021B8" w:rsidRDefault="00871830" w:rsidP="00871830">
      <w:pPr>
        <w:spacing w:line="360" w:lineRule="auto"/>
        <w:ind w:left="720"/>
        <w:jc w:val="both"/>
        <w:rPr>
          <w:rtl/>
        </w:rPr>
      </w:pPr>
      <w:r>
        <w:rPr>
          <w:rFonts w:hint="cs"/>
          <w:rtl/>
        </w:rPr>
        <w:t xml:space="preserve">למען הסר ספק, אלמלא הסדר הטיעון, היה העונש הראוי וההולם לנאשם גבוה מהעונש המוסכם, אך בשים לב להסכם שהתגבש ונימוקיו, אינני רואה למצות עמו את הדין ומכבדת את הסדר הטיעון כפי שהוצג על ידי באי כוח הצדדים. </w:t>
      </w:r>
    </w:p>
    <w:p w14:paraId="3812AB2A" w14:textId="77777777" w:rsidR="00871830" w:rsidRDefault="00871830" w:rsidP="00871830">
      <w:pPr>
        <w:spacing w:line="360" w:lineRule="auto"/>
        <w:ind w:left="720" w:hanging="720"/>
        <w:jc w:val="both"/>
        <w:rPr>
          <w:b/>
          <w:bCs/>
          <w:rtl/>
        </w:rPr>
      </w:pPr>
    </w:p>
    <w:p w14:paraId="3F3D333D" w14:textId="77777777" w:rsidR="00871830" w:rsidRDefault="00871830" w:rsidP="00871830">
      <w:pPr>
        <w:spacing w:line="360" w:lineRule="auto"/>
        <w:ind w:left="720" w:hanging="720"/>
        <w:jc w:val="both"/>
        <w:rPr>
          <w:b/>
          <w:bCs/>
          <w:u w:val="single"/>
          <w:rtl/>
        </w:rPr>
      </w:pPr>
      <w:r>
        <w:rPr>
          <w:rFonts w:hint="cs"/>
          <w:b/>
          <w:bCs/>
          <w:rtl/>
        </w:rPr>
        <w:t>13.</w:t>
      </w:r>
      <w:r>
        <w:rPr>
          <w:rFonts w:hint="cs"/>
          <w:b/>
          <w:bCs/>
          <w:rtl/>
        </w:rPr>
        <w:tab/>
      </w:r>
      <w:r>
        <w:rPr>
          <w:rFonts w:hint="cs"/>
          <w:b/>
          <w:bCs/>
          <w:u w:val="single"/>
          <w:rtl/>
        </w:rPr>
        <w:t>סוף דבר</w:t>
      </w:r>
    </w:p>
    <w:p w14:paraId="29E381DB" w14:textId="77777777" w:rsidR="00871830" w:rsidRDefault="00871830" w:rsidP="00871830">
      <w:pPr>
        <w:spacing w:line="360" w:lineRule="auto"/>
        <w:ind w:left="720" w:hanging="720"/>
        <w:jc w:val="both"/>
        <w:rPr>
          <w:rtl/>
        </w:rPr>
      </w:pPr>
      <w:r>
        <w:rPr>
          <w:b/>
          <w:bCs/>
          <w:rtl/>
        </w:rPr>
        <w:tab/>
      </w:r>
      <w:r>
        <w:rPr>
          <w:rFonts w:hint="cs"/>
          <w:rtl/>
        </w:rPr>
        <w:t>נוכח כל המקובץ, אני רואה לקבל את הסדר הטיעון, וגוזרת על הנאשם עונשים כדלהלן:</w:t>
      </w:r>
    </w:p>
    <w:p w14:paraId="17F9681B" w14:textId="77777777" w:rsidR="00871830" w:rsidRPr="001E126E" w:rsidRDefault="00871830" w:rsidP="00871830">
      <w:pPr>
        <w:spacing w:line="360" w:lineRule="auto"/>
        <w:ind w:left="720" w:hanging="720"/>
        <w:jc w:val="both"/>
        <w:rPr>
          <w:sz w:val="18"/>
          <w:szCs w:val="18"/>
          <w:rtl/>
        </w:rPr>
      </w:pPr>
    </w:p>
    <w:p w14:paraId="561B9A77" w14:textId="77777777" w:rsidR="00871830" w:rsidRDefault="00871830" w:rsidP="00871830">
      <w:pPr>
        <w:spacing w:line="360" w:lineRule="auto"/>
        <w:ind w:left="720" w:hanging="720"/>
        <w:jc w:val="both"/>
        <w:rPr>
          <w:rtl/>
        </w:rPr>
      </w:pPr>
      <w:r>
        <w:rPr>
          <w:rtl/>
        </w:rPr>
        <w:tab/>
      </w:r>
      <w:r>
        <w:rPr>
          <w:rFonts w:hint="cs"/>
          <w:rtl/>
        </w:rPr>
        <w:t>א. 12 חודשי מאסר בפועל בניכוי ימי מעצרו של הנאשם בתיק זה מיום 23/2/22 ועד היום.</w:t>
      </w:r>
    </w:p>
    <w:p w14:paraId="7C01AC15" w14:textId="77777777" w:rsidR="00871830" w:rsidRDefault="00871830" w:rsidP="00871830">
      <w:pPr>
        <w:spacing w:line="360" w:lineRule="auto"/>
        <w:ind w:left="720" w:hanging="720"/>
        <w:jc w:val="both"/>
        <w:rPr>
          <w:rtl/>
        </w:rPr>
      </w:pPr>
    </w:p>
    <w:p w14:paraId="67338E33" w14:textId="77777777" w:rsidR="00871830" w:rsidRDefault="00871830" w:rsidP="00871830">
      <w:pPr>
        <w:spacing w:line="360" w:lineRule="auto"/>
        <w:ind w:left="720" w:hanging="720"/>
        <w:jc w:val="both"/>
        <w:rPr>
          <w:rtl/>
        </w:rPr>
      </w:pPr>
      <w:r>
        <w:rPr>
          <w:rtl/>
        </w:rPr>
        <w:tab/>
      </w:r>
      <w:r>
        <w:rPr>
          <w:rFonts w:hint="cs"/>
          <w:rtl/>
        </w:rPr>
        <w:t xml:space="preserve">ב. מאסר על תנאי למשך 21 חודשים שהנאשם לא יישא בו זולת אם יעבור בתוך 3 שנים מיום שחרורו עבירה מהעבירות שבהן הורשע ו/או כל עבירת נשק מסוג פשע, ויורשע בה בתוך תקופת התנאי או לאחריה. </w:t>
      </w:r>
    </w:p>
    <w:p w14:paraId="3FE31C02" w14:textId="77777777" w:rsidR="00871830" w:rsidRPr="005B0B60" w:rsidRDefault="005B0B60" w:rsidP="00871830">
      <w:pPr>
        <w:spacing w:line="360" w:lineRule="auto"/>
        <w:ind w:left="720" w:hanging="720"/>
        <w:jc w:val="both"/>
        <w:rPr>
          <w:color w:val="FFFFFF"/>
          <w:sz w:val="2"/>
          <w:szCs w:val="2"/>
          <w:rtl/>
        </w:rPr>
      </w:pPr>
      <w:r w:rsidRPr="005B0B60">
        <w:rPr>
          <w:color w:val="FFFFFF"/>
          <w:sz w:val="2"/>
          <w:szCs w:val="2"/>
          <w:rtl/>
        </w:rPr>
        <w:t>5129371</w:t>
      </w:r>
    </w:p>
    <w:p w14:paraId="06B65EA2" w14:textId="77777777" w:rsidR="00871830" w:rsidRPr="00DB427F" w:rsidRDefault="005B0B60" w:rsidP="00871830">
      <w:pPr>
        <w:spacing w:line="360" w:lineRule="auto"/>
        <w:ind w:left="720"/>
        <w:jc w:val="both"/>
        <w:rPr>
          <w:b/>
          <w:bCs/>
          <w:u w:val="single"/>
          <w:rtl/>
        </w:rPr>
      </w:pPr>
      <w:r w:rsidRPr="005B0B60">
        <w:rPr>
          <w:b/>
          <w:bCs/>
          <w:color w:val="FFFFFF"/>
          <w:sz w:val="2"/>
          <w:szCs w:val="2"/>
          <w:u w:val="single"/>
          <w:rtl/>
        </w:rPr>
        <w:t>54678313</w:t>
      </w:r>
      <w:r w:rsidR="00871830" w:rsidRPr="00DB427F">
        <w:rPr>
          <w:rFonts w:hint="cs"/>
          <w:b/>
          <w:bCs/>
          <w:u w:val="single"/>
          <w:rtl/>
        </w:rPr>
        <w:t>זכות ערעור תוך 45 יום מהיום.</w:t>
      </w:r>
    </w:p>
    <w:p w14:paraId="1D592187" w14:textId="77777777" w:rsidR="00871830" w:rsidRPr="00332211" w:rsidRDefault="00871830" w:rsidP="00871830">
      <w:pPr>
        <w:jc w:val="both"/>
        <w:rPr>
          <w:b/>
          <w:bCs/>
          <w:u w:val="single"/>
          <w:rtl/>
        </w:rPr>
      </w:pPr>
      <w:r>
        <w:rPr>
          <w:rtl/>
        </w:rPr>
        <w:tab/>
      </w:r>
    </w:p>
    <w:p w14:paraId="7F68061D" w14:textId="77777777" w:rsidR="00871830" w:rsidRPr="000F2247" w:rsidRDefault="005B0B60" w:rsidP="00871830">
      <w:pPr>
        <w:jc w:val="both"/>
        <w:rPr>
          <w:rFonts w:ascii="Arial" w:hAnsi="Arial"/>
          <w:b/>
          <w:bCs/>
          <w:sz w:val="26"/>
          <w:szCs w:val="26"/>
          <w:rtl/>
        </w:rPr>
      </w:pPr>
      <w:bookmarkStart w:id="7" w:name="Nitan"/>
      <w:r>
        <w:rPr>
          <w:rFonts w:ascii="Arial" w:hAnsi="Arial"/>
          <w:b/>
          <w:bCs/>
          <w:sz w:val="26"/>
          <w:szCs w:val="26"/>
          <w:rtl/>
        </w:rPr>
        <w:t xml:space="preserve">ניתן היום,  ט"ז סיוון תשפ"ב, 15 יוני 2022, במעמד באי כוח הצדדים והנאשם. </w:t>
      </w:r>
      <w:bookmarkEnd w:id="7"/>
    </w:p>
    <w:p w14:paraId="54BF9114" w14:textId="77777777" w:rsidR="00871830" w:rsidRPr="000F2247" w:rsidRDefault="00871830" w:rsidP="005B0B60">
      <w:pPr>
        <w:jc w:val="both"/>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42D808F" w14:textId="77777777" w:rsidR="00871830" w:rsidRPr="000F2247" w:rsidRDefault="00871830" w:rsidP="00871830">
      <w:pPr>
        <w:jc w:val="both"/>
        <w:rPr>
          <w:rFonts w:ascii="Arial" w:hAnsi="Arial"/>
          <w:b/>
          <w:bCs/>
          <w:sz w:val="26"/>
          <w:szCs w:val="26"/>
          <w:rtl/>
        </w:rPr>
      </w:pPr>
    </w:p>
    <w:p w14:paraId="70A9D50C" w14:textId="77777777" w:rsidR="00B47F87" w:rsidRPr="005B0B60" w:rsidRDefault="00B47F87" w:rsidP="005B0B60">
      <w:pPr>
        <w:keepNext/>
        <w:rPr>
          <w:rFonts w:ascii="David" w:hAnsi="David"/>
          <w:color w:val="000000"/>
          <w:sz w:val="22"/>
          <w:szCs w:val="22"/>
          <w:rtl/>
        </w:rPr>
      </w:pPr>
    </w:p>
    <w:p w14:paraId="3E5F2B2A" w14:textId="77777777" w:rsidR="005B0B60" w:rsidRPr="005B0B60" w:rsidRDefault="005B0B60" w:rsidP="005B0B60">
      <w:pPr>
        <w:keepNext/>
        <w:rPr>
          <w:rFonts w:ascii="David" w:hAnsi="David"/>
          <w:color w:val="000000"/>
          <w:sz w:val="22"/>
          <w:szCs w:val="22"/>
          <w:rtl/>
        </w:rPr>
      </w:pPr>
      <w:r w:rsidRPr="005B0B60">
        <w:rPr>
          <w:rFonts w:ascii="David" w:hAnsi="David"/>
          <w:color w:val="000000"/>
          <w:sz w:val="22"/>
          <w:szCs w:val="22"/>
          <w:rtl/>
        </w:rPr>
        <w:t>דיאנה סלע 54678313</w:t>
      </w:r>
    </w:p>
    <w:p w14:paraId="6407C332" w14:textId="77777777" w:rsidR="005B0B60" w:rsidRDefault="005B0B60" w:rsidP="005B0B60">
      <w:r w:rsidRPr="005B0B60">
        <w:rPr>
          <w:color w:val="000000"/>
          <w:rtl/>
        </w:rPr>
        <w:t>נוסח מסמך זה כפוף לשינויי ניסוח ועריכה</w:t>
      </w:r>
    </w:p>
    <w:p w14:paraId="18D8464F" w14:textId="77777777" w:rsidR="005B0B60" w:rsidRDefault="005B0B60" w:rsidP="005B0B60">
      <w:pPr>
        <w:rPr>
          <w:rtl/>
        </w:rPr>
      </w:pPr>
    </w:p>
    <w:p w14:paraId="3C0E02D1" w14:textId="77777777" w:rsidR="005B0B60" w:rsidRDefault="005B0B60" w:rsidP="005B0B60">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008ED5A9" w14:textId="77777777" w:rsidR="005B0B60" w:rsidRPr="005B0B60" w:rsidRDefault="005B0B60" w:rsidP="005B0B60">
      <w:pPr>
        <w:jc w:val="center"/>
        <w:rPr>
          <w:color w:val="0000FF"/>
          <w:u w:val="single"/>
        </w:rPr>
      </w:pPr>
    </w:p>
    <w:sectPr w:rsidR="005B0B60" w:rsidRPr="005B0B60" w:rsidSect="005B0B60">
      <w:headerReference w:type="even" r:id="rId28"/>
      <w:headerReference w:type="default" r:id="rId29"/>
      <w:footerReference w:type="even" r:id="rId30"/>
      <w:footerReference w:type="default" r:id="rId31"/>
      <w:pgSz w:w="11907" w:h="16840" w:code="9"/>
      <w:pgMar w:top="1701" w:right="1304" w:bottom="1440" w:left="153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D1A6D1" w14:textId="77777777" w:rsidR="009B5259" w:rsidRDefault="009B5259" w:rsidP="00617D1B">
      <w:r>
        <w:separator/>
      </w:r>
    </w:p>
  </w:endnote>
  <w:endnote w:type="continuationSeparator" w:id="0">
    <w:p w14:paraId="7AA4E9B2" w14:textId="77777777" w:rsidR="009B5259" w:rsidRDefault="009B5259" w:rsidP="00617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6199C" w14:textId="77777777" w:rsidR="005B0B60" w:rsidRDefault="005B0B60" w:rsidP="005B0B6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D15DBF" w14:textId="77777777" w:rsidR="00094007" w:rsidRPr="005B0B60" w:rsidRDefault="005B0B60" w:rsidP="005B0B6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228D4" w14:textId="77777777" w:rsidR="005B0B60" w:rsidRDefault="005B0B60" w:rsidP="005B0B6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02BB3">
      <w:rPr>
        <w:rFonts w:ascii="FrankRuehl" w:hAnsi="FrankRuehl" w:cs="FrankRuehl"/>
        <w:noProof/>
        <w:rtl/>
      </w:rPr>
      <w:t>1</w:t>
    </w:r>
    <w:r>
      <w:rPr>
        <w:rFonts w:ascii="FrankRuehl" w:hAnsi="FrankRuehl" w:cs="FrankRuehl"/>
        <w:rtl/>
      </w:rPr>
      <w:fldChar w:fldCharType="end"/>
    </w:r>
  </w:p>
  <w:p w14:paraId="65451193" w14:textId="77777777" w:rsidR="00094007" w:rsidRPr="005B0B60" w:rsidRDefault="005B0B60" w:rsidP="005B0B6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8BA1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C1B945" w14:textId="77777777" w:rsidR="009B5259" w:rsidRDefault="009B5259" w:rsidP="00617D1B">
      <w:r>
        <w:separator/>
      </w:r>
    </w:p>
  </w:footnote>
  <w:footnote w:type="continuationSeparator" w:id="0">
    <w:p w14:paraId="7E94048F" w14:textId="77777777" w:rsidR="009B5259" w:rsidRDefault="009B5259" w:rsidP="00617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6FFCD" w14:textId="77777777" w:rsidR="005B0B60" w:rsidRPr="005B0B60" w:rsidRDefault="005B0B60" w:rsidP="005B0B6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43581-03-22</w:t>
    </w:r>
    <w:r>
      <w:rPr>
        <w:rFonts w:ascii="David" w:hAnsi="David"/>
        <w:color w:val="000000"/>
        <w:sz w:val="22"/>
        <w:szCs w:val="22"/>
        <w:rtl/>
      </w:rPr>
      <w:tab/>
      <w:t xml:space="preserve"> מדינת ישראל נ' פאדי נג'מי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AAED8A" w14:textId="77777777" w:rsidR="005B0B60" w:rsidRPr="005B0B60" w:rsidRDefault="005B0B60" w:rsidP="005B0B6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43581-03-22</w:t>
    </w:r>
    <w:r>
      <w:rPr>
        <w:rFonts w:ascii="David" w:hAnsi="David"/>
        <w:color w:val="000000"/>
        <w:sz w:val="22"/>
        <w:szCs w:val="22"/>
        <w:rtl/>
      </w:rPr>
      <w:tab/>
      <w:t xml:space="preserve"> מדינת ישראל נ' פאדי נג'מי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71830"/>
    <w:rsid w:val="00094007"/>
    <w:rsid w:val="001B5A3B"/>
    <w:rsid w:val="00357DE6"/>
    <w:rsid w:val="00587260"/>
    <w:rsid w:val="005B0B60"/>
    <w:rsid w:val="00617D1B"/>
    <w:rsid w:val="008306E5"/>
    <w:rsid w:val="00871830"/>
    <w:rsid w:val="00887104"/>
    <w:rsid w:val="00902BB3"/>
    <w:rsid w:val="009B5259"/>
    <w:rsid w:val="00AF3B06"/>
    <w:rsid w:val="00B47F87"/>
    <w:rsid w:val="00D83831"/>
    <w:rsid w:val="00E947EC"/>
    <w:rsid w:val="00F260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518866"/>
  <w15:chartTrackingRefBased/>
  <w15:docId w15:val="{8B9EFF6A-66DC-4C60-83CF-83A206D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7183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71830"/>
    <w:pPr>
      <w:tabs>
        <w:tab w:val="center" w:pos="4153"/>
        <w:tab w:val="right" w:pos="8306"/>
      </w:tabs>
    </w:pPr>
  </w:style>
  <w:style w:type="character" w:customStyle="1" w:styleId="a4">
    <w:name w:val="כותרת עליונה תו"/>
    <w:link w:val="a3"/>
    <w:rsid w:val="00871830"/>
    <w:rPr>
      <w:rFonts w:ascii="Times New Roman" w:eastAsia="Times New Roman" w:hAnsi="Times New Roman" w:cs="David"/>
      <w:sz w:val="24"/>
      <w:szCs w:val="24"/>
    </w:rPr>
  </w:style>
  <w:style w:type="paragraph" w:styleId="a5">
    <w:name w:val="footer"/>
    <w:basedOn w:val="a"/>
    <w:link w:val="a6"/>
    <w:rsid w:val="00871830"/>
    <w:pPr>
      <w:tabs>
        <w:tab w:val="center" w:pos="4153"/>
        <w:tab w:val="right" w:pos="8306"/>
      </w:tabs>
    </w:pPr>
  </w:style>
  <w:style w:type="character" w:customStyle="1" w:styleId="a6">
    <w:name w:val="כותרת תחתונה תו"/>
    <w:link w:val="a5"/>
    <w:rsid w:val="00871830"/>
    <w:rPr>
      <w:rFonts w:ascii="Times New Roman" w:eastAsia="Times New Roman" w:hAnsi="Times New Roman" w:cs="David"/>
      <w:sz w:val="24"/>
      <w:szCs w:val="24"/>
    </w:rPr>
  </w:style>
  <w:style w:type="table" w:styleId="a7">
    <w:name w:val="Table Grid"/>
    <w:basedOn w:val="a1"/>
    <w:rsid w:val="0087183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71830"/>
  </w:style>
  <w:style w:type="character" w:styleId="Hyperlink">
    <w:name w:val="Hyperlink"/>
    <w:rsid w:val="005B0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40i" TargetMode="External"/><Relationship Id="rId26" Type="http://schemas.openxmlformats.org/officeDocument/2006/relationships/hyperlink" Target="http://www.nevo.co.il/case/6156379" TargetMode="External"/><Relationship Id="rId3" Type="http://schemas.openxmlformats.org/officeDocument/2006/relationships/webSettings" Target="webSettings.xml"/><Relationship Id="rId21" Type="http://schemas.openxmlformats.org/officeDocument/2006/relationships/hyperlink" Target="http://www.nevo.co.il/case/23825973" TargetMode="External"/><Relationship Id="rId7" Type="http://schemas.openxmlformats.org/officeDocument/2006/relationships/hyperlink" Target="http://www.nevo.co.il/law/70301/40"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40c" TargetMode="External"/><Relationship Id="rId25" Type="http://schemas.openxmlformats.org/officeDocument/2006/relationships/hyperlink" Target="http://www.nevo.co.il/case/161892"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5569233" TargetMode="External"/><Relationship Id="rId29"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0a.b.1" TargetMode="External"/><Relationship Id="rId24" Type="http://schemas.openxmlformats.org/officeDocument/2006/relationships/hyperlink" Target="http://www.nevo.co.il/case/6189976"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40" TargetMode="External"/><Relationship Id="rId23" Type="http://schemas.openxmlformats.org/officeDocument/2006/relationships/hyperlink" Target="http://www.nevo.co.il/case/5787004" TargetMode="External"/><Relationship Id="rId28" Type="http://schemas.openxmlformats.org/officeDocument/2006/relationships/header" Target="header1.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31"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0i"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case/161892"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70301/40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1750</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10483</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3735668</vt:i4>
      </vt:variant>
      <vt:variant>
        <vt:i4>60</vt:i4>
      </vt:variant>
      <vt:variant>
        <vt:i4>0</vt:i4>
      </vt:variant>
      <vt:variant>
        <vt:i4>5</vt:i4>
      </vt:variant>
      <vt:variant>
        <vt:lpwstr>http://www.nevo.co.il/case/6156379</vt:lpwstr>
      </vt:variant>
      <vt:variant>
        <vt:lpwstr/>
      </vt:variant>
      <vt:variant>
        <vt:i4>589898</vt:i4>
      </vt:variant>
      <vt:variant>
        <vt:i4>57</vt:i4>
      </vt:variant>
      <vt:variant>
        <vt:i4>0</vt:i4>
      </vt:variant>
      <vt:variant>
        <vt:i4>5</vt:i4>
      </vt:variant>
      <vt:variant>
        <vt:lpwstr>http://www.nevo.co.il/case/161892</vt:lpwstr>
      </vt:variant>
      <vt:variant>
        <vt:lpwstr/>
      </vt:variant>
      <vt:variant>
        <vt:i4>3211387</vt:i4>
      </vt:variant>
      <vt:variant>
        <vt:i4>54</vt:i4>
      </vt:variant>
      <vt:variant>
        <vt:i4>0</vt:i4>
      </vt:variant>
      <vt:variant>
        <vt:i4>5</vt:i4>
      </vt:variant>
      <vt:variant>
        <vt:lpwstr>http://www.nevo.co.il/case/6189976</vt:lpwstr>
      </vt:variant>
      <vt:variant>
        <vt:lpwstr/>
      </vt:variant>
      <vt:variant>
        <vt:i4>3735668</vt:i4>
      </vt:variant>
      <vt:variant>
        <vt:i4>51</vt:i4>
      </vt:variant>
      <vt:variant>
        <vt:i4>0</vt:i4>
      </vt:variant>
      <vt:variant>
        <vt:i4>5</vt:i4>
      </vt:variant>
      <vt:variant>
        <vt:lpwstr>http://www.nevo.co.il/case/5787004</vt:lpwstr>
      </vt:variant>
      <vt:variant>
        <vt:lpwstr/>
      </vt:variant>
      <vt:variant>
        <vt:i4>589898</vt:i4>
      </vt:variant>
      <vt:variant>
        <vt:i4>48</vt:i4>
      </vt:variant>
      <vt:variant>
        <vt:i4>0</vt:i4>
      </vt:variant>
      <vt:variant>
        <vt:i4>5</vt:i4>
      </vt:variant>
      <vt:variant>
        <vt:lpwstr>http://www.nevo.co.il/case/161892</vt:lpwstr>
      </vt:variant>
      <vt:variant>
        <vt:lpwstr/>
      </vt:variant>
      <vt:variant>
        <vt:i4>3670140</vt:i4>
      </vt:variant>
      <vt:variant>
        <vt:i4>45</vt:i4>
      </vt:variant>
      <vt:variant>
        <vt:i4>0</vt:i4>
      </vt:variant>
      <vt:variant>
        <vt:i4>5</vt:i4>
      </vt:variant>
      <vt:variant>
        <vt:lpwstr>http://www.nevo.co.il/case/23825973</vt:lpwstr>
      </vt:variant>
      <vt:variant>
        <vt:lpwstr/>
      </vt:variant>
      <vt:variant>
        <vt:i4>3276923</vt:i4>
      </vt:variant>
      <vt:variant>
        <vt:i4>42</vt:i4>
      </vt:variant>
      <vt:variant>
        <vt:i4>0</vt:i4>
      </vt:variant>
      <vt:variant>
        <vt:i4>5</vt:i4>
      </vt:variant>
      <vt:variant>
        <vt:lpwstr>http://www.nevo.co.il/case/5569233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http://www.nevo.co.il/law/70301/40i</vt:lpwstr>
      </vt:variant>
      <vt:variant>
        <vt:lpwstr/>
      </vt:variant>
      <vt:variant>
        <vt:i4>6619233</vt:i4>
      </vt:variant>
      <vt:variant>
        <vt:i4>33</vt:i4>
      </vt:variant>
      <vt:variant>
        <vt:i4>0</vt:i4>
      </vt:variant>
      <vt:variant>
        <vt:i4>5</vt:i4>
      </vt:variant>
      <vt:variant>
        <vt:lpwstr>http://www.nevo.co.il/law/70301/40c</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6619233</vt:i4>
      </vt:variant>
      <vt:variant>
        <vt:i4>27</vt:i4>
      </vt:variant>
      <vt:variant>
        <vt:i4>0</vt:i4>
      </vt:variant>
      <vt:variant>
        <vt:i4>5</vt:i4>
      </vt:variant>
      <vt:variant>
        <vt:lpwstr>http://www.nevo.co.il/law/70301/40</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5439574</vt:i4>
      </vt:variant>
      <vt:variant>
        <vt:i4>15</vt:i4>
      </vt:variant>
      <vt:variant>
        <vt:i4>0</vt:i4>
      </vt:variant>
      <vt:variant>
        <vt:i4>5</vt:i4>
      </vt:variant>
      <vt:variant>
        <vt:lpwstr>http://www.nevo.co.il/law/70301/340a.b.1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6619233</vt:i4>
      </vt:variant>
      <vt:variant>
        <vt:i4>6</vt:i4>
      </vt:variant>
      <vt:variant>
        <vt:i4>0</vt:i4>
      </vt:variant>
      <vt:variant>
        <vt:i4>5</vt:i4>
      </vt:variant>
      <vt:variant>
        <vt:lpwstr>http://www.nevo.co.il/law/70301/40c</vt:lpwstr>
      </vt:variant>
      <vt:variant>
        <vt:lpwstr/>
      </vt:variant>
      <vt:variant>
        <vt:i4>6619233</vt:i4>
      </vt:variant>
      <vt:variant>
        <vt:i4>3</vt:i4>
      </vt:variant>
      <vt:variant>
        <vt:i4>0</vt:i4>
      </vt:variant>
      <vt:variant>
        <vt:i4>5</vt:i4>
      </vt:variant>
      <vt:variant>
        <vt:lpwstr>http://www.nevo.co.il/law/70301/40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2025-01-19T16:52:00Z</dcterms:created>
  <dcterms:modified xsi:type="dcterms:W3CDTF">2025-01-19T16:52:00Z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43581</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פאדי נג'מי</vt:lpwstr>
  </property>
  <property fmtid="{D5CDD505-2E9C-101B-9397-08002B2CF9AE}" pid="10" name="JUDGE">
    <vt:lpwstr>דיאנה סלע</vt:lpwstr>
  </property>
  <property fmtid="{D5CDD505-2E9C-101B-9397-08002B2CF9AE}" pid="11" name="CITY">
    <vt:lpwstr>חי'</vt:lpwstr>
  </property>
  <property fmtid="{D5CDD505-2E9C-101B-9397-08002B2CF9AE}" pid="12" name="DATE">
    <vt:lpwstr>20220615</vt:lpwstr>
  </property>
  <property fmtid="{D5CDD505-2E9C-101B-9397-08002B2CF9AE}" pid="13" name="TYPE_N_DATE">
    <vt:lpwstr>39020220615</vt:lpwstr>
  </property>
  <property fmtid="{D5CDD505-2E9C-101B-9397-08002B2CF9AE}" pid="14" name="WORDNUMPAGES">
    <vt:lpwstr>5</vt:lpwstr>
  </property>
  <property fmtid="{D5CDD505-2E9C-101B-9397-08002B2CF9AE}" pid="15" name="TYPE_ABS_DATE">
    <vt:lpwstr>390020220615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5569233;23825973;161892:2;5787004;6189976;6156379</vt:lpwstr>
  </property>
  <property fmtid="{D5CDD505-2E9C-101B-9397-08002B2CF9AE}" pid="36" name="LAWLISTTMP1">
    <vt:lpwstr>70301/144.a;340a.b.1;040;040c;040i</vt:lpwstr>
  </property>
</Properties>
</file>