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219"/>
        <w:gridCol w:w="1839"/>
        <w:gridCol w:w="2839"/>
        <w:gridCol w:w="824"/>
      </w:tblGrid>
      <w:tr w:rsidR="00E106C2" w:rsidRPr="000A6CF3" w14:paraId="327C39A8" w14:textId="77777777" w:rsidTr="00A12A5C">
        <w:trPr>
          <w:trHeight w:hRule="exact" w:val="418"/>
          <w:jc w:val="center"/>
        </w:trPr>
        <w:tc>
          <w:tcPr>
            <w:tcW w:w="8721" w:type="dxa"/>
            <w:gridSpan w:val="4"/>
          </w:tcPr>
          <w:p w14:paraId="5FFAC59E" w14:textId="77777777" w:rsidR="00E106C2" w:rsidRPr="000A6CF3" w:rsidRDefault="00E106C2" w:rsidP="00245DF1">
            <w:pPr>
              <w:pStyle w:val="a3"/>
              <w:jc w:val="center"/>
              <w:rPr>
                <w:rFonts w:ascii="Tahoma" w:hAnsi="Tahoma" w:cs="Tahoma"/>
                <w:color w:val="000080"/>
                <w:rtl/>
              </w:rPr>
            </w:pPr>
            <w:bookmarkStart w:id="0" w:name="LastJudge"/>
            <w:r w:rsidRPr="000A6CF3">
              <w:rPr>
                <w:rFonts w:ascii="Tahoma" w:hAnsi="Tahoma" w:cs="Tahoma"/>
                <w:b/>
                <w:bCs/>
                <w:color w:val="000080"/>
                <w:rtl/>
              </w:rPr>
              <w:t>בית המשפט המחוזי בחיפה</w:t>
            </w:r>
          </w:p>
        </w:tc>
      </w:tr>
      <w:tr w:rsidR="00E106C2" w:rsidRPr="000A6CF3" w14:paraId="2FBBDA39" w14:textId="77777777" w:rsidTr="00A12A5C">
        <w:trPr>
          <w:trHeight w:val="337"/>
          <w:jc w:val="center"/>
        </w:trPr>
        <w:tc>
          <w:tcPr>
            <w:tcW w:w="5058" w:type="dxa"/>
            <w:gridSpan w:val="2"/>
          </w:tcPr>
          <w:p w14:paraId="62BCB427" w14:textId="77777777" w:rsidR="00E106C2" w:rsidRPr="000A6CF3" w:rsidRDefault="00E106C2" w:rsidP="00245DF1">
            <w:pPr>
              <w:rPr>
                <w:rFonts w:cs="FrankRuehl"/>
                <w:sz w:val="28"/>
                <w:szCs w:val="28"/>
                <w:rtl/>
              </w:rPr>
            </w:pPr>
            <w:r w:rsidRPr="000A6CF3">
              <w:rPr>
                <w:rFonts w:cs="FrankRuehl"/>
                <w:sz w:val="28"/>
                <w:szCs w:val="28"/>
                <w:rtl/>
              </w:rPr>
              <w:t>ת"פ</w:t>
            </w:r>
            <w:r w:rsidRPr="000A6CF3">
              <w:rPr>
                <w:rFonts w:cs="FrankRuehl" w:hint="cs"/>
                <w:sz w:val="28"/>
                <w:szCs w:val="28"/>
                <w:rtl/>
              </w:rPr>
              <w:t xml:space="preserve"> </w:t>
            </w:r>
            <w:r w:rsidRPr="000A6CF3">
              <w:rPr>
                <w:rFonts w:cs="FrankRuehl"/>
                <w:sz w:val="28"/>
                <w:szCs w:val="28"/>
                <w:rtl/>
              </w:rPr>
              <w:t>52188-03-22</w:t>
            </w:r>
            <w:r w:rsidRPr="000A6CF3">
              <w:rPr>
                <w:rFonts w:cs="FrankRuehl" w:hint="cs"/>
                <w:sz w:val="28"/>
                <w:szCs w:val="28"/>
                <w:rtl/>
              </w:rPr>
              <w:t xml:space="preserve"> </w:t>
            </w:r>
            <w:r w:rsidRPr="000A6CF3">
              <w:rPr>
                <w:rFonts w:cs="FrankRuehl"/>
                <w:sz w:val="28"/>
                <w:szCs w:val="28"/>
                <w:rtl/>
              </w:rPr>
              <w:t>מדינת ישראל נ' כבהה(עציר)</w:t>
            </w:r>
          </w:p>
          <w:p w14:paraId="7C581900" w14:textId="77777777" w:rsidR="00E106C2" w:rsidRPr="000A6CF3" w:rsidRDefault="00E106C2" w:rsidP="00245DF1">
            <w:pPr>
              <w:pStyle w:val="a3"/>
              <w:rPr>
                <w:rFonts w:cs="FrankRuehl"/>
                <w:sz w:val="28"/>
                <w:szCs w:val="28"/>
                <w:rtl/>
              </w:rPr>
            </w:pPr>
          </w:p>
        </w:tc>
        <w:tc>
          <w:tcPr>
            <w:tcW w:w="3663" w:type="dxa"/>
            <w:gridSpan w:val="2"/>
          </w:tcPr>
          <w:p w14:paraId="5AC41739" w14:textId="77777777" w:rsidR="00E106C2" w:rsidRPr="000A6CF3" w:rsidRDefault="00E106C2" w:rsidP="00245DF1">
            <w:pPr>
              <w:pStyle w:val="a3"/>
              <w:jc w:val="right"/>
              <w:rPr>
                <w:rFonts w:cs="FrankRuehl"/>
                <w:sz w:val="28"/>
                <w:szCs w:val="28"/>
                <w:rtl/>
              </w:rPr>
            </w:pPr>
          </w:p>
        </w:tc>
      </w:tr>
      <w:tr w:rsidR="00E106C2" w:rsidRPr="000A6CF3" w14:paraId="31D8835C" w14:textId="77777777" w:rsidTr="00A12A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824" w:type="dxa"/>
          <w:trHeight w:val="295"/>
          <w:jc w:val="center"/>
        </w:trPr>
        <w:tc>
          <w:tcPr>
            <w:tcW w:w="7897" w:type="dxa"/>
            <w:gridSpan w:val="3"/>
            <w:tcBorders>
              <w:top w:val="nil"/>
              <w:left w:val="nil"/>
              <w:bottom w:val="nil"/>
              <w:right w:val="nil"/>
            </w:tcBorders>
            <w:shd w:val="clear" w:color="auto" w:fill="auto"/>
          </w:tcPr>
          <w:p w14:paraId="54AF817E" w14:textId="77777777" w:rsidR="00E106C2" w:rsidRPr="000A6CF3" w:rsidRDefault="00E106C2" w:rsidP="00245DF1">
            <w:pPr>
              <w:rPr>
                <w:rFonts w:ascii="David" w:hAnsi="David"/>
                <w:b/>
                <w:bCs/>
                <w:sz w:val="26"/>
                <w:szCs w:val="26"/>
                <w:rtl/>
              </w:rPr>
            </w:pPr>
            <w:r w:rsidRPr="000A6CF3">
              <w:rPr>
                <w:rFonts w:hint="cs"/>
                <w:rtl/>
              </w:rPr>
              <w:t xml:space="preserve"> </w:t>
            </w:r>
            <w:r w:rsidRPr="000A6CF3">
              <w:rPr>
                <w:rFonts w:ascii="David" w:hAnsi="David" w:hint="cs"/>
                <w:b/>
                <w:bCs/>
                <w:sz w:val="26"/>
                <w:szCs w:val="26"/>
                <w:rtl/>
              </w:rPr>
              <w:t xml:space="preserve">לפני </w:t>
            </w:r>
            <w:r w:rsidRPr="000A6CF3">
              <w:rPr>
                <w:rFonts w:ascii="David" w:hAnsi="David"/>
                <w:b/>
                <w:bCs/>
                <w:sz w:val="26"/>
                <w:szCs w:val="26"/>
                <w:rtl/>
              </w:rPr>
              <w:t>כבוד השופט  אבי לוי</w:t>
            </w:r>
          </w:p>
          <w:p w14:paraId="6C078EDF" w14:textId="77777777" w:rsidR="00E106C2" w:rsidRPr="000A6CF3" w:rsidRDefault="00E106C2" w:rsidP="00245DF1">
            <w:pPr>
              <w:rPr>
                <w:rFonts w:ascii="David" w:hAnsi="David"/>
                <w:sz w:val="26"/>
                <w:szCs w:val="26"/>
                <w:rtl/>
              </w:rPr>
            </w:pPr>
          </w:p>
          <w:p w14:paraId="7900E184" w14:textId="77777777" w:rsidR="00E106C2" w:rsidRPr="000A6CF3" w:rsidRDefault="00E106C2" w:rsidP="00E106C2">
            <w:pPr>
              <w:jc w:val="both"/>
              <w:rPr>
                <w:rFonts w:ascii="David" w:hAnsi="David"/>
                <w:sz w:val="26"/>
                <w:szCs w:val="26"/>
              </w:rPr>
            </w:pPr>
          </w:p>
        </w:tc>
      </w:tr>
      <w:tr w:rsidR="00E106C2" w:rsidRPr="000A6CF3" w14:paraId="6AD32CA6" w14:textId="77777777" w:rsidTr="00A12A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824" w:type="dxa"/>
          <w:trHeight w:val="355"/>
          <w:jc w:val="center"/>
        </w:trPr>
        <w:tc>
          <w:tcPr>
            <w:tcW w:w="3219" w:type="dxa"/>
            <w:tcBorders>
              <w:top w:val="nil"/>
              <w:left w:val="nil"/>
              <w:bottom w:val="nil"/>
              <w:right w:val="nil"/>
            </w:tcBorders>
            <w:shd w:val="clear" w:color="auto" w:fill="auto"/>
          </w:tcPr>
          <w:p w14:paraId="5A342461" w14:textId="77777777" w:rsidR="00E106C2" w:rsidRPr="000A6CF3" w:rsidRDefault="00E106C2" w:rsidP="00E106C2">
            <w:pPr>
              <w:suppressLineNumbers/>
            </w:pPr>
            <w:bookmarkStart w:id="1" w:name="FirstAppellant"/>
            <w:r w:rsidRPr="000A6CF3">
              <w:rPr>
                <w:rFonts w:ascii="Arial" w:hAnsi="Arial" w:hint="cs"/>
                <w:b/>
                <w:bCs/>
                <w:sz w:val="26"/>
                <w:szCs w:val="26"/>
                <w:rtl/>
              </w:rPr>
              <w:t>ה</w:t>
            </w:r>
            <w:r w:rsidRPr="000A6CF3">
              <w:rPr>
                <w:rFonts w:ascii="Arial" w:hAnsi="Arial"/>
                <w:b/>
                <w:bCs/>
                <w:sz w:val="26"/>
                <w:szCs w:val="26"/>
                <w:rtl/>
              </w:rPr>
              <w:t>מאשימה</w:t>
            </w:r>
          </w:p>
          <w:p w14:paraId="1D6493C7" w14:textId="77777777" w:rsidR="00E106C2" w:rsidRPr="000A6CF3" w:rsidRDefault="00E106C2" w:rsidP="00245DF1">
            <w:pPr>
              <w:rPr>
                <w:rFonts w:ascii="David" w:hAnsi="David"/>
                <w:sz w:val="26"/>
                <w:szCs w:val="26"/>
              </w:rPr>
            </w:pPr>
          </w:p>
        </w:tc>
        <w:tc>
          <w:tcPr>
            <w:tcW w:w="4678" w:type="dxa"/>
            <w:gridSpan w:val="2"/>
            <w:tcBorders>
              <w:top w:val="nil"/>
              <w:left w:val="nil"/>
              <w:bottom w:val="nil"/>
              <w:right w:val="nil"/>
            </w:tcBorders>
            <w:shd w:val="clear" w:color="auto" w:fill="auto"/>
            <w:vAlign w:val="center"/>
          </w:tcPr>
          <w:p w14:paraId="3685FA68" w14:textId="77777777" w:rsidR="00E106C2" w:rsidRPr="000A6CF3" w:rsidRDefault="00E106C2" w:rsidP="00E106C2">
            <w:pPr>
              <w:suppressLineNumbers/>
            </w:pPr>
            <w:r w:rsidRPr="000A6CF3">
              <w:rPr>
                <w:rFonts w:ascii="Arial" w:hAnsi="Arial"/>
                <w:b/>
                <w:bCs/>
                <w:sz w:val="26"/>
                <w:szCs w:val="26"/>
                <w:rtl/>
              </w:rPr>
              <w:t xml:space="preserve">מדינת ישראל </w:t>
            </w:r>
          </w:p>
          <w:p w14:paraId="4CE43BB3" w14:textId="77777777" w:rsidR="00E106C2" w:rsidRPr="000A6CF3" w:rsidRDefault="00E106C2" w:rsidP="00245DF1">
            <w:pPr>
              <w:rPr>
                <w:rFonts w:ascii="David" w:hAnsi="David"/>
                <w:sz w:val="26"/>
                <w:szCs w:val="26"/>
              </w:rPr>
            </w:pPr>
          </w:p>
        </w:tc>
      </w:tr>
      <w:bookmarkEnd w:id="1"/>
      <w:tr w:rsidR="00E106C2" w:rsidRPr="000A6CF3" w14:paraId="2AEDA761" w14:textId="77777777" w:rsidTr="00A12A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824" w:type="dxa"/>
          <w:trHeight w:val="355"/>
          <w:jc w:val="center"/>
        </w:trPr>
        <w:tc>
          <w:tcPr>
            <w:tcW w:w="7897" w:type="dxa"/>
            <w:gridSpan w:val="3"/>
            <w:tcBorders>
              <w:top w:val="nil"/>
              <w:left w:val="nil"/>
              <w:bottom w:val="nil"/>
              <w:right w:val="nil"/>
            </w:tcBorders>
            <w:shd w:val="clear" w:color="auto" w:fill="auto"/>
          </w:tcPr>
          <w:p w14:paraId="4264C85A" w14:textId="77777777" w:rsidR="00E106C2" w:rsidRPr="000A6CF3" w:rsidRDefault="00E106C2" w:rsidP="00E106C2">
            <w:pPr>
              <w:jc w:val="center"/>
              <w:rPr>
                <w:rFonts w:ascii="David" w:hAnsi="David"/>
                <w:b/>
                <w:bCs/>
                <w:sz w:val="26"/>
                <w:szCs w:val="26"/>
                <w:rtl/>
              </w:rPr>
            </w:pPr>
          </w:p>
          <w:p w14:paraId="2F66FBD7" w14:textId="77777777" w:rsidR="00E106C2" w:rsidRPr="000A6CF3" w:rsidRDefault="00E106C2" w:rsidP="00E106C2">
            <w:pPr>
              <w:jc w:val="center"/>
              <w:rPr>
                <w:rFonts w:ascii="David" w:hAnsi="David"/>
                <w:b/>
                <w:bCs/>
                <w:sz w:val="26"/>
                <w:szCs w:val="26"/>
                <w:rtl/>
              </w:rPr>
            </w:pPr>
            <w:r w:rsidRPr="000A6CF3">
              <w:rPr>
                <w:rFonts w:ascii="David" w:hAnsi="David"/>
                <w:b/>
                <w:bCs/>
                <w:sz w:val="26"/>
                <w:szCs w:val="26"/>
                <w:rtl/>
              </w:rPr>
              <w:t>נגד</w:t>
            </w:r>
          </w:p>
          <w:p w14:paraId="1CD82419" w14:textId="77777777" w:rsidR="00E106C2" w:rsidRPr="000A6CF3" w:rsidRDefault="00E106C2" w:rsidP="00E106C2">
            <w:pPr>
              <w:jc w:val="both"/>
              <w:rPr>
                <w:rFonts w:ascii="David" w:hAnsi="David"/>
                <w:sz w:val="26"/>
                <w:szCs w:val="26"/>
              </w:rPr>
            </w:pPr>
          </w:p>
        </w:tc>
      </w:tr>
      <w:tr w:rsidR="00E106C2" w:rsidRPr="000A6CF3" w14:paraId="7E5ECD47" w14:textId="77777777" w:rsidTr="00A12A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824" w:type="dxa"/>
          <w:trHeight w:val="355"/>
          <w:jc w:val="center"/>
        </w:trPr>
        <w:tc>
          <w:tcPr>
            <w:tcW w:w="3219" w:type="dxa"/>
            <w:tcBorders>
              <w:top w:val="nil"/>
              <w:left w:val="nil"/>
              <w:bottom w:val="nil"/>
              <w:right w:val="nil"/>
            </w:tcBorders>
            <w:shd w:val="clear" w:color="auto" w:fill="auto"/>
          </w:tcPr>
          <w:p w14:paraId="7A3AF4F9" w14:textId="77777777" w:rsidR="00E106C2" w:rsidRPr="000A6CF3" w:rsidRDefault="00E106C2" w:rsidP="00245DF1">
            <w:pPr>
              <w:rPr>
                <w:rFonts w:ascii="Arial" w:hAnsi="Arial"/>
                <w:b/>
                <w:bCs/>
                <w:sz w:val="26"/>
                <w:szCs w:val="26"/>
                <w:rtl/>
              </w:rPr>
            </w:pPr>
            <w:r w:rsidRPr="000A6CF3">
              <w:rPr>
                <w:rFonts w:ascii="Arial" w:hAnsi="Arial"/>
                <w:b/>
                <w:bCs/>
                <w:sz w:val="26"/>
                <w:szCs w:val="26"/>
                <w:rtl/>
              </w:rPr>
              <w:t>הנאש</w:t>
            </w:r>
            <w:r w:rsidRPr="000A6CF3">
              <w:rPr>
                <w:rFonts w:ascii="Arial" w:hAnsi="Arial" w:hint="cs"/>
                <w:b/>
                <w:bCs/>
                <w:sz w:val="26"/>
                <w:szCs w:val="26"/>
                <w:rtl/>
              </w:rPr>
              <w:t>ם</w:t>
            </w:r>
          </w:p>
        </w:tc>
        <w:tc>
          <w:tcPr>
            <w:tcW w:w="4678" w:type="dxa"/>
            <w:gridSpan w:val="2"/>
            <w:tcBorders>
              <w:top w:val="nil"/>
              <w:left w:val="nil"/>
              <w:bottom w:val="nil"/>
              <w:right w:val="nil"/>
            </w:tcBorders>
            <w:shd w:val="clear" w:color="auto" w:fill="auto"/>
            <w:vAlign w:val="center"/>
          </w:tcPr>
          <w:p w14:paraId="42D4F243" w14:textId="77777777" w:rsidR="00E106C2" w:rsidRPr="000A6CF3" w:rsidRDefault="00E106C2" w:rsidP="00E106C2">
            <w:pPr>
              <w:suppressLineNumbers/>
              <w:rPr>
                <w:rFonts w:ascii="David" w:hAnsi="David"/>
                <w:sz w:val="26"/>
                <w:szCs w:val="26"/>
              </w:rPr>
            </w:pPr>
            <w:r w:rsidRPr="000A6CF3">
              <w:rPr>
                <w:rFonts w:ascii="Arial" w:hAnsi="Arial"/>
                <w:b/>
                <w:bCs/>
                <w:sz w:val="26"/>
                <w:szCs w:val="26"/>
                <w:rtl/>
              </w:rPr>
              <w:t>מוחמד כבהה (עציר)</w:t>
            </w:r>
            <w:r w:rsidRPr="000A6CF3">
              <w:rPr>
                <w:rFonts w:ascii="Arial" w:hAnsi="Arial" w:hint="cs"/>
                <w:b/>
                <w:bCs/>
                <w:sz w:val="26"/>
                <w:szCs w:val="26"/>
                <w:rtl/>
              </w:rPr>
              <w:t xml:space="preserve"> </w:t>
            </w:r>
          </w:p>
        </w:tc>
      </w:tr>
    </w:tbl>
    <w:p w14:paraId="15F60DF0" w14:textId="77777777" w:rsidR="00A12A5C" w:rsidRDefault="00A12A5C" w:rsidP="00E106C2">
      <w:pPr>
        <w:rPr>
          <w:sz w:val="26"/>
          <w:szCs w:val="26"/>
          <w:rtl/>
        </w:rPr>
      </w:pPr>
    </w:p>
    <w:p w14:paraId="1B816E75" w14:textId="77777777" w:rsidR="00A12A5C" w:rsidRPr="00A12A5C" w:rsidRDefault="00A12A5C" w:rsidP="00A12A5C">
      <w:pPr>
        <w:spacing w:after="120" w:line="240" w:lineRule="exact"/>
        <w:ind w:left="283" w:hanging="283"/>
        <w:jc w:val="both"/>
        <w:rPr>
          <w:rFonts w:ascii="FrankRuehl" w:hAnsi="FrankRuehl" w:cs="FrankRuehl"/>
          <w:rtl/>
        </w:rPr>
      </w:pPr>
    </w:p>
    <w:p w14:paraId="4F772FCE" w14:textId="77777777" w:rsidR="00B5641B" w:rsidRPr="00B5641B" w:rsidRDefault="00B5641B" w:rsidP="00B5641B">
      <w:pPr>
        <w:spacing w:before="120" w:after="120" w:line="240" w:lineRule="exact"/>
        <w:ind w:left="283" w:hanging="283"/>
        <w:jc w:val="both"/>
        <w:rPr>
          <w:rFonts w:ascii="FrankRuehl" w:hAnsi="FrankRuehl" w:cs="FrankRuehl"/>
          <w:rtl/>
        </w:rPr>
      </w:pPr>
    </w:p>
    <w:p w14:paraId="2A71DF9C" w14:textId="77777777" w:rsidR="004535CA" w:rsidRDefault="004535CA" w:rsidP="004535CA">
      <w:pPr>
        <w:rPr>
          <w:rFonts w:ascii="Arial" w:hAnsi="Arial"/>
          <w:sz w:val="26"/>
          <w:szCs w:val="26"/>
          <w:rtl/>
        </w:rPr>
      </w:pPr>
      <w:bookmarkStart w:id="2" w:name="LawTable"/>
      <w:bookmarkEnd w:id="2"/>
    </w:p>
    <w:p w14:paraId="6D9C1B1E" w14:textId="77777777" w:rsidR="004535CA" w:rsidRPr="004535CA" w:rsidRDefault="004535CA" w:rsidP="004535CA">
      <w:pPr>
        <w:spacing w:before="120" w:after="120" w:line="240" w:lineRule="exact"/>
        <w:ind w:left="283" w:hanging="283"/>
        <w:jc w:val="both"/>
        <w:rPr>
          <w:rFonts w:ascii="FrankRuehl" w:hAnsi="FrankRuehl" w:cs="FrankRuehl"/>
          <w:rtl/>
        </w:rPr>
      </w:pPr>
    </w:p>
    <w:p w14:paraId="18C937A0" w14:textId="77777777" w:rsidR="004535CA" w:rsidRPr="004535CA" w:rsidRDefault="004535CA" w:rsidP="004535CA">
      <w:pPr>
        <w:spacing w:before="120" w:after="120" w:line="240" w:lineRule="exact"/>
        <w:ind w:left="283" w:hanging="283"/>
        <w:jc w:val="both"/>
        <w:rPr>
          <w:rFonts w:ascii="FrankRuehl" w:hAnsi="FrankRuehl" w:cs="FrankRuehl"/>
          <w:rtl/>
        </w:rPr>
      </w:pPr>
    </w:p>
    <w:p w14:paraId="7A67B3FD" w14:textId="77777777" w:rsidR="004535CA" w:rsidRPr="004535CA" w:rsidRDefault="004535CA" w:rsidP="004535CA">
      <w:pPr>
        <w:spacing w:before="120" w:after="120" w:line="240" w:lineRule="exact"/>
        <w:ind w:left="283" w:hanging="283"/>
        <w:jc w:val="both"/>
        <w:rPr>
          <w:rFonts w:ascii="FrankRuehl" w:hAnsi="FrankRuehl" w:cs="FrankRuehl"/>
          <w:rtl/>
        </w:rPr>
      </w:pPr>
      <w:r w:rsidRPr="004535CA">
        <w:rPr>
          <w:rFonts w:ascii="FrankRuehl" w:hAnsi="FrankRuehl" w:cs="FrankRuehl"/>
          <w:rtl/>
        </w:rPr>
        <w:t xml:space="preserve">חקיקה שאוזכרה: </w:t>
      </w:r>
    </w:p>
    <w:p w14:paraId="7770D9F5" w14:textId="77777777" w:rsidR="004535CA" w:rsidRPr="004535CA" w:rsidRDefault="004535CA" w:rsidP="004535CA">
      <w:pPr>
        <w:spacing w:before="120" w:after="120" w:line="240" w:lineRule="exact"/>
        <w:ind w:left="283" w:hanging="283"/>
        <w:jc w:val="both"/>
        <w:rPr>
          <w:rFonts w:ascii="FrankRuehl" w:hAnsi="FrankRuehl" w:cs="FrankRuehl"/>
          <w:rtl/>
        </w:rPr>
      </w:pPr>
      <w:hyperlink r:id="rId7" w:history="1">
        <w:r w:rsidRPr="004535CA">
          <w:rPr>
            <w:rFonts w:ascii="FrankRuehl" w:hAnsi="FrankRuehl" w:cs="FrankRuehl"/>
            <w:color w:val="0000FF"/>
            <w:rtl/>
          </w:rPr>
          <w:t>חוק העונשין, תשל"ז-1977</w:t>
        </w:r>
      </w:hyperlink>
      <w:r w:rsidRPr="004535CA">
        <w:rPr>
          <w:rFonts w:ascii="FrankRuehl" w:hAnsi="FrankRuehl" w:cs="FrankRuehl"/>
          <w:rtl/>
        </w:rPr>
        <w:t xml:space="preserve">: סע'  </w:t>
      </w:r>
      <w:hyperlink r:id="rId8" w:history="1">
        <w:r w:rsidRPr="004535CA">
          <w:rPr>
            <w:rFonts w:ascii="FrankRuehl" w:hAnsi="FrankRuehl" w:cs="FrankRuehl"/>
            <w:color w:val="0000FF"/>
            <w:rtl/>
          </w:rPr>
          <w:t>29</w:t>
        </w:r>
      </w:hyperlink>
      <w:r w:rsidRPr="004535CA">
        <w:rPr>
          <w:rFonts w:ascii="FrankRuehl" w:hAnsi="FrankRuehl" w:cs="FrankRuehl"/>
          <w:rtl/>
        </w:rPr>
        <w:t xml:space="preserve">, </w:t>
      </w:r>
      <w:hyperlink r:id="rId9" w:history="1">
        <w:r w:rsidRPr="004535CA">
          <w:rPr>
            <w:rFonts w:ascii="FrankRuehl" w:hAnsi="FrankRuehl" w:cs="FrankRuehl"/>
            <w:color w:val="0000FF"/>
            <w:rtl/>
          </w:rPr>
          <w:t>40ז</w:t>
        </w:r>
      </w:hyperlink>
      <w:r w:rsidRPr="004535CA">
        <w:rPr>
          <w:rFonts w:ascii="FrankRuehl" w:hAnsi="FrankRuehl" w:cs="FrankRuehl"/>
          <w:rtl/>
        </w:rPr>
        <w:t xml:space="preserve">, </w:t>
      </w:r>
      <w:hyperlink r:id="rId10" w:history="1">
        <w:r w:rsidRPr="004535CA">
          <w:rPr>
            <w:rFonts w:ascii="FrankRuehl" w:hAnsi="FrankRuehl" w:cs="FrankRuehl"/>
            <w:color w:val="0000FF"/>
            <w:rtl/>
          </w:rPr>
          <w:t>144</w:t>
        </w:r>
      </w:hyperlink>
      <w:r w:rsidRPr="004535CA">
        <w:rPr>
          <w:rFonts w:ascii="FrankRuehl" w:hAnsi="FrankRuehl" w:cs="FrankRuehl"/>
          <w:rtl/>
        </w:rPr>
        <w:t xml:space="preserve">, </w:t>
      </w:r>
      <w:hyperlink r:id="rId11" w:history="1">
        <w:r w:rsidRPr="004535CA">
          <w:rPr>
            <w:rFonts w:ascii="FrankRuehl" w:hAnsi="FrankRuehl" w:cs="FrankRuehl"/>
            <w:color w:val="0000FF"/>
            <w:rtl/>
          </w:rPr>
          <w:t>144(א)</w:t>
        </w:r>
      </w:hyperlink>
      <w:r w:rsidRPr="004535CA">
        <w:rPr>
          <w:rFonts w:ascii="FrankRuehl" w:hAnsi="FrankRuehl" w:cs="FrankRuehl"/>
          <w:rtl/>
        </w:rPr>
        <w:t xml:space="preserve">, </w:t>
      </w:r>
      <w:hyperlink r:id="rId12" w:history="1">
        <w:r w:rsidRPr="004535CA">
          <w:rPr>
            <w:rFonts w:ascii="FrankRuehl" w:hAnsi="FrankRuehl" w:cs="FrankRuehl"/>
            <w:color w:val="0000FF"/>
            <w:rtl/>
          </w:rPr>
          <w:t>144(ב)</w:t>
        </w:r>
      </w:hyperlink>
      <w:r w:rsidRPr="004535CA">
        <w:rPr>
          <w:rFonts w:ascii="FrankRuehl" w:hAnsi="FrankRuehl" w:cs="FrankRuehl"/>
          <w:rtl/>
        </w:rPr>
        <w:t xml:space="preserve">, </w:t>
      </w:r>
      <w:hyperlink r:id="rId13" w:history="1">
        <w:r w:rsidRPr="004535CA">
          <w:rPr>
            <w:rFonts w:ascii="FrankRuehl" w:hAnsi="FrankRuehl" w:cs="FrankRuehl"/>
            <w:color w:val="0000FF"/>
            <w:rtl/>
          </w:rPr>
          <w:t>144(ב2)  (ג3)</w:t>
        </w:r>
      </w:hyperlink>
      <w:r w:rsidRPr="004535CA">
        <w:rPr>
          <w:rFonts w:ascii="FrankRuehl" w:hAnsi="FrankRuehl" w:cs="FrankRuehl"/>
          <w:rtl/>
        </w:rPr>
        <w:t xml:space="preserve">, </w:t>
      </w:r>
      <w:hyperlink r:id="rId14" w:history="1">
        <w:r w:rsidRPr="004535CA">
          <w:rPr>
            <w:rFonts w:ascii="FrankRuehl" w:hAnsi="FrankRuehl" w:cs="FrankRuehl"/>
            <w:color w:val="0000FF"/>
            <w:rtl/>
          </w:rPr>
          <w:t>144.ג1</w:t>
        </w:r>
      </w:hyperlink>
      <w:r w:rsidRPr="004535CA">
        <w:rPr>
          <w:rFonts w:ascii="FrankRuehl" w:hAnsi="FrankRuehl" w:cs="FrankRuehl"/>
          <w:rtl/>
        </w:rPr>
        <w:t xml:space="preserve">, </w:t>
      </w:r>
      <w:hyperlink r:id="rId15" w:history="1">
        <w:r w:rsidRPr="004535CA">
          <w:rPr>
            <w:rFonts w:ascii="FrankRuehl" w:hAnsi="FrankRuehl" w:cs="FrankRuehl"/>
            <w:color w:val="0000FF"/>
            <w:rtl/>
          </w:rPr>
          <w:t>40יג(א)</w:t>
        </w:r>
      </w:hyperlink>
      <w:r w:rsidRPr="004535CA">
        <w:rPr>
          <w:rFonts w:ascii="FrankRuehl" w:hAnsi="FrankRuehl" w:cs="FrankRuehl"/>
          <w:rtl/>
        </w:rPr>
        <w:t xml:space="preserve">, </w:t>
      </w:r>
      <w:hyperlink r:id="rId16" w:history="1">
        <w:r w:rsidRPr="004535CA">
          <w:rPr>
            <w:rFonts w:ascii="FrankRuehl" w:hAnsi="FrankRuehl" w:cs="FrankRuehl"/>
            <w:color w:val="0000FF"/>
            <w:rtl/>
          </w:rPr>
          <w:t>א'1 שבפרק ו'</w:t>
        </w:r>
      </w:hyperlink>
    </w:p>
    <w:p w14:paraId="3F667F52" w14:textId="77777777" w:rsidR="004535CA" w:rsidRPr="004535CA" w:rsidRDefault="004535CA" w:rsidP="004535CA">
      <w:pPr>
        <w:rPr>
          <w:rFonts w:ascii="Arial" w:hAnsi="Arial"/>
          <w:sz w:val="26"/>
          <w:szCs w:val="26"/>
          <w:rtl/>
        </w:rPr>
      </w:pPr>
      <w:bookmarkStart w:id="3" w:name="LawTable_End"/>
      <w:bookmarkEnd w:id="3"/>
    </w:p>
    <w:p w14:paraId="5A2F353E" w14:textId="77777777" w:rsidR="00E106C2" w:rsidRPr="00B5641B" w:rsidRDefault="00E106C2" w:rsidP="00B5641B">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106C2" w14:paraId="4DD1B5B4" w14:textId="77777777" w:rsidTr="00E106C2">
        <w:trPr>
          <w:trHeight w:val="355"/>
          <w:jc w:val="center"/>
        </w:trPr>
        <w:tc>
          <w:tcPr>
            <w:tcW w:w="8820" w:type="dxa"/>
            <w:tcBorders>
              <w:top w:val="nil"/>
              <w:left w:val="nil"/>
              <w:bottom w:val="nil"/>
              <w:right w:val="nil"/>
            </w:tcBorders>
            <w:shd w:val="clear" w:color="auto" w:fill="auto"/>
          </w:tcPr>
          <w:p w14:paraId="601A7E29" w14:textId="77777777" w:rsidR="000A6CF3" w:rsidRPr="000A6CF3" w:rsidRDefault="000A6CF3" w:rsidP="000A6CF3">
            <w:pPr>
              <w:jc w:val="center"/>
              <w:rPr>
                <w:rFonts w:ascii="David" w:hAnsi="David"/>
                <w:b/>
                <w:bCs/>
                <w:sz w:val="32"/>
                <w:szCs w:val="32"/>
                <w:u w:val="single"/>
                <w:rtl/>
              </w:rPr>
            </w:pPr>
            <w:bookmarkStart w:id="4" w:name="PsakDin" w:colFirst="0" w:colLast="0"/>
            <w:bookmarkEnd w:id="0"/>
            <w:r w:rsidRPr="000A6CF3">
              <w:rPr>
                <w:rFonts w:ascii="David" w:hAnsi="David"/>
                <w:b/>
                <w:bCs/>
                <w:sz w:val="32"/>
                <w:szCs w:val="32"/>
                <w:u w:val="single"/>
                <w:rtl/>
              </w:rPr>
              <w:t>גזר דין</w:t>
            </w:r>
          </w:p>
          <w:p w14:paraId="7366E7A6" w14:textId="77777777" w:rsidR="00E106C2" w:rsidRPr="000A6CF3" w:rsidRDefault="00E106C2" w:rsidP="000A6CF3">
            <w:pPr>
              <w:jc w:val="center"/>
              <w:rPr>
                <w:rFonts w:ascii="David" w:hAnsi="David"/>
                <w:bCs/>
                <w:sz w:val="32"/>
                <w:szCs w:val="32"/>
                <w:u w:val="single"/>
                <w:rtl/>
              </w:rPr>
            </w:pPr>
          </w:p>
        </w:tc>
      </w:tr>
      <w:bookmarkEnd w:id="4"/>
    </w:tbl>
    <w:p w14:paraId="01349189" w14:textId="77777777" w:rsidR="00E106C2" w:rsidRPr="000F2247" w:rsidRDefault="00E106C2" w:rsidP="00E106C2">
      <w:pPr>
        <w:rPr>
          <w:rFonts w:ascii="Arial" w:hAnsi="Arial"/>
          <w:b/>
          <w:bCs/>
          <w:sz w:val="26"/>
          <w:szCs w:val="26"/>
          <w:rtl/>
        </w:rPr>
      </w:pPr>
    </w:p>
    <w:p w14:paraId="58BFF1C3" w14:textId="77777777" w:rsidR="00E106C2" w:rsidRPr="008A0E93" w:rsidRDefault="00E106C2" w:rsidP="00E106C2">
      <w:pPr>
        <w:spacing w:after="200"/>
        <w:jc w:val="both"/>
        <w:rPr>
          <w:rFonts w:ascii="Calibri" w:eastAsia="Calibri" w:hAnsi="Calibri"/>
          <w:b/>
          <w:bCs/>
          <w:u w:val="single"/>
        </w:rPr>
      </w:pPr>
      <w:r w:rsidRPr="008A0E93">
        <w:rPr>
          <w:rFonts w:ascii="Calibri" w:eastAsia="Calibri" w:hAnsi="Calibri"/>
          <w:b/>
          <w:bCs/>
          <w:u w:val="single"/>
          <w:rtl/>
        </w:rPr>
        <w:t>כללי</w:t>
      </w:r>
    </w:p>
    <w:p w14:paraId="56AA9A22" w14:textId="77777777" w:rsidR="00E106C2" w:rsidRPr="008A0E93" w:rsidRDefault="00E106C2" w:rsidP="00E106C2">
      <w:pPr>
        <w:spacing w:after="200" w:line="360" w:lineRule="auto"/>
        <w:jc w:val="both"/>
        <w:rPr>
          <w:rFonts w:ascii="Calibri" w:eastAsia="Calibri" w:hAnsi="Calibri"/>
        </w:rPr>
      </w:pPr>
      <w:bookmarkStart w:id="5" w:name="ABSTRACT_START"/>
      <w:bookmarkEnd w:id="5"/>
      <w:r w:rsidRPr="008A0E93">
        <w:rPr>
          <w:rFonts w:ascii="Calibri" w:eastAsia="Calibri" w:hAnsi="Calibri"/>
          <w:rtl/>
        </w:rPr>
        <w:t xml:space="preserve">הנאשם שלפניי, מוחמד כבהה, הורשע על-סמך הודאתו בעובדות, שנכללו בכתב-אישום, אשר הוגש נגדו ביום 24.3.22. עובדות אלו מגלמות </w:t>
      </w:r>
      <w:r w:rsidRPr="008A0E93">
        <w:rPr>
          <w:rFonts w:ascii="Calibri" w:eastAsia="Calibri" w:hAnsi="Calibri"/>
          <w:b/>
          <w:bCs/>
          <w:rtl/>
        </w:rPr>
        <w:t>ארבע</w:t>
      </w:r>
      <w:r w:rsidRPr="008A0E93">
        <w:rPr>
          <w:rFonts w:ascii="Calibri" w:eastAsia="Calibri" w:hAnsi="Calibri"/>
          <w:rtl/>
        </w:rPr>
        <w:t xml:space="preserve"> עבירות שעניינן </w:t>
      </w:r>
      <w:r w:rsidRPr="008A0E93">
        <w:rPr>
          <w:rFonts w:ascii="Calibri" w:eastAsia="Calibri" w:hAnsi="Calibri"/>
          <w:b/>
          <w:bCs/>
          <w:rtl/>
        </w:rPr>
        <w:t>סחר בנשק</w:t>
      </w:r>
      <w:r w:rsidRPr="008A0E93">
        <w:rPr>
          <w:rFonts w:ascii="Calibri" w:eastAsia="Calibri" w:hAnsi="Calibri"/>
          <w:rtl/>
        </w:rPr>
        <w:t xml:space="preserve">, </w:t>
      </w:r>
      <w:r w:rsidRPr="008A0E93">
        <w:rPr>
          <w:rFonts w:ascii="Calibri" w:eastAsia="Calibri" w:hAnsi="Calibri"/>
          <w:b/>
          <w:bCs/>
          <w:rtl/>
        </w:rPr>
        <w:t>ארבע</w:t>
      </w:r>
      <w:r w:rsidRPr="008A0E93">
        <w:rPr>
          <w:rFonts w:ascii="Calibri" w:eastAsia="Calibri" w:hAnsi="Calibri"/>
          <w:rtl/>
        </w:rPr>
        <w:t xml:space="preserve"> עבירות שעניינן </w:t>
      </w:r>
      <w:r w:rsidRPr="008A0E93">
        <w:rPr>
          <w:rFonts w:ascii="Calibri" w:eastAsia="Calibri" w:hAnsi="Calibri"/>
          <w:b/>
          <w:bCs/>
          <w:rtl/>
        </w:rPr>
        <w:t>החזקת נשק,</w:t>
      </w:r>
      <w:r w:rsidRPr="008A0E93">
        <w:rPr>
          <w:rFonts w:ascii="Calibri" w:eastAsia="Calibri" w:hAnsi="Calibri"/>
          <w:rtl/>
        </w:rPr>
        <w:t xml:space="preserve"> </w:t>
      </w:r>
      <w:r w:rsidRPr="008A0E93">
        <w:rPr>
          <w:rFonts w:ascii="Calibri" w:eastAsia="Calibri" w:hAnsi="Calibri"/>
          <w:b/>
          <w:bCs/>
          <w:rtl/>
        </w:rPr>
        <w:t>תחמושת ואביזרים לנשק, נשיאתם והובלתם</w:t>
      </w:r>
      <w:r w:rsidRPr="008A0E93">
        <w:rPr>
          <w:rFonts w:ascii="Calibri" w:eastAsia="Calibri" w:hAnsi="Calibri"/>
          <w:rtl/>
        </w:rPr>
        <w:t>, שלא כדין. נעיין להלן בעובדות ההרשעה.</w:t>
      </w:r>
    </w:p>
    <w:p w14:paraId="69E7FCEA" w14:textId="77777777" w:rsidR="00E106C2" w:rsidRPr="008A0E93" w:rsidRDefault="00E106C2" w:rsidP="00E106C2">
      <w:pPr>
        <w:spacing w:after="200"/>
        <w:jc w:val="both"/>
        <w:rPr>
          <w:rFonts w:ascii="Calibri" w:eastAsia="Calibri" w:hAnsi="Calibri"/>
          <w:b/>
          <w:bCs/>
          <w:u w:val="single"/>
        </w:rPr>
      </w:pPr>
      <w:bookmarkStart w:id="6" w:name="ABSTRACT_END"/>
      <w:bookmarkEnd w:id="6"/>
      <w:r w:rsidRPr="008A0E93">
        <w:rPr>
          <w:rFonts w:ascii="Calibri" w:eastAsia="Calibri" w:hAnsi="Calibri"/>
          <w:b/>
          <w:bCs/>
          <w:u w:val="single"/>
          <w:rtl/>
        </w:rPr>
        <w:t xml:space="preserve">עובדות ההרשעה </w:t>
      </w:r>
    </w:p>
    <w:p w14:paraId="03DE92CD"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במהלך חודש אוקטובר 2021, פעלו סוכן משטרתי ושוטרת (להלן: "מאי") בשליחות משטרת ישראל ורכשו מטעמה כלי נשק ותחמושת. במועדים שונים, בין תאריך 4.6.21 לבין תאריך 31.10.21, סיכמו הנאשם ומעורבים נוספים לסחור ולמכור כלי נשק מסוגים שונים לסוכן. בין תאריך 17.10.21 ולבין תאריך 19.10.21, שוחחו הסוכן והנאשם בטלפון מספר פעמים. במהלך השיחות הציע הנאשם לסוכן למכור לו תחמושת (כדורים לנשק) תמורת 1,200 ₪, עבור קופסא המכילה 50 כדורים. הסוכן הסכים וקבע להיפגש עם הנאשם ביום 19.10.21 בשעות הצהריים בביתו של הנאשם בברטעה. </w:t>
      </w:r>
      <w:r w:rsidRPr="008A0E93">
        <w:rPr>
          <w:rFonts w:ascii="Calibri" w:eastAsia="Calibri" w:hAnsi="Calibri"/>
          <w:rtl/>
        </w:rPr>
        <w:lastRenderedPageBreak/>
        <w:t xml:space="preserve">בסמוך למועדים המצוינים לעיל סיכמו הנאשם, מוחמד אלרך ונביל אלרך, כי ימכרו לסוכן כדורים לנשק המהווים תחמושת לנשק. </w:t>
      </w:r>
    </w:p>
    <w:p w14:paraId="0CB26445"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ביום 19.10.21 בשעה 19:00 לערך, הגיעו הסוכן ומאי לביתו של הנאשם. הסוכן נכנס לביתו של הנאשם, ולאחר זמן מה, יצאו הסוכן והנאשם מן הבית ונכנסו לרכב, אשר בבעלות הנאשם. השניים נסעו לכפר ערערה, סמוך למקום לשטיפת כלי רכב לצורך ביצוע עסקת הנשק האמורה. כעבור זמן מה, ובהמשך לסיכום, הגיע רכב בו היו מוחמד, נביל ואדם נוסף. בשלב זה, מסר הסוכן למוחמד סך של 6000 ₪ עבור 5 קופסאות כדורים. מוחמד הורה לנביל להביא לסוכן את הקופסאות. כעבור זמן קצר, חזר נביל כשהוא נושא את קופסאות התחמושת. אלו הכילו 250 כדורים מסוג 9 מ"מ. נביל מסר לסוכן את הכדורים לנשק ולאחר מכן עזבו הסוכן והנאשם את המקום. </w:t>
      </w:r>
    </w:p>
    <w:p w14:paraId="32BD5B79"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בהמשך, שוחח הנאשם בטלפון עם אדם אחר (להלן: "פלוני") שאמר לו שהכין עבורו 4 קופסאות של כדורים. בעקבות כך, ולצורך השלמת עסקה זו, נסעו הסוכן והנאשם ברכבו של הנאשם לכפר ערערה, שם פגשו בפלוני, אשר החזיק ונשא בצוותא חדא עם הנאשם - 4 קופסאות כדורים לנשק, המכילות 200 כדורי  9 מ"מ. את הקופסאות האלו מסר פלוני לסוכן ובתמורה מסר לו הסוכן 4800 ₪. לאחר מכן, הסוכן והנאשם עזבו את המקום לברטעה. במהלך הנסיעה, מסר הסוכן לנאשם סכום כסף מזומן בסך 3000 ₪ עבור חלקו בעסקאות הנשק שתאורו לעיל.   </w:t>
      </w:r>
    </w:p>
    <w:p w14:paraId="256AF179"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בגין מעשים אלו ובגדר האישום הראשון, הורשע הנאשם בשתי עבירות שעניינן </w:t>
      </w:r>
      <w:r w:rsidRPr="008A0E93">
        <w:rPr>
          <w:rFonts w:ascii="Calibri" w:eastAsia="Calibri" w:hAnsi="Calibri"/>
          <w:b/>
          <w:bCs/>
          <w:rtl/>
        </w:rPr>
        <w:t>סחר בנשק</w:t>
      </w:r>
      <w:r w:rsidRPr="008A0E93">
        <w:rPr>
          <w:rFonts w:ascii="Calibri" w:eastAsia="Calibri" w:hAnsi="Calibri"/>
          <w:rtl/>
        </w:rPr>
        <w:t xml:space="preserve">, לפי סעיפים </w:t>
      </w:r>
      <w:hyperlink r:id="rId17" w:history="1">
        <w:r w:rsidR="00A12A5C" w:rsidRPr="00A12A5C">
          <w:rPr>
            <w:rStyle w:val="Hyperlink"/>
            <w:rFonts w:ascii="Calibri" w:eastAsia="Calibri" w:hAnsi="Calibri"/>
            <w:rtl/>
          </w:rPr>
          <w:t>144(</w:t>
        </w:r>
        <w:r w:rsidR="00A12A5C" w:rsidRPr="00A12A5C">
          <w:rPr>
            <w:rStyle w:val="Hyperlink"/>
            <w:rFonts w:ascii="Calibri" w:eastAsia="Calibri" w:hAnsi="Calibri" w:hint="cs"/>
            <w:rtl/>
          </w:rPr>
          <w:t>ב</w:t>
        </w:r>
        <w:r w:rsidR="00A12A5C" w:rsidRPr="00A12A5C">
          <w:rPr>
            <w:rStyle w:val="Hyperlink"/>
            <w:rFonts w:ascii="Calibri" w:eastAsia="Calibri" w:hAnsi="Calibri"/>
            <w:rtl/>
          </w:rPr>
          <w:t xml:space="preserve">2) </w:t>
        </w:r>
        <w:r w:rsidR="00A12A5C" w:rsidRPr="00A12A5C">
          <w:rPr>
            <w:rStyle w:val="Hyperlink"/>
            <w:rFonts w:ascii="Calibri" w:eastAsia="Calibri" w:hAnsi="Calibri" w:hint="cs"/>
            <w:rtl/>
          </w:rPr>
          <w:t>ו</w:t>
        </w:r>
        <w:r w:rsidR="00A12A5C" w:rsidRPr="00A12A5C">
          <w:rPr>
            <w:rStyle w:val="Hyperlink"/>
            <w:rFonts w:ascii="Calibri" w:eastAsia="Calibri" w:hAnsi="Calibri"/>
            <w:rtl/>
          </w:rPr>
          <w:t>- (</w:t>
        </w:r>
        <w:r w:rsidR="00A12A5C" w:rsidRPr="00A12A5C">
          <w:rPr>
            <w:rStyle w:val="Hyperlink"/>
            <w:rFonts w:ascii="Calibri" w:eastAsia="Calibri" w:hAnsi="Calibri" w:hint="cs"/>
            <w:rtl/>
          </w:rPr>
          <w:t>ג</w:t>
        </w:r>
        <w:r w:rsidR="00A12A5C" w:rsidRPr="00A12A5C">
          <w:rPr>
            <w:rStyle w:val="Hyperlink"/>
            <w:rFonts w:ascii="Calibri" w:eastAsia="Calibri" w:hAnsi="Calibri"/>
            <w:rtl/>
          </w:rPr>
          <w:t>3)</w:t>
        </w:r>
      </w:hyperlink>
      <w:r w:rsidRPr="008A0E93">
        <w:rPr>
          <w:rFonts w:ascii="Calibri" w:eastAsia="Calibri" w:hAnsi="Calibri"/>
          <w:rtl/>
        </w:rPr>
        <w:t xml:space="preserve"> בצירוף לסעיף </w:t>
      </w:r>
      <w:hyperlink r:id="rId18" w:history="1">
        <w:r w:rsidR="00A12A5C" w:rsidRPr="00A12A5C">
          <w:rPr>
            <w:rStyle w:val="Hyperlink"/>
            <w:rFonts w:ascii="Calibri" w:eastAsia="Calibri" w:hAnsi="Calibri"/>
            <w:rtl/>
          </w:rPr>
          <w:t>29</w:t>
        </w:r>
      </w:hyperlink>
      <w:r w:rsidRPr="008A0E93">
        <w:rPr>
          <w:rFonts w:ascii="Calibri" w:eastAsia="Calibri" w:hAnsi="Calibri"/>
          <w:rtl/>
        </w:rPr>
        <w:t xml:space="preserve"> ל</w:t>
      </w:r>
      <w:hyperlink r:id="rId19" w:history="1">
        <w:r w:rsidR="000A6CF3" w:rsidRPr="000A6CF3">
          <w:rPr>
            <w:rFonts w:ascii="Calibri" w:eastAsia="Calibri" w:hAnsi="Calibri" w:hint="cs"/>
            <w:color w:val="0000FF"/>
            <w:u w:val="single"/>
            <w:rtl/>
          </w:rPr>
          <w:t>חוק</w:t>
        </w:r>
        <w:r w:rsidR="000A6CF3" w:rsidRPr="000A6CF3">
          <w:rPr>
            <w:rFonts w:ascii="Calibri" w:eastAsia="Calibri" w:hAnsi="Calibri"/>
            <w:color w:val="0000FF"/>
            <w:u w:val="single"/>
            <w:rtl/>
          </w:rPr>
          <w:t xml:space="preserve"> </w:t>
        </w:r>
        <w:r w:rsidR="000A6CF3" w:rsidRPr="000A6CF3">
          <w:rPr>
            <w:rFonts w:ascii="Calibri" w:eastAsia="Calibri" w:hAnsi="Calibri" w:hint="cs"/>
            <w:color w:val="0000FF"/>
            <w:u w:val="single"/>
            <w:rtl/>
          </w:rPr>
          <w:t>העונשין</w:t>
        </w:r>
      </w:hyperlink>
      <w:r w:rsidRPr="008A0E93">
        <w:rPr>
          <w:rFonts w:ascii="Calibri" w:eastAsia="Calibri" w:hAnsi="Calibri"/>
          <w:rtl/>
        </w:rPr>
        <w:t>, תשל"ז- 1977 (להלן: "</w:t>
      </w:r>
      <w:r w:rsidRPr="008A0E93">
        <w:rPr>
          <w:rFonts w:ascii="Calibri" w:eastAsia="Calibri" w:hAnsi="Calibri"/>
          <w:b/>
          <w:bCs/>
          <w:rtl/>
        </w:rPr>
        <w:t>חוק העונשין</w:t>
      </w:r>
      <w:r w:rsidRPr="008A0E93">
        <w:rPr>
          <w:rFonts w:ascii="Calibri" w:eastAsia="Calibri" w:hAnsi="Calibri"/>
          <w:rtl/>
        </w:rPr>
        <w:t>" או "</w:t>
      </w:r>
      <w:r w:rsidRPr="008A0E93">
        <w:rPr>
          <w:rFonts w:ascii="Calibri" w:eastAsia="Calibri" w:hAnsi="Calibri"/>
          <w:b/>
          <w:bCs/>
          <w:rtl/>
        </w:rPr>
        <w:t>החוק</w:t>
      </w:r>
      <w:r w:rsidRPr="008A0E93">
        <w:rPr>
          <w:rFonts w:ascii="Calibri" w:eastAsia="Calibri" w:hAnsi="Calibri"/>
          <w:rtl/>
        </w:rPr>
        <w:t xml:space="preserve">"). וכן בשתי עבירות שעניינן </w:t>
      </w:r>
      <w:r w:rsidRPr="008A0E93">
        <w:rPr>
          <w:rFonts w:ascii="Calibri" w:eastAsia="Calibri" w:hAnsi="Calibri"/>
          <w:b/>
          <w:bCs/>
          <w:rtl/>
        </w:rPr>
        <w:t>החזקה, נשיאה והובלה</w:t>
      </w:r>
      <w:r w:rsidRPr="008A0E93">
        <w:rPr>
          <w:rFonts w:ascii="Calibri" w:eastAsia="Calibri" w:hAnsi="Calibri"/>
          <w:rtl/>
        </w:rPr>
        <w:t xml:space="preserve"> לפי </w:t>
      </w:r>
      <w:hyperlink r:id="rId20" w:history="1">
        <w:r w:rsidR="00A12A5C" w:rsidRPr="00A12A5C">
          <w:rPr>
            <w:rStyle w:val="Hyperlink"/>
            <w:rFonts w:ascii="Calibri" w:eastAsia="Calibri" w:hAnsi="Calibri" w:hint="cs"/>
            <w:rtl/>
          </w:rPr>
          <w:t>סעיפים</w:t>
        </w:r>
        <w:r w:rsidR="00A12A5C" w:rsidRPr="00A12A5C">
          <w:rPr>
            <w:rStyle w:val="Hyperlink"/>
            <w:rFonts w:ascii="Calibri" w:eastAsia="Calibri" w:hAnsi="Calibri"/>
            <w:rtl/>
          </w:rPr>
          <w:t xml:space="preserve"> 144(</w:t>
        </w:r>
        <w:r w:rsidR="00A12A5C" w:rsidRPr="00A12A5C">
          <w:rPr>
            <w:rStyle w:val="Hyperlink"/>
            <w:rFonts w:ascii="Calibri" w:eastAsia="Calibri" w:hAnsi="Calibri" w:hint="cs"/>
            <w:rtl/>
          </w:rPr>
          <w:t>א</w:t>
        </w:r>
        <w:r w:rsidR="00A12A5C" w:rsidRPr="00A12A5C">
          <w:rPr>
            <w:rStyle w:val="Hyperlink"/>
            <w:rFonts w:ascii="Calibri" w:eastAsia="Calibri" w:hAnsi="Calibri"/>
            <w:rtl/>
          </w:rPr>
          <w:t>)</w:t>
        </w:r>
      </w:hyperlink>
      <w:r w:rsidRPr="008A0E93">
        <w:rPr>
          <w:rFonts w:ascii="Calibri" w:eastAsia="Calibri" w:hAnsi="Calibri"/>
          <w:rtl/>
        </w:rPr>
        <w:t xml:space="preserve"> סיפא, </w:t>
      </w:r>
      <w:hyperlink r:id="rId21" w:history="1">
        <w:r w:rsidR="00A12A5C" w:rsidRPr="00A12A5C">
          <w:rPr>
            <w:rStyle w:val="Hyperlink"/>
            <w:rFonts w:ascii="Calibri" w:eastAsia="Calibri" w:hAnsi="Calibri"/>
            <w:rtl/>
          </w:rPr>
          <w:t>144(</w:t>
        </w:r>
        <w:r w:rsidR="00A12A5C" w:rsidRPr="00A12A5C">
          <w:rPr>
            <w:rStyle w:val="Hyperlink"/>
            <w:rFonts w:ascii="Calibri" w:eastAsia="Calibri" w:hAnsi="Calibri" w:hint="cs"/>
            <w:rtl/>
          </w:rPr>
          <w:t>ב</w:t>
        </w:r>
        <w:r w:rsidR="00A12A5C" w:rsidRPr="00A12A5C">
          <w:rPr>
            <w:rStyle w:val="Hyperlink"/>
            <w:rFonts w:ascii="Calibri" w:eastAsia="Calibri" w:hAnsi="Calibri"/>
            <w:rtl/>
          </w:rPr>
          <w:t>)</w:t>
        </w:r>
      </w:hyperlink>
      <w:r w:rsidRPr="008A0E93">
        <w:rPr>
          <w:rFonts w:ascii="Calibri" w:eastAsia="Calibri" w:hAnsi="Calibri"/>
          <w:rtl/>
        </w:rPr>
        <w:t xml:space="preserve"> סיפא ו- </w:t>
      </w:r>
      <w:hyperlink r:id="rId22" w:history="1">
        <w:r w:rsidR="00A12A5C" w:rsidRPr="00A12A5C">
          <w:rPr>
            <w:rStyle w:val="Hyperlink"/>
            <w:rFonts w:ascii="Calibri" w:eastAsia="Calibri" w:hAnsi="Calibri"/>
            <w:rtl/>
          </w:rPr>
          <w:t>29</w:t>
        </w:r>
      </w:hyperlink>
      <w:r w:rsidRPr="008A0E93">
        <w:rPr>
          <w:rFonts w:ascii="Calibri" w:eastAsia="Calibri" w:hAnsi="Calibri"/>
          <w:rtl/>
        </w:rPr>
        <w:t xml:space="preserve"> ל</w:t>
      </w:r>
      <w:hyperlink r:id="rId23" w:history="1">
        <w:r w:rsidR="000A6CF3" w:rsidRPr="000A6CF3">
          <w:rPr>
            <w:rFonts w:ascii="Calibri" w:eastAsia="Calibri" w:hAnsi="Calibri" w:hint="cs"/>
            <w:color w:val="0000FF"/>
            <w:u w:val="single"/>
            <w:rtl/>
          </w:rPr>
          <w:t>חוק</w:t>
        </w:r>
        <w:r w:rsidR="000A6CF3" w:rsidRPr="000A6CF3">
          <w:rPr>
            <w:rFonts w:ascii="Calibri" w:eastAsia="Calibri" w:hAnsi="Calibri"/>
            <w:color w:val="0000FF"/>
            <w:u w:val="single"/>
            <w:rtl/>
          </w:rPr>
          <w:t xml:space="preserve"> </w:t>
        </w:r>
        <w:r w:rsidR="000A6CF3" w:rsidRPr="000A6CF3">
          <w:rPr>
            <w:rFonts w:ascii="Calibri" w:eastAsia="Calibri" w:hAnsi="Calibri" w:hint="cs"/>
            <w:color w:val="0000FF"/>
            <w:u w:val="single"/>
            <w:rtl/>
          </w:rPr>
          <w:t>העונשין</w:t>
        </w:r>
      </w:hyperlink>
      <w:r w:rsidRPr="008A0E93">
        <w:rPr>
          <w:rFonts w:ascii="Calibri" w:eastAsia="Calibri" w:hAnsi="Calibri"/>
          <w:rtl/>
        </w:rPr>
        <w:t xml:space="preserve">. </w:t>
      </w:r>
    </w:p>
    <w:p w14:paraId="12BE717F"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עוד הורשע הנאשם בכך, שבמועד העובר ליום 21.10.21 סיכמו הנאשם, עודאי ומוחמד, כי ימכרו לסוכן, בצוותא חדא, אקדח מסוג </w:t>
      </w:r>
      <w:r w:rsidRPr="008A0E93">
        <w:rPr>
          <w:rFonts w:ascii="Calibri" w:eastAsia="Calibri" w:hAnsi="Calibri"/>
        </w:rPr>
        <w:t>fn</w:t>
      </w:r>
      <w:r w:rsidRPr="008A0E93">
        <w:rPr>
          <w:rFonts w:ascii="Calibri" w:eastAsia="Calibri" w:hAnsi="Calibri"/>
          <w:rtl/>
        </w:rPr>
        <w:t xml:space="preserve">. בהמשך, ביום 24.10.21 שוחחו הסוכן והנאשם מספר פעמים ובאופן זה סיכמו להיפגש ביום 25.10.21 בשעות הצהריים המאוחרות, במקום מגוריו של הנאשם בכפר ברטעה לצורך ביצוע עסקת הנשק. בהתאם לסיכום ולצורך ביצוע עסקת הנשק, ביום 25.10.21 בשעה 21:23 לערך, הגיעו הסוכן ומאי לביתו של הנאשם. הסוכן והנאשם עלו לרכב מסוג מיצובישי ונסעו לכיכר השנייה בכפר ברטעה. במהלך הנסיעה, הודיע הנאשם, כי תמורת הנשק מבוקש סכום כסף בן  39,000 ₪ (ולא כפי שסוכם בתחילה - 37,000 ₪ ). הסוכן רגז על הנאשם על שינוי זה במחיר, אך לבסוף התרצה והסכים לשינוי. בהמשך לאמור לעיל, הסוכן והנאשם הגיעו למקום המפגש, והמתינו לעודאי ומוחמד אשר הגיעו כעבור זמן מה ברכב מסוג שברולט, כשהם נושאים ומובילים אקדח חצי אוטומטי (מסוג </w:t>
      </w:r>
      <w:r w:rsidRPr="008A0E93">
        <w:rPr>
          <w:rFonts w:ascii="Calibri" w:eastAsia="Calibri" w:hAnsi="Calibri"/>
        </w:rPr>
        <w:t xml:space="preserve">fn </w:t>
      </w:r>
      <w:r w:rsidRPr="008A0E93">
        <w:rPr>
          <w:rFonts w:ascii="Calibri" w:eastAsia="Calibri" w:hAnsi="Calibri"/>
          <w:rtl/>
        </w:rPr>
        <w:t xml:space="preserve"> תוצרת בלגיה, קליבר 9 מ"מ, מודל </w:t>
      </w:r>
      <w:r w:rsidRPr="008A0E93">
        <w:rPr>
          <w:rFonts w:ascii="Calibri" w:eastAsia="Calibri" w:hAnsi="Calibri"/>
        </w:rPr>
        <w:t xml:space="preserve">hp35 </w:t>
      </w:r>
      <w:r w:rsidRPr="008A0E93">
        <w:rPr>
          <w:rFonts w:ascii="Calibri" w:eastAsia="Calibri" w:hAnsi="Calibri"/>
          <w:rtl/>
        </w:rPr>
        <w:t xml:space="preserve"> מס' סידורי </w:t>
      </w:r>
      <w:r w:rsidRPr="008A0E93">
        <w:rPr>
          <w:rFonts w:ascii="Calibri" w:eastAsia="Calibri" w:hAnsi="Calibri"/>
        </w:rPr>
        <w:t>l77729</w:t>
      </w:r>
      <w:r w:rsidRPr="008A0E93">
        <w:rPr>
          <w:rFonts w:ascii="Calibri" w:eastAsia="Calibri" w:hAnsi="Calibri"/>
          <w:rtl/>
        </w:rPr>
        <w:t xml:space="preserve">) בתוספת מחסנית ריקה המתאימה לאקדח, המהווה אביזר לנשק.  עודאי מסר את האקדח עם המחסנית לידי הסוכן. תוך שהוא אומר לנאשם שהוא ומוחמד מחכים שיביא להם את הכסף. לאחר מכן, הסוכן והנאשם עלו לרכב המיצובישי ושם מסר הסוכן לנאשם 39000 ₪. מיד לאחר מכן, עזבו </w:t>
      </w:r>
      <w:r w:rsidRPr="008A0E93">
        <w:rPr>
          <w:rFonts w:ascii="Calibri" w:eastAsia="Calibri" w:hAnsi="Calibri"/>
          <w:rtl/>
        </w:rPr>
        <w:lastRenderedPageBreak/>
        <w:t xml:space="preserve">הסוכן והנאשם את מקום המפגש, ברכב, וחזרו לביתו של הנאשם ולאחר מכן עזב הסוכן את הבית יחד עם מאי. </w:t>
      </w:r>
    </w:p>
    <w:p w14:paraId="2F14D401"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בגין מעשיו  אלו ובגדרו של האישום השני  הורשע הנאשם בעבירה שעניינה </w:t>
      </w:r>
      <w:r w:rsidRPr="008A0E93">
        <w:rPr>
          <w:rFonts w:ascii="Calibri" w:eastAsia="Calibri" w:hAnsi="Calibri"/>
          <w:b/>
          <w:bCs/>
          <w:rtl/>
        </w:rPr>
        <w:t>סחר בנשק</w:t>
      </w:r>
      <w:r w:rsidRPr="008A0E93">
        <w:rPr>
          <w:rFonts w:ascii="Calibri" w:eastAsia="Calibri" w:hAnsi="Calibri"/>
          <w:rtl/>
        </w:rPr>
        <w:t xml:space="preserve">, לפי סעיפים </w:t>
      </w:r>
      <w:hyperlink r:id="rId24" w:history="1">
        <w:r w:rsidR="00A12A5C" w:rsidRPr="00A12A5C">
          <w:rPr>
            <w:rStyle w:val="Hyperlink"/>
            <w:rFonts w:ascii="Calibri" w:eastAsia="Calibri" w:hAnsi="Calibri"/>
            <w:rtl/>
          </w:rPr>
          <w:t>144(</w:t>
        </w:r>
        <w:r w:rsidR="00A12A5C" w:rsidRPr="00A12A5C">
          <w:rPr>
            <w:rStyle w:val="Hyperlink"/>
            <w:rFonts w:ascii="Calibri" w:eastAsia="Calibri" w:hAnsi="Calibri" w:hint="cs"/>
            <w:rtl/>
          </w:rPr>
          <w:t>ב</w:t>
        </w:r>
        <w:r w:rsidR="00A12A5C" w:rsidRPr="00A12A5C">
          <w:rPr>
            <w:rStyle w:val="Hyperlink"/>
            <w:rFonts w:ascii="Calibri" w:eastAsia="Calibri" w:hAnsi="Calibri"/>
            <w:rtl/>
          </w:rPr>
          <w:t xml:space="preserve">2) </w:t>
        </w:r>
        <w:r w:rsidR="00A12A5C" w:rsidRPr="00A12A5C">
          <w:rPr>
            <w:rStyle w:val="Hyperlink"/>
            <w:rFonts w:ascii="Calibri" w:eastAsia="Calibri" w:hAnsi="Calibri" w:hint="cs"/>
            <w:rtl/>
          </w:rPr>
          <w:t>ו</w:t>
        </w:r>
        <w:r w:rsidR="00A12A5C" w:rsidRPr="00A12A5C">
          <w:rPr>
            <w:rStyle w:val="Hyperlink"/>
            <w:rFonts w:ascii="Calibri" w:eastAsia="Calibri" w:hAnsi="Calibri"/>
            <w:rtl/>
          </w:rPr>
          <w:t xml:space="preserve"> - (</w:t>
        </w:r>
        <w:r w:rsidR="00A12A5C" w:rsidRPr="00A12A5C">
          <w:rPr>
            <w:rStyle w:val="Hyperlink"/>
            <w:rFonts w:ascii="Calibri" w:eastAsia="Calibri" w:hAnsi="Calibri" w:hint="cs"/>
            <w:rtl/>
          </w:rPr>
          <w:t>ג</w:t>
        </w:r>
        <w:r w:rsidR="00A12A5C" w:rsidRPr="00A12A5C">
          <w:rPr>
            <w:rStyle w:val="Hyperlink"/>
            <w:rFonts w:ascii="Calibri" w:eastAsia="Calibri" w:hAnsi="Calibri"/>
            <w:rtl/>
          </w:rPr>
          <w:t>1)</w:t>
        </w:r>
      </w:hyperlink>
      <w:r w:rsidRPr="008A0E93">
        <w:rPr>
          <w:rFonts w:ascii="Calibri" w:eastAsia="Calibri" w:hAnsi="Calibri"/>
          <w:rtl/>
        </w:rPr>
        <w:t xml:space="preserve"> בצירוף לסעיף </w:t>
      </w:r>
      <w:hyperlink r:id="rId25" w:history="1">
        <w:r w:rsidR="00A12A5C" w:rsidRPr="00A12A5C">
          <w:rPr>
            <w:rStyle w:val="Hyperlink"/>
            <w:rFonts w:ascii="Calibri" w:eastAsia="Calibri" w:hAnsi="Calibri"/>
            <w:rtl/>
          </w:rPr>
          <w:t>29</w:t>
        </w:r>
      </w:hyperlink>
      <w:r w:rsidRPr="008A0E93">
        <w:rPr>
          <w:rFonts w:ascii="Calibri" w:eastAsia="Calibri" w:hAnsi="Calibri"/>
          <w:rtl/>
        </w:rPr>
        <w:t xml:space="preserve"> ל</w:t>
      </w:r>
      <w:hyperlink r:id="rId26" w:history="1">
        <w:r w:rsidR="000A6CF3" w:rsidRPr="000A6CF3">
          <w:rPr>
            <w:rFonts w:ascii="Calibri" w:eastAsia="Calibri" w:hAnsi="Calibri" w:hint="cs"/>
            <w:color w:val="0000FF"/>
            <w:u w:val="single"/>
            <w:rtl/>
          </w:rPr>
          <w:t>חוק</w:t>
        </w:r>
        <w:r w:rsidR="000A6CF3" w:rsidRPr="000A6CF3">
          <w:rPr>
            <w:rFonts w:ascii="Calibri" w:eastAsia="Calibri" w:hAnsi="Calibri"/>
            <w:color w:val="0000FF"/>
            <w:u w:val="single"/>
            <w:rtl/>
          </w:rPr>
          <w:t xml:space="preserve"> </w:t>
        </w:r>
        <w:r w:rsidR="000A6CF3" w:rsidRPr="000A6CF3">
          <w:rPr>
            <w:rFonts w:ascii="Calibri" w:eastAsia="Calibri" w:hAnsi="Calibri" w:hint="cs"/>
            <w:color w:val="0000FF"/>
            <w:u w:val="single"/>
            <w:rtl/>
          </w:rPr>
          <w:t>העונשין</w:t>
        </w:r>
      </w:hyperlink>
      <w:r w:rsidRPr="008A0E93">
        <w:rPr>
          <w:rFonts w:ascii="Calibri" w:eastAsia="Calibri" w:hAnsi="Calibri"/>
          <w:rtl/>
        </w:rPr>
        <w:t>,</w:t>
      </w:r>
      <w:r w:rsidRPr="008A0E93">
        <w:rPr>
          <w:rFonts w:ascii="Calibri" w:eastAsia="Calibri" w:hAnsi="Calibri"/>
          <w:color w:val="FF0000"/>
          <w:rtl/>
        </w:rPr>
        <w:t xml:space="preserve"> </w:t>
      </w:r>
      <w:r w:rsidRPr="008A0E93">
        <w:rPr>
          <w:rFonts w:ascii="Calibri" w:eastAsia="Calibri" w:hAnsi="Calibri"/>
          <w:rtl/>
        </w:rPr>
        <w:t>וכן בעבירה שעניינה</w:t>
      </w:r>
      <w:r w:rsidRPr="008A0E93">
        <w:rPr>
          <w:rFonts w:ascii="Calibri" w:eastAsia="Calibri" w:hAnsi="Calibri"/>
          <w:b/>
          <w:bCs/>
          <w:rtl/>
        </w:rPr>
        <w:t xml:space="preserve"> החזקה, נשיאה והובלה </w:t>
      </w:r>
      <w:r w:rsidRPr="008A0E93">
        <w:rPr>
          <w:rFonts w:ascii="Calibri" w:eastAsia="Calibri" w:hAnsi="Calibri"/>
          <w:rtl/>
        </w:rPr>
        <w:t xml:space="preserve">לפי </w:t>
      </w:r>
      <w:hyperlink r:id="rId27" w:history="1">
        <w:r w:rsidR="00A12A5C" w:rsidRPr="00A12A5C">
          <w:rPr>
            <w:rStyle w:val="Hyperlink"/>
            <w:rFonts w:ascii="Calibri" w:eastAsia="Calibri" w:hAnsi="Calibri" w:hint="cs"/>
            <w:rtl/>
          </w:rPr>
          <w:t>סעיפים</w:t>
        </w:r>
        <w:r w:rsidR="00A12A5C" w:rsidRPr="00A12A5C">
          <w:rPr>
            <w:rStyle w:val="Hyperlink"/>
            <w:rFonts w:ascii="Calibri" w:eastAsia="Calibri" w:hAnsi="Calibri"/>
            <w:rtl/>
          </w:rPr>
          <w:t xml:space="preserve"> 144(</w:t>
        </w:r>
        <w:r w:rsidR="00A12A5C" w:rsidRPr="00A12A5C">
          <w:rPr>
            <w:rStyle w:val="Hyperlink"/>
            <w:rFonts w:ascii="Calibri" w:eastAsia="Calibri" w:hAnsi="Calibri" w:hint="cs"/>
            <w:rtl/>
          </w:rPr>
          <w:t>א</w:t>
        </w:r>
        <w:r w:rsidR="00A12A5C" w:rsidRPr="00A12A5C">
          <w:rPr>
            <w:rStyle w:val="Hyperlink"/>
            <w:rFonts w:ascii="Calibri" w:eastAsia="Calibri" w:hAnsi="Calibri"/>
            <w:rtl/>
          </w:rPr>
          <w:t>)</w:t>
        </w:r>
      </w:hyperlink>
      <w:r w:rsidRPr="008A0E93">
        <w:rPr>
          <w:rFonts w:ascii="Calibri" w:eastAsia="Calibri" w:hAnsi="Calibri"/>
          <w:rtl/>
        </w:rPr>
        <w:t xml:space="preserve"> רישא וסיפא, </w:t>
      </w:r>
      <w:hyperlink r:id="rId28" w:history="1">
        <w:r w:rsidR="00A12A5C" w:rsidRPr="00A12A5C">
          <w:rPr>
            <w:rStyle w:val="Hyperlink"/>
            <w:rFonts w:ascii="Calibri" w:eastAsia="Calibri" w:hAnsi="Calibri"/>
            <w:rtl/>
          </w:rPr>
          <w:t>144(</w:t>
        </w:r>
        <w:r w:rsidR="00A12A5C" w:rsidRPr="00A12A5C">
          <w:rPr>
            <w:rStyle w:val="Hyperlink"/>
            <w:rFonts w:ascii="Calibri" w:eastAsia="Calibri" w:hAnsi="Calibri" w:hint="cs"/>
            <w:rtl/>
          </w:rPr>
          <w:t>ב</w:t>
        </w:r>
        <w:r w:rsidR="00A12A5C" w:rsidRPr="00A12A5C">
          <w:rPr>
            <w:rStyle w:val="Hyperlink"/>
            <w:rFonts w:ascii="Calibri" w:eastAsia="Calibri" w:hAnsi="Calibri"/>
            <w:rtl/>
          </w:rPr>
          <w:t>)</w:t>
        </w:r>
      </w:hyperlink>
      <w:r w:rsidRPr="008A0E93">
        <w:rPr>
          <w:rFonts w:ascii="Calibri" w:eastAsia="Calibri" w:hAnsi="Calibri"/>
          <w:rtl/>
        </w:rPr>
        <w:t xml:space="preserve"> רישא וסיפא ו- </w:t>
      </w:r>
      <w:hyperlink r:id="rId29" w:history="1">
        <w:r w:rsidR="00A12A5C" w:rsidRPr="00A12A5C">
          <w:rPr>
            <w:rStyle w:val="Hyperlink"/>
            <w:rFonts w:ascii="Calibri" w:eastAsia="Calibri" w:hAnsi="Calibri"/>
            <w:rtl/>
          </w:rPr>
          <w:t>29</w:t>
        </w:r>
      </w:hyperlink>
      <w:r w:rsidRPr="008A0E93">
        <w:rPr>
          <w:rFonts w:ascii="Calibri" w:eastAsia="Calibri" w:hAnsi="Calibri"/>
          <w:rtl/>
        </w:rPr>
        <w:t xml:space="preserve"> לחוק העונשין.</w:t>
      </w:r>
    </w:p>
    <w:p w14:paraId="4D15ED0D"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עובר ליום 30.10.21, סיכמו הנאשם, אשרף הרשה וסאמח קבהא, כי ימכרו לסוכן, בצוותא חדא, אקדח. בהתאם לסיכום זה, ביום 30.10.21, שוחחו הסוכן והנאשם באמצעות הטלפון וסיכמו להיפגש, עוד באותו היום, לצורך ביצוע עסקת הנשק. במסגרת אחת השיחות אמר הנאשם לסוכן, כי קיימים שני אקדחים שניתן לרוכשם, האחד מסוג סטאר והשני מסוג </w:t>
      </w:r>
      <w:r w:rsidRPr="008A0E93">
        <w:rPr>
          <w:rFonts w:ascii="Calibri" w:eastAsia="Calibri" w:hAnsi="Calibri"/>
        </w:rPr>
        <w:t xml:space="preserve">fn </w:t>
      </w:r>
      <w:r w:rsidRPr="008A0E93">
        <w:rPr>
          <w:rFonts w:ascii="Calibri" w:eastAsia="Calibri" w:hAnsi="Calibri"/>
          <w:rtl/>
        </w:rPr>
        <w:t xml:space="preserve">.  הסוכן מצדו היה מעוניין באקדח מסוג </w:t>
      </w:r>
      <w:r w:rsidRPr="008A0E93">
        <w:rPr>
          <w:rFonts w:ascii="Calibri" w:eastAsia="Calibri" w:hAnsi="Calibri"/>
        </w:rPr>
        <w:t>fn</w:t>
      </w:r>
      <w:r w:rsidRPr="008A0E93">
        <w:rPr>
          <w:rFonts w:ascii="Calibri" w:eastAsia="Calibri" w:hAnsi="Calibri"/>
          <w:rtl/>
        </w:rPr>
        <w:t xml:space="preserve">. בשלב זה, הודיע הנאשם לסוכן כי עבור אקדח זה יהיה עליו לשלם 35000 ש"ח. הסוכן והנאשם התמקחו על המחיר, אך לבסוף הסוכן התרצה והסכים לתמורה האמורה. הסוכן הגיע אל ביתו של הנאשם בערך בשעה 16:50, כאשר לאחר מספר דקות עלו הסוכן הנאשם ואשרף לרכב מסוג </w:t>
      </w:r>
      <w:r w:rsidRPr="008A0E93">
        <w:rPr>
          <w:rFonts w:ascii="Calibri" w:eastAsia="Calibri" w:hAnsi="Calibri"/>
        </w:rPr>
        <w:t xml:space="preserve">bmw </w:t>
      </w:r>
      <w:r w:rsidRPr="008A0E93">
        <w:rPr>
          <w:rFonts w:ascii="Calibri" w:eastAsia="Calibri" w:hAnsi="Calibri"/>
          <w:rtl/>
        </w:rPr>
        <w:t xml:space="preserve"> המשמש את הנאשם. השלושה נסעו לכיוון פתח בגדר המפרידה בין שטח מדינת ישראל לבין השטחים, שבשליטת הרשות הפלסטינית, על מנת לאסוף את סאמח, לצורך ביצוע עסקת הנשק. במהלך הנסיעה הוציא הסוכן סכום במזומן בן 35000 ש"ח אשר יועדו לביצוע עסקת הנשק. אשרף והסוכן ספרו את הכסף, לצורך השלמת העסקה. עוד בשלב זה אמר הסוכן לנאשם כי בכוונתו להעניק לו עבור חלקו בעסקת הנשק סך של 2000 ₪. בתגובה, אמר הנאשם כי הוא מעוניין שישולמו לו עבור עסקה זו 3000 ₪. הסוכן נעתר לבקשה זו ומסר לידי הנאשם 3000 ₪. לאחר מכן, כאשר הגיעו השלושה למקום המיועד, עלו לרכב סאמח ואדם נוסף. סאמח החזיק נשא והוביל אקדח חצי אוטומטי </w:t>
      </w:r>
      <w:r w:rsidRPr="008A0E93">
        <w:rPr>
          <w:rFonts w:ascii="Calibri" w:eastAsia="Calibri" w:hAnsi="Calibri"/>
        </w:rPr>
        <w:t>fn</w:t>
      </w:r>
      <w:r w:rsidRPr="008A0E93">
        <w:rPr>
          <w:rFonts w:ascii="Calibri" w:eastAsia="Calibri" w:hAnsi="Calibri"/>
          <w:rtl/>
        </w:rPr>
        <w:t xml:space="preserve"> תוצרת בלגיה, קליבר 9 מ"מ, מודל</w:t>
      </w:r>
      <w:r w:rsidRPr="008A0E93">
        <w:rPr>
          <w:rFonts w:ascii="Calibri" w:eastAsia="Calibri" w:hAnsi="Calibri"/>
        </w:rPr>
        <w:t xml:space="preserve">hp 35 </w:t>
      </w:r>
      <w:r w:rsidRPr="008A0E93">
        <w:rPr>
          <w:rFonts w:ascii="Calibri" w:eastAsia="Calibri" w:hAnsi="Calibri"/>
          <w:rtl/>
        </w:rPr>
        <w:t xml:space="preserve">, מס' סידורי </w:t>
      </w:r>
      <w:r w:rsidRPr="008A0E93">
        <w:rPr>
          <w:rFonts w:ascii="Calibri" w:eastAsia="Calibri" w:hAnsi="Calibri"/>
        </w:rPr>
        <w:t>c79873</w:t>
      </w:r>
      <w:r w:rsidRPr="008A0E93">
        <w:rPr>
          <w:rFonts w:ascii="Calibri" w:eastAsia="Calibri" w:hAnsi="Calibri"/>
          <w:rtl/>
        </w:rPr>
        <w:t xml:space="preserve">. בתוך הנשק הנ"ל הייתה מחסנית המתאימה לאקדח, המהווה אביזר לנשק. כעבור זמן מה, בהגיעם לכניסה של כפר ברטעה, ירדו מן הרכב הנאשם האדם הנוסף וסאמח. אלו עלו לרכב מסוג מיצובישי שחנה במקום. בשלב זה, אשרף עבר לשבת במושב הנהג, והורה לסאמח לנסוע אחריו על מנת לנסות את האקדח. כאשר הנאשם, אשרף סאמח והאדם הנוסף הגיעו למטע זיתים בברטעה, הוציא סאמח את האקדח עם המחסנית בתוכו ומסר אותו לידי הסוכן. בשלב זה, הנאשם או אשרף או סאמח בדקו את האקדח, כך שירו מספר כדורים לאוויר. לאחר מכן, מסר הסוכן לסאמח את הכסף בתמורה לאקדח. מיד לאחר מכן, עזבו הסוכן ואשרף את המקום ברכב, וחזרו לכניסה לכפר ברטעה, שם ירד הסוכן ומאי אספה אותו. </w:t>
      </w:r>
    </w:p>
    <w:p w14:paraId="5D33D886"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בגין מעשיו אלו ובגדרו של האישום השלישי הורשע הנאשם בעבירה שעניינה </w:t>
      </w:r>
      <w:r w:rsidRPr="008A0E93">
        <w:rPr>
          <w:rFonts w:ascii="Calibri" w:eastAsia="Calibri" w:hAnsi="Calibri"/>
          <w:b/>
          <w:bCs/>
          <w:rtl/>
        </w:rPr>
        <w:t>סחר בנשק</w:t>
      </w:r>
      <w:r w:rsidRPr="008A0E93">
        <w:rPr>
          <w:rFonts w:ascii="Calibri" w:eastAsia="Calibri" w:hAnsi="Calibri"/>
          <w:rtl/>
        </w:rPr>
        <w:t xml:space="preserve">, לפי </w:t>
      </w:r>
      <w:hyperlink r:id="rId30" w:history="1">
        <w:r w:rsidR="00A12A5C" w:rsidRPr="00A12A5C">
          <w:rPr>
            <w:rStyle w:val="Hyperlink"/>
            <w:rFonts w:ascii="Calibri" w:eastAsia="Calibri" w:hAnsi="Calibri" w:hint="cs"/>
            <w:rtl/>
          </w:rPr>
          <w:t>סעיפים</w:t>
        </w:r>
        <w:r w:rsidR="00A12A5C" w:rsidRPr="00A12A5C">
          <w:rPr>
            <w:rStyle w:val="Hyperlink"/>
            <w:rFonts w:ascii="Calibri" w:eastAsia="Calibri" w:hAnsi="Calibri"/>
            <w:rtl/>
          </w:rPr>
          <w:t xml:space="preserve"> 144(</w:t>
        </w:r>
        <w:r w:rsidR="00A12A5C" w:rsidRPr="00A12A5C">
          <w:rPr>
            <w:rStyle w:val="Hyperlink"/>
            <w:rFonts w:ascii="Calibri" w:eastAsia="Calibri" w:hAnsi="Calibri" w:hint="cs"/>
            <w:rtl/>
          </w:rPr>
          <w:t>ב</w:t>
        </w:r>
        <w:r w:rsidR="00A12A5C" w:rsidRPr="00A12A5C">
          <w:rPr>
            <w:rStyle w:val="Hyperlink"/>
            <w:rFonts w:ascii="Calibri" w:eastAsia="Calibri" w:hAnsi="Calibri"/>
            <w:rtl/>
          </w:rPr>
          <w:t>2)</w:t>
        </w:r>
      </w:hyperlink>
      <w:r w:rsidRPr="008A0E93">
        <w:rPr>
          <w:rFonts w:ascii="Calibri" w:eastAsia="Calibri" w:hAnsi="Calibri"/>
          <w:rtl/>
        </w:rPr>
        <w:t xml:space="preserve"> ו - (</w:t>
      </w:r>
      <w:hyperlink r:id="rId31" w:history="1">
        <w:r w:rsidR="00A12A5C" w:rsidRPr="00A12A5C">
          <w:rPr>
            <w:rStyle w:val="Hyperlink"/>
            <w:rFonts w:ascii="Calibri" w:eastAsia="Calibri" w:hAnsi="Calibri" w:hint="cs"/>
            <w:rtl/>
          </w:rPr>
          <w:t>ג</w:t>
        </w:r>
        <w:r w:rsidR="00A12A5C" w:rsidRPr="00A12A5C">
          <w:rPr>
            <w:rStyle w:val="Hyperlink"/>
            <w:rFonts w:ascii="Calibri" w:eastAsia="Calibri" w:hAnsi="Calibri"/>
            <w:rtl/>
          </w:rPr>
          <w:t>1</w:t>
        </w:r>
      </w:hyperlink>
      <w:r w:rsidRPr="008A0E93">
        <w:rPr>
          <w:rFonts w:ascii="Calibri" w:eastAsia="Calibri" w:hAnsi="Calibri"/>
          <w:rtl/>
        </w:rPr>
        <w:t xml:space="preserve">) בצירוף </w:t>
      </w:r>
      <w:hyperlink r:id="rId32" w:history="1">
        <w:r w:rsidR="00A12A5C" w:rsidRPr="00A12A5C">
          <w:rPr>
            <w:rStyle w:val="Hyperlink"/>
            <w:rFonts w:ascii="Calibri" w:eastAsia="Calibri" w:hAnsi="Calibri" w:hint="cs"/>
            <w:rtl/>
          </w:rPr>
          <w:t>לסעיף</w:t>
        </w:r>
        <w:r w:rsidR="00A12A5C" w:rsidRPr="00A12A5C">
          <w:rPr>
            <w:rStyle w:val="Hyperlink"/>
            <w:rFonts w:ascii="Calibri" w:eastAsia="Calibri" w:hAnsi="Calibri"/>
            <w:rtl/>
          </w:rPr>
          <w:t xml:space="preserve"> 29</w:t>
        </w:r>
      </w:hyperlink>
      <w:r w:rsidRPr="008A0E93">
        <w:rPr>
          <w:rFonts w:ascii="Calibri" w:eastAsia="Calibri" w:hAnsi="Calibri"/>
          <w:rtl/>
        </w:rPr>
        <w:t xml:space="preserve"> ל</w:t>
      </w:r>
      <w:hyperlink r:id="rId33" w:history="1">
        <w:r w:rsidR="000A6CF3" w:rsidRPr="000A6CF3">
          <w:rPr>
            <w:rFonts w:ascii="Calibri" w:eastAsia="Calibri" w:hAnsi="Calibri" w:hint="cs"/>
            <w:color w:val="0000FF"/>
            <w:u w:val="single"/>
            <w:rtl/>
          </w:rPr>
          <w:t>חוק</w:t>
        </w:r>
        <w:r w:rsidR="000A6CF3" w:rsidRPr="000A6CF3">
          <w:rPr>
            <w:rFonts w:ascii="Calibri" w:eastAsia="Calibri" w:hAnsi="Calibri"/>
            <w:color w:val="0000FF"/>
            <w:u w:val="single"/>
            <w:rtl/>
          </w:rPr>
          <w:t xml:space="preserve"> </w:t>
        </w:r>
        <w:r w:rsidR="000A6CF3" w:rsidRPr="000A6CF3">
          <w:rPr>
            <w:rFonts w:ascii="Calibri" w:eastAsia="Calibri" w:hAnsi="Calibri" w:hint="cs"/>
            <w:color w:val="0000FF"/>
            <w:u w:val="single"/>
            <w:rtl/>
          </w:rPr>
          <w:t>העונשין</w:t>
        </w:r>
      </w:hyperlink>
      <w:r w:rsidRPr="008A0E93">
        <w:rPr>
          <w:rFonts w:ascii="Calibri" w:eastAsia="Calibri" w:hAnsi="Calibri"/>
          <w:rtl/>
        </w:rPr>
        <w:t xml:space="preserve"> ובנוסף בעבירה שעניינה</w:t>
      </w:r>
      <w:r w:rsidRPr="008A0E93">
        <w:rPr>
          <w:rFonts w:ascii="Calibri" w:eastAsia="Calibri" w:hAnsi="Calibri"/>
          <w:b/>
          <w:bCs/>
          <w:rtl/>
        </w:rPr>
        <w:t xml:space="preserve"> החזקה, נשיאה והובלה</w:t>
      </w:r>
      <w:r w:rsidRPr="008A0E93">
        <w:rPr>
          <w:rFonts w:ascii="Calibri" w:eastAsia="Calibri" w:hAnsi="Calibri"/>
          <w:rtl/>
        </w:rPr>
        <w:t xml:space="preserve"> לפי </w:t>
      </w:r>
      <w:hyperlink r:id="rId34" w:history="1">
        <w:r w:rsidR="00A12A5C" w:rsidRPr="00A12A5C">
          <w:rPr>
            <w:rStyle w:val="Hyperlink"/>
            <w:rFonts w:ascii="Calibri" w:eastAsia="Calibri" w:hAnsi="Calibri" w:hint="cs"/>
            <w:rtl/>
          </w:rPr>
          <w:t>סעיפים</w:t>
        </w:r>
        <w:r w:rsidR="00A12A5C" w:rsidRPr="00A12A5C">
          <w:rPr>
            <w:rStyle w:val="Hyperlink"/>
            <w:rFonts w:ascii="Calibri" w:eastAsia="Calibri" w:hAnsi="Calibri"/>
            <w:rtl/>
          </w:rPr>
          <w:t xml:space="preserve"> 144(</w:t>
        </w:r>
        <w:r w:rsidR="00A12A5C" w:rsidRPr="00A12A5C">
          <w:rPr>
            <w:rStyle w:val="Hyperlink"/>
            <w:rFonts w:ascii="Calibri" w:eastAsia="Calibri" w:hAnsi="Calibri" w:hint="cs"/>
            <w:rtl/>
          </w:rPr>
          <w:t>א</w:t>
        </w:r>
        <w:r w:rsidR="00A12A5C" w:rsidRPr="00A12A5C">
          <w:rPr>
            <w:rStyle w:val="Hyperlink"/>
            <w:rFonts w:ascii="Calibri" w:eastAsia="Calibri" w:hAnsi="Calibri"/>
            <w:rtl/>
          </w:rPr>
          <w:t>)</w:t>
        </w:r>
      </w:hyperlink>
      <w:r w:rsidRPr="008A0E93">
        <w:rPr>
          <w:rFonts w:ascii="Calibri" w:eastAsia="Calibri" w:hAnsi="Calibri"/>
          <w:rtl/>
        </w:rPr>
        <w:t xml:space="preserve"> רישא וסיפא, </w:t>
      </w:r>
      <w:hyperlink r:id="rId35" w:history="1">
        <w:r w:rsidR="00A12A5C" w:rsidRPr="00A12A5C">
          <w:rPr>
            <w:rStyle w:val="Hyperlink"/>
            <w:rFonts w:ascii="Calibri" w:eastAsia="Calibri" w:hAnsi="Calibri"/>
            <w:rtl/>
          </w:rPr>
          <w:t>144(</w:t>
        </w:r>
        <w:r w:rsidR="00A12A5C" w:rsidRPr="00A12A5C">
          <w:rPr>
            <w:rStyle w:val="Hyperlink"/>
            <w:rFonts w:ascii="Calibri" w:eastAsia="Calibri" w:hAnsi="Calibri" w:hint="cs"/>
            <w:rtl/>
          </w:rPr>
          <w:t>ב</w:t>
        </w:r>
        <w:r w:rsidR="00A12A5C" w:rsidRPr="00A12A5C">
          <w:rPr>
            <w:rStyle w:val="Hyperlink"/>
            <w:rFonts w:ascii="Calibri" w:eastAsia="Calibri" w:hAnsi="Calibri"/>
            <w:rtl/>
          </w:rPr>
          <w:t>)</w:t>
        </w:r>
      </w:hyperlink>
      <w:r w:rsidRPr="008A0E93">
        <w:rPr>
          <w:rFonts w:ascii="Calibri" w:eastAsia="Calibri" w:hAnsi="Calibri"/>
          <w:rtl/>
        </w:rPr>
        <w:t xml:space="preserve"> רישא וסיפא ו- </w:t>
      </w:r>
      <w:hyperlink r:id="rId36" w:history="1">
        <w:r w:rsidR="00A12A5C" w:rsidRPr="00A12A5C">
          <w:rPr>
            <w:rStyle w:val="Hyperlink"/>
            <w:rFonts w:ascii="Calibri" w:eastAsia="Calibri" w:hAnsi="Calibri"/>
            <w:rtl/>
          </w:rPr>
          <w:t>29</w:t>
        </w:r>
      </w:hyperlink>
      <w:r w:rsidRPr="008A0E93">
        <w:rPr>
          <w:rFonts w:ascii="Calibri" w:eastAsia="Calibri" w:hAnsi="Calibri"/>
          <w:rtl/>
        </w:rPr>
        <w:t xml:space="preserve"> לחוק העונשין. </w:t>
      </w:r>
    </w:p>
    <w:p w14:paraId="29066D7D" w14:textId="77777777" w:rsidR="00E106C2" w:rsidRPr="008A0E93" w:rsidRDefault="00E106C2" w:rsidP="00E106C2">
      <w:pPr>
        <w:spacing w:after="200"/>
        <w:jc w:val="both"/>
        <w:rPr>
          <w:rFonts w:ascii="Calibri" w:eastAsia="Calibri" w:hAnsi="Calibri"/>
          <w:b/>
          <w:bCs/>
          <w:u w:val="single"/>
          <w:rtl/>
        </w:rPr>
      </w:pPr>
    </w:p>
    <w:p w14:paraId="76A321F5" w14:textId="77777777" w:rsidR="00E106C2" w:rsidRPr="008A0E93" w:rsidRDefault="00E106C2" w:rsidP="00E106C2">
      <w:pPr>
        <w:spacing w:after="200"/>
        <w:jc w:val="both"/>
        <w:rPr>
          <w:rFonts w:ascii="Calibri" w:eastAsia="Calibri" w:hAnsi="Calibri"/>
          <w:b/>
          <w:bCs/>
          <w:u w:val="single"/>
          <w:rtl/>
        </w:rPr>
      </w:pPr>
    </w:p>
    <w:p w14:paraId="6B5AB421" w14:textId="77777777" w:rsidR="00E106C2" w:rsidRPr="008A0E93" w:rsidRDefault="00E106C2" w:rsidP="00E106C2">
      <w:pPr>
        <w:spacing w:after="200"/>
        <w:jc w:val="both"/>
        <w:rPr>
          <w:rFonts w:ascii="Calibri" w:eastAsia="Calibri" w:hAnsi="Calibri"/>
          <w:b/>
          <w:bCs/>
          <w:u w:val="single"/>
          <w:rtl/>
        </w:rPr>
      </w:pPr>
      <w:r w:rsidRPr="008A0E93">
        <w:rPr>
          <w:rFonts w:ascii="Calibri" w:eastAsia="Calibri" w:hAnsi="Calibri"/>
          <w:b/>
          <w:bCs/>
          <w:u w:val="single"/>
          <w:rtl/>
        </w:rPr>
        <w:t>תסקיר שירות המבחן</w:t>
      </w:r>
    </w:p>
    <w:p w14:paraId="11BD4735"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בעקבות בקשת ההגנה ביקשתי משירות-המבחן להכין תסקיר-עונש בעניינו של הנאשם. תסקיר כזה אכן הונח לפניי ביום 30.6.22 ולהלן יובאו עיקריו בתמצית – </w:t>
      </w:r>
    </w:p>
    <w:p w14:paraId="2561816A"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שירות המבחן עמד על כך שהנאשם, בן 26, התגורר טרם מעצרו בבית הוריו שבכפר ברטעה ועבד בעסק שבבעלותו לגינון וניקיון. </w:t>
      </w:r>
    </w:p>
    <w:p w14:paraId="28AE8C16"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הנאשם שיתף את שירות המבחן בקשיים הנלווים לחייו, פועל יוצא של מחלה ממנה סובל אביו. מעיון בגיליון הרשעותיו עלה כי הנאשם נעדר הרשעות קודמות. הוער, כי תלוי ועומד נגדו תיק נוסף בעבירות מתחום הנשק והסמים, בו טרם הוגש אישום. הנאשם שלל שימוש בסמים. </w:t>
      </w:r>
    </w:p>
    <w:p w14:paraId="4B40F3E5"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הנאשם הביע חרטה על מעשיו בתיק דכאן. עם זאת, הוא נטה לצמצם את מעורבותו בביצוע העבירות. הנאשם תיאר כי במהלך מפגש חברתי פגש סוכן סמוי שהתיידד עמו ופנה אליו מספר פעמים בבקשה שימכור לו נשק. הנאשם התקשה לבחון את התנהלותו באירועים המתוארים והשליך את האחריות לפתחו של הסוכן. לדבריו, חשב כי הנשק היה מיועד לשימוש בשמחות ובאירועים חברתיים ועל כן הקל ראש בהחלטתו להשיג נשק עבור הסוכן. הנאשם הביע נכונות להשתלב בטיפול בתחום האלימות אולם התקשה להציב מטרות התערבות רלוונטיות במצבו. </w:t>
      </w:r>
    </w:p>
    <w:p w14:paraId="15D9721C"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שירות המבחן התרשם מן הנאשם כמאופיין בחוסר בשלות רגשית, חוסר ביטחון וברצון לרצות את סובביו. בהקשר זה, התרשמה קצינת המבחן כי הנאשם מחזיק בעמדות קורבניות המסייעות לו בהתמודדות עם ההשלכות של מעשיו. הנאשם התקשה ליתן הסברים למעורבותו עם גורמים שוליים. עוד צוין, כי דומה שהנאשם פועל מתוך מניעים העשויים להיטיב את מצבו המשפטי. </w:t>
      </w:r>
    </w:p>
    <w:p w14:paraId="51FB4E73"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נוכח המקובץ, חומרת העבירות, וקשייו של הנאשם לבחון כדבעי את התנהלותו, </w:t>
      </w:r>
      <w:r w:rsidRPr="008A0E93">
        <w:rPr>
          <w:rFonts w:ascii="Calibri" w:eastAsia="Calibri" w:hAnsi="Calibri"/>
          <w:u w:val="single"/>
          <w:rtl/>
        </w:rPr>
        <w:t>לא בא שירות המבחן בהמלצה שיקומית בעניינו של הנאשם</w:t>
      </w:r>
      <w:r w:rsidRPr="008A0E93">
        <w:rPr>
          <w:rFonts w:ascii="Calibri" w:eastAsia="Calibri" w:hAnsi="Calibri"/>
          <w:rtl/>
        </w:rPr>
        <w:t xml:space="preserve">. </w:t>
      </w:r>
      <w:r w:rsidRPr="008A0E93">
        <w:rPr>
          <w:rFonts w:ascii="Calibri" w:eastAsia="Calibri" w:hAnsi="Calibri"/>
          <w:b/>
          <w:bCs/>
          <w:rtl/>
        </w:rPr>
        <w:t>הומלץ, על ענישה מוחשית, כזו שתבהיר לנאשם את חומרת מצבו. לצד זאת, צוין שככל ויוטל על הנאשם עונש מאסר, אזי ראוי לבחון את התאמתו לטיפול במסגרת שב"ס</w:t>
      </w:r>
      <w:r w:rsidRPr="008A0E93">
        <w:rPr>
          <w:rFonts w:ascii="Calibri" w:eastAsia="Calibri" w:hAnsi="Calibri"/>
          <w:rtl/>
        </w:rPr>
        <w:t xml:space="preserve">.  </w:t>
      </w:r>
    </w:p>
    <w:p w14:paraId="30FD670C" w14:textId="77777777" w:rsidR="00E106C2" w:rsidRPr="008A0E93" w:rsidRDefault="00E106C2" w:rsidP="00E106C2">
      <w:pPr>
        <w:spacing w:after="200"/>
        <w:jc w:val="both"/>
        <w:rPr>
          <w:rFonts w:ascii="Calibri" w:eastAsia="Calibri" w:hAnsi="Calibri"/>
          <w:b/>
          <w:bCs/>
          <w:u w:val="single"/>
          <w:rtl/>
        </w:rPr>
      </w:pPr>
      <w:r w:rsidRPr="008A0E93">
        <w:rPr>
          <w:rFonts w:ascii="Calibri" w:eastAsia="Calibri" w:hAnsi="Calibri"/>
          <w:b/>
          <w:bCs/>
          <w:u w:val="single"/>
          <w:rtl/>
        </w:rPr>
        <w:t>טיעוני המאשימה לעניין העונש</w:t>
      </w:r>
    </w:p>
    <w:p w14:paraId="046705F7"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b/>
          <w:bCs/>
          <w:rtl/>
        </w:rPr>
        <w:t>בפתח הדברים צוין בסיכומיה הכתובים של ב"כ המאשימה, כי הנאשם נעדר עבר פלילי</w:t>
      </w:r>
      <w:r w:rsidRPr="008A0E93">
        <w:rPr>
          <w:rFonts w:ascii="Calibri" w:eastAsia="Calibri" w:hAnsi="Calibri"/>
          <w:rtl/>
        </w:rPr>
        <w:t xml:space="preserve">. עוד פורט, כי  הנאשם מצוי במעצר עד לתום ההליכים המשפטיים נגדו בגין תיק זה החל מיום 7.3.22. </w:t>
      </w:r>
    </w:p>
    <w:p w14:paraId="7F5C7698"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ב"כ המלומד של המאשימה, עו"ד עופר, עמד במסגרת טיעוניו הכתובים לעניין העונש (</w:t>
      </w:r>
      <w:r w:rsidRPr="008A0E93">
        <w:rPr>
          <w:rFonts w:ascii="Calibri" w:eastAsia="Calibri" w:hAnsi="Calibri"/>
          <w:b/>
          <w:bCs/>
          <w:rtl/>
        </w:rPr>
        <w:t>טעת/1</w:t>
      </w:r>
      <w:r w:rsidRPr="008A0E93">
        <w:rPr>
          <w:rFonts w:ascii="Calibri" w:eastAsia="Calibri" w:hAnsi="Calibri"/>
          <w:rtl/>
        </w:rPr>
        <w:t>) על חומרתן של עבירות הנשק ועל כך שהן הפכו "למכת מדינה" של ממש. הודגשה, מגמת ההחמרה בענישה הנלמדת מן הפסיקה הנוהגת בשנים האחרונות, עוד צוין, כי על הערכאות השונות להילחם מלחמת חורמה נגד מבצעי עבירות אלו באמצעות ענישה מוחשית וקשה. הפרקליט המלומד סקר באופן מקיף את מדיניות הענישה הנוהגת בכגון דא, בציינו כי חלקו של הנאשם בביצוען של העבירות הוא משמעותי עד מאוד. הנאשם הוא שקבע את סך התמורה בעד כלי הנשק;</w:t>
      </w:r>
      <w:r w:rsidRPr="008A0E93">
        <w:rPr>
          <w:rFonts w:ascii="Calibri" w:eastAsia="Calibri" w:hAnsi="Calibri" w:hint="cs"/>
        </w:rPr>
        <w:t xml:space="preserve"> </w:t>
      </w:r>
      <w:r w:rsidRPr="008A0E93">
        <w:rPr>
          <w:rFonts w:ascii="Calibri" w:eastAsia="Calibri" w:hAnsi="Calibri"/>
          <w:rtl/>
        </w:rPr>
        <w:t xml:space="preserve">הוא היווה את "החוליה בלעדיה אין" לצורך ביצוע העסקאות. הודגש, כי אלמלא נמכרו הנשקים לסוכן סמוי, אלו היו מוצאים את דרכם "לשוק החופשי – העברייני". עבור כלי הנשק, התחמושת והאביזרים ולצורך חשיפתן של העבירות הוציאה משטרת ישראל סך משמעותי כולל של 90800 ₪. סכום זה מהווה "נזק" נוסף שנגרם לאוצר המדינה, פועל יוצא של מעשיו של הנאשם. </w:t>
      </w:r>
    </w:p>
    <w:p w14:paraId="193EA952"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ב"כ המאשימה עמד על כך שהנאשם הקים "מיזם עסקי", שכל תכליתו היה סחר בכלי נשק, עבור בצע כסף. לדידו, הנאשם פעל מתוך אדישות לתוצאות הקטלניות שעלולות היו להיגרם, שכן אילו כלי נשק אלו לא היו "נתפסים", בסופו של יום היה עלול להיגרם נזק רב ביותר.  </w:t>
      </w:r>
    </w:p>
    <w:p w14:paraId="13F26B42" w14:textId="77777777" w:rsidR="00E106C2" w:rsidRPr="008A0E93" w:rsidRDefault="00E106C2" w:rsidP="00E106C2">
      <w:pPr>
        <w:spacing w:after="200" w:line="360" w:lineRule="auto"/>
        <w:jc w:val="both"/>
        <w:rPr>
          <w:rFonts w:ascii="Calibri" w:eastAsia="Calibri" w:hAnsi="Calibri"/>
          <w:b/>
          <w:bCs/>
          <w:rtl/>
        </w:rPr>
      </w:pPr>
      <w:r w:rsidRPr="008A0E93">
        <w:rPr>
          <w:rFonts w:ascii="Calibri" w:eastAsia="Calibri" w:hAnsi="Calibri"/>
          <w:rtl/>
        </w:rPr>
        <w:t xml:space="preserve">לאור המקובץ סבורה המאשימה שראוי לשרטט בעניינו של הנאשם </w:t>
      </w:r>
      <w:r w:rsidRPr="008A0E93">
        <w:rPr>
          <w:rFonts w:ascii="Calibri" w:eastAsia="Calibri" w:hAnsi="Calibri"/>
          <w:b/>
          <w:bCs/>
          <w:rtl/>
        </w:rPr>
        <w:t xml:space="preserve">מתחם עונש הולם הנע בין 6 לבין 9 שנות מאסר, לצד מאסר מותנה וקנס משמעותי. </w:t>
      </w:r>
    </w:p>
    <w:p w14:paraId="56098CDB"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מתוך התייחסות הן לנסיבות האישיות של הנאשם בתיק דכאן (העדר עבר פלילי, והודאה ללא שמיעת ראיות לצד הצורך בהרתעת היחיד והרבים) הן לממצאי תסקיר שירות מבחן (שאינם חיוביים) הציע ב"כ המאשימה שאשית על הנאשם מאסר בפועל המצוי בחציו התחתון של מתחם הענישה המוצע.   </w:t>
      </w:r>
    </w:p>
    <w:p w14:paraId="476D8B25" w14:textId="77777777" w:rsidR="00E106C2" w:rsidRPr="008A0E93" w:rsidRDefault="00E106C2" w:rsidP="00E106C2">
      <w:pPr>
        <w:spacing w:after="200" w:line="360" w:lineRule="auto"/>
        <w:jc w:val="both"/>
        <w:rPr>
          <w:rFonts w:ascii="Calibri" w:eastAsia="Calibri" w:hAnsi="Calibri"/>
          <w:b/>
          <w:bCs/>
          <w:u w:val="single"/>
          <w:rtl/>
        </w:rPr>
      </w:pPr>
      <w:r w:rsidRPr="008A0E93">
        <w:rPr>
          <w:rFonts w:ascii="Calibri" w:eastAsia="Calibri" w:hAnsi="Calibri"/>
          <w:b/>
          <w:bCs/>
          <w:u w:val="single"/>
          <w:rtl/>
        </w:rPr>
        <w:t>טיעוני ההגנה בעניין העונש</w:t>
      </w:r>
    </w:p>
    <w:p w14:paraId="507FDF42" w14:textId="77777777" w:rsidR="00E106C2" w:rsidRPr="008A0E93" w:rsidRDefault="00E106C2" w:rsidP="00E106C2">
      <w:pPr>
        <w:spacing w:after="200" w:line="360" w:lineRule="auto"/>
        <w:jc w:val="both"/>
        <w:rPr>
          <w:rFonts w:ascii="Calibri" w:eastAsia="Calibri" w:hAnsi="Calibri"/>
          <w:highlight w:val="yellow"/>
          <w:rtl/>
        </w:rPr>
      </w:pPr>
      <w:r w:rsidRPr="008A0E93">
        <w:rPr>
          <w:rFonts w:ascii="Calibri" w:eastAsia="Calibri" w:hAnsi="Calibri"/>
          <w:rtl/>
        </w:rPr>
        <w:t>בא-כוחו המלומד של הנאשם, עו"ד חרוב, עמד על כך שחלקו של הנאשם בפרשה היה מזערי ביותר. לדידו, הקשר בין הנאשם לבין הסוכן נוצר במקרה ולא בכוונת מכוון. לשיטתו של הסנגור, נוכח אופיו של הנאשם ("אופי מרצה") הוא פעל קודם כל על מנת לעזור לסוכן "לאתר" את שחיפש.  בהקשר זה, כך נטען, הנאשם  לא פעל ממניעים כלכליים "טהורים", שכן על אף המצב הכלכלי הקשה בו שרויה משפחתו, הוא לא נהנה מתמורה משמעותית בגין עסקאות הנשק.  הסנגור עמד על כך שאביו של הנאשם חולה והגיש ממסמך רפואי המאשש טענה זו (</w:t>
      </w:r>
      <w:r w:rsidRPr="008A0E93">
        <w:rPr>
          <w:rFonts w:ascii="Calibri" w:eastAsia="Calibri" w:hAnsi="Calibri"/>
          <w:b/>
          <w:bCs/>
          <w:rtl/>
        </w:rPr>
        <w:t>טעה/1</w:t>
      </w:r>
      <w:r w:rsidRPr="008A0E93">
        <w:rPr>
          <w:rFonts w:ascii="Calibri" w:eastAsia="Calibri" w:hAnsi="Calibri"/>
          <w:rtl/>
        </w:rPr>
        <w:t xml:space="preserve">). עוד עמד הסנגור על ממצאי ומסקנות דו"ח ועדת דורנר ועל משמעות הכליאה מאחורי סורג ובריח. הוא ציין, כי הנאשם שיתף פעולה באופן מלא הן עם רשויות החקירה הן עם בית המשפט ומשכך יש לשקלל נתונים אלו כבעלי משקל לקולה לזכותו.   </w:t>
      </w:r>
    </w:p>
    <w:p w14:paraId="54A4D87E" w14:textId="77777777" w:rsidR="00E106C2" w:rsidRPr="008A0E93" w:rsidRDefault="00E106C2" w:rsidP="00E106C2">
      <w:pPr>
        <w:spacing w:after="200"/>
        <w:jc w:val="both"/>
        <w:rPr>
          <w:rFonts w:ascii="Calibri" w:eastAsia="Calibri" w:hAnsi="Calibri"/>
          <w:b/>
          <w:bCs/>
          <w:u w:val="single"/>
          <w:rtl/>
        </w:rPr>
      </w:pPr>
      <w:r w:rsidRPr="008A0E93">
        <w:rPr>
          <w:rFonts w:ascii="Calibri" w:eastAsia="Calibri" w:hAnsi="Calibri"/>
          <w:b/>
          <w:bCs/>
          <w:u w:val="single"/>
          <w:rtl/>
        </w:rPr>
        <w:t>דברי הנאשם</w:t>
      </w:r>
    </w:p>
    <w:p w14:paraId="53123ABB"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הנאשם הכיר בפסול שבמעשיו, הביע צער עליהם ועמד על כך שלא יחזור על אלו בעתיד. עוד ציין הנאשם כי ברצונו להתחתן ולהקים משפחה. </w:t>
      </w:r>
    </w:p>
    <w:p w14:paraId="7D63F36B" w14:textId="77777777" w:rsidR="00E106C2" w:rsidRPr="008A0E93" w:rsidRDefault="00E106C2" w:rsidP="00E106C2">
      <w:pPr>
        <w:spacing w:after="200"/>
        <w:jc w:val="both"/>
        <w:rPr>
          <w:rFonts w:ascii="Calibri" w:eastAsia="Calibri" w:hAnsi="Calibri"/>
          <w:b/>
          <w:bCs/>
          <w:u w:val="single"/>
          <w:rtl/>
        </w:rPr>
      </w:pPr>
      <w:r w:rsidRPr="008A0E93">
        <w:rPr>
          <w:rFonts w:ascii="Calibri" w:eastAsia="Calibri" w:hAnsi="Calibri"/>
          <w:b/>
          <w:bCs/>
          <w:u w:val="single"/>
          <w:rtl/>
        </w:rPr>
        <w:t>דיון והכרעה</w:t>
      </w:r>
    </w:p>
    <w:p w14:paraId="7E7E47C1" w14:textId="77777777" w:rsidR="00E106C2" w:rsidRPr="008A0E93" w:rsidRDefault="00E106C2" w:rsidP="00E106C2">
      <w:pPr>
        <w:spacing w:after="200" w:line="360" w:lineRule="auto"/>
        <w:jc w:val="both"/>
        <w:rPr>
          <w:rFonts w:ascii="David" w:eastAsia="Calibri" w:hAnsi="David"/>
          <w:rtl/>
        </w:rPr>
      </w:pPr>
      <w:r w:rsidRPr="008A0E93">
        <w:rPr>
          <w:rFonts w:ascii="David" w:eastAsia="Calibri" w:hAnsi="David"/>
          <w:rtl/>
        </w:rPr>
        <w:t xml:space="preserve">המסכת העבריינית אשר נחשפה במסגרת תיק חקירה זה היא אכן חמורה ומדאיגה. היא מלמדת על הקלות הבלתי נסבלת בה ניתן להשיג כלי נשק ותחמושת בתוככי מדינת ישראל.  </w:t>
      </w:r>
      <w:r w:rsidRPr="008A0E93">
        <w:rPr>
          <w:rFonts w:ascii="David" w:eastAsia="Calibri" w:hAnsi="David"/>
          <w:b/>
          <w:bCs/>
          <w:rtl/>
        </w:rPr>
        <w:t>עסקינן בעבירות פליליות חמורות</w:t>
      </w:r>
      <w:r w:rsidRPr="008A0E93">
        <w:rPr>
          <w:rFonts w:ascii="David" w:eastAsia="Calibri" w:hAnsi="David"/>
          <w:rtl/>
        </w:rPr>
        <w:t xml:space="preserve"> המסכנות עד מאוד את אזרחי ותושבי מדינת ישראל.  </w:t>
      </w:r>
    </w:p>
    <w:p w14:paraId="4D93A8EE" w14:textId="77777777" w:rsidR="00E106C2" w:rsidRPr="008A0E93" w:rsidRDefault="00E106C2" w:rsidP="00E106C2">
      <w:pPr>
        <w:spacing w:after="200" w:line="360" w:lineRule="auto"/>
        <w:jc w:val="both"/>
        <w:rPr>
          <w:rFonts w:ascii="David" w:eastAsia="Calibri" w:hAnsi="David"/>
          <w:rtl/>
        </w:rPr>
      </w:pPr>
      <w:r w:rsidRPr="008A0E93">
        <w:rPr>
          <w:rFonts w:ascii="David" w:eastAsia="Calibri" w:hAnsi="David"/>
          <w:rtl/>
        </w:rPr>
        <w:t xml:space="preserve">אכן, בשנה האחרונה נפנה בית המשפט העליון ועמו הערכאות השיפוטיות האחרות להיאבק בתופעה מסוכנת זו באמצעות הגבהת רף הענישה, הנקוט בכגון דא. על הסכנה הגלומה בעבירות שעניינן סחר בנשק, בלא רשות על פי דין עמד בית המשפט העליון בדברים הבאים -   </w:t>
      </w:r>
    </w:p>
    <w:p w14:paraId="34C48901" w14:textId="77777777" w:rsidR="00E106C2" w:rsidRPr="008A0E93" w:rsidRDefault="00E106C2" w:rsidP="00E106C2">
      <w:pPr>
        <w:tabs>
          <w:tab w:val="left" w:pos="800"/>
        </w:tabs>
        <w:overflowPunct w:val="0"/>
        <w:autoSpaceDE w:val="0"/>
        <w:autoSpaceDN w:val="0"/>
        <w:adjustRightInd w:val="0"/>
        <w:spacing w:line="276" w:lineRule="auto"/>
        <w:ind w:left="662" w:right="851"/>
        <w:jc w:val="both"/>
        <w:textAlignment w:val="baseline"/>
        <w:rPr>
          <w:rFonts w:ascii="Miriam" w:hAnsi="Miriam" w:cs="Miriam"/>
          <w:spacing w:val="10"/>
          <w:rtl/>
        </w:rPr>
      </w:pPr>
      <w:r w:rsidRPr="008A0E93">
        <w:rPr>
          <w:rFonts w:ascii="Miriam" w:hAnsi="Miriam" w:cs="Miriam"/>
          <w:spacing w:val="10"/>
          <w:rtl/>
        </w:rPr>
        <w:t>"...</w:t>
      </w:r>
      <w:r w:rsidRPr="008A0E93">
        <w:rPr>
          <w:rFonts w:ascii="Miriam" w:hAnsi="Miriam" w:cs="Miriam"/>
          <w:b/>
          <w:bCs/>
          <w:spacing w:val="10"/>
          <w:rtl/>
        </w:rPr>
        <w:t>רעה חולה זו פוקדת את מדינתנו מזה זמן, והיא מזינה, דבר יום ביומו, את פעולות הטרור ואת עורקי הפשיעה החמורה, המסכנים את הציבור הישראלי, סכנת נפשות ממש, בכוח ובפועל</w:t>
      </w:r>
      <w:r w:rsidRPr="008A0E93">
        <w:rPr>
          <w:rFonts w:ascii="Miriam" w:hAnsi="Miriam" w:cs="Miriam"/>
          <w:spacing w:val="10"/>
          <w:rtl/>
        </w:rPr>
        <w:t xml:space="preserve">. </w:t>
      </w:r>
      <w:r w:rsidRPr="008A0E93">
        <w:rPr>
          <w:rFonts w:ascii="Miriam" w:hAnsi="Miriam" w:cs="Miriam"/>
          <w:spacing w:val="10"/>
          <w:u w:val="single"/>
          <w:rtl/>
        </w:rPr>
        <w:t>הקלות שאפיינה את מעשי הסחר במקרה דנן,.. למען בצע כסף, אכן ראויים לגינוי רועם וענישה מחמירה</w:t>
      </w:r>
      <w:r w:rsidRPr="008A0E93">
        <w:rPr>
          <w:rFonts w:ascii="Miriam" w:hAnsi="Miriam" w:cs="Miriam"/>
          <w:spacing w:val="10"/>
          <w:rtl/>
        </w:rPr>
        <w:t xml:space="preserve">. לא זו אף זו, גל האלימות הגואה בתוככי המגזר הערבי, מצריך אף הוא מאיתנו להיענות לצו השעה, ולנקוט יד קשה כלפי מבצעי עבירות בנשק; </w:t>
      </w:r>
      <w:r w:rsidRPr="008A0E93">
        <w:rPr>
          <w:rFonts w:ascii="Miriam" w:hAnsi="Miriam" w:cs="Miriam"/>
          <w:b/>
          <w:bCs/>
          <w:spacing w:val="10"/>
          <w:u w:val="single"/>
          <w:rtl/>
        </w:rPr>
        <w:t xml:space="preserve">לבטח כך, כאשר בעבירות של </w:t>
      </w:r>
      <w:r w:rsidRPr="008A0E93">
        <w:rPr>
          <w:rFonts w:ascii="Miriam" w:hAnsi="Miriam" w:cs="Miriam"/>
          <w:b/>
          <w:bCs/>
          <w:sz w:val="22"/>
          <w:u w:val="single"/>
          <w:rtl/>
        </w:rPr>
        <w:t>סחר</w:t>
      </w:r>
      <w:r w:rsidRPr="008A0E93">
        <w:rPr>
          <w:rFonts w:ascii="Miriam" w:hAnsi="Miriam" w:cs="Miriam"/>
          <w:b/>
          <w:bCs/>
          <w:spacing w:val="10"/>
          <w:u w:val="single"/>
          <w:rtl/>
        </w:rPr>
        <w:t xml:space="preserve"> בנשק עסקינן, כבעניין דנן</w:t>
      </w:r>
      <w:r>
        <w:rPr>
          <w:rFonts w:ascii="Miriam" w:hAnsi="Miriam" w:cs="Miriam"/>
          <w:spacing w:val="10"/>
          <w:rtl/>
        </w:rPr>
        <w:t>"</w:t>
      </w:r>
      <w:r>
        <w:rPr>
          <w:rFonts w:ascii="Miriam" w:hAnsi="Miriam" w:cs="Miriam" w:hint="cs"/>
          <w:spacing w:val="10"/>
          <w:rtl/>
        </w:rPr>
        <w:t xml:space="preserve"> </w:t>
      </w:r>
      <w:r w:rsidRPr="008A0E93">
        <w:rPr>
          <w:rFonts w:ascii="David" w:hAnsi="David"/>
          <w:spacing w:val="10"/>
          <w:rtl/>
        </w:rPr>
        <w:t>(</w:t>
      </w:r>
      <w:hyperlink r:id="rId37" w:history="1">
        <w:r w:rsidR="000A6CF3" w:rsidRPr="000A6CF3">
          <w:rPr>
            <w:rFonts w:ascii="David" w:hAnsi="David"/>
            <w:color w:val="0000FF"/>
            <w:spacing w:val="10"/>
            <w:u w:val="single"/>
            <w:rtl/>
          </w:rPr>
          <w:t>ע"פ 2733/20</w:t>
        </w:r>
      </w:hyperlink>
      <w:r w:rsidRPr="008A0E93">
        <w:rPr>
          <w:rFonts w:ascii="David" w:hAnsi="David"/>
          <w:spacing w:val="10"/>
          <w:rtl/>
        </w:rPr>
        <w:t xml:space="preserve"> </w:t>
      </w:r>
      <w:r w:rsidRPr="008A0E93">
        <w:rPr>
          <w:rFonts w:ascii="David" w:hAnsi="David"/>
          <w:b/>
          <w:bCs/>
          <w:spacing w:val="10"/>
          <w:rtl/>
        </w:rPr>
        <w:t>אבו זיאד נ' מדינת ישראל</w:t>
      </w:r>
      <w:r w:rsidRPr="008A0E93">
        <w:rPr>
          <w:rFonts w:ascii="David" w:hAnsi="David"/>
          <w:spacing w:val="10"/>
          <w:rtl/>
        </w:rPr>
        <w:t>, ניתן ביום 24.10.21)</w:t>
      </w:r>
      <w:r w:rsidRPr="008A0E93">
        <w:rPr>
          <w:rFonts w:ascii="Miriam" w:hAnsi="Miriam" w:cs="Miriam"/>
          <w:spacing w:val="10"/>
          <w:rtl/>
        </w:rPr>
        <w:t xml:space="preserve"> </w:t>
      </w:r>
      <w:r>
        <w:rPr>
          <w:rFonts w:ascii="David" w:hAnsi="David" w:hint="cs"/>
          <w:spacing w:val="10"/>
          <w:rtl/>
        </w:rPr>
        <w:t>(</w:t>
      </w:r>
      <w:r w:rsidRPr="008A0E93">
        <w:rPr>
          <w:rFonts w:ascii="David" w:hAnsi="David"/>
          <w:spacing w:val="10"/>
          <w:rtl/>
        </w:rPr>
        <w:t>ההדגשות אינן במקור</w:t>
      </w:r>
      <w:r w:rsidRPr="008A0E93">
        <w:rPr>
          <w:rFonts w:ascii="Miriam" w:hAnsi="Miriam" w:cs="Miriam"/>
          <w:spacing w:val="10"/>
          <w:rtl/>
        </w:rPr>
        <w:t>).</w:t>
      </w:r>
    </w:p>
    <w:p w14:paraId="72C8BD55" w14:textId="77777777" w:rsidR="00E106C2" w:rsidRPr="008A0E93" w:rsidRDefault="00E106C2" w:rsidP="00E106C2">
      <w:pPr>
        <w:tabs>
          <w:tab w:val="left" w:pos="800"/>
        </w:tabs>
        <w:overflowPunct w:val="0"/>
        <w:autoSpaceDE w:val="0"/>
        <w:autoSpaceDN w:val="0"/>
        <w:adjustRightInd w:val="0"/>
        <w:spacing w:line="276" w:lineRule="auto"/>
        <w:ind w:left="662" w:right="851"/>
        <w:jc w:val="both"/>
        <w:textAlignment w:val="baseline"/>
        <w:rPr>
          <w:rFonts w:ascii="Miriam" w:hAnsi="Miriam" w:cs="Miriam"/>
          <w:spacing w:val="10"/>
          <w:rtl/>
        </w:rPr>
      </w:pPr>
    </w:p>
    <w:p w14:paraId="1A145B25"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זו נקודת המוצא בבואי לגזור לנאשם זה ולשכמותו עונש על מעשיהם ואין בלתה. זו הרוח אשר תנשוב מגזר הדין דכאן. </w:t>
      </w:r>
    </w:p>
    <w:p w14:paraId="19F95843" w14:textId="77777777" w:rsidR="00E106C2" w:rsidRPr="008A0E93" w:rsidRDefault="00E106C2" w:rsidP="00E106C2">
      <w:pPr>
        <w:spacing w:after="200" w:line="360" w:lineRule="auto"/>
        <w:jc w:val="both"/>
        <w:rPr>
          <w:rFonts w:ascii="Calibri" w:eastAsia="Calibri" w:hAnsi="Calibri"/>
          <w:b/>
          <w:bCs/>
          <w:rtl/>
        </w:rPr>
      </w:pPr>
      <w:r w:rsidRPr="008A0E93">
        <w:rPr>
          <w:rFonts w:ascii="Calibri" w:eastAsia="Calibri" w:hAnsi="Calibri"/>
          <w:rtl/>
        </w:rPr>
        <w:t xml:space="preserve">גזירת-הדין תיעשה להלן בהתאם לעקרונות שנקבעו בסימן </w:t>
      </w:r>
      <w:hyperlink r:id="rId38" w:history="1">
        <w:r w:rsidR="00A12A5C" w:rsidRPr="00A12A5C">
          <w:rPr>
            <w:rStyle w:val="Hyperlink"/>
            <w:rFonts w:ascii="Calibri" w:eastAsia="Calibri" w:hAnsi="Calibri" w:hint="cs"/>
            <w:rtl/>
          </w:rPr>
          <w:t>א</w:t>
        </w:r>
        <w:r w:rsidR="00A12A5C" w:rsidRPr="00A12A5C">
          <w:rPr>
            <w:rStyle w:val="Hyperlink"/>
            <w:rFonts w:ascii="Calibri" w:eastAsia="Calibri" w:hAnsi="Calibri"/>
            <w:rtl/>
          </w:rPr>
          <w:t xml:space="preserve">'1 </w:t>
        </w:r>
        <w:r w:rsidR="00A12A5C" w:rsidRPr="00A12A5C">
          <w:rPr>
            <w:rStyle w:val="Hyperlink"/>
            <w:rFonts w:ascii="Calibri" w:eastAsia="Calibri" w:hAnsi="Calibri" w:hint="cs"/>
            <w:rtl/>
          </w:rPr>
          <w:t>שבפרק</w:t>
        </w:r>
        <w:r w:rsidR="00A12A5C" w:rsidRPr="00A12A5C">
          <w:rPr>
            <w:rStyle w:val="Hyperlink"/>
            <w:rFonts w:ascii="Calibri" w:eastAsia="Calibri" w:hAnsi="Calibri"/>
            <w:rtl/>
          </w:rPr>
          <w:t xml:space="preserve"> </w:t>
        </w:r>
        <w:r w:rsidR="00A12A5C" w:rsidRPr="00A12A5C">
          <w:rPr>
            <w:rStyle w:val="Hyperlink"/>
            <w:rFonts w:ascii="Calibri" w:eastAsia="Calibri" w:hAnsi="Calibri" w:hint="cs"/>
            <w:rtl/>
          </w:rPr>
          <w:t>ו</w:t>
        </w:r>
        <w:r w:rsidR="00A12A5C" w:rsidRPr="00A12A5C">
          <w:rPr>
            <w:rStyle w:val="Hyperlink"/>
            <w:rFonts w:ascii="Calibri" w:eastAsia="Calibri" w:hAnsi="Calibri"/>
            <w:rtl/>
          </w:rPr>
          <w:t>'</w:t>
        </w:r>
      </w:hyperlink>
      <w:r w:rsidRPr="008A0E93">
        <w:rPr>
          <w:rFonts w:ascii="Calibri" w:eastAsia="Calibri" w:hAnsi="Calibri"/>
          <w:rtl/>
        </w:rPr>
        <w:t xml:space="preserve"> ב</w:t>
      </w:r>
      <w:hyperlink r:id="rId39" w:history="1">
        <w:r w:rsidR="000A6CF3" w:rsidRPr="000A6CF3">
          <w:rPr>
            <w:rFonts w:ascii="Calibri" w:eastAsia="Calibri" w:hAnsi="Calibri" w:hint="cs"/>
            <w:color w:val="0000FF"/>
            <w:u w:val="single"/>
            <w:rtl/>
          </w:rPr>
          <w:t>חוק</w:t>
        </w:r>
        <w:r w:rsidR="000A6CF3" w:rsidRPr="000A6CF3">
          <w:rPr>
            <w:rFonts w:ascii="Calibri" w:eastAsia="Calibri" w:hAnsi="Calibri"/>
            <w:color w:val="0000FF"/>
            <w:u w:val="single"/>
            <w:rtl/>
          </w:rPr>
          <w:t xml:space="preserve"> </w:t>
        </w:r>
        <w:r w:rsidR="000A6CF3" w:rsidRPr="000A6CF3">
          <w:rPr>
            <w:rFonts w:ascii="Calibri" w:eastAsia="Calibri" w:hAnsi="Calibri" w:hint="cs"/>
            <w:color w:val="0000FF"/>
            <w:u w:val="single"/>
            <w:rtl/>
          </w:rPr>
          <w:t>העונשין</w:t>
        </w:r>
      </w:hyperlink>
      <w:r w:rsidRPr="008A0E93">
        <w:rPr>
          <w:rFonts w:ascii="Calibri" w:eastAsia="Calibri" w:hAnsi="Calibri"/>
          <w:rtl/>
        </w:rPr>
        <w:t xml:space="preserve"> שעניינו הבניית שיקול-הדעת השיפוטי בענישה. נקודת המוצא היא, כי העיקרון המנחה - עקרון ההלימה, הוא המתווה את תכלית הענישה. לאורו ייקבע מתחם העונש ההולם (תוך שימת לב </w:t>
      </w:r>
      <w:r w:rsidRPr="008A0E93">
        <w:rPr>
          <w:rFonts w:ascii="Calibri" w:eastAsia="Calibri" w:hAnsi="Calibri"/>
          <w:b/>
          <w:bCs/>
          <w:rtl/>
        </w:rPr>
        <w:t>לערכים החברתיים המוגנים</w:t>
      </w:r>
      <w:r w:rsidRPr="008A0E93">
        <w:rPr>
          <w:rFonts w:ascii="Calibri" w:eastAsia="Calibri" w:hAnsi="Calibri"/>
          <w:rtl/>
        </w:rPr>
        <w:t xml:space="preserve"> שבהם פגעו מעשיו של הנאשם, למידת הפגיעה בהם, </w:t>
      </w:r>
      <w:r w:rsidRPr="008A0E93">
        <w:rPr>
          <w:rFonts w:ascii="Calibri" w:eastAsia="Calibri" w:hAnsi="Calibri"/>
          <w:b/>
          <w:bCs/>
          <w:rtl/>
        </w:rPr>
        <w:t>למדיניות הענישה הנהוגה</w:t>
      </w:r>
      <w:r w:rsidRPr="008A0E93">
        <w:rPr>
          <w:rFonts w:ascii="Calibri" w:eastAsia="Calibri" w:hAnsi="Calibri"/>
          <w:rtl/>
        </w:rPr>
        <w:t xml:space="preserve"> </w:t>
      </w:r>
      <w:r w:rsidRPr="008A0E93">
        <w:rPr>
          <w:rFonts w:ascii="Calibri" w:eastAsia="Calibri" w:hAnsi="Calibri"/>
          <w:b/>
          <w:bCs/>
          <w:rtl/>
        </w:rPr>
        <w:t>ולנסיבות הקשורות בביצוע העבירות</w:t>
      </w:r>
      <w:r w:rsidRPr="008A0E93">
        <w:rPr>
          <w:rFonts w:ascii="Calibri" w:eastAsia="Calibri" w:hAnsi="Calibri"/>
          <w:rtl/>
        </w:rPr>
        <w:t xml:space="preserve">). אחר-כך, בשים לב לאותו מתחם תישקל השאלה איזה עונש יש להתאים לנאשם מתוך התחשבות בנסיבותיו האישיות, </w:t>
      </w:r>
      <w:r w:rsidRPr="008A0E93">
        <w:rPr>
          <w:rFonts w:ascii="Calibri" w:eastAsia="Calibri" w:hAnsi="Calibri"/>
          <w:b/>
          <w:bCs/>
          <w:rtl/>
        </w:rPr>
        <w:t xml:space="preserve">הנסיבות שאינן קשורות בביצוע העבירה. </w:t>
      </w:r>
    </w:p>
    <w:p w14:paraId="0DBBB033"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אצא, אפוא, למסע המחשבתי המוביל לקביעת העונש לו ראוי הנאשם בגין מסכת מעשיו דלעיל.</w:t>
      </w:r>
    </w:p>
    <w:p w14:paraId="74634E4B" w14:textId="77777777" w:rsidR="00E106C2" w:rsidRPr="008A0E93" w:rsidRDefault="00E106C2" w:rsidP="00E106C2">
      <w:pPr>
        <w:spacing w:after="200" w:line="360" w:lineRule="auto"/>
        <w:ind w:left="-58"/>
        <w:jc w:val="both"/>
        <w:rPr>
          <w:rFonts w:ascii="David" w:eastAsia="Calibri" w:hAnsi="David"/>
          <w:rtl/>
        </w:rPr>
      </w:pPr>
      <w:r w:rsidRPr="008A0E93">
        <w:rPr>
          <w:rFonts w:ascii="David" w:eastAsia="Calibri" w:hAnsi="David"/>
          <w:rtl/>
        </w:rPr>
        <w:t xml:space="preserve">בכל הנוגע לערכים החברתיים המוגנים שנפגעו, הרי שהדברים מובנים מאליהם: הסוחר, המחזיק והנושא נשק בלא רשות על פי דין פוגע בראש ובראשונה </w:t>
      </w:r>
      <w:r w:rsidRPr="008A0E93">
        <w:rPr>
          <w:rFonts w:ascii="David" w:eastAsia="Calibri" w:hAnsi="David"/>
          <w:b/>
          <w:bCs/>
          <w:rtl/>
        </w:rPr>
        <w:t>בביטחון המדינה ובמנגנוני שלטונה</w:t>
      </w:r>
      <w:r w:rsidRPr="008A0E93">
        <w:rPr>
          <w:rFonts w:ascii="David" w:eastAsia="Calibri" w:hAnsi="David"/>
          <w:rtl/>
        </w:rPr>
        <w:t>;</w:t>
      </w:r>
      <w:r w:rsidRPr="008A0E93">
        <w:rPr>
          <w:rFonts w:ascii="David" w:eastAsia="Calibri" w:hAnsi="David"/>
        </w:rPr>
        <w:t xml:space="preserve"> </w:t>
      </w:r>
      <w:r w:rsidRPr="008A0E93">
        <w:rPr>
          <w:rFonts w:ascii="David" w:eastAsia="Calibri" w:hAnsi="David"/>
          <w:b/>
          <w:bCs/>
          <w:rtl/>
        </w:rPr>
        <w:t>בשלום הציבור ובסדר הציבורי</w:t>
      </w:r>
      <w:r w:rsidRPr="008A0E93">
        <w:rPr>
          <w:rFonts w:ascii="David" w:eastAsia="Calibri" w:hAnsi="David"/>
          <w:rtl/>
        </w:rPr>
        <w:t xml:space="preserve">. הוא פוגע בביטחון הציבור </w:t>
      </w:r>
      <w:r w:rsidRPr="008A0E93">
        <w:rPr>
          <w:rFonts w:ascii="David" w:eastAsia="Calibri" w:hAnsi="David"/>
          <w:b/>
          <w:bCs/>
          <w:rtl/>
        </w:rPr>
        <w:t>וחושף אותו לאירועי טרור עוין כמו גם פלילי המבוצעים באמצעות נשק</w:t>
      </w:r>
      <w:r w:rsidRPr="008A0E93">
        <w:rPr>
          <w:rFonts w:ascii="David" w:eastAsia="Calibri" w:hAnsi="David"/>
          <w:rtl/>
        </w:rPr>
        <w:t xml:space="preserve"> </w:t>
      </w:r>
      <w:r w:rsidRPr="008A0E93">
        <w:rPr>
          <w:rFonts w:ascii="David" w:eastAsia="Calibri" w:hAnsi="David"/>
          <w:b/>
          <w:bCs/>
          <w:rtl/>
        </w:rPr>
        <w:t>המוחזק ומושג שלא כחוק.</w:t>
      </w:r>
      <w:r w:rsidRPr="008A0E93">
        <w:rPr>
          <w:rFonts w:ascii="David" w:eastAsia="Calibri" w:hAnsi="David"/>
          <w:rtl/>
        </w:rPr>
        <w:t xml:space="preserve"> מקום בו האמור </w:t>
      </w:r>
      <w:r w:rsidRPr="008A0E93">
        <w:rPr>
          <w:rFonts w:ascii="David" w:eastAsia="Calibri" w:hAnsi="David"/>
          <w:b/>
          <w:bCs/>
          <w:rtl/>
        </w:rPr>
        <w:t>בשורה של מעשי מסחר בנשק</w:t>
      </w:r>
      <w:r w:rsidRPr="008A0E93">
        <w:rPr>
          <w:rFonts w:ascii="David" w:eastAsia="Calibri" w:hAnsi="David"/>
          <w:rtl/>
        </w:rPr>
        <w:t xml:space="preserve"> הרי שאליבא דכולי עלמא מידת הפגיעה בערכים האמורים היא פגיעה </w:t>
      </w:r>
      <w:r w:rsidRPr="008A0E93">
        <w:rPr>
          <w:rFonts w:ascii="David" w:eastAsia="Calibri" w:hAnsi="David"/>
          <w:b/>
          <w:bCs/>
          <w:rtl/>
        </w:rPr>
        <w:t>חמורה ומשמעותית.</w:t>
      </w:r>
      <w:r w:rsidRPr="008A0E93">
        <w:rPr>
          <w:rFonts w:ascii="David" w:eastAsia="Calibri" w:hAnsi="David"/>
          <w:rtl/>
        </w:rPr>
        <w:t xml:space="preserve">  </w:t>
      </w:r>
    </w:p>
    <w:p w14:paraId="20BF952D" w14:textId="77777777" w:rsidR="00E106C2" w:rsidRPr="008A0E93" w:rsidRDefault="00E106C2" w:rsidP="00E106C2">
      <w:pPr>
        <w:spacing w:after="200" w:line="360" w:lineRule="auto"/>
        <w:jc w:val="both"/>
        <w:rPr>
          <w:rFonts w:ascii="David" w:eastAsia="Calibri" w:hAnsi="David"/>
          <w:rtl/>
        </w:rPr>
      </w:pPr>
      <w:r w:rsidRPr="008A0E93">
        <w:rPr>
          <w:rFonts w:ascii="Calibri" w:eastAsia="Calibri" w:hAnsi="Calibri"/>
          <w:rtl/>
        </w:rPr>
        <w:t xml:space="preserve">ראוי, לטעמי, להשקיף על המסכת העובדתית המגוללת בכתב-האישום כולו </w:t>
      </w:r>
      <w:r w:rsidRPr="008A0E93">
        <w:rPr>
          <w:rFonts w:ascii="Calibri" w:eastAsia="Calibri" w:hAnsi="Calibri"/>
          <w:b/>
          <w:bCs/>
          <w:rtl/>
        </w:rPr>
        <w:t>כאירוע אחד</w:t>
      </w:r>
      <w:r w:rsidRPr="008A0E93">
        <w:rPr>
          <w:rFonts w:ascii="Calibri" w:eastAsia="Calibri" w:hAnsi="Calibri"/>
          <w:rtl/>
        </w:rPr>
        <w:t xml:space="preserve"> </w:t>
      </w:r>
      <w:r w:rsidRPr="008A0E93">
        <w:rPr>
          <w:rFonts w:ascii="David" w:eastAsia="Calibri" w:hAnsi="David"/>
          <w:rtl/>
        </w:rPr>
        <w:t>כמשמעותו בחוק</w:t>
      </w:r>
      <w:r w:rsidRPr="008A0E93">
        <w:rPr>
          <w:rFonts w:ascii="Calibri" w:eastAsia="Calibri" w:hAnsi="Calibri"/>
          <w:rtl/>
        </w:rPr>
        <w:t xml:space="preserve"> (ראו לעניין זה: </w:t>
      </w:r>
      <w:hyperlink r:id="rId40" w:history="1">
        <w:r w:rsidR="000A6CF3" w:rsidRPr="000A6CF3">
          <w:rPr>
            <w:rFonts w:ascii="Calibri" w:eastAsia="Calibri" w:hAnsi="Calibri" w:hint="cs"/>
            <w:color w:val="0000FF"/>
            <w:u w:val="single"/>
            <w:rtl/>
          </w:rPr>
          <w:t>ע</w:t>
        </w:r>
        <w:r w:rsidR="000A6CF3" w:rsidRPr="000A6CF3">
          <w:rPr>
            <w:rFonts w:ascii="Calibri" w:eastAsia="Calibri" w:hAnsi="Calibri"/>
            <w:color w:val="0000FF"/>
            <w:u w:val="single"/>
            <w:rtl/>
          </w:rPr>
          <w:t>"</w:t>
        </w:r>
        <w:r w:rsidR="000A6CF3" w:rsidRPr="000A6CF3">
          <w:rPr>
            <w:rFonts w:ascii="Calibri" w:eastAsia="Calibri" w:hAnsi="Calibri" w:hint="cs"/>
            <w:color w:val="0000FF"/>
            <w:u w:val="single"/>
            <w:rtl/>
          </w:rPr>
          <w:t>פ</w:t>
        </w:r>
        <w:r w:rsidR="000A6CF3" w:rsidRPr="000A6CF3">
          <w:rPr>
            <w:rFonts w:ascii="Calibri" w:eastAsia="Calibri" w:hAnsi="Calibri"/>
            <w:color w:val="0000FF"/>
            <w:u w:val="single"/>
            <w:rtl/>
          </w:rPr>
          <w:t xml:space="preserve"> 4910/13</w:t>
        </w:r>
      </w:hyperlink>
      <w:r w:rsidRPr="008A0E93">
        <w:rPr>
          <w:rFonts w:ascii="Calibri" w:eastAsia="Calibri" w:hAnsi="Calibri"/>
          <w:rtl/>
        </w:rPr>
        <w:t xml:space="preserve"> </w:t>
      </w:r>
      <w:r w:rsidRPr="008A0E93">
        <w:rPr>
          <w:rFonts w:ascii="Calibri" w:eastAsia="Calibri" w:hAnsi="Calibri"/>
          <w:b/>
          <w:bCs/>
          <w:rtl/>
        </w:rPr>
        <w:t xml:space="preserve">ג'אבר נ' מדינת ישראל, </w:t>
      </w:r>
      <w:r w:rsidRPr="008A0E93">
        <w:rPr>
          <w:rFonts w:ascii="Calibri" w:eastAsia="Calibri" w:hAnsi="Calibri"/>
          <w:rtl/>
        </w:rPr>
        <w:t>מפי כב' השופטת ברק-ארז</w:t>
      </w:r>
      <w:r w:rsidRPr="008A0E93">
        <w:rPr>
          <w:rFonts w:ascii="Calibri" w:eastAsia="Calibri" w:hAnsi="Calibri"/>
          <w:b/>
          <w:bCs/>
          <w:rtl/>
        </w:rPr>
        <w:t xml:space="preserve">, </w:t>
      </w:r>
      <w:r w:rsidRPr="008A0E93">
        <w:rPr>
          <w:rFonts w:ascii="Calibri" w:eastAsia="Calibri" w:hAnsi="Calibri"/>
          <w:rtl/>
        </w:rPr>
        <w:t xml:space="preserve">ניתן ביום 29.10.14; </w:t>
      </w:r>
      <w:hyperlink r:id="rId41" w:history="1">
        <w:r w:rsidR="000A6CF3" w:rsidRPr="000A6CF3">
          <w:rPr>
            <w:rFonts w:ascii="Calibri" w:eastAsia="Calibri" w:hAnsi="Calibri" w:hint="cs"/>
            <w:color w:val="0000FF"/>
            <w:u w:val="single"/>
            <w:rtl/>
          </w:rPr>
          <w:t>ע</w:t>
        </w:r>
        <w:r w:rsidR="000A6CF3" w:rsidRPr="000A6CF3">
          <w:rPr>
            <w:rFonts w:ascii="Calibri" w:eastAsia="Calibri" w:hAnsi="Calibri"/>
            <w:color w:val="0000FF"/>
            <w:u w:val="single"/>
            <w:rtl/>
          </w:rPr>
          <w:t>"</w:t>
        </w:r>
        <w:r w:rsidR="000A6CF3" w:rsidRPr="000A6CF3">
          <w:rPr>
            <w:rFonts w:ascii="Calibri" w:eastAsia="Calibri" w:hAnsi="Calibri" w:hint="cs"/>
            <w:color w:val="0000FF"/>
            <w:u w:val="single"/>
            <w:rtl/>
          </w:rPr>
          <w:t>פ</w:t>
        </w:r>
        <w:r w:rsidR="000A6CF3" w:rsidRPr="000A6CF3">
          <w:rPr>
            <w:rFonts w:ascii="Calibri" w:eastAsia="Calibri" w:hAnsi="Calibri"/>
            <w:color w:val="0000FF"/>
            <w:u w:val="single"/>
            <w:rtl/>
          </w:rPr>
          <w:t xml:space="preserve"> 9308/12</w:t>
        </w:r>
      </w:hyperlink>
      <w:r w:rsidRPr="008A0E93">
        <w:rPr>
          <w:rFonts w:ascii="Calibri" w:eastAsia="Calibri" w:hAnsi="Calibri"/>
          <w:rtl/>
        </w:rPr>
        <w:t xml:space="preserve"> </w:t>
      </w:r>
      <w:r w:rsidRPr="008A0E93">
        <w:rPr>
          <w:rFonts w:ascii="Calibri" w:eastAsia="Calibri" w:hAnsi="Calibri"/>
          <w:b/>
          <w:bCs/>
          <w:rtl/>
        </w:rPr>
        <w:t>עיסא נ' מדינת ישראל,</w:t>
      </w:r>
      <w:r w:rsidRPr="008A0E93">
        <w:rPr>
          <w:rFonts w:ascii="Calibri" w:eastAsia="Calibri" w:hAnsi="Calibri"/>
          <w:rtl/>
        </w:rPr>
        <w:t xml:space="preserve"> ניתן ביום 30.7.15). </w:t>
      </w:r>
      <w:r w:rsidRPr="008A0E93">
        <w:rPr>
          <w:rFonts w:ascii="David" w:eastAsia="Calibri" w:hAnsi="David"/>
          <w:rtl/>
        </w:rPr>
        <w:t xml:space="preserve">אמנם עסקינן בשלושה אישומים שונים אך אלו קשורים "בקשר הדוק" זה בזה. העבירות זהות, כולן בוצעו באותה השיטה, כחלק מתוכנית עבריינית אחת, כוללת, אל מול אותו סוכן סמוי. </w:t>
      </w:r>
      <w:r w:rsidRPr="008A0E93">
        <w:rPr>
          <w:rFonts w:ascii="Calibri" w:eastAsia="Calibri" w:hAnsi="Calibri"/>
          <w:rtl/>
        </w:rPr>
        <w:t xml:space="preserve">לפיכך, וכמצוות </w:t>
      </w:r>
      <w:hyperlink r:id="rId42" w:history="1">
        <w:r w:rsidR="00A12A5C" w:rsidRPr="00A12A5C">
          <w:rPr>
            <w:rStyle w:val="Hyperlink"/>
            <w:rFonts w:ascii="Calibri" w:eastAsia="Calibri" w:hAnsi="Calibri" w:hint="cs"/>
            <w:rtl/>
          </w:rPr>
          <w:t>סעיף</w:t>
        </w:r>
        <w:r w:rsidR="00A12A5C" w:rsidRPr="00A12A5C">
          <w:rPr>
            <w:rStyle w:val="Hyperlink"/>
            <w:rFonts w:ascii="Calibri" w:eastAsia="Calibri" w:hAnsi="Calibri"/>
            <w:rtl/>
          </w:rPr>
          <w:t xml:space="preserve"> 40</w:t>
        </w:r>
        <w:r w:rsidR="00A12A5C" w:rsidRPr="00A12A5C">
          <w:rPr>
            <w:rStyle w:val="Hyperlink"/>
            <w:rFonts w:ascii="Calibri" w:eastAsia="Calibri" w:hAnsi="Calibri" w:hint="cs"/>
            <w:rtl/>
          </w:rPr>
          <w:t>יג</w:t>
        </w:r>
        <w:r w:rsidR="00A12A5C" w:rsidRPr="00A12A5C">
          <w:rPr>
            <w:rStyle w:val="Hyperlink"/>
            <w:rFonts w:ascii="Calibri" w:eastAsia="Calibri" w:hAnsi="Calibri"/>
            <w:rtl/>
          </w:rPr>
          <w:t>(</w:t>
        </w:r>
        <w:r w:rsidR="00A12A5C" w:rsidRPr="00A12A5C">
          <w:rPr>
            <w:rStyle w:val="Hyperlink"/>
            <w:rFonts w:ascii="Calibri" w:eastAsia="Calibri" w:hAnsi="Calibri" w:hint="cs"/>
            <w:rtl/>
          </w:rPr>
          <w:t>א</w:t>
        </w:r>
        <w:r w:rsidR="00A12A5C" w:rsidRPr="00A12A5C">
          <w:rPr>
            <w:rStyle w:val="Hyperlink"/>
            <w:rFonts w:ascii="Calibri" w:eastAsia="Calibri" w:hAnsi="Calibri"/>
            <w:rtl/>
          </w:rPr>
          <w:t>)</w:t>
        </w:r>
      </w:hyperlink>
      <w:r w:rsidRPr="008A0E93">
        <w:rPr>
          <w:rFonts w:ascii="Calibri" w:eastAsia="Calibri" w:hAnsi="Calibri"/>
          <w:rtl/>
        </w:rPr>
        <w:t xml:space="preserve"> ל</w:t>
      </w:r>
      <w:hyperlink r:id="rId43" w:history="1">
        <w:r w:rsidR="000A6CF3" w:rsidRPr="000A6CF3">
          <w:rPr>
            <w:rFonts w:ascii="Calibri" w:eastAsia="Calibri" w:hAnsi="Calibri" w:hint="cs"/>
            <w:color w:val="0000FF"/>
            <w:u w:val="single"/>
            <w:rtl/>
          </w:rPr>
          <w:t>חוק</w:t>
        </w:r>
        <w:r w:rsidR="000A6CF3" w:rsidRPr="000A6CF3">
          <w:rPr>
            <w:rFonts w:ascii="Calibri" w:eastAsia="Calibri" w:hAnsi="Calibri"/>
            <w:color w:val="0000FF"/>
            <w:u w:val="single"/>
            <w:rtl/>
          </w:rPr>
          <w:t xml:space="preserve"> </w:t>
        </w:r>
        <w:r w:rsidR="000A6CF3" w:rsidRPr="000A6CF3">
          <w:rPr>
            <w:rFonts w:ascii="Calibri" w:eastAsia="Calibri" w:hAnsi="Calibri" w:hint="cs"/>
            <w:color w:val="0000FF"/>
            <w:u w:val="single"/>
            <w:rtl/>
          </w:rPr>
          <w:t>העונשין</w:t>
        </w:r>
      </w:hyperlink>
      <w:r w:rsidRPr="008A0E93">
        <w:rPr>
          <w:rFonts w:ascii="Calibri" w:eastAsia="Calibri" w:hAnsi="Calibri"/>
          <w:rtl/>
        </w:rPr>
        <w:t xml:space="preserve"> ייקבע להלן </w:t>
      </w:r>
      <w:r w:rsidRPr="008A0E93">
        <w:rPr>
          <w:rFonts w:ascii="Calibri" w:eastAsia="Calibri" w:hAnsi="Calibri"/>
          <w:b/>
          <w:bCs/>
          <w:rtl/>
        </w:rPr>
        <w:t xml:space="preserve">מתחם עונש הולם יחיד לאירוע כולו (המשקף את חומרת כל העבירות שבוצעו). </w:t>
      </w:r>
    </w:p>
    <w:p w14:paraId="70CA919F" w14:textId="77777777" w:rsidR="00E106C2" w:rsidRPr="008A0E93" w:rsidRDefault="00E106C2" w:rsidP="00E106C2">
      <w:pPr>
        <w:spacing w:after="200" w:line="360" w:lineRule="auto"/>
        <w:jc w:val="both"/>
        <w:rPr>
          <w:rFonts w:ascii="David" w:eastAsia="Calibri" w:hAnsi="David"/>
          <w:rtl/>
        </w:rPr>
      </w:pPr>
      <w:r w:rsidRPr="008A0E93">
        <w:rPr>
          <w:rFonts w:ascii="Calibri" w:eastAsia="Calibri" w:hAnsi="Calibri"/>
          <w:rtl/>
        </w:rPr>
        <w:t>על מנת לשרטט כדבעי את מתחם העונש ההולם בעניינו של הנאשם, עיינתי בפסיקה רחבה העוסקת בעבירות הזהות לנידון דידן,</w:t>
      </w:r>
      <w:r w:rsidRPr="008A0E93">
        <w:rPr>
          <w:rFonts w:ascii="David" w:eastAsia="Calibri" w:hAnsi="David"/>
          <w:rtl/>
        </w:rPr>
        <w:t xml:space="preserve"> בדגש על עבירות הסחר בנשק.  </w:t>
      </w:r>
    </w:p>
    <w:p w14:paraId="26417C65" w14:textId="77777777" w:rsidR="00E106C2" w:rsidRPr="008A0E93" w:rsidRDefault="00E106C2" w:rsidP="00E106C2">
      <w:pPr>
        <w:spacing w:after="200" w:line="360" w:lineRule="auto"/>
        <w:jc w:val="both"/>
        <w:rPr>
          <w:rFonts w:ascii="David" w:eastAsia="Calibri" w:hAnsi="David"/>
          <w:rtl/>
        </w:rPr>
      </w:pPr>
      <w:r w:rsidRPr="008A0E93">
        <w:rPr>
          <w:rFonts w:ascii="David" w:eastAsia="Calibri" w:hAnsi="David"/>
          <w:rtl/>
        </w:rPr>
        <w:t xml:space="preserve">זאת לדעת, המחוקק קבע לצדה של העבירה שעניינה סחר בנשק שלא כדין לפי </w:t>
      </w:r>
      <w:hyperlink r:id="rId44" w:history="1">
        <w:r w:rsidR="00A12A5C" w:rsidRPr="00A12A5C">
          <w:rPr>
            <w:rStyle w:val="Hyperlink"/>
            <w:rFonts w:ascii="David" w:eastAsia="Calibri" w:hAnsi="David"/>
            <w:rtl/>
          </w:rPr>
          <w:t>סעיף 144(ב2)</w:t>
        </w:r>
      </w:hyperlink>
      <w:r w:rsidRPr="008A0E93">
        <w:rPr>
          <w:rFonts w:ascii="David" w:eastAsia="Calibri" w:hAnsi="David"/>
          <w:rtl/>
        </w:rPr>
        <w:t xml:space="preserve"> ל</w:t>
      </w:r>
      <w:hyperlink r:id="rId45" w:history="1">
        <w:r w:rsidR="000A6CF3" w:rsidRPr="000A6CF3">
          <w:rPr>
            <w:rFonts w:ascii="David" w:eastAsia="Calibri" w:hAnsi="David"/>
            <w:color w:val="0000FF"/>
            <w:u w:val="single"/>
            <w:rtl/>
          </w:rPr>
          <w:t>חוק העונשין</w:t>
        </w:r>
      </w:hyperlink>
      <w:r w:rsidRPr="008A0E93">
        <w:rPr>
          <w:rFonts w:ascii="David" w:eastAsia="Calibri" w:hAnsi="David"/>
          <w:rtl/>
        </w:rPr>
        <w:t xml:space="preserve"> עונש מרבי בן 15 שנות מאסר. מערכת השפיטה נרתמה כאמור למאמץ למיגור עבירות הנשק, על ידי הטלת ענישה מרתיעה. הדברים בוטאו כך מפי כב' השופט מזוז במסגרתו של </w:t>
      </w:r>
      <w:hyperlink r:id="rId46" w:history="1">
        <w:r w:rsidR="000A6CF3" w:rsidRPr="000A6CF3">
          <w:rPr>
            <w:rFonts w:ascii="David" w:eastAsia="Calibri" w:hAnsi="David"/>
            <w:color w:val="0000FF"/>
            <w:u w:val="single"/>
            <w:rtl/>
          </w:rPr>
          <w:t>ע"פ 4406/19</w:t>
        </w:r>
      </w:hyperlink>
      <w:r w:rsidRPr="008A0E93">
        <w:rPr>
          <w:rFonts w:ascii="David" w:eastAsia="Calibri" w:hAnsi="David"/>
          <w:rtl/>
        </w:rPr>
        <w:t xml:space="preserve"> </w:t>
      </w:r>
      <w:r w:rsidRPr="008A0E93">
        <w:rPr>
          <w:rFonts w:ascii="David" w:eastAsia="Calibri" w:hAnsi="David"/>
          <w:b/>
          <w:bCs/>
          <w:rtl/>
        </w:rPr>
        <w:t>מדינת ישראל נ' סובח</w:t>
      </w:r>
      <w:r w:rsidRPr="008A0E93">
        <w:rPr>
          <w:rFonts w:ascii="David" w:eastAsia="Calibri" w:hAnsi="David"/>
          <w:rtl/>
        </w:rPr>
        <w:t xml:space="preserve"> (ניתן ביום 15.11.19) בציינו כדלהלן: </w:t>
      </w:r>
    </w:p>
    <w:p w14:paraId="394DFD71" w14:textId="77777777" w:rsidR="00E106C2" w:rsidRPr="008A0E93" w:rsidRDefault="00E106C2" w:rsidP="00E106C2">
      <w:pPr>
        <w:spacing w:after="200" w:line="276" w:lineRule="auto"/>
        <w:ind w:left="1371" w:right="851"/>
        <w:jc w:val="both"/>
        <w:rPr>
          <w:rFonts w:ascii="Miriam" w:eastAsia="Calibri" w:hAnsi="Miriam" w:cs="Miriam"/>
          <w:rtl/>
        </w:rPr>
      </w:pPr>
      <w:r w:rsidRPr="008A0E93">
        <w:rPr>
          <w:rFonts w:ascii="Miriam" w:eastAsia="Calibri" w:hAnsi="Miriam" w:cs="Miriam"/>
          <w:b/>
          <w:rtl/>
        </w:rPr>
        <w:t xml:space="preserve">"ביעור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w:t>
      </w:r>
      <w:r w:rsidRPr="008A0E93">
        <w:rPr>
          <w:rFonts w:ascii="Miriam" w:eastAsia="Calibri" w:hAnsi="Miriam" w:cs="Miriam"/>
          <w:bCs/>
          <w:rtl/>
        </w:rPr>
        <w:t>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Pr>
          <w:rFonts w:ascii="Miriam" w:eastAsia="Calibri" w:hAnsi="Miriam" w:cs="Miriam" w:hint="cs"/>
          <w:rtl/>
        </w:rPr>
        <w:t xml:space="preserve"> </w:t>
      </w:r>
      <w:r w:rsidRPr="008A0E93">
        <w:rPr>
          <w:rFonts w:ascii="Miriam" w:eastAsia="Calibri" w:hAnsi="Miriam" w:cs="Miriam"/>
          <w:rtl/>
        </w:rPr>
        <w:t>(</w:t>
      </w:r>
      <w:r w:rsidRPr="008A0E93">
        <w:rPr>
          <w:rFonts w:ascii="David" w:eastAsia="Calibri" w:hAnsi="David"/>
          <w:rtl/>
        </w:rPr>
        <w:t>ההדגשות אינן במקור</w:t>
      </w:r>
      <w:r w:rsidRPr="008A0E93">
        <w:rPr>
          <w:rFonts w:ascii="Miriam" w:eastAsia="Calibri" w:hAnsi="Miriam" w:cs="Miriam"/>
          <w:rtl/>
        </w:rPr>
        <w:t xml:space="preserve">).  </w:t>
      </w:r>
    </w:p>
    <w:p w14:paraId="0000AE39" w14:textId="77777777" w:rsidR="00E106C2" w:rsidRPr="008A0E93" w:rsidRDefault="00E106C2" w:rsidP="00E106C2">
      <w:pPr>
        <w:spacing w:after="200" w:line="360" w:lineRule="auto"/>
        <w:jc w:val="both"/>
        <w:rPr>
          <w:rFonts w:ascii="David" w:eastAsia="Calibri" w:hAnsi="David"/>
          <w:rtl/>
        </w:rPr>
      </w:pPr>
      <w:r w:rsidRPr="008A0E93">
        <w:rPr>
          <w:rFonts w:ascii="David" w:eastAsia="Calibri" w:hAnsi="David"/>
          <w:rtl/>
        </w:rPr>
        <w:t>לא זו אף זו, אך לאחרונה סבר המחוקק כי הגיעה שעת ההחמרה בענישה בכל הנוגע לאלו המורשעים בעבירות נשק. לפיכך, במסגרתו של תיקון מס' 140 ל</w:t>
      </w:r>
      <w:hyperlink r:id="rId47" w:history="1">
        <w:r w:rsidR="000A6CF3" w:rsidRPr="000A6CF3">
          <w:rPr>
            <w:rFonts w:ascii="David" w:eastAsia="Calibri" w:hAnsi="David"/>
            <w:color w:val="0000FF"/>
            <w:u w:val="single"/>
            <w:rtl/>
          </w:rPr>
          <w:t>חוק העונשין</w:t>
        </w:r>
      </w:hyperlink>
      <w:r w:rsidRPr="008A0E93">
        <w:rPr>
          <w:rFonts w:ascii="David" w:eastAsia="Calibri" w:hAnsi="David"/>
          <w:rtl/>
        </w:rPr>
        <w:t xml:space="preserve"> (תיקון מס' 140 - הוראת שעה), התשפ"ב-2021, ס"ח 2938) עוגנו </w:t>
      </w:r>
      <w:r w:rsidRPr="008A0E93">
        <w:rPr>
          <w:rFonts w:ascii="David" w:eastAsia="Calibri" w:hAnsi="David"/>
          <w:b/>
          <w:bCs/>
          <w:rtl/>
        </w:rPr>
        <w:t xml:space="preserve">עונשים מזעריים </w:t>
      </w:r>
      <w:r w:rsidRPr="008A0E93">
        <w:rPr>
          <w:rFonts w:ascii="David" w:eastAsia="Calibri" w:hAnsi="David"/>
          <w:rtl/>
        </w:rPr>
        <w:t xml:space="preserve">בכל הנוגע לעבירות שעניינן החזקה, הובלה או סחר בנשק שלא כדין. בתיקון נקבע, כי העונש שיוטל על העבריין במקרים אלו "לא יפחת עונשו מרבע העונש המרבי שנקבע לאותה עבירה, אלא אם כן החליט בית המשפט, מטעמים מיוחדים שיירשמו, להקל בעונשו; ...".  (הוראה זו נכנסה לתוקפה ביום 8.12.21, מספר חודשים מועט לאחר ביצוען של העבירות מושא האישומים דכאן ולפיכך איננה חלה על </w:t>
      </w:r>
      <w:r w:rsidRPr="00A42F5C">
        <w:rPr>
          <w:rFonts w:ascii="David" w:eastAsia="Calibri" w:hAnsi="David"/>
          <w:rtl/>
        </w:rPr>
        <w:t>עניינו של הנאשם</w:t>
      </w:r>
      <w:r w:rsidRPr="008A0E93">
        <w:rPr>
          <w:rFonts w:ascii="David" w:eastAsia="Calibri" w:hAnsi="David"/>
          <w:rtl/>
        </w:rPr>
        <w:t xml:space="preserve">). </w:t>
      </w:r>
      <w:r w:rsidRPr="008A0E93">
        <w:rPr>
          <w:rFonts w:ascii="David" w:eastAsia="Calibri" w:hAnsi="David"/>
          <w:b/>
          <w:bCs/>
          <w:rtl/>
        </w:rPr>
        <w:t>תיקון החוק הנ"ל אמנם אינו חל על ענייננו</w:t>
      </w:r>
      <w:r w:rsidRPr="008A0E93">
        <w:rPr>
          <w:rFonts w:ascii="David" w:eastAsia="Calibri" w:hAnsi="David"/>
          <w:rtl/>
        </w:rPr>
        <w:t xml:space="preserve">, אולם לשיטתי, אין להתעלם </w:t>
      </w:r>
      <w:r w:rsidRPr="008A0E93">
        <w:rPr>
          <w:rFonts w:ascii="David" w:eastAsia="Calibri" w:hAnsi="David"/>
          <w:b/>
          <w:bCs/>
          <w:rtl/>
        </w:rPr>
        <w:t>מרוח המחוקק הנושבת ממנו</w:t>
      </w:r>
      <w:r w:rsidRPr="008A0E93">
        <w:rPr>
          <w:rFonts w:ascii="David" w:eastAsia="Calibri" w:hAnsi="David"/>
          <w:rtl/>
        </w:rPr>
        <w:t xml:space="preserve"> והעולה מתכלית חקיקתו; מדובר בנדבך נוסף ומשמעותי במערכה למיגור תופעת ההחזקה המפושטת של נשק בלתי חוקי והשימוש בו. התיקון מבקש לשקף את החומרה אותה יש לייחס לתופעה בה עסקינן ואת צורך המובהק לאסור על עבירות הנשק, הפוגעות בכל חלקה טובה בארצנו, מלחמת חורמה בלתי מתפשרת.    </w:t>
      </w:r>
    </w:p>
    <w:p w14:paraId="35286FD7" w14:textId="77777777" w:rsidR="00E106C2" w:rsidRPr="008A0E93" w:rsidRDefault="00E106C2" w:rsidP="00E106C2">
      <w:pPr>
        <w:spacing w:after="200" w:line="360" w:lineRule="auto"/>
        <w:jc w:val="both"/>
        <w:rPr>
          <w:rFonts w:ascii="David" w:eastAsia="Calibri" w:hAnsi="David"/>
          <w:rtl/>
        </w:rPr>
      </w:pPr>
      <w:r w:rsidRPr="008A0E93">
        <w:rPr>
          <w:rFonts w:ascii="David" w:eastAsia="Calibri" w:hAnsi="David"/>
          <w:b/>
          <w:bCs/>
          <w:rtl/>
        </w:rPr>
        <w:t>ואכן, מגמת ההחמרה בענישה הבאה לידי ביטוי בפסיקת הערכאות השונות בגין עבירות בנשק ניכרת היטב</w:t>
      </w:r>
      <w:r w:rsidRPr="008A0E93">
        <w:rPr>
          <w:rFonts w:ascii="David" w:eastAsia="Calibri" w:hAnsi="David"/>
          <w:rtl/>
        </w:rPr>
        <w:t xml:space="preserve">. עם זאת,  ברי כי העונש שנגזר בסופו של יום תלוי לא רק בנסיבות ביצוע העבירה אלא גם בעברו הפלילי של הנאשם ובנסיבותיו האישיות. כך למשל,  </w:t>
      </w:r>
      <w:r w:rsidRPr="008A0E93">
        <w:rPr>
          <w:rFonts w:ascii="David" w:eastAsia="Calibri" w:hAnsi="David"/>
          <w:u w:val="single"/>
          <w:rtl/>
        </w:rPr>
        <w:t xml:space="preserve">למדיניות הענישה </w:t>
      </w:r>
      <w:r w:rsidRPr="008A0E93">
        <w:rPr>
          <w:rFonts w:ascii="David" w:eastAsia="Calibri" w:hAnsi="David"/>
          <w:b/>
          <w:bCs/>
          <w:u w:val="single"/>
          <w:rtl/>
        </w:rPr>
        <w:t>בגין עבירות סחר בנשק</w:t>
      </w:r>
      <w:r w:rsidRPr="008A0E93">
        <w:rPr>
          <w:rFonts w:ascii="David" w:eastAsia="Calibri" w:hAnsi="David"/>
          <w:b/>
          <w:bCs/>
          <w:rtl/>
        </w:rPr>
        <w:t xml:space="preserve">, </w:t>
      </w:r>
      <w:r w:rsidRPr="008A0E93">
        <w:rPr>
          <w:rFonts w:ascii="David" w:eastAsia="Calibri" w:hAnsi="David"/>
          <w:rtl/>
        </w:rPr>
        <w:t>ראו</w:t>
      </w:r>
      <w:r w:rsidRPr="008A0E93">
        <w:rPr>
          <w:rFonts w:ascii="David" w:eastAsia="Calibri" w:hAnsi="David"/>
          <w:b/>
          <w:bCs/>
          <w:rtl/>
        </w:rPr>
        <w:t xml:space="preserve">: </w:t>
      </w:r>
      <w:r w:rsidRPr="008A0E93">
        <w:rPr>
          <w:rFonts w:ascii="David" w:eastAsia="Calibri" w:hAnsi="David"/>
          <w:rtl/>
        </w:rPr>
        <w:t xml:space="preserve"> ע"פ 2033/20 </w:t>
      </w:r>
      <w:r w:rsidRPr="008A0E93">
        <w:rPr>
          <w:rFonts w:ascii="David" w:eastAsia="Calibri" w:hAnsi="David"/>
          <w:b/>
          <w:bCs/>
          <w:rtl/>
        </w:rPr>
        <w:t xml:space="preserve">אבו זיאד נ' מדינת ישראל </w:t>
      </w:r>
      <w:r w:rsidRPr="008A0E93">
        <w:rPr>
          <w:rFonts w:ascii="David" w:eastAsia="Calibri" w:hAnsi="David"/>
          <w:rtl/>
        </w:rPr>
        <w:t xml:space="preserve">(ניתן ביום 24.10.21 ) – במסגרתו הושתו על שני הנאשמים (בעלי עבר פלילי מכביד אשר סחרו באופן שיטתי בנשק) </w:t>
      </w:r>
      <w:r w:rsidRPr="008A0E93">
        <w:rPr>
          <w:rFonts w:ascii="David" w:eastAsia="Calibri" w:hAnsi="David"/>
          <w:u w:val="single"/>
          <w:rtl/>
        </w:rPr>
        <w:t>10 שנות מאסר ו - 8.5 שנות מאסר לריצוי בפועל</w:t>
      </w:r>
      <w:r w:rsidRPr="008A0E93">
        <w:rPr>
          <w:rFonts w:ascii="David" w:eastAsia="Calibri" w:hAnsi="David"/>
          <w:rtl/>
        </w:rPr>
        <w:t>, בהתאמה;</w:t>
      </w:r>
      <w:r w:rsidRPr="008A0E93">
        <w:rPr>
          <w:rFonts w:ascii="David" w:eastAsia="Calibri" w:hAnsi="David"/>
        </w:rPr>
        <w:t xml:space="preserve"> </w:t>
      </w:r>
      <w:hyperlink r:id="rId48" w:history="1">
        <w:r w:rsidR="000A6CF3" w:rsidRPr="000A6CF3">
          <w:rPr>
            <w:rFonts w:ascii="David" w:eastAsia="Calibri" w:hAnsi="David"/>
            <w:color w:val="0000FF"/>
            <w:u w:val="single"/>
            <w:rtl/>
          </w:rPr>
          <w:t>ע"פ 971/19</w:t>
        </w:r>
      </w:hyperlink>
      <w:r w:rsidRPr="008A0E93">
        <w:rPr>
          <w:rFonts w:ascii="David" w:eastAsia="Calibri" w:hAnsi="David"/>
          <w:rtl/>
        </w:rPr>
        <w:t xml:space="preserve"> </w:t>
      </w:r>
      <w:r w:rsidRPr="008A0E93">
        <w:rPr>
          <w:rFonts w:ascii="David" w:eastAsia="Calibri" w:hAnsi="David"/>
          <w:b/>
          <w:bCs/>
          <w:rtl/>
        </w:rPr>
        <w:t>מדינת ישראל נ' געביס</w:t>
      </w:r>
      <w:r w:rsidRPr="008A0E93">
        <w:rPr>
          <w:rFonts w:ascii="David" w:eastAsia="Calibri" w:hAnsi="David"/>
          <w:rtl/>
        </w:rPr>
        <w:t xml:space="preserve"> (ניתן ביום 11.7.19) – במסגרתו הושתו </w:t>
      </w:r>
      <w:r w:rsidRPr="008A0E93">
        <w:rPr>
          <w:rFonts w:ascii="David" w:eastAsia="Calibri" w:hAnsi="David"/>
          <w:u w:val="single"/>
          <w:rtl/>
        </w:rPr>
        <w:t>50 חודשי מאסר לריצוי בפועל</w:t>
      </w:r>
      <w:r w:rsidRPr="008A0E93">
        <w:rPr>
          <w:rFonts w:ascii="David" w:eastAsia="Calibri" w:hAnsi="David"/>
          <w:rtl/>
        </w:rPr>
        <w:t xml:space="preserve"> (בגין שלושה אישומים של סחר בנשק);</w:t>
      </w:r>
      <w:r w:rsidRPr="008A0E93">
        <w:rPr>
          <w:rFonts w:ascii="David" w:eastAsia="Calibri" w:hAnsi="David"/>
        </w:rPr>
        <w:t xml:space="preserve"> </w:t>
      </w:r>
      <w:r w:rsidRPr="008A0E93">
        <w:rPr>
          <w:rFonts w:ascii="David" w:eastAsia="Calibri" w:hAnsi="David"/>
          <w:rtl/>
        </w:rPr>
        <w:t xml:space="preserve"> </w:t>
      </w:r>
      <w:hyperlink r:id="rId49" w:history="1">
        <w:r w:rsidR="000A6CF3" w:rsidRPr="000A6CF3">
          <w:rPr>
            <w:rFonts w:ascii="David" w:eastAsia="Calibri" w:hAnsi="David"/>
            <w:color w:val="0000FF"/>
            <w:u w:val="single"/>
            <w:rtl/>
          </w:rPr>
          <w:t>ע"פ 1944/20</w:t>
        </w:r>
      </w:hyperlink>
      <w:r w:rsidRPr="008A0E93">
        <w:rPr>
          <w:rFonts w:ascii="David" w:eastAsia="Calibri" w:hAnsi="David"/>
          <w:rtl/>
        </w:rPr>
        <w:t xml:space="preserve"> </w:t>
      </w:r>
      <w:r w:rsidRPr="008A0E93">
        <w:rPr>
          <w:rFonts w:ascii="David" w:eastAsia="Calibri" w:hAnsi="David"/>
          <w:b/>
          <w:bCs/>
          <w:rtl/>
        </w:rPr>
        <w:t>אמארה נ' מדינת ישראל</w:t>
      </w:r>
      <w:r w:rsidRPr="008A0E93">
        <w:rPr>
          <w:rFonts w:ascii="David" w:eastAsia="Calibri" w:hAnsi="David"/>
          <w:rtl/>
        </w:rPr>
        <w:t xml:space="preserve"> (ניתן ביום 2.9.20) – במסגרתו </w:t>
      </w:r>
      <w:r w:rsidRPr="008A0E93">
        <w:rPr>
          <w:rFonts w:ascii="David" w:eastAsia="Calibri" w:hAnsi="David"/>
          <w:u w:val="single"/>
          <w:rtl/>
        </w:rPr>
        <w:t>הושתו 6 שנות מאסר לריצוי בפועל;</w:t>
      </w:r>
      <w:r w:rsidRPr="008A0E93">
        <w:rPr>
          <w:rFonts w:ascii="David" w:eastAsia="Calibri" w:hAnsi="David"/>
        </w:rPr>
        <w:t xml:space="preserve">  </w:t>
      </w:r>
      <w:hyperlink r:id="rId50" w:history="1">
        <w:r w:rsidR="000A6CF3" w:rsidRPr="000A6CF3">
          <w:rPr>
            <w:rFonts w:ascii="David" w:eastAsia="Calibri" w:hAnsi="David"/>
            <w:color w:val="0000FF"/>
            <w:u w:val="single"/>
            <w:rtl/>
          </w:rPr>
          <w:t>ע"פ 4456/21</w:t>
        </w:r>
      </w:hyperlink>
      <w:r w:rsidRPr="008A0E93">
        <w:rPr>
          <w:rFonts w:ascii="David" w:eastAsia="Calibri" w:hAnsi="David"/>
          <w:rtl/>
        </w:rPr>
        <w:t xml:space="preserve"> </w:t>
      </w:r>
      <w:r w:rsidRPr="008A0E93">
        <w:rPr>
          <w:rFonts w:ascii="David" w:eastAsia="Calibri" w:hAnsi="David"/>
          <w:b/>
          <w:bCs/>
          <w:rtl/>
        </w:rPr>
        <w:t xml:space="preserve">מדינת ישראל נ' אבו </w:t>
      </w:r>
      <w:r w:rsidRPr="00A42F5C">
        <w:rPr>
          <w:rFonts w:ascii="David" w:eastAsia="Calibri" w:hAnsi="David"/>
          <w:b/>
          <w:bCs/>
          <w:rtl/>
        </w:rPr>
        <w:t>עבסה</w:t>
      </w:r>
      <w:r w:rsidRPr="008A0E93">
        <w:rPr>
          <w:rFonts w:ascii="David" w:eastAsia="Calibri" w:hAnsi="David"/>
          <w:b/>
          <w:bCs/>
          <w:rtl/>
        </w:rPr>
        <w:t xml:space="preserve"> </w:t>
      </w:r>
      <w:r w:rsidRPr="008A0E93">
        <w:rPr>
          <w:rFonts w:ascii="David" w:eastAsia="Calibri" w:hAnsi="David"/>
          <w:rtl/>
        </w:rPr>
        <w:t>(ניתן ביום</w:t>
      </w:r>
      <w:r w:rsidRPr="008A0E93">
        <w:rPr>
          <w:rFonts w:ascii="David" w:eastAsia="Calibri" w:hAnsi="David"/>
          <w:b/>
          <w:bCs/>
          <w:rtl/>
        </w:rPr>
        <w:t xml:space="preserve"> </w:t>
      </w:r>
      <w:r w:rsidRPr="008A0E93">
        <w:rPr>
          <w:rFonts w:ascii="David" w:eastAsia="Calibri" w:hAnsi="David"/>
          <w:rtl/>
        </w:rPr>
        <w:t xml:space="preserve">23.1.22) – במסגרתו הושתו </w:t>
      </w:r>
      <w:r w:rsidRPr="008A0E93">
        <w:rPr>
          <w:rFonts w:ascii="David" w:eastAsia="Calibri" w:hAnsi="David"/>
          <w:u w:val="single"/>
          <w:rtl/>
        </w:rPr>
        <w:t>72 חודשי מאסר לריצוי בפועל</w:t>
      </w:r>
      <w:r w:rsidRPr="008A0E93">
        <w:rPr>
          <w:rFonts w:ascii="David" w:eastAsia="Calibri" w:hAnsi="David"/>
          <w:rtl/>
        </w:rPr>
        <w:t>;</w:t>
      </w:r>
      <w:r w:rsidRPr="008A0E93">
        <w:rPr>
          <w:rFonts w:ascii="David" w:eastAsia="Calibri" w:hAnsi="David"/>
        </w:rPr>
        <w:t xml:space="preserve"> </w:t>
      </w:r>
      <w:hyperlink r:id="rId51" w:history="1">
        <w:r w:rsidR="000A6CF3" w:rsidRPr="000A6CF3">
          <w:rPr>
            <w:rFonts w:ascii="David" w:eastAsia="Calibri" w:hAnsi="David"/>
            <w:color w:val="0000FF"/>
            <w:u w:val="single"/>
            <w:rtl/>
          </w:rPr>
          <w:t>ע"פ 5643/14</w:t>
        </w:r>
      </w:hyperlink>
      <w:r w:rsidRPr="008A0E93">
        <w:rPr>
          <w:rFonts w:ascii="David" w:eastAsia="Calibri" w:hAnsi="David"/>
          <w:rtl/>
        </w:rPr>
        <w:t xml:space="preserve"> </w:t>
      </w:r>
      <w:r w:rsidRPr="008A0E93">
        <w:rPr>
          <w:rFonts w:ascii="David" w:eastAsia="Calibri" w:hAnsi="David"/>
          <w:bCs/>
          <w:rtl/>
        </w:rPr>
        <w:t>עיסא נ' מדינת ישראל</w:t>
      </w:r>
      <w:r w:rsidRPr="008A0E93">
        <w:rPr>
          <w:rFonts w:ascii="David" w:eastAsia="Calibri" w:hAnsi="David"/>
          <w:rtl/>
        </w:rPr>
        <w:t xml:space="preserve"> (ניתן ביום 23.6.15) - במסגרתו הושתו </w:t>
      </w:r>
      <w:r w:rsidRPr="008A0E93">
        <w:rPr>
          <w:rFonts w:ascii="David" w:eastAsia="Calibri" w:hAnsi="David"/>
          <w:u w:val="single"/>
          <w:rtl/>
        </w:rPr>
        <w:t>65 חודשי מאסר לריצוי בפועל</w:t>
      </w:r>
      <w:r w:rsidRPr="008A0E93">
        <w:rPr>
          <w:rFonts w:ascii="David" w:eastAsia="Calibri" w:hAnsi="David"/>
          <w:rtl/>
        </w:rPr>
        <w:t xml:space="preserve">; </w:t>
      </w:r>
      <w:hyperlink r:id="rId52" w:history="1">
        <w:r w:rsidR="000A6CF3" w:rsidRPr="000A6CF3">
          <w:rPr>
            <w:rFonts w:ascii="David" w:eastAsia="Calibri" w:hAnsi="David"/>
            <w:color w:val="0000FF"/>
            <w:u w:val="single"/>
            <w:rtl/>
          </w:rPr>
          <w:t>ע"פ 7268/11</w:t>
        </w:r>
      </w:hyperlink>
      <w:r w:rsidRPr="008A0E93">
        <w:rPr>
          <w:rFonts w:ascii="David" w:eastAsia="Calibri" w:hAnsi="David"/>
          <w:rtl/>
        </w:rPr>
        <w:t xml:space="preserve"> </w:t>
      </w:r>
      <w:r w:rsidRPr="008A0E93">
        <w:rPr>
          <w:rFonts w:ascii="David" w:eastAsia="Calibri" w:hAnsi="David"/>
          <w:bCs/>
          <w:rtl/>
        </w:rPr>
        <w:t>גרבאן נ' מדינת ישראל</w:t>
      </w:r>
      <w:r w:rsidRPr="008A0E93">
        <w:rPr>
          <w:rFonts w:ascii="David" w:eastAsia="Calibri" w:hAnsi="David"/>
        </w:rPr>
        <w:t xml:space="preserve"> </w:t>
      </w:r>
      <w:r w:rsidRPr="008A0E93">
        <w:rPr>
          <w:rFonts w:ascii="David" w:eastAsia="Calibri" w:hAnsi="David"/>
          <w:rtl/>
        </w:rPr>
        <w:t xml:space="preserve">(ניתן ביום 8.8.12) - במסגרתו הושתו  </w:t>
      </w:r>
      <w:r w:rsidRPr="008A0E93">
        <w:rPr>
          <w:rFonts w:ascii="David" w:eastAsia="Calibri" w:hAnsi="David"/>
          <w:u w:val="single"/>
          <w:rtl/>
        </w:rPr>
        <w:t>80 חודשי מאסר לריצוי בפועל</w:t>
      </w:r>
      <w:r w:rsidRPr="008A0E93">
        <w:rPr>
          <w:rFonts w:ascii="David" w:eastAsia="Calibri" w:hAnsi="David"/>
          <w:rtl/>
        </w:rPr>
        <w:t xml:space="preserve">.  </w:t>
      </w:r>
    </w:p>
    <w:p w14:paraId="6B57483F" w14:textId="77777777" w:rsidR="00E106C2" w:rsidRPr="008A0E93" w:rsidRDefault="00E106C2" w:rsidP="00E106C2">
      <w:pPr>
        <w:spacing w:after="200" w:line="360" w:lineRule="auto"/>
        <w:jc w:val="both"/>
        <w:rPr>
          <w:rFonts w:ascii="David" w:eastAsia="Calibri" w:hAnsi="David"/>
          <w:rtl/>
        </w:rPr>
      </w:pPr>
      <w:r w:rsidRPr="008A0E93">
        <w:rPr>
          <w:rFonts w:ascii="David" w:eastAsia="Calibri" w:hAnsi="David"/>
          <w:rtl/>
        </w:rPr>
        <w:t xml:space="preserve">אעיר בנקודה זו, כי ימים ספורים עובר לכתיבת שורות אלו יצא מלפני בית המשפט העליון פסק דין שעניינו, בין היתר, </w:t>
      </w:r>
      <w:r w:rsidRPr="008A0E93">
        <w:rPr>
          <w:rFonts w:ascii="David" w:eastAsia="Calibri" w:hAnsi="David"/>
          <w:b/>
          <w:bCs/>
          <w:rtl/>
        </w:rPr>
        <w:t>בעבירת נשיאת נשק שלא כדין</w:t>
      </w:r>
      <w:r w:rsidRPr="008A0E93">
        <w:rPr>
          <w:rFonts w:ascii="David" w:eastAsia="Calibri" w:hAnsi="David"/>
          <w:rtl/>
        </w:rPr>
        <w:t xml:space="preserve"> - </w:t>
      </w:r>
      <w:hyperlink r:id="rId53" w:history="1">
        <w:r w:rsidR="000A6CF3" w:rsidRPr="000A6CF3">
          <w:rPr>
            <w:rFonts w:ascii="David" w:eastAsia="Calibri" w:hAnsi="David"/>
            <w:color w:val="0000FF"/>
            <w:u w:val="single"/>
            <w:rtl/>
          </w:rPr>
          <w:t>ע"פ 5602/22</w:t>
        </w:r>
      </w:hyperlink>
      <w:r w:rsidRPr="008A0E93">
        <w:rPr>
          <w:rFonts w:ascii="David" w:eastAsia="Calibri" w:hAnsi="David"/>
          <w:rtl/>
        </w:rPr>
        <w:t xml:space="preserve"> </w:t>
      </w:r>
      <w:r w:rsidRPr="008A0E93">
        <w:rPr>
          <w:rFonts w:ascii="David" w:eastAsia="Calibri" w:hAnsi="David"/>
          <w:b/>
          <w:bCs/>
          <w:rtl/>
        </w:rPr>
        <w:t>מדינת ישראל נ' פלוני</w:t>
      </w:r>
      <w:r w:rsidRPr="008A0E93">
        <w:rPr>
          <w:rFonts w:ascii="David" w:eastAsia="Calibri" w:hAnsi="David"/>
          <w:rtl/>
        </w:rPr>
        <w:t xml:space="preserve"> (ניתן ביום 14.9.22).  במסגרתו של פסק דין הנ"ל הדגיש כב' השופט א' שטיין את הדברים להלן - </w:t>
      </w:r>
    </w:p>
    <w:p w14:paraId="0E7B88E8" w14:textId="77777777" w:rsidR="00E106C2" w:rsidRPr="008A0E93" w:rsidRDefault="00E106C2" w:rsidP="00E106C2">
      <w:pPr>
        <w:spacing w:after="200" w:line="276" w:lineRule="auto"/>
        <w:ind w:left="804" w:right="851"/>
        <w:jc w:val="both"/>
        <w:rPr>
          <w:rFonts w:ascii="David" w:eastAsia="Calibri" w:hAnsi="David"/>
          <w:bCs/>
          <w:rtl/>
        </w:rPr>
      </w:pPr>
      <w:r w:rsidRPr="008A0E93">
        <w:rPr>
          <w:rFonts w:ascii="Calibri" w:eastAsia="Calibri" w:hAnsi="Calibri" w:cs="Times New Roman"/>
          <w:sz w:val="22"/>
          <w:szCs w:val="22"/>
          <w:rtl/>
        </w:rPr>
        <w:t>"...</w:t>
      </w:r>
      <w:r w:rsidRPr="008A0E93">
        <w:rPr>
          <w:rFonts w:ascii="Miriam" w:eastAsia="Calibri" w:hAnsi="Miriam" w:cs="Miriam"/>
          <w:rtl/>
        </w:rPr>
        <w:t xml:space="preserve">כעולה מפסיקתו של בית משפט זה, מתחם הענישה הרגיל שראוי לקבוע לנאשם בגיר בגין נשיאה בלתי חוקית של נשק חם במרחב הציבורי </w:t>
      </w:r>
      <w:r w:rsidRPr="008A0E93">
        <w:rPr>
          <w:rFonts w:ascii="Miriam" w:eastAsia="Calibri" w:hAnsi="Miriam" w:cs="Miriam"/>
          <w:u w:val="single"/>
          <w:rtl/>
        </w:rPr>
        <w:t>נע בין 30 ל-42 חודשי מאסר בין סורג ובריח.</w:t>
      </w:r>
      <w:r w:rsidRPr="008A0E93">
        <w:rPr>
          <w:rFonts w:ascii="Miriam" w:eastAsia="Calibri" w:hAnsi="Miriam" w:cs="Miriam"/>
          <w:rtl/>
        </w:rPr>
        <w:t>.. הווה אומר: באין נסיבות מיוחדות לחומרא או לקולא, יהא זה בהחלט סביר אם בית משפט יטיל על נאשם כאמור עונש של 36 חודשי מאסר לריצוי בפועל.</w:t>
      </w:r>
      <w:r w:rsidRPr="008A0E93">
        <w:rPr>
          <w:rFonts w:ascii="Calibri" w:eastAsia="Calibri" w:hAnsi="Calibri" w:cs="Times New Roman"/>
          <w:sz w:val="22"/>
          <w:szCs w:val="22"/>
          <w:rtl/>
        </w:rPr>
        <w:t xml:space="preserve"> </w:t>
      </w:r>
      <w:r w:rsidRPr="008A0E93">
        <w:rPr>
          <w:rFonts w:ascii="Century" w:eastAsia="Calibri" w:hAnsi="Century" w:cs="Miriam"/>
          <w:bCs/>
          <w:sz w:val="22"/>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8A0E93">
        <w:rPr>
          <w:rFonts w:ascii="Calibri" w:eastAsia="Calibri" w:hAnsi="Calibri" w:cs="Times New Roman"/>
          <w:bCs/>
          <w:sz w:val="22"/>
          <w:szCs w:val="22"/>
          <w:rtl/>
        </w:rPr>
        <w:t>"</w:t>
      </w:r>
      <w:r w:rsidRPr="008A0E93">
        <w:rPr>
          <w:rFonts w:ascii="David" w:eastAsia="Calibri" w:hAnsi="David"/>
          <w:bCs/>
          <w:rtl/>
        </w:rPr>
        <w:t xml:space="preserve"> </w:t>
      </w:r>
      <w:r w:rsidRPr="00A42F5C">
        <w:rPr>
          <w:rFonts w:ascii="David" w:eastAsia="Calibri" w:hAnsi="David"/>
          <w:b/>
          <w:rtl/>
        </w:rPr>
        <w:t>(</w:t>
      </w:r>
      <w:r w:rsidRPr="008A0E93">
        <w:rPr>
          <w:rFonts w:ascii="David" w:eastAsia="Calibri" w:hAnsi="David"/>
          <w:b/>
          <w:rtl/>
        </w:rPr>
        <w:t xml:space="preserve">חלק מן ההדגשות אינו במקור). </w:t>
      </w:r>
    </w:p>
    <w:p w14:paraId="343FF50A" w14:textId="77777777" w:rsidR="00E106C2" w:rsidRPr="008A0E93" w:rsidRDefault="00E106C2" w:rsidP="00E106C2">
      <w:pPr>
        <w:spacing w:after="200" w:line="360" w:lineRule="auto"/>
        <w:jc w:val="both"/>
        <w:rPr>
          <w:rFonts w:ascii="David" w:eastAsia="Calibri" w:hAnsi="David"/>
          <w:b/>
          <w:rtl/>
        </w:rPr>
      </w:pPr>
      <w:r w:rsidRPr="008A0E93">
        <w:rPr>
          <w:rFonts w:ascii="David" w:eastAsia="Calibri" w:hAnsi="David"/>
          <w:bCs/>
          <w:rtl/>
        </w:rPr>
        <w:t>דברים אלו מדברים בעד עצמם בכל הקשור לביצוען של עבירות שעניינן נשיאה בלתי חוקית של נשק</w:t>
      </w:r>
      <w:r w:rsidRPr="008A0E93">
        <w:rPr>
          <w:rFonts w:ascii="David" w:eastAsia="Calibri" w:hAnsi="David"/>
          <w:b/>
          <w:rtl/>
        </w:rPr>
        <w:t xml:space="preserve">; הנאשם שלפניי הורשע </w:t>
      </w:r>
      <w:r w:rsidRPr="008A0E93">
        <w:rPr>
          <w:rFonts w:ascii="David" w:eastAsia="Calibri" w:hAnsi="David"/>
          <w:bCs/>
          <w:rtl/>
        </w:rPr>
        <w:t>גם</w:t>
      </w:r>
      <w:r w:rsidRPr="008A0E93">
        <w:rPr>
          <w:rFonts w:ascii="David" w:eastAsia="Calibri" w:hAnsi="David"/>
          <w:b/>
          <w:rtl/>
        </w:rPr>
        <w:t xml:space="preserve"> בביצוע עבירות ממין זה </w:t>
      </w:r>
      <w:r w:rsidRPr="008A0E93">
        <w:rPr>
          <w:rFonts w:ascii="David" w:eastAsia="Calibri" w:hAnsi="David"/>
          <w:rtl/>
        </w:rPr>
        <w:t xml:space="preserve">(וראו בנוסף לעניין זה - </w:t>
      </w:r>
      <w:hyperlink r:id="rId54" w:history="1">
        <w:r w:rsidR="000A6CF3" w:rsidRPr="000A6CF3">
          <w:rPr>
            <w:rFonts w:ascii="David" w:eastAsia="Calibri" w:hAnsi="David"/>
            <w:color w:val="0000FF"/>
            <w:u w:val="single"/>
            <w:rtl/>
          </w:rPr>
          <w:t>ע"פ 4077/22</w:t>
        </w:r>
      </w:hyperlink>
      <w:r w:rsidRPr="008A0E93">
        <w:rPr>
          <w:rFonts w:ascii="David" w:eastAsia="Calibri" w:hAnsi="David"/>
          <w:rtl/>
        </w:rPr>
        <w:t xml:space="preserve"> </w:t>
      </w:r>
      <w:r w:rsidRPr="008A0E93">
        <w:rPr>
          <w:rFonts w:ascii="David" w:eastAsia="Calibri" w:hAnsi="David"/>
          <w:b/>
          <w:bCs/>
          <w:rtl/>
        </w:rPr>
        <w:t>פלוני נ' מדינת ישראל</w:t>
      </w:r>
      <w:r w:rsidRPr="008A0E93">
        <w:rPr>
          <w:rFonts w:ascii="David" w:eastAsia="Calibri" w:hAnsi="David"/>
          <w:rtl/>
        </w:rPr>
        <w:t xml:space="preserve"> (ניתן ביום 28.7.22); </w:t>
      </w:r>
      <w:r w:rsidRPr="008A0E93">
        <w:rPr>
          <w:rFonts w:ascii="David" w:eastAsia="Calibri" w:hAnsi="David"/>
        </w:rPr>
        <w:t xml:space="preserve"> </w:t>
      </w:r>
      <w:hyperlink r:id="rId55" w:history="1">
        <w:r w:rsidR="000A6CF3" w:rsidRPr="000A6CF3">
          <w:rPr>
            <w:rFonts w:ascii="Calibri" w:eastAsia="Calibri" w:hAnsi="Calibri" w:hint="cs"/>
            <w:color w:val="0000FF"/>
            <w:u w:val="single"/>
            <w:rtl/>
          </w:rPr>
          <w:t>ע</w:t>
        </w:r>
        <w:r w:rsidR="000A6CF3" w:rsidRPr="000A6CF3">
          <w:rPr>
            <w:rFonts w:ascii="Calibri" w:eastAsia="Calibri" w:hAnsi="Calibri"/>
            <w:color w:val="0000FF"/>
            <w:u w:val="single"/>
            <w:rtl/>
          </w:rPr>
          <w:t>"</w:t>
        </w:r>
        <w:r w:rsidR="000A6CF3" w:rsidRPr="000A6CF3">
          <w:rPr>
            <w:rFonts w:ascii="Calibri" w:eastAsia="Calibri" w:hAnsi="Calibri" w:hint="cs"/>
            <w:color w:val="0000FF"/>
            <w:u w:val="single"/>
            <w:rtl/>
          </w:rPr>
          <w:t>פ</w:t>
        </w:r>
        <w:r w:rsidR="000A6CF3" w:rsidRPr="000A6CF3">
          <w:rPr>
            <w:rFonts w:ascii="Calibri" w:eastAsia="Calibri" w:hAnsi="Calibri"/>
            <w:color w:val="0000FF"/>
            <w:u w:val="single"/>
            <w:rtl/>
          </w:rPr>
          <w:t xml:space="preserve"> 3877/16</w:t>
        </w:r>
      </w:hyperlink>
      <w:r w:rsidRPr="008A0E93">
        <w:rPr>
          <w:rFonts w:ascii="Calibri" w:eastAsia="Calibri" w:hAnsi="Calibri"/>
          <w:rtl/>
        </w:rPr>
        <w:t xml:space="preserve"> </w:t>
      </w:r>
      <w:r w:rsidRPr="008A0E93">
        <w:rPr>
          <w:rFonts w:ascii="Calibri" w:eastAsia="Calibri" w:hAnsi="Calibri"/>
          <w:b/>
          <w:bCs/>
          <w:rtl/>
        </w:rPr>
        <w:t>ג'באלי נ' מדינת ישראל</w:t>
      </w:r>
      <w:r w:rsidRPr="008A0E93">
        <w:rPr>
          <w:rFonts w:ascii="Calibri" w:eastAsia="Calibri" w:hAnsi="Calibri"/>
          <w:rtl/>
        </w:rPr>
        <w:t xml:space="preserve"> (ניתן ביום 17.11.16); </w:t>
      </w:r>
      <w:hyperlink r:id="rId56" w:history="1">
        <w:r w:rsidR="000A6CF3" w:rsidRPr="000A6CF3">
          <w:rPr>
            <w:rFonts w:ascii="Calibri" w:eastAsia="Calibri" w:hAnsi="Calibri" w:hint="cs"/>
            <w:color w:val="0000FF"/>
            <w:u w:val="single"/>
            <w:rtl/>
          </w:rPr>
          <w:t>ע</w:t>
        </w:r>
        <w:r w:rsidR="000A6CF3" w:rsidRPr="000A6CF3">
          <w:rPr>
            <w:rFonts w:ascii="Calibri" w:eastAsia="Calibri" w:hAnsi="Calibri"/>
            <w:color w:val="0000FF"/>
            <w:u w:val="single"/>
            <w:rtl/>
          </w:rPr>
          <w:t>"</w:t>
        </w:r>
        <w:r w:rsidR="000A6CF3" w:rsidRPr="000A6CF3">
          <w:rPr>
            <w:rFonts w:ascii="Calibri" w:eastAsia="Calibri" w:hAnsi="Calibri" w:hint="cs"/>
            <w:color w:val="0000FF"/>
            <w:u w:val="single"/>
            <w:rtl/>
          </w:rPr>
          <w:t>פ</w:t>
        </w:r>
        <w:r w:rsidR="000A6CF3" w:rsidRPr="000A6CF3">
          <w:rPr>
            <w:rFonts w:ascii="Calibri" w:eastAsia="Calibri" w:hAnsi="Calibri"/>
            <w:color w:val="0000FF"/>
            <w:u w:val="single"/>
            <w:rtl/>
          </w:rPr>
          <w:t xml:space="preserve"> 578/22</w:t>
        </w:r>
      </w:hyperlink>
      <w:r w:rsidRPr="008A0E93">
        <w:rPr>
          <w:rFonts w:ascii="Calibri" w:eastAsia="Calibri" w:hAnsi="Calibri"/>
          <w:rtl/>
        </w:rPr>
        <w:t xml:space="preserve"> </w:t>
      </w:r>
      <w:r w:rsidRPr="008A0E93">
        <w:rPr>
          <w:rFonts w:ascii="Calibri" w:eastAsia="Calibri" w:hAnsi="Calibri"/>
          <w:b/>
          <w:bCs/>
          <w:rtl/>
        </w:rPr>
        <w:t>נאעסה נ' מדינת ישראל</w:t>
      </w:r>
      <w:r w:rsidRPr="008A0E93">
        <w:rPr>
          <w:rFonts w:ascii="David" w:eastAsia="Calibri" w:hAnsi="David"/>
          <w:bCs/>
          <w:rtl/>
        </w:rPr>
        <w:t xml:space="preserve"> </w:t>
      </w:r>
      <w:r w:rsidRPr="008A0E93">
        <w:rPr>
          <w:rFonts w:ascii="David" w:eastAsia="Calibri" w:hAnsi="David"/>
          <w:b/>
          <w:rtl/>
        </w:rPr>
        <w:t>(ניתן ביום</w:t>
      </w:r>
      <w:r w:rsidRPr="008A0E93">
        <w:rPr>
          <w:rFonts w:ascii="David" w:eastAsia="Calibri" w:hAnsi="David"/>
          <w:bCs/>
          <w:rtl/>
        </w:rPr>
        <w:t xml:space="preserve"> </w:t>
      </w:r>
      <w:r w:rsidRPr="008A0E93">
        <w:rPr>
          <w:rFonts w:ascii="David" w:eastAsia="Calibri" w:hAnsi="David"/>
          <w:b/>
          <w:rtl/>
        </w:rPr>
        <w:t>22.5.22);</w:t>
      </w:r>
      <w:r w:rsidRPr="008A0E93">
        <w:rPr>
          <w:rFonts w:ascii="David" w:eastAsia="Calibri" w:hAnsi="David"/>
          <w:b/>
        </w:rPr>
        <w:t xml:space="preserve"> </w:t>
      </w:r>
      <w:hyperlink r:id="rId57" w:history="1">
        <w:r w:rsidR="000A6CF3" w:rsidRPr="000A6CF3">
          <w:rPr>
            <w:rFonts w:ascii="David" w:eastAsia="Calibri" w:hAnsi="David"/>
            <w:b/>
            <w:color w:val="0000FF"/>
            <w:u w:val="single"/>
            <w:rtl/>
          </w:rPr>
          <w:t>ע"פ 5813/21</w:t>
        </w:r>
      </w:hyperlink>
      <w:r w:rsidRPr="008A0E93">
        <w:rPr>
          <w:rFonts w:ascii="David" w:eastAsia="Calibri" w:hAnsi="David"/>
          <w:b/>
          <w:rtl/>
        </w:rPr>
        <w:t xml:space="preserve"> </w:t>
      </w:r>
      <w:r w:rsidRPr="008A0E93">
        <w:rPr>
          <w:rFonts w:ascii="David" w:eastAsia="Calibri" w:hAnsi="David"/>
          <w:bCs/>
          <w:rtl/>
        </w:rPr>
        <w:t>ג'בארין נ' מדינת ישראל</w:t>
      </w:r>
      <w:r w:rsidRPr="008A0E93">
        <w:rPr>
          <w:rFonts w:ascii="David" w:eastAsia="Calibri" w:hAnsi="David"/>
          <w:b/>
          <w:rtl/>
        </w:rPr>
        <w:t xml:space="preserve"> (ניתן ביום 31.5.22) – בגין </w:t>
      </w:r>
      <w:r w:rsidRPr="008A0E93">
        <w:rPr>
          <w:rFonts w:ascii="David" w:eastAsia="Calibri" w:hAnsi="David"/>
          <w:b/>
          <w:u w:val="single"/>
          <w:rtl/>
        </w:rPr>
        <w:t>החזקת נשק</w:t>
      </w:r>
      <w:r w:rsidRPr="008A0E93">
        <w:rPr>
          <w:rFonts w:ascii="David" w:eastAsia="Calibri" w:hAnsi="David"/>
          <w:b/>
          <w:rtl/>
        </w:rPr>
        <w:t xml:space="preserve"> שלא כדין). מובן כי הצטברות של עבירות סחר בנשק לעבירות של נשיאת נשק הובלתו והחזקתו מחמירות עוד יותר את מצבו של הנאשם ומחייבות החמרה נוספת בעונשו. </w:t>
      </w:r>
    </w:p>
    <w:p w14:paraId="14A8426C"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מכאן, נאמן לעקרונות הבניית הענישה יש מקום לבחון את </w:t>
      </w:r>
      <w:r w:rsidRPr="008A0E93">
        <w:rPr>
          <w:rFonts w:ascii="Calibri" w:eastAsia="Calibri" w:hAnsi="Calibri"/>
          <w:b/>
          <w:bCs/>
          <w:rtl/>
        </w:rPr>
        <w:t>הנסיבות הקשורות בביצוע העבירות</w:t>
      </w:r>
      <w:r w:rsidRPr="008A0E93">
        <w:rPr>
          <w:rFonts w:ascii="Calibri" w:eastAsia="Calibri" w:hAnsi="Calibri"/>
          <w:rtl/>
        </w:rPr>
        <w:t xml:space="preserve">,  שבעשייתן הורשע המשיב. כזכור, הנאשם </w:t>
      </w:r>
      <w:r w:rsidRPr="008A0E93">
        <w:rPr>
          <w:rFonts w:ascii="Calibri" w:eastAsia="Calibri" w:hAnsi="Calibri"/>
          <w:b/>
          <w:bCs/>
          <w:rtl/>
        </w:rPr>
        <w:t xml:space="preserve">תכנן </w:t>
      </w:r>
      <w:r w:rsidRPr="008A0E93">
        <w:rPr>
          <w:rFonts w:ascii="Calibri" w:eastAsia="Calibri" w:hAnsi="Calibri"/>
          <w:rtl/>
        </w:rPr>
        <w:t xml:space="preserve">מראש כל עסקה ועסקה. לפיכך, יש להתייחס אל חלקו בהוצאתה אל הפועל של כל אחת מהעסקות </w:t>
      </w:r>
      <w:r w:rsidRPr="008A0E93">
        <w:rPr>
          <w:rFonts w:ascii="Calibri" w:eastAsia="Calibri" w:hAnsi="Calibri"/>
          <w:b/>
          <w:bCs/>
          <w:rtl/>
        </w:rPr>
        <w:t xml:space="preserve">כממשי. </w:t>
      </w:r>
      <w:r w:rsidRPr="008A0E93">
        <w:rPr>
          <w:rFonts w:ascii="Calibri" w:eastAsia="Calibri" w:hAnsi="Calibri"/>
          <w:rtl/>
        </w:rPr>
        <w:t>אין אמנם להתעלם מכך, שהוא פעל בצוותא חדא עם גורמים עבריינים נוספים, אך מעובדות כתב האישום שבהן הודה ובגינן הורשע הנאשם, הוא היה זה שהניע את "הבשלתן" של  עסקאות אלו, בעודו עומד בקשר הן מול הסוכן הן מול המעורבים הנוספים בפרשה. כפי שהוער במסגרת תסקיר שירות המבחן, הנאשם התקשה ליתן הסברים למעורבותו ולמניעיו. ככלל, הנזק הטמון במכירת נשק קשור בהגעת כלי נשק לידי גורמים שוליים, מה ש</w:t>
      </w:r>
      <w:r w:rsidRPr="008A0E93">
        <w:rPr>
          <w:rFonts w:ascii="Calibri" w:eastAsia="Calibri" w:hAnsi="Calibri"/>
          <w:b/>
          <w:bCs/>
          <w:rtl/>
        </w:rPr>
        <w:t>עלול לגרום נזק חמור ואולי אף פגיעה אנושה בחיי-אדם.</w:t>
      </w:r>
      <w:r w:rsidRPr="008A0E93">
        <w:rPr>
          <w:rFonts w:ascii="Calibri" w:eastAsia="Calibri" w:hAnsi="Calibri"/>
          <w:rtl/>
        </w:rPr>
        <w:t xml:space="preserve"> למרבה המזל, העסקות בהן היה מעורב הנאשם בוצעו מול סוכן כך שבפועל לא נגרם נזק כאמור. </w:t>
      </w:r>
      <w:r w:rsidRPr="008A0E93">
        <w:rPr>
          <w:rFonts w:ascii="Calibri" w:eastAsia="Calibri" w:hAnsi="Calibri"/>
          <w:b/>
          <w:bCs/>
          <w:rtl/>
        </w:rPr>
        <w:t>הנאשם הבין את שהוא עושה</w:t>
      </w:r>
      <w:r w:rsidRPr="008A0E93">
        <w:rPr>
          <w:rFonts w:ascii="Calibri" w:eastAsia="Calibri" w:hAnsi="Calibri"/>
          <w:rtl/>
        </w:rPr>
        <w:t xml:space="preserve"> ואת הפסול שבמעשיו. </w:t>
      </w:r>
      <w:r w:rsidRPr="008A0E93">
        <w:rPr>
          <w:rFonts w:ascii="Calibri" w:eastAsia="Calibri" w:hAnsi="Calibri"/>
          <w:b/>
          <w:bCs/>
          <w:rtl/>
        </w:rPr>
        <w:t>הוא יכול היה וצריך היה להימנע מעשייתם</w:t>
      </w:r>
      <w:r w:rsidRPr="008A0E93">
        <w:rPr>
          <w:rFonts w:ascii="Calibri" w:eastAsia="Calibri" w:hAnsi="Calibri"/>
          <w:rtl/>
        </w:rPr>
        <w:t xml:space="preserve">. </w:t>
      </w:r>
    </w:p>
    <w:p w14:paraId="1608EF25"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לנוכח כל האמור לעיל, מצאתי לקבוע מתחם ענישה הולם הנע </w:t>
      </w:r>
      <w:r w:rsidRPr="008A0E93">
        <w:rPr>
          <w:rFonts w:ascii="Calibri" w:eastAsia="Calibri" w:hAnsi="Calibri"/>
          <w:b/>
          <w:bCs/>
          <w:rtl/>
        </w:rPr>
        <w:t xml:space="preserve">בין 5 שנים ומחצה לבין 8 שנות מאסר לריצוי בפועל, </w:t>
      </w:r>
      <w:r w:rsidRPr="008A0E93">
        <w:rPr>
          <w:rFonts w:ascii="Calibri" w:eastAsia="Calibri" w:hAnsi="Calibri"/>
          <w:rtl/>
        </w:rPr>
        <w:t>לצד עונשי מאסר על-תנאי וקנס כספי.</w:t>
      </w:r>
    </w:p>
    <w:p w14:paraId="6FCB23F9" w14:textId="77777777" w:rsidR="00E106C2" w:rsidRPr="008A0E93" w:rsidRDefault="00E106C2" w:rsidP="00E106C2">
      <w:pPr>
        <w:spacing w:after="200"/>
        <w:jc w:val="both"/>
        <w:rPr>
          <w:rFonts w:ascii="Calibri" w:eastAsia="Calibri" w:hAnsi="Calibri"/>
          <w:b/>
          <w:bCs/>
          <w:u w:val="single"/>
          <w:rtl/>
        </w:rPr>
      </w:pPr>
      <w:r w:rsidRPr="008A0E93">
        <w:rPr>
          <w:rFonts w:ascii="Calibri" w:eastAsia="Calibri" w:hAnsi="Calibri"/>
          <w:b/>
          <w:bCs/>
          <w:u w:val="single"/>
          <w:rtl/>
        </w:rPr>
        <w:t>התאמת העונש לנאשם בהתחשב בנסיבותיו האישיות</w:t>
      </w:r>
    </w:p>
    <w:p w14:paraId="5F2FF6E0"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משנקבע מתחם הענישה, בשלה השעה להגדיר את העונש המדויק שיוצב בתוככי מתחם הענישה, תוך התחשבות </w:t>
      </w:r>
      <w:r w:rsidRPr="008A0E93">
        <w:rPr>
          <w:rFonts w:ascii="Calibri" w:eastAsia="Calibri" w:hAnsi="Calibri"/>
          <w:b/>
          <w:bCs/>
          <w:rtl/>
        </w:rPr>
        <w:t>בנסיבות שאינן קשורות בביצוע העבירה</w:t>
      </w:r>
      <w:r w:rsidRPr="008A0E93">
        <w:rPr>
          <w:rFonts w:ascii="Calibri" w:eastAsia="Calibri" w:hAnsi="Calibri"/>
          <w:rtl/>
        </w:rPr>
        <w:t xml:space="preserve">. </w:t>
      </w:r>
    </w:p>
    <w:p w14:paraId="4E1ECD1C"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הנאשם הוא אדם צעיר אשר ניהל חיים נורמטיביים. שגרתו נעצרה נוכח מעורבותו באירוע ומעצרו עד לתום ההליכים כתוצאה מכך. </w:t>
      </w:r>
      <w:r w:rsidRPr="008A0E93">
        <w:rPr>
          <w:rFonts w:ascii="Calibri" w:eastAsia="Calibri" w:hAnsi="Calibri"/>
          <w:b/>
          <w:bCs/>
          <w:rtl/>
        </w:rPr>
        <w:t>עברו הפלילי נקי.</w:t>
      </w:r>
      <w:r w:rsidRPr="008A0E93">
        <w:rPr>
          <w:rFonts w:ascii="Calibri" w:eastAsia="Calibri" w:hAnsi="Calibri"/>
          <w:rtl/>
        </w:rPr>
        <w:t xml:space="preserve"> אין ספק, </w:t>
      </w:r>
      <w:r w:rsidRPr="008A0E93">
        <w:rPr>
          <w:rFonts w:ascii="Calibri" w:eastAsia="Calibri" w:hAnsi="Calibri"/>
          <w:b/>
          <w:bCs/>
          <w:rtl/>
        </w:rPr>
        <w:t xml:space="preserve">שלבני משפחתו של הנאשם (אביו) נגרם נזק משמעותי, שכן הנאשם נשא בנטל לטפל בו, נוכח מחלתו. </w:t>
      </w:r>
      <w:r w:rsidRPr="008A0E93">
        <w:rPr>
          <w:rFonts w:ascii="Calibri" w:eastAsia="Calibri" w:hAnsi="Calibri"/>
          <w:rtl/>
        </w:rPr>
        <w:t xml:space="preserve">הנאשם </w:t>
      </w:r>
      <w:r w:rsidRPr="008A0E93">
        <w:rPr>
          <w:rFonts w:ascii="Calibri" w:eastAsia="Calibri" w:hAnsi="Calibri"/>
          <w:b/>
          <w:bCs/>
          <w:rtl/>
        </w:rPr>
        <w:t>נטל אחריות על מעשיו</w:t>
      </w:r>
      <w:r w:rsidRPr="008A0E93">
        <w:rPr>
          <w:rFonts w:ascii="Calibri" w:eastAsia="Calibri" w:hAnsi="Calibri"/>
          <w:rtl/>
        </w:rPr>
        <w:t xml:space="preserve">, </w:t>
      </w:r>
      <w:r w:rsidRPr="008A0E93">
        <w:rPr>
          <w:rFonts w:ascii="Calibri" w:eastAsia="Calibri" w:hAnsi="Calibri"/>
          <w:b/>
          <w:bCs/>
          <w:rtl/>
        </w:rPr>
        <w:t>הודה במשפטו, חסך זמן שיפוטי ונטל אחריות מלאה על מעשיו תוך הבעת חרטה וצער</w:t>
      </w:r>
      <w:r w:rsidRPr="008A0E93">
        <w:rPr>
          <w:rFonts w:ascii="Calibri" w:eastAsia="Calibri" w:hAnsi="Calibri"/>
          <w:rtl/>
        </w:rPr>
        <w:t xml:space="preserve">. ברי, כי נוכח ממצאי שירות המבחן, כפי שאלו תוארו לעיל בהרחבה ובהיעדר המלצה שיקומית מאת שירות המבחן לא סברתי שזהו מקרה מתאים לשקול חריגה ממתחם הענישה שנקבע. </w:t>
      </w:r>
    </w:p>
    <w:p w14:paraId="0EAF8DEE" w14:textId="77777777" w:rsidR="00E106C2" w:rsidRPr="008A0E93" w:rsidRDefault="00E106C2" w:rsidP="00E106C2">
      <w:pPr>
        <w:spacing w:after="200" w:line="360" w:lineRule="auto"/>
        <w:jc w:val="both"/>
        <w:rPr>
          <w:rFonts w:ascii="Calibri" w:eastAsia="Calibri" w:hAnsi="Calibri"/>
          <w:rtl/>
        </w:rPr>
      </w:pPr>
      <w:r w:rsidRPr="008A0E93">
        <w:rPr>
          <w:rFonts w:ascii="Calibri" w:eastAsia="Calibri" w:hAnsi="Calibri"/>
          <w:rtl/>
        </w:rPr>
        <w:t xml:space="preserve">עוד סברתי כי יש להעניק במקרה האמור משקל נוסף בקביעת העונש </w:t>
      </w:r>
      <w:r w:rsidRPr="008A0E93">
        <w:rPr>
          <w:rFonts w:ascii="Calibri" w:eastAsia="Calibri" w:hAnsi="Calibri"/>
          <w:b/>
          <w:bCs/>
          <w:rtl/>
        </w:rPr>
        <w:t>להרתעת הרבים</w:t>
      </w:r>
      <w:r w:rsidRPr="008A0E93">
        <w:rPr>
          <w:rFonts w:ascii="Calibri" w:eastAsia="Calibri" w:hAnsi="Calibri"/>
          <w:rtl/>
        </w:rPr>
        <w:t xml:space="preserve"> (</w:t>
      </w:r>
      <w:hyperlink r:id="rId58" w:history="1">
        <w:r w:rsidR="00A12A5C" w:rsidRPr="00A12A5C">
          <w:rPr>
            <w:rStyle w:val="Hyperlink"/>
            <w:rFonts w:ascii="Calibri" w:eastAsia="Calibri" w:hAnsi="Calibri" w:hint="cs"/>
            <w:rtl/>
          </w:rPr>
          <w:t>סעיף</w:t>
        </w:r>
        <w:r w:rsidR="00A12A5C" w:rsidRPr="00A12A5C">
          <w:rPr>
            <w:rStyle w:val="Hyperlink"/>
            <w:rFonts w:ascii="Calibri" w:eastAsia="Calibri" w:hAnsi="Calibri"/>
            <w:rtl/>
          </w:rPr>
          <w:t xml:space="preserve"> 40</w:t>
        </w:r>
        <w:r w:rsidR="00A12A5C" w:rsidRPr="00A12A5C">
          <w:rPr>
            <w:rStyle w:val="Hyperlink"/>
            <w:rFonts w:ascii="Calibri" w:eastAsia="Calibri" w:hAnsi="Calibri" w:hint="cs"/>
            <w:rtl/>
          </w:rPr>
          <w:t>ז</w:t>
        </w:r>
      </w:hyperlink>
      <w:r w:rsidRPr="008A0E93">
        <w:rPr>
          <w:rFonts w:ascii="Calibri" w:eastAsia="Calibri" w:hAnsi="Calibri"/>
          <w:rtl/>
        </w:rPr>
        <w:t xml:space="preserve"> לחוק), שכן לטעמי קיים סיכוי של ממש שנוכח החמרה מסוימת בעונשו של הנאשם  - כך שעונשו לא יוצב על הסף התחתון של מתחם הענישה שנקבע, אלא מעט מעליו - ימנעו אחרים מלבצע עבירות דומות. </w:t>
      </w:r>
    </w:p>
    <w:p w14:paraId="7FE4A65E" w14:textId="77777777" w:rsidR="00E106C2" w:rsidRPr="008A0E93" w:rsidRDefault="00E106C2" w:rsidP="00E106C2">
      <w:pPr>
        <w:spacing w:after="200"/>
        <w:jc w:val="both"/>
        <w:rPr>
          <w:rFonts w:ascii="Calibri" w:eastAsia="Calibri" w:hAnsi="Calibri"/>
          <w:b/>
          <w:bCs/>
          <w:u w:val="single"/>
          <w:rtl/>
        </w:rPr>
      </w:pPr>
      <w:r w:rsidRPr="008A0E93">
        <w:rPr>
          <w:rFonts w:ascii="Calibri" w:eastAsia="Calibri" w:hAnsi="Calibri"/>
          <w:b/>
          <w:bCs/>
          <w:u w:val="single"/>
          <w:rtl/>
        </w:rPr>
        <w:t>סוף דבר</w:t>
      </w:r>
    </w:p>
    <w:p w14:paraId="01CF6C39" w14:textId="77777777" w:rsidR="00E106C2" w:rsidRPr="008A0E93" w:rsidRDefault="00E106C2" w:rsidP="00E106C2">
      <w:pPr>
        <w:spacing w:after="200"/>
        <w:jc w:val="both"/>
        <w:rPr>
          <w:rFonts w:ascii="Calibri" w:eastAsia="Calibri" w:hAnsi="Calibri"/>
          <w:rtl/>
        </w:rPr>
      </w:pPr>
      <w:r w:rsidRPr="008A0E93">
        <w:rPr>
          <w:rFonts w:ascii="Calibri" w:eastAsia="Calibri" w:hAnsi="Calibri"/>
          <w:rtl/>
        </w:rPr>
        <w:t xml:space="preserve">מוטלים, אפוא, על הנאשם עונשים כדלקמן – </w:t>
      </w:r>
    </w:p>
    <w:p w14:paraId="0D7774CB" w14:textId="77777777" w:rsidR="00E106C2" w:rsidRPr="008A0E93" w:rsidRDefault="00E106C2" w:rsidP="00E106C2">
      <w:pPr>
        <w:numPr>
          <w:ilvl w:val="0"/>
          <w:numId w:val="1"/>
        </w:numPr>
        <w:spacing w:after="200" w:line="360" w:lineRule="auto"/>
        <w:contextualSpacing/>
        <w:jc w:val="both"/>
        <w:rPr>
          <w:rFonts w:ascii="Calibri" w:eastAsia="Calibri" w:hAnsi="Calibri"/>
          <w:b/>
          <w:bCs/>
          <w:rtl/>
        </w:rPr>
      </w:pPr>
      <w:r w:rsidRPr="008A0E93">
        <w:rPr>
          <w:rFonts w:ascii="Calibri" w:eastAsia="Calibri" w:hAnsi="Calibri"/>
          <w:b/>
          <w:bCs/>
          <w:rtl/>
        </w:rPr>
        <w:t>6 שנות מאסר לריצוי בפועל,</w:t>
      </w:r>
      <w:r w:rsidRPr="008A0E93">
        <w:rPr>
          <w:rFonts w:ascii="Calibri" w:eastAsia="Calibri" w:hAnsi="Calibri"/>
          <w:rtl/>
        </w:rPr>
        <w:t xml:space="preserve"> </w:t>
      </w:r>
      <w:r w:rsidRPr="008A0E93">
        <w:rPr>
          <w:rFonts w:ascii="Calibri" w:eastAsia="Calibri" w:hAnsi="Calibri"/>
          <w:b/>
          <w:bCs/>
          <w:rtl/>
        </w:rPr>
        <w:t xml:space="preserve">מיום מעצרו. </w:t>
      </w:r>
    </w:p>
    <w:p w14:paraId="3AC8380F" w14:textId="77777777" w:rsidR="00E106C2" w:rsidRPr="008F2306" w:rsidRDefault="00E106C2" w:rsidP="00E106C2">
      <w:pPr>
        <w:pStyle w:val="a9"/>
        <w:numPr>
          <w:ilvl w:val="0"/>
          <w:numId w:val="1"/>
        </w:numPr>
        <w:spacing w:after="200" w:line="360" w:lineRule="auto"/>
        <w:jc w:val="both"/>
        <w:rPr>
          <w:rFonts w:ascii="Calibri" w:eastAsia="Calibri" w:hAnsi="Calibri"/>
          <w:rtl/>
        </w:rPr>
      </w:pPr>
      <w:r w:rsidRPr="008F2306">
        <w:rPr>
          <w:rFonts w:ascii="Calibri" w:eastAsia="Calibri" w:hAnsi="Calibri"/>
          <w:rtl/>
        </w:rPr>
        <w:t>18 חודשי מאסר על תנאי שלא יעבור במשך שלוש שנים עבירה</w:t>
      </w:r>
      <w:r w:rsidR="000A6CF3">
        <w:rPr>
          <w:rFonts w:ascii="Calibri" w:eastAsia="Calibri" w:hAnsi="Calibri"/>
          <w:rtl/>
        </w:rPr>
        <w:t xml:space="preserve"> </w:t>
      </w:r>
      <w:r w:rsidRPr="008F2306">
        <w:rPr>
          <w:rFonts w:ascii="Calibri" w:eastAsia="Calibri" w:hAnsi="Calibri"/>
          <w:rtl/>
        </w:rPr>
        <w:t xml:space="preserve">על </w:t>
      </w:r>
      <w:hyperlink r:id="rId59" w:history="1">
        <w:r w:rsidR="00A12A5C" w:rsidRPr="00A12A5C">
          <w:rPr>
            <w:rStyle w:val="Hyperlink"/>
            <w:rFonts w:ascii="Calibri" w:eastAsia="Calibri" w:hAnsi="Calibri" w:hint="cs"/>
            <w:rtl/>
          </w:rPr>
          <w:t>סעיף</w:t>
        </w:r>
        <w:r w:rsidR="00A12A5C" w:rsidRPr="00A12A5C">
          <w:rPr>
            <w:rStyle w:val="Hyperlink"/>
            <w:rFonts w:ascii="Calibri" w:eastAsia="Calibri" w:hAnsi="Calibri"/>
            <w:rtl/>
          </w:rPr>
          <w:t xml:space="preserve"> 144</w:t>
        </w:r>
      </w:hyperlink>
      <w:r w:rsidRPr="008F2306">
        <w:rPr>
          <w:rFonts w:ascii="Calibri" w:eastAsia="Calibri" w:hAnsi="Calibri"/>
          <w:rtl/>
        </w:rPr>
        <w:t xml:space="preserve"> (עבירות בנשק) ל</w:t>
      </w:r>
      <w:hyperlink r:id="rId60" w:history="1">
        <w:r w:rsidR="000A6CF3" w:rsidRPr="000A6CF3">
          <w:rPr>
            <w:rFonts w:ascii="Calibri" w:eastAsia="Calibri" w:hAnsi="Calibri" w:hint="cs"/>
            <w:color w:val="0000FF"/>
            <w:u w:val="single"/>
            <w:rtl/>
          </w:rPr>
          <w:t>חוק</w:t>
        </w:r>
        <w:r w:rsidR="000A6CF3" w:rsidRPr="000A6CF3">
          <w:rPr>
            <w:rFonts w:ascii="Calibri" w:eastAsia="Calibri" w:hAnsi="Calibri"/>
            <w:color w:val="0000FF"/>
            <w:u w:val="single"/>
            <w:rtl/>
          </w:rPr>
          <w:t xml:space="preserve"> </w:t>
        </w:r>
        <w:r w:rsidR="000A6CF3" w:rsidRPr="000A6CF3">
          <w:rPr>
            <w:rFonts w:ascii="Calibri" w:eastAsia="Calibri" w:hAnsi="Calibri" w:hint="cs"/>
            <w:color w:val="0000FF"/>
            <w:u w:val="single"/>
            <w:rtl/>
          </w:rPr>
          <w:t>העונשין</w:t>
        </w:r>
      </w:hyperlink>
      <w:r w:rsidRPr="008F2306">
        <w:rPr>
          <w:rFonts w:ascii="Calibri" w:eastAsia="Calibri" w:hAnsi="Calibri" w:hint="cs"/>
          <w:rtl/>
        </w:rPr>
        <w:t>.</w:t>
      </w:r>
      <w:r w:rsidRPr="008F2306">
        <w:rPr>
          <w:rFonts w:ascii="Calibri" w:eastAsia="Calibri" w:hAnsi="Calibri"/>
          <w:rtl/>
        </w:rPr>
        <w:t xml:space="preserve">  </w:t>
      </w:r>
    </w:p>
    <w:p w14:paraId="2E1B7DA7" w14:textId="77777777" w:rsidR="00E106C2" w:rsidRPr="008F2306" w:rsidRDefault="00E106C2" w:rsidP="00E106C2">
      <w:pPr>
        <w:pStyle w:val="a9"/>
        <w:numPr>
          <w:ilvl w:val="0"/>
          <w:numId w:val="1"/>
        </w:numPr>
        <w:spacing w:after="200" w:line="360" w:lineRule="auto"/>
        <w:jc w:val="both"/>
        <w:rPr>
          <w:rFonts w:ascii="Calibri" w:eastAsia="Calibri" w:hAnsi="Calibri"/>
          <w:rtl/>
        </w:rPr>
      </w:pPr>
      <w:r w:rsidRPr="008F2306">
        <w:rPr>
          <w:rFonts w:ascii="Calibri" w:eastAsia="Calibri" w:hAnsi="Calibri"/>
          <w:rtl/>
        </w:rPr>
        <w:t>קנס בסך של 25000 ₪ שישולם ב - 12 תשלומים שווים החל ביום 1.1.23.</w:t>
      </w:r>
    </w:p>
    <w:p w14:paraId="6FB04037" w14:textId="77777777" w:rsidR="00E106C2" w:rsidRPr="008A0E93" w:rsidRDefault="00E106C2" w:rsidP="00E106C2">
      <w:pPr>
        <w:spacing w:after="200" w:line="360" w:lineRule="auto"/>
        <w:jc w:val="both"/>
        <w:rPr>
          <w:rFonts w:ascii="Calibri" w:eastAsia="Calibri" w:hAnsi="Calibri"/>
          <w:b/>
          <w:bCs/>
          <w:rtl/>
        </w:rPr>
      </w:pPr>
      <w:r w:rsidRPr="008A0E93">
        <w:rPr>
          <w:rFonts w:ascii="Calibri" w:eastAsia="Calibri" w:hAnsi="Calibri"/>
          <w:b/>
          <w:bCs/>
          <w:rtl/>
        </w:rPr>
        <w:t xml:space="preserve">כפי שהומלץ במסגרתו של תסקיר שירות המבחן, אבקש משב"ס לבחון את התאמתו של הנאשם לטיפול במסגרת בית המאסר. </w:t>
      </w:r>
    </w:p>
    <w:p w14:paraId="579C61EF" w14:textId="77777777" w:rsidR="00E106C2" w:rsidRPr="008A0E93" w:rsidRDefault="00E106C2" w:rsidP="00E106C2">
      <w:pPr>
        <w:spacing w:after="200" w:line="360" w:lineRule="auto"/>
        <w:jc w:val="both"/>
        <w:rPr>
          <w:rFonts w:ascii="Calibri" w:eastAsia="Calibri" w:hAnsi="Calibri"/>
          <w:b/>
          <w:bCs/>
          <w:sz w:val="22"/>
          <w:szCs w:val="22"/>
          <w:rtl/>
        </w:rPr>
      </w:pPr>
      <w:r w:rsidRPr="008A0E93">
        <w:rPr>
          <w:rFonts w:ascii="Calibri" w:eastAsia="Calibri" w:hAnsi="Calibri"/>
          <w:b/>
          <w:bCs/>
          <w:rtl/>
        </w:rPr>
        <w:t xml:space="preserve">זכות ערעור כחוק. </w:t>
      </w:r>
    </w:p>
    <w:p w14:paraId="2565F3A7" w14:textId="77777777" w:rsidR="00E106C2" w:rsidRPr="000F2247" w:rsidRDefault="000A6CF3" w:rsidP="00E106C2">
      <w:pPr>
        <w:rPr>
          <w:rFonts w:ascii="Arial" w:hAnsi="Arial"/>
          <w:b/>
          <w:bCs/>
          <w:sz w:val="26"/>
          <w:szCs w:val="26"/>
          <w:rtl/>
        </w:rPr>
      </w:pPr>
      <w:bookmarkStart w:id="7" w:name="Nitan"/>
      <w:r>
        <w:rPr>
          <w:rFonts w:ascii="Arial" w:hAnsi="Arial"/>
          <w:b/>
          <w:bCs/>
          <w:rtl/>
        </w:rPr>
        <w:t xml:space="preserve">ניתן היום,  כ"ג תשרי תשפ"ג, 18 אוקטובר 2022, במעמד הצדדים. </w:t>
      </w:r>
      <w:bookmarkEnd w:id="7"/>
    </w:p>
    <w:p w14:paraId="534121BD" w14:textId="77777777" w:rsidR="00E106C2" w:rsidRDefault="00E106C2" w:rsidP="00E106C2">
      <w:pPr>
        <w:rPr>
          <w:rFonts w:ascii="David" w:hAnsi="David"/>
          <w:sz w:val="26"/>
          <w:szCs w:val="26"/>
        </w:rP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4B821DC" w14:textId="77777777" w:rsidR="00E106C2" w:rsidRPr="000A6CF3" w:rsidRDefault="000A6CF3" w:rsidP="00E106C2">
      <w:pPr>
        <w:rPr>
          <w:rFonts w:ascii="David" w:hAnsi="David"/>
          <w:color w:val="FFFFFF"/>
          <w:sz w:val="2"/>
          <w:szCs w:val="2"/>
          <w:rtl/>
        </w:rPr>
      </w:pPr>
      <w:r w:rsidRPr="000A6CF3">
        <w:rPr>
          <w:rFonts w:ascii="David" w:hAnsi="David"/>
          <w:color w:val="FFFFFF"/>
          <w:sz w:val="2"/>
          <w:szCs w:val="2"/>
          <w:rtl/>
        </w:rPr>
        <w:t>5129371</w:t>
      </w:r>
    </w:p>
    <w:p w14:paraId="26F7B25D" w14:textId="77777777" w:rsidR="00E106C2" w:rsidRPr="000A6CF3" w:rsidRDefault="000A6CF3" w:rsidP="000A6CF3">
      <w:pPr>
        <w:jc w:val="center"/>
        <w:rPr>
          <w:color w:val="FFFFFF"/>
          <w:sz w:val="2"/>
          <w:szCs w:val="2"/>
        </w:rPr>
      </w:pPr>
      <w:r w:rsidRPr="000A6CF3">
        <w:rPr>
          <w:rFonts w:ascii="David" w:hAnsi="David"/>
          <w:color w:val="FFFFFF"/>
          <w:sz w:val="2"/>
          <w:szCs w:val="2"/>
          <w:rtl/>
        </w:rPr>
        <w:t>54678313</w:t>
      </w:r>
      <w:r w:rsidR="00E106C2" w:rsidRPr="000A6CF3">
        <w:rPr>
          <w:rFonts w:ascii="David" w:hAnsi="David"/>
          <w:color w:val="FFFFFF"/>
          <w:sz w:val="2"/>
          <w:szCs w:val="2"/>
          <w:rtl/>
        </w:rPr>
        <w:t xml:space="preserve">   </w:t>
      </w:r>
      <w:r w:rsidR="00E106C2" w:rsidRPr="000A6CF3">
        <w:rPr>
          <w:rFonts w:ascii="David" w:hAnsi="David"/>
          <w:color w:val="FFFFFF"/>
          <w:sz w:val="2"/>
          <w:szCs w:val="2"/>
          <w:rtl/>
        </w:rPr>
        <w:tab/>
      </w:r>
      <w:r w:rsidR="00E106C2" w:rsidRPr="000A6CF3">
        <w:rPr>
          <w:rFonts w:ascii="David" w:hAnsi="David"/>
          <w:color w:val="FFFFFF"/>
          <w:sz w:val="2"/>
          <w:szCs w:val="2"/>
          <w:rtl/>
        </w:rPr>
        <w:tab/>
      </w:r>
      <w:r w:rsidR="00E106C2" w:rsidRPr="000A6CF3">
        <w:rPr>
          <w:rFonts w:ascii="David" w:hAnsi="David"/>
          <w:color w:val="FFFFFF"/>
          <w:sz w:val="2"/>
          <w:szCs w:val="2"/>
          <w:rtl/>
        </w:rPr>
        <w:tab/>
      </w:r>
      <w:r w:rsidR="00E106C2" w:rsidRPr="000A6CF3">
        <w:rPr>
          <w:rFonts w:ascii="David" w:hAnsi="David"/>
          <w:color w:val="FFFFFF"/>
          <w:sz w:val="2"/>
          <w:szCs w:val="2"/>
          <w:rtl/>
        </w:rPr>
        <w:tab/>
      </w:r>
      <w:r w:rsidR="00E106C2" w:rsidRPr="000A6CF3">
        <w:rPr>
          <w:rFonts w:ascii="David" w:hAnsi="David"/>
          <w:color w:val="FFFFFF"/>
          <w:sz w:val="2"/>
          <w:szCs w:val="2"/>
          <w:rtl/>
        </w:rPr>
        <w:tab/>
      </w:r>
    </w:p>
    <w:p w14:paraId="07827188" w14:textId="77777777" w:rsidR="00E106C2" w:rsidRDefault="00E106C2" w:rsidP="00E106C2">
      <w:pPr>
        <w:jc w:val="center"/>
        <w:rPr>
          <w:rtl/>
        </w:rPr>
      </w:pPr>
    </w:p>
    <w:p w14:paraId="324A166B" w14:textId="77777777" w:rsidR="00E106C2" w:rsidRDefault="00E106C2" w:rsidP="00E106C2">
      <w:pPr>
        <w:jc w:val="center"/>
        <w:rPr>
          <w:rFonts w:ascii="David" w:hAnsi="David"/>
          <w:sz w:val="26"/>
          <w:szCs w:val="26"/>
        </w:rPr>
      </w:pPr>
    </w:p>
    <w:p w14:paraId="5F4AE08F" w14:textId="77777777" w:rsidR="00E106C2" w:rsidRPr="008C75B7" w:rsidRDefault="00E106C2" w:rsidP="00E106C2"/>
    <w:p w14:paraId="5695B80C" w14:textId="77777777" w:rsidR="00E106C2" w:rsidRPr="000F2247" w:rsidRDefault="00E106C2" w:rsidP="00E106C2">
      <w:pPr>
        <w:jc w:val="center"/>
        <w:rPr>
          <w:rFonts w:ascii="Arial" w:hAnsi="Arial"/>
          <w:b/>
          <w:bCs/>
          <w:sz w:val="26"/>
          <w:szCs w:val="26"/>
          <w:rtl/>
        </w:rPr>
      </w:pPr>
    </w:p>
    <w:p w14:paraId="48C285FE" w14:textId="77777777" w:rsidR="00826EB7" w:rsidRPr="000A6CF3" w:rsidRDefault="00826EB7" w:rsidP="000A6CF3">
      <w:pPr>
        <w:keepNext/>
        <w:rPr>
          <w:rFonts w:ascii="David" w:hAnsi="David"/>
          <w:color w:val="000000"/>
          <w:sz w:val="22"/>
          <w:szCs w:val="22"/>
          <w:rtl/>
        </w:rPr>
      </w:pPr>
    </w:p>
    <w:p w14:paraId="699B2EBF" w14:textId="77777777" w:rsidR="000A6CF3" w:rsidRPr="000A6CF3" w:rsidRDefault="000A6CF3" w:rsidP="000A6CF3">
      <w:pPr>
        <w:keepNext/>
        <w:rPr>
          <w:rFonts w:ascii="David" w:hAnsi="David"/>
          <w:color w:val="000000"/>
          <w:sz w:val="22"/>
          <w:szCs w:val="22"/>
          <w:rtl/>
        </w:rPr>
      </w:pPr>
      <w:r w:rsidRPr="000A6CF3">
        <w:rPr>
          <w:rFonts w:ascii="David" w:hAnsi="David"/>
          <w:color w:val="000000"/>
          <w:sz w:val="22"/>
          <w:szCs w:val="22"/>
          <w:rtl/>
        </w:rPr>
        <w:t>אבי לוי 54678313</w:t>
      </w:r>
    </w:p>
    <w:p w14:paraId="015D4E8D" w14:textId="77777777" w:rsidR="000A6CF3" w:rsidRDefault="000A6CF3" w:rsidP="000A6CF3">
      <w:r w:rsidRPr="000A6CF3">
        <w:rPr>
          <w:color w:val="000000"/>
          <w:rtl/>
        </w:rPr>
        <w:t>נוסח מסמך זה כפוף לשינויי ניסוח ועריכה</w:t>
      </w:r>
    </w:p>
    <w:p w14:paraId="739B1FAE" w14:textId="77777777" w:rsidR="000A6CF3" w:rsidRDefault="000A6CF3" w:rsidP="000A6CF3">
      <w:pPr>
        <w:rPr>
          <w:rtl/>
        </w:rPr>
      </w:pPr>
    </w:p>
    <w:p w14:paraId="211B59B7" w14:textId="77777777" w:rsidR="000A6CF3" w:rsidRDefault="000A6CF3" w:rsidP="000A6CF3">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314D781B" w14:textId="77777777" w:rsidR="000A6CF3" w:rsidRPr="000A6CF3" w:rsidRDefault="000A6CF3" w:rsidP="000A6CF3">
      <w:pPr>
        <w:jc w:val="center"/>
        <w:rPr>
          <w:color w:val="0000FF"/>
          <w:u w:val="single"/>
        </w:rPr>
      </w:pPr>
    </w:p>
    <w:sectPr w:rsidR="000A6CF3" w:rsidRPr="000A6CF3" w:rsidSect="000A6CF3">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B0AA9" w14:textId="77777777" w:rsidR="003844B2" w:rsidRDefault="003844B2" w:rsidP="00CE14B0">
      <w:r>
        <w:separator/>
      </w:r>
    </w:p>
  </w:endnote>
  <w:endnote w:type="continuationSeparator" w:id="0">
    <w:p w14:paraId="1DDD9DE3" w14:textId="77777777" w:rsidR="003844B2" w:rsidRDefault="003844B2" w:rsidP="00CE1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D7DB4" w14:textId="77777777" w:rsidR="000A6CF3" w:rsidRDefault="000A6CF3" w:rsidP="000A6C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4C4BE4" w14:textId="77777777" w:rsidR="00245DF1" w:rsidRPr="000A6CF3" w:rsidRDefault="000A6CF3" w:rsidP="000A6CF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8D958" w14:textId="77777777" w:rsidR="000A6CF3" w:rsidRDefault="000A6CF3" w:rsidP="000A6C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5F58">
      <w:rPr>
        <w:rFonts w:ascii="FrankRuehl" w:hAnsi="FrankRuehl" w:cs="FrankRuehl"/>
        <w:noProof/>
        <w:rtl/>
      </w:rPr>
      <w:t>2</w:t>
    </w:r>
    <w:r>
      <w:rPr>
        <w:rFonts w:ascii="FrankRuehl" w:hAnsi="FrankRuehl" w:cs="FrankRuehl"/>
        <w:rtl/>
      </w:rPr>
      <w:fldChar w:fldCharType="end"/>
    </w:r>
  </w:p>
  <w:p w14:paraId="31A6FB22" w14:textId="77777777" w:rsidR="00245DF1" w:rsidRPr="000A6CF3" w:rsidRDefault="000A6CF3" w:rsidP="000A6CF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3CCB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6A1A5" w14:textId="77777777" w:rsidR="003844B2" w:rsidRDefault="003844B2" w:rsidP="00CE14B0">
      <w:r>
        <w:separator/>
      </w:r>
    </w:p>
  </w:footnote>
  <w:footnote w:type="continuationSeparator" w:id="0">
    <w:p w14:paraId="3222B337" w14:textId="77777777" w:rsidR="003844B2" w:rsidRDefault="003844B2" w:rsidP="00CE1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DBCCA" w14:textId="77777777" w:rsidR="000A6CF3" w:rsidRPr="000A6CF3" w:rsidRDefault="000A6CF3" w:rsidP="000A6CF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52188-03-22</w:t>
    </w:r>
    <w:r>
      <w:rPr>
        <w:rFonts w:ascii="David" w:hAnsi="David"/>
        <w:color w:val="000000"/>
        <w:sz w:val="22"/>
        <w:szCs w:val="22"/>
        <w:rtl/>
      </w:rPr>
      <w:tab/>
      <w:t xml:space="preserve"> מדינת ישראל נ' מוחמד כבהה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87762" w14:textId="77777777" w:rsidR="000A6CF3" w:rsidRPr="000A6CF3" w:rsidRDefault="000A6CF3" w:rsidP="000A6CF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52188-03-22</w:t>
    </w:r>
    <w:r>
      <w:rPr>
        <w:rFonts w:ascii="David" w:hAnsi="David"/>
        <w:color w:val="000000"/>
        <w:sz w:val="22"/>
        <w:szCs w:val="22"/>
        <w:rtl/>
      </w:rPr>
      <w:tab/>
      <w:t xml:space="preserve"> מדינת ישראל נ' מוחמד כבהה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C33D0"/>
    <w:multiLevelType w:val="hybridMultilevel"/>
    <w:tmpl w:val="CBD648B0"/>
    <w:lvl w:ilvl="0" w:tplc="570CFC68">
      <w:start w:val="1"/>
      <w:numFmt w:val="hebrew1"/>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06141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06C2"/>
    <w:rsid w:val="00033F62"/>
    <w:rsid w:val="000A6CF3"/>
    <w:rsid w:val="000E0DF1"/>
    <w:rsid w:val="001B5A3B"/>
    <w:rsid w:val="001C5F58"/>
    <w:rsid w:val="00245DF1"/>
    <w:rsid w:val="003844B2"/>
    <w:rsid w:val="004535CA"/>
    <w:rsid w:val="005A7115"/>
    <w:rsid w:val="00826EB7"/>
    <w:rsid w:val="00A12A5C"/>
    <w:rsid w:val="00B5641B"/>
    <w:rsid w:val="00CE14B0"/>
    <w:rsid w:val="00E106C2"/>
    <w:rsid w:val="00F67A7F"/>
    <w:rsid w:val="00F971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6F732B"/>
  <w15:chartTrackingRefBased/>
  <w15:docId w15:val="{81DD891C-78D0-4C76-9AEA-505C5328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06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06C2"/>
    <w:pPr>
      <w:tabs>
        <w:tab w:val="center" w:pos="4153"/>
        <w:tab w:val="right" w:pos="8306"/>
      </w:tabs>
    </w:pPr>
  </w:style>
  <w:style w:type="character" w:customStyle="1" w:styleId="a4">
    <w:name w:val="כותרת עליונה תו"/>
    <w:link w:val="a3"/>
    <w:rsid w:val="00E106C2"/>
    <w:rPr>
      <w:rFonts w:ascii="Times New Roman" w:eastAsia="Times New Roman" w:hAnsi="Times New Roman" w:cs="David"/>
      <w:sz w:val="24"/>
      <w:szCs w:val="24"/>
    </w:rPr>
  </w:style>
  <w:style w:type="paragraph" w:styleId="a5">
    <w:name w:val="footer"/>
    <w:basedOn w:val="a"/>
    <w:link w:val="a6"/>
    <w:rsid w:val="00E106C2"/>
    <w:pPr>
      <w:tabs>
        <w:tab w:val="center" w:pos="4153"/>
        <w:tab w:val="right" w:pos="8306"/>
      </w:tabs>
    </w:pPr>
  </w:style>
  <w:style w:type="character" w:customStyle="1" w:styleId="a6">
    <w:name w:val="כותרת תחתונה תו"/>
    <w:link w:val="a5"/>
    <w:rsid w:val="00E106C2"/>
    <w:rPr>
      <w:rFonts w:ascii="Times New Roman" w:eastAsia="Times New Roman" w:hAnsi="Times New Roman" w:cs="David"/>
      <w:sz w:val="24"/>
      <w:szCs w:val="24"/>
    </w:rPr>
  </w:style>
  <w:style w:type="table" w:styleId="a7">
    <w:name w:val="Table Grid"/>
    <w:basedOn w:val="a1"/>
    <w:rsid w:val="00E106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106C2"/>
  </w:style>
  <w:style w:type="paragraph" w:styleId="a9">
    <w:name w:val="List Paragraph"/>
    <w:basedOn w:val="a"/>
    <w:qFormat/>
    <w:rsid w:val="00E106C2"/>
    <w:pPr>
      <w:ind w:left="720"/>
      <w:contextualSpacing/>
    </w:pPr>
  </w:style>
  <w:style w:type="character" w:styleId="Hyperlink">
    <w:name w:val="Hyperlink"/>
    <w:rsid w:val="000A6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law/70301/144.a" TargetMode="External"/><Relationship Id="rId42" Type="http://schemas.openxmlformats.org/officeDocument/2006/relationships/hyperlink" Target="http://www.nevo.co.il/law/70301/40jc.a"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27734980" TargetMode="External"/><Relationship Id="rId55" Type="http://schemas.openxmlformats.org/officeDocument/2006/relationships/hyperlink" Target="http://www.nevo.co.il/case/21474168"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fCa(1)S"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144.b2.;144.c1" TargetMode="External"/><Relationship Id="rId32" Type="http://schemas.openxmlformats.org/officeDocument/2006/relationships/hyperlink" Target="http://www.nevo.co.il/law/70301/29" TargetMode="External"/><Relationship Id="rId37" Type="http://schemas.openxmlformats.org/officeDocument/2006/relationships/hyperlink" Target="http://www.nevo.co.il/case/26630169" TargetMode="External"/><Relationship Id="rId40" Type="http://schemas.openxmlformats.org/officeDocument/2006/relationships/hyperlink" Target="http://www.nevo.co.il/case/13093721"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8883087" TargetMode="External"/><Relationship Id="rId58" Type="http://schemas.openxmlformats.org/officeDocument/2006/relationships/hyperlink" Target="http://www.nevo.co.il/law/70301/40g"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144.c1"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law/70301/144.b"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5430243" TargetMode="External"/><Relationship Id="rId56" Type="http://schemas.openxmlformats.org/officeDocument/2006/relationships/hyperlink" Target="http://www.nevo.co.il/case/28266128" TargetMode="External"/><Relationship Id="rId64"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case/17954235"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fCa(1)S" TargetMode="External"/><Relationship Id="rId46" Type="http://schemas.openxmlformats.org/officeDocument/2006/relationships/hyperlink" Target="http://www.nevo.co.il/case/25824863" TargetMode="External"/><Relationship Id="rId59" Type="http://schemas.openxmlformats.org/officeDocument/2006/relationships/hyperlink" Target="http://www.nevo.co.il/law/70301/144" TargetMode="External"/><Relationship Id="rId67" Type="http://schemas.openxmlformats.org/officeDocument/2006/relationships/theme" Target="theme/theme1.xml"/><Relationship Id="rId20" Type="http://schemas.openxmlformats.org/officeDocument/2006/relationships/hyperlink" Target="http://www.nevo.co.il/law/70301/144.a" TargetMode="External"/><Relationship Id="rId41" Type="http://schemas.openxmlformats.org/officeDocument/2006/relationships/hyperlink" Target="http://www.nevo.co.il/case/5576587" TargetMode="External"/><Relationship Id="rId54" Type="http://schemas.openxmlformats.org/officeDocument/2006/relationships/hyperlink" Target="http://www.nevo.co.il/case/28697227"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29" TargetMode="External"/><Relationship Id="rId49" Type="http://schemas.openxmlformats.org/officeDocument/2006/relationships/hyperlink" Target="http://www.nevo.co.il/case/26538254" TargetMode="External"/><Relationship Id="rId57" Type="http://schemas.openxmlformats.org/officeDocument/2006/relationships/hyperlink" Target="http://www.nevo.co.il/case/27894608" TargetMode="External"/><Relationship Id="rId10" Type="http://schemas.openxmlformats.org/officeDocument/2006/relationships/hyperlink" Target="http://www.nevo.co.il/law/70301/144" TargetMode="External"/><Relationship Id="rId31" Type="http://schemas.openxmlformats.org/officeDocument/2006/relationships/hyperlink" Target="http://www.nevo.co.il/law/70301/144.c1" TargetMode="External"/><Relationship Id="rId44" Type="http://schemas.openxmlformats.org/officeDocument/2006/relationships/hyperlink" Target="http://www.nevo.co.il/law/70301/144.b2" TargetMode="External"/><Relationship Id="rId52" Type="http://schemas.openxmlformats.org/officeDocument/2006/relationships/hyperlink" Target="http://www.nevo.co.il/case/5598421" TargetMode="External"/><Relationship Id="rId60" Type="http://schemas.openxmlformats.org/officeDocument/2006/relationships/hyperlink" Target="http://www.nevo.co.il/law/70301"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g"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29"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3679</Words>
  <Characters>18397</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22032</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6357092</vt:i4>
      </vt:variant>
      <vt:variant>
        <vt:i4>156</vt:i4>
      </vt:variant>
      <vt:variant>
        <vt:i4>0</vt:i4>
      </vt:variant>
      <vt:variant>
        <vt:i4>5</vt:i4>
      </vt:variant>
      <vt:variant>
        <vt:lpwstr>http://www.nevo.co.il/law/70301/144</vt:lpwstr>
      </vt:variant>
      <vt:variant>
        <vt:lpwstr/>
      </vt:variant>
      <vt:variant>
        <vt:i4>6619233</vt:i4>
      </vt:variant>
      <vt:variant>
        <vt:i4>153</vt:i4>
      </vt:variant>
      <vt:variant>
        <vt:i4>0</vt:i4>
      </vt:variant>
      <vt:variant>
        <vt:i4>5</vt:i4>
      </vt:variant>
      <vt:variant>
        <vt:lpwstr>http://www.nevo.co.il/law/70301/40g</vt:lpwstr>
      </vt:variant>
      <vt:variant>
        <vt:lpwstr/>
      </vt:variant>
      <vt:variant>
        <vt:i4>4063356</vt:i4>
      </vt:variant>
      <vt:variant>
        <vt:i4>150</vt:i4>
      </vt:variant>
      <vt:variant>
        <vt:i4>0</vt:i4>
      </vt:variant>
      <vt:variant>
        <vt:i4>5</vt:i4>
      </vt:variant>
      <vt:variant>
        <vt:lpwstr>http://www.nevo.co.il/case/27894608</vt:lpwstr>
      </vt:variant>
      <vt:variant>
        <vt:lpwstr/>
      </vt:variant>
      <vt:variant>
        <vt:i4>3407995</vt:i4>
      </vt:variant>
      <vt:variant>
        <vt:i4>147</vt:i4>
      </vt:variant>
      <vt:variant>
        <vt:i4>0</vt:i4>
      </vt:variant>
      <vt:variant>
        <vt:i4>5</vt:i4>
      </vt:variant>
      <vt:variant>
        <vt:lpwstr>http://www.nevo.co.il/case/28266128</vt:lpwstr>
      </vt:variant>
      <vt:variant>
        <vt:lpwstr/>
      </vt:variant>
      <vt:variant>
        <vt:i4>3407987</vt:i4>
      </vt:variant>
      <vt:variant>
        <vt:i4>144</vt:i4>
      </vt:variant>
      <vt:variant>
        <vt:i4>0</vt:i4>
      </vt:variant>
      <vt:variant>
        <vt:i4>5</vt:i4>
      </vt:variant>
      <vt:variant>
        <vt:lpwstr>http://www.nevo.co.il/case/21474168</vt:lpwstr>
      </vt:variant>
      <vt:variant>
        <vt:lpwstr/>
      </vt:variant>
      <vt:variant>
        <vt:i4>3211383</vt:i4>
      </vt:variant>
      <vt:variant>
        <vt:i4>141</vt:i4>
      </vt:variant>
      <vt:variant>
        <vt:i4>0</vt:i4>
      </vt:variant>
      <vt:variant>
        <vt:i4>5</vt:i4>
      </vt:variant>
      <vt:variant>
        <vt:lpwstr>http://www.nevo.co.il/case/28697227</vt:lpwstr>
      </vt:variant>
      <vt:variant>
        <vt:lpwstr/>
      </vt:variant>
      <vt:variant>
        <vt:i4>3211380</vt:i4>
      </vt:variant>
      <vt:variant>
        <vt:i4>138</vt:i4>
      </vt:variant>
      <vt:variant>
        <vt:i4>0</vt:i4>
      </vt:variant>
      <vt:variant>
        <vt:i4>5</vt:i4>
      </vt:variant>
      <vt:variant>
        <vt:lpwstr>http://www.nevo.co.il/case/28883087</vt:lpwstr>
      </vt:variant>
      <vt:variant>
        <vt:lpwstr/>
      </vt:variant>
      <vt:variant>
        <vt:i4>3735675</vt:i4>
      </vt:variant>
      <vt:variant>
        <vt:i4>135</vt:i4>
      </vt:variant>
      <vt:variant>
        <vt:i4>0</vt:i4>
      </vt:variant>
      <vt:variant>
        <vt:i4>5</vt:i4>
      </vt:variant>
      <vt:variant>
        <vt:lpwstr>http://www.nevo.co.il/case/5598421</vt:lpwstr>
      </vt:variant>
      <vt:variant>
        <vt:lpwstr/>
      </vt:variant>
      <vt:variant>
        <vt:i4>4128884</vt:i4>
      </vt:variant>
      <vt:variant>
        <vt:i4>132</vt:i4>
      </vt:variant>
      <vt:variant>
        <vt:i4>0</vt:i4>
      </vt:variant>
      <vt:variant>
        <vt:i4>5</vt:i4>
      </vt:variant>
      <vt:variant>
        <vt:lpwstr>http://www.nevo.co.il/case/17954235</vt:lpwstr>
      </vt:variant>
      <vt:variant>
        <vt:lpwstr/>
      </vt:variant>
      <vt:variant>
        <vt:i4>3735673</vt:i4>
      </vt:variant>
      <vt:variant>
        <vt:i4>129</vt:i4>
      </vt:variant>
      <vt:variant>
        <vt:i4>0</vt:i4>
      </vt:variant>
      <vt:variant>
        <vt:i4>5</vt:i4>
      </vt:variant>
      <vt:variant>
        <vt:lpwstr>http://www.nevo.co.il/case/27734980</vt:lpwstr>
      </vt:variant>
      <vt:variant>
        <vt:lpwstr/>
      </vt:variant>
      <vt:variant>
        <vt:i4>3801203</vt:i4>
      </vt:variant>
      <vt:variant>
        <vt:i4>126</vt:i4>
      </vt:variant>
      <vt:variant>
        <vt:i4>0</vt:i4>
      </vt:variant>
      <vt:variant>
        <vt:i4>5</vt:i4>
      </vt:variant>
      <vt:variant>
        <vt:lpwstr>http://www.nevo.co.il/case/26538254</vt:lpwstr>
      </vt:variant>
      <vt:variant>
        <vt:lpwstr/>
      </vt:variant>
      <vt:variant>
        <vt:i4>3276912</vt:i4>
      </vt:variant>
      <vt:variant>
        <vt:i4>123</vt:i4>
      </vt:variant>
      <vt:variant>
        <vt:i4>0</vt:i4>
      </vt:variant>
      <vt:variant>
        <vt:i4>5</vt:i4>
      </vt:variant>
      <vt:variant>
        <vt:lpwstr>http://www.nevo.co.il/case/25430243</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3670139</vt:i4>
      </vt:variant>
      <vt:variant>
        <vt:i4>117</vt:i4>
      </vt:variant>
      <vt:variant>
        <vt:i4>0</vt:i4>
      </vt:variant>
      <vt:variant>
        <vt:i4>5</vt:i4>
      </vt:variant>
      <vt:variant>
        <vt:lpwstr>http://www.nevo.co.il/case/25824863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8192050</vt:i4>
      </vt:variant>
      <vt:variant>
        <vt:i4>111</vt:i4>
      </vt:variant>
      <vt:variant>
        <vt:i4>0</vt:i4>
      </vt:variant>
      <vt:variant>
        <vt:i4>5</vt:i4>
      </vt:variant>
      <vt:variant>
        <vt:lpwstr>http://www.nevo.co.il/law/70301/144.b2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6750245</vt:i4>
      </vt:variant>
      <vt:variant>
        <vt:i4>105</vt:i4>
      </vt:variant>
      <vt:variant>
        <vt:i4>0</vt:i4>
      </vt:variant>
      <vt:variant>
        <vt:i4>5</vt:i4>
      </vt:variant>
      <vt:variant>
        <vt:lpwstr>http://www.nevo.co.il/law/70301/40jc.a</vt:lpwstr>
      </vt:variant>
      <vt:variant>
        <vt:lpwstr/>
      </vt:variant>
      <vt:variant>
        <vt:i4>3145855</vt:i4>
      </vt:variant>
      <vt:variant>
        <vt:i4>102</vt:i4>
      </vt:variant>
      <vt:variant>
        <vt:i4>0</vt:i4>
      </vt:variant>
      <vt:variant>
        <vt:i4>5</vt:i4>
      </vt:variant>
      <vt:variant>
        <vt:lpwstr>http://www.nevo.co.il/case/5576587</vt:lpwstr>
      </vt:variant>
      <vt:variant>
        <vt:lpwstr/>
      </vt:variant>
      <vt:variant>
        <vt:i4>3145849</vt:i4>
      </vt:variant>
      <vt:variant>
        <vt:i4>99</vt:i4>
      </vt:variant>
      <vt:variant>
        <vt:i4>0</vt:i4>
      </vt:variant>
      <vt:variant>
        <vt:i4>5</vt:i4>
      </vt:variant>
      <vt:variant>
        <vt:lpwstr>http://www.nevo.co.il/case/13093721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3604579</vt:i4>
      </vt:variant>
      <vt:variant>
        <vt:i4>93</vt:i4>
      </vt:variant>
      <vt:variant>
        <vt:i4>0</vt:i4>
      </vt:variant>
      <vt:variant>
        <vt:i4>5</vt:i4>
      </vt:variant>
      <vt:variant>
        <vt:lpwstr>http://www.nevo.co.il/law/70301/fCa(1)S</vt:lpwstr>
      </vt:variant>
      <vt:variant>
        <vt:lpwstr/>
      </vt:variant>
      <vt:variant>
        <vt:i4>3276912</vt:i4>
      </vt:variant>
      <vt:variant>
        <vt:i4>90</vt:i4>
      </vt:variant>
      <vt:variant>
        <vt:i4>0</vt:i4>
      </vt:variant>
      <vt:variant>
        <vt:i4>5</vt:i4>
      </vt:variant>
      <vt:variant>
        <vt:lpwstr>http://www.nevo.co.il/case/26630169</vt:lpwstr>
      </vt:variant>
      <vt:variant>
        <vt:lpwstr/>
      </vt:variant>
      <vt:variant>
        <vt:i4>7077991</vt:i4>
      </vt:variant>
      <vt:variant>
        <vt:i4>87</vt:i4>
      </vt:variant>
      <vt:variant>
        <vt:i4>0</vt:i4>
      </vt:variant>
      <vt:variant>
        <vt:i4>5</vt:i4>
      </vt:variant>
      <vt:variant>
        <vt:lpwstr>http://www.nevo.co.il/law/70301/29</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8257587</vt:i4>
      </vt:variant>
      <vt:variant>
        <vt:i4>72</vt:i4>
      </vt:variant>
      <vt:variant>
        <vt:i4>0</vt:i4>
      </vt:variant>
      <vt:variant>
        <vt:i4>5</vt:i4>
      </vt:variant>
      <vt:variant>
        <vt:lpwstr>http://www.nevo.co.il/law/70301/144.c1</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7143546</vt:i4>
      </vt:variant>
      <vt:variant>
        <vt:i4>51</vt:i4>
      </vt:variant>
      <vt:variant>
        <vt:i4>0</vt:i4>
      </vt:variant>
      <vt:variant>
        <vt:i4>5</vt:i4>
      </vt:variant>
      <vt:variant>
        <vt:lpwstr>http://www.nevo.co.il/law/70301/144.b2.;144.c1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3604579</vt:i4>
      </vt:variant>
      <vt:variant>
        <vt:i4>27</vt:i4>
      </vt:variant>
      <vt:variant>
        <vt:i4>0</vt:i4>
      </vt:variant>
      <vt:variant>
        <vt:i4>5</vt:i4>
      </vt:variant>
      <vt:variant>
        <vt:lpwstr>http://www.nevo.co.il/law/70301/fCa(1)S</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8257587</vt:i4>
      </vt:variant>
      <vt:variant>
        <vt:i4>21</vt:i4>
      </vt:variant>
      <vt:variant>
        <vt:i4>0</vt:i4>
      </vt:variant>
      <vt:variant>
        <vt:i4>5</vt:i4>
      </vt:variant>
      <vt:variant>
        <vt:lpwstr>http://www.nevo.co.il/law/70301/144.c1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2025-01-19T16:52:00Z</dcterms:created>
  <dcterms:modified xsi:type="dcterms:W3CDTF">2025-01-19T16:52:00Z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52188</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כבהה</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20221018</vt:lpwstr>
  </property>
  <property fmtid="{D5CDD505-2E9C-101B-9397-08002B2CF9AE}" pid="13" name="TYPE_N_DATE">
    <vt:lpwstr>39020221018</vt:lpwstr>
  </property>
  <property fmtid="{D5CDD505-2E9C-101B-9397-08002B2CF9AE}" pid="14" name="WORDNUMPAGES">
    <vt:lpwstr>9</vt:lpwstr>
  </property>
  <property fmtid="{D5CDD505-2E9C-101B-9397-08002B2CF9AE}" pid="15" name="TYPE_ABS_DATE">
    <vt:lpwstr>390020221018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26630169;13093721;5576587;25824863;25430243;26538254;27734980;17954235;5598421;28883087;28697227;21474168;28266128;27894608</vt:lpwstr>
  </property>
  <property fmtid="{D5CDD505-2E9C-101B-9397-08002B2CF9AE}" pid="36" name="LAWLISTTMP1">
    <vt:lpwstr>70301/144.b2:4;029:6;144.a:3;144.b:3;144.c1:2;fCa(1)S;40jc.a;040g;144</vt:lpwstr>
  </property>
</Properties>
</file>