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1AC5" w:rsidRPr="003575B0" w14:paraId="5CBB06A0" w14:textId="77777777" w:rsidTr="00553DC4">
        <w:trPr>
          <w:trHeight w:hRule="exact" w:val="418"/>
          <w:jc w:val="center"/>
        </w:trPr>
        <w:tc>
          <w:tcPr>
            <w:tcW w:w="8721" w:type="dxa"/>
            <w:gridSpan w:val="2"/>
          </w:tcPr>
          <w:p w14:paraId="1F320373" w14:textId="77777777" w:rsidR="00441AC5" w:rsidRPr="003575B0" w:rsidRDefault="00441AC5" w:rsidP="006C5B32">
            <w:pPr>
              <w:pStyle w:val="a3"/>
              <w:jc w:val="center"/>
              <w:rPr>
                <w:rFonts w:ascii="Tahoma" w:hAnsi="Tahoma" w:cs="Tahoma"/>
                <w:color w:val="000080"/>
                <w:rtl/>
              </w:rPr>
            </w:pPr>
            <w:bookmarkStart w:id="0" w:name="LastJudge"/>
            <w:r w:rsidRPr="003575B0">
              <w:rPr>
                <w:rFonts w:ascii="Tahoma" w:hAnsi="Tahoma" w:cs="Tahoma"/>
                <w:b/>
                <w:bCs/>
                <w:color w:val="000080"/>
                <w:rtl/>
              </w:rPr>
              <w:t>בית המשפט המחוזי בחיפה</w:t>
            </w:r>
          </w:p>
        </w:tc>
      </w:tr>
      <w:tr w:rsidR="00441AC5" w:rsidRPr="003575B0" w14:paraId="364CC59C" w14:textId="77777777" w:rsidTr="00553DC4">
        <w:trPr>
          <w:trHeight w:val="337"/>
          <w:jc w:val="center"/>
        </w:trPr>
        <w:tc>
          <w:tcPr>
            <w:tcW w:w="5054" w:type="dxa"/>
          </w:tcPr>
          <w:p w14:paraId="0DFA1CA4" w14:textId="77777777" w:rsidR="00441AC5" w:rsidRPr="003575B0" w:rsidRDefault="00441AC5" w:rsidP="006C5B32">
            <w:pPr>
              <w:rPr>
                <w:rFonts w:cs="FrankRuehl"/>
                <w:sz w:val="28"/>
                <w:szCs w:val="28"/>
                <w:rtl/>
              </w:rPr>
            </w:pPr>
            <w:r w:rsidRPr="003575B0">
              <w:rPr>
                <w:rFonts w:cs="FrankRuehl"/>
                <w:sz w:val="28"/>
                <w:szCs w:val="28"/>
                <w:rtl/>
              </w:rPr>
              <w:t>ת"פ</w:t>
            </w:r>
            <w:r w:rsidRPr="003575B0">
              <w:rPr>
                <w:rFonts w:cs="FrankRuehl" w:hint="cs"/>
                <w:sz w:val="28"/>
                <w:szCs w:val="28"/>
                <w:rtl/>
              </w:rPr>
              <w:t xml:space="preserve"> </w:t>
            </w:r>
            <w:r w:rsidRPr="003575B0">
              <w:rPr>
                <w:rFonts w:cs="FrankRuehl"/>
                <w:sz w:val="28"/>
                <w:szCs w:val="28"/>
                <w:rtl/>
              </w:rPr>
              <w:t>15802-04-22</w:t>
            </w:r>
            <w:r w:rsidRPr="003575B0">
              <w:rPr>
                <w:rFonts w:cs="FrankRuehl" w:hint="cs"/>
                <w:sz w:val="28"/>
                <w:szCs w:val="28"/>
                <w:rtl/>
              </w:rPr>
              <w:t xml:space="preserve"> </w:t>
            </w:r>
            <w:r w:rsidRPr="003575B0">
              <w:rPr>
                <w:rFonts w:cs="FrankRuehl"/>
                <w:sz w:val="28"/>
                <w:szCs w:val="28"/>
                <w:rtl/>
              </w:rPr>
              <w:t>מדינת ישראל נ' בדרא</w:t>
            </w:r>
            <w:r w:rsidRPr="003575B0">
              <w:rPr>
                <w:rFonts w:cs="FrankRuehl" w:hint="cs"/>
                <w:sz w:val="28"/>
                <w:szCs w:val="28"/>
                <w:rtl/>
              </w:rPr>
              <w:t>ן</w:t>
            </w:r>
          </w:p>
          <w:p w14:paraId="4F29845D" w14:textId="77777777" w:rsidR="00441AC5" w:rsidRPr="003575B0" w:rsidRDefault="00441AC5" w:rsidP="006C5B32">
            <w:pPr>
              <w:pStyle w:val="a3"/>
              <w:rPr>
                <w:rFonts w:cs="FrankRuehl"/>
                <w:sz w:val="28"/>
                <w:szCs w:val="28"/>
                <w:rtl/>
              </w:rPr>
            </w:pPr>
          </w:p>
        </w:tc>
        <w:tc>
          <w:tcPr>
            <w:tcW w:w="3667" w:type="dxa"/>
          </w:tcPr>
          <w:p w14:paraId="06C7B3E3" w14:textId="77777777" w:rsidR="00441AC5" w:rsidRPr="003575B0" w:rsidRDefault="00441AC5" w:rsidP="006C5B32">
            <w:pPr>
              <w:pStyle w:val="a3"/>
              <w:jc w:val="right"/>
              <w:rPr>
                <w:rFonts w:cs="FrankRuehl"/>
                <w:sz w:val="28"/>
                <w:szCs w:val="28"/>
                <w:rtl/>
              </w:rPr>
            </w:pPr>
          </w:p>
        </w:tc>
      </w:tr>
    </w:tbl>
    <w:p w14:paraId="3A45C9B7" w14:textId="77777777" w:rsidR="00441AC5" w:rsidRPr="003575B0" w:rsidRDefault="00441AC5" w:rsidP="00441AC5">
      <w:pPr>
        <w:pStyle w:val="a3"/>
        <w:rPr>
          <w:rtl/>
        </w:rPr>
      </w:pPr>
      <w:r w:rsidRPr="003575B0">
        <w:rPr>
          <w:rFonts w:hint="cs"/>
          <w:rtl/>
        </w:rPr>
        <w:t xml:space="preserve"> </w:t>
      </w:r>
    </w:p>
    <w:p w14:paraId="2258355E" w14:textId="77777777" w:rsidR="00441AC5" w:rsidRPr="003575B0" w:rsidRDefault="00441AC5" w:rsidP="00441AC5">
      <w:pPr>
        <w:rPr>
          <w:sz w:val="26"/>
          <w:szCs w:val="26"/>
          <w:rtl/>
        </w:rPr>
      </w:pPr>
    </w:p>
    <w:p w14:paraId="2D04205B" w14:textId="77777777" w:rsidR="00441AC5" w:rsidRPr="003575B0" w:rsidRDefault="00441AC5" w:rsidP="00441AC5">
      <w:pPr>
        <w:rPr>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3129"/>
        <w:gridCol w:w="4505"/>
      </w:tblGrid>
      <w:tr w:rsidR="00441AC5" w:rsidRPr="003575B0" w14:paraId="271B5455" w14:textId="77777777" w:rsidTr="00441AC5">
        <w:trPr>
          <w:trHeight w:val="295"/>
          <w:jc w:val="center"/>
        </w:trPr>
        <w:tc>
          <w:tcPr>
            <w:tcW w:w="8505" w:type="dxa"/>
            <w:gridSpan w:val="3"/>
            <w:tcBorders>
              <w:top w:val="nil"/>
              <w:left w:val="nil"/>
              <w:bottom w:val="nil"/>
              <w:right w:val="nil"/>
            </w:tcBorders>
            <w:shd w:val="clear" w:color="auto" w:fill="auto"/>
          </w:tcPr>
          <w:p w14:paraId="125A084C" w14:textId="77777777" w:rsidR="00441AC5" w:rsidRPr="003575B0" w:rsidRDefault="00441AC5" w:rsidP="00441AC5">
            <w:pPr>
              <w:jc w:val="both"/>
              <w:rPr>
                <w:rFonts w:ascii="David" w:hAnsi="David"/>
                <w:sz w:val="26"/>
                <w:szCs w:val="26"/>
                <w:rtl/>
              </w:rPr>
            </w:pPr>
            <w:r w:rsidRPr="003575B0">
              <w:rPr>
                <w:rFonts w:ascii="David" w:hAnsi="David" w:hint="cs"/>
                <w:b/>
                <w:bCs/>
                <w:sz w:val="26"/>
                <w:szCs w:val="26"/>
                <w:rtl/>
              </w:rPr>
              <w:t>ל</w:t>
            </w:r>
            <w:r w:rsidRPr="003575B0">
              <w:rPr>
                <w:rFonts w:ascii="David" w:hAnsi="David"/>
                <w:b/>
                <w:bCs/>
                <w:sz w:val="26"/>
                <w:szCs w:val="26"/>
                <w:rtl/>
              </w:rPr>
              <w:t>פני כבוד השופט  מוחמד עלי</w:t>
            </w:r>
          </w:p>
          <w:p w14:paraId="22FCF8CB" w14:textId="77777777" w:rsidR="00441AC5" w:rsidRPr="003575B0" w:rsidRDefault="00441AC5" w:rsidP="006C5B32">
            <w:pPr>
              <w:rPr>
                <w:rFonts w:ascii="David" w:hAnsi="David"/>
                <w:sz w:val="26"/>
                <w:szCs w:val="26"/>
                <w:rtl/>
              </w:rPr>
            </w:pPr>
          </w:p>
          <w:p w14:paraId="5DE14B87" w14:textId="77777777" w:rsidR="00441AC5" w:rsidRPr="003575B0" w:rsidRDefault="00441AC5" w:rsidP="00441AC5">
            <w:pPr>
              <w:jc w:val="both"/>
              <w:rPr>
                <w:rFonts w:ascii="David" w:hAnsi="David"/>
                <w:sz w:val="26"/>
                <w:szCs w:val="26"/>
              </w:rPr>
            </w:pPr>
          </w:p>
        </w:tc>
      </w:tr>
      <w:tr w:rsidR="00441AC5" w:rsidRPr="003575B0" w14:paraId="5168C46B" w14:textId="77777777" w:rsidTr="00441AC5">
        <w:trPr>
          <w:trHeight w:val="305"/>
          <w:jc w:val="center"/>
        </w:trPr>
        <w:tc>
          <w:tcPr>
            <w:tcW w:w="871" w:type="dxa"/>
            <w:tcBorders>
              <w:top w:val="nil"/>
              <w:left w:val="nil"/>
              <w:bottom w:val="nil"/>
              <w:right w:val="nil"/>
            </w:tcBorders>
            <w:shd w:val="clear" w:color="auto" w:fill="auto"/>
          </w:tcPr>
          <w:p w14:paraId="5E7F15FF" w14:textId="77777777" w:rsidR="00441AC5" w:rsidRPr="003575B0" w:rsidRDefault="00441AC5" w:rsidP="00441AC5">
            <w:pPr>
              <w:jc w:val="both"/>
              <w:rPr>
                <w:rFonts w:ascii="David" w:hAnsi="David"/>
                <w:sz w:val="26"/>
                <w:szCs w:val="26"/>
              </w:rPr>
            </w:pPr>
            <w:bookmarkStart w:id="1" w:name="FirstAppellant"/>
            <w:r w:rsidRPr="003575B0">
              <w:rPr>
                <w:rFonts w:ascii="David" w:hAnsi="David"/>
                <w:sz w:val="26"/>
                <w:szCs w:val="26"/>
                <w:rtl/>
              </w:rPr>
              <w:t>בעניין:</w:t>
            </w:r>
          </w:p>
        </w:tc>
        <w:tc>
          <w:tcPr>
            <w:tcW w:w="3129" w:type="dxa"/>
            <w:tcBorders>
              <w:top w:val="nil"/>
              <w:left w:val="nil"/>
              <w:bottom w:val="nil"/>
              <w:right w:val="nil"/>
            </w:tcBorders>
            <w:shd w:val="clear" w:color="auto" w:fill="auto"/>
          </w:tcPr>
          <w:p w14:paraId="4C7BBEAA" w14:textId="77777777" w:rsidR="00441AC5" w:rsidRPr="003575B0" w:rsidRDefault="00441AC5" w:rsidP="00441AC5">
            <w:pPr>
              <w:suppressLineNumbers/>
            </w:pPr>
            <w:r w:rsidRPr="003575B0">
              <w:rPr>
                <w:rFonts w:ascii="Arial" w:hAnsi="Arial" w:hint="cs"/>
                <w:b/>
                <w:bCs/>
                <w:sz w:val="26"/>
                <w:szCs w:val="26"/>
                <w:rtl/>
              </w:rPr>
              <w:t>ה</w:t>
            </w:r>
            <w:r w:rsidRPr="003575B0">
              <w:rPr>
                <w:rFonts w:ascii="Arial" w:hAnsi="Arial"/>
                <w:b/>
                <w:bCs/>
                <w:sz w:val="26"/>
                <w:szCs w:val="26"/>
                <w:rtl/>
              </w:rPr>
              <w:t>מאשימה</w:t>
            </w:r>
          </w:p>
        </w:tc>
        <w:tc>
          <w:tcPr>
            <w:tcW w:w="4505" w:type="dxa"/>
            <w:tcBorders>
              <w:top w:val="nil"/>
              <w:left w:val="nil"/>
              <w:bottom w:val="nil"/>
              <w:right w:val="nil"/>
            </w:tcBorders>
            <w:shd w:val="clear" w:color="auto" w:fill="auto"/>
            <w:vAlign w:val="center"/>
          </w:tcPr>
          <w:p w14:paraId="424E503B" w14:textId="77777777" w:rsidR="00441AC5" w:rsidRPr="003575B0" w:rsidRDefault="00441AC5" w:rsidP="00441AC5">
            <w:pPr>
              <w:suppressLineNumbers/>
              <w:rPr>
                <w:rFonts w:ascii="David" w:hAnsi="David"/>
                <w:sz w:val="26"/>
                <w:szCs w:val="26"/>
              </w:rPr>
            </w:pPr>
            <w:r w:rsidRPr="003575B0">
              <w:rPr>
                <w:rFonts w:ascii="Arial" w:hAnsi="Arial"/>
                <w:b/>
                <w:bCs/>
                <w:sz w:val="26"/>
                <w:szCs w:val="26"/>
                <w:rtl/>
              </w:rPr>
              <w:t>מדינת ישראל</w:t>
            </w:r>
            <w:r w:rsidRPr="003575B0">
              <w:rPr>
                <w:rFonts w:ascii="Arial" w:hAnsi="Arial" w:hint="cs"/>
                <w:b/>
                <w:bCs/>
                <w:sz w:val="26"/>
                <w:szCs w:val="26"/>
                <w:rtl/>
              </w:rPr>
              <w:t xml:space="preserve"> </w:t>
            </w:r>
          </w:p>
        </w:tc>
      </w:tr>
      <w:bookmarkEnd w:id="1"/>
      <w:tr w:rsidR="00441AC5" w:rsidRPr="003575B0" w14:paraId="2EC09858" w14:textId="77777777" w:rsidTr="00441AC5">
        <w:trPr>
          <w:trHeight w:val="355"/>
          <w:jc w:val="center"/>
        </w:trPr>
        <w:tc>
          <w:tcPr>
            <w:tcW w:w="871" w:type="dxa"/>
            <w:tcBorders>
              <w:top w:val="nil"/>
              <w:left w:val="nil"/>
              <w:bottom w:val="nil"/>
              <w:right w:val="nil"/>
            </w:tcBorders>
            <w:shd w:val="clear" w:color="auto" w:fill="auto"/>
          </w:tcPr>
          <w:p w14:paraId="3B4426AC" w14:textId="77777777" w:rsidR="00441AC5" w:rsidRPr="003575B0" w:rsidRDefault="00441AC5" w:rsidP="00441AC5">
            <w:pPr>
              <w:jc w:val="both"/>
              <w:rPr>
                <w:rFonts w:ascii="David" w:hAnsi="David"/>
                <w:sz w:val="26"/>
                <w:szCs w:val="26"/>
                <w:rtl/>
              </w:rPr>
            </w:pPr>
          </w:p>
        </w:tc>
        <w:tc>
          <w:tcPr>
            <w:tcW w:w="3129" w:type="dxa"/>
            <w:tcBorders>
              <w:top w:val="nil"/>
              <w:left w:val="nil"/>
              <w:bottom w:val="nil"/>
              <w:right w:val="nil"/>
            </w:tcBorders>
            <w:shd w:val="clear" w:color="auto" w:fill="auto"/>
          </w:tcPr>
          <w:p w14:paraId="408C5A3E" w14:textId="77777777" w:rsidR="00441AC5" w:rsidRPr="003575B0" w:rsidRDefault="00441AC5" w:rsidP="00441AC5">
            <w:pPr>
              <w:suppressLineNumbers/>
              <w:rPr>
                <w:rFonts w:ascii="Arial" w:hAnsi="Arial"/>
                <w:b/>
                <w:bCs/>
                <w:sz w:val="26"/>
                <w:szCs w:val="26"/>
                <w:rtl/>
              </w:rPr>
            </w:pPr>
          </w:p>
        </w:tc>
        <w:tc>
          <w:tcPr>
            <w:tcW w:w="4505" w:type="dxa"/>
            <w:tcBorders>
              <w:top w:val="nil"/>
              <w:left w:val="nil"/>
              <w:bottom w:val="nil"/>
              <w:right w:val="nil"/>
            </w:tcBorders>
            <w:shd w:val="clear" w:color="auto" w:fill="auto"/>
            <w:vAlign w:val="center"/>
          </w:tcPr>
          <w:p w14:paraId="636EDA7B" w14:textId="77777777" w:rsidR="00441AC5" w:rsidRPr="003575B0" w:rsidRDefault="00441AC5" w:rsidP="00441AC5">
            <w:pPr>
              <w:suppressLineNumbers/>
              <w:rPr>
                <w:rFonts w:ascii="Arial" w:hAnsi="Arial"/>
                <w:b/>
                <w:bCs/>
                <w:sz w:val="26"/>
                <w:szCs w:val="26"/>
                <w:rtl/>
              </w:rPr>
            </w:pPr>
          </w:p>
        </w:tc>
      </w:tr>
      <w:tr w:rsidR="00441AC5" w:rsidRPr="003575B0" w14:paraId="5B97CFD2" w14:textId="77777777" w:rsidTr="00441AC5">
        <w:trPr>
          <w:trHeight w:val="355"/>
          <w:jc w:val="center"/>
        </w:trPr>
        <w:tc>
          <w:tcPr>
            <w:tcW w:w="871" w:type="dxa"/>
            <w:tcBorders>
              <w:top w:val="nil"/>
              <w:left w:val="nil"/>
              <w:bottom w:val="nil"/>
              <w:right w:val="nil"/>
            </w:tcBorders>
            <w:shd w:val="clear" w:color="auto" w:fill="auto"/>
          </w:tcPr>
          <w:p w14:paraId="2DA144E2" w14:textId="77777777" w:rsidR="00441AC5" w:rsidRPr="003575B0" w:rsidRDefault="00441AC5" w:rsidP="00441AC5">
            <w:pPr>
              <w:jc w:val="both"/>
              <w:rPr>
                <w:rFonts w:ascii="David" w:hAnsi="David"/>
                <w:sz w:val="26"/>
                <w:szCs w:val="26"/>
                <w:rtl/>
              </w:rPr>
            </w:pPr>
          </w:p>
        </w:tc>
        <w:tc>
          <w:tcPr>
            <w:tcW w:w="7634" w:type="dxa"/>
            <w:gridSpan w:val="2"/>
            <w:tcBorders>
              <w:top w:val="nil"/>
              <w:left w:val="nil"/>
              <w:bottom w:val="nil"/>
              <w:right w:val="nil"/>
            </w:tcBorders>
            <w:shd w:val="clear" w:color="auto" w:fill="auto"/>
          </w:tcPr>
          <w:p w14:paraId="1EDC4E92" w14:textId="77777777" w:rsidR="00441AC5" w:rsidRPr="003575B0" w:rsidRDefault="00441AC5" w:rsidP="00441AC5">
            <w:pPr>
              <w:jc w:val="center"/>
              <w:rPr>
                <w:rFonts w:ascii="David" w:hAnsi="David"/>
                <w:b/>
                <w:bCs/>
                <w:sz w:val="26"/>
                <w:szCs w:val="26"/>
                <w:rtl/>
              </w:rPr>
            </w:pPr>
          </w:p>
          <w:p w14:paraId="04BF00EC" w14:textId="77777777" w:rsidR="00441AC5" w:rsidRPr="003575B0" w:rsidRDefault="00441AC5" w:rsidP="00441AC5">
            <w:pPr>
              <w:jc w:val="center"/>
              <w:rPr>
                <w:rFonts w:ascii="David" w:hAnsi="David"/>
                <w:b/>
                <w:bCs/>
                <w:sz w:val="26"/>
                <w:szCs w:val="26"/>
                <w:rtl/>
              </w:rPr>
            </w:pPr>
            <w:r w:rsidRPr="003575B0">
              <w:rPr>
                <w:rFonts w:ascii="David" w:hAnsi="David"/>
                <w:b/>
                <w:bCs/>
                <w:sz w:val="26"/>
                <w:szCs w:val="26"/>
                <w:rtl/>
              </w:rPr>
              <w:t>נגד</w:t>
            </w:r>
          </w:p>
          <w:p w14:paraId="2E9314F5" w14:textId="77777777" w:rsidR="00441AC5" w:rsidRPr="003575B0" w:rsidRDefault="00441AC5" w:rsidP="00441AC5">
            <w:pPr>
              <w:jc w:val="both"/>
              <w:rPr>
                <w:rFonts w:ascii="David" w:hAnsi="David"/>
                <w:sz w:val="26"/>
                <w:szCs w:val="26"/>
              </w:rPr>
            </w:pPr>
          </w:p>
        </w:tc>
      </w:tr>
      <w:tr w:rsidR="00441AC5" w:rsidRPr="003575B0" w14:paraId="08D39D53" w14:textId="77777777" w:rsidTr="00441AC5">
        <w:trPr>
          <w:trHeight w:val="355"/>
          <w:jc w:val="center"/>
        </w:trPr>
        <w:tc>
          <w:tcPr>
            <w:tcW w:w="871" w:type="dxa"/>
            <w:tcBorders>
              <w:top w:val="nil"/>
              <w:left w:val="nil"/>
              <w:bottom w:val="nil"/>
              <w:right w:val="nil"/>
            </w:tcBorders>
            <w:shd w:val="clear" w:color="auto" w:fill="auto"/>
          </w:tcPr>
          <w:p w14:paraId="6A0C9CCE" w14:textId="77777777" w:rsidR="00441AC5" w:rsidRPr="003575B0" w:rsidRDefault="00441AC5" w:rsidP="006C5B32">
            <w:pPr>
              <w:rPr>
                <w:rFonts w:ascii="David" w:hAnsi="David"/>
                <w:sz w:val="26"/>
                <w:szCs w:val="26"/>
                <w:rtl/>
              </w:rPr>
            </w:pPr>
          </w:p>
        </w:tc>
        <w:tc>
          <w:tcPr>
            <w:tcW w:w="3129" w:type="dxa"/>
            <w:tcBorders>
              <w:top w:val="nil"/>
              <w:left w:val="nil"/>
              <w:bottom w:val="nil"/>
              <w:right w:val="nil"/>
            </w:tcBorders>
            <w:shd w:val="clear" w:color="auto" w:fill="auto"/>
          </w:tcPr>
          <w:p w14:paraId="00E86BCC" w14:textId="77777777" w:rsidR="00441AC5" w:rsidRPr="003575B0" w:rsidRDefault="00441AC5" w:rsidP="006C5B32">
            <w:pPr>
              <w:rPr>
                <w:rFonts w:ascii="Arial" w:hAnsi="Arial"/>
                <w:b/>
                <w:bCs/>
                <w:sz w:val="26"/>
                <w:szCs w:val="26"/>
                <w:rtl/>
              </w:rPr>
            </w:pPr>
            <w:r w:rsidRPr="003575B0">
              <w:rPr>
                <w:rFonts w:ascii="Arial" w:hAnsi="Arial"/>
                <w:b/>
                <w:bCs/>
                <w:sz w:val="26"/>
                <w:szCs w:val="26"/>
                <w:rtl/>
              </w:rPr>
              <w:t>הנאשמים</w:t>
            </w:r>
          </w:p>
        </w:tc>
        <w:tc>
          <w:tcPr>
            <w:tcW w:w="4505" w:type="dxa"/>
            <w:tcBorders>
              <w:top w:val="nil"/>
              <w:left w:val="nil"/>
              <w:bottom w:val="nil"/>
              <w:right w:val="nil"/>
            </w:tcBorders>
            <w:shd w:val="clear" w:color="auto" w:fill="auto"/>
            <w:vAlign w:val="center"/>
          </w:tcPr>
          <w:p w14:paraId="6F7C263B" w14:textId="77777777" w:rsidR="00441AC5" w:rsidRPr="003575B0" w:rsidRDefault="00441AC5" w:rsidP="00441AC5">
            <w:pPr>
              <w:suppressLineNumbers/>
            </w:pPr>
            <w:r w:rsidRPr="003575B0">
              <w:rPr>
                <w:rFonts w:ascii="Arial" w:hAnsi="Arial"/>
                <w:b/>
                <w:bCs/>
                <w:sz w:val="26"/>
                <w:szCs w:val="26"/>
                <w:rtl/>
              </w:rPr>
              <w:t>1. רביע בדראן (עציר)</w:t>
            </w:r>
            <w:r w:rsidRPr="003575B0">
              <w:rPr>
                <w:rFonts w:ascii="Arial" w:hAnsi="Arial" w:hint="cs"/>
                <w:b/>
                <w:bCs/>
                <w:sz w:val="26"/>
                <w:szCs w:val="26"/>
                <w:rtl/>
              </w:rPr>
              <w:t xml:space="preserve"> </w:t>
            </w:r>
          </w:p>
        </w:tc>
      </w:tr>
      <w:tr w:rsidR="00441AC5" w:rsidRPr="003575B0" w14:paraId="66CDFB1D" w14:textId="77777777" w:rsidTr="00441AC5">
        <w:trPr>
          <w:trHeight w:val="355"/>
          <w:jc w:val="center"/>
        </w:trPr>
        <w:tc>
          <w:tcPr>
            <w:tcW w:w="871" w:type="dxa"/>
            <w:tcBorders>
              <w:top w:val="nil"/>
              <w:left w:val="nil"/>
              <w:bottom w:val="nil"/>
              <w:right w:val="nil"/>
            </w:tcBorders>
            <w:shd w:val="clear" w:color="auto" w:fill="auto"/>
          </w:tcPr>
          <w:p w14:paraId="394729C8" w14:textId="77777777" w:rsidR="00441AC5" w:rsidRPr="003575B0" w:rsidRDefault="00441AC5" w:rsidP="006C5B32">
            <w:pPr>
              <w:rPr>
                <w:rFonts w:ascii="David" w:hAnsi="David"/>
                <w:sz w:val="26"/>
                <w:szCs w:val="26"/>
                <w:rtl/>
              </w:rPr>
            </w:pPr>
            <w:bookmarkStart w:id="2" w:name="FirstLawyer"/>
          </w:p>
        </w:tc>
        <w:tc>
          <w:tcPr>
            <w:tcW w:w="3129" w:type="dxa"/>
            <w:tcBorders>
              <w:top w:val="nil"/>
              <w:left w:val="nil"/>
              <w:bottom w:val="nil"/>
              <w:right w:val="nil"/>
            </w:tcBorders>
            <w:shd w:val="clear" w:color="auto" w:fill="auto"/>
          </w:tcPr>
          <w:p w14:paraId="7A1AB312" w14:textId="77777777" w:rsidR="00441AC5" w:rsidRPr="003575B0" w:rsidRDefault="00441AC5" w:rsidP="006C5B32">
            <w:pPr>
              <w:rPr>
                <w:rFonts w:ascii="Arial" w:hAnsi="Arial"/>
                <w:b/>
                <w:bCs/>
                <w:sz w:val="26"/>
                <w:szCs w:val="26"/>
                <w:rtl/>
              </w:rPr>
            </w:pPr>
          </w:p>
        </w:tc>
        <w:tc>
          <w:tcPr>
            <w:tcW w:w="4505" w:type="dxa"/>
            <w:tcBorders>
              <w:top w:val="nil"/>
              <w:left w:val="nil"/>
              <w:bottom w:val="nil"/>
              <w:right w:val="nil"/>
            </w:tcBorders>
            <w:shd w:val="clear" w:color="auto" w:fill="auto"/>
            <w:vAlign w:val="center"/>
          </w:tcPr>
          <w:p w14:paraId="6D54BC70" w14:textId="77777777" w:rsidR="00441AC5" w:rsidRPr="003575B0" w:rsidRDefault="00441AC5" w:rsidP="00441AC5">
            <w:pPr>
              <w:suppressLineNumbers/>
              <w:rPr>
                <w:rFonts w:ascii="Arial" w:hAnsi="Arial"/>
                <w:sz w:val="26"/>
                <w:szCs w:val="26"/>
                <w:rtl/>
              </w:rPr>
            </w:pPr>
            <w:r w:rsidRPr="003575B0">
              <w:rPr>
                <w:rFonts w:ascii="Arial" w:hAnsi="Arial"/>
                <w:sz w:val="26"/>
                <w:szCs w:val="26"/>
                <w:rtl/>
              </w:rPr>
              <w:t>ע"י עו"ד ב"כ סאמי מלחם</w:t>
            </w:r>
          </w:p>
        </w:tc>
      </w:tr>
      <w:bookmarkEnd w:id="2"/>
      <w:tr w:rsidR="00441AC5" w:rsidRPr="003575B0" w14:paraId="02A6021C" w14:textId="77777777" w:rsidTr="00441AC5">
        <w:trPr>
          <w:trHeight w:val="355"/>
          <w:jc w:val="center"/>
        </w:trPr>
        <w:tc>
          <w:tcPr>
            <w:tcW w:w="871" w:type="dxa"/>
            <w:tcBorders>
              <w:top w:val="nil"/>
              <w:left w:val="nil"/>
              <w:bottom w:val="nil"/>
              <w:right w:val="nil"/>
            </w:tcBorders>
            <w:shd w:val="clear" w:color="auto" w:fill="auto"/>
          </w:tcPr>
          <w:p w14:paraId="07276D11" w14:textId="77777777" w:rsidR="00441AC5" w:rsidRPr="003575B0" w:rsidRDefault="00441AC5" w:rsidP="006C5B32">
            <w:pPr>
              <w:rPr>
                <w:rFonts w:ascii="David" w:hAnsi="David"/>
                <w:sz w:val="26"/>
                <w:szCs w:val="26"/>
                <w:rtl/>
              </w:rPr>
            </w:pPr>
          </w:p>
        </w:tc>
        <w:tc>
          <w:tcPr>
            <w:tcW w:w="3129" w:type="dxa"/>
            <w:tcBorders>
              <w:top w:val="nil"/>
              <w:left w:val="nil"/>
              <w:bottom w:val="nil"/>
              <w:right w:val="nil"/>
            </w:tcBorders>
            <w:shd w:val="clear" w:color="auto" w:fill="auto"/>
          </w:tcPr>
          <w:p w14:paraId="0E8FDD60" w14:textId="77777777" w:rsidR="00441AC5" w:rsidRPr="003575B0" w:rsidRDefault="00441AC5" w:rsidP="006C5B32">
            <w:pPr>
              <w:rPr>
                <w:rFonts w:ascii="Arial" w:hAnsi="Arial"/>
                <w:b/>
                <w:bCs/>
                <w:sz w:val="26"/>
                <w:szCs w:val="26"/>
                <w:rtl/>
              </w:rPr>
            </w:pPr>
          </w:p>
        </w:tc>
        <w:tc>
          <w:tcPr>
            <w:tcW w:w="4505" w:type="dxa"/>
            <w:tcBorders>
              <w:top w:val="nil"/>
              <w:left w:val="nil"/>
              <w:bottom w:val="nil"/>
              <w:right w:val="nil"/>
            </w:tcBorders>
            <w:shd w:val="clear" w:color="auto" w:fill="auto"/>
            <w:vAlign w:val="center"/>
          </w:tcPr>
          <w:p w14:paraId="402C6831" w14:textId="77777777" w:rsidR="00441AC5" w:rsidRPr="003575B0" w:rsidRDefault="00441AC5" w:rsidP="00441AC5">
            <w:pPr>
              <w:suppressLineNumbers/>
              <w:rPr>
                <w:rFonts w:ascii="Arial" w:hAnsi="Arial"/>
                <w:b/>
                <w:bCs/>
                <w:sz w:val="26"/>
                <w:szCs w:val="26"/>
                <w:rtl/>
              </w:rPr>
            </w:pPr>
            <w:r w:rsidRPr="003575B0">
              <w:rPr>
                <w:rFonts w:ascii="Arial" w:hAnsi="Arial"/>
                <w:b/>
                <w:bCs/>
                <w:sz w:val="26"/>
                <w:szCs w:val="26"/>
                <w:rtl/>
              </w:rPr>
              <w:t>2. מוחמד אבו סבק (עציר)</w:t>
            </w:r>
          </w:p>
        </w:tc>
      </w:tr>
      <w:tr w:rsidR="00441AC5" w:rsidRPr="003575B0" w14:paraId="6837A294" w14:textId="77777777" w:rsidTr="00441AC5">
        <w:trPr>
          <w:trHeight w:val="355"/>
          <w:jc w:val="center"/>
        </w:trPr>
        <w:tc>
          <w:tcPr>
            <w:tcW w:w="871" w:type="dxa"/>
            <w:tcBorders>
              <w:top w:val="nil"/>
              <w:left w:val="nil"/>
              <w:bottom w:val="nil"/>
              <w:right w:val="nil"/>
            </w:tcBorders>
            <w:shd w:val="clear" w:color="auto" w:fill="auto"/>
          </w:tcPr>
          <w:p w14:paraId="35ABABA3" w14:textId="77777777" w:rsidR="00441AC5" w:rsidRPr="003575B0" w:rsidRDefault="00441AC5" w:rsidP="00441AC5">
            <w:pPr>
              <w:jc w:val="both"/>
              <w:rPr>
                <w:rFonts w:ascii="David" w:hAnsi="David"/>
                <w:sz w:val="26"/>
                <w:szCs w:val="26"/>
                <w:rtl/>
              </w:rPr>
            </w:pPr>
          </w:p>
        </w:tc>
        <w:tc>
          <w:tcPr>
            <w:tcW w:w="3129" w:type="dxa"/>
            <w:tcBorders>
              <w:top w:val="nil"/>
              <w:left w:val="nil"/>
              <w:bottom w:val="nil"/>
              <w:right w:val="nil"/>
            </w:tcBorders>
            <w:shd w:val="clear" w:color="auto" w:fill="auto"/>
          </w:tcPr>
          <w:p w14:paraId="15E4604A" w14:textId="77777777" w:rsidR="00441AC5" w:rsidRPr="003575B0" w:rsidRDefault="00441AC5" w:rsidP="00441AC5">
            <w:pPr>
              <w:jc w:val="both"/>
              <w:rPr>
                <w:rFonts w:ascii="David" w:hAnsi="David"/>
                <w:sz w:val="26"/>
                <w:szCs w:val="26"/>
                <w:rtl/>
              </w:rPr>
            </w:pPr>
          </w:p>
        </w:tc>
        <w:tc>
          <w:tcPr>
            <w:tcW w:w="4505" w:type="dxa"/>
            <w:tcBorders>
              <w:top w:val="nil"/>
              <w:left w:val="nil"/>
              <w:bottom w:val="nil"/>
              <w:right w:val="nil"/>
            </w:tcBorders>
            <w:shd w:val="clear" w:color="auto" w:fill="auto"/>
          </w:tcPr>
          <w:p w14:paraId="754EB9B7" w14:textId="77777777" w:rsidR="00441AC5" w:rsidRPr="003575B0" w:rsidRDefault="00441AC5" w:rsidP="006C5B32">
            <w:pPr>
              <w:rPr>
                <w:rFonts w:ascii="David" w:hAnsi="David"/>
                <w:sz w:val="26"/>
                <w:szCs w:val="26"/>
              </w:rPr>
            </w:pPr>
            <w:r w:rsidRPr="003575B0">
              <w:rPr>
                <w:rFonts w:ascii="David" w:hAnsi="David" w:hint="cs"/>
                <w:sz w:val="26"/>
                <w:szCs w:val="26"/>
                <w:rtl/>
              </w:rPr>
              <w:t>ע"י עו"ד ב"כ נירה שגב</w:t>
            </w:r>
          </w:p>
        </w:tc>
      </w:tr>
    </w:tbl>
    <w:p w14:paraId="396506C5" w14:textId="77777777" w:rsidR="00C72DA3" w:rsidRDefault="00C72DA3" w:rsidP="00FB3136">
      <w:pPr>
        <w:rPr>
          <w:rFonts w:ascii="Arial" w:hAnsi="Arial"/>
          <w:sz w:val="26"/>
          <w:szCs w:val="26"/>
          <w:rtl/>
        </w:rPr>
      </w:pPr>
      <w:bookmarkStart w:id="3" w:name="Links_Kitvei_Start"/>
    </w:p>
    <w:p w14:paraId="73C188D5" w14:textId="77777777" w:rsidR="00C72DA3" w:rsidRPr="00C72DA3" w:rsidRDefault="00C72DA3" w:rsidP="00C72DA3">
      <w:pPr>
        <w:spacing w:after="120" w:line="240" w:lineRule="exact"/>
        <w:ind w:left="283" w:hanging="283"/>
        <w:jc w:val="both"/>
        <w:rPr>
          <w:rFonts w:ascii="FrankRuehl" w:hAnsi="FrankRuehl" w:cs="FrankRuehl"/>
          <w:rtl/>
        </w:rPr>
      </w:pPr>
    </w:p>
    <w:bookmarkEnd w:id="3"/>
    <w:p w14:paraId="62AB4857" w14:textId="77777777" w:rsidR="00C72DA3" w:rsidRPr="00C72DA3" w:rsidRDefault="00C72DA3" w:rsidP="00C72DA3">
      <w:pPr>
        <w:spacing w:after="120" w:line="240" w:lineRule="exact"/>
        <w:ind w:left="283" w:hanging="283"/>
        <w:jc w:val="both"/>
        <w:rPr>
          <w:rStyle w:val="Hyperlink"/>
          <w:rFonts w:ascii="FrankRuehl" w:hAnsi="FrankRuehl" w:cs="FrankRuehl"/>
          <w:u w:val="none"/>
          <w:rtl/>
        </w:rPr>
      </w:pPr>
      <w:r w:rsidRPr="00C72DA3">
        <w:rPr>
          <w:rFonts w:ascii="FrankRuehl" w:hAnsi="FrankRuehl" w:cs="FrankRuehl"/>
          <w:rtl/>
        </w:rPr>
        <w:t>כתבי עת:</w:t>
      </w:r>
      <w:r w:rsidRPr="00C72DA3">
        <w:rPr>
          <w:rFonts w:ascii="FrankRuehl" w:hAnsi="FrankRuehl" w:cs="FrankRuehl"/>
          <w:color w:val="0000FF"/>
          <w:rtl/>
        </w:rPr>
        <w:fldChar w:fldCharType="begin"/>
      </w:r>
      <w:r w:rsidRPr="00C72DA3">
        <w:rPr>
          <w:rFonts w:ascii="FrankRuehl" w:hAnsi="FrankRuehl" w:cs="FrankRuehl"/>
          <w:color w:val="0000FF"/>
          <w:rtl/>
        </w:rPr>
        <w:instrText xml:space="preserve"> </w:instrText>
      </w:r>
      <w:r w:rsidRPr="00C72DA3">
        <w:rPr>
          <w:rFonts w:ascii="FrankRuehl" w:hAnsi="FrankRuehl" w:cs="FrankRuehl"/>
          <w:color w:val="0000FF"/>
        </w:rPr>
        <w:instrText xml:space="preserve">HYPERLINK </w:instrText>
      </w:r>
      <w:r w:rsidRPr="00C72DA3">
        <w:rPr>
          <w:rFonts w:ascii="FrankRuehl" w:hAnsi="FrankRuehl" w:cs="FrankRuehl"/>
          <w:color w:val="0000FF"/>
          <w:rtl/>
        </w:rPr>
        <w:instrText>"</w:instrText>
      </w:r>
      <w:r w:rsidRPr="00C72DA3">
        <w:rPr>
          <w:rFonts w:ascii="FrankRuehl" w:hAnsi="FrankRuehl" w:cs="FrankRuehl"/>
          <w:color w:val="0000FF"/>
        </w:rPr>
        <w:instrText>http://www.nevo.co.il/safrut/book/3366"</w:instrText>
      </w:r>
      <w:r w:rsidRPr="00C72DA3">
        <w:rPr>
          <w:rFonts w:ascii="FrankRuehl" w:hAnsi="FrankRuehl" w:cs="FrankRuehl"/>
          <w:color w:val="0000FF"/>
          <w:rtl/>
        </w:rPr>
        <w:instrText xml:space="preserve"> </w:instrText>
      </w:r>
      <w:r w:rsidRPr="00C72DA3">
        <w:rPr>
          <w:rFonts w:ascii="FrankRuehl" w:hAnsi="FrankRuehl" w:cs="FrankRuehl"/>
          <w:color w:val="0000FF"/>
          <w:rtl/>
        </w:rPr>
      </w:r>
      <w:r w:rsidRPr="00C72DA3">
        <w:rPr>
          <w:rFonts w:ascii="FrankRuehl" w:hAnsi="FrankRuehl" w:cs="FrankRuehl"/>
          <w:color w:val="0000FF"/>
          <w:rtl/>
        </w:rPr>
        <w:fldChar w:fldCharType="separate"/>
      </w:r>
    </w:p>
    <w:p w14:paraId="60032046" w14:textId="77777777" w:rsidR="00C72DA3" w:rsidRPr="00C72DA3" w:rsidRDefault="00C72DA3" w:rsidP="00C72DA3">
      <w:pPr>
        <w:spacing w:after="120" w:line="240" w:lineRule="exact"/>
        <w:ind w:left="283" w:hanging="283"/>
        <w:jc w:val="both"/>
        <w:rPr>
          <w:rFonts w:ascii="FrankRuehl" w:hAnsi="FrankRuehl" w:cs="FrankRuehl"/>
          <w:rtl/>
        </w:rPr>
      </w:pPr>
      <w:r w:rsidRPr="00C72DA3">
        <w:rPr>
          <w:rStyle w:val="Hyperlink"/>
          <w:rFonts w:ascii="FrankRuehl" w:hAnsi="FrankRuehl" w:cs="FrankRuehl"/>
          <w:u w:val="none"/>
          <w:rtl/>
        </w:rPr>
        <w:t>רון שפירא, "הגיעה העת לסולחה", הפרקליט, מח (תשס"ה-תשס"ו) 433</w:t>
      </w:r>
      <w:r w:rsidRPr="00C72DA3">
        <w:rPr>
          <w:rFonts w:ascii="FrankRuehl" w:hAnsi="FrankRuehl" w:cs="FrankRuehl"/>
          <w:color w:val="0000FF"/>
          <w:rtl/>
        </w:rPr>
        <w:fldChar w:fldCharType="end"/>
      </w:r>
    </w:p>
    <w:p w14:paraId="72FA0221" w14:textId="77777777" w:rsidR="00C72DA3" w:rsidRDefault="00C72DA3" w:rsidP="00C72DA3">
      <w:pPr>
        <w:rPr>
          <w:rFonts w:ascii="Arial" w:hAnsi="Arial"/>
          <w:sz w:val="26"/>
          <w:szCs w:val="26"/>
          <w:rtl/>
        </w:rPr>
      </w:pPr>
      <w:bookmarkStart w:id="4" w:name="Links_Kitvei_End"/>
      <w:bookmarkStart w:id="5" w:name="LawTable"/>
      <w:bookmarkEnd w:id="4"/>
      <w:bookmarkEnd w:id="5"/>
    </w:p>
    <w:p w14:paraId="7C30B0FC" w14:textId="77777777" w:rsidR="00C72DA3" w:rsidRPr="00C72DA3" w:rsidRDefault="00C72DA3" w:rsidP="00C72DA3">
      <w:pPr>
        <w:spacing w:before="120" w:after="120" w:line="240" w:lineRule="exact"/>
        <w:ind w:left="283" w:hanging="283"/>
        <w:jc w:val="both"/>
        <w:rPr>
          <w:rFonts w:ascii="FrankRuehl" w:hAnsi="FrankRuehl" w:cs="FrankRuehl"/>
          <w:rtl/>
        </w:rPr>
      </w:pPr>
    </w:p>
    <w:p w14:paraId="73029D45" w14:textId="77777777" w:rsidR="00C72DA3" w:rsidRPr="00C72DA3" w:rsidRDefault="00C72DA3" w:rsidP="00C72DA3">
      <w:pPr>
        <w:spacing w:before="120" w:after="120" w:line="240" w:lineRule="exact"/>
        <w:ind w:left="283" w:hanging="283"/>
        <w:jc w:val="both"/>
        <w:rPr>
          <w:rFonts w:ascii="FrankRuehl" w:hAnsi="FrankRuehl" w:cs="FrankRuehl"/>
          <w:rtl/>
        </w:rPr>
      </w:pPr>
    </w:p>
    <w:p w14:paraId="4658454B" w14:textId="77777777" w:rsidR="00C72DA3" w:rsidRPr="00C72DA3" w:rsidRDefault="00C72DA3" w:rsidP="00C72DA3">
      <w:pPr>
        <w:spacing w:before="120" w:after="120" w:line="240" w:lineRule="exact"/>
        <w:ind w:left="283" w:hanging="283"/>
        <w:jc w:val="both"/>
        <w:rPr>
          <w:rFonts w:ascii="FrankRuehl" w:hAnsi="FrankRuehl" w:cs="FrankRuehl"/>
          <w:rtl/>
        </w:rPr>
      </w:pPr>
      <w:r w:rsidRPr="00C72DA3">
        <w:rPr>
          <w:rFonts w:ascii="FrankRuehl" w:hAnsi="FrankRuehl" w:cs="FrankRuehl"/>
          <w:rtl/>
        </w:rPr>
        <w:t xml:space="preserve">חקיקה שאוזכרה: </w:t>
      </w:r>
    </w:p>
    <w:p w14:paraId="4367375F" w14:textId="77777777" w:rsidR="00C72DA3" w:rsidRPr="00C72DA3" w:rsidRDefault="00C72DA3" w:rsidP="00C72DA3">
      <w:pPr>
        <w:spacing w:before="120" w:after="120" w:line="240" w:lineRule="exact"/>
        <w:ind w:left="283" w:hanging="283"/>
        <w:jc w:val="both"/>
        <w:rPr>
          <w:rFonts w:ascii="FrankRuehl" w:hAnsi="FrankRuehl" w:cs="FrankRuehl"/>
          <w:rtl/>
        </w:rPr>
      </w:pPr>
      <w:hyperlink r:id="rId7" w:history="1">
        <w:r w:rsidRPr="00C72DA3">
          <w:rPr>
            <w:rFonts w:ascii="FrankRuehl" w:hAnsi="FrankRuehl" w:cs="FrankRuehl"/>
            <w:color w:val="0000FF"/>
            <w:rtl/>
          </w:rPr>
          <w:t>חוק העונשין, תשל"ז-1977</w:t>
        </w:r>
      </w:hyperlink>
      <w:r w:rsidRPr="00C72DA3">
        <w:rPr>
          <w:rFonts w:ascii="FrankRuehl" w:hAnsi="FrankRuehl" w:cs="FrankRuehl"/>
          <w:rtl/>
        </w:rPr>
        <w:t xml:space="preserve">: סע'  </w:t>
      </w:r>
      <w:hyperlink r:id="rId8" w:history="1">
        <w:r w:rsidRPr="00C72DA3">
          <w:rPr>
            <w:rFonts w:ascii="FrankRuehl" w:hAnsi="FrankRuehl" w:cs="FrankRuehl"/>
            <w:color w:val="0000FF"/>
            <w:rtl/>
          </w:rPr>
          <w:t>29</w:t>
        </w:r>
      </w:hyperlink>
      <w:r w:rsidRPr="00C72DA3">
        <w:rPr>
          <w:rFonts w:ascii="FrankRuehl" w:hAnsi="FrankRuehl" w:cs="FrankRuehl"/>
          <w:rtl/>
        </w:rPr>
        <w:t xml:space="preserve">, </w:t>
      </w:r>
      <w:hyperlink r:id="rId9" w:history="1">
        <w:r w:rsidRPr="00C72DA3">
          <w:rPr>
            <w:rFonts w:ascii="FrankRuehl" w:hAnsi="FrankRuehl" w:cs="FrankRuehl"/>
            <w:color w:val="0000FF"/>
            <w:rtl/>
          </w:rPr>
          <w:t>40ג'</w:t>
        </w:r>
      </w:hyperlink>
      <w:r w:rsidRPr="00C72DA3">
        <w:rPr>
          <w:rFonts w:ascii="FrankRuehl" w:hAnsi="FrankRuehl" w:cs="FrankRuehl"/>
          <w:rtl/>
        </w:rPr>
        <w:t xml:space="preserve">, </w:t>
      </w:r>
      <w:hyperlink r:id="rId10" w:history="1">
        <w:r w:rsidRPr="00C72DA3">
          <w:rPr>
            <w:rFonts w:ascii="FrankRuehl" w:hAnsi="FrankRuehl" w:cs="FrankRuehl"/>
            <w:color w:val="0000FF"/>
            <w:rtl/>
          </w:rPr>
          <w:t>40ד'</w:t>
        </w:r>
      </w:hyperlink>
      <w:r w:rsidRPr="00C72DA3">
        <w:rPr>
          <w:rFonts w:ascii="FrankRuehl" w:hAnsi="FrankRuehl" w:cs="FrankRuehl"/>
          <w:rtl/>
        </w:rPr>
        <w:t xml:space="preserve">, </w:t>
      </w:r>
      <w:hyperlink r:id="rId11" w:history="1">
        <w:r w:rsidRPr="00C72DA3">
          <w:rPr>
            <w:rFonts w:ascii="FrankRuehl" w:hAnsi="FrankRuehl" w:cs="FrankRuehl"/>
            <w:color w:val="0000FF"/>
            <w:rtl/>
          </w:rPr>
          <w:t>40ה'</w:t>
        </w:r>
      </w:hyperlink>
      <w:r w:rsidRPr="00C72DA3">
        <w:rPr>
          <w:rFonts w:ascii="FrankRuehl" w:hAnsi="FrankRuehl" w:cs="FrankRuehl"/>
          <w:rtl/>
        </w:rPr>
        <w:t xml:space="preserve">, </w:t>
      </w:r>
      <w:hyperlink r:id="rId12" w:history="1">
        <w:r w:rsidRPr="00C72DA3">
          <w:rPr>
            <w:rFonts w:ascii="FrankRuehl" w:hAnsi="FrankRuehl" w:cs="FrankRuehl"/>
            <w:color w:val="0000FF"/>
            <w:rtl/>
          </w:rPr>
          <w:t>329</w:t>
        </w:r>
      </w:hyperlink>
      <w:r w:rsidRPr="00C72DA3">
        <w:rPr>
          <w:rFonts w:ascii="FrankRuehl" w:hAnsi="FrankRuehl" w:cs="FrankRuehl"/>
          <w:rtl/>
        </w:rPr>
        <w:t xml:space="preserve">, </w:t>
      </w:r>
      <w:hyperlink r:id="rId13" w:history="1">
        <w:r w:rsidRPr="00C72DA3">
          <w:rPr>
            <w:rFonts w:ascii="FrankRuehl" w:hAnsi="FrankRuehl" w:cs="FrankRuehl"/>
            <w:color w:val="0000FF"/>
            <w:rtl/>
          </w:rPr>
          <w:t>329(א)(1)</w:t>
        </w:r>
      </w:hyperlink>
      <w:r w:rsidRPr="00C72DA3">
        <w:rPr>
          <w:rFonts w:ascii="FrankRuehl" w:hAnsi="FrankRuehl" w:cs="FrankRuehl"/>
          <w:rtl/>
        </w:rPr>
        <w:t xml:space="preserve">, </w:t>
      </w:r>
      <w:hyperlink r:id="rId14" w:history="1">
        <w:r w:rsidRPr="00C72DA3">
          <w:rPr>
            <w:rFonts w:ascii="FrankRuehl" w:hAnsi="FrankRuehl" w:cs="FrankRuehl"/>
            <w:color w:val="0000FF"/>
            <w:rtl/>
          </w:rPr>
          <w:t>329(א)(2)</w:t>
        </w:r>
      </w:hyperlink>
      <w:r w:rsidRPr="00C72DA3">
        <w:rPr>
          <w:rFonts w:ascii="FrankRuehl" w:hAnsi="FrankRuehl" w:cs="FrankRuehl"/>
          <w:rtl/>
        </w:rPr>
        <w:t xml:space="preserve">, </w:t>
      </w:r>
      <w:hyperlink r:id="rId15" w:history="1">
        <w:r w:rsidRPr="00C72DA3">
          <w:rPr>
            <w:rFonts w:ascii="FrankRuehl" w:hAnsi="FrankRuehl" w:cs="FrankRuehl"/>
            <w:color w:val="0000FF"/>
            <w:rtl/>
          </w:rPr>
          <w:t>40 יא'</w:t>
        </w:r>
      </w:hyperlink>
      <w:r w:rsidRPr="00C72DA3">
        <w:rPr>
          <w:rFonts w:ascii="FrankRuehl" w:hAnsi="FrankRuehl" w:cs="FrankRuehl"/>
          <w:rtl/>
        </w:rPr>
        <w:t xml:space="preserve">, </w:t>
      </w:r>
      <w:hyperlink r:id="rId16" w:history="1">
        <w:r w:rsidRPr="00C72DA3">
          <w:rPr>
            <w:rFonts w:ascii="FrankRuehl" w:hAnsi="FrankRuehl" w:cs="FrankRuehl"/>
            <w:color w:val="0000FF"/>
            <w:rtl/>
          </w:rPr>
          <w:t>413ה</w:t>
        </w:r>
      </w:hyperlink>
      <w:r w:rsidRPr="00C72DA3">
        <w:rPr>
          <w:rFonts w:ascii="FrankRuehl" w:hAnsi="FrankRuehl" w:cs="FrankRuehl"/>
          <w:rtl/>
        </w:rPr>
        <w:t xml:space="preserve">, </w:t>
      </w:r>
      <w:hyperlink r:id="rId17" w:history="1">
        <w:r w:rsidRPr="00C72DA3">
          <w:rPr>
            <w:rFonts w:ascii="FrankRuehl" w:hAnsi="FrankRuehl" w:cs="FrankRuehl"/>
            <w:color w:val="0000FF"/>
            <w:rtl/>
          </w:rPr>
          <w:t>א'1 לפרק ו'</w:t>
        </w:r>
      </w:hyperlink>
      <w:r w:rsidRPr="00C72DA3">
        <w:rPr>
          <w:rFonts w:ascii="FrankRuehl" w:hAnsi="FrankRuehl" w:cs="FrankRuehl"/>
          <w:rtl/>
        </w:rPr>
        <w:t xml:space="preserve">, </w:t>
      </w:r>
      <w:hyperlink r:id="rId18" w:history="1">
        <w:r w:rsidRPr="00C72DA3">
          <w:rPr>
            <w:rFonts w:ascii="FrankRuehl" w:hAnsi="FrankRuehl" w:cs="FrankRuehl"/>
            <w:color w:val="0000FF"/>
            <w:rtl/>
          </w:rPr>
          <w:t>ה'1</w:t>
        </w:r>
      </w:hyperlink>
    </w:p>
    <w:p w14:paraId="69C40B48" w14:textId="77777777" w:rsidR="00C72DA3" w:rsidRPr="00C72DA3" w:rsidRDefault="00C72DA3" w:rsidP="00C72DA3">
      <w:pPr>
        <w:spacing w:before="120" w:after="120" w:line="240" w:lineRule="exact"/>
        <w:ind w:left="283" w:hanging="283"/>
        <w:jc w:val="both"/>
        <w:rPr>
          <w:rFonts w:ascii="FrankRuehl" w:hAnsi="FrankRuehl" w:cs="FrankRuehl"/>
          <w:rtl/>
        </w:rPr>
      </w:pPr>
      <w:hyperlink r:id="rId19" w:history="1">
        <w:r w:rsidRPr="00C72DA3">
          <w:rPr>
            <w:rFonts w:ascii="FrankRuehl" w:hAnsi="FrankRuehl" w:cs="FrankRuehl"/>
            <w:color w:val="0000FF"/>
            <w:rtl/>
          </w:rPr>
          <w:t>פקודת סדר הדין הפלילי (מעצר וחיפוש) [נוסח חדש], תשכ"ט-1969</w:t>
        </w:r>
      </w:hyperlink>
      <w:r w:rsidRPr="00C72DA3">
        <w:rPr>
          <w:rFonts w:ascii="FrankRuehl" w:hAnsi="FrankRuehl" w:cs="FrankRuehl"/>
          <w:rtl/>
        </w:rPr>
        <w:t xml:space="preserve">: סע'  </w:t>
      </w:r>
      <w:hyperlink r:id="rId20" w:history="1">
        <w:r w:rsidRPr="00C72DA3">
          <w:rPr>
            <w:rFonts w:ascii="FrankRuehl" w:hAnsi="FrankRuehl" w:cs="FrankRuehl"/>
            <w:color w:val="0000FF"/>
            <w:rtl/>
          </w:rPr>
          <w:t>32</w:t>
        </w:r>
      </w:hyperlink>
      <w:r w:rsidRPr="00C72DA3">
        <w:rPr>
          <w:rFonts w:ascii="FrankRuehl" w:hAnsi="FrankRuehl" w:cs="FrankRuehl"/>
          <w:rtl/>
        </w:rPr>
        <w:t xml:space="preserve">, </w:t>
      </w:r>
      <w:hyperlink r:id="rId21" w:history="1">
        <w:r w:rsidRPr="00C72DA3">
          <w:rPr>
            <w:rFonts w:ascii="FrankRuehl" w:hAnsi="FrankRuehl" w:cs="FrankRuehl"/>
            <w:color w:val="0000FF"/>
            <w:rtl/>
          </w:rPr>
          <w:t>32 (א)</w:t>
        </w:r>
      </w:hyperlink>
      <w:r w:rsidRPr="00C72DA3">
        <w:rPr>
          <w:rFonts w:ascii="FrankRuehl" w:hAnsi="FrankRuehl" w:cs="FrankRuehl"/>
          <w:rtl/>
        </w:rPr>
        <w:t xml:space="preserve">, </w:t>
      </w:r>
      <w:hyperlink r:id="rId22" w:history="1">
        <w:r w:rsidRPr="00C72DA3">
          <w:rPr>
            <w:rFonts w:ascii="FrankRuehl" w:hAnsi="FrankRuehl" w:cs="FrankRuehl"/>
            <w:color w:val="0000FF"/>
            <w:rtl/>
          </w:rPr>
          <w:t>39</w:t>
        </w:r>
      </w:hyperlink>
      <w:r w:rsidRPr="00C72DA3">
        <w:rPr>
          <w:rFonts w:ascii="FrankRuehl" w:hAnsi="FrankRuehl" w:cs="FrankRuehl"/>
          <w:rtl/>
        </w:rPr>
        <w:t xml:space="preserve">, </w:t>
      </w:r>
      <w:hyperlink r:id="rId23" w:history="1">
        <w:r w:rsidRPr="00C72DA3">
          <w:rPr>
            <w:rFonts w:ascii="FrankRuehl" w:hAnsi="FrankRuehl" w:cs="FrankRuehl"/>
            <w:color w:val="0000FF"/>
            <w:rtl/>
          </w:rPr>
          <w:t>39(א)</w:t>
        </w:r>
      </w:hyperlink>
    </w:p>
    <w:p w14:paraId="20F1A5D8" w14:textId="77777777" w:rsidR="00C72DA3" w:rsidRPr="00C72DA3" w:rsidRDefault="00C72DA3" w:rsidP="00C72DA3">
      <w:pPr>
        <w:rPr>
          <w:rFonts w:ascii="Arial" w:hAnsi="Arial"/>
          <w:sz w:val="26"/>
          <w:szCs w:val="26"/>
          <w:rtl/>
        </w:rPr>
      </w:pPr>
      <w:bookmarkStart w:id="6" w:name="LawTable_End"/>
      <w:bookmarkEnd w:id="6"/>
    </w:p>
    <w:p w14:paraId="71741D64" w14:textId="77777777" w:rsidR="00441AC5" w:rsidRPr="00C72DA3" w:rsidRDefault="00441AC5" w:rsidP="00FB3136">
      <w:pPr>
        <w:rPr>
          <w:rFonts w:ascii="Arial" w:hAnsi="Arial"/>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441AC5" w14:paraId="0171D1C7" w14:textId="77777777" w:rsidTr="00441AC5">
        <w:trPr>
          <w:trHeight w:val="355"/>
          <w:jc w:val="center"/>
        </w:trPr>
        <w:tc>
          <w:tcPr>
            <w:tcW w:w="8505" w:type="dxa"/>
            <w:tcBorders>
              <w:top w:val="nil"/>
              <w:left w:val="nil"/>
              <w:bottom w:val="nil"/>
              <w:right w:val="nil"/>
            </w:tcBorders>
            <w:shd w:val="clear" w:color="auto" w:fill="auto"/>
          </w:tcPr>
          <w:p w14:paraId="0E9881F0" w14:textId="77777777" w:rsidR="003575B0" w:rsidRPr="003575B0" w:rsidRDefault="003575B0" w:rsidP="003575B0">
            <w:pPr>
              <w:jc w:val="center"/>
              <w:rPr>
                <w:rFonts w:ascii="David" w:hAnsi="David"/>
                <w:b/>
                <w:bCs/>
                <w:sz w:val="32"/>
                <w:szCs w:val="32"/>
                <w:u w:val="single"/>
                <w:rtl/>
              </w:rPr>
            </w:pPr>
            <w:bookmarkStart w:id="7" w:name="PsakDin" w:colFirst="0" w:colLast="0"/>
            <w:bookmarkEnd w:id="0"/>
            <w:r w:rsidRPr="003575B0">
              <w:rPr>
                <w:rFonts w:ascii="David" w:hAnsi="David"/>
                <w:b/>
                <w:bCs/>
                <w:sz w:val="32"/>
                <w:szCs w:val="32"/>
                <w:u w:val="single"/>
                <w:rtl/>
              </w:rPr>
              <w:t>גזר דין</w:t>
            </w:r>
          </w:p>
          <w:p w14:paraId="0BBD8A5D" w14:textId="77777777" w:rsidR="00441AC5" w:rsidRPr="003575B0" w:rsidRDefault="00441AC5" w:rsidP="003575B0">
            <w:pPr>
              <w:jc w:val="center"/>
              <w:rPr>
                <w:rFonts w:ascii="David" w:hAnsi="David"/>
                <w:bCs/>
                <w:sz w:val="32"/>
                <w:szCs w:val="32"/>
                <w:u w:val="single"/>
                <w:rtl/>
              </w:rPr>
            </w:pPr>
          </w:p>
        </w:tc>
      </w:tr>
      <w:bookmarkEnd w:id="7"/>
    </w:tbl>
    <w:p w14:paraId="0689776B" w14:textId="77777777" w:rsidR="00441AC5" w:rsidRPr="000F2247" w:rsidRDefault="00441AC5" w:rsidP="00441AC5">
      <w:pPr>
        <w:rPr>
          <w:rFonts w:ascii="Arial" w:hAnsi="Arial"/>
          <w:b/>
          <w:bCs/>
          <w:sz w:val="26"/>
          <w:szCs w:val="26"/>
          <w:rtl/>
        </w:rPr>
      </w:pPr>
    </w:p>
    <w:p w14:paraId="62B6F938" w14:textId="77777777" w:rsidR="00441AC5" w:rsidRDefault="00441AC5" w:rsidP="00441AC5">
      <w:pPr>
        <w:rPr>
          <w:rFonts w:ascii="Arial" w:hAnsi="Arial"/>
          <w:b/>
          <w:bCs/>
          <w:sz w:val="26"/>
          <w:szCs w:val="26"/>
          <w:rtl/>
        </w:rPr>
      </w:pPr>
    </w:p>
    <w:p w14:paraId="2083CB45" w14:textId="77777777" w:rsidR="00441AC5" w:rsidRDefault="00441AC5" w:rsidP="00441AC5">
      <w:pPr>
        <w:spacing w:line="360" w:lineRule="auto"/>
        <w:rPr>
          <w:rFonts w:ascii="Arial" w:hAnsi="Arial"/>
          <w:b/>
          <w:bCs/>
          <w:sz w:val="26"/>
          <w:szCs w:val="26"/>
        </w:rPr>
      </w:pPr>
      <w:r>
        <w:rPr>
          <w:rFonts w:ascii="Arial" w:hAnsi="Arial"/>
          <w:b/>
          <w:bCs/>
          <w:sz w:val="26"/>
          <w:szCs w:val="26"/>
          <w:rtl/>
        </w:rPr>
        <w:t xml:space="preserve">כתב האישום ומהלך הדיון </w:t>
      </w:r>
    </w:p>
    <w:p w14:paraId="7B19DC32" w14:textId="77777777" w:rsidR="00441AC5" w:rsidRDefault="00441AC5" w:rsidP="00441AC5">
      <w:pPr>
        <w:spacing w:line="360" w:lineRule="auto"/>
        <w:rPr>
          <w:rFonts w:ascii="Arial" w:hAnsi="Arial"/>
          <w:b/>
          <w:bCs/>
          <w:sz w:val="26"/>
          <w:szCs w:val="26"/>
          <w:rtl/>
        </w:rPr>
      </w:pPr>
    </w:p>
    <w:p w14:paraId="2A216AF8" w14:textId="77777777" w:rsidR="00441AC5" w:rsidRDefault="00441AC5" w:rsidP="00441AC5">
      <w:pPr>
        <w:numPr>
          <w:ilvl w:val="0"/>
          <w:numId w:val="3"/>
        </w:numPr>
        <w:spacing w:line="360" w:lineRule="auto"/>
        <w:ind w:left="57"/>
        <w:contextualSpacing/>
        <w:jc w:val="both"/>
        <w:rPr>
          <w:rFonts w:ascii="Arial" w:hAnsi="Arial"/>
        </w:rPr>
      </w:pPr>
      <w:bookmarkStart w:id="8" w:name="ABSTRACT_START"/>
      <w:bookmarkEnd w:id="8"/>
      <w:r w:rsidRPr="005C7EBC">
        <w:rPr>
          <w:rFonts w:ascii="Arial" w:hAnsi="Arial"/>
          <w:rtl/>
        </w:rPr>
        <w:t>הנאש</w:t>
      </w:r>
      <w:r>
        <w:rPr>
          <w:rFonts w:ascii="Arial" w:hAnsi="Arial" w:hint="cs"/>
          <w:rtl/>
        </w:rPr>
        <w:t>מי</w:t>
      </w:r>
      <w:r w:rsidRPr="005C7EBC">
        <w:rPr>
          <w:rFonts w:ascii="Arial" w:hAnsi="Arial"/>
          <w:rtl/>
        </w:rPr>
        <w:t>ם הורשע</w:t>
      </w:r>
      <w:r>
        <w:rPr>
          <w:rFonts w:ascii="Arial" w:hAnsi="Arial" w:hint="cs"/>
          <w:rtl/>
        </w:rPr>
        <w:t>ו</w:t>
      </w:r>
      <w:r w:rsidRPr="005C7EBC">
        <w:rPr>
          <w:rFonts w:ascii="Arial" w:hAnsi="Arial"/>
          <w:rtl/>
        </w:rPr>
        <w:t xml:space="preserve"> על פי הודאת</w:t>
      </w:r>
      <w:r>
        <w:rPr>
          <w:rFonts w:ascii="Arial" w:hAnsi="Arial" w:hint="cs"/>
          <w:rtl/>
        </w:rPr>
        <w:t>ם</w:t>
      </w:r>
      <w:r w:rsidRPr="005C7EBC">
        <w:rPr>
          <w:rFonts w:ascii="Arial" w:hAnsi="Arial"/>
          <w:rtl/>
        </w:rPr>
        <w:t xml:space="preserve"> בעובדות כתב אישום שתוקן במסגרת הסדר טיעון, בעבירות הבאות: </w:t>
      </w:r>
      <w:r>
        <w:rPr>
          <w:rFonts w:ascii="Arial" w:hAnsi="Arial" w:hint="cs"/>
          <w:rtl/>
        </w:rPr>
        <w:t xml:space="preserve">חבלה בכוונה מחמירה לפי </w:t>
      </w:r>
      <w:hyperlink r:id="rId24" w:history="1">
        <w:r w:rsidR="00553DC4" w:rsidRPr="00553DC4">
          <w:rPr>
            <w:rStyle w:val="Hyperlink"/>
            <w:rFonts w:ascii="Arial" w:hAnsi="Arial" w:hint="eastAsia"/>
            <w:rtl/>
          </w:rPr>
          <w:t>סעיף</w:t>
        </w:r>
        <w:r w:rsidR="00553DC4" w:rsidRPr="00553DC4">
          <w:rPr>
            <w:rStyle w:val="Hyperlink"/>
            <w:rFonts w:ascii="Arial" w:hAnsi="Arial"/>
            <w:rtl/>
          </w:rPr>
          <w:t xml:space="preserve"> 329(א)(2)</w:t>
        </w:r>
      </w:hyperlink>
      <w:r>
        <w:rPr>
          <w:rFonts w:ascii="Arial" w:hAnsi="Arial" w:hint="cs"/>
          <w:rtl/>
        </w:rPr>
        <w:t xml:space="preserve"> בשילוב </w:t>
      </w:r>
      <w:hyperlink r:id="rId25" w:history="1">
        <w:r w:rsidR="00553DC4" w:rsidRPr="00553DC4">
          <w:rPr>
            <w:rStyle w:val="Hyperlink"/>
            <w:rFonts w:ascii="Arial" w:hAnsi="Arial" w:hint="eastAsia"/>
            <w:rtl/>
          </w:rPr>
          <w:t>סעיף</w:t>
        </w:r>
        <w:r w:rsidR="00553DC4" w:rsidRPr="00553DC4">
          <w:rPr>
            <w:rStyle w:val="Hyperlink"/>
            <w:rFonts w:ascii="Arial" w:hAnsi="Arial"/>
            <w:rtl/>
          </w:rPr>
          <w:t xml:space="preserve"> 29</w:t>
        </w:r>
      </w:hyperlink>
      <w:r>
        <w:rPr>
          <w:rFonts w:ascii="Arial" w:hAnsi="Arial" w:hint="cs"/>
          <w:rtl/>
        </w:rPr>
        <w:t xml:space="preserve"> ל</w:t>
      </w:r>
      <w:hyperlink r:id="rId26" w:history="1">
        <w:r w:rsidR="003575B0" w:rsidRPr="003575B0">
          <w:rPr>
            <w:rFonts w:ascii="Arial" w:hAnsi="Arial"/>
            <w:color w:val="0000FF"/>
            <w:u w:val="single"/>
            <w:rtl/>
          </w:rPr>
          <w:t>חוק העונשין</w:t>
        </w:r>
      </w:hyperlink>
      <w:r>
        <w:rPr>
          <w:rFonts w:ascii="Arial" w:hAnsi="Arial" w:hint="cs"/>
          <w:rtl/>
        </w:rPr>
        <w:t xml:space="preserve">, </w:t>
      </w:r>
      <w:r>
        <w:rPr>
          <w:rFonts w:ascii="Arial" w:hAnsi="Arial" w:hint="cs"/>
          <w:rtl/>
        </w:rPr>
        <w:lastRenderedPageBreak/>
        <w:t xml:space="preserve">התשל"ז-1977 (להלן: </w:t>
      </w:r>
      <w:r w:rsidRPr="00B0227C">
        <w:rPr>
          <w:rFonts w:ascii="Arial" w:hAnsi="Arial" w:hint="cs"/>
          <w:b/>
          <w:bCs/>
          <w:rtl/>
        </w:rPr>
        <w:t>חוק העונשין</w:t>
      </w:r>
      <w:r>
        <w:rPr>
          <w:rFonts w:ascii="Arial" w:hAnsi="Arial" w:hint="cs"/>
          <w:rtl/>
        </w:rPr>
        <w:t xml:space="preserve">); חבלה במזיד ברכב לפי </w:t>
      </w:r>
      <w:hyperlink r:id="rId27" w:history="1">
        <w:r w:rsidR="00553DC4" w:rsidRPr="00553DC4">
          <w:rPr>
            <w:rStyle w:val="Hyperlink"/>
            <w:rFonts w:ascii="Arial" w:hAnsi="Arial" w:hint="eastAsia"/>
            <w:rtl/>
          </w:rPr>
          <w:t>סעיף</w:t>
        </w:r>
        <w:r w:rsidR="00553DC4" w:rsidRPr="00553DC4">
          <w:rPr>
            <w:rStyle w:val="Hyperlink"/>
            <w:rFonts w:ascii="Arial" w:hAnsi="Arial"/>
            <w:rtl/>
          </w:rPr>
          <w:t xml:space="preserve"> 413ה</w:t>
        </w:r>
      </w:hyperlink>
      <w:r>
        <w:rPr>
          <w:rFonts w:ascii="Arial" w:hAnsi="Arial" w:hint="cs"/>
          <w:rtl/>
        </w:rPr>
        <w:t xml:space="preserve"> לחוק העונשין בשילוב </w:t>
      </w:r>
      <w:hyperlink r:id="rId28" w:history="1">
        <w:r w:rsidR="00553DC4" w:rsidRPr="00553DC4">
          <w:rPr>
            <w:rStyle w:val="Hyperlink"/>
            <w:rFonts w:ascii="Arial" w:hAnsi="Arial" w:hint="eastAsia"/>
            <w:rtl/>
          </w:rPr>
          <w:t>סעיף</w:t>
        </w:r>
        <w:r w:rsidR="00553DC4" w:rsidRPr="00553DC4">
          <w:rPr>
            <w:rStyle w:val="Hyperlink"/>
            <w:rFonts w:ascii="Arial" w:hAnsi="Arial"/>
            <w:rtl/>
          </w:rPr>
          <w:t xml:space="preserve"> 29</w:t>
        </w:r>
      </w:hyperlink>
      <w:r>
        <w:rPr>
          <w:rFonts w:ascii="Arial" w:hAnsi="Arial" w:hint="cs"/>
          <w:rtl/>
        </w:rPr>
        <w:t xml:space="preserve"> לחוק העונשין. </w:t>
      </w:r>
    </w:p>
    <w:p w14:paraId="5F1168DC" w14:textId="77777777" w:rsidR="00441AC5" w:rsidRPr="00EE51CC" w:rsidRDefault="00441AC5" w:rsidP="00441AC5">
      <w:pPr>
        <w:spacing w:line="360" w:lineRule="auto"/>
        <w:ind w:left="57"/>
        <w:contextualSpacing/>
        <w:jc w:val="both"/>
        <w:rPr>
          <w:rFonts w:ascii="Arial" w:hAnsi="Arial"/>
          <w:rtl/>
        </w:rPr>
      </w:pPr>
      <w:bookmarkStart w:id="9" w:name="ABSTRACT_END"/>
      <w:bookmarkEnd w:id="9"/>
    </w:p>
    <w:p w14:paraId="39F0A5AD" w14:textId="77777777" w:rsidR="00441AC5" w:rsidRDefault="00441AC5" w:rsidP="00441AC5">
      <w:pPr>
        <w:numPr>
          <w:ilvl w:val="0"/>
          <w:numId w:val="3"/>
        </w:numPr>
        <w:spacing w:line="360" w:lineRule="auto"/>
        <w:ind w:left="57"/>
        <w:contextualSpacing/>
        <w:jc w:val="both"/>
        <w:rPr>
          <w:rFonts w:ascii="Arial" w:hAnsi="Arial"/>
        </w:rPr>
      </w:pPr>
      <w:r>
        <w:rPr>
          <w:rFonts w:ascii="Arial" w:hAnsi="Arial" w:hint="cs"/>
          <w:rtl/>
        </w:rPr>
        <w:t>ב</w:t>
      </w:r>
      <w:r>
        <w:rPr>
          <w:rFonts w:ascii="Arial" w:hAnsi="Arial"/>
          <w:rtl/>
        </w:rPr>
        <w:t>כתב האישום המתוקן</w:t>
      </w:r>
      <w:r>
        <w:rPr>
          <w:rFonts w:ascii="Arial" w:hAnsi="Arial" w:hint="cs"/>
          <w:rtl/>
        </w:rPr>
        <w:t xml:space="preserve"> צוין כי הנאשמים הם בני דודים וקרובי משפחה של הקטין עלי בדראן (להלן: </w:t>
      </w:r>
      <w:r w:rsidRPr="0083424D">
        <w:rPr>
          <w:rFonts w:ascii="Arial" w:hAnsi="Arial" w:hint="cs"/>
          <w:b/>
          <w:bCs/>
          <w:rtl/>
        </w:rPr>
        <w:t>עלי</w:t>
      </w:r>
      <w:r>
        <w:rPr>
          <w:rFonts w:ascii="Arial" w:hAnsi="Arial" w:hint="cs"/>
          <w:rtl/>
        </w:rPr>
        <w:t xml:space="preserve">), ומתגוררים בישוב עין אלסהלה. כמו כן צוין כי בשימושו של נאשם 1 רכב מסוג טויוטה לנד קרוזר מספר רישוי 8819457 (להלן: </w:t>
      </w:r>
      <w:r>
        <w:rPr>
          <w:rFonts w:ascii="Arial" w:hAnsi="Arial" w:hint="cs"/>
          <w:b/>
          <w:bCs/>
          <w:rtl/>
        </w:rPr>
        <w:t xml:space="preserve">הרכב </w:t>
      </w:r>
      <w:r w:rsidRPr="005C1399">
        <w:rPr>
          <w:rFonts w:ascii="Arial" w:hAnsi="Arial" w:hint="cs"/>
          <w:rtl/>
        </w:rPr>
        <w:t>או</w:t>
      </w:r>
      <w:r>
        <w:rPr>
          <w:rFonts w:ascii="Arial" w:hAnsi="Arial" w:hint="cs"/>
          <w:b/>
          <w:bCs/>
          <w:rtl/>
        </w:rPr>
        <w:t xml:space="preserve"> </w:t>
      </w:r>
      <w:r w:rsidRPr="00B0227C">
        <w:rPr>
          <w:rFonts w:ascii="Arial" w:hAnsi="Arial" w:hint="cs"/>
          <w:b/>
          <w:bCs/>
          <w:rtl/>
        </w:rPr>
        <w:t>רכב</w:t>
      </w:r>
      <w:r>
        <w:rPr>
          <w:rFonts w:ascii="Arial" w:hAnsi="Arial" w:hint="cs"/>
          <w:b/>
          <w:bCs/>
          <w:rtl/>
        </w:rPr>
        <w:t xml:space="preserve"> הטויוטה</w:t>
      </w:r>
      <w:r>
        <w:rPr>
          <w:rFonts w:ascii="Arial" w:hAnsi="Arial" w:hint="cs"/>
          <w:rtl/>
        </w:rPr>
        <w:t xml:space="preserve">). עוד צוין כי סאלח גוהגאה המכונה "דידו" (להלן: </w:t>
      </w:r>
      <w:r w:rsidRPr="00B0227C">
        <w:rPr>
          <w:rFonts w:ascii="Arial" w:hAnsi="Arial" w:hint="cs"/>
          <w:b/>
          <w:bCs/>
          <w:rtl/>
        </w:rPr>
        <w:t>דידו</w:t>
      </w:r>
      <w:r>
        <w:rPr>
          <w:rFonts w:ascii="Arial" w:hAnsi="Arial" w:hint="cs"/>
          <w:rtl/>
        </w:rPr>
        <w:t xml:space="preserve">) מתגורר בערערה ועובד במועצה המקומית ערערה (להלן: </w:t>
      </w:r>
      <w:r w:rsidRPr="00B0227C">
        <w:rPr>
          <w:rFonts w:ascii="Arial" w:hAnsi="Arial" w:hint="cs"/>
          <w:b/>
          <w:bCs/>
          <w:rtl/>
        </w:rPr>
        <w:t>המועצה</w:t>
      </w:r>
      <w:r>
        <w:rPr>
          <w:rFonts w:ascii="Arial" w:hAnsi="Arial" w:hint="cs"/>
          <w:rtl/>
        </w:rPr>
        <w:t xml:space="preserve">). </w:t>
      </w:r>
    </w:p>
    <w:p w14:paraId="6010AAF2" w14:textId="77777777" w:rsidR="00441AC5" w:rsidRDefault="00441AC5" w:rsidP="00441AC5">
      <w:pPr>
        <w:pStyle w:val="af"/>
        <w:rPr>
          <w:rFonts w:ascii="Arial" w:hAnsi="Arial"/>
          <w:rtl/>
        </w:rPr>
      </w:pPr>
    </w:p>
    <w:p w14:paraId="7A7B0297" w14:textId="77777777" w:rsidR="00441AC5" w:rsidRDefault="00441AC5" w:rsidP="00441AC5">
      <w:pPr>
        <w:spacing w:line="360" w:lineRule="auto"/>
        <w:ind w:left="57" w:firstLine="510"/>
        <w:contextualSpacing/>
        <w:jc w:val="both"/>
        <w:rPr>
          <w:rFonts w:ascii="Arial" w:hAnsi="Arial"/>
          <w:rtl/>
        </w:rPr>
      </w:pPr>
      <w:r>
        <w:rPr>
          <w:rFonts w:ascii="Arial" w:hAnsi="Arial" w:hint="cs"/>
          <w:rtl/>
        </w:rPr>
        <w:t xml:space="preserve">על פי עובדות כתב האישום המתוקן, ביום 12.12.2021 התרחשה קטטה בה נפגע עלי. הנאשמים חשדו כי דידו לקח חלק בקטטה וסייע לאחר שפגע בעלי. על רקע חשדם של הנאשמים, ביום 19.12.2021 או סמוך לכך, קשרו הנאשמים ואחרים קשר לתקוף את דידו ולגרום לו לחבלות, באופן שיארבו לו סמוך לבניין המועצה בשעה בה הוא נוהג לצאת ממקום העבודה. </w:t>
      </w:r>
    </w:p>
    <w:p w14:paraId="5C1F64A6" w14:textId="77777777" w:rsidR="00441AC5" w:rsidRDefault="00441AC5" w:rsidP="00441AC5">
      <w:pPr>
        <w:spacing w:line="360" w:lineRule="auto"/>
        <w:ind w:left="57" w:firstLine="510"/>
        <w:contextualSpacing/>
        <w:jc w:val="both"/>
        <w:rPr>
          <w:rFonts w:ascii="Arial" w:hAnsi="Arial"/>
          <w:rtl/>
        </w:rPr>
      </w:pPr>
    </w:p>
    <w:p w14:paraId="3B650FA5" w14:textId="77777777" w:rsidR="00441AC5" w:rsidRDefault="00441AC5" w:rsidP="00441AC5">
      <w:pPr>
        <w:spacing w:line="360" w:lineRule="auto"/>
        <w:ind w:left="57" w:firstLine="510"/>
        <w:contextualSpacing/>
        <w:jc w:val="both"/>
        <w:rPr>
          <w:rFonts w:ascii="Arial" w:hAnsi="Arial"/>
          <w:rtl/>
        </w:rPr>
      </w:pPr>
      <w:r>
        <w:rPr>
          <w:rFonts w:ascii="Arial" w:hAnsi="Arial" w:hint="cs"/>
          <w:rtl/>
        </w:rPr>
        <w:t xml:space="preserve">לשם מימוש הקשר ולצורך קידומו, הצטיידו הנאשמים באלות ונסעו ברכב מסוג סיטרואן ברלינגו שפרטיו אינם ידועים למאשימה (להלן: </w:t>
      </w:r>
      <w:r w:rsidRPr="00386727">
        <w:rPr>
          <w:rFonts w:ascii="Arial" w:hAnsi="Arial" w:hint="cs"/>
          <w:b/>
          <w:bCs/>
          <w:rtl/>
        </w:rPr>
        <w:t>רכב הסיטרואן</w:t>
      </w:r>
      <w:r>
        <w:rPr>
          <w:rFonts w:ascii="Arial" w:hAnsi="Arial" w:hint="cs"/>
          <w:rtl/>
        </w:rPr>
        <w:t xml:space="preserve">). ביום 20.12.2021 סמוך לשעה 16:15 נסע נאשם 2 ברכב הסיטרואן יחד עם שניים מהאחרים, כשברשותם האלות, לכיוון המועצה; ואילו נאשם 1 נהג ברכב הטויוטה ונסע בתיאום עמם מכיוון עין אלסהלה לבניין המועצה. בהגיעם סמוך למועצה, עצר נאשם 1 את רכב הטויוטה במרחק מספר מטרים מחניית המועצה כשהוא חוסם חלק מהכביש ומתצפת על רכב הסיטרואן אשר נעצר סמוך לחנייה של המועצה. </w:t>
      </w:r>
    </w:p>
    <w:p w14:paraId="2F15F087" w14:textId="77777777" w:rsidR="00441AC5" w:rsidRDefault="00441AC5" w:rsidP="00441AC5">
      <w:pPr>
        <w:spacing w:line="360" w:lineRule="auto"/>
        <w:ind w:left="57" w:firstLine="510"/>
        <w:contextualSpacing/>
        <w:jc w:val="both"/>
        <w:rPr>
          <w:rFonts w:ascii="Arial" w:hAnsi="Arial"/>
          <w:rtl/>
        </w:rPr>
      </w:pPr>
    </w:p>
    <w:p w14:paraId="77B93EBC" w14:textId="77777777" w:rsidR="00441AC5" w:rsidRDefault="00441AC5" w:rsidP="00441AC5">
      <w:pPr>
        <w:spacing w:line="360" w:lineRule="auto"/>
        <w:ind w:left="57" w:firstLine="510"/>
        <w:contextualSpacing/>
        <w:jc w:val="both"/>
        <w:rPr>
          <w:rFonts w:ascii="Arial" w:hAnsi="Arial"/>
          <w:rtl/>
        </w:rPr>
      </w:pPr>
      <w:r>
        <w:rPr>
          <w:rFonts w:ascii="Arial" w:hAnsi="Arial" w:hint="cs"/>
          <w:rtl/>
        </w:rPr>
        <w:t xml:space="preserve">סמוך לשעה 16:19 יצא דידו מבניין המועצה ונכנס לרכבו מסוג יונדאי, אשר חנה בכביש בחניית המועצה. דידו התניע את הרכב והחל בנסיעה. בשלב זה, חסמו הנאשמים והאחרים באמצעות רכב הסיטרואן את הרכב של דידו. נאשם 2 יחד עם שני אחרים יצאו מרכב הסיטרואן כשהם רעולי פנים ואוחזים באלות (להלן: </w:t>
      </w:r>
      <w:r w:rsidRPr="00E5241D">
        <w:rPr>
          <w:rFonts w:ascii="Arial" w:hAnsi="Arial" w:hint="cs"/>
          <w:b/>
          <w:bCs/>
          <w:rtl/>
        </w:rPr>
        <w:t>התוקפים</w:t>
      </w:r>
      <w:r>
        <w:rPr>
          <w:rFonts w:ascii="Arial" w:hAnsi="Arial" w:hint="cs"/>
          <w:rtl/>
        </w:rPr>
        <w:t xml:space="preserve">), והחלו לחבוט ברכב של דידו באמצעות האלות על מנת להטיל עליו אימה ולגרום נזק לרכבו, כמו כן תקפו את דידו באמצעות אלה שהוטחה בו מבעד לחלון דלת הנהג בכוונה לגרום לו חבלה חמורה, פגעו באמצעות אלה בידו השמאלית וגרמו לו לחבלה וכאב. </w:t>
      </w:r>
    </w:p>
    <w:p w14:paraId="18A8AE61" w14:textId="77777777" w:rsidR="00441AC5" w:rsidRDefault="00441AC5" w:rsidP="00441AC5">
      <w:pPr>
        <w:spacing w:line="360" w:lineRule="auto"/>
        <w:ind w:left="57" w:firstLine="510"/>
        <w:contextualSpacing/>
        <w:jc w:val="both"/>
        <w:rPr>
          <w:rFonts w:ascii="Arial" w:hAnsi="Arial"/>
          <w:rtl/>
        </w:rPr>
      </w:pPr>
    </w:p>
    <w:p w14:paraId="1A36914A" w14:textId="77777777" w:rsidR="00441AC5" w:rsidRDefault="00441AC5" w:rsidP="00441AC5">
      <w:pPr>
        <w:spacing w:line="360" w:lineRule="auto"/>
        <w:ind w:left="57" w:firstLine="510"/>
        <w:contextualSpacing/>
        <w:jc w:val="both"/>
        <w:rPr>
          <w:rFonts w:ascii="Arial" w:hAnsi="Arial"/>
          <w:rtl/>
        </w:rPr>
      </w:pPr>
      <w:r>
        <w:rPr>
          <w:rFonts w:ascii="Arial" w:hAnsi="Arial" w:hint="cs"/>
          <w:rtl/>
        </w:rPr>
        <w:t xml:space="preserve">בשלב זה דידו החל בנסיעה אחורנית במטרה להימלט, פגע ברכב אשר חנה בסמוך, המשיך בנסיעה, פגע באחד התוקפים והפילו לכביש. או אז, אחד התוקפים שזהותו אינה ידועה למאשימה הוציא ממכנסיו אקדח שהינו כלי שסוגל לירות כדור או קליע ושבכוחו להמית אדם (להלן: </w:t>
      </w:r>
      <w:r w:rsidRPr="002F5E3B">
        <w:rPr>
          <w:rFonts w:ascii="Arial" w:hAnsi="Arial" w:hint="cs"/>
          <w:b/>
          <w:bCs/>
          <w:rtl/>
        </w:rPr>
        <w:t>הנשק</w:t>
      </w:r>
      <w:r>
        <w:rPr>
          <w:rFonts w:ascii="Arial" w:hAnsi="Arial" w:hint="cs"/>
          <w:rtl/>
        </w:rPr>
        <w:t xml:space="preserve">), טעון בלפחות 3 קליעים מסוג 9 מ"מ התואמים לו, וירה 3 כדורים לכיוון הרכב של דידו באמצעות הנשק, ממרחק קצר של מספר מטרים בודדים, בכוונה להטיל בדידו נכות או מום או לגרום לו חבלה חמורה (להלן: </w:t>
      </w:r>
      <w:r w:rsidRPr="00E63A20">
        <w:rPr>
          <w:rFonts w:ascii="Arial" w:hAnsi="Arial" w:hint="cs"/>
          <w:b/>
          <w:bCs/>
          <w:rtl/>
        </w:rPr>
        <w:t>הירי</w:t>
      </w:r>
      <w:r>
        <w:rPr>
          <w:rFonts w:ascii="Arial" w:hAnsi="Arial" w:hint="cs"/>
          <w:rtl/>
        </w:rPr>
        <w:t xml:space="preserve">). שני כדורים פגעו ברכב של דידו בעודו נוהג ברכב. במהלך הירי שהתבצע סמוך לבניין המועצה שהו אזרחים באזור. בשלב זה דידו הצליח להימלט מהמקום והחל בנסיעה לכיוון ביתו, כאשר הנאשמים והאחרים רודפים אחריו, עד אשר הצליח להימלט מהם. </w:t>
      </w:r>
    </w:p>
    <w:p w14:paraId="3A707363" w14:textId="77777777" w:rsidR="00441AC5" w:rsidRDefault="00441AC5" w:rsidP="00441AC5">
      <w:pPr>
        <w:spacing w:line="360" w:lineRule="auto"/>
        <w:ind w:left="57" w:firstLine="510"/>
        <w:contextualSpacing/>
        <w:jc w:val="both"/>
        <w:rPr>
          <w:rFonts w:ascii="Arial" w:hAnsi="Arial"/>
          <w:rtl/>
        </w:rPr>
      </w:pPr>
    </w:p>
    <w:p w14:paraId="07077CF4" w14:textId="77777777" w:rsidR="00441AC5" w:rsidRDefault="00441AC5" w:rsidP="00441AC5">
      <w:pPr>
        <w:spacing w:line="360" w:lineRule="auto"/>
        <w:ind w:left="57" w:firstLine="510"/>
        <w:contextualSpacing/>
        <w:jc w:val="both"/>
        <w:rPr>
          <w:rFonts w:ascii="Arial" w:hAnsi="Arial"/>
        </w:rPr>
      </w:pPr>
      <w:r>
        <w:rPr>
          <w:rFonts w:ascii="Arial" w:hAnsi="Arial" w:hint="cs"/>
          <w:rtl/>
        </w:rPr>
        <w:t xml:space="preserve">כתוצאה ממעשיהם של הנאשמים שבוצעו בצוותא חדא, נגרם לדידו במרפק שמאל שפשוף חיצוני, נפיחות ניכרת, רגישות במישוש והגבלה בתנועה עקב כאבים. דידו התפנה לקבלת טיפול רפואי שם נחבש. כמו כן נגרמו נזקים לרכב של דידו במכסה מנוע, פח, ושמשה קדמית שעלות תיקונם היא בסך 17,557.92 ₪. </w:t>
      </w:r>
    </w:p>
    <w:p w14:paraId="455143E7" w14:textId="77777777" w:rsidR="00441AC5" w:rsidRDefault="00441AC5" w:rsidP="00441AC5">
      <w:pPr>
        <w:spacing w:line="360" w:lineRule="auto"/>
        <w:ind w:left="57"/>
        <w:contextualSpacing/>
        <w:jc w:val="both"/>
        <w:rPr>
          <w:rFonts w:ascii="Arial" w:hAnsi="Arial"/>
        </w:rPr>
      </w:pPr>
    </w:p>
    <w:p w14:paraId="59A6D5A6" w14:textId="77777777" w:rsidR="00441AC5" w:rsidRPr="000F58DE" w:rsidRDefault="00441AC5" w:rsidP="00441AC5">
      <w:pPr>
        <w:numPr>
          <w:ilvl w:val="0"/>
          <w:numId w:val="3"/>
        </w:numPr>
        <w:spacing w:line="360" w:lineRule="auto"/>
        <w:ind w:left="57"/>
        <w:contextualSpacing/>
        <w:jc w:val="both"/>
        <w:rPr>
          <w:rFonts w:ascii="Arial" w:hAnsi="Arial"/>
        </w:rPr>
      </w:pPr>
      <w:r w:rsidRPr="000F58DE">
        <w:rPr>
          <w:rFonts w:ascii="Arial" w:hAnsi="Arial" w:hint="cs"/>
          <w:rtl/>
        </w:rPr>
        <w:t>כתב האישום</w:t>
      </w:r>
      <w:r>
        <w:rPr>
          <w:rFonts w:ascii="Arial" w:hAnsi="Arial" w:hint="cs"/>
          <w:rtl/>
        </w:rPr>
        <w:t xml:space="preserve"> המתוקן כלל גם בקשה לחילוט רכב </w:t>
      </w:r>
      <w:r w:rsidRPr="000F58DE">
        <w:rPr>
          <w:rFonts w:ascii="Arial" w:hAnsi="Arial" w:hint="cs"/>
          <w:rtl/>
        </w:rPr>
        <w:t xml:space="preserve">הטויוטה ששימש את נאשם 1 לביצוע העבירות המיוחסות לו, וזאת בהתאם לסמכות הקבועה </w:t>
      </w:r>
      <w:hyperlink r:id="rId29" w:history="1">
        <w:r w:rsidR="00553DC4" w:rsidRPr="00553DC4">
          <w:rPr>
            <w:rStyle w:val="Hyperlink"/>
            <w:rFonts w:ascii="Arial" w:hAnsi="Arial" w:hint="eastAsia"/>
            <w:rtl/>
          </w:rPr>
          <w:t>בסעיפים</w:t>
        </w:r>
        <w:r w:rsidR="00553DC4" w:rsidRPr="00553DC4">
          <w:rPr>
            <w:rStyle w:val="Hyperlink"/>
            <w:rFonts w:ascii="Arial" w:hAnsi="Arial"/>
            <w:rtl/>
          </w:rPr>
          <w:t xml:space="preserve"> 32</w:t>
        </w:r>
      </w:hyperlink>
      <w:r w:rsidRPr="000F58DE">
        <w:rPr>
          <w:rFonts w:ascii="Arial" w:hAnsi="Arial" w:hint="cs"/>
          <w:rtl/>
        </w:rPr>
        <w:t xml:space="preserve"> ו-</w:t>
      </w:r>
      <w:hyperlink r:id="rId30" w:history="1">
        <w:r w:rsidR="00553DC4" w:rsidRPr="00553DC4">
          <w:rPr>
            <w:rStyle w:val="Hyperlink"/>
            <w:rFonts w:ascii="Arial" w:hAnsi="Arial"/>
            <w:rtl/>
          </w:rPr>
          <w:t>39</w:t>
        </w:r>
      </w:hyperlink>
      <w:r w:rsidRPr="000F58DE">
        <w:rPr>
          <w:rFonts w:ascii="Arial" w:hAnsi="Arial" w:hint="cs"/>
          <w:rtl/>
        </w:rPr>
        <w:t xml:space="preserve"> ל</w:t>
      </w:r>
      <w:hyperlink r:id="rId31" w:history="1">
        <w:r w:rsidR="003575B0" w:rsidRPr="003575B0">
          <w:rPr>
            <w:rFonts w:ascii="Arial" w:hAnsi="Arial"/>
            <w:color w:val="0000FF"/>
            <w:u w:val="single"/>
            <w:rtl/>
          </w:rPr>
          <w:t>פקודת סדר הדין הפלילי (מעצר וחיפוש)</w:t>
        </w:r>
      </w:hyperlink>
      <w:r w:rsidRPr="000F58DE">
        <w:rPr>
          <w:rFonts w:ascii="Arial" w:hAnsi="Arial" w:hint="cs"/>
          <w:rtl/>
        </w:rPr>
        <w:t xml:space="preserve"> [נוסח חדש], התשכ"ט-1969. </w:t>
      </w:r>
      <w:r>
        <w:rPr>
          <w:rFonts w:ascii="Arial" w:hAnsi="Arial" w:hint="cs"/>
          <w:rtl/>
        </w:rPr>
        <w:t>לבקשה זו נידרש בהמשך.</w:t>
      </w:r>
    </w:p>
    <w:p w14:paraId="705F2E3F" w14:textId="77777777" w:rsidR="00441AC5" w:rsidRPr="0032328F" w:rsidRDefault="00441AC5" w:rsidP="00441AC5">
      <w:pPr>
        <w:spacing w:line="360" w:lineRule="auto"/>
        <w:ind w:left="57"/>
        <w:contextualSpacing/>
        <w:jc w:val="both"/>
        <w:rPr>
          <w:rFonts w:ascii="Arial" w:hAnsi="Arial"/>
        </w:rPr>
      </w:pPr>
    </w:p>
    <w:p w14:paraId="0E7E2B23" w14:textId="77777777" w:rsidR="00441AC5" w:rsidRDefault="00441AC5" w:rsidP="00441AC5">
      <w:pPr>
        <w:numPr>
          <w:ilvl w:val="0"/>
          <w:numId w:val="3"/>
        </w:numPr>
        <w:spacing w:line="360" w:lineRule="auto"/>
        <w:contextualSpacing/>
        <w:jc w:val="both"/>
        <w:rPr>
          <w:rFonts w:ascii="Arial" w:hAnsi="Arial"/>
        </w:rPr>
      </w:pPr>
      <w:r w:rsidRPr="008F292A">
        <w:rPr>
          <w:rFonts w:ascii="Arial" w:hAnsi="Arial"/>
          <w:rtl/>
        </w:rPr>
        <w:t xml:space="preserve">בדיון שהתקיים ביום </w:t>
      </w:r>
      <w:r w:rsidRPr="008F292A">
        <w:rPr>
          <w:rFonts w:ascii="Arial" w:hAnsi="Arial" w:hint="cs"/>
          <w:rtl/>
        </w:rPr>
        <w:t xml:space="preserve">6.6.2022 </w:t>
      </w:r>
      <w:r>
        <w:rPr>
          <w:rFonts w:ascii="Arial" w:hAnsi="Arial" w:hint="cs"/>
          <w:rtl/>
        </w:rPr>
        <w:t xml:space="preserve">הודיעו </w:t>
      </w:r>
      <w:r w:rsidRPr="008F292A">
        <w:rPr>
          <w:rFonts w:ascii="Arial" w:hAnsi="Arial"/>
          <w:rtl/>
        </w:rPr>
        <w:t>הצדדים כי הגיעו להסדר טיעון לפיו הנאש</w:t>
      </w:r>
      <w:r w:rsidRPr="008F292A">
        <w:rPr>
          <w:rFonts w:ascii="Arial" w:hAnsi="Arial" w:hint="cs"/>
          <w:rtl/>
        </w:rPr>
        <w:t>מים</w:t>
      </w:r>
      <w:r w:rsidRPr="008F292A">
        <w:rPr>
          <w:rFonts w:ascii="Arial" w:hAnsi="Arial"/>
          <w:rtl/>
        </w:rPr>
        <w:t xml:space="preserve"> יוד</w:t>
      </w:r>
      <w:r w:rsidRPr="008F292A">
        <w:rPr>
          <w:rFonts w:ascii="Arial" w:hAnsi="Arial" w:hint="cs"/>
          <w:rtl/>
        </w:rPr>
        <w:t>ו</w:t>
      </w:r>
      <w:r w:rsidRPr="008F292A">
        <w:rPr>
          <w:rFonts w:ascii="Arial" w:hAnsi="Arial"/>
          <w:rtl/>
        </w:rPr>
        <w:t xml:space="preserve"> בכתב אישום מתוקן ויורשע</w:t>
      </w:r>
      <w:r w:rsidRPr="008F292A">
        <w:rPr>
          <w:rFonts w:ascii="Arial" w:hAnsi="Arial" w:hint="cs"/>
          <w:rtl/>
        </w:rPr>
        <w:t>ו</w:t>
      </w:r>
      <w:r w:rsidRPr="008F292A">
        <w:rPr>
          <w:rFonts w:ascii="Arial" w:hAnsi="Arial"/>
          <w:rtl/>
        </w:rPr>
        <w:t>, אך לא היו הסכמות לעניין העונש.</w:t>
      </w:r>
      <w:r>
        <w:rPr>
          <w:rFonts w:ascii="Arial" w:hAnsi="Arial" w:hint="cs"/>
          <w:rtl/>
        </w:rPr>
        <w:t xml:space="preserve"> נוכח הסתייגויות שעלו על ידי אביו של נאשם 1 שנכח בדיון באשר להודאת נאשם 1, </w:t>
      </w:r>
      <w:r w:rsidRPr="008F292A">
        <w:rPr>
          <w:rFonts w:ascii="Arial" w:hAnsi="Arial" w:hint="cs"/>
          <w:rtl/>
        </w:rPr>
        <w:t>ביקש הסנגור שהות של יומיים על מנת לגבש עמדה סופית בנוגע להסדר הטיעון.</w:t>
      </w:r>
      <w:r>
        <w:rPr>
          <w:rFonts w:ascii="Arial" w:hAnsi="Arial" w:hint="cs"/>
          <w:rtl/>
        </w:rPr>
        <w:t xml:space="preserve"> בדיון שהתקיים ביום 9.6.2022, </w:t>
      </w:r>
      <w:r w:rsidRPr="008F292A">
        <w:rPr>
          <w:rFonts w:ascii="Arial" w:hAnsi="Arial" w:hint="cs"/>
          <w:rtl/>
        </w:rPr>
        <w:t>הצדדים שבו והודיעו כי הגיעו להסדר טיעון</w:t>
      </w:r>
      <w:r>
        <w:rPr>
          <w:rFonts w:ascii="Arial" w:hAnsi="Arial" w:hint="cs"/>
          <w:rtl/>
        </w:rPr>
        <w:t xml:space="preserve"> והנאשמים </w:t>
      </w:r>
      <w:r w:rsidRPr="008F292A">
        <w:rPr>
          <w:rFonts w:ascii="Arial" w:hAnsi="Arial" w:hint="cs"/>
          <w:rtl/>
        </w:rPr>
        <w:t>הודו בעובדות כתב האישום המותקן</w:t>
      </w:r>
      <w:r>
        <w:rPr>
          <w:rFonts w:ascii="Arial" w:hAnsi="Arial" w:hint="cs"/>
          <w:rtl/>
        </w:rPr>
        <w:t xml:space="preserve">. בעקבות כך, </w:t>
      </w:r>
      <w:r w:rsidRPr="008F292A">
        <w:rPr>
          <w:rFonts w:ascii="Arial" w:hAnsi="Arial" w:hint="cs"/>
          <w:rtl/>
        </w:rPr>
        <w:t>ניתנה הכרעת דין ב</w:t>
      </w:r>
      <w:r>
        <w:rPr>
          <w:rFonts w:ascii="Arial" w:hAnsi="Arial" w:hint="cs"/>
          <w:rtl/>
        </w:rPr>
        <w:t xml:space="preserve">ה הורשעו </w:t>
      </w:r>
      <w:r w:rsidRPr="008F292A">
        <w:rPr>
          <w:rFonts w:ascii="Arial" w:hAnsi="Arial" w:hint="cs"/>
          <w:rtl/>
        </w:rPr>
        <w:t xml:space="preserve">הנאשמים בעבירות </w:t>
      </w:r>
      <w:r>
        <w:rPr>
          <w:rFonts w:ascii="Arial" w:hAnsi="Arial" w:hint="cs"/>
          <w:rtl/>
        </w:rPr>
        <w:t xml:space="preserve">שיוחסו להם </w:t>
      </w:r>
      <w:r w:rsidRPr="008F292A">
        <w:rPr>
          <w:rFonts w:ascii="Arial" w:hAnsi="Arial" w:hint="cs"/>
          <w:rtl/>
        </w:rPr>
        <w:t>בכתב האישום המתוקן</w:t>
      </w:r>
      <w:r>
        <w:rPr>
          <w:rFonts w:ascii="Arial" w:hAnsi="Arial" w:hint="cs"/>
          <w:rtl/>
        </w:rPr>
        <w:t xml:space="preserve">. </w:t>
      </w:r>
    </w:p>
    <w:p w14:paraId="1949A81F" w14:textId="77777777" w:rsidR="00441AC5" w:rsidRDefault="00441AC5" w:rsidP="00441AC5">
      <w:pPr>
        <w:pStyle w:val="af"/>
        <w:rPr>
          <w:rFonts w:ascii="Arial" w:hAnsi="Arial"/>
          <w:rtl/>
        </w:rPr>
      </w:pPr>
    </w:p>
    <w:p w14:paraId="39C36EE6" w14:textId="77777777" w:rsidR="00441AC5" w:rsidRDefault="00441AC5" w:rsidP="00441AC5">
      <w:pPr>
        <w:numPr>
          <w:ilvl w:val="0"/>
          <w:numId w:val="3"/>
        </w:numPr>
        <w:spacing w:line="360" w:lineRule="auto"/>
        <w:contextualSpacing/>
        <w:jc w:val="both"/>
        <w:rPr>
          <w:rFonts w:ascii="Arial" w:hAnsi="Arial"/>
        </w:rPr>
      </w:pPr>
      <w:r>
        <w:rPr>
          <w:rFonts w:ascii="Arial" w:hAnsi="Arial" w:hint="cs"/>
          <w:rtl/>
        </w:rPr>
        <w:t xml:space="preserve">יצוין כי בישיבת יום 9.6.2022, הבהירה המאשימה כי לנאשמים לא מיוחסות עבירות נשק, וציון תקרית הירי בכתב האישום המתוקן נועד לתיאור נסיבות האירוע [במאמר מוסגר יצוין כי כתב האישום המקורי כן כלל עבירות נשק]. עוד יצוין כי בהסכמת המאשימה שוחרר רכב הסיטרואן, שנתפס במהלך החקירה לידי אביו של נאשם 1, וזאת בכפוף למספר תנאים להבטחת חילוטו ככל שיוחלט על כך. </w:t>
      </w:r>
    </w:p>
    <w:p w14:paraId="19824BE4" w14:textId="77777777" w:rsidR="00441AC5" w:rsidRDefault="00441AC5" w:rsidP="00441AC5">
      <w:pPr>
        <w:spacing w:line="360" w:lineRule="auto"/>
        <w:contextualSpacing/>
        <w:jc w:val="both"/>
        <w:rPr>
          <w:rFonts w:ascii="Arial" w:hAnsi="Arial"/>
        </w:rPr>
      </w:pPr>
    </w:p>
    <w:p w14:paraId="36A6379B" w14:textId="77777777" w:rsidR="00441AC5" w:rsidRDefault="00441AC5" w:rsidP="00441AC5">
      <w:pPr>
        <w:numPr>
          <w:ilvl w:val="0"/>
          <w:numId w:val="3"/>
        </w:numPr>
        <w:spacing w:line="360" w:lineRule="auto"/>
        <w:contextualSpacing/>
        <w:jc w:val="both"/>
        <w:rPr>
          <w:rFonts w:ascii="Arial" w:hAnsi="Arial"/>
        </w:rPr>
      </w:pPr>
      <w:r w:rsidRPr="008F292A">
        <w:rPr>
          <w:rFonts w:ascii="Arial" w:hAnsi="Arial"/>
          <w:rtl/>
        </w:rPr>
        <w:t>לאחר מתן הכרעת הדין, ביקש הסנגור להפנות את עניינ</w:t>
      </w:r>
      <w:r>
        <w:rPr>
          <w:rFonts w:ascii="Arial" w:hAnsi="Arial" w:hint="cs"/>
          <w:rtl/>
        </w:rPr>
        <w:t>ם</w:t>
      </w:r>
      <w:r w:rsidRPr="008F292A">
        <w:rPr>
          <w:rFonts w:ascii="Arial" w:hAnsi="Arial"/>
          <w:rtl/>
        </w:rPr>
        <w:t xml:space="preserve"> של הנאש</w:t>
      </w:r>
      <w:r>
        <w:rPr>
          <w:rFonts w:ascii="Arial" w:hAnsi="Arial" w:hint="cs"/>
          <w:rtl/>
        </w:rPr>
        <w:t>מי</w:t>
      </w:r>
      <w:r w:rsidRPr="008F292A">
        <w:rPr>
          <w:rFonts w:ascii="Arial" w:hAnsi="Arial"/>
          <w:rtl/>
        </w:rPr>
        <w:t>ם לשירות המבחן לקבלת תסקיר ו</w:t>
      </w:r>
      <w:r>
        <w:rPr>
          <w:rFonts w:ascii="Arial" w:hAnsi="Arial" w:hint="cs"/>
          <w:rtl/>
        </w:rPr>
        <w:t xml:space="preserve">לבקשה זו </w:t>
      </w:r>
      <w:r w:rsidRPr="008F292A">
        <w:rPr>
          <w:rFonts w:ascii="Arial" w:hAnsi="Arial"/>
          <w:rtl/>
        </w:rPr>
        <w:t>נעתרתי</w:t>
      </w:r>
      <w:r>
        <w:rPr>
          <w:rFonts w:ascii="Arial" w:hAnsi="Arial" w:hint="cs"/>
          <w:rtl/>
        </w:rPr>
        <w:t>.</w:t>
      </w:r>
      <w:r w:rsidRPr="008F292A">
        <w:rPr>
          <w:rFonts w:ascii="Arial" w:hAnsi="Arial"/>
          <w:rtl/>
        </w:rPr>
        <w:t xml:space="preserve"> </w:t>
      </w:r>
      <w:r>
        <w:rPr>
          <w:rFonts w:ascii="Arial" w:hAnsi="Arial" w:hint="cs"/>
          <w:rtl/>
        </w:rPr>
        <w:t>ה</w:t>
      </w:r>
      <w:r w:rsidRPr="008F292A">
        <w:rPr>
          <w:rFonts w:ascii="Arial" w:hAnsi="Arial"/>
          <w:rtl/>
        </w:rPr>
        <w:t>תסקיר</w:t>
      </w:r>
      <w:r>
        <w:rPr>
          <w:rFonts w:ascii="Arial" w:hAnsi="Arial" w:hint="cs"/>
          <w:rtl/>
        </w:rPr>
        <w:t>ים</w:t>
      </w:r>
      <w:r w:rsidRPr="008F292A">
        <w:rPr>
          <w:rFonts w:ascii="Arial" w:hAnsi="Arial"/>
          <w:rtl/>
        </w:rPr>
        <w:t xml:space="preserve"> הוגש</w:t>
      </w:r>
      <w:r>
        <w:rPr>
          <w:rFonts w:ascii="Arial" w:hAnsi="Arial" w:hint="cs"/>
          <w:rtl/>
        </w:rPr>
        <w:t>ו</w:t>
      </w:r>
      <w:r w:rsidRPr="008F292A">
        <w:rPr>
          <w:rFonts w:ascii="Arial" w:hAnsi="Arial"/>
          <w:rtl/>
        </w:rPr>
        <w:t xml:space="preserve"> לבית המשפט </w:t>
      </w:r>
      <w:r>
        <w:rPr>
          <w:rFonts w:ascii="Arial" w:hAnsi="Arial" w:hint="cs"/>
          <w:rtl/>
        </w:rPr>
        <w:t xml:space="preserve">בתאריכים 17.8.2022 ו- 6.9.2022, וביום 22.9.2022 טענו הצדדים לעונש. לשלמות התמונה יצוין כי בפתח ישיבת הטיעונים לעונש ביקש נאשם 1 להורות על קבלת תסקיר משלים, אך בקשה זו נדחתה (וראו פירוט הנימוקים לכך בהחלטה שניתנה ביום 22.9.2022). </w:t>
      </w:r>
    </w:p>
    <w:p w14:paraId="21AFFD9E" w14:textId="77777777" w:rsidR="00441AC5" w:rsidRDefault="00441AC5" w:rsidP="00441AC5">
      <w:pPr>
        <w:spacing w:line="360" w:lineRule="auto"/>
        <w:jc w:val="both"/>
        <w:rPr>
          <w:rFonts w:ascii="Arial" w:hAnsi="Arial"/>
        </w:rPr>
      </w:pPr>
    </w:p>
    <w:p w14:paraId="77A154BC" w14:textId="77777777" w:rsidR="00441AC5" w:rsidRDefault="00441AC5" w:rsidP="00441AC5">
      <w:pPr>
        <w:rPr>
          <w:rFonts w:ascii="Arial" w:hAnsi="Arial"/>
          <w:b/>
          <w:bCs/>
          <w:rtl/>
        </w:rPr>
      </w:pPr>
      <w:r>
        <w:rPr>
          <w:rFonts w:ascii="Arial" w:hAnsi="Arial"/>
          <w:b/>
          <w:bCs/>
          <w:rtl/>
        </w:rPr>
        <w:t>תסקיר</w:t>
      </w:r>
      <w:r>
        <w:rPr>
          <w:rFonts w:ascii="Arial" w:hAnsi="Arial" w:hint="cs"/>
          <w:b/>
          <w:bCs/>
          <w:rtl/>
        </w:rPr>
        <w:t>י</w:t>
      </w:r>
      <w:r>
        <w:rPr>
          <w:rFonts w:ascii="Arial" w:hAnsi="Arial"/>
          <w:b/>
          <w:bCs/>
          <w:rtl/>
        </w:rPr>
        <w:t xml:space="preserve"> שירות המבחן</w:t>
      </w:r>
    </w:p>
    <w:p w14:paraId="033CB54C" w14:textId="77777777" w:rsidR="00441AC5" w:rsidRDefault="00441AC5" w:rsidP="00441AC5">
      <w:pPr>
        <w:rPr>
          <w:rFonts w:ascii="Arial" w:hAnsi="Arial"/>
          <w:b/>
          <w:bCs/>
          <w:rtl/>
        </w:rPr>
      </w:pPr>
    </w:p>
    <w:p w14:paraId="4B03E7F8" w14:textId="77777777" w:rsidR="00441AC5" w:rsidRDefault="00441AC5" w:rsidP="00441AC5">
      <w:pPr>
        <w:rPr>
          <w:rFonts w:ascii="Arial" w:hAnsi="Arial"/>
          <w:b/>
          <w:bCs/>
          <w:rtl/>
        </w:rPr>
      </w:pPr>
    </w:p>
    <w:p w14:paraId="6FE6FA3F" w14:textId="77777777" w:rsidR="00441AC5" w:rsidRDefault="00441AC5" w:rsidP="00441AC5">
      <w:pPr>
        <w:rPr>
          <w:rFonts w:ascii="Arial" w:hAnsi="Arial"/>
          <w:u w:val="single"/>
          <w:rtl/>
        </w:rPr>
      </w:pPr>
      <w:r>
        <w:rPr>
          <w:rFonts w:ascii="Arial" w:hAnsi="Arial" w:hint="cs"/>
          <w:u w:val="single"/>
          <w:rtl/>
        </w:rPr>
        <w:t>התסקיר בעניין ה</w:t>
      </w:r>
      <w:r w:rsidRPr="00C437B0">
        <w:rPr>
          <w:rFonts w:ascii="Arial" w:hAnsi="Arial" w:hint="cs"/>
          <w:u w:val="single"/>
          <w:rtl/>
        </w:rPr>
        <w:t>נאשם 1</w:t>
      </w:r>
    </w:p>
    <w:p w14:paraId="0B1B3BF9" w14:textId="77777777" w:rsidR="00441AC5" w:rsidRPr="00C437B0" w:rsidRDefault="00441AC5" w:rsidP="00441AC5">
      <w:pPr>
        <w:rPr>
          <w:rFonts w:ascii="Arial" w:hAnsi="Arial"/>
          <w:u w:val="single"/>
          <w:rtl/>
        </w:rPr>
      </w:pPr>
    </w:p>
    <w:p w14:paraId="2ED88751" w14:textId="77777777" w:rsidR="00441AC5" w:rsidRDefault="00441AC5" w:rsidP="00441AC5">
      <w:pPr>
        <w:rPr>
          <w:rFonts w:ascii="Arial" w:hAnsi="Arial"/>
          <w:rtl/>
        </w:rPr>
      </w:pPr>
    </w:p>
    <w:p w14:paraId="43CBE952" w14:textId="77777777" w:rsidR="00441AC5" w:rsidRDefault="00441AC5" w:rsidP="00441AC5">
      <w:pPr>
        <w:numPr>
          <w:ilvl w:val="0"/>
          <w:numId w:val="3"/>
        </w:numPr>
        <w:spacing w:line="360" w:lineRule="auto"/>
        <w:contextualSpacing/>
        <w:jc w:val="both"/>
        <w:rPr>
          <w:rFonts w:ascii="Arial" w:hAnsi="Arial"/>
        </w:rPr>
      </w:pPr>
      <w:r>
        <w:rPr>
          <w:rFonts w:ascii="Arial" w:hAnsi="Arial"/>
          <w:rtl/>
        </w:rPr>
        <w:t xml:space="preserve">שירות המבחן סקר בתסקיר את נסיבות חייו של הנאשם, את מהלך חייו, השכלתו וניסיונו התעסוקתי. </w:t>
      </w:r>
      <w:r>
        <w:rPr>
          <w:rFonts w:ascii="Arial" w:hAnsi="Arial" w:hint="cs"/>
          <w:rtl/>
        </w:rPr>
        <w:t xml:space="preserve">צוין בתסקיר כי המדובר בנאשם צעיר, כבן 20, ללא הרשעות קודמות, שגדל והתפתח במשפחה נורמטיבית, בעלת ערכים חיוביים, המעניקה לו רשת תמיכה משמעותית. כן צוין כי הנאשם סיים 12 שנות לימוד ורכש תעודת בגרות מלאה. לאחר סיום לימודיו החל לעבוד בחברת ניקיון ועובר למעצרו עבד במאפייה. </w:t>
      </w:r>
    </w:p>
    <w:p w14:paraId="00C2BFCA" w14:textId="77777777" w:rsidR="00441AC5" w:rsidRDefault="00441AC5" w:rsidP="00441AC5">
      <w:pPr>
        <w:spacing w:line="360" w:lineRule="auto"/>
        <w:contextualSpacing/>
        <w:jc w:val="both"/>
        <w:rPr>
          <w:rFonts w:ascii="Arial" w:hAnsi="Arial"/>
        </w:rPr>
      </w:pPr>
    </w:p>
    <w:p w14:paraId="4A44696C" w14:textId="77777777" w:rsidR="00441AC5" w:rsidRDefault="00441AC5" w:rsidP="00441AC5">
      <w:pPr>
        <w:numPr>
          <w:ilvl w:val="0"/>
          <w:numId w:val="3"/>
        </w:numPr>
        <w:spacing w:line="360" w:lineRule="auto"/>
        <w:contextualSpacing/>
        <w:jc w:val="both"/>
        <w:rPr>
          <w:rFonts w:ascii="Arial" w:hAnsi="Arial"/>
        </w:rPr>
      </w:pPr>
      <w:r>
        <w:rPr>
          <w:rFonts w:ascii="Arial" w:hAnsi="Arial" w:hint="cs"/>
          <w:rtl/>
        </w:rPr>
        <w:t xml:space="preserve">עוד צוין בתסקיר כי הנאשם הביע אמפתיה כלפי המתלונן וצער על מעורבותו בפלילים וציין כי לא ציפה שהאירוע יסלים כך, אך לצד זאת צמצם מחומרת מעשיו ואף ביטא לגיטימציה לשימוש באלימות כדרך לפתרון קונפליקטים. כן צוין כי הנאשם נגרר אחר קבוצת השווים, לה הוא מגלה נאמנות ומחויבות, דבר המעפיל על שיקול דעתו ועל בחינת ההשלכות האפשריות של התנהגותו האלימה והפוגענית.  </w:t>
      </w:r>
    </w:p>
    <w:p w14:paraId="3D8D2130" w14:textId="77777777" w:rsidR="00441AC5" w:rsidRDefault="00441AC5" w:rsidP="00441AC5">
      <w:pPr>
        <w:spacing w:line="360" w:lineRule="auto"/>
        <w:contextualSpacing/>
        <w:jc w:val="both"/>
        <w:rPr>
          <w:rFonts w:ascii="Arial" w:hAnsi="Arial"/>
        </w:rPr>
      </w:pPr>
    </w:p>
    <w:p w14:paraId="6A3F0248" w14:textId="77777777" w:rsidR="00441AC5" w:rsidRDefault="00441AC5" w:rsidP="00441AC5">
      <w:pPr>
        <w:numPr>
          <w:ilvl w:val="0"/>
          <w:numId w:val="3"/>
        </w:numPr>
        <w:spacing w:line="360" w:lineRule="auto"/>
        <w:contextualSpacing/>
        <w:jc w:val="both"/>
        <w:rPr>
          <w:rFonts w:ascii="Arial" w:hAnsi="Arial"/>
        </w:rPr>
      </w:pPr>
      <w:r w:rsidRPr="00CF0334">
        <w:rPr>
          <w:rFonts w:ascii="Arial" w:hAnsi="Arial" w:hint="cs"/>
          <w:rtl/>
        </w:rPr>
        <w:t xml:space="preserve">שירות המבחן התרשם כי על אף שהנאשם לקח אחריות על מעשיו, נטילת האחריות הייתה מצומצמת, מלווה בעיוותי חשיבה, ולא אפשרה שיח מעמיק אודות השפעת הסביבה על התנהלותו ודפוסיו האלימים. כמו כן, שירות המבחן התרשם כי אמירותיו של הנאשם בנוגע לרצונו להשתלב בטיפול לא היו קונקרטיות וממוקדות, כי הנאשם שלל כל דפוס בעייתי בהתנהלותו, וכי אמירותיו היו מילוליות ולא באו מתוך חיבור ורצון כנה לערוך שינוי בהתנהלותו. </w:t>
      </w:r>
    </w:p>
    <w:p w14:paraId="0E4767D0" w14:textId="77777777" w:rsidR="00441AC5" w:rsidRPr="00CF0334" w:rsidRDefault="00441AC5" w:rsidP="00441AC5">
      <w:pPr>
        <w:spacing w:line="360" w:lineRule="auto"/>
        <w:contextualSpacing/>
        <w:jc w:val="both"/>
        <w:rPr>
          <w:rFonts w:ascii="Arial" w:hAnsi="Arial"/>
          <w:rtl/>
        </w:rPr>
      </w:pPr>
    </w:p>
    <w:p w14:paraId="6466605D" w14:textId="77777777" w:rsidR="00441AC5" w:rsidRPr="00CF0334" w:rsidRDefault="00441AC5" w:rsidP="00441AC5">
      <w:pPr>
        <w:numPr>
          <w:ilvl w:val="0"/>
          <w:numId w:val="3"/>
        </w:numPr>
        <w:spacing w:line="360" w:lineRule="auto"/>
        <w:contextualSpacing/>
        <w:jc w:val="both"/>
        <w:rPr>
          <w:rFonts w:ascii="Arial" w:hAnsi="Arial"/>
        </w:rPr>
      </w:pPr>
      <w:r w:rsidRPr="00BD0991">
        <w:rPr>
          <w:rFonts w:ascii="Arial" w:hAnsi="Arial"/>
          <w:rtl/>
        </w:rPr>
        <w:t>על רק</w:t>
      </w:r>
      <w:r>
        <w:rPr>
          <w:rFonts w:ascii="Arial" w:hAnsi="Arial" w:hint="cs"/>
          <w:rtl/>
        </w:rPr>
        <w:t>ע</w:t>
      </w:r>
      <w:r w:rsidRPr="00BD0991">
        <w:rPr>
          <w:rFonts w:ascii="Arial" w:hAnsi="Arial"/>
          <w:rtl/>
        </w:rPr>
        <w:t xml:space="preserve"> נתוניו של הנאשם, העריך שירות המבחן כי קיימת רמת סיכון </w:t>
      </w:r>
      <w:r>
        <w:rPr>
          <w:rFonts w:ascii="Arial" w:hAnsi="Arial" w:hint="cs"/>
          <w:rtl/>
        </w:rPr>
        <w:t>בינונית</w:t>
      </w:r>
      <w:r w:rsidRPr="00BD0991">
        <w:rPr>
          <w:rFonts w:ascii="Arial" w:hAnsi="Arial"/>
          <w:rtl/>
        </w:rPr>
        <w:t xml:space="preserve"> להישנות התנהגות אלימה.</w:t>
      </w:r>
      <w:r>
        <w:rPr>
          <w:rFonts w:ascii="Arial" w:hAnsi="Arial" w:hint="cs"/>
          <w:rtl/>
        </w:rPr>
        <w:t xml:space="preserve"> שירות המבחן </w:t>
      </w:r>
      <w:r w:rsidRPr="00CF0334">
        <w:rPr>
          <w:rFonts w:ascii="Arial" w:hAnsi="Arial" w:hint="cs"/>
          <w:rtl/>
        </w:rPr>
        <w:t xml:space="preserve">סבר כי </w:t>
      </w:r>
      <w:r>
        <w:rPr>
          <w:rFonts w:ascii="Arial" w:hAnsi="Arial" w:hint="cs"/>
          <w:rtl/>
        </w:rPr>
        <w:t>אין ל</w:t>
      </w:r>
      <w:r w:rsidRPr="00CF0334">
        <w:rPr>
          <w:rFonts w:ascii="Arial" w:hAnsi="Arial" w:hint="cs"/>
          <w:rtl/>
        </w:rPr>
        <w:t>שקול ענישה שיקומית</w:t>
      </w:r>
      <w:r>
        <w:rPr>
          <w:rFonts w:ascii="Arial" w:hAnsi="Arial" w:hint="cs"/>
          <w:rtl/>
        </w:rPr>
        <w:t xml:space="preserve"> ואף המליץ על  ענישה </w:t>
      </w:r>
      <w:r w:rsidRPr="00CF0334">
        <w:rPr>
          <w:rFonts w:ascii="Arial" w:hAnsi="Arial" w:hint="cs"/>
          <w:rtl/>
        </w:rPr>
        <w:t xml:space="preserve">מוחשית שתבהיר לנאשם את חומרת מעשיו ותציב בפניו גבול הרתעתי. </w:t>
      </w:r>
    </w:p>
    <w:p w14:paraId="468BCCC4" w14:textId="77777777" w:rsidR="00441AC5" w:rsidRDefault="00441AC5" w:rsidP="00441AC5">
      <w:pPr>
        <w:rPr>
          <w:rFonts w:ascii="Arial" w:hAnsi="Arial"/>
          <w:rtl/>
        </w:rPr>
      </w:pPr>
    </w:p>
    <w:p w14:paraId="7C3B5424" w14:textId="77777777" w:rsidR="00441AC5" w:rsidRPr="00BD0991" w:rsidRDefault="00441AC5" w:rsidP="00441AC5">
      <w:pPr>
        <w:rPr>
          <w:rFonts w:ascii="Arial" w:hAnsi="Arial"/>
          <w:u w:val="single"/>
          <w:rtl/>
        </w:rPr>
      </w:pPr>
      <w:r>
        <w:rPr>
          <w:rFonts w:ascii="Arial" w:hAnsi="Arial" w:hint="cs"/>
          <w:u w:val="single"/>
          <w:rtl/>
        </w:rPr>
        <w:t xml:space="preserve">התסקיר בעניין הנאשם </w:t>
      </w:r>
      <w:r w:rsidRPr="00BD0991">
        <w:rPr>
          <w:rFonts w:ascii="Arial" w:hAnsi="Arial" w:hint="cs"/>
          <w:u w:val="single"/>
          <w:rtl/>
        </w:rPr>
        <w:t>2</w:t>
      </w:r>
    </w:p>
    <w:p w14:paraId="0B17DA39" w14:textId="77777777" w:rsidR="00441AC5" w:rsidRPr="00BD0991" w:rsidRDefault="00441AC5" w:rsidP="00441AC5">
      <w:pPr>
        <w:rPr>
          <w:rFonts w:ascii="Arial" w:hAnsi="Arial"/>
          <w:rtl/>
        </w:rPr>
      </w:pPr>
    </w:p>
    <w:p w14:paraId="2D1B7AF9" w14:textId="77777777" w:rsidR="00441AC5" w:rsidRDefault="00441AC5" w:rsidP="00441AC5">
      <w:pPr>
        <w:pStyle w:val="af"/>
        <w:numPr>
          <w:ilvl w:val="0"/>
          <w:numId w:val="3"/>
        </w:numPr>
        <w:spacing w:line="360" w:lineRule="auto"/>
        <w:jc w:val="both"/>
        <w:rPr>
          <w:rFonts w:ascii="Arial" w:hAnsi="Arial"/>
        </w:rPr>
      </w:pPr>
      <w:r w:rsidRPr="00843F4C">
        <w:rPr>
          <w:rFonts w:ascii="Arial" w:hAnsi="Arial"/>
          <w:rtl/>
        </w:rPr>
        <w:t>שירות המבחן סקר בתסקיר את נסיבות חייו של הנאשם</w:t>
      </w:r>
      <w:r>
        <w:rPr>
          <w:rFonts w:ascii="Arial" w:hAnsi="Arial" w:hint="cs"/>
          <w:rtl/>
        </w:rPr>
        <w:t xml:space="preserve">. </w:t>
      </w:r>
      <w:r w:rsidRPr="00843F4C">
        <w:rPr>
          <w:rFonts w:ascii="Arial" w:hAnsi="Arial"/>
          <w:rtl/>
        </w:rPr>
        <w:t xml:space="preserve">צוין בתסקיר כי </w:t>
      </w:r>
      <w:r>
        <w:rPr>
          <w:rFonts w:ascii="Arial" w:hAnsi="Arial" w:hint="cs"/>
          <w:rtl/>
        </w:rPr>
        <w:t>ה</w:t>
      </w:r>
      <w:r w:rsidRPr="00843F4C">
        <w:rPr>
          <w:rFonts w:ascii="Arial" w:hAnsi="Arial"/>
          <w:rtl/>
        </w:rPr>
        <w:t xml:space="preserve">נאשם כבן 26, ללא הרשעות קודמות, גדל והתפתח במשפחה נורמטיבית, ובשל בעיות בריאותיות מהן סובל אביו, הוא זה שתומך כלכלית בבני משפחתו. </w:t>
      </w:r>
      <w:r>
        <w:rPr>
          <w:rFonts w:ascii="Arial" w:hAnsi="Arial" w:hint="cs"/>
          <w:rtl/>
        </w:rPr>
        <w:t xml:space="preserve">עוד </w:t>
      </w:r>
      <w:r w:rsidRPr="00843F4C">
        <w:rPr>
          <w:rFonts w:ascii="Arial" w:hAnsi="Arial" w:hint="cs"/>
          <w:rtl/>
        </w:rPr>
        <w:t xml:space="preserve">צוין כי לדברי הנאשם הוא היה תלמיד מצטיין בבית הספר, ולאחר סיום לימודיו החל ללמוד חשמלאות במכללה, אך לא סיים את לימודיו. כן </w:t>
      </w:r>
      <w:r>
        <w:rPr>
          <w:rFonts w:ascii="Arial" w:hAnsi="Arial" w:hint="cs"/>
          <w:rtl/>
        </w:rPr>
        <w:t>צוין כי מזה כשלוש שנים עובד</w:t>
      </w:r>
      <w:r w:rsidRPr="00843F4C">
        <w:rPr>
          <w:rFonts w:ascii="Arial" w:hAnsi="Arial" w:hint="cs"/>
          <w:rtl/>
        </w:rPr>
        <w:t xml:space="preserve"> הנאשם כקבלן משנה בתחום</w:t>
      </w:r>
      <w:r>
        <w:rPr>
          <w:rFonts w:ascii="Arial" w:hAnsi="Arial" w:hint="cs"/>
          <w:rtl/>
        </w:rPr>
        <w:t xml:space="preserve"> החשמל, וכי פתח עסק עצמאי בתחום. לדבריו יש לו התחייבויות כספיות רבות הן בשל בניית ביתו ורכישת רכב חדש לעסקו, והן בשל תמיכתו הכספית בבני משפחתו ובכלל זאת תשלום שכר הלימוד של אחיותיו.</w:t>
      </w:r>
    </w:p>
    <w:p w14:paraId="12497A20" w14:textId="77777777" w:rsidR="00441AC5" w:rsidRDefault="00441AC5" w:rsidP="00441AC5">
      <w:pPr>
        <w:pStyle w:val="af"/>
        <w:spacing w:line="360" w:lineRule="auto"/>
        <w:ind w:left="0"/>
        <w:jc w:val="both"/>
        <w:rPr>
          <w:rFonts w:ascii="Arial" w:hAnsi="Arial"/>
        </w:rPr>
      </w:pPr>
      <w:r>
        <w:rPr>
          <w:rFonts w:ascii="Arial" w:hAnsi="Arial"/>
        </w:rPr>
        <w:t xml:space="preserve"> </w:t>
      </w:r>
    </w:p>
    <w:p w14:paraId="27DEE509"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שירות המבחן התייחס לתסקיר המעצר שנערך בעניינו של הנאשם וציין כי התרשם שקיים פער בין נסיבות מעצרו לבין תפקודו לאורך השנים, וכי לא ניתן לשלול סכסוך פעיל של הנאשם, או גישה לנשק מצדו, וכן קשרים חברתיים בעלי גוון שלילי. כן צוין כי על אף ששירות המבחן המליץ על חלופת מעצר באזוק אלקטרוני, הנאשם סירב להשתחרר לחלופת מעצר.</w:t>
      </w:r>
    </w:p>
    <w:p w14:paraId="2D0541B8" w14:textId="77777777" w:rsidR="00441AC5" w:rsidRPr="00F47E31" w:rsidRDefault="00441AC5" w:rsidP="00441AC5">
      <w:pPr>
        <w:pStyle w:val="af"/>
        <w:rPr>
          <w:rFonts w:ascii="Arial" w:hAnsi="Arial"/>
          <w:rtl/>
        </w:rPr>
      </w:pPr>
    </w:p>
    <w:p w14:paraId="3DB6F334"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 xml:space="preserve">שירות המבחן ציין כי הנאשם הודה במעשיו, וכי פעל על רקע קשייו לווסת את רגשותיו ומתוך תחושת פגיעה וכעס מהפגיעה בבן דודו ו"בכבוד" משפחתו. הנאשם ציין כי נחתם הסכם סולחה עם המתלונן. משיחה שערך שירות המבחן עם המתלונן עלה כי בעבר הפריד המתלונן בקטטה שהתרחשה בבית ספר סמוך למקום עבודתו, והדבר גרר שמועות בנוגע למעורבותו באירוע ועקב כך החל הסכסוך. המתלונן ציין כי אינו חושש מפני המעורבים באירוע, כי אינו מעוניין להרוס את עתידם של בחורים צעירים, ומבחינתו מעצרם עד כה הוא עונש מספק עבורם. </w:t>
      </w:r>
    </w:p>
    <w:p w14:paraId="2E9CF70C" w14:textId="77777777" w:rsidR="00441AC5" w:rsidRPr="00625911" w:rsidRDefault="00441AC5" w:rsidP="00441AC5">
      <w:pPr>
        <w:pStyle w:val="af"/>
        <w:rPr>
          <w:rFonts w:ascii="Arial" w:hAnsi="Arial"/>
          <w:rtl/>
        </w:rPr>
      </w:pPr>
    </w:p>
    <w:p w14:paraId="56BE4313"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 xml:space="preserve">שירות המבחן התרשם כי עמדותיו של הנאשם משקפות צמצום של חומרת מעשיו וקושי לערוך התבוננות מעמיקה בהתנהלותו האלימה, לצד היעדר אמפתיה למתלונן וחרטה פורמאלית בלבד על רקע ההליך המשפטי, וללא הבנת הפסול במעשיו. צוין כי הנאשם מתקשה לווסת דחפים ופועל מתוך תפיסות תרבותיות הנוגעות למחויבותו כלפי בני משפחתו ונאמנות לכבוד המשפחה, גם במחיר של פגיעה באחר. צוין כי עמדות אלה משקפות קשיים משמעותיים בנשיאה באחריות לעבירה. עוד התרשם שירות המבחן כי הנאשם מתמקד במחירים האישיים בהם הוא נושא בשל התנהגותו </w:t>
      </w:r>
      <w:r>
        <w:rPr>
          <w:rFonts w:ascii="Arial" w:hAnsi="Arial"/>
          <w:rtl/>
        </w:rPr>
        <w:t>–</w:t>
      </w:r>
      <w:r>
        <w:rPr>
          <w:rFonts w:ascii="Arial" w:hAnsi="Arial" w:hint="cs"/>
          <w:rtl/>
        </w:rPr>
        <w:t xml:space="preserve"> בהם מעצרו, חוסר יכולתו לעבוד, לפרנס את משפחתו ולשלם את חובותיו.    </w:t>
      </w:r>
    </w:p>
    <w:p w14:paraId="5C202730" w14:textId="77777777" w:rsidR="00441AC5" w:rsidRPr="00CD336D" w:rsidRDefault="00441AC5" w:rsidP="00441AC5">
      <w:pPr>
        <w:pStyle w:val="af"/>
        <w:rPr>
          <w:rFonts w:ascii="Arial" w:hAnsi="Arial"/>
          <w:rtl/>
        </w:rPr>
      </w:pPr>
    </w:p>
    <w:p w14:paraId="588C3CDE" w14:textId="77777777" w:rsidR="00441AC5" w:rsidRPr="00843F4C" w:rsidRDefault="00441AC5" w:rsidP="00441AC5">
      <w:pPr>
        <w:pStyle w:val="af"/>
        <w:numPr>
          <w:ilvl w:val="0"/>
          <w:numId w:val="3"/>
        </w:numPr>
        <w:spacing w:line="360" w:lineRule="auto"/>
        <w:jc w:val="both"/>
        <w:rPr>
          <w:rFonts w:ascii="Arial" w:hAnsi="Arial"/>
          <w:rtl/>
        </w:rPr>
      </w:pPr>
      <w:r>
        <w:rPr>
          <w:rFonts w:ascii="Arial" w:hAnsi="Arial" w:hint="cs"/>
          <w:rtl/>
        </w:rPr>
        <w:t xml:space="preserve">על רקע נתוניו של הנאשם, </w:t>
      </w:r>
      <w:r w:rsidRPr="00CD336D">
        <w:rPr>
          <w:rFonts w:ascii="Arial" w:hAnsi="Arial"/>
          <w:rtl/>
        </w:rPr>
        <w:t>הער</w:t>
      </w:r>
      <w:r>
        <w:rPr>
          <w:rFonts w:ascii="Arial" w:hAnsi="Arial"/>
          <w:rtl/>
        </w:rPr>
        <w:t>יך שירות המבחן כי קיי</w:t>
      </w:r>
      <w:r>
        <w:rPr>
          <w:rFonts w:ascii="Arial" w:hAnsi="Arial" w:hint="cs"/>
          <w:rtl/>
        </w:rPr>
        <w:t xml:space="preserve">ם סיכון משמעותי להישנות עבירות אלימות, ברמת חומרה משמעותית. על כן שירות המבחן לא בא בהמלצה טיפולית בעניינו של הנאשם בשל חוסר התאמתו, והמליץ על ענישה מוחשית ומציבת גבולות ברורים. </w:t>
      </w:r>
    </w:p>
    <w:p w14:paraId="17080816" w14:textId="77777777" w:rsidR="00441AC5" w:rsidRDefault="00441AC5" w:rsidP="00441AC5">
      <w:pPr>
        <w:spacing w:line="360" w:lineRule="auto"/>
        <w:rPr>
          <w:rFonts w:ascii="Arial" w:hAnsi="Arial"/>
          <w:rtl/>
        </w:rPr>
      </w:pPr>
    </w:p>
    <w:p w14:paraId="2A2AFC00" w14:textId="77777777" w:rsidR="00441AC5" w:rsidRDefault="00441AC5" w:rsidP="00441AC5">
      <w:pPr>
        <w:spacing w:line="360" w:lineRule="auto"/>
        <w:rPr>
          <w:rFonts w:ascii="Arial" w:hAnsi="Arial"/>
          <w:b/>
          <w:bCs/>
          <w:rtl/>
        </w:rPr>
      </w:pPr>
      <w:r>
        <w:rPr>
          <w:rFonts w:ascii="Arial" w:hAnsi="Arial"/>
          <w:b/>
          <w:bCs/>
          <w:rtl/>
        </w:rPr>
        <w:t>ראיות וטיעוני הצדדים לעונש</w:t>
      </w:r>
    </w:p>
    <w:p w14:paraId="4E1254D4" w14:textId="77777777" w:rsidR="00441AC5" w:rsidRDefault="00441AC5" w:rsidP="00441AC5">
      <w:pPr>
        <w:spacing w:line="360" w:lineRule="auto"/>
        <w:rPr>
          <w:rFonts w:ascii="Arial" w:hAnsi="Arial"/>
          <w:b/>
          <w:bCs/>
          <w:rtl/>
        </w:rPr>
      </w:pPr>
    </w:p>
    <w:p w14:paraId="304D3823" w14:textId="77777777" w:rsidR="00441AC5" w:rsidRPr="00CF1A9F" w:rsidRDefault="00441AC5" w:rsidP="00441AC5">
      <w:pPr>
        <w:spacing w:line="360" w:lineRule="auto"/>
        <w:rPr>
          <w:rFonts w:ascii="Arial" w:hAnsi="Arial"/>
          <w:u w:val="single"/>
          <w:rtl/>
        </w:rPr>
      </w:pPr>
      <w:r w:rsidRPr="00CF1A9F">
        <w:rPr>
          <w:rFonts w:ascii="Arial" w:hAnsi="Arial" w:hint="cs"/>
          <w:u w:val="single"/>
          <w:rtl/>
        </w:rPr>
        <w:t>המאשימה</w:t>
      </w:r>
    </w:p>
    <w:p w14:paraId="1D6F5881" w14:textId="77777777" w:rsidR="00441AC5" w:rsidRDefault="00441AC5" w:rsidP="00441AC5">
      <w:pPr>
        <w:spacing w:line="360" w:lineRule="auto"/>
        <w:rPr>
          <w:rFonts w:ascii="Arial" w:hAnsi="Arial"/>
          <w:rtl/>
        </w:rPr>
      </w:pPr>
    </w:p>
    <w:p w14:paraId="53A312C5" w14:textId="77777777" w:rsidR="00441AC5" w:rsidRDefault="00441AC5" w:rsidP="00441AC5">
      <w:pPr>
        <w:numPr>
          <w:ilvl w:val="0"/>
          <w:numId w:val="3"/>
        </w:numPr>
        <w:spacing w:line="360" w:lineRule="auto"/>
        <w:contextualSpacing/>
        <w:jc w:val="both"/>
        <w:rPr>
          <w:rFonts w:ascii="Arial" w:hAnsi="Arial"/>
        </w:rPr>
      </w:pPr>
      <w:r w:rsidRPr="006779DE">
        <w:rPr>
          <w:rFonts w:ascii="Arial" w:hAnsi="Arial"/>
          <w:rtl/>
        </w:rPr>
        <w:t>המאשימה</w:t>
      </w:r>
      <w:r w:rsidRPr="006779DE">
        <w:rPr>
          <w:rFonts w:ascii="Arial" w:hAnsi="Arial" w:hint="cs"/>
          <w:rtl/>
        </w:rPr>
        <w:t xml:space="preserve"> הגיש</w:t>
      </w:r>
      <w:r>
        <w:rPr>
          <w:rFonts w:ascii="Arial" w:hAnsi="Arial" w:hint="cs"/>
          <w:rtl/>
        </w:rPr>
        <w:t>ה טיעון כתוב לעונש והוסיפה</w:t>
      </w:r>
      <w:r w:rsidRPr="006779DE">
        <w:rPr>
          <w:rFonts w:ascii="Arial" w:hAnsi="Arial" w:hint="cs"/>
          <w:rtl/>
        </w:rPr>
        <w:t xml:space="preserve"> וטע</w:t>
      </w:r>
      <w:r>
        <w:rPr>
          <w:rFonts w:ascii="Arial" w:hAnsi="Arial" w:hint="cs"/>
          <w:rtl/>
        </w:rPr>
        <w:t>נה</w:t>
      </w:r>
      <w:r w:rsidRPr="006779DE">
        <w:rPr>
          <w:rFonts w:ascii="Arial" w:hAnsi="Arial" w:hint="cs"/>
          <w:rtl/>
        </w:rPr>
        <w:t xml:space="preserve"> בעל-פה. </w:t>
      </w:r>
      <w:r w:rsidRPr="00F47E31">
        <w:rPr>
          <w:rFonts w:ascii="Arial" w:hAnsi="Arial" w:hint="cs"/>
          <w:rtl/>
        </w:rPr>
        <w:t xml:space="preserve">המאשימה טענה כי המדובר באירוע אחד וביקשה לקבוע מתחם אחד לשתי העבירות. </w:t>
      </w:r>
      <w:r w:rsidRPr="006779DE">
        <w:rPr>
          <w:rFonts w:ascii="Arial" w:hAnsi="Arial" w:hint="cs"/>
          <w:rtl/>
        </w:rPr>
        <w:t xml:space="preserve">המאשימה </w:t>
      </w:r>
      <w:r w:rsidRPr="006779DE">
        <w:rPr>
          <w:rFonts w:ascii="Arial" w:hAnsi="Arial"/>
          <w:rtl/>
        </w:rPr>
        <w:t>עמד</w:t>
      </w:r>
      <w:r>
        <w:rPr>
          <w:rFonts w:ascii="Arial" w:hAnsi="Arial" w:hint="cs"/>
          <w:rtl/>
        </w:rPr>
        <w:t>ה</w:t>
      </w:r>
      <w:r w:rsidRPr="006779DE">
        <w:rPr>
          <w:rFonts w:ascii="Arial" w:hAnsi="Arial"/>
          <w:rtl/>
        </w:rPr>
        <w:t xml:space="preserve"> על הערכים המוגנים בעבירות בהן הורשע</w:t>
      </w:r>
      <w:r>
        <w:rPr>
          <w:rFonts w:ascii="Arial" w:hAnsi="Arial" w:hint="cs"/>
          <w:rtl/>
        </w:rPr>
        <w:t>ו</w:t>
      </w:r>
      <w:r w:rsidRPr="006779DE">
        <w:rPr>
          <w:rFonts w:ascii="Arial" w:hAnsi="Arial"/>
          <w:rtl/>
        </w:rPr>
        <w:t xml:space="preserve"> הנאש</w:t>
      </w:r>
      <w:r>
        <w:rPr>
          <w:rFonts w:ascii="Arial" w:hAnsi="Arial" w:hint="cs"/>
          <w:rtl/>
        </w:rPr>
        <w:t>מי</w:t>
      </w:r>
      <w:r w:rsidRPr="006779DE">
        <w:rPr>
          <w:rFonts w:ascii="Arial" w:hAnsi="Arial"/>
          <w:rtl/>
        </w:rPr>
        <w:t>ם ועל חומרת הפגיעה באותם ערכים</w:t>
      </w:r>
      <w:r>
        <w:rPr>
          <w:rFonts w:ascii="Arial" w:hAnsi="Arial" w:hint="cs"/>
          <w:rtl/>
        </w:rPr>
        <w:t>. נ</w:t>
      </w:r>
      <w:r w:rsidRPr="006779DE">
        <w:rPr>
          <w:rFonts w:ascii="Arial" w:hAnsi="Arial"/>
          <w:rtl/>
        </w:rPr>
        <w:t>טען כי הערכים המוגנים בעבירת</w:t>
      </w:r>
      <w:r>
        <w:rPr>
          <w:rFonts w:ascii="Arial" w:hAnsi="Arial" w:hint="cs"/>
          <w:rtl/>
        </w:rPr>
        <w:t xml:space="preserve"> החבלה בכוונה מחמירה</w:t>
      </w:r>
      <w:r w:rsidRPr="006779DE">
        <w:rPr>
          <w:rFonts w:ascii="Arial" w:hAnsi="Arial"/>
          <w:rtl/>
        </w:rPr>
        <w:t xml:space="preserve"> הם </w:t>
      </w:r>
      <w:r>
        <w:rPr>
          <w:rFonts w:ascii="Arial" w:hAnsi="Arial" w:hint="cs"/>
          <w:rtl/>
        </w:rPr>
        <w:t>שמירה על החיים ושלמות הגוף, כי המדובר בעבירה חמורה שהעונש שנקבע לצדה 20 שנות מאסר, וכי בעבירה מסוג זה חייבת להינתן הבכורה לשיקולי גמול, הרתעה והגנה על הציבור.</w:t>
      </w:r>
    </w:p>
    <w:p w14:paraId="3213FB77" w14:textId="77777777" w:rsidR="00441AC5" w:rsidRDefault="00441AC5" w:rsidP="00441AC5">
      <w:pPr>
        <w:spacing w:line="360" w:lineRule="auto"/>
        <w:contextualSpacing/>
        <w:jc w:val="both"/>
        <w:rPr>
          <w:rFonts w:ascii="Arial" w:hAnsi="Arial"/>
        </w:rPr>
      </w:pPr>
    </w:p>
    <w:p w14:paraId="43A2CD49" w14:textId="77777777" w:rsidR="00441AC5" w:rsidRDefault="00441AC5" w:rsidP="00441AC5">
      <w:pPr>
        <w:numPr>
          <w:ilvl w:val="0"/>
          <w:numId w:val="3"/>
        </w:numPr>
        <w:spacing w:line="360" w:lineRule="auto"/>
        <w:contextualSpacing/>
        <w:jc w:val="both"/>
        <w:rPr>
          <w:rFonts w:ascii="Arial" w:hAnsi="Arial"/>
        </w:rPr>
      </w:pPr>
      <w:r w:rsidRPr="00F47E31">
        <w:rPr>
          <w:rFonts w:ascii="Arial" w:hAnsi="Arial"/>
          <w:rtl/>
        </w:rPr>
        <w:t xml:space="preserve">לעניין נסיבות ביצוע העבירות, צוין כי </w:t>
      </w:r>
      <w:r w:rsidRPr="00F47E31">
        <w:rPr>
          <w:rFonts w:ascii="Arial" w:hAnsi="Arial" w:hint="cs"/>
          <w:rtl/>
        </w:rPr>
        <w:t xml:space="preserve">חומרה יתרה ישנה במעשי הנאשמים שביצעו את העבירות תוך שימוש ברכב ככלי נשק. המאשימה טענה כי מעשיהם של הנאשמים כללו תכנון מוקדם ומדוקדק </w:t>
      </w:r>
      <w:r w:rsidRPr="00F47E31">
        <w:rPr>
          <w:rFonts w:ascii="Arial" w:hAnsi="Arial"/>
          <w:rtl/>
        </w:rPr>
        <w:t>–</w:t>
      </w:r>
      <w:r w:rsidRPr="00F47E31">
        <w:rPr>
          <w:rFonts w:ascii="Arial" w:hAnsi="Arial" w:hint="cs"/>
          <w:rtl/>
        </w:rPr>
        <w:t xml:space="preserve"> הם קשרו קשר לתקוף את המתלונן לפחות יום קודם לאירוע, הצטיידו באלות וברכב, ותצפתו לעבר בניין המועצה עד שהמתלונן החל בנסיעה והגיע למקום בו בחרו הנאשמים. המאשימה התייחסה לחלקם היחסי של הנאשמים בביצוע העבירות </w:t>
      </w:r>
      <w:r>
        <w:rPr>
          <w:rFonts w:ascii="Arial" w:hAnsi="Arial" w:hint="cs"/>
          <w:rtl/>
        </w:rPr>
        <w:t>ו</w:t>
      </w:r>
      <w:r w:rsidRPr="00F47E31">
        <w:rPr>
          <w:rFonts w:ascii="Arial" w:hAnsi="Arial" w:hint="cs"/>
          <w:rtl/>
        </w:rPr>
        <w:t xml:space="preserve">ציינה כי העבירות בוצעו יחד עם מעורבים נוספים שזהותם אינם ידועה למאשימה, אך אין בכך כדי להפחית מחומרת מעשיהם שכן הנאשמים </w:t>
      </w:r>
      <w:r>
        <w:rPr>
          <w:rFonts w:ascii="Arial" w:hAnsi="Arial" w:hint="cs"/>
          <w:rtl/>
        </w:rPr>
        <w:t>פעלו יחד בחבורה, במסגרת תכנית מ</w:t>
      </w:r>
      <w:r w:rsidRPr="00F47E31">
        <w:rPr>
          <w:rFonts w:ascii="Arial" w:hAnsi="Arial" w:hint="cs"/>
          <w:rtl/>
        </w:rPr>
        <w:t>ס</w:t>
      </w:r>
      <w:r>
        <w:rPr>
          <w:rFonts w:ascii="Arial" w:hAnsi="Arial" w:hint="cs"/>
          <w:rtl/>
        </w:rPr>
        <w:t>ו</w:t>
      </w:r>
      <w:r w:rsidRPr="00F47E31">
        <w:rPr>
          <w:rFonts w:ascii="Arial" w:hAnsi="Arial" w:hint="cs"/>
          <w:rtl/>
        </w:rPr>
        <w:t>דרת ומאורגנת, כאשר חלקו של כל אחד מהנאשמים הוא מוחלט ושווה ואין ל</w:t>
      </w:r>
      <w:r>
        <w:rPr>
          <w:rFonts w:ascii="Arial" w:hAnsi="Arial" w:hint="cs"/>
          <w:rtl/>
        </w:rPr>
        <w:t>ומר כי ה</w:t>
      </w:r>
      <w:r w:rsidRPr="00F47E31">
        <w:rPr>
          <w:rFonts w:ascii="Arial" w:hAnsi="Arial" w:hint="cs"/>
          <w:rtl/>
        </w:rPr>
        <w:t xml:space="preserve">אחד </w:t>
      </w:r>
      <w:r>
        <w:rPr>
          <w:rFonts w:ascii="Arial" w:hAnsi="Arial" w:hint="cs"/>
          <w:rtl/>
        </w:rPr>
        <w:t xml:space="preserve">היה </w:t>
      </w:r>
      <w:r w:rsidRPr="00F47E31">
        <w:rPr>
          <w:rFonts w:ascii="Arial" w:hAnsi="Arial" w:hint="cs"/>
          <w:rtl/>
        </w:rPr>
        <w:t>דומיננטי יותר</w:t>
      </w:r>
      <w:r>
        <w:rPr>
          <w:rFonts w:ascii="Arial" w:hAnsi="Arial" w:hint="cs"/>
          <w:rtl/>
        </w:rPr>
        <w:t xml:space="preserve"> מהאחר</w:t>
      </w:r>
      <w:r w:rsidRPr="00F47E31">
        <w:rPr>
          <w:rFonts w:ascii="Arial" w:hAnsi="Arial" w:hint="cs"/>
          <w:rtl/>
        </w:rPr>
        <w:t xml:space="preserve">. לגבי הנזק שנגרם מביצוע העבירה </w:t>
      </w:r>
      <w:r w:rsidRPr="00F47E31">
        <w:rPr>
          <w:rFonts w:ascii="Arial" w:hAnsi="Arial"/>
          <w:rtl/>
        </w:rPr>
        <w:t>–</w:t>
      </w:r>
      <w:r w:rsidRPr="00F47E31">
        <w:rPr>
          <w:rFonts w:ascii="Arial" w:hAnsi="Arial" w:hint="cs"/>
          <w:rtl/>
        </w:rPr>
        <w:t xml:space="preserve"> הפנתה המאשימה לכך שלמתלונן נגרם שפשוף חיצוני, נפיחות ניכרת, רגישות במישוש והגבלה בתנועה עקב כאבים במרפק שמאל; כמו כן נגרם נזק לרכבו של המתלונן בשווי של כ- 17,557 ₪. המאשימה טענה כי הנאשמים ביצעו את העבירות על רקע חשדם כי המתלונן לקח חלק בקטטה בה נפגע קרוב משפחתם, וציינה כי אין בכך סיבה מוצדקת בגינה הנאשמים לקחו את החוק לידיהם באופן מודע. צוין כי </w:t>
      </w:r>
      <w:r>
        <w:rPr>
          <w:rFonts w:ascii="Arial" w:hAnsi="Arial" w:hint="cs"/>
          <w:rtl/>
        </w:rPr>
        <w:t xml:space="preserve">שני </w:t>
      </w:r>
      <w:r w:rsidRPr="00F47E31">
        <w:rPr>
          <w:rFonts w:ascii="Arial" w:hAnsi="Arial" w:hint="cs"/>
          <w:rtl/>
        </w:rPr>
        <w:t xml:space="preserve">הנאשמים הם בגירים, </w:t>
      </w:r>
      <w:r>
        <w:rPr>
          <w:rFonts w:ascii="Arial" w:hAnsi="Arial" w:hint="cs"/>
          <w:rtl/>
        </w:rPr>
        <w:t>ו</w:t>
      </w:r>
      <w:r w:rsidRPr="00F47E31">
        <w:rPr>
          <w:rFonts w:ascii="Arial" w:hAnsi="Arial" w:hint="cs"/>
          <w:rtl/>
        </w:rPr>
        <w:t xml:space="preserve">בחרו בחירה מושכלת לבצע את העבירות, וכי מעשיהם מעידים על התנהלות עבריינית, על מסוכנות גבוהה ועל זלזול בחיי אדם.    </w:t>
      </w:r>
    </w:p>
    <w:p w14:paraId="57AA472E" w14:textId="77777777" w:rsidR="00441AC5" w:rsidRDefault="00441AC5" w:rsidP="00441AC5">
      <w:pPr>
        <w:spacing w:line="360" w:lineRule="auto"/>
        <w:contextualSpacing/>
        <w:jc w:val="both"/>
        <w:rPr>
          <w:rFonts w:ascii="Arial" w:hAnsi="Arial"/>
        </w:rPr>
      </w:pPr>
    </w:p>
    <w:p w14:paraId="3A798B80" w14:textId="77777777" w:rsidR="00441AC5" w:rsidRDefault="00441AC5" w:rsidP="00441AC5">
      <w:pPr>
        <w:numPr>
          <w:ilvl w:val="0"/>
          <w:numId w:val="3"/>
        </w:numPr>
        <w:spacing w:line="360" w:lineRule="auto"/>
        <w:contextualSpacing/>
        <w:jc w:val="both"/>
        <w:rPr>
          <w:rFonts w:ascii="Arial" w:hAnsi="Arial"/>
        </w:rPr>
      </w:pPr>
      <w:r w:rsidRPr="00A66272">
        <w:rPr>
          <w:rFonts w:ascii="Arial" w:hAnsi="Arial"/>
          <w:rtl/>
        </w:rPr>
        <w:t>המאשימה הפנתה למדיניות הענישה הנוהגת ו</w:t>
      </w:r>
      <w:r w:rsidRPr="00A66272">
        <w:rPr>
          <w:rFonts w:ascii="Arial" w:hAnsi="Arial" w:hint="cs"/>
          <w:rtl/>
        </w:rPr>
        <w:t xml:space="preserve">טענה כי מתחם העונש ההולם נע בין 3.5 ל-6 שנות מאסר בפועל. </w:t>
      </w:r>
    </w:p>
    <w:p w14:paraId="63E97488" w14:textId="77777777" w:rsidR="00441AC5" w:rsidRDefault="00441AC5" w:rsidP="00441AC5">
      <w:pPr>
        <w:spacing w:line="360" w:lineRule="auto"/>
        <w:contextualSpacing/>
        <w:jc w:val="both"/>
        <w:rPr>
          <w:rFonts w:ascii="Arial" w:hAnsi="Arial"/>
        </w:rPr>
      </w:pPr>
    </w:p>
    <w:p w14:paraId="0E2866BE" w14:textId="77777777" w:rsidR="00441AC5" w:rsidRPr="00A66272" w:rsidRDefault="00441AC5" w:rsidP="00441AC5">
      <w:pPr>
        <w:numPr>
          <w:ilvl w:val="0"/>
          <w:numId w:val="3"/>
        </w:numPr>
        <w:spacing w:line="360" w:lineRule="auto"/>
        <w:contextualSpacing/>
        <w:jc w:val="both"/>
        <w:rPr>
          <w:rFonts w:ascii="Arial" w:hAnsi="Arial"/>
          <w:rtl/>
        </w:rPr>
      </w:pPr>
      <w:r w:rsidRPr="00A66272">
        <w:rPr>
          <w:rFonts w:ascii="Arial" w:hAnsi="Arial"/>
          <w:rtl/>
        </w:rPr>
        <w:t xml:space="preserve">אשר לגזירת העונש בתוך המתחם – נטען כי </w:t>
      </w:r>
      <w:r w:rsidRPr="00A66272">
        <w:rPr>
          <w:rFonts w:ascii="Arial" w:hAnsi="Arial" w:hint="cs"/>
          <w:rtl/>
        </w:rPr>
        <w:t xml:space="preserve">לנאשמים אין עבר פלילי, שניהם הודו לפני שמיעת ראיות ובכך חסכו זמן שיפוטי ואת עדות המתלונן. מאידך נטען כי שני הנאשמים אינם קטינים, וכי הקטטה שהתרחשה שבוע עובר לאירוע מושא האישום, לא יכולה להיחשב כהתגרות. המאשימה הפנתה לתסקירי שירות המבחן ששללו אפיק שיקומי. כן ציינה המאשימה כי </w:t>
      </w:r>
      <w:r>
        <w:rPr>
          <w:rFonts w:ascii="Arial" w:hAnsi="Arial" w:hint="cs"/>
          <w:rtl/>
        </w:rPr>
        <w:t xml:space="preserve">שני </w:t>
      </w:r>
      <w:r w:rsidRPr="00A66272">
        <w:rPr>
          <w:rFonts w:ascii="Arial" w:hAnsi="Arial" w:hint="cs"/>
          <w:rtl/>
        </w:rPr>
        <w:t xml:space="preserve">הנאשמים עצורים עד תום ההליכים </w:t>
      </w:r>
      <w:r w:rsidRPr="00A66272">
        <w:rPr>
          <w:rFonts w:ascii="Arial" w:hAnsi="Arial"/>
          <w:rtl/>
        </w:rPr>
        <w:t>–</w:t>
      </w:r>
      <w:r w:rsidRPr="00A66272">
        <w:rPr>
          <w:rFonts w:ascii="Arial" w:hAnsi="Arial" w:hint="cs"/>
          <w:rtl/>
        </w:rPr>
        <w:t xml:space="preserve"> הנאשם 1 מיום 8.3.2022; והנאשם 2 מיום 6.3.2022. על כן, ביקשה המאשימה להטיל על הנאשמים עונש באמצע המתחם שהוצע, זאת לצד מאסרים מותנים ארוכים ומשמעותיים ופיצוי כספי למתלונן.  </w:t>
      </w:r>
      <w:r w:rsidRPr="00A66272">
        <w:rPr>
          <w:rFonts w:ascii="Arial" w:hAnsi="Arial"/>
          <w:rtl/>
        </w:rPr>
        <w:t xml:space="preserve">   </w:t>
      </w:r>
    </w:p>
    <w:p w14:paraId="3EFA38A0" w14:textId="77777777" w:rsidR="00441AC5" w:rsidRDefault="00441AC5" w:rsidP="00441AC5">
      <w:pPr>
        <w:spacing w:line="360" w:lineRule="auto"/>
        <w:jc w:val="both"/>
        <w:rPr>
          <w:rFonts w:ascii="Arial" w:hAnsi="Arial"/>
          <w:rtl/>
        </w:rPr>
      </w:pPr>
    </w:p>
    <w:p w14:paraId="205B3568" w14:textId="77777777" w:rsidR="00441AC5" w:rsidRPr="00CF1A9F" w:rsidRDefault="00441AC5" w:rsidP="00441AC5">
      <w:pPr>
        <w:spacing w:line="360" w:lineRule="auto"/>
        <w:jc w:val="both"/>
        <w:rPr>
          <w:rFonts w:ascii="Arial" w:hAnsi="Arial"/>
          <w:u w:val="single"/>
          <w:rtl/>
        </w:rPr>
      </w:pPr>
      <w:r w:rsidRPr="00CF1A9F">
        <w:rPr>
          <w:rFonts w:ascii="Arial" w:hAnsi="Arial" w:hint="cs"/>
          <w:u w:val="single"/>
          <w:rtl/>
        </w:rPr>
        <w:t>הנאשם 1</w:t>
      </w:r>
    </w:p>
    <w:p w14:paraId="661CA41B" w14:textId="77777777" w:rsidR="00441AC5" w:rsidRDefault="00441AC5" w:rsidP="00441AC5">
      <w:pPr>
        <w:spacing w:line="360" w:lineRule="auto"/>
        <w:jc w:val="both"/>
        <w:rPr>
          <w:rFonts w:ascii="Arial" w:hAnsi="Arial"/>
          <w:rtl/>
        </w:rPr>
      </w:pPr>
    </w:p>
    <w:p w14:paraId="73D08B07" w14:textId="77777777" w:rsidR="00441AC5" w:rsidRDefault="00441AC5" w:rsidP="00441AC5">
      <w:pPr>
        <w:pStyle w:val="af"/>
        <w:numPr>
          <w:ilvl w:val="0"/>
          <w:numId w:val="3"/>
        </w:numPr>
        <w:spacing w:line="360" w:lineRule="auto"/>
        <w:jc w:val="both"/>
        <w:rPr>
          <w:rFonts w:ascii="Arial" w:hAnsi="Arial"/>
        </w:rPr>
      </w:pPr>
      <w:r>
        <w:rPr>
          <w:rFonts w:ascii="Arial" w:hAnsi="Arial"/>
          <w:rtl/>
        </w:rPr>
        <w:t xml:space="preserve">הסנגור הפנה לעובדות כתב האישום המתוקן וטען כי </w:t>
      </w:r>
      <w:r>
        <w:rPr>
          <w:rFonts w:ascii="Arial" w:hAnsi="Arial" w:hint="cs"/>
          <w:rtl/>
        </w:rPr>
        <w:t xml:space="preserve">תיקון כתב האישום הוא משמעותי ביותר והדגיש את העובדה כי עבירות הנשק שיוחסו לנאשמים בכתב האישום המקורי הושמטו. </w:t>
      </w:r>
    </w:p>
    <w:p w14:paraId="227288FA" w14:textId="77777777" w:rsidR="00441AC5" w:rsidRPr="00554357" w:rsidRDefault="00441AC5" w:rsidP="00441AC5">
      <w:pPr>
        <w:pStyle w:val="af"/>
        <w:spacing w:line="360" w:lineRule="auto"/>
        <w:ind w:left="0"/>
        <w:jc w:val="both"/>
        <w:rPr>
          <w:rFonts w:ascii="Arial" w:hAnsi="Arial"/>
        </w:rPr>
      </w:pPr>
    </w:p>
    <w:p w14:paraId="1EFD94FF" w14:textId="77777777" w:rsidR="00441AC5" w:rsidRDefault="00441AC5" w:rsidP="00441AC5">
      <w:pPr>
        <w:pStyle w:val="af"/>
        <w:numPr>
          <w:ilvl w:val="0"/>
          <w:numId w:val="3"/>
        </w:numPr>
        <w:spacing w:line="360" w:lineRule="auto"/>
        <w:jc w:val="both"/>
        <w:rPr>
          <w:rFonts w:ascii="Arial" w:hAnsi="Arial"/>
        </w:rPr>
      </w:pPr>
      <w:r w:rsidRPr="00A66272">
        <w:rPr>
          <w:rFonts w:ascii="Arial" w:hAnsi="Arial" w:hint="cs"/>
          <w:rtl/>
        </w:rPr>
        <w:t>הסנגור הפנה לנסיבות ביצוע העבירות</w:t>
      </w:r>
      <w:r>
        <w:rPr>
          <w:rFonts w:ascii="Arial" w:hAnsi="Arial" w:hint="cs"/>
          <w:rtl/>
        </w:rPr>
        <w:t xml:space="preserve">. נטען כי </w:t>
      </w:r>
      <w:r w:rsidRPr="00A66272">
        <w:rPr>
          <w:rFonts w:ascii="Arial" w:hAnsi="Arial" w:hint="cs"/>
          <w:rtl/>
        </w:rPr>
        <w:t>הנזק שנגרם למתלונן הינו שפשוף בלבד. ל</w:t>
      </w:r>
      <w:r>
        <w:rPr>
          <w:rFonts w:ascii="Arial" w:hAnsi="Arial" w:hint="cs"/>
          <w:rtl/>
        </w:rPr>
        <w:t xml:space="preserve">גישת הסנגור, </w:t>
      </w:r>
      <w:r w:rsidRPr="00A66272">
        <w:rPr>
          <w:rFonts w:ascii="Arial" w:hAnsi="Arial" w:hint="cs"/>
          <w:rtl/>
        </w:rPr>
        <w:t xml:space="preserve">נסיבות האירוע מלמדות כי הדברים יצאו משליטה, וכי מדובר במעשה ילדותי, על רקע תקיפת </w:t>
      </w:r>
      <w:r>
        <w:rPr>
          <w:rFonts w:ascii="Arial" w:hAnsi="Arial" w:hint="cs"/>
          <w:rtl/>
        </w:rPr>
        <w:t xml:space="preserve">קטין </w:t>
      </w:r>
      <w:r w:rsidRPr="00A66272">
        <w:rPr>
          <w:rFonts w:ascii="Arial" w:hAnsi="Arial" w:hint="cs"/>
          <w:rtl/>
        </w:rPr>
        <w:t>קרוב משפחתו של הנאשם</w:t>
      </w:r>
      <w:r>
        <w:rPr>
          <w:rFonts w:ascii="Arial" w:hAnsi="Arial" w:hint="cs"/>
          <w:rtl/>
        </w:rPr>
        <w:t xml:space="preserve">, על ידי המתלונן, כך על פי חשד הנאשמים. </w:t>
      </w:r>
    </w:p>
    <w:p w14:paraId="0149BAA1" w14:textId="77777777" w:rsidR="00441AC5" w:rsidRPr="00A66272" w:rsidRDefault="00441AC5" w:rsidP="00441AC5">
      <w:pPr>
        <w:pStyle w:val="af"/>
        <w:rPr>
          <w:rFonts w:ascii="Arial" w:hAnsi="Arial"/>
          <w:rtl/>
        </w:rPr>
      </w:pPr>
    </w:p>
    <w:p w14:paraId="04896A9D" w14:textId="77777777" w:rsidR="00441AC5" w:rsidRDefault="00441AC5" w:rsidP="00441AC5">
      <w:pPr>
        <w:pStyle w:val="af"/>
        <w:numPr>
          <w:ilvl w:val="0"/>
          <w:numId w:val="3"/>
        </w:numPr>
        <w:spacing w:line="360" w:lineRule="auto"/>
        <w:jc w:val="both"/>
        <w:rPr>
          <w:rFonts w:ascii="Arial" w:hAnsi="Arial"/>
        </w:rPr>
      </w:pPr>
      <w:r w:rsidRPr="00A66272">
        <w:rPr>
          <w:rFonts w:ascii="Arial" w:hAnsi="Arial"/>
          <w:rtl/>
        </w:rPr>
        <w:t xml:space="preserve">הסנגור הפנה למדיניות הענישה הנוהגת וטען כי מתחם העונש ההולם נע בין </w:t>
      </w:r>
      <w:r w:rsidRPr="00A66272">
        <w:rPr>
          <w:rFonts w:ascii="Arial" w:hAnsi="Arial" w:hint="cs"/>
          <w:rtl/>
        </w:rPr>
        <w:t>7 ל-16 חודשי מאסר בפועל. נטען כי המאשימה עתרה לקביעת מתחם מופרז לחומרה.</w:t>
      </w:r>
    </w:p>
    <w:p w14:paraId="26CBBE63" w14:textId="77777777" w:rsidR="00441AC5" w:rsidRPr="00A66272" w:rsidRDefault="00441AC5" w:rsidP="00441AC5">
      <w:pPr>
        <w:pStyle w:val="af"/>
        <w:rPr>
          <w:rFonts w:ascii="Arial" w:hAnsi="Arial"/>
          <w:rtl/>
        </w:rPr>
      </w:pPr>
    </w:p>
    <w:p w14:paraId="7153A786" w14:textId="77777777" w:rsidR="00441AC5" w:rsidRDefault="00441AC5" w:rsidP="00441AC5">
      <w:pPr>
        <w:pStyle w:val="af"/>
        <w:numPr>
          <w:ilvl w:val="0"/>
          <w:numId w:val="3"/>
        </w:numPr>
        <w:spacing w:line="360" w:lineRule="auto"/>
        <w:jc w:val="both"/>
        <w:rPr>
          <w:rFonts w:ascii="Arial" w:hAnsi="Arial"/>
        </w:rPr>
      </w:pPr>
      <w:r w:rsidRPr="00A66272">
        <w:rPr>
          <w:rFonts w:ascii="Arial" w:hAnsi="Arial"/>
          <w:rtl/>
        </w:rPr>
        <w:t>אשר לגזירת העונש בתוך המתחם, הסנגור</w:t>
      </w:r>
      <w:r w:rsidRPr="00A66272">
        <w:rPr>
          <w:rFonts w:ascii="Arial" w:hAnsi="Arial" w:hint="cs"/>
          <w:rtl/>
        </w:rPr>
        <w:t xml:space="preserve"> הדגיש כי מדובר בנאשם צעיר, ללא עבר פלילי. הסנגור הגיש הסכם סולחה שנחתם עם המתלונן (סומן נ/1), והפנה לתיקון של כתב האישום שנעשה על דעת המתלונן. לטענת הסנגור, מהסכם הסולחה ניתן ללמוד כי הצדדים מוותרים באופן הדדי על נקיטת הליכים האחד נגד השני </w:t>
      </w:r>
      <w:r w:rsidRPr="00A66272">
        <w:rPr>
          <w:rFonts w:ascii="Arial" w:hAnsi="Arial"/>
          <w:rtl/>
        </w:rPr>
        <w:t>–</w:t>
      </w:r>
      <w:r w:rsidRPr="00A66272">
        <w:rPr>
          <w:rFonts w:ascii="Arial" w:hAnsi="Arial" w:hint="cs"/>
          <w:rtl/>
        </w:rPr>
        <w:t xml:space="preserve"> ו</w:t>
      </w:r>
      <w:r>
        <w:rPr>
          <w:rFonts w:ascii="Arial" w:hAnsi="Arial" w:hint="cs"/>
          <w:rtl/>
        </w:rPr>
        <w:t xml:space="preserve">אף על פיצוי המתלונן. </w:t>
      </w:r>
      <w:r w:rsidRPr="00A66272">
        <w:rPr>
          <w:rFonts w:ascii="Arial" w:hAnsi="Arial" w:hint="cs"/>
          <w:rtl/>
        </w:rPr>
        <w:t xml:space="preserve">הסנגור טען כי הנאשם רוצה לפתוח דף חדש, הפנה לאמור בתסקיר לגבי כך שהנאשם נגרר </w:t>
      </w:r>
      <w:r>
        <w:rPr>
          <w:rFonts w:ascii="Arial" w:hAnsi="Arial" w:hint="cs"/>
          <w:rtl/>
        </w:rPr>
        <w:t xml:space="preserve">אחר </w:t>
      </w:r>
      <w:r w:rsidRPr="00A66272">
        <w:rPr>
          <w:rFonts w:ascii="Arial" w:hAnsi="Arial" w:hint="cs"/>
          <w:rtl/>
        </w:rPr>
        <w:t>מעשי</w:t>
      </w:r>
      <w:r>
        <w:rPr>
          <w:rFonts w:ascii="Arial" w:hAnsi="Arial" w:hint="cs"/>
          <w:rtl/>
        </w:rPr>
        <w:t>הם של אחרים</w:t>
      </w:r>
      <w:r w:rsidRPr="00A66272">
        <w:rPr>
          <w:rFonts w:ascii="Arial" w:hAnsi="Arial" w:hint="cs"/>
          <w:rtl/>
        </w:rPr>
        <w:t xml:space="preserve">, וציין כי משפחתו של הנאשם היא מכובדת ותתמוך בו על מנת להוציאו מהמצב אליו נקלע. </w:t>
      </w:r>
    </w:p>
    <w:p w14:paraId="314EAC24" w14:textId="77777777" w:rsidR="00441AC5" w:rsidRPr="00A66272" w:rsidRDefault="00441AC5" w:rsidP="00441AC5">
      <w:pPr>
        <w:pStyle w:val="af"/>
        <w:spacing w:line="360" w:lineRule="auto"/>
        <w:ind w:left="0"/>
        <w:jc w:val="both"/>
        <w:rPr>
          <w:rFonts w:ascii="Arial" w:hAnsi="Arial"/>
          <w:rtl/>
        </w:rPr>
      </w:pPr>
    </w:p>
    <w:p w14:paraId="322EA4E4" w14:textId="77777777" w:rsidR="00441AC5" w:rsidRDefault="00441AC5" w:rsidP="00441AC5">
      <w:pPr>
        <w:pStyle w:val="af"/>
        <w:numPr>
          <w:ilvl w:val="0"/>
          <w:numId w:val="3"/>
        </w:numPr>
        <w:spacing w:line="360" w:lineRule="auto"/>
        <w:jc w:val="both"/>
        <w:rPr>
          <w:rFonts w:ascii="Arial" w:hAnsi="Arial"/>
        </w:rPr>
      </w:pPr>
      <w:r>
        <w:rPr>
          <w:rFonts w:ascii="Arial" w:hAnsi="Arial"/>
          <w:rtl/>
        </w:rPr>
        <w:t xml:space="preserve">בדברו לפניי ציין הנאשם </w:t>
      </w:r>
      <w:r>
        <w:rPr>
          <w:rFonts w:ascii="Arial" w:hAnsi="Arial" w:hint="cs"/>
          <w:rtl/>
        </w:rPr>
        <w:t xml:space="preserve">שהוא מתנצל על מה שקרה ואמר שמעשיו לא ישנו. </w:t>
      </w:r>
    </w:p>
    <w:p w14:paraId="42788111" w14:textId="77777777" w:rsidR="00441AC5" w:rsidRDefault="00441AC5" w:rsidP="00441AC5">
      <w:pPr>
        <w:pStyle w:val="af"/>
        <w:spacing w:line="360" w:lineRule="auto"/>
        <w:ind w:left="0"/>
        <w:jc w:val="both"/>
        <w:rPr>
          <w:rFonts w:ascii="Arial" w:hAnsi="Arial"/>
          <w:rtl/>
        </w:rPr>
      </w:pPr>
    </w:p>
    <w:p w14:paraId="23FC3288" w14:textId="77777777" w:rsidR="00441AC5" w:rsidRPr="00EB042E" w:rsidRDefault="00441AC5" w:rsidP="00441AC5">
      <w:pPr>
        <w:pStyle w:val="af"/>
        <w:spacing w:line="360" w:lineRule="auto"/>
        <w:ind w:left="0"/>
        <w:jc w:val="both"/>
        <w:rPr>
          <w:rFonts w:ascii="Arial" w:hAnsi="Arial"/>
          <w:u w:val="single"/>
          <w:rtl/>
        </w:rPr>
      </w:pPr>
      <w:r w:rsidRPr="00EB042E">
        <w:rPr>
          <w:rFonts w:ascii="Arial" w:hAnsi="Arial"/>
          <w:u w:val="single"/>
          <w:rtl/>
        </w:rPr>
        <w:t>הנאשם</w:t>
      </w:r>
      <w:r w:rsidRPr="00EB042E">
        <w:rPr>
          <w:rFonts w:ascii="Arial" w:hAnsi="Arial" w:hint="cs"/>
          <w:u w:val="single"/>
          <w:rtl/>
        </w:rPr>
        <w:t xml:space="preserve"> 2</w:t>
      </w:r>
    </w:p>
    <w:p w14:paraId="1D2B5E94" w14:textId="77777777" w:rsidR="00441AC5" w:rsidRDefault="00441AC5" w:rsidP="00441AC5">
      <w:pPr>
        <w:pStyle w:val="af"/>
        <w:spacing w:line="360" w:lineRule="auto"/>
        <w:ind w:left="0"/>
        <w:jc w:val="both"/>
        <w:rPr>
          <w:rFonts w:ascii="Arial" w:hAnsi="Arial"/>
        </w:rPr>
      </w:pPr>
    </w:p>
    <w:p w14:paraId="23D81F12" w14:textId="77777777" w:rsidR="00441AC5" w:rsidRDefault="00441AC5" w:rsidP="00441AC5">
      <w:pPr>
        <w:pStyle w:val="af"/>
        <w:numPr>
          <w:ilvl w:val="0"/>
          <w:numId w:val="3"/>
        </w:numPr>
        <w:spacing w:line="360" w:lineRule="auto"/>
        <w:jc w:val="both"/>
        <w:rPr>
          <w:rFonts w:ascii="Arial" w:hAnsi="Arial"/>
        </w:rPr>
      </w:pPr>
      <w:r w:rsidRPr="00C06F9F">
        <w:rPr>
          <w:rFonts w:ascii="Arial" w:hAnsi="Arial" w:hint="cs"/>
          <w:rtl/>
        </w:rPr>
        <w:t>הסנגורית הפנתה גם כן לתיקון המשמעותי לשיטתה של כתב האישום, וציינה גם כן כי הרקע לאירוע הוא חשד שהמתלונן נטל חלק בתקיפת קרוב משפחה של שני הנאשמים. לטענת הסנגורית, המשטרה נקטה באכיפה בררנית כלפי הנאשם, משום שלא חקרה את המתלונן שהיה מעורב לכאורה בהכאת קרוב משפחתם של הנאשמים. נטען כי נתון זה צריך להטות את הכף לקולה.</w:t>
      </w:r>
    </w:p>
    <w:p w14:paraId="352CBE12" w14:textId="77777777" w:rsidR="00441AC5" w:rsidRPr="00C06F9F" w:rsidRDefault="00441AC5" w:rsidP="00441AC5">
      <w:pPr>
        <w:pStyle w:val="af"/>
        <w:spacing w:line="360" w:lineRule="auto"/>
        <w:ind w:left="0"/>
        <w:jc w:val="both"/>
        <w:rPr>
          <w:rFonts w:ascii="Arial" w:hAnsi="Arial"/>
        </w:rPr>
      </w:pPr>
    </w:p>
    <w:p w14:paraId="10848BCA" w14:textId="77777777" w:rsidR="00441AC5" w:rsidRDefault="00441AC5" w:rsidP="00441AC5">
      <w:pPr>
        <w:pStyle w:val="af"/>
        <w:numPr>
          <w:ilvl w:val="0"/>
          <w:numId w:val="3"/>
        </w:numPr>
        <w:spacing w:line="360" w:lineRule="auto"/>
        <w:jc w:val="both"/>
        <w:rPr>
          <w:rFonts w:ascii="Arial" w:hAnsi="Arial"/>
        </w:rPr>
      </w:pPr>
      <w:r w:rsidRPr="00CE46D0">
        <w:rPr>
          <w:rFonts w:ascii="Arial" w:hAnsi="Arial" w:hint="cs"/>
          <w:rtl/>
        </w:rPr>
        <w:t xml:space="preserve">אשר לנסיבות ביצוע העבירות </w:t>
      </w:r>
      <w:r w:rsidRPr="00CE46D0">
        <w:rPr>
          <w:rFonts w:ascii="Arial" w:hAnsi="Arial"/>
          <w:rtl/>
        </w:rPr>
        <w:t>–</w:t>
      </w:r>
      <w:r w:rsidRPr="00CE46D0">
        <w:rPr>
          <w:rFonts w:ascii="Arial" w:hAnsi="Arial" w:hint="cs"/>
          <w:rtl/>
        </w:rPr>
        <w:t xml:space="preserve"> נטען כי החבלה שנגרמה למתלונן אינה משמעותית, ולא הותירה צלקת או נזק חמור. כן הפנתה להסכם הסולחה שנערך בין הצדדים, וציינה כי </w:t>
      </w:r>
      <w:r>
        <w:rPr>
          <w:rFonts w:ascii="Arial" w:hAnsi="Arial" w:hint="cs"/>
          <w:rtl/>
        </w:rPr>
        <w:t>ההסכם הביא לקץ הסכסוך.</w:t>
      </w:r>
    </w:p>
    <w:p w14:paraId="47F3704A" w14:textId="77777777" w:rsidR="00441AC5" w:rsidRPr="00CE46D0" w:rsidRDefault="00441AC5" w:rsidP="00441AC5">
      <w:pPr>
        <w:pStyle w:val="af"/>
        <w:rPr>
          <w:rFonts w:ascii="Arial" w:hAnsi="Arial"/>
          <w:rtl/>
        </w:rPr>
      </w:pPr>
    </w:p>
    <w:p w14:paraId="6127B1A7" w14:textId="77777777" w:rsidR="00441AC5" w:rsidRDefault="00441AC5" w:rsidP="00441AC5">
      <w:pPr>
        <w:pStyle w:val="af"/>
        <w:numPr>
          <w:ilvl w:val="0"/>
          <w:numId w:val="3"/>
        </w:numPr>
        <w:spacing w:line="360" w:lineRule="auto"/>
        <w:jc w:val="both"/>
        <w:rPr>
          <w:rFonts w:ascii="Arial" w:hAnsi="Arial"/>
        </w:rPr>
      </w:pPr>
      <w:r w:rsidRPr="00CE46D0">
        <w:rPr>
          <w:rFonts w:ascii="Arial" w:hAnsi="Arial" w:hint="cs"/>
          <w:rtl/>
        </w:rPr>
        <w:t>הסנגורית הפנתה למדיניות הענישה הנוהגת וטענה כי מתחם העונש ההולם נע בין מספר חודשי מאסר ועד שנה וחצי מאסר בפועל. כן טענ</w:t>
      </w:r>
      <w:r>
        <w:rPr>
          <w:rFonts w:ascii="Arial" w:hAnsi="Arial" w:hint="cs"/>
          <w:rtl/>
        </w:rPr>
        <w:t>ה כי הפסיקה אליה הפנתה המאשימה מתייחסת ל</w:t>
      </w:r>
      <w:r w:rsidRPr="00CE46D0">
        <w:rPr>
          <w:rFonts w:ascii="Arial" w:hAnsi="Arial" w:hint="cs"/>
          <w:rtl/>
        </w:rPr>
        <w:t>מקרים חמורים יותר</w:t>
      </w:r>
      <w:r>
        <w:rPr>
          <w:rFonts w:ascii="Arial" w:hAnsi="Arial" w:hint="cs"/>
          <w:rtl/>
        </w:rPr>
        <w:t xml:space="preserve"> ולא משקפים את המתחם הראוי. </w:t>
      </w:r>
    </w:p>
    <w:p w14:paraId="4AD74DA7" w14:textId="77777777" w:rsidR="00441AC5" w:rsidRPr="00554357" w:rsidRDefault="00441AC5" w:rsidP="00441AC5">
      <w:pPr>
        <w:pStyle w:val="af"/>
        <w:spacing w:line="360" w:lineRule="auto"/>
        <w:ind w:left="0"/>
        <w:jc w:val="both"/>
        <w:rPr>
          <w:rFonts w:ascii="Arial" w:hAnsi="Arial"/>
        </w:rPr>
      </w:pPr>
    </w:p>
    <w:p w14:paraId="40CACE6B" w14:textId="77777777" w:rsidR="00441AC5" w:rsidRDefault="00441AC5" w:rsidP="00441AC5">
      <w:pPr>
        <w:pStyle w:val="af"/>
        <w:numPr>
          <w:ilvl w:val="0"/>
          <w:numId w:val="3"/>
        </w:numPr>
        <w:spacing w:line="360" w:lineRule="auto"/>
        <w:jc w:val="both"/>
        <w:rPr>
          <w:rFonts w:ascii="Arial" w:hAnsi="Arial"/>
        </w:rPr>
      </w:pPr>
      <w:r w:rsidRPr="00CE46D0">
        <w:rPr>
          <w:rFonts w:ascii="Arial" w:hAnsi="Arial" w:hint="cs"/>
          <w:rtl/>
        </w:rPr>
        <w:t>אשר לגזירת העונש בתוך המתחם, ה</w:t>
      </w:r>
      <w:r>
        <w:rPr>
          <w:rFonts w:ascii="Arial" w:hAnsi="Arial" w:hint="cs"/>
          <w:rtl/>
        </w:rPr>
        <w:t>סנגורית ה</w:t>
      </w:r>
      <w:r w:rsidRPr="00CE46D0">
        <w:rPr>
          <w:rFonts w:ascii="Arial" w:hAnsi="Arial" w:hint="cs"/>
          <w:rtl/>
        </w:rPr>
        <w:t>דגישה כי לנאשם אין עבר פלילי, ו</w:t>
      </w:r>
      <w:r>
        <w:rPr>
          <w:rFonts w:ascii="Arial" w:hAnsi="Arial" w:hint="cs"/>
          <w:rtl/>
        </w:rPr>
        <w:t xml:space="preserve">ציינה את </w:t>
      </w:r>
      <w:r w:rsidRPr="00CE46D0">
        <w:rPr>
          <w:rFonts w:ascii="Arial" w:hAnsi="Arial" w:hint="cs"/>
          <w:rtl/>
        </w:rPr>
        <w:t>גילו הצעיר</w:t>
      </w:r>
      <w:r>
        <w:rPr>
          <w:rFonts w:ascii="Arial" w:hAnsi="Arial" w:hint="cs"/>
          <w:rtl/>
        </w:rPr>
        <w:t>. נטען כי ה</w:t>
      </w:r>
      <w:r w:rsidRPr="00CE46D0">
        <w:rPr>
          <w:rFonts w:ascii="Arial" w:hAnsi="Arial" w:hint="cs"/>
          <w:rtl/>
        </w:rPr>
        <w:t xml:space="preserve">נאשם החל לעלות על דרך המלך </w:t>
      </w:r>
      <w:r w:rsidRPr="00CE46D0">
        <w:rPr>
          <w:rFonts w:ascii="Arial" w:hAnsi="Arial"/>
          <w:rtl/>
        </w:rPr>
        <w:t>–</w:t>
      </w:r>
      <w:r w:rsidRPr="00CE46D0">
        <w:rPr>
          <w:rFonts w:ascii="Arial" w:hAnsi="Arial" w:hint="cs"/>
          <w:rtl/>
        </w:rPr>
        <w:t xml:space="preserve"> הוכשר כחשמלאי מוסמך, ופתח עסק </w:t>
      </w:r>
      <w:r>
        <w:rPr>
          <w:rFonts w:ascii="Arial" w:hAnsi="Arial" w:hint="cs"/>
          <w:rtl/>
        </w:rPr>
        <w:t xml:space="preserve">שמומן על ידי </w:t>
      </w:r>
      <w:r w:rsidRPr="00CE46D0">
        <w:rPr>
          <w:rFonts w:ascii="Arial" w:hAnsi="Arial" w:hint="cs"/>
          <w:rtl/>
        </w:rPr>
        <w:t xml:space="preserve">הלוואות. עוד </w:t>
      </w:r>
      <w:r w:rsidRPr="00CE46D0">
        <w:rPr>
          <w:rFonts w:ascii="Arial" w:hAnsi="Arial"/>
          <w:rtl/>
        </w:rPr>
        <w:t>נטען כי הנאשם מפרנס את הוריו, וכי אביו</w:t>
      </w:r>
      <w:r>
        <w:rPr>
          <w:rFonts w:ascii="Arial" w:hAnsi="Arial" w:hint="cs"/>
          <w:rtl/>
        </w:rPr>
        <w:t xml:space="preserve"> סובל מנכות. </w:t>
      </w:r>
      <w:r w:rsidRPr="00CE46D0">
        <w:rPr>
          <w:rFonts w:ascii="Arial" w:hAnsi="Arial" w:hint="cs"/>
          <w:rtl/>
        </w:rPr>
        <w:t>הסנגורית הגישה אסופת מסמכים התומכים בטענותיה (סומנה נ/1). הסנגורית התייחסה לתסקיר שירות המבחן וציינה כי התסקיר שלילי אך הנימוק לשלילת הליך שיקומי, לפי שירות המבחן, הינו בין היתר קשייו של הנאשם בהתבוננות וחשיפה, ובוויסות דחפים. לטענת הסנגורית נימוק זה אינו מובן, שכן האינטרס הציבורי הוא לא להכניס נאשם ללא עבר פלילי לכלא שם הוא עשוי להתדרדר. נטען כי בכל מקרה תסקיר הוא רק כלי עזר לבית המשפט. עוד הדגישה הסנגורית כי הנאשם נמצא במעצר עד תום ההליכים למעלה מ-7 חודשים, והדגישה כי מדובר במעצר ראשון.</w:t>
      </w:r>
    </w:p>
    <w:p w14:paraId="3F5DB50A" w14:textId="77777777" w:rsidR="00441AC5" w:rsidRDefault="00441AC5" w:rsidP="00441AC5">
      <w:pPr>
        <w:spacing w:line="360" w:lineRule="auto"/>
        <w:jc w:val="both"/>
        <w:rPr>
          <w:rFonts w:ascii="Arial" w:hAnsi="Arial"/>
          <w:rtl/>
        </w:rPr>
      </w:pPr>
    </w:p>
    <w:p w14:paraId="08F71621"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 xml:space="preserve">אחותו של הנאשם העידה לפניי ובדבריה ציינה כי היא כבת 29 ומחנכת במקצועה. היא ציינה כי הנאשם הוא זה שתמך בה כלכלית ושילם את לימודיה משום שהוריה לא עובדים, ואביה מתפרנס מקצבת נכות. כן ציינה האחות כי לאחרונה היא התארסה, וכי הנאשם קנה לה את הנדוניה וריהוט הבית על חשבונו. האחות ציינה כי לנאשם עסק חדש, וכי כל חובות העסק נופלות על כתפי הוריהם. לבסוף ציינה כי היא ואחיה התחנכו בביתם לערכים ולא לדרך עבריינית. </w:t>
      </w:r>
    </w:p>
    <w:p w14:paraId="0A18AD22" w14:textId="77777777" w:rsidR="00441AC5" w:rsidRDefault="00441AC5" w:rsidP="00441AC5">
      <w:pPr>
        <w:pStyle w:val="af"/>
        <w:spacing w:line="360" w:lineRule="auto"/>
        <w:ind w:left="0"/>
        <w:jc w:val="both"/>
        <w:rPr>
          <w:rFonts w:ascii="Arial" w:hAnsi="Arial"/>
        </w:rPr>
      </w:pPr>
    </w:p>
    <w:p w14:paraId="6FB6AD37" w14:textId="77777777" w:rsidR="00441AC5" w:rsidRPr="00E91B43" w:rsidRDefault="00441AC5" w:rsidP="00441AC5">
      <w:pPr>
        <w:pStyle w:val="af"/>
        <w:numPr>
          <w:ilvl w:val="0"/>
          <w:numId w:val="3"/>
        </w:numPr>
        <w:spacing w:line="360" w:lineRule="auto"/>
        <w:jc w:val="both"/>
        <w:rPr>
          <w:rFonts w:ascii="Arial" w:hAnsi="Arial"/>
          <w:rtl/>
        </w:rPr>
      </w:pPr>
      <w:r>
        <w:rPr>
          <w:rFonts w:ascii="Arial" w:hAnsi="Arial" w:hint="cs"/>
          <w:rtl/>
        </w:rPr>
        <w:t xml:space="preserve">בדברו לפניי ציין הנאשם כי התחיל בעבודה חדשה, כי מה שקרה לא נעשה בכוונה, כי הוא מתנצל, ורוצה לחזור לעבודתו. </w:t>
      </w:r>
    </w:p>
    <w:p w14:paraId="4E201C34" w14:textId="77777777" w:rsidR="00441AC5" w:rsidRDefault="00441AC5" w:rsidP="00441AC5">
      <w:pPr>
        <w:spacing w:line="360" w:lineRule="auto"/>
        <w:jc w:val="both"/>
        <w:rPr>
          <w:rFonts w:ascii="Arial" w:hAnsi="Arial"/>
          <w:rtl/>
        </w:rPr>
      </w:pPr>
    </w:p>
    <w:p w14:paraId="40E6CF3B" w14:textId="77777777" w:rsidR="00441AC5" w:rsidRDefault="00441AC5" w:rsidP="00441AC5">
      <w:pPr>
        <w:spacing w:line="360" w:lineRule="auto"/>
        <w:rPr>
          <w:rFonts w:ascii="Arial" w:hAnsi="Arial"/>
          <w:b/>
          <w:bCs/>
        </w:rPr>
      </w:pPr>
      <w:r>
        <w:rPr>
          <w:rFonts w:ascii="Arial" w:hAnsi="Arial"/>
          <w:b/>
          <w:bCs/>
          <w:rtl/>
        </w:rPr>
        <w:t>מתחם העונש ההולם</w:t>
      </w:r>
    </w:p>
    <w:p w14:paraId="71A8EA30" w14:textId="77777777" w:rsidR="00441AC5" w:rsidRDefault="00441AC5" w:rsidP="00441AC5">
      <w:pPr>
        <w:spacing w:line="360" w:lineRule="auto"/>
        <w:ind w:left="57"/>
        <w:contextualSpacing/>
        <w:jc w:val="both"/>
        <w:rPr>
          <w:rFonts w:ascii="Arial" w:hAnsi="Arial"/>
          <w:rtl/>
        </w:rPr>
      </w:pPr>
    </w:p>
    <w:p w14:paraId="782D38E2" w14:textId="77777777" w:rsidR="00441AC5" w:rsidRDefault="00441AC5" w:rsidP="00441AC5">
      <w:pPr>
        <w:numPr>
          <w:ilvl w:val="0"/>
          <w:numId w:val="3"/>
        </w:numPr>
        <w:tabs>
          <w:tab w:val="left" w:pos="3465"/>
        </w:tabs>
        <w:spacing w:line="360" w:lineRule="auto"/>
        <w:contextualSpacing/>
        <w:jc w:val="both"/>
        <w:rPr>
          <w:rFonts w:ascii="Arial" w:hAnsi="Arial"/>
          <w:rtl/>
        </w:rPr>
      </w:pPr>
      <w:r>
        <w:rPr>
          <w:rFonts w:ascii="Arial" w:hAnsi="Arial"/>
          <w:rtl/>
        </w:rPr>
        <w:t>כידוע, גזירת הדין נעשית, בדרך כלל, בשני שלבים עיקריים: קביעת מתחם עונש הולם ולאחר מכן גזירת העונש ב</w:t>
      </w:r>
      <w:r>
        <w:rPr>
          <w:rFonts w:ascii="Arial" w:hAnsi="Arial" w:hint="cs"/>
          <w:rtl/>
        </w:rPr>
        <w:t>תוך ה</w:t>
      </w:r>
      <w:r>
        <w:rPr>
          <w:rFonts w:ascii="Arial" w:hAnsi="Arial"/>
          <w:rtl/>
        </w:rPr>
        <w:t>מתחם (</w:t>
      </w:r>
      <w:hyperlink r:id="rId32" w:history="1">
        <w:r w:rsidR="00553DC4" w:rsidRPr="00553DC4">
          <w:rPr>
            <w:rStyle w:val="Hyperlink"/>
            <w:rFonts w:ascii="Arial" w:hAnsi="Arial"/>
            <w:rtl/>
          </w:rPr>
          <w:t>סעיף 40ג'</w:t>
        </w:r>
      </w:hyperlink>
      <w:r w:rsidRPr="005C2348">
        <w:rPr>
          <w:rFonts w:ascii="Arial" w:hAnsi="Arial"/>
          <w:rtl/>
        </w:rPr>
        <w:t xml:space="preserve"> ל</w:t>
      </w:r>
      <w:hyperlink r:id="rId33" w:history="1">
        <w:r w:rsidR="003575B0" w:rsidRPr="003575B0">
          <w:rPr>
            <w:rFonts w:ascii="Arial" w:hAnsi="Arial"/>
            <w:color w:val="0000FF"/>
            <w:u w:val="single"/>
            <w:rtl/>
          </w:rPr>
          <w:t>חוק העונשין</w:t>
        </w:r>
      </w:hyperlink>
      <w:r w:rsidRPr="005C2348">
        <w:rPr>
          <w:rFonts w:ascii="Arial" w:hAnsi="Arial"/>
          <w:rtl/>
        </w:rPr>
        <w:t xml:space="preserve">). בתוך כך יש לבחון אם קיימים שיקולים המצדיקים סטייה מהמתחם (ראו לעניין בחינת שלבי גזירת העונש בין היתר: </w:t>
      </w:r>
      <w:hyperlink r:id="rId34" w:history="1">
        <w:r w:rsidR="003575B0" w:rsidRPr="003575B0">
          <w:rPr>
            <w:rFonts w:ascii="Arial" w:hAnsi="Arial"/>
            <w:color w:val="0000FF"/>
            <w:u w:val="single"/>
            <w:rtl/>
          </w:rPr>
          <w:t>ע"פ 1127/13</w:t>
        </w:r>
      </w:hyperlink>
      <w:r w:rsidRPr="005C2348">
        <w:rPr>
          <w:rFonts w:ascii="Arial" w:hAnsi="Arial"/>
          <w:rtl/>
        </w:rPr>
        <w:t xml:space="preserve"> </w:t>
      </w:r>
      <w:r w:rsidRPr="005C2348">
        <w:rPr>
          <w:rFonts w:ascii="Arial" w:hAnsi="Arial" w:hint="cs"/>
          <w:b/>
          <w:bCs/>
          <w:rtl/>
        </w:rPr>
        <w:t>גברזגיי נ' מדינת ישראל</w:t>
      </w:r>
      <w:r w:rsidRPr="005C2348">
        <w:rPr>
          <w:rFonts w:ascii="Arial" w:hAnsi="Arial" w:hint="cs"/>
          <w:rtl/>
        </w:rPr>
        <w:t xml:space="preserve"> (15.1.2014)). </w:t>
      </w:r>
      <w:hyperlink r:id="rId35" w:history="1">
        <w:r w:rsidR="00553DC4" w:rsidRPr="00553DC4">
          <w:rPr>
            <w:rStyle w:val="Hyperlink"/>
            <w:rFonts w:ascii="Arial" w:hAnsi="Arial"/>
            <w:rtl/>
          </w:rPr>
          <w:t>סימן א'1 לפרק ו'</w:t>
        </w:r>
      </w:hyperlink>
      <w:r w:rsidRPr="005C2348">
        <w:rPr>
          <w:rFonts w:ascii="Arial" w:hAnsi="Arial"/>
          <w:rtl/>
        </w:rPr>
        <w:t xml:space="preserve"> ל</w:t>
      </w:r>
      <w:hyperlink r:id="rId36" w:history="1">
        <w:r w:rsidR="003575B0" w:rsidRPr="003575B0">
          <w:rPr>
            <w:rFonts w:ascii="Arial" w:hAnsi="Arial"/>
            <w:color w:val="0000FF"/>
            <w:u w:val="single"/>
            <w:rtl/>
          </w:rPr>
          <w:t>חוק העונשין</w:t>
        </w:r>
      </w:hyperlink>
      <w:r w:rsidRPr="005C2348">
        <w:rPr>
          <w:rFonts w:ascii="Arial" w:hAnsi="Arial"/>
          <w:rtl/>
        </w:rPr>
        <w:t xml:space="preserve">, מונה שתי אפשרויות בהן ניתן לסטות ממתחם העונש שנקבע. </w:t>
      </w:r>
      <w:hyperlink r:id="rId37" w:history="1">
        <w:r w:rsidR="00553DC4" w:rsidRPr="00553DC4">
          <w:rPr>
            <w:rStyle w:val="Hyperlink"/>
            <w:rFonts w:ascii="Arial" w:hAnsi="Arial"/>
            <w:rtl/>
          </w:rPr>
          <w:t>סעיף 40ד'</w:t>
        </w:r>
      </w:hyperlink>
      <w:r w:rsidRPr="005C2348">
        <w:rPr>
          <w:rFonts w:ascii="Arial" w:hAnsi="Arial"/>
          <w:rtl/>
        </w:rPr>
        <w:t xml:space="preserve"> ל</w:t>
      </w:r>
      <w:hyperlink r:id="rId38" w:history="1">
        <w:r w:rsidR="003575B0" w:rsidRPr="003575B0">
          <w:rPr>
            <w:rFonts w:ascii="Arial" w:hAnsi="Arial"/>
            <w:color w:val="0000FF"/>
            <w:u w:val="single"/>
            <w:rtl/>
          </w:rPr>
          <w:t>חוק העונשין</w:t>
        </w:r>
      </w:hyperlink>
      <w:r w:rsidRPr="005C2348">
        <w:rPr>
          <w:rFonts w:ascii="Arial" w:hAnsi="Arial"/>
          <w:rtl/>
        </w:rPr>
        <w:t xml:space="preserve"> קובע כי בית המשפט רשאי לחרוג ממתחם העונש ההולם במקרה ומצא כי הנאשם השתקם או שיש סיכוי של ממש שישתקם. </w:t>
      </w:r>
      <w:hyperlink r:id="rId39" w:history="1">
        <w:r w:rsidR="00553DC4" w:rsidRPr="00553DC4">
          <w:rPr>
            <w:rStyle w:val="Hyperlink"/>
            <w:rFonts w:ascii="Arial" w:hAnsi="Arial"/>
            <w:rtl/>
          </w:rPr>
          <w:t>סעיף 40ה'</w:t>
        </w:r>
      </w:hyperlink>
      <w:r w:rsidRPr="005C2348">
        <w:rPr>
          <w:rFonts w:ascii="Arial" w:hAnsi="Arial"/>
          <w:rtl/>
        </w:rPr>
        <w:t xml:space="preserve"> ל</w:t>
      </w:r>
      <w:hyperlink r:id="rId40" w:history="1">
        <w:r w:rsidR="003575B0" w:rsidRPr="003575B0">
          <w:rPr>
            <w:rFonts w:ascii="Arial" w:hAnsi="Arial"/>
            <w:color w:val="0000FF"/>
            <w:u w:val="single"/>
            <w:rtl/>
          </w:rPr>
          <w:t>חוק העונשין</w:t>
        </w:r>
      </w:hyperlink>
      <w:r w:rsidRPr="005C2348">
        <w:rPr>
          <w:rFonts w:ascii="Arial" w:hAnsi="Arial"/>
          <w:rtl/>
        </w:rPr>
        <w:t xml:space="preserve"> קובע אפשרות להטיל עונש חמור מהרף העליון של המתחם במקרהו של נאשם שיש חשש ממשי שיחזור ויבצע עבירות, והחמרה בעונשו והרחקתו מהציבור </w:t>
      </w:r>
      <w:r>
        <w:rPr>
          <w:rFonts w:ascii="Arial" w:hAnsi="Arial"/>
          <w:rtl/>
        </w:rPr>
        <w:t xml:space="preserve">נדרשת כדי להגן על שלום הציבור (קביעה כזו מחייבת קיומו של עבר פלילי משמעותי או הצגת חוות דעת מקצועית).  </w:t>
      </w:r>
    </w:p>
    <w:p w14:paraId="79EC2345" w14:textId="77777777" w:rsidR="00441AC5" w:rsidRDefault="00441AC5" w:rsidP="00441AC5">
      <w:pPr>
        <w:tabs>
          <w:tab w:val="left" w:pos="3465"/>
        </w:tabs>
        <w:spacing w:line="360" w:lineRule="auto"/>
        <w:jc w:val="both"/>
        <w:rPr>
          <w:rFonts w:ascii="Arial" w:hAnsi="Arial"/>
        </w:rPr>
      </w:pPr>
    </w:p>
    <w:p w14:paraId="731200EE" w14:textId="77777777" w:rsidR="00441AC5" w:rsidRDefault="00441AC5" w:rsidP="00441AC5">
      <w:pPr>
        <w:numPr>
          <w:ilvl w:val="0"/>
          <w:numId w:val="3"/>
        </w:numPr>
        <w:tabs>
          <w:tab w:val="left" w:pos="3465"/>
        </w:tabs>
        <w:spacing w:line="360" w:lineRule="auto"/>
        <w:contextualSpacing/>
        <w:jc w:val="both"/>
        <w:rPr>
          <w:rFonts w:ascii="Arial" w:hAnsi="Arial"/>
        </w:rPr>
      </w:pPr>
      <w:r>
        <w:rPr>
          <w:rFonts w:ascii="Arial" w:hAnsi="Arial" w:hint="cs"/>
          <w:rtl/>
        </w:rPr>
        <w:t xml:space="preserve">תחילה נציין כי הצדדים ביקשו לקבוע כי </w:t>
      </w:r>
      <w:r>
        <w:rPr>
          <w:rFonts w:ascii="Arial" w:hAnsi="Arial"/>
          <w:rtl/>
        </w:rPr>
        <w:t>כתב האישום מגלם אירוע אחד</w:t>
      </w:r>
      <w:r>
        <w:rPr>
          <w:rFonts w:ascii="Arial" w:hAnsi="Arial" w:hint="cs"/>
          <w:rtl/>
        </w:rPr>
        <w:t xml:space="preserve"> ואכן ממקרא כתב האישום עולה כי הוא כולל אירוע אחד </w:t>
      </w:r>
      <w:r>
        <w:rPr>
          <w:rFonts w:ascii="Arial" w:hAnsi="Arial"/>
          <w:rtl/>
        </w:rPr>
        <w:t xml:space="preserve">ועל כן יש לקבוע מתחם עונש הולם אחד לאירוע כולו. </w:t>
      </w:r>
    </w:p>
    <w:p w14:paraId="14BA95D6" w14:textId="77777777" w:rsidR="00441AC5" w:rsidRDefault="00441AC5" w:rsidP="00441AC5">
      <w:pPr>
        <w:spacing w:line="360" w:lineRule="auto"/>
        <w:ind w:left="720"/>
        <w:contextualSpacing/>
        <w:rPr>
          <w:rFonts w:ascii="Arial" w:hAnsi="Arial"/>
          <w:b/>
          <w:bCs/>
          <w:rtl/>
        </w:rPr>
      </w:pPr>
    </w:p>
    <w:p w14:paraId="5512F175" w14:textId="77777777" w:rsidR="00441AC5" w:rsidRDefault="00441AC5" w:rsidP="00441AC5">
      <w:pPr>
        <w:numPr>
          <w:ilvl w:val="0"/>
          <w:numId w:val="3"/>
        </w:numPr>
        <w:spacing w:line="360" w:lineRule="auto"/>
        <w:contextualSpacing/>
        <w:jc w:val="both"/>
        <w:rPr>
          <w:rFonts w:ascii="Arial" w:hAnsi="Arial"/>
        </w:rPr>
      </w:pPr>
      <w:r w:rsidRPr="00967B6B">
        <w:rPr>
          <w:rFonts w:ascii="Arial" w:hAnsi="Arial"/>
          <w:rtl/>
        </w:rPr>
        <w:t>העבירה העיקרית בה הורשע</w:t>
      </w:r>
      <w:r w:rsidRPr="00967B6B">
        <w:rPr>
          <w:rFonts w:ascii="Arial" w:hAnsi="Arial" w:hint="cs"/>
          <w:rtl/>
        </w:rPr>
        <w:t>ו</w:t>
      </w:r>
      <w:r w:rsidRPr="00967B6B">
        <w:rPr>
          <w:rFonts w:ascii="Arial" w:hAnsi="Arial"/>
          <w:rtl/>
        </w:rPr>
        <w:t xml:space="preserve"> הנאש</w:t>
      </w:r>
      <w:r w:rsidRPr="00967B6B">
        <w:rPr>
          <w:rFonts w:ascii="Arial" w:hAnsi="Arial" w:hint="cs"/>
          <w:rtl/>
        </w:rPr>
        <w:t>מי</w:t>
      </w:r>
      <w:r w:rsidRPr="00967B6B">
        <w:rPr>
          <w:rFonts w:ascii="Arial" w:hAnsi="Arial"/>
          <w:rtl/>
        </w:rPr>
        <w:t xml:space="preserve">ם היא עבירת </w:t>
      </w:r>
      <w:r>
        <w:rPr>
          <w:rFonts w:ascii="Arial" w:hAnsi="Arial" w:hint="cs"/>
          <w:rtl/>
        </w:rPr>
        <w:t xml:space="preserve">אלימות, שבמקרה זה היא עבירה של </w:t>
      </w:r>
      <w:r w:rsidRPr="00967B6B">
        <w:rPr>
          <w:rFonts w:ascii="Arial" w:hAnsi="Arial" w:hint="cs"/>
          <w:rtl/>
        </w:rPr>
        <w:t>חבלה בכוונה מחמירה</w:t>
      </w:r>
      <w:r>
        <w:rPr>
          <w:rFonts w:ascii="Arial" w:hAnsi="Arial" w:hint="cs"/>
          <w:rtl/>
        </w:rPr>
        <w:t>, אשר מדורגת כאחת העבירות החמורות במדרג עבירות האלימות</w:t>
      </w:r>
      <w:r w:rsidRPr="00967B6B">
        <w:rPr>
          <w:rFonts w:ascii="Arial" w:hAnsi="Arial" w:hint="cs"/>
          <w:rtl/>
        </w:rPr>
        <w:t>.</w:t>
      </w:r>
      <w:r w:rsidRPr="00967B6B">
        <w:rPr>
          <w:rFonts w:ascii="Arial" w:hAnsi="Arial" w:hint="cs"/>
          <w:b/>
          <w:bCs/>
          <w:rtl/>
        </w:rPr>
        <w:t xml:space="preserve"> </w:t>
      </w:r>
      <w:r>
        <w:rPr>
          <w:rFonts w:ascii="Arial" w:hAnsi="Arial" w:hint="cs"/>
          <w:rtl/>
        </w:rPr>
        <w:t xml:space="preserve">ככלל, </w:t>
      </w:r>
      <w:r w:rsidRPr="00967B6B">
        <w:rPr>
          <w:rFonts w:ascii="Arial" w:hAnsi="Arial" w:hint="cs"/>
          <w:rtl/>
        </w:rPr>
        <w:t>הערכים המוגנים בעביר</w:t>
      </w:r>
      <w:r>
        <w:rPr>
          <w:rFonts w:ascii="Arial" w:hAnsi="Arial" w:hint="cs"/>
          <w:rtl/>
        </w:rPr>
        <w:t>ו</w:t>
      </w:r>
      <w:r w:rsidRPr="00967B6B">
        <w:rPr>
          <w:rFonts w:ascii="Arial" w:hAnsi="Arial" w:hint="cs"/>
          <w:rtl/>
        </w:rPr>
        <w:t xml:space="preserve">ת </w:t>
      </w:r>
      <w:r>
        <w:rPr>
          <w:rFonts w:ascii="Arial" w:hAnsi="Arial" w:hint="cs"/>
          <w:rtl/>
        </w:rPr>
        <w:t>ה</w:t>
      </w:r>
      <w:r w:rsidRPr="00967B6B">
        <w:rPr>
          <w:rFonts w:ascii="Arial" w:hAnsi="Arial" w:hint="cs"/>
          <w:rtl/>
        </w:rPr>
        <w:t>אלימות</w:t>
      </w:r>
      <w:r>
        <w:rPr>
          <w:rFonts w:ascii="Arial" w:hAnsi="Arial" w:hint="cs"/>
          <w:rtl/>
        </w:rPr>
        <w:t xml:space="preserve">, ובכלל זה העבירה בו הורשעו הנאשמים, </w:t>
      </w:r>
      <w:r w:rsidRPr="00967B6B">
        <w:rPr>
          <w:rFonts w:ascii="Arial" w:hAnsi="Arial" w:hint="cs"/>
          <w:rtl/>
        </w:rPr>
        <w:t>ה</w:t>
      </w:r>
      <w:r>
        <w:rPr>
          <w:rFonts w:ascii="Arial" w:hAnsi="Arial" w:hint="cs"/>
          <w:rtl/>
        </w:rPr>
        <w:t>ם</w:t>
      </w:r>
      <w:r w:rsidRPr="00967B6B">
        <w:rPr>
          <w:rFonts w:ascii="Arial" w:hAnsi="Arial" w:hint="cs"/>
          <w:rtl/>
        </w:rPr>
        <w:t xml:space="preserve"> </w:t>
      </w:r>
      <w:r w:rsidRPr="00967B6B">
        <w:rPr>
          <w:rFonts w:ascii="Arial" w:hAnsi="Arial"/>
          <w:rtl/>
        </w:rPr>
        <w:t>שלמות הגוף והנפש</w:t>
      </w:r>
      <w:r w:rsidRPr="00967B6B">
        <w:rPr>
          <w:rFonts w:ascii="Arial" w:hAnsi="Arial" w:hint="cs"/>
          <w:rtl/>
        </w:rPr>
        <w:t>,</w:t>
      </w:r>
      <w:r w:rsidRPr="00967B6B">
        <w:rPr>
          <w:rFonts w:ascii="Arial" w:hAnsi="Arial"/>
          <w:rtl/>
        </w:rPr>
        <w:t xml:space="preserve"> והגנה על בטחונו האישי של האדם</w:t>
      </w:r>
      <w:r>
        <w:rPr>
          <w:rFonts w:ascii="Arial" w:hAnsi="Arial" w:hint="cs"/>
          <w:rtl/>
        </w:rPr>
        <w:t xml:space="preserve">. ערך נוסף במדרג גבוה יותר, הוא </w:t>
      </w:r>
      <w:r w:rsidRPr="00967B6B">
        <w:rPr>
          <w:rFonts w:ascii="Arial" w:hAnsi="Arial"/>
          <w:rtl/>
        </w:rPr>
        <w:t>שלום הציבור</w:t>
      </w:r>
      <w:r>
        <w:rPr>
          <w:rFonts w:ascii="Arial" w:hAnsi="Arial" w:hint="cs"/>
          <w:rtl/>
        </w:rPr>
        <w:t xml:space="preserve"> וקיום חברה תקינה ובטוחה</w:t>
      </w:r>
      <w:r w:rsidRPr="00967B6B">
        <w:rPr>
          <w:rFonts w:ascii="Arial" w:hAnsi="Arial" w:hint="cs"/>
          <w:rtl/>
        </w:rPr>
        <w:t xml:space="preserve">. </w:t>
      </w:r>
    </w:p>
    <w:p w14:paraId="52C5F09E" w14:textId="77777777" w:rsidR="00441AC5" w:rsidRDefault="00441AC5" w:rsidP="00441AC5">
      <w:pPr>
        <w:pStyle w:val="af"/>
        <w:rPr>
          <w:rFonts w:ascii="Arial" w:hAnsi="Arial"/>
          <w:rtl/>
        </w:rPr>
      </w:pPr>
    </w:p>
    <w:p w14:paraId="0EACB272"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 xml:space="preserve">לאלימות על כל צורותיה אין מקום בחברה מתוקנת חפצת חיים. התגובה העונשית של בית המשפט למעשיו של נאשם אשר בוחר בדרך האלימות צריכה להיות ברורה. עליה לשאת מסר חד וברור ולבטא את קולו של הציבור שנקעה נפשו מהאלימות שנראה כי מכלה כל חלקה טובה. המענה העונשי צריך למצוא ביטוי בצמד של שתי אותיות  </w:t>
      </w:r>
      <w:r>
        <w:rPr>
          <w:rFonts w:ascii="Arial" w:hAnsi="Arial"/>
          <w:rtl/>
        </w:rPr>
        <w:t>–</w:t>
      </w:r>
      <w:r>
        <w:rPr>
          <w:rFonts w:ascii="Arial" w:hAnsi="Arial" w:hint="cs"/>
          <w:rtl/>
        </w:rPr>
        <w:t xml:space="preserve"> די! </w:t>
      </w:r>
    </w:p>
    <w:p w14:paraId="1246791D" w14:textId="77777777" w:rsidR="00441AC5" w:rsidRPr="003E694D" w:rsidRDefault="00441AC5" w:rsidP="00441AC5">
      <w:pPr>
        <w:pStyle w:val="af"/>
        <w:rPr>
          <w:rFonts w:ascii="Arial" w:hAnsi="Arial"/>
          <w:rtl/>
        </w:rPr>
      </w:pPr>
    </w:p>
    <w:p w14:paraId="34A0FBC4" w14:textId="77777777" w:rsidR="00441AC5" w:rsidRPr="003E694D" w:rsidRDefault="00441AC5" w:rsidP="00441AC5">
      <w:pPr>
        <w:pStyle w:val="af"/>
        <w:spacing w:line="360" w:lineRule="auto"/>
        <w:ind w:left="0" w:firstLine="567"/>
        <w:jc w:val="both"/>
        <w:rPr>
          <w:rFonts w:ascii="Arial" w:hAnsi="Arial"/>
        </w:rPr>
      </w:pPr>
      <w:r w:rsidRPr="003E694D">
        <w:rPr>
          <w:rFonts w:ascii="Arial" w:hAnsi="Arial" w:hint="cs"/>
          <w:rtl/>
        </w:rPr>
        <w:t>לא אחת הדגיש בית המשפט העליון כי יש להטיל עונשים משמעותיים בגין נקיטה באלימות</w:t>
      </w:r>
      <w:r>
        <w:rPr>
          <w:rFonts w:ascii="Arial" w:hAnsi="Arial" w:hint="cs"/>
          <w:rtl/>
        </w:rPr>
        <w:t xml:space="preserve">; </w:t>
      </w:r>
      <w:r w:rsidRPr="003E694D">
        <w:rPr>
          <w:rFonts w:ascii="Arial" w:hAnsi="Arial" w:hint="cs"/>
          <w:rtl/>
        </w:rPr>
        <w:t>"</w:t>
      </w:r>
      <w:r w:rsidRPr="003E694D">
        <w:rPr>
          <w:rFonts w:ascii="Arial" w:hAnsi="Arial"/>
          <w:b/>
          <w:bCs/>
          <w:rtl/>
        </w:rPr>
        <w:t>בית משפט זה עמד לא אחת על כך שחברה מתוקנת אינה יכולה להשלים עם אלימות החותרת תחת זכותו של אדם לשלמות גופו... וכן על הצורך להרתיע את הפונים לפתרון סכסוכים בכוח הזרוע באמצעות השתת עונשים הולמים ומשמעותיים. זאת במטרה להעביר את המסר כי החברה אינה סובלנית להתנהגויות מסוג זה</w:t>
      </w:r>
      <w:r w:rsidRPr="003E694D">
        <w:rPr>
          <w:rFonts w:ascii="Arial" w:hAnsi="Arial"/>
          <w:rtl/>
        </w:rPr>
        <w:t>...</w:t>
      </w:r>
      <w:r w:rsidRPr="003E694D">
        <w:rPr>
          <w:rFonts w:ascii="Arial" w:hAnsi="Arial"/>
          <w:b/>
          <w:bCs/>
          <w:rtl/>
        </w:rPr>
        <w:t>"</w:t>
      </w:r>
      <w:r w:rsidRPr="003E694D">
        <w:rPr>
          <w:rFonts w:ascii="Arial" w:hAnsi="Arial"/>
          <w:rtl/>
        </w:rPr>
        <w:t xml:space="preserve"> (</w:t>
      </w:r>
      <w:hyperlink r:id="rId41" w:history="1">
        <w:r w:rsidR="003575B0" w:rsidRPr="003575B0">
          <w:rPr>
            <w:rFonts w:ascii="Arial" w:hAnsi="Arial"/>
            <w:color w:val="0000FF"/>
            <w:u w:val="single"/>
            <w:rtl/>
          </w:rPr>
          <w:t>ע"פ 759/16</w:t>
        </w:r>
      </w:hyperlink>
      <w:r w:rsidRPr="003E694D">
        <w:rPr>
          <w:rFonts w:ascii="Arial" w:hAnsi="Arial"/>
          <w:rtl/>
        </w:rPr>
        <w:t xml:space="preserve"> </w:t>
      </w:r>
      <w:r w:rsidRPr="003E694D">
        <w:rPr>
          <w:rFonts w:ascii="Arial" w:hAnsi="Arial"/>
          <w:b/>
          <w:bCs/>
          <w:rtl/>
        </w:rPr>
        <w:t>גבארין נ' מדינת ישראל</w:t>
      </w:r>
      <w:r w:rsidRPr="003E694D">
        <w:rPr>
          <w:rFonts w:ascii="Arial" w:hAnsi="Arial"/>
          <w:rtl/>
        </w:rPr>
        <w:t xml:space="preserve"> (13.6.2016)).</w:t>
      </w:r>
    </w:p>
    <w:p w14:paraId="1EE76AD1" w14:textId="77777777" w:rsidR="00441AC5" w:rsidRDefault="00441AC5" w:rsidP="00441AC5">
      <w:pPr>
        <w:pStyle w:val="af"/>
        <w:rPr>
          <w:rFonts w:ascii="Arial" w:hAnsi="Arial"/>
          <w:rtl/>
        </w:rPr>
      </w:pPr>
    </w:p>
    <w:p w14:paraId="2EF99AE2" w14:textId="77777777" w:rsidR="00441AC5" w:rsidRDefault="00441AC5" w:rsidP="00441AC5">
      <w:pPr>
        <w:numPr>
          <w:ilvl w:val="0"/>
          <w:numId w:val="3"/>
        </w:numPr>
        <w:spacing w:line="360" w:lineRule="auto"/>
        <w:contextualSpacing/>
        <w:jc w:val="both"/>
        <w:rPr>
          <w:rFonts w:ascii="Arial" w:hAnsi="Arial"/>
        </w:rPr>
      </w:pPr>
      <w:r w:rsidRPr="00967B6B">
        <w:rPr>
          <w:rFonts w:ascii="Arial" w:hAnsi="Arial" w:hint="cs"/>
          <w:rtl/>
        </w:rPr>
        <w:t>ב</w:t>
      </w:r>
      <w:r>
        <w:rPr>
          <w:rFonts w:ascii="Arial" w:hAnsi="Arial" w:hint="cs"/>
          <w:rtl/>
        </w:rPr>
        <w:t>התייחס לחומרה הטמונה בעבירה של חבלה בכוונה מחמירה, ציין בית המשפט העליון דברים אלו:</w:t>
      </w:r>
    </w:p>
    <w:p w14:paraId="38B7AA77" w14:textId="77777777" w:rsidR="00441AC5" w:rsidRDefault="00441AC5" w:rsidP="00441AC5">
      <w:pPr>
        <w:pStyle w:val="af"/>
        <w:rPr>
          <w:rFonts w:ascii="Arial" w:hAnsi="Arial"/>
          <w:rtl/>
        </w:rPr>
      </w:pPr>
    </w:p>
    <w:p w14:paraId="79137350" w14:textId="77777777" w:rsidR="00441AC5" w:rsidRPr="00780FC2" w:rsidRDefault="00441AC5" w:rsidP="00441AC5">
      <w:pPr>
        <w:pStyle w:val="af"/>
        <w:spacing w:line="360" w:lineRule="auto"/>
        <w:ind w:left="1134" w:right="1134"/>
        <w:jc w:val="both"/>
        <w:rPr>
          <w:rFonts w:ascii="Arial" w:hAnsi="Arial"/>
          <w:rtl/>
        </w:rPr>
      </w:pPr>
      <w:r w:rsidRPr="00780FC2">
        <w:rPr>
          <w:rFonts w:ascii="Arial" w:hAnsi="Arial" w:hint="cs"/>
          <w:rtl/>
        </w:rPr>
        <w:t>"</w:t>
      </w:r>
      <w:r w:rsidRPr="00780FC2">
        <w:rPr>
          <w:rFonts w:ascii="Arial" w:hAnsi="Arial"/>
          <w:b/>
          <w:bCs/>
          <w:rtl/>
        </w:rPr>
        <w:t>גרימת חבלה בכוונה מחמירה היא עבירה שעונשה המירבי עומד על 20 שנות מאסר.</w:t>
      </w:r>
      <w:r w:rsidRPr="00780FC2">
        <w:rPr>
          <w:rFonts w:ascii="Arial" w:hAnsi="Arial" w:hint="cs"/>
          <w:b/>
          <w:bCs/>
          <w:rtl/>
        </w:rPr>
        <w:t xml:space="preserve"> </w:t>
      </w:r>
      <w:r w:rsidRPr="00780FC2">
        <w:rPr>
          <w:rFonts w:ascii="Arial" w:hAnsi="Arial"/>
          <w:b/>
          <w:bCs/>
          <w:rtl/>
        </w:rPr>
        <w:t>עונש זה איננו רק מגדיר את גבולה העליון של סמכות הענישה שבידי בתי המשפט, אלא גם מבטא את עמדת המחוקק ביחס לחומרת העבירה שבה עסקינן</w:t>
      </w:r>
      <w:r w:rsidRPr="00780FC2">
        <w:rPr>
          <w:rFonts w:ascii="Arial" w:hAnsi="Arial" w:hint="cs"/>
          <w:b/>
          <w:bCs/>
          <w:rtl/>
        </w:rPr>
        <w:t>...</w:t>
      </w:r>
      <w:r w:rsidRPr="00780FC2">
        <w:rPr>
          <w:rFonts w:ascii="Arial" w:hAnsi="Arial"/>
          <w:b/>
          <w:bCs/>
          <w:rtl/>
        </w:rPr>
        <w:t xml:space="preserve"> בקבעו עונש מירבי זה, הורה לנו המחוקק לשקול הטלת עשרים שנות מאסר בפועל על נאשם שנמצא אשם בגרימת חבלה בכוונה מחמירה בנסיבות המצויות בדרגת החומרה הגבוהה ביותר. המחוקק לא דיבר לריק – עלינו להתאים את הענישה הנוהגת לעמדתו זו</w:t>
      </w:r>
      <w:r w:rsidRPr="00780FC2">
        <w:rPr>
          <w:rFonts w:ascii="Arial" w:hAnsi="Arial" w:hint="cs"/>
          <w:rtl/>
        </w:rPr>
        <w:t>" (</w:t>
      </w:r>
      <w:hyperlink r:id="rId42" w:history="1">
        <w:r w:rsidR="003575B0" w:rsidRPr="003575B0">
          <w:rPr>
            <w:rFonts w:ascii="Arial" w:hAnsi="Arial"/>
            <w:color w:val="0000FF"/>
            <w:u w:val="single"/>
            <w:rtl/>
          </w:rPr>
          <w:t>ע"פ 4344/18</w:t>
        </w:r>
      </w:hyperlink>
      <w:r w:rsidRPr="00780FC2">
        <w:rPr>
          <w:rFonts w:ascii="Arial" w:hAnsi="Arial"/>
          <w:rtl/>
        </w:rPr>
        <w:t xml:space="preserve"> ‏</w:t>
      </w:r>
      <w:r w:rsidRPr="00780FC2">
        <w:rPr>
          <w:rFonts w:ascii="Arial" w:hAnsi="Arial"/>
          <w:b/>
          <w:bCs/>
          <w:rtl/>
        </w:rPr>
        <w:t>גאבר נ' מדינת ישראל</w:t>
      </w:r>
      <w:r w:rsidRPr="00780FC2">
        <w:rPr>
          <w:rFonts w:ascii="Arial" w:hAnsi="Arial" w:hint="cs"/>
          <w:rtl/>
        </w:rPr>
        <w:t xml:space="preserve"> (16.8.2019)). </w:t>
      </w:r>
    </w:p>
    <w:p w14:paraId="7A3BCD54" w14:textId="77777777" w:rsidR="00441AC5" w:rsidRPr="00780FC2" w:rsidRDefault="00441AC5" w:rsidP="00441AC5">
      <w:pPr>
        <w:spacing w:line="360" w:lineRule="auto"/>
        <w:contextualSpacing/>
        <w:jc w:val="both"/>
        <w:rPr>
          <w:rFonts w:ascii="Arial" w:hAnsi="Arial"/>
        </w:rPr>
      </w:pPr>
    </w:p>
    <w:p w14:paraId="634106BA" w14:textId="77777777" w:rsidR="00441AC5" w:rsidRDefault="00441AC5" w:rsidP="00441AC5">
      <w:pPr>
        <w:numPr>
          <w:ilvl w:val="0"/>
          <w:numId w:val="3"/>
        </w:numPr>
        <w:spacing w:line="360" w:lineRule="auto"/>
        <w:contextualSpacing/>
        <w:jc w:val="both"/>
        <w:rPr>
          <w:rFonts w:ascii="Arial" w:hAnsi="Arial"/>
        </w:rPr>
      </w:pPr>
      <w:r w:rsidRPr="00780FC2">
        <w:rPr>
          <w:rFonts w:ascii="Arial" w:hAnsi="Arial" w:hint="cs"/>
          <w:rtl/>
        </w:rPr>
        <w:t xml:space="preserve">עם זאת, העבירה לפי </w:t>
      </w:r>
      <w:hyperlink r:id="rId43" w:history="1">
        <w:r w:rsidR="00553DC4" w:rsidRPr="00553DC4">
          <w:rPr>
            <w:rStyle w:val="Hyperlink"/>
            <w:rFonts w:ascii="Arial" w:hAnsi="Arial" w:hint="eastAsia"/>
            <w:rtl/>
          </w:rPr>
          <w:t>סעיף</w:t>
        </w:r>
        <w:r w:rsidR="00553DC4" w:rsidRPr="00553DC4">
          <w:rPr>
            <w:rStyle w:val="Hyperlink"/>
            <w:rFonts w:ascii="Arial" w:hAnsi="Arial"/>
            <w:rtl/>
          </w:rPr>
          <w:t xml:space="preserve"> 329</w:t>
        </w:r>
      </w:hyperlink>
      <w:r w:rsidRPr="00780FC2">
        <w:rPr>
          <w:rFonts w:ascii="Arial" w:hAnsi="Arial" w:hint="cs"/>
          <w:rtl/>
        </w:rPr>
        <w:t xml:space="preserve"> </w:t>
      </w:r>
      <w:r>
        <w:rPr>
          <w:rFonts w:ascii="Arial" w:hAnsi="Arial" w:hint="cs"/>
          <w:rtl/>
        </w:rPr>
        <w:t>ל</w:t>
      </w:r>
      <w:hyperlink r:id="rId44" w:history="1">
        <w:r w:rsidR="003575B0" w:rsidRPr="003575B0">
          <w:rPr>
            <w:rFonts w:ascii="Arial" w:hAnsi="Arial"/>
            <w:color w:val="0000FF"/>
            <w:u w:val="single"/>
            <w:rtl/>
          </w:rPr>
          <w:t>חוק העונשין</w:t>
        </w:r>
      </w:hyperlink>
      <w:r>
        <w:rPr>
          <w:rFonts w:ascii="Arial" w:hAnsi="Arial" w:hint="cs"/>
          <w:rtl/>
        </w:rPr>
        <w:t xml:space="preserve"> </w:t>
      </w:r>
      <w:r w:rsidRPr="00780FC2">
        <w:rPr>
          <w:rFonts w:ascii="Arial" w:hAnsi="Arial" w:hint="cs"/>
          <w:rtl/>
        </w:rPr>
        <w:t xml:space="preserve">כוללת משרעת רחבה של נסיבות </w:t>
      </w:r>
      <w:r>
        <w:rPr>
          <w:rFonts w:ascii="Arial" w:hAnsi="Arial" w:hint="cs"/>
          <w:rtl/>
        </w:rPr>
        <w:t xml:space="preserve">וסיטואציות שונות, ובהקשר זה צוין </w:t>
      </w:r>
      <w:r>
        <w:rPr>
          <w:rFonts w:ascii="Arial" w:hAnsi="Arial"/>
          <w:rtl/>
        </w:rPr>
        <w:t>–</w:t>
      </w:r>
      <w:r w:rsidRPr="00780FC2">
        <w:rPr>
          <w:rFonts w:ascii="Arial" w:hAnsi="Arial" w:hint="cs"/>
          <w:rtl/>
        </w:rPr>
        <w:t xml:space="preserve"> </w:t>
      </w:r>
    </w:p>
    <w:p w14:paraId="50ABE71C" w14:textId="77777777" w:rsidR="00441AC5" w:rsidRPr="00E631E6" w:rsidRDefault="00441AC5" w:rsidP="00441AC5">
      <w:pPr>
        <w:spacing w:line="360" w:lineRule="auto"/>
        <w:contextualSpacing/>
        <w:jc w:val="both"/>
        <w:rPr>
          <w:rFonts w:ascii="Arial" w:hAnsi="Arial"/>
          <w:rtl/>
        </w:rPr>
      </w:pPr>
    </w:p>
    <w:p w14:paraId="6DCDF955" w14:textId="77777777" w:rsidR="00441AC5" w:rsidRDefault="00441AC5" w:rsidP="00441AC5">
      <w:pPr>
        <w:spacing w:line="360" w:lineRule="auto"/>
        <w:ind w:left="1134" w:right="1134"/>
        <w:contextualSpacing/>
        <w:jc w:val="both"/>
        <w:rPr>
          <w:rFonts w:ascii="Arial" w:hAnsi="Arial"/>
          <w:rtl/>
        </w:rPr>
      </w:pPr>
      <w:r w:rsidRPr="00967B6B">
        <w:rPr>
          <w:rFonts w:ascii="Arial" w:hAnsi="Arial" w:hint="cs"/>
          <w:rtl/>
        </w:rPr>
        <w:t>"</w:t>
      </w:r>
      <w:r w:rsidRPr="00967B6B">
        <w:rPr>
          <w:rFonts w:ascii="Arial" w:hAnsi="Arial"/>
          <w:b/>
          <w:bCs/>
          <w:rtl/>
        </w:rPr>
        <w:t>חומרתה הרבה של עבירת החבלה בכוונה מחמירה</w:t>
      </w:r>
      <w:r w:rsidRPr="00967B6B">
        <w:rPr>
          <w:rFonts w:ascii="Arial" w:hAnsi="Arial" w:hint="cs"/>
          <w:b/>
          <w:bCs/>
          <w:rtl/>
        </w:rPr>
        <w:t>...</w:t>
      </w:r>
      <w:r w:rsidRPr="00967B6B">
        <w:rPr>
          <w:rFonts w:ascii="Arial" w:hAnsi="Arial"/>
          <w:b/>
          <w:bCs/>
          <w:rtl/>
        </w:rPr>
        <w:t xml:space="preserve"> ופגיעתה הקשה בערכים המוגנים של הגנה על שלום הציבור וביטחונו, הביאו את המחוקק לקבוע בגינה עונש מאסר ממושך, שני בחומרתו רק לעבירת הרצח. מובן כי נוכח המנעד הרחב של הנסיבות האפשריות לביצוע העבירה, ונסיבותיו האישיות של הנאשם במקרים השונים, קיימת קשת רחבה של מתחמי ענישה שנקבעו בגין עבירה זו</w:t>
      </w:r>
      <w:r w:rsidRPr="00967B6B">
        <w:rPr>
          <w:rFonts w:ascii="Arial" w:hAnsi="Arial" w:hint="cs"/>
          <w:rtl/>
        </w:rPr>
        <w:t>..." (</w:t>
      </w:r>
      <w:hyperlink r:id="rId45" w:history="1">
        <w:r w:rsidR="003575B0" w:rsidRPr="003575B0">
          <w:rPr>
            <w:rFonts w:ascii="Arial" w:hAnsi="Arial"/>
            <w:color w:val="0000FF"/>
            <w:u w:val="single"/>
            <w:rtl/>
          </w:rPr>
          <w:t>ע"פ 205/19</w:t>
        </w:r>
      </w:hyperlink>
      <w:r w:rsidRPr="00967B6B">
        <w:rPr>
          <w:rFonts w:ascii="Arial" w:hAnsi="Arial" w:hint="cs"/>
          <w:rtl/>
        </w:rPr>
        <w:t xml:space="preserve"> </w:t>
      </w:r>
      <w:r w:rsidRPr="00967B6B">
        <w:rPr>
          <w:rFonts w:ascii="Arial" w:hAnsi="Arial" w:hint="cs"/>
          <w:b/>
          <w:bCs/>
          <w:rtl/>
        </w:rPr>
        <w:t>ולדיסלב נ' מדינת ישראל</w:t>
      </w:r>
      <w:r w:rsidRPr="00967B6B">
        <w:rPr>
          <w:rFonts w:ascii="Arial" w:hAnsi="Arial" w:hint="cs"/>
          <w:rtl/>
        </w:rPr>
        <w:t xml:space="preserve"> (7.6.2020)). </w:t>
      </w:r>
    </w:p>
    <w:p w14:paraId="11E31BC1" w14:textId="77777777" w:rsidR="00441AC5" w:rsidRDefault="00441AC5" w:rsidP="00441AC5">
      <w:pPr>
        <w:pStyle w:val="af"/>
        <w:spacing w:line="360" w:lineRule="auto"/>
        <w:ind w:left="0"/>
        <w:jc w:val="both"/>
        <w:rPr>
          <w:rFonts w:ascii="Arial" w:hAnsi="Arial"/>
          <w:rtl/>
        </w:rPr>
      </w:pPr>
    </w:p>
    <w:p w14:paraId="50AC87EA" w14:textId="77777777" w:rsidR="00441AC5" w:rsidRDefault="00441AC5" w:rsidP="00441AC5">
      <w:pPr>
        <w:pStyle w:val="af"/>
        <w:spacing w:line="360" w:lineRule="auto"/>
        <w:ind w:left="0" w:firstLine="567"/>
        <w:jc w:val="both"/>
        <w:rPr>
          <w:rFonts w:ascii="Arial" w:hAnsi="Arial"/>
          <w:rtl/>
        </w:rPr>
      </w:pPr>
      <w:r>
        <w:rPr>
          <w:rFonts w:ascii="Arial" w:hAnsi="Arial" w:hint="cs"/>
          <w:rtl/>
        </w:rPr>
        <w:t xml:space="preserve">הגדרת העבירה של </w:t>
      </w:r>
      <w:hyperlink r:id="rId46" w:history="1">
        <w:r w:rsidR="00553DC4" w:rsidRPr="00553DC4">
          <w:rPr>
            <w:rStyle w:val="Hyperlink"/>
            <w:rFonts w:ascii="Arial" w:hAnsi="Arial" w:hint="eastAsia"/>
            <w:rtl/>
          </w:rPr>
          <w:t>סעיף</w:t>
        </w:r>
        <w:r w:rsidR="00553DC4" w:rsidRPr="00553DC4">
          <w:rPr>
            <w:rStyle w:val="Hyperlink"/>
            <w:rFonts w:ascii="Arial" w:hAnsi="Arial"/>
            <w:rtl/>
          </w:rPr>
          <w:t xml:space="preserve"> 329</w:t>
        </w:r>
      </w:hyperlink>
      <w:r>
        <w:rPr>
          <w:rFonts w:ascii="Arial" w:hAnsi="Arial" w:hint="cs"/>
          <w:rtl/>
        </w:rPr>
        <w:t xml:space="preserve"> ל</w:t>
      </w:r>
      <w:hyperlink r:id="rId47" w:history="1">
        <w:r w:rsidR="003575B0" w:rsidRPr="003575B0">
          <w:rPr>
            <w:rFonts w:ascii="Arial" w:hAnsi="Arial"/>
            <w:color w:val="0000FF"/>
            <w:u w:val="single"/>
            <w:rtl/>
          </w:rPr>
          <w:t>חוק העונשין</w:t>
        </w:r>
      </w:hyperlink>
      <w:r>
        <w:rPr>
          <w:rFonts w:ascii="Arial" w:hAnsi="Arial" w:hint="cs"/>
          <w:rtl/>
        </w:rPr>
        <w:t xml:space="preserve"> עצמה יוצרת מגוון רב של נסיבות אפשריות לביצוע העבירה, שכן העבירה מגדירה מספר חלופות אשר מי שעושה אחת מהן "</w:t>
      </w:r>
      <w:r w:rsidRPr="00780FC2">
        <w:rPr>
          <w:rFonts w:ascii="Arial" w:hAnsi="Arial"/>
          <w:rtl/>
        </w:rPr>
        <w:t>בכוונה להטיל באדם נכות או מום, או לגרום לו חבלה חמורה, או להתנגד למעצר או לעיכוב כדין, שלו או של זולתו, או למנוע מעצר או עיכוב כאמור</w:t>
      </w:r>
      <w:r>
        <w:rPr>
          <w:rFonts w:ascii="Arial" w:hAnsi="Arial" w:hint="cs"/>
          <w:rtl/>
        </w:rPr>
        <w:t xml:space="preserve">" </w:t>
      </w:r>
      <w:r>
        <w:rPr>
          <w:rFonts w:ascii="Arial" w:hAnsi="Arial"/>
          <w:rtl/>
        </w:rPr>
        <w:t>–</w:t>
      </w:r>
      <w:r>
        <w:rPr>
          <w:rFonts w:ascii="Arial" w:hAnsi="Arial" w:hint="cs"/>
          <w:rtl/>
        </w:rPr>
        <w:t xml:space="preserve"> ייחשב למי שביצע את העבירה. כך לדוגמה, לצד החלופה של פציעת אדם או גרימת חבלה חמורה, אחת החלופות עוסקת במצב של ניסיון שלא כדין לפגוע באדם בנשק חם או קר, גם אם לא נגרמת תוצאה של חבלה חמורה. במקרה שלפנינו לנאשמים מיוחסת עבירה לפי החלופה העוסקת בניסיון לפגוע באדם. </w:t>
      </w:r>
    </w:p>
    <w:p w14:paraId="05E6FCD2" w14:textId="77777777" w:rsidR="00441AC5" w:rsidRDefault="00441AC5" w:rsidP="00441AC5">
      <w:pPr>
        <w:pStyle w:val="af"/>
        <w:spacing w:line="360" w:lineRule="auto"/>
        <w:ind w:left="0"/>
        <w:jc w:val="both"/>
        <w:rPr>
          <w:rFonts w:ascii="Arial" w:hAnsi="Arial"/>
        </w:rPr>
      </w:pPr>
    </w:p>
    <w:p w14:paraId="097DAB7B"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מלבד עבירת החבלה בכוונה מחמירה,</w:t>
      </w:r>
      <w:r w:rsidRPr="0044386B">
        <w:rPr>
          <w:rFonts w:ascii="Arial" w:hAnsi="Arial" w:hint="cs"/>
          <w:rtl/>
        </w:rPr>
        <w:t xml:space="preserve"> הורשעו הנאשמים </w:t>
      </w:r>
      <w:r>
        <w:rPr>
          <w:rFonts w:ascii="Arial" w:hAnsi="Arial" w:hint="cs"/>
          <w:rtl/>
        </w:rPr>
        <w:t xml:space="preserve">גם </w:t>
      </w:r>
      <w:r w:rsidRPr="0044386B">
        <w:rPr>
          <w:rFonts w:ascii="Arial" w:hAnsi="Arial" w:hint="cs"/>
          <w:rtl/>
        </w:rPr>
        <w:t xml:space="preserve">בעבירה של חבלה במזיד ברכב. </w:t>
      </w:r>
      <w:r w:rsidRPr="0044386B">
        <w:rPr>
          <w:rFonts w:ascii="Arial" w:hAnsi="Arial"/>
          <w:rtl/>
        </w:rPr>
        <w:t>הערך המוגן בעבירת חבלה ב</w:t>
      </w:r>
      <w:r>
        <w:rPr>
          <w:rFonts w:ascii="Arial" w:hAnsi="Arial" w:hint="cs"/>
          <w:rtl/>
        </w:rPr>
        <w:t>מזיד ב</w:t>
      </w:r>
      <w:r w:rsidRPr="0044386B">
        <w:rPr>
          <w:rFonts w:ascii="Arial" w:hAnsi="Arial"/>
          <w:rtl/>
        </w:rPr>
        <w:t>רכב הינו ערך השמירה על רכוש הזולת</w:t>
      </w:r>
      <w:r>
        <w:rPr>
          <w:rFonts w:ascii="Arial" w:hAnsi="Arial" w:hint="cs"/>
          <w:rtl/>
        </w:rPr>
        <w:t>,</w:t>
      </w:r>
      <w:r w:rsidRPr="0044386B">
        <w:rPr>
          <w:rFonts w:ascii="Arial" w:hAnsi="Arial"/>
          <w:rtl/>
        </w:rPr>
        <w:t xml:space="preserve"> וביתר שאת </w:t>
      </w:r>
      <w:r>
        <w:rPr>
          <w:rFonts w:ascii="Arial" w:hAnsi="Arial" w:hint="cs"/>
          <w:rtl/>
        </w:rPr>
        <w:t xml:space="preserve">על </w:t>
      </w:r>
      <w:r w:rsidRPr="0044386B">
        <w:rPr>
          <w:rFonts w:ascii="Arial" w:hAnsi="Arial"/>
          <w:rtl/>
        </w:rPr>
        <w:t>רכבו</w:t>
      </w:r>
      <w:r>
        <w:rPr>
          <w:rFonts w:ascii="Arial" w:hAnsi="Arial" w:hint="cs"/>
          <w:rtl/>
        </w:rPr>
        <w:t>,</w:t>
      </w:r>
      <w:r w:rsidRPr="0044386B">
        <w:rPr>
          <w:rFonts w:ascii="Arial" w:hAnsi="Arial"/>
          <w:rtl/>
        </w:rPr>
        <w:t xml:space="preserve"> שעה שעבירה זו נקבעה כעבירה מסוג פשע, להבדיל מעבירה מסוג עוון בהתייחס לפגיעה במרבית סוגי הרכוש האחרים.</w:t>
      </w:r>
    </w:p>
    <w:p w14:paraId="35284116" w14:textId="77777777" w:rsidR="00441AC5" w:rsidRPr="0044386B" w:rsidRDefault="00441AC5" w:rsidP="00441AC5">
      <w:pPr>
        <w:pStyle w:val="af"/>
        <w:spacing w:line="360" w:lineRule="auto"/>
        <w:ind w:left="0"/>
        <w:jc w:val="both"/>
        <w:rPr>
          <w:rFonts w:ascii="Arial" w:hAnsi="Arial"/>
        </w:rPr>
      </w:pPr>
    </w:p>
    <w:p w14:paraId="6455B3B2" w14:textId="77777777" w:rsidR="00441AC5" w:rsidRDefault="00441AC5" w:rsidP="00441AC5">
      <w:pPr>
        <w:numPr>
          <w:ilvl w:val="0"/>
          <w:numId w:val="3"/>
        </w:numPr>
        <w:spacing w:line="360" w:lineRule="auto"/>
        <w:contextualSpacing/>
        <w:jc w:val="both"/>
        <w:rPr>
          <w:rFonts w:ascii="Arial" w:hAnsi="Arial"/>
        </w:rPr>
      </w:pPr>
      <w:r>
        <w:rPr>
          <w:rFonts w:ascii="Arial" w:hAnsi="Arial"/>
          <w:b/>
          <w:bCs/>
          <w:rtl/>
        </w:rPr>
        <w:t>הנסיבות הקשורות בביצוע העבירה</w:t>
      </w:r>
      <w:r>
        <w:rPr>
          <w:rFonts w:ascii="Arial" w:hAnsi="Arial"/>
          <w:rtl/>
        </w:rPr>
        <w:t>: במקרה שלפנינו יש לתת את הדעת לנתונים כפי שהם עולים מהעובדות שתוארו בכתב האישום ולתת ביטוי למספר שיקולים</w:t>
      </w:r>
      <w:r>
        <w:rPr>
          <w:rFonts w:ascii="Arial" w:hAnsi="Arial" w:hint="cs"/>
          <w:rtl/>
        </w:rPr>
        <w:t xml:space="preserve">. </w:t>
      </w:r>
    </w:p>
    <w:p w14:paraId="46DB912D" w14:textId="77777777" w:rsidR="00441AC5" w:rsidRDefault="00441AC5" w:rsidP="00441AC5">
      <w:pPr>
        <w:pStyle w:val="af"/>
        <w:rPr>
          <w:rFonts w:ascii="Arial" w:hAnsi="Arial"/>
          <w:rtl/>
        </w:rPr>
      </w:pPr>
    </w:p>
    <w:p w14:paraId="705D3932" w14:textId="77777777" w:rsidR="00441AC5" w:rsidRDefault="00441AC5" w:rsidP="00441AC5">
      <w:pPr>
        <w:spacing w:line="360" w:lineRule="auto"/>
        <w:ind w:firstLine="567"/>
        <w:contextualSpacing/>
        <w:jc w:val="both"/>
        <w:rPr>
          <w:rFonts w:ascii="Arial" w:hAnsi="Arial"/>
          <w:rtl/>
        </w:rPr>
      </w:pPr>
      <w:r>
        <w:rPr>
          <w:rFonts w:ascii="Arial" w:hAnsi="Arial" w:hint="cs"/>
          <w:rtl/>
        </w:rPr>
        <w:t xml:space="preserve">(-) </w:t>
      </w:r>
      <w:r>
        <w:rPr>
          <w:rFonts w:ascii="Arial" w:hAnsi="Arial"/>
          <w:rtl/>
        </w:rPr>
        <w:t>בראש</w:t>
      </w:r>
      <w:r>
        <w:rPr>
          <w:rFonts w:ascii="Arial" w:hAnsi="Arial" w:hint="cs"/>
          <w:rtl/>
        </w:rPr>
        <w:t>ם של ה</w:t>
      </w:r>
      <w:r>
        <w:rPr>
          <w:rFonts w:ascii="Arial" w:hAnsi="Arial"/>
          <w:rtl/>
        </w:rPr>
        <w:t>שיקולים יש לתת ביטוי לפגיעה במתלונן – הן בפועל והן בכ</w:t>
      </w:r>
      <w:r>
        <w:rPr>
          <w:rFonts w:ascii="Arial" w:hAnsi="Arial" w:hint="cs"/>
          <w:rtl/>
        </w:rPr>
        <w:t>ו</w:t>
      </w:r>
      <w:r>
        <w:rPr>
          <w:rFonts w:ascii="Arial" w:hAnsi="Arial"/>
          <w:rtl/>
        </w:rPr>
        <w:t xml:space="preserve">ח. גם אם למתלונן לא נגרמה </w:t>
      </w:r>
      <w:r>
        <w:rPr>
          <w:rFonts w:ascii="Arial" w:hAnsi="Arial" w:hint="cs"/>
          <w:rtl/>
        </w:rPr>
        <w:t xml:space="preserve">פגיעה גופנית </w:t>
      </w:r>
      <w:r>
        <w:rPr>
          <w:rFonts w:ascii="Arial" w:hAnsi="Arial"/>
          <w:rtl/>
        </w:rPr>
        <w:t xml:space="preserve">חמורה, </w:t>
      </w:r>
      <w:r>
        <w:rPr>
          <w:rFonts w:ascii="Arial" w:hAnsi="Arial" w:hint="cs"/>
          <w:rtl/>
        </w:rPr>
        <w:t xml:space="preserve">לא ניתן להקל ראש בסיכון הגבוה והחמור שהתנהגות הנאשמים יצרה. בדיוק לסיכון שכזה מכוון האיסור </w:t>
      </w:r>
      <w:hyperlink r:id="rId48" w:history="1">
        <w:r w:rsidR="00553DC4" w:rsidRPr="00553DC4">
          <w:rPr>
            <w:rStyle w:val="Hyperlink"/>
            <w:rFonts w:ascii="Arial" w:hAnsi="Arial" w:hint="eastAsia"/>
            <w:rtl/>
          </w:rPr>
          <w:t>שבסעיף</w:t>
        </w:r>
        <w:r w:rsidR="00553DC4" w:rsidRPr="00553DC4">
          <w:rPr>
            <w:rStyle w:val="Hyperlink"/>
            <w:rFonts w:ascii="Arial" w:hAnsi="Arial"/>
            <w:rtl/>
          </w:rPr>
          <w:t xml:space="preserve"> 329(א)(2)</w:t>
        </w:r>
      </w:hyperlink>
      <w:r>
        <w:rPr>
          <w:rFonts w:ascii="Arial" w:hAnsi="Arial" w:hint="cs"/>
          <w:rtl/>
        </w:rPr>
        <w:t xml:space="preserve"> ל</w:t>
      </w:r>
      <w:hyperlink r:id="rId49" w:history="1">
        <w:r w:rsidR="003575B0" w:rsidRPr="003575B0">
          <w:rPr>
            <w:rFonts w:ascii="Arial" w:hAnsi="Arial"/>
            <w:color w:val="0000FF"/>
            <w:u w:val="single"/>
            <w:rtl/>
          </w:rPr>
          <w:t>חוק העונשין</w:t>
        </w:r>
      </w:hyperlink>
      <w:r>
        <w:rPr>
          <w:rFonts w:ascii="Arial" w:hAnsi="Arial" w:hint="cs"/>
          <w:rtl/>
        </w:rPr>
        <w:t xml:space="preserve">, אשר שם את הדגש בין היתר על האמצעים ששימשו במהלך האירוע האלים והכוונה הפוגענית אליה שאפו. </w:t>
      </w:r>
      <w:r>
        <w:rPr>
          <w:rFonts w:ascii="Arial" w:hAnsi="Arial"/>
          <w:rtl/>
        </w:rPr>
        <w:t>נזכיר</w:t>
      </w:r>
      <w:r>
        <w:rPr>
          <w:rFonts w:ascii="Arial" w:hAnsi="Arial" w:hint="cs"/>
          <w:rtl/>
        </w:rPr>
        <w:t xml:space="preserve">, </w:t>
      </w:r>
      <w:r>
        <w:rPr>
          <w:rFonts w:ascii="Arial" w:hAnsi="Arial"/>
          <w:rtl/>
        </w:rPr>
        <w:t>כי</w:t>
      </w:r>
      <w:r>
        <w:rPr>
          <w:rFonts w:ascii="Arial" w:hAnsi="Arial" w:hint="cs"/>
          <w:rtl/>
        </w:rPr>
        <w:t xml:space="preserve"> בתום יום עבודתו של המתלונן ובעודו נוסע לתומו ממקום העבודה, ארבו לו הנאשמים ביחד עם אחרים, חסמו את דרכו, כאשר חלק מן המעורבים היו רעולי פנים, וחלקם מצויד בנשק. הנאשמים עצמם הצטיידו באלות ועשו בהן שימוש. כמו כן, </w:t>
      </w:r>
      <w:r>
        <w:rPr>
          <w:rFonts w:ascii="Arial" w:hAnsi="Arial"/>
          <w:rtl/>
        </w:rPr>
        <w:t>לא ניתן להקל ראש בתחושותיו</w:t>
      </w:r>
      <w:r>
        <w:rPr>
          <w:rFonts w:ascii="Arial" w:hAnsi="Arial" w:hint="cs"/>
          <w:rtl/>
        </w:rPr>
        <w:t xml:space="preserve"> של המתלונן,</w:t>
      </w:r>
      <w:r>
        <w:rPr>
          <w:rFonts w:ascii="Arial" w:hAnsi="Arial"/>
          <w:rtl/>
        </w:rPr>
        <w:t xml:space="preserve"> ש</w:t>
      </w:r>
      <w:r>
        <w:rPr>
          <w:rFonts w:ascii="Arial" w:hAnsi="Arial" w:hint="cs"/>
          <w:rtl/>
        </w:rPr>
        <w:t xml:space="preserve">ניתן להניח כי עברו עליו רגעים קשים של </w:t>
      </w:r>
      <w:r>
        <w:rPr>
          <w:rFonts w:ascii="Arial" w:hAnsi="Arial"/>
          <w:rtl/>
        </w:rPr>
        <w:t xml:space="preserve">פחד </w:t>
      </w:r>
      <w:r>
        <w:rPr>
          <w:rFonts w:ascii="Arial" w:hAnsi="Arial" w:hint="cs"/>
          <w:rtl/>
        </w:rPr>
        <w:t xml:space="preserve">ואימה </w:t>
      </w:r>
      <w:r>
        <w:rPr>
          <w:rFonts w:ascii="Arial" w:hAnsi="Arial"/>
          <w:rtl/>
        </w:rPr>
        <w:t>נוכח מעשי</w:t>
      </w:r>
      <w:r>
        <w:rPr>
          <w:rFonts w:ascii="Arial" w:hAnsi="Arial" w:hint="cs"/>
          <w:rtl/>
        </w:rPr>
        <w:t>הם</w:t>
      </w:r>
      <w:r>
        <w:rPr>
          <w:rFonts w:ascii="Arial" w:hAnsi="Arial"/>
          <w:rtl/>
        </w:rPr>
        <w:t xml:space="preserve"> של הנאש</w:t>
      </w:r>
      <w:r>
        <w:rPr>
          <w:rFonts w:ascii="Arial" w:hAnsi="Arial" w:hint="cs"/>
          <w:rtl/>
        </w:rPr>
        <w:t>מי</w:t>
      </w:r>
      <w:r>
        <w:rPr>
          <w:rFonts w:ascii="Arial" w:hAnsi="Arial"/>
          <w:rtl/>
        </w:rPr>
        <w:t>ם</w:t>
      </w:r>
      <w:r>
        <w:rPr>
          <w:rFonts w:ascii="Arial" w:hAnsi="Arial" w:hint="cs"/>
          <w:rtl/>
        </w:rPr>
        <w:t xml:space="preserve"> ויתר התוקפים</w:t>
      </w:r>
      <w:r>
        <w:rPr>
          <w:rFonts w:ascii="Arial" w:hAnsi="Arial"/>
          <w:rtl/>
        </w:rPr>
        <w:t xml:space="preserve">. </w:t>
      </w:r>
      <w:r>
        <w:rPr>
          <w:rFonts w:ascii="Arial" w:hAnsi="Arial" w:hint="cs"/>
          <w:rtl/>
        </w:rPr>
        <w:t xml:space="preserve">נוסף לאלה, </w:t>
      </w:r>
      <w:r w:rsidRPr="002C16B6">
        <w:rPr>
          <w:rFonts w:ascii="Arial" w:hAnsi="Arial" w:hint="cs"/>
          <w:rtl/>
        </w:rPr>
        <w:t>המתלונן הותקף מבעד לדלת רכבו, ו</w:t>
      </w:r>
      <w:r>
        <w:rPr>
          <w:rFonts w:ascii="Arial" w:hAnsi="Arial" w:hint="cs"/>
          <w:rtl/>
        </w:rPr>
        <w:t xml:space="preserve">גם </w:t>
      </w:r>
      <w:r w:rsidRPr="002C16B6">
        <w:rPr>
          <w:rFonts w:ascii="Arial" w:hAnsi="Arial" w:hint="cs"/>
          <w:rtl/>
        </w:rPr>
        <w:t xml:space="preserve">נגרם נזק כספי לא מבוטל לרכבו. </w:t>
      </w:r>
      <w:r w:rsidRPr="00E72E8E">
        <w:rPr>
          <w:rFonts w:ascii="Arial" w:hAnsi="Arial" w:hint="cs"/>
          <w:rtl/>
        </w:rPr>
        <w:t xml:space="preserve">למרבה המזל המתלונן הצליח לברוח מהמקום. מטבעם של תרחישים אלימים, האירוע יכול היה להיגמר בצורה קשה הרבה יותר ורק מנוסת המתלונן מנעה זאת. </w:t>
      </w:r>
      <w:r>
        <w:rPr>
          <w:rFonts w:ascii="Arial" w:hAnsi="Arial" w:hint="cs"/>
          <w:rtl/>
        </w:rPr>
        <w:t xml:space="preserve">זאת ועוד, </w:t>
      </w:r>
      <w:r w:rsidRPr="00E72E8E">
        <w:rPr>
          <w:rFonts w:ascii="Arial" w:hAnsi="Arial" w:hint="cs"/>
          <w:rtl/>
        </w:rPr>
        <w:t xml:space="preserve">מנסיבות האירוע עולה כי </w:t>
      </w:r>
      <w:r>
        <w:rPr>
          <w:rFonts w:ascii="Arial" w:hAnsi="Arial" w:hint="cs"/>
          <w:rtl/>
        </w:rPr>
        <w:t>היה פוטנציאל משמעותי ל</w:t>
      </w:r>
      <w:r w:rsidRPr="00E72E8E">
        <w:rPr>
          <w:rFonts w:ascii="Arial" w:hAnsi="Arial" w:hint="cs"/>
          <w:rtl/>
        </w:rPr>
        <w:t>הסלמ</w:t>
      </w:r>
      <w:r>
        <w:rPr>
          <w:rFonts w:ascii="Arial" w:hAnsi="Arial" w:hint="cs"/>
          <w:rtl/>
        </w:rPr>
        <w:t xml:space="preserve">ה באירוע, </w:t>
      </w:r>
      <w:r w:rsidRPr="00E72E8E">
        <w:rPr>
          <w:rFonts w:ascii="Arial" w:hAnsi="Arial" w:hint="cs"/>
          <w:rtl/>
        </w:rPr>
        <w:t xml:space="preserve">שכן תקיפת אדם תוך כדי נהיגתו ברכב יכולה הייתה להוביל לתוצאות קשות אף יותר </w:t>
      </w:r>
      <w:r w:rsidRPr="00E72E8E">
        <w:rPr>
          <w:rFonts w:ascii="Arial" w:hAnsi="Arial"/>
          <w:rtl/>
        </w:rPr>
        <w:t>–</w:t>
      </w:r>
      <w:r w:rsidRPr="00E72E8E">
        <w:rPr>
          <w:rFonts w:ascii="Arial" w:hAnsi="Arial" w:hint="cs"/>
          <w:rtl/>
        </w:rPr>
        <w:t xml:space="preserve"> בין היתר בשל איבוד שליטה ברכב, ואף פגיעה בחפים מפשע</w:t>
      </w:r>
      <w:r>
        <w:rPr>
          <w:rFonts w:ascii="Arial" w:hAnsi="Arial" w:hint="cs"/>
          <w:rtl/>
        </w:rPr>
        <w:t xml:space="preserve">. </w:t>
      </w:r>
    </w:p>
    <w:p w14:paraId="436828CD" w14:textId="77777777" w:rsidR="00441AC5" w:rsidRPr="002C16B6" w:rsidRDefault="00441AC5" w:rsidP="00441AC5">
      <w:pPr>
        <w:spacing w:line="360" w:lineRule="auto"/>
        <w:ind w:firstLine="567"/>
        <w:jc w:val="both"/>
        <w:rPr>
          <w:rFonts w:ascii="Arial" w:hAnsi="Arial"/>
        </w:rPr>
      </w:pPr>
    </w:p>
    <w:p w14:paraId="0DF22135" w14:textId="77777777" w:rsidR="00441AC5" w:rsidRDefault="00441AC5" w:rsidP="00441AC5">
      <w:pPr>
        <w:spacing w:line="360" w:lineRule="auto"/>
        <w:ind w:firstLine="567"/>
        <w:jc w:val="both"/>
        <w:rPr>
          <w:rFonts w:ascii="Arial" w:hAnsi="Arial"/>
        </w:rPr>
      </w:pPr>
      <w:r>
        <w:rPr>
          <w:rFonts w:ascii="Arial" w:hAnsi="Arial" w:hint="cs"/>
          <w:rtl/>
        </w:rPr>
        <w:t xml:space="preserve">(-) נזכיר כי על פי המתואר בכתב האישום במהלך האירוע אף נורו יריות מנשק חם על ידי אחרים שחברו לנאשמים כדי לתקוף את המתלונן. </w:t>
      </w:r>
      <w:r w:rsidRPr="002C16B6">
        <w:rPr>
          <w:rFonts w:ascii="Arial" w:hAnsi="Arial" w:hint="cs"/>
          <w:rtl/>
        </w:rPr>
        <w:t xml:space="preserve">העובדה כי באירוע היה שימוש בירי מנשק חם, אך מלמד </w:t>
      </w:r>
      <w:r>
        <w:rPr>
          <w:rFonts w:ascii="Arial" w:hAnsi="Arial" w:hint="cs"/>
          <w:rtl/>
        </w:rPr>
        <w:t>על</w:t>
      </w:r>
      <w:r w:rsidRPr="002C16B6">
        <w:rPr>
          <w:rFonts w:ascii="Arial" w:hAnsi="Arial" w:hint="cs"/>
          <w:rtl/>
        </w:rPr>
        <w:t xml:space="preserve"> </w:t>
      </w:r>
      <w:r>
        <w:rPr>
          <w:rFonts w:ascii="Arial" w:hAnsi="Arial" w:hint="cs"/>
          <w:rtl/>
        </w:rPr>
        <w:t>חומרתו המרובה של האירוע ועל הנזק הרב שהיה טמון בו. עם זאת, יש להדגיש כי לנאשמים לא יוחסו עבירות נשק ולא נטען כי הם אלו שביצעו את הירי. בישיבת יום 9.6.2022 הצהירה המאשימה בצורה ברורה כי "</w:t>
      </w:r>
      <w:r>
        <w:rPr>
          <w:rFonts w:hint="cs"/>
          <w:rtl/>
        </w:rPr>
        <w:t xml:space="preserve">למען הסר ספק, מובהר כי לנאשמים לא מיוחסות עבירות בנשק או ירי, והן מתוארות בכתב האישום כנסיבות התרחשות האירוע". </w:t>
      </w:r>
      <w:r>
        <w:rPr>
          <w:rFonts w:ascii="Arial" w:hAnsi="Arial" w:hint="cs"/>
          <w:rtl/>
        </w:rPr>
        <w:t xml:space="preserve">גם בכך יש להתחשב. </w:t>
      </w:r>
    </w:p>
    <w:p w14:paraId="1CF0B4D7" w14:textId="77777777" w:rsidR="00441AC5" w:rsidRPr="00295D52" w:rsidRDefault="00441AC5" w:rsidP="00441AC5">
      <w:pPr>
        <w:spacing w:line="360" w:lineRule="auto"/>
        <w:ind w:firstLine="567"/>
        <w:jc w:val="both"/>
        <w:rPr>
          <w:rFonts w:ascii="Arial" w:hAnsi="Arial"/>
          <w:rtl/>
        </w:rPr>
      </w:pPr>
    </w:p>
    <w:p w14:paraId="595653A0" w14:textId="77777777" w:rsidR="00441AC5" w:rsidRDefault="00441AC5" w:rsidP="00441AC5">
      <w:pPr>
        <w:spacing w:line="360" w:lineRule="auto"/>
        <w:ind w:firstLine="567"/>
        <w:jc w:val="both"/>
        <w:rPr>
          <w:rFonts w:ascii="Arial" w:hAnsi="Arial"/>
          <w:rtl/>
        </w:rPr>
      </w:pPr>
      <w:r>
        <w:rPr>
          <w:rFonts w:ascii="Arial" w:hAnsi="Arial" w:hint="cs"/>
          <w:rtl/>
        </w:rPr>
        <w:t>(-) התיאור בכתב האישום ו</w:t>
      </w:r>
      <w:r>
        <w:rPr>
          <w:rFonts w:ascii="Arial" w:hAnsi="Arial"/>
          <w:rtl/>
        </w:rPr>
        <w:t>דפוס ביצוע העבירות מלמד כי קדם לביצוע העבירות תכנון משמעותי</w:t>
      </w:r>
      <w:r>
        <w:rPr>
          <w:rFonts w:ascii="Arial" w:hAnsi="Arial" w:hint="cs"/>
          <w:rtl/>
        </w:rPr>
        <w:t xml:space="preserve"> הכולל חבירה של מספר אנשים בצוותא, תוך עריכת תצפית על היציאה ממקום עבודתו של המתלונן, והמתנה לשעת כושר בה תוצא התכנית העבריינית אל הפועל. התכנון והתחכום שבביצוע העבירות נלמד גם מן האופן בו בוצעו העבירות </w:t>
      </w:r>
      <w:r>
        <w:rPr>
          <w:rFonts w:ascii="Arial" w:hAnsi="Arial"/>
          <w:rtl/>
        </w:rPr>
        <w:t>–</w:t>
      </w:r>
      <w:r>
        <w:rPr>
          <w:rFonts w:ascii="Arial" w:hAnsi="Arial" w:hint="cs"/>
          <w:rtl/>
        </w:rPr>
        <w:t xml:space="preserve"> החל בחסימת חלק מן הכביש בו היה אמור המתלונן לנסוע באמצעות שני רכבים שונים, וכלה בהצטיידות בשני רכבים שונים ובאלות. יצוין כי בניגוד לעמדת המאשימה, איני סבור כי הנאשמים עשו שימוש בכלי הרכב ככלי נשק, שכן מעובדות כתב האישום עולה כי השימוש בשני הרכבים נועד לחסום את דרכו של המתלונן, ולרדוף אחריו, והם לא ניסו לדרוס או לפגוע במתלונן באמצעות כלי הרכב. </w:t>
      </w:r>
      <w:r>
        <w:rPr>
          <w:rFonts w:ascii="Arial" w:hAnsi="Arial"/>
          <w:rtl/>
        </w:rPr>
        <w:t>בהקשר זה יש להפנות גם לכך, שמעשי</w:t>
      </w:r>
      <w:r>
        <w:rPr>
          <w:rFonts w:ascii="Arial" w:hAnsi="Arial" w:hint="cs"/>
          <w:rtl/>
        </w:rPr>
        <w:t>הם</w:t>
      </w:r>
      <w:r>
        <w:rPr>
          <w:rFonts w:ascii="Arial" w:hAnsi="Arial"/>
          <w:rtl/>
        </w:rPr>
        <w:t xml:space="preserve"> של הנאש</w:t>
      </w:r>
      <w:r>
        <w:rPr>
          <w:rFonts w:ascii="Arial" w:hAnsi="Arial" w:hint="cs"/>
          <w:rtl/>
        </w:rPr>
        <w:t>מים</w:t>
      </w:r>
      <w:r>
        <w:rPr>
          <w:rFonts w:ascii="Arial" w:hAnsi="Arial"/>
          <w:rtl/>
        </w:rPr>
        <w:t xml:space="preserve"> נמשכו זמן</w:t>
      </w:r>
      <w:r>
        <w:rPr>
          <w:rFonts w:ascii="Arial" w:hAnsi="Arial" w:hint="cs"/>
          <w:rtl/>
        </w:rPr>
        <w:t xml:space="preserve"> מסוים</w:t>
      </w:r>
      <w:r>
        <w:rPr>
          <w:rFonts w:ascii="Arial" w:hAnsi="Arial"/>
          <w:rtl/>
        </w:rPr>
        <w:t xml:space="preserve"> ועל אף שהיו ל</w:t>
      </w:r>
      <w:r>
        <w:rPr>
          <w:rFonts w:ascii="Arial" w:hAnsi="Arial" w:hint="cs"/>
          <w:rtl/>
        </w:rPr>
        <w:t>הם</w:t>
      </w:r>
      <w:r>
        <w:rPr>
          <w:rFonts w:ascii="Arial" w:hAnsi="Arial"/>
          <w:rtl/>
        </w:rPr>
        <w:t xml:space="preserve"> מספר </w:t>
      </w:r>
      <w:r>
        <w:rPr>
          <w:rFonts w:ascii="Arial" w:hAnsi="Arial" w:hint="cs"/>
          <w:rtl/>
        </w:rPr>
        <w:t>"</w:t>
      </w:r>
      <w:r>
        <w:rPr>
          <w:rFonts w:ascii="Arial" w:hAnsi="Arial"/>
          <w:rtl/>
        </w:rPr>
        <w:t>נקודות</w:t>
      </w:r>
      <w:r>
        <w:rPr>
          <w:rFonts w:ascii="Arial" w:hAnsi="Arial" w:hint="cs"/>
          <w:rtl/>
        </w:rPr>
        <w:t xml:space="preserve"> יציאה" בהן יכלו </w:t>
      </w:r>
      <w:r>
        <w:rPr>
          <w:rFonts w:ascii="Arial" w:hAnsi="Arial"/>
          <w:rtl/>
        </w:rPr>
        <w:t>להתחרט על מעשי</w:t>
      </w:r>
      <w:r>
        <w:rPr>
          <w:rFonts w:ascii="Arial" w:hAnsi="Arial" w:hint="cs"/>
          <w:rtl/>
        </w:rPr>
        <w:t>הם, כגון בעת ניסיונו של המתלונן לברוח מהמקום, הם</w:t>
      </w:r>
      <w:r>
        <w:rPr>
          <w:rFonts w:ascii="Arial" w:hAnsi="Arial"/>
          <w:rtl/>
        </w:rPr>
        <w:t xml:space="preserve"> </w:t>
      </w:r>
      <w:r>
        <w:rPr>
          <w:rFonts w:ascii="Arial" w:hAnsi="Arial" w:hint="cs"/>
          <w:rtl/>
        </w:rPr>
        <w:t xml:space="preserve">התמידו ודבקו </w:t>
      </w:r>
      <w:r>
        <w:rPr>
          <w:rFonts w:ascii="Arial" w:hAnsi="Arial"/>
          <w:rtl/>
        </w:rPr>
        <w:t>בתכנית</w:t>
      </w:r>
      <w:r>
        <w:rPr>
          <w:rFonts w:ascii="Arial" w:hAnsi="Arial" w:hint="cs"/>
          <w:rtl/>
        </w:rPr>
        <w:t>ם</w:t>
      </w:r>
      <w:r>
        <w:rPr>
          <w:rFonts w:ascii="Arial" w:hAnsi="Arial"/>
          <w:rtl/>
        </w:rPr>
        <w:t xml:space="preserve"> העבריינית</w:t>
      </w:r>
      <w:r>
        <w:rPr>
          <w:rFonts w:ascii="Arial" w:hAnsi="Arial" w:hint="cs"/>
          <w:rtl/>
        </w:rPr>
        <w:t xml:space="preserve">. </w:t>
      </w:r>
    </w:p>
    <w:p w14:paraId="5FD311D1" w14:textId="77777777" w:rsidR="00441AC5" w:rsidRDefault="00441AC5" w:rsidP="00441AC5">
      <w:pPr>
        <w:spacing w:line="360" w:lineRule="auto"/>
        <w:ind w:firstLine="567"/>
        <w:jc w:val="both"/>
        <w:rPr>
          <w:rFonts w:ascii="Arial" w:hAnsi="Arial"/>
          <w:rtl/>
        </w:rPr>
      </w:pPr>
    </w:p>
    <w:p w14:paraId="3F5F5FF5" w14:textId="77777777" w:rsidR="00441AC5" w:rsidRDefault="00441AC5" w:rsidP="00441AC5">
      <w:pPr>
        <w:spacing w:line="360" w:lineRule="auto"/>
        <w:ind w:firstLine="567"/>
        <w:jc w:val="both"/>
        <w:rPr>
          <w:rFonts w:ascii="Arial" w:hAnsi="Arial"/>
          <w:rtl/>
        </w:rPr>
      </w:pPr>
      <w:r>
        <w:rPr>
          <w:rFonts w:ascii="Arial" w:hAnsi="Arial" w:hint="cs"/>
          <w:rtl/>
        </w:rPr>
        <w:t xml:space="preserve">(-) בבחינת הרקע לביצוע העבירות </w:t>
      </w:r>
      <w:r>
        <w:rPr>
          <w:rFonts w:ascii="Arial" w:hAnsi="Arial"/>
          <w:rtl/>
        </w:rPr>
        <w:t>–</w:t>
      </w:r>
      <w:r>
        <w:rPr>
          <w:rFonts w:ascii="Arial" w:hAnsi="Arial" w:hint="cs"/>
          <w:rtl/>
        </w:rPr>
        <w:t xml:space="preserve"> יודגש כי גם אם הנאשמים חשדו כי המתלונן היה מעורב בדרך זו או אחרת בקטטה במהלכה נפגע קרוב משפחתם של הנאשמים, אין בכך כדי להצדיק את מעשיהם. לא זו בלבד שאין המדובר בנסיבה לקולה, המדובר בנסיבה מחמירה. ככל שאכן קרוב משפחתם נפגע על ידי אחר, מצופה כי המענה יהיה פניה לרשויות אכיפת החוק לטיפול בעניין. חלף זאת, הנאשמים נטלו את החוק לידיים וביקשו להיות הרשות האוכפת, החוקרת והמוציאה לפועל.  </w:t>
      </w:r>
    </w:p>
    <w:p w14:paraId="48F11C76" w14:textId="77777777" w:rsidR="00441AC5" w:rsidRDefault="00441AC5" w:rsidP="00441AC5">
      <w:pPr>
        <w:spacing w:line="360" w:lineRule="auto"/>
        <w:ind w:firstLine="567"/>
        <w:jc w:val="both"/>
        <w:rPr>
          <w:rFonts w:ascii="Arial" w:hAnsi="Arial"/>
          <w:rtl/>
        </w:rPr>
      </w:pPr>
    </w:p>
    <w:p w14:paraId="64DDA844" w14:textId="77777777" w:rsidR="00441AC5" w:rsidRDefault="00441AC5" w:rsidP="00441AC5">
      <w:pPr>
        <w:numPr>
          <w:ilvl w:val="0"/>
          <w:numId w:val="3"/>
        </w:numPr>
        <w:spacing w:line="360" w:lineRule="auto"/>
        <w:ind w:left="57"/>
        <w:contextualSpacing/>
        <w:jc w:val="both"/>
        <w:rPr>
          <w:rFonts w:ascii="Arial" w:hAnsi="Arial"/>
        </w:rPr>
      </w:pPr>
      <w:r>
        <w:rPr>
          <w:rFonts w:ascii="Arial" w:hAnsi="Arial"/>
          <w:rtl/>
        </w:rPr>
        <w:t xml:space="preserve">לשם חילוץ מדיניות הענישה הנוהגות בעבירות מסוג העבירות בהן הורשע הנאשם, נפנה למספר מקרים </w:t>
      </w:r>
      <w:r>
        <w:rPr>
          <w:rFonts w:ascii="Arial" w:hAnsi="Arial" w:hint="cs"/>
          <w:rtl/>
        </w:rPr>
        <w:t>בעלי מאפיינים דומים ככל שניתן</w:t>
      </w:r>
      <w:r>
        <w:rPr>
          <w:rFonts w:ascii="Arial" w:hAnsi="Arial"/>
          <w:rtl/>
        </w:rPr>
        <w:t>, אך לא יהיה זה מיותר לשוב ולהזכיר כי כל מקרה ונסיבותיו ולעולם יהיה שוני בין הנסיבות הקשורות בכל מקרה ומקרה.</w:t>
      </w:r>
    </w:p>
    <w:p w14:paraId="268D2AE5" w14:textId="77777777" w:rsidR="00441AC5" w:rsidRDefault="00441AC5" w:rsidP="00441AC5">
      <w:pPr>
        <w:spacing w:line="360" w:lineRule="auto"/>
        <w:ind w:left="57"/>
        <w:contextualSpacing/>
        <w:jc w:val="both"/>
        <w:rPr>
          <w:rFonts w:ascii="Arial" w:hAnsi="Arial"/>
          <w:rtl/>
        </w:rPr>
      </w:pPr>
    </w:p>
    <w:p w14:paraId="10B36624" w14:textId="77777777" w:rsidR="00441AC5" w:rsidRDefault="00441AC5" w:rsidP="00441AC5">
      <w:pPr>
        <w:spacing w:line="360" w:lineRule="auto"/>
        <w:ind w:left="57" w:firstLine="510"/>
        <w:contextualSpacing/>
        <w:jc w:val="both"/>
        <w:rPr>
          <w:rFonts w:ascii="Arial" w:hAnsi="Arial"/>
          <w:rtl/>
        </w:rPr>
      </w:pPr>
      <w:r>
        <w:rPr>
          <w:rFonts w:ascii="Arial" w:hAnsi="Arial"/>
          <w:rtl/>
        </w:rPr>
        <w:t xml:space="preserve">(-) </w:t>
      </w:r>
      <w:hyperlink r:id="rId50" w:history="1">
        <w:r w:rsidR="003575B0" w:rsidRPr="003575B0">
          <w:rPr>
            <w:rFonts w:ascii="Arial" w:hAnsi="Arial"/>
            <w:color w:val="0000FF"/>
            <w:u w:val="single"/>
            <w:rtl/>
          </w:rPr>
          <w:t>ע"פ 6684/16</w:t>
        </w:r>
      </w:hyperlink>
      <w:r w:rsidRPr="00BE7E8C">
        <w:rPr>
          <w:rFonts w:ascii="Arial" w:hAnsi="Arial"/>
          <w:rtl/>
        </w:rPr>
        <w:t xml:space="preserve"> </w:t>
      </w:r>
      <w:r w:rsidRPr="00BE7E8C">
        <w:rPr>
          <w:rFonts w:ascii="Arial" w:hAnsi="Arial"/>
          <w:b/>
          <w:bCs/>
          <w:rtl/>
        </w:rPr>
        <w:t>חלווא נ' מדינת ישראל</w:t>
      </w:r>
      <w:r>
        <w:rPr>
          <w:rFonts w:ascii="Arial" w:hAnsi="Arial"/>
          <w:rtl/>
        </w:rPr>
        <w:t xml:space="preserve"> (9.7.2017)</w:t>
      </w:r>
      <w:r>
        <w:rPr>
          <w:rFonts w:ascii="Arial" w:hAnsi="Arial" w:hint="cs"/>
          <w:rtl/>
        </w:rPr>
        <w:t xml:space="preserve">: </w:t>
      </w:r>
      <w:r w:rsidRPr="00BE7E8C">
        <w:rPr>
          <w:rFonts w:ascii="Arial" w:hAnsi="Arial"/>
          <w:rtl/>
        </w:rPr>
        <w:t>הנאשם הורש</w:t>
      </w:r>
      <w:r>
        <w:rPr>
          <w:rFonts w:ascii="Arial" w:hAnsi="Arial"/>
          <w:rtl/>
        </w:rPr>
        <w:t>ע בעבירה של חבלה בכוונה מחמירה</w:t>
      </w:r>
      <w:r>
        <w:rPr>
          <w:rFonts w:ascii="Arial" w:hAnsi="Arial" w:hint="cs"/>
          <w:rtl/>
        </w:rPr>
        <w:t xml:space="preserve"> לפי </w:t>
      </w:r>
      <w:hyperlink r:id="rId51" w:history="1">
        <w:r w:rsidR="00553DC4" w:rsidRPr="00553DC4">
          <w:rPr>
            <w:rStyle w:val="Hyperlink"/>
            <w:rFonts w:ascii="Arial" w:hAnsi="Arial" w:hint="eastAsia"/>
            <w:rtl/>
          </w:rPr>
          <w:t>סעיף</w:t>
        </w:r>
        <w:r w:rsidR="00553DC4" w:rsidRPr="00553DC4">
          <w:rPr>
            <w:rStyle w:val="Hyperlink"/>
            <w:rFonts w:ascii="Arial" w:hAnsi="Arial"/>
            <w:rtl/>
          </w:rPr>
          <w:t xml:space="preserve"> 329(א)(1)</w:t>
        </w:r>
      </w:hyperlink>
      <w:r w:rsidRPr="0080763F">
        <w:rPr>
          <w:rFonts w:ascii="Arial" w:hAnsi="Arial" w:hint="cs"/>
          <w:rtl/>
        </w:rPr>
        <w:t>,</w:t>
      </w:r>
      <w:r>
        <w:rPr>
          <w:rFonts w:ascii="Arial" w:hAnsi="Arial" w:hint="cs"/>
          <w:rtl/>
        </w:rPr>
        <w:t xml:space="preserve"> וזאת בשל</w:t>
      </w:r>
      <w:r w:rsidRPr="00BE7E8C">
        <w:rPr>
          <w:rFonts w:ascii="Arial" w:hAnsi="Arial"/>
          <w:rtl/>
        </w:rPr>
        <w:t xml:space="preserve"> סכסוך על רקע מקום ישיבה במקום ציבורי. המתלונן התיישב בשולחן בו ישב המערער עם אחרים, והתרחק ממנו לבקשת הנאשם. אדם אחר שהבחין בדבר ניגש לשולחן, הכה עליו בחוזקה, ועקב כך התפתחה קטטה בינו לבין הנאשם. הנאשם נטל בקבוק וודקה מזכוכית, שבר אותו, ודקר את המתלונן שניגש להפריד בין המתקוטטים ודחף לשם כך את </w:t>
      </w:r>
      <w:r>
        <w:rPr>
          <w:rFonts w:ascii="Arial" w:hAnsi="Arial"/>
          <w:rtl/>
        </w:rPr>
        <w:t>הנאשם. למתלונן נגרם חתך בצוואר</w:t>
      </w:r>
      <w:r>
        <w:rPr>
          <w:rFonts w:ascii="Arial" w:hAnsi="Arial" w:hint="cs"/>
          <w:rtl/>
        </w:rPr>
        <w:t>, והוא אושפז למשך יום</w:t>
      </w:r>
      <w:r w:rsidRPr="00BE7E8C">
        <w:rPr>
          <w:rFonts w:ascii="Arial" w:hAnsi="Arial"/>
          <w:rtl/>
        </w:rPr>
        <w:t xml:space="preserve">. בית המשפט העליון קיבל את ערעור הנאשם לעניין העונש, וגזר עליו מאסר בפועל למשך שלוש שנים וחצי, חלף מאסר של ארבע שנים וחצי, בגין נסיבותיו של המקרה ובהן העובדה שמדובר באירוע שהתרחש במהירות, בו היו מעורבים אנשים שונים, </w:t>
      </w:r>
      <w:r>
        <w:rPr>
          <w:rFonts w:ascii="Arial" w:hAnsi="Arial" w:hint="cs"/>
          <w:rtl/>
        </w:rPr>
        <w:t>ובשל העובדה ש</w:t>
      </w:r>
      <w:r w:rsidRPr="00BE7E8C">
        <w:rPr>
          <w:rFonts w:ascii="Arial" w:hAnsi="Arial"/>
          <w:rtl/>
        </w:rPr>
        <w:t>הפגיעה שנגרמה למתל</w:t>
      </w:r>
      <w:r>
        <w:rPr>
          <w:rFonts w:ascii="Arial" w:hAnsi="Arial"/>
          <w:rtl/>
        </w:rPr>
        <w:t xml:space="preserve">ונן </w:t>
      </w:r>
      <w:r>
        <w:rPr>
          <w:rFonts w:ascii="Arial" w:hAnsi="Arial" w:hint="cs"/>
          <w:rtl/>
        </w:rPr>
        <w:t>לא הייתה חמורה יחסית.</w:t>
      </w:r>
    </w:p>
    <w:p w14:paraId="4D62297A" w14:textId="77777777" w:rsidR="00441AC5" w:rsidRDefault="00441AC5" w:rsidP="00441AC5">
      <w:pPr>
        <w:spacing w:line="360" w:lineRule="auto"/>
        <w:ind w:left="57" w:firstLine="510"/>
        <w:contextualSpacing/>
        <w:jc w:val="both"/>
        <w:rPr>
          <w:rFonts w:ascii="Arial" w:hAnsi="Arial"/>
          <w:rtl/>
        </w:rPr>
      </w:pPr>
    </w:p>
    <w:p w14:paraId="49DE0237" w14:textId="77777777" w:rsidR="00441AC5" w:rsidRDefault="00441AC5" w:rsidP="00441AC5">
      <w:pPr>
        <w:spacing w:line="360" w:lineRule="auto"/>
        <w:ind w:left="57" w:firstLine="510"/>
        <w:contextualSpacing/>
        <w:jc w:val="both"/>
        <w:rPr>
          <w:rFonts w:ascii="Arial" w:hAnsi="Arial"/>
          <w:rtl/>
        </w:rPr>
      </w:pPr>
      <w:r>
        <w:rPr>
          <w:rFonts w:ascii="Arial" w:hAnsi="Arial" w:hint="cs"/>
          <w:rtl/>
        </w:rPr>
        <w:t xml:space="preserve">(-) </w:t>
      </w:r>
      <w:hyperlink r:id="rId52" w:history="1">
        <w:r w:rsidR="003575B0" w:rsidRPr="003575B0">
          <w:rPr>
            <w:rFonts w:ascii="Arial" w:hAnsi="Arial"/>
            <w:color w:val="0000FF"/>
            <w:u w:val="single"/>
            <w:rtl/>
          </w:rPr>
          <w:t>ע"פ 8870/12</w:t>
        </w:r>
      </w:hyperlink>
      <w:r>
        <w:rPr>
          <w:rFonts w:ascii="Arial" w:hAnsi="Arial" w:hint="cs"/>
          <w:rtl/>
        </w:rPr>
        <w:t xml:space="preserve"> </w:t>
      </w:r>
      <w:r w:rsidRPr="004D290E">
        <w:rPr>
          <w:rFonts w:ascii="Arial" w:hAnsi="Arial"/>
          <w:b/>
          <w:bCs/>
          <w:rtl/>
        </w:rPr>
        <w:t>סנד נ' מדינת ישראל</w:t>
      </w:r>
      <w:r>
        <w:rPr>
          <w:rFonts w:ascii="Arial" w:hAnsi="Arial" w:hint="cs"/>
          <w:rtl/>
        </w:rPr>
        <w:t xml:space="preserve"> (15.1.2014): </w:t>
      </w:r>
      <w:r w:rsidRPr="004D290E">
        <w:rPr>
          <w:rFonts w:ascii="Arial" w:hAnsi="Arial"/>
          <w:rtl/>
        </w:rPr>
        <w:t xml:space="preserve">המערערים הורשעו בבימ"ש המחוזי בגרימת חבלה בכוונה מחמירה לפי </w:t>
      </w:r>
      <w:hyperlink r:id="rId53" w:history="1">
        <w:r w:rsidR="00553DC4" w:rsidRPr="00553DC4">
          <w:rPr>
            <w:rStyle w:val="Hyperlink"/>
            <w:rFonts w:ascii="Arial" w:hAnsi="Arial"/>
            <w:rtl/>
          </w:rPr>
          <w:t>סעיפים 329(א)(1)</w:t>
        </w:r>
      </w:hyperlink>
      <w:r w:rsidRPr="004D290E">
        <w:rPr>
          <w:rFonts w:ascii="Arial" w:hAnsi="Arial"/>
          <w:rtl/>
        </w:rPr>
        <w:t xml:space="preserve"> ו-</w:t>
      </w:r>
      <w:hyperlink r:id="rId54" w:history="1">
        <w:r w:rsidR="00553DC4" w:rsidRPr="00553DC4">
          <w:rPr>
            <w:rStyle w:val="Hyperlink"/>
            <w:rFonts w:ascii="Arial" w:hAnsi="Arial"/>
            <w:rtl/>
          </w:rPr>
          <w:t>329(א)(2)</w:t>
        </w:r>
      </w:hyperlink>
      <w:r w:rsidRPr="004D290E">
        <w:rPr>
          <w:rFonts w:ascii="Arial" w:hAnsi="Arial"/>
          <w:rtl/>
        </w:rPr>
        <w:t xml:space="preserve"> ל</w:t>
      </w:r>
      <w:hyperlink r:id="rId55" w:history="1">
        <w:r w:rsidR="003575B0" w:rsidRPr="003575B0">
          <w:rPr>
            <w:rFonts w:ascii="Arial" w:hAnsi="Arial"/>
            <w:color w:val="0000FF"/>
            <w:u w:val="single"/>
            <w:rtl/>
          </w:rPr>
          <w:t>חוק העונשין</w:t>
        </w:r>
      </w:hyperlink>
      <w:r w:rsidRPr="004D290E">
        <w:rPr>
          <w:rFonts w:ascii="Arial" w:hAnsi="Arial"/>
          <w:rtl/>
        </w:rPr>
        <w:t>,</w:t>
      </w:r>
      <w:r>
        <w:rPr>
          <w:rFonts w:ascii="Arial" w:hAnsi="Arial" w:hint="cs"/>
          <w:rtl/>
        </w:rPr>
        <w:t xml:space="preserve"> ונגזרו</w:t>
      </w:r>
      <w:r w:rsidRPr="004D290E">
        <w:rPr>
          <w:rFonts w:ascii="Arial" w:hAnsi="Arial"/>
          <w:rtl/>
        </w:rPr>
        <w:t xml:space="preserve"> עליהם 45 חודשי מאסר בפועל</w:t>
      </w:r>
      <w:r>
        <w:rPr>
          <w:rFonts w:ascii="Arial" w:hAnsi="Arial" w:hint="cs"/>
          <w:rtl/>
        </w:rPr>
        <w:t xml:space="preserve">. </w:t>
      </w:r>
      <w:r w:rsidRPr="004D290E">
        <w:rPr>
          <w:rFonts w:ascii="Arial" w:hAnsi="Arial"/>
          <w:rtl/>
        </w:rPr>
        <w:t>הרקע להרשעה ולעונש הוא הגעת המערערים למתחם תחנת דלק בו עבד המתלונן, לאחר שהוזעקו על ידי אביהם, כשהם מצוידים במוט ברזל ובשוקר חשמלי ותקפו בצוותא את המתלונן, שאך ביקש להרגיע את רוחו של האב.</w:t>
      </w:r>
      <w:r>
        <w:rPr>
          <w:rFonts w:ascii="Arial" w:hAnsi="Arial" w:hint="cs"/>
          <w:rtl/>
        </w:rPr>
        <w:t xml:space="preserve"> </w:t>
      </w:r>
      <w:r w:rsidRPr="004D290E">
        <w:rPr>
          <w:rFonts w:ascii="Arial" w:hAnsi="Arial"/>
          <w:rtl/>
        </w:rPr>
        <w:t>כתוצאה ממעשיהם של המערערים נחבל המתלונן בר</w:t>
      </w:r>
      <w:r>
        <w:rPr>
          <w:rFonts w:ascii="Arial" w:hAnsi="Arial"/>
          <w:rtl/>
        </w:rPr>
        <w:t>אשו ונגרמו לו מספר שברים וחבלות</w:t>
      </w:r>
      <w:r>
        <w:rPr>
          <w:rFonts w:ascii="Arial" w:hAnsi="Arial" w:hint="cs"/>
          <w:rtl/>
        </w:rPr>
        <w:t xml:space="preserve">. בית המשפט העליון קבע כי </w:t>
      </w:r>
      <w:r w:rsidRPr="004D290E">
        <w:rPr>
          <w:rFonts w:ascii="Arial" w:hAnsi="Arial"/>
          <w:rtl/>
        </w:rPr>
        <w:t>בי</w:t>
      </w:r>
      <w:r>
        <w:rPr>
          <w:rFonts w:ascii="Arial" w:hAnsi="Arial" w:hint="cs"/>
          <w:rtl/>
        </w:rPr>
        <w:t>ת המשפט</w:t>
      </w:r>
      <w:r w:rsidRPr="004D290E">
        <w:rPr>
          <w:rFonts w:ascii="Arial" w:hAnsi="Arial"/>
          <w:rtl/>
        </w:rPr>
        <w:t xml:space="preserve"> המחוזי נקט יד מחמירה, אך לא באופן החורג באופן קיצוני ממדיניות הענישה המקובלת.</w:t>
      </w:r>
    </w:p>
    <w:p w14:paraId="6507CA1A" w14:textId="77777777" w:rsidR="00441AC5" w:rsidRDefault="00441AC5" w:rsidP="00441AC5">
      <w:pPr>
        <w:spacing w:line="360" w:lineRule="auto"/>
        <w:ind w:left="57" w:firstLine="510"/>
        <w:contextualSpacing/>
        <w:jc w:val="both"/>
        <w:rPr>
          <w:rFonts w:ascii="Arial" w:hAnsi="Arial"/>
          <w:rtl/>
        </w:rPr>
      </w:pPr>
    </w:p>
    <w:p w14:paraId="76E12447" w14:textId="77777777" w:rsidR="00441AC5" w:rsidRDefault="00441AC5" w:rsidP="00441AC5">
      <w:pPr>
        <w:spacing w:line="360" w:lineRule="auto"/>
        <w:ind w:left="57" w:firstLine="510"/>
        <w:contextualSpacing/>
        <w:jc w:val="both"/>
        <w:rPr>
          <w:rFonts w:ascii="Arial" w:hAnsi="Arial"/>
          <w:rtl/>
        </w:rPr>
      </w:pPr>
      <w:r>
        <w:rPr>
          <w:rFonts w:ascii="Arial" w:hAnsi="Arial" w:hint="cs"/>
          <w:rtl/>
        </w:rPr>
        <w:t xml:space="preserve">(-) </w:t>
      </w:r>
      <w:hyperlink r:id="rId56" w:history="1">
        <w:r w:rsidR="003575B0" w:rsidRPr="003575B0">
          <w:rPr>
            <w:rFonts w:ascii="Arial" w:hAnsi="Arial"/>
            <w:color w:val="0000FF"/>
            <w:u w:val="single"/>
            <w:rtl/>
          </w:rPr>
          <w:t>ת"פ (מחוזי נצרת) 38763-06-12</w:t>
        </w:r>
      </w:hyperlink>
      <w:r>
        <w:rPr>
          <w:rFonts w:ascii="Arial" w:hAnsi="Arial"/>
          <w:rtl/>
        </w:rPr>
        <w:t>‏ ‏</w:t>
      </w:r>
      <w:r w:rsidRPr="00C656A0">
        <w:rPr>
          <w:rFonts w:ascii="Arial" w:hAnsi="Arial"/>
          <w:b/>
          <w:bCs/>
          <w:rtl/>
        </w:rPr>
        <w:t>מדינת ישראל נ' סוביח</w:t>
      </w:r>
      <w:r>
        <w:rPr>
          <w:rFonts w:ascii="Arial" w:hAnsi="Arial" w:hint="cs"/>
          <w:rtl/>
        </w:rPr>
        <w:t xml:space="preserve"> (26.8.2013): הנאשם הורשע </w:t>
      </w:r>
      <w:r w:rsidRPr="00C656A0">
        <w:rPr>
          <w:rFonts w:ascii="Arial" w:hAnsi="Arial"/>
          <w:rtl/>
        </w:rPr>
        <w:t xml:space="preserve">בעבירה של חבלה בכוונה מחמירה, עבירה לפי </w:t>
      </w:r>
      <w:hyperlink r:id="rId57" w:history="1">
        <w:r w:rsidR="00553DC4" w:rsidRPr="00553DC4">
          <w:rPr>
            <w:rStyle w:val="Hyperlink"/>
            <w:rFonts w:ascii="Arial" w:hAnsi="Arial"/>
            <w:rtl/>
          </w:rPr>
          <w:t>סעיפים 329(א)(1)+(2)</w:t>
        </w:r>
      </w:hyperlink>
      <w:r w:rsidRPr="00C656A0">
        <w:rPr>
          <w:rFonts w:ascii="Arial" w:hAnsi="Arial"/>
          <w:rtl/>
        </w:rPr>
        <w:t xml:space="preserve"> ל</w:t>
      </w:r>
      <w:hyperlink r:id="rId58" w:history="1">
        <w:r w:rsidR="003575B0" w:rsidRPr="003575B0">
          <w:rPr>
            <w:rFonts w:ascii="Arial" w:hAnsi="Arial"/>
            <w:color w:val="0000FF"/>
            <w:u w:val="single"/>
            <w:rtl/>
          </w:rPr>
          <w:t>חוק העונשין</w:t>
        </w:r>
      </w:hyperlink>
      <w:r>
        <w:rPr>
          <w:rFonts w:ascii="Arial" w:hAnsi="Arial" w:hint="cs"/>
          <w:rtl/>
        </w:rPr>
        <w:t xml:space="preserve">. </w:t>
      </w:r>
      <w:r w:rsidRPr="00C656A0">
        <w:rPr>
          <w:rFonts w:ascii="Arial" w:hAnsi="Arial"/>
          <w:rtl/>
        </w:rPr>
        <w:t>בין המתלונן לנאשם</w:t>
      </w:r>
      <w:r>
        <w:rPr>
          <w:rFonts w:ascii="Arial" w:hAnsi="Arial" w:hint="cs"/>
          <w:rtl/>
        </w:rPr>
        <w:t>, אחים, היה</w:t>
      </w:r>
      <w:r w:rsidRPr="00C656A0">
        <w:rPr>
          <w:rFonts w:ascii="Arial" w:hAnsi="Arial"/>
          <w:rtl/>
        </w:rPr>
        <w:t xml:space="preserve"> סכסוך על רקע העובדה, כי צינור הביוב של דירת הנאשם עובר במוסכו של המתלונן.</w:t>
      </w:r>
      <w:r>
        <w:rPr>
          <w:rFonts w:ascii="Arial" w:hAnsi="Arial" w:hint="cs"/>
          <w:rtl/>
        </w:rPr>
        <w:t xml:space="preserve"> הנאשם </w:t>
      </w:r>
      <w:r w:rsidRPr="00C656A0">
        <w:rPr>
          <w:rFonts w:ascii="Arial" w:hAnsi="Arial"/>
          <w:rtl/>
        </w:rPr>
        <w:t>החל לתקוף את המתלונן באגרופיו זאת על רקע חשדו, כי ה</w:t>
      </w:r>
      <w:r>
        <w:rPr>
          <w:rFonts w:ascii="Arial" w:hAnsi="Arial"/>
          <w:rtl/>
        </w:rPr>
        <w:t>מתלונן סתם את צינור הביוב בבטון</w:t>
      </w:r>
      <w:r>
        <w:rPr>
          <w:rFonts w:ascii="Arial" w:hAnsi="Arial" w:hint="cs"/>
          <w:rtl/>
        </w:rPr>
        <w:t xml:space="preserve">, </w:t>
      </w:r>
      <w:r w:rsidRPr="00C656A0">
        <w:rPr>
          <w:rFonts w:ascii="Arial" w:hAnsi="Arial"/>
          <w:rtl/>
        </w:rPr>
        <w:t>נטל מוט ברזל, התקרב אל המתלונן וחבט בו בעוצמה, מספר חבטות, באמצעות מוט הברזל בפניו.</w:t>
      </w:r>
      <w:r w:rsidRPr="00C656A0">
        <w:rPr>
          <w:rtl/>
        </w:rPr>
        <w:t xml:space="preserve"> </w:t>
      </w:r>
      <w:r w:rsidRPr="00C656A0">
        <w:rPr>
          <w:rFonts w:ascii="Arial" w:hAnsi="Arial"/>
          <w:rtl/>
        </w:rPr>
        <w:t>כתוצאה ממעשי הנאשם, נגרמו למתלונן פגיעות קשות ושברים רבים בעצמות הפנים ובשיניים</w:t>
      </w:r>
      <w:r>
        <w:rPr>
          <w:rFonts w:ascii="Arial" w:hAnsi="Arial" w:hint="cs"/>
          <w:rtl/>
        </w:rPr>
        <w:t>. בית המשפט קבע מתחם עונש ש</w:t>
      </w:r>
      <w:r w:rsidRPr="00C656A0">
        <w:rPr>
          <w:rFonts w:ascii="Arial" w:hAnsi="Arial"/>
          <w:rtl/>
        </w:rPr>
        <w:t xml:space="preserve">נע בין </w:t>
      </w:r>
      <w:r>
        <w:rPr>
          <w:rFonts w:ascii="Arial" w:hAnsi="Arial" w:hint="cs"/>
          <w:rtl/>
        </w:rPr>
        <w:t>3</w:t>
      </w:r>
      <w:r w:rsidRPr="00C656A0">
        <w:rPr>
          <w:rFonts w:ascii="Arial" w:hAnsi="Arial"/>
          <w:rtl/>
        </w:rPr>
        <w:t xml:space="preserve"> שנות מאסר ל- 7 שנות מאסר</w:t>
      </w:r>
      <w:r>
        <w:rPr>
          <w:rFonts w:ascii="Arial" w:hAnsi="Arial" w:hint="cs"/>
          <w:rtl/>
        </w:rPr>
        <w:t>, וגזר על הנאשם 50 חודשי מאסר בפועל.</w:t>
      </w:r>
    </w:p>
    <w:p w14:paraId="3639BA05" w14:textId="77777777" w:rsidR="00441AC5" w:rsidRDefault="00441AC5" w:rsidP="00441AC5">
      <w:pPr>
        <w:spacing w:line="360" w:lineRule="auto"/>
        <w:ind w:left="57" w:firstLine="510"/>
        <w:contextualSpacing/>
        <w:jc w:val="both"/>
        <w:rPr>
          <w:rFonts w:ascii="Arial" w:hAnsi="Arial"/>
          <w:rtl/>
        </w:rPr>
      </w:pPr>
    </w:p>
    <w:p w14:paraId="5FA21FF7" w14:textId="77777777" w:rsidR="00441AC5" w:rsidRDefault="00441AC5" w:rsidP="00441AC5">
      <w:pPr>
        <w:spacing w:line="360" w:lineRule="auto"/>
        <w:ind w:left="57" w:firstLine="510"/>
        <w:contextualSpacing/>
        <w:jc w:val="both"/>
        <w:rPr>
          <w:rFonts w:ascii="Arial" w:hAnsi="Arial"/>
          <w:rtl/>
        </w:rPr>
      </w:pPr>
      <w:r w:rsidRPr="00C76D59">
        <w:rPr>
          <w:rFonts w:ascii="Arial" w:hAnsi="Arial" w:hint="cs"/>
          <w:rtl/>
        </w:rPr>
        <w:t xml:space="preserve">(-) </w:t>
      </w:r>
      <w:hyperlink r:id="rId59" w:history="1">
        <w:r w:rsidR="003575B0" w:rsidRPr="003575B0">
          <w:rPr>
            <w:rFonts w:ascii="Arial" w:hAnsi="Arial"/>
            <w:color w:val="0000FF"/>
            <w:u w:val="single"/>
            <w:rtl/>
          </w:rPr>
          <w:t>ת"פ (מחוזי חיפה) 53642-05-21</w:t>
        </w:r>
      </w:hyperlink>
      <w:r w:rsidRPr="00C76D59">
        <w:rPr>
          <w:rFonts w:ascii="Arial" w:hAnsi="Arial"/>
          <w:rtl/>
        </w:rPr>
        <w:t xml:space="preserve"> </w:t>
      </w:r>
      <w:r w:rsidRPr="00C76D59">
        <w:rPr>
          <w:rFonts w:ascii="Arial" w:hAnsi="Arial"/>
          <w:b/>
          <w:bCs/>
          <w:rtl/>
        </w:rPr>
        <w:t>מדינת ישראל נ' לויטן</w:t>
      </w:r>
      <w:r w:rsidRPr="00C76D59">
        <w:rPr>
          <w:rFonts w:ascii="Arial" w:hAnsi="Arial"/>
          <w:rtl/>
        </w:rPr>
        <w:t xml:space="preserve"> (8.8.2022): הנאשם הורשע בעבירה של חבלה בכוונה מחמירה לפי </w:t>
      </w:r>
      <w:hyperlink r:id="rId60" w:history="1">
        <w:r w:rsidR="00553DC4" w:rsidRPr="00553DC4">
          <w:rPr>
            <w:rStyle w:val="Hyperlink"/>
            <w:rFonts w:ascii="Arial" w:hAnsi="Arial" w:hint="eastAsia"/>
            <w:rtl/>
          </w:rPr>
          <w:t>סעיף</w:t>
        </w:r>
        <w:r w:rsidR="00553DC4" w:rsidRPr="00553DC4">
          <w:rPr>
            <w:rStyle w:val="Hyperlink"/>
            <w:rFonts w:ascii="Arial" w:hAnsi="Arial"/>
            <w:rtl/>
          </w:rPr>
          <w:t xml:space="preserve"> 329(א)(2)</w:t>
        </w:r>
      </w:hyperlink>
      <w:r w:rsidRPr="00C76D59">
        <w:rPr>
          <w:rFonts w:ascii="Arial" w:hAnsi="Arial"/>
          <w:rtl/>
        </w:rPr>
        <w:t xml:space="preserve">, הנאשם </w:t>
      </w:r>
      <w:r w:rsidRPr="00C76D59">
        <w:rPr>
          <w:rFonts w:ascii="Arial" w:hAnsi="Arial" w:hint="cs"/>
          <w:rtl/>
        </w:rPr>
        <w:t xml:space="preserve">הגיע </w:t>
      </w:r>
      <w:r w:rsidRPr="00C76D59">
        <w:rPr>
          <w:rFonts w:ascii="Arial" w:hAnsi="Arial"/>
          <w:rtl/>
        </w:rPr>
        <w:t xml:space="preserve">בלא תכנון מוקדם להתפרעות המונית, וניסה להכות את המתלונן באמצעות מוט מתכתי בו אחז. בטרם הצליח, תפסוהו השוטרים והוא נעצר. בסמוך למעצרו, נמצאה סכין בכיס מכנסי הנאשם, שעל להבה אותרו שרידי דם המתאימים לפרופיל </w:t>
      </w:r>
      <w:r w:rsidRPr="00C76D59">
        <w:rPr>
          <w:rFonts w:ascii="Arial" w:hAnsi="Arial"/>
        </w:rPr>
        <w:t>D.N.A</w:t>
      </w:r>
      <w:r w:rsidRPr="00C76D59">
        <w:rPr>
          <w:rFonts w:ascii="Arial" w:hAnsi="Arial"/>
          <w:rtl/>
        </w:rPr>
        <w:t xml:space="preserve"> של המתלונן. בית המשפט קבע מתחם עונש הולם שנע בין 27 חודשים ל-4 שנות מאסר בפועל, וגזר על הנאשם עונש של 28 חודשי מאסר בפועל.</w:t>
      </w:r>
    </w:p>
    <w:p w14:paraId="69B131E0" w14:textId="77777777" w:rsidR="00441AC5" w:rsidRDefault="00441AC5" w:rsidP="00441AC5">
      <w:pPr>
        <w:spacing w:line="360" w:lineRule="auto"/>
        <w:ind w:left="57" w:firstLine="510"/>
        <w:contextualSpacing/>
        <w:jc w:val="both"/>
        <w:rPr>
          <w:rFonts w:ascii="Arial" w:hAnsi="Arial"/>
          <w:rtl/>
        </w:rPr>
      </w:pPr>
    </w:p>
    <w:p w14:paraId="4DD354D6" w14:textId="77777777" w:rsidR="00441AC5" w:rsidRDefault="00441AC5" w:rsidP="00441AC5">
      <w:pPr>
        <w:spacing w:line="360" w:lineRule="auto"/>
        <w:ind w:firstLine="567"/>
        <w:jc w:val="both"/>
        <w:rPr>
          <w:rFonts w:ascii="Arial" w:hAnsi="Arial"/>
          <w:rtl/>
        </w:rPr>
      </w:pPr>
      <w:r>
        <w:rPr>
          <w:rFonts w:ascii="Arial" w:hAnsi="Arial"/>
          <w:rtl/>
        </w:rPr>
        <w:t>כמו כן, עיינתי בפסקי הדין הרבים אליהם הפנו הצדדים</w:t>
      </w:r>
      <w:r>
        <w:rPr>
          <w:rFonts w:ascii="Arial" w:hAnsi="Arial" w:hint="cs"/>
          <w:rtl/>
        </w:rPr>
        <w:t xml:space="preserve">. כאמור, נסיבות העבירה בה הורשעו הנאשמים עשויות להיות שונות ממקרה למקרה לפיכך, אינני רואה להתייחס לכלל פסק הדין שהצדדים הפנו אליהם. ניתן לציין את גזר הדין שניתן </w:t>
      </w:r>
      <w:hyperlink r:id="rId61" w:history="1">
        <w:r w:rsidR="003575B0" w:rsidRPr="003575B0">
          <w:rPr>
            <w:rFonts w:ascii="Arial" w:hAnsi="Arial"/>
            <w:color w:val="0000FF"/>
            <w:u w:val="single"/>
            <w:rtl/>
          </w:rPr>
          <w:t>ת"פ (מחוזי חיפה) 29179-03-15</w:t>
        </w:r>
      </w:hyperlink>
      <w:r>
        <w:rPr>
          <w:rFonts w:ascii="Arial" w:hAnsi="Arial" w:hint="cs"/>
          <w:rtl/>
        </w:rPr>
        <w:t xml:space="preserve"> </w:t>
      </w:r>
      <w:r w:rsidRPr="00CB31D4">
        <w:rPr>
          <w:rFonts w:ascii="Arial" w:hAnsi="Arial" w:hint="cs"/>
          <w:b/>
          <w:bCs/>
          <w:rtl/>
        </w:rPr>
        <w:t xml:space="preserve">מדינת ישראל נ' אבו רומי </w:t>
      </w:r>
      <w:r>
        <w:rPr>
          <w:rFonts w:ascii="Arial" w:hAnsi="Arial" w:hint="cs"/>
          <w:rtl/>
        </w:rPr>
        <w:t xml:space="preserve">(8.3.2016). לפי המתואר באותו מקרה, הנאשם יחד עם אחרים, תקף את המתלונן באמצעות מוטות ואלות בכל חלקי גופו, וכתוצאה מכך נגרמו לו המטומות בחלקי גופו השונים, שברים בפנים ואיבוד הכרה. מעשי הנאשם בוצעו על רקע נקמה בשל פגיעת קודמת בקרוב משפחתו של הנאשם. הנאשם הורשע בעבירה לפי </w:t>
      </w:r>
      <w:hyperlink r:id="rId62" w:history="1">
        <w:r w:rsidR="00553DC4" w:rsidRPr="00553DC4">
          <w:rPr>
            <w:rStyle w:val="Hyperlink"/>
            <w:rFonts w:ascii="Arial" w:hAnsi="Arial" w:hint="eastAsia"/>
            <w:rtl/>
          </w:rPr>
          <w:t>סעיף</w:t>
        </w:r>
        <w:r w:rsidR="00553DC4" w:rsidRPr="00553DC4">
          <w:rPr>
            <w:rStyle w:val="Hyperlink"/>
            <w:rFonts w:ascii="Arial" w:hAnsi="Arial"/>
            <w:rtl/>
          </w:rPr>
          <w:t xml:space="preserve"> 329(א)(1)</w:t>
        </w:r>
      </w:hyperlink>
      <w:r>
        <w:rPr>
          <w:rFonts w:ascii="Arial" w:hAnsi="Arial" w:hint="cs"/>
          <w:rtl/>
        </w:rPr>
        <w:t xml:space="preserve"> ל</w:t>
      </w:r>
      <w:hyperlink r:id="rId63" w:history="1">
        <w:r w:rsidR="003575B0" w:rsidRPr="003575B0">
          <w:rPr>
            <w:rFonts w:ascii="Arial" w:hAnsi="Arial"/>
            <w:color w:val="0000FF"/>
            <w:u w:val="single"/>
            <w:rtl/>
          </w:rPr>
          <w:t>חוק העונשין</w:t>
        </w:r>
      </w:hyperlink>
      <w:r>
        <w:rPr>
          <w:rFonts w:ascii="Arial" w:hAnsi="Arial" w:hint="cs"/>
          <w:rtl/>
        </w:rPr>
        <w:t>. בית המשפט קבע כי מתחם העונש ההולם נע בין 30 ל-60 חודשי מאסר בפועל, וגזר על הנאשם 30 חודשי מאסר בפועל. בית המשפט התחשב בגילו הלא צעיר של הנאשם, ובכך שמדובר במאסרו הראשון. הנאשמים הפנו בין היתר לגזר הדין שניתן ב</w:t>
      </w:r>
      <w:hyperlink r:id="rId64" w:history="1">
        <w:r w:rsidR="003575B0" w:rsidRPr="003575B0">
          <w:rPr>
            <w:rFonts w:ascii="Arial" w:hAnsi="Arial"/>
            <w:color w:val="0000FF"/>
            <w:u w:val="single"/>
            <w:rtl/>
          </w:rPr>
          <w:t>תפ"ח 51738-02-18</w:t>
        </w:r>
      </w:hyperlink>
      <w:r>
        <w:rPr>
          <w:rFonts w:ascii="Arial" w:hAnsi="Arial" w:hint="cs"/>
          <w:rtl/>
        </w:rPr>
        <w:t xml:space="preserve"> </w:t>
      </w:r>
      <w:r w:rsidRPr="00630DBA">
        <w:rPr>
          <w:rFonts w:ascii="Arial" w:hAnsi="Arial" w:hint="cs"/>
          <w:b/>
          <w:bCs/>
          <w:rtl/>
        </w:rPr>
        <w:t>מדינת ישראל נ' קומפונימיט</w:t>
      </w:r>
      <w:r>
        <w:rPr>
          <w:rFonts w:ascii="Arial" w:hAnsi="Arial" w:hint="cs"/>
          <w:rtl/>
        </w:rPr>
        <w:t xml:space="preserve"> (15.8.2018), אך אינני סבור כי ניתן ללמוד ממקרה זה לענייננו. </w:t>
      </w:r>
    </w:p>
    <w:p w14:paraId="3F6A7640" w14:textId="77777777" w:rsidR="00441AC5" w:rsidRDefault="00441AC5" w:rsidP="00441AC5">
      <w:pPr>
        <w:pStyle w:val="af"/>
        <w:spacing w:line="360" w:lineRule="auto"/>
        <w:ind w:left="0"/>
        <w:jc w:val="both"/>
        <w:rPr>
          <w:rFonts w:ascii="Arial" w:hAnsi="Arial"/>
        </w:rPr>
      </w:pPr>
    </w:p>
    <w:p w14:paraId="72474D4A" w14:textId="77777777" w:rsidR="00441AC5" w:rsidRDefault="00441AC5" w:rsidP="00441AC5">
      <w:pPr>
        <w:pStyle w:val="af"/>
        <w:numPr>
          <w:ilvl w:val="0"/>
          <w:numId w:val="3"/>
        </w:numPr>
        <w:spacing w:line="360" w:lineRule="auto"/>
        <w:jc w:val="both"/>
        <w:rPr>
          <w:rFonts w:ascii="Arial" w:hAnsi="Arial"/>
        </w:rPr>
      </w:pPr>
      <w:r w:rsidRPr="006533F5">
        <w:rPr>
          <w:rFonts w:ascii="Arial" w:hAnsi="Arial" w:hint="cs"/>
          <w:rtl/>
        </w:rPr>
        <w:t xml:space="preserve">הסנגורים הפנו להסכם סולחה שנערך בין המתלונן לנאשמים (נ/1). </w:t>
      </w:r>
      <w:r w:rsidRPr="006533F5">
        <w:rPr>
          <w:rFonts w:ascii="Arial" w:hAnsi="Arial"/>
          <w:rtl/>
        </w:rPr>
        <w:t xml:space="preserve">הסכם סולחה בין הצדדים הניצים </w:t>
      </w:r>
      <w:r w:rsidRPr="006533F5">
        <w:rPr>
          <w:rFonts w:ascii="Arial" w:hAnsi="Arial" w:hint="cs"/>
          <w:rtl/>
        </w:rPr>
        <w:t xml:space="preserve">הוא </w:t>
      </w:r>
      <w:r w:rsidRPr="006533F5">
        <w:rPr>
          <w:rFonts w:ascii="Arial" w:hAnsi="Arial"/>
          <w:rtl/>
        </w:rPr>
        <w:t>שיקול להקל</w:t>
      </w:r>
      <w:r w:rsidRPr="006533F5">
        <w:rPr>
          <w:rFonts w:ascii="Arial" w:hAnsi="Arial" w:hint="cs"/>
          <w:rtl/>
        </w:rPr>
        <w:t>ה</w:t>
      </w:r>
      <w:r w:rsidRPr="006533F5">
        <w:rPr>
          <w:rFonts w:ascii="Arial" w:hAnsi="Arial"/>
          <w:rtl/>
        </w:rPr>
        <w:t xml:space="preserve"> בעונשו של נאשם, אולם אין הוא בגדר שיקול מכריע (ראו: </w:t>
      </w:r>
      <w:hyperlink r:id="rId65" w:history="1">
        <w:r w:rsidR="003575B0" w:rsidRPr="003575B0">
          <w:rPr>
            <w:rFonts w:ascii="Arial" w:hAnsi="Arial"/>
            <w:color w:val="0000FF"/>
            <w:u w:val="single"/>
            <w:rtl/>
          </w:rPr>
          <w:t>ע"פ 6340/11</w:t>
        </w:r>
      </w:hyperlink>
      <w:r w:rsidRPr="006533F5">
        <w:rPr>
          <w:rFonts w:ascii="Arial" w:hAnsi="Arial"/>
          <w:rtl/>
        </w:rPr>
        <w:t xml:space="preserve"> </w:t>
      </w:r>
      <w:r w:rsidRPr="006533F5">
        <w:rPr>
          <w:rFonts w:ascii="Arial" w:hAnsi="Arial"/>
          <w:b/>
          <w:bCs/>
          <w:rtl/>
        </w:rPr>
        <w:t>זחיאקה נ' מדינת ישראל</w:t>
      </w:r>
      <w:r w:rsidRPr="006533F5">
        <w:rPr>
          <w:rFonts w:ascii="Arial" w:hAnsi="Arial"/>
          <w:rtl/>
        </w:rPr>
        <w:t xml:space="preserve"> (16.2.2012)).</w:t>
      </w:r>
      <w:r w:rsidRPr="006533F5">
        <w:rPr>
          <w:rFonts w:ascii="Arial" w:hAnsi="Arial" w:hint="cs"/>
          <w:rtl/>
        </w:rPr>
        <w:t xml:space="preserve"> אמנם הסכם סולחה הוא פרקטיקה חברתית חיובית שיש מקום להתחשב</w:t>
      </w:r>
      <w:r>
        <w:rPr>
          <w:rFonts w:ascii="Arial" w:hAnsi="Arial" w:hint="cs"/>
          <w:rtl/>
        </w:rPr>
        <w:t xml:space="preserve"> בה</w:t>
      </w:r>
      <w:r w:rsidRPr="006533F5">
        <w:rPr>
          <w:rFonts w:ascii="Arial" w:hAnsi="Arial" w:hint="cs"/>
          <w:rtl/>
        </w:rPr>
        <w:t xml:space="preserve"> בנסיבות מסוימות (רון </w:t>
      </w:r>
      <w:hyperlink r:id="rId66" w:history="1">
        <w:r w:rsidR="003575B0" w:rsidRPr="003575B0">
          <w:rPr>
            <w:rFonts w:ascii="Arial" w:hAnsi="Arial"/>
            <w:color w:val="0000FF"/>
            <w:u w:val="single"/>
            <w:rtl/>
          </w:rPr>
          <w:t>שפירא "הגיעה העת לסולחה"</w:t>
        </w:r>
      </w:hyperlink>
      <w:r w:rsidRPr="006533F5">
        <w:rPr>
          <w:rFonts w:ascii="Arial" w:hAnsi="Arial" w:hint="cs"/>
          <w:rtl/>
        </w:rPr>
        <w:t xml:space="preserve"> </w:t>
      </w:r>
      <w:r w:rsidRPr="006533F5">
        <w:rPr>
          <w:rFonts w:ascii="Arial" w:hAnsi="Arial" w:hint="cs"/>
          <w:b/>
          <w:bCs/>
          <w:rtl/>
        </w:rPr>
        <w:t>הפרקליט</w:t>
      </w:r>
      <w:r w:rsidRPr="006533F5">
        <w:rPr>
          <w:rFonts w:ascii="Arial" w:hAnsi="Arial" w:hint="cs"/>
          <w:rtl/>
        </w:rPr>
        <w:t xml:space="preserve"> מח 433, 434 (תשס"ו); </w:t>
      </w:r>
      <w:hyperlink r:id="rId67" w:history="1">
        <w:r w:rsidR="003575B0" w:rsidRPr="003575B0">
          <w:rPr>
            <w:rFonts w:ascii="Arial" w:hAnsi="Arial"/>
            <w:color w:val="0000FF"/>
            <w:u w:val="single"/>
            <w:rtl/>
          </w:rPr>
          <w:t>ע"פ 5998/15</w:t>
        </w:r>
      </w:hyperlink>
      <w:r w:rsidRPr="006533F5">
        <w:rPr>
          <w:rFonts w:ascii="Arial" w:hAnsi="Arial"/>
          <w:rtl/>
        </w:rPr>
        <w:t xml:space="preserve"> </w:t>
      </w:r>
      <w:r w:rsidRPr="006533F5">
        <w:rPr>
          <w:rFonts w:ascii="Arial" w:hAnsi="Arial"/>
          <w:b/>
          <w:bCs/>
          <w:rtl/>
        </w:rPr>
        <w:t>עקול נ' מדינת ישראל</w:t>
      </w:r>
      <w:r w:rsidRPr="006533F5">
        <w:rPr>
          <w:rFonts w:ascii="Arial" w:hAnsi="Arial" w:hint="cs"/>
          <w:rtl/>
        </w:rPr>
        <w:t xml:space="preserve"> </w:t>
      </w:r>
      <w:r w:rsidRPr="006533F5">
        <w:rPr>
          <w:rFonts w:ascii="Arial" w:hAnsi="Arial"/>
          <w:rtl/>
        </w:rPr>
        <w:t xml:space="preserve">(27.6.2016); </w:t>
      </w:r>
      <w:hyperlink r:id="rId68" w:history="1">
        <w:r w:rsidR="003575B0" w:rsidRPr="003575B0">
          <w:rPr>
            <w:rFonts w:ascii="Arial" w:hAnsi="Arial"/>
            <w:color w:val="0000FF"/>
            <w:u w:val="single"/>
            <w:rtl/>
          </w:rPr>
          <w:t>ע"פ 6271/15</w:t>
        </w:r>
      </w:hyperlink>
      <w:r w:rsidRPr="006533F5">
        <w:rPr>
          <w:rFonts w:ascii="Arial" w:hAnsi="Arial"/>
          <w:rtl/>
        </w:rPr>
        <w:t xml:space="preserve"> </w:t>
      </w:r>
      <w:r w:rsidRPr="006533F5">
        <w:rPr>
          <w:rFonts w:ascii="Arial" w:hAnsi="Arial"/>
          <w:b/>
          <w:bCs/>
          <w:rtl/>
        </w:rPr>
        <w:t>פלוני נ' מדינת ישראל</w:t>
      </w:r>
      <w:r w:rsidRPr="006533F5">
        <w:rPr>
          <w:rFonts w:ascii="Arial" w:hAnsi="Arial"/>
          <w:rtl/>
        </w:rPr>
        <w:t xml:space="preserve"> (6.1.2016); </w:t>
      </w:r>
      <w:hyperlink r:id="rId69" w:history="1">
        <w:r w:rsidR="003575B0" w:rsidRPr="003575B0">
          <w:rPr>
            <w:rFonts w:ascii="Arial" w:hAnsi="Arial"/>
            <w:color w:val="0000FF"/>
            <w:u w:val="single"/>
            <w:rtl/>
          </w:rPr>
          <w:t>דנ"פ 3261/03</w:t>
        </w:r>
      </w:hyperlink>
      <w:r w:rsidRPr="006533F5">
        <w:rPr>
          <w:rFonts w:ascii="Arial" w:hAnsi="Arial"/>
          <w:rtl/>
        </w:rPr>
        <w:t xml:space="preserve"> </w:t>
      </w:r>
      <w:r w:rsidRPr="006533F5">
        <w:rPr>
          <w:rFonts w:ascii="Arial" w:hAnsi="Arial"/>
          <w:b/>
          <w:bCs/>
          <w:rtl/>
        </w:rPr>
        <w:t>סרחאן נ' מדינת ישראל</w:t>
      </w:r>
      <w:r w:rsidRPr="006533F5">
        <w:rPr>
          <w:rFonts w:ascii="Arial" w:hAnsi="Arial"/>
          <w:rtl/>
        </w:rPr>
        <w:t>, (9.4.2003</w:t>
      </w:r>
      <w:r w:rsidRPr="006533F5">
        <w:rPr>
          <w:rFonts w:ascii="Arial" w:hAnsi="Arial" w:hint="cs"/>
          <w:rtl/>
        </w:rPr>
        <w:t>)), אך מבלי לטעת מסמרות, נראה כי שימוש יתר במוסד זה, עשוי לשחוק את האפקטיביות שלו. אינני מתיימר למצות את השינויים שחלו במוסד הסולחה (שלא בטובתו), ואסתפק בכך</w:t>
      </w:r>
      <w:r>
        <w:rPr>
          <w:rFonts w:ascii="Arial" w:hAnsi="Arial" w:hint="cs"/>
          <w:rtl/>
        </w:rPr>
        <w:t xml:space="preserve"> ש</w:t>
      </w:r>
      <w:r w:rsidRPr="006533F5">
        <w:rPr>
          <w:rFonts w:ascii="Arial" w:hAnsi="Arial" w:hint="cs"/>
          <w:rtl/>
        </w:rPr>
        <w:t>אין להפ</w:t>
      </w:r>
      <w:r>
        <w:rPr>
          <w:rFonts w:ascii="Arial" w:hAnsi="Arial" w:hint="cs"/>
          <w:rtl/>
        </w:rPr>
        <w:t xml:space="preserve">וך את </w:t>
      </w:r>
      <w:r w:rsidRPr="006533F5">
        <w:rPr>
          <w:rFonts w:ascii="Arial" w:hAnsi="Arial" w:hint="cs"/>
          <w:rtl/>
        </w:rPr>
        <w:t xml:space="preserve">מוסד הסולחה, לתחליף לאכיפה אפקטיבית ולהרתעה מוחשית, במיוחד בעבירות אלימות. </w:t>
      </w:r>
      <w:r>
        <w:rPr>
          <w:rFonts w:ascii="Arial" w:hAnsi="Arial" w:hint="cs"/>
          <w:rtl/>
        </w:rPr>
        <w:t xml:space="preserve">המקרה הנוכחי ילמד </w:t>
      </w:r>
      <w:r>
        <w:rPr>
          <w:rFonts w:ascii="Arial" w:hAnsi="Arial"/>
          <w:rtl/>
        </w:rPr>
        <w:t>–</w:t>
      </w:r>
      <w:r>
        <w:rPr>
          <w:rFonts w:ascii="Arial" w:hAnsi="Arial" w:hint="cs"/>
          <w:rtl/>
        </w:rPr>
        <w:t xml:space="preserve"> כעולה מתסקיר שירות המבחן, הנאשמים אינם מפנימים את חומרת מעשיהם ועל כן נראה כי הסכם הסולחה, אולי תרם להרגעת הרוחות בין הנאשמים למתלונן אך לא חולל שינוי מהותי בעמדת הנאשמים, ועל כך בהמשך.</w:t>
      </w:r>
    </w:p>
    <w:p w14:paraId="346CFA22" w14:textId="77777777" w:rsidR="00441AC5" w:rsidRPr="006533F5" w:rsidRDefault="00441AC5" w:rsidP="00441AC5">
      <w:pPr>
        <w:pStyle w:val="af"/>
        <w:spacing w:line="360" w:lineRule="auto"/>
        <w:ind w:left="0"/>
        <w:jc w:val="both"/>
        <w:rPr>
          <w:rFonts w:ascii="Arial" w:hAnsi="Arial"/>
        </w:rPr>
      </w:pPr>
    </w:p>
    <w:p w14:paraId="53C4B3B5" w14:textId="77777777" w:rsidR="00441AC5" w:rsidRPr="006533F5" w:rsidRDefault="00441AC5" w:rsidP="00441AC5">
      <w:pPr>
        <w:pStyle w:val="af"/>
        <w:spacing w:line="360" w:lineRule="auto"/>
        <w:ind w:left="0" w:firstLine="567"/>
        <w:jc w:val="both"/>
        <w:rPr>
          <w:rFonts w:ascii="Arial" w:hAnsi="Arial"/>
        </w:rPr>
      </w:pPr>
      <w:r>
        <w:rPr>
          <w:rFonts w:ascii="Arial" w:hAnsi="Arial" w:hint="cs"/>
          <w:rtl/>
        </w:rPr>
        <w:t xml:space="preserve">זאת ועוד, </w:t>
      </w:r>
      <w:r w:rsidRPr="006533F5">
        <w:rPr>
          <w:rFonts w:ascii="Arial" w:hAnsi="Arial" w:hint="cs"/>
          <w:rtl/>
        </w:rPr>
        <w:t>ב"כ נאשם 1 מבקש ללמוד מן ההסכם כי המתלונן ויתר על פיצוי כספי. אינני מקבל טענה זו</w:t>
      </w:r>
      <w:r>
        <w:rPr>
          <w:rFonts w:ascii="Arial" w:hAnsi="Arial" w:hint="cs"/>
          <w:rtl/>
        </w:rPr>
        <w:t xml:space="preserve">. ראשית, מנוסח ההסכם אין ויתור חד משמעי של המתלונן על הפיצוי, והאמור בסעיף 5 להסכם לפיו הצדדים "מוותרים באופן הדדי על טענותיהם ו/או דרישותיהם ו/או בקשותיהם" לא מלמד בהכרח על ויתור על פיצוי. שנית, </w:t>
      </w:r>
      <w:r w:rsidRPr="006533F5">
        <w:rPr>
          <w:rFonts w:ascii="Arial" w:hAnsi="Arial" w:hint="cs"/>
          <w:rtl/>
        </w:rPr>
        <w:t xml:space="preserve">לא הונחה תשתית </w:t>
      </w:r>
      <w:r>
        <w:rPr>
          <w:rFonts w:ascii="Arial" w:hAnsi="Arial" w:hint="cs"/>
          <w:rtl/>
        </w:rPr>
        <w:t xml:space="preserve">ראייתית מספקת </w:t>
      </w:r>
      <w:r w:rsidRPr="006533F5">
        <w:rPr>
          <w:rFonts w:ascii="Arial" w:hAnsi="Arial" w:hint="cs"/>
          <w:rtl/>
        </w:rPr>
        <w:t xml:space="preserve">שאכן המתלונן ויתר על הפיצוי ואם כן </w:t>
      </w:r>
      <w:r w:rsidRPr="006533F5">
        <w:rPr>
          <w:rFonts w:ascii="Arial" w:hAnsi="Arial"/>
          <w:rtl/>
        </w:rPr>
        <w:t>–</w:t>
      </w:r>
      <w:r w:rsidRPr="006533F5">
        <w:rPr>
          <w:rFonts w:ascii="Arial" w:hAnsi="Arial" w:hint="cs"/>
          <w:rtl/>
        </w:rPr>
        <w:t xml:space="preserve"> מה היו מניעיו ל</w:t>
      </w:r>
      <w:r>
        <w:rPr>
          <w:rFonts w:ascii="Arial" w:hAnsi="Arial" w:hint="cs"/>
          <w:rtl/>
        </w:rPr>
        <w:t xml:space="preserve">עשות כן. </w:t>
      </w:r>
      <w:r w:rsidRPr="006533F5">
        <w:rPr>
          <w:rFonts w:ascii="Arial" w:hAnsi="Arial" w:hint="cs"/>
          <w:rtl/>
        </w:rPr>
        <w:t xml:space="preserve"> </w:t>
      </w:r>
      <w:r>
        <w:rPr>
          <w:rFonts w:ascii="Arial" w:hAnsi="Arial" w:hint="cs"/>
          <w:rtl/>
        </w:rPr>
        <w:t xml:space="preserve">לפיכך, </w:t>
      </w:r>
      <w:r w:rsidRPr="006533F5">
        <w:rPr>
          <w:rFonts w:ascii="Arial" w:hAnsi="Arial" w:hint="cs"/>
          <w:rtl/>
        </w:rPr>
        <w:t xml:space="preserve">בשים לב לנזק שנגרם למתלונן, הן הנזק הגופני והן הנזק הנפשי, לצד הנזק הכספי לרכבו, איני רואה להימנע מהטלת פיצויים לטובת המתלונן. </w:t>
      </w:r>
    </w:p>
    <w:p w14:paraId="3C2EF9ED" w14:textId="77777777" w:rsidR="00441AC5" w:rsidRPr="00CC7735" w:rsidRDefault="00441AC5" w:rsidP="00441AC5">
      <w:pPr>
        <w:pStyle w:val="af"/>
        <w:spacing w:line="360" w:lineRule="auto"/>
        <w:ind w:left="0"/>
        <w:jc w:val="both"/>
        <w:rPr>
          <w:rFonts w:ascii="Arial" w:hAnsi="Arial"/>
          <w:rtl/>
        </w:rPr>
      </w:pPr>
    </w:p>
    <w:p w14:paraId="7136C466" w14:textId="77777777" w:rsidR="00441AC5" w:rsidRDefault="00441AC5" w:rsidP="00441AC5">
      <w:pPr>
        <w:numPr>
          <w:ilvl w:val="0"/>
          <w:numId w:val="3"/>
        </w:numPr>
        <w:spacing w:line="360" w:lineRule="auto"/>
        <w:contextualSpacing/>
        <w:jc w:val="both"/>
        <w:rPr>
          <w:rFonts w:ascii="Arial" w:hAnsi="Arial"/>
          <w:b/>
          <w:bCs/>
        </w:rPr>
      </w:pPr>
      <w:r>
        <w:rPr>
          <w:rFonts w:ascii="Arial" w:hAnsi="Arial"/>
          <w:rtl/>
        </w:rPr>
        <w:t xml:space="preserve">לסיכום, בשים לב לעבירות בהן הורשע הנאשם ולנסיבות המקרה אני קובע כי מתחם העונש ההולם בנסיבותיו של מקרה זה נע בין </w:t>
      </w:r>
      <w:r>
        <w:rPr>
          <w:rFonts w:ascii="Arial" w:hAnsi="Arial" w:hint="cs"/>
          <w:rtl/>
        </w:rPr>
        <w:t xml:space="preserve">30 ל- 54 </w:t>
      </w:r>
      <w:r>
        <w:rPr>
          <w:rFonts w:ascii="Arial" w:hAnsi="Arial"/>
          <w:rtl/>
        </w:rPr>
        <w:t xml:space="preserve">חודשי מאסר בפועל, וכן מאסר על תנאי, </w:t>
      </w:r>
      <w:r>
        <w:rPr>
          <w:rFonts w:ascii="Arial" w:hAnsi="Arial" w:hint="cs"/>
          <w:rtl/>
        </w:rPr>
        <w:t>ו</w:t>
      </w:r>
      <w:r>
        <w:rPr>
          <w:rFonts w:ascii="Arial" w:hAnsi="Arial"/>
          <w:rtl/>
        </w:rPr>
        <w:t>פיצוי למתלונן</w:t>
      </w:r>
      <w:r>
        <w:rPr>
          <w:rFonts w:ascii="Arial" w:hAnsi="Arial" w:hint="cs"/>
          <w:rtl/>
        </w:rPr>
        <w:t>. המאשימה לא ביקשה לכלול קנס במתחם ועל כן המתחם לא יכלול קנס.</w:t>
      </w:r>
      <w:r>
        <w:rPr>
          <w:rFonts w:ascii="Arial" w:hAnsi="Arial"/>
          <w:rtl/>
        </w:rPr>
        <w:t xml:space="preserve"> </w:t>
      </w:r>
    </w:p>
    <w:p w14:paraId="5D196BF2" w14:textId="77777777" w:rsidR="00441AC5" w:rsidRDefault="00441AC5" w:rsidP="00441AC5">
      <w:pPr>
        <w:spacing w:line="360" w:lineRule="auto"/>
        <w:jc w:val="both"/>
        <w:rPr>
          <w:rFonts w:ascii="Arial" w:hAnsi="Arial"/>
          <w:b/>
          <w:bCs/>
          <w:rtl/>
        </w:rPr>
      </w:pPr>
    </w:p>
    <w:p w14:paraId="334F1C86" w14:textId="77777777" w:rsidR="00441AC5" w:rsidRDefault="00441AC5" w:rsidP="00441AC5">
      <w:pPr>
        <w:spacing w:line="360" w:lineRule="auto"/>
        <w:jc w:val="both"/>
        <w:rPr>
          <w:rFonts w:ascii="Arial" w:hAnsi="Arial"/>
          <w:b/>
          <w:bCs/>
        </w:rPr>
      </w:pPr>
      <w:r>
        <w:rPr>
          <w:rFonts w:ascii="Arial" w:hAnsi="Arial"/>
          <w:b/>
          <w:bCs/>
          <w:rtl/>
        </w:rPr>
        <w:t>נסיבות שאינן קשורות בביצוע העבירה</w:t>
      </w:r>
    </w:p>
    <w:p w14:paraId="7D0612F3" w14:textId="77777777" w:rsidR="00441AC5" w:rsidRDefault="00441AC5" w:rsidP="00441AC5">
      <w:pPr>
        <w:spacing w:line="360" w:lineRule="auto"/>
        <w:ind w:left="720"/>
        <w:contextualSpacing/>
        <w:rPr>
          <w:rFonts w:ascii="Arial" w:hAnsi="Arial"/>
          <w:rtl/>
        </w:rPr>
      </w:pPr>
    </w:p>
    <w:p w14:paraId="6D11DF0C" w14:textId="77777777" w:rsidR="00441AC5" w:rsidRDefault="00441AC5" w:rsidP="00441AC5">
      <w:pPr>
        <w:numPr>
          <w:ilvl w:val="0"/>
          <w:numId w:val="3"/>
        </w:numPr>
        <w:spacing w:line="360" w:lineRule="auto"/>
        <w:contextualSpacing/>
        <w:jc w:val="both"/>
        <w:rPr>
          <w:rFonts w:ascii="Arial" w:hAnsi="Arial"/>
        </w:rPr>
      </w:pPr>
      <w:r>
        <w:rPr>
          <w:rFonts w:ascii="Arial" w:hAnsi="Arial"/>
          <w:rtl/>
        </w:rPr>
        <w:t xml:space="preserve">בגזירת העונש בגדרי מתחם העונש ההולם יש לשקול את הנסיבות שאינן קשורות בביצוע </w:t>
      </w:r>
      <w:r w:rsidRPr="0013564A">
        <w:rPr>
          <w:rFonts w:ascii="Arial" w:hAnsi="Arial"/>
          <w:rtl/>
        </w:rPr>
        <w:t>העבירה (</w:t>
      </w:r>
      <w:hyperlink r:id="rId70" w:history="1">
        <w:r w:rsidR="00553DC4" w:rsidRPr="00553DC4">
          <w:rPr>
            <w:rStyle w:val="Hyperlink"/>
            <w:rFonts w:ascii="Arial" w:hAnsi="Arial"/>
            <w:rtl/>
          </w:rPr>
          <w:t>סעיף 40 יא'</w:t>
        </w:r>
      </w:hyperlink>
      <w:r w:rsidRPr="0013564A">
        <w:rPr>
          <w:rFonts w:ascii="Arial" w:hAnsi="Arial"/>
          <w:rtl/>
        </w:rPr>
        <w:t xml:space="preserve"> ל</w:t>
      </w:r>
      <w:hyperlink r:id="rId71" w:history="1">
        <w:r w:rsidR="003575B0" w:rsidRPr="003575B0">
          <w:rPr>
            <w:rFonts w:ascii="Arial" w:hAnsi="Arial"/>
            <w:color w:val="0000FF"/>
            <w:u w:val="single"/>
            <w:rtl/>
          </w:rPr>
          <w:t>חוק העונשין</w:t>
        </w:r>
      </w:hyperlink>
      <w:r w:rsidRPr="0013564A">
        <w:rPr>
          <w:rFonts w:ascii="Arial" w:hAnsi="Arial"/>
          <w:rtl/>
        </w:rPr>
        <w:t xml:space="preserve">). </w:t>
      </w:r>
      <w:r>
        <w:rPr>
          <w:rFonts w:ascii="Arial" w:hAnsi="Arial" w:hint="cs"/>
          <w:rtl/>
        </w:rPr>
        <w:t>ואלה השיקולים:</w:t>
      </w:r>
    </w:p>
    <w:p w14:paraId="61A6C96A" w14:textId="77777777" w:rsidR="00441AC5" w:rsidRDefault="00441AC5" w:rsidP="00441AC5">
      <w:pPr>
        <w:spacing w:line="360" w:lineRule="auto"/>
        <w:contextualSpacing/>
        <w:jc w:val="both"/>
        <w:rPr>
          <w:rFonts w:ascii="Arial" w:hAnsi="Arial"/>
        </w:rPr>
      </w:pPr>
    </w:p>
    <w:p w14:paraId="5689E3AA" w14:textId="77777777" w:rsidR="00441AC5" w:rsidRDefault="00441AC5" w:rsidP="00441AC5">
      <w:pPr>
        <w:spacing w:line="360" w:lineRule="auto"/>
        <w:ind w:left="57" w:firstLine="510"/>
        <w:contextualSpacing/>
        <w:jc w:val="both"/>
        <w:rPr>
          <w:rFonts w:ascii="Arial" w:hAnsi="Arial"/>
        </w:rPr>
      </w:pPr>
      <w:r>
        <w:rPr>
          <w:rFonts w:ascii="Arial" w:hAnsi="Arial"/>
          <w:rtl/>
        </w:rPr>
        <w:t xml:space="preserve">(-) </w:t>
      </w:r>
      <w:r>
        <w:rPr>
          <w:rFonts w:ascii="Arial" w:hAnsi="Arial" w:hint="cs"/>
          <w:rtl/>
        </w:rPr>
        <w:t xml:space="preserve">שני הנאשמים צעירים, אם כי נאשם 1 צעיר יותר. נאשם 1 יליד 2002, בן 20; ונאשם 2 יליד 1996, בן 26. לשני הנאשמים אין הרשעות קודמות. בנסיבות אלו </w:t>
      </w:r>
      <w:r>
        <w:rPr>
          <w:rFonts w:ascii="Arial" w:hAnsi="Arial"/>
          <w:rtl/>
        </w:rPr>
        <w:t>מובן שעונש מאסר ממושך יקשה על הנאש</w:t>
      </w:r>
      <w:r>
        <w:rPr>
          <w:rFonts w:ascii="Arial" w:hAnsi="Arial" w:hint="cs"/>
          <w:rtl/>
        </w:rPr>
        <w:t>מי</w:t>
      </w:r>
      <w:r>
        <w:rPr>
          <w:rFonts w:ascii="Arial" w:hAnsi="Arial"/>
          <w:rtl/>
        </w:rPr>
        <w:t>ם בהיות</w:t>
      </w:r>
      <w:r>
        <w:rPr>
          <w:rFonts w:ascii="Arial" w:hAnsi="Arial" w:hint="cs"/>
          <w:rtl/>
        </w:rPr>
        <w:t>ם</w:t>
      </w:r>
      <w:r>
        <w:rPr>
          <w:rFonts w:ascii="Arial" w:hAnsi="Arial"/>
          <w:rtl/>
        </w:rPr>
        <w:t xml:space="preserve"> במאסר לראשונה בחיי</w:t>
      </w:r>
      <w:r>
        <w:rPr>
          <w:rFonts w:ascii="Arial" w:hAnsi="Arial" w:hint="cs"/>
          <w:rtl/>
        </w:rPr>
        <w:t xml:space="preserve">הם. בנוסף, הרחקת הנאשמים ממשפחותיהם, תקשה גם על בני המשפחה, במיוחד לאור תמיכת נאשם 2 בבני משפחתו, וברי כי למאסר תהיה השפעה על עיסוקו של הנאשם. </w:t>
      </w:r>
    </w:p>
    <w:p w14:paraId="02EFC9C7" w14:textId="77777777" w:rsidR="00441AC5" w:rsidRPr="007551C6" w:rsidRDefault="00441AC5" w:rsidP="00441AC5">
      <w:pPr>
        <w:spacing w:line="360" w:lineRule="auto"/>
        <w:ind w:left="57"/>
        <w:contextualSpacing/>
        <w:jc w:val="both"/>
        <w:rPr>
          <w:rFonts w:ascii="Arial" w:hAnsi="Arial"/>
          <w:rtl/>
        </w:rPr>
      </w:pPr>
    </w:p>
    <w:p w14:paraId="441C82AD" w14:textId="77777777" w:rsidR="00441AC5" w:rsidRDefault="00441AC5" w:rsidP="00441AC5">
      <w:pPr>
        <w:tabs>
          <w:tab w:val="left" w:pos="567"/>
        </w:tabs>
        <w:spacing w:line="360" w:lineRule="auto"/>
        <w:ind w:left="57"/>
        <w:contextualSpacing/>
        <w:jc w:val="both"/>
        <w:rPr>
          <w:rFonts w:ascii="Arial" w:hAnsi="Arial"/>
          <w:rtl/>
        </w:rPr>
      </w:pPr>
      <w:r>
        <w:rPr>
          <w:rFonts w:ascii="Arial" w:hAnsi="Arial"/>
          <w:rtl/>
        </w:rPr>
        <w:t xml:space="preserve"> </w:t>
      </w:r>
      <w:r>
        <w:rPr>
          <w:rFonts w:ascii="Arial" w:hAnsi="Arial"/>
          <w:rtl/>
        </w:rPr>
        <w:tab/>
        <w:t xml:space="preserve">(-) </w:t>
      </w:r>
      <w:r>
        <w:rPr>
          <w:rFonts w:ascii="Arial" w:hAnsi="Arial" w:hint="cs"/>
          <w:rtl/>
        </w:rPr>
        <w:t xml:space="preserve">שני הנאשמים </w:t>
      </w:r>
      <w:r>
        <w:rPr>
          <w:rFonts w:ascii="Arial" w:hAnsi="Arial"/>
          <w:rtl/>
        </w:rPr>
        <w:t>הוד</w:t>
      </w:r>
      <w:r>
        <w:rPr>
          <w:rFonts w:ascii="Arial" w:hAnsi="Arial" w:hint="cs"/>
          <w:rtl/>
        </w:rPr>
        <w:t>ו</w:t>
      </w:r>
      <w:r>
        <w:rPr>
          <w:rFonts w:ascii="Arial" w:hAnsi="Arial"/>
          <w:rtl/>
        </w:rPr>
        <w:t xml:space="preserve"> בעובדות כתב האישום עוד בתחילתו של ההליך</w:t>
      </w:r>
      <w:r>
        <w:rPr>
          <w:rFonts w:ascii="Arial" w:hAnsi="Arial" w:hint="cs"/>
          <w:rtl/>
        </w:rPr>
        <w:t xml:space="preserve">. </w:t>
      </w:r>
      <w:r>
        <w:rPr>
          <w:rFonts w:ascii="Arial" w:hAnsi="Arial"/>
          <w:rtl/>
        </w:rPr>
        <w:t>להודאת הנאש</w:t>
      </w:r>
      <w:r>
        <w:rPr>
          <w:rFonts w:ascii="Arial" w:hAnsi="Arial" w:hint="cs"/>
          <w:rtl/>
        </w:rPr>
        <w:t>מי</w:t>
      </w:r>
      <w:r>
        <w:rPr>
          <w:rFonts w:ascii="Arial" w:hAnsi="Arial"/>
          <w:rtl/>
        </w:rPr>
        <w:t>ם יש משמעות שכן ה</w:t>
      </w:r>
      <w:r>
        <w:rPr>
          <w:rFonts w:ascii="Arial" w:hAnsi="Arial" w:hint="cs"/>
          <w:rtl/>
        </w:rPr>
        <w:t>ם</w:t>
      </w:r>
      <w:r>
        <w:rPr>
          <w:rFonts w:ascii="Arial" w:hAnsi="Arial"/>
          <w:rtl/>
        </w:rPr>
        <w:t xml:space="preserve"> חס</w:t>
      </w:r>
      <w:r>
        <w:rPr>
          <w:rFonts w:ascii="Arial" w:hAnsi="Arial" w:hint="cs"/>
          <w:rtl/>
        </w:rPr>
        <w:t>כו</w:t>
      </w:r>
      <w:r>
        <w:rPr>
          <w:rFonts w:ascii="Arial" w:hAnsi="Arial"/>
          <w:rtl/>
        </w:rPr>
        <w:t xml:space="preserve"> את העדתו של קורבן העבירה, עם כל המשתמע מכך</w:t>
      </w:r>
      <w:r>
        <w:rPr>
          <w:rFonts w:ascii="Arial" w:hAnsi="Arial" w:hint="cs"/>
          <w:rtl/>
        </w:rPr>
        <w:t xml:space="preserve">. </w:t>
      </w:r>
      <w:r>
        <w:rPr>
          <w:rFonts w:ascii="Arial" w:hAnsi="Arial"/>
          <w:rtl/>
        </w:rPr>
        <w:t xml:space="preserve">עם זאת יצוין כי </w:t>
      </w:r>
      <w:r>
        <w:rPr>
          <w:rFonts w:ascii="Arial" w:hAnsi="Arial" w:hint="cs"/>
          <w:rtl/>
        </w:rPr>
        <w:t>מ</w:t>
      </w:r>
      <w:r>
        <w:rPr>
          <w:rFonts w:ascii="Arial" w:hAnsi="Arial"/>
          <w:rtl/>
        </w:rPr>
        <w:t>תסקיר</w:t>
      </w:r>
      <w:r>
        <w:rPr>
          <w:rFonts w:ascii="Arial" w:hAnsi="Arial" w:hint="cs"/>
          <w:rtl/>
        </w:rPr>
        <w:t>י</w:t>
      </w:r>
      <w:r>
        <w:rPr>
          <w:rFonts w:ascii="Arial" w:hAnsi="Arial"/>
          <w:rtl/>
        </w:rPr>
        <w:t xml:space="preserve"> שירות המבחן </w:t>
      </w:r>
      <w:r>
        <w:rPr>
          <w:rFonts w:ascii="Arial" w:hAnsi="Arial" w:hint="cs"/>
          <w:rtl/>
        </w:rPr>
        <w:t xml:space="preserve">עולה תמונה מדאיגה ביחס לשני הנאשמים. עולה כי נאשם 1 צמצם במידת אחריותו לאירוע ואף ביטא לגיטימציה לשימוש באלימות כדרך לפתרון קונפליקטים, אם כי הביע אמפתיה כלפי המתלונן. נאשם 2 הביע </w:t>
      </w:r>
      <w:r w:rsidRPr="00361EC2">
        <w:rPr>
          <w:rFonts w:ascii="Arial" w:hAnsi="Arial"/>
          <w:rtl/>
        </w:rPr>
        <w:t>חרטה פורמאלית בלבד</w:t>
      </w:r>
      <w:r>
        <w:rPr>
          <w:rFonts w:ascii="Arial" w:hAnsi="Arial" w:hint="cs"/>
          <w:rtl/>
        </w:rPr>
        <w:t>, לא הבין את הפסול במעשיו ואת חומרתם ואף ביטא העדר אמפתיה למתלונן</w:t>
      </w:r>
      <w:r w:rsidRPr="00361EC2">
        <w:rPr>
          <w:rFonts w:ascii="Arial" w:hAnsi="Arial"/>
          <w:rtl/>
        </w:rPr>
        <w:t>.</w:t>
      </w:r>
      <w:r>
        <w:rPr>
          <w:rFonts w:ascii="Arial" w:hAnsi="Arial" w:hint="cs"/>
          <w:rtl/>
        </w:rPr>
        <w:t xml:space="preserve"> </w:t>
      </w:r>
    </w:p>
    <w:p w14:paraId="14CE0736" w14:textId="77777777" w:rsidR="00441AC5" w:rsidRDefault="00441AC5" w:rsidP="00441AC5">
      <w:pPr>
        <w:tabs>
          <w:tab w:val="left" w:pos="567"/>
        </w:tabs>
        <w:spacing w:line="360" w:lineRule="auto"/>
        <w:ind w:left="57"/>
        <w:contextualSpacing/>
        <w:jc w:val="both"/>
        <w:rPr>
          <w:rFonts w:ascii="Arial" w:hAnsi="Arial"/>
          <w:rtl/>
        </w:rPr>
      </w:pPr>
    </w:p>
    <w:p w14:paraId="3EF75D5D" w14:textId="77777777" w:rsidR="00441AC5" w:rsidRDefault="00441AC5" w:rsidP="00441AC5">
      <w:pPr>
        <w:tabs>
          <w:tab w:val="left" w:pos="567"/>
        </w:tabs>
        <w:spacing w:line="360" w:lineRule="auto"/>
        <w:ind w:left="57" w:firstLine="510"/>
        <w:contextualSpacing/>
        <w:jc w:val="both"/>
        <w:rPr>
          <w:rFonts w:ascii="Arial" w:hAnsi="Arial"/>
          <w:rtl/>
        </w:rPr>
      </w:pPr>
      <w:r>
        <w:rPr>
          <w:rFonts w:ascii="Arial" w:hAnsi="Arial"/>
          <w:rtl/>
        </w:rPr>
        <w:t>(-) שירות המבחן לא בא בהמלצה טיפולית בעניינ</w:t>
      </w:r>
      <w:r>
        <w:rPr>
          <w:rFonts w:ascii="Arial" w:hAnsi="Arial" w:hint="cs"/>
          <w:rtl/>
        </w:rPr>
        <w:t xml:space="preserve">ם של שני הנאשמים. עם זאת קיימת שונות במידת המסוכנות שהוערכה על ידי שירות המבחן לגבי כל אחד מהנאשמים </w:t>
      </w:r>
      <w:r>
        <w:rPr>
          <w:rFonts w:ascii="Arial" w:hAnsi="Arial"/>
          <w:rtl/>
        </w:rPr>
        <w:t>–</w:t>
      </w:r>
      <w:r>
        <w:rPr>
          <w:rFonts w:ascii="Arial" w:hAnsi="Arial" w:hint="cs"/>
          <w:rtl/>
        </w:rPr>
        <w:t xml:space="preserve"> לגבי נאשם 1 נקבע כי </w:t>
      </w:r>
      <w:r>
        <w:rPr>
          <w:rFonts w:ascii="Arial" w:hAnsi="Arial"/>
          <w:rtl/>
        </w:rPr>
        <w:t xml:space="preserve">רמת המסוכנות הנשקפת מן הנאשם להישנות התנהגות אלימה בעתיד היא </w:t>
      </w:r>
      <w:r>
        <w:rPr>
          <w:rFonts w:ascii="Arial" w:hAnsi="Arial" w:hint="cs"/>
          <w:rtl/>
        </w:rPr>
        <w:t xml:space="preserve">בינונית; ואילו לגבי הנאשם 2 נקבע כי קיים סיכון משמעותי להישנות עבירות אלימות, ברמת חומרה משמעותית. זאת ועוד, לגבי נאשם 2 צוין בתסקיר כי לא ניתן לשלול </w:t>
      </w:r>
      <w:r w:rsidRPr="00080F45">
        <w:rPr>
          <w:rFonts w:ascii="Arial" w:hAnsi="Arial"/>
          <w:rtl/>
        </w:rPr>
        <w:t>סכסוך פעיל של הנאשם, או גישה לנשק מצדו, וכן קשרים חברתיים בעלי גוון שלילי</w:t>
      </w:r>
      <w:r>
        <w:rPr>
          <w:rFonts w:ascii="Arial" w:hAnsi="Arial" w:hint="cs"/>
          <w:rtl/>
        </w:rPr>
        <w:t xml:space="preserve">. </w:t>
      </w:r>
    </w:p>
    <w:p w14:paraId="32C57BD9" w14:textId="77777777" w:rsidR="00441AC5" w:rsidRDefault="00441AC5" w:rsidP="00441AC5">
      <w:pPr>
        <w:tabs>
          <w:tab w:val="left" w:pos="567"/>
        </w:tabs>
        <w:spacing w:line="360" w:lineRule="auto"/>
        <w:jc w:val="both"/>
        <w:rPr>
          <w:rFonts w:ascii="Arial" w:hAnsi="Arial"/>
          <w:rtl/>
        </w:rPr>
      </w:pPr>
    </w:p>
    <w:p w14:paraId="5D2CFD1C" w14:textId="77777777" w:rsidR="00441AC5" w:rsidRDefault="00441AC5" w:rsidP="00441AC5">
      <w:pPr>
        <w:spacing w:line="360" w:lineRule="auto"/>
        <w:ind w:left="57" w:firstLine="510"/>
        <w:contextualSpacing/>
        <w:jc w:val="both"/>
        <w:rPr>
          <w:rFonts w:ascii="Arial" w:hAnsi="Arial"/>
          <w:rtl/>
        </w:rPr>
      </w:pPr>
      <w:r>
        <w:rPr>
          <w:rFonts w:ascii="Arial" w:hAnsi="Arial"/>
          <w:rtl/>
        </w:rPr>
        <w:t>(-) לבסוף שקלתי את התקופה הארוכה בה הי</w:t>
      </w:r>
      <w:r>
        <w:rPr>
          <w:rFonts w:ascii="Arial" w:hAnsi="Arial" w:hint="cs"/>
          <w:rtl/>
        </w:rPr>
        <w:t>ו</w:t>
      </w:r>
      <w:r>
        <w:rPr>
          <w:rFonts w:ascii="Arial" w:hAnsi="Arial"/>
          <w:rtl/>
        </w:rPr>
        <w:t xml:space="preserve"> </w:t>
      </w:r>
      <w:r>
        <w:rPr>
          <w:rFonts w:ascii="Arial" w:hAnsi="Arial" w:hint="cs"/>
          <w:rtl/>
        </w:rPr>
        <w:t xml:space="preserve">שני </w:t>
      </w:r>
      <w:r>
        <w:rPr>
          <w:rFonts w:ascii="Arial" w:hAnsi="Arial"/>
          <w:rtl/>
        </w:rPr>
        <w:t>הנאש</w:t>
      </w:r>
      <w:r>
        <w:rPr>
          <w:rFonts w:ascii="Arial" w:hAnsi="Arial" w:hint="cs"/>
          <w:rtl/>
        </w:rPr>
        <w:t>מי</w:t>
      </w:r>
      <w:r>
        <w:rPr>
          <w:rFonts w:ascii="Arial" w:hAnsi="Arial"/>
          <w:rtl/>
        </w:rPr>
        <w:t>ם נתו</w:t>
      </w:r>
      <w:r>
        <w:rPr>
          <w:rFonts w:ascii="Arial" w:hAnsi="Arial" w:hint="cs"/>
          <w:rtl/>
        </w:rPr>
        <w:t>נים</w:t>
      </w:r>
      <w:r>
        <w:rPr>
          <w:rFonts w:ascii="Arial" w:hAnsi="Arial"/>
          <w:rtl/>
        </w:rPr>
        <w:t xml:space="preserve"> במעצר: הנאשם</w:t>
      </w:r>
      <w:r>
        <w:rPr>
          <w:rFonts w:ascii="Arial" w:hAnsi="Arial" w:hint="cs"/>
          <w:rtl/>
        </w:rPr>
        <w:t xml:space="preserve"> 1</w:t>
      </w:r>
      <w:r>
        <w:rPr>
          <w:rFonts w:ascii="Arial" w:hAnsi="Arial"/>
          <w:rtl/>
        </w:rPr>
        <w:t xml:space="preserve"> עצור מיום </w:t>
      </w:r>
      <w:r>
        <w:rPr>
          <w:rFonts w:ascii="Arial" w:hAnsi="Arial" w:hint="cs"/>
          <w:rtl/>
        </w:rPr>
        <w:t>8.3</w:t>
      </w:r>
      <w:r>
        <w:rPr>
          <w:rFonts w:ascii="Arial" w:hAnsi="Arial"/>
          <w:rtl/>
        </w:rPr>
        <w:t xml:space="preserve">.2022, </w:t>
      </w:r>
      <w:r>
        <w:rPr>
          <w:rFonts w:ascii="Arial" w:hAnsi="Arial" w:hint="cs"/>
          <w:rtl/>
        </w:rPr>
        <w:t xml:space="preserve">והנאשם 2 עצור מיום 6.3.2022, שניהם עצורים במשך למעלה משבעה וחצי חודשים. </w:t>
      </w:r>
    </w:p>
    <w:p w14:paraId="21F70DBD" w14:textId="77777777" w:rsidR="00441AC5" w:rsidRPr="00D9558E" w:rsidRDefault="00441AC5" w:rsidP="00441AC5">
      <w:pPr>
        <w:spacing w:line="360" w:lineRule="auto"/>
        <w:contextualSpacing/>
        <w:jc w:val="both"/>
        <w:rPr>
          <w:rFonts w:ascii="Arial" w:hAnsi="Arial"/>
          <w:b/>
          <w:bCs/>
        </w:rPr>
      </w:pPr>
    </w:p>
    <w:p w14:paraId="1DD6DB16" w14:textId="77777777" w:rsidR="00441AC5" w:rsidRDefault="00441AC5" w:rsidP="00441AC5">
      <w:pPr>
        <w:numPr>
          <w:ilvl w:val="0"/>
          <w:numId w:val="3"/>
        </w:numPr>
        <w:spacing w:line="360" w:lineRule="auto"/>
        <w:contextualSpacing/>
        <w:jc w:val="both"/>
        <w:rPr>
          <w:rFonts w:ascii="Arial" w:hAnsi="Arial"/>
          <w:b/>
          <w:bCs/>
        </w:rPr>
      </w:pPr>
      <w:r>
        <w:rPr>
          <w:rFonts w:ascii="Arial" w:hAnsi="Arial" w:hint="cs"/>
          <w:rtl/>
        </w:rPr>
        <w:t xml:space="preserve">בשלב זה אעבור לדון בבקשה לחילוט הרכב ולאחר מכן אשוב ואסכם את הדברים. </w:t>
      </w:r>
    </w:p>
    <w:p w14:paraId="569FA326" w14:textId="77777777" w:rsidR="00441AC5" w:rsidRDefault="00441AC5" w:rsidP="00441AC5">
      <w:pPr>
        <w:spacing w:line="360" w:lineRule="auto"/>
        <w:ind w:left="57"/>
        <w:contextualSpacing/>
        <w:jc w:val="both"/>
        <w:rPr>
          <w:rFonts w:ascii="Arial" w:hAnsi="Arial"/>
          <w:rtl/>
        </w:rPr>
      </w:pPr>
    </w:p>
    <w:p w14:paraId="4542BF92" w14:textId="77777777" w:rsidR="00441AC5" w:rsidRPr="00FF5B70" w:rsidRDefault="00441AC5" w:rsidP="00441AC5">
      <w:pPr>
        <w:spacing w:line="360" w:lineRule="auto"/>
        <w:ind w:left="57"/>
        <w:contextualSpacing/>
        <w:jc w:val="both"/>
        <w:rPr>
          <w:rFonts w:ascii="Arial" w:hAnsi="Arial"/>
          <w:b/>
          <w:bCs/>
          <w:rtl/>
        </w:rPr>
      </w:pPr>
      <w:r w:rsidRPr="00FF5B70">
        <w:rPr>
          <w:rFonts w:ascii="Arial" w:hAnsi="Arial" w:hint="cs"/>
          <w:b/>
          <w:bCs/>
          <w:rtl/>
        </w:rPr>
        <w:t>בקשת החילוט</w:t>
      </w:r>
    </w:p>
    <w:p w14:paraId="2CBC2AEB" w14:textId="77777777" w:rsidR="00441AC5" w:rsidRDefault="00441AC5" w:rsidP="00441AC5">
      <w:pPr>
        <w:spacing w:line="360" w:lineRule="auto"/>
        <w:ind w:left="57"/>
        <w:contextualSpacing/>
        <w:jc w:val="both"/>
        <w:rPr>
          <w:rFonts w:ascii="Arial" w:hAnsi="Arial"/>
          <w:rtl/>
        </w:rPr>
      </w:pPr>
    </w:p>
    <w:p w14:paraId="49C73BE8" w14:textId="77777777" w:rsidR="00441AC5" w:rsidRDefault="00441AC5" w:rsidP="00441AC5">
      <w:pPr>
        <w:pStyle w:val="af"/>
        <w:numPr>
          <w:ilvl w:val="0"/>
          <w:numId w:val="3"/>
        </w:numPr>
        <w:spacing w:line="360" w:lineRule="auto"/>
        <w:ind w:left="57"/>
        <w:jc w:val="both"/>
        <w:rPr>
          <w:rFonts w:ascii="Arial" w:hAnsi="Arial"/>
        </w:rPr>
      </w:pPr>
      <w:r w:rsidRPr="007D572A">
        <w:rPr>
          <w:rFonts w:ascii="Arial" w:hAnsi="Arial" w:hint="cs"/>
          <w:rtl/>
        </w:rPr>
        <w:t xml:space="preserve">כתב האישום, הן לפני התיקון והן לאחר התיקון, כלל בקשה לחילוט רכב </w:t>
      </w:r>
      <w:r w:rsidRPr="007D572A">
        <w:rPr>
          <w:rFonts w:ascii="Arial" w:hAnsi="Arial"/>
          <w:rtl/>
        </w:rPr>
        <w:t>הטויוטה</w:t>
      </w:r>
      <w:r w:rsidRPr="007D572A">
        <w:rPr>
          <w:rFonts w:ascii="Arial" w:hAnsi="Arial" w:hint="cs"/>
          <w:rtl/>
        </w:rPr>
        <w:t xml:space="preserve">, מספר רישוי 8819457 (להלן: </w:t>
      </w:r>
      <w:r w:rsidRPr="007D572A">
        <w:rPr>
          <w:rFonts w:ascii="Arial" w:hAnsi="Arial" w:hint="cs"/>
          <w:b/>
          <w:bCs/>
          <w:rtl/>
        </w:rPr>
        <w:t>הרכב</w:t>
      </w:r>
      <w:r w:rsidRPr="007D572A">
        <w:rPr>
          <w:rFonts w:ascii="Arial" w:hAnsi="Arial" w:hint="cs"/>
          <w:rtl/>
        </w:rPr>
        <w:t xml:space="preserve">), </w:t>
      </w:r>
      <w:r w:rsidRPr="007D572A">
        <w:rPr>
          <w:rFonts w:ascii="Arial" w:hAnsi="Arial"/>
          <w:rtl/>
        </w:rPr>
        <w:t xml:space="preserve">וזאת בהתאם לסמכות הקבועה </w:t>
      </w:r>
      <w:hyperlink r:id="rId72" w:history="1">
        <w:r w:rsidR="00553DC4" w:rsidRPr="00553DC4">
          <w:rPr>
            <w:rStyle w:val="Hyperlink"/>
            <w:rFonts w:ascii="Arial" w:hAnsi="Arial"/>
            <w:rtl/>
          </w:rPr>
          <w:t>בסעיפים 32</w:t>
        </w:r>
      </w:hyperlink>
      <w:r w:rsidRPr="007D572A">
        <w:rPr>
          <w:rFonts w:ascii="Arial" w:hAnsi="Arial"/>
          <w:rtl/>
        </w:rPr>
        <w:t xml:space="preserve"> ו-</w:t>
      </w:r>
      <w:hyperlink r:id="rId73" w:history="1">
        <w:r w:rsidR="00553DC4" w:rsidRPr="00553DC4">
          <w:rPr>
            <w:rStyle w:val="Hyperlink"/>
            <w:rFonts w:ascii="Arial" w:hAnsi="Arial"/>
            <w:rtl/>
          </w:rPr>
          <w:t>39</w:t>
        </w:r>
      </w:hyperlink>
      <w:r w:rsidRPr="007D572A">
        <w:rPr>
          <w:rFonts w:ascii="Arial" w:hAnsi="Arial"/>
          <w:rtl/>
        </w:rPr>
        <w:t xml:space="preserve"> ל</w:t>
      </w:r>
      <w:hyperlink r:id="rId74" w:history="1">
        <w:r w:rsidR="003575B0" w:rsidRPr="003575B0">
          <w:rPr>
            <w:rFonts w:ascii="Arial" w:hAnsi="Arial"/>
            <w:color w:val="0000FF"/>
            <w:u w:val="single"/>
            <w:rtl/>
          </w:rPr>
          <w:t>פקודת סדר הדין הפלילי (מעצר וחיפוש)</w:t>
        </w:r>
      </w:hyperlink>
      <w:r w:rsidRPr="007D572A">
        <w:rPr>
          <w:rFonts w:ascii="Arial" w:hAnsi="Arial"/>
          <w:rtl/>
        </w:rPr>
        <w:t xml:space="preserve"> [נוסח חדש], התשכ"ט-1969</w:t>
      </w:r>
      <w:r w:rsidRPr="007D572A">
        <w:rPr>
          <w:rFonts w:ascii="Arial" w:hAnsi="Arial" w:hint="cs"/>
          <w:rtl/>
        </w:rPr>
        <w:t xml:space="preserve"> (להלן: </w:t>
      </w:r>
      <w:r w:rsidRPr="007D572A">
        <w:rPr>
          <w:rFonts w:ascii="Arial" w:hAnsi="Arial" w:hint="cs"/>
          <w:b/>
          <w:bCs/>
          <w:rtl/>
        </w:rPr>
        <w:t>פסד"פ</w:t>
      </w:r>
      <w:r w:rsidRPr="007D572A">
        <w:rPr>
          <w:rFonts w:ascii="Arial" w:hAnsi="Arial" w:hint="cs"/>
          <w:rtl/>
        </w:rPr>
        <w:t xml:space="preserve">). בבקשת החילוט </w:t>
      </w:r>
      <w:r>
        <w:rPr>
          <w:rFonts w:ascii="Arial" w:hAnsi="Arial" w:hint="cs"/>
          <w:rtl/>
        </w:rPr>
        <w:t xml:space="preserve">נטען </w:t>
      </w:r>
      <w:r w:rsidRPr="007D572A">
        <w:rPr>
          <w:rFonts w:ascii="Arial" w:hAnsi="Arial" w:hint="cs"/>
          <w:rtl/>
        </w:rPr>
        <w:t>כי הרכב הוא בבעלות נאשם 1 ו</w:t>
      </w:r>
      <w:r w:rsidRPr="007D572A">
        <w:rPr>
          <w:rFonts w:ascii="Arial" w:hAnsi="Arial"/>
          <w:rtl/>
        </w:rPr>
        <w:t>שימש א</w:t>
      </w:r>
      <w:r>
        <w:rPr>
          <w:rFonts w:ascii="Arial" w:hAnsi="Arial" w:hint="cs"/>
          <w:rtl/>
        </w:rPr>
        <w:t xml:space="preserve">ותו </w:t>
      </w:r>
      <w:r w:rsidRPr="007D572A">
        <w:rPr>
          <w:rFonts w:ascii="Arial" w:hAnsi="Arial"/>
          <w:rtl/>
        </w:rPr>
        <w:t>לביצוע העבירות המיוחסות לו</w:t>
      </w:r>
      <w:r>
        <w:rPr>
          <w:rFonts w:ascii="Arial" w:hAnsi="Arial" w:hint="cs"/>
          <w:rtl/>
        </w:rPr>
        <w:t>.</w:t>
      </w:r>
    </w:p>
    <w:p w14:paraId="7B521882" w14:textId="77777777" w:rsidR="00441AC5" w:rsidRPr="001039C7" w:rsidRDefault="00441AC5" w:rsidP="00441AC5">
      <w:pPr>
        <w:pStyle w:val="af"/>
        <w:spacing w:line="360" w:lineRule="auto"/>
        <w:ind w:left="57"/>
        <w:jc w:val="both"/>
        <w:rPr>
          <w:rFonts w:ascii="Arial" w:hAnsi="Arial"/>
          <w:rtl/>
        </w:rPr>
      </w:pPr>
      <w:r w:rsidRPr="007D572A">
        <w:rPr>
          <w:rFonts w:ascii="Arial" w:hAnsi="Arial"/>
          <w:rtl/>
        </w:rPr>
        <w:t xml:space="preserve"> </w:t>
      </w:r>
    </w:p>
    <w:p w14:paraId="17831C47" w14:textId="77777777" w:rsidR="00441AC5" w:rsidRDefault="00441AC5" w:rsidP="00441AC5">
      <w:pPr>
        <w:pStyle w:val="af"/>
        <w:numPr>
          <w:ilvl w:val="0"/>
          <w:numId w:val="3"/>
        </w:numPr>
        <w:spacing w:line="360" w:lineRule="auto"/>
        <w:ind w:left="57"/>
        <w:jc w:val="both"/>
        <w:rPr>
          <w:rFonts w:ascii="Arial" w:hAnsi="Arial"/>
        </w:rPr>
      </w:pPr>
      <w:r w:rsidRPr="001039C7">
        <w:rPr>
          <w:rFonts w:ascii="Arial" w:hAnsi="Arial"/>
          <w:rtl/>
        </w:rPr>
        <w:t xml:space="preserve">סעיף </w:t>
      </w:r>
      <w:hyperlink r:id="rId75" w:history="1">
        <w:r w:rsidR="00553DC4" w:rsidRPr="00553DC4">
          <w:rPr>
            <w:rStyle w:val="Hyperlink"/>
            <w:rFonts w:ascii="Arial" w:hAnsi="Arial"/>
            <w:rtl/>
          </w:rPr>
          <w:t>32 (א)</w:t>
        </w:r>
      </w:hyperlink>
      <w:r w:rsidRPr="001039C7">
        <w:rPr>
          <w:rFonts w:ascii="Arial" w:hAnsi="Arial"/>
          <w:rtl/>
        </w:rPr>
        <w:t xml:space="preserve"> לפ</w:t>
      </w:r>
      <w:r w:rsidRPr="001039C7">
        <w:rPr>
          <w:rFonts w:ascii="Arial" w:hAnsi="Arial" w:hint="cs"/>
          <w:rtl/>
        </w:rPr>
        <w:t>סד"</w:t>
      </w:r>
      <w:r>
        <w:rPr>
          <w:rFonts w:ascii="Arial" w:hAnsi="Arial" w:hint="cs"/>
          <w:rtl/>
        </w:rPr>
        <w:t>פ קובע כי:</w:t>
      </w:r>
      <w:r w:rsidRPr="001039C7">
        <w:rPr>
          <w:rFonts w:ascii="Arial" w:hAnsi="Arial" w:hint="cs"/>
          <w:rtl/>
        </w:rPr>
        <w:t xml:space="preserve"> </w:t>
      </w:r>
      <w:r>
        <w:rPr>
          <w:rFonts w:ascii="Arial" w:hAnsi="Arial" w:hint="cs"/>
          <w:rtl/>
        </w:rPr>
        <w:t>"</w:t>
      </w:r>
      <w:r w:rsidRPr="001039C7">
        <w:rPr>
          <w:rFonts w:ascii="Arial" w:hAnsi="Arial"/>
          <w:b/>
          <w:bCs/>
          <w:rtl/>
        </w:rPr>
        <w:t xml:space="preserve">רשאי שוטר לתפוס חפץ, אם יש לו יסוד סביר להניח כי באותו </w:t>
      </w:r>
      <w:r w:rsidRPr="00F1384C">
        <w:rPr>
          <w:rFonts w:ascii="Arial" w:hAnsi="Arial"/>
          <w:b/>
          <w:bCs/>
          <w:u w:val="single"/>
          <w:rtl/>
        </w:rPr>
        <w:t>חפץ נעברה, או עומדים לעבור, עבירה</w:t>
      </w:r>
      <w:r w:rsidRPr="001039C7">
        <w:rPr>
          <w:rFonts w:ascii="Arial" w:hAnsi="Arial"/>
          <w:b/>
          <w:bCs/>
          <w:rtl/>
        </w:rPr>
        <w:t>, או שהוא עשוי לשמש ראיה בהליך משפטי בשל עבירה, או שניתן כשכר בעד ביצוע עבירה או כאמצעי לביצועה</w:t>
      </w:r>
      <w:r w:rsidRPr="001039C7">
        <w:rPr>
          <w:rFonts w:ascii="Arial" w:hAnsi="Arial"/>
          <w:rtl/>
        </w:rPr>
        <w:t>".</w:t>
      </w:r>
      <w:r>
        <w:rPr>
          <w:rFonts w:ascii="Arial" w:hAnsi="Arial" w:hint="cs"/>
          <w:rtl/>
        </w:rPr>
        <w:t xml:space="preserve"> </w:t>
      </w:r>
      <w:r w:rsidRPr="00E4628B">
        <w:rPr>
          <w:rFonts w:ascii="Arial" w:hAnsi="Arial" w:hint="cs"/>
          <w:rtl/>
        </w:rPr>
        <w:t xml:space="preserve">בהמשך, קובע </w:t>
      </w:r>
      <w:hyperlink r:id="rId76" w:history="1">
        <w:r w:rsidR="00553DC4" w:rsidRPr="00553DC4">
          <w:rPr>
            <w:rStyle w:val="Hyperlink"/>
            <w:rFonts w:ascii="Arial" w:hAnsi="Arial" w:hint="eastAsia"/>
            <w:rtl/>
          </w:rPr>
          <w:t>סעיף</w:t>
        </w:r>
        <w:r w:rsidR="00553DC4" w:rsidRPr="00553DC4">
          <w:rPr>
            <w:rStyle w:val="Hyperlink"/>
            <w:rFonts w:ascii="Arial" w:hAnsi="Arial"/>
            <w:rtl/>
          </w:rPr>
          <w:t xml:space="preserve"> 39(א)</w:t>
        </w:r>
      </w:hyperlink>
      <w:r w:rsidRPr="00E4628B">
        <w:rPr>
          <w:rFonts w:ascii="Arial" w:hAnsi="Arial" w:hint="cs"/>
          <w:rtl/>
        </w:rPr>
        <w:t xml:space="preserve"> לפסד"פ כי: "</w:t>
      </w:r>
      <w:r w:rsidRPr="00E4628B">
        <w:rPr>
          <w:rFonts w:ascii="Arial" w:hAnsi="Arial"/>
          <w:b/>
          <w:bCs/>
          <w:rtl/>
        </w:rPr>
        <w:t xml:space="preserve">על אף האמור בכל דין, </w:t>
      </w:r>
      <w:r w:rsidRPr="00E4628B">
        <w:rPr>
          <w:rFonts w:ascii="Arial" w:hAnsi="Arial"/>
          <w:b/>
          <w:bCs/>
          <w:u w:val="single"/>
          <w:rtl/>
        </w:rPr>
        <w:t>רשאי</w:t>
      </w:r>
      <w:r w:rsidRPr="00E4628B">
        <w:rPr>
          <w:rFonts w:ascii="Arial" w:hAnsi="Arial"/>
          <w:b/>
          <w:bCs/>
          <w:rtl/>
        </w:rPr>
        <w:t xml:space="preserve">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w:t>
      </w:r>
      <w:r w:rsidRPr="00E4628B">
        <w:rPr>
          <w:rFonts w:ascii="Arial" w:hAnsi="Arial"/>
          <w:b/>
          <w:bCs/>
          <w:u w:val="single"/>
          <w:rtl/>
        </w:rPr>
        <w:t>בעל החפץ</w:t>
      </w:r>
      <w:r w:rsidRPr="00E4628B">
        <w:rPr>
          <w:rFonts w:ascii="Arial" w:hAnsi="Arial"/>
          <w:b/>
          <w:bCs/>
          <w:rtl/>
        </w:rPr>
        <w:t>; דין צו זה כדין עונש שהוטל על הנאשם</w:t>
      </w:r>
      <w:r w:rsidRPr="00E4628B">
        <w:rPr>
          <w:rFonts w:ascii="Arial" w:hAnsi="Arial"/>
          <w:rtl/>
        </w:rPr>
        <w:t>"</w:t>
      </w:r>
      <w:r w:rsidRPr="00E4628B">
        <w:rPr>
          <w:rFonts w:ascii="Arial" w:hAnsi="Arial" w:hint="cs"/>
          <w:rtl/>
        </w:rPr>
        <w:t xml:space="preserve"> (ההדגשות שלי </w:t>
      </w:r>
      <w:r w:rsidRPr="00E4628B">
        <w:rPr>
          <w:rFonts w:ascii="Arial" w:hAnsi="Arial"/>
          <w:rtl/>
        </w:rPr>
        <w:t>–</w:t>
      </w:r>
      <w:r w:rsidRPr="00E4628B">
        <w:rPr>
          <w:rFonts w:ascii="Arial" w:hAnsi="Arial" w:hint="cs"/>
          <w:rtl/>
        </w:rPr>
        <w:t xml:space="preserve"> מ"ע). </w:t>
      </w:r>
    </w:p>
    <w:p w14:paraId="1BE09CBF" w14:textId="77777777" w:rsidR="00441AC5" w:rsidRPr="00E4628B" w:rsidRDefault="00441AC5" w:rsidP="00441AC5">
      <w:pPr>
        <w:pStyle w:val="af"/>
        <w:rPr>
          <w:rFonts w:ascii="Arial" w:hAnsi="Arial"/>
          <w:rtl/>
        </w:rPr>
      </w:pPr>
    </w:p>
    <w:p w14:paraId="12EA13C5" w14:textId="77777777" w:rsidR="00441AC5" w:rsidRPr="00E4628B" w:rsidRDefault="00441AC5" w:rsidP="00441AC5">
      <w:pPr>
        <w:pStyle w:val="af"/>
        <w:numPr>
          <w:ilvl w:val="0"/>
          <w:numId w:val="3"/>
        </w:numPr>
        <w:spacing w:line="360" w:lineRule="auto"/>
        <w:ind w:left="57"/>
        <w:jc w:val="both"/>
        <w:rPr>
          <w:rFonts w:ascii="Arial" w:hAnsi="Arial"/>
        </w:rPr>
      </w:pPr>
      <w:r w:rsidRPr="00E4628B">
        <w:rPr>
          <w:rFonts w:ascii="Arial" w:hAnsi="Arial" w:hint="cs"/>
          <w:rtl/>
        </w:rPr>
        <w:t xml:space="preserve">כעולה מלשון הסעיפים, סמכות החילוט מותנית בקיומם של תנאים מצטברים אלו: </w:t>
      </w:r>
      <w:r>
        <w:rPr>
          <w:rFonts w:ascii="Arial" w:hAnsi="Arial" w:hint="cs"/>
          <w:rtl/>
        </w:rPr>
        <w:t xml:space="preserve">כי </w:t>
      </w:r>
      <w:r w:rsidRPr="00E4628B">
        <w:rPr>
          <w:rFonts w:ascii="Arial" w:hAnsi="Arial" w:hint="cs"/>
          <w:rtl/>
        </w:rPr>
        <w:t xml:space="preserve">בחפץ שנתפש בוצעה עבירה או עומדים לבצע עבירה; </w:t>
      </w:r>
      <w:r>
        <w:rPr>
          <w:rFonts w:ascii="Arial" w:hAnsi="Arial" w:hint="cs"/>
          <w:rtl/>
        </w:rPr>
        <w:t xml:space="preserve">וכי </w:t>
      </w:r>
      <w:r w:rsidRPr="00E4628B">
        <w:rPr>
          <w:rFonts w:ascii="Arial" w:hAnsi="Arial" w:hint="cs"/>
          <w:rtl/>
        </w:rPr>
        <w:t xml:space="preserve">בעל החפץ הורשע בדינו והרשעתו </w:t>
      </w:r>
      <w:r w:rsidRPr="00E4628B">
        <w:rPr>
          <w:rFonts w:ascii="Arial" w:hAnsi="Arial"/>
          <w:rtl/>
        </w:rPr>
        <w:t>מתייחסת למעשה שנעשה בחפץ או לגביו</w:t>
      </w:r>
      <w:r w:rsidRPr="00E4628B">
        <w:rPr>
          <w:rFonts w:ascii="Arial" w:hAnsi="Arial" w:hint="cs"/>
          <w:rtl/>
        </w:rPr>
        <w:t xml:space="preserve"> (ראו: </w:t>
      </w:r>
      <w:hyperlink r:id="rId77" w:history="1">
        <w:r w:rsidR="003575B0" w:rsidRPr="003575B0">
          <w:rPr>
            <w:rFonts w:ascii="Arial" w:hAnsi="Arial"/>
            <w:color w:val="0000FF"/>
            <w:u w:val="single"/>
            <w:rtl/>
          </w:rPr>
          <w:t>ע"פ 6234/03</w:t>
        </w:r>
      </w:hyperlink>
      <w:r w:rsidRPr="00E4628B">
        <w:rPr>
          <w:rFonts w:ascii="Arial" w:hAnsi="Arial"/>
          <w:rtl/>
        </w:rPr>
        <w:t xml:space="preserve"> </w:t>
      </w:r>
      <w:r w:rsidRPr="00E4628B">
        <w:rPr>
          <w:rFonts w:ascii="Arial" w:hAnsi="Arial"/>
          <w:b/>
          <w:bCs/>
          <w:rtl/>
        </w:rPr>
        <w:t>מדינת ישראל נ' זיתאווי</w:t>
      </w:r>
      <w:r w:rsidRPr="00E4628B">
        <w:rPr>
          <w:rFonts w:ascii="Arial" w:hAnsi="Arial" w:hint="cs"/>
          <w:rtl/>
        </w:rPr>
        <w:t xml:space="preserve"> (9.3.2005)). בפסיקה</w:t>
      </w:r>
      <w:r>
        <w:rPr>
          <w:rFonts w:ascii="Arial" w:hAnsi="Arial" w:hint="cs"/>
          <w:rtl/>
        </w:rPr>
        <w:t xml:space="preserve"> הודגש כ</w:t>
      </w:r>
      <w:r w:rsidRPr="00E4628B">
        <w:rPr>
          <w:rFonts w:ascii="Arial" w:hAnsi="Arial" w:hint="cs"/>
          <w:rtl/>
        </w:rPr>
        <w:t xml:space="preserve">י </w:t>
      </w:r>
      <w:hyperlink r:id="rId78" w:history="1">
        <w:r w:rsidR="00553DC4" w:rsidRPr="00553DC4">
          <w:rPr>
            <w:rStyle w:val="Hyperlink"/>
            <w:rFonts w:ascii="Arial" w:hAnsi="Arial"/>
            <w:rtl/>
          </w:rPr>
          <w:t>סעיף 39(א)</w:t>
        </w:r>
      </w:hyperlink>
      <w:r w:rsidRPr="00E4628B">
        <w:rPr>
          <w:rFonts w:ascii="Arial" w:hAnsi="Arial"/>
          <w:rtl/>
        </w:rPr>
        <w:t xml:space="preserve"> לפ</w:t>
      </w:r>
      <w:r w:rsidRPr="00E4628B">
        <w:rPr>
          <w:rFonts w:ascii="Arial" w:hAnsi="Arial" w:hint="cs"/>
          <w:rtl/>
        </w:rPr>
        <w:t>סד"פ</w:t>
      </w:r>
      <w:r w:rsidRPr="00E4628B">
        <w:rPr>
          <w:rFonts w:ascii="Arial" w:hAnsi="Arial"/>
          <w:rtl/>
        </w:rPr>
        <w:t xml:space="preserve">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79" w:history="1">
        <w:r w:rsidR="003575B0" w:rsidRPr="003575B0">
          <w:rPr>
            <w:rFonts w:ascii="Arial" w:hAnsi="Arial"/>
            <w:color w:val="0000FF"/>
            <w:u w:val="single"/>
            <w:rtl/>
          </w:rPr>
          <w:t>ע"פ 1982/93</w:t>
        </w:r>
      </w:hyperlink>
      <w:r w:rsidRPr="00E4628B">
        <w:rPr>
          <w:rFonts w:ascii="Arial" w:hAnsi="Arial"/>
          <w:rtl/>
        </w:rPr>
        <w:t xml:space="preserve"> </w:t>
      </w:r>
      <w:r w:rsidRPr="00E4628B">
        <w:rPr>
          <w:rFonts w:ascii="Arial" w:hAnsi="Arial"/>
          <w:b/>
          <w:bCs/>
          <w:rtl/>
        </w:rPr>
        <w:t>בנק לאומי לישראל בע"מ נ' מדינת ישראל</w:t>
      </w:r>
      <w:r w:rsidRPr="00E4628B">
        <w:rPr>
          <w:rFonts w:ascii="Arial" w:hAnsi="Arial"/>
          <w:rtl/>
        </w:rPr>
        <w:t>, פ"ד מח(3) 238</w:t>
      </w:r>
      <w:r w:rsidRPr="00E4628B">
        <w:rPr>
          <w:rFonts w:ascii="Arial" w:hAnsi="Arial" w:hint="cs"/>
          <w:rtl/>
        </w:rPr>
        <w:t xml:space="preserve"> (1994)</w:t>
      </w:r>
      <w:r w:rsidRPr="00E4628B">
        <w:rPr>
          <w:rFonts w:ascii="Arial" w:hAnsi="Arial"/>
          <w:rtl/>
        </w:rPr>
        <w:t>)</w:t>
      </w:r>
      <w:r w:rsidRPr="00E4628B">
        <w:rPr>
          <w:rFonts w:ascii="Arial" w:hAnsi="Arial" w:hint="cs"/>
          <w:rtl/>
        </w:rPr>
        <w:t xml:space="preserve">. לבסוף, יש לציין כי סמכות החילוט </w:t>
      </w:r>
      <w:r w:rsidRPr="00E4628B">
        <w:rPr>
          <w:rFonts w:ascii="Arial" w:hAnsi="Arial"/>
          <w:rtl/>
        </w:rPr>
        <w:t>היא סמכות שבשיקול דעת, אשר הפעלתה תלויה בין היתר בהשלכות חילוט הרכוש ובהשתלבותו במערך הענישה הכולל שיושת על הנאשם</w:t>
      </w:r>
      <w:r w:rsidRPr="00E4628B">
        <w:rPr>
          <w:rFonts w:ascii="Arial" w:hAnsi="Arial" w:hint="cs"/>
          <w:rtl/>
        </w:rPr>
        <w:t xml:space="preserve"> (</w:t>
      </w:r>
      <w:hyperlink r:id="rId80" w:history="1">
        <w:r w:rsidR="003575B0" w:rsidRPr="003575B0">
          <w:rPr>
            <w:rFonts w:ascii="Arial" w:hAnsi="Arial"/>
            <w:color w:val="0000FF"/>
            <w:u w:val="single"/>
            <w:rtl/>
          </w:rPr>
          <w:t>ע"פ 9104/20</w:t>
        </w:r>
      </w:hyperlink>
      <w:r w:rsidRPr="00E4628B">
        <w:rPr>
          <w:rFonts w:ascii="Arial" w:hAnsi="Arial"/>
          <w:rtl/>
        </w:rPr>
        <w:t xml:space="preserve"> </w:t>
      </w:r>
      <w:r w:rsidRPr="00E4628B">
        <w:rPr>
          <w:rFonts w:ascii="Arial" w:hAnsi="Arial"/>
          <w:b/>
          <w:bCs/>
          <w:rtl/>
        </w:rPr>
        <w:t xml:space="preserve">מדינת ישראל נ' טבצ'ניקוב </w:t>
      </w:r>
      <w:r w:rsidRPr="00E4628B">
        <w:rPr>
          <w:rFonts w:ascii="Arial" w:hAnsi="Arial"/>
          <w:rtl/>
        </w:rPr>
        <w:t>(</w:t>
      </w:r>
      <w:r w:rsidRPr="00E4628B">
        <w:rPr>
          <w:rFonts w:ascii="Arial" w:hAnsi="Arial" w:hint="cs"/>
          <w:rtl/>
        </w:rPr>
        <w:t>4.3.2021</w:t>
      </w:r>
      <w:r w:rsidRPr="00E4628B">
        <w:rPr>
          <w:rFonts w:ascii="Arial" w:hAnsi="Arial"/>
          <w:rtl/>
        </w:rPr>
        <w:t>)</w:t>
      </w:r>
      <w:r w:rsidRPr="00E4628B">
        <w:rPr>
          <w:rFonts w:ascii="Arial" w:hAnsi="Arial" w:hint="cs"/>
          <w:rtl/>
        </w:rPr>
        <w:t xml:space="preserve">). </w:t>
      </w:r>
    </w:p>
    <w:p w14:paraId="390531E0" w14:textId="77777777" w:rsidR="00441AC5" w:rsidRPr="00E86765" w:rsidRDefault="00441AC5" w:rsidP="00441AC5">
      <w:pPr>
        <w:pStyle w:val="af"/>
        <w:rPr>
          <w:rFonts w:ascii="Arial" w:hAnsi="Arial"/>
          <w:rtl/>
        </w:rPr>
      </w:pPr>
    </w:p>
    <w:p w14:paraId="175738E4"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 xml:space="preserve">משהנחנו את המסגרת הנורמטיבית לדיון בבקשת החילוט, נפנה לדיון בטענות הצדדים לגבי בקשת החילוט. </w:t>
      </w:r>
    </w:p>
    <w:p w14:paraId="082E467E" w14:textId="77777777" w:rsidR="00441AC5" w:rsidRPr="001039C7" w:rsidRDefault="00441AC5" w:rsidP="00441AC5">
      <w:pPr>
        <w:pStyle w:val="af"/>
        <w:spacing w:line="360" w:lineRule="auto"/>
        <w:ind w:left="57"/>
        <w:rPr>
          <w:rFonts w:ascii="Arial" w:hAnsi="Arial"/>
          <w:rtl/>
        </w:rPr>
      </w:pPr>
      <w:r w:rsidRPr="001039C7">
        <w:rPr>
          <w:rFonts w:ascii="Arial" w:hAnsi="Arial"/>
          <w:rtl/>
        </w:rPr>
        <w:t xml:space="preserve">          </w:t>
      </w:r>
    </w:p>
    <w:p w14:paraId="72530412" w14:textId="77777777" w:rsidR="00441AC5" w:rsidRDefault="00441AC5" w:rsidP="00441AC5">
      <w:pPr>
        <w:pStyle w:val="af"/>
        <w:numPr>
          <w:ilvl w:val="0"/>
          <w:numId w:val="3"/>
        </w:numPr>
        <w:spacing w:line="360" w:lineRule="auto"/>
        <w:ind w:left="57"/>
        <w:jc w:val="both"/>
        <w:rPr>
          <w:rFonts w:ascii="Arial" w:hAnsi="Arial"/>
        </w:rPr>
      </w:pPr>
      <w:r>
        <w:rPr>
          <w:rFonts w:ascii="Arial" w:hAnsi="Arial" w:hint="cs"/>
          <w:rtl/>
        </w:rPr>
        <w:t xml:space="preserve">דומה כי לא יכולה להיות מחלוקת של ממש כי הרכב שימש לביצוע העבירות שיוחסו לנאשם 1. כעולה מכתב האישום המתוקן, הרכב שימש להגעת הנאשם 1 לזירת האירוע, לחסימת חלק מן הכביש וכן כדי לתצפת על הרכב האחר שהיה חלק מן האירוע. לפיכך, אינני מקבל את טענת הסנגור כי מי שהיה מעורב באירוע היה רכב אחר. מעורבות רכב הטויוטה עולה מכתב האישום בו הודה הנאשם. המחלוקת העיקרית נוגעת אפוא לשאלת זיקתו של הנאשם 1 לרכב, כלומר לשאלה אם נאשם 1 הוא הבעלים של הרכב, ובכך גם התמקדו טענות הצדדים. </w:t>
      </w:r>
    </w:p>
    <w:p w14:paraId="75D01E7F" w14:textId="77777777" w:rsidR="00441AC5" w:rsidRPr="00E57FAA" w:rsidRDefault="00441AC5" w:rsidP="00441AC5">
      <w:pPr>
        <w:pStyle w:val="af"/>
        <w:rPr>
          <w:rFonts w:ascii="Arial" w:hAnsi="Arial"/>
          <w:rtl/>
        </w:rPr>
      </w:pPr>
    </w:p>
    <w:p w14:paraId="4C2EE6FF" w14:textId="77777777" w:rsidR="00441AC5" w:rsidRDefault="00441AC5" w:rsidP="00441AC5">
      <w:pPr>
        <w:pStyle w:val="af"/>
        <w:numPr>
          <w:ilvl w:val="0"/>
          <w:numId w:val="3"/>
        </w:numPr>
        <w:spacing w:line="360" w:lineRule="auto"/>
        <w:ind w:left="57"/>
        <w:jc w:val="both"/>
        <w:rPr>
          <w:rFonts w:ascii="Arial" w:hAnsi="Arial"/>
        </w:rPr>
      </w:pPr>
      <w:r w:rsidRPr="00E57FAA">
        <w:rPr>
          <w:rFonts w:ascii="Arial" w:hAnsi="Arial" w:hint="cs"/>
          <w:rtl/>
        </w:rPr>
        <w:t xml:space="preserve">תחילה יצוין כי במהלך ישיבת הטיעונים לעונש שהתקיימה ביום 22.9.2022, </w:t>
      </w:r>
      <w:r>
        <w:rPr>
          <w:rFonts w:ascii="Arial" w:hAnsi="Arial" w:hint="cs"/>
          <w:rtl/>
        </w:rPr>
        <w:t xml:space="preserve">בה </w:t>
      </w:r>
      <w:r w:rsidRPr="00E57FAA">
        <w:rPr>
          <w:rFonts w:ascii="Arial" w:hAnsi="Arial" w:hint="cs"/>
          <w:rtl/>
        </w:rPr>
        <w:t xml:space="preserve">העלתה המאשימה </w:t>
      </w:r>
      <w:r>
        <w:rPr>
          <w:rFonts w:ascii="Arial" w:hAnsi="Arial" w:hint="cs"/>
          <w:rtl/>
        </w:rPr>
        <w:t xml:space="preserve">את </w:t>
      </w:r>
      <w:r w:rsidRPr="00E57FAA">
        <w:rPr>
          <w:rFonts w:ascii="Arial" w:hAnsi="Arial" w:hint="cs"/>
          <w:rtl/>
        </w:rPr>
        <w:t>עתיר</w:t>
      </w:r>
      <w:r>
        <w:rPr>
          <w:rFonts w:ascii="Arial" w:hAnsi="Arial" w:hint="cs"/>
          <w:rtl/>
        </w:rPr>
        <w:t>ת</w:t>
      </w:r>
      <w:r w:rsidRPr="00E57FAA">
        <w:rPr>
          <w:rFonts w:ascii="Arial" w:hAnsi="Arial" w:hint="cs"/>
          <w:rtl/>
        </w:rPr>
        <w:t>ה לחילוט הרכב</w:t>
      </w:r>
      <w:r>
        <w:rPr>
          <w:rFonts w:ascii="Arial" w:hAnsi="Arial" w:hint="cs"/>
          <w:rtl/>
        </w:rPr>
        <w:t xml:space="preserve">, לא הובאה כל ראיה לתמיכה בטענתה לגבי בעלות נאשם 1 ברכב, והיא ביקשה להסתמך על הודאת הנאשם 1 בעובדות כתב האישום. נוסף לכך, המאשימה לא הודיעה לגב' נטור בדראן (להלן: </w:t>
      </w:r>
      <w:r w:rsidRPr="00C62A20">
        <w:rPr>
          <w:rFonts w:ascii="Arial" w:hAnsi="Arial" w:hint="cs"/>
          <w:b/>
          <w:bCs/>
          <w:rtl/>
        </w:rPr>
        <w:t>נטור</w:t>
      </w:r>
      <w:r>
        <w:rPr>
          <w:rFonts w:ascii="Arial" w:hAnsi="Arial" w:hint="cs"/>
          <w:rtl/>
        </w:rPr>
        <w:t xml:space="preserve">), אשר רשומה כבעלים של הרכב במשרד הרישוי, על קיום הדיון בבקשה לחילוט הרכב. זאת, מקום שנטור </w:t>
      </w:r>
      <w:r>
        <w:rPr>
          <w:rFonts w:ascii="Arial" w:hAnsi="Arial"/>
          <w:rtl/>
        </w:rPr>
        <w:t>–</w:t>
      </w:r>
      <w:r>
        <w:rPr>
          <w:rFonts w:ascii="Arial" w:hAnsi="Arial" w:hint="cs"/>
          <w:rtl/>
        </w:rPr>
        <w:t xml:space="preserve"> דודתו, אחות אמו של נאשם 1 </w:t>
      </w:r>
      <w:r>
        <w:rPr>
          <w:rFonts w:ascii="Arial" w:hAnsi="Arial"/>
          <w:rtl/>
        </w:rPr>
        <w:t>–</w:t>
      </w:r>
      <w:r>
        <w:rPr>
          <w:rFonts w:ascii="Arial" w:hAnsi="Arial" w:hint="cs"/>
          <w:rtl/>
        </w:rPr>
        <w:t xml:space="preserve">  הגישה בקשה בעבר לשחרור הרכב לאחר שנתפס. לקראת סוף הדיון, ציין ב"כ המאשימה כי "ככל שבית המשפט לא מסתפק בהודאת הנאשם [בכתב אישום] נבקש לזמן את הטיעון לזכות". בהחלטה שניתנה על-ידי דחיתי את הדיון לשמיעת טענות הטוענת לזכות (יוער כי באותה החלטה צוין בטעות כי נאשם 1 הודה שהוא בעלים של הרכב, והדברים מכוונים להודאה בכתב האישום, אך מצב הדברים שונה ואתייחס לכך בהמשך).</w:t>
      </w:r>
    </w:p>
    <w:p w14:paraId="3E609E07" w14:textId="77777777" w:rsidR="00441AC5" w:rsidRPr="00FA4940" w:rsidRDefault="00441AC5" w:rsidP="00441AC5">
      <w:pPr>
        <w:pStyle w:val="af"/>
        <w:rPr>
          <w:rFonts w:ascii="Arial" w:hAnsi="Arial"/>
          <w:rtl/>
        </w:rPr>
      </w:pPr>
    </w:p>
    <w:p w14:paraId="1B9B40C5" w14:textId="77777777" w:rsidR="00441AC5" w:rsidRDefault="00441AC5" w:rsidP="00441AC5">
      <w:pPr>
        <w:pStyle w:val="af"/>
        <w:numPr>
          <w:ilvl w:val="0"/>
          <w:numId w:val="3"/>
        </w:numPr>
        <w:spacing w:line="360" w:lineRule="auto"/>
        <w:ind w:left="57"/>
        <w:jc w:val="both"/>
        <w:rPr>
          <w:rFonts w:ascii="Arial" w:hAnsi="Arial"/>
        </w:rPr>
      </w:pPr>
      <w:r>
        <w:rPr>
          <w:rFonts w:ascii="Arial" w:hAnsi="Arial" w:hint="cs"/>
          <w:rtl/>
        </w:rPr>
        <w:t xml:space="preserve">בדיון נוסף שהתקיים ביום 3.10.2022, הגישה המאשימה מספר ראיות שלדידה תומכות בטענתה כי נאשם 1 נוהג ברכב מנהג בעלים, שכוללות: </w:t>
      </w:r>
      <w:r w:rsidRPr="00895DF4">
        <w:rPr>
          <w:rFonts w:ascii="Arial" w:hAnsi="Arial" w:hint="cs"/>
          <w:rtl/>
        </w:rPr>
        <w:t>הודעת הנאשם 1</w:t>
      </w:r>
      <w:r>
        <w:rPr>
          <w:rFonts w:ascii="Arial" w:hAnsi="Arial" w:hint="cs"/>
          <w:rtl/>
        </w:rPr>
        <w:t xml:space="preserve"> במשטרה מיום 14.2.2022 (ת/1) והודעתה </w:t>
      </w:r>
      <w:r w:rsidRPr="00895DF4">
        <w:rPr>
          <w:rFonts w:ascii="Arial" w:hAnsi="Arial" w:hint="cs"/>
          <w:rtl/>
        </w:rPr>
        <w:t xml:space="preserve">של </w:t>
      </w:r>
      <w:r>
        <w:rPr>
          <w:rFonts w:ascii="Arial" w:hAnsi="Arial" w:hint="cs"/>
          <w:rtl/>
        </w:rPr>
        <w:t xml:space="preserve">הטוענת לזכות </w:t>
      </w:r>
      <w:r w:rsidRPr="00895DF4">
        <w:rPr>
          <w:rFonts w:ascii="Arial" w:hAnsi="Arial" w:hint="cs"/>
          <w:rtl/>
        </w:rPr>
        <w:t>מיום 9.2.2022 (סומנה ת/2)</w:t>
      </w:r>
      <w:r>
        <w:rPr>
          <w:rFonts w:ascii="Arial" w:hAnsi="Arial" w:hint="cs"/>
          <w:rtl/>
        </w:rPr>
        <w:t>. כמו כן באותו ישיבה התייצבה נטור אשר אף הגישה תצהיר עובר לכך.</w:t>
      </w:r>
    </w:p>
    <w:p w14:paraId="2E109152" w14:textId="77777777" w:rsidR="00441AC5" w:rsidRPr="00895DF4" w:rsidRDefault="00441AC5" w:rsidP="00441AC5">
      <w:pPr>
        <w:pStyle w:val="af"/>
        <w:rPr>
          <w:rFonts w:ascii="Arial" w:hAnsi="Arial"/>
          <w:rtl/>
        </w:rPr>
      </w:pPr>
    </w:p>
    <w:p w14:paraId="4CA3C2C4" w14:textId="77777777" w:rsidR="00441AC5" w:rsidRDefault="00441AC5" w:rsidP="00441AC5">
      <w:pPr>
        <w:pStyle w:val="af"/>
        <w:numPr>
          <w:ilvl w:val="0"/>
          <w:numId w:val="3"/>
        </w:numPr>
        <w:spacing w:line="360" w:lineRule="auto"/>
        <w:ind w:left="57"/>
        <w:jc w:val="both"/>
        <w:rPr>
          <w:rFonts w:ascii="Arial" w:hAnsi="Arial"/>
        </w:rPr>
      </w:pPr>
      <w:r w:rsidRPr="006742C7">
        <w:rPr>
          <w:rFonts w:ascii="Arial" w:hAnsi="Arial" w:hint="cs"/>
          <w:rtl/>
        </w:rPr>
        <w:t xml:space="preserve">נאשם 1 </w:t>
      </w:r>
      <w:r>
        <w:rPr>
          <w:rFonts w:ascii="Arial" w:hAnsi="Arial" w:hint="cs"/>
          <w:rtl/>
        </w:rPr>
        <w:t xml:space="preserve">טען כי הרכב הוא בבעלות נטור וכי גם אם עשה שימוש ברכב, אין המדובר בשימוש שמעיד על בעלות. מכל מקום, נאשם 1 טען כי </w:t>
      </w:r>
      <w:r w:rsidRPr="006742C7">
        <w:rPr>
          <w:rFonts w:ascii="Arial" w:hAnsi="Arial" w:hint="cs"/>
          <w:rtl/>
        </w:rPr>
        <w:t>על בית המשפט להפעיל שיקול דעת ולהימנע מחילוט הרכב</w:t>
      </w:r>
      <w:r>
        <w:rPr>
          <w:rFonts w:ascii="Arial" w:hAnsi="Arial" w:hint="cs"/>
          <w:rtl/>
        </w:rPr>
        <w:t xml:space="preserve"> גם בשל מצבה הכלכלי של המשפחה. נטור הגישה תצהיר (סומן ט/1) בו טענה כי הרכב רשום על שמה במשרד הרישוי והוא בבעלותה. לדבריה, היא וזוגה פתחו עסק ורכשו את הרכב מכספים, ועל שמה רשומים כלי רכב נוספים. עוד נטען בתצהיר כי בזמן שאינו זכור לה, בשל מצב אחותה וזוגה, על מנת לעזור להם לנסוע לטיפולים רפואיים, התירה להם לעשות שימוש חוקי ברכב. </w:t>
      </w:r>
    </w:p>
    <w:p w14:paraId="4173BA16" w14:textId="77777777" w:rsidR="00441AC5" w:rsidRPr="00BB4F3B" w:rsidRDefault="00441AC5" w:rsidP="00441AC5">
      <w:pPr>
        <w:pStyle w:val="af"/>
        <w:rPr>
          <w:rFonts w:ascii="Arial" w:hAnsi="Arial"/>
          <w:rtl/>
        </w:rPr>
      </w:pPr>
    </w:p>
    <w:p w14:paraId="0FB6B284"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לאחר ששמעתי את טיעוני הצדדים ועיינתי בראיות הנוגעות להליך החילוט, הגעתי למסקנה שיש לדחות את בקשת החילוט.</w:t>
      </w:r>
    </w:p>
    <w:p w14:paraId="6EEB213B" w14:textId="77777777" w:rsidR="00441AC5" w:rsidRPr="00846D74" w:rsidRDefault="00441AC5" w:rsidP="00441AC5">
      <w:pPr>
        <w:pStyle w:val="af"/>
        <w:rPr>
          <w:rFonts w:ascii="Arial" w:hAnsi="Arial"/>
          <w:rtl/>
        </w:rPr>
      </w:pPr>
    </w:p>
    <w:p w14:paraId="4D66C5E0"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 xml:space="preserve">בניגוד לנטען על ידי המאשימה בישיבת יום 22.9.2022 במסגרת הודאתו בכתב האישום, לא ניתן לומר כי הנאשם 1 הודה כי הוא נוהג ברכב מנהג בעלים (עמ' 15, ש' 22 לפרוטוקול). עיון בכתב האישום המתוקן מלמד כי מצב הדברים רחוק מכך. אמנם, בסעיף 2 לכתב האישום </w:t>
      </w:r>
      <w:r w:rsidRPr="004B26A5">
        <w:rPr>
          <w:rFonts w:ascii="Arial" w:hAnsi="Arial" w:hint="cs"/>
          <w:b/>
          <w:bCs/>
          <w:rtl/>
        </w:rPr>
        <w:t>המקורי</w:t>
      </w:r>
      <w:r>
        <w:rPr>
          <w:rFonts w:ascii="Arial" w:hAnsi="Arial" w:hint="cs"/>
          <w:rtl/>
        </w:rPr>
        <w:t xml:space="preserve"> נטען כי "בבעלות נאשם 1 רכב מסוג טויוטה...", אך בכתב האישום המתוקן הושמטה נסיבה וזו ותחת זאת צוין כי "בשימוש נאשם 1 רכב מסוג טויוטה...". העובדה כי במסגרת הסדר הטיעון בו תוקן כתב האישום, המאשימה ויתרה על טענתה כי הרכב בבעלות הנאשם והסתפקה בתיאור כי הרכב היה בשימוש הנאשם; ואילו לעניין החילוט המשיכה לדבוק בטענה כי הרכב הוא בבעלות נאשם 1 </w:t>
      </w:r>
      <w:r>
        <w:rPr>
          <w:rFonts w:ascii="Arial" w:hAnsi="Arial"/>
          <w:rtl/>
        </w:rPr>
        <w:t>–</w:t>
      </w:r>
      <w:r>
        <w:rPr>
          <w:rFonts w:ascii="Arial" w:hAnsi="Arial" w:hint="cs"/>
          <w:rtl/>
        </w:rPr>
        <w:t xml:space="preserve"> עשויה לעורר קשיים. נדגיש כי כתב האישום המתוקן לא כלל את הטענה כי הנאשם 1 עושה שימוש ברכב כמנהג בעלים, אלא רק כי הרכב בשימושו. זאת ועוד, בדיון בו הוצג הסדר הטיעון, הציגו הצדדים הסכמות נוספות לעניין הרכב (ראו פרוטוקול מיום 9.6.2022). המאשימה הסכימה לשחרור הרכב, שהיה תפוס עד לאותו שלב, לידי אביו של הנאשם 1 בכפוף לתנאים שכללו הפקדת במזומן בסך 15,000 ₪ ותנאים נוספים. עם זאת, נציין כי הצדדים ציינו כי שחרור הרכב היה </w:t>
      </w:r>
      <w:r>
        <w:rPr>
          <w:rFonts w:hint="cs"/>
          <w:rtl/>
        </w:rPr>
        <w:t>נוכח כך "שהנאשמים הודו, ואין צורך ראיית[י]", והמאשימה הודיעה כי היא עומדת על בקשת החילוט.</w:t>
      </w:r>
    </w:p>
    <w:p w14:paraId="7AC1FC83" w14:textId="77777777" w:rsidR="00441AC5" w:rsidRPr="000A31A8" w:rsidRDefault="00441AC5" w:rsidP="00441AC5">
      <w:pPr>
        <w:pStyle w:val="af"/>
        <w:spacing w:line="360" w:lineRule="auto"/>
        <w:ind w:left="0"/>
        <w:jc w:val="both"/>
        <w:rPr>
          <w:rFonts w:ascii="Arial" w:hAnsi="Arial"/>
          <w:rtl/>
        </w:rPr>
      </w:pPr>
    </w:p>
    <w:p w14:paraId="7F011B22"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ב"כ המאשימה לא סיפק הסבר ברור לפשר התיקון בכתב האישום בעניין הבעלות ברכב, מה המשמעות שיש לייחס לתיקון וכיצד הדברים מתיישבים אהדדי (עמ' 29 לפרוטוקול, ש' 13-12). לאמיתו של דבר, ניתן לראות את תיקון כתב האישום והשמטת העובדה כי הנאשם 1 הוא הבעלים של הרכב, כוויתור על טענת המאשימה כי הרכב בבעלות הנאשם. אם כך יש לקרוא מהלך זה, מניה וביה נשמט הבסיס תחת בקשת החילוט. ניתן אולי לקרוא את המהלך באופן שהמאשימה הסכימה לאפשר לנאשם 1 לטעון כי אין לחלט את הרכב, כלומר לא לכבול אותו בהודאתו כי הרכב בבעלותו. אך גם הלך מחשבה זה מעורר קושי, שכן הודאת נאשם 1 בכתב האישום עשויה לפעול לחובתו אך אין בה לחייב אחרים לרבות טוען לזכות ברכב. כלומר ממילא, אי הודאתו בכך שהרכב בבעלותו פותח את הפתח לאחרים לטעון שהרכב הוא שלהם, המאשימה לא טענה כי אחרים טוענים לזכות ברכב, והיה זה בית המשפט שביקש לזמן את נטור, הטוענת האפשרית לזכות.</w:t>
      </w:r>
    </w:p>
    <w:p w14:paraId="687AD6C5" w14:textId="77777777" w:rsidR="00441AC5" w:rsidRPr="00885785" w:rsidRDefault="00441AC5" w:rsidP="00441AC5">
      <w:pPr>
        <w:pStyle w:val="af"/>
        <w:rPr>
          <w:rFonts w:ascii="Arial" w:hAnsi="Arial"/>
          <w:rtl/>
        </w:rPr>
      </w:pPr>
    </w:p>
    <w:p w14:paraId="4B8E214D" w14:textId="77777777" w:rsidR="00441AC5" w:rsidRPr="00E375E2" w:rsidRDefault="00441AC5" w:rsidP="00441AC5">
      <w:pPr>
        <w:pStyle w:val="af"/>
        <w:numPr>
          <w:ilvl w:val="0"/>
          <w:numId w:val="3"/>
        </w:numPr>
        <w:spacing w:line="360" w:lineRule="auto"/>
        <w:jc w:val="both"/>
        <w:rPr>
          <w:rFonts w:ascii="Arial" w:hAnsi="Arial"/>
        </w:rPr>
      </w:pPr>
      <w:r>
        <w:rPr>
          <w:rFonts w:ascii="Arial" w:hAnsi="Arial" w:hint="cs"/>
          <w:rtl/>
        </w:rPr>
        <w:t xml:space="preserve">מעבר לקשיים עליהם הצבעתי, המאשימה לא הניחה תשתית ראייתית מספקת להוכחת הטענה כי הרכב הוא בבעלותו של נאשם 1. בפתח הדברים נציין כי </w:t>
      </w:r>
      <w:r w:rsidRPr="002520C9">
        <w:rPr>
          <w:rFonts w:ascii="Arial" w:hAnsi="Arial" w:hint="cs"/>
          <w:rtl/>
        </w:rPr>
        <w:t>בבואו של בית המשפט לשקול האם לחלט רכב, עליו להתייחס לבעלות הממשית על כלי הרכב, ולא לבעלות הרשומה במשרד הרישוי</w:t>
      </w:r>
      <w:r>
        <w:rPr>
          <w:rFonts w:ascii="Arial" w:hAnsi="Arial" w:hint="cs"/>
          <w:rtl/>
        </w:rPr>
        <w:t xml:space="preserve">, שכן הרישום במשרד הרישוי הנו דקלרטיבי </w:t>
      </w:r>
      <w:r w:rsidRPr="002520C9">
        <w:rPr>
          <w:rFonts w:ascii="Arial" w:hAnsi="Arial" w:hint="cs"/>
          <w:rtl/>
        </w:rPr>
        <w:t>(</w:t>
      </w:r>
      <w:hyperlink r:id="rId81" w:history="1">
        <w:r w:rsidR="003575B0" w:rsidRPr="003575B0">
          <w:rPr>
            <w:rFonts w:ascii="Arial" w:hAnsi="Arial"/>
            <w:color w:val="0000FF"/>
            <w:u w:val="single"/>
            <w:rtl/>
          </w:rPr>
          <w:t>ע"פ 6687/93</w:t>
        </w:r>
      </w:hyperlink>
      <w:r w:rsidRPr="002520C9">
        <w:rPr>
          <w:rFonts w:ascii="Arial" w:hAnsi="Arial" w:hint="cs"/>
          <w:rtl/>
        </w:rPr>
        <w:t xml:space="preserve"> </w:t>
      </w:r>
      <w:r w:rsidRPr="002520C9">
        <w:rPr>
          <w:rFonts w:ascii="Arial" w:hAnsi="Arial"/>
          <w:b/>
          <w:bCs/>
          <w:rtl/>
        </w:rPr>
        <w:t>מוסא נ' מדינת ישראל</w:t>
      </w:r>
      <w:r w:rsidRPr="002520C9">
        <w:rPr>
          <w:rFonts w:ascii="Arial" w:hAnsi="Arial" w:hint="cs"/>
          <w:rtl/>
        </w:rPr>
        <w:t xml:space="preserve">, </w:t>
      </w:r>
      <w:r w:rsidRPr="002520C9">
        <w:rPr>
          <w:rFonts w:ascii="Arial" w:hAnsi="Arial"/>
          <w:rtl/>
        </w:rPr>
        <w:t>פ''ד נב(3) 193</w:t>
      </w:r>
      <w:r w:rsidRPr="002520C9">
        <w:rPr>
          <w:rFonts w:ascii="Arial" w:hAnsi="Arial" w:hint="cs"/>
          <w:rtl/>
        </w:rPr>
        <w:t xml:space="preserve"> (1998)</w:t>
      </w:r>
      <w:r>
        <w:rPr>
          <w:rFonts w:ascii="Arial" w:hAnsi="Arial" w:hint="cs"/>
          <w:rtl/>
        </w:rPr>
        <w:t xml:space="preserve">; </w:t>
      </w:r>
      <w:hyperlink r:id="rId82" w:history="1">
        <w:r w:rsidR="003575B0" w:rsidRPr="003575B0">
          <w:rPr>
            <w:rFonts w:ascii="Arial" w:hAnsi="Arial"/>
            <w:color w:val="0000FF"/>
            <w:u w:val="single"/>
            <w:rtl/>
          </w:rPr>
          <w:t>רע"א 5379/95</w:t>
        </w:r>
      </w:hyperlink>
      <w:r w:rsidRPr="00E375E2">
        <w:rPr>
          <w:rFonts w:ascii="Arial" w:hAnsi="Arial"/>
          <w:rtl/>
        </w:rPr>
        <w:t xml:space="preserve"> </w:t>
      </w:r>
      <w:r w:rsidRPr="000A31A8">
        <w:rPr>
          <w:rFonts w:ascii="Arial" w:hAnsi="Arial"/>
          <w:b/>
          <w:bCs/>
          <w:rtl/>
        </w:rPr>
        <w:t>סהר חברה לביטוח בע"מ נ' בנק דיסקונט לישראל בע"מ</w:t>
      </w:r>
      <w:r>
        <w:rPr>
          <w:rFonts w:ascii="Arial" w:hAnsi="Arial" w:hint="cs"/>
          <w:rtl/>
        </w:rPr>
        <w:t>,</w:t>
      </w:r>
      <w:r w:rsidRPr="00E375E2">
        <w:rPr>
          <w:rFonts w:ascii="Arial" w:hAnsi="Arial"/>
          <w:rtl/>
        </w:rPr>
        <w:t xml:space="preserve"> פ"ד נא(4) 464 (1997))</w:t>
      </w:r>
      <w:r w:rsidRPr="00E375E2">
        <w:rPr>
          <w:rFonts w:ascii="Arial" w:hAnsi="Arial" w:hint="cs"/>
          <w:rtl/>
        </w:rPr>
        <w:t>.</w:t>
      </w:r>
    </w:p>
    <w:p w14:paraId="26A069BB" w14:textId="77777777" w:rsidR="00441AC5" w:rsidRPr="00E375E2" w:rsidRDefault="00441AC5" w:rsidP="00441AC5">
      <w:pPr>
        <w:pStyle w:val="af"/>
        <w:rPr>
          <w:rFonts w:ascii="Arial" w:hAnsi="Arial"/>
          <w:rtl/>
        </w:rPr>
      </w:pPr>
    </w:p>
    <w:p w14:paraId="7304EDD7"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בישיבת הטיעונים לעונש שהתקיימה ביום 22.9.2022, המאשימה לא הניחה כל ראיה לכך שהרכב הוא בבעלות נאשם 1, ורק בישיבה הנוספת, שנועדה לשמיעת עמדת נטור, הטוענת האפשרית לזכות, הגישה המאשימה ראיות לעניין החילוט, אך גם מראיות אלו לא ניתן להסיק כי הרכב בבעלות נאשם 1. אין לשמוע ממסקנה זו, כי יש לקבל את עמדת נטור כי הרכב בבעלותה. בהודעה שנגבתה מנטור היא ציינה כי הרכב מושא החילוט נמצא בשימוש אחיינה רפיק קאדם בדראן, ובמקום אחר ציינה כי הרכב "אצל" רפיק ואחיו מוחמד מזה כשבע שנים (ת/2). נאשם 1 הבהיר בעדותו במשטרה (ת/1) כי הרכב נרכש מנטור, אך היה מוטל עליו עיקול ולכן לא הועבר הרישום. מכאן, שאין לקבל את טענת נטור בתצהירה כי הרכב ניתן על ידה לאחותה ולגיסה (הוריו של נאשם 1) כדי "לעשות בו שימוש חוקי", וגם אם כך, עולה כי אלה עושים בו שימוש לתקופה ארוכה ונוהגים בו מנהג בעלים.</w:t>
      </w:r>
    </w:p>
    <w:p w14:paraId="1F25592D" w14:textId="77777777" w:rsidR="00441AC5" w:rsidRPr="00E804EA" w:rsidRDefault="00441AC5" w:rsidP="00441AC5">
      <w:pPr>
        <w:pStyle w:val="af"/>
        <w:rPr>
          <w:rFonts w:ascii="Arial" w:hAnsi="Arial"/>
          <w:rtl/>
        </w:rPr>
      </w:pPr>
    </w:p>
    <w:p w14:paraId="76DAE7CA" w14:textId="77777777" w:rsidR="00441AC5" w:rsidRDefault="00441AC5" w:rsidP="00441AC5">
      <w:pPr>
        <w:pStyle w:val="af"/>
        <w:numPr>
          <w:ilvl w:val="0"/>
          <w:numId w:val="3"/>
        </w:numPr>
        <w:spacing w:line="360" w:lineRule="auto"/>
        <w:jc w:val="both"/>
        <w:rPr>
          <w:rFonts w:ascii="Arial" w:hAnsi="Arial"/>
        </w:rPr>
      </w:pPr>
      <w:r>
        <w:rPr>
          <w:rFonts w:ascii="Arial" w:hAnsi="Arial" w:hint="cs"/>
          <w:rtl/>
        </w:rPr>
        <w:t xml:space="preserve">לצד קביעה זו, נותר ספק בשאלה אם הרכב הוא בבעלות נאשם 1. התמונה המסתברת היא כי לא נעשה ברכב שימוש בלעדי על ידי נאשם 1 אלא על ידי כלל בני המשפחה. ראשית, הדבר עולה מגרסת נטור כי מסרה את הרכב לאחותה ולגיסה (ראו ת/2 וכן עמ' 29, ש' 19 לפרוטוקול). בהודעתה במשטרה ציינה נטור בהזדמנות אחת כי הרכב בשימוש אחיינה רפיק ובמקום אחר ציינה כי הרכב בשימוש רפיק ואחיו מוחמד, אם כי זה האחרון עושה בו שימוש יותר מרפיק. נבהיר כאן כי לנאשם 1, רביע, שם נוסף </w:t>
      </w:r>
      <w:r>
        <w:rPr>
          <w:rFonts w:ascii="Arial" w:hAnsi="Arial"/>
          <w:rtl/>
        </w:rPr>
        <w:t>–</w:t>
      </w:r>
      <w:r>
        <w:rPr>
          <w:rFonts w:ascii="Arial" w:hAnsi="Arial" w:hint="cs"/>
          <w:rtl/>
        </w:rPr>
        <w:t xml:space="preserve"> מוחמד. שנית, גם מהודעת נאשם 1 לא עולה תמונה סדורה ביחס לבעלות ולתדירות השימוש ברכב. אמנם, נאשם 1 ציין בהודעתו בתשובה לשאלה: "אתה יכול להגיד שזה שלי", אך לצד זאת הוא טען כי הרכב נרכש על ידי משפחתו ושייך לאביו, וכן כי אחיו רפיק עושה שימוש ברכב אם כי לעיתים רחוקות. אינדיקצי</w:t>
      </w:r>
      <w:r>
        <w:rPr>
          <w:rFonts w:ascii="Arial" w:hAnsi="Arial" w:hint="eastAsia"/>
          <w:rtl/>
        </w:rPr>
        <w:t>ה</w:t>
      </w:r>
      <w:r>
        <w:rPr>
          <w:rFonts w:ascii="Arial" w:hAnsi="Arial" w:hint="cs"/>
          <w:rtl/>
        </w:rPr>
        <w:t xml:space="preserve"> נוספת לכך שלא ניתן ללמוד בבירור על שימוש בלעדי על ידי הנאשם 1, הוא בכך שבעוד שעולה כי הרכב נרכש (ולפי גרסת נטור </w:t>
      </w:r>
      <w:r>
        <w:rPr>
          <w:rFonts w:ascii="Arial" w:hAnsi="Arial"/>
          <w:rtl/>
        </w:rPr>
        <w:t>–</w:t>
      </w:r>
      <w:r>
        <w:rPr>
          <w:rFonts w:ascii="Arial" w:hAnsi="Arial" w:hint="cs"/>
          <w:rtl/>
        </w:rPr>
        <w:t xml:space="preserve">  נמסר) </w:t>
      </w:r>
      <w:r w:rsidRPr="001C7AD5">
        <w:rPr>
          <w:rFonts w:ascii="Arial" w:hAnsi="Arial" w:hint="cs"/>
          <w:rtl/>
        </w:rPr>
        <w:t>לפני 7 שנים</w:t>
      </w:r>
      <w:r>
        <w:rPr>
          <w:rFonts w:ascii="Arial" w:hAnsi="Arial" w:hint="cs"/>
          <w:rtl/>
        </w:rPr>
        <w:t>, נאשם 1 טוען כי הוא עושה שימוש ברכב מזה שנתיים וחצי בלבד, ואף זאת לא באופן בלעדי (ת/1). נתונים אלו מלמדים כי נותר ספק בשאלה אם נאשם 1 הוא הבעלים של הרכב, מכאן שלא ניתן להורות על חילוטו. גם אם לנאשם 1 בעלות "חלקית" ברכב, העובדה כי הרכב הוא בבעלות אחרים, בני המשפחה, זאת לצד רכיבי הענישה הכוללים, מוליכים למסקנה שאין להורות בנסיבות מקרה זה על חילוט הרכב.</w:t>
      </w:r>
    </w:p>
    <w:p w14:paraId="46FB256C" w14:textId="77777777" w:rsidR="00441AC5" w:rsidRPr="001C7AD5" w:rsidRDefault="00441AC5" w:rsidP="00441AC5">
      <w:pPr>
        <w:pStyle w:val="af"/>
        <w:rPr>
          <w:rFonts w:ascii="Arial" w:hAnsi="Arial"/>
          <w:rtl/>
        </w:rPr>
      </w:pPr>
    </w:p>
    <w:p w14:paraId="2BD76F96" w14:textId="77777777" w:rsidR="00441AC5" w:rsidRDefault="00441AC5" w:rsidP="00441AC5">
      <w:pPr>
        <w:spacing w:line="360" w:lineRule="auto"/>
        <w:ind w:left="57"/>
        <w:contextualSpacing/>
        <w:jc w:val="both"/>
        <w:rPr>
          <w:rFonts w:ascii="Arial" w:hAnsi="Arial"/>
          <w:b/>
          <w:bCs/>
          <w:rtl/>
        </w:rPr>
      </w:pPr>
    </w:p>
    <w:p w14:paraId="02E08EAF" w14:textId="77777777" w:rsidR="00441AC5" w:rsidRDefault="00441AC5" w:rsidP="00441AC5">
      <w:pPr>
        <w:spacing w:line="360" w:lineRule="auto"/>
        <w:ind w:left="57"/>
        <w:contextualSpacing/>
        <w:jc w:val="both"/>
        <w:rPr>
          <w:rFonts w:ascii="Arial" w:hAnsi="Arial"/>
          <w:b/>
          <w:bCs/>
          <w:rtl/>
        </w:rPr>
      </w:pPr>
      <w:r>
        <w:rPr>
          <w:rFonts w:ascii="Arial" w:hAnsi="Arial" w:hint="cs"/>
          <w:b/>
          <w:bCs/>
          <w:rtl/>
        </w:rPr>
        <w:t xml:space="preserve">גזר הדין </w:t>
      </w:r>
    </w:p>
    <w:p w14:paraId="7BCE8418" w14:textId="77777777" w:rsidR="00441AC5" w:rsidRDefault="00441AC5" w:rsidP="00441AC5">
      <w:pPr>
        <w:spacing w:line="360" w:lineRule="auto"/>
        <w:ind w:left="57"/>
        <w:contextualSpacing/>
        <w:jc w:val="both"/>
        <w:rPr>
          <w:rFonts w:ascii="Arial" w:hAnsi="Arial"/>
          <w:rtl/>
        </w:rPr>
      </w:pPr>
    </w:p>
    <w:p w14:paraId="3CAE9996" w14:textId="77777777" w:rsidR="00441AC5" w:rsidRDefault="00441AC5" w:rsidP="00441AC5">
      <w:pPr>
        <w:numPr>
          <w:ilvl w:val="0"/>
          <w:numId w:val="3"/>
        </w:numPr>
        <w:spacing w:line="360" w:lineRule="auto"/>
        <w:contextualSpacing/>
        <w:jc w:val="both"/>
        <w:rPr>
          <w:rFonts w:ascii="Arial" w:hAnsi="Arial"/>
        </w:rPr>
      </w:pPr>
      <w:r>
        <w:rPr>
          <w:rFonts w:ascii="Arial" w:hAnsi="Arial" w:hint="cs"/>
          <w:rtl/>
        </w:rPr>
        <w:t>הבקשה לחילוט הרכב נדחית. פועל יוצא מכך, שאני מורה על השבת העירבון שהופקד על פי החלטתי מיום 9.6.2022 למי שחויב בהפקדתו וכן מורה על ביטול כל המגבלות, האיסורים והשעבודים  שהוטלו על הרכב.</w:t>
      </w:r>
    </w:p>
    <w:p w14:paraId="1146ECA2" w14:textId="77777777" w:rsidR="00441AC5" w:rsidRPr="00E7484D" w:rsidRDefault="00441AC5" w:rsidP="00441AC5">
      <w:pPr>
        <w:spacing w:line="360" w:lineRule="auto"/>
        <w:contextualSpacing/>
        <w:jc w:val="both"/>
        <w:rPr>
          <w:rFonts w:ascii="Arial" w:hAnsi="Arial"/>
        </w:rPr>
      </w:pPr>
    </w:p>
    <w:p w14:paraId="68F0ADDC" w14:textId="77777777" w:rsidR="00441AC5" w:rsidRDefault="00441AC5" w:rsidP="00441AC5">
      <w:pPr>
        <w:numPr>
          <w:ilvl w:val="0"/>
          <w:numId w:val="3"/>
        </w:numPr>
        <w:spacing w:line="360" w:lineRule="auto"/>
        <w:contextualSpacing/>
        <w:jc w:val="both"/>
        <w:rPr>
          <w:rFonts w:ascii="Arial" w:hAnsi="Arial"/>
        </w:rPr>
      </w:pPr>
      <w:r>
        <w:rPr>
          <w:rFonts w:ascii="Arial" w:hAnsi="Arial" w:hint="cs"/>
          <w:rtl/>
        </w:rPr>
        <w:t>ב</w:t>
      </w:r>
      <w:r>
        <w:rPr>
          <w:rFonts w:ascii="Arial" w:hAnsi="Arial"/>
          <w:rtl/>
        </w:rPr>
        <w:t xml:space="preserve">שים לב למתחם העונש שקבעתי ולשיקולים הקשורים לגזירת העונש, אני גוזר </w:t>
      </w:r>
      <w:r w:rsidRPr="005273F0">
        <w:rPr>
          <w:rFonts w:ascii="Arial" w:hAnsi="Arial"/>
          <w:b/>
          <w:bCs/>
          <w:u w:val="single"/>
          <w:rtl/>
        </w:rPr>
        <w:t xml:space="preserve">על </w:t>
      </w:r>
      <w:r w:rsidRPr="005273F0">
        <w:rPr>
          <w:rFonts w:ascii="Arial" w:hAnsi="Arial" w:hint="cs"/>
          <w:b/>
          <w:bCs/>
          <w:u w:val="single"/>
          <w:rtl/>
        </w:rPr>
        <w:t>כל אחד</w:t>
      </w:r>
      <w:r>
        <w:rPr>
          <w:rFonts w:ascii="Arial" w:hAnsi="Arial" w:hint="cs"/>
          <w:rtl/>
        </w:rPr>
        <w:t xml:space="preserve"> מן הנאשמים </w:t>
      </w:r>
      <w:r>
        <w:rPr>
          <w:rFonts w:ascii="Arial" w:hAnsi="Arial"/>
          <w:rtl/>
        </w:rPr>
        <w:t>את העונשים הבא</w:t>
      </w:r>
      <w:r>
        <w:rPr>
          <w:rFonts w:ascii="Arial" w:hAnsi="Arial" w:hint="cs"/>
          <w:rtl/>
        </w:rPr>
        <w:t>ים</w:t>
      </w:r>
      <w:r>
        <w:rPr>
          <w:rFonts w:ascii="Arial" w:hAnsi="Arial"/>
          <w:rtl/>
        </w:rPr>
        <w:t>:</w:t>
      </w:r>
    </w:p>
    <w:p w14:paraId="744AB4CC" w14:textId="77777777" w:rsidR="00441AC5" w:rsidRDefault="00441AC5" w:rsidP="00441AC5">
      <w:pPr>
        <w:pStyle w:val="af"/>
        <w:rPr>
          <w:rFonts w:ascii="Arial" w:hAnsi="Arial"/>
          <w:rtl/>
        </w:rPr>
      </w:pPr>
    </w:p>
    <w:p w14:paraId="7106FB2E" w14:textId="77777777" w:rsidR="00441AC5" w:rsidRDefault="00441AC5" w:rsidP="00441AC5">
      <w:pPr>
        <w:spacing w:line="360" w:lineRule="auto"/>
        <w:ind w:firstLine="567"/>
        <w:contextualSpacing/>
        <w:jc w:val="both"/>
        <w:rPr>
          <w:rFonts w:ascii="Arial" w:hAnsi="Arial"/>
          <w:rtl/>
        </w:rPr>
      </w:pPr>
      <w:r w:rsidRPr="00437C70">
        <w:rPr>
          <w:rFonts w:ascii="Arial" w:hAnsi="Arial"/>
          <w:rtl/>
        </w:rPr>
        <w:t xml:space="preserve">מאסר בפועל לתקופה של </w:t>
      </w:r>
      <w:r w:rsidRPr="00437C70">
        <w:rPr>
          <w:rFonts w:ascii="Arial" w:hAnsi="Arial" w:hint="cs"/>
          <w:rtl/>
        </w:rPr>
        <w:t>3</w:t>
      </w:r>
      <w:r>
        <w:rPr>
          <w:rFonts w:ascii="Arial" w:hAnsi="Arial" w:hint="cs"/>
          <w:rtl/>
        </w:rPr>
        <w:t>6</w:t>
      </w:r>
      <w:r w:rsidRPr="00437C70">
        <w:rPr>
          <w:rFonts w:ascii="Arial" w:hAnsi="Arial"/>
          <w:rtl/>
        </w:rPr>
        <w:t xml:space="preserve"> חודשים בניכוי ימי מעצר</w:t>
      </w:r>
      <w:r w:rsidRPr="00437C70">
        <w:rPr>
          <w:rFonts w:ascii="Arial" w:hAnsi="Arial" w:hint="cs"/>
          <w:rtl/>
        </w:rPr>
        <w:t xml:space="preserve">ם: נאשם 1 </w:t>
      </w:r>
      <w:r w:rsidRPr="00437C70">
        <w:rPr>
          <w:rFonts w:ascii="Arial" w:hAnsi="Arial"/>
          <w:rtl/>
        </w:rPr>
        <w:t xml:space="preserve">מיום </w:t>
      </w:r>
      <w:r w:rsidRPr="00437C70">
        <w:rPr>
          <w:rFonts w:ascii="Arial" w:hAnsi="Arial" w:hint="cs"/>
          <w:rtl/>
        </w:rPr>
        <w:t xml:space="preserve">8.3.2022 ונאשם 2 מיום </w:t>
      </w:r>
      <w:r>
        <w:rPr>
          <w:rFonts w:ascii="Arial" w:hAnsi="Arial" w:hint="cs"/>
          <w:rtl/>
        </w:rPr>
        <w:t>6.3.2022.</w:t>
      </w:r>
    </w:p>
    <w:p w14:paraId="33DF0454" w14:textId="77777777" w:rsidR="00441AC5" w:rsidRDefault="00441AC5" w:rsidP="00441AC5">
      <w:pPr>
        <w:spacing w:line="360" w:lineRule="auto"/>
        <w:ind w:firstLine="567"/>
        <w:contextualSpacing/>
        <w:jc w:val="both"/>
        <w:rPr>
          <w:rFonts w:ascii="Arial" w:hAnsi="Arial"/>
          <w:rtl/>
        </w:rPr>
      </w:pPr>
    </w:p>
    <w:p w14:paraId="0DB5E4A8" w14:textId="77777777" w:rsidR="00441AC5" w:rsidRDefault="00441AC5" w:rsidP="00441AC5">
      <w:pPr>
        <w:spacing w:line="360" w:lineRule="auto"/>
        <w:ind w:firstLine="567"/>
        <w:contextualSpacing/>
        <w:jc w:val="both"/>
        <w:rPr>
          <w:rFonts w:ascii="Arial" w:hAnsi="Arial"/>
          <w:rtl/>
        </w:rPr>
      </w:pPr>
      <w:r>
        <w:rPr>
          <w:rFonts w:ascii="Arial" w:hAnsi="Arial"/>
          <w:rtl/>
        </w:rPr>
        <w:t>12 חודשי מאסר על תנאי, והתנאי כי הנאשם לא יעב</w:t>
      </w:r>
      <w:r>
        <w:rPr>
          <w:rFonts w:ascii="Arial" w:hAnsi="Arial" w:hint="cs"/>
          <w:rtl/>
        </w:rPr>
        <w:t>ור</w:t>
      </w:r>
      <w:r>
        <w:rPr>
          <w:rFonts w:ascii="Arial" w:hAnsi="Arial"/>
          <w:rtl/>
        </w:rPr>
        <w:t xml:space="preserve"> בתוך שלוש שנים, עבירת אלימות מסוג פשע</w:t>
      </w:r>
      <w:r>
        <w:rPr>
          <w:rFonts w:ascii="Arial" w:hAnsi="Arial" w:hint="cs"/>
          <w:rtl/>
        </w:rPr>
        <w:t xml:space="preserve"> או עבירה לפי 144 ל</w:t>
      </w:r>
      <w:hyperlink r:id="rId83" w:history="1">
        <w:r w:rsidR="003575B0" w:rsidRPr="003575B0">
          <w:rPr>
            <w:rFonts w:ascii="Arial" w:hAnsi="Arial"/>
            <w:color w:val="0000FF"/>
            <w:u w:val="single"/>
            <w:rtl/>
          </w:rPr>
          <w:t>חוק העונשין</w:t>
        </w:r>
      </w:hyperlink>
      <w:r>
        <w:rPr>
          <w:rFonts w:ascii="Arial" w:hAnsi="Arial"/>
          <w:rtl/>
        </w:rPr>
        <w:t>, ויורשע בה.</w:t>
      </w:r>
    </w:p>
    <w:p w14:paraId="1611C837" w14:textId="77777777" w:rsidR="00441AC5" w:rsidRDefault="00441AC5" w:rsidP="00441AC5">
      <w:pPr>
        <w:spacing w:line="360" w:lineRule="auto"/>
        <w:ind w:firstLine="567"/>
        <w:contextualSpacing/>
        <w:jc w:val="both"/>
        <w:rPr>
          <w:rFonts w:ascii="Arial" w:hAnsi="Arial"/>
          <w:rtl/>
        </w:rPr>
      </w:pPr>
    </w:p>
    <w:p w14:paraId="433AAEE3" w14:textId="77777777" w:rsidR="00441AC5" w:rsidRDefault="00441AC5" w:rsidP="00441AC5">
      <w:pPr>
        <w:spacing w:line="360" w:lineRule="auto"/>
        <w:ind w:firstLine="567"/>
        <w:contextualSpacing/>
        <w:jc w:val="both"/>
        <w:rPr>
          <w:rFonts w:ascii="Arial" w:hAnsi="Arial"/>
          <w:rtl/>
        </w:rPr>
      </w:pPr>
      <w:r>
        <w:rPr>
          <w:rFonts w:ascii="Arial" w:hAnsi="Arial" w:hint="cs"/>
          <w:rtl/>
        </w:rPr>
        <w:t xml:space="preserve">4 </w:t>
      </w:r>
      <w:r>
        <w:rPr>
          <w:rFonts w:ascii="Arial" w:hAnsi="Arial"/>
          <w:rtl/>
        </w:rPr>
        <w:t>חודשי מאסר על תנאי, והתנאי כי הנאשם לא יעבור בתוך שלוש שנים, עבירת אלימות מסוג עוון</w:t>
      </w:r>
      <w:r>
        <w:rPr>
          <w:rFonts w:ascii="Arial" w:hAnsi="Arial" w:hint="cs"/>
          <w:rtl/>
        </w:rPr>
        <w:t xml:space="preserve">, או עבירה לפי </w:t>
      </w:r>
      <w:hyperlink r:id="rId84" w:history="1">
        <w:r w:rsidR="00553DC4" w:rsidRPr="00553DC4">
          <w:rPr>
            <w:rStyle w:val="Hyperlink"/>
            <w:rFonts w:ascii="Arial" w:hAnsi="Arial" w:hint="eastAsia"/>
            <w:rtl/>
          </w:rPr>
          <w:t>סימן</w:t>
        </w:r>
        <w:r w:rsidR="00553DC4" w:rsidRPr="00553DC4">
          <w:rPr>
            <w:rStyle w:val="Hyperlink"/>
            <w:rFonts w:ascii="Arial" w:hAnsi="Arial"/>
            <w:rtl/>
          </w:rPr>
          <w:t xml:space="preserve"> ה'1</w:t>
        </w:r>
      </w:hyperlink>
      <w:r>
        <w:rPr>
          <w:rFonts w:ascii="Arial" w:hAnsi="Arial" w:hint="cs"/>
          <w:rtl/>
        </w:rPr>
        <w:t xml:space="preserve"> לפרק י"א ל</w:t>
      </w:r>
      <w:hyperlink r:id="rId85" w:history="1">
        <w:r w:rsidR="003575B0" w:rsidRPr="003575B0">
          <w:rPr>
            <w:rFonts w:ascii="Arial" w:hAnsi="Arial"/>
            <w:color w:val="0000FF"/>
            <w:u w:val="single"/>
            <w:rtl/>
          </w:rPr>
          <w:t>חוק העונשין</w:t>
        </w:r>
      </w:hyperlink>
      <w:r>
        <w:rPr>
          <w:rFonts w:ascii="Arial" w:hAnsi="Arial"/>
          <w:rtl/>
        </w:rPr>
        <w:t>, ויורשע בה.</w:t>
      </w:r>
    </w:p>
    <w:p w14:paraId="3D540A30" w14:textId="77777777" w:rsidR="00441AC5" w:rsidRDefault="00441AC5" w:rsidP="00441AC5">
      <w:pPr>
        <w:spacing w:line="360" w:lineRule="auto"/>
        <w:ind w:firstLine="567"/>
        <w:contextualSpacing/>
        <w:jc w:val="both"/>
        <w:rPr>
          <w:rFonts w:ascii="Arial" w:hAnsi="Arial"/>
          <w:rtl/>
        </w:rPr>
      </w:pPr>
    </w:p>
    <w:p w14:paraId="5C17B777" w14:textId="77777777" w:rsidR="00441AC5" w:rsidRDefault="00441AC5" w:rsidP="00441AC5">
      <w:pPr>
        <w:spacing w:line="360" w:lineRule="auto"/>
        <w:ind w:firstLine="567"/>
        <w:contextualSpacing/>
        <w:jc w:val="both"/>
        <w:rPr>
          <w:rFonts w:ascii="Arial" w:hAnsi="Arial"/>
          <w:rtl/>
        </w:rPr>
      </w:pPr>
      <w:r>
        <w:rPr>
          <w:rFonts w:ascii="Arial" w:hAnsi="Arial"/>
          <w:rtl/>
        </w:rPr>
        <w:t xml:space="preserve">אני מחייב </w:t>
      </w:r>
      <w:r>
        <w:rPr>
          <w:rFonts w:ascii="Arial" w:hAnsi="Arial" w:hint="cs"/>
          <w:rtl/>
        </w:rPr>
        <w:t xml:space="preserve">כל אחד מן הנאשמים </w:t>
      </w:r>
      <w:r>
        <w:rPr>
          <w:rFonts w:ascii="Arial" w:hAnsi="Arial"/>
          <w:rtl/>
        </w:rPr>
        <w:t xml:space="preserve">לפצות את המתלונן, עד תביעה מס' 1, בסכום של </w:t>
      </w:r>
      <w:r>
        <w:rPr>
          <w:rFonts w:ascii="Arial" w:hAnsi="Arial" w:hint="cs"/>
          <w:rtl/>
        </w:rPr>
        <w:t>12,500</w:t>
      </w:r>
      <w:r>
        <w:rPr>
          <w:rFonts w:ascii="Arial" w:hAnsi="Arial"/>
          <w:rtl/>
        </w:rPr>
        <w:t xml:space="preserve"> ₪</w:t>
      </w:r>
      <w:r>
        <w:rPr>
          <w:rFonts w:ascii="Arial" w:hAnsi="Arial" w:hint="cs"/>
          <w:rtl/>
        </w:rPr>
        <w:t xml:space="preserve"> (סה"כ 25,000 ₪), תוך 90 ימים מהיום</w:t>
      </w:r>
      <w:r>
        <w:rPr>
          <w:rFonts w:ascii="Arial" w:hAnsi="Arial"/>
          <w:rtl/>
        </w:rPr>
        <w:t>. הסכום</w:t>
      </w:r>
      <w:r>
        <w:rPr>
          <w:rFonts w:ascii="Arial" w:hAnsi="Arial" w:hint="cs"/>
          <w:rtl/>
        </w:rPr>
        <w:t xml:space="preserve"> יופקד בקופת בית המשפט ויועבר למתלונן באמצעות המזכירות. </w:t>
      </w:r>
      <w:r>
        <w:rPr>
          <w:rFonts w:ascii="Arial" w:hAnsi="Arial"/>
          <w:rtl/>
        </w:rPr>
        <w:t xml:space="preserve"> </w:t>
      </w:r>
    </w:p>
    <w:p w14:paraId="14E63CE1" w14:textId="77777777" w:rsidR="00441AC5" w:rsidRPr="003575B0" w:rsidRDefault="003575B0" w:rsidP="00441AC5">
      <w:pPr>
        <w:spacing w:line="360" w:lineRule="auto"/>
        <w:ind w:left="850" w:hanging="283"/>
        <w:contextualSpacing/>
        <w:jc w:val="both"/>
        <w:rPr>
          <w:rFonts w:ascii="Arial" w:hAnsi="Arial"/>
          <w:color w:val="FFFFFF"/>
          <w:sz w:val="2"/>
          <w:szCs w:val="2"/>
          <w:rtl/>
        </w:rPr>
      </w:pPr>
      <w:r w:rsidRPr="003575B0">
        <w:rPr>
          <w:rFonts w:ascii="Arial" w:hAnsi="Arial"/>
          <w:color w:val="FFFFFF"/>
          <w:sz w:val="2"/>
          <w:szCs w:val="2"/>
          <w:rtl/>
        </w:rPr>
        <w:t>5129371</w:t>
      </w:r>
    </w:p>
    <w:p w14:paraId="5FBA45C0" w14:textId="77777777" w:rsidR="00441AC5" w:rsidRDefault="003575B0" w:rsidP="00441AC5">
      <w:pPr>
        <w:spacing w:line="360" w:lineRule="auto"/>
        <w:ind w:left="57"/>
        <w:contextualSpacing/>
        <w:jc w:val="both"/>
        <w:rPr>
          <w:rFonts w:ascii="Arial" w:hAnsi="Arial"/>
          <w:b/>
          <w:bCs/>
          <w:sz w:val="26"/>
          <w:szCs w:val="26"/>
          <w:rtl/>
        </w:rPr>
      </w:pPr>
      <w:r w:rsidRPr="003575B0">
        <w:rPr>
          <w:rFonts w:ascii="Arial" w:hAnsi="Arial"/>
          <w:b/>
          <w:bCs/>
          <w:color w:val="FFFFFF"/>
          <w:sz w:val="2"/>
          <w:szCs w:val="2"/>
          <w:u w:val="single"/>
          <w:rtl/>
        </w:rPr>
        <w:t>54678313</w:t>
      </w:r>
      <w:r w:rsidR="00441AC5">
        <w:rPr>
          <w:rFonts w:ascii="Arial" w:hAnsi="Arial"/>
          <w:b/>
          <w:bCs/>
          <w:color w:val="FFFFFF"/>
          <w:sz w:val="2"/>
          <w:szCs w:val="2"/>
          <w:u w:val="single"/>
          <w:rtl/>
        </w:rPr>
        <w:t>29371</w:t>
      </w:r>
      <w:r w:rsidR="00441AC5">
        <w:rPr>
          <w:rFonts w:ascii="Arial" w:hAnsi="Arial"/>
          <w:b/>
          <w:bCs/>
          <w:u w:val="single"/>
          <w:rtl/>
        </w:rPr>
        <w:t>זכות ערעור לבית המשפט העליון תוך 45 ימים.</w:t>
      </w:r>
    </w:p>
    <w:p w14:paraId="0812B191" w14:textId="77777777" w:rsidR="00441AC5" w:rsidRDefault="00441AC5" w:rsidP="00441AC5">
      <w:pPr>
        <w:spacing w:line="360" w:lineRule="auto"/>
        <w:jc w:val="both"/>
        <w:rPr>
          <w:rFonts w:ascii="Arial" w:hAnsi="Arial"/>
          <w:b/>
          <w:bCs/>
          <w:sz w:val="26"/>
          <w:szCs w:val="26"/>
          <w:rtl/>
        </w:rPr>
      </w:pPr>
    </w:p>
    <w:p w14:paraId="5032C0D8" w14:textId="77777777" w:rsidR="00441AC5" w:rsidRPr="000F2247" w:rsidRDefault="003575B0" w:rsidP="00441AC5">
      <w:pPr>
        <w:rPr>
          <w:rFonts w:ascii="Arial" w:hAnsi="Arial"/>
          <w:b/>
          <w:bCs/>
          <w:sz w:val="26"/>
          <w:szCs w:val="26"/>
          <w:rtl/>
        </w:rPr>
      </w:pPr>
      <w:bookmarkStart w:id="10" w:name="Nitan"/>
      <w:r>
        <w:rPr>
          <w:rFonts w:ascii="Arial" w:hAnsi="Arial"/>
          <w:b/>
          <w:bCs/>
          <w:sz w:val="26"/>
          <w:szCs w:val="26"/>
          <w:rtl/>
        </w:rPr>
        <w:t xml:space="preserve">ניתן היום,  א' חשוון תשפ"ג, 26 אוקטובר 2022, במעמד הנאשם וב"כ הצדדים. </w:t>
      </w:r>
      <w:bookmarkEnd w:id="10"/>
    </w:p>
    <w:p w14:paraId="461D0F03" w14:textId="77777777" w:rsidR="00441AC5" w:rsidRPr="000F2247" w:rsidRDefault="00441AC5" w:rsidP="003575B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3D5B92F" w14:textId="77777777" w:rsidR="00441AC5" w:rsidRPr="000F2247" w:rsidRDefault="00441AC5" w:rsidP="00441AC5">
      <w:pPr>
        <w:jc w:val="center"/>
        <w:rPr>
          <w:rFonts w:ascii="Arial" w:hAnsi="Arial"/>
          <w:b/>
          <w:bCs/>
          <w:sz w:val="26"/>
          <w:szCs w:val="26"/>
          <w:rtl/>
        </w:rPr>
      </w:pPr>
    </w:p>
    <w:p w14:paraId="192E2AC6" w14:textId="77777777" w:rsidR="004A7D75" w:rsidRPr="003575B0" w:rsidRDefault="004A7D75" w:rsidP="003575B0">
      <w:pPr>
        <w:keepNext/>
        <w:rPr>
          <w:rFonts w:ascii="David" w:hAnsi="David"/>
          <w:color w:val="000000"/>
          <w:sz w:val="22"/>
          <w:szCs w:val="22"/>
          <w:rtl/>
        </w:rPr>
      </w:pPr>
    </w:p>
    <w:p w14:paraId="1B2BBA95" w14:textId="77777777" w:rsidR="003575B0" w:rsidRPr="003575B0" w:rsidRDefault="003575B0" w:rsidP="003575B0">
      <w:pPr>
        <w:keepNext/>
        <w:rPr>
          <w:rFonts w:ascii="David" w:hAnsi="David"/>
          <w:color w:val="000000"/>
          <w:sz w:val="22"/>
          <w:szCs w:val="22"/>
          <w:rtl/>
        </w:rPr>
      </w:pPr>
      <w:r w:rsidRPr="003575B0">
        <w:rPr>
          <w:rFonts w:ascii="David" w:hAnsi="David"/>
          <w:color w:val="000000"/>
          <w:sz w:val="22"/>
          <w:szCs w:val="22"/>
          <w:rtl/>
        </w:rPr>
        <w:t>מוחמד עלי 54678313</w:t>
      </w:r>
    </w:p>
    <w:p w14:paraId="77A1B8FF" w14:textId="77777777" w:rsidR="003575B0" w:rsidRDefault="003575B0" w:rsidP="003575B0">
      <w:r w:rsidRPr="003575B0">
        <w:rPr>
          <w:color w:val="000000"/>
          <w:rtl/>
        </w:rPr>
        <w:t>נוסח מסמך זה כפוף לשינויי ניסוח ועריכה</w:t>
      </w:r>
    </w:p>
    <w:p w14:paraId="12430ACC" w14:textId="77777777" w:rsidR="003575B0" w:rsidRDefault="003575B0" w:rsidP="003575B0">
      <w:pPr>
        <w:rPr>
          <w:rtl/>
        </w:rPr>
      </w:pPr>
    </w:p>
    <w:p w14:paraId="3101E6D6" w14:textId="77777777" w:rsidR="003575B0" w:rsidRDefault="003575B0" w:rsidP="003575B0">
      <w:pPr>
        <w:jc w:val="center"/>
        <w:rPr>
          <w:color w:val="0000FF"/>
          <w:u w:val="single"/>
        </w:rPr>
      </w:pPr>
      <w:hyperlink r:id="rId86" w:history="1">
        <w:r>
          <w:rPr>
            <w:color w:val="0000FF"/>
            <w:u w:val="single"/>
            <w:rtl/>
          </w:rPr>
          <w:t>בעניין עריכה ושינויים במסמכי פסיקה, חקיקה ועוד באתר נבו – הקש כאן</w:t>
        </w:r>
      </w:hyperlink>
    </w:p>
    <w:p w14:paraId="31017875" w14:textId="77777777" w:rsidR="003575B0" w:rsidRPr="003575B0" w:rsidRDefault="003575B0" w:rsidP="003575B0">
      <w:pPr>
        <w:jc w:val="center"/>
        <w:rPr>
          <w:color w:val="0000FF"/>
          <w:u w:val="single"/>
        </w:rPr>
      </w:pPr>
    </w:p>
    <w:sectPr w:rsidR="003575B0" w:rsidRPr="003575B0" w:rsidSect="003575B0">
      <w:headerReference w:type="even" r:id="rId87"/>
      <w:headerReference w:type="default" r:id="rId88"/>
      <w:footerReference w:type="even" r:id="rId89"/>
      <w:footerReference w:type="default" r:id="rId9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2B57A" w14:textId="77777777" w:rsidR="00731561" w:rsidRDefault="00731561" w:rsidP="00FB1552">
      <w:r>
        <w:separator/>
      </w:r>
    </w:p>
  </w:endnote>
  <w:endnote w:type="continuationSeparator" w:id="0">
    <w:p w14:paraId="60E97C2A" w14:textId="77777777" w:rsidR="00731561" w:rsidRDefault="00731561" w:rsidP="00FB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11FCC" w14:textId="77777777" w:rsidR="003575B0" w:rsidRDefault="003575B0" w:rsidP="003575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8DCEB9" w14:textId="77777777" w:rsidR="006C5B32" w:rsidRPr="003575B0" w:rsidRDefault="003575B0" w:rsidP="003575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8B24E" w14:textId="77777777" w:rsidR="003575B0" w:rsidRDefault="003575B0" w:rsidP="003575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7DA6">
      <w:rPr>
        <w:rFonts w:ascii="FrankRuehl" w:hAnsi="FrankRuehl" w:cs="FrankRuehl"/>
        <w:noProof/>
        <w:rtl/>
      </w:rPr>
      <w:t>1</w:t>
    </w:r>
    <w:r>
      <w:rPr>
        <w:rFonts w:ascii="FrankRuehl" w:hAnsi="FrankRuehl" w:cs="FrankRuehl"/>
        <w:rtl/>
      </w:rPr>
      <w:fldChar w:fldCharType="end"/>
    </w:r>
  </w:p>
  <w:p w14:paraId="7A4D5451" w14:textId="77777777" w:rsidR="006C5B32" w:rsidRPr="003575B0" w:rsidRDefault="003575B0" w:rsidP="003575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E6EA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ACF81" w14:textId="77777777" w:rsidR="00731561" w:rsidRDefault="00731561" w:rsidP="00FB1552">
      <w:r>
        <w:separator/>
      </w:r>
    </w:p>
  </w:footnote>
  <w:footnote w:type="continuationSeparator" w:id="0">
    <w:p w14:paraId="4C26E5CF" w14:textId="77777777" w:rsidR="00731561" w:rsidRDefault="00731561" w:rsidP="00FB1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C60DC" w14:textId="77777777" w:rsidR="003575B0" w:rsidRPr="003575B0" w:rsidRDefault="003575B0" w:rsidP="003575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15802-04-22</w:t>
    </w:r>
    <w:r>
      <w:rPr>
        <w:rFonts w:ascii="David" w:hAnsi="David"/>
        <w:color w:val="000000"/>
        <w:sz w:val="22"/>
        <w:szCs w:val="22"/>
        <w:rtl/>
      </w:rPr>
      <w:tab/>
      <w:t xml:space="preserve"> מדינת ישראל נ' רביע בדראן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F3F6" w14:textId="77777777" w:rsidR="003575B0" w:rsidRPr="003575B0" w:rsidRDefault="003575B0" w:rsidP="003575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15802-04-22</w:t>
    </w:r>
    <w:r>
      <w:rPr>
        <w:rFonts w:ascii="David" w:hAnsi="David"/>
        <w:color w:val="000000"/>
        <w:sz w:val="22"/>
        <w:szCs w:val="22"/>
        <w:rtl/>
      </w:rPr>
      <w:tab/>
      <w:t xml:space="preserve"> מדינת ישראל נ' רביע בדראן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E5B1535"/>
    <w:multiLevelType w:val="hybridMultilevel"/>
    <w:tmpl w:val="FF7E25CE"/>
    <w:lvl w:ilvl="0" w:tplc="79B0D890">
      <w:start w:val="1"/>
      <w:numFmt w:val="decimal"/>
      <w:lvlText w:val="%1."/>
      <w:lvlJc w:val="left"/>
      <w:pPr>
        <w:tabs>
          <w:tab w:val="num" w:pos="567"/>
        </w:tabs>
        <w:ind w:left="0" w:firstLine="0"/>
      </w:pPr>
      <w:rPr>
        <w:rFonts w:hint="default"/>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59017">
    <w:abstractNumId w:val="1"/>
  </w:num>
  <w:num w:numId="2" w16cid:durableId="1851291538">
    <w:abstractNumId w:val="0"/>
  </w:num>
  <w:num w:numId="3" w16cid:durableId="1816876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1AC5"/>
    <w:rsid w:val="00157DA6"/>
    <w:rsid w:val="001B5A3B"/>
    <w:rsid w:val="0021767D"/>
    <w:rsid w:val="003575B0"/>
    <w:rsid w:val="00441AC5"/>
    <w:rsid w:val="004A7D75"/>
    <w:rsid w:val="00553DC4"/>
    <w:rsid w:val="006C5B32"/>
    <w:rsid w:val="00731561"/>
    <w:rsid w:val="008C2AAF"/>
    <w:rsid w:val="009F2F60"/>
    <w:rsid w:val="00C72DA3"/>
    <w:rsid w:val="00CF7A5D"/>
    <w:rsid w:val="00EF69A8"/>
    <w:rsid w:val="00FB1552"/>
    <w:rsid w:val="00FB31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6C7D7A"/>
  <w15:chartTrackingRefBased/>
  <w15:docId w15:val="{C2656667-C978-42E1-8C5E-194D0463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1AC5"/>
    <w:pPr>
      <w:bidi/>
    </w:pPr>
    <w:rPr>
      <w:rFonts w:ascii="Times New Roman" w:eastAsia="Times New Roman" w:hAnsi="Times New Roman" w:cs="David"/>
      <w:sz w:val="24"/>
      <w:szCs w:val="24"/>
    </w:rPr>
  </w:style>
  <w:style w:type="paragraph" w:styleId="1">
    <w:name w:val="heading 1"/>
    <w:basedOn w:val="a"/>
    <w:next w:val="a"/>
    <w:link w:val="10"/>
    <w:qFormat/>
    <w:rsid w:val="00441AC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41AC5"/>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41AC5"/>
    <w:rPr>
      <w:rFonts w:ascii="Arial" w:eastAsia="Times New Roman" w:hAnsi="Arial" w:cs="Arial"/>
      <w:b/>
      <w:bCs/>
      <w:kern w:val="32"/>
      <w:sz w:val="32"/>
      <w:szCs w:val="32"/>
    </w:rPr>
  </w:style>
  <w:style w:type="character" w:customStyle="1" w:styleId="40">
    <w:name w:val="כותרת 4 תו"/>
    <w:link w:val="4"/>
    <w:rsid w:val="00441AC5"/>
    <w:rPr>
      <w:rFonts w:ascii="Times New Roman" w:eastAsia="Times New Roman" w:hAnsi="Times New Roman" w:cs="Narkisim"/>
      <w:b/>
      <w:bCs/>
      <w:sz w:val="24"/>
      <w:szCs w:val="24"/>
    </w:rPr>
  </w:style>
  <w:style w:type="paragraph" w:styleId="a3">
    <w:name w:val="header"/>
    <w:basedOn w:val="a"/>
    <w:link w:val="a4"/>
    <w:rsid w:val="00441AC5"/>
    <w:pPr>
      <w:tabs>
        <w:tab w:val="center" w:pos="4153"/>
        <w:tab w:val="right" w:pos="8306"/>
      </w:tabs>
    </w:pPr>
  </w:style>
  <w:style w:type="character" w:customStyle="1" w:styleId="a4">
    <w:name w:val="כותרת עליונה תו"/>
    <w:link w:val="a3"/>
    <w:rsid w:val="00441AC5"/>
    <w:rPr>
      <w:rFonts w:ascii="Times New Roman" w:eastAsia="Times New Roman" w:hAnsi="Times New Roman" w:cs="David"/>
      <w:sz w:val="24"/>
      <w:szCs w:val="24"/>
    </w:rPr>
  </w:style>
  <w:style w:type="paragraph" w:styleId="a5">
    <w:name w:val="footer"/>
    <w:basedOn w:val="a"/>
    <w:link w:val="a6"/>
    <w:rsid w:val="00441AC5"/>
    <w:pPr>
      <w:tabs>
        <w:tab w:val="center" w:pos="4153"/>
        <w:tab w:val="right" w:pos="8306"/>
      </w:tabs>
    </w:pPr>
  </w:style>
  <w:style w:type="character" w:customStyle="1" w:styleId="a6">
    <w:name w:val="כותרת תחתונה תו"/>
    <w:link w:val="a5"/>
    <w:rsid w:val="00441AC5"/>
    <w:rPr>
      <w:rFonts w:ascii="Times New Roman" w:eastAsia="Times New Roman" w:hAnsi="Times New Roman" w:cs="David"/>
      <w:sz w:val="24"/>
      <w:szCs w:val="24"/>
    </w:rPr>
  </w:style>
  <w:style w:type="character" w:styleId="a7">
    <w:name w:val="annotation reference"/>
    <w:rsid w:val="00441AC5"/>
    <w:rPr>
      <w:sz w:val="16"/>
      <w:szCs w:val="16"/>
    </w:rPr>
  </w:style>
  <w:style w:type="paragraph" w:styleId="a8">
    <w:name w:val="annotation text"/>
    <w:basedOn w:val="a"/>
    <w:link w:val="a9"/>
    <w:rsid w:val="00441AC5"/>
    <w:rPr>
      <w:rFonts w:cs="Times New Roman"/>
      <w:lang w:eastAsia="he-IL"/>
    </w:rPr>
  </w:style>
  <w:style w:type="character" w:customStyle="1" w:styleId="a9">
    <w:name w:val="טקסט הערה תו"/>
    <w:link w:val="a8"/>
    <w:rsid w:val="00441AC5"/>
    <w:rPr>
      <w:rFonts w:ascii="Times New Roman" w:eastAsia="Times New Roman" w:hAnsi="Times New Roman" w:cs="Times New Roman"/>
      <w:sz w:val="24"/>
      <w:szCs w:val="24"/>
      <w:lang w:eastAsia="he-IL"/>
    </w:rPr>
  </w:style>
  <w:style w:type="paragraph" w:styleId="aa">
    <w:name w:val="Balloon Text"/>
    <w:basedOn w:val="a"/>
    <w:link w:val="ab"/>
    <w:rsid w:val="00441AC5"/>
    <w:rPr>
      <w:rFonts w:ascii="Tahoma" w:hAnsi="Tahoma" w:cs="Tahoma"/>
      <w:sz w:val="16"/>
      <w:szCs w:val="16"/>
    </w:rPr>
  </w:style>
  <w:style w:type="character" w:customStyle="1" w:styleId="ab">
    <w:name w:val="טקסט בלונים תו"/>
    <w:link w:val="aa"/>
    <w:rsid w:val="00441AC5"/>
    <w:rPr>
      <w:rFonts w:ascii="Tahoma" w:eastAsia="Times New Roman" w:hAnsi="Tahoma" w:cs="Tahoma"/>
      <w:sz w:val="16"/>
      <w:szCs w:val="16"/>
    </w:rPr>
  </w:style>
  <w:style w:type="table" w:styleId="ac">
    <w:name w:val="Table Grid"/>
    <w:basedOn w:val="a1"/>
    <w:rsid w:val="00441A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41AC5"/>
  </w:style>
  <w:style w:type="character" w:styleId="ae">
    <w:name w:val="Placeholder Text"/>
    <w:rsid w:val="00441AC5"/>
    <w:rPr>
      <w:color w:val="808080"/>
    </w:rPr>
  </w:style>
  <w:style w:type="character" w:styleId="Hyperlink">
    <w:name w:val="Hyperlink"/>
    <w:rsid w:val="00441AC5"/>
    <w:rPr>
      <w:color w:val="0000FF"/>
      <w:u w:val="single"/>
    </w:rPr>
  </w:style>
  <w:style w:type="paragraph" w:styleId="af">
    <w:name w:val="List Paragraph"/>
    <w:basedOn w:val="a"/>
    <w:qFormat/>
    <w:rsid w:val="0044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918/32.a" TargetMode="External"/><Relationship Id="rId42" Type="http://schemas.openxmlformats.org/officeDocument/2006/relationships/hyperlink" Target="http://www.nevo.co.il/case/24269594"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20863306" TargetMode="External"/><Relationship Id="rId84" Type="http://schemas.openxmlformats.org/officeDocument/2006/relationships/hyperlink" Target="http://www.nevo.co.il/law/70301/jaCe1S" TargetMode="External"/><Relationship Id="rId89" Type="http://schemas.openxmlformats.org/officeDocument/2006/relationships/footer" Target="footer1.xml"/><Relationship Id="rId16" Type="http://schemas.openxmlformats.org/officeDocument/2006/relationships/hyperlink" Target="http://www.nevo.co.il/law/70301/413e" TargetMode="External"/><Relationship Id="rId11" Type="http://schemas.openxmlformats.org/officeDocument/2006/relationships/hyperlink" Target="http://www.nevo.co.il/law/70301/40e" TargetMode="External"/><Relationship Id="rId32" Type="http://schemas.openxmlformats.org/officeDocument/2006/relationships/hyperlink" Target="http://www.nevo.co.il/law/70301/40c" TargetMode="External"/><Relationship Id="rId37" Type="http://schemas.openxmlformats.org/officeDocument/2006/relationships/hyperlink" Target="http://www.nevo.co.il/law/70301/40d" TargetMode="External"/><Relationship Id="rId53" Type="http://schemas.openxmlformats.org/officeDocument/2006/relationships/hyperlink" Target="http://www.nevo.co.il/law/70301/329.a.1"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4918" TargetMode="External"/><Relationship Id="rId79" Type="http://schemas.openxmlformats.org/officeDocument/2006/relationships/hyperlink" Target="http://www.nevo.co.il/case/17914099" TargetMode="External"/><Relationship Id="rId5" Type="http://schemas.openxmlformats.org/officeDocument/2006/relationships/footnotes" Target="footnotes.xml"/><Relationship Id="rId90" Type="http://schemas.openxmlformats.org/officeDocument/2006/relationships/footer" Target="footer2.xml"/><Relationship Id="rId14" Type="http://schemas.openxmlformats.org/officeDocument/2006/relationships/hyperlink" Target="http://www.nevo.co.il/law/70301/329.a.2" TargetMode="External"/><Relationship Id="rId22" Type="http://schemas.openxmlformats.org/officeDocument/2006/relationships/hyperlink" Target="http://www.nevo.co.il/law/74918/39" TargetMode="External"/><Relationship Id="rId27" Type="http://schemas.openxmlformats.org/officeDocument/2006/relationships/hyperlink" Target="http://www.nevo.co.il/law/70301/413e" TargetMode="External"/><Relationship Id="rId30" Type="http://schemas.openxmlformats.org/officeDocument/2006/relationships/hyperlink" Target="http://www.nevo.co.il/law/74918/39" TargetMode="External"/><Relationship Id="rId35" Type="http://schemas.openxmlformats.org/officeDocument/2006/relationships/hyperlink" Target="http://www.nevo.co.il/law/70301/fCa1S" TargetMode="External"/><Relationship Id="rId43" Type="http://schemas.openxmlformats.org/officeDocument/2006/relationships/hyperlink" Target="http://www.nevo.co.il/law/70301/329" TargetMode="External"/><Relationship Id="rId48" Type="http://schemas.openxmlformats.org/officeDocument/2006/relationships/hyperlink" Target="http://www.nevo.co.il/law/70301/329.a.2" TargetMode="External"/><Relationship Id="rId56" Type="http://schemas.openxmlformats.org/officeDocument/2006/relationships/hyperlink" Target="http://www.nevo.co.il/case/3506668" TargetMode="External"/><Relationship Id="rId64" Type="http://schemas.openxmlformats.org/officeDocument/2006/relationships/hyperlink" Target="http://www.nevo.co.il/case/23662216" TargetMode="External"/><Relationship Id="rId69" Type="http://schemas.openxmlformats.org/officeDocument/2006/relationships/hyperlink" Target="http://www.nevo.co.il/case/5885411" TargetMode="External"/><Relationship Id="rId77" Type="http://schemas.openxmlformats.org/officeDocument/2006/relationships/hyperlink" Target="http://www.nevo.co.il/case/6055128"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329.a.1" TargetMode="External"/><Relationship Id="rId72" Type="http://schemas.openxmlformats.org/officeDocument/2006/relationships/hyperlink" Target="http://www.nevo.co.il/law/74918/32" TargetMode="External"/><Relationship Id="rId80" Type="http://schemas.openxmlformats.org/officeDocument/2006/relationships/hyperlink" Target="http://www.nevo.co.il/case/27272576" TargetMode="External"/><Relationship Id="rId85"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29"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29" TargetMode="External"/><Relationship Id="rId59" Type="http://schemas.openxmlformats.org/officeDocument/2006/relationships/hyperlink" Target="http://www.nevo.co.il/case/27650664" TargetMode="External"/><Relationship Id="rId67" Type="http://schemas.openxmlformats.org/officeDocument/2006/relationships/hyperlink" Target="http://www.nevo.co.il/case/21472945" TargetMode="External"/><Relationship Id="rId20" Type="http://schemas.openxmlformats.org/officeDocument/2006/relationships/hyperlink" Target="http://www.nevo.co.il/law/74918/32" TargetMode="External"/><Relationship Id="rId41" Type="http://schemas.openxmlformats.org/officeDocument/2006/relationships/hyperlink" Target="http://www.nevo.co.il/case/20923897" TargetMode="External"/><Relationship Id="rId54" Type="http://schemas.openxmlformats.org/officeDocument/2006/relationships/hyperlink" Target="http://www.nevo.co.il/law/70301/329.a.2" TargetMode="External"/><Relationship Id="rId62" Type="http://schemas.openxmlformats.org/officeDocument/2006/relationships/hyperlink" Target="http://www.nevo.co.il/law/70301/329.a.1" TargetMode="External"/><Relationship Id="rId70" Type="http://schemas.openxmlformats.org/officeDocument/2006/relationships/hyperlink" Target="http://www.nevo.co.il/law/70301/40ja" TargetMode="External"/><Relationship Id="rId75" Type="http://schemas.openxmlformats.org/officeDocument/2006/relationships/hyperlink" Target="http://www.nevo.co.il/law/74918/32.a" TargetMode="External"/><Relationship Id="rId83" Type="http://schemas.openxmlformats.org/officeDocument/2006/relationships/hyperlink" Target="http://www.nevo.co.il/law/70301" TargetMode="External"/><Relationship Id="rId88" Type="http://schemas.openxmlformats.org/officeDocument/2006/relationships/header" Target="header2.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4918/39.a"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329.a.1.;329.a.2"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4918"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599049" TargetMode="External"/><Relationship Id="rId60" Type="http://schemas.openxmlformats.org/officeDocument/2006/relationships/hyperlink" Target="http://www.nevo.co.il/law/70301/329.a.2" TargetMode="External"/><Relationship Id="rId65" Type="http://schemas.openxmlformats.org/officeDocument/2006/relationships/hyperlink" Target="http://www.nevo.co.il/case/5594302" TargetMode="External"/><Relationship Id="rId73" Type="http://schemas.openxmlformats.org/officeDocument/2006/relationships/hyperlink" Target="http://www.nevo.co.il/law/74918/39" TargetMode="External"/><Relationship Id="rId78" Type="http://schemas.openxmlformats.org/officeDocument/2006/relationships/hyperlink" Target="http://www.nevo.co.il/law/74918/39.a" TargetMode="External"/><Relationship Id="rId81" Type="http://schemas.openxmlformats.org/officeDocument/2006/relationships/hyperlink" Target="http://www.nevo.co.il/case/6078682" TargetMode="External"/><Relationship Id="rId86"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329.a.1" TargetMode="External"/><Relationship Id="rId18" Type="http://schemas.openxmlformats.org/officeDocument/2006/relationships/hyperlink" Target="http://www.nevo.co.il/law/70301/jaCe1S" TargetMode="External"/><Relationship Id="rId39" Type="http://schemas.openxmlformats.org/officeDocument/2006/relationships/hyperlink" Target="http://www.nevo.co.il/law/70301/40e" TargetMode="External"/><Relationship Id="rId34" Type="http://schemas.openxmlformats.org/officeDocument/2006/relationships/hyperlink" Target="http://www.nevo.co.il/case/6018516" TargetMode="External"/><Relationship Id="rId50" Type="http://schemas.openxmlformats.org/officeDocument/2006/relationships/hyperlink" Target="http://www.nevo.co.il/case/2147865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4918/39.a"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evo.co.il/law/74918/32" TargetMode="External"/><Relationship Id="rId24" Type="http://schemas.openxmlformats.org/officeDocument/2006/relationships/hyperlink" Target="http://www.nevo.co.il/law/70301/329.a.2"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5305595" TargetMode="External"/><Relationship Id="rId66" Type="http://schemas.openxmlformats.org/officeDocument/2006/relationships/hyperlink" Target="http://www.nevo.co.il/safrut/book/3366" TargetMode="External"/><Relationship Id="rId87" Type="http://schemas.openxmlformats.org/officeDocument/2006/relationships/header" Target="header1.xml"/><Relationship Id="rId61" Type="http://schemas.openxmlformats.org/officeDocument/2006/relationships/hyperlink" Target="http://www.nevo.co.il/case/20170896" TargetMode="External"/><Relationship Id="rId82" Type="http://schemas.openxmlformats.org/officeDocument/2006/relationships/hyperlink" Target="http://www.nevo.co.il/case/6008944" TargetMode="External"/><Relationship Id="rId19"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6780</Words>
  <Characters>33900</Characters>
  <Application>Microsoft Office Word</Application>
  <DocSecurity>0</DocSecurity>
  <Lines>282</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40599</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7995492</vt:i4>
      </vt:variant>
      <vt:variant>
        <vt:i4>237</vt:i4>
      </vt:variant>
      <vt:variant>
        <vt:i4>0</vt:i4>
      </vt:variant>
      <vt:variant>
        <vt:i4>5</vt:i4>
      </vt:variant>
      <vt:variant>
        <vt:lpwstr>http://www.nevo.co.il/law/70301</vt:lpwstr>
      </vt:variant>
      <vt:variant>
        <vt:lpwstr/>
      </vt:variant>
      <vt:variant>
        <vt:i4>2228333</vt:i4>
      </vt:variant>
      <vt:variant>
        <vt:i4>234</vt:i4>
      </vt:variant>
      <vt:variant>
        <vt:i4>0</vt:i4>
      </vt:variant>
      <vt:variant>
        <vt:i4>5</vt:i4>
      </vt:variant>
      <vt:variant>
        <vt:lpwstr>http://www.nevo.co.il/law/70301/jaCe1S</vt:lpwstr>
      </vt:variant>
      <vt:variant>
        <vt:lpwstr/>
      </vt:variant>
      <vt:variant>
        <vt:i4>7995492</vt:i4>
      </vt:variant>
      <vt:variant>
        <vt:i4>231</vt:i4>
      </vt:variant>
      <vt:variant>
        <vt:i4>0</vt:i4>
      </vt:variant>
      <vt:variant>
        <vt:i4>5</vt:i4>
      </vt:variant>
      <vt:variant>
        <vt:lpwstr>http://www.nevo.co.il/law/70301</vt:lpwstr>
      </vt:variant>
      <vt:variant>
        <vt:lpwstr/>
      </vt:variant>
      <vt:variant>
        <vt:i4>3866744</vt:i4>
      </vt:variant>
      <vt:variant>
        <vt:i4>228</vt:i4>
      </vt:variant>
      <vt:variant>
        <vt:i4>0</vt:i4>
      </vt:variant>
      <vt:variant>
        <vt:i4>5</vt:i4>
      </vt:variant>
      <vt:variant>
        <vt:lpwstr>http://www.nevo.co.il/case/6008944</vt:lpwstr>
      </vt:variant>
      <vt:variant>
        <vt:lpwstr/>
      </vt:variant>
      <vt:variant>
        <vt:i4>3473524</vt:i4>
      </vt:variant>
      <vt:variant>
        <vt:i4>225</vt:i4>
      </vt:variant>
      <vt:variant>
        <vt:i4>0</vt:i4>
      </vt:variant>
      <vt:variant>
        <vt:i4>5</vt:i4>
      </vt:variant>
      <vt:variant>
        <vt:lpwstr>http://www.nevo.co.il/case/6078682</vt:lpwstr>
      </vt:variant>
      <vt:variant>
        <vt:lpwstr/>
      </vt:variant>
      <vt:variant>
        <vt:i4>3473521</vt:i4>
      </vt:variant>
      <vt:variant>
        <vt:i4>222</vt:i4>
      </vt:variant>
      <vt:variant>
        <vt:i4>0</vt:i4>
      </vt:variant>
      <vt:variant>
        <vt:i4>5</vt:i4>
      </vt:variant>
      <vt:variant>
        <vt:lpwstr>http://www.nevo.co.il/case/27272576</vt:lpwstr>
      </vt:variant>
      <vt:variant>
        <vt:lpwstr/>
      </vt:variant>
      <vt:variant>
        <vt:i4>3473522</vt:i4>
      </vt:variant>
      <vt:variant>
        <vt:i4>219</vt:i4>
      </vt:variant>
      <vt:variant>
        <vt:i4>0</vt:i4>
      </vt:variant>
      <vt:variant>
        <vt:i4>5</vt:i4>
      </vt:variant>
      <vt:variant>
        <vt:lpwstr>http://www.nevo.co.il/case/17914099</vt:lpwstr>
      </vt:variant>
      <vt:variant>
        <vt:lpwstr/>
      </vt:variant>
      <vt:variant>
        <vt:i4>524363</vt:i4>
      </vt:variant>
      <vt:variant>
        <vt:i4>216</vt:i4>
      </vt:variant>
      <vt:variant>
        <vt:i4>0</vt:i4>
      </vt:variant>
      <vt:variant>
        <vt:i4>5</vt:i4>
      </vt:variant>
      <vt:variant>
        <vt:lpwstr>http://www.nevo.co.il/law/74918/39.a</vt:lpwstr>
      </vt:variant>
      <vt:variant>
        <vt:lpwstr/>
      </vt:variant>
      <vt:variant>
        <vt:i4>3801203</vt:i4>
      </vt:variant>
      <vt:variant>
        <vt:i4>213</vt:i4>
      </vt:variant>
      <vt:variant>
        <vt:i4>0</vt:i4>
      </vt:variant>
      <vt:variant>
        <vt:i4>5</vt:i4>
      </vt:variant>
      <vt:variant>
        <vt:lpwstr>http://www.nevo.co.il/case/6055128</vt:lpwstr>
      </vt:variant>
      <vt:variant>
        <vt:lpwstr/>
      </vt:variant>
      <vt:variant>
        <vt:i4>524363</vt:i4>
      </vt:variant>
      <vt:variant>
        <vt:i4>210</vt:i4>
      </vt:variant>
      <vt:variant>
        <vt:i4>0</vt:i4>
      </vt:variant>
      <vt:variant>
        <vt:i4>5</vt:i4>
      </vt:variant>
      <vt:variant>
        <vt:lpwstr>http://www.nevo.co.il/law/74918/39.a</vt:lpwstr>
      </vt:variant>
      <vt:variant>
        <vt:lpwstr/>
      </vt:variant>
      <vt:variant>
        <vt:i4>196683</vt:i4>
      </vt:variant>
      <vt:variant>
        <vt:i4>207</vt:i4>
      </vt:variant>
      <vt:variant>
        <vt:i4>0</vt:i4>
      </vt:variant>
      <vt:variant>
        <vt:i4>5</vt:i4>
      </vt:variant>
      <vt:variant>
        <vt:lpwstr>http://www.nevo.co.il/law/74918/32.a</vt:lpwstr>
      </vt:variant>
      <vt:variant>
        <vt:lpwstr/>
      </vt:variant>
      <vt:variant>
        <vt:i4>8323182</vt:i4>
      </vt:variant>
      <vt:variant>
        <vt:i4>204</vt:i4>
      </vt:variant>
      <vt:variant>
        <vt:i4>0</vt:i4>
      </vt:variant>
      <vt:variant>
        <vt:i4>5</vt:i4>
      </vt:variant>
      <vt:variant>
        <vt:lpwstr>http://www.nevo.co.il/law/74918</vt:lpwstr>
      </vt:variant>
      <vt:variant>
        <vt:lpwstr/>
      </vt:variant>
      <vt:variant>
        <vt:i4>6881381</vt:i4>
      </vt:variant>
      <vt:variant>
        <vt:i4>201</vt:i4>
      </vt:variant>
      <vt:variant>
        <vt:i4>0</vt:i4>
      </vt:variant>
      <vt:variant>
        <vt:i4>5</vt:i4>
      </vt:variant>
      <vt:variant>
        <vt:lpwstr>http://www.nevo.co.il/law/74918/39</vt:lpwstr>
      </vt:variant>
      <vt:variant>
        <vt:lpwstr/>
      </vt:variant>
      <vt:variant>
        <vt:i4>6422629</vt:i4>
      </vt:variant>
      <vt:variant>
        <vt:i4>198</vt:i4>
      </vt:variant>
      <vt:variant>
        <vt:i4>0</vt:i4>
      </vt:variant>
      <vt:variant>
        <vt:i4>5</vt:i4>
      </vt:variant>
      <vt:variant>
        <vt:lpwstr>http://www.nevo.co.il/law/74918/32</vt:lpwstr>
      </vt:variant>
      <vt:variant>
        <vt:lpwstr/>
      </vt:variant>
      <vt:variant>
        <vt:i4>7995492</vt:i4>
      </vt:variant>
      <vt:variant>
        <vt:i4>195</vt:i4>
      </vt:variant>
      <vt:variant>
        <vt:i4>0</vt:i4>
      </vt:variant>
      <vt:variant>
        <vt:i4>5</vt:i4>
      </vt:variant>
      <vt:variant>
        <vt:lpwstr>http://www.nevo.co.il/law/70301</vt:lpwstr>
      </vt:variant>
      <vt:variant>
        <vt:lpwstr/>
      </vt:variant>
      <vt:variant>
        <vt:i4>262155</vt:i4>
      </vt:variant>
      <vt:variant>
        <vt:i4>192</vt:i4>
      </vt:variant>
      <vt:variant>
        <vt:i4>0</vt:i4>
      </vt:variant>
      <vt:variant>
        <vt:i4>5</vt:i4>
      </vt:variant>
      <vt:variant>
        <vt:lpwstr>http://www.nevo.co.il/law/70301/40ja</vt:lpwstr>
      </vt:variant>
      <vt:variant>
        <vt:lpwstr/>
      </vt:variant>
      <vt:variant>
        <vt:i4>3670136</vt:i4>
      </vt:variant>
      <vt:variant>
        <vt:i4>189</vt:i4>
      </vt:variant>
      <vt:variant>
        <vt:i4>0</vt:i4>
      </vt:variant>
      <vt:variant>
        <vt:i4>5</vt:i4>
      </vt:variant>
      <vt:variant>
        <vt:lpwstr>http://www.nevo.co.il/case/5885411</vt:lpwstr>
      </vt:variant>
      <vt:variant>
        <vt:lpwstr/>
      </vt:variant>
      <vt:variant>
        <vt:i4>3735665</vt:i4>
      </vt:variant>
      <vt:variant>
        <vt:i4>186</vt:i4>
      </vt:variant>
      <vt:variant>
        <vt:i4>0</vt:i4>
      </vt:variant>
      <vt:variant>
        <vt:i4>5</vt:i4>
      </vt:variant>
      <vt:variant>
        <vt:lpwstr>http://www.nevo.co.il/case/20863306</vt:lpwstr>
      </vt:variant>
      <vt:variant>
        <vt:lpwstr/>
      </vt:variant>
      <vt:variant>
        <vt:i4>3145851</vt:i4>
      </vt:variant>
      <vt:variant>
        <vt:i4>183</vt:i4>
      </vt:variant>
      <vt:variant>
        <vt:i4>0</vt:i4>
      </vt:variant>
      <vt:variant>
        <vt:i4>5</vt:i4>
      </vt:variant>
      <vt:variant>
        <vt:lpwstr>http://www.nevo.co.il/case/21472945</vt:lpwstr>
      </vt:variant>
      <vt:variant>
        <vt:lpwstr/>
      </vt:variant>
      <vt:variant>
        <vt:i4>7602229</vt:i4>
      </vt:variant>
      <vt:variant>
        <vt:i4>180</vt:i4>
      </vt:variant>
      <vt:variant>
        <vt:i4>0</vt:i4>
      </vt:variant>
      <vt:variant>
        <vt:i4>5</vt:i4>
      </vt:variant>
      <vt:variant>
        <vt:lpwstr>http://www.nevo.co.il/safrut/book/3366</vt:lpwstr>
      </vt:variant>
      <vt:variant>
        <vt:lpwstr/>
      </vt:variant>
      <vt:variant>
        <vt:i4>3997813</vt:i4>
      </vt:variant>
      <vt:variant>
        <vt:i4>177</vt:i4>
      </vt:variant>
      <vt:variant>
        <vt:i4>0</vt:i4>
      </vt:variant>
      <vt:variant>
        <vt:i4>5</vt:i4>
      </vt:variant>
      <vt:variant>
        <vt:lpwstr>http://www.nevo.co.il/case/5594302</vt:lpwstr>
      </vt:variant>
      <vt:variant>
        <vt:lpwstr/>
      </vt:variant>
      <vt:variant>
        <vt:i4>3604595</vt:i4>
      </vt:variant>
      <vt:variant>
        <vt:i4>174</vt:i4>
      </vt:variant>
      <vt:variant>
        <vt:i4>0</vt:i4>
      </vt:variant>
      <vt:variant>
        <vt:i4>5</vt:i4>
      </vt:variant>
      <vt:variant>
        <vt:lpwstr>http://www.nevo.co.il/case/23662216</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6750270</vt:i4>
      </vt:variant>
      <vt:variant>
        <vt:i4>168</vt:i4>
      </vt:variant>
      <vt:variant>
        <vt:i4>0</vt:i4>
      </vt:variant>
      <vt:variant>
        <vt:i4>5</vt:i4>
      </vt:variant>
      <vt:variant>
        <vt:lpwstr>http://www.nevo.co.il/law/70301/329.a.1</vt:lpwstr>
      </vt:variant>
      <vt:variant>
        <vt:lpwstr/>
      </vt:variant>
      <vt:variant>
        <vt:i4>3801211</vt:i4>
      </vt:variant>
      <vt:variant>
        <vt:i4>165</vt:i4>
      </vt:variant>
      <vt:variant>
        <vt:i4>0</vt:i4>
      </vt:variant>
      <vt:variant>
        <vt:i4>5</vt:i4>
      </vt:variant>
      <vt:variant>
        <vt:lpwstr>http://www.nevo.co.il/case/20170896</vt:lpwstr>
      </vt:variant>
      <vt:variant>
        <vt:lpwstr/>
      </vt:variant>
      <vt:variant>
        <vt:i4>6750270</vt:i4>
      </vt:variant>
      <vt:variant>
        <vt:i4>162</vt:i4>
      </vt:variant>
      <vt:variant>
        <vt:i4>0</vt:i4>
      </vt:variant>
      <vt:variant>
        <vt:i4>5</vt:i4>
      </vt:variant>
      <vt:variant>
        <vt:lpwstr>http://www.nevo.co.il/law/70301/329.a.2</vt:lpwstr>
      </vt:variant>
      <vt:variant>
        <vt:lpwstr/>
      </vt:variant>
      <vt:variant>
        <vt:i4>3276912</vt:i4>
      </vt:variant>
      <vt:variant>
        <vt:i4>159</vt:i4>
      </vt:variant>
      <vt:variant>
        <vt:i4>0</vt:i4>
      </vt:variant>
      <vt:variant>
        <vt:i4>5</vt:i4>
      </vt:variant>
      <vt:variant>
        <vt:lpwstr>http://www.nevo.co.il/case/27650664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1048582</vt:i4>
      </vt:variant>
      <vt:variant>
        <vt:i4>153</vt:i4>
      </vt:variant>
      <vt:variant>
        <vt:i4>0</vt:i4>
      </vt:variant>
      <vt:variant>
        <vt:i4>5</vt:i4>
      </vt:variant>
      <vt:variant>
        <vt:lpwstr>http://www.nevo.co.il/law/70301/329.a.1.;329.a.2</vt:lpwstr>
      </vt:variant>
      <vt:variant>
        <vt:lpwstr/>
      </vt:variant>
      <vt:variant>
        <vt:i4>3997809</vt:i4>
      </vt:variant>
      <vt:variant>
        <vt:i4>150</vt:i4>
      </vt:variant>
      <vt:variant>
        <vt:i4>0</vt:i4>
      </vt:variant>
      <vt:variant>
        <vt:i4>5</vt:i4>
      </vt:variant>
      <vt:variant>
        <vt:lpwstr>http://www.nevo.co.il/case/3506668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6750270</vt:i4>
      </vt:variant>
      <vt:variant>
        <vt:i4>144</vt:i4>
      </vt:variant>
      <vt:variant>
        <vt:i4>0</vt:i4>
      </vt:variant>
      <vt:variant>
        <vt:i4>5</vt:i4>
      </vt:variant>
      <vt:variant>
        <vt:lpwstr>http://www.nevo.co.il/law/70301/329.a.2</vt:lpwstr>
      </vt:variant>
      <vt:variant>
        <vt:lpwstr/>
      </vt:variant>
      <vt:variant>
        <vt:i4>6750270</vt:i4>
      </vt:variant>
      <vt:variant>
        <vt:i4>141</vt:i4>
      </vt:variant>
      <vt:variant>
        <vt:i4>0</vt:i4>
      </vt:variant>
      <vt:variant>
        <vt:i4>5</vt:i4>
      </vt:variant>
      <vt:variant>
        <vt:lpwstr>http://www.nevo.co.il/law/70301/329.a.1</vt:lpwstr>
      </vt:variant>
      <vt:variant>
        <vt:lpwstr/>
      </vt:variant>
      <vt:variant>
        <vt:i4>3473532</vt:i4>
      </vt:variant>
      <vt:variant>
        <vt:i4>138</vt:i4>
      </vt:variant>
      <vt:variant>
        <vt:i4>0</vt:i4>
      </vt:variant>
      <vt:variant>
        <vt:i4>5</vt:i4>
      </vt:variant>
      <vt:variant>
        <vt:lpwstr>http://www.nevo.co.il/case/5599049</vt:lpwstr>
      </vt:variant>
      <vt:variant>
        <vt:lpwstr/>
      </vt:variant>
      <vt:variant>
        <vt:i4>6750270</vt:i4>
      </vt:variant>
      <vt:variant>
        <vt:i4>135</vt:i4>
      </vt:variant>
      <vt:variant>
        <vt:i4>0</vt:i4>
      </vt:variant>
      <vt:variant>
        <vt:i4>5</vt:i4>
      </vt:variant>
      <vt:variant>
        <vt:lpwstr>http://www.nevo.co.il/law/70301/329.a.1</vt:lpwstr>
      </vt:variant>
      <vt:variant>
        <vt:lpwstr/>
      </vt:variant>
      <vt:variant>
        <vt:i4>3866740</vt:i4>
      </vt:variant>
      <vt:variant>
        <vt:i4>132</vt:i4>
      </vt:variant>
      <vt:variant>
        <vt:i4>0</vt:i4>
      </vt:variant>
      <vt:variant>
        <vt:i4>5</vt:i4>
      </vt:variant>
      <vt:variant>
        <vt:lpwstr>http://www.nevo.co.il/case/21478651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6750270</vt:i4>
      </vt:variant>
      <vt:variant>
        <vt:i4>126</vt:i4>
      </vt:variant>
      <vt:variant>
        <vt:i4>0</vt:i4>
      </vt:variant>
      <vt:variant>
        <vt:i4>5</vt:i4>
      </vt:variant>
      <vt:variant>
        <vt:lpwstr>http://www.nevo.co.il/law/70301/329.a.2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6750310</vt:i4>
      </vt:variant>
      <vt:variant>
        <vt:i4>120</vt:i4>
      </vt:variant>
      <vt:variant>
        <vt:i4>0</vt:i4>
      </vt:variant>
      <vt:variant>
        <vt:i4>5</vt:i4>
      </vt:variant>
      <vt:variant>
        <vt:lpwstr>http://www.nevo.co.il/law/70301/329</vt:lpwstr>
      </vt:variant>
      <vt:variant>
        <vt:lpwstr/>
      </vt:variant>
      <vt:variant>
        <vt:i4>3997812</vt:i4>
      </vt:variant>
      <vt:variant>
        <vt:i4>117</vt:i4>
      </vt:variant>
      <vt:variant>
        <vt:i4>0</vt:i4>
      </vt:variant>
      <vt:variant>
        <vt:i4>5</vt:i4>
      </vt:variant>
      <vt:variant>
        <vt:lpwstr>http://www.nevo.co.il/case/25305595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6750310</vt:i4>
      </vt:variant>
      <vt:variant>
        <vt:i4>111</vt:i4>
      </vt:variant>
      <vt:variant>
        <vt:i4>0</vt:i4>
      </vt:variant>
      <vt:variant>
        <vt:i4>5</vt:i4>
      </vt:variant>
      <vt:variant>
        <vt:lpwstr>http://www.nevo.co.il/law/70301/329</vt:lpwstr>
      </vt:variant>
      <vt:variant>
        <vt:lpwstr/>
      </vt:variant>
      <vt:variant>
        <vt:i4>3145843</vt:i4>
      </vt:variant>
      <vt:variant>
        <vt:i4>108</vt:i4>
      </vt:variant>
      <vt:variant>
        <vt:i4>0</vt:i4>
      </vt:variant>
      <vt:variant>
        <vt:i4>5</vt:i4>
      </vt:variant>
      <vt:variant>
        <vt:lpwstr>http://www.nevo.co.il/case/24269594</vt:lpwstr>
      </vt:variant>
      <vt:variant>
        <vt:lpwstr/>
      </vt:variant>
      <vt:variant>
        <vt:i4>3211390</vt:i4>
      </vt:variant>
      <vt:variant>
        <vt:i4>105</vt:i4>
      </vt:variant>
      <vt:variant>
        <vt:i4>0</vt:i4>
      </vt:variant>
      <vt:variant>
        <vt:i4>5</vt:i4>
      </vt:variant>
      <vt:variant>
        <vt:lpwstr>http://www.nevo.co.il/case/20923897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http://www.nevo.co.il/law/70301/40e</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7995492</vt:i4>
      </vt:variant>
      <vt:variant>
        <vt:i4>90</vt:i4>
      </vt:variant>
      <vt:variant>
        <vt:i4>0</vt:i4>
      </vt:variant>
      <vt:variant>
        <vt:i4>5</vt:i4>
      </vt:variant>
      <vt:variant>
        <vt:lpwstr>http://www.nevo.co.il/law/70301</vt:lpwstr>
      </vt:variant>
      <vt:variant>
        <vt:lpwstr/>
      </vt:variant>
      <vt:variant>
        <vt:i4>458834</vt:i4>
      </vt:variant>
      <vt:variant>
        <vt:i4>87</vt:i4>
      </vt:variant>
      <vt:variant>
        <vt:i4>0</vt:i4>
      </vt:variant>
      <vt:variant>
        <vt:i4>5</vt:i4>
      </vt:variant>
      <vt:variant>
        <vt:lpwstr>http://www.nevo.co.il/law/70301/fCa1S</vt:lpwstr>
      </vt:variant>
      <vt:variant>
        <vt:lpwstr/>
      </vt:variant>
      <vt:variant>
        <vt:i4>3407997</vt:i4>
      </vt:variant>
      <vt:variant>
        <vt:i4>84</vt:i4>
      </vt:variant>
      <vt:variant>
        <vt:i4>0</vt:i4>
      </vt:variant>
      <vt:variant>
        <vt:i4>5</vt:i4>
      </vt:variant>
      <vt:variant>
        <vt:lpwstr>http://www.nevo.co.il/case/6018516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http://www.nevo.co.il/law/70301/40c</vt:lpwstr>
      </vt:variant>
      <vt:variant>
        <vt:lpwstr/>
      </vt:variant>
      <vt:variant>
        <vt:i4>8323182</vt:i4>
      </vt:variant>
      <vt:variant>
        <vt:i4>75</vt:i4>
      </vt:variant>
      <vt:variant>
        <vt:i4>0</vt:i4>
      </vt:variant>
      <vt:variant>
        <vt:i4>5</vt:i4>
      </vt:variant>
      <vt:variant>
        <vt:lpwstr>http://www.nevo.co.il/law/74918</vt:lpwstr>
      </vt:variant>
      <vt:variant>
        <vt:lpwstr/>
      </vt:variant>
      <vt:variant>
        <vt:i4>6881381</vt:i4>
      </vt:variant>
      <vt:variant>
        <vt:i4>72</vt:i4>
      </vt:variant>
      <vt:variant>
        <vt:i4>0</vt:i4>
      </vt:variant>
      <vt:variant>
        <vt:i4>5</vt:i4>
      </vt:variant>
      <vt:variant>
        <vt:lpwstr>http://www.nevo.co.il/law/74918/39</vt:lpwstr>
      </vt:variant>
      <vt:variant>
        <vt:lpwstr/>
      </vt:variant>
      <vt:variant>
        <vt:i4>6422629</vt:i4>
      </vt:variant>
      <vt:variant>
        <vt:i4>69</vt:i4>
      </vt:variant>
      <vt:variant>
        <vt:i4>0</vt:i4>
      </vt:variant>
      <vt:variant>
        <vt:i4>5</vt:i4>
      </vt:variant>
      <vt:variant>
        <vt:lpwstr>http://www.nevo.co.il/law/74918/32</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65618</vt:i4>
      </vt:variant>
      <vt:variant>
        <vt:i4>63</vt:i4>
      </vt:variant>
      <vt:variant>
        <vt:i4>0</vt:i4>
      </vt:variant>
      <vt:variant>
        <vt:i4>5</vt:i4>
      </vt:variant>
      <vt:variant>
        <vt:lpwstr>http://www.nevo.co.il/law/70301/413e</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6750270</vt:i4>
      </vt:variant>
      <vt:variant>
        <vt:i4>54</vt:i4>
      </vt:variant>
      <vt:variant>
        <vt:i4>0</vt:i4>
      </vt:variant>
      <vt:variant>
        <vt:i4>5</vt:i4>
      </vt:variant>
      <vt:variant>
        <vt:lpwstr>http://www.nevo.co.il/law/70301/329.a.2</vt:lpwstr>
      </vt:variant>
      <vt:variant>
        <vt:lpwstr/>
      </vt:variant>
      <vt:variant>
        <vt:i4>524363</vt:i4>
      </vt:variant>
      <vt:variant>
        <vt:i4>51</vt:i4>
      </vt:variant>
      <vt:variant>
        <vt:i4>0</vt:i4>
      </vt:variant>
      <vt:variant>
        <vt:i4>5</vt:i4>
      </vt:variant>
      <vt:variant>
        <vt:lpwstr>http://www.nevo.co.il/law/74918/39.a</vt:lpwstr>
      </vt:variant>
      <vt:variant>
        <vt:lpwstr/>
      </vt:variant>
      <vt:variant>
        <vt:i4>6881381</vt:i4>
      </vt:variant>
      <vt:variant>
        <vt:i4>48</vt:i4>
      </vt:variant>
      <vt:variant>
        <vt:i4>0</vt:i4>
      </vt:variant>
      <vt:variant>
        <vt:i4>5</vt:i4>
      </vt:variant>
      <vt:variant>
        <vt:lpwstr>http://www.nevo.co.il/law/74918/39</vt:lpwstr>
      </vt:variant>
      <vt:variant>
        <vt:lpwstr/>
      </vt:variant>
      <vt:variant>
        <vt:i4>196683</vt:i4>
      </vt:variant>
      <vt:variant>
        <vt:i4>45</vt:i4>
      </vt:variant>
      <vt:variant>
        <vt:i4>0</vt:i4>
      </vt:variant>
      <vt:variant>
        <vt:i4>5</vt:i4>
      </vt:variant>
      <vt:variant>
        <vt:lpwstr>http://www.nevo.co.il/law/74918/32.a</vt:lpwstr>
      </vt:variant>
      <vt:variant>
        <vt:lpwstr/>
      </vt:variant>
      <vt:variant>
        <vt:i4>6422629</vt:i4>
      </vt:variant>
      <vt:variant>
        <vt:i4>42</vt:i4>
      </vt:variant>
      <vt:variant>
        <vt:i4>0</vt:i4>
      </vt:variant>
      <vt:variant>
        <vt:i4>5</vt:i4>
      </vt:variant>
      <vt:variant>
        <vt:lpwstr>http://www.nevo.co.il/law/74918/32</vt:lpwstr>
      </vt:variant>
      <vt:variant>
        <vt:lpwstr/>
      </vt:variant>
      <vt:variant>
        <vt:i4>8323182</vt:i4>
      </vt:variant>
      <vt:variant>
        <vt:i4>39</vt:i4>
      </vt:variant>
      <vt:variant>
        <vt:i4>0</vt:i4>
      </vt:variant>
      <vt:variant>
        <vt:i4>5</vt:i4>
      </vt:variant>
      <vt:variant>
        <vt:lpwstr>http://www.nevo.co.il/law/74918</vt:lpwstr>
      </vt:variant>
      <vt:variant>
        <vt:lpwstr/>
      </vt:variant>
      <vt:variant>
        <vt:i4>2228333</vt:i4>
      </vt:variant>
      <vt:variant>
        <vt:i4>36</vt:i4>
      </vt:variant>
      <vt:variant>
        <vt:i4>0</vt:i4>
      </vt:variant>
      <vt:variant>
        <vt:i4>5</vt:i4>
      </vt:variant>
      <vt:variant>
        <vt:lpwstr>http://www.nevo.co.il/law/70301/jaCe1S</vt:lpwstr>
      </vt:variant>
      <vt:variant>
        <vt:lpwstr/>
      </vt:variant>
      <vt:variant>
        <vt:i4>458834</vt:i4>
      </vt:variant>
      <vt:variant>
        <vt:i4>33</vt:i4>
      </vt:variant>
      <vt:variant>
        <vt:i4>0</vt:i4>
      </vt:variant>
      <vt:variant>
        <vt:i4>5</vt:i4>
      </vt:variant>
      <vt:variant>
        <vt:lpwstr>http://www.nevo.co.il/law/70301/fCa1S</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6750310</vt:i4>
      </vt:variant>
      <vt:variant>
        <vt:i4>18</vt:i4>
      </vt:variant>
      <vt:variant>
        <vt:i4>0</vt:i4>
      </vt:variant>
      <vt:variant>
        <vt:i4>5</vt:i4>
      </vt:variant>
      <vt:variant>
        <vt:lpwstr>http://www.nevo.co.il/law/70301/329</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15802</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רביע בדראן</vt:lpwstr>
  </property>
  <property fmtid="{D5CDD505-2E9C-101B-9397-08002B2CF9AE}" pid="10" name="LAWYER">
    <vt:lpwstr>סאמי מלחם;נירה שגב</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20221026</vt:lpwstr>
  </property>
  <property fmtid="{D5CDD505-2E9C-101B-9397-08002B2CF9AE}" pid="14" name="TYPE_N_DATE">
    <vt:lpwstr>39020221026</vt:lpwstr>
  </property>
  <property fmtid="{D5CDD505-2E9C-101B-9397-08002B2CF9AE}" pid="15" name="WORDNUMPAGES">
    <vt:lpwstr>18</vt:lpwstr>
  </property>
  <property fmtid="{D5CDD505-2E9C-101B-9397-08002B2CF9AE}" pid="16" name="TYPE_ABS_DATE">
    <vt:lpwstr>390020221026</vt:lpwstr>
  </property>
  <property fmtid="{D5CDD505-2E9C-101B-9397-08002B2CF9AE}" pid="17" name="ISABSTRACT">
    <vt:lpwstr>Y</vt:lpwstr>
  </property>
  <property fmtid="{D5CDD505-2E9C-101B-9397-08002B2CF9AE}" pid="18" name="CASESLISTTMP1">
    <vt:lpwstr>6018516;20923897;24269594;25305595;21478651;5599049;3506668;27650664;20170896;23662216;5594302;21472945;20863306;5885411;6055128;17914099;27272576;6078682;6008944</vt:lpwstr>
  </property>
  <property fmtid="{D5CDD505-2E9C-101B-9397-08002B2CF9AE}" pid="19" name="BOOKLISTTMP1">
    <vt:lpwstr>3366</vt:lpwstr>
  </property>
  <property fmtid="{D5CDD505-2E9C-101B-9397-08002B2CF9AE}" pid="20" name="LAWLISTTMP1">
    <vt:lpwstr>70301/329.a.2:5;029:2;413e;040c;fCa1S;040d;040e;329:2;329.a.1:4;40ja;jaCe1S</vt:lpwstr>
  </property>
  <property fmtid="{D5CDD505-2E9C-101B-9397-08002B2CF9AE}" pid="21" name="LAWLISTTMP2">
    <vt:lpwstr>74918/032:2;039:2;032.a;039.a:2</vt:lpwstr>
  </property>
</Properties>
</file>