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60"/>
        <w:gridCol w:w="3545"/>
      </w:tblGrid>
      <w:tr w:rsidR="00CA0EC0" w:rsidRPr="00923723" w14:paraId="5F2D88A5" w14:textId="77777777" w:rsidTr="003C3DB1">
        <w:trPr>
          <w:trHeight w:hRule="exact" w:val="418"/>
          <w:jc w:val="center"/>
        </w:trPr>
        <w:tc>
          <w:tcPr>
            <w:tcW w:w="8505" w:type="dxa"/>
            <w:gridSpan w:val="2"/>
          </w:tcPr>
          <w:p w14:paraId="7E1AA4B4" w14:textId="77777777" w:rsidR="00CA0EC0" w:rsidRPr="00923723" w:rsidRDefault="00CA0EC0" w:rsidP="003C3DB1">
            <w:pPr>
              <w:pStyle w:val="a3"/>
              <w:jc w:val="center"/>
              <w:rPr>
                <w:rFonts w:ascii="Tahoma" w:hAnsi="Tahoma" w:cs="Tahoma"/>
                <w:color w:val="000080"/>
                <w:rtl/>
              </w:rPr>
            </w:pPr>
            <w:bookmarkStart w:id="0" w:name="LastJudge"/>
            <w:r w:rsidRPr="00923723">
              <w:rPr>
                <w:rFonts w:ascii="Tahoma" w:hAnsi="Tahoma" w:cs="Tahoma"/>
                <w:b/>
                <w:bCs/>
                <w:color w:val="000080"/>
                <w:rtl/>
              </w:rPr>
              <w:t>בית המשפט המחוזי בירושלים</w:t>
            </w:r>
          </w:p>
        </w:tc>
      </w:tr>
      <w:tr w:rsidR="00CA0EC0" w:rsidRPr="00923723" w14:paraId="31917C14" w14:textId="77777777" w:rsidTr="003C3DB1">
        <w:trPr>
          <w:trHeight w:val="337"/>
          <w:jc w:val="center"/>
        </w:trPr>
        <w:tc>
          <w:tcPr>
            <w:tcW w:w="4960" w:type="dxa"/>
          </w:tcPr>
          <w:p w14:paraId="70E01A80" w14:textId="77777777" w:rsidR="00CA0EC0" w:rsidRPr="00923723" w:rsidRDefault="00CA0EC0" w:rsidP="003C3DB1">
            <w:pPr>
              <w:rPr>
                <w:rFonts w:cs="FrankRuehl"/>
                <w:sz w:val="28"/>
                <w:szCs w:val="28"/>
                <w:rtl/>
              </w:rPr>
            </w:pPr>
            <w:r w:rsidRPr="00923723">
              <w:rPr>
                <w:rFonts w:cs="FrankRuehl"/>
                <w:sz w:val="30"/>
                <w:szCs w:val="30"/>
                <w:rtl/>
              </w:rPr>
              <w:t>ת"פ</w:t>
            </w:r>
            <w:r w:rsidRPr="00923723">
              <w:rPr>
                <w:rFonts w:cs="FrankRuehl" w:hint="cs"/>
                <w:sz w:val="30"/>
                <w:szCs w:val="30"/>
                <w:rtl/>
              </w:rPr>
              <w:t xml:space="preserve"> </w:t>
            </w:r>
            <w:r w:rsidRPr="00923723">
              <w:rPr>
                <w:rFonts w:cs="FrankRuehl"/>
                <w:sz w:val="30"/>
                <w:szCs w:val="30"/>
                <w:rtl/>
              </w:rPr>
              <w:t>18421-04-22</w:t>
            </w:r>
            <w:r w:rsidRPr="00923723">
              <w:rPr>
                <w:rFonts w:cs="FrankRuehl" w:hint="cs"/>
                <w:sz w:val="30"/>
                <w:szCs w:val="30"/>
                <w:rtl/>
              </w:rPr>
              <w:t xml:space="preserve"> </w:t>
            </w:r>
            <w:r w:rsidRPr="00923723">
              <w:rPr>
                <w:rFonts w:cs="FrankRuehl"/>
                <w:sz w:val="30"/>
                <w:szCs w:val="30"/>
                <w:rtl/>
              </w:rPr>
              <w:t>מדינת ישראל נ' אעליאן</w:t>
            </w:r>
          </w:p>
        </w:tc>
        <w:tc>
          <w:tcPr>
            <w:tcW w:w="3545" w:type="dxa"/>
          </w:tcPr>
          <w:p w14:paraId="6065844E" w14:textId="77777777" w:rsidR="00CA0EC0" w:rsidRPr="00923723" w:rsidRDefault="00CA0EC0" w:rsidP="003C3DB1">
            <w:pPr>
              <w:pStyle w:val="a3"/>
              <w:jc w:val="right"/>
              <w:rPr>
                <w:rFonts w:cs="FrankRuehl"/>
                <w:sz w:val="28"/>
                <w:szCs w:val="28"/>
                <w:rtl/>
              </w:rPr>
            </w:pPr>
          </w:p>
        </w:tc>
      </w:tr>
    </w:tbl>
    <w:p w14:paraId="3551D9A4" w14:textId="77777777" w:rsidR="00CA0EC0" w:rsidRPr="00923723" w:rsidRDefault="00CA0EC0" w:rsidP="00CA0EC0">
      <w:pPr>
        <w:pStyle w:val="a3"/>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770"/>
        <w:gridCol w:w="2127"/>
      </w:tblGrid>
      <w:tr w:rsidR="00CA0EC0" w:rsidRPr="00923723" w14:paraId="5E1D7F48" w14:textId="77777777" w:rsidTr="00CA0EC0">
        <w:trPr>
          <w:trHeight w:val="295"/>
          <w:jc w:val="center"/>
        </w:trPr>
        <w:tc>
          <w:tcPr>
            <w:tcW w:w="923" w:type="dxa"/>
            <w:tcBorders>
              <w:top w:val="nil"/>
              <w:left w:val="nil"/>
              <w:bottom w:val="nil"/>
              <w:right w:val="nil"/>
            </w:tcBorders>
            <w:shd w:val="clear" w:color="auto" w:fill="auto"/>
          </w:tcPr>
          <w:p w14:paraId="20174245" w14:textId="77777777" w:rsidR="00CA0EC0" w:rsidRPr="00923723" w:rsidRDefault="00CA0EC0" w:rsidP="00CA0EC0">
            <w:pPr>
              <w:jc w:val="both"/>
              <w:rPr>
                <w:rFonts w:ascii="FrankRuehl" w:hAnsi="FrankRuehl" w:cs="FrankRuehl"/>
                <w:sz w:val="30"/>
                <w:szCs w:val="30"/>
              </w:rPr>
            </w:pPr>
            <w:r w:rsidRPr="00923723">
              <w:rPr>
                <w:rFonts w:ascii="FrankRuehl" w:hAnsi="FrankRuehl" w:cs="FrankRuehl"/>
                <w:sz w:val="30"/>
                <w:szCs w:val="30"/>
                <w:rtl/>
              </w:rPr>
              <w:t xml:space="preserve">לפני </w:t>
            </w:r>
          </w:p>
        </w:tc>
        <w:tc>
          <w:tcPr>
            <w:tcW w:w="7897" w:type="dxa"/>
            <w:gridSpan w:val="2"/>
            <w:tcBorders>
              <w:top w:val="nil"/>
              <w:left w:val="nil"/>
              <w:bottom w:val="nil"/>
              <w:right w:val="nil"/>
            </w:tcBorders>
            <w:shd w:val="clear" w:color="auto" w:fill="auto"/>
          </w:tcPr>
          <w:p w14:paraId="375614CD" w14:textId="77777777" w:rsidR="00CA0EC0" w:rsidRPr="00923723" w:rsidRDefault="00CA0EC0" w:rsidP="003C3DB1">
            <w:pPr>
              <w:rPr>
                <w:rFonts w:ascii="FrankRuehl" w:hAnsi="FrankRuehl" w:cs="FrankRuehl"/>
                <w:b/>
                <w:bCs/>
                <w:sz w:val="30"/>
                <w:szCs w:val="30"/>
                <w:rtl/>
              </w:rPr>
            </w:pPr>
            <w:r w:rsidRPr="00923723">
              <w:rPr>
                <w:rFonts w:ascii="FrankRuehl" w:hAnsi="FrankRuehl" w:cs="FrankRuehl"/>
                <w:b/>
                <w:bCs/>
                <w:sz w:val="30"/>
                <w:szCs w:val="30"/>
                <w:rtl/>
              </w:rPr>
              <w:t>כב</w:t>
            </w:r>
            <w:r w:rsidRPr="00923723">
              <w:rPr>
                <w:rFonts w:ascii="FrankRuehl" w:hAnsi="FrankRuehl" w:cs="FrankRuehl" w:hint="cs"/>
                <w:b/>
                <w:bCs/>
                <w:sz w:val="30"/>
                <w:szCs w:val="30"/>
                <w:rtl/>
              </w:rPr>
              <w:t>'</w:t>
            </w:r>
            <w:r w:rsidRPr="00923723">
              <w:rPr>
                <w:rFonts w:ascii="FrankRuehl" w:hAnsi="FrankRuehl" w:cs="FrankRuehl"/>
                <w:b/>
                <w:bCs/>
                <w:sz w:val="30"/>
                <w:szCs w:val="30"/>
                <w:rtl/>
              </w:rPr>
              <w:t xml:space="preserve"> השופט אילן סלע</w:t>
            </w:r>
          </w:p>
          <w:p w14:paraId="7C68DE1A" w14:textId="77777777" w:rsidR="00CA0EC0" w:rsidRPr="00923723" w:rsidRDefault="00CA0EC0" w:rsidP="00CA0EC0">
            <w:pPr>
              <w:jc w:val="both"/>
              <w:rPr>
                <w:rFonts w:ascii="FrankRuehl" w:hAnsi="FrankRuehl" w:cs="FrankRuehl"/>
                <w:sz w:val="30"/>
                <w:szCs w:val="30"/>
              </w:rPr>
            </w:pPr>
          </w:p>
        </w:tc>
      </w:tr>
      <w:tr w:rsidR="00CA0EC0" w:rsidRPr="00923723" w14:paraId="6FD737DB" w14:textId="77777777" w:rsidTr="00CA0EC0">
        <w:trPr>
          <w:trHeight w:val="355"/>
          <w:jc w:val="center"/>
        </w:trPr>
        <w:tc>
          <w:tcPr>
            <w:tcW w:w="923" w:type="dxa"/>
            <w:tcBorders>
              <w:top w:val="nil"/>
              <w:left w:val="nil"/>
              <w:bottom w:val="nil"/>
              <w:right w:val="nil"/>
            </w:tcBorders>
            <w:shd w:val="clear" w:color="auto" w:fill="auto"/>
          </w:tcPr>
          <w:p w14:paraId="2CA8E677" w14:textId="77777777" w:rsidR="00CA0EC0" w:rsidRPr="00923723" w:rsidRDefault="00CA0EC0" w:rsidP="00CA0EC0">
            <w:pPr>
              <w:jc w:val="both"/>
              <w:rPr>
                <w:rFonts w:ascii="FrankRuehl" w:hAnsi="FrankRuehl" w:cs="FrankRuehl"/>
                <w:sz w:val="30"/>
                <w:szCs w:val="30"/>
              </w:rPr>
            </w:pPr>
            <w:bookmarkStart w:id="1" w:name="FirstAppellant"/>
            <w:r w:rsidRPr="00923723">
              <w:rPr>
                <w:rFonts w:ascii="FrankRuehl" w:hAnsi="FrankRuehl" w:cs="FrankRuehl"/>
                <w:sz w:val="30"/>
                <w:szCs w:val="30"/>
                <w:rtl/>
              </w:rPr>
              <w:t>בעניין:</w:t>
            </w:r>
          </w:p>
        </w:tc>
        <w:tc>
          <w:tcPr>
            <w:tcW w:w="5770" w:type="dxa"/>
            <w:tcBorders>
              <w:top w:val="nil"/>
              <w:left w:val="nil"/>
              <w:bottom w:val="nil"/>
              <w:right w:val="nil"/>
            </w:tcBorders>
            <w:shd w:val="clear" w:color="auto" w:fill="auto"/>
          </w:tcPr>
          <w:p w14:paraId="669E3FFD" w14:textId="77777777" w:rsidR="00CA0EC0" w:rsidRPr="00923723" w:rsidRDefault="00CA0EC0" w:rsidP="00CA0EC0">
            <w:pPr>
              <w:suppressLineNumbers/>
              <w:rPr>
                <w:rFonts w:ascii="FrankRuehl" w:hAnsi="FrankRuehl" w:cs="FrankRuehl"/>
                <w:b/>
                <w:bCs/>
                <w:sz w:val="30"/>
                <w:szCs w:val="30"/>
                <w:rtl/>
              </w:rPr>
            </w:pPr>
            <w:r w:rsidRPr="00923723">
              <w:rPr>
                <w:rFonts w:ascii="FrankRuehl" w:hAnsi="FrankRuehl" w:cs="FrankRuehl" w:hint="cs"/>
                <w:b/>
                <w:bCs/>
                <w:sz w:val="30"/>
                <w:szCs w:val="30"/>
                <w:rtl/>
              </w:rPr>
              <w:t>מדינת ישראל</w:t>
            </w:r>
          </w:p>
          <w:p w14:paraId="6009C82A" w14:textId="77777777" w:rsidR="00CA0EC0" w:rsidRPr="00923723" w:rsidRDefault="00CA0EC0" w:rsidP="00CA0EC0">
            <w:pPr>
              <w:suppressLineNumbers/>
              <w:rPr>
                <w:rFonts w:ascii="FrankRuehl" w:hAnsi="FrankRuehl" w:cs="FrankRuehl"/>
                <w:b/>
                <w:bCs/>
                <w:sz w:val="30"/>
                <w:szCs w:val="30"/>
                <w:rtl/>
              </w:rPr>
            </w:pPr>
            <w:r w:rsidRPr="00923723">
              <w:rPr>
                <w:rFonts w:ascii="FrankRuehl" w:hAnsi="FrankRuehl" w:cs="FrankRuehl" w:hint="cs"/>
                <w:b/>
                <w:bCs/>
                <w:sz w:val="30"/>
                <w:szCs w:val="30"/>
                <w:rtl/>
              </w:rPr>
              <w:t>באמצעות פרקליטות מחוז ירושלים (פלילי),</w:t>
            </w:r>
          </w:p>
          <w:p w14:paraId="7250EBBD" w14:textId="77777777" w:rsidR="00CA0EC0" w:rsidRPr="00923723" w:rsidRDefault="00CA0EC0" w:rsidP="00CA0EC0">
            <w:pPr>
              <w:suppressLineNumbers/>
              <w:rPr>
                <w:rFonts w:ascii="FrankRuehl" w:hAnsi="FrankRuehl" w:cs="FrankRuehl"/>
                <w:sz w:val="30"/>
                <w:szCs w:val="30"/>
                <w:rtl/>
              </w:rPr>
            </w:pPr>
            <w:r w:rsidRPr="00923723">
              <w:rPr>
                <w:rFonts w:ascii="FrankRuehl" w:hAnsi="FrankRuehl" w:cs="FrankRuehl" w:hint="cs"/>
                <w:b/>
                <w:bCs/>
                <w:sz w:val="30"/>
                <w:szCs w:val="30"/>
                <w:rtl/>
              </w:rPr>
              <w:t>ע"י עו"ד</w:t>
            </w:r>
            <w:r w:rsidRPr="00923723">
              <w:rPr>
                <w:rFonts w:ascii="FrankRuehl" w:hAnsi="FrankRuehl" w:cs="FrankRuehl" w:hint="cs"/>
                <w:sz w:val="30"/>
                <w:szCs w:val="30"/>
                <w:rtl/>
              </w:rPr>
              <w:t xml:space="preserve"> </w:t>
            </w:r>
            <w:r w:rsidRPr="00923723">
              <w:rPr>
                <w:rFonts w:ascii="FrankRuehl" w:hAnsi="FrankRuehl" w:cs="FrankRuehl" w:hint="cs"/>
                <w:b/>
                <w:bCs/>
                <w:sz w:val="30"/>
                <w:szCs w:val="30"/>
                <w:rtl/>
              </w:rPr>
              <w:t>מוריה ביינה ויסמן</w:t>
            </w:r>
          </w:p>
        </w:tc>
        <w:tc>
          <w:tcPr>
            <w:tcW w:w="2127" w:type="dxa"/>
            <w:tcBorders>
              <w:top w:val="nil"/>
              <w:left w:val="nil"/>
              <w:bottom w:val="nil"/>
              <w:right w:val="nil"/>
            </w:tcBorders>
            <w:shd w:val="clear" w:color="auto" w:fill="auto"/>
            <w:vAlign w:val="center"/>
          </w:tcPr>
          <w:p w14:paraId="2570B4DD" w14:textId="77777777" w:rsidR="00CA0EC0" w:rsidRPr="00923723" w:rsidRDefault="00CA0EC0" w:rsidP="00CA0EC0">
            <w:pPr>
              <w:suppressLineNumbers/>
              <w:rPr>
                <w:rFonts w:ascii="FrankRuehl" w:hAnsi="FrankRuehl" w:cs="FrankRuehl"/>
                <w:sz w:val="30"/>
                <w:szCs w:val="30"/>
              </w:rPr>
            </w:pPr>
            <w:r w:rsidRPr="00923723">
              <w:rPr>
                <w:rFonts w:ascii="FrankRuehl" w:hAnsi="FrankRuehl" w:cs="FrankRuehl"/>
                <w:b/>
                <w:bCs/>
                <w:sz w:val="30"/>
                <w:szCs w:val="30"/>
                <w:rtl/>
              </w:rPr>
              <w:br/>
            </w:r>
            <w:r w:rsidRPr="00923723">
              <w:rPr>
                <w:rFonts w:ascii="FrankRuehl" w:hAnsi="FrankRuehl" w:cs="FrankRuehl"/>
                <w:b/>
                <w:bCs/>
                <w:sz w:val="30"/>
                <w:szCs w:val="30"/>
                <w:rtl/>
              </w:rPr>
              <w:br/>
            </w:r>
            <w:r w:rsidRPr="00923723">
              <w:rPr>
                <w:rFonts w:ascii="FrankRuehl" w:hAnsi="FrankRuehl" w:cs="FrankRuehl" w:hint="cs"/>
                <w:b/>
                <w:bCs/>
                <w:sz w:val="30"/>
                <w:szCs w:val="30"/>
                <w:rtl/>
              </w:rPr>
              <w:t>המאשימה</w:t>
            </w:r>
          </w:p>
        </w:tc>
      </w:tr>
      <w:bookmarkEnd w:id="1"/>
      <w:tr w:rsidR="00CA0EC0" w:rsidRPr="00923723" w14:paraId="7265E064" w14:textId="77777777" w:rsidTr="00CA0EC0">
        <w:trPr>
          <w:trHeight w:val="355"/>
          <w:jc w:val="center"/>
        </w:trPr>
        <w:tc>
          <w:tcPr>
            <w:tcW w:w="923" w:type="dxa"/>
            <w:tcBorders>
              <w:top w:val="nil"/>
              <w:left w:val="nil"/>
              <w:bottom w:val="nil"/>
              <w:right w:val="nil"/>
            </w:tcBorders>
            <w:shd w:val="clear" w:color="auto" w:fill="auto"/>
          </w:tcPr>
          <w:p w14:paraId="2E86C7E4" w14:textId="77777777" w:rsidR="00CA0EC0" w:rsidRPr="00923723" w:rsidRDefault="00CA0EC0" w:rsidP="00CA0EC0">
            <w:pPr>
              <w:jc w:val="both"/>
              <w:rPr>
                <w:rFonts w:ascii="FrankRuehl" w:hAnsi="FrankRuehl" w:cs="FrankRuehl"/>
                <w:sz w:val="30"/>
                <w:szCs w:val="30"/>
                <w:rtl/>
              </w:rPr>
            </w:pPr>
          </w:p>
        </w:tc>
        <w:tc>
          <w:tcPr>
            <w:tcW w:w="7897" w:type="dxa"/>
            <w:gridSpan w:val="2"/>
            <w:tcBorders>
              <w:top w:val="nil"/>
              <w:left w:val="nil"/>
              <w:bottom w:val="nil"/>
              <w:right w:val="nil"/>
            </w:tcBorders>
            <w:shd w:val="clear" w:color="auto" w:fill="auto"/>
          </w:tcPr>
          <w:p w14:paraId="03AF4F12" w14:textId="77777777" w:rsidR="00CA0EC0" w:rsidRPr="00923723" w:rsidRDefault="00CA0EC0" w:rsidP="00CA0EC0">
            <w:pPr>
              <w:jc w:val="center"/>
              <w:rPr>
                <w:rFonts w:ascii="FrankRuehl" w:hAnsi="FrankRuehl" w:cs="FrankRuehl"/>
                <w:b/>
                <w:bCs/>
                <w:sz w:val="30"/>
                <w:szCs w:val="30"/>
                <w:rtl/>
              </w:rPr>
            </w:pPr>
          </w:p>
          <w:p w14:paraId="777925D3" w14:textId="77777777" w:rsidR="00CA0EC0" w:rsidRPr="00923723" w:rsidRDefault="00CA0EC0" w:rsidP="00CA0EC0">
            <w:pPr>
              <w:jc w:val="center"/>
              <w:rPr>
                <w:rFonts w:ascii="FrankRuehl" w:hAnsi="FrankRuehl" w:cs="FrankRuehl"/>
                <w:b/>
                <w:bCs/>
                <w:sz w:val="30"/>
                <w:szCs w:val="30"/>
                <w:rtl/>
              </w:rPr>
            </w:pPr>
            <w:r w:rsidRPr="00923723">
              <w:rPr>
                <w:rFonts w:ascii="FrankRuehl" w:hAnsi="FrankRuehl" w:cs="FrankRuehl"/>
                <w:b/>
                <w:bCs/>
                <w:sz w:val="30"/>
                <w:szCs w:val="30"/>
                <w:rtl/>
              </w:rPr>
              <w:t>נגד</w:t>
            </w:r>
          </w:p>
          <w:p w14:paraId="7DAD0A02" w14:textId="77777777" w:rsidR="00CA0EC0" w:rsidRPr="00923723" w:rsidRDefault="00CA0EC0" w:rsidP="00CA0EC0">
            <w:pPr>
              <w:jc w:val="both"/>
              <w:rPr>
                <w:rFonts w:ascii="FrankRuehl" w:hAnsi="FrankRuehl" w:cs="FrankRuehl"/>
                <w:sz w:val="30"/>
                <w:szCs w:val="30"/>
              </w:rPr>
            </w:pPr>
          </w:p>
        </w:tc>
      </w:tr>
      <w:tr w:rsidR="00CA0EC0" w:rsidRPr="00923723" w14:paraId="7CDC39CC" w14:textId="77777777" w:rsidTr="00CA0EC0">
        <w:trPr>
          <w:trHeight w:val="355"/>
          <w:jc w:val="center"/>
        </w:trPr>
        <w:tc>
          <w:tcPr>
            <w:tcW w:w="923" w:type="dxa"/>
            <w:tcBorders>
              <w:top w:val="nil"/>
              <w:left w:val="nil"/>
              <w:bottom w:val="nil"/>
              <w:right w:val="nil"/>
            </w:tcBorders>
            <w:shd w:val="clear" w:color="auto" w:fill="auto"/>
          </w:tcPr>
          <w:p w14:paraId="495E4B4C" w14:textId="77777777" w:rsidR="00CA0EC0" w:rsidRPr="00923723" w:rsidRDefault="00CA0EC0" w:rsidP="003C3DB1">
            <w:pPr>
              <w:rPr>
                <w:rFonts w:ascii="FrankRuehl" w:hAnsi="FrankRuehl" w:cs="FrankRuehl"/>
                <w:sz w:val="30"/>
                <w:szCs w:val="30"/>
                <w:rtl/>
              </w:rPr>
            </w:pPr>
            <w:bookmarkStart w:id="2" w:name="FirstLawyer"/>
          </w:p>
        </w:tc>
        <w:tc>
          <w:tcPr>
            <w:tcW w:w="5770" w:type="dxa"/>
            <w:tcBorders>
              <w:top w:val="nil"/>
              <w:left w:val="nil"/>
              <w:bottom w:val="nil"/>
              <w:right w:val="nil"/>
            </w:tcBorders>
            <w:shd w:val="clear" w:color="auto" w:fill="auto"/>
          </w:tcPr>
          <w:p w14:paraId="417B7CE6" w14:textId="77777777" w:rsidR="00CA0EC0" w:rsidRPr="00923723" w:rsidRDefault="00CA0EC0" w:rsidP="003C3DB1">
            <w:pPr>
              <w:rPr>
                <w:rFonts w:ascii="FrankRuehl" w:hAnsi="FrankRuehl" w:cs="FrankRuehl"/>
                <w:b/>
                <w:bCs/>
                <w:sz w:val="30"/>
                <w:szCs w:val="30"/>
                <w:rtl/>
              </w:rPr>
            </w:pPr>
            <w:r w:rsidRPr="00923723">
              <w:rPr>
                <w:rFonts w:ascii="FrankRuehl" w:hAnsi="FrankRuehl" w:cs="FrankRuehl" w:hint="cs"/>
                <w:b/>
                <w:bCs/>
                <w:sz w:val="30"/>
                <w:szCs w:val="30"/>
                <w:rtl/>
              </w:rPr>
              <w:t>יוסף אעליאן</w:t>
            </w:r>
          </w:p>
          <w:p w14:paraId="397358AD" w14:textId="77777777" w:rsidR="00CA0EC0" w:rsidRPr="00923723" w:rsidRDefault="00CA0EC0" w:rsidP="003C3DB1">
            <w:pPr>
              <w:rPr>
                <w:rFonts w:ascii="FrankRuehl" w:hAnsi="FrankRuehl" w:cs="FrankRuehl"/>
                <w:b/>
                <w:bCs/>
                <w:sz w:val="30"/>
                <w:szCs w:val="30"/>
                <w:rtl/>
              </w:rPr>
            </w:pPr>
            <w:r w:rsidRPr="00923723">
              <w:rPr>
                <w:rFonts w:ascii="FrankRuehl" w:hAnsi="FrankRuehl" w:cs="FrankRuehl" w:hint="cs"/>
                <w:b/>
                <w:bCs/>
                <w:sz w:val="30"/>
                <w:szCs w:val="30"/>
                <w:rtl/>
              </w:rPr>
              <w:t>ע"י ב"כ עו"ד אורי בן נתן</w:t>
            </w:r>
          </w:p>
        </w:tc>
        <w:tc>
          <w:tcPr>
            <w:tcW w:w="2127" w:type="dxa"/>
            <w:tcBorders>
              <w:top w:val="nil"/>
              <w:left w:val="nil"/>
              <w:bottom w:val="nil"/>
              <w:right w:val="nil"/>
            </w:tcBorders>
            <w:shd w:val="clear" w:color="auto" w:fill="auto"/>
            <w:vAlign w:val="center"/>
          </w:tcPr>
          <w:p w14:paraId="191DA583" w14:textId="77777777" w:rsidR="00CA0EC0" w:rsidRPr="00923723" w:rsidRDefault="00CA0EC0" w:rsidP="00CA0EC0">
            <w:pPr>
              <w:suppressLineNumbers/>
              <w:rPr>
                <w:rFonts w:ascii="FrankRuehl" w:hAnsi="FrankRuehl" w:cs="FrankRuehl"/>
                <w:b/>
                <w:bCs/>
                <w:sz w:val="30"/>
                <w:szCs w:val="30"/>
                <w:rtl/>
              </w:rPr>
            </w:pPr>
          </w:p>
          <w:p w14:paraId="21636311" w14:textId="77777777" w:rsidR="00CA0EC0" w:rsidRPr="00923723" w:rsidRDefault="00CA0EC0" w:rsidP="00CA0EC0">
            <w:pPr>
              <w:suppressLineNumbers/>
              <w:rPr>
                <w:rFonts w:ascii="FrankRuehl" w:hAnsi="FrankRuehl" w:cs="FrankRuehl"/>
                <w:b/>
                <w:bCs/>
                <w:sz w:val="30"/>
                <w:szCs w:val="30"/>
              </w:rPr>
            </w:pPr>
            <w:r w:rsidRPr="00923723">
              <w:rPr>
                <w:rFonts w:ascii="FrankRuehl" w:hAnsi="FrankRuehl" w:cs="FrankRuehl" w:hint="cs"/>
                <w:b/>
                <w:bCs/>
                <w:sz w:val="30"/>
                <w:szCs w:val="30"/>
                <w:rtl/>
              </w:rPr>
              <w:t>הנאשם</w:t>
            </w:r>
          </w:p>
        </w:tc>
      </w:tr>
      <w:bookmarkEnd w:id="2"/>
    </w:tbl>
    <w:p w14:paraId="27A230E9" w14:textId="77777777" w:rsidR="00923723" w:rsidRPr="00923723" w:rsidRDefault="00923723"/>
    <w:p w14:paraId="143B2068" w14:textId="77777777" w:rsidR="00031419" w:rsidRPr="00923723" w:rsidRDefault="00031419" w:rsidP="00923723">
      <w:pPr>
        <w:spacing w:before="120" w:after="120" w:line="240" w:lineRule="exact"/>
        <w:ind w:left="283" w:hanging="283"/>
        <w:jc w:val="both"/>
        <w:rPr>
          <w:rFonts w:ascii="FrankRuehl" w:hAnsi="FrankRuehl" w:cs="FrankRuehl"/>
          <w:rtl/>
        </w:rPr>
      </w:pPr>
    </w:p>
    <w:p w14:paraId="3B56ED61" w14:textId="77777777" w:rsidR="00031419" w:rsidRPr="00031419" w:rsidRDefault="00031419" w:rsidP="00031419">
      <w:pPr>
        <w:spacing w:before="120" w:after="120" w:line="240" w:lineRule="exact"/>
        <w:ind w:left="283" w:hanging="283"/>
        <w:jc w:val="both"/>
        <w:rPr>
          <w:rFonts w:ascii="FrankRuehl" w:hAnsi="FrankRuehl" w:cs="FrankRuehl"/>
          <w:rtl/>
        </w:rPr>
      </w:pPr>
      <w:bookmarkStart w:id="3" w:name="LawTable"/>
      <w:bookmarkEnd w:id="3"/>
    </w:p>
    <w:p w14:paraId="10DD738A" w14:textId="77777777" w:rsidR="00031419" w:rsidRPr="00031419" w:rsidRDefault="00031419" w:rsidP="00031419">
      <w:pPr>
        <w:spacing w:before="120" w:after="120" w:line="240" w:lineRule="exact"/>
        <w:ind w:left="283" w:hanging="283"/>
        <w:jc w:val="both"/>
        <w:rPr>
          <w:rFonts w:ascii="FrankRuehl" w:hAnsi="FrankRuehl" w:cs="FrankRuehl"/>
          <w:rtl/>
        </w:rPr>
      </w:pPr>
      <w:r w:rsidRPr="00031419">
        <w:rPr>
          <w:rFonts w:ascii="FrankRuehl" w:hAnsi="FrankRuehl" w:cs="FrankRuehl"/>
          <w:rtl/>
        </w:rPr>
        <w:t xml:space="preserve">חקיקה שאוזכרה: </w:t>
      </w:r>
    </w:p>
    <w:p w14:paraId="1AA62BAF" w14:textId="77777777" w:rsidR="00031419" w:rsidRPr="00031419" w:rsidRDefault="00031419" w:rsidP="00031419">
      <w:pPr>
        <w:spacing w:before="120" w:after="120" w:line="240" w:lineRule="exact"/>
        <w:ind w:left="283" w:hanging="283"/>
        <w:jc w:val="both"/>
        <w:rPr>
          <w:rFonts w:ascii="FrankRuehl" w:hAnsi="FrankRuehl" w:cs="FrankRuehl"/>
          <w:color w:val="0000FF"/>
          <w:rtl/>
        </w:rPr>
      </w:pPr>
      <w:hyperlink r:id="rId7" w:history="1">
        <w:r w:rsidRPr="00031419">
          <w:rPr>
            <w:rStyle w:val="Hyperlink"/>
            <w:rFonts w:ascii="FrankRuehl" w:hAnsi="FrankRuehl" w:cs="FrankRuehl"/>
            <w:u w:val="none"/>
            <w:rtl/>
          </w:rPr>
          <w:t>חוק העונשין, תשל"ז-1977</w:t>
        </w:r>
      </w:hyperlink>
      <w:r w:rsidRPr="00031419">
        <w:rPr>
          <w:rFonts w:ascii="FrankRuehl" w:hAnsi="FrankRuehl" w:cs="FrankRuehl"/>
          <w:color w:val="0000FF"/>
          <w:rtl/>
        </w:rPr>
        <w:t xml:space="preserve">: סע'  </w:t>
      </w:r>
      <w:hyperlink r:id="rId8" w:history="1">
        <w:r w:rsidRPr="00031419">
          <w:rPr>
            <w:rStyle w:val="Hyperlink"/>
            <w:rFonts w:ascii="FrankRuehl" w:hAnsi="FrankRuehl" w:cs="FrankRuehl"/>
            <w:u w:val="none"/>
          </w:rPr>
          <w:t>31</w:t>
        </w:r>
      </w:hyperlink>
      <w:r w:rsidRPr="00031419">
        <w:rPr>
          <w:rFonts w:ascii="FrankRuehl" w:hAnsi="FrankRuehl" w:cs="FrankRuehl"/>
          <w:color w:val="0000FF"/>
          <w:rtl/>
        </w:rPr>
        <w:t xml:space="preserve">, </w:t>
      </w:r>
      <w:hyperlink r:id="rId9" w:history="1">
        <w:r w:rsidRPr="00031419">
          <w:rPr>
            <w:rStyle w:val="Hyperlink"/>
            <w:rFonts w:ascii="FrankRuehl" w:hAnsi="FrankRuehl" w:cs="FrankRuehl"/>
            <w:u w:val="none"/>
          </w:rPr>
          <w:t>144</w:t>
        </w:r>
      </w:hyperlink>
      <w:r w:rsidRPr="00031419">
        <w:rPr>
          <w:rFonts w:ascii="FrankRuehl" w:hAnsi="FrankRuehl" w:cs="FrankRuehl"/>
          <w:color w:val="0000FF"/>
          <w:rtl/>
        </w:rPr>
        <w:t xml:space="preserve">(ב), </w:t>
      </w:r>
      <w:hyperlink r:id="rId10" w:history="1">
        <w:r w:rsidRPr="00031419">
          <w:rPr>
            <w:rStyle w:val="Hyperlink"/>
            <w:rFonts w:ascii="FrankRuehl" w:hAnsi="FrankRuehl" w:cs="FrankRuehl"/>
            <w:u w:val="none"/>
          </w:rPr>
          <w:t>275</w:t>
        </w:r>
      </w:hyperlink>
    </w:p>
    <w:p w14:paraId="73E6950A" w14:textId="77777777" w:rsidR="00031419" w:rsidRPr="00031419" w:rsidRDefault="00031419" w:rsidP="00031419">
      <w:pPr>
        <w:spacing w:line="360" w:lineRule="auto"/>
        <w:jc w:val="center"/>
        <w:rPr>
          <w:rFonts w:ascii="FrankRuehl" w:hAnsi="FrankRuehl" w:cs="FrankRuehl"/>
          <w:sz w:val="36"/>
          <w:szCs w:val="36"/>
          <w:rtl/>
        </w:rPr>
      </w:pPr>
      <w:bookmarkStart w:id="4" w:name="LawTable_End"/>
      <w:bookmarkEnd w:id="4"/>
    </w:p>
    <w:p w14:paraId="6FF090DF" w14:textId="77777777" w:rsidR="00031419" w:rsidRPr="00923723" w:rsidRDefault="00031419" w:rsidP="00923723">
      <w:pPr>
        <w:spacing w:line="360" w:lineRule="auto"/>
        <w:jc w:val="center"/>
        <w:rPr>
          <w:rFonts w:ascii="FrankRuehl" w:hAnsi="FrankRuehl" w:cs="FrankRuehl"/>
          <w:b/>
          <w:bCs/>
          <w:sz w:val="36"/>
          <w:szCs w:val="36"/>
          <w:u w:val="single"/>
          <w:rtl/>
        </w:rPr>
      </w:pPr>
      <w:bookmarkStart w:id="5" w:name="PsakDin"/>
      <w:r w:rsidRPr="00923723">
        <w:rPr>
          <w:rFonts w:ascii="FrankRuehl" w:hAnsi="FrankRuehl" w:cs="FrankRuehl"/>
          <w:b/>
          <w:bCs/>
          <w:sz w:val="36"/>
          <w:szCs w:val="36"/>
          <w:u w:val="single"/>
          <w:rtl/>
        </w:rPr>
        <w:t>גזר דין</w:t>
      </w:r>
    </w:p>
    <w:bookmarkEnd w:id="5"/>
    <w:p w14:paraId="7AF2BF1B" w14:textId="77777777" w:rsidR="00031419" w:rsidRPr="00CA0EC0" w:rsidRDefault="00031419" w:rsidP="00CA0EC0">
      <w:pPr>
        <w:spacing w:line="360" w:lineRule="auto"/>
        <w:rPr>
          <w:rFonts w:ascii="FrankRuehl" w:hAnsi="FrankRuehl" w:cs="FrankRuehl"/>
          <w:sz w:val="28"/>
          <w:szCs w:val="28"/>
          <w:u w:val="single"/>
          <w:rtl/>
        </w:rPr>
      </w:pPr>
    </w:p>
    <w:p w14:paraId="4D9A7800" w14:textId="77777777" w:rsidR="00031419" w:rsidRPr="00CA0EC0" w:rsidRDefault="00031419" w:rsidP="00CA0EC0">
      <w:pPr>
        <w:spacing w:line="360" w:lineRule="auto"/>
        <w:rPr>
          <w:rFonts w:ascii="FrankRuehl" w:hAnsi="FrankRuehl" w:cs="FrankRuehl"/>
          <w:b/>
          <w:bCs/>
          <w:sz w:val="28"/>
          <w:szCs w:val="28"/>
          <w:u w:val="single"/>
          <w:rtl/>
        </w:rPr>
      </w:pPr>
      <w:r w:rsidRPr="00CA0EC0">
        <w:rPr>
          <w:rFonts w:ascii="FrankRuehl" w:hAnsi="FrankRuehl" w:cs="FrankRuehl"/>
          <w:b/>
          <w:bCs/>
          <w:sz w:val="28"/>
          <w:szCs w:val="28"/>
          <w:u w:val="single"/>
          <w:rtl/>
        </w:rPr>
        <w:t xml:space="preserve">הכרעת </w:t>
      </w:r>
      <w:r w:rsidRPr="00CA0EC0">
        <w:rPr>
          <w:rFonts w:ascii="FrankRuehl" w:hAnsi="FrankRuehl" w:cs="FrankRuehl" w:hint="cs"/>
          <w:b/>
          <w:bCs/>
          <w:sz w:val="28"/>
          <w:szCs w:val="28"/>
          <w:u w:val="single"/>
          <w:rtl/>
        </w:rPr>
        <w:t>ה</w:t>
      </w:r>
      <w:r w:rsidRPr="00CA0EC0">
        <w:rPr>
          <w:rFonts w:ascii="FrankRuehl" w:hAnsi="FrankRuehl" w:cs="FrankRuehl"/>
          <w:b/>
          <w:bCs/>
          <w:sz w:val="28"/>
          <w:szCs w:val="28"/>
          <w:u w:val="single"/>
          <w:rtl/>
        </w:rPr>
        <w:t>דין</w:t>
      </w:r>
    </w:p>
    <w:p w14:paraId="39FA8851" w14:textId="77777777" w:rsidR="00031419" w:rsidRPr="00CA0EC0" w:rsidRDefault="00031419" w:rsidP="00CA0EC0">
      <w:pPr>
        <w:pStyle w:val="a9"/>
        <w:numPr>
          <w:ilvl w:val="0"/>
          <w:numId w:val="1"/>
        </w:numPr>
        <w:spacing w:line="360" w:lineRule="auto"/>
        <w:jc w:val="both"/>
        <w:rPr>
          <w:rFonts w:ascii="FrankRuehl" w:hAnsi="FrankRuehl" w:cs="FrankRuehl"/>
          <w:sz w:val="28"/>
          <w:szCs w:val="28"/>
        </w:rPr>
      </w:pPr>
      <w:bookmarkStart w:id="6" w:name="ABSTRACT_START"/>
      <w:bookmarkEnd w:id="6"/>
      <w:r w:rsidRPr="00CA0EC0">
        <w:rPr>
          <w:rFonts w:ascii="FrankRuehl" w:hAnsi="FrankRuehl" w:cs="FrankRuehl"/>
          <w:sz w:val="28"/>
          <w:szCs w:val="28"/>
          <w:rtl/>
        </w:rPr>
        <w:t>הנאשם הורשע על פי הוד</w:t>
      </w:r>
      <w:r w:rsidRPr="00CA0EC0">
        <w:rPr>
          <w:rFonts w:ascii="FrankRuehl" w:hAnsi="FrankRuehl" w:cs="FrankRuehl" w:hint="cs"/>
          <w:sz w:val="28"/>
          <w:szCs w:val="28"/>
          <w:rtl/>
        </w:rPr>
        <w:t>א</w:t>
      </w:r>
      <w:r w:rsidRPr="00CA0EC0">
        <w:rPr>
          <w:rFonts w:ascii="FrankRuehl" w:hAnsi="FrankRuehl" w:cs="FrankRuehl"/>
          <w:sz w:val="28"/>
          <w:szCs w:val="28"/>
          <w:rtl/>
        </w:rPr>
        <w:t>תו, שניתנה במסגרת הסדר טיעון</w:t>
      </w:r>
      <w:r w:rsidRPr="00CA0EC0">
        <w:rPr>
          <w:rFonts w:ascii="FrankRuehl" w:hAnsi="FrankRuehl" w:cs="FrankRuehl" w:hint="cs"/>
          <w:sz w:val="28"/>
          <w:szCs w:val="28"/>
          <w:rtl/>
        </w:rPr>
        <w:t>,</w:t>
      </w:r>
      <w:r w:rsidRPr="00CA0EC0">
        <w:rPr>
          <w:rFonts w:ascii="FrankRuehl" w:hAnsi="FrankRuehl" w:cs="FrankRuehl"/>
          <w:sz w:val="28"/>
          <w:szCs w:val="28"/>
          <w:rtl/>
        </w:rPr>
        <w:t xml:space="preserve"> בעבירות שיוחסו לו בכתב האישום המתוקן</w:t>
      </w:r>
      <w:r w:rsidRPr="00CA0EC0">
        <w:rPr>
          <w:rFonts w:ascii="FrankRuehl" w:hAnsi="FrankRuehl" w:cs="FrankRuehl" w:hint="cs"/>
          <w:sz w:val="28"/>
          <w:szCs w:val="28"/>
          <w:rtl/>
        </w:rPr>
        <w:t xml:space="preserve"> - </w:t>
      </w:r>
      <w:r w:rsidRPr="00CA0EC0">
        <w:rPr>
          <w:rFonts w:ascii="FrankRuehl" w:hAnsi="FrankRuehl" w:cs="FrankRuehl"/>
          <w:sz w:val="28"/>
          <w:szCs w:val="28"/>
          <w:rtl/>
        </w:rPr>
        <w:t xml:space="preserve">עבירה של סיוע לנשיאת נשק לפי </w:t>
      </w:r>
      <w:hyperlink r:id="rId11" w:history="1">
        <w:r w:rsidRPr="00031419">
          <w:rPr>
            <w:rStyle w:val="Hyperlink"/>
            <w:rFonts w:ascii="FrankRuehl" w:hAnsi="FrankRuehl" w:cs="FrankRuehl"/>
            <w:color w:val="0000FF"/>
            <w:sz w:val="28"/>
            <w:szCs w:val="28"/>
            <w:rtl/>
          </w:rPr>
          <w:t>סעיפים 144(ב)</w:t>
        </w:r>
      </w:hyperlink>
      <w:r w:rsidRPr="00CA0EC0">
        <w:rPr>
          <w:rFonts w:ascii="FrankRuehl" w:hAnsi="FrankRuehl" w:cs="FrankRuehl"/>
          <w:sz w:val="28"/>
          <w:szCs w:val="28"/>
          <w:rtl/>
        </w:rPr>
        <w:t xml:space="preserve"> ו-</w:t>
      </w:r>
      <w:hyperlink r:id="rId12" w:history="1">
        <w:r w:rsidRPr="00031419">
          <w:rPr>
            <w:rStyle w:val="Hyperlink"/>
            <w:rFonts w:ascii="FrankRuehl" w:hAnsi="FrankRuehl" w:cs="FrankRuehl"/>
            <w:color w:val="0000FF"/>
            <w:sz w:val="28"/>
            <w:szCs w:val="28"/>
            <w:rtl/>
          </w:rPr>
          <w:t>31</w:t>
        </w:r>
      </w:hyperlink>
      <w:r w:rsidRPr="00CA0EC0">
        <w:rPr>
          <w:rFonts w:ascii="FrankRuehl" w:hAnsi="FrankRuehl" w:cs="FrankRuehl"/>
          <w:sz w:val="28"/>
          <w:szCs w:val="28"/>
          <w:rtl/>
        </w:rPr>
        <w:t xml:space="preserve"> ל</w:t>
      </w:r>
      <w:hyperlink r:id="rId13" w:history="1">
        <w:r w:rsidRPr="00923723">
          <w:rPr>
            <w:rFonts w:ascii="FrankRuehl" w:hAnsi="FrankRuehl" w:cs="FrankRuehl"/>
            <w:color w:val="0000FF"/>
            <w:sz w:val="28"/>
            <w:szCs w:val="28"/>
            <w:u w:val="single"/>
            <w:rtl/>
          </w:rPr>
          <w:t>חוק העונשין</w:t>
        </w:r>
      </w:hyperlink>
      <w:r w:rsidRPr="00CA0EC0">
        <w:rPr>
          <w:rFonts w:ascii="FrankRuehl" w:hAnsi="FrankRuehl" w:cs="FrankRuehl"/>
          <w:sz w:val="28"/>
          <w:szCs w:val="28"/>
          <w:rtl/>
        </w:rPr>
        <w:t xml:space="preserve"> התשל"ז-1977</w:t>
      </w:r>
      <w:r w:rsidRPr="00CA0EC0">
        <w:rPr>
          <w:rFonts w:ascii="FrankRuehl" w:hAnsi="FrankRuehl" w:cs="FrankRuehl" w:hint="cs"/>
          <w:sz w:val="28"/>
          <w:szCs w:val="28"/>
          <w:rtl/>
        </w:rPr>
        <w:t xml:space="preserve">, </w:t>
      </w:r>
      <w:r w:rsidRPr="00CA0EC0">
        <w:rPr>
          <w:rFonts w:ascii="FrankRuehl" w:hAnsi="FrankRuehl" w:cs="FrankRuehl"/>
          <w:sz w:val="28"/>
          <w:szCs w:val="28"/>
          <w:rtl/>
        </w:rPr>
        <w:t xml:space="preserve">ובעבירה של הפרעה לשוטר במילוי תפקידו, לפי </w:t>
      </w:r>
      <w:hyperlink r:id="rId14" w:history="1">
        <w:r w:rsidRPr="00031419">
          <w:rPr>
            <w:rStyle w:val="Hyperlink"/>
            <w:rFonts w:ascii="FrankRuehl" w:hAnsi="FrankRuehl" w:cs="FrankRuehl"/>
            <w:color w:val="0000FF"/>
            <w:sz w:val="28"/>
            <w:szCs w:val="28"/>
            <w:rtl/>
          </w:rPr>
          <w:t>סעיף 275</w:t>
        </w:r>
      </w:hyperlink>
      <w:r w:rsidRPr="00CA0EC0">
        <w:rPr>
          <w:rFonts w:ascii="FrankRuehl" w:hAnsi="FrankRuehl" w:cs="FrankRuehl"/>
          <w:sz w:val="28"/>
          <w:szCs w:val="28"/>
          <w:rtl/>
        </w:rPr>
        <w:t xml:space="preserve"> </w:t>
      </w:r>
      <w:r w:rsidRPr="00CA0EC0">
        <w:rPr>
          <w:rFonts w:ascii="FrankRuehl" w:hAnsi="FrankRuehl" w:cs="FrankRuehl" w:hint="cs"/>
          <w:sz w:val="28"/>
          <w:szCs w:val="28"/>
          <w:rtl/>
        </w:rPr>
        <w:t xml:space="preserve">לאותו </w:t>
      </w:r>
      <w:r w:rsidRPr="00CA0EC0">
        <w:rPr>
          <w:rFonts w:ascii="FrankRuehl" w:hAnsi="FrankRuehl" w:cs="FrankRuehl"/>
          <w:sz w:val="28"/>
          <w:szCs w:val="28"/>
          <w:rtl/>
        </w:rPr>
        <w:t>חוק.</w:t>
      </w:r>
    </w:p>
    <w:p w14:paraId="5B4C6FFA" w14:textId="77777777" w:rsidR="00031419" w:rsidRPr="00CA0EC0" w:rsidRDefault="00031419" w:rsidP="00CA0EC0">
      <w:pPr>
        <w:pStyle w:val="a9"/>
        <w:spacing w:line="360" w:lineRule="auto"/>
        <w:ind w:left="525"/>
        <w:jc w:val="both"/>
        <w:rPr>
          <w:rFonts w:ascii="FrankRuehl" w:hAnsi="FrankRuehl" w:cs="FrankRuehl"/>
          <w:sz w:val="28"/>
          <w:szCs w:val="28"/>
        </w:rPr>
      </w:pPr>
      <w:r w:rsidRPr="00CA0EC0">
        <w:rPr>
          <w:rFonts w:ascii="FrankRuehl" w:hAnsi="FrankRuehl" w:cs="FrankRuehl"/>
          <w:sz w:val="28"/>
          <w:szCs w:val="28"/>
          <w:rtl/>
        </w:rPr>
        <w:t xml:space="preserve"> </w:t>
      </w:r>
    </w:p>
    <w:p w14:paraId="1E70C0E2" w14:textId="77777777" w:rsidR="00031419" w:rsidRPr="00CA0EC0" w:rsidRDefault="00031419" w:rsidP="00CA0EC0">
      <w:pPr>
        <w:pStyle w:val="a9"/>
        <w:numPr>
          <w:ilvl w:val="0"/>
          <w:numId w:val="1"/>
        </w:numPr>
        <w:spacing w:line="360" w:lineRule="auto"/>
        <w:jc w:val="both"/>
        <w:rPr>
          <w:rFonts w:ascii="FrankRuehl" w:hAnsi="FrankRuehl" w:cs="FrankRuehl"/>
          <w:sz w:val="28"/>
          <w:szCs w:val="28"/>
        </w:rPr>
      </w:pPr>
      <w:bookmarkStart w:id="7" w:name="ABSTRACT_END"/>
      <w:bookmarkEnd w:id="7"/>
      <w:r w:rsidRPr="00CA0EC0">
        <w:rPr>
          <w:rFonts w:ascii="FrankRuehl" w:hAnsi="FrankRuehl" w:cs="FrankRuehl"/>
          <w:sz w:val="28"/>
          <w:szCs w:val="28"/>
          <w:rtl/>
        </w:rPr>
        <w:t>לפי המתואר בכתב האישום, ביום 28.03.22 סמוך לשעה 14:16</w:t>
      </w:r>
      <w:r w:rsidRPr="00CA0EC0">
        <w:rPr>
          <w:rFonts w:ascii="FrankRuehl" w:hAnsi="FrankRuehl" w:cs="FrankRuehl" w:hint="cs"/>
          <w:sz w:val="28"/>
          <w:szCs w:val="28"/>
          <w:rtl/>
        </w:rPr>
        <w:t>,</w:t>
      </w:r>
      <w:r w:rsidRPr="00CA0EC0">
        <w:rPr>
          <w:rFonts w:ascii="FrankRuehl" w:hAnsi="FrankRuehl" w:cs="FrankRuehl"/>
          <w:sz w:val="28"/>
          <w:szCs w:val="28"/>
          <w:rtl/>
        </w:rPr>
        <w:t xml:space="preserve"> עבד הנאשם יחד עם אביו אחמד אעליאן (להלן: "אחמד"), דודו מוסא </w:t>
      </w:r>
      <w:r w:rsidRPr="00CA0EC0">
        <w:rPr>
          <w:rFonts w:ascii="FrankRuehl" w:hAnsi="FrankRuehl" w:cs="FrankRuehl" w:hint="cs"/>
          <w:sz w:val="28"/>
          <w:szCs w:val="28"/>
          <w:rtl/>
        </w:rPr>
        <w:t>א</w:t>
      </w:r>
      <w:r w:rsidRPr="00CA0EC0">
        <w:rPr>
          <w:rFonts w:ascii="FrankRuehl" w:hAnsi="FrankRuehl" w:cs="FrankRuehl"/>
          <w:sz w:val="28"/>
          <w:szCs w:val="28"/>
          <w:rtl/>
        </w:rPr>
        <w:t>עליאן, ואחר בשם יאסר גוניר (להלן: "בני המשפחה") בעבודות תשתית ברחוב המצפה באבו גוש (להלן: המקום"). באותה עת, רכב מסוג מזדה השייך לאחמד קנבר (להלן:</w:t>
      </w:r>
      <w:r w:rsidRPr="00CA0EC0">
        <w:rPr>
          <w:rFonts w:ascii="FrankRuehl" w:hAnsi="FrankRuehl" w:cs="FrankRuehl" w:hint="cs"/>
          <w:sz w:val="28"/>
          <w:szCs w:val="28"/>
          <w:rtl/>
        </w:rPr>
        <w:t xml:space="preserve"> </w:t>
      </w:r>
      <w:r w:rsidRPr="00CA0EC0">
        <w:rPr>
          <w:rFonts w:ascii="FrankRuehl" w:hAnsi="FrankRuehl" w:cs="FrankRuehl"/>
          <w:sz w:val="28"/>
          <w:szCs w:val="28"/>
          <w:rtl/>
        </w:rPr>
        <w:t xml:space="preserve">"קנבר") חנה ברחוב באופן שהפריע לנאשם ובני </w:t>
      </w:r>
      <w:r w:rsidRPr="00CA0EC0">
        <w:rPr>
          <w:rFonts w:ascii="FrankRuehl" w:hAnsi="FrankRuehl" w:cs="FrankRuehl" w:hint="cs"/>
          <w:sz w:val="28"/>
          <w:szCs w:val="28"/>
          <w:rtl/>
        </w:rPr>
        <w:t>ה</w:t>
      </w:r>
      <w:r w:rsidRPr="00CA0EC0">
        <w:rPr>
          <w:rFonts w:ascii="FrankRuehl" w:hAnsi="FrankRuehl" w:cs="FrankRuehl"/>
          <w:sz w:val="28"/>
          <w:szCs w:val="28"/>
          <w:rtl/>
        </w:rPr>
        <w:t>משפח</w:t>
      </w:r>
      <w:r w:rsidRPr="00CA0EC0">
        <w:rPr>
          <w:rFonts w:ascii="FrankRuehl" w:hAnsi="FrankRuehl" w:cs="FrankRuehl" w:hint="cs"/>
          <w:sz w:val="28"/>
          <w:szCs w:val="28"/>
          <w:rtl/>
        </w:rPr>
        <w:t>ה</w:t>
      </w:r>
      <w:r w:rsidRPr="00CA0EC0">
        <w:rPr>
          <w:rFonts w:ascii="FrankRuehl" w:hAnsi="FrankRuehl" w:cs="FrankRuehl"/>
          <w:sz w:val="28"/>
          <w:szCs w:val="28"/>
          <w:rtl/>
        </w:rPr>
        <w:t xml:space="preserve"> לעבוד במקום. </w:t>
      </w:r>
    </w:p>
    <w:p w14:paraId="66A469A1" w14:textId="77777777" w:rsidR="00031419" w:rsidRPr="00CA0EC0" w:rsidRDefault="00031419" w:rsidP="00CA0EC0">
      <w:pPr>
        <w:pStyle w:val="a9"/>
        <w:spacing w:line="360" w:lineRule="auto"/>
        <w:rPr>
          <w:rFonts w:ascii="FrankRuehl" w:hAnsi="FrankRuehl" w:cs="FrankRuehl"/>
          <w:sz w:val="28"/>
          <w:szCs w:val="28"/>
          <w:rtl/>
        </w:rPr>
      </w:pPr>
    </w:p>
    <w:p w14:paraId="4C7522EC" w14:textId="77777777" w:rsidR="00031419" w:rsidRPr="00CA0EC0" w:rsidRDefault="00031419" w:rsidP="00CA0EC0">
      <w:pPr>
        <w:pStyle w:val="a9"/>
        <w:numPr>
          <w:ilvl w:val="0"/>
          <w:numId w:val="1"/>
        </w:numPr>
        <w:spacing w:line="360" w:lineRule="auto"/>
        <w:jc w:val="both"/>
        <w:rPr>
          <w:rFonts w:ascii="FrankRuehl" w:hAnsi="FrankRuehl" w:cs="FrankRuehl"/>
          <w:sz w:val="28"/>
          <w:szCs w:val="28"/>
        </w:rPr>
      </w:pPr>
      <w:r w:rsidRPr="00CA0EC0">
        <w:rPr>
          <w:rFonts w:ascii="FrankRuehl" w:hAnsi="FrankRuehl" w:cs="FrankRuehl"/>
          <w:sz w:val="28"/>
          <w:szCs w:val="28"/>
          <w:rtl/>
        </w:rPr>
        <w:lastRenderedPageBreak/>
        <w:t>בשלב מסוים יצא קנבר מבית הספר הסמוך</w:t>
      </w:r>
      <w:r w:rsidRPr="00CA0EC0">
        <w:rPr>
          <w:rFonts w:ascii="FrankRuehl" w:hAnsi="FrankRuehl" w:cs="FrankRuehl" w:hint="cs"/>
          <w:sz w:val="28"/>
          <w:szCs w:val="28"/>
          <w:rtl/>
        </w:rPr>
        <w:t>,</w:t>
      </w:r>
      <w:r w:rsidRPr="00CA0EC0">
        <w:rPr>
          <w:rFonts w:ascii="FrankRuehl" w:hAnsi="FrankRuehl" w:cs="FrankRuehl"/>
          <w:sz w:val="28"/>
          <w:szCs w:val="28"/>
          <w:rtl/>
        </w:rPr>
        <w:t xml:space="preserve"> ו</w:t>
      </w:r>
      <w:r w:rsidRPr="00CA0EC0">
        <w:rPr>
          <w:rFonts w:ascii="FrankRuehl" w:hAnsi="FrankRuehl" w:cs="FrankRuehl" w:hint="cs"/>
          <w:sz w:val="28"/>
          <w:szCs w:val="28"/>
          <w:rtl/>
        </w:rPr>
        <w:t>אחמד</w:t>
      </w:r>
      <w:r w:rsidRPr="00CA0EC0">
        <w:rPr>
          <w:rFonts w:ascii="FrankRuehl" w:hAnsi="FrankRuehl" w:cs="FrankRuehl"/>
          <w:sz w:val="28"/>
          <w:szCs w:val="28"/>
          <w:rtl/>
        </w:rPr>
        <w:t xml:space="preserve">, שישב באותה עת </w:t>
      </w:r>
      <w:r w:rsidRPr="00CA0EC0">
        <w:rPr>
          <w:rFonts w:ascii="FrankRuehl" w:hAnsi="FrankRuehl" w:cs="FrankRuehl" w:hint="cs"/>
          <w:sz w:val="28"/>
          <w:szCs w:val="28"/>
          <w:rtl/>
        </w:rPr>
        <w:t>ב</w:t>
      </w:r>
      <w:r w:rsidRPr="00CA0EC0">
        <w:rPr>
          <w:rFonts w:ascii="FrankRuehl" w:hAnsi="FrankRuehl" w:cs="FrankRuehl"/>
          <w:sz w:val="28"/>
          <w:szCs w:val="28"/>
          <w:rtl/>
        </w:rPr>
        <w:t>טרקטור שחנה בסמוך לרכב</w:t>
      </w:r>
      <w:r w:rsidRPr="00CA0EC0">
        <w:rPr>
          <w:rFonts w:ascii="FrankRuehl" w:hAnsi="FrankRuehl" w:cs="FrankRuehl" w:hint="cs"/>
          <w:sz w:val="28"/>
          <w:szCs w:val="28"/>
          <w:rtl/>
        </w:rPr>
        <w:t xml:space="preserve"> של קנבר,</w:t>
      </w:r>
      <w:r w:rsidRPr="00CA0EC0">
        <w:rPr>
          <w:rFonts w:ascii="FrankRuehl" w:hAnsi="FrankRuehl" w:cs="FrankRuehl"/>
          <w:sz w:val="28"/>
          <w:szCs w:val="28"/>
          <w:rtl/>
        </w:rPr>
        <w:t xml:space="preserve"> החל לצעוק לכיוונו. מש</w:t>
      </w:r>
      <w:r w:rsidRPr="00CA0EC0">
        <w:rPr>
          <w:rFonts w:ascii="FrankRuehl" w:hAnsi="FrankRuehl" w:cs="FrankRuehl" w:hint="cs"/>
          <w:sz w:val="28"/>
          <w:szCs w:val="28"/>
          <w:rtl/>
        </w:rPr>
        <w:t xml:space="preserve">קנבר </w:t>
      </w:r>
      <w:r w:rsidRPr="00CA0EC0">
        <w:rPr>
          <w:rFonts w:ascii="FrankRuehl" w:hAnsi="FrankRuehl" w:cs="FrankRuehl"/>
          <w:sz w:val="28"/>
          <w:szCs w:val="28"/>
          <w:rtl/>
        </w:rPr>
        <w:t xml:space="preserve">לא הגיב, ירד </w:t>
      </w:r>
      <w:r w:rsidRPr="00CA0EC0">
        <w:rPr>
          <w:rFonts w:ascii="FrankRuehl" w:hAnsi="FrankRuehl" w:cs="FrankRuehl" w:hint="cs"/>
          <w:sz w:val="28"/>
          <w:szCs w:val="28"/>
          <w:rtl/>
        </w:rPr>
        <w:t xml:space="preserve">אחמד </w:t>
      </w:r>
      <w:r w:rsidRPr="00CA0EC0">
        <w:rPr>
          <w:rFonts w:ascii="FrankRuehl" w:hAnsi="FrankRuehl" w:cs="FrankRuehl"/>
          <w:sz w:val="28"/>
          <w:szCs w:val="28"/>
          <w:rtl/>
        </w:rPr>
        <w:t xml:space="preserve">מהרכב והמשיך לצעוק על קנבר שהשיב לו בתגובה "זה לא הכביש של אבא שלך". אז, התקדם </w:t>
      </w:r>
      <w:r w:rsidRPr="00CA0EC0">
        <w:rPr>
          <w:rFonts w:ascii="FrankRuehl" w:hAnsi="FrankRuehl" w:cs="FrankRuehl" w:hint="cs"/>
          <w:sz w:val="28"/>
          <w:szCs w:val="28"/>
          <w:rtl/>
        </w:rPr>
        <w:t>אחמד</w:t>
      </w:r>
      <w:r w:rsidRPr="00CA0EC0">
        <w:rPr>
          <w:rFonts w:ascii="FrankRuehl" w:hAnsi="FrankRuehl" w:cs="FrankRuehl"/>
          <w:sz w:val="28"/>
          <w:szCs w:val="28"/>
          <w:rtl/>
        </w:rPr>
        <w:t xml:space="preserve"> לעבר הרכב </w:t>
      </w:r>
      <w:r w:rsidRPr="00CA0EC0">
        <w:rPr>
          <w:rFonts w:ascii="FrankRuehl" w:hAnsi="FrankRuehl" w:cs="FrankRuehl" w:hint="cs"/>
          <w:sz w:val="28"/>
          <w:szCs w:val="28"/>
          <w:rtl/>
        </w:rPr>
        <w:t xml:space="preserve">של קנבר </w:t>
      </w:r>
      <w:r w:rsidRPr="00CA0EC0">
        <w:rPr>
          <w:rFonts w:ascii="FrankRuehl" w:hAnsi="FrankRuehl" w:cs="FrankRuehl"/>
          <w:sz w:val="28"/>
          <w:szCs w:val="28"/>
          <w:rtl/>
        </w:rPr>
        <w:t>וחבט ב</w:t>
      </w:r>
      <w:r w:rsidRPr="00CA0EC0">
        <w:rPr>
          <w:rFonts w:ascii="FrankRuehl" w:hAnsi="FrankRuehl" w:cs="FrankRuehl" w:hint="cs"/>
          <w:sz w:val="28"/>
          <w:szCs w:val="28"/>
          <w:rtl/>
        </w:rPr>
        <w:t>ידיו ב</w:t>
      </w:r>
      <w:r w:rsidRPr="00CA0EC0">
        <w:rPr>
          <w:rFonts w:ascii="FrankRuehl" w:hAnsi="FrankRuehl" w:cs="FrankRuehl"/>
          <w:sz w:val="28"/>
          <w:szCs w:val="28"/>
          <w:rtl/>
        </w:rPr>
        <w:t xml:space="preserve">חלקו הקדמי. בין הצדדים התפתח ויכוח במהלכו התקרב </w:t>
      </w:r>
      <w:r w:rsidRPr="00CA0EC0">
        <w:rPr>
          <w:rFonts w:ascii="FrankRuehl" w:hAnsi="FrankRuehl" w:cs="FrankRuehl" w:hint="cs"/>
          <w:sz w:val="28"/>
          <w:szCs w:val="28"/>
          <w:rtl/>
        </w:rPr>
        <w:t>אחמד</w:t>
      </w:r>
      <w:r w:rsidRPr="00CA0EC0">
        <w:rPr>
          <w:rFonts w:ascii="FrankRuehl" w:hAnsi="FrankRuehl" w:cs="FrankRuehl"/>
          <w:sz w:val="28"/>
          <w:szCs w:val="28"/>
          <w:rtl/>
        </w:rPr>
        <w:t xml:space="preserve"> אל קנבר והלה דחף אותו על מנת שלא יתקרב לעברו, ואחר</w:t>
      </w:r>
      <w:r w:rsidRPr="00CA0EC0">
        <w:rPr>
          <w:rFonts w:ascii="FrankRuehl" w:hAnsi="FrankRuehl" w:cs="FrankRuehl" w:hint="cs"/>
          <w:sz w:val="28"/>
          <w:szCs w:val="28"/>
          <w:rtl/>
        </w:rPr>
        <w:t>, שזהותו אינה ידועה למאשימה,</w:t>
      </w:r>
      <w:r w:rsidRPr="00CA0EC0">
        <w:rPr>
          <w:rFonts w:ascii="FrankRuehl" w:hAnsi="FrankRuehl" w:cs="FrankRuehl"/>
          <w:sz w:val="28"/>
          <w:szCs w:val="28"/>
          <w:rtl/>
        </w:rPr>
        <w:t xml:space="preserve"> תפס את קנבר </w:t>
      </w:r>
      <w:r w:rsidRPr="00CA0EC0">
        <w:rPr>
          <w:rFonts w:ascii="FrankRuehl" w:hAnsi="FrankRuehl" w:cs="FrankRuehl" w:hint="cs"/>
          <w:sz w:val="28"/>
          <w:szCs w:val="28"/>
          <w:rtl/>
        </w:rPr>
        <w:t xml:space="preserve">מאחורה </w:t>
      </w:r>
      <w:r w:rsidRPr="00CA0EC0">
        <w:rPr>
          <w:rFonts w:ascii="FrankRuehl" w:hAnsi="FrankRuehl" w:cs="FrankRuehl"/>
          <w:sz w:val="28"/>
          <w:szCs w:val="28"/>
          <w:rtl/>
        </w:rPr>
        <w:t xml:space="preserve">באחיזת חניקה. </w:t>
      </w:r>
    </w:p>
    <w:p w14:paraId="44C9A4FB" w14:textId="77777777" w:rsidR="00031419" w:rsidRPr="00CA0EC0" w:rsidRDefault="00031419" w:rsidP="00CA0EC0">
      <w:pPr>
        <w:pStyle w:val="a9"/>
        <w:spacing w:line="360" w:lineRule="auto"/>
        <w:rPr>
          <w:rFonts w:ascii="FrankRuehl" w:hAnsi="FrankRuehl" w:cs="FrankRuehl"/>
          <w:sz w:val="28"/>
          <w:szCs w:val="28"/>
          <w:rtl/>
        </w:rPr>
      </w:pPr>
    </w:p>
    <w:p w14:paraId="06CB0495" w14:textId="77777777" w:rsidR="00031419" w:rsidRPr="00CA0EC0" w:rsidRDefault="00031419" w:rsidP="00CA0EC0">
      <w:pPr>
        <w:pStyle w:val="a9"/>
        <w:numPr>
          <w:ilvl w:val="0"/>
          <w:numId w:val="1"/>
        </w:numPr>
        <w:spacing w:line="360" w:lineRule="auto"/>
        <w:jc w:val="both"/>
        <w:rPr>
          <w:rFonts w:ascii="FrankRuehl" w:hAnsi="FrankRuehl" w:cs="FrankRuehl"/>
          <w:sz w:val="28"/>
          <w:szCs w:val="28"/>
        </w:rPr>
      </w:pPr>
      <w:r w:rsidRPr="00CA0EC0">
        <w:rPr>
          <w:rFonts w:ascii="FrankRuehl" w:hAnsi="FrankRuehl" w:cs="FrankRuehl"/>
          <w:sz w:val="28"/>
          <w:szCs w:val="28"/>
          <w:rtl/>
        </w:rPr>
        <w:t>במהלך המתואר עצר רכב הסעות הנהוג בידי סיף אלדין סורחי (להלן:</w:t>
      </w:r>
      <w:r w:rsidRPr="00CA0EC0">
        <w:rPr>
          <w:rFonts w:ascii="FrankRuehl" w:hAnsi="FrankRuehl" w:cs="FrankRuehl" w:hint="cs"/>
          <w:sz w:val="28"/>
          <w:szCs w:val="28"/>
          <w:rtl/>
        </w:rPr>
        <w:t xml:space="preserve"> </w:t>
      </w:r>
      <w:r w:rsidRPr="00CA0EC0">
        <w:rPr>
          <w:rFonts w:ascii="FrankRuehl" w:hAnsi="FrankRuehl" w:cs="FrankRuehl"/>
          <w:sz w:val="28"/>
          <w:szCs w:val="28"/>
          <w:rtl/>
        </w:rPr>
        <w:t>"סיף") ובו שבעה ילדים בעלי צרכים מיוחדים, זאת לאחר שהבחין כי קנבר המוכר לו ממקום עבודתו</w:t>
      </w:r>
      <w:r w:rsidRPr="00CA0EC0">
        <w:rPr>
          <w:rFonts w:ascii="FrankRuehl" w:hAnsi="FrankRuehl" w:cs="FrankRuehl" w:hint="cs"/>
          <w:sz w:val="28"/>
          <w:szCs w:val="28"/>
          <w:rtl/>
        </w:rPr>
        <w:t xml:space="preserve">, </w:t>
      </w:r>
      <w:r w:rsidRPr="00CA0EC0">
        <w:rPr>
          <w:rFonts w:ascii="FrankRuehl" w:hAnsi="FrankRuehl" w:cs="FrankRuehl"/>
          <w:sz w:val="28"/>
          <w:szCs w:val="28"/>
          <w:rtl/>
        </w:rPr>
        <w:t xml:space="preserve">מעורב בוויכוח. סיף ירד מרכב ההסעות וביקש מהצדדים להירגע. </w:t>
      </w:r>
      <w:r w:rsidRPr="00CA0EC0">
        <w:rPr>
          <w:rFonts w:ascii="FrankRuehl" w:hAnsi="FrankRuehl" w:cs="FrankRuehl" w:hint="cs"/>
          <w:sz w:val="28"/>
          <w:szCs w:val="28"/>
          <w:rtl/>
        </w:rPr>
        <w:t>ב</w:t>
      </w:r>
      <w:r w:rsidRPr="00CA0EC0">
        <w:rPr>
          <w:rFonts w:ascii="FrankRuehl" w:hAnsi="FrankRuehl" w:cs="FrankRuehl"/>
          <w:sz w:val="28"/>
          <w:szCs w:val="28"/>
          <w:rtl/>
        </w:rPr>
        <w:t xml:space="preserve">אותה עת הגיח אדם אחר מאחורי סיף וחבט בו באמצעות קרש מעץ שהיה במקום. כתוצאה ממעשיו, נפל סיף ארצה, ומיד קם והחל לנסוע מהמקום בעודו מעורפל אל עבר פנימיית רנד המרוחקת כ-10 מטרים מהמקום (להלן: "הפנימייה"). שם, איבד סיף את הכרתו ופונה לבית החולים. כתוצאה ממעשי האחר, נגרמו לסיף נפיחות בראשו ושפשופים במצח. </w:t>
      </w:r>
    </w:p>
    <w:p w14:paraId="357B81F9" w14:textId="77777777" w:rsidR="00031419" w:rsidRPr="00CA0EC0" w:rsidRDefault="00031419" w:rsidP="00CA0EC0">
      <w:pPr>
        <w:pStyle w:val="a9"/>
        <w:spacing w:line="360" w:lineRule="auto"/>
        <w:rPr>
          <w:rFonts w:ascii="FrankRuehl" w:hAnsi="FrankRuehl" w:cs="FrankRuehl"/>
          <w:sz w:val="28"/>
          <w:szCs w:val="28"/>
          <w:rtl/>
        </w:rPr>
      </w:pPr>
    </w:p>
    <w:p w14:paraId="5E360FFC" w14:textId="77777777" w:rsidR="00031419" w:rsidRPr="00CA0EC0" w:rsidRDefault="00031419" w:rsidP="00CA0EC0">
      <w:pPr>
        <w:pStyle w:val="a9"/>
        <w:numPr>
          <w:ilvl w:val="0"/>
          <w:numId w:val="1"/>
        </w:numPr>
        <w:spacing w:line="360" w:lineRule="auto"/>
        <w:jc w:val="both"/>
        <w:rPr>
          <w:rFonts w:ascii="FrankRuehl" w:hAnsi="FrankRuehl" w:cs="FrankRuehl"/>
          <w:sz w:val="28"/>
          <w:szCs w:val="28"/>
        </w:rPr>
      </w:pPr>
      <w:r w:rsidRPr="00CA0EC0">
        <w:rPr>
          <w:rFonts w:ascii="FrankRuehl" w:hAnsi="FrankRuehl" w:cs="FrankRuehl"/>
          <w:sz w:val="28"/>
          <w:szCs w:val="28"/>
          <w:rtl/>
        </w:rPr>
        <w:t>בהמשך למתואר לעיל, סמוך לשעה 15:20</w:t>
      </w:r>
      <w:r w:rsidRPr="00CA0EC0">
        <w:rPr>
          <w:rFonts w:ascii="FrankRuehl" w:hAnsi="FrankRuehl" w:cs="FrankRuehl" w:hint="cs"/>
          <w:sz w:val="28"/>
          <w:szCs w:val="28"/>
          <w:rtl/>
        </w:rPr>
        <w:t>,</w:t>
      </w:r>
      <w:r w:rsidRPr="00CA0EC0">
        <w:rPr>
          <w:rFonts w:ascii="FrankRuehl" w:hAnsi="FrankRuehl" w:cs="FrankRuehl"/>
          <w:sz w:val="28"/>
          <w:szCs w:val="28"/>
          <w:rtl/>
        </w:rPr>
        <w:t xml:space="preserve"> הגיעו בסמוך לפנימייה חמישה מקרובי משפחתו של קנבר, בכדי להתעמת עם משפחת </w:t>
      </w:r>
      <w:r w:rsidRPr="00CA0EC0">
        <w:rPr>
          <w:rFonts w:ascii="FrankRuehl" w:hAnsi="FrankRuehl" w:cs="FrankRuehl" w:hint="cs"/>
          <w:sz w:val="28"/>
          <w:szCs w:val="28"/>
          <w:rtl/>
        </w:rPr>
        <w:t>א</w:t>
      </w:r>
      <w:r w:rsidRPr="00CA0EC0">
        <w:rPr>
          <w:rFonts w:ascii="FrankRuehl" w:hAnsi="FrankRuehl" w:cs="FrankRuehl"/>
          <w:sz w:val="28"/>
          <w:szCs w:val="28"/>
          <w:rtl/>
        </w:rPr>
        <w:t xml:space="preserve">עליאן. </w:t>
      </w:r>
    </w:p>
    <w:p w14:paraId="5B103147" w14:textId="77777777" w:rsidR="00031419" w:rsidRPr="00CA0EC0" w:rsidRDefault="00031419" w:rsidP="00CA0EC0">
      <w:pPr>
        <w:pStyle w:val="a9"/>
        <w:spacing w:line="360" w:lineRule="auto"/>
        <w:rPr>
          <w:rFonts w:ascii="FrankRuehl" w:hAnsi="FrankRuehl" w:cs="FrankRuehl"/>
          <w:sz w:val="28"/>
          <w:szCs w:val="28"/>
          <w:rtl/>
        </w:rPr>
      </w:pPr>
    </w:p>
    <w:p w14:paraId="173F5EDE" w14:textId="77777777" w:rsidR="00031419" w:rsidRPr="00CA0EC0" w:rsidRDefault="00031419" w:rsidP="00CA0EC0">
      <w:pPr>
        <w:pStyle w:val="a9"/>
        <w:numPr>
          <w:ilvl w:val="0"/>
          <w:numId w:val="1"/>
        </w:numPr>
        <w:spacing w:line="360" w:lineRule="auto"/>
        <w:jc w:val="both"/>
        <w:rPr>
          <w:rFonts w:ascii="FrankRuehl" w:hAnsi="FrankRuehl" w:cs="FrankRuehl"/>
          <w:sz w:val="28"/>
          <w:szCs w:val="28"/>
        </w:rPr>
      </w:pPr>
      <w:r w:rsidRPr="00CA0EC0">
        <w:rPr>
          <w:rFonts w:ascii="FrankRuehl" w:hAnsi="FrankRuehl" w:cs="FrankRuehl"/>
          <w:sz w:val="28"/>
          <w:szCs w:val="28"/>
          <w:rtl/>
        </w:rPr>
        <w:t>נוכח החשש להתלהטות הרוחות, הועבר דיווח אודות התקהלותם של קרובי משפחתו של קנבר לקש"ק תחנת הראל אבי בן דוד (להלן:</w:t>
      </w:r>
      <w:r w:rsidRPr="00CA0EC0">
        <w:rPr>
          <w:rFonts w:ascii="FrankRuehl" w:hAnsi="FrankRuehl" w:cs="FrankRuehl" w:hint="cs"/>
          <w:sz w:val="28"/>
          <w:szCs w:val="28"/>
          <w:rtl/>
        </w:rPr>
        <w:t xml:space="preserve"> </w:t>
      </w:r>
      <w:r w:rsidRPr="00CA0EC0">
        <w:rPr>
          <w:rFonts w:ascii="FrankRuehl" w:hAnsi="FrankRuehl" w:cs="FrankRuehl"/>
          <w:sz w:val="28"/>
          <w:szCs w:val="28"/>
          <w:rtl/>
        </w:rPr>
        <w:t xml:space="preserve">"הקש"ק אבי"). זמן קצר לאחר הגעתו, התקרבו למקום הנאשם, אחמד, אדם </w:t>
      </w:r>
      <w:r w:rsidRPr="00CA0EC0">
        <w:rPr>
          <w:rFonts w:ascii="FrankRuehl" w:hAnsi="FrankRuehl" w:cs="FrankRuehl" w:hint="cs"/>
          <w:sz w:val="28"/>
          <w:szCs w:val="28"/>
          <w:rtl/>
        </w:rPr>
        <w:t>א</w:t>
      </w:r>
      <w:r w:rsidRPr="00CA0EC0">
        <w:rPr>
          <w:rFonts w:ascii="FrankRuehl" w:hAnsi="FrankRuehl" w:cs="FrankRuehl"/>
          <w:sz w:val="28"/>
          <w:szCs w:val="28"/>
          <w:rtl/>
        </w:rPr>
        <w:t>עליאן (להלן:</w:t>
      </w:r>
      <w:r w:rsidRPr="00CA0EC0">
        <w:rPr>
          <w:rFonts w:ascii="FrankRuehl" w:hAnsi="FrankRuehl" w:cs="FrankRuehl" w:hint="cs"/>
          <w:sz w:val="28"/>
          <w:szCs w:val="28"/>
          <w:rtl/>
        </w:rPr>
        <w:t xml:space="preserve"> </w:t>
      </w:r>
      <w:r w:rsidRPr="00CA0EC0">
        <w:rPr>
          <w:rFonts w:ascii="FrankRuehl" w:hAnsi="FrankRuehl" w:cs="FrankRuehl"/>
          <w:sz w:val="28"/>
          <w:szCs w:val="28"/>
          <w:rtl/>
        </w:rPr>
        <w:t>"אדם") ואחר</w:t>
      </w:r>
      <w:r w:rsidRPr="00CA0EC0">
        <w:rPr>
          <w:rFonts w:ascii="FrankRuehl" w:hAnsi="FrankRuehl" w:cs="FrankRuehl" w:hint="cs"/>
          <w:sz w:val="28"/>
          <w:szCs w:val="28"/>
          <w:rtl/>
        </w:rPr>
        <w:t xml:space="preserve"> שזהותו אינה ידועה למאשימה (להלן: "האחר"). האחר נשא עמו </w:t>
      </w:r>
      <w:r w:rsidRPr="00CA0EC0">
        <w:rPr>
          <w:rFonts w:ascii="FrankRuehl" w:hAnsi="FrankRuehl" w:cs="FrankRuehl"/>
          <w:sz w:val="28"/>
          <w:szCs w:val="28"/>
          <w:rtl/>
        </w:rPr>
        <w:t>אקדח</w:t>
      </w:r>
      <w:r w:rsidRPr="00CA0EC0">
        <w:rPr>
          <w:rFonts w:ascii="FrankRuehl" w:hAnsi="FrankRuehl" w:cs="FrankRuehl" w:hint="cs"/>
          <w:sz w:val="28"/>
          <w:szCs w:val="28"/>
          <w:rtl/>
        </w:rPr>
        <w:t xml:space="preserve"> </w:t>
      </w:r>
      <w:r w:rsidRPr="00CA0EC0">
        <w:rPr>
          <w:rFonts w:ascii="FrankRuehl" w:hAnsi="FrankRuehl" w:cs="FrankRuehl"/>
          <w:sz w:val="28"/>
          <w:szCs w:val="28"/>
          <w:rtl/>
        </w:rPr>
        <w:t xml:space="preserve">מסוג </w:t>
      </w:r>
      <w:r w:rsidRPr="00CA0EC0">
        <w:rPr>
          <w:rFonts w:cs="Times New Roman"/>
          <w:sz w:val="22"/>
          <w:szCs w:val="22"/>
        </w:rPr>
        <w:t>CZ</w:t>
      </w:r>
      <w:r w:rsidRPr="00CA0EC0">
        <w:rPr>
          <w:rFonts w:ascii="FrankRuehl" w:hAnsi="FrankRuehl" w:cs="FrankRuehl"/>
          <w:sz w:val="28"/>
          <w:szCs w:val="28"/>
        </w:rPr>
        <w:t>75</w:t>
      </w:r>
      <w:r w:rsidRPr="00CA0EC0">
        <w:rPr>
          <w:rFonts w:ascii="FrankRuehl" w:hAnsi="FrankRuehl" w:cs="FrankRuehl"/>
          <w:sz w:val="28"/>
          <w:szCs w:val="28"/>
          <w:rtl/>
        </w:rPr>
        <w:t xml:space="preserve"> (להלן: "האקדח") אשר הוחזק ברישיון על יד אדם בשם מר יהודה שושן ונגנב ממנו במהלך שנת 2009.</w:t>
      </w:r>
      <w:r w:rsidRPr="00CA0EC0">
        <w:rPr>
          <w:rFonts w:ascii="FrankRuehl" w:hAnsi="FrankRuehl" w:cs="FrankRuehl" w:hint="cs"/>
          <w:sz w:val="28"/>
          <w:szCs w:val="28"/>
          <w:rtl/>
        </w:rPr>
        <w:t xml:space="preserve"> הנאשם לא היה מודע לכך שהאחר נושא עליו אקדח וגם לא ידע את מקור האקדח.</w:t>
      </w:r>
    </w:p>
    <w:p w14:paraId="7527179A" w14:textId="77777777" w:rsidR="00031419" w:rsidRPr="00CA0EC0" w:rsidRDefault="00031419" w:rsidP="00CA0EC0">
      <w:pPr>
        <w:pStyle w:val="a9"/>
        <w:spacing w:line="360" w:lineRule="auto"/>
        <w:rPr>
          <w:rFonts w:ascii="FrankRuehl" w:hAnsi="FrankRuehl" w:cs="FrankRuehl"/>
          <w:sz w:val="28"/>
          <w:szCs w:val="28"/>
          <w:rtl/>
        </w:rPr>
      </w:pPr>
    </w:p>
    <w:p w14:paraId="77C16E8C" w14:textId="77777777" w:rsidR="00031419" w:rsidRPr="00CA0EC0" w:rsidRDefault="00031419" w:rsidP="00CA0EC0">
      <w:pPr>
        <w:pStyle w:val="a9"/>
        <w:numPr>
          <w:ilvl w:val="0"/>
          <w:numId w:val="1"/>
        </w:numPr>
        <w:spacing w:line="360" w:lineRule="auto"/>
        <w:jc w:val="both"/>
        <w:rPr>
          <w:rFonts w:ascii="FrankRuehl" w:hAnsi="FrankRuehl" w:cs="FrankRuehl"/>
          <w:sz w:val="28"/>
          <w:szCs w:val="28"/>
        </w:rPr>
      </w:pPr>
      <w:r w:rsidRPr="00CA0EC0">
        <w:rPr>
          <w:rFonts w:ascii="FrankRuehl" w:hAnsi="FrankRuehl" w:cs="FrankRuehl"/>
          <w:sz w:val="28"/>
          <w:szCs w:val="28"/>
          <w:rtl/>
        </w:rPr>
        <w:t>בעוד הקש"ק אבי היה עסוק בהרגעת הצדדים ובירור פרטי הו</w:t>
      </w:r>
      <w:r w:rsidRPr="00CA0EC0">
        <w:rPr>
          <w:rFonts w:ascii="FrankRuehl" w:hAnsi="FrankRuehl" w:cs="FrankRuehl" w:hint="cs"/>
          <w:sz w:val="28"/>
          <w:szCs w:val="28"/>
          <w:rtl/>
        </w:rPr>
        <w:t>ו</w:t>
      </w:r>
      <w:r w:rsidRPr="00CA0EC0">
        <w:rPr>
          <w:rFonts w:ascii="FrankRuehl" w:hAnsi="FrankRuehl" w:cs="FrankRuehl"/>
          <w:sz w:val="28"/>
          <w:szCs w:val="28"/>
          <w:rtl/>
        </w:rPr>
        <w:t>יכוח, מסיבה שאינה ברורה</w:t>
      </w:r>
      <w:r w:rsidRPr="00CA0EC0">
        <w:rPr>
          <w:rFonts w:ascii="FrankRuehl" w:hAnsi="FrankRuehl" w:cs="FrankRuehl" w:hint="cs"/>
          <w:sz w:val="28"/>
          <w:szCs w:val="28"/>
          <w:rtl/>
        </w:rPr>
        <w:t>,</w:t>
      </w:r>
      <w:r w:rsidRPr="00CA0EC0">
        <w:rPr>
          <w:rFonts w:ascii="FrankRuehl" w:hAnsi="FrankRuehl" w:cs="FrankRuehl"/>
          <w:sz w:val="28"/>
          <w:szCs w:val="28"/>
          <w:rtl/>
        </w:rPr>
        <w:t xml:space="preserve"> הנאשם והאחר התנתקו מהקבוצה והחלו לשוב על עקבותיהם. בתגובה החל הקש"ק אבי ללכת בעקבות הנאשם והאחר וקרא להם לעצור. אולם הם החלו לרוץ מהמקום תוך שהאחר מעביר לידיו של הנאשם </w:t>
      </w:r>
      <w:r w:rsidRPr="00CA0EC0">
        <w:rPr>
          <w:rFonts w:ascii="FrankRuehl" w:hAnsi="FrankRuehl" w:cs="FrankRuehl" w:hint="cs"/>
          <w:sz w:val="28"/>
          <w:szCs w:val="28"/>
          <w:rtl/>
        </w:rPr>
        <w:t>את ה</w:t>
      </w:r>
      <w:r w:rsidRPr="00CA0EC0">
        <w:rPr>
          <w:rFonts w:ascii="FrankRuehl" w:hAnsi="FrankRuehl" w:cs="FrankRuehl"/>
          <w:sz w:val="28"/>
          <w:szCs w:val="28"/>
          <w:rtl/>
        </w:rPr>
        <w:t>אקדח</w:t>
      </w:r>
      <w:r w:rsidRPr="00CA0EC0">
        <w:rPr>
          <w:rFonts w:ascii="FrankRuehl" w:hAnsi="FrankRuehl" w:cs="FrankRuehl" w:hint="cs"/>
          <w:sz w:val="28"/>
          <w:szCs w:val="28"/>
          <w:rtl/>
        </w:rPr>
        <w:t>.</w:t>
      </w:r>
      <w:r w:rsidRPr="00CA0EC0">
        <w:rPr>
          <w:rFonts w:ascii="FrankRuehl" w:hAnsi="FrankRuehl" w:cs="FrankRuehl"/>
          <w:sz w:val="28"/>
          <w:szCs w:val="28"/>
          <w:rtl/>
        </w:rPr>
        <w:t xml:space="preserve"> משהבחין הקש"ק אבי כי הנאשם בורח, החל לדלוק אחריו.</w:t>
      </w:r>
      <w:r w:rsidRPr="00CA0EC0">
        <w:rPr>
          <w:rFonts w:ascii="FrankRuehl" w:hAnsi="FrankRuehl" w:cs="FrankRuehl" w:hint="cs"/>
          <w:sz w:val="28"/>
          <w:szCs w:val="28"/>
          <w:rtl/>
        </w:rPr>
        <w:t xml:space="preserve"> א</w:t>
      </w:r>
      <w:r w:rsidRPr="00CA0EC0">
        <w:rPr>
          <w:rFonts w:ascii="FrankRuehl" w:hAnsi="FrankRuehl" w:cs="FrankRuehl"/>
          <w:sz w:val="28"/>
          <w:szCs w:val="28"/>
          <w:rtl/>
        </w:rPr>
        <w:t>ו אז</w:t>
      </w:r>
      <w:r w:rsidRPr="00CA0EC0">
        <w:rPr>
          <w:rFonts w:ascii="FrankRuehl" w:hAnsi="FrankRuehl" w:cs="FrankRuehl" w:hint="cs"/>
          <w:sz w:val="28"/>
          <w:szCs w:val="28"/>
          <w:rtl/>
        </w:rPr>
        <w:t>,</w:t>
      </w:r>
      <w:r w:rsidRPr="00CA0EC0">
        <w:rPr>
          <w:rFonts w:ascii="FrankRuehl" w:hAnsi="FrankRuehl" w:cs="FrankRuehl"/>
          <w:sz w:val="28"/>
          <w:szCs w:val="28"/>
          <w:rtl/>
        </w:rPr>
        <w:t xml:space="preserve"> הגיח אדם כשהוא רכוב על טרקטורון שסטה לעבר הקש"ק אבי באופן שגרם </w:t>
      </w:r>
      <w:r w:rsidRPr="00CA0EC0">
        <w:rPr>
          <w:rFonts w:ascii="FrankRuehl" w:hAnsi="FrankRuehl" w:cs="FrankRuehl"/>
          <w:sz w:val="28"/>
          <w:szCs w:val="28"/>
          <w:rtl/>
        </w:rPr>
        <w:lastRenderedPageBreak/>
        <w:t>לו לבלימה ולהגדלת המרחק בינו לבין הנאשם. לאחר מרדף שארך כ-2 דק</w:t>
      </w:r>
      <w:r w:rsidRPr="00CA0EC0">
        <w:rPr>
          <w:rFonts w:ascii="FrankRuehl" w:hAnsi="FrankRuehl" w:cs="FrankRuehl" w:hint="cs"/>
          <w:sz w:val="28"/>
          <w:szCs w:val="28"/>
          <w:rtl/>
        </w:rPr>
        <w:t>ות</w:t>
      </w:r>
      <w:r w:rsidRPr="00CA0EC0">
        <w:rPr>
          <w:rFonts w:ascii="FrankRuehl" w:hAnsi="FrankRuehl" w:cs="FrankRuehl"/>
          <w:sz w:val="28"/>
          <w:szCs w:val="28"/>
          <w:rtl/>
        </w:rPr>
        <w:t xml:space="preserve"> עד להגעתו של קש"ק אבי סמוך לרחוב המצפה 13, נפל הנאשם אל תוך שטח מיוער, התגלגל</w:t>
      </w:r>
      <w:r w:rsidRPr="00CA0EC0">
        <w:rPr>
          <w:rFonts w:ascii="FrankRuehl" w:hAnsi="FrankRuehl" w:cs="FrankRuehl" w:hint="cs"/>
          <w:sz w:val="28"/>
          <w:szCs w:val="28"/>
          <w:rtl/>
        </w:rPr>
        <w:t>,</w:t>
      </w:r>
      <w:r w:rsidRPr="00CA0EC0">
        <w:rPr>
          <w:rFonts w:ascii="FrankRuehl" w:hAnsi="FrankRuehl" w:cs="FrankRuehl"/>
          <w:sz w:val="28"/>
          <w:szCs w:val="28"/>
          <w:rtl/>
        </w:rPr>
        <w:t xml:space="preserve"> תוך שהוא מפיל את האקדח</w:t>
      </w:r>
      <w:r w:rsidRPr="00CA0EC0">
        <w:rPr>
          <w:rFonts w:ascii="FrankRuehl" w:hAnsi="FrankRuehl" w:cs="FrankRuehl" w:hint="cs"/>
          <w:sz w:val="28"/>
          <w:szCs w:val="28"/>
          <w:rtl/>
        </w:rPr>
        <w:t>,</w:t>
      </w:r>
      <w:r w:rsidRPr="00CA0EC0">
        <w:rPr>
          <w:rFonts w:ascii="FrankRuehl" w:hAnsi="FrankRuehl" w:cs="FrankRuehl"/>
          <w:sz w:val="28"/>
          <w:szCs w:val="28"/>
          <w:rtl/>
        </w:rPr>
        <w:t xml:space="preserve"> והמשיך לרוץ לעבר אדם שהמתין לו רכוב על טרקטורון בצדו השני של הרחוב והשניים נמלטו מהמקום. האקדח נתפס ע"י המשטרה במקום. </w:t>
      </w:r>
    </w:p>
    <w:p w14:paraId="52BAD796" w14:textId="77777777" w:rsidR="00031419" w:rsidRPr="00CA0EC0" w:rsidRDefault="00031419" w:rsidP="00CA0EC0">
      <w:pPr>
        <w:pStyle w:val="a9"/>
        <w:spacing w:line="360" w:lineRule="auto"/>
        <w:rPr>
          <w:rFonts w:ascii="FrankRuehl" w:hAnsi="FrankRuehl" w:cs="FrankRuehl"/>
          <w:sz w:val="28"/>
          <w:szCs w:val="28"/>
          <w:rtl/>
        </w:rPr>
      </w:pPr>
    </w:p>
    <w:p w14:paraId="64ED7087" w14:textId="77777777" w:rsidR="00031419" w:rsidRPr="00CA0EC0" w:rsidRDefault="00031419" w:rsidP="00CA0EC0">
      <w:pPr>
        <w:spacing w:line="360" w:lineRule="auto"/>
        <w:jc w:val="both"/>
        <w:rPr>
          <w:rFonts w:ascii="FrankRuehl" w:hAnsi="FrankRuehl" w:cs="FrankRuehl"/>
          <w:b/>
          <w:bCs/>
          <w:sz w:val="28"/>
          <w:szCs w:val="28"/>
          <w:u w:val="single"/>
          <w:rtl/>
        </w:rPr>
      </w:pPr>
      <w:r w:rsidRPr="00CA0EC0">
        <w:rPr>
          <w:rFonts w:ascii="FrankRuehl" w:hAnsi="FrankRuehl" w:cs="FrankRuehl"/>
          <w:b/>
          <w:bCs/>
          <w:sz w:val="28"/>
          <w:szCs w:val="28"/>
          <w:u w:val="single"/>
          <w:rtl/>
        </w:rPr>
        <w:t>תסקיר שירות המבחן</w:t>
      </w:r>
    </w:p>
    <w:p w14:paraId="0402DF7C" w14:textId="77777777" w:rsidR="00031419" w:rsidRPr="00CA0EC0" w:rsidRDefault="00031419" w:rsidP="00CA0EC0">
      <w:pPr>
        <w:pStyle w:val="a9"/>
        <w:numPr>
          <w:ilvl w:val="0"/>
          <w:numId w:val="1"/>
        </w:numPr>
        <w:spacing w:line="360" w:lineRule="auto"/>
        <w:jc w:val="both"/>
        <w:rPr>
          <w:rFonts w:ascii="FrankRuehl" w:hAnsi="FrankRuehl" w:cs="FrankRuehl"/>
          <w:sz w:val="28"/>
          <w:szCs w:val="28"/>
        </w:rPr>
      </w:pPr>
      <w:r w:rsidRPr="00CA0EC0">
        <w:rPr>
          <w:rFonts w:ascii="FrankRuehl" w:hAnsi="FrankRuehl" w:cs="FrankRuehl" w:hint="cs"/>
          <w:sz w:val="28"/>
          <w:szCs w:val="28"/>
          <w:rtl/>
        </w:rPr>
        <w:t>הוגש תסקיר מבחן בעניינו של הנאשם ממנו נלמד אודות הנאשם ומשפחתו. קצינת המבחן ציינה כי זו עבירה הראשונה המיוחסת לנאשם וכי הוא נטל אחריות מלאה למעשים בהם הורשע תוך שהביע חרטה ונכונות לשאת בהשלכות מעשיו. כן צוין כי לצד קשיים ביכולת הנפרדות והתנהגות אימפולסיבית של הנאשם בעת שהוא חש איום על ערכו העצמי או על משפחתו, הנאשם בעל יכולות הסתגלות ויציבות טובות. כמו כן הנאשם הביע נכונות ומוטיבציה להשתלב בטיפול על מנת להתמודד עם הדפוסים המכשילים בחייו ולקבל כלים להתנהגות מיטיבה. עוד ציינה קצינת המבחן כי להערכתה, העובדה שהתקיימה סולחה בין המשפחות הניצות, מפחיתה את רמת הסיכון. בשל כך הומלץ על הימנעות מהטלת עונש מאסר בפועל, והסתפקות במאסר שיבוצע בעבודות שירות, והמשך טיפול של הנאשם במסגרת שירות המבחן. בתסקיר שהוגש מאוחר יותר צוין כי הנאשם שולב בקבוצה טיפולית וכי הוא משתף פעולה וניכרת מוטיבציה להתמיד במסגרת.</w:t>
      </w:r>
    </w:p>
    <w:p w14:paraId="7D4455DC" w14:textId="77777777" w:rsidR="00031419" w:rsidRPr="00CA0EC0" w:rsidRDefault="00031419" w:rsidP="00CA0EC0">
      <w:pPr>
        <w:pStyle w:val="a9"/>
        <w:spacing w:line="360" w:lineRule="auto"/>
        <w:ind w:left="525"/>
        <w:jc w:val="both"/>
        <w:rPr>
          <w:rFonts w:ascii="FrankRuehl" w:hAnsi="FrankRuehl" w:cs="FrankRuehl"/>
          <w:sz w:val="28"/>
          <w:szCs w:val="28"/>
        </w:rPr>
      </w:pPr>
    </w:p>
    <w:p w14:paraId="419ED381" w14:textId="77777777" w:rsidR="00031419" w:rsidRPr="00CA0EC0" w:rsidRDefault="00031419" w:rsidP="00CA0EC0">
      <w:pPr>
        <w:spacing w:line="360" w:lineRule="auto"/>
        <w:jc w:val="both"/>
        <w:rPr>
          <w:rFonts w:ascii="FrankRuehl" w:hAnsi="FrankRuehl" w:cs="FrankRuehl"/>
          <w:sz w:val="28"/>
          <w:szCs w:val="28"/>
        </w:rPr>
      </w:pPr>
      <w:r w:rsidRPr="00CA0EC0">
        <w:rPr>
          <w:rFonts w:ascii="FrankRuehl" w:hAnsi="FrankRuehl" w:cs="FrankRuehl"/>
          <w:b/>
          <w:bCs/>
          <w:sz w:val="28"/>
          <w:szCs w:val="28"/>
          <w:u w:val="single"/>
          <w:rtl/>
        </w:rPr>
        <w:t>טיעוני ב"כ הצדדים לעונש</w:t>
      </w:r>
    </w:p>
    <w:p w14:paraId="0524DC00" w14:textId="77777777" w:rsidR="00031419" w:rsidRPr="00CA0EC0" w:rsidRDefault="00031419" w:rsidP="00CA0EC0">
      <w:pPr>
        <w:pStyle w:val="a9"/>
        <w:numPr>
          <w:ilvl w:val="0"/>
          <w:numId w:val="1"/>
        </w:numPr>
        <w:spacing w:line="360" w:lineRule="auto"/>
        <w:jc w:val="both"/>
        <w:rPr>
          <w:rFonts w:ascii="FrankRuehl" w:hAnsi="FrankRuehl" w:cs="FrankRuehl"/>
          <w:sz w:val="28"/>
          <w:szCs w:val="28"/>
        </w:rPr>
      </w:pPr>
      <w:r w:rsidRPr="00CA0EC0">
        <w:rPr>
          <w:rFonts w:ascii="FrankRuehl" w:hAnsi="FrankRuehl" w:cs="FrankRuehl"/>
          <w:sz w:val="28"/>
          <w:szCs w:val="28"/>
          <w:rtl/>
        </w:rPr>
        <w:t xml:space="preserve">בטיעוניה לעונש עמדה ב"כ המאשימה על הרקע למעשיו של הנאשם, אירוע מתגלגל של קטטה בין משפחות, שהעובדה כי במהלכו הוחזק נשק מדגישה את חומרתו של האירוע ופוטנציאל הנזק. היא עמדה על הצורך במיגור התופעה של החזקה ושימוש בנשק בכלל, וכאמצעי לפתרון סכסוכים בפרט. הבריחה של הנאשם תוך כדי שהוא אוחז באקדח מהווה נסיבה נוספת לחומרה. כן ציינה, כי האקדח נתפס לא מיוזמנו של הנאשם אלא בעקבות מעידה שלו. בנוסף, הפנתה ב"כ המאשימה לפסיקה הנוהגת בעבירות של סיוע להחזקת נשק, ממנה עולה כי מתחם </w:t>
      </w:r>
      <w:r w:rsidRPr="00CA0EC0">
        <w:rPr>
          <w:rFonts w:ascii="FrankRuehl" w:hAnsi="FrankRuehl" w:cs="FrankRuehl" w:hint="cs"/>
          <w:sz w:val="28"/>
          <w:szCs w:val="28"/>
          <w:rtl/>
        </w:rPr>
        <w:t xml:space="preserve">העונש </w:t>
      </w:r>
      <w:r w:rsidRPr="00CA0EC0">
        <w:rPr>
          <w:rFonts w:ascii="FrankRuehl" w:hAnsi="FrankRuehl" w:cs="FrankRuehl"/>
          <w:sz w:val="28"/>
          <w:szCs w:val="28"/>
          <w:rtl/>
        </w:rPr>
        <w:t xml:space="preserve">מתחיל בדרך כלל ב-15 או 16 חודשי מאסר, ואולם בנסיבות מקרה זה, </w:t>
      </w:r>
      <w:r w:rsidRPr="00CA0EC0">
        <w:rPr>
          <w:rFonts w:ascii="FrankRuehl" w:hAnsi="FrankRuehl" w:cs="FrankRuehl" w:hint="cs"/>
          <w:sz w:val="28"/>
          <w:szCs w:val="28"/>
          <w:rtl/>
        </w:rPr>
        <w:t xml:space="preserve">בנסיבותיו המיוחדות, </w:t>
      </w:r>
      <w:r w:rsidRPr="00CA0EC0">
        <w:rPr>
          <w:rFonts w:ascii="FrankRuehl" w:hAnsi="FrankRuehl" w:cs="FrankRuehl"/>
          <w:sz w:val="28"/>
          <w:szCs w:val="28"/>
          <w:rtl/>
        </w:rPr>
        <w:t>הגבילה עצמה המאשימה במסגרת הסדר הטיעון לעונש של 12 חודשי מאסר בלבד בקיזוז ימי מעצרו של הנאשם. על כן, עתרה המאשימה לקביעת מתחם של 12 עד 24 חודשי מאסר, וביקשה להשית על הנאשם, הנעדר עבר פלילי, 12 חודשי מאסר בניכוי ימי מעצרו, מאסר על תנאי וקנס.</w:t>
      </w:r>
    </w:p>
    <w:p w14:paraId="7218A132" w14:textId="77777777" w:rsidR="00031419" w:rsidRPr="00CA0EC0" w:rsidRDefault="00031419" w:rsidP="00CA0EC0">
      <w:pPr>
        <w:pStyle w:val="a9"/>
        <w:spacing w:line="360" w:lineRule="auto"/>
        <w:ind w:left="525"/>
        <w:jc w:val="both"/>
        <w:rPr>
          <w:rFonts w:ascii="FrankRuehl" w:hAnsi="FrankRuehl" w:cs="FrankRuehl"/>
          <w:sz w:val="28"/>
          <w:szCs w:val="28"/>
        </w:rPr>
      </w:pPr>
    </w:p>
    <w:p w14:paraId="35ECFA05" w14:textId="77777777" w:rsidR="00031419" w:rsidRPr="00CA0EC0" w:rsidRDefault="00031419" w:rsidP="00CA0EC0">
      <w:pPr>
        <w:pStyle w:val="a9"/>
        <w:numPr>
          <w:ilvl w:val="0"/>
          <w:numId w:val="1"/>
        </w:numPr>
        <w:spacing w:line="360" w:lineRule="auto"/>
        <w:jc w:val="both"/>
        <w:rPr>
          <w:rFonts w:ascii="FrankRuehl" w:hAnsi="FrankRuehl" w:cs="FrankRuehl"/>
          <w:sz w:val="28"/>
          <w:szCs w:val="28"/>
        </w:rPr>
      </w:pPr>
      <w:r w:rsidRPr="00CA0EC0">
        <w:rPr>
          <w:rFonts w:ascii="FrankRuehl" w:hAnsi="FrankRuehl" w:cs="FrankRuehl" w:hint="cs"/>
          <w:sz w:val="28"/>
          <w:szCs w:val="28"/>
          <w:rtl/>
        </w:rPr>
        <w:t xml:space="preserve">ב"כ הנאשם עמד </w:t>
      </w:r>
      <w:r w:rsidRPr="00CA0EC0">
        <w:rPr>
          <w:rFonts w:ascii="FrankRuehl" w:hAnsi="FrankRuehl" w:cs="FrankRuehl"/>
          <w:sz w:val="28"/>
          <w:szCs w:val="28"/>
          <w:rtl/>
        </w:rPr>
        <w:t xml:space="preserve">אף הוא על נסיבות ביצוע העבירה. הוא הדגיש כי הנאשם לא נטל חלק בחלקו הראשון של האירוע, ואף שנכח שם לא היה שותף כלל בקטטה. כשהגיעו למקום בני המשפחה האחרת והקש"ק אבי הוא עזב את המקום יחד עם האחר כשהוא אינו יודע כלל – כאמור בכתב האישום המתוקן – על כך שהאחר נושא עמו אקדח. בשלב מסוים, כשהקש"ק בעקבותיהם הם </w:t>
      </w:r>
      <w:r w:rsidRPr="00CA0EC0">
        <w:rPr>
          <w:rFonts w:ascii="FrankRuehl" w:hAnsi="FrankRuehl" w:cs="FrankRuehl" w:hint="cs"/>
          <w:sz w:val="28"/>
          <w:szCs w:val="28"/>
          <w:rtl/>
        </w:rPr>
        <w:t xml:space="preserve">החלו </w:t>
      </w:r>
      <w:r w:rsidRPr="00CA0EC0">
        <w:rPr>
          <w:rFonts w:ascii="FrankRuehl" w:hAnsi="FrankRuehl" w:cs="FrankRuehl"/>
          <w:sz w:val="28"/>
          <w:szCs w:val="28"/>
          <w:rtl/>
        </w:rPr>
        <w:t>לרוץ, ותוך כדי ריצה בלא הודעה מקודמת, האחר מסר לו את האקדח והוא רץ עמו זמן קצר מאוד ע</w:t>
      </w:r>
      <w:r w:rsidRPr="00CA0EC0">
        <w:rPr>
          <w:rFonts w:ascii="FrankRuehl" w:hAnsi="FrankRuehl" w:cs="FrankRuehl" w:hint="cs"/>
          <w:sz w:val="28"/>
          <w:szCs w:val="28"/>
          <w:rtl/>
        </w:rPr>
        <w:t>ד</w:t>
      </w:r>
      <w:r w:rsidRPr="00CA0EC0">
        <w:rPr>
          <w:rFonts w:ascii="FrankRuehl" w:hAnsi="FrankRuehl" w:cs="FrankRuehl"/>
          <w:sz w:val="28"/>
          <w:szCs w:val="28"/>
          <w:rtl/>
        </w:rPr>
        <w:t xml:space="preserve"> שהוא נפל והאקדח נשמט מידיו. לדבריו, מדובר בנסיבות ייחודיות שאינן מתקיימות ברוב רובם של מקרי הסיוע להחזקת נשק בכלל זה במקרים המפורטים בפסיקה שהגישה ב"כ המאשימה. מדובר באירוע מאד מאד קצר של מספר שניות, כשהאקדח ניתן לנאשם תוך כדי ריצה, ולמעשה במובן מה הדבר "נכפה" עליו על ידי האחר, כשהוא לא ידע כלל קודם לכן כי אותו אחר אוחז באקדח, ולמעשה לא הייתה לו יכולת לסרב. מדובר באקדח שאינו שייך לנאשם והוא כלל אינו יודע מה מקורו. בסופו של יום האקדח גם נתפס על ידי המשטרה. הוא הפנה לפסיקה בה נידונו נאשמים שהורשעו בעבירה של סיוע להחזקת נשק לתקופ</w:t>
      </w:r>
      <w:r w:rsidRPr="00CA0EC0">
        <w:rPr>
          <w:rFonts w:ascii="FrankRuehl" w:hAnsi="FrankRuehl" w:cs="FrankRuehl" w:hint="cs"/>
          <w:sz w:val="28"/>
          <w:szCs w:val="28"/>
          <w:rtl/>
        </w:rPr>
        <w:t>ו</w:t>
      </w:r>
      <w:r w:rsidRPr="00CA0EC0">
        <w:rPr>
          <w:rFonts w:ascii="FrankRuehl" w:hAnsi="FrankRuehl" w:cs="FrankRuehl"/>
          <w:sz w:val="28"/>
          <w:szCs w:val="28"/>
          <w:rtl/>
        </w:rPr>
        <w:t xml:space="preserve">ת מאסר של בין ששה לתשעה חודשי מאסר בעבודות שירות, וגם זאת במקרים חמורים יותר ממקרה זה. משכך, הוא ביקש לקבוע מתחם עונש הולם של שלושה עד שישה חודשי מאסר שירוצו בעבודות שירות. </w:t>
      </w:r>
    </w:p>
    <w:p w14:paraId="5F405939" w14:textId="77777777" w:rsidR="00031419" w:rsidRPr="00CA0EC0" w:rsidRDefault="00031419" w:rsidP="00CA0EC0">
      <w:pPr>
        <w:pStyle w:val="a9"/>
        <w:spacing w:line="360" w:lineRule="auto"/>
        <w:ind w:left="525"/>
        <w:jc w:val="both"/>
        <w:rPr>
          <w:rFonts w:ascii="FrankRuehl" w:hAnsi="FrankRuehl" w:cs="FrankRuehl"/>
          <w:sz w:val="28"/>
          <w:szCs w:val="28"/>
        </w:rPr>
      </w:pPr>
    </w:p>
    <w:p w14:paraId="42ABBD84" w14:textId="77777777" w:rsidR="00031419" w:rsidRPr="00CA0EC0" w:rsidRDefault="00031419" w:rsidP="00CA0EC0">
      <w:pPr>
        <w:pStyle w:val="a9"/>
        <w:numPr>
          <w:ilvl w:val="0"/>
          <w:numId w:val="1"/>
        </w:numPr>
        <w:spacing w:line="360" w:lineRule="auto"/>
        <w:jc w:val="both"/>
        <w:rPr>
          <w:rFonts w:ascii="FrankRuehl" w:hAnsi="FrankRuehl" w:cs="FrankRuehl"/>
          <w:sz w:val="28"/>
          <w:szCs w:val="28"/>
        </w:rPr>
      </w:pPr>
      <w:r w:rsidRPr="00CA0EC0">
        <w:rPr>
          <w:rFonts w:ascii="FrankRuehl" w:hAnsi="FrankRuehl" w:cs="FrankRuehl"/>
          <w:sz w:val="28"/>
          <w:szCs w:val="28"/>
          <w:rtl/>
        </w:rPr>
        <w:t xml:space="preserve">ביחס לנאשם הוא הפנה לתסקירים החיוביים בעניינו, ציין את לקיחת האחריות, הבעת החרטה ושיתוף הפעולה עם שירות המבחן. כן ציין כי לאחרונה נולד לנאשם ולאשתו ילד ראשון, וכי הוא נעדר עבר פלילי כלשהו עד לאירוע שבכתב האישום ומאז ועד היום. הוא הוסיף, כי הנאשם היה עצור במשך חודשיים ושבוע, לאחר מכן שנה וחודש במעצר בית, ורק לאחר מכן הותר לו לצאת לעבודה. התנאים המגבילים הוסרו לחלוטין רק לפני כשנה. </w:t>
      </w:r>
    </w:p>
    <w:p w14:paraId="51925AAD" w14:textId="77777777" w:rsidR="00031419" w:rsidRPr="00CA0EC0" w:rsidRDefault="00031419" w:rsidP="003C3DB1">
      <w:pPr>
        <w:pStyle w:val="a9"/>
        <w:rPr>
          <w:rFonts w:ascii="FrankRuehl" w:hAnsi="FrankRuehl" w:cs="FrankRuehl"/>
          <w:sz w:val="28"/>
          <w:szCs w:val="28"/>
          <w:rtl/>
        </w:rPr>
      </w:pPr>
    </w:p>
    <w:p w14:paraId="76AD83FF" w14:textId="77777777" w:rsidR="00031419" w:rsidRPr="00CA0EC0" w:rsidRDefault="00031419" w:rsidP="00CA0EC0">
      <w:pPr>
        <w:pStyle w:val="a9"/>
        <w:numPr>
          <w:ilvl w:val="0"/>
          <w:numId w:val="1"/>
        </w:numPr>
        <w:spacing w:line="360" w:lineRule="auto"/>
        <w:jc w:val="both"/>
        <w:rPr>
          <w:rFonts w:ascii="FrankRuehl" w:hAnsi="FrankRuehl" w:cs="FrankRuehl"/>
          <w:sz w:val="28"/>
          <w:szCs w:val="28"/>
          <w:rtl/>
        </w:rPr>
      </w:pPr>
      <w:r w:rsidRPr="00CA0EC0">
        <w:rPr>
          <w:rFonts w:ascii="FrankRuehl" w:hAnsi="FrankRuehl" w:cs="FrankRuehl"/>
          <w:sz w:val="28"/>
          <w:szCs w:val="28"/>
          <w:rtl/>
        </w:rPr>
        <w:t xml:space="preserve">הנאשם ציין כי הוא שילם די על הטעות שעשה וביקש להתחשב בו ולהשית עליו עבודות שירות ולא מאסר בפועל. </w:t>
      </w:r>
    </w:p>
    <w:p w14:paraId="79ADD614" w14:textId="77777777" w:rsidR="00031419" w:rsidRPr="00CA0EC0" w:rsidRDefault="00031419" w:rsidP="00CA0EC0">
      <w:pPr>
        <w:spacing w:line="360" w:lineRule="auto"/>
        <w:jc w:val="both"/>
        <w:rPr>
          <w:rFonts w:ascii="FrankRuehl" w:hAnsi="FrankRuehl" w:cs="FrankRuehl"/>
          <w:b/>
          <w:bCs/>
          <w:sz w:val="28"/>
          <w:szCs w:val="28"/>
          <w:u w:val="single"/>
          <w:rtl/>
        </w:rPr>
      </w:pPr>
    </w:p>
    <w:p w14:paraId="1CFAB4A1" w14:textId="77777777" w:rsidR="00031419" w:rsidRPr="00CA0EC0" w:rsidRDefault="00031419" w:rsidP="00CA0EC0">
      <w:pPr>
        <w:spacing w:line="360" w:lineRule="auto"/>
        <w:jc w:val="both"/>
        <w:rPr>
          <w:rFonts w:ascii="FrankRuehl" w:hAnsi="FrankRuehl" w:cs="FrankRuehl"/>
          <w:b/>
          <w:bCs/>
          <w:sz w:val="28"/>
          <w:szCs w:val="28"/>
          <w:u w:val="single"/>
          <w:rtl/>
        </w:rPr>
      </w:pPr>
      <w:r w:rsidRPr="00CA0EC0">
        <w:rPr>
          <w:rFonts w:ascii="FrankRuehl" w:hAnsi="FrankRuehl" w:cs="FrankRuehl"/>
          <w:b/>
          <w:bCs/>
          <w:sz w:val="28"/>
          <w:szCs w:val="28"/>
          <w:u w:val="single"/>
          <w:rtl/>
        </w:rPr>
        <w:t xml:space="preserve">דיון והכרעה </w:t>
      </w:r>
    </w:p>
    <w:p w14:paraId="58F0459A" w14:textId="77777777" w:rsidR="00031419" w:rsidRPr="00CA0EC0" w:rsidRDefault="00031419" w:rsidP="00CA0EC0">
      <w:pPr>
        <w:pStyle w:val="a9"/>
        <w:numPr>
          <w:ilvl w:val="0"/>
          <w:numId w:val="1"/>
        </w:numPr>
        <w:spacing w:after="240" w:line="360" w:lineRule="auto"/>
        <w:jc w:val="both"/>
        <w:rPr>
          <w:rFonts w:ascii="FrankRuehl" w:hAnsi="FrankRuehl" w:cs="FrankRuehl"/>
          <w:sz w:val="28"/>
          <w:szCs w:val="28"/>
        </w:rPr>
      </w:pPr>
      <w:r w:rsidRPr="00CA0EC0">
        <w:rPr>
          <w:rFonts w:ascii="FrankRuehl" w:hAnsi="FrankRuehl" w:cs="FrankRuehl"/>
          <w:sz w:val="28"/>
          <w:szCs w:val="28"/>
          <w:rtl/>
        </w:rPr>
        <w:t>הערכים המוגנים בעבירות נשק לסוגיהן הם שמירה על חיי אדם ושלמות הגוף שלום הציבור ובטחונו. למותר להכביר במילים באשר לסכנה הטמונה בהחזקה ונשיאת נשק בידי מי שאינו נושא רישיון לכך למטרה של הגנה על המדינה או שמירה על שלום הציבור. פעמים רבות,</w:t>
      </w:r>
      <w:r w:rsidRPr="00CA0EC0">
        <w:rPr>
          <w:rFonts w:ascii="FrankRuehl" w:hAnsi="FrankRuehl" w:cs="FrankRuehl" w:hint="cs"/>
          <w:sz w:val="28"/>
          <w:szCs w:val="28"/>
          <w:rtl/>
        </w:rPr>
        <w:t xml:space="preserve"> משמש הנשק במסגרת סכסוכים והוא גובה מחיר כבד בחיי אדם. בכל עבירות הנשק טמון פוטנציאל פגיעה משמעותי בערכים המוגנים, אך מנעד הענישה בגין עבירות אלו הוא רחב בהתחשב בסוג העבירה, סוג הנשק וכמותו, נסיבות ביצוע העבירה וחלקו של הנאשם הספציפי בביצועה. </w:t>
      </w:r>
    </w:p>
    <w:p w14:paraId="14AAF8DE" w14:textId="77777777" w:rsidR="00031419" w:rsidRPr="00CA0EC0" w:rsidRDefault="00031419" w:rsidP="00CA0EC0">
      <w:pPr>
        <w:pStyle w:val="a9"/>
        <w:spacing w:after="240" w:line="360" w:lineRule="auto"/>
        <w:ind w:left="525"/>
        <w:jc w:val="both"/>
        <w:rPr>
          <w:rFonts w:ascii="FrankRuehl" w:hAnsi="FrankRuehl" w:cs="FrankRuehl"/>
          <w:sz w:val="28"/>
          <w:szCs w:val="28"/>
        </w:rPr>
      </w:pPr>
    </w:p>
    <w:p w14:paraId="7E1A20E8" w14:textId="77777777" w:rsidR="00031419" w:rsidRPr="00CA0EC0" w:rsidRDefault="00031419" w:rsidP="00CA0EC0">
      <w:pPr>
        <w:pStyle w:val="a9"/>
        <w:numPr>
          <w:ilvl w:val="0"/>
          <w:numId w:val="1"/>
        </w:numPr>
        <w:spacing w:line="360" w:lineRule="auto"/>
        <w:jc w:val="both"/>
        <w:rPr>
          <w:rFonts w:ascii="FrankRuehl" w:hAnsi="FrankRuehl" w:cs="FrankRuehl"/>
          <w:b/>
          <w:bCs/>
          <w:sz w:val="28"/>
          <w:szCs w:val="28"/>
        </w:rPr>
      </w:pPr>
      <w:r w:rsidRPr="00CA0EC0">
        <w:rPr>
          <w:rFonts w:ascii="FrankRuehl" w:hAnsi="FrankRuehl" w:cs="FrankRuehl" w:hint="cs"/>
          <w:color w:val="000000"/>
          <w:sz w:val="28"/>
          <w:szCs w:val="28"/>
          <w:rtl/>
        </w:rPr>
        <w:t xml:space="preserve">המאשימה עמדה, בצדק, על הפסיקה המחמירה גם במקרים של סיוע להחזקת נשק, ואכן ככלל, בנסיבות ביצוע עבירות של סיוע להחזקה, מתחם העונש מתחיל בעונש מאסר לריצוי בפועל ולא בעבודות שירות, ובדרך כלל גם לתקופה של למעלה מ-12 חודשים (ראו הפסיקה שהגישה המאשימה </w:t>
      </w:r>
      <w:r w:rsidRPr="00CA0EC0">
        <w:rPr>
          <w:rFonts w:ascii="FrankRuehl" w:hAnsi="FrankRuehl" w:cs="FrankRuehl"/>
          <w:color w:val="000000"/>
          <w:sz w:val="28"/>
          <w:szCs w:val="28"/>
          <w:rtl/>
        </w:rPr>
        <w:t>–</w:t>
      </w:r>
      <w:r w:rsidRPr="00CA0EC0">
        <w:rPr>
          <w:rFonts w:ascii="FrankRuehl" w:hAnsi="FrankRuehl" w:cs="FrankRuehl" w:hint="cs"/>
          <w:color w:val="000000"/>
          <w:sz w:val="28"/>
          <w:szCs w:val="28"/>
          <w:rtl/>
        </w:rPr>
        <w:t xml:space="preserve"> ת"פ (מחוזי-י-ם) 44169-08-22 </w:t>
      </w:r>
      <w:r w:rsidRPr="00CA0EC0">
        <w:rPr>
          <w:rFonts w:ascii="FrankRuehl" w:hAnsi="FrankRuehl" w:cs="FrankRuehl" w:hint="cs"/>
          <w:b/>
          <w:bCs/>
          <w:color w:val="000000"/>
          <w:sz w:val="28"/>
          <w:szCs w:val="28"/>
          <w:rtl/>
        </w:rPr>
        <w:t>מדינת ישראל נ' חמאד</w:t>
      </w:r>
      <w:r w:rsidRPr="00CA0EC0">
        <w:rPr>
          <w:rFonts w:ascii="FrankRuehl" w:hAnsi="FrankRuehl" w:cs="FrankRuehl" w:hint="cs"/>
          <w:color w:val="000000"/>
          <w:sz w:val="28"/>
          <w:szCs w:val="28"/>
          <w:rtl/>
        </w:rPr>
        <w:t xml:space="preserve"> (11.09.23); </w:t>
      </w:r>
      <w:hyperlink r:id="rId15" w:history="1">
        <w:r w:rsidRPr="00923723">
          <w:rPr>
            <w:rFonts w:ascii="FrankRuehl" w:hAnsi="FrankRuehl" w:cs="FrankRuehl"/>
            <w:color w:val="0000FF"/>
            <w:sz w:val="28"/>
            <w:szCs w:val="28"/>
            <w:u w:val="single"/>
            <w:rtl/>
          </w:rPr>
          <w:t>ת"פ (מחוזי-חי') 3537-01-23</w:t>
        </w:r>
      </w:hyperlink>
      <w:r w:rsidRPr="00CA0EC0">
        <w:rPr>
          <w:rFonts w:ascii="FrankRuehl" w:hAnsi="FrankRuehl" w:cs="FrankRuehl" w:hint="cs"/>
          <w:color w:val="000000"/>
          <w:sz w:val="28"/>
          <w:szCs w:val="28"/>
          <w:rtl/>
        </w:rPr>
        <w:t xml:space="preserve"> </w:t>
      </w:r>
      <w:r w:rsidRPr="00CA0EC0">
        <w:rPr>
          <w:rFonts w:ascii="FrankRuehl" w:hAnsi="FrankRuehl" w:cs="FrankRuehl" w:hint="cs"/>
          <w:b/>
          <w:bCs/>
          <w:color w:val="000000"/>
          <w:sz w:val="28"/>
          <w:szCs w:val="28"/>
          <w:rtl/>
        </w:rPr>
        <w:t>מדינת ישראל נ' אברמוב</w:t>
      </w:r>
      <w:r w:rsidRPr="00CA0EC0">
        <w:rPr>
          <w:rFonts w:ascii="FrankRuehl" w:hAnsi="FrankRuehl" w:cs="FrankRuehl" w:hint="cs"/>
          <w:color w:val="000000"/>
          <w:sz w:val="28"/>
          <w:szCs w:val="28"/>
          <w:rtl/>
        </w:rPr>
        <w:t xml:space="preserve"> (21.08.23); </w:t>
      </w:r>
      <w:hyperlink r:id="rId16" w:history="1">
        <w:r w:rsidRPr="00923723">
          <w:rPr>
            <w:rFonts w:ascii="FrankRuehl" w:hAnsi="FrankRuehl" w:cs="FrankRuehl"/>
            <w:color w:val="0000FF"/>
            <w:sz w:val="28"/>
            <w:szCs w:val="28"/>
            <w:u w:val="single"/>
            <w:rtl/>
          </w:rPr>
          <w:t>ת"פ (מחוזי-חי') 24044-06-22</w:t>
        </w:r>
      </w:hyperlink>
      <w:r w:rsidRPr="00CA0EC0">
        <w:rPr>
          <w:rFonts w:ascii="FrankRuehl" w:hAnsi="FrankRuehl" w:cs="FrankRuehl" w:hint="cs"/>
          <w:color w:val="000000"/>
          <w:sz w:val="28"/>
          <w:szCs w:val="28"/>
          <w:rtl/>
        </w:rPr>
        <w:t xml:space="preserve"> </w:t>
      </w:r>
      <w:r w:rsidRPr="00CA0EC0">
        <w:rPr>
          <w:rFonts w:ascii="FrankRuehl" w:hAnsi="FrankRuehl" w:cs="FrankRuehl" w:hint="cs"/>
          <w:b/>
          <w:bCs/>
          <w:color w:val="000000"/>
          <w:sz w:val="28"/>
          <w:szCs w:val="28"/>
          <w:rtl/>
        </w:rPr>
        <w:t>מדינת ישראל נ' אגבאריה</w:t>
      </w:r>
      <w:r w:rsidRPr="00CA0EC0">
        <w:rPr>
          <w:rFonts w:ascii="FrankRuehl" w:hAnsi="FrankRuehl" w:cs="FrankRuehl" w:hint="cs"/>
          <w:color w:val="000000"/>
          <w:sz w:val="28"/>
          <w:szCs w:val="28"/>
          <w:rtl/>
        </w:rPr>
        <w:t xml:space="preserve"> (6.12.22)). ברם, כפי שציין ב"כ הנאשם יש לבחון כל מקרה ומקרה בנסיבותיו, ועל יסוד זאת לקבוע את מתחם העונש ההולם. בניגוד לאירועים שבפסיקה שהוגשה, שם מדובר היה על נאשמים שהסיוע שלהם היה בהסעת מחזיק הנשק, תוך שהם מודעים להימצאות הנשק ואף לתכלית נשיאתו, וככלל גם על יסוד תכנון מוקדם, מקרה זה שבפני שונה בתכלית. </w:t>
      </w:r>
    </w:p>
    <w:p w14:paraId="4B6D5054" w14:textId="77777777" w:rsidR="00031419" w:rsidRPr="00CA0EC0" w:rsidRDefault="00031419" w:rsidP="003C3DB1">
      <w:pPr>
        <w:pStyle w:val="a9"/>
        <w:rPr>
          <w:rFonts w:ascii="FrankRuehl" w:hAnsi="FrankRuehl" w:cs="FrankRuehl"/>
          <w:color w:val="000000"/>
          <w:sz w:val="28"/>
          <w:szCs w:val="28"/>
          <w:rtl/>
        </w:rPr>
      </w:pPr>
    </w:p>
    <w:p w14:paraId="3BAF7DA8" w14:textId="77777777" w:rsidR="00031419" w:rsidRPr="00CA0EC0" w:rsidRDefault="00031419" w:rsidP="00CA0EC0">
      <w:pPr>
        <w:pStyle w:val="a9"/>
        <w:numPr>
          <w:ilvl w:val="0"/>
          <w:numId w:val="1"/>
        </w:numPr>
        <w:spacing w:line="360" w:lineRule="auto"/>
        <w:jc w:val="both"/>
        <w:rPr>
          <w:rFonts w:ascii="FrankRuehl" w:hAnsi="FrankRuehl" w:cs="FrankRuehl"/>
          <w:b/>
          <w:bCs/>
          <w:sz w:val="28"/>
          <w:szCs w:val="28"/>
        </w:rPr>
      </w:pPr>
      <w:r w:rsidRPr="00CA0EC0">
        <w:rPr>
          <w:rFonts w:ascii="FrankRuehl" w:hAnsi="FrankRuehl" w:cs="FrankRuehl" w:hint="cs"/>
          <w:color w:val="000000"/>
          <w:sz w:val="28"/>
          <w:szCs w:val="28"/>
          <w:rtl/>
        </w:rPr>
        <w:t xml:space="preserve">אכן, מדובר באירוע שתחילתו בסכסוך בין משפחות, כשהאחר נכח בו כשהוא מחזיק בנשק. ברם, בכל חלק זה של האירוע, הנאשם לא נטל כל חלק </w:t>
      </w:r>
      <w:r w:rsidRPr="00CA0EC0">
        <w:rPr>
          <w:rFonts w:ascii="FrankRuehl" w:hAnsi="FrankRuehl" w:cs="FrankRuehl"/>
          <w:color w:val="000000"/>
          <w:sz w:val="28"/>
          <w:szCs w:val="28"/>
          <w:rtl/>
        </w:rPr>
        <w:t>–</w:t>
      </w:r>
      <w:r w:rsidRPr="00CA0EC0">
        <w:rPr>
          <w:rFonts w:ascii="FrankRuehl" w:hAnsi="FrankRuehl" w:cs="FrankRuehl" w:hint="cs"/>
          <w:color w:val="000000"/>
          <w:sz w:val="28"/>
          <w:szCs w:val="28"/>
          <w:rtl/>
        </w:rPr>
        <w:t xml:space="preserve"> על אף שמדובר היה בבני משפחתו - ויש לזקוף זאת לזכותו, והוא גם לא ידע כי האחר נמצא במקום כשהוא נושא עליו אקדח. גם כשהחל להתרחק מהמקום ובהמשך לברוח, הוא לא ידע כי האחר שבורח עמו נושא אקדח. לא היה במקרה זה כל תכנון, והאקדח נמסר לנאשם תוך כדי ריצה על ידי האחר בהפתעה, ויש יסוד לטענה כי בנסיבות אלו, גם אם אין לומר כי הדבר נכפה עליו, הרי שלא היה לו זמן לחשוב על חומרת המעשים. הוא אחז בנשק זמן קצר ביותר, למעשה פחות משתי דקות, ומיד בסמוך האקדח נתפס על ידי המשטרה. </w:t>
      </w:r>
    </w:p>
    <w:p w14:paraId="56747963" w14:textId="77777777" w:rsidR="00031419" w:rsidRPr="00CA0EC0" w:rsidRDefault="00031419" w:rsidP="003C3DB1">
      <w:pPr>
        <w:pStyle w:val="a9"/>
        <w:rPr>
          <w:rFonts w:ascii="FrankRuehl" w:hAnsi="FrankRuehl" w:cs="FrankRuehl"/>
          <w:color w:val="000000"/>
          <w:sz w:val="28"/>
          <w:szCs w:val="28"/>
          <w:rtl/>
        </w:rPr>
      </w:pPr>
    </w:p>
    <w:p w14:paraId="4D619F42" w14:textId="77777777" w:rsidR="00031419" w:rsidRPr="00CA0EC0" w:rsidRDefault="00031419" w:rsidP="00CA0EC0">
      <w:pPr>
        <w:pStyle w:val="a9"/>
        <w:numPr>
          <w:ilvl w:val="0"/>
          <w:numId w:val="1"/>
        </w:numPr>
        <w:spacing w:line="360" w:lineRule="auto"/>
        <w:jc w:val="both"/>
        <w:rPr>
          <w:rFonts w:ascii="FrankRuehl" w:hAnsi="FrankRuehl" w:cs="FrankRuehl"/>
          <w:b/>
          <w:bCs/>
          <w:sz w:val="28"/>
          <w:szCs w:val="28"/>
        </w:rPr>
      </w:pPr>
      <w:r w:rsidRPr="00CA0EC0">
        <w:rPr>
          <w:rFonts w:ascii="FrankRuehl" w:hAnsi="FrankRuehl" w:cs="FrankRuehl" w:hint="cs"/>
          <w:color w:val="000000"/>
          <w:sz w:val="28"/>
          <w:szCs w:val="28"/>
          <w:rtl/>
        </w:rPr>
        <w:t xml:space="preserve">בנסיבות אלו נהיר כי אין לגזור גזירה שווה מהפסיקה אותו הציגה המאשימה למקרה שלפני לעניין מתחם העונש. למעשה גם הפסיקה שהוגשה על ידי ב"כ הנאשם במסגרתה הושתו עונשי מאסר בעבודות שירות על נאשמים שהורשו בסיוע להחזקת נשק, עוסקת ככלל בנסיבות חמורות יותר. אם כי באותם מקרים לא פעם השתת העונש בעבודות שירות הייתה תוך חריגה מהמתחם משיקולי שיקום. </w:t>
      </w:r>
    </w:p>
    <w:p w14:paraId="35278E14" w14:textId="77777777" w:rsidR="00031419" w:rsidRPr="00CA0EC0" w:rsidRDefault="00031419" w:rsidP="003C3DB1">
      <w:pPr>
        <w:pStyle w:val="a9"/>
        <w:rPr>
          <w:rFonts w:ascii="FrankRuehl" w:hAnsi="FrankRuehl" w:cs="FrankRuehl"/>
          <w:color w:val="000000"/>
          <w:sz w:val="28"/>
          <w:szCs w:val="28"/>
          <w:rtl/>
        </w:rPr>
      </w:pPr>
    </w:p>
    <w:p w14:paraId="49826CB5" w14:textId="77777777" w:rsidR="00031419" w:rsidRPr="00CA0EC0" w:rsidRDefault="00031419" w:rsidP="00CA0EC0">
      <w:pPr>
        <w:pStyle w:val="a9"/>
        <w:numPr>
          <w:ilvl w:val="0"/>
          <w:numId w:val="1"/>
        </w:numPr>
        <w:spacing w:line="360" w:lineRule="auto"/>
        <w:jc w:val="both"/>
        <w:rPr>
          <w:rFonts w:ascii="FrankRuehl" w:hAnsi="FrankRuehl" w:cs="FrankRuehl"/>
          <w:b/>
          <w:bCs/>
          <w:sz w:val="28"/>
          <w:szCs w:val="28"/>
        </w:rPr>
      </w:pPr>
      <w:r w:rsidRPr="00CA0EC0">
        <w:rPr>
          <w:rFonts w:ascii="FrankRuehl" w:hAnsi="FrankRuehl" w:cs="FrankRuehl" w:hint="cs"/>
          <w:color w:val="000000"/>
          <w:sz w:val="28"/>
          <w:szCs w:val="28"/>
          <w:rtl/>
        </w:rPr>
        <w:t xml:space="preserve">בחינת נסיבות ביצוע העבירה הייחודית במקרה זה לצד האינטרסים המוגנים שנפגעו, הן בעבירת הנשק והן בעבירת ההפרעה לשיטור בעת מילוי תפקידו, מובילות לקביעת מתחם עונש המתחיל בעונש של כחצי שנת מאסר שיכול ותרוצה בעבודות שירות. </w:t>
      </w:r>
    </w:p>
    <w:p w14:paraId="2B91349F" w14:textId="77777777" w:rsidR="00031419" w:rsidRPr="00CA0EC0" w:rsidRDefault="00031419" w:rsidP="003C3DB1">
      <w:pPr>
        <w:pStyle w:val="a9"/>
        <w:rPr>
          <w:rFonts w:ascii="FrankRuehl" w:hAnsi="FrankRuehl" w:cs="FrankRuehl"/>
          <w:color w:val="000000"/>
          <w:sz w:val="16"/>
          <w:szCs w:val="16"/>
          <w:rtl/>
        </w:rPr>
      </w:pPr>
    </w:p>
    <w:p w14:paraId="7C9C7B92" w14:textId="77777777" w:rsidR="00031419" w:rsidRPr="00CA0EC0" w:rsidRDefault="00031419" w:rsidP="00CA0EC0">
      <w:pPr>
        <w:pStyle w:val="a9"/>
        <w:numPr>
          <w:ilvl w:val="0"/>
          <w:numId w:val="1"/>
        </w:numPr>
        <w:spacing w:line="360" w:lineRule="auto"/>
        <w:jc w:val="both"/>
        <w:rPr>
          <w:rFonts w:ascii="FrankRuehl" w:hAnsi="FrankRuehl" w:cs="FrankRuehl"/>
          <w:b/>
          <w:bCs/>
          <w:sz w:val="28"/>
          <w:szCs w:val="28"/>
        </w:rPr>
      </w:pPr>
      <w:r w:rsidRPr="00CA0EC0">
        <w:rPr>
          <w:rFonts w:ascii="FrankRuehl" w:hAnsi="FrankRuehl" w:cs="FrankRuehl" w:hint="cs"/>
          <w:color w:val="000000"/>
          <w:sz w:val="28"/>
          <w:szCs w:val="28"/>
          <w:rtl/>
        </w:rPr>
        <w:t xml:space="preserve">בשים לב לכך כי הנאשם נעדר עבר פלילי, הן לפני ביצוע המעשים בהם הורשע במסגרת זו והן מאז ועד היום בתקופה של כשלוש שנים, ובשים לב להליך שהחל לעבור במסגרת שירות המבחן, ותסקיר החיובי בעניינו, נטילת האחריות והבעת החרטה, באופן שיש לראות בו כשיקום ולמצער סיכוי ממשי לשיקום עם השלמת ההליך הטיפולי בשירות המבחן, ובשים לב לכך כי הנאשם ישב במעצר תקופה של כחודשיים ושבוע, ולאחר מכן תקופה לא קצרה של מעצר בית מבלי שנטען להפרה כלשהי של התנאים, יש להעמיד את עונשו של הנאשם על ששה חודשי מאסר לריצוי בעבודות שירות.    </w:t>
      </w:r>
    </w:p>
    <w:p w14:paraId="1A3D78A4" w14:textId="77777777" w:rsidR="00031419" w:rsidRPr="00CA0EC0" w:rsidRDefault="00031419" w:rsidP="003C3DB1">
      <w:pPr>
        <w:pStyle w:val="a9"/>
        <w:rPr>
          <w:rFonts w:ascii="FrankRuehl" w:hAnsi="FrankRuehl" w:cs="FrankRuehl"/>
          <w:sz w:val="28"/>
          <w:szCs w:val="28"/>
          <w:rtl/>
        </w:rPr>
      </w:pPr>
    </w:p>
    <w:p w14:paraId="4349F4EF" w14:textId="77777777" w:rsidR="00031419" w:rsidRPr="00CA0EC0" w:rsidRDefault="00031419" w:rsidP="00CA0EC0">
      <w:pPr>
        <w:pStyle w:val="a9"/>
        <w:numPr>
          <w:ilvl w:val="0"/>
          <w:numId w:val="1"/>
        </w:numPr>
        <w:spacing w:line="360" w:lineRule="auto"/>
        <w:jc w:val="both"/>
        <w:rPr>
          <w:rFonts w:ascii="FrankRuehl" w:hAnsi="FrankRuehl" w:cs="FrankRuehl"/>
          <w:b/>
          <w:bCs/>
          <w:sz w:val="28"/>
          <w:szCs w:val="28"/>
        </w:rPr>
      </w:pPr>
      <w:r w:rsidRPr="00CA0EC0">
        <w:rPr>
          <w:rFonts w:ascii="FrankRuehl" w:hAnsi="FrankRuehl" w:cs="FrankRuehl" w:hint="cs"/>
          <w:sz w:val="28"/>
          <w:szCs w:val="28"/>
          <w:rtl/>
        </w:rPr>
        <w:t>סופו של יום אפוא, אני משית על הנאשם את העונשים הבאים:</w:t>
      </w:r>
    </w:p>
    <w:p w14:paraId="07464800" w14:textId="77777777" w:rsidR="00031419" w:rsidRPr="00CA0EC0" w:rsidRDefault="00031419" w:rsidP="003C3DB1">
      <w:pPr>
        <w:pStyle w:val="a9"/>
        <w:rPr>
          <w:rFonts w:ascii="FrankRuehl" w:hAnsi="FrankRuehl" w:cs="FrankRuehl"/>
          <w:sz w:val="12"/>
          <w:szCs w:val="12"/>
          <w:rtl/>
        </w:rPr>
      </w:pPr>
    </w:p>
    <w:p w14:paraId="2E44CCF1" w14:textId="77777777" w:rsidR="00031419" w:rsidRPr="00CA0EC0" w:rsidRDefault="00031419" w:rsidP="00CA0EC0">
      <w:pPr>
        <w:pStyle w:val="a9"/>
        <w:numPr>
          <w:ilvl w:val="0"/>
          <w:numId w:val="2"/>
        </w:numPr>
        <w:spacing w:after="160" w:line="360" w:lineRule="auto"/>
        <w:ind w:left="720"/>
        <w:jc w:val="both"/>
        <w:rPr>
          <w:rFonts w:cs="Times New Roman"/>
          <w:color w:val="000000"/>
          <w:sz w:val="27"/>
          <w:szCs w:val="27"/>
        </w:rPr>
      </w:pPr>
      <w:r w:rsidRPr="00CA0EC0">
        <w:rPr>
          <w:rFonts w:ascii="FrankRuehl" w:hAnsi="FrankRuehl" w:cs="FrankRuehl" w:hint="cs"/>
          <w:sz w:val="28"/>
          <w:szCs w:val="28"/>
          <w:rtl/>
        </w:rPr>
        <w:t xml:space="preserve">שישה חודשי מאסר </w:t>
      </w:r>
      <w:r w:rsidRPr="00CA0EC0">
        <w:rPr>
          <w:rFonts w:ascii="FrankRuehl" w:hAnsi="FrankRuehl" w:cs="FrankRuehl" w:hint="cs"/>
          <w:color w:val="000000"/>
          <w:sz w:val="28"/>
          <w:szCs w:val="28"/>
          <w:rtl/>
        </w:rPr>
        <w:t>ש</w:t>
      </w:r>
      <w:r w:rsidRPr="00CA0EC0">
        <w:rPr>
          <w:rFonts w:ascii="FrankRuehl" w:hAnsi="FrankRuehl" w:cs="FrankRuehl"/>
          <w:color w:val="000000"/>
          <w:sz w:val="28"/>
          <w:szCs w:val="28"/>
          <w:rtl/>
        </w:rPr>
        <w:t>ירוצו בעבודות שירות בהתאם לחוות דעת הממונה ובכפוף לה. הנאשם</w:t>
      </w:r>
      <w:r>
        <w:rPr>
          <w:rFonts w:ascii="FrankRuehl" w:hAnsi="FrankRuehl" w:cs="FrankRuehl"/>
          <w:color w:val="000000"/>
          <w:sz w:val="28"/>
          <w:szCs w:val="28"/>
        </w:rPr>
        <w:t xml:space="preserve"> </w:t>
      </w:r>
      <w:r w:rsidRPr="00CA0EC0">
        <w:rPr>
          <w:rFonts w:ascii="FrankRuehl" w:hAnsi="FrankRuehl" w:cs="FrankRuehl"/>
          <w:color w:val="000000"/>
          <w:sz w:val="28"/>
          <w:szCs w:val="28"/>
          <w:rtl/>
        </w:rPr>
        <w:t>יתייצב</w:t>
      </w:r>
      <w:r>
        <w:rPr>
          <w:rFonts w:ascii="FrankRuehl" w:hAnsi="FrankRuehl" w:cs="FrankRuehl"/>
          <w:color w:val="000000"/>
          <w:sz w:val="28"/>
          <w:szCs w:val="28"/>
        </w:rPr>
        <w:t xml:space="preserve"> </w:t>
      </w:r>
      <w:r w:rsidRPr="00CA0EC0">
        <w:rPr>
          <w:rFonts w:ascii="FrankRuehl" w:hAnsi="FrankRuehl" w:cs="FrankRuehl"/>
          <w:color w:val="000000"/>
          <w:sz w:val="28"/>
          <w:szCs w:val="28"/>
          <w:rtl/>
        </w:rPr>
        <w:t>לביצוע</w:t>
      </w:r>
      <w:r>
        <w:rPr>
          <w:rFonts w:ascii="FrankRuehl" w:hAnsi="FrankRuehl" w:cs="FrankRuehl"/>
          <w:color w:val="000000"/>
          <w:sz w:val="28"/>
          <w:szCs w:val="28"/>
        </w:rPr>
        <w:t xml:space="preserve"> </w:t>
      </w:r>
      <w:r w:rsidRPr="00CA0EC0">
        <w:rPr>
          <w:rFonts w:ascii="FrankRuehl" w:hAnsi="FrankRuehl" w:cs="FrankRuehl"/>
          <w:color w:val="000000"/>
          <w:sz w:val="28"/>
          <w:szCs w:val="28"/>
          <w:rtl/>
        </w:rPr>
        <w:t>עבודות</w:t>
      </w:r>
      <w:r>
        <w:rPr>
          <w:rFonts w:ascii="FrankRuehl" w:hAnsi="FrankRuehl" w:cs="FrankRuehl"/>
          <w:color w:val="000000"/>
          <w:sz w:val="28"/>
          <w:szCs w:val="28"/>
        </w:rPr>
        <w:t xml:space="preserve"> </w:t>
      </w:r>
      <w:r w:rsidRPr="00CA0EC0">
        <w:rPr>
          <w:rFonts w:ascii="FrankRuehl" w:hAnsi="FrankRuehl" w:cs="FrankRuehl"/>
          <w:color w:val="000000"/>
          <w:sz w:val="28"/>
          <w:szCs w:val="28"/>
          <w:rtl/>
        </w:rPr>
        <w:t>השירות</w:t>
      </w:r>
      <w:r>
        <w:rPr>
          <w:rFonts w:ascii="FrankRuehl" w:hAnsi="FrankRuehl" w:cs="FrankRuehl"/>
          <w:color w:val="000000"/>
          <w:sz w:val="28"/>
          <w:szCs w:val="28"/>
        </w:rPr>
        <w:t xml:space="preserve"> </w:t>
      </w:r>
      <w:r w:rsidRPr="00CA0EC0">
        <w:rPr>
          <w:rFonts w:ascii="FrankRuehl" w:hAnsi="FrankRuehl" w:cs="FrankRuehl"/>
          <w:color w:val="000000"/>
          <w:sz w:val="28"/>
          <w:szCs w:val="28"/>
          <w:rtl/>
        </w:rPr>
        <w:t>ביום</w:t>
      </w:r>
      <w:r w:rsidRPr="00CA0EC0">
        <w:rPr>
          <w:rFonts w:ascii="FrankRuehl" w:hAnsi="FrankRuehl" w:cs="FrankRuehl" w:hint="cs"/>
          <w:color w:val="000000"/>
          <w:sz w:val="28"/>
          <w:szCs w:val="28"/>
          <w:rtl/>
        </w:rPr>
        <w:t xml:space="preserve"> 18.02.25 </w:t>
      </w:r>
      <w:r w:rsidRPr="00CA0EC0">
        <w:rPr>
          <w:rFonts w:ascii="FrankRuehl" w:hAnsi="FrankRuehl" w:cs="FrankRuehl"/>
          <w:color w:val="000000"/>
          <w:sz w:val="28"/>
          <w:szCs w:val="28"/>
          <w:rtl/>
        </w:rPr>
        <w:t>עד</w:t>
      </w:r>
      <w:r>
        <w:rPr>
          <w:rFonts w:ascii="FrankRuehl" w:hAnsi="FrankRuehl" w:cs="FrankRuehl"/>
          <w:color w:val="000000"/>
          <w:sz w:val="28"/>
          <w:szCs w:val="28"/>
        </w:rPr>
        <w:t xml:space="preserve"> </w:t>
      </w:r>
      <w:r w:rsidRPr="00CA0EC0">
        <w:rPr>
          <w:rFonts w:ascii="FrankRuehl" w:hAnsi="FrankRuehl" w:cs="FrankRuehl"/>
          <w:color w:val="000000"/>
          <w:sz w:val="28"/>
          <w:szCs w:val="28"/>
          <w:rtl/>
        </w:rPr>
        <w:t>השעה 09:00 ביחידת עבודות השירות שלוחת דרום.</w:t>
      </w:r>
      <w:r w:rsidRPr="00CA0EC0">
        <w:rPr>
          <w:rFonts w:cs="Times New Roman" w:hint="cs"/>
          <w:color w:val="000000"/>
          <w:sz w:val="27"/>
          <w:szCs w:val="27"/>
          <w:rtl/>
        </w:rPr>
        <w:t xml:space="preserve"> </w:t>
      </w:r>
    </w:p>
    <w:p w14:paraId="20770215" w14:textId="77777777" w:rsidR="00031419" w:rsidRPr="00CA0EC0" w:rsidRDefault="00031419" w:rsidP="00CA0EC0">
      <w:pPr>
        <w:pStyle w:val="a9"/>
        <w:spacing w:after="160" w:line="360" w:lineRule="auto"/>
        <w:jc w:val="both"/>
        <w:rPr>
          <w:rFonts w:ascii="FrankRuehl" w:hAnsi="FrankRuehl" w:cs="FrankRuehl"/>
          <w:color w:val="000000"/>
          <w:sz w:val="28"/>
          <w:szCs w:val="28"/>
          <w:rtl/>
        </w:rPr>
      </w:pPr>
      <w:r w:rsidRPr="00CA0EC0">
        <w:rPr>
          <w:rFonts w:ascii="FrankRuehl" w:hAnsi="FrankRuehl" w:cs="FrankRuehl"/>
          <w:color w:val="000000"/>
          <w:sz w:val="28"/>
          <w:szCs w:val="28"/>
          <w:rtl/>
        </w:rPr>
        <w:t>הובהר לנאשם, כי עליו לבצע את עבודות השירות לשביעות רצונו של הממונה, וכי אי עמידה בהנחיות הממונה עלולה להביא לנקיטת צעדים כלפיו ולהפסקה מנהלית, אשר יכול ותביא לריצוי יתרת העונש במאסר מאחורי סורג ובריח.</w:t>
      </w:r>
    </w:p>
    <w:p w14:paraId="1097B2E1" w14:textId="77777777" w:rsidR="00031419" w:rsidRPr="00CA0EC0" w:rsidRDefault="00031419" w:rsidP="00CA0EC0">
      <w:pPr>
        <w:pStyle w:val="a9"/>
        <w:numPr>
          <w:ilvl w:val="0"/>
          <w:numId w:val="2"/>
        </w:numPr>
        <w:spacing w:after="160" w:line="360" w:lineRule="auto"/>
        <w:jc w:val="both"/>
        <w:rPr>
          <w:rFonts w:cs="Times New Roman"/>
          <w:color w:val="000000"/>
          <w:sz w:val="27"/>
          <w:szCs w:val="27"/>
        </w:rPr>
      </w:pPr>
      <w:r w:rsidRPr="00CA0EC0">
        <w:rPr>
          <w:rFonts w:ascii="FrankRuehl" w:hAnsi="FrankRuehl" w:cs="FrankRuehl" w:hint="cs"/>
          <w:sz w:val="28"/>
          <w:szCs w:val="28"/>
          <w:rtl/>
        </w:rPr>
        <w:t>9 חודשי מאסר אשר לא ירוצו אלא אם כן הנאשם יעבור עבירת נשק בתקופה של שלוש שנים מהיום.</w:t>
      </w:r>
    </w:p>
    <w:p w14:paraId="26B60DA6" w14:textId="77777777" w:rsidR="00031419" w:rsidRPr="00CA0EC0" w:rsidRDefault="00031419" w:rsidP="00CA0EC0">
      <w:pPr>
        <w:pStyle w:val="a9"/>
        <w:numPr>
          <w:ilvl w:val="0"/>
          <w:numId w:val="2"/>
        </w:numPr>
        <w:spacing w:line="360" w:lineRule="auto"/>
        <w:jc w:val="both"/>
        <w:rPr>
          <w:rFonts w:ascii="FrankRuehl" w:hAnsi="FrankRuehl" w:cs="FrankRuehl"/>
          <w:sz w:val="28"/>
          <w:szCs w:val="28"/>
        </w:rPr>
      </w:pPr>
      <w:r w:rsidRPr="00CA0EC0">
        <w:rPr>
          <w:rFonts w:ascii="FrankRuehl" w:hAnsi="FrankRuehl" w:cs="FrankRuehl" w:hint="cs"/>
          <w:sz w:val="28"/>
          <w:szCs w:val="28"/>
          <w:rtl/>
        </w:rPr>
        <w:t xml:space="preserve">3 חודשי מאסר אשר לא ירוצו אלא אם כן הנאשם יעבור עבירה של הפרעה לשוטר במילוי תפקידו בתקופה של שלוש שנים מהיום. </w:t>
      </w:r>
    </w:p>
    <w:p w14:paraId="31365DB7" w14:textId="77777777" w:rsidR="00031419" w:rsidRPr="00CA0EC0" w:rsidRDefault="00031419" w:rsidP="00CA0EC0">
      <w:pPr>
        <w:pStyle w:val="a9"/>
        <w:numPr>
          <w:ilvl w:val="0"/>
          <w:numId w:val="2"/>
        </w:numPr>
        <w:spacing w:line="360" w:lineRule="auto"/>
        <w:jc w:val="both"/>
        <w:rPr>
          <w:rFonts w:ascii="FrankRuehl" w:hAnsi="FrankRuehl" w:cs="FrankRuehl"/>
          <w:b/>
          <w:bCs/>
          <w:sz w:val="28"/>
          <w:szCs w:val="28"/>
        </w:rPr>
      </w:pPr>
      <w:r w:rsidRPr="00CA0EC0">
        <w:rPr>
          <w:rFonts w:ascii="FrankRuehl" w:hAnsi="FrankRuehl" w:cs="FrankRuehl" w:hint="cs"/>
          <w:sz w:val="28"/>
          <w:szCs w:val="28"/>
          <w:rtl/>
        </w:rPr>
        <w:t>צו מבחן לתקופה של שנה במסגרתו ימשיך הנאשם את השתתפותו בקבוצה טיפולית כמפורט בתסקיר שירות המבחן</w:t>
      </w:r>
      <w:r w:rsidRPr="00CA0EC0">
        <w:rPr>
          <w:rFonts w:ascii="FrankRuehl" w:hAnsi="FrankRuehl" w:cs="FrankRuehl" w:hint="cs"/>
          <w:b/>
          <w:bCs/>
          <w:sz w:val="28"/>
          <w:szCs w:val="28"/>
          <w:rtl/>
        </w:rPr>
        <w:t>.</w:t>
      </w:r>
    </w:p>
    <w:p w14:paraId="0DB6091B" w14:textId="77777777" w:rsidR="00031419" w:rsidRPr="00CA0EC0" w:rsidRDefault="00031419" w:rsidP="00CA0EC0">
      <w:pPr>
        <w:pStyle w:val="a9"/>
        <w:spacing w:line="360" w:lineRule="auto"/>
        <w:ind w:left="885"/>
        <w:jc w:val="both"/>
        <w:rPr>
          <w:rFonts w:ascii="FrankRuehl" w:hAnsi="FrankRuehl" w:cs="FrankRuehl"/>
          <w:b/>
          <w:bCs/>
          <w:sz w:val="16"/>
          <w:szCs w:val="16"/>
        </w:rPr>
      </w:pPr>
    </w:p>
    <w:p w14:paraId="1B87F933" w14:textId="77777777" w:rsidR="00031419" w:rsidRPr="00CA0EC0" w:rsidRDefault="00031419" w:rsidP="00CA0EC0">
      <w:pPr>
        <w:spacing w:line="360" w:lineRule="auto"/>
        <w:jc w:val="both"/>
        <w:rPr>
          <w:rFonts w:ascii="FrankRuehl" w:hAnsi="FrankRuehl" w:cs="FrankRuehl"/>
          <w:sz w:val="28"/>
          <w:szCs w:val="28"/>
          <w:rtl/>
        </w:rPr>
      </w:pPr>
      <w:r w:rsidRPr="00CA0EC0">
        <w:rPr>
          <w:rFonts w:ascii="FrankRuehl" w:hAnsi="FrankRuehl" w:cs="FrankRuehl" w:hint="cs"/>
          <w:sz w:val="28"/>
          <w:szCs w:val="28"/>
          <w:rtl/>
        </w:rPr>
        <w:t xml:space="preserve">    ערעור בזכות לבית המשפט העליון בתוך 45 יום מהיום. </w:t>
      </w:r>
    </w:p>
    <w:p w14:paraId="4A6FC955" w14:textId="77777777" w:rsidR="00031419" w:rsidRPr="00CA0EC0" w:rsidRDefault="00031419" w:rsidP="00CA0EC0">
      <w:pPr>
        <w:spacing w:line="360" w:lineRule="auto"/>
        <w:jc w:val="both"/>
        <w:rPr>
          <w:rFonts w:ascii="FrankRuehl" w:hAnsi="FrankRuehl" w:cs="FrankRuehl"/>
          <w:sz w:val="28"/>
          <w:szCs w:val="28"/>
        </w:rPr>
      </w:pPr>
    </w:p>
    <w:p w14:paraId="3D8B975F" w14:textId="77777777" w:rsidR="00031419" w:rsidRDefault="00031419" w:rsidP="00CA0EC0">
      <w:pPr>
        <w:spacing w:line="360" w:lineRule="auto"/>
        <w:jc w:val="both"/>
        <w:rPr>
          <w:rFonts w:ascii="FrankRuehl" w:hAnsi="FrankRuehl" w:cs="FrankRuehl"/>
          <w:sz w:val="4"/>
          <w:szCs w:val="4"/>
          <w:rtl/>
        </w:rPr>
      </w:pPr>
      <w:r w:rsidRPr="00CA0EC0">
        <w:rPr>
          <w:rFonts w:ascii="FrankRuehl" w:hAnsi="FrankRuehl" w:cs="FrankRuehl" w:hint="cs"/>
          <w:sz w:val="28"/>
          <w:szCs w:val="28"/>
          <w:rtl/>
        </w:rPr>
        <w:t xml:space="preserve"> </w:t>
      </w:r>
    </w:p>
    <w:p w14:paraId="2F3AFB05" w14:textId="77777777" w:rsidR="00031419" w:rsidRPr="00CA0EC0" w:rsidRDefault="00031419" w:rsidP="00CA0EC0">
      <w:pPr>
        <w:spacing w:line="360" w:lineRule="auto"/>
        <w:jc w:val="both"/>
        <w:rPr>
          <w:rFonts w:ascii="FrankRuehl" w:hAnsi="FrankRuehl" w:cs="FrankRuehl"/>
          <w:sz w:val="4"/>
          <w:szCs w:val="4"/>
          <w:rtl/>
        </w:rPr>
      </w:pPr>
    </w:p>
    <w:p w14:paraId="04BCAAB0" w14:textId="77777777" w:rsidR="00CA0EC0" w:rsidRPr="000F2247" w:rsidRDefault="00923723" w:rsidP="00CA0EC0">
      <w:pPr>
        <w:spacing w:line="360" w:lineRule="auto"/>
        <w:jc w:val="both"/>
        <w:rPr>
          <w:rFonts w:ascii="Arial" w:hAnsi="Arial"/>
          <w:b/>
          <w:bCs/>
          <w:sz w:val="26"/>
          <w:szCs w:val="26"/>
          <w:rtl/>
        </w:rPr>
      </w:pPr>
      <w:bookmarkStart w:id="8" w:name="Nitan"/>
      <w:bookmarkEnd w:id="0"/>
      <w:r w:rsidRPr="00923723">
        <w:rPr>
          <w:rFonts w:ascii="FrankRuehl" w:hAnsi="FrankRuehl" w:cs="FrankRuehl"/>
          <w:b/>
          <w:bCs/>
          <w:color w:val="FFFFFF"/>
          <w:sz w:val="2"/>
          <w:szCs w:val="2"/>
          <w:rtl/>
        </w:rPr>
        <w:t>5129371</w:t>
      </w:r>
      <w:r>
        <w:rPr>
          <w:rFonts w:ascii="FrankRuehl" w:hAnsi="FrankRuehl" w:cs="FrankRuehl"/>
          <w:b/>
          <w:bCs/>
          <w:sz w:val="28"/>
          <w:szCs w:val="28"/>
          <w:rtl/>
        </w:rPr>
        <w:t xml:space="preserve">ניתן היום, י"ד שבט תשפ"ה, 12 פברואר 2025, במעמד המתייצבים. </w:t>
      </w:r>
      <w:bookmarkEnd w:id="8"/>
      <w:r w:rsidR="00CA0EC0">
        <w:rPr>
          <w:rFonts w:ascii="Arial" w:hAnsi="Arial"/>
          <w:b/>
          <w:bCs/>
          <w:sz w:val="26"/>
          <w:szCs w:val="26"/>
          <w:rtl/>
        </w:rPr>
        <w:tab/>
      </w:r>
      <w:r w:rsidR="00CA0EC0">
        <w:rPr>
          <w:rFonts w:ascii="Arial" w:hAnsi="Arial"/>
          <w:b/>
          <w:bCs/>
          <w:sz w:val="26"/>
          <w:szCs w:val="26"/>
          <w:rtl/>
        </w:rPr>
        <w:tab/>
      </w:r>
      <w:r w:rsidR="00CA0EC0">
        <w:rPr>
          <w:rFonts w:ascii="Arial" w:hAnsi="Arial"/>
          <w:b/>
          <w:bCs/>
          <w:sz w:val="26"/>
          <w:szCs w:val="26"/>
          <w:rtl/>
        </w:rPr>
        <w:tab/>
      </w:r>
      <w:r w:rsidR="00CA0EC0">
        <w:rPr>
          <w:rFonts w:ascii="Arial" w:hAnsi="Arial"/>
          <w:b/>
          <w:bCs/>
          <w:sz w:val="26"/>
          <w:szCs w:val="26"/>
          <w:rtl/>
        </w:rPr>
        <w:tab/>
      </w:r>
      <w:r w:rsidR="00CA0EC0">
        <w:rPr>
          <w:rFonts w:ascii="Arial" w:hAnsi="Arial"/>
          <w:b/>
          <w:bCs/>
          <w:sz w:val="26"/>
          <w:szCs w:val="26"/>
          <w:rtl/>
        </w:rPr>
        <w:tab/>
      </w:r>
      <w:r w:rsidR="00CA0EC0">
        <w:rPr>
          <w:rFonts w:ascii="Arial" w:hAnsi="Arial"/>
          <w:b/>
          <w:bCs/>
          <w:sz w:val="26"/>
          <w:szCs w:val="26"/>
          <w:rtl/>
        </w:rPr>
        <w:tab/>
      </w:r>
      <w:r w:rsidR="00CA0EC0">
        <w:rPr>
          <w:rFonts w:ascii="Arial" w:hAnsi="Arial"/>
          <w:b/>
          <w:bCs/>
          <w:sz w:val="26"/>
          <w:szCs w:val="26"/>
          <w:rtl/>
        </w:rPr>
        <w:tab/>
      </w:r>
      <w:r w:rsidR="00CA0EC0">
        <w:rPr>
          <w:rFonts w:ascii="Arial" w:hAnsi="Arial" w:hint="cs"/>
          <w:b/>
          <w:bCs/>
          <w:sz w:val="26"/>
          <w:szCs w:val="26"/>
          <w:rtl/>
        </w:rPr>
        <w:t xml:space="preserve">       </w:t>
      </w:r>
    </w:p>
    <w:p w14:paraId="54ECDA6F" w14:textId="77777777" w:rsidR="00923723" w:rsidRDefault="00923723" w:rsidP="00923723">
      <w:pPr>
        <w:rPr>
          <w:rtl/>
        </w:rPr>
      </w:pPr>
    </w:p>
    <w:p w14:paraId="1D84AC84" w14:textId="77777777" w:rsidR="00923723" w:rsidRDefault="00923723" w:rsidP="00923723">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p>
    <w:p w14:paraId="05DB15C7" w14:textId="77777777" w:rsidR="00031419" w:rsidRPr="00031419" w:rsidRDefault="00031419" w:rsidP="00031419">
      <w:pPr>
        <w:keepNext/>
        <w:rPr>
          <w:rFonts w:ascii="David" w:hAnsi="David"/>
          <w:color w:val="000000"/>
          <w:sz w:val="22"/>
          <w:szCs w:val="22"/>
          <w:rtl/>
        </w:rPr>
      </w:pPr>
    </w:p>
    <w:p w14:paraId="40DF3442" w14:textId="77777777" w:rsidR="00031419" w:rsidRPr="00031419" w:rsidRDefault="00031419" w:rsidP="00031419">
      <w:pPr>
        <w:keepNext/>
        <w:rPr>
          <w:rFonts w:ascii="David" w:hAnsi="David"/>
          <w:color w:val="000000"/>
          <w:sz w:val="22"/>
          <w:szCs w:val="22"/>
          <w:rtl/>
        </w:rPr>
      </w:pPr>
      <w:r w:rsidRPr="00031419">
        <w:rPr>
          <w:rFonts w:ascii="David" w:hAnsi="David"/>
          <w:color w:val="000000"/>
          <w:sz w:val="22"/>
          <w:szCs w:val="22"/>
          <w:rtl/>
        </w:rPr>
        <w:t>אילן סלע 54678313-/</w:t>
      </w:r>
    </w:p>
    <w:p w14:paraId="4DE48DF6" w14:textId="77777777" w:rsidR="00923723" w:rsidRPr="00923723" w:rsidRDefault="00031419" w:rsidP="00031419">
      <w:pPr>
        <w:rPr>
          <w:color w:val="0000FF"/>
          <w:u w:val="single"/>
        </w:rPr>
      </w:pPr>
      <w:r w:rsidRPr="00031419">
        <w:rPr>
          <w:color w:val="000000"/>
          <w:u w:val="single"/>
          <w:rtl/>
        </w:rPr>
        <w:t>נוסח מסמך זה כפוף לשינויי ניסוח ועריכה</w:t>
      </w:r>
    </w:p>
    <w:sectPr w:rsidR="00923723" w:rsidRPr="00923723" w:rsidSect="00031419">
      <w:headerReference w:type="even" r:id="rId18"/>
      <w:headerReference w:type="default" r:id="rId19"/>
      <w:footerReference w:type="even" r:id="rId20"/>
      <w:footerReference w:type="default" r:id="rId2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01269E" w14:textId="77777777" w:rsidR="00D40031" w:rsidRDefault="00D40031" w:rsidP="00923DC8">
      <w:r>
        <w:separator/>
      </w:r>
    </w:p>
  </w:endnote>
  <w:endnote w:type="continuationSeparator" w:id="0">
    <w:p w14:paraId="327FB7AF" w14:textId="77777777" w:rsidR="00D40031" w:rsidRDefault="00D40031" w:rsidP="00923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66BF1" w14:textId="77777777" w:rsidR="00031419" w:rsidRDefault="00031419" w:rsidP="0003141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5447D723" w14:textId="77777777" w:rsidR="003C3DB1" w:rsidRPr="00031419" w:rsidRDefault="00031419" w:rsidP="00031419">
    <w:pPr>
      <w:pStyle w:val="a5"/>
      <w:pBdr>
        <w:top w:val="single" w:sz="4" w:space="1" w:color="auto"/>
        <w:between w:val="single" w:sz="4" w:space="0" w:color="auto"/>
      </w:pBdr>
      <w:spacing w:after="60"/>
      <w:jc w:val="center"/>
      <w:rPr>
        <w:rFonts w:ascii="FrankRuehl" w:hAnsi="FrankRuehl" w:cs="FrankRuehl"/>
        <w:color w:val="000000"/>
      </w:rPr>
    </w:pPr>
    <w:r w:rsidRPr="0003141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FD84C" w14:textId="77777777" w:rsidR="00031419" w:rsidRDefault="00031419" w:rsidP="0003141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B4CFC">
      <w:rPr>
        <w:rFonts w:ascii="FrankRuehl" w:hAnsi="FrankRuehl" w:cs="FrankRuehl"/>
        <w:noProof/>
        <w:rtl/>
      </w:rPr>
      <w:t>1</w:t>
    </w:r>
    <w:r>
      <w:rPr>
        <w:rFonts w:ascii="FrankRuehl" w:hAnsi="FrankRuehl" w:cs="FrankRuehl"/>
        <w:rtl/>
      </w:rPr>
      <w:fldChar w:fldCharType="end"/>
    </w:r>
  </w:p>
  <w:p w14:paraId="2079AD95" w14:textId="77777777" w:rsidR="003C3DB1" w:rsidRPr="00031419" w:rsidRDefault="00031419" w:rsidP="00031419">
    <w:pPr>
      <w:pStyle w:val="a5"/>
      <w:pBdr>
        <w:top w:val="single" w:sz="4" w:space="1" w:color="auto"/>
        <w:between w:val="single" w:sz="4" w:space="0" w:color="auto"/>
      </w:pBdr>
      <w:spacing w:after="60"/>
      <w:jc w:val="center"/>
      <w:rPr>
        <w:rFonts w:ascii="FrankRuehl" w:hAnsi="FrankRuehl" w:cs="FrankRuehl"/>
        <w:color w:val="000000"/>
      </w:rPr>
    </w:pPr>
    <w:r w:rsidRPr="00031419">
      <w:rPr>
        <w:rFonts w:ascii="FrankRuehl" w:hAnsi="FrankRuehl" w:cs="FrankRuehl"/>
        <w:color w:val="000000"/>
      </w:rPr>
      <w:pict w14:anchorId="25CBB9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DA49F1" w14:textId="77777777" w:rsidR="00D40031" w:rsidRDefault="00D40031" w:rsidP="00923DC8">
      <w:r>
        <w:separator/>
      </w:r>
    </w:p>
  </w:footnote>
  <w:footnote w:type="continuationSeparator" w:id="0">
    <w:p w14:paraId="1338909F" w14:textId="77777777" w:rsidR="00D40031" w:rsidRDefault="00D40031" w:rsidP="00923D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4FA4A" w14:textId="77777777" w:rsidR="00923723" w:rsidRPr="00031419" w:rsidRDefault="00031419" w:rsidP="0003141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18421-04-22</w:t>
    </w:r>
    <w:r>
      <w:rPr>
        <w:rFonts w:ascii="David" w:hAnsi="David"/>
        <w:color w:val="000000"/>
        <w:sz w:val="22"/>
        <w:szCs w:val="22"/>
        <w:rtl/>
      </w:rPr>
      <w:tab/>
      <w:t xml:space="preserve"> מדינת ישראל נ' יוסף אעליאן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A483F" w14:textId="77777777" w:rsidR="00923723" w:rsidRPr="00031419" w:rsidRDefault="00031419" w:rsidP="0003141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18421-04-22</w:t>
    </w:r>
    <w:r>
      <w:rPr>
        <w:rFonts w:ascii="David" w:hAnsi="David"/>
        <w:color w:val="000000"/>
        <w:sz w:val="22"/>
        <w:szCs w:val="22"/>
        <w:rtl/>
      </w:rPr>
      <w:tab/>
      <w:t xml:space="preserve"> מדינת ישראל נ' יוסף אעליאן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C4D78"/>
    <w:multiLevelType w:val="hybridMultilevel"/>
    <w:tmpl w:val="2320E03E"/>
    <w:lvl w:ilvl="0" w:tplc="07A24A1A">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 w15:restartNumberingAfterBreak="0">
    <w:nsid w:val="1715242C"/>
    <w:multiLevelType w:val="hybridMultilevel"/>
    <w:tmpl w:val="38B6272A"/>
    <w:lvl w:ilvl="0" w:tplc="F1723200">
      <w:start w:val="1"/>
      <w:numFmt w:val="hebrew1"/>
      <w:lvlText w:val="%1."/>
      <w:lvlJc w:val="left"/>
      <w:pPr>
        <w:ind w:left="885" w:hanging="360"/>
      </w:pPr>
      <w:rPr>
        <w:rFonts w:hint="default"/>
        <w:b/>
        <w:bCs w:val="0"/>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num w:numId="1" w16cid:durableId="486021326">
    <w:abstractNumId w:val="0"/>
  </w:num>
  <w:num w:numId="2" w16cid:durableId="1526409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A0EC0"/>
    <w:rsid w:val="00031419"/>
    <w:rsid w:val="001B5A3B"/>
    <w:rsid w:val="003C3DB1"/>
    <w:rsid w:val="00923723"/>
    <w:rsid w:val="00923DC8"/>
    <w:rsid w:val="00CA0EC0"/>
    <w:rsid w:val="00CB4CFC"/>
    <w:rsid w:val="00D40031"/>
    <w:rsid w:val="00EC2057"/>
    <w:rsid w:val="00EC52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481F34C"/>
  <w15:chartTrackingRefBased/>
  <w15:docId w15:val="{53FFD9A4-1D4D-4345-A187-46B91BD12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A0EC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A0EC0"/>
    <w:pPr>
      <w:tabs>
        <w:tab w:val="center" w:pos="4153"/>
        <w:tab w:val="right" w:pos="8306"/>
      </w:tabs>
    </w:pPr>
  </w:style>
  <w:style w:type="character" w:customStyle="1" w:styleId="a4">
    <w:name w:val="כותרת עליונה תו"/>
    <w:link w:val="a3"/>
    <w:rsid w:val="00CA0EC0"/>
    <w:rPr>
      <w:rFonts w:ascii="Times New Roman" w:eastAsia="Times New Roman" w:hAnsi="Times New Roman" w:cs="David"/>
      <w:sz w:val="24"/>
      <w:szCs w:val="24"/>
    </w:rPr>
  </w:style>
  <w:style w:type="paragraph" w:styleId="a5">
    <w:name w:val="footer"/>
    <w:basedOn w:val="a"/>
    <w:link w:val="a6"/>
    <w:rsid w:val="00CA0EC0"/>
    <w:pPr>
      <w:tabs>
        <w:tab w:val="center" w:pos="4153"/>
        <w:tab w:val="right" w:pos="8306"/>
      </w:tabs>
    </w:pPr>
  </w:style>
  <w:style w:type="character" w:customStyle="1" w:styleId="a6">
    <w:name w:val="כותרת תחתונה תו"/>
    <w:link w:val="a5"/>
    <w:rsid w:val="00CA0EC0"/>
    <w:rPr>
      <w:rFonts w:ascii="Times New Roman" w:eastAsia="Times New Roman" w:hAnsi="Times New Roman" w:cs="David"/>
      <w:sz w:val="24"/>
      <w:szCs w:val="24"/>
    </w:rPr>
  </w:style>
  <w:style w:type="table" w:styleId="a7">
    <w:name w:val="Table Grid"/>
    <w:basedOn w:val="a1"/>
    <w:rsid w:val="00CA0EC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A0EC0"/>
  </w:style>
  <w:style w:type="paragraph" w:styleId="a9">
    <w:name w:val="List Paragraph"/>
    <w:basedOn w:val="a"/>
    <w:qFormat/>
    <w:rsid w:val="00CA0EC0"/>
    <w:pPr>
      <w:ind w:left="720"/>
      <w:contextualSpacing/>
    </w:pPr>
  </w:style>
  <w:style w:type="character" w:styleId="Hyperlink">
    <w:name w:val="Hyperlink"/>
    <w:rsid w:val="0092372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1" TargetMode="External"/><Relationship Id="rId13" Type="http://schemas.openxmlformats.org/officeDocument/2006/relationships/hyperlink" Target="http://www.nevo.co.il/law/70301"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law/70301/31" TargetMode="External"/><Relationship Id="rId17"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case/28682335"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5" Type="http://schemas.openxmlformats.org/officeDocument/2006/relationships/footnotes" Target="footnotes.xml"/><Relationship Id="rId15" Type="http://schemas.openxmlformats.org/officeDocument/2006/relationships/hyperlink" Target="http://www.nevo.co.il/case/29266793" TargetMode="External"/><Relationship Id="rId23" Type="http://schemas.openxmlformats.org/officeDocument/2006/relationships/theme" Target="theme/theme1.xml"/><Relationship Id="rId10" Type="http://schemas.openxmlformats.org/officeDocument/2006/relationships/hyperlink" Target="http://www.nevo.co.il/law/70301/275"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275"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1781</Words>
  <Characters>8909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10669</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3473527</vt:i4>
      </vt:variant>
      <vt:variant>
        <vt:i4>27</vt:i4>
      </vt:variant>
      <vt:variant>
        <vt:i4>0</vt:i4>
      </vt:variant>
      <vt:variant>
        <vt:i4>5</vt:i4>
      </vt:variant>
      <vt:variant>
        <vt:lpwstr>http://www.nevo.co.il/case/28682335</vt:lpwstr>
      </vt:variant>
      <vt:variant>
        <vt:lpwstr/>
      </vt:variant>
      <vt:variant>
        <vt:i4>4128892</vt:i4>
      </vt:variant>
      <vt:variant>
        <vt:i4>24</vt:i4>
      </vt:variant>
      <vt:variant>
        <vt:i4>0</vt:i4>
      </vt:variant>
      <vt:variant>
        <vt:i4>5</vt:i4>
      </vt:variant>
      <vt:variant>
        <vt:lpwstr>http://www.nevo.co.il/case/29266793</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7995492</vt:i4>
      </vt:variant>
      <vt:variant>
        <vt:i4>18</vt:i4>
      </vt:variant>
      <vt:variant>
        <vt:i4>0</vt:i4>
      </vt:variant>
      <vt:variant>
        <vt:i4>5</vt:i4>
      </vt:variant>
      <vt:variant>
        <vt:lpwstr>http://www.nevo.co.il/law/70301</vt:lpwstr>
      </vt:variant>
      <vt:variant>
        <vt:lpwstr/>
      </vt:variant>
      <vt:variant>
        <vt:i4>6553702</vt:i4>
      </vt:variant>
      <vt:variant>
        <vt:i4>15</vt:i4>
      </vt:variant>
      <vt:variant>
        <vt:i4>0</vt:i4>
      </vt:variant>
      <vt:variant>
        <vt:i4>5</vt:i4>
      </vt:variant>
      <vt:variant>
        <vt:lpwstr>http://www.nevo.co.il/law/70301/31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6422631</vt:i4>
      </vt:variant>
      <vt:variant>
        <vt:i4>9</vt:i4>
      </vt:variant>
      <vt:variant>
        <vt:i4>0</vt:i4>
      </vt:variant>
      <vt:variant>
        <vt:i4>5</vt:i4>
      </vt:variant>
      <vt:variant>
        <vt:lpwstr>http://www.nevo.co.il/law/70301/275</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2025-02-28T15:34:00Z</dcterms:created>
  <dcterms:modified xsi:type="dcterms:W3CDTF">2025-02-28T15:34:00Z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18421</vt:lpwstr>
  </property>
  <property fmtid="{D5CDD505-2E9C-101B-9397-08002B2CF9AE}" pid="6" name="NEWPARTB">
    <vt:lpwstr>04</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יוסף אעליאן</vt:lpwstr>
  </property>
  <property fmtid="{D5CDD505-2E9C-101B-9397-08002B2CF9AE}" pid="10" name="LAWYER">
    <vt:lpwstr>מוריה ביינה ויסמן;אורי בן נתן</vt:lpwstr>
  </property>
  <property fmtid="{D5CDD505-2E9C-101B-9397-08002B2CF9AE}" pid="11" name="JUDGE">
    <vt:lpwstr>אילן סלע</vt:lpwstr>
  </property>
  <property fmtid="{D5CDD505-2E9C-101B-9397-08002B2CF9AE}" pid="12" name="CITY">
    <vt:lpwstr>י-ם</vt:lpwstr>
  </property>
  <property fmtid="{D5CDD505-2E9C-101B-9397-08002B2CF9AE}" pid="13" name="DATE">
    <vt:lpwstr>20250212</vt:lpwstr>
  </property>
  <property fmtid="{D5CDD505-2E9C-101B-9397-08002B2CF9AE}" pid="14" name="TYPE_N_DATE">
    <vt:lpwstr>39020250212</vt:lpwstr>
  </property>
  <property fmtid="{D5CDD505-2E9C-101B-9397-08002B2CF9AE}" pid="15" name="CASESLISTTMP1">
    <vt:lpwstr>29266793;28682335</vt:lpwstr>
  </property>
  <property fmtid="{D5CDD505-2E9C-101B-9397-08002B2CF9AE}" pid="16" name="CASENOTES1">
    <vt:lpwstr>ProcID=209&amp;PartA=44169&amp;PartB=08&amp;PartC=22</vt:lpwstr>
  </property>
  <property fmtid="{D5CDD505-2E9C-101B-9397-08002B2CF9AE}" pid="17" name="WORDNUMPAGES">
    <vt:lpwstr>7</vt:lpwstr>
  </property>
  <property fmtid="{D5CDD505-2E9C-101B-9397-08002B2CF9AE}" pid="18" name="TYPE_ABS_DATE">
    <vt:lpwstr>390020250212</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70301/144.b;031;275</vt:lpwstr>
  </property>
  <property fmtid="{D5CDD505-2E9C-101B-9397-08002B2CF9AE}" pid="37" name="ISABSTRACT">
    <vt:lpwstr>Y</vt:lpwstr>
  </property>
</Properties>
</file>