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147"/>
        <w:gridCol w:w="2733"/>
        <w:gridCol w:w="2178"/>
        <w:gridCol w:w="3596"/>
        <w:gridCol w:w="67"/>
      </w:tblGrid>
      <w:tr w:rsidR="005C2763" w:rsidRPr="008B3A91" w14:paraId="76E10CF1" w14:textId="77777777" w:rsidTr="003201D6">
        <w:trPr>
          <w:trHeight w:hRule="exact" w:val="418"/>
          <w:jc w:val="center"/>
        </w:trPr>
        <w:tc>
          <w:tcPr>
            <w:tcW w:w="8721" w:type="dxa"/>
            <w:gridSpan w:val="5"/>
          </w:tcPr>
          <w:p w14:paraId="0DEDCD13" w14:textId="77777777" w:rsidR="005C2763" w:rsidRPr="008B3A91" w:rsidRDefault="005C2763" w:rsidP="007457E6">
            <w:pPr>
              <w:pStyle w:val="a3"/>
              <w:jc w:val="center"/>
              <w:rPr>
                <w:rFonts w:ascii="Tahoma" w:hAnsi="Tahoma" w:cs="Tahoma"/>
                <w:color w:val="000080"/>
                <w:rtl/>
              </w:rPr>
            </w:pPr>
            <w:bookmarkStart w:id="0" w:name="LastJudge"/>
            <w:r w:rsidRPr="008B3A91">
              <w:rPr>
                <w:rFonts w:ascii="Tahoma" w:hAnsi="Tahoma" w:cs="Tahoma"/>
                <w:b/>
                <w:bCs/>
                <w:color w:val="000080"/>
                <w:rtl/>
              </w:rPr>
              <w:t>בית המשפט המחוזי בחיפה</w:t>
            </w:r>
          </w:p>
        </w:tc>
      </w:tr>
      <w:tr w:rsidR="005C2763" w:rsidRPr="008B3A91" w14:paraId="378F1C0D" w14:textId="77777777" w:rsidTr="003201D6">
        <w:trPr>
          <w:trHeight w:val="337"/>
          <w:jc w:val="center"/>
        </w:trPr>
        <w:tc>
          <w:tcPr>
            <w:tcW w:w="5058" w:type="dxa"/>
            <w:gridSpan w:val="3"/>
          </w:tcPr>
          <w:p w14:paraId="32BA7ED9" w14:textId="77777777" w:rsidR="005C2763" w:rsidRPr="008B3A91" w:rsidRDefault="005C2763" w:rsidP="007457E6">
            <w:pPr>
              <w:rPr>
                <w:rFonts w:cs="FrankRuehl"/>
                <w:sz w:val="28"/>
                <w:szCs w:val="28"/>
                <w:rtl/>
              </w:rPr>
            </w:pPr>
            <w:r w:rsidRPr="008B3A91">
              <w:rPr>
                <w:rFonts w:cs="FrankRuehl"/>
                <w:sz w:val="28"/>
                <w:szCs w:val="28"/>
                <w:rtl/>
              </w:rPr>
              <w:t>ת"פ</w:t>
            </w:r>
            <w:r w:rsidRPr="008B3A91">
              <w:rPr>
                <w:rFonts w:cs="FrankRuehl" w:hint="cs"/>
                <w:sz w:val="28"/>
                <w:szCs w:val="28"/>
                <w:rtl/>
              </w:rPr>
              <w:t xml:space="preserve"> </w:t>
            </w:r>
            <w:r w:rsidRPr="008B3A91">
              <w:rPr>
                <w:rFonts w:cs="FrankRuehl"/>
                <w:sz w:val="28"/>
                <w:szCs w:val="28"/>
                <w:rtl/>
              </w:rPr>
              <w:t>28991-04-22</w:t>
            </w:r>
            <w:r w:rsidRPr="008B3A91">
              <w:rPr>
                <w:rFonts w:cs="FrankRuehl" w:hint="cs"/>
                <w:sz w:val="28"/>
                <w:szCs w:val="28"/>
                <w:rtl/>
              </w:rPr>
              <w:t xml:space="preserve"> </w:t>
            </w:r>
            <w:r w:rsidRPr="008B3A91">
              <w:rPr>
                <w:rFonts w:cs="FrankRuehl"/>
                <w:sz w:val="28"/>
                <w:szCs w:val="28"/>
                <w:rtl/>
              </w:rPr>
              <w:t>מדינת ישראל נ' נעימי(עציר) ואח'</w:t>
            </w:r>
          </w:p>
          <w:p w14:paraId="37A12A11" w14:textId="77777777" w:rsidR="005C2763" w:rsidRPr="008B3A91" w:rsidRDefault="005C2763" w:rsidP="007457E6">
            <w:pPr>
              <w:pStyle w:val="a3"/>
              <w:rPr>
                <w:rFonts w:cs="FrankRuehl"/>
                <w:sz w:val="28"/>
                <w:szCs w:val="28"/>
                <w:rtl/>
              </w:rPr>
            </w:pPr>
          </w:p>
        </w:tc>
        <w:tc>
          <w:tcPr>
            <w:tcW w:w="3663" w:type="dxa"/>
            <w:gridSpan w:val="2"/>
          </w:tcPr>
          <w:p w14:paraId="3CD7A2D8" w14:textId="77777777" w:rsidR="005C2763" w:rsidRPr="008B3A91" w:rsidRDefault="005C2763" w:rsidP="007457E6">
            <w:pPr>
              <w:pStyle w:val="a3"/>
              <w:jc w:val="right"/>
              <w:rPr>
                <w:rFonts w:cs="FrankRuehl"/>
                <w:sz w:val="28"/>
                <w:szCs w:val="28"/>
                <w:rtl/>
              </w:rPr>
            </w:pPr>
          </w:p>
        </w:tc>
      </w:tr>
      <w:tr w:rsidR="005C2763" w:rsidRPr="008B3A91" w14:paraId="496105B0" w14:textId="77777777" w:rsidTr="003201D6">
        <w:tblPrEx>
          <w:jc w:val="left"/>
          <w:tblLook w:val="01E0" w:firstRow="1" w:lastRow="1" w:firstColumn="1" w:lastColumn="1" w:noHBand="0" w:noVBand="0"/>
        </w:tblPrEx>
        <w:trPr>
          <w:gridBefore w:val="1"/>
          <w:gridAfter w:val="1"/>
          <w:wBefore w:w="147" w:type="dxa"/>
          <w:wAfter w:w="67" w:type="dxa"/>
        </w:trPr>
        <w:tc>
          <w:tcPr>
            <w:tcW w:w="8507" w:type="dxa"/>
            <w:gridSpan w:val="3"/>
            <w:shd w:val="clear" w:color="auto" w:fill="auto"/>
          </w:tcPr>
          <w:p w14:paraId="0833E190" w14:textId="77777777" w:rsidR="005C2763" w:rsidRPr="008B3A91" w:rsidRDefault="005C2763" w:rsidP="007457E6">
            <w:pPr>
              <w:rPr>
                <w:rFonts w:ascii="David" w:hAnsi="David"/>
                <w:b/>
                <w:bCs/>
                <w:sz w:val="26"/>
                <w:szCs w:val="26"/>
              </w:rPr>
            </w:pPr>
            <w:r w:rsidRPr="008B3A91">
              <w:rPr>
                <w:rFonts w:hint="cs"/>
                <w:rtl/>
              </w:rPr>
              <w:t xml:space="preserve"> </w:t>
            </w:r>
            <w:r w:rsidRPr="008B3A91">
              <w:rPr>
                <w:rFonts w:ascii="David" w:hAnsi="David"/>
                <w:b/>
                <w:bCs/>
                <w:sz w:val="26"/>
                <w:szCs w:val="26"/>
                <w:rtl/>
              </w:rPr>
              <w:t>לפני כבוד השופט מוחמד עלי</w:t>
            </w:r>
            <w:r w:rsidRPr="008B3A91">
              <w:rPr>
                <w:rStyle w:val="TimesNewRomanTimesNewRoman"/>
                <w:rFonts w:ascii="David" w:hAnsi="David"/>
                <w:rtl/>
              </w:rPr>
              <w:t xml:space="preserve"> </w:t>
            </w:r>
          </w:p>
        </w:tc>
      </w:tr>
      <w:tr w:rsidR="005C2763" w:rsidRPr="008B3A91" w14:paraId="438D682A" w14:textId="77777777" w:rsidTr="003201D6">
        <w:tblPrEx>
          <w:jc w:val="left"/>
          <w:tblLook w:val="01E0" w:firstRow="1" w:lastRow="1" w:firstColumn="1" w:lastColumn="1" w:noHBand="0" w:noVBand="0"/>
        </w:tblPrEx>
        <w:trPr>
          <w:gridBefore w:val="1"/>
          <w:gridAfter w:val="1"/>
          <w:wBefore w:w="147" w:type="dxa"/>
          <w:wAfter w:w="67" w:type="dxa"/>
        </w:trPr>
        <w:tc>
          <w:tcPr>
            <w:tcW w:w="8507" w:type="dxa"/>
            <w:gridSpan w:val="3"/>
            <w:shd w:val="clear" w:color="auto" w:fill="auto"/>
          </w:tcPr>
          <w:p w14:paraId="2A240981" w14:textId="77777777" w:rsidR="005C2763" w:rsidRPr="008B3A91" w:rsidRDefault="005C2763" w:rsidP="007457E6">
            <w:pPr>
              <w:rPr>
                <w:rFonts w:ascii="David" w:hAnsi="David"/>
                <w:b/>
                <w:bCs/>
                <w:sz w:val="26"/>
                <w:szCs w:val="26"/>
                <w:rtl/>
              </w:rPr>
            </w:pPr>
          </w:p>
        </w:tc>
      </w:tr>
      <w:tr w:rsidR="005C2763" w:rsidRPr="008B3A91" w14:paraId="131C0322" w14:textId="77777777" w:rsidTr="003201D6">
        <w:tblPrEx>
          <w:jc w:val="left"/>
          <w:tblLook w:val="01E0" w:firstRow="1" w:lastRow="1" w:firstColumn="1" w:lastColumn="1" w:noHBand="0" w:noVBand="0"/>
        </w:tblPrEx>
        <w:trPr>
          <w:gridBefore w:val="1"/>
          <w:gridAfter w:val="1"/>
          <w:wBefore w:w="147" w:type="dxa"/>
          <w:wAfter w:w="67" w:type="dxa"/>
          <w:cantSplit/>
          <w:trHeight w:val="724"/>
        </w:trPr>
        <w:tc>
          <w:tcPr>
            <w:tcW w:w="2733" w:type="dxa"/>
            <w:shd w:val="clear" w:color="auto" w:fill="auto"/>
          </w:tcPr>
          <w:p w14:paraId="22E1E5FB" w14:textId="77777777" w:rsidR="005C2763" w:rsidRPr="008B3A91" w:rsidRDefault="005C2763" w:rsidP="005C2763">
            <w:pPr>
              <w:ind w:left="26"/>
              <w:rPr>
                <w:rFonts w:ascii="David" w:hAnsi="David"/>
                <w:b/>
                <w:bCs/>
                <w:sz w:val="26"/>
                <w:szCs w:val="26"/>
                <w:rtl/>
              </w:rPr>
            </w:pPr>
            <w:bookmarkStart w:id="1" w:name="FirstAppellant"/>
          </w:p>
          <w:p w14:paraId="4F40960A" w14:textId="77777777" w:rsidR="005C2763" w:rsidRPr="008B3A91" w:rsidRDefault="005C2763" w:rsidP="005C2763">
            <w:pPr>
              <w:ind w:left="26"/>
              <w:rPr>
                <w:rFonts w:ascii="David" w:hAnsi="David"/>
                <w:b/>
                <w:bCs/>
                <w:sz w:val="26"/>
                <w:szCs w:val="26"/>
                <w:rtl/>
              </w:rPr>
            </w:pPr>
            <w:r w:rsidRPr="008B3A91">
              <w:rPr>
                <w:rFonts w:ascii="David" w:hAnsi="David"/>
                <w:b/>
                <w:bCs/>
                <w:sz w:val="26"/>
                <w:szCs w:val="26"/>
                <w:rtl/>
              </w:rPr>
              <w:t>המאשימה</w:t>
            </w:r>
          </w:p>
        </w:tc>
        <w:tc>
          <w:tcPr>
            <w:tcW w:w="5774" w:type="dxa"/>
            <w:gridSpan w:val="2"/>
            <w:shd w:val="clear" w:color="auto" w:fill="auto"/>
          </w:tcPr>
          <w:p w14:paraId="7BC8DEE3" w14:textId="77777777" w:rsidR="005C2763" w:rsidRPr="008B3A91" w:rsidRDefault="005C2763" w:rsidP="007457E6">
            <w:pPr>
              <w:rPr>
                <w:rFonts w:ascii="David" w:hAnsi="David"/>
                <w:rtl/>
              </w:rPr>
            </w:pPr>
          </w:p>
          <w:p w14:paraId="641BA1D3" w14:textId="77777777" w:rsidR="005C2763" w:rsidRPr="008B3A91" w:rsidRDefault="005C2763" w:rsidP="007457E6">
            <w:pPr>
              <w:rPr>
                <w:rFonts w:ascii="David" w:hAnsi="David"/>
                <w:b/>
                <w:bCs/>
                <w:sz w:val="26"/>
                <w:szCs w:val="26"/>
                <w:rtl/>
              </w:rPr>
            </w:pPr>
            <w:r w:rsidRPr="008B3A91">
              <w:rPr>
                <w:rFonts w:ascii="David" w:hAnsi="David"/>
                <w:b/>
                <w:bCs/>
                <w:sz w:val="26"/>
                <w:szCs w:val="26"/>
                <w:rtl/>
              </w:rPr>
              <w:t xml:space="preserve">מדינת ישראל </w:t>
            </w:r>
          </w:p>
        </w:tc>
      </w:tr>
      <w:bookmarkEnd w:id="1"/>
      <w:tr w:rsidR="005C2763" w:rsidRPr="008B3A91" w14:paraId="6F0689B9" w14:textId="77777777" w:rsidTr="003201D6">
        <w:tblPrEx>
          <w:jc w:val="left"/>
          <w:tblLook w:val="01E0" w:firstRow="1" w:lastRow="1" w:firstColumn="1" w:lastColumn="1" w:noHBand="0" w:noVBand="0"/>
        </w:tblPrEx>
        <w:trPr>
          <w:gridBefore w:val="1"/>
          <w:gridAfter w:val="1"/>
          <w:wBefore w:w="147" w:type="dxa"/>
          <w:wAfter w:w="67" w:type="dxa"/>
        </w:trPr>
        <w:tc>
          <w:tcPr>
            <w:tcW w:w="8507" w:type="dxa"/>
            <w:gridSpan w:val="3"/>
            <w:shd w:val="clear" w:color="auto" w:fill="auto"/>
            <w:vAlign w:val="center"/>
          </w:tcPr>
          <w:p w14:paraId="34B0DCE9" w14:textId="77777777" w:rsidR="005C2763" w:rsidRPr="008B3A91" w:rsidRDefault="005C2763" w:rsidP="007457E6">
            <w:pPr>
              <w:rPr>
                <w:rFonts w:ascii="David" w:hAnsi="David"/>
                <w:b/>
                <w:bCs/>
                <w:sz w:val="26"/>
                <w:szCs w:val="26"/>
                <w:rtl/>
              </w:rPr>
            </w:pPr>
          </w:p>
          <w:p w14:paraId="00179AE9" w14:textId="77777777" w:rsidR="005C2763" w:rsidRPr="008B3A91" w:rsidRDefault="005C2763" w:rsidP="005C2763">
            <w:pPr>
              <w:jc w:val="center"/>
              <w:rPr>
                <w:rFonts w:ascii="David" w:hAnsi="David"/>
                <w:b/>
                <w:bCs/>
                <w:sz w:val="26"/>
                <w:szCs w:val="26"/>
                <w:rtl/>
              </w:rPr>
            </w:pPr>
            <w:r w:rsidRPr="008B3A91">
              <w:rPr>
                <w:rFonts w:ascii="David" w:hAnsi="David"/>
                <w:b/>
                <w:bCs/>
                <w:sz w:val="26"/>
                <w:szCs w:val="26"/>
                <w:rtl/>
              </w:rPr>
              <w:t>נגד</w:t>
            </w:r>
          </w:p>
          <w:p w14:paraId="249E7BF7" w14:textId="77777777" w:rsidR="005C2763" w:rsidRPr="008B3A91" w:rsidRDefault="005C2763" w:rsidP="007457E6">
            <w:pPr>
              <w:rPr>
                <w:rFonts w:ascii="David" w:hAnsi="David"/>
                <w:b/>
                <w:bCs/>
                <w:sz w:val="26"/>
                <w:szCs w:val="26"/>
                <w:rtl/>
              </w:rPr>
            </w:pPr>
          </w:p>
        </w:tc>
      </w:tr>
      <w:tr w:rsidR="005C2763" w:rsidRPr="008B3A91" w14:paraId="10A71F4A" w14:textId="77777777" w:rsidTr="003201D6">
        <w:tblPrEx>
          <w:jc w:val="left"/>
          <w:tblLook w:val="01E0" w:firstRow="1" w:lastRow="1" w:firstColumn="1" w:lastColumn="1" w:noHBand="0" w:noVBand="0"/>
        </w:tblPrEx>
        <w:trPr>
          <w:gridBefore w:val="1"/>
          <w:gridAfter w:val="1"/>
          <w:wBefore w:w="147" w:type="dxa"/>
          <w:wAfter w:w="67" w:type="dxa"/>
        </w:trPr>
        <w:tc>
          <w:tcPr>
            <w:tcW w:w="2733" w:type="dxa"/>
            <w:shd w:val="clear" w:color="auto" w:fill="auto"/>
          </w:tcPr>
          <w:p w14:paraId="68DE6143" w14:textId="77777777" w:rsidR="005C2763" w:rsidRPr="008B3A91" w:rsidRDefault="005C2763" w:rsidP="005C2763">
            <w:pPr>
              <w:ind w:left="26"/>
              <w:rPr>
                <w:rFonts w:ascii="David" w:hAnsi="David"/>
                <w:b/>
                <w:bCs/>
                <w:sz w:val="26"/>
                <w:szCs w:val="26"/>
                <w:rtl/>
              </w:rPr>
            </w:pPr>
            <w:r w:rsidRPr="008B3A91">
              <w:rPr>
                <w:rFonts w:ascii="David" w:hAnsi="David"/>
                <w:b/>
                <w:bCs/>
                <w:sz w:val="26"/>
                <w:szCs w:val="26"/>
                <w:rtl/>
              </w:rPr>
              <w:t>הנאשמים</w:t>
            </w:r>
          </w:p>
        </w:tc>
        <w:tc>
          <w:tcPr>
            <w:tcW w:w="5774" w:type="dxa"/>
            <w:gridSpan w:val="2"/>
            <w:shd w:val="clear" w:color="auto" w:fill="auto"/>
          </w:tcPr>
          <w:p w14:paraId="36462646" w14:textId="77777777" w:rsidR="005C2763" w:rsidRPr="008B3A91" w:rsidRDefault="005C2763" w:rsidP="007457E6">
            <w:pPr>
              <w:rPr>
                <w:rFonts w:ascii="David" w:hAnsi="David"/>
                <w:b/>
                <w:bCs/>
                <w:sz w:val="26"/>
                <w:szCs w:val="26"/>
                <w:rtl/>
              </w:rPr>
            </w:pPr>
            <w:r w:rsidRPr="008B3A91">
              <w:rPr>
                <w:rFonts w:ascii="David" w:hAnsi="David"/>
                <w:b/>
                <w:bCs/>
                <w:sz w:val="26"/>
                <w:szCs w:val="26"/>
              </w:rPr>
              <w:t>.1</w:t>
            </w:r>
            <w:r w:rsidRPr="008B3A91">
              <w:rPr>
                <w:rFonts w:ascii="David" w:hAnsi="David"/>
                <w:rtl/>
              </w:rPr>
              <w:t xml:space="preserve"> </w:t>
            </w:r>
            <w:r w:rsidRPr="008B3A91">
              <w:rPr>
                <w:rFonts w:ascii="David" w:hAnsi="David"/>
                <w:b/>
                <w:bCs/>
                <w:sz w:val="26"/>
                <w:szCs w:val="26"/>
                <w:rtl/>
              </w:rPr>
              <w:t>אמיר נעימי (עציר)</w:t>
            </w:r>
            <w:r w:rsidRPr="008B3A91">
              <w:rPr>
                <w:rFonts w:ascii="David" w:hAnsi="David"/>
                <w:rtl/>
              </w:rPr>
              <w:t xml:space="preserve"> </w:t>
            </w:r>
            <w:r w:rsidRPr="008B3A91">
              <w:rPr>
                <w:rFonts w:ascii="David" w:hAnsi="David"/>
                <w:b/>
                <w:bCs/>
                <w:sz w:val="26"/>
                <w:szCs w:val="26"/>
                <w:rtl/>
              </w:rPr>
              <w:t xml:space="preserve">ת"ז  </w:t>
            </w:r>
            <w:r w:rsidR="008B3A91">
              <w:rPr>
                <w:rFonts w:ascii="David" w:hAnsi="David"/>
                <w:b/>
                <w:bCs/>
                <w:sz w:val="26"/>
                <w:szCs w:val="26"/>
              </w:rPr>
              <w:t>xxxxxxxxxx</w:t>
            </w:r>
          </w:p>
          <w:p w14:paraId="3C372A97" w14:textId="77777777" w:rsidR="005C2763" w:rsidRPr="008B3A91" w:rsidRDefault="005C2763" w:rsidP="007457E6">
            <w:pPr>
              <w:rPr>
                <w:rFonts w:ascii="David" w:hAnsi="David"/>
                <w:b/>
                <w:bCs/>
                <w:sz w:val="26"/>
                <w:szCs w:val="26"/>
              </w:rPr>
            </w:pPr>
            <w:r w:rsidRPr="008B3A91">
              <w:rPr>
                <w:rFonts w:ascii="David" w:hAnsi="David"/>
                <w:b/>
                <w:bCs/>
                <w:sz w:val="26"/>
                <w:szCs w:val="26"/>
              </w:rPr>
              <w:t>.2</w:t>
            </w:r>
            <w:r w:rsidRPr="008B3A91">
              <w:rPr>
                <w:rFonts w:ascii="David" w:hAnsi="David"/>
                <w:rtl/>
              </w:rPr>
              <w:t xml:space="preserve"> </w:t>
            </w:r>
            <w:r w:rsidRPr="008B3A91">
              <w:rPr>
                <w:rFonts w:ascii="David" w:hAnsi="David"/>
                <w:b/>
                <w:bCs/>
                <w:sz w:val="26"/>
                <w:szCs w:val="26"/>
                <w:rtl/>
              </w:rPr>
              <w:t xml:space="preserve">מוגאהד ניס ת"ז  </w:t>
            </w:r>
            <w:r w:rsidR="008B3A91">
              <w:rPr>
                <w:rFonts w:ascii="David" w:hAnsi="David"/>
                <w:b/>
                <w:bCs/>
                <w:sz w:val="26"/>
                <w:szCs w:val="26"/>
              </w:rPr>
              <w:t>xxxxxxxxxx</w:t>
            </w:r>
          </w:p>
          <w:p w14:paraId="2B69B08F" w14:textId="77777777" w:rsidR="005C2763" w:rsidRPr="008B3A91" w:rsidRDefault="005C2763" w:rsidP="007457E6">
            <w:pPr>
              <w:rPr>
                <w:rFonts w:ascii="David" w:hAnsi="David"/>
                <w:b/>
                <w:bCs/>
                <w:sz w:val="26"/>
                <w:szCs w:val="26"/>
                <w:rtl/>
              </w:rPr>
            </w:pPr>
            <w:r w:rsidRPr="008B3A91">
              <w:rPr>
                <w:rFonts w:ascii="David" w:hAnsi="David"/>
                <w:b/>
                <w:bCs/>
                <w:sz w:val="26"/>
                <w:szCs w:val="26"/>
              </w:rPr>
              <w:t>.3</w:t>
            </w:r>
            <w:r w:rsidRPr="008B3A91">
              <w:rPr>
                <w:rFonts w:ascii="David" w:hAnsi="David"/>
                <w:rtl/>
              </w:rPr>
              <w:t xml:space="preserve"> </w:t>
            </w:r>
            <w:r w:rsidRPr="008B3A91">
              <w:rPr>
                <w:rFonts w:ascii="David" w:hAnsi="David"/>
                <w:b/>
                <w:bCs/>
                <w:sz w:val="26"/>
                <w:szCs w:val="26"/>
                <w:rtl/>
              </w:rPr>
              <w:t>וואיל חמוד</w:t>
            </w:r>
            <w:r w:rsidRPr="008B3A91">
              <w:rPr>
                <w:rFonts w:ascii="David" w:hAnsi="David"/>
                <w:rtl/>
              </w:rPr>
              <w:t xml:space="preserve"> </w:t>
            </w:r>
            <w:r w:rsidRPr="008B3A91">
              <w:rPr>
                <w:rFonts w:ascii="David" w:hAnsi="David"/>
                <w:b/>
                <w:bCs/>
                <w:sz w:val="26"/>
                <w:szCs w:val="26"/>
                <w:rtl/>
              </w:rPr>
              <w:t xml:space="preserve">ת"ז  </w:t>
            </w:r>
            <w:r w:rsidR="008B3A91">
              <w:rPr>
                <w:rFonts w:ascii="David" w:hAnsi="David"/>
                <w:b/>
                <w:bCs/>
                <w:sz w:val="26"/>
                <w:szCs w:val="26"/>
              </w:rPr>
              <w:t>xxxxxxxxxx</w:t>
            </w:r>
          </w:p>
        </w:tc>
      </w:tr>
    </w:tbl>
    <w:p w14:paraId="76681C57" w14:textId="77777777" w:rsidR="003201D6" w:rsidRDefault="003201D6" w:rsidP="005C2763">
      <w:pPr>
        <w:rPr>
          <w:rFonts w:ascii="David" w:hAnsi="David"/>
          <w:rtl/>
        </w:rPr>
      </w:pPr>
    </w:p>
    <w:p w14:paraId="13143A3B" w14:textId="77777777" w:rsidR="003201D6" w:rsidRPr="003201D6" w:rsidRDefault="003201D6" w:rsidP="003201D6">
      <w:pPr>
        <w:spacing w:after="120" w:line="240" w:lineRule="exact"/>
        <w:ind w:left="283" w:hanging="283"/>
        <w:jc w:val="both"/>
        <w:rPr>
          <w:rFonts w:ascii="FrankRuehl" w:hAnsi="FrankRuehl" w:cs="FrankRuehl"/>
          <w:rtl/>
        </w:rPr>
      </w:pPr>
    </w:p>
    <w:p w14:paraId="0A0AB065" w14:textId="77777777" w:rsidR="00721377" w:rsidRPr="00721377" w:rsidRDefault="00721377" w:rsidP="00721377">
      <w:pPr>
        <w:spacing w:before="120" w:after="120" w:line="240" w:lineRule="exact"/>
        <w:ind w:left="283" w:hanging="283"/>
        <w:jc w:val="both"/>
        <w:rPr>
          <w:rFonts w:ascii="FrankRuehl" w:hAnsi="FrankRuehl" w:cs="FrankRuehl"/>
          <w:rtl/>
        </w:rPr>
      </w:pPr>
    </w:p>
    <w:p w14:paraId="571DC6B1" w14:textId="77777777" w:rsidR="001B7805" w:rsidRDefault="001B7805" w:rsidP="001B7805">
      <w:pPr>
        <w:rPr>
          <w:rFonts w:ascii="Arial" w:hAnsi="Arial"/>
          <w:sz w:val="26"/>
          <w:szCs w:val="26"/>
          <w:rtl/>
        </w:rPr>
      </w:pPr>
      <w:bookmarkStart w:id="2" w:name="LawTable"/>
      <w:bookmarkEnd w:id="2"/>
    </w:p>
    <w:p w14:paraId="2C5C5064" w14:textId="77777777" w:rsidR="001B7805" w:rsidRPr="001B7805" w:rsidRDefault="001B7805" w:rsidP="001B7805">
      <w:pPr>
        <w:spacing w:before="120" w:after="120" w:line="240" w:lineRule="exact"/>
        <w:ind w:left="283" w:hanging="283"/>
        <w:jc w:val="both"/>
        <w:rPr>
          <w:rFonts w:ascii="FrankRuehl" w:hAnsi="FrankRuehl" w:cs="FrankRuehl"/>
          <w:rtl/>
        </w:rPr>
      </w:pPr>
    </w:p>
    <w:p w14:paraId="6C84C8DE" w14:textId="77777777" w:rsidR="001B7805" w:rsidRPr="001B7805" w:rsidRDefault="001B7805" w:rsidP="001B7805">
      <w:pPr>
        <w:spacing w:before="120" w:after="120" w:line="240" w:lineRule="exact"/>
        <w:ind w:left="283" w:hanging="283"/>
        <w:jc w:val="both"/>
        <w:rPr>
          <w:rFonts w:ascii="FrankRuehl" w:hAnsi="FrankRuehl" w:cs="FrankRuehl"/>
          <w:rtl/>
        </w:rPr>
      </w:pPr>
    </w:p>
    <w:p w14:paraId="3D1AE3DC" w14:textId="77777777" w:rsidR="001B7805" w:rsidRPr="001B7805" w:rsidRDefault="001B7805" w:rsidP="001B7805">
      <w:pPr>
        <w:spacing w:before="120" w:after="120" w:line="240" w:lineRule="exact"/>
        <w:ind w:left="283" w:hanging="283"/>
        <w:jc w:val="both"/>
        <w:rPr>
          <w:rFonts w:ascii="FrankRuehl" w:hAnsi="FrankRuehl" w:cs="FrankRuehl"/>
          <w:rtl/>
        </w:rPr>
      </w:pPr>
      <w:r w:rsidRPr="001B7805">
        <w:rPr>
          <w:rFonts w:ascii="FrankRuehl" w:hAnsi="FrankRuehl" w:cs="FrankRuehl"/>
          <w:rtl/>
        </w:rPr>
        <w:t xml:space="preserve">חקיקה שאוזכרה: </w:t>
      </w:r>
    </w:p>
    <w:p w14:paraId="4BA44876" w14:textId="77777777" w:rsidR="001B7805" w:rsidRPr="001B7805" w:rsidRDefault="001B7805" w:rsidP="001B7805">
      <w:pPr>
        <w:spacing w:before="120" w:after="120" w:line="240" w:lineRule="exact"/>
        <w:ind w:left="283" w:hanging="283"/>
        <w:jc w:val="both"/>
        <w:rPr>
          <w:rFonts w:ascii="FrankRuehl" w:hAnsi="FrankRuehl" w:cs="FrankRuehl"/>
          <w:rtl/>
        </w:rPr>
      </w:pPr>
      <w:hyperlink r:id="rId7" w:history="1">
        <w:r w:rsidRPr="001B7805">
          <w:rPr>
            <w:rFonts w:ascii="FrankRuehl" w:hAnsi="FrankRuehl" w:cs="FrankRuehl"/>
            <w:color w:val="0000FF"/>
            <w:rtl/>
          </w:rPr>
          <w:t>חוק העונשין, תשל"ז-1977</w:t>
        </w:r>
      </w:hyperlink>
      <w:r w:rsidRPr="001B7805">
        <w:rPr>
          <w:rFonts w:ascii="FrankRuehl" w:hAnsi="FrankRuehl" w:cs="FrankRuehl"/>
          <w:rtl/>
        </w:rPr>
        <w:t xml:space="preserve">: סע'  </w:t>
      </w:r>
      <w:hyperlink r:id="rId8" w:history="1">
        <w:r w:rsidRPr="001B7805">
          <w:rPr>
            <w:rFonts w:ascii="FrankRuehl" w:hAnsi="FrankRuehl" w:cs="FrankRuehl"/>
            <w:color w:val="0000FF"/>
            <w:rtl/>
          </w:rPr>
          <w:t>31</w:t>
        </w:r>
      </w:hyperlink>
      <w:r w:rsidRPr="001B7805">
        <w:rPr>
          <w:rFonts w:ascii="FrankRuehl" w:hAnsi="FrankRuehl" w:cs="FrankRuehl"/>
          <w:rtl/>
        </w:rPr>
        <w:t xml:space="preserve">, </w:t>
      </w:r>
      <w:hyperlink r:id="rId9" w:history="1">
        <w:r w:rsidRPr="001B7805">
          <w:rPr>
            <w:rFonts w:ascii="FrankRuehl" w:hAnsi="FrankRuehl" w:cs="FrankRuehl"/>
            <w:color w:val="0000FF"/>
            <w:rtl/>
          </w:rPr>
          <w:t>32</w:t>
        </w:r>
      </w:hyperlink>
      <w:r w:rsidRPr="001B7805">
        <w:rPr>
          <w:rFonts w:ascii="FrankRuehl" w:hAnsi="FrankRuehl" w:cs="FrankRuehl"/>
          <w:rtl/>
        </w:rPr>
        <w:t xml:space="preserve">, </w:t>
      </w:r>
      <w:hyperlink r:id="rId10" w:history="1">
        <w:r w:rsidRPr="001B7805">
          <w:rPr>
            <w:rFonts w:ascii="FrankRuehl" w:hAnsi="FrankRuehl" w:cs="FrankRuehl"/>
            <w:color w:val="0000FF"/>
            <w:rtl/>
          </w:rPr>
          <w:t>32(4)</w:t>
        </w:r>
      </w:hyperlink>
      <w:r w:rsidRPr="001B7805">
        <w:rPr>
          <w:rFonts w:ascii="FrankRuehl" w:hAnsi="FrankRuehl" w:cs="FrankRuehl"/>
          <w:rtl/>
        </w:rPr>
        <w:t xml:space="preserve">, </w:t>
      </w:r>
      <w:hyperlink r:id="rId11" w:history="1">
        <w:r w:rsidRPr="001B7805">
          <w:rPr>
            <w:rFonts w:ascii="FrankRuehl" w:hAnsi="FrankRuehl" w:cs="FrankRuehl"/>
            <w:color w:val="0000FF"/>
            <w:rtl/>
          </w:rPr>
          <w:t>40ג'</w:t>
        </w:r>
      </w:hyperlink>
      <w:r w:rsidRPr="001B7805">
        <w:rPr>
          <w:rFonts w:ascii="FrankRuehl" w:hAnsi="FrankRuehl" w:cs="FrankRuehl"/>
          <w:rtl/>
        </w:rPr>
        <w:t xml:space="preserve">, </w:t>
      </w:r>
      <w:hyperlink r:id="rId12" w:history="1">
        <w:r w:rsidRPr="001B7805">
          <w:rPr>
            <w:rFonts w:ascii="FrankRuehl" w:hAnsi="FrankRuehl" w:cs="FrankRuehl"/>
            <w:color w:val="0000FF"/>
            <w:rtl/>
          </w:rPr>
          <w:t>40ט'</w:t>
        </w:r>
      </w:hyperlink>
      <w:r w:rsidRPr="001B7805">
        <w:rPr>
          <w:rFonts w:ascii="FrankRuehl" w:hAnsi="FrankRuehl" w:cs="FrankRuehl"/>
          <w:rtl/>
        </w:rPr>
        <w:t xml:space="preserve">, </w:t>
      </w:r>
      <w:hyperlink r:id="rId13" w:history="1">
        <w:r w:rsidRPr="001B7805">
          <w:rPr>
            <w:rFonts w:ascii="FrankRuehl" w:hAnsi="FrankRuehl" w:cs="FrankRuehl"/>
            <w:color w:val="0000FF"/>
            <w:rtl/>
          </w:rPr>
          <w:t>58</w:t>
        </w:r>
      </w:hyperlink>
      <w:r w:rsidRPr="001B7805">
        <w:rPr>
          <w:rFonts w:ascii="FrankRuehl" w:hAnsi="FrankRuehl" w:cs="FrankRuehl"/>
          <w:rtl/>
        </w:rPr>
        <w:t xml:space="preserve">, </w:t>
      </w:r>
      <w:hyperlink r:id="rId14" w:history="1">
        <w:r w:rsidRPr="001B7805">
          <w:rPr>
            <w:rFonts w:ascii="FrankRuehl" w:hAnsi="FrankRuehl" w:cs="FrankRuehl"/>
            <w:color w:val="0000FF"/>
            <w:rtl/>
          </w:rPr>
          <w:t>144(א)</w:t>
        </w:r>
      </w:hyperlink>
      <w:r w:rsidRPr="001B7805">
        <w:rPr>
          <w:rFonts w:ascii="FrankRuehl" w:hAnsi="FrankRuehl" w:cs="FrankRuehl"/>
          <w:rtl/>
        </w:rPr>
        <w:t xml:space="preserve">, </w:t>
      </w:r>
      <w:hyperlink r:id="rId15" w:history="1">
        <w:r w:rsidRPr="001B7805">
          <w:rPr>
            <w:rFonts w:ascii="FrankRuehl" w:hAnsi="FrankRuehl" w:cs="FrankRuehl"/>
            <w:color w:val="0000FF"/>
            <w:rtl/>
          </w:rPr>
          <w:t>ב</w:t>
        </w:r>
      </w:hyperlink>
      <w:r w:rsidRPr="001B7805">
        <w:rPr>
          <w:rFonts w:ascii="FrankRuehl" w:hAnsi="FrankRuehl" w:cs="FrankRuehl"/>
          <w:rtl/>
        </w:rPr>
        <w:t xml:space="preserve">, </w:t>
      </w:r>
      <w:hyperlink r:id="rId16" w:history="1">
        <w:r w:rsidRPr="001B7805">
          <w:rPr>
            <w:rFonts w:ascii="FrankRuehl" w:hAnsi="FrankRuehl" w:cs="FrankRuehl"/>
            <w:color w:val="0000FF"/>
            <w:rtl/>
          </w:rPr>
          <w:t>144(ז)</w:t>
        </w:r>
      </w:hyperlink>
      <w:r w:rsidRPr="001B7805">
        <w:rPr>
          <w:rFonts w:ascii="FrankRuehl" w:hAnsi="FrankRuehl" w:cs="FrankRuehl"/>
          <w:rtl/>
        </w:rPr>
        <w:t xml:space="preserve">, </w:t>
      </w:r>
      <w:hyperlink r:id="rId17" w:history="1">
        <w:r w:rsidRPr="001B7805">
          <w:rPr>
            <w:rFonts w:ascii="FrankRuehl" w:hAnsi="FrankRuehl" w:cs="FrankRuehl"/>
            <w:color w:val="0000FF"/>
            <w:rtl/>
          </w:rPr>
          <w:t>262</w:t>
        </w:r>
      </w:hyperlink>
      <w:r w:rsidRPr="001B7805">
        <w:rPr>
          <w:rFonts w:ascii="FrankRuehl" w:hAnsi="FrankRuehl" w:cs="FrankRuehl"/>
          <w:rtl/>
        </w:rPr>
        <w:t xml:space="preserve">, </w:t>
      </w:r>
      <w:hyperlink r:id="rId18" w:history="1">
        <w:r w:rsidRPr="001B7805">
          <w:rPr>
            <w:rFonts w:ascii="FrankRuehl" w:hAnsi="FrankRuehl" w:cs="FrankRuehl"/>
            <w:color w:val="0000FF"/>
            <w:rtl/>
          </w:rPr>
          <w:t>275</w:t>
        </w:r>
      </w:hyperlink>
      <w:r w:rsidRPr="001B7805">
        <w:rPr>
          <w:rFonts w:ascii="FrankRuehl" w:hAnsi="FrankRuehl" w:cs="FrankRuehl"/>
          <w:rtl/>
        </w:rPr>
        <w:t xml:space="preserve">, </w:t>
      </w:r>
      <w:hyperlink r:id="rId19" w:history="1">
        <w:r w:rsidRPr="001B7805">
          <w:rPr>
            <w:rFonts w:ascii="FrankRuehl" w:hAnsi="FrankRuehl" w:cs="FrankRuehl"/>
            <w:color w:val="0000FF"/>
            <w:rtl/>
          </w:rPr>
          <w:t>40 יא'</w:t>
        </w:r>
      </w:hyperlink>
    </w:p>
    <w:p w14:paraId="787CB307" w14:textId="77777777" w:rsidR="001B7805" w:rsidRPr="001B7805" w:rsidRDefault="001B7805" w:rsidP="001B7805">
      <w:pPr>
        <w:spacing w:before="120" w:after="120" w:line="240" w:lineRule="exact"/>
        <w:ind w:left="283" w:hanging="283"/>
        <w:jc w:val="both"/>
        <w:rPr>
          <w:rFonts w:ascii="FrankRuehl" w:hAnsi="FrankRuehl" w:cs="FrankRuehl"/>
          <w:rtl/>
        </w:rPr>
      </w:pPr>
      <w:hyperlink r:id="rId20" w:history="1">
        <w:r w:rsidRPr="001B7805">
          <w:rPr>
            <w:rFonts w:ascii="FrankRuehl" w:hAnsi="FrankRuehl" w:cs="FrankRuehl"/>
            <w:color w:val="0000FF"/>
            <w:rtl/>
          </w:rPr>
          <w:t>פקודת התעבורה [נוסח חדש]</w:t>
        </w:r>
      </w:hyperlink>
      <w:r w:rsidRPr="001B7805">
        <w:rPr>
          <w:rFonts w:ascii="FrankRuehl" w:hAnsi="FrankRuehl" w:cs="FrankRuehl"/>
          <w:rtl/>
        </w:rPr>
        <w:t xml:space="preserve">: סע'  </w:t>
      </w:r>
      <w:hyperlink r:id="rId21" w:history="1">
        <w:r w:rsidRPr="001B7805">
          <w:rPr>
            <w:rFonts w:ascii="FrankRuehl" w:hAnsi="FrankRuehl" w:cs="FrankRuehl"/>
            <w:color w:val="0000FF"/>
            <w:rtl/>
          </w:rPr>
          <w:t>10(א)</w:t>
        </w:r>
      </w:hyperlink>
      <w:r w:rsidRPr="001B7805">
        <w:rPr>
          <w:rFonts w:ascii="FrankRuehl" w:hAnsi="FrankRuehl" w:cs="FrankRuehl"/>
          <w:rtl/>
        </w:rPr>
        <w:t xml:space="preserve">, </w:t>
      </w:r>
      <w:hyperlink r:id="rId22" w:history="1">
        <w:r w:rsidRPr="001B7805">
          <w:rPr>
            <w:rFonts w:ascii="FrankRuehl" w:hAnsi="FrankRuehl" w:cs="FrankRuehl"/>
            <w:color w:val="0000FF"/>
            <w:rtl/>
          </w:rPr>
          <w:t>62(1)</w:t>
        </w:r>
      </w:hyperlink>
      <w:r w:rsidRPr="001B7805">
        <w:rPr>
          <w:rFonts w:ascii="FrankRuehl" w:hAnsi="FrankRuehl" w:cs="FrankRuehl"/>
          <w:rtl/>
        </w:rPr>
        <w:t xml:space="preserve">, </w:t>
      </w:r>
      <w:hyperlink r:id="rId23" w:history="1">
        <w:r w:rsidRPr="001B7805">
          <w:rPr>
            <w:rFonts w:ascii="FrankRuehl" w:hAnsi="FrankRuehl" w:cs="FrankRuehl"/>
            <w:color w:val="0000FF"/>
            <w:rtl/>
          </w:rPr>
          <w:t>67</w:t>
        </w:r>
      </w:hyperlink>
    </w:p>
    <w:p w14:paraId="62ECFD6A" w14:textId="77777777" w:rsidR="001B7805" w:rsidRPr="001B7805" w:rsidRDefault="001B7805" w:rsidP="001B7805">
      <w:pPr>
        <w:spacing w:before="120" w:after="120" w:line="240" w:lineRule="exact"/>
        <w:ind w:left="283" w:hanging="283"/>
        <w:jc w:val="both"/>
        <w:rPr>
          <w:rFonts w:ascii="FrankRuehl" w:hAnsi="FrankRuehl" w:cs="FrankRuehl"/>
          <w:rtl/>
        </w:rPr>
      </w:pPr>
      <w:hyperlink r:id="rId24" w:history="1">
        <w:r w:rsidRPr="001B7805">
          <w:rPr>
            <w:rFonts w:ascii="FrankRuehl" w:hAnsi="FrankRuehl" w:cs="FrankRuehl"/>
            <w:color w:val="0000FF"/>
            <w:rtl/>
          </w:rPr>
          <w:t>פקודת ביטוח רכב מנועי [נוסח חדש], תש"ל-1970</w:t>
        </w:r>
      </w:hyperlink>
      <w:r w:rsidRPr="001B7805">
        <w:rPr>
          <w:rFonts w:ascii="FrankRuehl" w:hAnsi="FrankRuehl" w:cs="FrankRuehl"/>
          <w:rtl/>
        </w:rPr>
        <w:t xml:space="preserve">: סע'  </w:t>
      </w:r>
      <w:hyperlink r:id="rId25" w:history="1">
        <w:r w:rsidRPr="001B7805">
          <w:rPr>
            <w:rFonts w:ascii="FrankRuehl" w:hAnsi="FrankRuehl" w:cs="FrankRuehl"/>
            <w:color w:val="0000FF"/>
            <w:rtl/>
          </w:rPr>
          <w:t>2</w:t>
        </w:r>
      </w:hyperlink>
    </w:p>
    <w:p w14:paraId="38C2BEAC" w14:textId="77777777" w:rsidR="001B7805" w:rsidRPr="001B7805" w:rsidRDefault="001B7805" w:rsidP="001B7805">
      <w:pPr>
        <w:rPr>
          <w:rFonts w:ascii="Arial" w:hAnsi="Arial"/>
          <w:sz w:val="26"/>
          <w:szCs w:val="26"/>
          <w:rtl/>
        </w:rPr>
      </w:pPr>
      <w:bookmarkStart w:id="3" w:name="LawTable_End"/>
      <w:bookmarkEnd w:id="3"/>
    </w:p>
    <w:p w14:paraId="2219AD4B" w14:textId="77777777" w:rsidR="005C2763" w:rsidRPr="00721377" w:rsidRDefault="005C2763" w:rsidP="00721377">
      <w:pPr>
        <w:rPr>
          <w:rFonts w:ascii="Arial" w:hAnsi="Arial"/>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5C2763" w14:paraId="37C07614" w14:textId="77777777" w:rsidTr="005C2763">
        <w:trPr>
          <w:trHeight w:val="355"/>
          <w:jc w:val="center"/>
        </w:trPr>
        <w:tc>
          <w:tcPr>
            <w:tcW w:w="8505" w:type="dxa"/>
            <w:tcBorders>
              <w:top w:val="nil"/>
              <w:left w:val="nil"/>
              <w:bottom w:val="nil"/>
              <w:right w:val="nil"/>
            </w:tcBorders>
            <w:shd w:val="clear" w:color="auto" w:fill="auto"/>
          </w:tcPr>
          <w:p w14:paraId="4E19E3CC" w14:textId="77777777" w:rsidR="008B3A91" w:rsidRPr="008B3A91" w:rsidRDefault="008B3A91" w:rsidP="008B3A91">
            <w:pPr>
              <w:jc w:val="center"/>
              <w:rPr>
                <w:rFonts w:ascii="David" w:hAnsi="David"/>
                <w:b/>
                <w:bCs/>
                <w:sz w:val="32"/>
                <w:szCs w:val="32"/>
                <w:u w:val="single"/>
                <w:rtl/>
              </w:rPr>
            </w:pPr>
            <w:bookmarkStart w:id="4" w:name="PsakDin" w:colFirst="0" w:colLast="0"/>
            <w:bookmarkEnd w:id="0"/>
            <w:r w:rsidRPr="008B3A91">
              <w:rPr>
                <w:rFonts w:ascii="David" w:hAnsi="David"/>
                <w:b/>
                <w:bCs/>
                <w:sz w:val="32"/>
                <w:szCs w:val="32"/>
                <w:u w:val="single"/>
                <w:rtl/>
              </w:rPr>
              <w:t>גזר דין בעניינו של נאשם 2</w:t>
            </w:r>
          </w:p>
          <w:p w14:paraId="5244E2DF" w14:textId="77777777" w:rsidR="005C2763" w:rsidRPr="008B3A91" w:rsidRDefault="005C2763" w:rsidP="008B3A91">
            <w:pPr>
              <w:jc w:val="center"/>
              <w:rPr>
                <w:rFonts w:ascii="David" w:hAnsi="David"/>
                <w:b/>
                <w:bCs/>
                <w:sz w:val="32"/>
                <w:szCs w:val="32"/>
                <w:u w:val="single"/>
                <w:rtl/>
              </w:rPr>
            </w:pPr>
          </w:p>
        </w:tc>
      </w:tr>
      <w:bookmarkEnd w:id="4"/>
    </w:tbl>
    <w:p w14:paraId="6D7EBAC6" w14:textId="77777777" w:rsidR="005C2763" w:rsidRPr="000F2247" w:rsidRDefault="005C2763" w:rsidP="005C2763">
      <w:pPr>
        <w:rPr>
          <w:rFonts w:ascii="Arial" w:hAnsi="Arial"/>
          <w:b/>
          <w:bCs/>
          <w:sz w:val="26"/>
          <w:szCs w:val="26"/>
          <w:rtl/>
        </w:rPr>
      </w:pPr>
    </w:p>
    <w:p w14:paraId="31D03225" w14:textId="77777777" w:rsidR="005C2763" w:rsidRPr="007E5C6A" w:rsidRDefault="005C2763" w:rsidP="005C2763">
      <w:pPr>
        <w:spacing w:line="360" w:lineRule="auto"/>
        <w:jc w:val="both"/>
        <w:rPr>
          <w:rFonts w:ascii="David" w:hAnsi="David"/>
          <w:b/>
          <w:bCs/>
          <w:rtl/>
        </w:rPr>
      </w:pPr>
      <w:r w:rsidRPr="007E5C6A">
        <w:rPr>
          <w:rFonts w:ascii="David" w:hAnsi="David"/>
          <w:b/>
          <w:bCs/>
          <w:rtl/>
        </w:rPr>
        <w:t xml:space="preserve">כתב האישום המתוקן </w:t>
      </w:r>
    </w:p>
    <w:p w14:paraId="1B2084CB" w14:textId="77777777" w:rsidR="005C2763" w:rsidRPr="007E5C6A" w:rsidRDefault="005C2763" w:rsidP="005C2763">
      <w:pPr>
        <w:spacing w:line="360" w:lineRule="auto"/>
        <w:jc w:val="both"/>
        <w:rPr>
          <w:rFonts w:ascii="David" w:hAnsi="David"/>
          <w:rtl/>
        </w:rPr>
      </w:pPr>
    </w:p>
    <w:p w14:paraId="499320EF" w14:textId="77777777" w:rsidR="005C2763" w:rsidRPr="007E5C6A" w:rsidRDefault="005C2763" w:rsidP="005C2763">
      <w:pPr>
        <w:numPr>
          <w:ilvl w:val="0"/>
          <w:numId w:val="1"/>
        </w:numPr>
        <w:spacing w:line="360" w:lineRule="auto"/>
        <w:contextualSpacing/>
        <w:jc w:val="both"/>
        <w:rPr>
          <w:rFonts w:ascii="David" w:hAnsi="David"/>
          <w:rtl/>
        </w:rPr>
      </w:pPr>
      <w:bookmarkStart w:id="5" w:name="ABSTRACT_START"/>
      <w:bookmarkEnd w:id="5"/>
      <w:r w:rsidRPr="007E5C6A">
        <w:rPr>
          <w:rFonts w:ascii="David" w:hAnsi="David"/>
          <w:rtl/>
        </w:rPr>
        <w:t xml:space="preserve">הנאשמים הורשעו על פי הודאתם בכתב אישום מתוקן במסגרת הסדר טיעון שלא כלל הסכמה לעניין העונש, כל אחד בעבירות כלהלן: </w:t>
      </w:r>
    </w:p>
    <w:p w14:paraId="2C634BB7" w14:textId="77777777" w:rsidR="005C2763" w:rsidRPr="007E5C6A" w:rsidRDefault="005C2763" w:rsidP="005C2763">
      <w:pPr>
        <w:spacing w:line="360" w:lineRule="auto"/>
        <w:contextualSpacing/>
        <w:jc w:val="both"/>
        <w:rPr>
          <w:b/>
          <w:bCs/>
        </w:rPr>
      </w:pPr>
    </w:p>
    <w:p w14:paraId="785C6B9E" w14:textId="77777777" w:rsidR="005C2763" w:rsidRPr="007E5C6A" w:rsidRDefault="005C2763" w:rsidP="005C2763">
      <w:pPr>
        <w:spacing w:line="360" w:lineRule="auto"/>
        <w:ind w:firstLine="567"/>
        <w:contextualSpacing/>
        <w:jc w:val="both"/>
        <w:rPr>
          <w:b/>
          <w:bCs/>
          <w:rtl/>
        </w:rPr>
      </w:pPr>
      <w:r w:rsidRPr="007E5C6A">
        <w:rPr>
          <w:b/>
          <w:bCs/>
          <w:rtl/>
        </w:rPr>
        <w:t>הנאשם 1</w:t>
      </w:r>
      <w:r w:rsidRPr="007E5C6A">
        <w:rPr>
          <w:rtl/>
        </w:rPr>
        <w:t xml:space="preserve"> הורשע בעבירות הבאות: עבירות בנשק (החזקה, נשיאה והובלה) לפי </w:t>
      </w:r>
      <w:r w:rsidR="003201D6" w:rsidRPr="003201D6">
        <w:rPr>
          <w:rtl/>
        </w:rPr>
        <w:t xml:space="preserve">סעיף </w:t>
      </w:r>
      <w:hyperlink r:id="rId26" w:history="1">
        <w:r w:rsidR="003201D6" w:rsidRPr="003201D6">
          <w:rPr>
            <w:rStyle w:val="Hyperlink"/>
            <w:rtl/>
          </w:rPr>
          <w:t>144(א)</w:t>
        </w:r>
      </w:hyperlink>
      <w:r w:rsidRPr="007E5C6A">
        <w:rPr>
          <w:rtl/>
        </w:rPr>
        <w:t xml:space="preserve"> רישא וסיפא + (</w:t>
      </w:r>
      <w:hyperlink r:id="rId27" w:history="1">
        <w:r w:rsidR="003201D6" w:rsidRPr="003201D6">
          <w:rPr>
            <w:rStyle w:val="Hyperlink"/>
            <w:rtl/>
          </w:rPr>
          <w:t>ב</w:t>
        </w:r>
      </w:hyperlink>
      <w:r w:rsidRPr="007E5C6A">
        <w:rPr>
          <w:rtl/>
        </w:rPr>
        <w:t>) רישא וסיפא ל</w:t>
      </w:r>
      <w:hyperlink r:id="rId28" w:history="1">
        <w:r w:rsidR="008B3A91" w:rsidRPr="008B3A91">
          <w:rPr>
            <w:color w:val="0000FF"/>
            <w:u w:val="single"/>
            <w:rtl/>
          </w:rPr>
          <w:t>חוק העונשין</w:t>
        </w:r>
      </w:hyperlink>
      <w:r w:rsidRPr="007E5C6A">
        <w:rPr>
          <w:rtl/>
        </w:rPr>
        <w:t xml:space="preserve">, התשל"ז-1977 (להלן: </w:t>
      </w:r>
      <w:r w:rsidRPr="007E5C6A">
        <w:rPr>
          <w:b/>
          <w:bCs/>
          <w:rtl/>
        </w:rPr>
        <w:t>חוק העונשין</w:t>
      </w:r>
      <w:r w:rsidRPr="007E5C6A">
        <w:rPr>
          <w:rtl/>
        </w:rPr>
        <w:t xml:space="preserve">); סיוע לעבירות בנשק (החזקה, נשיאה והובלה) לפי </w:t>
      </w:r>
      <w:hyperlink r:id="rId29" w:history="1">
        <w:r w:rsidR="003201D6" w:rsidRPr="003201D6">
          <w:rPr>
            <w:rStyle w:val="Hyperlink"/>
            <w:rtl/>
          </w:rPr>
          <w:t>סעיף 144(א)</w:t>
        </w:r>
      </w:hyperlink>
      <w:r w:rsidRPr="007E5C6A">
        <w:rPr>
          <w:rtl/>
        </w:rPr>
        <w:t xml:space="preserve"> רישא + (</w:t>
      </w:r>
      <w:hyperlink r:id="rId30" w:history="1">
        <w:r w:rsidR="003201D6" w:rsidRPr="003201D6">
          <w:rPr>
            <w:rStyle w:val="Hyperlink"/>
            <w:rtl/>
          </w:rPr>
          <w:t>ב</w:t>
        </w:r>
      </w:hyperlink>
      <w:r w:rsidRPr="007E5C6A">
        <w:rPr>
          <w:rtl/>
        </w:rPr>
        <w:t xml:space="preserve">) רישא בשילוב </w:t>
      </w:r>
      <w:hyperlink r:id="rId31" w:history="1">
        <w:r w:rsidR="003201D6" w:rsidRPr="003201D6">
          <w:rPr>
            <w:rStyle w:val="Hyperlink"/>
            <w:rtl/>
          </w:rPr>
          <w:t>סעיף 31</w:t>
        </w:r>
      </w:hyperlink>
      <w:r w:rsidRPr="007E5C6A">
        <w:rPr>
          <w:rtl/>
        </w:rPr>
        <w:t xml:space="preserve"> לחוק העונשין; והפרעה לשוטר לפי </w:t>
      </w:r>
      <w:hyperlink r:id="rId32" w:history="1">
        <w:r w:rsidR="003201D6" w:rsidRPr="003201D6">
          <w:rPr>
            <w:rStyle w:val="Hyperlink"/>
            <w:rtl/>
          </w:rPr>
          <w:t>סעיף 275</w:t>
        </w:r>
      </w:hyperlink>
      <w:r w:rsidRPr="007E5C6A">
        <w:rPr>
          <w:rtl/>
        </w:rPr>
        <w:t xml:space="preserve"> לחוק העונשין. </w:t>
      </w:r>
    </w:p>
    <w:p w14:paraId="0C9978D3" w14:textId="77777777" w:rsidR="005C2763" w:rsidRPr="007E5C6A" w:rsidRDefault="005C2763" w:rsidP="005C2763">
      <w:pPr>
        <w:spacing w:line="360" w:lineRule="auto"/>
        <w:ind w:firstLine="567"/>
        <w:contextualSpacing/>
        <w:jc w:val="both"/>
        <w:rPr>
          <w:b/>
          <w:bCs/>
          <w:rtl/>
        </w:rPr>
      </w:pPr>
      <w:bookmarkStart w:id="6" w:name="ABSTRACT_END"/>
      <w:bookmarkEnd w:id="6"/>
    </w:p>
    <w:p w14:paraId="76BCE3D5" w14:textId="77777777" w:rsidR="005C2763" w:rsidRPr="007E5C6A" w:rsidRDefault="005C2763" w:rsidP="005C2763">
      <w:pPr>
        <w:spacing w:line="360" w:lineRule="auto"/>
        <w:ind w:firstLine="567"/>
        <w:contextualSpacing/>
        <w:jc w:val="both"/>
        <w:rPr>
          <w:b/>
          <w:bCs/>
          <w:rtl/>
        </w:rPr>
      </w:pPr>
      <w:r w:rsidRPr="007E5C6A">
        <w:rPr>
          <w:b/>
          <w:bCs/>
          <w:rtl/>
        </w:rPr>
        <w:lastRenderedPageBreak/>
        <w:t xml:space="preserve">הנאשם 2 </w:t>
      </w:r>
      <w:r w:rsidRPr="007E5C6A">
        <w:rPr>
          <w:rtl/>
        </w:rPr>
        <w:t xml:space="preserve">הורשע בעבירות הבאות: סיוע לעבירות בנשק (החזקה, נשיאה והובלה) לפי </w:t>
      </w:r>
      <w:hyperlink r:id="rId33" w:history="1">
        <w:r w:rsidR="003201D6" w:rsidRPr="003201D6">
          <w:rPr>
            <w:rStyle w:val="Hyperlink"/>
            <w:rtl/>
          </w:rPr>
          <w:t>סעיף 144(א)</w:t>
        </w:r>
      </w:hyperlink>
      <w:r w:rsidRPr="007E5C6A">
        <w:rPr>
          <w:rtl/>
        </w:rPr>
        <w:t xml:space="preserve"> רישא + (</w:t>
      </w:r>
      <w:hyperlink r:id="rId34" w:history="1">
        <w:r w:rsidR="003201D6" w:rsidRPr="003201D6">
          <w:rPr>
            <w:rStyle w:val="Hyperlink"/>
            <w:rtl/>
          </w:rPr>
          <w:t>ב</w:t>
        </w:r>
      </w:hyperlink>
      <w:r w:rsidRPr="007E5C6A">
        <w:rPr>
          <w:rtl/>
        </w:rPr>
        <w:t xml:space="preserve">) רישא בשילוב </w:t>
      </w:r>
      <w:hyperlink r:id="rId35" w:history="1">
        <w:r w:rsidR="003201D6" w:rsidRPr="003201D6">
          <w:rPr>
            <w:rStyle w:val="Hyperlink"/>
            <w:rtl/>
          </w:rPr>
          <w:t>סעיף 31</w:t>
        </w:r>
      </w:hyperlink>
      <w:r w:rsidRPr="007E5C6A">
        <w:rPr>
          <w:rtl/>
        </w:rPr>
        <w:t xml:space="preserve"> ל</w:t>
      </w:r>
      <w:hyperlink r:id="rId36" w:history="1">
        <w:r w:rsidR="008B3A91" w:rsidRPr="008B3A91">
          <w:rPr>
            <w:color w:val="0000FF"/>
            <w:u w:val="single"/>
            <w:rtl/>
          </w:rPr>
          <w:t>חוק העונשין</w:t>
        </w:r>
      </w:hyperlink>
      <w:r w:rsidRPr="007E5C6A">
        <w:rPr>
          <w:rtl/>
        </w:rPr>
        <w:t xml:space="preserve">; נהיגה בזמן פסילה, עבירה לפי </w:t>
      </w:r>
      <w:hyperlink r:id="rId37" w:history="1">
        <w:r w:rsidR="003201D6" w:rsidRPr="003201D6">
          <w:rPr>
            <w:rStyle w:val="Hyperlink"/>
            <w:rtl/>
          </w:rPr>
          <w:t>סעיף 67</w:t>
        </w:r>
      </w:hyperlink>
      <w:r w:rsidRPr="007E5C6A">
        <w:rPr>
          <w:rtl/>
        </w:rPr>
        <w:t xml:space="preserve"> + </w:t>
      </w:r>
      <w:hyperlink r:id="rId38" w:history="1">
        <w:r w:rsidR="003201D6" w:rsidRPr="003201D6">
          <w:rPr>
            <w:rStyle w:val="Hyperlink"/>
            <w:rtl/>
          </w:rPr>
          <w:t>62(1)</w:t>
        </w:r>
      </w:hyperlink>
      <w:r w:rsidRPr="007E5C6A">
        <w:rPr>
          <w:rtl/>
        </w:rPr>
        <w:t xml:space="preserve"> ל</w:t>
      </w:r>
      <w:hyperlink r:id="rId39" w:history="1">
        <w:r w:rsidR="008B3A91" w:rsidRPr="008B3A91">
          <w:rPr>
            <w:color w:val="0000FF"/>
            <w:u w:val="single"/>
            <w:rtl/>
          </w:rPr>
          <w:t>פקודת התעבורה</w:t>
        </w:r>
      </w:hyperlink>
      <w:r w:rsidRPr="007E5C6A">
        <w:rPr>
          <w:rtl/>
        </w:rPr>
        <w:t xml:space="preserve">, התשכ"א-1961 (להלן: </w:t>
      </w:r>
      <w:r w:rsidRPr="007E5C6A">
        <w:rPr>
          <w:b/>
          <w:bCs/>
          <w:rtl/>
        </w:rPr>
        <w:t>פקודת התעבורה</w:t>
      </w:r>
      <w:r w:rsidRPr="007E5C6A">
        <w:rPr>
          <w:rtl/>
        </w:rPr>
        <w:t xml:space="preserve">); נהיגה ללא תעודת ביטוח בתוקף, עבירה לפי סעיף </w:t>
      </w:r>
      <w:hyperlink r:id="rId40" w:history="1">
        <w:r w:rsidR="003201D6" w:rsidRPr="003201D6">
          <w:rPr>
            <w:rStyle w:val="Hyperlink"/>
            <w:rtl/>
          </w:rPr>
          <w:t>2</w:t>
        </w:r>
      </w:hyperlink>
      <w:r w:rsidRPr="007E5C6A">
        <w:rPr>
          <w:rtl/>
        </w:rPr>
        <w:t xml:space="preserve"> ל</w:t>
      </w:r>
      <w:hyperlink r:id="rId41" w:history="1">
        <w:r w:rsidR="008B3A91" w:rsidRPr="008B3A91">
          <w:rPr>
            <w:color w:val="0000FF"/>
            <w:u w:val="single"/>
            <w:rtl/>
          </w:rPr>
          <w:t>פקודת ביטוח רכב מנועי</w:t>
        </w:r>
      </w:hyperlink>
      <w:r w:rsidRPr="007E5C6A">
        <w:rPr>
          <w:rtl/>
        </w:rPr>
        <w:t xml:space="preserve"> [נוסח חדש], התש"ל-1970 (להלן: </w:t>
      </w:r>
      <w:r w:rsidRPr="007E5C6A">
        <w:rPr>
          <w:b/>
          <w:bCs/>
          <w:rtl/>
        </w:rPr>
        <w:t>פקודת הביטוח</w:t>
      </w:r>
      <w:r w:rsidRPr="007E5C6A">
        <w:rPr>
          <w:rtl/>
        </w:rPr>
        <w:t xml:space="preserve">). </w:t>
      </w:r>
    </w:p>
    <w:p w14:paraId="477D5086" w14:textId="77777777" w:rsidR="005C2763" w:rsidRPr="007E5C6A" w:rsidRDefault="005C2763" w:rsidP="005C2763">
      <w:pPr>
        <w:spacing w:line="360" w:lineRule="auto"/>
        <w:ind w:firstLine="567"/>
        <w:contextualSpacing/>
        <w:jc w:val="both"/>
        <w:rPr>
          <w:b/>
          <w:bCs/>
          <w:rtl/>
        </w:rPr>
      </w:pPr>
    </w:p>
    <w:p w14:paraId="2D86FF1F" w14:textId="77777777" w:rsidR="005C2763" w:rsidRPr="007E5C6A" w:rsidRDefault="005C2763" w:rsidP="005C2763">
      <w:pPr>
        <w:spacing w:line="360" w:lineRule="auto"/>
        <w:ind w:firstLine="567"/>
        <w:contextualSpacing/>
        <w:jc w:val="both"/>
        <w:rPr>
          <w:rtl/>
        </w:rPr>
      </w:pPr>
      <w:r w:rsidRPr="007E5C6A">
        <w:rPr>
          <w:b/>
          <w:bCs/>
          <w:rtl/>
        </w:rPr>
        <w:t>הנאשם 3</w:t>
      </w:r>
      <w:r w:rsidRPr="007E5C6A">
        <w:rPr>
          <w:rtl/>
        </w:rPr>
        <w:t xml:space="preserve"> – הורשע בעבירה של אי מניעת פשע, לפי </w:t>
      </w:r>
      <w:hyperlink r:id="rId42" w:history="1">
        <w:r w:rsidR="003201D6" w:rsidRPr="003201D6">
          <w:rPr>
            <w:rStyle w:val="Hyperlink"/>
            <w:rtl/>
          </w:rPr>
          <w:t>סעיף 262</w:t>
        </w:r>
      </w:hyperlink>
      <w:r w:rsidRPr="007E5C6A">
        <w:rPr>
          <w:rtl/>
        </w:rPr>
        <w:t xml:space="preserve"> ל</w:t>
      </w:r>
      <w:hyperlink r:id="rId43" w:history="1">
        <w:r w:rsidR="008B3A91" w:rsidRPr="008B3A91">
          <w:rPr>
            <w:color w:val="0000FF"/>
            <w:u w:val="single"/>
            <w:rtl/>
          </w:rPr>
          <w:t>חוק העונשין</w:t>
        </w:r>
      </w:hyperlink>
      <w:r w:rsidRPr="007E5C6A">
        <w:rPr>
          <w:rtl/>
        </w:rPr>
        <w:t>.</w:t>
      </w:r>
    </w:p>
    <w:p w14:paraId="2EF604F4" w14:textId="77777777" w:rsidR="005C2763" w:rsidRPr="007E5C6A" w:rsidRDefault="005C2763" w:rsidP="005C2763">
      <w:pPr>
        <w:spacing w:line="360" w:lineRule="auto"/>
        <w:ind w:firstLine="567"/>
        <w:contextualSpacing/>
        <w:jc w:val="both"/>
        <w:rPr>
          <w:rtl/>
        </w:rPr>
      </w:pPr>
    </w:p>
    <w:p w14:paraId="2F28E36D"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בפתח כתב האישום המתוקן צוין כי בי</w:t>
      </w:r>
      <w:r>
        <w:rPr>
          <w:rFonts w:ascii="David" w:hAnsi="David"/>
          <w:rtl/>
        </w:rPr>
        <w:t xml:space="preserve">ן הנאשמים קיימת היכרות מוקדמת, </w:t>
      </w:r>
      <w:r w:rsidRPr="007E5C6A">
        <w:rPr>
          <w:rFonts w:ascii="David" w:hAnsi="David"/>
          <w:rtl/>
        </w:rPr>
        <w:t xml:space="preserve">כי ביום 14.3.2022 נפסל רישיון הנהיגה של הנאשם 2 על ידי מנהל ברשות הרישוי למשך 3 חודשים עד ליום 14.6.2022, וכי ביום 14.3.2022 הודע לנאשם 2 על תקופת הפסילה והוא הפקיד את רישיונו באותו מועד. </w:t>
      </w:r>
    </w:p>
    <w:p w14:paraId="4EA99DD2" w14:textId="77777777" w:rsidR="005C2763" w:rsidRPr="007E5C6A" w:rsidRDefault="005C2763" w:rsidP="005C2763">
      <w:pPr>
        <w:spacing w:line="360" w:lineRule="auto"/>
        <w:contextualSpacing/>
        <w:jc w:val="both"/>
        <w:rPr>
          <w:rFonts w:ascii="David" w:hAnsi="David"/>
        </w:rPr>
      </w:pPr>
    </w:p>
    <w:p w14:paraId="5C18573B" w14:textId="77777777" w:rsidR="005C2763" w:rsidRPr="007E5C6A" w:rsidRDefault="005C2763" w:rsidP="005C2763">
      <w:pPr>
        <w:spacing w:line="360" w:lineRule="auto"/>
        <w:ind w:firstLine="567"/>
        <w:contextualSpacing/>
        <w:jc w:val="both"/>
        <w:rPr>
          <w:rFonts w:ascii="David" w:hAnsi="David"/>
        </w:rPr>
      </w:pPr>
      <w:r w:rsidRPr="007E5C6A">
        <w:rPr>
          <w:rFonts w:ascii="David" w:hAnsi="David"/>
          <w:rtl/>
        </w:rPr>
        <w:t>עוד צוין בפתח כתב האישום כי ביום 23.3.2022 בשעה 19:30 או סמוך לכך, בוצע ירי לעבר בית משפחת מלחם בכפר ג'דיידה-מכר מרכב טויוטה בצבע לבן. בעקבות אירוע הירי, ביום 23.3.2022 סמוך לשעה 23:00, במהלך פעילות משטרתית יזומה בכפר נסעו הבלש פ"מ, ושני בלשים נוספים בניידת בילוש. מאחורי הניידת נסעה ניידת משטרתית שהובילה צוות שוטרי יס"מ בפיקודו של השוטר ש'.</w:t>
      </w:r>
    </w:p>
    <w:p w14:paraId="2CD75963" w14:textId="77777777" w:rsidR="005C2763" w:rsidRDefault="005C2763" w:rsidP="005C2763">
      <w:pPr>
        <w:spacing w:line="360" w:lineRule="auto"/>
        <w:ind w:firstLine="567"/>
        <w:contextualSpacing/>
        <w:jc w:val="both"/>
        <w:rPr>
          <w:rFonts w:ascii="David" w:hAnsi="David"/>
          <w:rtl/>
        </w:rPr>
      </w:pPr>
    </w:p>
    <w:p w14:paraId="5C8CF478" w14:textId="77777777" w:rsidR="005C2763" w:rsidRPr="007E5C6A" w:rsidRDefault="005C2763" w:rsidP="005C2763">
      <w:pPr>
        <w:spacing w:line="360" w:lineRule="auto"/>
        <w:ind w:firstLine="567"/>
        <w:contextualSpacing/>
        <w:jc w:val="both"/>
        <w:rPr>
          <w:rFonts w:ascii="David" w:hAnsi="David"/>
          <w:rtl/>
        </w:rPr>
      </w:pPr>
      <w:r w:rsidRPr="007E5C6A">
        <w:rPr>
          <w:rFonts w:ascii="David" w:hAnsi="David"/>
          <w:rtl/>
        </w:rPr>
        <w:t xml:space="preserve">בהמשך למתואר בפתח כתב האישום, נסעו הנאשמים ברכב מסוג טויוטה קורולה לבנה מ"ר 5608852 (להלן: </w:t>
      </w:r>
      <w:r w:rsidRPr="007E5C6A">
        <w:rPr>
          <w:rFonts w:ascii="David" w:hAnsi="David"/>
          <w:b/>
          <w:bCs/>
          <w:rtl/>
        </w:rPr>
        <w:t>רכב הטויוטה</w:t>
      </w:r>
      <w:r w:rsidRPr="007E5C6A">
        <w:rPr>
          <w:rFonts w:ascii="David" w:hAnsi="David"/>
          <w:rtl/>
        </w:rPr>
        <w:t xml:space="preserve">) שבבעלות סאקר ניג'ם, כאשר הנאשם 2 נהג ברכב הטויוטה למרות שהיה בתקופת פסילה; הנאשם 3 ישב במושב הקדמי שליד הנהג; והנאשם 1 ישב במושב האחורי מימין. </w:t>
      </w:r>
    </w:p>
    <w:p w14:paraId="268B80B4" w14:textId="77777777" w:rsidR="005C2763" w:rsidRPr="007E5C6A" w:rsidRDefault="005C2763" w:rsidP="005C2763">
      <w:pPr>
        <w:spacing w:line="360" w:lineRule="auto"/>
        <w:ind w:left="720"/>
        <w:contextualSpacing/>
        <w:rPr>
          <w:rFonts w:ascii="David" w:hAnsi="David"/>
        </w:rPr>
      </w:pPr>
    </w:p>
    <w:p w14:paraId="50D53C73" w14:textId="77777777" w:rsidR="005C2763" w:rsidRPr="007E5C6A" w:rsidRDefault="005C2763" w:rsidP="005C2763">
      <w:pPr>
        <w:spacing w:line="360" w:lineRule="auto"/>
        <w:ind w:firstLine="567"/>
        <w:contextualSpacing/>
        <w:jc w:val="both"/>
        <w:rPr>
          <w:rFonts w:ascii="David" w:hAnsi="David"/>
          <w:rtl/>
        </w:rPr>
      </w:pPr>
      <w:r w:rsidRPr="007E5C6A">
        <w:rPr>
          <w:rFonts w:ascii="David" w:hAnsi="David"/>
          <w:rtl/>
        </w:rPr>
        <w:t xml:space="preserve">בכתב האישום צוין כי </w:t>
      </w:r>
      <w:r w:rsidRPr="007E5C6A">
        <w:rPr>
          <w:rFonts w:ascii="David" w:hAnsi="David"/>
          <w:b/>
          <w:bCs/>
          <w:rtl/>
        </w:rPr>
        <w:t>הנאשם 1</w:t>
      </w:r>
      <w:r w:rsidRPr="007E5C6A">
        <w:rPr>
          <w:rFonts w:ascii="David" w:hAnsi="David"/>
          <w:rtl/>
        </w:rPr>
        <w:t xml:space="preserve">, שנסע ברכב סייע לאחר שזהותו אינה ידועה למאשימה בהחזקת, נשיאת והובלת רימון הלם </w:t>
      </w:r>
      <w:r w:rsidRPr="007E5C6A">
        <w:rPr>
          <w:rFonts w:ascii="David" w:hAnsi="David"/>
        </w:rPr>
        <w:t xml:space="preserve">M7290 </w:t>
      </w:r>
      <w:r w:rsidRPr="007E5C6A">
        <w:rPr>
          <w:rFonts w:ascii="David" w:hAnsi="David"/>
          <w:rtl/>
        </w:rPr>
        <w:t xml:space="preserve"> שהיה מונח במרכז המושב האחורי ברכב הטויוטה; כמו כן החזיק, נשא והוביל אקדח חצי אוטומטי מסוג גלוק, קליבר 9 מילימטר מספר סידורי 338 </w:t>
      </w:r>
      <w:r w:rsidRPr="007E5C6A">
        <w:rPr>
          <w:rFonts w:ascii="David" w:hAnsi="David"/>
        </w:rPr>
        <w:t>GXB</w:t>
      </w:r>
      <w:r w:rsidRPr="007E5C6A">
        <w:rPr>
          <w:rFonts w:ascii="David" w:hAnsi="David"/>
          <w:rtl/>
        </w:rPr>
        <w:t xml:space="preserve"> (להלן: </w:t>
      </w:r>
      <w:r w:rsidRPr="007E5C6A">
        <w:rPr>
          <w:rFonts w:ascii="David" w:hAnsi="David"/>
          <w:b/>
          <w:bCs/>
          <w:rtl/>
        </w:rPr>
        <w:t>האקדח</w:t>
      </w:r>
      <w:r w:rsidRPr="007E5C6A">
        <w:rPr>
          <w:rFonts w:ascii="David" w:hAnsi="David"/>
          <w:rtl/>
        </w:rPr>
        <w:t xml:space="preserve">) וכן, מחסנית תואמת לאקדח וקופסת כדורים שהכילה 50 כדורים קליבר 9 מילימטר (להלן: </w:t>
      </w:r>
      <w:r w:rsidRPr="007E5C6A">
        <w:rPr>
          <w:rFonts w:ascii="David" w:hAnsi="David"/>
          <w:b/>
          <w:bCs/>
          <w:rtl/>
        </w:rPr>
        <w:t>המחסנית והתחמושת</w:t>
      </w:r>
      <w:r w:rsidRPr="007E5C6A">
        <w:rPr>
          <w:rFonts w:ascii="David" w:hAnsi="David"/>
          <w:rtl/>
        </w:rPr>
        <w:t xml:space="preserve">) זאת בתיק קטן, וכל זאת ללא רשות על פי דין.  </w:t>
      </w:r>
    </w:p>
    <w:p w14:paraId="1F7CF76C" w14:textId="77777777" w:rsidR="005C2763" w:rsidRPr="007E5C6A" w:rsidRDefault="005C2763" w:rsidP="005C2763">
      <w:pPr>
        <w:spacing w:line="360" w:lineRule="auto"/>
        <w:ind w:firstLine="567"/>
        <w:contextualSpacing/>
        <w:jc w:val="both"/>
        <w:rPr>
          <w:rFonts w:ascii="David" w:hAnsi="David"/>
          <w:rtl/>
        </w:rPr>
      </w:pPr>
    </w:p>
    <w:p w14:paraId="182CB670" w14:textId="77777777" w:rsidR="005C2763" w:rsidRPr="007E5C6A" w:rsidRDefault="005C2763" w:rsidP="005C2763">
      <w:pPr>
        <w:spacing w:line="360" w:lineRule="auto"/>
        <w:ind w:firstLine="567"/>
        <w:contextualSpacing/>
        <w:jc w:val="both"/>
        <w:rPr>
          <w:rFonts w:ascii="David" w:hAnsi="David"/>
          <w:rtl/>
        </w:rPr>
      </w:pPr>
      <w:r w:rsidRPr="007E5C6A">
        <w:rPr>
          <w:rFonts w:ascii="David" w:hAnsi="David"/>
          <w:rtl/>
        </w:rPr>
        <w:t xml:space="preserve">לגבי </w:t>
      </w:r>
      <w:r w:rsidRPr="007E5C6A">
        <w:rPr>
          <w:rFonts w:ascii="David" w:hAnsi="David"/>
          <w:b/>
          <w:bCs/>
          <w:rtl/>
        </w:rPr>
        <w:t xml:space="preserve">הנאשם 2 </w:t>
      </w:r>
      <w:r w:rsidRPr="007E5C6A">
        <w:rPr>
          <w:rFonts w:ascii="David" w:hAnsi="David"/>
          <w:rtl/>
        </w:rPr>
        <w:t>צוין כי הוא נסע ברכב כשהוא מסייע לאחר בהחזקת נשיאת והובלת הרימון.</w:t>
      </w:r>
    </w:p>
    <w:p w14:paraId="065FB61E" w14:textId="77777777" w:rsidR="005C2763" w:rsidRPr="007E5C6A" w:rsidRDefault="005C2763" w:rsidP="005C2763">
      <w:pPr>
        <w:spacing w:line="360" w:lineRule="auto"/>
        <w:ind w:left="720"/>
        <w:contextualSpacing/>
        <w:rPr>
          <w:rFonts w:ascii="David" w:hAnsi="David"/>
        </w:rPr>
      </w:pPr>
    </w:p>
    <w:p w14:paraId="20DA3EB1" w14:textId="77777777" w:rsidR="005C2763" w:rsidRPr="007E5C6A" w:rsidRDefault="005C2763" w:rsidP="005C2763">
      <w:pPr>
        <w:spacing w:line="360" w:lineRule="auto"/>
        <w:ind w:firstLine="567"/>
        <w:contextualSpacing/>
        <w:jc w:val="both"/>
        <w:rPr>
          <w:rFonts w:ascii="David" w:hAnsi="David"/>
          <w:rtl/>
        </w:rPr>
      </w:pPr>
      <w:r w:rsidRPr="007E5C6A">
        <w:rPr>
          <w:rFonts w:ascii="David" w:hAnsi="David"/>
          <w:rtl/>
        </w:rPr>
        <w:t>בכתב האישום צוין כי הרימון הוא כלי נשק שבכוחו להזיק לאדם בעת פעולתו ואילו האקדח הוא כלי נשק שסוגל לירות כדור ובכוחו להמית אדם;</w:t>
      </w:r>
      <w:r w:rsidRPr="007E5C6A">
        <w:rPr>
          <w:rFonts w:ascii="David" w:hAnsi="David"/>
        </w:rPr>
        <w:t xml:space="preserve"> </w:t>
      </w:r>
      <w:r w:rsidRPr="007E5C6A">
        <w:rPr>
          <w:rFonts w:ascii="David" w:hAnsi="David"/>
          <w:rtl/>
        </w:rPr>
        <w:t>המחסנית והתחמושת מהווים אביזרים לתחמושת לנשק כהגדרתם בחוק.</w:t>
      </w:r>
    </w:p>
    <w:p w14:paraId="6FA3E311" w14:textId="77777777" w:rsidR="005C2763" w:rsidRPr="007E5C6A" w:rsidRDefault="005C2763" w:rsidP="005C2763">
      <w:pPr>
        <w:spacing w:line="360" w:lineRule="auto"/>
        <w:ind w:left="720"/>
        <w:contextualSpacing/>
        <w:rPr>
          <w:rFonts w:ascii="David" w:hAnsi="David"/>
        </w:rPr>
      </w:pPr>
    </w:p>
    <w:p w14:paraId="7D4AEA0D" w14:textId="77777777" w:rsidR="005C2763" w:rsidRPr="007E5C6A" w:rsidRDefault="005C2763" w:rsidP="005C2763">
      <w:pPr>
        <w:spacing w:line="360" w:lineRule="auto"/>
        <w:ind w:firstLine="567"/>
        <w:contextualSpacing/>
        <w:jc w:val="both"/>
        <w:rPr>
          <w:rFonts w:ascii="David" w:hAnsi="David"/>
          <w:rtl/>
        </w:rPr>
      </w:pPr>
      <w:r w:rsidRPr="007E5C6A">
        <w:rPr>
          <w:rFonts w:ascii="David" w:hAnsi="David"/>
          <w:rtl/>
        </w:rPr>
        <w:t>עוד צוין בכתב האישום כי ביום המקרה, הבלשים סימנו עם אורות לרכב הטויוטה על מנת לעצור, חסמו את הכביש באמצעות הניידת ועקב כך רכב הטויוטה נעצר. מיד עם עצירת רכב הטויוטה, יצא הנאשם 1 מהרכב דרך הדלת האחורית ימנית במטרה לברוח מהשוטרים. בסמוך לדלת הרכב הנאשם 1 מעד, התיק נשמט מידיו ונפל על הקרקע כשבתוכו האקדח וסמוך אליו נפלו המחסנית והתחמושת. הנאשם 1 ברח בריצה לכיוון צפון. הבלש פ' אשר יצא קודם לכן מהניידת בה נסעו הבלשים קרא לעבר הנאשם 1 "עצור משטרה", אך הנאשם לא נענה להוראתו. השוטר ש' רדף אחרי הנאשם 1 וכעבור 80 מטרים לערך, כאשר הנאשם 1 ניסה לטפס על חומה גבוהה כדי להמשיך בבריחה, עלה בידי השוטר ש' לעצרו.</w:t>
      </w:r>
    </w:p>
    <w:p w14:paraId="3E01DDB3" w14:textId="77777777" w:rsidR="005C2763" w:rsidRPr="007E5C6A" w:rsidRDefault="005C2763" w:rsidP="005C2763">
      <w:pPr>
        <w:spacing w:line="360" w:lineRule="auto"/>
        <w:jc w:val="both"/>
        <w:rPr>
          <w:rFonts w:ascii="David" w:hAnsi="David"/>
          <w:rtl/>
        </w:rPr>
      </w:pPr>
    </w:p>
    <w:p w14:paraId="68A2E1EF" w14:textId="77777777" w:rsidR="005C2763" w:rsidRDefault="005C2763" w:rsidP="005C2763">
      <w:pPr>
        <w:numPr>
          <w:ilvl w:val="0"/>
          <w:numId w:val="1"/>
        </w:numPr>
        <w:spacing w:line="360" w:lineRule="auto"/>
        <w:contextualSpacing/>
        <w:jc w:val="both"/>
        <w:rPr>
          <w:rFonts w:ascii="David" w:hAnsi="David"/>
        </w:rPr>
      </w:pPr>
      <w:r w:rsidRPr="007E5C6A">
        <w:rPr>
          <w:rFonts w:ascii="David" w:hAnsi="David"/>
          <w:rtl/>
        </w:rPr>
        <w:t>הודאת הנאשמים בכתב האישום המתוקן באה לאחר שכפרו בעובדות בכתב האישום והתנהלו שלוש ישיבות לשמיעת ראיות. בתום הישיבה השלישית, הודיעו הצדדים כי הגיעו להסדר טיעון שלא כלל הסכמה לעניין העונש. ביום 9.2.2023 הודו הנאשמים בכתב האישום המתוקן והורשעו. הנאשם 1 הופנה לקבלת תסקיר שירות המבחן, והטיעונים לעונש בעניינו נדחו ליום 12.3.2023. הטיעונים לעונש לגבי הנאשמים 2 ו-3 נשמעו בישיבת יום 22.2.2023.</w:t>
      </w:r>
    </w:p>
    <w:p w14:paraId="4BC279B8" w14:textId="77777777" w:rsidR="005C2763" w:rsidRDefault="005C2763" w:rsidP="005C2763">
      <w:pPr>
        <w:spacing w:line="360" w:lineRule="auto"/>
        <w:contextualSpacing/>
        <w:jc w:val="both"/>
        <w:rPr>
          <w:rFonts w:ascii="David" w:hAnsi="David"/>
        </w:rPr>
      </w:pPr>
    </w:p>
    <w:p w14:paraId="7EC47742" w14:textId="77777777" w:rsidR="005C2763" w:rsidRPr="007E5C6A" w:rsidRDefault="005C2763" w:rsidP="005C2763">
      <w:pPr>
        <w:numPr>
          <w:ilvl w:val="0"/>
          <w:numId w:val="1"/>
        </w:numPr>
        <w:spacing w:line="360" w:lineRule="auto"/>
        <w:contextualSpacing/>
        <w:jc w:val="both"/>
        <w:rPr>
          <w:rFonts w:ascii="David" w:hAnsi="David"/>
          <w:rtl/>
        </w:rPr>
      </w:pPr>
      <w:r>
        <w:rPr>
          <w:rFonts w:ascii="David" w:hAnsi="David" w:hint="cs"/>
          <w:rtl/>
        </w:rPr>
        <w:t xml:space="preserve">מתן גזר הדין לגבי הנאשמים 2 ו-3 נקבע ליום 12.3.2023. ברם, לאחר עיון (בין היתר בהתייחס למחלוקת בין הצדדים לגבי הפעלת מאסר), בטרם גזירת דינו של הנאשם 3 ראיתי לקבל חוות דעת הממונה על עבודות שירות, לפיכך היום לא ניתן גזר דין בעניינו של הנאשם 3 ומתן גזר הדין נדחה למועד אחר. גזר הדין הנוכחי מתייחס אפוא רק לנאשם 2, אשר מעתה ואילך ייקרא </w:t>
      </w:r>
      <w:r>
        <w:rPr>
          <w:rFonts w:ascii="David" w:hAnsi="David"/>
          <w:rtl/>
        </w:rPr>
        <w:t>–</w:t>
      </w:r>
      <w:r>
        <w:rPr>
          <w:rFonts w:ascii="David" w:hAnsi="David" w:hint="cs"/>
          <w:rtl/>
        </w:rPr>
        <w:t xml:space="preserve"> </w:t>
      </w:r>
      <w:r w:rsidRPr="00C56AAA">
        <w:rPr>
          <w:rFonts w:ascii="David" w:hAnsi="David" w:hint="cs"/>
          <w:b/>
          <w:bCs/>
          <w:rtl/>
        </w:rPr>
        <w:t>הנאשם</w:t>
      </w:r>
      <w:r>
        <w:rPr>
          <w:rFonts w:ascii="David" w:hAnsi="David" w:hint="cs"/>
          <w:rtl/>
        </w:rPr>
        <w:t xml:space="preserve">. </w:t>
      </w:r>
    </w:p>
    <w:p w14:paraId="52202300" w14:textId="77777777" w:rsidR="005C2763" w:rsidRPr="007E5C6A" w:rsidRDefault="005C2763" w:rsidP="005C2763">
      <w:pPr>
        <w:spacing w:line="360" w:lineRule="auto"/>
        <w:contextualSpacing/>
        <w:jc w:val="both"/>
        <w:rPr>
          <w:rFonts w:ascii="David" w:hAnsi="David"/>
        </w:rPr>
      </w:pPr>
    </w:p>
    <w:p w14:paraId="35EB92F0" w14:textId="77777777" w:rsidR="005C2763" w:rsidRPr="007E5C6A" w:rsidRDefault="005C2763" w:rsidP="005C2763">
      <w:pPr>
        <w:spacing w:line="360" w:lineRule="auto"/>
        <w:contextualSpacing/>
        <w:jc w:val="both"/>
        <w:rPr>
          <w:rFonts w:ascii="David" w:hAnsi="David"/>
          <w:b/>
          <w:bCs/>
          <w:rtl/>
        </w:rPr>
      </w:pPr>
      <w:r w:rsidRPr="007E5C6A">
        <w:rPr>
          <w:rFonts w:ascii="David" w:hAnsi="David"/>
          <w:b/>
          <w:bCs/>
          <w:rtl/>
        </w:rPr>
        <w:t>ראיות וטיעוני הצדדים לעונש</w:t>
      </w:r>
    </w:p>
    <w:p w14:paraId="2970D628" w14:textId="77777777" w:rsidR="005C2763" w:rsidRPr="007E5C6A" w:rsidRDefault="005C2763" w:rsidP="005C2763">
      <w:pPr>
        <w:spacing w:line="360" w:lineRule="auto"/>
        <w:contextualSpacing/>
        <w:jc w:val="both"/>
        <w:rPr>
          <w:rFonts w:ascii="David" w:hAnsi="David"/>
          <w:rtl/>
        </w:rPr>
      </w:pPr>
    </w:p>
    <w:p w14:paraId="68D4959E" w14:textId="77777777" w:rsidR="005C2763" w:rsidRPr="007E5C6A" w:rsidRDefault="005C2763" w:rsidP="005C2763">
      <w:pPr>
        <w:numPr>
          <w:ilvl w:val="0"/>
          <w:numId w:val="1"/>
        </w:numPr>
        <w:spacing w:line="360" w:lineRule="auto"/>
        <w:contextualSpacing/>
        <w:jc w:val="both"/>
        <w:rPr>
          <w:rFonts w:ascii="David" w:hAnsi="David"/>
        </w:rPr>
      </w:pPr>
      <w:r w:rsidRPr="007E5C6A">
        <w:rPr>
          <w:rFonts w:ascii="David" w:hAnsi="David"/>
          <w:rtl/>
        </w:rPr>
        <w:t xml:space="preserve">המאשימה טענה כי עבירות הנשק נושאות חומרה רבה, והפנתה למדיניות הענישה המחמירה, לתיקון </w:t>
      </w:r>
      <w:hyperlink r:id="rId44" w:history="1">
        <w:r w:rsidR="008B3A91" w:rsidRPr="008B3A91">
          <w:rPr>
            <w:rFonts w:ascii="David" w:hAnsi="David"/>
            <w:color w:val="0000FF"/>
            <w:u w:val="single"/>
            <w:rtl/>
          </w:rPr>
          <w:t>חוק העונשין</w:t>
        </w:r>
      </w:hyperlink>
      <w:r w:rsidRPr="007E5C6A">
        <w:rPr>
          <w:rFonts w:ascii="David" w:hAnsi="David"/>
          <w:rtl/>
        </w:rPr>
        <w:t xml:space="preserve"> הקובע עונשי מינימום בעבירות נשק, ולהנחיות פרקליט המדינה. </w:t>
      </w:r>
    </w:p>
    <w:p w14:paraId="3E7CCD7A" w14:textId="77777777" w:rsidR="005C2763" w:rsidRPr="007E5C6A" w:rsidRDefault="005C2763" w:rsidP="005C2763">
      <w:pPr>
        <w:spacing w:line="360" w:lineRule="auto"/>
        <w:contextualSpacing/>
        <w:jc w:val="both"/>
        <w:rPr>
          <w:rFonts w:ascii="David" w:hAnsi="David"/>
        </w:rPr>
      </w:pPr>
    </w:p>
    <w:p w14:paraId="54E39D8E" w14:textId="77777777" w:rsidR="005C2763" w:rsidRPr="007E5C6A" w:rsidRDefault="005C2763" w:rsidP="005C2763">
      <w:pPr>
        <w:spacing w:line="360" w:lineRule="auto"/>
        <w:ind w:firstLine="567"/>
        <w:contextualSpacing/>
        <w:jc w:val="both"/>
        <w:rPr>
          <w:rFonts w:ascii="David" w:hAnsi="David"/>
          <w:rtl/>
        </w:rPr>
      </w:pPr>
      <w:r w:rsidRPr="007E5C6A">
        <w:rPr>
          <w:rFonts w:ascii="David" w:hAnsi="David"/>
          <w:rtl/>
        </w:rPr>
        <w:t>בהתייחסה לנסיבות ביצוע העבירות, טענה המאשימה כי הנאשם</w:t>
      </w:r>
      <w:r>
        <w:rPr>
          <w:rFonts w:ascii="David" w:hAnsi="David" w:hint="cs"/>
          <w:rtl/>
        </w:rPr>
        <w:t xml:space="preserve"> </w:t>
      </w:r>
      <w:r w:rsidRPr="007E5C6A">
        <w:rPr>
          <w:rFonts w:ascii="David" w:hAnsi="David"/>
          <w:rtl/>
        </w:rPr>
        <w:t>הינו בגיר</w:t>
      </w:r>
      <w:r w:rsidRPr="007E5C6A">
        <w:rPr>
          <w:rFonts w:ascii="David" w:hAnsi="David"/>
        </w:rPr>
        <w:t xml:space="preserve"> </w:t>
      </w:r>
      <w:r w:rsidRPr="007E5C6A">
        <w:rPr>
          <w:rFonts w:ascii="David" w:hAnsi="David"/>
          <w:rtl/>
        </w:rPr>
        <w:t xml:space="preserve">והיה מודע היטב למעשיו; הפנתה לפוטנציאל הנזק בעבירות נשק, ובכלל זאת טענה כי רימון הלם יכול לגרום לפגיעה בחיי אדם; כן טענה כי הנאשם נסע ברכב שבבעלות אחרים בשעת לילה מאוחרת, וכי מעשיו באו לכדי סיום רק בהתערבותם של כוחות הביטחון. </w:t>
      </w:r>
    </w:p>
    <w:p w14:paraId="3B20416E" w14:textId="77777777" w:rsidR="005C2763" w:rsidRPr="007E5C6A" w:rsidRDefault="005C2763" w:rsidP="005C2763">
      <w:pPr>
        <w:spacing w:line="360" w:lineRule="auto"/>
        <w:ind w:firstLine="567"/>
        <w:contextualSpacing/>
        <w:jc w:val="both"/>
        <w:rPr>
          <w:rFonts w:ascii="David" w:hAnsi="David"/>
          <w:rtl/>
        </w:rPr>
      </w:pPr>
    </w:p>
    <w:p w14:paraId="5F7AE191" w14:textId="77777777" w:rsidR="005C2763" w:rsidRPr="007E5C6A" w:rsidRDefault="005C2763" w:rsidP="005C2763">
      <w:pPr>
        <w:spacing w:line="360" w:lineRule="auto"/>
        <w:ind w:firstLine="567"/>
        <w:contextualSpacing/>
        <w:jc w:val="both"/>
        <w:rPr>
          <w:rFonts w:ascii="David" w:hAnsi="David"/>
          <w:rtl/>
        </w:rPr>
      </w:pPr>
      <w:r w:rsidRPr="007E5C6A">
        <w:rPr>
          <w:rFonts w:ascii="David" w:hAnsi="David"/>
          <w:rtl/>
        </w:rPr>
        <w:t xml:space="preserve">נטען כי מתחם העונש ההולם נע בין 12 ל-24 חודשי מאסר בפועל, וזאת בהתייחס גם לעבירות הנשק וגם לעבירות התעבורה בהן הורשע, תוך הפנייה לפסיקה. כן נטען כי המתחם צריך לכלול גם מאסר על תנאי, קנס והתחייבות. </w:t>
      </w:r>
    </w:p>
    <w:p w14:paraId="082C51E5" w14:textId="77777777" w:rsidR="005C2763" w:rsidRPr="007E5C6A" w:rsidRDefault="005C2763" w:rsidP="005C2763">
      <w:pPr>
        <w:spacing w:line="360" w:lineRule="auto"/>
        <w:ind w:firstLine="567"/>
        <w:contextualSpacing/>
        <w:jc w:val="both"/>
        <w:rPr>
          <w:rFonts w:ascii="David" w:hAnsi="David"/>
          <w:rtl/>
        </w:rPr>
      </w:pPr>
    </w:p>
    <w:p w14:paraId="274E65FB" w14:textId="77777777" w:rsidR="005C2763" w:rsidRDefault="005C2763" w:rsidP="005C2763">
      <w:pPr>
        <w:spacing w:line="360" w:lineRule="auto"/>
        <w:ind w:firstLine="567"/>
        <w:contextualSpacing/>
        <w:jc w:val="both"/>
        <w:rPr>
          <w:rFonts w:ascii="David" w:hAnsi="David"/>
          <w:rtl/>
        </w:rPr>
      </w:pPr>
      <w:r w:rsidRPr="007E5C6A">
        <w:rPr>
          <w:rFonts w:ascii="David" w:hAnsi="David"/>
          <w:rtl/>
        </w:rPr>
        <w:t>אשר לגזירת העונש בתוך המתחם – הפנתה המאשימה ל-2 הרשעותיו הקודמות של הנאשם, שכללו ריצוי עונש מאסר בפועל, וכן לעברו התעבורתי הכולל 7 הרשעות קודמות, 3 מתוכן בעבירה של נהיגה ללא רישיון נהיגה בתוקף, והרשעה אחת בעבירה של נהיגה בזמן פסילה. נוסף לכך הפנת</w:t>
      </w:r>
      <w:r>
        <w:rPr>
          <w:rFonts w:ascii="David" w:hAnsi="David"/>
          <w:rtl/>
        </w:rPr>
        <w:t xml:space="preserve">ה המאשימה לכך שהנאשם הודה, וכי </w:t>
      </w:r>
      <w:r w:rsidRPr="007E5C6A">
        <w:rPr>
          <w:rFonts w:ascii="David" w:hAnsi="David"/>
          <w:rtl/>
        </w:rPr>
        <w:t xml:space="preserve">היה עצור מיום 23.3.2022  עד ליום 14.6.2022, לאחר מכן היה עצור בפיקוח אלקטרוני, אך שב למעצר מיוזמתו ביום 25.8.2022, ושוחרר לחלופת מעצר ביום 27.10.2022. </w:t>
      </w:r>
    </w:p>
    <w:p w14:paraId="05AB12F9" w14:textId="77777777" w:rsidR="005C2763" w:rsidRDefault="005C2763" w:rsidP="005C2763">
      <w:pPr>
        <w:spacing w:line="360" w:lineRule="auto"/>
        <w:ind w:firstLine="567"/>
        <w:contextualSpacing/>
        <w:jc w:val="both"/>
        <w:rPr>
          <w:rFonts w:ascii="David" w:hAnsi="David"/>
          <w:rtl/>
        </w:rPr>
      </w:pPr>
    </w:p>
    <w:p w14:paraId="0F038432" w14:textId="77777777" w:rsidR="005C2763" w:rsidRDefault="005C2763" w:rsidP="005C2763">
      <w:pPr>
        <w:spacing w:line="360" w:lineRule="auto"/>
        <w:ind w:firstLine="567"/>
        <w:contextualSpacing/>
        <w:jc w:val="both"/>
        <w:rPr>
          <w:rFonts w:ascii="David" w:hAnsi="David"/>
          <w:rtl/>
        </w:rPr>
      </w:pPr>
      <w:r>
        <w:rPr>
          <w:rFonts w:ascii="David" w:hAnsi="David" w:hint="cs"/>
          <w:rtl/>
        </w:rPr>
        <w:t xml:space="preserve">המאשימה טענה כי נגד הנאשם תלוי ועומד </w:t>
      </w:r>
      <w:r w:rsidRPr="002D1F1A">
        <w:rPr>
          <w:rFonts w:ascii="David" w:hAnsi="David"/>
          <w:rtl/>
        </w:rPr>
        <w:t xml:space="preserve">מאסר על תנאי בן 7 חודשים </w:t>
      </w:r>
      <w:r>
        <w:rPr>
          <w:rFonts w:ascii="David" w:hAnsi="David" w:hint="cs"/>
          <w:rtl/>
        </w:rPr>
        <w:t xml:space="preserve">בגין עבירה של נהיגה בזמן פסילה, אשר הרשעת הנאשם בתיק זה יש בה כדי להפעילו. </w:t>
      </w:r>
    </w:p>
    <w:p w14:paraId="14F32C50" w14:textId="77777777" w:rsidR="005C2763" w:rsidRDefault="005C2763" w:rsidP="005C2763">
      <w:pPr>
        <w:spacing w:line="360" w:lineRule="auto"/>
        <w:ind w:firstLine="567"/>
        <w:contextualSpacing/>
        <w:jc w:val="both"/>
        <w:rPr>
          <w:rFonts w:ascii="David" w:hAnsi="David"/>
          <w:rtl/>
        </w:rPr>
      </w:pPr>
    </w:p>
    <w:p w14:paraId="4FF7AABD" w14:textId="77777777" w:rsidR="005C2763" w:rsidRPr="007E5C6A" w:rsidRDefault="005C2763" w:rsidP="005C2763">
      <w:pPr>
        <w:spacing w:line="360" w:lineRule="auto"/>
        <w:ind w:firstLine="567"/>
        <w:contextualSpacing/>
        <w:jc w:val="both"/>
        <w:rPr>
          <w:rFonts w:ascii="David" w:hAnsi="David"/>
          <w:rtl/>
        </w:rPr>
      </w:pPr>
      <w:r>
        <w:rPr>
          <w:rFonts w:ascii="David" w:hAnsi="David" w:hint="cs"/>
          <w:rtl/>
        </w:rPr>
        <w:t xml:space="preserve">לסיכום, המאשימה טענה כי </w:t>
      </w:r>
      <w:r w:rsidRPr="007E5C6A">
        <w:rPr>
          <w:rFonts w:ascii="David" w:hAnsi="David"/>
          <w:rtl/>
        </w:rPr>
        <w:t xml:space="preserve">יש לגזור את עונשו </w:t>
      </w:r>
      <w:r>
        <w:rPr>
          <w:rFonts w:ascii="David" w:hAnsi="David" w:hint="cs"/>
          <w:rtl/>
        </w:rPr>
        <w:t xml:space="preserve">של הנאשם </w:t>
      </w:r>
      <w:r w:rsidRPr="007E5C6A">
        <w:rPr>
          <w:rFonts w:ascii="David" w:hAnsi="David"/>
          <w:rtl/>
        </w:rPr>
        <w:t xml:space="preserve">באמצע המתחם הנטען, וכן להפעיל את המאסר המותנה במצטבר לעונש שיוטל בתיק זה. לגבי פסילת רישיון הנהיגה נטען כי המתחם נע בין 18 ל-60 חודשי פסילה, ובשים לב לכך שמדובר ב"שחקן חוזר" יש להטיל על הנאשם פסילה ברף העליון של המתחם הנטען. </w:t>
      </w:r>
    </w:p>
    <w:p w14:paraId="6B5DFEE8" w14:textId="77777777" w:rsidR="005C2763" w:rsidRPr="007E5C6A" w:rsidRDefault="005C2763" w:rsidP="005C2763">
      <w:pPr>
        <w:spacing w:line="360" w:lineRule="auto"/>
        <w:ind w:firstLine="567"/>
        <w:contextualSpacing/>
        <w:jc w:val="both"/>
        <w:rPr>
          <w:rFonts w:ascii="David" w:hAnsi="David"/>
          <w:rtl/>
        </w:rPr>
      </w:pPr>
    </w:p>
    <w:p w14:paraId="1008F9DA"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הסנגור טען כי המאשימה מייחסת חומרה לעבירות בהן הורשע הנאשם ומבקשת להחמיר בענישתם בין היתר בהתבסס על תיקון 140 ל</w:t>
      </w:r>
      <w:hyperlink r:id="rId45" w:history="1">
        <w:r w:rsidR="008B3A91" w:rsidRPr="008B3A91">
          <w:rPr>
            <w:rFonts w:ascii="David" w:hAnsi="David"/>
            <w:color w:val="0000FF"/>
            <w:u w:val="single"/>
            <w:rtl/>
          </w:rPr>
          <w:t>חוק העונשין</w:t>
        </w:r>
      </w:hyperlink>
      <w:r w:rsidRPr="007E5C6A">
        <w:rPr>
          <w:rFonts w:ascii="David" w:hAnsi="David"/>
          <w:rtl/>
        </w:rPr>
        <w:t>, אך לטענתו התיקון אינו חל בנסיבות המקרה שכן הנאשם הורשע בעבירת סיוע ולא בעביר</w:t>
      </w:r>
      <w:r>
        <w:rPr>
          <w:rFonts w:ascii="David" w:hAnsi="David" w:hint="cs"/>
          <w:rtl/>
        </w:rPr>
        <w:t>ה</w:t>
      </w:r>
      <w:r>
        <w:rPr>
          <w:rFonts w:ascii="David" w:hAnsi="David"/>
          <w:rtl/>
        </w:rPr>
        <w:t xml:space="preserve"> מוגמר</w:t>
      </w:r>
      <w:r w:rsidRPr="007E5C6A">
        <w:rPr>
          <w:rFonts w:ascii="David" w:hAnsi="David"/>
          <w:rtl/>
        </w:rPr>
        <w:t>ת. לגבי הנחיות פרקליט המדינה</w:t>
      </w:r>
      <w:r>
        <w:rPr>
          <w:rFonts w:ascii="David" w:hAnsi="David" w:hint="cs"/>
          <w:rtl/>
        </w:rPr>
        <w:t>,</w:t>
      </w:r>
      <w:r w:rsidRPr="007E5C6A">
        <w:rPr>
          <w:rFonts w:ascii="David" w:hAnsi="David"/>
          <w:rtl/>
        </w:rPr>
        <w:t xml:space="preserve"> טען הסנגור כי הן לא מחייבות את בית המשפט. </w:t>
      </w:r>
    </w:p>
    <w:p w14:paraId="4365E581" w14:textId="77777777" w:rsidR="005C2763" w:rsidRPr="007E5C6A" w:rsidRDefault="005C2763" w:rsidP="005C2763">
      <w:pPr>
        <w:spacing w:line="360" w:lineRule="auto"/>
        <w:jc w:val="both"/>
        <w:rPr>
          <w:rFonts w:ascii="David" w:hAnsi="David"/>
        </w:rPr>
      </w:pPr>
    </w:p>
    <w:p w14:paraId="37226061" w14:textId="77777777" w:rsidR="005C2763" w:rsidRPr="007E5C6A" w:rsidRDefault="005C2763" w:rsidP="005C2763">
      <w:pPr>
        <w:spacing w:line="360" w:lineRule="auto"/>
        <w:ind w:firstLine="567"/>
        <w:jc w:val="both"/>
        <w:rPr>
          <w:rFonts w:ascii="David" w:hAnsi="David"/>
          <w:rtl/>
        </w:rPr>
      </w:pPr>
      <w:r w:rsidRPr="007E5C6A">
        <w:rPr>
          <w:rFonts w:ascii="David" w:hAnsi="David"/>
          <w:rtl/>
        </w:rPr>
        <w:t xml:space="preserve">אשר לנסיבות המקרה – הסנגור הדגיש כי הנאשם הורשע בסיוע לנשיאת והובלת רימון הלם </w:t>
      </w:r>
      <w:r>
        <w:rPr>
          <w:rFonts w:ascii="David" w:hAnsi="David" w:hint="cs"/>
          <w:rtl/>
        </w:rPr>
        <w:t>להבדיל מ</w:t>
      </w:r>
      <w:r w:rsidRPr="007E5C6A">
        <w:rPr>
          <w:rFonts w:ascii="David" w:hAnsi="David"/>
          <w:rtl/>
        </w:rPr>
        <w:t xml:space="preserve">נשק "רגיל". כן ציין כי לביצוע העבירות לא קדם תכנון. הסנגור הפנה לתיקון המשמעותי בכתב האישום על רקע הקשיים הראייתיים הקיימים בתיק. נטען כי חומרת העבירות היא ברף התחתון של עבירות הנשק. הסנגור טען כי הנאשם נסע ברכב שאינו שייך לו, והוסיף כי </w:t>
      </w:r>
      <w:r>
        <w:rPr>
          <w:rFonts w:ascii="David" w:hAnsi="David" w:hint="cs"/>
          <w:rtl/>
        </w:rPr>
        <w:t xml:space="preserve">לדבריו </w:t>
      </w:r>
      <w:r w:rsidRPr="007E5C6A">
        <w:rPr>
          <w:rFonts w:ascii="David" w:hAnsi="David"/>
          <w:rtl/>
        </w:rPr>
        <w:t>לא הייתה מודעות לגבי רימון ההלם. נטען כי לא נגרם כל נזק כתוצאה ממעשי</w:t>
      </w:r>
      <w:r>
        <w:rPr>
          <w:rFonts w:ascii="David" w:hAnsi="David" w:hint="cs"/>
          <w:rtl/>
        </w:rPr>
        <w:t>ו</w:t>
      </w:r>
      <w:r w:rsidRPr="007E5C6A">
        <w:rPr>
          <w:rFonts w:ascii="David" w:hAnsi="David"/>
          <w:rtl/>
        </w:rPr>
        <w:t xml:space="preserve"> של הנאשם, שכן לא נעשה שימוש ברימון ההלם. כן הוסיף </w:t>
      </w:r>
      <w:r>
        <w:rPr>
          <w:rFonts w:ascii="David" w:hAnsi="David" w:hint="cs"/>
          <w:rtl/>
        </w:rPr>
        <w:t xml:space="preserve">הסנגור כי </w:t>
      </w:r>
      <w:r w:rsidRPr="007E5C6A">
        <w:rPr>
          <w:rFonts w:ascii="David" w:hAnsi="David"/>
          <w:rtl/>
        </w:rPr>
        <w:t>הנאשם לא ניס</w:t>
      </w:r>
      <w:r>
        <w:rPr>
          <w:rFonts w:ascii="David" w:hAnsi="David" w:hint="cs"/>
          <w:rtl/>
        </w:rPr>
        <w:t>ה</w:t>
      </w:r>
      <w:r w:rsidRPr="007E5C6A">
        <w:rPr>
          <w:rFonts w:ascii="David" w:hAnsi="David"/>
          <w:rtl/>
        </w:rPr>
        <w:t xml:space="preserve"> להתנגד למעצר</w:t>
      </w:r>
      <w:r>
        <w:rPr>
          <w:rFonts w:ascii="David" w:hAnsi="David" w:hint="cs"/>
          <w:rtl/>
        </w:rPr>
        <w:t>ו</w:t>
      </w:r>
      <w:r w:rsidRPr="007E5C6A">
        <w:rPr>
          <w:rFonts w:ascii="David" w:hAnsi="David"/>
          <w:rtl/>
        </w:rPr>
        <w:t>.</w:t>
      </w:r>
    </w:p>
    <w:p w14:paraId="3CD82CE6" w14:textId="77777777" w:rsidR="005C2763" w:rsidRPr="007E5C6A" w:rsidRDefault="005C2763" w:rsidP="005C2763">
      <w:pPr>
        <w:spacing w:line="360" w:lineRule="auto"/>
        <w:jc w:val="both"/>
        <w:rPr>
          <w:rFonts w:ascii="David" w:hAnsi="David"/>
          <w:rtl/>
        </w:rPr>
      </w:pPr>
    </w:p>
    <w:p w14:paraId="4C3F4E38" w14:textId="77777777" w:rsidR="005C2763" w:rsidRPr="007E5C6A" w:rsidRDefault="005C2763" w:rsidP="005C2763">
      <w:pPr>
        <w:spacing w:line="360" w:lineRule="auto"/>
        <w:ind w:firstLine="567"/>
        <w:jc w:val="both"/>
        <w:rPr>
          <w:rFonts w:ascii="David" w:hAnsi="David"/>
          <w:rtl/>
        </w:rPr>
      </w:pPr>
      <w:r w:rsidRPr="007E5C6A">
        <w:rPr>
          <w:rFonts w:ascii="David" w:hAnsi="David"/>
          <w:rtl/>
        </w:rPr>
        <w:t>לגבי מתחם העונש ההולם – נטען כי המתחם נע בין מאסר על תנאי ל-6 חודשי מאסר. לגבי המאסר המותנה</w:t>
      </w:r>
      <w:r>
        <w:rPr>
          <w:rFonts w:ascii="David" w:hAnsi="David" w:hint="cs"/>
          <w:rtl/>
        </w:rPr>
        <w:t xml:space="preserve">, לשיטת הסנגור </w:t>
      </w:r>
      <w:r w:rsidRPr="007E5C6A">
        <w:rPr>
          <w:rFonts w:ascii="David" w:hAnsi="David"/>
          <w:rtl/>
        </w:rPr>
        <w:t>לא ניתן להפעיל את התנאי</w:t>
      </w:r>
      <w:r>
        <w:rPr>
          <w:rFonts w:ascii="David" w:hAnsi="David" w:hint="cs"/>
          <w:rtl/>
        </w:rPr>
        <w:t xml:space="preserve"> ולעניין זה טען מספר טענות אליהן אתייחס בפרק הרלוונטי, ולחילופין יש להפעילו בחופף לעונש שיוטל בתיק זה. </w:t>
      </w:r>
    </w:p>
    <w:p w14:paraId="33A88BF1" w14:textId="77777777" w:rsidR="005C2763" w:rsidRPr="007E5C6A" w:rsidRDefault="005C2763" w:rsidP="005C2763">
      <w:pPr>
        <w:spacing w:line="360" w:lineRule="auto"/>
        <w:jc w:val="both"/>
        <w:rPr>
          <w:rFonts w:ascii="David" w:hAnsi="David"/>
          <w:rtl/>
        </w:rPr>
      </w:pPr>
    </w:p>
    <w:p w14:paraId="640D6EF8" w14:textId="77777777" w:rsidR="005C2763" w:rsidRPr="007E5C6A" w:rsidRDefault="005C2763" w:rsidP="005C2763">
      <w:pPr>
        <w:spacing w:line="360" w:lineRule="auto"/>
        <w:ind w:firstLine="567"/>
        <w:jc w:val="both"/>
        <w:rPr>
          <w:rFonts w:ascii="David" w:hAnsi="David"/>
          <w:rtl/>
        </w:rPr>
      </w:pPr>
      <w:r w:rsidRPr="007E5C6A">
        <w:rPr>
          <w:rFonts w:ascii="David" w:hAnsi="David"/>
          <w:rtl/>
        </w:rPr>
        <w:t>אשר לנסיבות שאינן קשורות לביצוע העבירות, נטען כי</w:t>
      </w:r>
      <w:r>
        <w:rPr>
          <w:rFonts w:ascii="David" w:hAnsi="David" w:hint="cs"/>
          <w:rtl/>
        </w:rPr>
        <w:t xml:space="preserve"> </w:t>
      </w:r>
      <w:r w:rsidRPr="007E5C6A">
        <w:rPr>
          <w:rFonts w:ascii="David" w:hAnsi="David"/>
          <w:rtl/>
        </w:rPr>
        <w:t xml:space="preserve">הנאשם בן 30, נשוי ובעל משפחה, עובד ומשתדל לחזור לחיים נורמטיביים. </w:t>
      </w:r>
    </w:p>
    <w:p w14:paraId="726718CD" w14:textId="77777777" w:rsidR="005C2763" w:rsidRPr="007E5C6A" w:rsidRDefault="005C2763" w:rsidP="005C2763">
      <w:pPr>
        <w:spacing w:line="360" w:lineRule="auto"/>
        <w:jc w:val="both"/>
        <w:rPr>
          <w:rFonts w:ascii="David" w:hAnsi="David"/>
          <w:rtl/>
        </w:rPr>
      </w:pPr>
    </w:p>
    <w:p w14:paraId="782F6236"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בדברו של הנאשם לפניי הוא ציין כי הוא נשוי, יש לו 2 ילדים, ביקש שתינתן לו הזדמנות נוספת, ציין שעסוק בביתו ובעבודתו ואמר שזו הפעם האחרונה.</w:t>
      </w:r>
    </w:p>
    <w:p w14:paraId="4CD7A7A1" w14:textId="77777777" w:rsidR="005C2763" w:rsidRPr="007E5C6A" w:rsidRDefault="005C2763" w:rsidP="005C2763">
      <w:pPr>
        <w:spacing w:line="360" w:lineRule="auto"/>
        <w:contextualSpacing/>
        <w:jc w:val="both"/>
        <w:rPr>
          <w:rFonts w:ascii="David" w:hAnsi="David"/>
        </w:rPr>
      </w:pPr>
    </w:p>
    <w:p w14:paraId="0846A8A1" w14:textId="77777777" w:rsidR="005C2763" w:rsidRPr="007E5C6A" w:rsidRDefault="005C2763" w:rsidP="005C2763">
      <w:pPr>
        <w:spacing w:line="360" w:lineRule="auto"/>
        <w:contextualSpacing/>
        <w:jc w:val="both"/>
        <w:rPr>
          <w:rFonts w:ascii="David" w:hAnsi="David"/>
        </w:rPr>
      </w:pPr>
      <w:r w:rsidRPr="007E5C6A">
        <w:rPr>
          <w:rFonts w:ascii="David" w:hAnsi="David"/>
          <w:b/>
          <w:bCs/>
          <w:rtl/>
        </w:rPr>
        <w:t>מתחם העונש ההולם</w:t>
      </w:r>
    </w:p>
    <w:p w14:paraId="19BFD380" w14:textId="77777777" w:rsidR="005C2763" w:rsidRPr="007E5C6A" w:rsidRDefault="005C2763" w:rsidP="005C2763">
      <w:pPr>
        <w:spacing w:line="360" w:lineRule="auto"/>
        <w:contextualSpacing/>
        <w:jc w:val="both"/>
        <w:rPr>
          <w:rFonts w:ascii="David" w:hAnsi="David"/>
        </w:rPr>
      </w:pPr>
    </w:p>
    <w:p w14:paraId="6F219303" w14:textId="77777777" w:rsidR="005C2763" w:rsidRPr="007E5C6A" w:rsidRDefault="005C2763" w:rsidP="005C2763">
      <w:pPr>
        <w:numPr>
          <w:ilvl w:val="0"/>
          <w:numId w:val="1"/>
        </w:numPr>
        <w:spacing w:line="360" w:lineRule="auto"/>
        <w:contextualSpacing/>
        <w:jc w:val="both"/>
        <w:rPr>
          <w:rFonts w:ascii="David" w:hAnsi="David"/>
        </w:rPr>
      </w:pPr>
      <w:r w:rsidRPr="007E5C6A">
        <w:rPr>
          <w:rFonts w:ascii="David" w:hAnsi="David"/>
          <w:rtl/>
        </w:rPr>
        <w:t>כידוע, גזירת הדין נעשית, בדרך כלל, בשני שלבים עיקריים: קביעת מתחם עונש הולם ולאחר מכן גזירת העונש בתוך המתחם (</w:t>
      </w:r>
      <w:hyperlink r:id="rId46" w:history="1">
        <w:r w:rsidR="003201D6" w:rsidRPr="003201D6">
          <w:rPr>
            <w:rStyle w:val="Hyperlink"/>
            <w:rFonts w:ascii="David" w:hAnsi="David"/>
            <w:rtl/>
          </w:rPr>
          <w:t>סעיף 40ג'</w:t>
        </w:r>
      </w:hyperlink>
      <w:r w:rsidRPr="007E5C6A">
        <w:rPr>
          <w:rFonts w:ascii="David" w:hAnsi="David"/>
          <w:rtl/>
        </w:rPr>
        <w:t xml:space="preserve"> ל</w:t>
      </w:r>
      <w:hyperlink r:id="rId47" w:history="1">
        <w:r w:rsidR="008B3A91" w:rsidRPr="008B3A91">
          <w:rPr>
            <w:rFonts w:ascii="David" w:hAnsi="David"/>
            <w:color w:val="0000FF"/>
            <w:u w:val="single"/>
            <w:rtl/>
          </w:rPr>
          <w:t>חוק העונשין</w:t>
        </w:r>
      </w:hyperlink>
      <w:r w:rsidRPr="007E5C6A">
        <w:rPr>
          <w:rFonts w:ascii="David" w:hAnsi="David"/>
          <w:rtl/>
        </w:rPr>
        <w:t>). בתוך כך יש לבחון אם קיימים שיקולים המצדיקים סטייה מהמתחם. בבוא בית המשפט לקבוע את מתחם העונש, עליו לעשות כן בהתאם לע</w:t>
      </w:r>
      <w:r>
        <w:rPr>
          <w:rFonts w:ascii="David" w:hAnsi="David" w:hint="cs"/>
          <w:rtl/>
        </w:rPr>
        <w:t>י</w:t>
      </w:r>
      <w:r w:rsidRPr="007E5C6A">
        <w:rPr>
          <w:rFonts w:ascii="David" w:hAnsi="David"/>
          <w:rtl/>
        </w:rPr>
        <w:t xml:space="preserve">קרון המנחה, כלומר קיומו של יחס הולם בין חומרת מעשה העבירה בנסיבותיו ומידת אשמו של הנאשם ובין סוג ומידת העונש המוטל עליו. לצורך קביעת המתחם, בית המשפט יתחשב בערך החברתי שנפגע מביצוע העבירה, במידת הפגיעה בו, במדיניות הענישה הנהוגה ובנסיבות הקשורות בביצוע העבירה כאמור </w:t>
      </w:r>
      <w:hyperlink r:id="rId48" w:history="1">
        <w:r w:rsidR="003201D6" w:rsidRPr="003201D6">
          <w:rPr>
            <w:rStyle w:val="Hyperlink"/>
            <w:rFonts w:ascii="David" w:hAnsi="David"/>
            <w:rtl/>
          </w:rPr>
          <w:t>בסעיף 40ט'</w:t>
        </w:r>
      </w:hyperlink>
      <w:r w:rsidRPr="007E5C6A">
        <w:rPr>
          <w:rFonts w:ascii="David" w:hAnsi="David"/>
          <w:rtl/>
        </w:rPr>
        <w:t xml:space="preserve"> ל</w:t>
      </w:r>
      <w:hyperlink r:id="rId49" w:history="1">
        <w:r w:rsidR="008B3A91" w:rsidRPr="008B3A91">
          <w:rPr>
            <w:rFonts w:ascii="David" w:hAnsi="David"/>
            <w:color w:val="0000FF"/>
            <w:u w:val="single"/>
            <w:rtl/>
          </w:rPr>
          <w:t>חוק העונשין</w:t>
        </w:r>
      </w:hyperlink>
      <w:r w:rsidRPr="007E5C6A">
        <w:rPr>
          <w:rFonts w:ascii="David" w:hAnsi="David"/>
          <w:rtl/>
        </w:rPr>
        <w:t>.</w:t>
      </w:r>
    </w:p>
    <w:p w14:paraId="7611DF29" w14:textId="77777777" w:rsidR="005C2763" w:rsidRPr="007E5C6A" w:rsidRDefault="005C2763" w:rsidP="005C2763">
      <w:pPr>
        <w:spacing w:line="360" w:lineRule="auto"/>
        <w:contextualSpacing/>
        <w:jc w:val="both"/>
        <w:rPr>
          <w:rFonts w:ascii="David" w:hAnsi="David"/>
        </w:rPr>
      </w:pPr>
    </w:p>
    <w:p w14:paraId="26AB1883" w14:textId="77777777" w:rsidR="005C2763" w:rsidRPr="007E5C6A" w:rsidRDefault="005C2763" w:rsidP="005C2763">
      <w:pPr>
        <w:numPr>
          <w:ilvl w:val="0"/>
          <w:numId w:val="1"/>
        </w:numPr>
        <w:spacing w:line="360" w:lineRule="auto"/>
        <w:contextualSpacing/>
        <w:jc w:val="both"/>
        <w:rPr>
          <w:rFonts w:ascii="David" w:hAnsi="David"/>
          <w:rtl/>
        </w:rPr>
      </w:pPr>
      <w:r>
        <w:rPr>
          <w:rFonts w:ascii="David" w:hAnsi="David" w:hint="cs"/>
          <w:rtl/>
        </w:rPr>
        <w:t xml:space="preserve">כאמור, לצד עבירות תעבורה, הנאשם הורשע בעבירה של סיוע לנשיאת, הובלת והחזקת נשק </w:t>
      </w:r>
      <w:r>
        <w:rPr>
          <w:rFonts w:ascii="David" w:hAnsi="David"/>
          <w:rtl/>
        </w:rPr>
        <w:t>–</w:t>
      </w:r>
      <w:r>
        <w:rPr>
          <w:rFonts w:ascii="David" w:hAnsi="David" w:hint="cs"/>
          <w:rtl/>
        </w:rPr>
        <w:t xml:space="preserve"> והנשק המדובר הוא רימון הלם. ככלל, </w:t>
      </w:r>
      <w:r w:rsidRPr="007E5C6A">
        <w:rPr>
          <w:rFonts w:ascii="David" w:hAnsi="David"/>
          <w:rtl/>
        </w:rPr>
        <w:t>עבירות הנשק נועדו להגן על חיי אדם ועל שלום הציבור וביטחונו. אין צורך להכביר מילים לגבי המסוכנות הרבה הטמונה בעבירות הנשק</w:t>
      </w:r>
      <w:r>
        <w:rPr>
          <w:rFonts w:ascii="David" w:hAnsi="David" w:hint="cs"/>
          <w:rtl/>
        </w:rPr>
        <w:t xml:space="preserve"> ולנשק שעלולות לגרום</w:t>
      </w:r>
      <w:r w:rsidRPr="007E5C6A">
        <w:rPr>
          <w:rFonts w:ascii="David" w:hAnsi="David"/>
          <w:rtl/>
        </w:rPr>
        <w:t xml:space="preserve"> (ראו: </w:t>
      </w:r>
      <w:hyperlink r:id="rId50" w:history="1">
        <w:r w:rsidR="008B3A91" w:rsidRPr="008B3A91">
          <w:rPr>
            <w:rFonts w:ascii="David" w:hAnsi="David"/>
            <w:color w:val="0000FF"/>
            <w:u w:val="single"/>
            <w:rtl/>
          </w:rPr>
          <w:t>ע"פ 3491/13</w:t>
        </w:r>
      </w:hyperlink>
      <w:r w:rsidRPr="007E5C6A">
        <w:rPr>
          <w:rFonts w:ascii="David" w:hAnsi="David"/>
          <w:rtl/>
        </w:rPr>
        <w:t xml:space="preserve"> </w:t>
      </w:r>
      <w:r w:rsidRPr="007E5C6A">
        <w:rPr>
          <w:rFonts w:ascii="David" w:hAnsi="David"/>
          <w:b/>
          <w:bCs/>
          <w:rtl/>
        </w:rPr>
        <w:t>טוויק נ' מדינת ישראל</w:t>
      </w:r>
      <w:r w:rsidRPr="007E5C6A">
        <w:rPr>
          <w:rFonts w:ascii="David" w:hAnsi="David"/>
          <w:rtl/>
        </w:rPr>
        <w:t xml:space="preserve"> (15.11.2013)). בית המשפט העליון עמד לא פעם על חומרתן של עבירות מסוג זה ועל מדיניות הענישה הנוהגת, בציינו את החובה להטיל בעבירות אלו עונש חמור ומרתיע (ראו: </w:t>
      </w:r>
      <w:hyperlink r:id="rId51" w:history="1">
        <w:r w:rsidR="008B3A91" w:rsidRPr="008B3A91">
          <w:rPr>
            <w:rFonts w:ascii="David" w:hAnsi="David"/>
            <w:color w:val="0000FF"/>
            <w:u w:val="single"/>
            <w:rtl/>
          </w:rPr>
          <w:t>רע"פ 2718/04</w:t>
        </w:r>
      </w:hyperlink>
      <w:r w:rsidRPr="007E5C6A">
        <w:rPr>
          <w:rFonts w:ascii="David" w:hAnsi="David"/>
          <w:rtl/>
        </w:rPr>
        <w:t xml:space="preserve"> </w:t>
      </w:r>
      <w:r w:rsidRPr="007E5C6A">
        <w:rPr>
          <w:rFonts w:ascii="David" w:hAnsi="David"/>
          <w:b/>
          <w:bCs/>
          <w:rtl/>
        </w:rPr>
        <w:t>אבו דאחל נ' מדינת ישראל</w:t>
      </w:r>
      <w:r w:rsidRPr="007E5C6A">
        <w:rPr>
          <w:rFonts w:ascii="David" w:hAnsi="David"/>
          <w:rtl/>
        </w:rPr>
        <w:t xml:space="preserve"> (29.3.2004); </w:t>
      </w:r>
      <w:hyperlink r:id="rId52" w:history="1">
        <w:r w:rsidR="008B3A91" w:rsidRPr="008B3A91">
          <w:rPr>
            <w:rFonts w:ascii="David" w:hAnsi="David"/>
            <w:color w:val="0000FF"/>
            <w:u w:val="single"/>
            <w:rtl/>
          </w:rPr>
          <w:t>ע"פ 5336/13</w:t>
        </w:r>
      </w:hyperlink>
      <w:r w:rsidRPr="007E5C6A">
        <w:rPr>
          <w:rFonts w:ascii="David" w:hAnsi="David"/>
          <w:rtl/>
        </w:rPr>
        <w:t xml:space="preserve"> </w:t>
      </w:r>
      <w:r w:rsidRPr="007E5C6A">
        <w:rPr>
          <w:rFonts w:ascii="David" w:hAnsi="David"/>
          <w:b/>
          <w:bCs/>
          <w:rtl/>
        </w:rPr>
        <w:t>צדוק נ' מדינת ישראל</w:t>
      </w:r>
      <w:r w:rsidRPr="007E5C6A">
        <w:rPr>
          <w:rFonts w:ascii="David" w:hAnsi="David"/>
          <w:rtl/>
        </w:rPr>
        <w:t xml:space="preserve"> (17.11.2013)). </w:t>
      </w:r>
    </w:p>
    <w:p w14:paraId="0CD833BB" w14:textId="77777777" w:rsidR="005C2763" w:rsidRPr="007E5C6A" w:rsidRDefault="005C2763" w:rsidP="005C2763">
      <w:pPr>
        <w:spacing w:line="360" w:lineRule="auto"/>
        <w:contextualSpacing/>
        <w:jc w:val="both"/>
        <w:rPr>
          <w:rFonts w:ascii="David" w:hAnsi="David"/>
        </w:rPr>
      </w:pPr>
    </w:p>
    <w:p w14:paraId="5D45541D" w14:textId="77777777" w:rsidR="005C2763" w:rsidRPr="007E5C6A" w:rsidRDefault="005C2763" w:rsidP="005C2763">
      <w:pPr>
        <w:numPr>
          <w:ilvl w:val="0"/>
          <w:numId w:val="1"/>
        </w:numPr>
        <w:spacing w:line="360" w:lineRule="auto"/>
        <w:contextualSpacing/>
        <w:jc w:val="both"/>
        <w:rPr>
          <w:rFonts w:ascii="David" w:hAnsi="David"/>
        </w:rPr>
      </w:pPr>
      <w:r w:rsidRPr="007E5C6A">
        <w:rPr>
          <w:rFonts w:ascii="David" w:hAnsi="David"/>
          <w:rtl/>
        </w:rPr>
        <w:t xml:space="preserve">הקריאות להחמיר עוד יותר בעונשים בגין עבירות נשק הולכות וגוברות, זאת בשל נפיצותן של עבירות אלו והסיכון החמור שהן גורמות (ראו בין היתר </w:t>
      </w:r>
      <w:hyperlink r:id="rId53" w:history="1">
        <w:r w:rsidR="008B3A91" w:rsidRPr="008B3A91">
          <w:rPr>
            <w:rFonts w:ascii="David" w:hAnsi="David"/>
            <w:color w:val="0000FF"/>
            <w:u w:val="single"/>
            <w:rtl/>
          </w:rPr>
          <w:t>ע"פ 4406/19</w:t>
        </w:r>
      </w:hyperlink>
      <w:r w:rsidRPr="007E5C6A">
        <w:rPr>
          <w:rFonts w:ascii="David" w:hAnsi="David"/>
          <w:rtl/>
        </w:rPr>
        <w:t xml:space="preserve"> </w:t>
      </w:r>
      <w:r w:rsidRPr="007E5C6A">
        <w:rPr>
          <w:rFonts w:ascii="David" w:hAnsi="David"/>
          <w:b/>
          <w:bCs/>
          <w:rtl/>
        </w:rPr>
        <w:t>מדינת ישראל נ' סובח</w:t>
      </w:r>
      <w:r w:rsidRPr="007E5C6A">
        <w:rPr>
          <w:rFonts w:ascii="David" w:hAnsi="David"/>
          <w:rtl/>
        </w:rPr>
        <w:t xml:space="preserve">, פסקאות 16-15 (5.11.2019); </w:t>
      </w:r>
      <w:hyperlink r:id="rId54" w:history="1">
        <w:r w:rsidR="008B3A91" w:rsidRPr="008B3A91">
          <w:rPr>
            <w:rFonts w:ascii="David" w:hAnsi="David"/>
            <w:color w:val="0000FF"/>
            <w:u w:val="single"/>
            <w:rtl/>
          </w:rPr>
          <w:t>ע"פ 147/21</w:t>
        </w:r>
      </w:hyperlink>
      <w:r w:rsidRPr="007E5C6A">
        <w:rPr>
          <w:rFonts w:ascii="David" w:hAnsi="David"/>
          <w:rtl/>
        </w:rPr>
        <w:t xml:space="preserve"> </w:t>
      </w:r>
      <w:r w:rsidRPr="007E5C6A">
        <w:rPr>
          <w:rFonts w:ascii="David" w:hAnsi="David"/>
          <w:b/>
          <w:bCs/>
          <w:rtl/>
        </w:rPr>
        <w:t>מדינת ישראל נ' ביטון</w:t>
      </w:r>
      <w:r w:rsidRPr="007E5C6A">
        <w:rPr>
          <w:rFonts w:ascii="David" w:hAnsi="David"/>
          <w:rtl/>
        </w:rPr>
        <w:t xml:space="preserve"> (14.2.2021); </w:t>
      </w:r>
      <w:hyperlink r:id="rId55" w:history="1">
        <w:r w:rsidR="008B3A91" w:rsidRPr="008B3A91">
          <w:rPr>
            <w:rFonts w:ascii="David" w:hAnsi="David"/>
            <w:color w:val="0000FF"/>
            <w:u w:val="single"/>
            <w:rtl/>
          </w:rPr>
          <w:t>ע"פ 5522/20</w:t>
        </w:r>
      </w:hyperlink>
      <w:r w:rsidRPr="007E5C6A">
        <w:rPr>
          <w:rFonts w:ascii="David" w:hAnsi="David"/>
          <w:rtl/>
        </w:rPr>
        <w:t xml:space="preserve"> </w:t>
      </w:r>
      <w:r w:rsidRPr="007E5C6A">
        <w:rPr>
          <w:rFonts w:ascii="David" w:hAnsi="David"/>
          <w:b/>
          <w:bCs/>
          <w:rtl/>
        </w:rPr>
        <w:t>חלייחל נ' מדינת ישראל</w:t>
      </w:r>
      <w:r w:rsidRPr="007E5C6A">
        <w:rPr>
          <w:rFonts w:ascii="David" w:hAnsi="David"/>
          <w:rtl/>
        </w:rPr>
        <w:t xml:space="preserve"> (24.2.2021); </w:t>
      </w:r>
      <w:hyperlink r:id="rId56" w:history="1">
        <w:r w:rsidR="008B3A91" w:rsidRPr="008B3A91">
          <w:rPr>
            <w:rFonts w:ascii="David" w:hAnsi="David"/>
            <w:color w:val="0000FF"/>
            <w:u w:val="single"/>
            <w:rtl/>
          </w:rPr>
          <w:t>ע"פ 4207/21</w:t>
        </w:r>
      </w:hyperlink>
      <w:r w:rsidRPr="007E5C6A">
        <w:rPr>
          <w:rFonts w:ascii="David" w:hAnsi="David"/>
          <w:rtl/>
        </w:rPr>
        <w:t xml:space="preserve"> </w:t>
      </w:r>
      <w:r w:rsidRPr="007E5C6A">
        <w:rPr>
          <w:rFonts w:ascii="David" w:hAnsi="David"/>
          <w:b/>
          <w:bCs/>
          <w:rtl/>
        </w:rPr>
        <w:t>נורי נ' מדינת ישראל</w:t>
      </w:r>
      <w:r w:rsidRPr="007E5C6A">
        <w:rPr>
          <w:rFonts w:ascii="David" w:hAnsi="David"/>
          <w:rtl/>
        </w:rPr>
        <w:t xml:space="preserve"> (28.7.2021); </w:t>
      </w:r>
      <w:hyperlink r:id="rId57" w:history="1">
        <w:r w:rsidR="008B3A91" w:rsidRPr="008B3A91">
          <w:rPr>
            <w:rFonts w:ascii="David" w:hAnsi="David"/>
            <w:color w:val="0000FF"/>
            <w:u w:val="single"/>
            <w:rtl/>
          </w:rPr>
          <w:t>ע"פ 4456/21</w:t>
        </w:r>
      </w:hyperlink>
      <w:r w:rsidRPr="007E5C6A">
        <w:rPr>
          <w:rFonts w:ascii="David" w:hAnsi="David"/>
          <w:rtl/>
        </w:rPr>
        <w:t xml:space="preserve"> </w:t>
      </w:r>
      <w:r w:rsidRPr="007E5C6A">
        <w:rPr>
          <w:rFonts w:ascii="David" w:hAnsi="David"/>
          <w:b/>
          <w:bCs/>
          <w:rtl/>
        </w:rPr>
        <w:t>מדינת ישראל נ' אבו עבסה</w:t>
      </w:r>
      <w:r w:rsidRPr="007E5C6A">
        <w:rPr>
          <w:rFonts w:ascii="David" w:hAnsi="David"/>
          <w:rtl/>
        </w:rPr>
        <w:t xml:space="preserve"> (23.1.2022); </w:t>
      </w:r>
      <w:hyperlink r:id="rId58" w:history="1">
        <w:r w:rsidR="008B3A91" w:rsidRPr="008B3A91">
          <w:rPr>
            <w:rFonts w:ascii="David" w:hAnsi="David"/>
            <w:color w:val="0000FF"/>
            <w:u w:val="single"/>
            <w:rtl/>
          </w:rPr>
          <w:t>ע"פ 8869/21</w:t>
        </w:r>
      </w:hyperlink>
      <w:r w:rsidRPr="007E5C6A">
        <w:rPr>
          <w:rFonts w:ascii="David" w:hAnsi="David"/>
          <w:rtl/>
        </w:rPr>
        <w:t xml:space="preserve"> </w:t>
      </w:r>
      <w:r w:rsidRPr="007E5C6A">
        <w:rPr>
          <w:rFonts w:ascii="David" w:hAnsi="David"/>
          <w:b/>
          <w:bCs/>
          <w:rtl/>
        </w:rPr>
        <w:t>מדינת ישראל נ' קואסמה</w:t>
      </w:r>
      <w:r w:rsidRPr="007E5C6A">
        <w:rPr>
          <w:rFonts w:ascii="David" w:hAnsi="David"/>
          <w:rtl/>
        </w:rPr>
        <w:t xml:space="preserve"> (13.3.2022); </w:t>
      </w:r>
      <w:hyperlink r:id="rId59" w:history="1">
        <w:r w:rsidR="008B3A91" w:rsidRPr="008B3A91">
          <w:rPr>
            <w:rFonts w:ascii="David" w:hAnsi="David"/>
            <w:color w:val="0000FF"/>
            <w:u w:val="single"/>
            <w:rtl/>
          </w:rPr>
          <w:t>ע"פ 579/22</w:t>
        </w:r>
      </w:hyperlink>
      <w:r w:rsidRPr="007E5C6A">
        <w:rPr>
          <w:rFonts w:ascii="David" w:hAnsi="David"/>
          <w:rtl/>
        </w:rPr>
        <w:t xml:space="preserve"> </w:t>
      </w:r>
      <w:r w:rsidRPr="007E5C6A">
        <w:rPr>
          <w:rFonts w:ascii="David" w:hAnsi="David"/>
          <w:b/>
          <w:bCs/>
          <w:rtl/>
        </w:rPr>
        <w:t>מדינת ישראל נ' טחאינה</w:t>
      </w:r>
      <w:r w:rsidRPr="007E5C6A">
        <w:rPr>
          <w:rFonts w:ascii="David" w:hAnsi="David"/>
          <w:rtl/>
        </w:rPr>
        <w:t xml:space="preserve"> (13.6.2022)). גם המחוקק ביטא עמדה ברורה שיש להחמיר בעונשים בגין עבירות נשק, זאת במסגרת </w:t>
      </w:r>
      <w:hyperlink r:id="rId60" w:history="1">
        <w:r w:rsidR="003201D6" w:rsidRPr="003201D6">
          <w:rPr>
            <w:rStyle w:val="Hyperlink"/>
            <w:rFonts w:ascii="David" w:hAnsi="David"/>
            <w:rtl/>
          </w:rPr>
          <w:t>סעיף 144(ז)</w:t>
        </w:r>
      </w:hyperlink>
      <w:r w:rsidRPr="007E5C6A">
        <w:rPr>
          <w:rFonts w:ascii="David" w:hAnsi="David"/>
          <w:rtl/>
        </w:rPr>
        <w:t xml:space="preserve"> ל</w:t>
      </w:r>
      <w:hyperlink r:id="rId61" w:history="1">
        <w:r w:rsidR="008B3A91" w:rsidRPr="008B3A91">
          <w:rPr>
            <w:rFonts w:ascii="David" w:hAnsi="David"/>
            <w:color w:val="0000FF"/>
            <w:u w:val="single"/>
            <w:rtl/>
          </w:rPr>
          <w:t>חוק העונשין</w:t>
        </w:r>
      </w:hyperlink>
      <w:r w:rsidRPr="007E5C6A">
        <w:rPr>
          <w:rFonts w:ascii="David" w:hAnsi="David"/>
          <w:rtl/>
        </w:rPr>
        <w:t xml:space="preserve">, אשר חוקק בתיקון מס' 140 (חוק העונשין (תיקון מס' 140 – הוראת שעה), התשפ"ב-2021, ס"ח 2938). </w:t>
      </w:r>
    </w:p>
    <w:p w14:paraId="47B8CBCE" w14:textId="77777777" w:rsidR="005C2763" w:rsidRPr="007E5C6A" w:rsidRDefault="005C2763" w:rsidP="005C2763">
      <w:pPr>
        <w:ind w:left="720"/>
        <w:contextualSpacing/>
        <w:rPr>
          <w:rFonts w:ascii="David" w:hAnsi="David"/>
        </w:rPr>
      </w:pPr>
    </w:p>
    <w:p w14:paraId="176F6D90"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 xml:space="preserve">עם זאת, אין להתעלם מכך כי הנשק לגביו הורשע הנאשם </w:t>
      </w:r>
      <w:r>
        <w:rPr>
          <w:rFonts w:ascii="David" w:hAnsi="David" w:hint="cs"/>
          <w:rtl/>
        </w:rPr>
        <w:t xml:space="preserve">במקרה הנוכחי </w:t>
      </w:r>
      <w:r w:rsidRPr="007E5C6A">
        <w:rPr>
          <w:rFonts w:ascii="David" w:hAnsi="David"/>
          <w:rtl/>
        </w:rPr>
        <w:t xml:space="preserve">הוא רימון הלם ולא נשק מסוג אחר </w:t>
      </w:r>
      <w:r>
        <w:rPr>
          <w:rFonts w:ascii="David" w:hAnsi="David" w:hint="cs"/>
          <w:rtl/>
        </w:rPr>
        <w:t xml:space="preserve">שמסוגל להמית. </w:t>
      </w:r>
      <w:r w:rsidRPr="007E5C6A">
        <w:rPr>
          <w:rFonts w:ascii="David" w:hAnsi="David"/>
          <w:rtl/>
        </w:rPr>
        <w:t xml:space="preserve">כתב האישום גופו עושה אבחנה בין רימון, לגביו צוין כי הוא כלי נשק שבכוחו </w:t>
      </w:r>
      <w:r>
        <w:rPr>
          <w:rFonts w:ascii="David" w:hAnsi="David" w:hint="cs"/>
          <w:rtl/>
        </w:rPr>
        <w:t>"</w:t>
      </w:r>
      <w:r w:rsidRPr="007E5C6A">
        <w:rPr>
          <w:rFonts w:ascii="David" w:hAnsi="David"/>
          <w:rtl/>
        </w:rPr>
        <w:t>להזיק</w:t>
      </w:r>
      <w:r>
        <w:rPr>
          <w:rFonts w:ascii="David" w:hAnsi="David" w:hint="cs"/>
          <w:rtl/>
        </w:rPr>
        <w:t>"</w:t>
      </w:r>
      <w:r w:rsidRPr="007E5C6A">
        <w:rPr>
          <w:rFonts w:ascii="David" w:hAnsi="David"/>
          <w:rtl/>
        </w:rPr>
        <w:t xml:space="preserve"> לאדם בעת פעולתו</w:t>
      </w:r>
      <w:r>
        <w:rPr>
          <w:rFonts w:ascii="David" w:hAnsi="David" w:hint="cs"/>
          <w:rtl/>
        </w:rPr>
        <w:t xml:space="preserve">, לבין </w:t>
      </w:r>
      <w:r w:rsidRPr="007E5C6A">
        <w:rPr>
          <w:rFonts w:ascii="David" w:hAnsi="David"/>
          <w:rtl/>
        </w:rPr>
        <w:t xml:space="preserve">האקדח – אותו נשא והוביל הנאשם 1 – לגביו צוין כי בכוחו להמית אדם. </w:t>
      </w:r>
      <w:r>
        <w:rPr>
          <w:rFonts w:ascii="David" w:hAnsi="David" w:hint="cs"/>
          <w:rtl/>
        </w:rPr>
        <w:t>לשוני זה יש לתת נפקות בבואנו לקבוע את מתחם העונש.</w:t>
      </w:r>
    </w:p>
    <w:p w14:paraId="28CAEAFB" w14:textId="77777777" w:rsidR="005C2763" w:rsidRPr="007E5C6A" w:rsidRDefault="005C2763" w:rsidP="005C2763">
      <w:pPr>
        <w:rPr>
          <w:rFonts w:ascii="David" w:hAnsi="David"/>
        </w:rPr>
      </w:pPr>
      <w:r w:rsidRPr="007E5C6A">
        <w:rPr>
          <w:rFonts w:ascii="David" w:hAnsi="David"/>
          <w:rtl/>
        </w:rPr>
        <w:t xml:space="preserve"> </w:t>
      </w:r>
    </w:p>
    <w:p w14:paraId="0BA56578" w14:textId="77777777" w:rsidR="005C2763" w:rsidRPr="007E5C6A" w:rsidRDefault="005C2763" w:rsidP="005C2763">
      <w:pPr>
        <w:numPr>
          <w:ilvl w:val="0"/>
          <w:numId w:val="1"/>
        </w:numPr>
        <w:spacing w:line="360" w:lineRule="auto"/>
        <w:contextualSpacing/>
        <w:jc w:val="both"/>
        <w:rPr>
          <w:rFonts w:cs="Times New Roman"/>
          <w:rtl/>
        </w:rPr>
      </w:pPr>
      <w:r w:rsidRPr="007E5C6A">
        <w:rPr>
          <w:rFonts w:ascii="David" w:hAnsi="David"/>
          <w:rtl/>
        </w:rPr>
        <w:t>זאת ועוד, הנאשם הורשע בעבירה של סיוע לעבירת נשק ולא בעבירה מוגמרת. הדין מבחין בין עונשו של מבצע עיקרי לבין מסייע במובן זה שהעונש המרבי בגין ביצוע עבירת סיוע הוא מחצית העונש המרבי שנקבע למבצע העיקרי (</w:t>
      </w:r>
      <w:hyperlink r:id="rId62" w:history="1">
        <w:r w:rsidR="003201D6" w:rsidRPr="003201D6">
          <w:rPr>
            <w:rStyle w:val="Hyperlink"/>
            <w:rFonts w:ascii="David" w:hAnsi="David"/>
            <w:rtl/>
          </w:rPr>
          <w:t>סעיף 32</w:t>
        </w:r>
      </w:hyperlink>
      <w:r w:rsidRPr="007E5C6A">
        <w:rPr>
          <w:rFonts w:ascii="David" w:hAnsi="David"/>
          <w:rtl/>
        </w:rPr>
        <w:t xml:space="preserve"> ל</w:t>
      </w:r>
      <w:hyperlink r:id="rId63" w:history="1">
        <w:r w:rsidR="008B3A91" w:rsidRPr="008B3A91">
          <w:rPr>
            <w:rFonts w:ascii="David" w:hAnsi="David"/>
            <w:color w:val="0000FF"/>
            <w:u w:val="single"/>
            <w:rtl/>
          </w:rPr>
          <w:t>חוק העונשין</w:t>
        </w:r>
      </w:hyperlink>
      <w:r w:rsidRPr="007E5C6A">
        <w:rPr>
          <w:rFonts w:ascii="David" w:hAnsi="David"/>
          <w:rtl/>
        </w:rPr>
        <w:t>). הקביעה הנורמטיבית ביחס לעונש המרבי של המסייע לעומת המבצע העיקרי מבטאת את התובנה כי תרומתו של המסייע לביצוע עבירה פחותה מתרומתו של המבצע העיקרי (</w:t>
      </w:r>
      <w:hyperlink r:id="rId64" w:history="1">
        <w:r w:rsidR="008B3A91" w:rsidRPr="008B3A91">
          <w:rPr>
            <w:rFonts w:ascii="David" w:hAnsi="David"/>
            <w:color w:val="0000FF"/>
            <w:u w:val="single"/>
            <w:rtl/>
          </w:rPr>
          <w:t>ע"פ 4876/15</w:t>
        </w:r>
      </w:hyperlink>
      <w:r w:rsidRPr="007E5C6A">
        <w:rPr>
          <w:rFonts w:ascii="David" w:hAnsi="David"/>
          <w:rtl/>
        </w:rPr>
        <w:t xml:space="preserve"> </w:t>
      </w:r>
      <w:r w:rsidRPr="007E5C6A">
        <w:rPr>
          <w:rFonts w:ascii="David" w:hAnsi="David" w:hint="cs"/>
          <w:b/>
          <w:bCs/>
          <w:rtl/>
        </w:rPr>
        <w:t>פלוני נ' מדינת ישראל</w:t>
      </w:r>
      <w:r w:rsidRPr="007E5C6A">
        <w:rPr>
          <w:rFonts w:ascii="David" w:hAnsi="David" w:hint="cs"/>
          <w:rtl/>
        </w:rPr>
        <w:t xml:space="preserve"> (3.12.2015) (להלן: עניין </w:t>
      </w:r>
      <w:r w:rsidRPr="007E5C6A">
        <w:rPr>
          <w:rFonts w:ascii="David" w:hAnsi="David" w:hint="cs"/>
          <w:b/>
          <w:bCs/>
          <w:rtl/>
        </w:rPr>
        <w:t>פלוני</w:t>
      </w:r>
      <w:r w:rsidRPr="007E5C6A">
        <w:rPr>
          <w:rFonts w:ascii="David" w:hAnsi="David" w:hint="cs"/>
          <w:rtl/>
        </w:rPr>
        <w:t>)). בהקשר זה נקבע כי "</w:t>
      </w:r>
      <w:r w:rsidRPr="007E5C6A">
        <w:rPr>
          <w:rFonts w:ascii="David" w:hAnsi="David" w:hint="cs"/>
          <w:b/>
          <w:bCs/>
          <w:rtl/>
        </w:rPr>
        <w:t>המסייע, חרף תרומתו למעשה העבירה, כשמו כן הוא – נותר מחוץ למעגל העברייני הראשוני, ולכן אחריותו נחשבת פחותה</w:t>
      </w:r>
      <w:r w:rsidRPr="007E5C6A">
        <w:rPr>
          <w:rFonts w:ascii="David" w:hAnsi="David" w:hint="cs"/>
          <w:rtl/>
        </w:rPr>
        <w:t>" (</w:t>
      </w:r>
      <w:hyperlink r:id="rId65" w:history="1">
        <w:r w:rsidR="008B3A91" w:rsidRPr="008B3A91">
          <w:rPr>
            <w:rFonts w:ascii="David" w:hAnsi="David"/>
            <w:color w:val="0000FF"/>
            <w:u w:val="single"/>
            <w:rtl/>
          </w:rPr>
          <w:t>ע"פ 10153/07</w:t>
        </w:r>
      </w:hyperlink>
      <w:r w:rsidRPr="007E5C6A">
        <w:rPr>
          <w:rFonts w:ascii="David" w:hAnsi="David"/>
          <w:rtl/>
        </w:rPr>
        <w:t xml:space="preserve"> </w:t>
      </w:r>
      <w:r w:rsidRPr="007E5C6A">
        <w:rPr>
          <w:rFonts w:ascii="David" w:hAnsi="David" w:hint="cs"/>
          <w:b/>
          <w:bCs/>
          <w:rtl/>
        </w:rPr>
        <w:t>קייסי נ' מדינת ישראל</w:t>
      </w:r>
      <w:r w:rsidRPr="007E5C6A">
        <w:rPr>
          <w:rFonts w:ascii="David" w:hAnsi="David" w:hint="cs"/>
          <w:rtl/>
        </w:rPr>
        <w:t xml:space="preserve"> (30.7.2012)). על כן, "</w:t>
      </w:r>
      <w:r w:rsidRPr="007E5C6A">
        <w:rPr>
          <w:rFonts w:ascii="David" w:hAnsi="David" w:hint="cs"/>
          <w:b/>
          <w:bCs/>
          <w:rtl/>
        </w:rPr>
        <w:t>ראוי, כי בבואו של בית המשפט לגזור את דינו של המסייע, יעמיד בית המשפט לנגד עיניו את היחס שקבע המחוקק בין עונשו של המסייע לעונשו של המבצע העיקרי</w:t>
      </w:r>
      <w:r w:rsidRPr="007E5C6A">
        <w:rPr>
          <w:rFonts w:ascii="David" w:hAnsi="David" w:hint="cs"/>
          <w:rtl/>
        </w:rPr>
        <w:t>"</w:t>
      </w:r>
      <w:r w:rsidRPr="007E5C6A">
        <w:rPr>
          <w:rFonts w:ascii="David" w:hAnsi="David" w:hint="cs"/>
          <w:b/>
          <w:bCs/>
          <w:rtl/>
        </w:rPr>
        <w:t xml:space="preserve"> </w:t>
      </w:r>
      <w:r w:rsidRPr="007E5C6A">
        <w:rPr>
          <w:rFonts w:ascii="David" w:hAnsi="David" w:hint="cs"/>
          <w:rtl/>
        </w:rPr>
        <w:t xml:space="preserve">(עניין </w:t>
      </w:r>
      <w:r w:rsidRPr="007E5C6A">
        <w:rPr>
          <w:rFonts w:ascii="David" w:hAnsi="David" w:hint="cs"/>
          <w:b/>
          <w:bCs/>
          <w:rtl/>
        </w:rPr>
        <w:t>פלוני</w:t>
      </w:r>
      <w:r w:rsidRPr="007E5C6A">
        <w:rPr>
          <w:rFonts w:ascii="David" w:hAnsi="David" w:hint="cs"/>
          <w:rtl/>
        </w:rPr>
        <w:t>). עם זאת, יש לזכור כי אין משמעות הדברים כי עניין לנו בחישוב אריתמטי, שכן יש להידרש לנסיבותיו של כל מקרה (</w:t>
      </w:r>
      <w:hyperlink r:id="rId66" w:history="1">
        <w:r w:rsidR="008B3A91" w:rsidRPr="008B3A91">
          <w:rPr>
            <w:rFonts w:ascii="David" w:hAnsi="David"/>
            <w:color w:val="0000FF"/>
            <w:u w:val="single"/>
            <w:rtl/>
          </w:rPr>
          <w:t>ע"פ 4463/12</w:t>
        </w:r>
      </w:hyperlink>
      <w:r w:rsidRPr="007E5C6A">
        <w:rPr>
          <w:rFonts w:ascii="David" w:hAnsi="David"/>
          <w:rtl/>
        </w:rPr>
        <w:t xml:space="preserve"> </w:t>
      </w:r>
      <w:r w:rsidRPr="007E5C6A">
        <w:rPr>
          <w:rFonts w:ascii="David" w:hAnsi="David" w:hint="cs"/>
          <w:b/>
          <w:bCs/>
          <w:rtl/>
        </w:rPr>
        <w:t>ארנבורג נ' מדינת ישראל</w:t>
      </w:r>
      <w:r w:rsidRPr="007E5C6A">
        <w:rPr>
          <w:rFonts w:ascii="David" w:hAnsi="David" w:hint="cs"/>
          <w:rtl/>
        </w:rPr>
        <w:t xml:space="preserve"> (13.9.2012)). </w:t>
      </w:r>
    </w:p>
    <w:p w14:paraId="63326E9B" w14:textId="77777777" w:rsidR="005C2763" w:rsidRPr="007E5C6A" w:rsidRDefault="005C2763" w:rsidP="005C2763">
      <w:pPr>
        <w:spacing w:line="360" w:lineRule="auto"/>
        <w:jc w:val="both"/>
        <w:rPr>
          <w:rFonts w:cs="Times New Roman"/>
          <w:rtl/>
        </w:rPr>
      </w:pPr>
    </w:p>
    <w:p w14:paraId="20CA0B20"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הסנגור טען כי תיקון 140 ל</w:t>
      </w:r>
      <w:hyperlink r:id="rId67" w:history="1">
        <w:r w:rsidR="008B3A91" w:rsidRPr="008B3A91">
          <w:rPr>
            <w:rFonts w:ascii="David" w:hAnsi="David"/>
            <w:color w:val="0000FF"/>
            <w:u w:val="single"/>
            <w:rtl/>
          </w:rPr>
          <w:t>חוק העונשין</w:t>
        </w:r>
      </w:hyperlink>
      <w:r w:rsidRPr="007E5C6A">
        <w:rPr>
          <w:rFonts w:ascii="David" w:hAnsi="David"/>
          <w:rtl/>
        </w:rPr>
        <w:t xml:space="preserve"> אינו חל בנסיבות המקרה, בשל העובדה כי הנאשם הורשע בעבירה נגזרת ולא בעבירת מוגמרת. נזכיר כי </w:t>
      </w:r>
      <w:hyperlink r:id="rId68" w:history="1">
        <w:r w:rsidR="003201D6" w:rsidRPr="003201D6">
          <w:rPr>
            <w:rStyle w:val="Hyperlink"/>
            <w:rFonts w:ascii="David" w:hAnsi="David"/>
            <w:rtl/>
          </w:rPr>
          <w:t>סעיף 144(ז)</w:t>
        </w:r>
      </w:hyperlink>
      <w:r w:rsidRPr="007E5C6A">
        <w:rPr>
          <w:rFonts w:ascii="David" w:hAnsi="David"/>
          <w:rtl/>
        </w:rPr>
        <w:t xml:space="preserve"> ל</w:t>
      </w:r>
      <w:hyperlink r:id="rId69" w:history="1">
        <w:r w:rsidR="008B3A91" w:rsidRPr="008B3A91">
          <w:rPr>
            <w:rFonts w:ascii="David" w:hAnsi="David"/>
            <w:color w:val="0000FF"/>
            <w:u w:val="single"/>
            <w:rtl/>
          </w:rPr>
          <w:t>חוק העונשין</w:t>
        </w:r>
      </w:hyperlink>
      <w:r w:rsidRPr="007E5C6A">
        <w:rPr>
          <w:rFonts w:ascii="David" w:hAnsi="David"/>
          <w:rtl/>
        </w:rPr>
        <w:t xml:space="preserve"> קובע כי "</w:t>
      </w:r>
      <w:r w:rsidRPr="007E5C6A">
        <w:rPr>
          <w:rFonts w:ascii="David" w:hAnsi="David"/>
          <w:b/>
          <w:bCs/>
          <w:rtl/>
        </w:rPr>
        <w:t>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7E5C6A">
        <w:rPr>
          <w:rFonts w:ascii="David" w:hAnsi="David"/>
          <w:rtl/>
        </w:rPr>
        <w:t xml:space="preserve">". ככל שהטענה היא כי </w:t>
      </w:r>
      <w:hyperlink r:id="rId70" w:history="1">
        <w:r w:rsidR="003201D6" w:rsidRPr="003201D6">
          <w:rPr>
            <w:rStyle w:val="Hyperlink"/>
            <w:rFonts w:ascii="David" w:hAnsi="David"/>
            <w:rtl/>
          </w:rPr>
          <w:t>סעיף 144(ז)</w:t>
        </w:r>
      </w:hyperlink>
      <w:r w:rsidRPr="007E5C6A">
        <w:rPr>
          <w:rFonts w:ascii="David" w:hAnsi="David"/>
          <w:rtl/>
        </w:rPr>
        <w:t xml:space="preserve"> ל</w:t>
      </w:r>
      <w:hyperlink r:id="rId71" w:history="1">
        <w:r w:rsidR="008B3A91" w:rsidRPr="008B3A91">
          <w:rPr>
            <w:rFonts w:ascii="David" w:hAnsi="David"/>
            <w:color w:val="0000FF"/>
            <w:u w:val="single"/>
            <w:rtl/>
          </w:rPr>
          <w:t>חוק העונשין</w:t>
        </w:r>
      </w:hyperlink>
      <w:r w:rsidRPr="007E5C6A">
        <w:rPr>
          <w:rFonts w:ascii="David" w:hAnsi="David"/>
          <w:rtl/>
        </w:rPr>
        <w:t xml:space="preserve"> לא חל מעיקרו על עבירות נשק נגזרות, אין בידי לקבל טענה זו. </w:t>
      </w:r>
      <w:hyperlink r:id="rId72" w:history="1">
        <w:r w:rsidR="003201D6" w:rsidRPr="003201D6">
          <w:rPr>
            <w:rStyle w:val="Hyperlink"/>
            <w:rFonts w:ascii="David" w:hAnsi="David"/>
            <w:rtl/>
          </w:rPr>
          <w:t>סעיף 32</w:t>
        </w:r>
      </w:hyperlink>
      <w:r w:rsidRPr="007E5C6A">
        <w:rPr>
          <w:rFonts w:ascii="David" w:hAnsi="David"/>
          <w:rtl/>
        </w:rPr>
        <w:t xml:space="preserve"> ל</w:t>
      </w:r>
      <w:hyperlink r:id="rId73" w:history="1">
        <w:r w:rsidR="008B3A91" w:rsidRPr="008B3A91">
          <w:rPr>
            <w:rFonts w:ascii="David" w:hAnsi="David"/>
            <w:color w:val="0000FF"/>
            <w:u w:val="single"/>
            <w:rtl/>
          </w:rPr>
          <w:t>חוק העונשין</w:t>
        </w:r>
      </w:hyperlink>
      <w:r w:rsidRPr="007E5C6A">
        <w:rPr>
          <w:rFonts w:ascii="David" w:hAnsi="David"/>
          <w:rtl/>
        </w:rPr>
        <w:t xml:space="preserve"> קובע במפורש כי עונשו של המסייע הוא מחצית העונש שנקבע בחיקוק בשל ביצועה העיקרי, </w:t>
      </w:r>
      <w:hyperlink r:id="rId74" w:history="1">
        <w:r w:rsidR="003201D6" w:rsidRPr="003201D6">
          <w:rPr>
            <w:rStyle w:val="Hyperlink"/>
            <w:rFonts w:ascii="David" w:hAnsi="David"/>
            <w:rtl/>
          </w:rPr>
          <w:t>וסעיף 32(4)</w:t>
        </w:r>
      </w:hyperlink>
      <w:r w:rsidRPr="007E5C6A">
        <w:rPr>
          <w:rFonts w:ascii="David" w:hAnsi="David"/>
          <w:rtl/>
        </w:rPr>
        <w:t xml:space="preserve"> מוסיף וקובע כי במידה ונקבע עונש חובה כלשהו "הוא יהיה עונש מרבי, ומחציתו תהא עונש מזערי". לפיכך, נכון לפרש את הוראות החוק בהלימה לעונש המוטל על העבירות הנגזרות. ככל שהמדובר בעבירת סיוע לעבירת נשק, הרי העונש המינימלי הוא רבע העונש המרבי ביחס לעבירת הסיוע, ולא ביחס לעבירה המוגמרת, כלומר שמינית העונש שנקבע לעבירה המוגמרת. זאת, כדי ליצור הלימה בין עבירת הסיוע לנשק לבין האמור </w:t>
      </w:r>
      <w:hyperlink r:id="rId75" w:history="1">
        <w:r w:rsidR="003201D6" w:rsidRPr="003201D6">
          <w:rPr>
            <w:rStyle w:val="Hyperlink"/>
            <w:rFonts w:ascii="David" w:hAnsi="David"/>
            <w:rtl/>
          </w:rPr>
          <w:t>בסעיף 144(ז)</w:t>
        </w:r>
      </w:hyperlink>
      <w:r w:rsidRPr="007E5C6A">
        <w:rPr>
          <w:rFonts w:ascii="David" w:hAnsi="David"/>
          <w:rtl/>
        </w:rPr>
        <w:t xml:space="preserve"> ל</w:t>
      </w:r>
      <w:hyperlink r:id="rId76" w:history="1">
        <w:r w:rsidR="008B3A91" w:rsidRPr="008B3A91">
          <w:rPr>
            <w:rFonts w:ascii="David" w:hAnsi="David"/>
            <w:color w:val="0000FF"/>
            <w:u w:val="single"/>
            <w:rtl/>
          </w:rPr>
          <w:t>חוק העונשין</w:t>
        </w:r>
      </w:hyperlink>
      <w:r w:rsidRPr="007E5C6A">
        <w:rPr>
          <w:rFonts w:ascii="David" w:hAnsi="David"/>
          <w:rtl/>
        </w:rPr>
        <w:t xml:space="preserve">. </w:t>
      </w:r>
      <w:r>
        <w:rPr>
          <w:rFonts w:ascii="David" w:hAnsi="David" w:hint="cs"/>
          <w:rtl/>
        </w:rPr>
        <w:t>מכל מקום, גם לו הייתה מתקבלת טענת הסנגור, החמרה בעונש מחויבת המציאות.</w:t>
      </w:r>
    </w:p>
    <w:p w14:paraId="021983CD" w14:textId="77777777" w:rsidR="005C2763" w:rsidRPr="007E5C6A" w:rsidRDefault="005C2763" w:rsidP="005C2763">
      <w:pPr>
        <w:spacing w:line="360" w:lineRule="auto"/>
        <w:contextualSpacing/>
        <w:jc w:val="both"/>
        <w:rPr>
          <w:rFonts w:cs="Times New Roman"/>
        </w:rPr>
      </w:pPr>
    </w:p>
    <w:p w14:paraId="27E1F34A"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במסגרת הנסיבות הקשורות בביצוע עבירת הנשק יש לתת את הדעת לנתונים הבאים: בכתב האישום לא צוין הרקע לביצוע העבירות, אלא צוין כי בוצע ירי לעבר בית מרכב טויוטה בצבע לבן. יודגש כי הירי לא מיוחס למי מהנאשמים וציון מעשה הירי הובא אך כרקע לפעילות כוחות הביטחון ביישוב. זאת ועוד, מעצם המעשים ניתן לומר כי לביצוע עבירת הנשק קדם תכנון מסוים</w:t>
      </w:r>
      <w:r>
        <w:rPr>
          <w:rFonts w:ascii="David" w:hAnsi="David" w:hint="cs"/>
          <w:rtl/>
        </w:rPr>
        <w:t>.</w:t>
      </w:r>
      <w:r w:rsidRPr="007E5C6A">
        <w:rPr>
          <w:rFonts w:ascii="David" w:hAnsi="David"/>
          <w:rtl/>
        </w:rPr>
        <w:t xml:space="preserve"> כמו כן ביצוע העבירות בחבורה – מוסיף חומרה. לעניין הנזק שנגרם, למרבה המזל הנאשמים נתפסו לפני שנעשה שימוש כלשהו ברימון, ומשכך לא נגרם נזק לגוף או לרכוש. עם זאת, אין להתעלם מהנזק הפוטנציאלי שעלול היה להיגרם. אמנם המדובר ברימון הלם, ולא בנשיאת והובלת אקדח או רובה, אך גם רימון הלם ט</w:t>
      </w:r>
      <w:r>
        <w:rPr>
          <w:rFonts w:ascii="David" w:hAnsi="David"/>
          <w:rtl/>
        </w:rPr>
        <w:t>ומן בחובו פוטנציאל "להזיק" לאדם</w:t>
      </w:r>
      <w:r>
        <w:rPr>
          <w:rFonts w:ascii="David" w:hAnsi="David" w:hint="cs"/>
          <w:rtl/>
        </w:rPr>
        <w:t>, ולזרוע פחד ובהלה. למרבה הצער השימוש ברימון הלם הפך להיות חלק משגרת "השיח" בסכסוכים למיניהם.</w:t>
      </w:r>
    </w:p>
    <w:p w14:paraId="223F30FC" w14:textId="77777777" w:rsidR="005C2763" w:rsidRPr="007E5C6A" w:rsidRDefault="005C2763" w:rsidP="005C2763">
      <w:pPr>
        <w:spacing w:line="360" w:lineRule="auto"/>
        <w:contextualSpacing/>
        <w:jc w:val="both"/>
        <w:rPr>
          <w:rFonts w:ascii="David" w:hAnsi="David"/>
        </w:rPr>
      </w:pPr>
    </w:p>
    <w:p w14:paraId="6D46E885" w14:textId="77777777" w:rsidR="005C2763" w:rsidRPr="007E5C6A" w:rsidRDefault="005C2763" w:rsidP="005C2763">
      <w:pPr>
        <w:numPr>
          <w:ilvl w:val="0"/>
          <w:numId w:val="1"/>
        </w:numPr>
        <w:spacing w:line="360" w:lineRule="auto"/>
        <w:contextualSpacing/>
        <w:jc w:val="both"/>
        <w:rPr>
          <w:rFonts w:ascii="David" w:hAnsi="David"/>
        </w:rPr>
      </w:pPr>
      <w:r>
        <w:rPr>
          <w:rFonts w:ascii="David" w:hAnsi="David"/>
          <w:rtl/>
        </w:rPr>
        <w:t>ב</w:t>
      </w:r>
      <w:hyperlink r:id="rId77" w:history="1">
        <w:r w:rsidR="008B3A91" w:rsidRPr="008B3A91">
          <w:rPr>
            <w:rFonts w:ascii="David" w:hAnsi="David"/>
            <w:color w:val="0000FF"/>
            <w:u w:val="single"/>
            <w:rtl/>
          </w:rPr>
          <w:t>ע"פ 5602/22</w:t>
        </w:r>
      </w:hyperlink>
      <w:r>
        <w:rPr>
          <w:rFonts w:ascii="David" w:hAnsi="David"/>
          <w:rtl/>
        </w:rPr>
        <w:t xml:space="preserve"> </w:t>
      </w:r>
      <w:r w:rsidRPr="007E5C6A">
        <w:rPr>
          <w:rFonts w:ascii="David" w:hAnsi="David"/>
          <w:b/>
          <w:bCs/>
          <w:rtl/>
        </w:rPr>
        <w:t>מדינת ישראל נ' פלוני</w:t>
      </w:r>
      <w:r w:rsidRPr="007E5C6A">
        <w:rPr>
          <w:rFonts w:ascii="David" w:hAnsi="David"/>
          <w:rtl/>
        </w:rPr>
        <w:t xml:space="preserve">, שניתן ביום 14.9.2022 (להלן: ע"פ </w:t>
      </w:r>
      <w:r w:rsidRPr="007E5C6A">
        <w:rPr>
          <w:rFonts w:ascii="David" w:hAnsi="David"/>
          <w:b/>
          <w:bCs/>
          <w:rtl/>
        </w:rPr>
        <w:t>פלוני</w:t>
      </w:r>
      <w:r w:rsidRPr="007E5C6A">
        <w:rPr>
          <w:rFonts w:ascii="David" w:hAnsi="David"/>
          <w:rtl/>
        </w:rPr>
        <w:t>), ציין בית המשפט העליון כי מתחם העונש שראוי ברגיל לקבוע לנאשם בגין נשיאה בלתי חוקית של נשק חם במרחב הציבורי נע בין 30 ל-42 חודשי מאסר בפועל לצד רכיבי ענישה נוספים. נזכיר כי בע"פ פלוני דובר על נאשם בן כ- 27 שלחובתו לא היו הרשעות קודמות, שהורשע בעבירה של נשיאת והובלת נשק ברכבו, שבמקרה זה היה אקדח חצי אוטומטי. במקרה שלפנינו יש לתת את הדעת לכך שהנשק המדובר הוא רימון הלם וכן לכך שהנאשם הורשע ב</w:t>
      </w:r>
      <w:r w:rsidRPr="007E5C6A">
        <w:rPr>
          <w:rFonts w:ascii="David" w:hAnsi="David"/>
          <w:b/>
          <w:bCs/>
          <w:rtl/>
        </w:rPr>
        <w:t>סיוע</w:t>
      </w:r>
      <w:r w:rsidRPr="007E5C6A">
        <w:rPr>
          <w:rFonts w:ascii="David" w:hAnsi="David"/>
          <w:rtl/>
        </w:rPr>
        <w:t xml:space="preserve"> לעבירה ולא בביצועה המושלם. </w:t>
      </w:r>
    </w:p>
    <w:p w14:paraId="54532044" w14:textId="77777777" w:rsidR="005C2763" w:rsidRPr="007E5C6A" w:rsidRDefault="005C2763" w:rsidP="005C2763">
      <w:pPr>
        <w:spacing w:line="360" w:lineRule="auto"/>
        <w:contextualSpacing/>
        <w:jc w:val="both"/>
        <w:rPr>
          <w:rFonts w:ascii="David" w:hAnsi="David"/>
        </w:rPr>
      </w:pPr>
    </w:p>
    <w:p w14:paraId="1409A48D"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אשר למדיניות הענישה בעבירה של החזקת, נשיאת והובלת נשק מסוג רימון הלם, ראו את פסקי הדין אליהם הפניתי במסגרת גזר הדין שניתן על ידי ב</w:t>
      </w:r>
      <w:hyperlink r:id="rId78" w:history="1">
        <w:r w:rsidR="008B3A91" w:rsidRPr="008B3A91">
          <w:rPr>
            <w:rFonts w:ascii="David" w:hAnsi="David"/>
            <w:color w:val="0000FF"/>
            <w:u w:val="single"/>
            <w:rtl/>
          </w:rPr>
          <w:t>ת"פ (מחוזי חיפה) 16760-09-22</w:t>
        </w:r>
      </w:hyperlink>
      <w:r w:rsidRPr="007E5C6A">
        <w:rPr>
          <w:rFonts w:ascii="David" w:hAnsi="David"/>
          <w:rtl/>
        </w:rPr>
        <w:t xml:space="preserve"> </w:t>
      </w:r>
      <w:r w:rsidRPr="007E5C6A">
        <w:rPr>
          <w:rFonts w:ascii="David" w:hAnsi="David"/>
          <w:b/>
          <w:bCs/>
          <w:rtl/>
        </w:rPr>
        <w:t>מדינת ישראל נ' גבריאלי</w:t>
      </w:r>
      <w:r w:rsidRPr="007E5C6A">
        <w:rPr>
          <w:rFonts w:ascii="David" w:hAnsi="David"/>
          <w:rtl/>
        </w:rPr>
        <w:t xml:space="preserve"> (25.1.2023)). באותו מקרה קבעתי כי מתחם העונש ההולם נע בין 16 ל-36 חודשי מאסר בפועל, בגין עבירה מושלמת (ולא סיוע כפי המקרה שלפנינו).  </w:t>
      </w:r>
    </w:p>
    <w:p w14:paraId="50FA7283" w14:textId="77777777" w:rsidR="005C2763" w:rsidRPr="007E5C6A" w:rsidRDefault="005C2763" w:rsidP="005C2763">
      <w:pPr>
        <w:spacing w:line="360" w:lineRule="auto"/>
        <w:jc w:val="both"/>
        <w:rPr>
          <w:rFonts w:ascii="David" w:hAnsi="David"/>
        </w:rPr>
      </w:pPr>
    </w:p>
    <w:p w14:paraId="3307FBC2"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 xml:space="preserve">כאמור, </w:t>
      </w:r>
      <w:r>
        <w:rPr>
          <w:rFonts w:ascii="David" w:hAnsi="David" w:hint="cs"/>
          <w:rtl/>
        </w:rPr>
        <w:t xml:space="preserve">נוסף לעבירות הנשק </w:t>
      </w:r>
      <w:r w:rsidRPr="007E5C6A">
        <w:rPr>
          <w:rFonts w:ascii="David" w:hAnsi="David"/>
          <w:rtl/>
        </w:rPr>
        <w:t xml:space="preserve">הנאשם הורשע בעבירות של נהיגה בזמן פסילה, ונהיגה ללא תעודת ביטוח בתוקף. עבירה של נהיגה בזמן פסילה היא עבירה אשר מסכנת את כלל משתמשי הדרך ופוגעת בביטחון הציבור. ביצועה </w:t>
      </w:r>
      <w:r>
        <w:rPr>
          <w:rFonts w:ascii="David" w:hAnsi="David" w:hint="cs"/>
          <w:rtl/>
        </w:rPr>
        <w:t xml:space="preserve">אף </w:t>
      </w:r>
      <w:r w:rsidRPr="007E5C6A">
        <w:rPr>
          <w:rFonts w:ascii="David" w:hAnsi="David"/>
          <w:rtl/>
        </w:rPr>
        <w:t>מגלם זלזול בהחלטות שיפוטיות</w:t>
      </w:r>
      <w:r>
        <w:rPr>
          <w:rFonts w:ascii="David" w:hAnsi="David" w:hint="cs"/>
          <w:rtl/>
        </w:rPr>
        <w:t xml:space="preserve"> והחלטות מנהליות מחייבות</w:t>
      </w:r>
      <w:r w:rsidRPr="007E5C6A">
        <w:rPr>
          <w:rFonts w:ascii="David" w:hAnsi="David"/>
          <w:rtl/>
        </w:rPr>
        <w:t xml:space="preserve">, וגם מכך נובעת מסוכנות בשל אי הפנמת חומרת המעשים והתוצאות הפוטנציאליות המסוכנות. לכך מצטרפת חומרה נוספת </w:t>
      </w:r>
      <w:r>
        <w:rPr>
          <w:rFonts w:ascii="David" w:hAnsi="David" w:hint="cs"/>
          <w:rtl/>
        </w:rPr>
        <w:t>הנובעת מ</w:t>
      </w:r>
      <w:r w:rsidRPr="007E5C6A">
        <w:rPr>
          <w:rFonts w:ascii="David" w:hAnsi="David"/>
          <w:rtl/>
        </w:rPr>
        <w:t xml:space="preserve">ביצוע העבירה של נהיגה ללא תעודת ביטוח בתוקף (ראו </w:t>
      </w:r>
      <w:hyperlink r:id="rId79" w:history="1">
        <w:r w:rsidR="008B3A91" w:rsidRPr="008B3A91">
          <w:rPr>
            <w:rFonts w:ascii="David" w:hAnsi="David"/>
            <w:color w:val="0000FF"/>
            <w:u w:val="single"/>
            <w:rtl/>
          </w:rPr>
          <w:t>רע"פ 7013/22</w:t>
        </w:r>
      </w:hyperlink>
      <w:r w:rsidRPr="007E5C6A">
        <w:rPr>
          <w:rFonts w:ascii="David" w:hAnsi="David"/>
          <w:rtl/>
        </w:rPr>
        <w:t xml:space="preserve"> </w:t>
      </w:r>
      <w:r w:rsidRPr="007E5C6A">
        <w:rPr>
          <w:rFonts w:ascii="David" w:hAnsi="David"/>
          <w:b/>
          <w:bCs/>
          <w:rtl/>
        </w:rPr>
        <w:t>סייד נ' מדינת ישראל</w:t>
      </w:r>
      <w:r w:rsidRPr="007E5C6A">
        <w:rPr>
          <w:rFonts w:ascii="David" w:hAnsi="David"/>
          <w:rtl/>
        </w:rPr>
        <w:t xml:space="preserve"> (27.10.2022)‏‏; </w:t>
      </w:r>
      <w:hyperlink r:id="rId80" w:history="1">
        <w:r w:rsidR="008B3A91" w:rsidRPr="008B3A91">
          <w:rPr>
            <w:rFonts w:ascii="David" w:hAnsi="David"/>
            <w:color w:val="0000FF"/>
            <w:u w:val="single"/>
            <w:rtl/>
          </w:rPr>
          <w:t>רע"פ 5635/19</w:t>
        </w:r>
      </w:hyperlink>
      <w:r w:rsidRPr="007E5C6A">
        <w:rPr>
          <w:rFonts w:ascii="David" w:hAnsi="David"/>
          <w:rtl/>
        </w:rPr>
        <w:t xml:space="preserve"> </w:t>
      </w:r>
      <w:r w:rsidRPr="007E5C6A">
        <w:rPr>
          <w:rFonts w:ascii="David" w:hAnsi="David"/>
          <w:b/>
          <w:bCs/>
          <w:rtl/>
        </w:rPr>
        <w:t>יעקובוב נ' מדינת ישראל</w:t>
      </w:r>
      <w:r w:rsidRPr="007E5C6A">
        <w:rPr>
          <w:rFonts w:ascii="David" w:hAnsi="David"/>
          <w:rtl/>
        </w:rPr>
        <w:t xml:space="preserve"> (4.9.2019)). אשר לנסיבות ביצוע עבירות אלו, פוטנציאל הנזק רב – הן כלפי חייהם של כל הנאשמים שנסעו יחדיו ברכב כאשר הנאשם נוהג בו ללא רישיון נהיגה וללא ביטוח תקף, והן לכלל משתמשי הדרך. חומרה נוספת מתבטאת בכך ש</w:t>
      </w:r>
      <w:r>
        <w:rPr>
          <w:rFonts w:ascii="David" w:hAnsi="David" w:hint="cs"/>
          <w:rtl/>
        </w:rPr>
        <w:t>ה</w:t>
      </w:r>
      <w:r w:rsidRPr="007E5C6A">
        <w:rPr>
          <w:rFonts w:ascii="David" w:hAnsi="David"/>
          <w:rtl/>
        </w:rPr>
        <w:t>נאשם עצר את הרכב רק כאשר ניידת המשטרה חסמה את הרכב. מעבר לשיקולי</w:t>
      </w:r>
      <w:r>
        <w:rPr>
          <w:rFonts w:ascii="David" w:hAnsi="David"/>
          <w:rtl/>
        </w:rPr>
        <w:t xml:space="preserve">ם אלו מרחף הזלזול שביטא הנאשם </w:t>
      </w:r>
      <w:r w:rsidRPr="007E5C6A">
        <w:rPr>
          <w:rFonts w:ascii="David" w:hAnsi="David"/>
          <w:rtl/>
        </w:rPr>
        <w:t>בעצם התנהלותו בשמירה על החוק.</w:t>
      </w:r>
      <w:r>
        <w:rPr>
          <w:rFonts w:ascii="David" w:hAnsi="David" w:hint="cs"/>
          <w:rtl/>
        </w:rPr>
        <w:t xml:space="preserve"> זאת במיוחד לאור כך שהוא הפקיד את רישיונו פחות מעשרה ימים לפני ביצוע העבירות בתיק זה.</w:t>
      </w:r>
    </w:p>
    <w:p w14:paraId="54521818" w14:textId="77777777" w:rsidR="005C2763" w:rsidRPr="007E5C6A" w:rsidRDefault="005C2763" w:rsidP="005C2763">
      <w:pPr>
        <w:ind w:left="720"/>
        <w:contextualSpacing/>
        <w:rPr>
          <w:rFonts w:ascii="David" w:hAnsi="David"/>
        </w:rPr>
      </w:pPr>
    </w:p>
    <w:p w14:paraId="6C7329A8" w14:textId="77777777" w:rsidR="005C2763" w:rsidRPr="003D626F" w:rsidRDefault="005C2763" w:rsidP="005C2763">
      <w:pPr>
        <w:numPr>
          <w:ilvl w:val="0"/>
          <w:numId w:val="1"/>
        </w:numPr>
        <w:spacing w:line="360" w:lineRule="auto"/>
        <w:contextualSpacing/>
        <w:jc w:val="both"/>
        <w:rPr>
          <w:rFonts w:ascii="David" w:hAnsi="David"/>
          <w:rtl/>
        </w:rPr>
      </w:pPr>
      <w:r w:rsidRPr="007E5C6A">
        <w:rPr>
          <w:rFonts w:ascii="David" w:hAnsi="David"/>
          <w:rtl/>
        </w:rPr>
        <w:t>מדיניות הענישה בעבירות אלו מגוונת ותלויה בנסיבות המקרה – החל ממאסר על תנאי ועד מאסר בפועל, ומפסילה בת מספר חודשים לפסילה ממוש</w:t>
      </w:r>
      <w:r>
        <w:rPr>
          <w:rFonts w:ascii="David" w:hAnsi="David"/>
          <w:rtl/>
        </w:rPr>
        <w:t xml:space="preserve">כת יותר, פסילה על תנאי וקנס. </w:t>
      </w:r>
      <w:r w:rsidRPr="003D626F">
        <w:rPr>
          <w:rFonts w:ascii="David" w:hAnsi="David"/>
          <w:rtl/>
        </w:rPr>
        <w:t xml:space="preserve">לשם השוואה ראו את פסקי הדין הבאים: </w:t>
      </w:r>
      <w:hyperlink r:id="rId81" w:history="1">
        <w:r w:rsidR="008B3A91" w:rsidRPr="008B3A91">
          <w:rPr>
            <w:rFonts w:ascii="David" w:hAnsi="David"/>
            <w:color w:val="0000FF"/>
            <w:u w:val="single"/>
            <w:rtl/>
          </w:rPr>
          <w:t>רע"פ 1883/19</w:t>
        </w:r>
      </w:hyperlink>
      <w:r w:rsidRPr="003D626F">
        <w:rPr>
          <w:rFonts w:ascii="David" w:hAnsi="David"/>
          <w:rtl/>
        </w:rPr>
        <w:t xml:space="preserve"> </w:t>
      </w:r>
      <w:r w:rsidRPr="003D626F">
        <w:rPr>
          <w:rFonts w:ascii="David" w:hAnsi="David"/>
          <w:b/>
          <w:bCs/>
          <w:rtl/>
        </w:rPr>
        <w:t>ביטון נ' מדינת ישראל</w:t>
      </w:r>
      <w:r w:rsidRPr="003D626F">
        <w:rPr>
          <w:rFonts w:ascii="David" w:hAnsi="David"/>
          <w:rtl/>
        </w:rPr>
        <w:t xml:space="preserve"> (28.3.2019): בית משפט קמא הורה על הארכת מאסר מותנה בן 12 חודשים,  הטיל פסילה בת 30 חודשים, והפעיל פסילה מותנית בחופף. בית המשפט המחוזי קיבל את הערעור, גזר על המבקש 8 חודשי מאסר, הפעיל את המאסר המותנה במצטבר כך שסה"כ ירצה 20 חודשי מאסר, הפעיל את הפסילה המותנית במצטבר כך שסה"כ ירצה 42 חודשי פסילה. בקשת רשות ערעור נדחתה; </w:t>
      </w:r>
      <w:hyperlink r:id="rId82" w:history="1">
        <w:r w:rsidR="008B3A91" w:rsidRPr="008B3A91">
          <w:rPr>
            <w:rFonts w:ascii="David" w:hAnsi="David"/>
            <w:color w:val="0000FF"/>
            <w:u w:val="single"/>
            <w:rtl/>
          </w:rPr>
          <w:t>רע"פ 5244/17</w:t>
        </w:r>
      </w:hyperlink>
      <w:r w:rsidRPr="003D626F">
        <w:rPr>
          <w:rFonts w:ascii="David" w:hAnsi="David"/>
          <w:rtl/>
        </w:rPr>
        <w:t xml:space="preserve"> </w:t>
      </w:r>
      <w:r w:rsidRPr="003D626F">
        <w:rPr>
          <w:rFonts w:ascii="David" w:hAnsi="David"/>
          <w:b/>
          <w:bCs/>
          <w:rtl/>
        </w:rPr>
        <w:t xml:space="preserve">תורגמן נ' מדינת ישראל </w:t>
      </w:r>
      <w:r w:rsidRPr="003D626F">
        <w:rPr>
          <w:rFonts w:ascii="David" w:hAnsi="David"/>
          <w:rtl/>
        </w:rPr>
        <w:t xml:space="preserve">(12.9.2017) </w:t>
      </w:r>
      <w:r>
        <w:rPr>
          <w:rFonts w:ascii="David" w:hAnsi="David"/>
          <w:rtl/>
        </w:rPr>
        <w:t>–</w:t>
      </w:r>
      <w:r>
        <w:rPr>
          <w:rFonts w:ascii="David" w:hAnsi="David" w:hint="cs"/>
          <w:rtl/>
        </w:rPr>
        <w:t xml:space="preserve"> </w:t>
      </w:r>
      <w:r w:rsidRPr="003D626F">
        <w:rPr>
          <w:rFonts w:ascii="David" w:hAnsi="David"/>
          <w:rtl/>
        </w:rPr>
        <w:t>בית משפט קמא גזר על הנאשם 7 חודשי מאסר בפועל, הורה על הפעלת שני מאסרים מותנים בחופף</w:t>
      </w:r>
      <w:r>
        <w:rPr>
          <w:rFonts w:ascii="David" w:hAnsi="David" w:hint="cs"/>
          <w:rtl/>
        </w:rPr>
        <w:t xml:space="preserve">, וכן הוטלו  </w:t>
      </w:r>
      <w:r w:rsidRPr="003D626F">
        <w:rPr>
          <w:rFonts w:ascii="David" w:hAnsi="David"/>
          <w:rtl/>
        </w:rPr>
        <w:t>12 חודשי מאסר על תנאי</w:t>
      </w:r>
      <w:r>
        <w:rPr>
          <w:rFonts w:ascii="David" w:hAnsi="David" w:hint="cs"/>
          <w:rtl/>
        </w:rPr>
        <w:t>,</w:t>
      </w:r>
      <w:r w:rsidRPr="003D626F">
        <w:rPr>
          <w:rFonts w:ascii="David" w:hAnsi="David"/>
          <w:rtl/>
        </w:rPr>
        <w:t xml:space="preserve"> 4 שנות פסילה בפועל</w:t>
      </w:r>
      <w:r>
        <w:rPr>
          <w:rFonts w:ascii="David" w:hAnsi="David" w:hint="cs"/>
          <w:rtl/>
        </w:rPr>
        <w:t>,</w:t>
      </w:r>
      <w:r w:rsidRPr="003D626F">
        <w:rPr>
          <w:rFonts w:ascii="David" w:hAnsi="David"/>
          <w:rtl/>
        </w:rPr>
        <w:t xml:space="preserve"> 10 חודשי פסילה על תנאי</w:t>
      </w:r>
      <w:r>
        <w:rPr>
          <w:rFonts w:ascii="David" w:hAnsi="David" w:hint="cs"/>
          <w:rtl/>
        </w:rPr>
        <w:t xml:space="preserve"> והופעלה הת</w:t>
      </w:r>
      <w:r w:rsidRPr="003D626F">
        <w:rPr>
          <w:rFonts w:ascii="David" w:hAnsi="David"/>
          <w:rtl/>
        </w:rPr>
        <w:t>חייבות כספית ע"ס 10,000 ₪. ערעור שהוגש ע"י המאשימה התקבל באופן שהמאסר הועמד על 10 חודשים, והמאסרים המותנים הופעלו במצטבר כך שהיה על המבקש לרצות במצטבר 20 חודשי מאסר</w:t>
      </w:r>
      <w:r>
        <w:rPr>
          <w:rFonts w:ascii="David" w:hAnsi="David" w:hint="cs"/>
          <w:rtl/>
        </w:rPr>
        <w:t xml:space="preserve">; </w:t>
      </w:r>
      <w:r w:rsidRPr="003D626F">
        <w:rPr>
          <w:rFonts w:ascii="David" w:hAnsi="David"/>
          <w:rtl/>
        </w:rPr>
        <w:t xml:space="preserve">בקשת רשות ערעור נדחתה. כן ראו את פסקי הדין אליהם הפנתה המאשימה: </w:t>
      </w:r>
      <w:hyperlink r:id="rId83" w:history="1">
        <w:r w:rsidR="008B3A91" w:rsidRPr="008B3A91">
          <w:rPr>
            <w:rFonts w:ascii="David" w:hAnsi="David"/>
            <w:color w:val="0000FF"/>
            <w:u w:val="single"/>
            <w:rtl/>
          </w:rPr>
          <w:t>רע"פ 8438/17</w:t>
        </w:r>
      </w:hyperlink>
      <w:r w:rsidRPr="003D626F">
        <w:rPr>
          <w:rFonts w:ascii="David" w:hAnsi="David"/>
          <w:rtl/>
        </w:rPr>
        <w:t xml:space="preserve"> </w:t>
      </w:r>
      <w:r w:rsidRPr="003D626F">
        <w:rPr>
          <w:rFonts w:ascii="David" w:hAnsi="David"/>
          <w:b/>
          <w:bCs/>
          <w:rtl/>
        </w:rPr>
        <w:t>כיאל נ' מדינת ישראל</w:t>
      </w:r>
      <w:r w:rsidRPr="003D626F">
        <w:rPr>
          <w:rFonts w:ascii="David" w:hAnsi="David"/>
          <w:rtl/>
        </w:rPr>
        <w:t xml:space="preserve"> (30.10.2017); </w:t>
      </w:r>
      <w:hyperlink r:id="rId84" w:history="1">
        <w:r w:rsidR="008B3A91" w:rsidRPr="008B3A91">
          <w:rPr>
            <w:rFonts w:ascii="David" w:hAnsi="David"/>
            <w:color w:val="0000FF"/>
            <w:u w:val="single"/>
            <w:rtl/>
          </w:rPr>
          <w:t>רע"פ 5244/17</w:t>
        </w:r>
      </w:hyperlink>
      <w:r w:rsidRPr="003D626F">
        <w:rPr>
          <w:rFonts w:ascii="David" w:hAnsi="David"/>
          <w:rtl/>
        </w:rPr>
        <w:t xml:space="preserve"> </w:t>
      </w:r>
      <w:r w:rsidRPr="003D626F">
        <w:rPr>
          <w:rFonts w:ascii="David" w:hAnsi="David"/>
          <w:b/>
          <w:bCs/>
          <w:rtl/>
        </w:rPr>
        <w:t>תורג'מן נ' מדינת ישראל</w:t>
      </w:r>
      <w:r w:rsidRPr="003D626F">
        <w:rPr>
          <w:rFonts w:ascii="David" w:hAnsi="David"/>
          <w:rtl/>
        </w:rPr>
        <w:t xml:space="preserve"> (12.9.2017);</w:t>
      </w:r>
      <w:r w:rsidRPr="003D626F">
        <w:rPr>
          <w:rFonts w:ascii="David" w:hAnsi="David"/>
        </w:rPr>
        <w:t xml:space="preserve"> </w:t>
      </w:r>
      <w:hyperlink r:id="rId85" w:history="1">
        <w:r w:rsidR="008B3A91" w:rsidRPr="008B3A91">
          <w:rPr>
            <w:rFonts w:ascii="David" w:hAnsi="David"/>
            <w:color w:val="0000FF"/>
            <w:u w:val="single"/>
            <w:rtl/>
          </w:rPr>
          <w:t>רע"פ 2588/16</w:t>
        </w:r>
      </w:hyperlink>
      <w:r w:rsidRPr="003D626F">
        <w:rPr>
          <w:rFonts w:ascii="David" w:hAnsi="David"/>
          <w:rtl/>
        </w:rPr>
        <w:t xml:space="preserve"> </w:t>
      </w:r>
      <w:r w:rsidRPr="003D626F">
        <w:rPr>
          <w:rFonts w:ascii="David" w:hAnsi="David"/>
          <w:b/>
          <w:bCs/>
          <w:rtl/>
        </w:rPr>
        <w:t>שלבאיה נ' מדינת ישראל</w:t>
      </w:r>
      <w:r w:rsidRPr="003D626F">
        <w:rPr>
          <w:rFonts w:ascii="David" w:hAnsi="David"/>
          <w:rtl/>
        </w:rPr>
        <w:t xml:space="preserve"> (19.9.2016); </w:t>
      </w:r>
      <w:hyperlink r:id="rId86" w:history="1">
        <w:r w:rsidR="008B3A91" w:rsidRPr="008B3A91">
          <w:rPr>
            <w:rFonts w:ascii="David" w:hAnsi="David"/>
            <w:color w:val="0000FF"/>
            <w:u w:val="single"/>
            <w:rtl/>
          </w:rPr>
          <w:t>רע"פ 4612/21</w:t>
        </w:r>
      </w:hyperlink>
      <w:r w:rsidRPr="003D626F">
        <w:rPr>
          <w:rFonts w:ascii="David" w:hAnsi="David"/>
          <w:rtl/>
        </w:rPr>
        <w:t xml:space="preserve"> </w:t>
      </w:r>
      <w:r w:rsidRPr="003D626F">
        <w:rPr>
          <w:rFonts w:ascii="David" w:hAnsi="David"/>
          <w:b/>
          <w:bCs/>
          <w:rtl/>
        </w:rPr>
        <w:t>קרוט נ' מדינת ישראל</w:t>
      </w:r>
      <w:r w:rsidRPr="003D626F">
        <w:rPr>
          <w:rFonts w:ascii="David" w:hAnsi="David"/>
          <w:rtl/>
        </w:rPr>
        <w:t xml:space="preserve"> (1.7.2021); </w:t>
      </w:r>
      <w:hyperlink r:id="rId87" w:history="1">
        <w:r w:rsidR="008B3A91" w:rsidRPr="008B3A91">
          <w:rPr>
            <w:rFonts w:ascii="David" w:hAnsi="David"/>
            <w:color w:val="0000FF"/>
            <w:u w:val="single"/>
            <w:rtl/>
          </w:rPr>
          <w:t>רע"פ 1891/14</w:t>
        </w:r>
      </w:hyperlink>
      <w:r w:rsidRPr="003D626F">
        <w:rPr>
          <w:rFonts w:ascii="David" w:hAnsi="David"/>
          <w:rtl/>
        </w:rPr>
        <w:t xml:space="preserve"> </w:t>
      </w:r>
      <w:r w:rsidRPr="003D626F">
        <w:rPr>
          <w:rFonts w:ascii="David" w:hAnsi="David"/>
          <w:b/>
          <w:bCs/>
          <w:rtl/>
        </w:rPr>
        <w:t>ברון נ' מדינת ישראל</w:t>
      </w:r>
      <w:r w:rsidRPr="003D626F">
        <w:rPr>
          <w:rFonts w:ascii="David" w:hAnsi="David"/>
          <w:rtl/>
        </w:rPr>
        <w:t xml:space="preserve"> (25.3.2014)). </w:t>
      </w:r>
    </w:p>
    <w:p w14:paraId="1912032D" w14:textId="77777777" w:rsidR="005C2763" w:rsidRPr="007E5C6A" w:rsidRDefault="005C2763" w:rsidP="005C2763">
      <w:pPr>
        <w:rPr>
          <w:rFonts w:ascii="David" w:hAnsi="David"/>
          <w:rtl/>
        </w:rPr>
      </w:pPr>
    </w:p>
    <w:p w14:paraId="6310939C" w14:textId="77777777" w:rsidR="005C2763" w:rsidRPr="007E5C6A" w:rsidRDefault="005C2763" w:rsidP="005C2763">
      <w:pPr>
        <w:numPr>
          <w:ilvl w:val="0"/>
          <w:numId w:val="1"/>
        </w:numPr>
        <w:spacing w:line="360" w:lineRule="auto"/>
        <w:contextualSpacing/>
        <w:jc w:val="both"/>
        <w:rPr>
          <w:rFonts w:ascii="David" w:hAnsi="David"/>
          <w:rtl/>
        </w:rPr>
      </w:pPr>
      <w:r w:rsidRPr="007E5C6A">
        <w:rPr>
          <w:rFonts w:ascii="David" w:hAnsi="David"/>
          <w:rtl/>
        </w:rPr>
        <w:t xml:space="preserve">לאור האמור, אני קובע כי מתחם העונש נע בין </w:t>
      </w:r>
      <w:r>
        <w:rPr>
          <w:rFonts w:ascii="David" w:hAnsi="David" w:hint="cs"/>
          <w:rtl/>
        </w:rPr>
        <w:t>9 עד 20</w:t>
      </w:r>
      <w:r w:rsidRPr="007E5C6A">
        <w:rPr>
          <w:rFonts w:ascii="David" w:hAnsi="David"/>
          <w:rtl/>
        </w:rPr>
        <w:t xml:space="preserve"> חודשי מאסר בפועל, בנוסף למאסר על תנאי, פסילת רישיון נהיגה ופסילת רישיון נהיגה על תנאי.</w:t>
      </w:r>
      <w:r>
        <w:rPr>
          <w:rFonts w:ascii="David" w:hAnsi="David" w:hint="cs"/>
          <w:rtl/>
        </w:rPr>
        <w:t xml:space="preserve"> נוכח תקופת המאסר, לא ראיתי לכלול במתחם גם קנס וחלף זאת תוטל התחייבות.</w:t>
      </w:r>
    </w:p>
    <w:p w14:paraId="0DFBC5B4" w14:textId="77777777" w:rsidR="005C2763" w:rsidRPr="007E5C6A" w:rsidRDefault="005C2763" w:rsidP="005C2763">
      <w:pPr>
        <w:ind w:left="720"/>
        <w:contextualSpacing/>
        <w:rPr>
          <w:rFonts w:ascii="David" w:hAnsi="David"/>
        </w:rPr>
      </w:pPr>
    </w:p>
    <w:p w14:paraId="0EDC51CD" w14:textId="77777777" w:rsidR="005C2763" w:rsidRPr="007E5C6A" w:rsidRDefault="005C2763" w:rsidP="005C2763">
      <w:pPr>
        <w:spacing w:line="360" w:lineRule="auto"/>
        <w:contextualSpacing/>
        <w:jc w:val="both"/>
        <w:rPr>
          <w:rFonts w:ascii="David" w:hAnsi="David"/>
          <w:b/>
          <w:bCs/>
          <w:rtl/>
        </w:rPr>
      </w:pPr>
      <w:r w:rsidRPr="007E5C6A">
        <w:rPr>
          <w:rFonts w:ascii="David" w:hAnsi="David"/>
          <w:b/>
          <w:bCs/>
          <w:rtl/>
        </w:rPr>
        <w:t>נסיבות שאינן קשורות בביצוע העבירות</w:t>
      </w:r>
    </w:p>
    <w:p w14:paraId="353ADCEC" w14:textId="77777777" w:rsidR="005C2763" w:rsidRPr="007E5C6A" w:rsidRDefault="005C2763" w:rsidP="005C2763">
      <w:pPr>
        <w:spacing w:line="360" w:lineRule="auto"/>
        <w:contextualSpacing/>
        <w:jc w:val="both"/>
        <w:rPr>
          <w:rFonts w:ascii="David" w:hAnsi="David"/>
          <w:b/>
          <w:bCs/>
          <w:rtl/>
        </w:rPr>
      </w:pPr>
    </w:p>
    <w:p w14:paraId="2E3A0D19" w14:textId="77777777" w:rsidR="005C2763" w:rsidRPr="007E5C6A" w:rsidRDefault="005C2763" w:rsidP="005C2763">
      <w:pPr>
        <w:numPr>
          <w:ilvl w:val="0"/>
          <w:numId w:val="1"/>
        </w:numPr>
        <w:spacing w:line="360" w:lineRule="auto"/>
        <w:contextualSpacing/>
        <w:jc w:val="both"/>
        <w:rPr>
          <w:rFonts w:ascii="David" w:hAnsi="David"/>
        </w:rPr>
      </w:pPr>
      <w:r w:rsidRPr="007E5C6A">
        <w:rPr>
          <w:rFonts w:ascii="Arial" w:hAnsi="Arial"/>
          <w:rtl/>
        </w:rPr>
        <w:t xml:space="preserve">בגזירת העונש בגדרי מתחם העונש ההולם יש לשקול את הנסיבות שאינן קשורות בביצוע העבירה (סעיף </w:t>
      </w:r>
      <w:hyperlink r:id="rId88" w:history="1">
        <w:r w:rsidR="003201D6" w:rsidRPr="003201D6">
          <w:rPr>
            <w:rStyle w:val="Hyperlink"/>
            <w:rFonts w:ascii="Arial" w:hAnsi="Arial"/>
            <w:rtl/>
          </w:rPr>
          <w:t>40 יא'</w:t>
        </w:r>
      </w:hyperlink>
      <w:r w:rsidRPr="007E5C6A">
        <w:rPr>
          <w:rFonts w:ascii="Arial" w:hAnsi="Arial"/>
          <w:rtl/>
        </w:rPr>
        <w:t xml:space="preserve"> ל</w:t>
      </w:r>
      <w:hyperlink r:id="rId89" w:history="1">
        <w:r w:rsidR="008B3A91" w:rsidRPr="008B3A91">
          <w:rPr>
            <w:rFonts w:ascii="Arial" w:hAnsi="Arial"/>
            <w:color w:val="0000FF"/>
            <w:u w:val="single"/>
            <w:rtl/>
          </w:rPr>
          <w:t>חוק העונשין</w:t>
        </w:r>
      </w:hyperlink>
      <w:r w:rsidRPr="007E5C6A">
        <w:rPr>
          <w:rFonts w:ascii="Arial" w:hAnsi="Arial"/>
          <w:rtl/>
        </w:rPr>
        <w:t>). במקרה שלפנינו, שקלתי את השיקולים הבאים:</w:t>
      </w:r>
    </w:p>
    <w:p w14:paraId="041536E0" w14:textId="77777777" w:rsidR="005C2763" w:rsidRPr="007E5C6A" w:rsidRDefault="005C2763" w:rsidP="005C2763">
      <w:pPr>
        <w:spacing w:line="360" w:lineRule="auto"/>
        <w:contextualSpacing/>
        <w:jc w:val="both"/>
        <w:rPr>
          <w:rFonts w:ascii="David" w:hAnsi="David"/>
        </w:rPr>
      </w:pPr>
    </w:p>
    <w:p w14:paraId="3CE6EB18" w14:textId="77777777" w:rsidR="005C2763" w:rsidRDefault="005C2763" w:rsidP="005C2763">
      <w:pPr>
        <w:spacing w:line="360" w:lineRule="auto"/>
        <w:contextualSpacing/>
        <w:jc w:val="both"/>
        <w:rPr>
          <w:rFonts w:ascii="David" w:hAnsi="David"/>
          <w:rtl/>
        </w:rPr>
      </w:pPr>
      <w:r w:rsidRPr="007E5C6A">
        <w:rPr>
          <w:rFonts w:ascii="David" w:hAnsi="David"/>
          <w:rtl/>
        </w:rPr>
        <w:t>(-) הנאשם יליד 1993, כבן 30, נשוי ואב ל-3 ילדים.</w:t>
      </w:r>
    </w:p>
    <w:p w14:paraId="01D5C8A5" w14:textId="77777777" w:rsidR="005C2763" w:rsidRPr="007E5C6A" w:rsidRDefault="005C2763" w:rsidP="005C2763">
      <w:pPr>
        <w:spacing w:line="360" w:lineRule="auto"/>
        <w:contextualSpacing/>
        <w:jc w:val="both"/>
        <w:rPr>
          <w:rFonts w:ascii="David" w:hAnsi="David"/>
          <w:rtl/>
        </w:rPr>
      </w:pPr>
      <w:r w:rsidRPr="007E5C6A">
        <w:rPr>
          <w:rFonts w:ascii="David" w:hAnsi="David"/>
          <w:rtl/>
        </w:rPr>
        <w:t xml:space="preserve"> </w:t>
      </w:r>
    </w:p>
    <w:p w14:paraId="017F1C04" w14:textId="77777777" w:rsidR="005C2763" w:rsidRPr="007E5C6A" w:rsidRDefault="005C2763" w:rsidP="005C2763">
      <w:pPr>
        <w:spacing w:line="360" w:lineRule="auto"/>
        <w:contextualSpacing/>
        <w:jc w:val="both"/>
        <w:rPr>
          <w:rFonts w:ascii="David" w:hAnsi="David"/>
          <w:rtl/>
        </w:rPr>
      </w:pPr>
      <w:r w:rsidRPr="007E5C6A">
        <w:rPr>
          <w:rFonts w:ascii="David" w:hAnsi="David"/>
          <w:rtl/>
        </w:rPr>
        <w:t>(-) ל</w:t>
      </w:r>
      <w:r>
        <w:rPr>
          <w:rFonts w:ascii="David" w:hAnsi="David" w:hint="cs"/>
          <w:rtl/>
        </w:rPr>
        <w:t xml:space="preserve">נאשם </w:t>
      </w:r>
      <w:r w:rsidRPr="007E5C6A">
        <w:rPr>
          <w:rFonts w:ascii="David" w:hAnsi="David"/>
          <w:rtl/>
        </w:rPr>
        <w:t xml:space="preserve">2 שתי הרשעות קודמות בעבירות של ניסיון לגניבה חקלאית (מיום 4.2.2020), ועבירות של סיוע להונאה בכרטיסי חיוב, סיוע לפריצה לרכב, החזקת כלי פריצה לרכב, וגניבה מרכב (הרשעה מיום 25.10.2017) – בגין כולן יחד הוטלו עליו 7 חודשי מאסר בפועל. כמו כן, לחובת </w:t>
      </w:r>
      <w:r>
        <w:rPr>
          <w:rFonts w:ascii="David" w:hAnsi="David" w:hint="cs"/>
          <w:rtl/>
        </w:rPr>
        <w:t>ה</w:t>
      </w:r>
      <w:r>
        <w:rPr>
          <w:rFonts w:ascii="David" w:hAnsi="David"/>
          <w:rtl/>
        </w:rPr>
        <w:t xml:space="preserve">נאשם </w:t>
      </w:r>
      <w:r>
        <w:rPr>
          <w:rFonts w:ascii="David" w:hAnsi="David" w:hint="cs"/>
          <w:rtl/>
        </w:rPr>
        <w:t>7</w:t>
      </w:r>
      <w:r w:rsidRPr="007E5C6A">
        <w:rPr>
          <w:rFonts w:ascii="David" w:hAnsi="David"/>
          <w:rtl/>
        </w:rPr>
        <w:t xml:space="preserve"> הרשעות תעבורה קודמות, בין היתר בעבירות הבאות: נהיגה בפסילת רישיון, עצירה המפריעה לתנועה, נהיגה ללא רישיון נהיגה, נהיגה במהירות מעל המותר, עקיפה תוך חציית קו הפרדה רצוף. ההרשעה האחרונה מיום 23.2.2021. כמו כן לחובתו מאסר על תנאי בן 7 חודשים למשך 3 שנים – אליו אתייחס בנפרד בפרק הבא. </w:t>
      </w:r>
    </w:p>
    <w:p w14:paraId="0462702B" w14:textId="77777777" w:rsidR="005C2763" w:rsidRPr="007E5C6A" w:rsidRDefault="005C2763" w:rsidP="005C2763">
      <w:pPr>
        <w:spacing w:line="360" w:lineRule="auto"/>
        <w:ind w:firstLine="283"/>
        <w:contextualSpacing/>
        <w:jc w:val="both"/>
        <w:rPr>
          <w:rFonts w:ascii="David" w:hAnsi="David"/>
          <w:rtl/>
        </w:rPr>
      </w:pPr>
    </w:p>
    <w:p w14:paraId="4F75DA43" w14:textId="77777777" w:rsidR="005C2763" w:rsidRPr="007E5C6A" w:rsidRDefault="005C2763" w:rsidP="005C2763">
      <w:pPr>
        <w:spacing w:line="360" w:lineRule="auto"/>
        <w:rPr>
          <w:rFonts w:ascii="Arial" w:hAnsi="Arial"/>
          <w:rtl/>
        </w:rPr>
      </w:pPr>
      <w:r w:rsidRPr="007E5C6A">
        <w:rPr>
          <w:rFonts w:ascii="Arial" w:hAnsi="Arial"/>
          <w:rtl/>
        </w:rPr>
        <w:t>(-) הנאשם הוד</w:t>
      </w:r>
      <w:r>
        <w:rPr>
          <w:rFonts w:ascii="Arial" w:hAnsi="Arial" w:hint="cs"/>
          <w:rtl/>
        </w:rPr>
        <w:t>ה</w:t>
      </w:r>
      <w:r w:rsidRPr="007E5C6A">
        <w:rPr>
          <w:rFonts w:ascii="Arial" w:hAnsi="Arial"/>
          <w:rtl/>
        </w:rPr>
        <w:t xml:space="preserve"> בביצוע העבירות והביע חרטה על מעשי</w:t>
      </w:r>
      <w:r>
        <w:rPr>
          <w:rFonts w:ascii="Arial" w:hAnsi="Arial" w:hint="cs"/>
          <w:rtl/>
        </w:rPr>
        <w:t>ו</w:t>
      </w:r>
      <w:r w:rsidRPr="007E5C6A">
        <w:rPr>
          <w:rFonts w:ascii="Arial" w:hAnsi="Arial"/>
          <w:rtl/>
        </w:rPr>
        <w:t xml:space="preserve">. </w:t>
      </w:r>
    </w:p>
    <w:p w14:paraId="77430F57" w14:textId="77777777" w:rsidR="005C2763" w:rsidRPr="007E5C6A" w:rsidRDefault="005C2763" w:rsidP="005C2763">
      <w:pPr>
        <w:spacing w:line="360" w:lineRule="auto"/>
        <w:rPr>
          <w:rFonts w:ascii="Arial" w:hAnsi="Arial"/>
          <w:rtl/>
        </w:rPr>
      </w:pPr>
    </w:p>
    <w:p w14:paraId="62B06833" w14:textId="77777777" w:rsidR="005C2763" w:rsidRPr="007E5C6A" w:rsidRDefault="005C2763" w:rsidP="005C2763">
      <w:pPr>
        <w:spacing w:line="360" w:lineRule="auto"/>
        <w:jc w:val="both"/>
        <w:rPr>
          <w:rFonts w:ascii="Arial" w:hAnsi="Arial"/>
          <w:rtl/>
        </w:rPr>
      </w:pPr>
      <w:r w:rsidRPr="007E5C6A">
        <w:rPr>
          <w:rFonts w:ascii="Arial" w:hAnsi="Arial"/>
          <w:rtl/>
        </w:rPr>
        <w:t>(-) התחשבתי בתקופה בה הנאשם הי</w:t>
      </w:r>
      <w:r>
        <w:rPr>
          <w:rFonts w:ascii="Arial" w:hAnsi="Arial" w:hint="cs"/>
          <w:rtl/>
        </w:rPr>
        <w:t>ה</w:t>
      </w:r>
      <w:r w:rsidRPr="007E5C6A">
        <w:rPr>
          <w:rFonts w:ascii="Arial" w:hAnsi="Arial"/>
          <w:rtl/>
        </w:rPr>
        <w:t xml:space="preserve"> נתו</w:t>
      </w:r>
      <w:r>
        <w:rPr>
          <w:rFonts w:ascii="Arial" w:hAnsi="Arial" w:hint="cs"/>
          <w:rtl/>
        </w:rPr>
        <w:t>ן</w:t>
      </w:r>
      <w:r w:rsidRPr="007E5C6A">
        <w:rPr>
          <w:rFonts w:ascii="Arial" w:hAnsi="Arial"/>
          <w:rtl/>
        </w:rPr>
        <w:t xml:space="preserve"> במעצר עד תום ההליכים –</w:t>
      </w:r>
      <w:r>
        <w:rPr>
          <w:rFonts w:ascii="Arial" w:hAnsi="Arial" w:hint="cs"/>
          <w:rtl/>
        </w:rPr>
        <w:t xml:space="preserve"> </w:t>
      </w:r>
      <w:r w:rsidRPr="007E5C6A">
        <w:rPr>
          <w:rFonts w:ascii="Arial" w:hAnsi="Arial"/>
          <w:rtl/>
        </w:rPr>
        <w:t>מיום</w:t>
      </w:r>
      <w:r>
        <w:rPr>
          <w:rFonts w:ascii="Arial" w:hAnsi="Arial" w:hint="cs"/>
          <w:rtl/>
        </w:rPr>
        <w:t xml:space="preserve"> </w:t>
      </w:r>
      <w:r>
        <w:rPr>
          <w:rFonts w:ascii="Arial" w:hAnsi="Arial"/>
          <w:rtl/>
        </w:rPr>
        <w:t xml:space="preserve">23.3.2022 </w:t>
      </w:r>
      <w:r w:rsidRPr="007E5C6A">
        <w:rPr>
          <w:rFonts w:ascii="Arial" w:hAnsi="Arial"/>
          <w:rtl/>
        </w:rPr>
        <w:t>עד ליום 14.6.2022, לאחר מכן היה עצור בפיקוח אלקטרוני, שב למעצר מיוזמתו ביום 25.8.2022, ושו</w:t>
      </w:r>
      <w:r>
        <w:rPr>
          <w:rFonts w:ascii="Arial" w:hAnsi="Arial"/>
          <w:rtl/>
        </w:rPr>
        <w:t>חרר לחלופת מעצר ביום 27.10.2022</w:t>
      </w:r>
      <w:r>
        <w:rPr>
          <w:rFonts w:ascii="Arial" w:hAnsi="Arial" w:hint="cs"/>
          <w:rtl/>
        </w:rPr>
        <w:t xml:space="preserve">. </w:t>
      </w:r>
      <w:r w:rsidRPr="007E5C6A">
        <w:rPr>
          <w:rFonts w:ascii="Arial" w:hAnsi="Arial"/>
          <w:rtl/>
        </w:rPr>
        <w:t xml:space="preserve"> </w:t>
      </w:r>
    </w:p>
    <w:p w14:paraId="249A6670" w14:textId="77777777" w:rsidR="005C2763" w:rsidRPr="007E5C6A" w:rsidRDefault="005C2763" w:rsidP="005C2763">
      <w:pPr>
        <w:spacing w:line="360" w:lineRule="auto"/>
        <w:jc w:val="both"/>
        <w:rPr>
          <w:rFonts w:ascii="Arial" w:hAnsi="Arial"/>
          <w:rtl/>
        </w:rPr>
      </w:pPr>
    </w:p>
    <w:p w14:paraId="52589E78" w14:textId="77777777" w:rsidR="005C2763" w:rsidRPr="007E5C6A" w:rsidRDefault="005C2763" w:rsidP="005C2763">
      <w:pPr>
        <w:numPr>
          <w:ilvl w:val="0"/>
          <w:numId w:val="1"/>
        </w:numPr>
        <w:spacing w:line="360" w:lineRule="auto"/>
        <w:contextualSpacing/>
        <w:jc w:val="both"/>
        <w:rPr>
          <w:rFonts w:ascii="Arial" w:hAnsi="Arial"/>
          <w:rtl/>
        </w:rPr>
      </w:pPr>
      <w:r w:rsidRPr="007E5C6A">
        <w:rPr>
          <w:rFonts w:ascii="Arial" w:hAnsi="Arial"/>
          <w:rtl/>
        </w:rPr>
        <w:t>אעבור עתה לדון במאסר המותנ</w:t>
      </w:r>
      <w:r>
        <w:rPr>
          <w:rFonts w:ascii="Arial" w:hAnsi="Arial" w:hint="cs"/>
          <w:rtl/>
        </w:rPr>
        <w:t>ה</w:t>
      </w:r>
      <w:r w:rsidRPr="007E5C6A">
        <w:rPr>
          <w:rFonts w:ascii="Arial" w:hAnsi="Arial"/>
          <w:rtl/>
        </w:rPr>
        <w:t xml:space="preserve"> שתלוי עומד נגד הנאשם ולאחר מכן אשוב ואסכם את הדברים.</w:t>
      </w:r>
    </w:p>
    <w:p w14:paraId="2CC43BE2" w14:textId="77777777" w:rsidR="005C2763" w:rsidRPr="007E5C6A" w:rsidRDefault="005C2763" w:rsidP="005C2763">
      <w:pPr>
        <w:spacing w:line="360" w:lineRule="auto"/>
        <w:contextualSpacing/>
        <w:jc w:val="both"/>
        <w:rPr>
          <w:rFonts w:ascii="Arial" w:hAnsi="Arial"/>
        </w:rPr>
      </w:pPr>
    </w:p>
    <w:p w14:paraId="7F3A2237" w14:textId="77777777" w:rsidR="005C2763" w:rsidRPr="007E5C6A" w:rsidRDefault="005C2763" w:rsidP="005C2763">
      <w:pPr>
        <w:spacing w:line="360" w:lineRule="auto"/>
        <w:contextualSpacing/>
        <w:jc w:val="both"/>
        <w:rPr>
          <w:rFonts w:ascii="Arial" w:hAnsi="Arial"/>
          <w:b/>
          <w:bCs/>
          <w:rtl/>
        </w:rPr>
      </w:pPr>
      <w:r w:rsidRPr="007E5C6A">
        <w:rPr>
          <w:rFonts w:ascii="Arial" w:hAnsi="Arial"/>
          <w:b/>
          <w:bCs/>
          <w:rtl/>
        </w:rPr>
        <w:t>המאסר המותנ</w:t>
      </w:r>
      <w:r>
        <w:rPr>
          <w:rFonts w:ascii="Arial" w:hAnsi="Arial" w:hint="cs"/>
          <w:b/>
          <w:bCs/>
          <w:rtl/>
        </w:rPr>
        <w:t>ה</w:t>
      </w:r>
    </w:p>
    <w:p w14:paraId="743FA55E" w14:textId="77777777" w:rsidR="005C2763" w:rsidRPr="007E5C6A" w:rsidRDefault="005C2763" w:rsidP="005C2763">
      <w:pPr>
        <w:spacing w:line="360" w:lineRule="auto"/>
        <w:contextualSpacing/>
        <w:jc w:val="both"/>
        <w:rPr>
          <w:rFonts w:ascii="Arial" w:hAnsi="Arial"/>
          <w:rtl/>
        </w:rPr>
      </w:pPr>
    </w:p>
    <w:p w14:paraId="48B7FE0F" w14:textId="77777777" w:rsidR="005C2763" w:rsidRPr="007E5C6A" w:rsidRDefault="005C2763" w:rsidP="005C2763">
      <w:pPr>
        <w:numPr>
          <w:ilvl w:val="0"/>
          <w:numId w:val="1"/>
        </w:numPr>
        <w:spacing w:line="360" w:lineRule="auto"/>
        <w:contextualSpacing/>
        <w:jc w:val="both"/>
        <w:rPr>
          <w:rFonts w:ascii="Arial" w:hAnsi="Arial"/>
          <w:rtl/>
        </w:rPr>
      </w:pPr>
      <w:r w:rsidRPr="007E5C6A">
        <w:rPr>
          <w:rFonts w:ascii="Arial" w:hAnsi="Arial"/>
          <w:rtl/>
        </w:rPr>
        <w:t xml:space="preserve">בגזר הדין שניתן בתיק </w:t>
      </w:r>
      <w:hyperlink r:id="rId90" w:history="1">
        <w:r w:rsidR="008B3A91" w:rsidRPr="008B3A91">
          <w:rPr>
            <w:rFonts w:ascii="Arial" w:hAnsi="Arial"/>
            <w:color w:val="0000FF"/>
            <w:u w:val="single"/>
            <w:rtl/>
          </w:rPr>
          <w:t>פ"ל (תעבורה עכו) 2705-08-19</w:t>
        </w:r>
      </w:hyperlink>
      <w:r w:rsidRPr="007E5C6A">
        <w:rPr>
          <w:rFonts w:ascii="Arial" w:hAnsi="Arial"/>
          <w:rtl/>
        </w:rPr>
        <w:t xml:space="preserve"> ביום 23.9.2019 הוטל על הנאשם מאסר על תנאי בן 7 חודשים לפיו הנאשם לא יעבור על </w:t>
      </w:r>
      <w:hyperlink r:id="rId91" w:history="1">
        <w:r w:rsidR="003201D6" w:rsidRPr="003201D6">
          <w:rPr>
            <w:rStyle w:val="Hyperlink"/>
            <w:rFonts w:ascii="Arial" w:hAnsi="Arial"/>
            <w:rtl/>
          </w:rPr>
          <w:t>סעיף 10(א)</w:t>
        </w:r>
      </w:hyperlink>
      <w:r w:rsidRPr="007E5C6A">
        <w:rPr>
          <w:rFonts w:ascii="Arial" w:hAnsi="Arial"/>
          <w:rtl/>
        </w:rPr>
        <w:t xml:space="preserve"> או  סעיף </w:t>
      </w:r>
      <w:hyperlink r:id="rId92" w:history="1">
        <w:r w:rsidR="003201D6" w:rsidRPr="003201D6">
          <w:rPr>
            <w:rStyle w:val="Hyperlink"/>
            <w:rFonts w:ascii="Arial" w:hAnsi="Arial"/>
            <w:rtl/>
          </w:rPr>
          <w:t>67</w:t>
        </w:r>
      </w:hyperlink>
      <w:r w:rsidRPr="007E5C6A">
        <w:rPr>
          <w:rFonts w:ascii="Arial" w:hAnsi="Arial"/>
          <w:rtl/>
        </w:rPr>
        <w:t xml:space="preserve"> ל</w:t>
      </w:r>
      <w:hyperlink r:id="rId93" w:history="1">
        <w:r w:rsidR="008B3A91" w:rsidRPr="008B3A91">
          <w:rPr>
            <w:rFonts w:ascii="Arial" w:hAnsi="Arial"/>
            <w:color w:val="0000FF"/>
            <w:u w:val="single"/>
            <w:rtl/>
          </w:rPr>
          <w:t>פקודת התעבורה</w:t>
        </w:r>
      </w:hyperlink>
      <w:r w:rsidRPr="007E5C6A">
        <w:rPr>
          <w:rFonts w:ascii="Arial" w:hAnsi="Arial"/>
          <w:rtl/>
        </w:rPr>
        <w:t>.  בהליך זה הורשע הנאשם בעבירה של נהיגה בזמן פסילה לפי סע</w:t>
      </w:r>
      <w:r>
        <w:rPr>
          <w:rFonts w:ascii="Arial" w:hAnsi="Arial" w:hint="cs"/>
          <w:rtl/>
        </w:rPr>
        <w:t>יפים</w:t>
      </w:r>
      <w:r w:rsidRPr="007E5C6A">
        <w:rPr>
          <w:rFonts w:ascii="Arial" w:hAnsi="Arial"/>
          <w:rtl/>
        </w:rPr>
        <w:t xml:space="preserve"> </w:t>
      </w:r>
      <w:hyperlink r:id="rId94" w:history="1">
        <w:r w:rsidR="003201D6" w:rsidRPr="003201D6">
          <w:rPr>
            <w:rStyle w:val="Hyperlink"/>
            <w:rFonts w:ascii="Arial" w:hAnsi="Arial"/>
            <w:rtl/>
          </w:rPr>
          <w:t>67</w:t>
        </w:r>
      </w:hyperlink>
      <w:r w:rsidRPr="007E5C6A">
        <w:rPr>
          <w:rFonts w:ascii="Arial" w:hAnsi="Arial"/>
          <w:rtl/>
        </w:rPr>
        <w:t xml:space="preserve"> + </w:t>
      </w:r>
      <w:hyperlink r:id="rId95" w:history="1">
        <w:r w:rsidR="003201D6" w:rsidRPr="003201D6">
          <w:rPr>
            <w:rStyle w:val="Hyperlink"/>
            <w:rFonts w:ascii="Arial" w:hAnsi="Arial"/>
            <w:rtl/>
          </w:rPr>
          <w:t>62(1)</w:t>
        </w:r>
      </w:hyperlink>
      <w:r w:rsidRPr="007E5C6A">
        <w:rPr>
          <w:rFonts w:ascii="Arial" w:hAnsi="Arial"/>
          <w:rtl/>
        </w:rPr>
        <w:t xml:space="preserve"> ל</w:t>
      </w:r>
      <w:hyperlink r:id="rId96" w:history="1">
        <w:r w:rsidR="008B3A91" w:rsidRPr="008B3A91">
          <w:rPr>
            <w:rFonts w:ascii="Arial" w:hAnsi="Arial"/>
            <w:color w:val="0000FF"/>
            <w:u w:val="single"/>
            <w:rtl/>
          </w:rPr>
          <w:t>פקודת התעבורה</w:t>
        </w:r>
      </w:hyperlink>
      <w:r w:rsidRPr="007E5C6A">
        <w:rPr>
          <w:rFonts w:ascii="Arial" w:hAnsi="Arial"/>
          <w:rtl/>
        </w:rPr>
        <w:t>, אשר בוצעה ביום 23.3.2022, בתוך תקופת התנאי</w:t>
      </w:r>
      <w:r>
        <w:rPr>
          <w:rFonts w:ascii="Arial" w:hAnsi="Arial" w:hint="cs"/>
          <w:rtl/>
        </w:rPr>
        <w:t>.</w:t>
      </w:r>
      <w:r w:rsidRPr="007E5C6A">
        <w:rPr>
          <w:rFonts w:ascii="Arial" w:hAnsi="Arial"/>
          <w:rtl/>
        </w:rPr>
        <w:t xml:space="preserve"> המסקנה </w:t>
      </w:r>
      <w:r>
        <w:rPr>
          <w:rFonts w:ascii="Arial" w:hAnsi="Arial" w:hint="cs"/>
          <w:rtl/>
        </w:rPr>
        <w:t xml:space="preserve">אפוא </w:t>
      </w:r>
      <w:r w:rsidRPr="007E5C6A">
        <w:rPr>
          <w:rFonts w:ascii="Arial" w:hAnsi="Arial"/>
          <w:rtl/>
        </w:rPr>
        <w:t xml:space="preserve">ברורה – הרשעת הנאשם בתיק זה מקיימת </w:t>
      </w:r>
      <w:r>
        <w:rPr>
          <w:rFonts w:ascii="Arial" w:hAnsi="Arial" w:hint="cs"/>
          <w:rtl/>
        </w:rPr>
        <w:t xml:space="preserve">את </w:t>
      </w:r>
      <w:r w:rsidRPr="007E5C6A">
        <w:rPr>
          <w:rFonts w:ascii="Arial" w:hAnsi="Arial"/>
          <w:rtl/>
        </w:rPr>
        <w:t>התנאי והופכת את ה</w:t>
      </w:r>
      <w:r>
        <w:rPr>
          <w:rFonts w:ascii="Arial" w:hAnsi="Arial" w:hint="cs"/>
          <w:rtl/>
        </w:rPr>
        <w:t>מאסר המותנה ל</w:t>
      </w:r>
      <w:r w:rsidRPr="007E5C6A">
        <w:rPr>
          <w:rFonts w:ascii="Arial" w:hAnsi="Arial"/>
          <w:rtl/>
        </w:rPr>
        <w:t xml:space="preserve">בר-הפעלה. </w:t>
      </w:r>
    </w:p>
    <w:p w14:paraId="559A697A" w14:textId="77777777" w:rsidR="005C2763" w:rsidRPr="007E5C6A" w:rsidRDefault="005C2763" w:rsidP="005C2763">
      <w:pPr>
        <w:spacing w:line="360" w:lineRule="auto"/>
        <w:contextualSpacing/>
        <w:jc w:val="both"/>
        <w:rPr>
          <w:rFonts w:ascii="Arial" w:hAnsi="Arial"/>
        </w:rPr>
      </w:pPr>
    </w:p>
    <w:p w14:paraId="1FCD59F8" w14:textId="77777777" w:rsidR="005C2763" w:rsidRPr="007E5C6A" w:rsidRDefault="005C2763" w:rsidP="005C2763">
      <w:pPr>
        <w:numPr>
          <w:ilvl w:val="0"/>
          <w:numId w:val="1"/>
        </w:numPr>
        <w:spacing w:line="360" w:lineRule="auto"/>
        <w:contextualSpacing/>
        <w:jc w:val="both"/>
        <w:rPr>
          <w:rFonts w:ascii="Arial" w:hAnsi="Arial"/>
        </w:rPr>
      </w:pPr>
      <w:r w:rsidRPr="007E5C6A">
        <w:rPr>
          <w:rFonts w:ascii="Arial" w:hAnsi="Arial"/>
          <w:rtl/>
        </w:rPr>
        <w:t>אין לקבל את טענת הסנגור לפי התנאי לא חל משום שמשך התנאי שהוטל חורג ממתחם העונש שנקבע בתיק בו הוטל התנאי. לעובדה כי בתיק בו הוטל התנאי נקבע מתחם שנע בין מאסר על תנאי לבי</w:t>
      </w:r>
      <w:r>
        <w:rPr>
          <w:rFonts w:ascii="Arial" w:hAnsi="Arial" w:hint="cs"/>
          <w:rtl/>
        </w:rPr>
        <w:t>ן</w:t>
      </w:r>
      <w:r w:rsidRPr="007E5C6A">
        <w:rPr>
          <w:rFonts w:ascii="Arial" w:hAnsi="Arial"/>
          <w:rtl/>
        </w:rPr>
        <w:t xml:space="preserve"> מאסר בפועל של מספר חודשים, אין כל קשר לקביעת התנאי, שכידוע הוא צופה פני עתיד ומצ</w:t>
      </w:r>
      <w:r>
        <w:rPr>
          <w:rFonts w:ascii="Arial" w:hAnsi="Arial" w:hint="cs"/>
          <w:rtl/>
        </w:rPr>
        <w:t>ט</w:t>
      </w:r>
      <w:r w:rsidRPr="007E5C6A">
        <w:rPr>
          <w:rFonts w:ascii="Arial" w:hAnsi="Arial"/>
          <w:rtl/>
        </w:rPr>
        <w:t>רף ליתר רכיבי הענישה. בוודאי שאין מקום לטענה כי רכיב זה של העונש "דינו להתבטל"</w:t>
      </w:r>
      <w:r>
        <w:rPr>
          <w:rFonts w:ascii="Arial" w:hAnsi="Arial" w:hint="cs"/>
          <w:rtl/>
        </w:rPr>
        <w:t>,</w:t>
      </w:r>
      <w:r w:rsidRPr="007E5C6A">
        <w:rPr>
          <w:rFonts w:ascii="Arial" w:hAnsi="Arial"/>
          <w:rtl/>
        </w:rPr>
        <w:t xml:space="preserve"> כלשון הסנגור. </w:t>
      </w:r>
    </w:p>
    <w:p w14:paraId="2401411C" w14:textId="77777777" w:rsidR="005C2763" w:rsidRPr="007E5C6A" w:rsidRDefault="005C2763" w:rsidP="005C2763">
      <w:pPr>
        <w:spacing w:line="360" w:lineRule="auto"/>
        <w:contextualSpacing/>
        <w:jc w:val="both"/>
        <w:rPr>
          <w:rFonts w:ascii="Arial" w:hAnsi="Arial"/>
        </w:rPr>
      </w:pPr>
    </w:p>
    <w:p w14:paraId="5F2B839F" w14:textId="77777777" w:rsidR="005C2763" w:rsidRPr="002F7411" w:rsidRDefault="005C2763" w:rsidP="005C2763">
      <w:pPr>
        <w:numPr>
          <w:ilvl w:val="0"/>
          <w:numId w:val="1"/>
        </w:numPr>
        <w:spacing w:line="360" w:lineRule="auto"/>
        <w:contextualSpacing/>
        <w:jc w:val="both"/>
        <w:rPr>
          <w:rFonts w:ascii="Arial" w:hAnsi="Arial"/>
        </w:rPr>
      </w:pPr>
      <w:r w:rsidRPr="007E5C6A">
        <w:rPr>
          <w:rFonts w:ascii="Arial" w:hAnsi="Arial"/>
          <w:rtl/>
        </w:rPr>
        <w:t xml:space="preserve">הנני דוחה מכל וכל את טענת הסנגור אשר מבקשת ליצור זיקה יש מאין </w:t>
      </w:r>
      <w:r>
        <w:rPr>
          <w:rFonts w:ascii="Arial" w:hAnsi="Arial"/>
          <w:rtl/>
        </w:rPr>
        <w:t>בין התנאי שהפעלתו עומדת על הפרק</w:t>
      </w:r>
      <w:r>
        <w:rPr>
          <w:rFonts w:ascii="Arial" w:hAnsi="Arial" w:hint="cs"/>
          <w:rtl/>
        </w:rPr>
        <w:t xml:space="preserve">, </w:t>
      </w:r>
      <w:r w:rsidRPr="002F7411">
        <w:rPr>
          <w:rFonts w:ascii="Arial" w:hAnsi="Arial"/>
          <w:rtl/>
        </w:rPr>
        <w:t>התיק הנוכחי</w:t>
      </w:r>
      <w:r>
        <w:rPr>
          <w:rFonts w:ascii="Arial" w:hAnsi="Arial" w:hint="cs"/>
          <w:rtl/>
        </w:rPr>
        <w:t xml:space="preserve">, </w:t>
      </w:r>
      <w:r w:rsidRPr="002F7411">
        <w:rPr>
          <w:rFonts w:ascii="Arial" w:hAnsi="Arial"/>
          <w:rtl/>
        </w:rPr>
        <w:t xml:space="preserve">ותיק נוסף בו הורשע הנאשם בתווך ביום 23.2.2021 בגין עבירה של נהיגה כאשר רישיון הנהיגה פקע מעל שנתיים, אשר בוצעה ביום 26.2.2019 (תיק פ"ל 2596-05-19).  מעבר לצריך יצוין כי גזר הדין בו הוטל התנאי ניתן לאחר גזר הדין בתיק פ"ל 2596-05-19, בו הורשע הנאשם בעבירות של נהיגה בזמן פסילה, פקיעת רישיון נהגיה ונהיגה ברכב </w:t>
      </w:r>
      <w:r w:rsidRPr="002F7411">
        <w:rPr>
          <w:rFonts w:ascii="Arial" w:hAnsi="Arial" w:hint="cs"/>
          <w:rtl/>
        </w:rPr>
        <w:t>שרישיונ</w:t>
      </w:r>
      <w:r w:rsidRPr="002F7411">
        <w:rPr>
          <w:rFonts w:ascii="Arial" w:hAnsi="Arial" w:hint="eastAsia"/>
          <w:rtl/>
        </w:rPr>
        <w:t>ו</w:t>
      </w:r>
      <w:r w:rsidRPr="002F7411">
        <w:rPr>
          <w:rFonts w:ascii="Arial" w:hAnsi="Arial"/>
          <w:rtl/>
        </w:rPr>
        <w:t xml:space="preserve"> לא תואם את סוג הרכב. </w:t>
      </w:r>
    </w:p>
    <w:p w14:paraId="23654A4C" w14:textId="77777777" w:rsidR="005C2763" w:rsidRPr="007E5C6A" w:rsidRDefault="005C2763" w:rsidP="005C2763">
      <w:pPr>
        <w:spacing w:line="360" w:lineRule="auto"/>
        <w:contextualSpacing/>
        <w:jc w:val="both"/>
        <w:rPr>
          <w:rFonts w:ascii="Arial" w:hAnsi="Arial"/>
          <w:rtl/>
        </w:rPr>
      </w:pPr>
    </w:p>
    <w:p w14:paraId="7FE00FC9" w14:textId="77777777" w:rsidR="005C2763" w:rsidRPr="007E5C6A" w:rsidRDefault="005C2763" w:rsidP="005C2763">
      <w:pPr>
        <w:numPr>
          <w:ilvl w:val="0"/>
          <w:numId w:val="1"/>
        </w:numPr>
        <w:spacing w:line="360" w:lineRule="auto"/>
        <w:contextualSpacing/>
        <w:jc w:val="both"/>
        <w:rPr>
          <w:rFonts w:ascii="Arial" w:hAnsi="Arial"/>
        </w:rPr>
      </w:pPr>
      <w:r w:rsidRPr="007E5C6A">
        <w:rPr>
          <w:rFonts w:ascii="Arial" w:hAnsi="Arial"/>
          <w:rtl/>
        </w:rPr>
        <w:t>הסנגור מעלה טענה חלופית לפיה ככל שיוחלט על הפעלת התנאי, יש להפעילו בחו</w:t>
      </w:r>
      <w:r>
        <w:rPr>
          <w:rFonts w:ascii="Arial" w:hAnsi="Arial" w:hint="cs"/>
          <w:rtl/>
        </w:rPr>
        <w:t>פ</w:t>
      </w:r>
      <w:r w:rsidRPr="007E5C6A">
        <w:rPr>
          <w:rFonts w:ascii="Arial" w:hAnsi="Arial"/>
          <w:rtl/>
        </w:rPr>
        <w:t xml:space="preserve">ף לעונש שיוטל בתיק זה. </w:t>
      </w:r>
      <w:r>
        <w:rPr>
          <w:rFonts w:ascii="Arial" w:hAnsi="Arial" w:hint="cs"/>
          <w:rtl/>
        </w:rPr>
        <w:t xml:space="preserve">לעניין טענה זו יצוין, כי </w:t>
      </w:r>
      <w:r w:rsidRPr="007E5C6A">
        <w:rPr>
          <w:rFonts w:ascii="Arial" w:hAnsi="Arial"/>
          <w:rtl/>
        </w:rPr>
        <w:t>ברירת המחדל היא שע</w:t>
      </w:r>
      <w:r>
        <w:rPr>
          <w:rFonts w:ascii="Arial" w:hAnsi="Arial"/>
          <w:rtl/>
        </w:rPr>
        <w:t xml:space="preserve">ונש מאסר מותנה יופעל במצטבר. </w:t>
      </w:r>
      <w:hyperlink r:id="rId97" w:history="1">
        <w:r w:rsidR="003201D6" w:rsidRPr="003201D6">
          <w:rPr>
            <w:rStyle w:val="Hyperlink"/>
            <w:rFonts w:ascii="Arial" w:hAnsi="Arial"/>
            <w:rtl/>
          </w:rPr>
          <w:t>סעיף 58</w:t>
        </w:r>
      </w:hyperlink>
      <w:r w:rsidRPr="007E5C6A">
        <w:rPr>
          <w:rFonts w:ascii="Arial" w:hAnsi="Arial"/>
          <w:rtl/>
        </w:rPr>
        <w:t xml:space="preserve"> ל</w:t>
      </w:r>
      <w:hyperlink r:id="rId98" w:history="1">
        <w:r w:rsidR="008B3A91" w:rsidRPr="008B3A91">
          <w:rPr>
            <w:rFonts w:ascii="Arial" w:hAnsi="Arial"/>
            <w:color w:val="0000FF"/>
            <w:u w:val="single"/>
            <w:rtl/>
          </w:rPr>
          <w:t>חוק העונשין</w:t>
        </w:r>
      </w:hyperlink>
      <w:r w:rsidRPr="007E5C6A">
        <w:rPr>
          <w:rFonts w:ascii="Arial" w:hAnsi="Arial"/>
          <w:rtl/>
        </w:rPr>
        <w:t xml:space="preserve"> קובע כי "</w:t>
      </w:r>
      <w:r w:rsidRPr="007E5C6A">
        <w:rPr>
          <w:rFonts w:ascii="Arial" w:hAnsi="Arial"/>
          <w:b/>
          <w:bCs/>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w:t>
      </w:r>
      <w:r w:rsidRPr="007E5C6A">
        <w:rPr>
          <w:rFonts w:ascii="Arial" w:hAnsi="Arial"/>
          <w:rtl/>
        </w:rPr>
        <w:t xml:space="preserve">". נדרשים </w:t>
      </w:r>
      <w:r>
        <w:rPr>
          <w:rFonts w:ascii="Arial" w:hAnsi="Arial" w:hint="cs"/>
          <w:rtl/>
        </w:rPr>
        <w:t xml:space="preserve">אפוא </w:t>
      </w:r>
      <w:r w:rsidRPr="007E5C6A">
        <w:rPr>
          <w:rFonts w:ascii="Arial" w:hAnsi="Arial"/>
          <w:rtl/>
        </w:rPr>
        <w:t>טעמים שיירשמו כ</w:t>
      </w:r>
      <w:r>
        <w:rPr>
          <w:rFonts w:ascii="Arial" w:hAnsi="Arial"/>
          <w:rtl/>
        </w:rPr>
        <w:t xml:space="preserve">די להורות על הפעלת התנאי בחופף </w:t>
      </w:r>
      <w:r>
        <w:rPr>
          <w:rFonts w:ascii="Arial" w:hAnsi="Arial" w:hint="cs"/>
          <w:rtl/>
        </w:rPr>
        <w:t>(</w:t>
      </w:r>
      <w:r w:rsidRPr="007E5C6A">
        <w:rPr>
          <w:rFonts w:ascii="Arial" w:hAnsi="Arial"/>
          <w:rtl/>
        </w:rPr>
        <w:t xml:space="preserve">ע"פ 3498/18 </w:t>
      </w:r>
      <w:r w:rsidRPr="007E5C6A">
        <w:rPr>
          <w:rFonts w:ascii="Arial" w:hAnsi="Arial"/>
          <w:b/>
          <w:bCs/>
          <w:rtl/>
        </w:rPr>
        <w:t>זרבאילוב נ' מדינת ישראל</w:t>
      </w:r>
      <w:r w:rsidRPr="007E5C6A">
        <w:rPr>
          <w:rFonts w:ascii="Arial" w:hAnsi="Arial"/>
          <w:rtl/>
        </w:rPr>
        <w:t xml:space="preserve">, פסקה 19 (15.09.2020); </w:t>
      </w:r>
      <w:hyperlink r:id="rId99" w:history="1">
        <w:r w:rsidR="008B3A91" w:rsidRPr="008B3A91">
          <w:rPr>
            <w:rFonts w:ascii="Arial" w:hAnsi="Arial"/>
            <w:color w:val="0000FF"/>
            <w:u w:val="single"/>
            <w:rtl/>
          </w:rPr>
          <w:t>ע"פ 2471/21</w:t>
        </w:r>
      </w:hyperlink>
      <w:r w:rsidRPr="007E5C6A">
        <w:rPr>
          <w:rFonts w:ascii="Arial" w:hAnsi="Arial"/>
          <w:rtl/>
        </w:rPr>
        <w:t xml:space="preserve"> </w:t>
      </w:r>
      <w:r w:rsidRPr="007E5C6A">
        <w:rPr>
          <w:rFonts w:ascii="Arial" w:hAnsi="Arial"/>
          <w:b/>
          <w:bCs/>
          <w:rtl/>
        </w:rPr>
        <w:t>מדינת ישראל נ' אבו ערישה</w:t>
      </w:r>
      <w:r w:rsidRPr="007E5C6A">
        <w:rPr>
          <w:rFonts w:ascii="Arial" w:hAnsi="Arial"/>
          <w:rtl/>
        </w:rPr>
        <w:t>, פסקה 12 (16.01.2022)). במקרה שלפנינו, איני סבור כי קיימים טעמים המצדיקים הפעלת התנאי בחופף באופן מלא. ראשית, העובדה כי תקופת התנאי הייתה לקראת סיומה ונ</w:t>
      </w:r>
      <w:r>
        <w:rPr>
          <w:rFonts w:ascii="Arial" w:hAnsi="Arial"/>
          <w:rtl/>
        </w:rPr>
        <w:t>ותרו</w:t>
      </w:r>
      <w:r>
        <w:rPr>
          <w:rFonts w:ascii="Arial" w:hAnsi="Arial" w:hint="cs"/>
          <w:rtl/>
        </w:rPr>
        <w:t xml:space="preserve"> מספר </w:t>
      </w:r>
      <w:r w:rsidRPr="007E5C6A">
        <w:rPr>
          <w:rFonts w:ascii="Arial" w:hAnsi="Arial"/>
          <w:rtl/>
        </w:rPr>
        <w:t>חודשים עד ל</w:t>
      </w:r>
      <w:r>
        <w:rPr>
          <w:rFonts w:ascii="Arial" w:hAnsi="Arial" w:hint="cs"/>
          <w:rtl/>
        </w:rPr>
        <w:t>תפוגתה,</w:t>
      </w:r>
      <w:r w:rsidRPr="007E5C6A">
        <w:rPr>
          <w:rFonts w:ascii="Arial" w:hAnsi="Arial"/>
          <w:rtl/>
        </w:rPr>
        <w:t xml:space="preserve"> אין בה כדי לסייע. תנאי שנקבע לתקופה </w:t>
      </w:r>
      <w:r w:rsidRPr="007E5C6A">
        <w:rPr>
          <w:rFonts w:ascii="Arial" w:hAnsi="Arial" w:hint="cs"/>
          <w:rtl/>
        </w:rPr>
        <w:t>מסוימת</w:t>
      </w:r>
      <w:r w:rsidRPr="007E5C6A">
        <w:rPr>
          <w:rFonts w:ascii="Arial" w:hAnsi="Arial"/>
          <w:rtl/>
        </w:rPr>
        <w:t xml:space="preserve"> לאחר שיקול דעת שמפעיל בית המשפט, לא נשחק </w:t>
      </w:r>
      <w:r>
        <w:rPr>
          <w:rFonts w:ascii="Arial" w:hAnsi="Arial"/>
          <w:rtl/>
        </w:rPr>
        <w:t>עם הימים</w:t>
      </w:r>
      <w:r>
        <w:rPr>
          <w:rFonts w:ascii="Arial" w:hAnsi="Arial" w:hint="cs"/>
          <w:rtl/>
        </w:rPr>
        <w:t xml:space="preserve"> ולא מאבד מתוקפו הנורמטיבי</w:t>
      </w:r>
      <w:r>
        <w:rPr>
          <w:rFonts w:ascii="Arial" w:hAnsi="Arial"/>
          <w:rtl/>
        </w:rPr>
        <w:t>. שנית, לנאשם 2 הרשעות קודמות בגינ</w:t>
      </w:r>
      <w:r>
        <w:rPr>
          <w:rFonts w:ascii="Arial" w:hAnsi="Arial" w:hint="cs"/>
          <w:rtl/>
        </w:rPr>
        <w:t>ן</w:t>
      </w:r>
      <w:r w:rsidRPr="007E5C6A">
        <w:rPr>
          <w:rFonts w:ascii="Arial" w:hAnsi="Arial"/>
          <w:rtl/>
        </w:rPr>
        <w:t xml:space="preserve"> ריצה עונש מאסר בפועל</w:t>
      </w:r>
      <w:r>
        <w:rPr>
          <w:rFonts w:ascii="Arial" w:hAnsi="Arial" w:hint="cs"/>
          <w:rtl/>
        </w:rPr>
        <w:t xml:space="preserve">; עברו התעבורתי </w:t>
      </w:r>
      <w:r w:rsidRPr="007E5C6A">
        <w:rPr>
          <w:rFonts w:ascii="Arial" w:hAnsi="Arial"/>
          <w:rtl/>
        </w:rPr>
        <w:t xml:space="preserve">כולל 7 הרשעות קודמות, 3 מתוכן בעבירה של נהיגה ללא רישיון נהיגה בתוקף, והרשעה אחת בעבירה של נהיגה בזמן פסילה. </w:t>
      </w:r>
      <w:r>
        <w:rPr>
          <w:rFonts w:ascii="Arial" w:hAnsi="Arial" w:hint="cs"/>
          <w:rtl/>
        </w:rPr>
        <w:t xml:space="preserve">עם זאת, </w:t>
      </w:r>
      <w:r w:rsidRPr="007E5C6A">
        <w:rPr>
          <w:rFonts w:ascii="Arial" w:hAnsi="Arial"/>
          <w:rtl/>
        </w:rPr>
        <w:t>יש להתחשב ביתר הנסיבות ש</w:t>
      </w:r>
      <w:r>
        <w:rPr>
          <w:rFonts w:ascii="Arial" w:hAnsi="Arial" w:hint="cs"/>
          <w:rtl/>
        </w:rPr>
        <w:t xml:space="preserve">בראשן </w:t>
      </w:r>
      <w:r w:rsidRPr="007E5C6A">
        <w:rPr>
          <w:rFonts w:ascii="Arial" w:hAnsi="Arial"/>
          <w:rtl/>
        </w:rPr>
        <w:t xml:space="preserve">הודאת הנאשם, </w:t>
      </w:r>
      <w:r>
        <w:rPr>
          <w:rFonts w:ascii="Arial" w:hAnsi="Arial" w:hint="cs"/>
          <w:rtl/>
        </w:rPr>
        <w:t xml:space="preserve">על אף </w:t>
      </w:r>
      <w:r w:rsidRPr="007E5C6A">
        <w:rPr>
          <w:rFonts w:ascii="Arial" w:hAnsi="Arial"/>
          <w:rtl/>
        </w:rPr>
        <w:t>שה</w:t>
      </w:r>
      <w:r>
        <w:rPr>
          <w:rFonts w:ascii="Arial" w:hAnsi="Arial" w:hint="cs"/>
          <w:rtl/>
        </w:rPr>
        <w:t xml:space="preserve">הודאה </w:t>
      </w:r>
      <w:r w:rsidRPr="007E5C6A">
        <w:rPr>
          <w:rFonts w:ascii="Arial" w:hAnsi="Arial"/>
          <w:rtl/>
        </w:rPr>
        <w:t xml:space="preserve">באה לאחר ניהול </w:t>
      </w:r>
      <w:r>
        <w:rPr>
          <w:rFonts w:ascii="Arial" w:hAnsi="Arial" w:hint="cs"/>
          <w:rtl/>
        </w:rPr>
        <w:t xml:space="preserve">של </w:t>
      </w:r>
      <w:r w:rsidRPr="007E5C6A">
        <w:rPr>
          <w:rFonts w:ascii="Arial" w:hAnsi="Arial"/>
          <w:rtl/>
        </w:rPr>
        <w:t xml:space="preserve">שלוש ישיבות הוכחות. </w:t>
      </w:r>
    </w:p>
    <w:p w14:paraId="51CA8B7A" w14:textId="77777777" w:rsidR="005C2763" w:rsidRPr="007E5C6A" w:rsidRDefault="005C2763" w:rsidP="005C2763">
      <w:pPr>
        <w:ind w:left="720"/>
        <w:contextualSpacing/>
        <w:rPr>
          <w:rFonts w:ascii="Arial" w:hAnsi="Arial"/>
          <w:rtl/>
        </w:rPr>
      </w:pPr>
    </w:p>
    <w:p w14:paraId="6255B217" w14:textId="77777777" w:rsidR="005C2763" w:rsidRPr="007E5C6A" w:rsidRDefault="005C2763" w:rsidP="005C2763">
      <w:pPr>
        <w:spacing w:line="360" w:lineRule="auto"/>
        <w:jc w:val="both"/>
        <w:rPr>
          <w:rFonts w:ascii="Arial" w:hAnsi="Arial"/>
          <w:b/>
          <w:bCs/>
          <w:rtl/>
        </w:rPr>
      </w:pPr>
      <w:r w:rsidRPr="007E5C6A">
        <w:rPr>
          <w:rFonts w:ascii="Arial" w:hAnsi="Arial"/>
          <w:b/>
          <w:bCs/>
          <w:rtl/>
        </w:rPr>
        <w:t>גזר הדין</w:t>
      </w:r>
    </w:p>
    <w:p w14:paraId="0C9E1658" w14:textId="77777777" w:rsidR="005C2763" w:rsidRPr="007E5C6A" w:rsidRDefault="005C2763" w:rsidP="005C2763">
      <w:pPr>
        <w:spacing w:line="360" w:lineRule="auto"/>
        <w:jc w:val="both"/>
        <w:rPr>
          <w:rFonts w:ascii="Arial" w:hAnsi="Arial"/>
          <w:rtl/>
        </w:rPr>
      </w:pPr>
    </w:p>
    <w:p w14:paraId="27CBD65B" w14:textId="77777777" w:rsidR="005C2763" w:rsidRPr="007E5C6A" w:rsidRDefault="005C2763" w:rsidP="005C2763">
      <w:pPr>
        <w:spacing w:line="360" w:lineRule="auto"/>
        <w:ind w:firstLine="567"/>
        <w:jc w:val="both"/>
        <w:rPr>
          <w:rFonts w:ascii="Arial" w:hAnsi="Arial"/>
          <w:rtl/>
        </w:rPr>
      </w:pPr>
      <w:r w:rsidRPr="007E5C6A">
        <w:rPr>
          <w:rFonts w:ascii="Arial" w:hAnsi="Arial"/>
          <w:rtl/>
        </w:rPr>
        <w:t>בשים לב למתחם העונש שקבעתי ולשיקולים הקשורים לגזירת העונש, אני גוזר על הנאשם את העונשים הבאים:</w:t>
      </w:r>
    </w:p>
    <w:p w14:paraId="51EB373A" w14:textId="77777777" w:rsidR="005C2763" w:rsidRPr="007E5C6A" w:rsidRDefault="005C2763" w:rsidP="005C2763">
      <w:pPr>
        <w:spacing w:line="360" w:lineRule="auto"/>
        <w:rPr>
          <w:rFonts w:ascii="Arial" w:hAnsi="Arial"/>
          <w:rtl/>
        </w:rPr>
      </w:pPr>
    </w:p>
    <w:p w14:paraId="47B28190" w14:textId="77777777" w:rsidR="005C2763" w:rsidRDefault="005C2763" w:rsidP="005C2763">
      <w:pPr>
        <w:numPr>
          <w:ilvl w:val="0"/>
          <w:numId w:val="2"/>
        </w:numPr>
        <w:spacing w:line="360" w:lineRule="auto"/>
        <w:ind w:left="1134" w:hanging="426"/>
        <w:contextualSpacing/>
        <w:jc w:val="both"/>
        <w:rPr>
          <w:rFonts w:ascii="Arial" w:hAnsi="Arial"/>
        </w:rPr>
      </w:pPr>
      <w:r w:rsidRPr="007E5C6A">
        <w:rPr>
          <w:rFonts w:ascii="Arial" w:hAnsi="Arial"/>
          <w:rtl/>
        </w:rPr>
        <w:t>מאסר בפועל לתקופה של 1</w:t>
      </w:r>
      <w:r>
        <w:rPr>
          <w:rFonts w:ascii="Arial" w:hAnsi="Arial" w:hint="cs"/>
          <w:rtl/>
        </w:rPr>
        <w:t>1</w:t>
      </w:r>
      <w:r w:rsidRPr="007E5C6A">
        <w:rPr>
          <w:rFonts w:ascii="Arial" w:hAnsi="Arial"/>
          <w:rtl/>
        </w:rPr>
        <w:t xml:space="preserve"> חודשים. </w:t>
      </w:r>
    </w:p>
    <w:p w14:paraId="262154D2" w14:textId="77777777" w:rsidR="005C2763" w:rsidRDefault="005C2763" w:rsidP="005C2763">
      <w:pPr>
        <w:spacing w:line="360" w:lineRule="auto"/>
        <w:ind w:left="720"/>
        <w:contextualSpacing/>
        <w:jc w:val="both"/>
        <w:rPr>
          <w:rFonts w:ascii="Arial" w:hAnsi="Arial"/>
        </w:rPr>
      </w:pPr>
    </w:p>
    <w:p w14:paraId="67BFB828" w14:textId="77777777" w:rsidR="005C2763" w:rsidRDefault="005C2763" w:rsidP="005C2763">
      <w:pPr>
        <w:numPr>
          <w:ilvl w:val="0"/>
          <w:numId w:val="2"/>
        </w:numPr>
        <w:spacing w:line="360" w:lineRule="auto"/>
        <w:ind w:left="1134" w:hanging="567"/>
        <w:contextualSpacing/>
        <w:jc w:val="both"/>
        <w:rPr>
          <w:rFonts w:ascii="Arial" w:hAnsi="Arial"/>
        </w:rPr>
      </w:pPr>
      <w:r w:rsidRPr="00C56AAA">
        <w:rPr>
          <w:rFonts w:ascii="Arial" w:hAnsi="Arial"/>
          <w:rtl/>
        </w:rPr>
        <w:t>אני מורה על הפעלת המאסר המותנה בן 7 חודשים שהוטל על הנאשם 2 ב</w:t>
      </w:r>
      <w:hyperlink r:id="rId100" w:history="1">
        <w:r w:rsidR="008B3A91" w:rsidRPr="008B3A91">
          <w:rPr>
            <w:rFonts w:ascii="Arial" w:hAnsi="Arial"/>
            <w:color w:val="0000FF"/>
            <w:u w:val="single"/>
            <w:rtl/>
          </w:rPr>
          <w:t>פ"ל (תעבורה עכו) 2705-08-19</w:t>
        </w:r>
      </w:hyperlink>
      <w:r w:rsidRPr="00C56AAA">
        <w:rPr>
          <w:rFonts w:ascii="Arial" w:hAnsi="Arial"/>
          <w:rtl/>
        </w:rPr>
        <w:t xml:space="preserve"> ביום 23.9.2019, באופן ש</w:t>
      </w:r>
      <w:r>
        <w:rPr>
          <w:rFonts w:ascii="Arial" w:hAnsi="Arial" w:hint="cs"/>
          <w:rtl/>
        </w:rPr>
        <w:t xml:space="preserve">חודשיים </w:t>
      </w:r>
      <w:r w:rsidRPr="00C56AAA">
        <w:rPr>
          <w:rFonts w:ascii="Arial" w:hAnsi="Arial"/>
          <w:rtl/>
        </w:rPr>
        <w:t>ממנו יהיו בחופף והיתר במצטבר לעונש שהוטל בתיק זה.</w:t>
      </w:r>
    </w:p>
    <w:p w14:paraId="4108B564" w14:textId="77777777" w:rsidR="005C2763" w:rsidRPr="00A30C4D" w:rsidRDefault="005C2763" w:rsidP="005C2763">
      <w:pPr>
        <w:pStyle w:val="a9"/>
        <w:rPr>
          <w:rFonts w:ascii="Arial" w:hAnsi="Arial"/>
          <w:rtl/>
        </w:rPr>
      </w:pPr>
    </w:p>
    <w:p w14:paraId="06239586" w14:textId="77777777" w:rsidR="005C2763" w:rsidRPr="00C56AAA" w:rsidRDefault="005C2763" w:rsidP="005C2763">
      <w:pPr>
        <w:numPr>
          <w:ilvl w:val="0"/>
          <w:numId w:val="2"/>
        </w:numPr>
        <w:spacing w:line="360" w:lineRule="auto"/>
        <w:ind w:left="1134" w:hanging="567"/>
        <w:contextualSpacing/>
        <w:jc w:val="both"/>
        <w:rPr>
          <w:rFonts w:ascii="Arial" w:hAnsi="Arial"/>
          <w:b/>
          <w:bCs/>
          <w:rtl/>
        </w:rPr>
      </w:pPr>
      <w:r w:rsidRPr="00C56AAA">
        <w:rPr>
          <w:rFonts w:ascii="Arial" w:hAnsi="Arial"/>
          <w:b/>
          <w:bCs/>
          <w:rtl/>
        </w:rPr>
        <w:t>סך הכל ירצה הנאשם</w:t>
      </w:r>
      <w:r>
        <w:rPr>
          <w:rFonts w:ascii="Arial" w:hAnsi="Arial" w:hint="cs"/>
          <w:b/>
          <w:bCs/>
          <w:rtl/>
        </w:rPr>
        <w:t xml:space="preserve"> 16</w:t>
      </w:r>
      <w:r w:rsidRPr="00C56AAA">
        <w:rPr>
          <w:rFonts w:ascii="Arial" w:hAnsi="Arial"/>
          <w:b/>
          <w:bCs/>
          <w:rtl/>
        </w:rPr>
        <w:t xml:space="preserve"> חודשי מאסר בפועל בניכוי ימי מעצרו כלהלן</w:t>
      </w:r>
      <w:r>
        <w:rPr>
          <w:rFonts w:ascii="Arial" w:hAnsi="Arial" w:hint="cs"/>
          <w:b/>
          <w:bCs/>
          <w:rtl/>
        </w:rPr>
        <w:t>: מיום</w:t>
      </w:r>
      <w:r w:rsidRPr="00C56AAA">
        <w:rPr>
          <w:rFonts w:ascii="Arial" w:hAnsi="Arial"/>
          <w:b/>
          <w:bCs/>
          <w:rtl/>
        </w:rPr>
        <w:t xml:space="preserve"> 23.3.2022  עד ליום 14.6.2022, וכן מיום 25.8.2022 עד ליום 27.10.2022. </w:t>
      </w:r>
    </w:p>
    <w:p w14:paraId="1E2BE124" w14:textId="77777777" w:rsidR="005C2763" w:rsidRPr="007E5C6A" w:rsidRDefault="005C2763" w:rsidP="005C2763">
      <w:pPr>
        <w:spacing w:line="360" w:lineRule="auto"/>
        <w:ind w:left="720"/>
        <w:contextualSpacing/>
        <w:rPr>
          <w:rFonts w:ascii="Arial" w:hAnsi="Arial"/>
          <w:rtl/>
        </w:rPr>
      </w:pPr>
    </w:p>
    <w:p w14:paraId="1468E30B" w14:textId="77777777" w:rsidR="005C2763" w:rsidRPr="007E5C6A" w:rsidRDefault="005C2763" w:rsidP="005C2763">
      <w:pPr>
        <w:numPr>
          <w:ilvl w:val="0"/>
          <w:numId w:val="2"/>
        </w:numPr>
        <w:spacing w:line="360" w:lineRule="auto"/>
        <w:ind w:left="1134" w:hanging="567"/>
        <w:contextualSpacing/>
        <w:jc w:val="both"/>
        <w:rPr>
          <w:rFonts w:ascii="Arial" w:hAnsi="Arial"/>
        </w:rPr>
      </w:pPr>
      <w:r w:rsidRPr="007E5C6A">
        <w:rPr>
          <w:rFonts w:ascii="Arial" w:hAnsi="Arial"/>
          <w:rtl/>
        </w:rPr>
        <w:t>מאסר על תנאי למשך 1</w:t>
      </w:r>
      <w:r>
        <w:rPr>
          <w:rFonts w:ascii="Arial" w:hAnsi="Arial" w:hint="cs"/>
          <w:rtl/>
        </w:rPr>
        <w:t>0</w:t>
      </w:r>
      <w:r w:rsidRPr="007E5C6A">
        <w:rPr>
          <w:rFonts w:ascii="Arial" w:hAnsi="Arial"/>
          <w:rtl/>
        </w:rPr>
        <w:t xml:space="preserve"> חודשים והתנאי כי הנאשם לא יעבור בתוך שלוש שנים עבירת נשק או עבירה של ירי מנשק חם; ואולם אם יורשע בעבירה מסוג עוון מבין עבירות אלו יישא ב- </w:t>
      </w:r>
      <w:r>
        <w:rPr>
          <w:rFonts w:ascii="Arial" w:hAnsi="Arial" w:hint="cs"/>
          <w:rtl/>
        </w:rPr>
        <w:t>5</w:t>
      </w:r>
      <w:r w:rsidRPr="007E5C6A">
        <w:rPr>
          <w:rFonts w:ascii="Arial" w:hAnsi="Arial"/>
          <w:rtl/>
        </w:rPr>
        <w:t xml:space="preserve"> חודשים בלבד מתוכם. </w:t>
      </w:r>
    </w:p>
    <w:p w14:paraId="16DAE2FB" w14:textId="77777777" w:rsidR="005C2763" w:rsidRPr="00C56AAA" w:rsidRDefault="005C2763" w:rsidP="005C2763">
      <w:pPr>
        <w:spacing w:line="360" w:lineRule="auto"/>
        <w:ind w:left="720"/>
        <w:contextualSpacing/>
        <w:rPr>
          <w:rFonts w:ascii="Arial" w:hAnsi="Arial"/>
        </w:rPr>
      </w:pPr>
    </w:p>
    <w:p w14:paraId="664283AF" w14:textId="77777777" w:rsidR="005C2763" w:rsidRPr="007E5C6A" w:rsidRDefault="005C2763" w:rsidP="005C2763">
      <w:pPr>
        <w:numPr>
          <w:ilvl w:val="0"/>
          <w:numId w:val="2"/>
        </w:numPr>
        <w:spacing w:line="360" w:lineRule="auto"/>
        <w:ind w:left="1134" w:hanging="567"/>
        <w:contextualSpacing/>
        <w:jc w:val="both"/>
        <w:rPr>
          <w:rFonts w:ascii="Arial" w:hAnsi="Arial"/>
        </w:rPr>
      </w:pPr>
      <w:r w:rsidRPr="007E5C6A">
        <w:rPr>
          <w:rFonts w:ascii="Arial" w:hAnsi="Arial"/>
          <w:rtl/>
        </w:rPr>
        <w:t xml:space="preserve">מאסר על תנאי למשך 10 חודשים והתנאי כי הנאשם לא </w:t>
      </w:r>
      <w:r>
        <w:rPr>
          <w:rFonts w:ascii="Arial" w:hAnsi="Arial"/>
          <w:rtl/>
        </w:rPr>
        <w:t xml:space="preserve">יעבור בתוך שלוש שנים, עבירה </w:t>
      </w:r>
      <w:r>
        <w:rPr>
          <w:rFonts w:ascii="Arial" w:hAnsi="Arial" w:hint="cs"/>
          <w:rtl/>
        </w:rPr>
        <w:t xml:space="preserve">של </w:t>
      </w:r>
      <w:r w:rsidRPr="007E5C6A">
        <w:rPr>
          <w:rFonts w:ascii="Arial" w:hAnsi="Arial"/>
          <w:rtl/>
        </w:rPr>
        <w:t xml:space="preserve">נהיגה בפסילה או ללא רישיון נהיגה בתוקף. </w:t>
      </w:r>
    </w:p>
    <w:p w14:paraId="20C2BBE0" w14:textId="77777777" w:rsidR="005C2763" w:rsidRPr="007E5C6A" w:rsidRDefault="005C2763" w:rsidP="005C2763">
      <w:pPr>
        <w:ind w:left="720"/>
        <w:contextualSpacing/>
        <w:rPr>
          <w:rFonts w:ascii="Arial" w:hAnsi="Arial"/>
        </w:rPr>
      </w:pPr>
    </w:p>
    <w:p w14:paraId="69AE380B" w14:textId="77777777" w:rsidR="005C2763" w:rsidRPr="007E5C6A" w:rsidRDefault="005C2763" w:rsidP="005C2763">
      <w:pPr>
        <w:numPr>
          <w:ilvl w:val="0"/>
          <w:numId w:val="2"/>
        </w:numPr>
        <w:spacing w:line="360" w:lineRule="auto"/>
        <w:ind w:left="1134" w:hanging="567"/>
        <w:contextualSpacing/>
        <w:jc w:val="both"/>
        <w:rPr>
          <w:rFonts w:ascii="Arial" w:hAnsi="Arial"/>
          <w:rtl/>
        </w:rPr>
      </w:pPr>
      <w:r w:rsidRPr="007E5C6A">
        <w:rPr>
          <w:rFonts w:ascii="Arial" w:hAnsi="Arial"/>
          <w:rtl/>
        </w:rPr>
        <w:t>אני פוסל את הנאשם מ</w:t>
      </w:r>
      <w:r>
        <w:rPr>
          <w:rFonts w:ascii="Arial" w:hAnsi="Arial" w:hint="cs"/>
          <w:rtl/>
        </w:rPr>
        <w:t>לקבל או להחזיק</w:t>
      </w:r>
      <w:r w:rsidRPr="007E5C6A">
        <w:rPr>
          <w:rFonts w:ascii="Arial" w:hAnsi="Arial"/>
          <w:rtl/>
        </w:rPr>
        <w:t xml:space="preserve"> רישיון נהיגה ל</w:t>
      </w:r>
      <w:r>
        <w:rPr>
          <w:rFonts w:ascii="Arial" w:hAnsi="Arial" w:hint="cs"/>
          <w:rtl/>
        </w:rPr>
        <w:t>תקופה של</w:t>
      </w:r>
      <w:r w:rsidRPr="007E5C6A">
        <w:rPr>
          <w:rFonts w:ascii="Arial" w:hAnsi="Arial"/>
          <w:rtl/>
        </w:rPr>
        <w:t xml:space="preserve"> </w:t>
      </w:r>
      <w:r>
        <w:rPr>
          <w:rFonts w:ascii="Arial" w:hAnsi="Arial" w:hint="cs"/>
          <w:rtl/>
        </w:rPr>
        <w:t>30</w:t>
      </w:r>
      <w:r w:rsidRPr="007E5C6A">
        <w:rPr>
          <w:rFonts w:ascii="Arial" w:hAnsi="Arial"/>
          <w:rtl/>
        </w:rPr>
        <w:t xml:space="preserve"> חודשים מיום שחרורו ממאסר.</w:t>
      </w:r>
    </w:p>
    <w:p w14:paraId="5BA8FCA0" w14:textId="77777777" w:rsidR="005C2763" w:rsidRPr="007E5C6A" w:rsidRDefault="005C2763" w:rsidP="005C2763">
      <w:pPr>
        <w:ind w:left="720"/>
        <w:contextualSpacing/>
        <w:rPr>
          <w:rFonts w:ascii="Arial" w:hAnsi="Arial"/>
        </w:rPr>
      </w:pPr>
    </w:p>
    <w:p w14:paraId="7CF05EE9" w14:textId="77777777" w:rsidR="005C2763" w:rsidRDefault="005C2763" w:rsidP="005C2763">
      <w:pPr>
        <w:numPr>
          <w:ilvl w:val="0"/>
          <w:numId w:val="2"/>
        </w:numPr>
        <w:spacing w:line="360" w:lineRule="auto"/>
        <w:ind w:left="1134" w:hanging="567"/>
        <w:contextualSpacing/>
        <w:jc w:val="both"/>
        <w:rPr>
          <w:rFonts w:ascii="Arial" w:hAnsi="Arial"/>
        </w:rPr>
      </w:pPr>
      <w:r w:rsidRPr="007E5C6A">
        <w:rPr>
          <w:rFonts w:ascii="Arial" w:hAnsi="Arial"/>
          <w:rtl/>
        </w:rPr>
        <w:t>אני פוסל את הנאשם מ</w:t>
      </w:r>
      <w:r>
        <w:rPr>
          <w:rFonts w:ascii="Arial" w:hAnsi="Arial" w:hint="cs"/>
          <w:rtl/>
        </w:rPr>
        <w:t>להחזיק או לקבל</w:t>
      </w:r>
      <w:r w:rsidRPr="007E5C6A">
        <w:rPr>
          <w:rFonts w:ascii="Arial" w:hAnsi="Arial"/>
          <w:rtl/>
        </w:rPr>
        <w:t xml:space="preserve"> רישיון נהיגה ל</w:t>
      </w:r>
      <w:r>
        <w:rPr>
          <w:rFonts w:ascii="Arial" w:hAnsi="Arial" w:hint="cs"/>
          <w:rtl/>
        </w:rPr>
        <w:t xml:space="preserve">תקופה של </w:t>
      </w:r>
      <w:r w:rsidRPr="007E5C6A">
        <w:rPr>
          <w:rFonts w:ascii="Arial" w:hAnsi="Arial"/>
          <w:rtl/>
        </w:rPr>
        <w:t>8 חודשים</w:t>
      </w:r>
      <w:r>
        <w:rPr>
          <w:rFonts w:ascii="Arial" w:hAnsi="Arial" w:hint="cs"/>
          <w:rtl/>
        </w:rPr>
        <w:t xml:space="preserve"> וזאת </w:t>
      </w:r>
      <w:r w:rsidRPr="007E5C6A">
        <w:rPr>
          <w:rFonts w:ascii="Arial" w:hAnsi="Arial"/>
          <w:rtl/>
        </w:rPr>
        <w:t xml:space="preserve">על תנאי </w:t>
      </w:r>
      <w:r>
        <w:rPr>
          <w:rFonts w:ascii="Arial" w:hAnsi="Arial" w:hint="cs"/>
          <w:rtl/>
        </w:rPr>
        <w:t>למשך</w:t>
      </w:r>
      <w:r w:rsidRPr="007E5C6A">
        <w:rPr>
          <w:rFonts w:ascii="Arial" w:hAnsi="Arial"/>
          <w:rtl/>
        </w:rPr>
        <w:t xml:space="preserve"> 3 שנים</w:t>
      </w:r>
      <w:r>
        <w:rPr>
          <w:rFonts w:ascii="Arial" w:hAnsi="Arial" w:hint="cs"/>
          <w:rtl/>
        </w:rPr>
        <w:t xml:space="preserve">, והתנאי הוא כי הנאשם לא יעבור בתקופה זו עבירה של נהיגה בזמן פסילה או ללא רישיון נהיגה תקף.  </w:t>
      </w:r>
    </w:p>
    <w:p w14:paraId="2C761A37" w14:textId="77777777" w:rsidR="005C2763" w:rsidRDefault="005C2763" w:rsidP="005C2763">
      <w:pPr>
        <w:pStyle w:val="a9"/>
        <w:rPr>
          <w:rFonts w:ascii="Arial" w:hAnsi="Arial"/>
          <w:rtl/>
        </w:rPr>
      </w:pPr>
    </w:p>
    <w:p w14:paraId="49D87656" w14:textId="77777777" w:rsidR="005C2763" w:rsidRDefault="005C2763" w:rsidP="005C2763">
      <w:pPr>
        <w:numPr>
          <w:ilvl w:val="0"/>
          <w:numId w:val="2"/>
        </w:numPr>
        <w:spacing w:line="360" w:lineRule="auto"/>
        <w:ind w:left="1134" w:hanging="567"/>
        <w:contextualSpacing/>
        <w:jc w:val="both"/>
        <w:rPr>
          <w:rFonts w:ascii="Arial" w:hAnsi="Arial"/>
        </w:rPr>
      </w:pPr>
      <w:r w:rsidRPr="00043259">
        <w:rPr>
          <w:rFonts w:ascii="Arial" w:hAnsi="Arial"/>
          <w:rtl/>
        </w:rPr>
        <w:t>הנאשם יחתום על התחייבות בסך של 1</w:t>
      </w:r>
      <w:r>
        <w:rPr>
          <w:rFonts w:ascii="Arial" w:hAnsi="Arial" w:hint="cs"/>
          <w:rtl/>
        </w:rPr>
        <w:t>0</w:t>
      </w:r>
      <w:r w:rsidRPr="00043259">
        <w:rPr>
          <w:rFonts w:ascii="Arial" w:hAnsi="Arial"/>
          <w:rtl/>
        </w:rPr>
        <w:t xml:space="preserve">,000 ₪ להימנע במשך שלוש שנים מיום שחרורו ממאסר מביצוע </w:t>
      </w:r>
      <w:r>
        <w:rPr>
          <w:rFonts w:ascii="Arial" w:hAnsi="Arial" w:hint="cs"/>
          <w:rtl/>
        </w:rPr>
        <w:t xml:space="preserve">עבירת נשק </w:t>
      </w:r>
      <w:r w:rsidRPr="00043259">
        <w:rPr>
          <w:rFonts w:ascii="Arial" w:hAnsi="Arial"/>
          <w:rtl/>
        </w:rPr>
        <w:t xml:space="preserve">או </w:t>
      </w:r>
      <w:r>
        <w:rPr>
          <w:rFonts w:ascii="Arial" w:hAnsi="Arial" w:hint="cs"/>
          <w:rtl/>
        </w:rPr>
        <w:t xml:space="preserve">עבירת </w:t>
      </w:r>
      <w:r w:rsidRPr="00043259">
        <w:rPr>
          <w:rFonts w:ascii="Arial" w:hAnsi="Arial"/>
          <w:rtl/>
        </w:rPr>
        <w:t xml:space="preserve">נהיגה בפסילה או </w:t>
      </w:r>
      <w:r>
        <w:rPr>
          <w:rFonts w:ascii="Arial" w:hAnsi="Arial" w:hint="cs"/>
          <w:rtl/>
        </w:rPr>
        <w:t xml:space="preserve">נהיגה </w:t>
      </w:r>
      <w:r w:rsidRPr="00043259">
        <w:rPr>
          <w:rFonts w:ascii="Arial" w:hAnsi="Arial"/>
          <w:rtl/>
        </w:rPr>
        <w:t>ללא רישיון נהיגה בתוקף.</w:t>
      </w:r>
      <w:r w:rsidR="008B3A91">
        <w:rPr>
          <w:rFonts w:ascii="Arial" w:hAnsi="Arial"/>
        </w:rPr>
        <w:t xml:space="preserve"> </w:t>
      </w:r>
      <w:r w:rsidRPr="00043259">
        <w:rPr>
          <w:rFonts w:ascii="Arial" w:hAnsi="Arial"/>
          <w:rtl/>
        </w:rPr>
        <w:t>הנאשם הצהיר כי הוא מבין את תוכן ההתחייבות ומסכים לה ומשכך הוא פטור מחתימה</w:t>
      </w:r>
      <w:r w:rsidRPr="00043259">
        <w:rPr>
          <w:rFonts w:ascii="Arial" w:hAnsi="Arial"/>
        </w:rPr>
        <w:t>.</w:t>
      </w:r>
    </w:p>
    <w:p w14:paraId="1040B097" w14:textId="77777777" w:rsidR="005C2763" w:rsidRPr="00043259" w:rsidRDefault="005C2763" w:rsidP="005C2763">
      <w:pPr>
        <w:spacing w:line="360" w:lineRule="auto"/>
        <w:ind w:left="720"/>
        <w:contextualSpacing/>
        <w:jc w:val="both"/>
        <w:rPr>
          <w:rFonts w:ascii="Arial" w:hAnsi="Arial"/>
          <w:rtl/>
        </w:rPr>
      </w:pPr>
    </w:p>
    <w:p w14:paraId="1CC34130" w14:textId="77777777" w:rsidR="005C2763" w:rsidRDefault="005C2763" w:rsidP="005C2763">
      <w:pPr>
        <w:numPr>
          <w:ilvl w:val="0"/>
          <w:numId w:val="2"/>
        </w:numPr>
        <w:spacing w:line="360" w:lineRule="auto"/>
        <w:ind w:left="1134" w:hanging="567"/>
        <w:contextualSpacing/>
        <w:jc w:val="both"/>
        <w:rPr>
          <w:rFonts w:ascii="Arial" w:hAnsi="Arial"/>
        </w:rPr>
      </w:pPr>
      <w:r w:rsidRPr="00C56AAA">
        <w:rPr>
          <w:rFonts w:ascii="Arial" w:hAnsi="Arial"/>
          <w:rtl/>
        </w:rPr>
        <w:t>הנאשם יתייצב לריצוי עונש המאסר בבית מעצר קישון ביום</w:t>
      </w:r>
      <w:r>
        <w:rPr>
          <w:rFonts w:ascii="Arial" w:hAnsi="Arial" w:hint="cs"/>
          <w:rtl/>
        </w:rPr>
        <w:t xml:space="preserve"> 2.4.2023</w:t>
      </w:r>
      <w:r w:rsidRPr="00C56AAA">
        <w:rPr>
          <w:rFonts w:ascii="Arial" w:hAnsi="Arial"/>
          <w:rtl/>
        </w:rPr>
        <w:t>, לא יאוחר מהשעה 10:00, או על פי החלטת שב"ס, כשברשותו תעודת זהות או דרכון. על הנאשם לתאם את הכניסה למאסר, כולל האפשרות למיון מוקדם, עם ענף אבחון ומיון של שב"ס בטלפונים: 074-7831077 או  074-7831078.</w:t>
      </w:r>
    </w:p>
    <w:p w14:paraId="09A887FC" w14:textId="77777777" w:rsidR="005C2763" w:rsidRDefault="005C2763" w:rsidP="005C2763">
      <w:pPr>
        <w:pStyle w:val="a9"/>
        <w:rPr>
          <w:rFonts w:ascii="Arial" w:hAnsi="Arial"/>
          <w:rtl/>
        </w:rPr>
      </w:pPr>
    </w:p>
    <w:p w14:paraId="21759535" w14:textId="77777777" w:rsidR="005C2763" w:rsidRPr="00C56AAA" w:rsidRDefault="005C2763" w:rsidP="005C2763">
      <w:pPr>
        <w:numPr>
          <w:ilvl w:val="0"/>
          <w:numId w:val="2"/>
        </w:numPr>
        <w:spacing w:line="360" w:lineRule="auto"/>
        <w:ind w:left="1134" w:hanging="567"/>
        <w:contextualSpacing/>
        <w:jc w:val="both"/>
        <w:rPr>
          <w:rFonts w:ascii="Arial" w:hAnsi="Arial"/>
          <w:rtl/>
        </w:rPr>
      </w:pPr>
      <w:r w:rsidRPr="00C56AAA">
        <w:rPr>
          <w:rFonts w:ascii="Arial" w:hAnsi="Arial"/>
          <w:rtl/>
        </w:rPr>
        <w:t xml:space="preserve">התנאים המגבילים בהם מצוי הנאשם עובר למתן גזר הדין ימשיכו לחול, </w:t>
      </w:r>
      <w:r w:rsidRPr="00C56AAA">
        <w:rPr>
          <w:rFonts w:ascii="Arial" w:hAnsi="Arial" w:hint="cs"/>
          <w:rtl/>
        </w:rPr>
        <w:t xml:space="preserve">זאת </w:t>
      </w:r>
      <w:r w:rsidRPr="00C56AAA">
        <w:rPr>
          <w:rFonts w:ascii="Arial" w:hAnsi="Arial"/>
          <w:rtl/>
        </w:rPr>
        <w:t>להבטחת התייצבות לריצוי עונש המאסר, עד לתחילת ריצוי המאסר בפועל.</w:t>
      </w:r>
    </w:p>
    <w:p w14:paraId="36E9D0BF" w14:textId="77777777" w:rsidR="005C2763" w:rsidRPr="007E5C6A" w:rsidRDefault="005C2763" w:rsidP="005C2763">
      <w:pPr>
        <w:spacing w:line="360" w:lineRule="auto"/>
        <w:contextualSpacing/>
        <w:jc w:val="both"/>
        <w:rPr>
          <w:rFonts w:ascii="Arial" w:hAnsi="Arial"/>
          <w:rtl/>
        </w:rPr>
      </w:pPr>
    </w:p>
    <w:p w14:paraId="42F9F598" w14:textId="77777777" w:rsidR="005C2763" w:rsidRDefault="008B3A91" w:rsidP="005C2763">
      <w:pPr>
        <w:spacing w:line="360" w:lineRule="auto"/>
        <w:jc w:val="both"/>
        <w:rPr>
          <w:rFonts w:ascii="Arial" w:hAnsi="Arial"/>
          <w:b/>
          <w:bCs/>
          <w:u w:val="single"/>
          <w:rtl/>
        </w:rPr>
      </w:pPr>
      <w:r w:rsidRPr="008B3A91">
        <w:rPr>
          <w:rFonts w:ascii="Arial" w:hAnsi="Arial"/>
          <w:b/>
          <w:bCs/>
          <w:color w:val="FFFFFF"/>
          <w:sz w:val="2"/>
          <w:szCs w:val="2"/>
          <w:u w:val="single"/>
          <w:rtl/>
        </w:rPr>
        <w:t>5129371</w:t>
      </w:r>
      <w:r w:rsidR="005C2763" w:rsidRPr="007E5C6A">
        <w:rPr>
          <w:rFonts w:ascii="Arial" w:hAnsi="Arial"/>
          <w:b/>
          <w:bCs/>
          <w:u w:val="single"/>
          <w:rtl/>
        </w:rPr>
        <w:t>זכות ערעור לבית המשפט העליון תוך 45 ימים.</w:t>
      </w:r>
    </w:p>
    <w:p w14:paraId="0A4FA9A1" w14:textId="77777777" w:rsidR="005C2763" w:rsidRPr="008B3A91" w:rsidRDefault="008B3A91" w:rsidP="005C2763">
      <w:pPr>
        <w:spacing w:line="360" w:lineRule="auto"/>
        <w:jc w:val="both"/>
        <w:rPr>
          <w:rFonts w:ascii="Arial" w:hAnsi="Arial"/>
          <w:b/>
          <w:bCs/>
          <w:color w:val="FFFFFF"/>
          <w:sz w:val="2"/>
          <w:szCs w:val="2"/>
          <w:u w:val="single"/>
          <w:rtl/>
        </w:rPr>
      </w:pPr>
      <w:r w:rsidRPr="008B3A91">
        <w:rPr>
          <w:rFonts w:ascii="Arial" w:hAnsi="Arial"/>
          <w:b/>
          <w:bCs/>
          <w:color w:val="FFFFFF"/>
          <w:sz w:val="2"/>
          <w:szCs w:val="2"/>
          <w:u w:val="single"/>
          <w:rtl/>
        </w:rPr>
        <w:t>54678313</w:t>
      </w:r>
    </w:p>
    <w:p w14:paraId="2D2B3E10" w14:textId="77777777" w:rsidR="005C2763" w:rsidRPr="000F2247" w:rsidRDefault="005C2763" w:rsidP="005C2763">
      <w:pPr>
        <w:rPr>
          <w:rFonts w:ascii="Arial" w:hAnsi="Arial"/>
          <w:b/>
          <w:bCs/>
          <w:sz w:val="26"/>
          <w:szCs w:val="26"/>
          <w:rtl/>
        </w:rPr>
      </w:pPr>
    </w:p>
    <w:p w14:paraId="6EF8A49B" w14:textId="77777777" w:rsidR="005C2763" w:rsidRPr="000F2247" w:rsidRDefault="008B3A91" w:rsidP="005C2763">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י"ט אדר תשפ"ג, 12 מרץ 2023, בנוכחות הנאשם 2 וב"כ הצדדים. </w:t>
      </w:r>
      <w:bookmarkEnd w:id="7"/>
      <w:r w:rsidR="005C2763">
        <w:rPr>
          <w:rFonts w:ascii="Arial" w:hAnsi="Arial"/>
          <w:b/>
          <w:bCs/>
          <w:sz w:val="26"/>
          <w:szCs w:val="26"/>
          <w:rtl/>
        </w:rPr>
        <w:tab/>
      </w:r>
      <w:r w:rsidR="005C2763">
        <w:rPr>
          <w:rFonts w:ascii="Arial" w:hAnsi="Arial"/>
          <w:b/>
          <w:bCs/>
          <w:sz w:val="26"/>
          <w:szCs w:val="26"/>
          <w:rtl/>
        </w:rPr>
        <w:tab/>
      </w:r>
      <w:r w:rsidR="005C2763">
        <w:rPr>
          <w:rFonts w:ascii="Arial" w:hAnsi="Arial"/>
          <w:b/>
          <w:bCs/>
          <w:sz w:val="26"/>
          <w:szCs w:val="26"/>
          <w:rtl/>
        </w:rPr>
        <w:tab/>
      </w:r>
      <w:r w:rsidR="005C2763">
        <w:rPr>
          <w:rFonts w:ascii="Arial" w:hAnsi="Arial"/>
          <w:b/>
          <w:bCs/>
          <w:sz w:val="26"/>
          <w:szCs w:val="26"/>
          <w:rtl/>
        </w:rPr>
        <w:tab/>
      </w:r>
      <w:r w:rsidR="005C2763">
        <w:rPr>
          <w:rFonts w:ascii="Arial" w:hAnsi="Arial"/>
          <w:b/>
          <w:bCs/>
          <w:sz w:val="26"/>
          <w:szCs w:val="26"/>
          <w:rtl/>
        </w:rPr>
        <w:tab/>
      </w:r>
      <w:r w:rsidR="005C2763">
        <w:rPr>
          <w:rFonts w:ascii="Arial" w:hAnsi="Arial"/>
          <w:b/>
          <w:bCs/>
          <w:sz w:val="26"/>
          <w:szCs w:val="26"/>
          <w:rtl/>
        </w:rPr>
        <w:tab/>
      </w:r>
      <w:r w:rsidR="005C2763">
        <w:rPr>
          <w:rFonts w:ascii="Arial" w:hAnsi="Arial"/>
          <w:b/>
          <w:bCs/>
          <w:sz w:val="26"/>
          <w:szCs w:val="26"/>
          <w:rtl/>
        </w:rPr>
        <w:tab/>
      </w:r>
      <w:r w:rsidR="005C2763">
        <w:rPr>
          <w:rFonts w:ascii="Arial" w:hAnsi="Arial" w:hint="cs"/>
          <w:b/>
          <w:bCs/>
          <w:sz w:val="26"/>
          <w:szCs w:val="26"/>
          <w:rtl/>
        </w:rPr>
        <w:t xml:space="preserve">         </w:t>
      </w:r>
    </w:p>
    <w:p w14:paraId="53CFC25F" w14:textId="77777777" w:rsidR="005C2763" w:rsidRPr="000F2247" w:rsidRDefault="005C2763" w:rsidP="008B3A9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4609E49" w14:textId="77777777" w:rsidR="005C2763" w:rsidRPr="003201D6" w:rsidRDefault="003201D6" w:rsidP="005C2763">
      <w:pPr>
        <w:jc w:val="center"/>
        <w:rPr>
          <w:rFonts w:ascii="Arial" w:hAnsi="Arial"/>
          <w:b/>
          <w:bCs/>
          <w:color w:val="FFFFFF"/>
          <w:sz w:val="2"/>
          <w:szCs w:val="2"/>
          <w:rtl/>
        </w:rPr>
      </w:pPr>
      <w:r w:rsidRPr="003201D6">
        <w:rPr>
          <w:rFonts w:ascii="Arial" w:hAnsi="Arial"/>
          <w:b/>
          <w:bCs/>
          <w:color w:val="FFFFFF"/>
          <w:sz w:val="2"/>
          <w:szCs w:val="2"/>
          <w:rtl/>
        </w:rPr>
        <w:t>5129371</w:t>
      </w:r>
    </w:p>
    <w:p w14:paraId="69A5464F" w14:textId="77777777" w:rsidR="00C62CDD" w:rsidRPr="003201D6" w:rsidRDefault="003201D6" w:rsidP="008B3A91">
      <w:pPr>
        <w:keepNext/>
        <w:rPr>
          <w:rFonts w:ascii="David" w:hAnsi="David"/>
          <w:color w:val="FFFFFF"/>
          <w:sz w:val="2"/>
          <w:szCs w:val="2"/>
          <w:rtl/>
        </w:rPr>
      </w:pPr>
      <w:r w:rsidRPr="003201D6">
        <w:rPr>
          <w:rFonts w:ascii="David" w:hAnsi="David"/>
          <w:color w:val="FFFFFF"/>
          <w:sz w:val="2"/>
          <w:szCs w:val="2"/>
          <w:rtl/>
        </w:rPr>
        <w:t>54678313</w:t>
      </w:r>
    </w:p>
    <w:p w14:paraId="04874535" w14:textId="77777777" w:rsidR="008B3A91" w:rsidRDefault="008B3A91" w:rsidP="008B3A91">
      <w:pPr>
        <w:rPr>
          <w:rtl/>
        </w:rPr>
      </w:pPr>
    </w:p>
    <w:p w14:paraId="5476A312" w14:textId="77777777" w:rsidR="008B3A91" w:rsidRDefault="008B3A91" w:rsidP="008B3A91">
      <w:pPr>
        <w:jc w:val="center"/>
        <w:rPr>
          <w:color w:val="0000FF"/>
          <w:u w:val="single"/>
        </w:rPr>
      </w:pPr>
      <w:hyperlink r:id="rId101" w:history="1">
        <w:r>
          <w:rPr>
            <w:color w:val="0000FF"/>
            <w:u w:val="single"/>
            <w:rtl/>
          </w:rPr>
          <w:t>בעניין עריכה ושינויים במסמכי פסיקה, חקיקה ועוד באתר נבו – הקש כאן</w:t>
        </w:r>
      </w:hyperlink>
    </w:p>
    <w:p w14:paraId="665AD8CE" w14:textId="77777777" w:rsidR="003201D6" w:rsidRPr="003201D6" w:rsidRDefault="003201D6" w:rsidP="003201D6">
      <w:pPr>
        <w:keepNext/>
        <w:rPr>
          <w:rFonts w:ascii="David" w:hAnsi="David"/>
          <w:color w:val="000000"/>
          <w:sz w:val="22"/>
          <w:szCs w:val="22"/>
          <w:rtl/>
        </w:rPr>
      </w:pPr>
    </w:p>
    <w:p w14:paraId="463C4CEC" w14:textId="77777777" w:rsidR="003201D6" w:rsidRPr="003201D6" w:rsidRDefault="003201D6" w:rsidP="003201D6">
      <w:pPr>
        <w:keepNext/>
        <w:rPr>
          <w:rFonts w:ascii="David" w:hAnsi="David"/>
          <w:color w:val="000000"/>
          <w:sz w:val="22"/>
          <w:szCs w:val="22"/>
          <w:rtl/>
        </w:rPr>
      </w:pPr>
      <w:r w:rsidRPr="003201D6">
        <w:rPr>
          <w:rFonts w:ascii="David" w:hAnsi="David"/>
          <w:color w:val="000000"/>
          <w:sz w:val="22"/>
          <w:szCs w:val="22"/>
          <w:rtl/>
        </w:rPr>
        <w:t>מוחמד עלי 54678313-/</w:t>
      </w:r>
    </w:p>
    <w:p w14:paraId="125FDDC4" w14:textId="77777777" w:rsidR="008B3A91" w:rsidRPr="008B3A91" w:rsidRDefault="003201D6" w:rsidP="003201D6">
      <w:pPr>
        <w:rPr>
          <w:color w:val="0000FF"/>
          <w:u w:val="single"/>
        </w:rPr>
      </w:pPr>
      <w:r w:rsidRPr="003201D6">
        <w:rPr>
          <w:color w:val="000000"/>
          <w:u w:val="single"/>
          <w:rtl/>
        </w:rPr>
        <w:t>נוסח מסמך זה כפוף לשינויי ניסוח ועריכה</w:t>
      </w:r>
    </w:p>
    <w:sectPr w:rsidR="008B3A91" w:rsidRPr="008B3A91" w:rsidSect="003201D6">
      <w:headerReference w:type="even" r:id="rId102"/>
      <w:headerReference w:type="default" r:id="rId103"/>
      <w:footerReference w:type="even" r:id="rId104"/>
      <w:footerReference w:type="default" r:id="rId10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C330B" w14:textId="77777777" w:rsidR="00FE76B5" w:rsidRDefault="00FE76B5" w:rsidP="0081572C">
      <w:r>
        <w:separator/>
      </w:r>
    </w:p>
  </w:endnote>
  <w:endnote w:type="continuationSeparator" w:id="0">
    <w:p w14:paraId="162A36AA" w14:textId="77777777" w:rsidR="00FE76B5" w:rsidRDefault="00FE76B5" w:rsidP="0081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BA700" w14:textId="77777777" w:rsidR="003201D6" w:rsidRDefault="003201D6" w:rsidP="003201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D26B70" w14:textId="77777777" w:rsidR="007457E6" w:rsidRPr="003201D6" w:rsidRDefault="003201D6" w:rsidP="003201D6">
    <w:pPr>
      <w:pStyle w:val="a5"/>
      <w:pBdr>
        <w:top w:val="single" w:sz="4" w:space="1" w:color="auto"/>
        <w:between w:val="single" w:sz="4" w:space="0" w:color="auto"/>
      </w:pBdr>
      <w:spacing w:after="60"/>
      <w:jc w:val="center"/>
      <w:rPr>
        <w:rFonts w:ascii="FrankRuehl" w:hAnsi="FrankRuehl" w:cs="FrankRuehl"/>
        <w:color w:val="000000"/>
      </w:rPr>
    </w:pPr>
    <w:r w:rsidRPr="003201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C5BC0" w14:textId="77777777" w:rsidR="003201D6" w:rsidRDefault="003201D6" w:rsidP="003201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2A4F">
      <w:rPr>
        <w:rFonts w:ascii="FrankRuehl" w:hAnsi="FrankRuehl" w:cs="FrankRuehl"/>
        <w:noProof/>
        <w:rtl/>
      </w:rPr>
      <w:t>1</w:t>
    </w:r>
    <w:r>
      <w:rPr>
        <w:rFonts w:ascii="FrankRuehl" w:hAnsi="FrankRuehl" w:cs="FrankRuehl"/>
        <w:rtl/>
      </w:rPr>
      <w:fldChar w:fldCharType="end"/>
    </w:r>
  </w:p>
  <w:p w14:paraId="36389710" w14:textId="77777777" w:rsidR="007457E6" w:rsidRPr="003201D6" w:rsidRDefault="003201D6" w:rsidP="003201D6">
    <w:pPr>
      <w:pStyle w:val="a5"/>
      <w:pBdr>
        <w:top w:val="single" w:sz="4" w:space="1" w:color="auto"/>
        <w:between w:val="single" w:sz="4" w:space="0" w:color="auto"/>
      </w:pBdr>
      <w:spacing w:after="60"/>
      <w:jc w:val="center"/>
      <w:rPr>
        <w:rFonts w:ascii="FrankRuehl" w:hAnsi="FrankRuehl" w:cs="FrankRuehl"/>
        <w:color w:val="000000"/>
      </w:rPr>
    </w:pPr>
    <w:r w:rsidRPr="003201D6">
      <w:rPr>
        <w:rFonts w:ascii="FrankRuehl" w:hAnsi="FrankRuehl" w:cs="FrankRuehl"/>
        <w:color w:val="000000"/>
      </w:rPr>
      <w:pict w14:anchorId="1C893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A736C" w14:textId="77777777" w:rsidR="00FE76B5" w:rsidRDefault="00FE76B5" w:rsidP="0081572C">
      <w:r>
        <w:separator/>
      </w:r>
    </w:p>
  </w:footnote>
  <w:footnote w:type="continuationSeparator" w:id="0">
    <w:p w14:paraId="3802AFE6" w14:textId="77777777" w:rsidR="00FE76B5" w:rsidRDefault="00FE76B5" w:rsidP="00815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5361" w14:textId="77777777" w:rsidR="008B3A91" w:rsidRPr="003201D6" w:rsidRDefault="003201D6" w:rsidP="003201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28991-04-22</w:t>
    </w:r>
    <w:r>
      <w:rPr>
        <w:rFonts w:ascii="David" w:hAnsi="David"/>
        <w:color w:val="000000"/>
        <w:sz w:val="22"/>
        <w:szCs w:val="22"/>
        <w:rtl/>
      </w:rPr>
      <w:tab/>
      <w:t xml:space="preserve"> מדינת ישראל נ' אמיר נעימי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2C25" w14:textId="77777777" w:rsidR="008B3A91" w:rsidRPr="003201D6" w:rsidRDefault="003201D6" w:rsidP="003201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28991-04-22</w:t>
    </w:r>
    <w:r>
      <w:rPr>
        <w:rFonts w:ascii="David" w:hAnsi="David"/>
        <w:color w:val="000000"/>
        <w:sz w:val="22"/>
        <w:szCs w:val="22"/>
        <w:rtl/>
      </w:rPr>
      <w:tab/>
      <w:t xml:space="preserve"> מדינת ישראל נ' אמיר נעימי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63DD2"/>
    <w:multiLevelType w:val="hybridMultilevel"/>
    <w:tmpl w:val="A378E5F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9800051"/>
    <w:multiLevelType w:val="hybridMultilevel"/>
    <w:tmpl w:val="CB483A98"/>
    <w:lvl w:ilvl="0" w:tplc="76C01916">
      <w:start w:val="1"/>
      <w:numFmt w:val="decimal"/>
      <w:lvlText w:val="%1."/>
      <w:lvlJc w:val="left"/>
      <w:pPr>
        <w:tabs>
          <w:tab w:val="num" w:pos="567"/>
        </w:tabs>
        <w:ind w:left="0" w:firstLine="0"/>
      </w:pPr>
      <w:rPr>
        <w:rFonts w:ascii="David" w:hAnsi="David" w:cs="David" w:hint="default"/>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48490514">
    <w:abstractNumId w:val="1"/>
  </w:num>
  <w:num w:numId="2" w16cid:durableId="2098011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2763"/>
    <w:rsid w:val="000D7430"/>
    <w:rsid w:val="001B5A3B"/>
    <w:rsid w:val="001B7805"/>
    <w:rsid w:val="003201D6"/>
    <w:rsid w:val="005C2763"/>
    <w:rsid w:val="00721377"/>
    <w:rsid w:val="007457E6"/>
    <w:rsid w:val="007B6E94"/>
    <w:rsid w:val="007D2A4F"/>
    <w:rsid w:val="0081572C"/>
    <w:rsid w:val="008B3A91"/>
    <w:rsid w:val="009C3779"/>
    <w:rsid w:val="00C62CDD"/>
    <w:rsid w:val="00E9356D"/>
    <w:rsid w:val="00EB4716"/>
    <w:rsid w:val="00FE7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406A2C"/>
  <w15:chartTrackingRefBased/>
  <w15:docId w15:val="{9503454B-AEC1-4F77-8502-358C6B45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27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2763"/>
    <w:pPr>
      <w:tabs>
        <w:tab w:val="center" w:pos="4153"/>
        <w:tab w:val="right" w:pos="8306"/>
      </w:tabs>
    </w:pPr>
  </w:style>
  <w:style w:type="character" w:customStyle="1" w:styleId="a4">
    <w:name w:val="כותרת עליונה תו"/>
    <w:link w:val="a3"/>
    <w:rsid w:val="005C2763"/>
    <w:rPr>
      <w:rFonts w:ascii="Times New Roman" w:eastAsia="Times New Roman" w:hAnsi="Times New Roman" w:cs="David"/>
      <w:sz w:val="24"/>
      <w:szCs w:val="24"/>
    </w:rPr>
  </w:style>
  <w:style w:type="paragraph" w:styleId="a5">
    <w:name w:val="footer"/>
    <w:basedOn w:val="a"/>
    <w:link w:val="a6"/>
    <w:rsid w:val="005C2763"/>
    <w:pPr>
      <w:tabs>
        <w:tab w:val="center" w:pos="4153"/>
        <w:tab w:val="right" w:pos="8306"/>
      </w:tabs>
    </w:pPr>
  </w:style>
  <w:style w:type="character" w:customStyle="1" w:styleId="a6">
    <w:name w:val="כותרת תחתונה תו"/>
    <w:link w:val="a5"/>
    <w:rsid w:val="005C2763"/>
    <w:rPr>
      <w:rFonts w:ascii="Times New Roman" w:eastAsia="Times New Roman" w:hAnsi="Times New Roman" w:cs="David"/>
      <w:sz w:val="24"/>
      <w:szCs w:val="24"/>
    </w:rPr>
  </w:style>
  <w:style w:type="table" w:styleId="a7">
    <w:name w:val="Table Grid"/>
    <w:basedOn w:val="a1"/>
    <w:rsid w:val="005C27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2763"/>
  </w:style>
  <w:style w:type="character" w:customStyle="1" w:styleId="TimesNewRomanTimesNewRoman">
    <w:name w:val="סגנון (לטיני) Times New Roman (עברית ושפות אחרות) Times New Roman..."/>
    <w:rsid w:val="005C2763"/>
    <w:rPr>
      <w:rFonts w:ascii="Times New Roman" w:hAnsi="Times New Roman" w:cs="David" w:hint="default"/>
      <w:b/>
      <w:bCs/>
      <w:sz w:val="26"/>
      <w:szCs w:val="26"/>
    </w:rPr>
  </w:style>
  <w:style w:type="paragraph" w:styleId="a9">
    <w:name w:val="List Paragraph"/>
    <w:basedOn w:val="a"/>
    <w:qFormat/>
    <w:rsid w:val="005C2763"/>
    <w:pPr>
      <w:ind w:left="720"/>
      <w:contextualSpacing/>
    </w:pPr>
  </w:style>
  <w:style w:type="character" w:styleId="Hyperlink">
    <w:name w:val="Hyperlink"/>
    <w:rsid w:val="008B3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5227/10.a" TargetMode="External"/><Relationship Id="rId42" Type="http://schemas.openxmlformats.org/officeDocument/2006/relationships/hyperlink" Target="http://www.nevo.co.il/law/70301/262"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144.g" TargetMode="External"/><Relationship Id="rId84" Type="http://schemas.openxmlformats.org/officeDocument/2006/relationships/hyperlink" Target="http://www.nevo.co.il/case/22793926"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144.g" TargetMode="External"/><Relationship Id="rId107" Type="http://schemas.openxmlformats.org/officeDocument/2006/relationships/theme" Target="theme/theme1.xml"/><Relationship Id="rId11" Type="http://schemas.openxmlformats.org/officeDocument/2006/relationships/hyperlink" Target="http://www.nevo.co.il/law/70301/40c"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5227/67" TargetMode="External"/><Relationship Id="rId53" Type="http://schemas.openxmlformats.org/officeDocument/2006/relationships/hyperlink" Target="http://www.nevo.co.il/case/25824863" TargetMode="External"/><Relationship Id="rId58" Type="http://schemas.openxmlformats.org/officeDocument/2006/relationships/hyperlink" Target="http://www.nevo.co.il/case/28200855" TargetMode="External"/><Relationship Id="rId74" Type="http://schemas.openxmlformats.org/officeDocument/2006/relationships/hyperlink" Target="http://www.nevo.co.il/law/70301/32.4" TargetMode="External"/><Relationship Id="rId79" Type="http://schemas.openxmlformats.org/officeDocument/2006/relationships/hyperlink" Target="http://www.nevo.co.il/case/29090157"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www.nevo.co.il/case/25955734" TargetMode="External"/><Relationship Id="rId95" Type="http://schemas.openxmlformats.org/officeDocument/2006/relationships/hyperlink" Target="http://www.nevo.co.il/law/5227/62.1" TargetMode="External"/><Relationship Id="rId22" Type="http://schemas.openxmlformats.org/officeDocument/2006/relationships/hyperlink" Target="http://www.nevo.co.il/law/5227/62.1" TargetMode="External"/><Relationship Id="rId27" Type="http://schemas.openxmlformats.org/officeDocument/2006/relationships/hyperlink" Target="http://www.nevo.co.il/law/70301/144.b"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i" TargetMode="External"/><Relationship Id="rId64" Type="http://schemas.openxmlformats.org/officeDocument/2006/relationships/hyperlink" Target="http://www.nevo.co.il/case/20513526" TargetMode="External"/><Relationship Id="rId69" Type="http://schemas.openxmlformats.org/officeDocument/2006/relationships/hyperlink" Target="http://www.nevo.co.il/law/70301" TargetMode="External"/><Relationship Id="rId80" Type="http://schemas.openxmlformats.org/officeDocument/2006/relationships/hyperlink" Target="http://www.nevo.co.il/case/25998961" TargetMode="External"/><Relationship Id="rId85" Type="http://schemas.openxmlformats.org/officeDocument/2006/relationships/hyperlink" Target="http://www.nevo.co.il/case/21472212"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262"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5227/62.1" TargetMode="External"/><Relationship Id="rId59" Type="http://schemas.openxmlformats.org/officeDocument/2006/relationships/hyperlink" Target="http://www.nevo.co.il/case/28266138" TargetMode="External"/><Relationship Id="rId103" Type="http://schemas.openxmlformats.org/officeDocument/2006/relationships/header" Target="header2.xml"/><Relationship Id="rId20" Type="http://schemas.openxmlformats.org/officeDocument/2006/relationships/hyperlink" Target="http://www.nevo.co.il/law/5227" TargetMode="External"/><Relationship Id="rId41" Type="http://schemas.openxmlformats.org/officeDocument/2006/relationships/hyperlink" Target="http://www.nevo.co.il/law/74501" TargetMode="External"/><Relationship Id="rId54" Type="http://schemas.openxmlformats.org/officeDocument/2006/relationships/hyperlink" Target="http://www.nevo.co.il/case/27309272" TargetMode="External"/><Relationship Id="rId62" Type="http://schemas.openxmlformats.org/officeDocument/2006/relationships/hyperlink" Target="http://www.nevo.co.il/law/70301/32" TargetMode="External"/><Relationship Id="rId70" Type="http://schemas.openxmlformats.org/officeDocument/2006/relationships/hyperlink" Target="http://www.nevo.co.il/law/70301/144.g" TargetMode="External"/><Relationship Id="rId75" Type="http://schemas.openxmlformats.org/officeDocument/2006/relationships/hyperlink" Target="http://www.nevo.co.il/law/70301/144.g" TargetMode="External"/><Relationship Id="rId83" Type="http://schemas.openxmlformats.org/officeDocument/2006/relationships/hyperlink" Target="http://www.nevo.co.il/case/23226232" TargetMode="External"/><Relationship Id="rId88" Type="http://schemas.openxmlformats.org/officeDocument/2006/relationships/hyperlink" Target="http://www.nevo.co.il/law/70301/40ja" TargetMode="External"/><Relationship Id="rId91" Type="http://schemas.openxmlformats.org/officeDocument/2006/relationships/hyperlink" Target="http://www.nevo.co.il/law/5227/10.a" TargetMode="External"/><Relationship Id="rId96" Type="http://schemas.openxmlformats.org/officeDocument/2006/relationships/hyperlink" Target="http://www.nevo.co.il/law/52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5227/67"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7734980" TargetMode="External"/><Relationship Id="rId106" Type="http://schemas.openxmlformats.org/officeDocument/2006/relationships/fontTable" Target="fontTable.xml"/><Relationship Id="rId10" Type="http://schemas.openxmlformats.org/officeDocument/2006/relationships/hyperlink" Target="http://www.nevo.co.il/law/70301/32.4" TargetMode="External"/><Relationship Id="rId31" Type="http://schemas.openxmlformats.org/officeDocument/2006/relationships/hyperlink" Target="http://www.nevo.co.il/law/70301/3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7821883" TargetMode="External"/><Relationship Id="rId60" Type="http://schemas.openxmlformats.org/officeDocument/2006/relationships/hyperlink" Target="http://www.nevo.co.il/law/70301/144.g" TargetMode="External"/><Relationship Id="rId65" Type="http://schemas.openxmlformats.org/officeDocument/2006/relationships/hyperlink" Target="http://www.nevo.co.il/case/5833181"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28926193" TargetMode="External"/><Relationship Id="rId81" Type="http://schemas.openxmlformats.org/officeDocument/2006/relationships/hyperlink" Target="http://www.nevo.co.il/case/25535278" TargetMode="External"/><Relationship Id="rId86" Type="http://schemas.openxmlformats.org/officeDocument/2006/relationships/hyperlink" Target="http://www.nevo.co.il/case/27749886" TargetMode="External"/><Relationship Id="rId94" Type="http://schemas.openxmlformats.org/officeDocument/2006/relationships/hyperlink" Target="http://www.nevo.co.il/law/5227/67" TargetMode="External"/><Relationship Id="rId99" Type="http://schemas.openxmlformats.org/officeDocument/2006/relationships/hyperlink" Target="http://www.nevo.co.il/case/27535102" TargetMode="External"/><Relationship Id="rId10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3" Type="http://schemas.openxmlformats.org/officeDocument/2006/relationships/hyperlink" Target="http://www.nevo.co.il/law/70301/58" TargetMode="External"/><Relationship Id="rId18" Type="http://schemas.openxmlformats.org/officeDocument/2006/relationships/hyperlink" Target="http://www.nevo.co.il/law/70301/275" TargetMode="External"/><Relationship Id="rId39" Type="http://schemas.openxmlformats.org/officeDocument/2006/relationships/hyperlink" Target="http://www.nevo.co.il/law/5227"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case/10485615" TargetMode="External"/><Relationship Id="rId55" Type="http://schemas.openxmlformats.org/officeDocument/2006/relationships/hyperlink" Target="http://www.nevo.co.il/case/26905927"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58" TargetMode="External"/><Relationship Id="rId104"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5227/67" TargetMode="External"/><Relationship Id="rId2" Type="http://schemas.openxmlformats.org/officeDocument/2006/relationships/styles" Target="styles.xml"/><Relationship Id="rId29" Type="http://schemas.openxmlformats.org/officeDocument/2006/relationships/hyperlink" Target="http://www.nevo.co.il/law/70301/144.a" TargetMode="External"/><Relationship Id="rId24" Type="http://schemas.openxmlformats.org/officeDocument/2006/relationships/hyperlink" Target="http://www.nevo.co.il/law/74501" TargetMode="External"/><Relationship Id="rId40" Type="http://schemas.openxmlformats.org/officeDocument/2006/relationships/hyperlink" Target="http://www.nevo.co.il/law/74501/2"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5587527" TargetMode="External"/><Relationship Id="rId87" Type="http://schemas.openxmlformats.org/officeDocument/2006/relationships/hyperlink" Target="http://www.nevo.co.il/case/13055187"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22793926"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law/70301/144.b" TargetMode="External"/><Relationship Id="rId35" Type="http://schemas.openxmlformats.org/officeDocument/2006/relationships/hyperlink" Target="http://www.nevo.co.il/law/70301/31" TargetMode="External"/><Relationship Id="rId56" Type="http://schemas.openxmlformats.org/officeDocument/2006/relationships/hyperlink" Target="http://www.nevo.co.il/case/27708542" TargetMode="External"/><Relationship Id="rId77" Type="http://schemas.openxmlformats.org/officeDocument/2006/relationships/hyperlink" Target="http://www.nevo.co.il/case/28883087" TargetMode="External"/><Relationship Id="rId100" Type="http://schemas.openxmlformats.org/officeDocument/2006/relationships/hyperlink" Target="http://www.nevo.co.il/case/25955734" TargetMode="External"/><Relationship Id="rId105" Type="http://schemas.openxmlformats.org/officeDocument/2006/relationships/footer" Target="footer2.xml"/><Relationship Id="rId8" Type="http://schemas.openxmlformats.org/officeDocument/2006/relationships/hyperlink" Target="http://www.nevo.co.il/law/70301/31" TargetMode="External"/><Relationship Id="rId51" Type="http://schemas.openxmlformats.org/officeDocument/2006/relationships/hyperlink" Target="http://www.nevo.co.il/case/5852404" TargetMode="External"/><Relationship Id="rId72" Type="http://schemas.openxmlformats.org/officeDocument/2006/relationships/hyperlink" Target="http://www.nevo.co.il/law/70301/32" TargetMode="External"/><Relationship Id="rId93" Type="http://schemas.openxmlformats.org/officeDocument/2006/relationships/hyperlink" Target="http://www.nevo.co.il/law/5227" TargetMode="External"/><Relationship Id="rId98"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4501/2" TargetMode="External"/><Relationship Id="rId46" Type="http://schemas.openxmlformats.org/officeDocument/2006/relationships/hyperlink" Target="http://www.nevo.co.il/law/70301/40c" TargetMode="External"/><Relationship Id="rId67"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4228</Words>
  <Characters>21145</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25323</CharactersWithSpaces>
  <SharedDoc>false</SharedDoc>
  <HLinks>
    <vt:vector size="570" baseType="variant">
      <vt:variant>
        <vt:i4>393283</vt:i4>
      </vt:variant>
      <vt:variant>
        <vt:i4>282</vt:i4>
      </vt:variant>
      <vt:variant>
        <vt:i4>0</vt:i4>
      </vt:variant>
      <vt:variant>
        <vt:i4>5</vt:i4>
      </vt:variant>
      <vt:variant>
        <vt:lpwstr>http://www.nevo.co.il/advertisements/nevo-100.doc</vt:lpwstr>
      </vt:variant>
      <vt:variant>
        <vt:lpwstr/>
      </vt:variant>
      <vt:variant>
        <vt:i4>3997811</vt:i4>
      </vt:variant>
      <vt:variant>
        <vt:i4>279</vt:i4>
      </vt:variant>
      <vt:variant>
        <vt:i4>0</vt:i4>
      </vt:variant>
      <vt:variant>
        <vt:i4>5</vt:i4>
      </vt:variant>
      <vt:variant>
        <vt:lpwstr>http://www.nevo.co.il/case/25955734</vt:lpwstr>
      </vt:variant>
      <vt:variant>
        <vt:lpwstr/>
      </vt:variant>
      <vt:variant>
        <vt:i4>3276913</vt:i4>
      </vt:variant>
      <vt:variant>
        <vt:i4>276</vt:i4>
      </vt:variant>
      <vt:variant>
        <vt:i4>0</vt:i4>
      </vt:variant>
      <vt:variant>
        <vt:i4>5</vt:i4>
      </vt:variant>
      <vt:variant>
        <vt:lpwstr>http://www.nevo.co.il/case/27535102</vt:lpwstr>
      </vt:variant>
      <vt:variant>
        <vt:lpwstr/>
      </vt:variant>
      <vt:variant>
        <vt:i4>7995492</vt:i4>
      </vt:variant>
      <vt:variant>
        <vt:i4>273</vt:i4>
      </vt:variant>
      <vt:variant>
        <vt:i4>0</vt:i4>
      </vt:variant>
      <vt:variant>
        <vt:i4>5</vt:i4>
      </vt:variant>
      <vt:variant>
        <vt:lpwstr>http://www.nevo.co.il/law/70301</vt:lpwstr>
      </vt:variant>
      <vt:variant>
        <vt:lpwstr/>
      </vt:variant>
      <vt:variant>
        <vt:i4>7143520</vt:i4>
      </vt:variant>
      <vt:variant>
        <vt:i4>270</vt:i4>
      </vt:variant>
      <vt:variant>
        <vt:i4>0</vt:i4>
      </vt:variant>
      <vt:variant>
        <vt:i4>5</vt:i4>
      </vt:variant>
      <vt:variant>
        <vt:lpwstr>http://www.nevo.co.il/law/70301/58</vt:lpwstr>
      </vt:variant>
      <vt:variant>
        <vt:lpwstr/>
      </vt:variant>
      <vt:variant>
        <vt:i4>8323175</vt:i4>
      </vt:variant>
      <vt:variant>
        <vt:i4>267</vt:i4>
      </vt:variant>
      <vt:variant>
        <vt:i4>0</vt:i4>
      </vt:variant>
      <vt:variant>
        <vt:i4>5</vt:i4>
      </vt:variant>
      <vt:variant>
        <vt:lpwstr>http://www.nevo.co.il/law/5227</vt:lpwstr>
      </vt:variant>
      <vt:variant>
        <vt:lpwstr/>
      </vt:variant>
      <vt:variant>
        <vt:i4>6750330</vt:i4>
      </vt:variant>
      <vt:variant>
        <vt:i4>264</vt:i4>
      </vt:variant>
      <vt:variant>
        <vt:i4>0</vt:i4>
      </vt:variant>
      <vt:variant>
        <vt:i4>5</vt:i4>
      </vt:variant>
      <vt:variant>
        <vt:lpwstr>http://www.nevo.co.il/law/5227/62.1</vt:lpwstr>
      </vt:variant>
      <vt:variant>
        <vt:lpwstr/>
      </vt:variant>
      <vt:variant>
        <vt:i4>4784200</vt:i4>
      </vt:variant>
      <vt:variant>
        <vt:i4>261</vt:i4>
      </vt:variant>
      <vt:variant>
        <vt:i4>0</vt:i4>
      </vt:variant>
      <vt:variant>
        <vt:i4>5</vt:i4>
      </vt:variant>
      <vt:variant>
        <vt:lpwstr>http://www.nevo.co.il/law/5227/67</vt:lpwstr>
      </vt:variant>
      <vt:variant>
        <vt:lpwstr/>
      </vt:variant>
      <vt:variant>
        <vt:i4>8323175</vt:i4>
      </vt:variant>
      <vt:variant>
        <vt:i4>258</vt:i4>
      </vt:variant>
      <vt:variant>
        <vt:i4>0</vt:i4>
      </vt:variant>
      <vt:variant>
        <vt:i4>5</vt:i4>
      </vt:variant>
      <vt:variant>
        <vt:lpwstr>http://www.nevo.co.il/law/5227</vt:lpwstr>
      </vt:variant>
      <vt:variant>
        <vt:lpwstr/>
      </vt:variant>
      <vt:variant>
        <vt:i4>4784200</vt:i4>
      </vt:variant>
      <vt:variant>
        <vt:i4>255</vt:i4>
      </vt:variant>
      <vt:variant>
        <vt:i4>0</vt:i4>
      </vt:variant>
      <vt:variant>
        <vt:i4>5</vt:i4>
      </vt:variant>
      <vt:variant>
        <vt:lpwstr>http://www.nevo.co.il/law/5227/67</vt:lpwstr>
      </vt:variant>
      <vt:variant>
        <vt:lpwstr/>
      </vt:variant>
      <vt:variant>
        <vt:i4>6291576</vt:i4>
      </vt:variant>
      <vt:variant>
        <vt:i4>252</vt:i4>
      </vt:variant>
      <vt:variant>
        <vt:i4>0</vt:i4>
      </vt:variant>
      <vt:variant>
        <vt:i4>5</vt:i4>
      </vt:variant>
      <vt:variant>
        <vt:lpwstr>http://www.nevo.co.il/law/5227/10.a</vt:lpwstr>
      </vt:variant>
      <vt:variant>
        <vt:lpwstr/>
      </vt:variant>
      <vt:variant>
        <vt:i4>3997811</vt:i4>
      </vt:variant>
      <vt:variant>
        <vt:i4>249</vt:i4>
      </vt:variant>
      <vt:variant>
        <vt:i4>0</vt:i4>
      </vt:variant>
      <vt:variant>
        <vt:i4>5</vt:i4>
      </vt:variant>
      <vt:variant>
        <vt:lpwstr>http://www.nevo.co.il/case/25955734</vt:lpwstr>
      </vt:variant>
      <vt:variant>
        <vt:lpwstr/>
      </vt:variant>
      <vt:variant>
        <vt:i4>7995492</vt:i4>
      </vt:variant>
      <vt:variant>
        <vt:i4>246</vt:i4>
      </vt:variant>
      <vt:variant>
        <vt:i4>0</vt:i4>
      </vt:variant>
      <vt:variant>
        <vt:i4>5</vt:i4>
      </vt:variant>
      <vt:variant>
        <vt:lpwstr>http://www.nevo.co.il/law/70301</vt:lpwstr>
      </vt:variant>
      <vt:variant>
        <vt:lpwstr/>
      </vt:variant>
      <vt:variant>
        <vt:i4>262155</vt:i4>
      </vt:variant>
      <vt:variant>
        <vt:i4>243</vt:i4>
      </vt:variant>
      <vt:variant>
        <vt:i4>0</vt:i4>
      </vt:variant>
      <vt:variant>
        <vt:i4>5</vt:i4>
      </vt:variant>
      <vt:variant>
        <vt:lpwstr>http://www.nevo.co.il/law/70301/40ja</vt:lpwstr>
      </vt:variant>
      <vt:variant>
        <vt:lpwstr/>
      </vt:variant>
      <vt:variant>
        <vt:i4>3932275</vt:i4>
      </vt:variant>
      <vt:variant>
        <vt:i4>240</vt:i4>
      </vt:variant>
      <vt:variant>
        <vt:i4>0</vt:i4>
      </vt:variant>
      <vt:variant>
        <vt:i4>5</vt:i4>
      </vt:variant>
      <vt:variant>
        <vt:lpwstr>http://www.nevo.co.il/case/13055187</vt:lpwstr>
      </vt:variant>
      <vt:variant>
        <vt:lpwstr/>
      </vt:variant>
      <vt:variant>
        <vt:i4>3407999</vt:i4>
      </vt:variant>
      <vt:variant>
        <vt:i4>237</vt:i4>
      </vt:variant>
      <vt:variant>
        <vt:i4>0</vt:i4>
      </vt:variant>
      <vt:variant>
        <vt:i4>5</vt:i4>
      </vt:variant>
      <vt:variant>
        <vt:lpwstr>http://www.nevo.co.il/case/27749886</vt:lpwstr>
      </vt:variant>
      <vt:variant>
        <vt:lpwstr/>
      </vt:variant>
      <vt:variant>
        <vt:i4>3473520</vt:i4>
      </vt:variant>
      <vt:variant>
        <vt:i4>234</vt:i4>
      </vt:variant>
      <vt:variant>
        <vt:i4>0</vt:i4>
      </vt:variant>
      <vt:variant>
        <vt:i4>5</vt:i4>
      </vt:variant>
      <vt:variant>
        <vt:lpwstr>http://www.nevo.co.il/case/21472212</vt:lpwstr>
      </vt:variant>
      <vt:variant>
        <vt:lpwstr/>
      </vt:variant>
      <vt:variant>
        <vt:i4>3407990</vt:i4>
      </vt:variant>
      <vt:variant>
        <vt:i4>231</vt:i4>
      </vt:variant>
      <vt:variant>
        <vt:i4>0</vt:i4>
      </vt:variant>
      <vt:variant>
        <vt:i4>5</vt:i4>
      </vt:variant>
      <vt:variant>
        <vt:lpwstr>http://www.nevo.co.il/case/22793926</vt:lpwstr>
      </vt:variant>
      <vt:variant>
        <vt:lpwstr/>
      </vt:variant>
      <vt:variant>
        <vt:i4>3473527</vt:i4>
      </vt:variant>
      <vt:variant>
        <vt:i4>228</vt:i4>
      </vt:variant>
      <vt:variant>
        <vt:i4>0</vt:i4>
      </vt:variant>
      <vt:variant>
        <vt:i4>5</vt:i4>
      </vt:variant>
      <vt:variant>
        <vt:lpwstr>http://www.nevo.co.il/case/23226232</vt:lpwstr>
      </vt:variant>
      <vt:variant>
        <vt:lpwstr/>
      </vt:variant>
      <vt:variant>
        <vt:i4>3407990</vt:i4>
      </vt:variant>
      <vt:variant>
        <vt:i4>225</vt:i4>
      </vt:variant>
      <vt:variant>
        <vt:i4>0</vt:i4>
      </vt:variant>
      <vt:variant>
        <vt:i4>5</vt:i4>
      </vt:variant>
      <vt:variant>
        <vt:lpwstr>http://www.nevo.co.il/case/22793926</vt:lpwstr>
      </vt:variant>
      <vt:variant>
        <vt:lpwstr/>
      </vt:variant>
      <vt:variant>
        <vt:i4>3473520</vt:i4>
      </vt:variant>
      <vt:variant>
        <vt:i4>222</vt:i4>
      </vt:variant>
      <vt:variant>
        <vt:i4>0</vt:i4>
      </vt:variant>
      <vt:variant>
        <vt:i4>5</vt:i4>
      </vt:variant>
      <vt:variant>
        <vt:lpwstr>http://www.nevo.co.il/case/25535278</vt:lpwstr>
      </vt:variant>
      <vt:variant>
        <vt:lpwstr/>
      </vt:variant>
      <vt:variant>
        <vt:i4>3473521</vt:i4>
      </vt:variant>
      <vt:variant>
        <vt:i4>219</vt:i4>
      </vt:variant>
      <vt:variant>
        <vt:i4>0</vt:i4>
      </vt:variant>
      <vt:variant>
        <vt:i4>5</vt:i4>
      </vt:variant>
      <vt:variant>
        <vt:lpwstr>http://www.nevo.co.il/case/25998961</vt:lpwstr>
      </vt:variant>
      <vt:variant>
        <vt:lpwstr/>
      </vt:variant>
      <vt:variant>
        <vt:i4>3604597</vt:i4>
      </vt:variant>
      <vt:variant>
        <vt:i4>216</vt:i4>
      </vt:variant>
      <vt:variant>
        <vt:i4>0</vt:i4>
      </vt:variant>
      <vt:variant>
        <vt:i4>5</vt:i4>
      </vt:variant>
      <vt:variant>
        <vt:lpwstr>http://www.nevo.co.il/case/29090157</vt:lpwstr>
      </vt:variant>
      <vt:variant>
        <vt:lpwstr/>
      </vt:variant>
      <vt:variant>
        <vt:i4>3407999</vt:i4>
      </vt:variant>
      <vt:variant>
        <vt:i4>213</vt:i4>
      </vt:variant>
      <vt:variant>
        <vt:i4>0</vt:i4>
      </vt:variant>
      <vt:variant>
        <vt:i4>5</vt:i4>
      </vt:variant>
      <vt:variant>
        <vt:lpwstr>http://www.nevo.co.il/case/28926193</vt:lpwstr>
      </vt:variant>
      <vt:variant>
        <vt:lpwstr/>
      </vt:variant>
      <vt:variant>
        <vt:i4>3211380</vt:i4>
      </vt:variant>
      <vt:variant>
        <vt:i4>210</vt:i4>
      </vt:variant>
      <vt:variant>
        <vt:i4>0</vt:i4>
      </vt:variant>
      <vt:variant>
        <vt:i4>5</vt:i4>
      </vt:variant>
      <vt:variant>
        <vt:lpwstr>http://www.nevo.co.il/case/28883087</vt:lpwstr>
      </vt:variant>
      <vt:variant>
        <vt:lpwstr/>
      </vt:variant>
      <vt:variant>
        <vt:i4>7995492</vt:i4>
      </vt:variant>
      <vt:variant>
        <vt:i4>207</vt:i4>
      </vt:variant>
      <vt:variant>
        <vt:i4>0</vt:i4>
      </vt:variant>
      <vt:variant>
        <vt:i4>5</vt:i4>
      </vt:variant>
      <vt:variant>
        <vt:lpwstr>http://www.nevo.co.il/law/70301</vt:lpwstr>
      </vt:variant>
      <vt:variant>
        <vt:lpwstr/>
      </vt:variant>
      <vt:variant>
        <vt:i4>5177424</vt:i4>
      </vt:variant>
      <vt:variant>
        <vt:i4>204</vt:i4>
      </vt:variant>
      <vt:variant>
        <vt:i4>0</vt:i4>
      </vt:variant>
      <vt:variant>
        <vt:i4>5</vt:i4>
      </vt:variant>
      <vt:variant>
        <vt:lpwstr>http://www.nevo.co.il/law/70301/144.g</vt:lpwstr>
      </vt:variant>
      <vt:variant>
        <vt:lpwstr/>
      </vt:variant>
      <vt:variant>
        <vt:i4>5439560</vt:i4>
      </vt:variant>
      <vt:variant>
        <vt:i4>201</vt:i4>
      </vt:variant>
      <vt:variant>
        <vt:i4>0</vt:i4>
      </vt:variant>
      <vt:variant>
        <vt:i4>5</vt:i4>
      </vt:variant>
      <vt:variant>
        <vt:lpwstr>http://www.nevo.co.il/law/70301/32.4</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6750310</vt:i4>
      </vt:variant>
      <vt:variant>
        <vt:i4>195</vt:i4>
      </vt:variant>
      <vt:variant>
        <vt:i4>0</vt:i4>
      </vt:variant>
      <vt:variant>
        <vt:i4>5</vt:i4>
      </vt:variant>
      <vt:variant>
        <vt:lpwstr>http://www.nevo.co.il/law/70301/32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5177424</vt:i4>
      </vt:variant>
      <vt:variant>
        <vt:i4>189</vt:i4>
      </vt:variant>
      <vt:variant>
        <vt:i4>0</vt:i4>
      </vt:variant>
      <vt:variant>
        <vt:i4>5</vt:i4>
      </vt:variant>
      <vt:variant>
        <vt:lpwstr>http://www.nevo.co.il/law/70301/144.g</vt:lpwstr>
      </vt:variant>
      <vt:variant>
        <vt:lpwstr/>
      </vt:variant>
      <vt:variant>
        <vt:i4>7995492</vt:i4>
      </vt:variant>
      <vt:variant>
        <vt:i4>186</vt:i4>
      </vt:variant>
      <vt:variant>
        <vt:i4>0</vt:i4>
      </vt:variant>
      <vt:variant>
        <vt:i4>5</vt:i4>
      </vt:variant>
      <vt:variant>
        <vt:lpwstr>http://www.nevo.co.il/law/70301</vt:lpwstr>
      </vt:variant>
      <vt:variant>
        <vt:lpwstr/>
      </vt:variant>
      <vt:variant>
        <vt:i4>5177424</vt:i4>
      </vt:variant>
      <vt:variant>
        <vt:i4>183</vt:i4>
      </vt:variant>
      <vt:variant>
        <vt:i4>0</vt:i4>
      </vt:variant>
      <vt:variant>
        <vt:i4>5</vt:i4>
      </vt:variant>
      <vt:variant>
        <vt:lpwstr>http://www.nevo.co.il/law/70301/144.g</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4128884</vt:i4>
      </vt:variant>
      <vt:variant>
        <vt:i4>177</vt:i4>
      </vt:variant>
      <vt:variant>
        <vt:i4>0</vt:i4>
      </vt:variant>
      <vt:variant>
        <vt:i4>5</vt:i4>
      </vt:variant>
      <vt:variant>
        <vt:lpwstr>http://www.nevo.co.il/case/5587527</vt:lpwstr>
      </vt:variant>
      <vt:variant>
        <vt:lpwstr/>
      </vt:variant>
      <vt:variant>
        <vt:i4>3539063</vt:i4>
      </vt:variant>
      <vt:variant>
        <vt:i4>174</vt:i4>
      </vt:variant>
      <vt:variant>
        <vt:i4>0</vt:i4>
      </vt:variant>
      <vt:variant>
        <vt:i4>5</vt:i4>
      </vt:variant>
      <vt:variant>
        <vt:lpwstr>http://www.nevo.co.il/case/5833181</vt:lpwstr>
      </vt:variant>
      <vt:variant>
        <vt:lpwstr/>
      </vt:variant>
      <vt:variant>
        <vt:i4>3539056</vt:i4>
      </vt:variant>
      <vt:variant>
        <vt:i4>171</vt:i4>
      </vt:variant>
      <vt:variant>
        <vt:i4>0</vt:i4>
      </vt:variant>
      <vt:variant>
        <vt:i4>5</vt:i4>
      </vt:variant>
      <vt:variant>
        <vt:lpwstr>http://www.nevo.co.il/case/20513526</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6750310</vt:i4>
      </vt:variant>
      <vt:variant>
        <vt:i4>165</vt:i4>
      </vt:variant>
      <vt:variant>
        <vt:i4>0</vt:i4>
      </vt:variant>
      <vt:variant>
        <vt:i4>5</vt:i4>
      </vt:variant>
      <vt:variant>
        <vt:lpwstr>http://www.nevo.co.il/law/70301/32</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5177424</vt:i4>
      </vt:variant>
      <vt:variant>
        <vt:i4>159</vt:i4>
      </vt:variant>
      <vt:variant>
        <vt:i4>0</vt:i4>
      </vt:variant>
      <vt:variant>
        <vt:i4>5</vt:i4>
      </vt:variant>
      <vt:variant>
        <vt:lpwstr>http://www.nevo.co.il/law/70301/144.g</vt:lpwstr>
      </vt:variant>
      <vt:variant>
        <vt:lpwstr/>
      </vt:variant>
      <vt:variant>
        <vt:i4>3473531</vt:i4>
      </vt:variant>
      <vt:variant>
        <vt:i4>156</vt:i4>
      </vt:variant>
      <vt:variant>
        <vt:i4>0</vt:i4>
      </vt:variant>
      <vt:variant>
        <vt:i4>5</vt:i4>
      </vt:variant>
      <vt:variant>
        <vt:lpwstr>http://www.nevo.co.il/case/28266138</vt:lpwstr>
      </vt:variant>
      <vt:variant>
        <vt:lpwstr/>
      </vt:variant>
      <vt:variant>
        <vt:i4>3473524</vt:i4>
      </vt:variant>
      <vt:variant>
        <vt:i4>153</vt:i4>
      </vt:variant>
      <vt:variant>
        <vt:i4>0</vt:i4>
      </vt:variant>
      <vt:variant>
        <vt:i4>5</vt:i4>
      </vt:variant>
      <vt:variant>
        <vt:lpwstr>http://www.nevo.co.il/case/28200855</vt:lpwstr>
      </vt:variant>
      <vt:variant>
        <vt:lpwstr/>
      </vt:variant>
      <vt:variant>
        <vt:i4>3735673</vt:i4>
      </vt:variant>
      <vt:variant>
        <vt:i4>150</vt:i4>
      </vt:variant>
      <vt:variant>
        <vt:i4>0</vt:i4>
      </vt:variant>
      <vt:variant>
        <vt:i4>5</vt:i4>
      </vt:variant>
      <vt:variant>
        <vt:lpwstr>http://www.nevo.co.il/case/27734980</vt:lpwstr>
      </vt:variant>
      <vt:variant>
        <vt:lpwstr/>
      </vt:variant>
      <vt:variant>
        <vt:i4>3735670</vt:i4>
      </vt:variant>
      <vt:variant>
        <vt:i4>147</vt:i4>
      </vt:variant>
      <vt:variant>
        <vt:i4>0</vt:i4>
      </vt:variant>
      <vt:variant>
        <vt:i4>5</vt:i4>
      </vt:variant>
      <vt:variant>
        <vt:lpwstr>http://www.nevo.co.il/case/27708542</vt:lpwstr>
      </vt:variant>
      <vt:variant>
        <vt:lpwstr/>
      </vt:variant>
      <vt:variant>
        <vt:i4>3932283</vt:i4>
      </vt:variant>
      <vt:variant>
        <vt:i4>144</vt:i4>
      </vt:variant>
      <vt:variant>
        <vt:i4>0</vt:i4>
      </vt:variant>
      <vt:variant>
        <vt:i4>5</vt:i4>
      </vt:variant>
      <vt:variant>
        <vt:lpwstr>http://www.nevo.co.il/case/26905927</vt:lpwstr>
      </vt:variant>
      <vt:variant>
        <vt:lpwstr/>
      </vt:variant>
      <vt:variant>
        <vt:i4>4128881</vt:i4>
      </vt:variant>
      <vt:variant>
        <vt:i4>141</vt:i4>
      </vt:variant>
      <vt:variant>
        <vt:i4>0</vt:i4>
      </vt:variant>
      <vt:variant>
        <vt:i4>5</vt:i4>
      </vt:variant>
      <vt:variant>
        <vt:lpwstr>http://www.nevo.co.il/case/27309272</vt:lpwstr>
      </vt:variant>
      <vt:variant>
        <vt:lpwstr/>
      </vt:variant>
      <vt:variant>
        <vt:i4>3670139</vt:i4>
      </vt:variant>
      <vt:variant>
        <vt:i4>138</vt:i4>
      </vt:variant>
      <vt:variant>
        <vt:i4>0</vt:i4>
      </vt:variant>
      <vt:variant>
        <vt:i4>5</vt:i4>
      </vt:variant>
      <vt:variant>
        <vt:lpwstr>http://www.nevo.co.il/case/25824863</vt:lpwstr>
      </vt:variant>
      <vt:variant>
        <vt:lpwstr/>
      </vt:variant>
      <vt:variant>
        <vt:i4>4063349</vt:i4>
      </vt:variant>
      <vt:variant>
        <vt:i4>135</vt:i4>
      </vt:variant>
      <vt:variant>
        <vt:i4>0</vt:i4>
      </vt:variant>
      <vt:variant>
        <vt:i4>5</vt:i4>
      </vt:variant>
      <vt:variant>
        <vt:lpwstr>http://www.nevo.co.il/case/7821883</vt:lpwstr>
      </vt:variant>
      <vt:variant>
        <vt:lpwstr/>
      </vt:variant>
      <vt:variant>
        <vt:i4>3145854</vt:i4>
      </vt:variant>
      <vt:variant>
        <vt:i4>132</vt:i4>
      </vt:variant>
      <vt:variant>
        <vt:i4>0</vt:i4>
      </vt:variant>
      <vt:variant>
        <vt:i4>5</vt:i4>
      </vt:variant>
      <vt:variant>
        <vt:lpwstr>http://www.nevo.co.il/case/5852404</vt:lpwstr>
      </vt:variant>
      <vt:variant>
        <vt:lpwstr/>
      </vt:variant>
      <vt:variant>
        <vt:i4>3211386</vt:i4>
      </vt:variant>
      <vt:variant>
        <vt:i4>129</vt:i4>
      </vt:variant>
      <vt:variant>
        <vt:i4>0</vt:i4>
      </vt:variant>
      <vt:variant>
        <vt:i4>5</vt:i4>
      </vt:variant>
      <vt:variant>
        <vt:lpwstr>http://www.nevo.co.il/case/10485615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6488167</vt:i4>
      </vt:variant>
      <vt:variant>
        <vt:i4>105</vt:i4>
      </vt:variant>
      <vt:variant>
        <vt:i4>0</vt:i4>
      </vt:variant>
      <vt:variant>
        <vt:i4>5</vt:i4>
      </vt:variant>
      <vt:variant>
        <vt:lpwstr>http://www.nevo.co.il/law/70301/262</vt:lpwstr>
      </vt:variant>
      <vt:variant>
        <vt:lpwstr/>
      </vt:variant>
      <vt:variant>
        <vt:i4>8257634</vt:i4>
      </vt:variant>
      <vt:variant>
        <vt:i4>102</vt:i4>
      </vt:variant>
      <vt:variant>
        <vt:i4>0</vt:i4>
      </vt:variant>
      <vt:variant>
        <vt:i4>5</vt:i4>
      </vt:variant>
      <vt:variant>
        <vt:lpwstr>http://www.nevo.co.il/law/74501</vt:lpwstr>
      </vt:variant>
      <vt:variant>
        <vt:lpwstr/>
      </vt:variant>
      <vt:variant>
        <vt:i4>5308499</vt:i4>
      </vt:variant>
      <vt:variant>
        <vt:i4>99</vt:i4>
      </vt:variant>
      <vt:variant>
        <vt:i4>0</vt:i4>
      </vt:variant>
      <vt:variant>
        <vt:i4>5</vt:i4>
      </vt:variant>
      <vt:variant>
        <vt:lpwstr>http://www.nevo.co.il/law/74501/2</vt:lpwstr>
      </vt:variant>
      <vt:variant>
        <vt:lpwstr/>
      </vt:variant>
      <vt:variant>
        <vt:i4>8323175</vt:i4>
      </vt:variant>
      <vt:variant>
        <vt:i4>96</vt:i4>
      </vt:variant>
      <vt:variant>
        <vt:i4>0</vt:i4>
      </vt:variant>
      <vt:variant>
        <vt:i4>5</vt:i4>
      </vt:variant>
      <vt:variant>
        <vt:lpwstr>http://www.nevo.co.il/law/5227</vt:lpwstr>
      </vt:variant>
      <vt:variant>
        <vt:lpwstr/>
      </vt:variant>
      <vt:variant>
        <vt:i4>6750330</vt:i4>
      </vt:variant>
      <vt:variant>
        <vt:i4>93</vt:i4>
      </vt:variant>
      <vt:variant>
        <vt:i4>0</vt:i4>
      </vt:variant>
      <vt:variant>
        <vt:i4>5</vt:i4>
      </vt:variant>
      <vt:variant>
        <vt:lpwstr>http://www.nevo.co.il/law/5227/62.1</vt:lpwstr>
      </vt:variant>
      <vt:variant>
        <vt:lpwstr/>
      </vt:variant>
      <vt:variant>
        <vt:i4>4784200</vt:i4>
      </vt:variant>
      <vt:variant>
        <vt:i4>90</vt:i4>
      </vt:variant>
      <vt:variant>
        <vt:i4>0</vt:i4>
      </vt:variant>
      <vt:variant>
        <vt:i4>5</vt:i4>
      </vt:variant>
      <vt:variant>
        <vt:lpwstr>http://www.nevo.co.il/law/5227/67</vt:lpwstr>
      </vt:variant>
      <vt:variant>
        <vt:lpwstr/>
      </vt:variant>
      <vt:variant>
        <vt:i4>7995492</vt:i4>
      </vt:variant>
      <vt:variant>
        <vt:i4>87</vt:i4>
      </vt:variant>
      <vt:variant>
        <vt:i4>0</vt:i4>
      </vt:variant>
      <vt:variant>
        <vt:i4>5</vt:i4>
      </vt:variant>
      <vt:variant>
        <vt:lpwstr>http://www.nevo.co.il/law/70301</vt:lpwstr>
      </vt:variant>
      <vt:variant>
        <vt:lpwstr/>
      </vt:variant>
      <vt:variant>
        <vt:i4>6553702</vt:i4>
      </vt:variant>
      <vt:variant>
        <vt:i4>84</vt:i4>
      </vt:variant>
      <vt:variant>
        <vt:i4>0</vt:i4>
      </vt:variant>
      <vt:variant>
        <vt:i4>5</vt:i4>
      </vt:variant>
      <vt:variant>
        <vt:lpwstr>http://www.nevo.co.il/law/70301/31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5308499</vt:i4>
      </vt:variant>
      <vt:variant>
        <vt:i4>54</vt:i4>
      </vt:variant>
      <vt:variant>
        <vt:i4>0</vt:i4>
      </vt:variant>
      <vt:variant>
        <vt:i4>5</vt:i4>
      </vt:variant>
      <vt:variant>
        <vt:lpwstr>http://www.nevo.co.il/law/74501/2</vt:lpwstr>
      </vt:variant>
      <vt:variant>
        <vt:lpwstr/>
      </vt:variant>
      <vt:variant>
        <vt:i4>8257634</vt:i4>
      </vt:variant>
      <vt:variant>
        <vt:i4>51</vt:i4>
      </vt:variant>
      <vt:variant>
        <vt:i4>0</vt:i4>
      </vt:variant>
      <vt:variant>
        <vt:i4>5</vt:i4>
      </vt:variant>
      <vt:variant>
        <vt:lpwstr>http://www.nevo.co.il/law/74501</vt:lpwstr>
      </vt:variant>
      <vt:variant>
        <vt:lpwstr/>
      </vt:variant>
      <vt:variant>
        <vt:i4>4784200</vt:i4>
      </vt:variant>
      <vt:variant>
        <vt:i4>48</vt:i4>
      </vt:variant>
      <vt:variant>
        <vt:i4>0</vt:i4>
      </vt:variant>
      <vt:variant>
        <vt:i4>5</vt:i4>
      </vt:variant>
      <vt:variant>
        <vt:lpwstr>http://www.nevo.co.il/law/5227/67</vt:lpwstr>
      </vt:variant>
      <vt:variant>
        <vt:lpwstr/>
      </vt:variant>
      <vt:variant>
        <vt:i4>6750330</vt:i4>
      </vt:variant>
      <vt:variant>
        <vt:i4>45</vt:i4>
      </vt:variant>
      <vt:variant>
        <vt:i4>0</vt:i4>
      </vt:variant>
      <vt:variant>
        <vt:i4>5</vt:i4>
      </vt:variant>
      <vt:variant>
        <vt:lpwstr>http://www.nevo.co.il/law/5227/62.1</vt:lpwstr>
      </vt:variant>
      <vt:variant>
        <vt:lpwstr/>
      </vt:variant>
      <vt:variant>
        <vt:i4>6291576</vt:i4>
      </vt:variant>
      <vt:variant>
        <vt:i4>42</vt:i4>
      </vt:variant>
      <vt:variant>
        <vt:i4>0</vt:i4>
      </vt:variant>
      <vt:variant>
        <vt:i4>5</vt:i4>
      </vt:variant>
      <vt:variant>
        <vt:lpwstr>http://www.nevo.co.il/law/5227/10.a</vt:lpwstr>
      </vt:variant>
      <vt:variant>
        <vt:lpwstr/>
      </vt:variant>
      <vt:variant>
        <vt:i4>8323175</vt:i4>
      </vt:variant>
      <vt:variant>
        <vt:i4>39</vt:i4>
      </vt:variant>
      <vt:variant>
        <vt:i4>0</vt:i4>
      </vt:variant>
      <vt:variant>
        <vt:i4>5</vt:i4>
      </vt:variant>
      <vt:variant>
        <vt:lpwstr>http://www.nevo.co.il/law/5227</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6488167</vt:i4>
      </vt:variant>
      <vt:variant>
        <vt:i4>30</vt:i4>
      </vt:variant>
      <vt:variant>
        <vt:i4>0</vt:i4>
      </vt:variant>
      <vt:variant>
        <vt:i4>5</vt:i4>
      </vt:variant>
      <vt:variant>
        <vt:lpwstr>http://www.nevo.co.il/law/70301/262</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5439560</vt:i4>
      </vt:variant>
      <vt:variant>
        <vt:i4>9</vt:i4>
      </vt:variant>
      <vt:variant>
        <vt:i4>0</vt:i4>
      </vt:variant>
      <vt:variant>
        <vt:i4>5</vt:i4>
      </vt:variant>
      <vt:variant>
        <vt:lpwstr>http://www.nevo.co.il/law/70301/32.4</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28991</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אמיר נעימי;מוגאהד ניס;וואיל חמוד </vt:lpwstr>
  </property>
  <property fmtid="{D5CDD505-2E9C-101B-9397-08002B2CF9AE}" pid="10" name="JUDGE">
    <vt:lpwstr>מוחמד עלי</vt:lpwstr>
  </property>
  <property fmtid="{D5CDD505-2E9C-101B-9397-08002B2CF9AE}" pid="11" name="CITY">
    <vt:lpwstr>חי'</vt:lpwstr>
  </property>
  <property fmtid="{D5CDD505-2E9C-101B-9397-08002B2CF9AE}" pid="12" name="DATE">
    <vt:lpwstr>20230312</vt:lpwstr>
  </property>
  <property fmtid="{D5CDD505-2E9C-101B-9397-08002B2CF9AE}" pid="13" name="TYPE_N_DATE">
    <vt:lpwstr>39020230312</vt:lpwstr>
  </property>
  <property fmtid="{D5CDD505-2E9C-101B-9397-08002B2CF9AE}" pid="14" name="WORDNUMPAGES">
    <vt:lpwstr>11</vt:lpwstr>
  </property>
  <property fmtid="{D5CDD505-2E9C-101B-9397-08002B2CF9AE}" pid="15" name="TYPE_ABS_DATE">
    <vt:lpwstr>390020230312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10485615;5852404;7821883;25824863;27309272;26905927;27708542;27734980;28200855;28266138;20513526;5833181;5587527;28883087;28926193;29090157;25998961;25535278;22793926:2;23226232;21472212;27749886;13055187;25955734:2;27535102</vt:lpwstr>
  </property>
  <property fmtid="{D5CDD505-2E9C-101B-9397-08002B2CF9AE}" pid="36" name="LAWLISTTMP1">
    <vt:lpwstr>70301/144.a:3;144.b:3;031:2;275;262;040c;040i;144.g:4;032:2;032.4;40ja;058</vt:lpwstr>
  </property>
  <property fmtid="{D5CDD505-2E9C-101B-9397-08002B2CF9AE}" pid="37" name="LAWLISTTMP2">
    <vt:lpwstr>5227/067:3;062.1:2;010.a</vt:lpwstr>
  </property>
  <property fmtid="{D5CDD505-2E9C-101B-9397-08002B2CF9AE}" pid="38" name="LAWLISTTMP3">
    <vt:lpwstr>74501/002</vt:lpwstr>
  </property>
</Properties>
</file>