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780" w:type="dxa"/>
        <w:jc w:val="center"/>
        <w:tblLook w:val="0000" w:firstRow="0" w:lastRow="0" w:firstColumn="0" w:lastColumn="0" w:noHBand="0" w:noVBand="0"/>
      </w:tblPr>
      <w:tblGrid>
        <w:gridCol w:w="236"/>
        <w:gridCol w:w="2616"/>
        <w:gridCol w:w="2208"/>
        <w:gridCol w:w="3661"/>
        <w:gridCol w:w="59"/>
      </w:tblGrid>
      <w:tr w:rsidR="008832BE" w:rsidRPr="00A003AB" w14:paraId="5B89E080" w14:textId="77777777" w:rsidTr="00EB2285">
        <w:trPr>
          <w:gridAfter w:val="1"/>
          <w:wAfter w:w="59" w:type="dxa"/>
          <w:trHeight w:hRule="exact" w:val="418"/>
          <w:jc w:val="center"/>
        </w:trPr>
        <w:tc>
          <w:tcPr>
            <w:tcW w:w="8721" w:type="dxa"/>
            <w:gridSpan w:val="4"/>
          </w:tcPr>
          <w:p w14:paraId="6EBCC978" w14:textId="77777777" w:rsidR="008832BE" w:rsidRPr="00A003AB" w:rsidRDefault="008832BE" w:rsidP="00544E32">
            <w:pPr>
              <w:pStyle w:val="a3"/>
              <w:jc w:val="center"/>
              <w:rPr>
                <w:rFonts w:ascii="Tahoma" w:hAnsi="Tahoma" w:cs="Tahoma"/>
                <w:color w:val="000080"/>
                <w:rtl/>
              </w:rPr>
            </w:pPr>
            <w:bookmarkStart w:id="0" w:name="LastJudge"/>
            <w:r w:rsidRPr="00A003AB">
              <w:rPr>
                <w:rFonts w:ascii="Tahoma" w:hAnsi="Tahoma" w:cs="Tahoma"/>
                <w:b/>
                <w:bCs/>
                <w:color w:val="000080"/>
                <w:rtl/>
              </w:rPr>
              <w:t>בית המשפט המחוזי בחיפה</w:t>
            </w:r>
          </w:p>
        </w:tc>
      </w:tr>
      <w:tr w:rsidR="008832BE" w:rsidRPr="00A003AB" w14:paraId="6731DD30" w14:textId="77777777" w:rsidTr="00EB2285">
        <w:trPr>
          <w:gridAfter w:val="1"/>
          <w:wAfter w:w="59" w:type="dxa"/>
          <w:trHeight w:val="337"/>
          <w:jc w:val="center"/>
        </w:trPr>
        <w:tc>
          <w:tcPr>
            <w:tcW w:w="5060" w:type="dxa"/>
            <w:gridSpan w:val="3"/>
          </w:tcPr>
          <w:p w14:paraId="53767B85" w14:textId="77777777" w:rsidR="008832BE" w:rsidRPr="00A003AB" w:rsidRDefault="008832BE" w:rsidP="00544E32">
            <w:pPr>
              <w:rPr>
                <w:rFonts w:cs="FrankRuehl"/>
                <w:sz w:val="28"/>
                <w:szCs w:val="28"/>
                <w:rtl/>
              </w:rPr>
            </w:pPr>
            <w:r w:rsidRPr="00A003AB">
              <w:rPr>
                <w:rFonts w:cs="FrankRuehl"/>
                <w:sz w:val="28"/>
                <w:szCs w:val="28"/>
                <w:rtl/>
              </w:rPr>
              <w:t>ת"פ</w:t>
            </w:r>
            <w:r w:rsidRPr="00A003AB">
              <w:rPr>
                <w:rFonts w:cs="FrankRuehl" w:hint="cs"/>
                <w:sz w:val="28"/>
                <w:szCs w:val="28"/>
                <w:rtl/>
              </w:rPr>
              <w:t xml:space="preserve"> </w:t>
            </w:r>
            <w:r w:rsidRPr="00A003AB">
              <w:rPr>
                <w:rFonts w:cs="FrankRuehl"/>
                <w:sz w:val="28"/>
                <w:szCs w:val="28"/>
                <w:rtl/>
              </w:rPr>
              <w:t>54444-04-22</w:t>
            </w:r>
            <w:r w:rsidRPr="00A003AB">
              <w:rPr>
                <w:rFonts w:cs="FrankRuehl" w:hint="cs"/>
                <w:sz w:val="28"/>
                <w:szCs w:val="28"/>
                <w:rtl/>
              </w:rPr>
              <w:t xml:space="preserve"> </w:t>
            </w:r>
            <w:r w:rsidRPr="00A003AB">
              <w:rPr>
                <w:rFonts w:cs="FrankRuehl"/>
                <w:sz w:val="28"/>
                <w:szCs w:val="28"/>
                <w:rtl/>
              </w:rPr>
              <w:t>מדינת ישראל נ' מחאמיד(עציר)</w:t>
            </w:r>
          </w:p>
          <w:p w14:paraId="036D822D" w14:textId="77777777" w:rsidR="008832BE" w:rsidRPr="00A003AB" w:rsidRDefault="008832BE" w:rsidP="00544E32">
            <w:pPr>
              <w:rPr>
                <w:rFonts w:cs="FrankRuehl"/>
                <w:sz w:val="28"/>
                <w:szCs w:val="28"/>
                <w:rtl/>
              </w:rPr>
            </w:pPr>
            <w:r w:rsidRPr="00A003AB">
              <w:rPr>
                <w:rFonts w:cs="FrankRuehl"/>
                <w:sz w:val="28"/>
                <w:szCs w:val="28"/>
                <w:rtl/>
              </w:rPr>
              <w:t>ת"פ</w:t>
            </w:r>
            <w:r w:rsidRPr="00A003AB">
              <w:rPr>
                <w:rFonts w:cs="FrankRuehl" w:hint="cs"/>
                <w:sz w:val="28"/>
                <w:szCs w:val="28"/>
                <w:rtl/>
              </w:rPr>
              <w:t xml:space="preserve"> </w:t>
            </w:r>
            <w:r w:rsidRPr="00A003AB">
              <w:rPr>
                <w:rFonts w:cs="FrankRuehl"/>
                <w:sz w:val="28"/>
                <w:szCs w:val="28"/>
                <w:rtl/>
              </w:rPr>
              <w:t>12107-05-22</w:t>
            </w:r>
            <w:r w:rsidRPr="00A003AB">
              <w:rPr>
                <w:rFonts w:cs="FrankRuehl" w:hint="cs"/>
                <w:sz w:val="28"/>
                <w:szCs w:val="28"/>
                <w:rtl/>
              </w:rPr>
              <w:t xml:space="preserve"> </w:t>
            </w:r>
            <w:r w:rsidRPr="00A003AB">
              <w:rPr>
                <w:rFonts w:cs="FrankRuehl"/>
                <w:sz w:val="28"/>
                <w:szCs w:val="28"/>
                <w:rtl/>
              </w:rPr>
              <w:t>מדינת ישראל נ' מחאמיד(עציר)</w:t>
            </w:r>
          </w:p>
          <w:p w14:paraId="1B279832" w14:textId="77777777" w:rsidR="008832BE" w:rsidRPr="00A003AB" w:rsidRDefault="008832BE" w:rsidP="00544E32">
            <w:pPr>
              <w:pStyle w:val="a3"/>
              <w:rPr>
                <w:rFonts w:cs="FrankRuehl"/>
                <w:sz w:val="28"/>
                <w:szCs w:val="28"/>
                <w:rtl/>
              </w:rPr>
            </w:pPr>
          </w:p>
        </w:tc>
        <w:tc>
          <w:tcPr>
            <w:tcW w:w="3661" w:type="dxa"/>
          </w:tcPr>
          <w:p w14:paraId="59067135" w14:textId="77777777" w:rsidR="008832BE" w:rsidRPr="00A003AB" w:rsidRDefault="008832BE" w:rsidP="00544E32">
            <w:pPr>
              <w:pStyle w:val="a3"/>
              <w:jc w:val="right"/>
              <w:rPr>
                <w:rFonts w:cs="FrankRuehl"/>
                <w:sz w:val="28"/>
                <w:szCs w:val="28"/>
                <w:rtl/>
              </w:rPr>
            </w:pPr>
          </w:p>
        </w:tc>
      </w:tr>
      <w:tr w:rsidR="008832BE" w:rsidRPr="00A003AB" w14:paraId="251D1049" w14:textId="77777777" w:rsidTr="00EB2285">
        <w:tblPrEx>
          <w:jc w:val="left"/>
          <w:tblLook w:val="01E0" w:firstRow="1" w:lastRow="1" w:firstColumn="1" w:lastColumn="1" w:noHBand="0" w:noVBand="0"/>
        </w:tblPrEx>
        <w:trPr>
          <w:gridBefore w:val="1"/>
          <w:wBefore w:w="236" w:type="dxa"/>
        </w:trPr>
        <w:tc>
          <w:tcPr>
            <w:tcW w:w="8544" w:type="dxa"/>
            <w:gridSpan w:val="4"/>
            <w:shd w:val="clear" w:color="auto" w:fill="auto"/>
          </w:tcPr>
          <w:p w14:paraId="7EFF5998" w14:textId="77777777" w:rsidR="008832BE" w:rsidRPr="00A003AB" w:rsidRDefault="008832BE" w:rsidP="00544E32">
            <w:pPr>
              <w:rPr>
                <w:b/>
                <w:bCs/>
                <w:sz w:val="26"/>
                <w:szCs w:val="26"/>
                <w:rtl/>
              </w:rPr>
            </w:pPr>
            <w:r w:rsidRPr="00A003AB">
              <w:rPr>
                <w:rFonts w:hint="cs"/>
                <w:rtl/>
              </w:rPr>
              <w:t xml:space="preserve"> </w:t>
            </w:r>
            <w:r w:rsidRPr="00A003AB">
              <w:rPr>
                <w:rFonts w:hint="cs"/>
                <w:b/>
                <w:bCs/>
                <w:sz w:val="26"/>
                <w:szCs w:val="26"/>
                <w:rtl/>
              </w:rPr>
              <w:t>לפני כבוד השופט מוחמד עלי</w:t>
            </w:r>
            <w:r w:rsidRPr="00A003AB">
              <w:rPr>
                <w:rStyle w:val="TimesNewRomanTimesNewRoman"/>
                <w:rtl/>
              </w:rPr>
              <w:t xml:space="preserve"> </w:t>
            </w:r>
          </w:p>
        </w:tc>
      </w:tr>
      <w:tr w:rsidR="008832BE" w:rsidRPr="00A003AB" w14:paraId="7FB37740" w14:textId="77777777" w:rsidTr="00EB2285">
        <w:tblPrEx>
          <w:jc w:val="left"/>
          <w:tblLook w:val="01E0" w:firstRow="1" w:lastRow="1" w:firstColumn="1" w:lastColumn="1" w:noHBand="0" w:noVBand="0"/>
        </w:tblPrEx>
        <w:trPr>
          <w:gridBefore w:val="1"/>
          <w:wBefore w:w="236" w:type="dxa"/>
        </w:trPr>
        <w:tc>
          <w:tcPr>
            <w:tcW w:w="8544" w:type="dxa"/>
            <w:gridSpan w:val="4"/>
            <w:shd w:val="clear" w:color="auto" w:fill="auto"/>
          </w:tcPr>
          <w:p w14:paraId="670681EE" w14:textId="77777777" w:rsidR="008832BE" w:rsidRPr="00A003AB" w:rsidRDefault="008832BE" w:rsidP="00544E32">
            <w:pPr>
              <w:rPr>
                <w:b/>
                <w:bCs/>
                <w:sz w:val="26"/>
                <w:szCs w:val="26"/>
                <w:rtl/>
              </w:rPr>
            </w:pPr>
          </w:p>
        </w:tc>
      </w:tr>
      <w:tr w:rsidR="008832BE" w:rsidRPr="00A003AB" w14:paraId="0D83F564" w14:textId="77777777" w:rsidTr="00EB2285">
        <w:tblPrEx>
          <w:jc w:val="left"/>
          <w:tblLook w:val="01E0" w:firstRow="1" w:lastRow="1" w:firstColumn="1" w:lastColumn="1" w:noHBand="0" w:noVBand="0"/>
        </w:tblPrEx>
        <w:trPr>
          <w:gridBefore w:val="1"/>
          <w:wBefore w:w="236" w:type="dxa"/>
          <w:cantSplit/>
          <w:trHeight w:val="273"/>
        </w:trPr>
        <w:tc>
          <w:tcPr>
            <w:tcW w:w="2616" w:type="dxa"/>
            <w:shd w:val="clear" w:color="auto" w:fill="auto"/>
          </w:tcPr>
          <w:p w14:paraId="22F2D2C1" w14:textId="77777777" w:rsidR="008832BE" w:rsidRPr="00A003AB" w:rsidRDefault="008832BE" w:rsidP="008832BE">
            <w:pPr>
              <w:ind w:left="26"/>
              <w:rPr>
                <w:b/>
                <w:bCs/>
                <w:sz w:val="26"/>
                <w:szCs w:val="26"/>
                <w:rtl/>
              </w:rPr>
            </w:pPr>
            <w:bookmarkStart w:id="1" w:name="FirstAppellant"/>
            <w:r w:rsidRPr="00A003AB">
              <w:rPr>
                <w:rFonts w:hint="cs"/>
                <w:b/>
                <w:bCs/>
                <w:sz w:val="26"/>
                <w:szCs w:val="26"/>
                <w:rtl/>
              </w:rPr>
              <w:t>המאשימה</w:t>
            </w:r>
          </w:p>
        </w:tc>
        <w:tc>
          <w:tcPr>
            <w:tcW w:w="5928" w:type="dxa"/>
            <w:gridSpan w:val="3"/>
            <w:shd w:val="clear" w:color="auto" w:fill="auto"/>
          </w:tcPr>
          <w:p w14:paraId="588BFD5E" w14:textId="77777777" w:rsidR="008832BE" w:rsidRPr="00A003AB" w:rsidRDefault="008832BE" w:rsidP="00544E32">
            <w:pPr>
              <w:rPr>
                <w:b/>
                <w:bCs/>
                <w:sz w:val="26"/>
                <w:szCs w:val="26"/>
                <w:rtl/>
              </w:rPr>
            </w:pPr>
            <w:r w:rsidRPr="00A003AB">
              <w:rPr>
                <w:rFonts w:hint="cs"/>
                <w:b/>
                <w:bCs/>
                <w:sz w:val="26"/>
                <w:szCs w:val="26"/>
                <w:rtl/>
              </w:rPr>
              <w:t>מדינת ישראל</w:t>
            </w:r>
          </w:p>
        </w:tc>
      </w:tr>
      <w:tr w:rsidR="008832BE" w:rsidRPr="00A003AB" w14:paraId="31C7DD64" w14:textId="77777777" w:rsidTr="00EB2285">
        <w:tblPrEx>
          <w:jc w:val="left"/>
          <w:tblLook w:val="01E0" w:firstRow="1" w:lastRow="1" w:firstColumn="1" w:lastColumn="1" w:noHBand="0" w:noVBand="0"/>
        </w:tblPrEx>
        <w:trPr>
          <w:gridBefore w:val="1"/>
          <w:wBefore w:w="236" w:type="dxa"/>
          <w:cantSplit/>
          <w:trHeight w:val="291"/>
        </w:trPr>
        <w:tc>
          <w:tcPr>
            <w:tcW w:w="2616" w:type="dxa"/>
            <w:shd w:val="clear" w:color="auto" w:fill="auto"/>
          </w:tcPr>
          <w:p w14:paraId="1A69A292" w14:textId="77777777" w:rsidR="008832BE" w:rsidRPr="00A003AB" w:rsidRDefault="008832BE" w:rsidP="008832BE">
            <w:pPr>
              <w:ind w:left="26"/>
              <w:rPr>
                <w:b/>
                <w:bCs/>
                <w:sz w:val="26"/>
                <w:szCs w:val="26"/>
                <w:rtl/>
              </w:rPr>
            </w:pPr>
            <w:bookmarkStart w:id="2" w:name="FirstLawyer"/>
            <w:bookmarkEnd w:id="1"/>
          </w:p>
        </w:tc>
        <w:tc>
          <w:tcPr>
            <w:tcW w:w="5928" w:type="dxa"/>
            <w:gridSpan w:val="3"/>
            <w:shd w:val="clear" w:color="auto" w:fill="auto"/>
          </w:tcPr>
          <w:p w14:paraId="618E7914" w14:textId="77777777" w:rsidR="008832BE" w:rsidRPr="00A003AB" w:rsidRDefault="008832BE" w:rsidP="00544E32">
            <w:pPr>
              <w:rPr>
                <w:rtl/>
              </w:rPr>
            </w:pPr>
            <w:r w:rsidRPr="00A003AB">
              <w:rPr>
                <w:rFonts w:hint="cs"/>
                <w:rtl/>
              </w:rPr>
              <w:t>ע"י ב"כ עו"ד אבי אור-זך</w:t>
            </w:r>
          </w:p>
        </w:tc>
      </w:tr>
      <w:bookmarkEnd w:id="2"/>
      <w:tr w:rsidR="008832BE" w:rsidRPr="00A003AB" w14:paraId="496C0F04" w14:textId="77777777" w:rsidTr="00EB2285">
        <w:tblPrEx>
          <w:jc w:val="left"/>
          <w:tblLook w:val="01E0" w:firstRow="1" w:lastRow="1" w:firstColumn="1" w:lastColumn="1" w:noHBand="0" w:noVBand="0"/>
        </w:tblPrEx>
        <w:trPr>
          <w:gridBefore w:val="1"/>
          <w:wBefore w:w="236" w:type="dxa"/>
        </w:trPr>
        <w:tc>
          <w:tcPr>
            <w:tcW w:w="8544" w:type="dxa"/>
            <w:gridSpan w:val="4"/>
            <w:shd w:val="clear" w:color="auto" w:fill="auto"/>
            <w:vAlign w:val="center"/>
          </w:tcPr>
          <w:p w14:paraId="5B851919" w14:textId="77777777" w:rsidR="008832BE" w:rsidRPr="00A003AB" w:rsidRDefault="008832BE" w:rsidP="008832BE">
            <w:pPr>
              <w:jc w:val="center"/>
              <w:rPr>
                <w:rFonts w:ascii="Arial" w:hAnsi="Arial"/>
                <w:b/>
                <w:bCs/>
                <w:sz w:val="26"/>
                <w:szCs w:val="26"/>
                <w:rtl/>
              </w:rPr>
            </w:pPr>
          </w:p>
          <w:p w14:paraId="1C20B0C5" w14:textId="77777777" w:rsidR="008832BE" w:rsidRPr="00A003AB" w:rsidRDefault="008832BE" w:rsidP="008832BE">
            <w:pPr>
              <w:jc w:val="center"/>
              <w:rPr>
                <w:rFonts w:ascii="Arial" w:hAnsi="Arial"/>
                <w:b/>
                <w:bCs/>
                <w:sz w:val="26"/>
                <w:szCs w:val="26"/>
                <w:rtl/>
              </w:rPr>
            </w:pPr>
            <w:r w:rsidRPr="00A003AB">
              <w:rPr>
                <w:rFonts w:ascii="Arial" w:hAnsi="Arial" w:hint="cs"/>
                <w:b/>
                <w:bCs/>
                <w:sz w:val="26"/>
                <w:szCs w:val="26"/>
                <w:rtl/>
              </w:rPr>
              <w:t>נגד</w:t>
            </w:r>
          </w:p>
          <w:p w14:paraId="2D2A437E" w14:textId="77777777" w:rsidR="008832BE" w:rsidRPr="00A003AB" w:rsidRDefault="008832BE" w:rsidP="00544E32">
            <w:pPr>
              <w:rPr>
                <w:rFonts w:ascii="Arial" w:hAnsi="Arial"/>
                <w:b/>
                <w:bCs/>
                <w:sz w:val="26"/>
                <w:szCs w:val="26"/>
                <w:rtl/>
              </w:rPr>
            </w:pPr>
          </w:p>
        </w:tc>
      </w:tr>
      <w:tr w:rsidR="008832BE" w:rsidRPr="00A003AB" w14:paraId="48EC36EF" w14:textId="77777777" w:rsidTr="00EB2285">
        <w:tblPrEx>
          <w:jc w:val="left"/>
          <w:tblLook w:val="01E0" w:firstRow="1" w:lastRow="1" w:firstColumn="1" w:lastColumn="1" w:noHBand="0" w:noVBand="0"/>
        </w:tblPrEx>
        <w:trPr>
          <w:gridBefore w:val="1"/>
          <w:wBefore w:w="236" w:type="dxa"/>
          <w:trHeight w:val="207"/>
        </w:trPr>
        <w:tc>
          <w:tcPr>
            <w:tcW w:w="2616" w:type="dxa"/>
            <w:shd w:val="clear" w:color="auto" w:fill="auto"/>
          </w:tcPr>
          <w:p w14:paraId="5188E8EA" w14:textId="77777777" w:rsidR="008832BE" w:rsidRPr="00A003AB" w:rsidRDefault="008832BE" w:rsidP="008832BE">
            <w:pPr>
              <w:ind w:left="26"/>
              <w:rPr>
                <w:b/>
                <w:bCs/>
                <w:sz w:val="26"/>
                <w:szCs w:val="26"/>
              </w:rPr>
            </w:pPr>
            <w:r w:rsidRPr="00A003AB">
              <w:rPr>
                <w:rFonts w:hint="cs"/>
                <w:b/>
                <w:bCs/>
                <w:sz w:val="26"/>
                <w:szCs w:val="26"/>
                <w:rtl/>
              </w:rPr>
              <w:t>הנאשמים</w:t>
            </w:r>
          </w:p>
        </w:tc>
        <w:tc>
          <w:tcPr>
            <w:tcW w:w="5928" w:type="dxa"/>
            <w:gridSpan w:val="3"/>
            <w:shd w:val="clear" w:color="auto" w:fill="auto"/>
          </w:tcPr>
          <w:p w14:paraId="0C5C3865" w14:textId="77777777" w:rsidR="008832BE" w:rsidRPr="00A003AB" w:rsidRDefault="008832BE" w:rsidP="00544E32">
            <w:pPr>
              <w:rPr>
                <w:b/>
                <w:bCs/>
                <w:sz w:val="26"/>
                <w:szCs w:val="26"/>
                <w:rtl/>
              </w:rPr>
            </w:pPr>
            <w:r w:rsidRPr="00A003AB">
              <w:rPr>
                <w:rFonts w:ascii="David" w:hAnsi="David" w:hint="cs"/>
                <w:b/>
                <w:bCs/>
                <w:sz w:val="26"/>
                <w:szCs w:val="26"/>
                <w:rtl/>
              </w:rPr>
              <w:t>1. ג'מיל מחאמיד</w:t>
            </w:r>
            <w:r w:rsidRPr="00A003AB">
              <w:rPr>
                <w:rFonts w:ascii="David" w:hAnsi="David" w:hint="cs"/>
                <w:rtl/>
              </w:rPr>
              <w:t xml:space="preserve"> </w:t>
            </w:r>
            <w:r w:rsidRPr="00A003AB">
              <w:rPr>
                <w:rFonts w:ascii="David" w:hAnsi="David" w:hint="cs"/>
                <w:b/>
                <w:bCs/>
                <w:sz w:val="26"/>
                <w:szCs w:val="26"/>
                <w:rtl/>
              </w:rPr>
              <w:t xml:space="preserve">ת"ז  </w:t>
            </w:r>
            <w:r w:rsidR="00A003AB">
              <w:rPr>
                <w:rFonts w:ascii="David" w:hAnsi="David"/>
                <w:b/>
                <w:bCs/>
                <w:sz w:val="26"/>
                <w:szCs w:val="26"/>
              </w:rPr>
              <w:t>xxxxxxxxxx</w:t>
            </w:r>
          </w:p>
        </w:tc>
      </w:tr>
      <w:tr w:rsidR="008832BE" w:rsidRPr="00A003AB" w14:paraId="5A2D622A" w14:textId="77777777" w:rsidTr="00EB2285">
        <w:tblPrEx>
          <w:jc w:val="left"/>
          <w:tblLook w:val="01E0" w:firstRow="1" w:lastRow="1" w:firstColumn="1" w:lastColumn="1" w:noHBand="0" w:noVBand="0"/>
        </w:tblPrEx>
        <w:trPr>
          <w:gridBefore w:val="1"/>
          <w:wBefore w:w="236" w:type="dxa"/>
          <w:trHeight w:val="207"/>
        </w:trPr>
        <w:tc>
          <w:tcPr>
            <w:tcW w:w="2616" w:type="dxa"/>
            <w:shd w:val="clear" w:color="auto" w:fill="auto"/>
          </w:tcPr>
          <w:p w14:paraId="29044A2A" w14:textId="77777777" w:rsidR="008832BE" w:rsidRPr="00A003AB" w:rsidRDefault="008832BE" w:rsidP="008832BE">
            <w:pPr>
              <w:ind w:left="26"/>
              <w:rPr>
                <w:b/>
                <w:bCs/>
                <w:sz w:val="26"/>
                <w:szCs w:val="26"/>
                <w:rtl/>
              </w:rPr>
            </w:pPr>
          </w:p>
        </w:tc>
        <w:tc>
          <w:tcPr>
            <w:tcW w:w="5928" w:type="dxa"/>
            <w:gridSpan w:val="3"/>
            <w:shd w:val="clear" w:color="auto" w:fill="auto"/>
          </w:tcPr>
          <w:p w14:paraId="249DF0D8" w14:textId="77777777" w:rsidR="008832BE" w:rsidRPr="00A003AB" w:rsidRDefault="008832BE" w:rsidP="00544E32">
            <w:pPr>
              <w:rPr>
                <w:rFonts w:ascii="David" w:hAnsi="David"/>
                <w:sz w:val="26"/>
                <w:szCs w:val="26"/>
                <w:rtl/>
              </w:rPr>
            </w:pPr>
            <w:r w:rsidRPr="00A003AB">
              <w:rPr>
                <w:rFonts w:ascii="David" w:hAnsi="David" w:hint="cs"/>
                <w:sz w:val="26"/>
                <w:szCs w:val="26"/>
                <w:rtl/>
              </w:rPr>
              <w:t>ע"י ב"כ עו"ד חאלד מחאג'נה</w:t>
            </w:r>
          </w:p>
        </w:tc>
      </w:tr>
      <w:tr w:rsidR="008832BE" w:rsidRPr="00A003AB" w14:paraId="31394C84" w14:textId="77777777" w:rsidTr="00EB2285">
        <w:tblPrEx>
          <w:jc w:val="left"/>
          <w:tblLook w:val="01E0" w:firstRow="1" w:lastRow="1" w:firstColumn="1" w:lastColumn="1" w:noHBand="0" w:noVBand="0"/>
        </w:tblPrEx>
        <w:trPr>
          <w:gridBefore w:val="1"/>
          <w:wBefore w:w="236" w:type="dxa"/>
        </w:trPr>
        <w:tc>
          <w:tcPr>
            <w:tcW w:w="2616" w:type="dxa"/>
            <w:shd w:val="clear" w:color="auto" w:fill="auto"/>
          </w:tcPr>
          <w:p w14:paraId="1A1BBAFA" w14:textId="77777777" w:rsidR="008832BE" w:rsidRPr="00A003AB" w:rsidRDefault="008832BE" w:rsidP="008832BE">
            <w:pPr>
              <w:ind w:left="26"/>
              <w:rPr>
                <w:b/>
                <w:bCs/>
                <w:sz w:val="26"/>
                <w:szCs w:val="26"/>
                <w:rtl/>
              </w:rPr>
            </w:pPr>
          </w:p>
        </w:tc>
        <w:tc>
          <w:tcPr>
            <w:tcW w:w="5928" w:type="dxa"/>
            <w:gridSpan w:val="3"/>
            <w:shd w:val="clear" w:color="auto" w:fill="auto"/>
          </w:tcPr>
          <w:p w14:paraId="34E0DADE" w14:textId="77777777" w:rsidR="008832BE" w:rsidRPr="00A003AB" w:rsidRDefault="008832BE" w:rsidP="00544E32">
            <w:pPr>
              <w:rPr>
                <w:rFonts w:ascii="David" w:hAnsi="David"/>
                <w:b/>
                <w:bCs/>
                <w:sz w:val="26"/>
                <w:szCs w:val="26"/>
                <w:rtl/>
              </w:rPr>
            </w:pPr>
            <w:r w:rsidRPr="00A003AB">
              <w:rPr>
                <w:rFonts w:ascii="David" w:hAnsi="David"/>
                <w:b/>
                <w:bCs/>
                <w:sz w:val="26"/>
                <w:szCs w:val="26"/>
                <w:rtl/>
              </w:rPr>
              <w:t xml:space="preserve">2. מוחמד מחאמיד ת"ז </w:t>
            </w:r>
            <w:r w:rsidR="00A003AB">
              <w:rPr>
                <w:rFonts w:ascii="David" w:hAnsi="David"/>
                <w:b/>
                <w:bCs/>
                <w:sz w:val="26"/>
                <w:szCs w:val="26"/>
              </w:rPr>
              <w:t>xxxxxxxxx</w:t>
            </w:r>
          </w:p>
        </w:tc>
      </w:tr>
      <w:tr w:rsidR="008832BE" w:rsidRPr="00A003AB" w14:paraId="1767DB4C" w14:textId="77777777" w:rsidTr="00EB2285">
        <w:tblPrEx>
          <w:jc w:val="left"/>
          <w:tblLook w:val="01E0" w:firstRow="1" w:lastRow="1" w:firstColumn="1" w:lastColumn="1" w:noHBand="0" w:noVBand="0"/>
        </w:tblPrEx>
        <w:trPr>
          <w:gridBefore w:val="1"/>
          <w:wBefore w:w="236" w:type="dxa"/>
        </w:trPr>
        <w:tc>
          <w:tcPr>
            <w:tcW w:w="2616" w:type="dxa"/>
            <w:shd w:val="clear" w:color="auto" w:fill="auto"/>
          </w:tcPr>
          <w:p w14:paraId="7E3943EF" w14:textId="77777777" w:rsidR="008832BE" w:rsidRPr="00A003AB" w:rsidRDefault="008832BE" w:rsidP="008832BE">
            <w:pPr>
              <w:ind w:left="26"/>
              <w:rPr>
                <w:b/>
                <w:bCs/>
                <w:sz w:val="26"/>
                <w:szCs w:val="26"/>
                <w:rtl/>
              </w:rPr>
            </w:pPr>
          </w:p>
        </w:tc>
        <w:tc>
          <w:tcPr>
            <w:tcW w:w="5928" w:type="dxa"/>
            <w:gridSpan w:val="3"/>
            <w:shd w:val="clear" w:color="auto" w:fill="auto"/>
          </w:tcPr>
          <w:p w14:paraId="75F01BCF" w14:textId="77777777" w:rsidR="008832BE" w:rsidRPr="00A003AB" w:rsidRDefault="008832BE" w:rsidP="00544E32">
            <w:pPr>
              <w:rPr>
                <w:rFonts w:ascii="David" w:hAnsi="David"/>
                <w:sz w:val="26"/>
                <w:szCs w:val="26"/>
                <w:rtl/>
              </w:rPr>
            </w:pPr>
            <w:r w:rsidRPr="00A003AB">
              <w:rPr>
                <w:rFonts w:ascii="David" w:hAnsi="David" w:hint="cs"/>
                <w:sz w:val="26"/>
                <w:szCs w:val="26"/>
                <w:rtl/>
              </w:rPr>
              <w:t>ע"י ב"כ עו"ד אחמד כליפה</w:t>
            </w:r>
          </w:p>
        </w:tc>
      </w:tr>
    </w:tbl>
    <w:p w14:paraId="0654B945" w14:textId="77777777" w:rsidR="00EB2285" w:rsidRDefault="00EB2285" w:rsidP="008832BE">
      <w:pPr>
        <w:suppressLineNumbers/>
        <w:spacing w:line="360" w:lineRule="auto"/>
        <w:rPr>
          <w:rFonts w:ascii="Arial" w:hAnsi="Arial"/>
          <w:rtl/>
        </w:rPr>
      </w:pPr>
    </w:p>
    <w:p w14:paraId="7B544A8E" w14:textId="77777777" w:rsidR="00EB2285" w:rsidRPr="00EB2285" w:rsidRDefault="00EB2285" w:rsidP="00EB2285">
      <w:pPr>
        <w:suppressLineNumbers/>
        <w:spacing w:after="120" w:line="240" w:lineRule="exact"/>
        <w:ind w:left="283" w:hanging="283"/>
        <w:jc w:val="both"/>
        <w:rPr>
          <w:rFonts w:ascii="FrankRuehl" w:hAnsi="FrankRuehl" w:cs="FrankRuehl"/>
          <w:rtl/>
        </w:rPr>
      </w:pPr>
    </w:p>
    <w:p w14:paraId="6BBD1628" w14:textId="77777777" w:rsidR="001E00B5" w:rsidRDefault="001E00B5" w:rsidP="00911DC5">
      <w:pPr>
        <w:jc w:val="center"/>
        <w:rPr>
          <w:rFonts w:ascii="David" w:hAnsi="David"/>
          <w:sz w:val="32"/>
          <w:szCs w:val="32"/>
          <w:rtl/>
        </w:rPr>
      </w:pPr>
      <w:bookmarkStart w:id="3" w:name="Links_Kitvei_Start"/>
    </w:p>
    <w:p w14:paraId="5007DE03" w14:textId="77777777" w:rsidR="001E00B5" w:rsidRPr="001E00B5" w:rsidRDefault="001E00B5" w:rsidP="001E00B5">
      <w:pPr>
        <w:spacing w:after="120" w:line="240" w:lineRule="exact"/>
        <w:ind w:left="283" w:hanging="283"/>
        <w:jc w:val="both"/>
        <w:rPr>
          <w:rFonts w:ascii="FrankRuehl" w:hAnsi="FrankRuehl" w:cs="FrankRuehl"/>
          <w:rtl/>
        </w:rPr>
      </w:pPr>
    </w:p>
    <w:bookmarkEnd w:id="3"/>
    <w:p w14:paraId="58DCFF11" w14:textId="77777777" w:rsidR="001E00B5" w:rsidRPr="001E00B5" w:rsidRDefault="001E00B5" w:rsidP="001E00B5">
      <w:pPr>
        <w:spacing w:after="120" w:line="240" w:lineRule="exact"/>
        <w:ind w:left="283" w:hanging="283"/>
        <w:jc w:val="both"/>
        <w:rPr>
          <w:rStyle w:val="Hyperlink"/>
          <w:rFonts w:ascii="FrankRuehl" w:hAnsi="FrankRuehl" w:cs="FrankRuehl"/>
          <w:u w:val="none"/>
          <w:rtl/>
        </w:rPr>
      </w:pPr>
      <w:r w:rsidRPr="001E00B5">
        <w:rPr>
          <w:rFonts w:ascii="FrankRuehl" w:hAnsi="FrankRuehl" w:cs="FrankRuehl"/>
          <w:rtl/>
        </w:rPr>
        <w:t>כתבי עת:</w:t>
      </w:r>
      <w:r w:rsidRPr="001E00B5">
        <w:rPr>
          <w:rFonts w:ascii="FrankRuehl" w:hAnsi="FrankRuehl" w:cs="FrankRuehl"/>
          <w:color w:val="0000FF"/>
          <w:rtl/>
        </w:rPr>
        <w:fldChar w:fldCharType="begin"/>
      </w:r>
      <w:r w:rsidRPr="001E00B5">
        <w:rPr>
          <w:rFonts w:ascii="FrankRuehl" w:hAnsi="FrankRuehl" w:cs="FrankRuehl"/>
          <w:color w:val="0000FF"/>
          <w:rtl/>
        </w:rPr>
        <w:instrText xml:space="preserve"> </w:instrText>
      </w:r>
      <w:r w:rsidRPr="001E00B5">
        <w:rPr>
          <w:rFonts w:ascii="FrankRuehl" w:hAnsi="FrankRuehl" w:cs="FrankRuehl"/>
          <w:color w:val="0000FF"/>
        </w:rPr>
        <w:instrText xml:space="preserve">HYPERLINK </w:instrText>
      </w:r>
      <w:r w:rsidRPr="001E00B5">
        <w:rPr>
          <w:rFonts w:ascii="FrankRuehl" w:hAnsi="FrankRuehl" w:cs="FrankRuehl"/>
          <w:color w:val="0000FF"/>
          <w:rtl/>
        </w:rPr>
        <w:instrText>"</w:instrText>
      </w:r>
      <w:r w:rsidRPr="001E00B5">
        <w:rPr>
          <w:rFonts w:ascii="FrankRuehl" w:hAnsi="FrankRuehl" w:cs="FrankRuehl"/>
          <w:color w:val="0000FF"/>
        </w:rPr>
        <w:instrText>http://www.nevo.co.il/safrut/book/25954"</w:instrText>
      </w:r>
      <w:r w:rsidRPr="001E00B5">
        <w:rPr>
          <w:rFonts w:ascii="FrankRuehl" w:hAnsi="FrankRuehl" w:cs="FrankRuehl"/>
          <w:color w:val="0000FF"/>
          <w:rtl/>
        </w:rPr>
        <w:instrText xml:space="preserve"> </w:instrText>
      </w:r>
      <w:r w:rsidRPr="001E00B5">
        <w:rPr>
          <w:rFonts w:ascii="FrankRuehl" w:hAnsi="FrankRuehl" w:cs="FrankRuehl"/>
          <w:color w:val="0000FF"/>
          <w:rtl/>
        </w:rPr>
      </w:r>
      <w:r w:rsidRPr="001E00B5">
        <w:rPr>
          <w:rFonts w:ascii="FrankRuehl" w:hAnsi="FrankRuehl" w:cs="FrankRuehl"/>
          <w:color w:val="0000FF"/>
          <w:rtl/>
        </w:rPr>
        <w:fldChar w:fldCharType="separate"/>
      </w:r>
    </w:p>
    <w:p w14:paraId="3132112F" w14:textId="77777777" w:rsidR="001E00B5" w:rsidRPr="001E00B5" w:rsidRDefault="001E00B5" w:rsidP="001E00B5">
      <w:pPr>
        <w:spacing w:after="120" w:line="240" w:lineRule="exact"/>
        <w:ind w:left="283" w:hanging="283"/>
        <w:jc w:val="both"/>
        <w:rPr>
          <w:rFonts w:ascii="FrankRuehl" w:hAnsi="FrankRuehl" w:cs="FrankRuehl"/>
          <w:rtl/>
        </w:rPr>
      </w:pPr>
      <w:r w:rsidRPr="001E00B5">
        <w:rPr>
          <w:rStyle w:val="Hyperlink"/>
          <w:rFonts w:ascii="FrankRuehl" w:hAnsi="FrankRuehl" w:cs="FrankRuehl"/>
          <w:u w:val="none"/>
          <w:rtl/>
        </w:rPr>
        <w:t>מוחמד עלי, "על סדרי דין וראיות בדוד לקביעת מתחם עונש הולם", הפרקליט, נד (2016) 19</w:t>
      </w:r>
      <w:r w:rsidRPr="001E00B5">
        <w:rPr>
          <w:rFonts w:ascii="FrankRuehl" w:hAnsi="FrankRuehl" w:cs="FrankRuehl"/>
          <w:color w:val="0000FF"/>
          <w:rtl/>
        </w:rPr>
        <w:fldChar w:fldCharType="end"/>
      </w:r>
    </w:p>
    <w:p w14:paraId="68CA0207" w14:textId="77777777" w:rsidR="001E00B5" w:rsidRDefault="001E00B5" w:rsidP="001E00B5">
      <w:pPr>
        <w:jc w:val="center"/>
        <w:rPr>
          <w:rFonts w:ascii="David" w:hAnsi="David"/>
          <w:sz w:val="32"/>
          <w:szCs w:val="32"/>
          <w:rtl/>
        </w:rPr>
      </w:pPr>
      <w:bookmarkStart w:id="4" w:name="Links_Kitvei_End"/>
      <w:bookmarkStart w:id="5" w:name="LawTable"/>
      <w:bookmarkEnd w:id="4"/>
      <w:bookmarkEnd w:id="5"/>
    </w:p>
    <w:p w14:paraId="28BCAB19" w14:textId="77777777" w:rsidR="001E00B5" w:rsidRPr="001E00B5" w:rsidRDefault="001E00B5" w:rsidP="001E00B5">
      <w:pPr>
        <w:spacing w:before="120" w:after="120" w:line="240" w:lineRule="exact"/>
        <w:ind w:left="283" w:hanging="283"/>
        <w:jc w:val="both"/>
        <w:rPr>
          <w:rFonts w:ascii="FrankRuehl" w:hAnsi="FrankRuehl" w:cs="FrankRuehl"/>
          <w:rtl/>
        </w:rPr>
      </w:pPr>
    </w:p>
    <w:p w14:paraId="68FCAEC7" w14:textId="77777777" w:rsidR="001E00B5" w:rsidRPr="001E00B5" w:rsidRDefault="001E00B5" w:rsidP="001E00B5">
      <w:pPr>
        <w:spacing w:before="120" w:after="120" w:line="240" w:lineRule="exact"/>
        <w:ind w:left="283" w:hanging="283"/>
        <w:jc w:val="both"/>
        <w:rPr>
          <w:rFonts w:ascii="FrankRuehl" w:hAnsi="FrankRuehl" w:cs="FrankRuehl"/>
          <w:rtl/>
        </w:rPr>
      </w:pPr>
    </w:p>
    <w:p w14:paraId="40C9FA2F" w14:textId="77777777" w:rsidR="001E00B5" w:rsidRPr="001E00B5" w:rsidRDefault="001E00B5" w:rsidP="001E00B5">
      <w:pPr>
        <w:spacing w:before="120" w:after="120" w:line="240" w:lineRule="exact"/>
        <w:ind w:left="283" w:hanging="283"/>
        <w:jc w:val="both"/>
        <w:rPr>
          <w:rFonts w:ascii="FrankRuehl" w:hAnsi="FrankRuehl" w:cs="FrankRuehl"/>
          <w:rtl/>
        </w:rPr>
      </w:pPr>
      <w:r w:rsidRPr="001E00B5">
        <w:rPr>
          <w:rFonts w:ascii="FrankRuehl" w:hAnsi="FrankRuehl" w:cs="FrankRuehl"/>
          <w:rtl/>
        </w:rPr>
        <w:t xml:space="preserve">חקיקה שאוזכרה: </w:t>
      </w:r>
    </w:p>
    <w:p w14:paraId="1F8FBA83" w14:textId="77777777" w:rsidR="001E00B5" w:rsidRPr="001E00B5" w:rsidRDefault="001E00B5" w:rsidP="001E00B5">
      <w:pPr>
        <w:spacing w:before="120" w:after="120" w:line="240" w:lineRule="exact"/>
        <w:ind w:left="283" w:hanging="283"/>
        <w:jc w:val="both"/>
        <w:rPr>
          <w:rFonts w:ascii="FrankRuehl" w:hAnsi="FrankRuehl" w:cs="FrankRuehl"/>
          <w:rtl/>
        </w:rPr>
      </w:pPr>
      <w:hyperlink r:id="rId7" w:history="1">
        <w:r w:rsidRPr="001E00B5">
          <w:rPr>
            <w:rFonts w:ascii="FrankRuehl" w:hAnsi="FrankRuehl" w:cs="FrankRuehl"/>
            <w:color w:val="0000FF"/>
            <w:rtl/>
          </w:rPr>
          <w:t>חוק העונשין, תשל"ז-1977</w:t>
        </w:r>
      </w:hyperlink>
      <w:r w:rsidRPr="001E00B5">
        <w:rPr>
          <w:rFonts w:ascii="FrankRuehl" w:hAnsi="FrankRuehl" w:cs="FrankRuehl"/>
          <w:rtl/>
        </w:rPr>
        <w:t xml:space="preserve">: סע'  </w:t>
      </w:r>
      <w:hyperlink r:id="rId8" w:history="1">
        <w:r w:rsidRPr="001E00B5">
          <w:rPr>
            <w:rFonts w:ascii="FrankRuehl" w:hAnsi="FrankRuehl" w:cs="FrankRuehl"/>
            <w:color w:val="0000FF"/>
            <w:rtl/>
          </w:rPr>
          <w:t>40ג'</w:t>
        </w:r>
      </w:hyperlink>
      <w:r w:rsidRPr="001E00B5">
        <w:rPr>
          <w:rFonts w:ascii="FrankRuehl" w:hAnsi="FrankRuehl" w:cs="FrankRuehl"/>
          <w:rtl/>
        </w:rPr>
        <w:t xml:space="preserve">, </w:t>
      </w:r>
      <w:hyperlink r:id="rId9" w:history="1">
        <w:r w:rsidRPr="001E00B5">
          <w:rPr>
            <w:rFonts w:ascii="FrankRuehl" w:hAnsi="FrankRuehl" w:cs="FrankRuehl"/>
            <w:color w:val="0000FF"/>
            <w:rtl/>
          </w:rPr>
          <w:t>40ד'</w:t>
        </w:r>
      </w:hyperlink>
      <w:r w:rsidRPr="001E00B5">
        <w:rPr>
          <w:rFonts w:ascii="FrankRuehl" w:hAnsi="FrankRuehl" w:cs="FrankRuehl"/>
          <w:rtl/>
        </w:rPr>
        <w:t xml:space="preserve">, </w:t>
      </w:r>
      <w:hyperlink r:id="rId10" w:history="1">
        <w:r w:rsidRPr="001E00B5">
          <w:rPr>
            <w:rFonts w:ascii="FrankRuehl" w:hAnsi="FrankRuehl" w:cs="FrankRuehl"/>
            <w:color w:val="0000FF"/>
            <w:rtl/>
          </w:rPr>
          <w:t>40ה'</w:t>
        </w:r>
      </w:hyperlink>
      <w:r w:rsidRPr="001E00B5">
        <w:rPr>
          <w:rFonts w:ascii="FrankRuehl" w:hAnsi="FrankRuehl" w:cs="FrankRuehl"/>
          <w:rtl/>
        </w:rPr>
        <w:t xml:space="preserve">, </w:t>
      </w:r>
      <w:hyperlink r:id="rId11" w:history="1">
        <w:r w:rsidRPr="001E00B5">
          <w:rPr>
            <w:rFonts w:ascii="FrankRuehl" w:hAnsi="FrankRuehl" w:cs="FrankRuehl"/>
            <w:color w:val="0000FF"/>
            <w:rtl/>
          </w:rPr>
          <w:t>40ז</w:t>
        </w:r>
      </w:hyperlink>
      <w:r w:rsidRPr="001E00B5">
        <w:rPr>
          <w:rFonts w:ascii="FrankRuehl" w:hAnsi="FrankRuehl" w:cs="FrankRuehl"/>
          <w:rtl/>
        </w:rPr>
        <w:t xml:space="preserve">, </w:t>
      </w:r>
      <w:hyperlink r:id="rId12" w:history="1">
        <w:r w:rsidRPr="001E00B5">
          <w:rPr>
            <w:rFonts w:ascii="FrankRuehl" w:hAnsi="FrankRuehl" w:cs="FrankRuehl"/>
            <w:color w:val="0000FF"/>
            <w:rtl/>
          </w:rPr>
          <w:t>40י'</w:t>
        </w:r>
      </w:hyperlink>
      <w:r w:rsidRPr="001E00B5">
        <w:rPr>
          <w:rFonts w:ascii="FrankRuehl" w:hAnsi="FrankRuehl" w:cs="FrankRuehl"/>
          <w:rtl/>
        </w:rPr>
        <w:t xml:space="preserve">, </w:t>
      </w:r>
      <w:hyperlink r:id="rId13" w:history="1">
        <w:r w:rsidRPr="001E00B5">
          <w:rPr>
            <w:rFonts w:ascii="FrankRuehl" w:hAnsi="FrankRuehl" w:cs="FrankRuehl"/>
            <w:color w:val="0000FF"/>
            <w:rtl/>
          </w:rPr>
          <w:t>91</w:t>
        </w:r>
      </w:hyperlink>
      <w:r w:rsidRPr="001E00B5">
        <w:rPr>
          <w:rFonts w:ascii="FrankRuehl" w:hAnsi="FrankRuehl" w:cs="FrankRuehl"/>
          <w:rtl/>
        </w:rPr>
        <w:t xml:space="preserve">, </w:t>
      </w:r>
      <w:hyperlink r:id="rId14" w:history="1">
        <w:r w:rsidRPr="001E00B5">
          <w:rPr>
            <w:rFonts w:ascii="FrankRuehl" w:hAnsi="FrankRuehl" w:cs="FrankRuehl"/>
            <w:color w:val="0000FF"/>
            <w:rtl/>
          </w:rPr>
          <w:t>144.</w:t>
        </w:r>
      </w:hyperlink>
      <w:r w:rsidRPr="001E00B5">
        <w:rPr>
          <w:rFonts w:ascii="FrankRuehl" w:hAnsi="FrankRuehl" w:cs="FrankRuehl"/>
          <w:rtl/>
        </w:rPr>
        <w:t xml:space="preserve">, </w:t>
      </w:r>
      <w:hyperlink r:id="rId15" w:history="1">
        <w:r w:rsidRPr="001E00B5">
          <w:rPr>
            <w:rFonts w:ascii="FrankRuehl" w:hAnsi="FrankRuehl" w:cs="FrankRuehl"/>
            <w:color w:val="0000FF"/>
            <w:rtl/>
          </w:rPr>
          <w:t>144(א)</w:t>
        </w:r>
      </w:hyperlink>
      <w:r w:rsidRPr="001E00B5">
        <w:rPr>
          <w:rFonts w:ascii="FrankRuehl" w:hAnsi="FrankRuehl" w:cs="FrankRuehl"/>
          <w:rtl/>
        </w:rPr>
        <w:t xml:space="preserve">, </w:t>
      </w:r>
      <w:hyperlink r:id="rId16" w:history="1">
        <w:r w:rsidRPr="001E00B5">
          <w:rPr>
            <w:rFonts w:ascii="FrankRuehl" w:hAnsi="FrankRuehl" w:cs="FrankRuehl"/>
            <w:color w:val="0000FF"/>
            <w:rtl/>
          </w:rPr>
          <w:t>144(ב)</w:t>
        </w:r>
      </w:hyperlink>
      <w:r w:rsidRPr="001E00B5">
        <w:rPr>
          <w:rFonts w:ascii="FrankRuehl" w:hAnsi="FrankRuehl" w:cs="FrankRuehl"/>
          <w:rtl/>
        </w:rPr>
        <w:t xml:space="preserve">, </w:t>
      </w:r>
      <w:hyperlink r:id="rId17" w:history="1">
        <w:r w:rsidRPr="001E00B5">
          <w:rPr>
            <w:rFonts w:ascii="FrankRuehl" w:hAnsi="FrankRuehl" w:cs="FrankRuehl"/>
            <w:color w:val="0000FF"/>
            <w:rtl/>
          </w:rPr>
          <w:t>144(ב2)</w:t>
        </w:r>
      </w:hyperlink>
      <w:r w:rsidRPr="001E00B5">
        <w:rPr>
          <w:rFonts w:ascii="FrankRuehl" w:hAnsi="FrankRuehl" w:cs="FrankRuehl"/>
          <w:rtl/>
        </w:rPr>
        <w:t xml:space="preserve">, </w:t>
      </w:r>
      <w:hyperlink r:id="rId18" w:history="1">
        <w:r w:rsidRPr="001E00B5">
          <w:rPr>
            <w:rFonts w:ascii="FrankRuehl" w:hAnsi="FrankRuehl" w:cs="FrankRuehl"/>
            <w:color w:val="0000FF"/>
            <w:rtl/>
          </w:rPr>
          <w:t>144(ז)</w:t>
        </w:r>
      </w:hyperlink>
      <w:r w:rsidRPr="001E00B5">
        <w:rPr>
          <w:rFonts w:ascii="FrankRuehl" w:hAnsi="FrankRuehl" w:cs="FrankRuehl"/>
          <w:rtl/>
        </w:rPr>
        <w:t xml:space="preserve">, </w:t>
      </w:r>
      <w:hyperlink r:id="rId19" w:history="1">
        <w:r w:rsidRPr="001E00B5">
          <w:rPr>
            <w:rFonts w:ascii="FrankRuehl" w:hAnsi="FrankRuehl" w:cs="FrankRuehl"/>
            <w:color w:val="0000FF"/>
            <w:rtl/>
          </w:rPr>
          <w:t>40 יא'</w:t>
        </w:r>
      </w:hyperlink>
      <w:r w:rsidRPr="001E00B5">
        <w:rPr>
          <w:rFonts w:ascii="FrankRuehl" w:hAnsi="FrankRuehl" w:cs="FrankRuehl"/>
          <w:rtl/>
        </w:rPr>
        <w:t xml:space="preserve">, </w:t>
      </w:r>
      <w:hyperlink r:id="rId20" w:history="1">
        <w:r w:rsidRPr="001E00B5">
          <w:rPr>
            <w:rFonts w:ascii="FrankRuehl" w:hAnsi="FrankRuehl" w:cs="FrankRuehl"/>
            <w:color w:val="0000FF"/>
            <w:rtl/>
          </w:rPr>
          <w:t>א'1 לפרק ו'</w:t>
        </w:r>
      </w:hyperlink>
    </w:p>
    <w:p w14:paraId="67F2FA78" w14:textId="77777777" w:rsidR="001E00B5" w:rsidRPr="001E00B5" w:rsidRDefault="001E00B5" w:rsidP="001E00B5">
      <w:pPr>
        <w:spacing w:before="120" w:after="120" w:line="240" w:lineRule="exact"/>
        <w:ind w:left="283" w:hanging="283"/>
        <w:jc w:val="both"/>
        <w:rPr>
          <w:rFonts w:ascii="FrankRuehl" w:hAnsi="FrankRuehl" w:cs="FrankRuehl"/>
          <w:rtl/>
        </w:rPr>
      </w:pPr>
      <w:hyperlink r:id="rId21" w:history="1">
        <w:r w:rsidRPr="001E00B5">
          <w:rPr>
            <w:rFonts w:ascii="FrankRuehl" w:hAnsi="FrankRuehl" w:cs="FrankRuehl"/>
            <w:color w:val="0000FF"/>
            <w:rtl/>
          </w:rPr>
          <w:t>תקנות ההגנה (שעת-חירום), 1945</w:t>
        </w:r>
      </w:hyperlink>
    </w:p>
    <w:p w14:paraId="6F7FC75A" w14:textId="77777777" w:rsidR="001E00B5" w:rsidRPr="001E00B5" w:rsidRDefault="001E00B5" w:rsidP="001E00B5">
      <w:pPr>
        <w:spacing w:before="120" w:after="120" w:line="240" w:lineRule="exact"/>
        <w:ind w:left="283" w:hanging="283"/>
        <w:jc w:val="both"/>
        <w:rPr>
          <w:rFonts w:ascii="FrankRuehl" w:hAnsi="FrankRuehl" w:cs="FrankRuehl"/>
          <w:rtl/>
        </w:rPr>
      </w:pPr>
      <w:hyperlink r:id="rId22" w:history="1">
        <w:r w:rsidRPr="001E00B5">
          <w:rPr>
            <w:rFonts w:ascii="FrankRuehl" w:hAnsi="FrankRuehl" w:cs="FrankRuehl"/>
            <w:color w:val="0000FF"/>
            <w:rtl/>
          </w:rPr>
          <w:t>פקודת מניעת טרור</w:t>
        </w:r>
      </w:hyperlink>
    </w:p>
    <w:p w14:paraId="140FA7E8" w14:textId="77777777" w:rsidR="001E00B5" w:rsidRPr="001E00B5" w:rsidRDefault="001E00B5" w:rsidP="001E00B5">
      <w:pPr>
        <w:spacing w:before="120" w:after="120" w:line="240" w:lineRule="exact"/>
        <w:ind w:left="283" w:hanging="283"/>
        <w:jc w:val="both"/>
        <w:rPr>
          <w:rFonts w:ascii="FrankRuehl" w:hAnsi="FrankRuehl" w:cs="FrankRuehl"/>
          <w:rtl/>
        </w:rPr>
      </w:pPr>
      <w:hyperlink r:id="rId23" w:history="1">
        <w:r w:rsidRPr="001E00B5">
          <w:rPr>
            <w:rFonts w:ascii="FrankRuehl" w:hAnsi="FrankRuehl" w:cs="FrankRuehl"/>
            <w:color w:val="0000FF"/>
            <w:rtl/>
          </w:rPr>
          <w:t>חוק המאבק בטרור, תשע"ו-2016</w:t>
        </w:r>
      </w:hyperlink>
    </w:p>
    <w:p w14:paraId="37A92B73" w14:textId="77777777" w:rsidR="001E00B5" w:rsidRPr="001E00B5" w:rsidRDefault="001E00B5" w:rsidP="001E00B5">
      <w:pPr>
        <w:jc w:val="center"/>
        <w:rPr>
          <w:rFonts w:ascii="David" w:hAnsi="David"/>
          <w:sz w:val="32"/>
          <w:szCs w:val="32"/>
          <w:rtl/>
        </w:rPr>
      </w:pPr>
      <w:bookmarkStart w:id="6" w:name="LawTable_End"/>
      <w:bookmarkEnd w:id="6"/>
    </w:p>
    <w:p w14:paraId="6FF4AF25" w14:textId="77777777" w:rsidR="00EB2285" w:rsidRPr="001E00B5" w:rsidRDefault="00EB2285" w:rsidP="00911DC5">
      <w:pPr>
        <w:jc w:val="center"/>
        <w:rPr>
          <w:rFonts w:ascii="David" w:hAnsi="David"/>
          <w:sz w:val="32"/>
          <w:szCs w:val="32"/>
          <w:rtl/>
        </w:rPr>
      </w:pPr>
    </w:p>
    <w:p w14:paraId="18F00C84" w14:textId="77777777" w:rsidR="00EB2285" w:rsidRPr="00A003AB" w:rsidRDefault="00EB2285" w:rsidP="00A003AB">
      <w:pPr>
        <w:spacing w:after="120" w:line="240" w:lineRule="exact"/>
        <w:ind w:left="283" w:hanging="283"/>
        <w:jc w:val="both"/>
        <w:rPr>
          <w:rFonts w:ascii="FrankRuehl" w:hAnsi="FrankRuehl" w:cs="FrankRuehl"/>
          <w:rtl/>
        </w:rPr>
      </w:pPr>
      <w:bookmarkStart w:id="7" w:name="PsakDin"/>
    </w:p>
    <w:p w14:paraId="4C1CD0FC" w14:textId="77777777" w:rsidR="00EB2285" w:rsidRPr="00A003AB" w:rsidRDefault="00EB2285" w:rsidP="00A003AB">
      <w:pPr>
        <w:jc w:val="center"/>
        <w:rPr>
          <w:rFonts w:ascii="David" w:hAnsi="David"/>
          <w:b/>
          <w:bCs/>
          <w:sz w:val="32"/>
          <w:szCs w:val="32"/>
          <w:u w:val="single"/>
          <w:rtl/>
        </w:rPr>
      </w:pPr>
      <w:r w:rsidRPr="00A003AB">
        <w:rPr>
          <w:rFonts w:ascii="David" w:hAnsi="David"/>
          <w:b/>
          <w:bCs/>
          <w:sz w:val="32"/>
          <w:szCs w:val="32"/>
          <w:rtl/>
        </w:rPr>
        <w:t>גזר</w:t>
      </w:r>
      <w:r w:rsidRPr="00A003AB">
        <w:rPr>
          <w:rFonts w:ascii="David" w:hAnsi="David"/>
          <w:b/>
          <w:bCs/>
          <w:sz w:val="32"/>
          <w:szCs w:val="32"/>
          <w:u w:val="single"/>
          <w:rtl/>
        </w:rPr>
        <w:t xml:space="preserve"> דין</w:t>
      </w:r>
    </w:p>
    <w:bookmarkEnd w:id="7"/>
    <w:p w14:paraId="088A33C2" w14:textId="77777777" w:rsidR="00EB2285" w:rsidRPr="008832BE" w:rsidRDefault="00EB2285" w:rsidP="008832BE">
      <w:pPr>
        <w:jc w:val="center"/>
        <w:rPr>
          <w:rFonts w:ascii="David" w:hAnsi="David"/>
          <w:b/>
          <w:bCs/>
          <w:sz w:val="32"/>
          <w:szCs w:val="32"/>
          <w:u w:val="single"/>
          <w:rtl/>
        </w:rPr>
      </w:pPr>
      <w:r w:rsidRPr="008832BE">
        <w:rPr>
          <w:rFonts w:ascii="David" w:hAnsi="David" w:hint="cs"/>
          <w:b/>
          <w:bCs/>
          <w:sz w:val="28"/>
          <w:szCs w:val="28"/>
          <w:u w:val="single"/>
          <w:rtl/>
        </w:rPr>
        <w:t>בעניינו של נאשם 2</w:t>
      </w:r>
    </w:p>
    <w:bookmarkEnd w:id="0"/>
    <w:p w14:paraId="38F055A5" w14:textId="77777777" w:rsidR="008832BE" w:rsidRPr="000F2247" w:rsidRDefault="008832BE" w:rsidP="008832BE">
      <w:pPr>
        <w:rPr>
          <w:rFonts w:ascii="Arial" w:hAnsi="Arial"/>
          <w:b/>
          <w:bCs/>
          <w:sz w:val="26"/>
          <w:szCs w:val="26"/>
          <w:rtl/>
        </w:rPr>
      </w:pPr>
    </w:p>
    <w:p w14:paraId="77126F4F" w14:textId="77777777" w:rsidR="008832BE" w:rsidRPr="00392637" w:rsidRDefault="008832BE" w:rsidP="008832BE">
      <w:pPr>
        <w:rPr>
          <w:rFonts w:ascii="Arial" w:hAnsi="Arial"/>
          <w:b/>
          <w:bCs/>
          <w:rtl/>
        </w:rPr>
      </w:pPr>
    </w:p>
    <w:p w14:paraId="194517C6" w14:textId="77777777" w:rsidR="008832BE" w:rsidRDefault="008832BE" w:rsidP="008832BE">
      <w:pPr>
        <w:rPr>
          <w:rFonts w:ascii="Arial" w:hAnsi="Arial"/>
          <w:b/>
          <w:bCs/>
          <w:rtl/>
        </w:rPr>
      </w:pPr>
      <w:r w:rsidRPr="00392637">
        <w:rPr>
          <w:rFonts w:ascii="Arial" w:hAnsi="Arial" w:hint="cs"/>
          <w:b/>
          <w:bCs/>
          <w:rtl/>
        </w:rPr>
        <w:t xml:space="preserve">כתב האישום </w:t>
      </w:r>
      <w:r>
        <w:rPr>
          <w:rFonts w:ascii="Arial" w:hAnsi="Arial" w:hint="cs"/>
          <w:b/>
          <w:bCs/>
          <w:rtl/>
        </w:rPr>
        <w:t>ומהלך הדיון</w:t>
      </w:r>
    </w:p>
    <w:p w14:paraId="0AADB3F7" w14:textId="77777777" w:rsidR="008832BE" w:rsidRPr="00392637" w:rsidRDefault="008832BE" w:rsidP="008832BE">
      <w:pPr>
        <w:rPr>
          <w:rFonts w:ascii="Arial" w:hAnsi="Arial"/>
          <w:b/>
          <w:bCs/>
          <w:rtl/>
        </w:rPr>
      </w:pPr>
    </w:p>
    <w:p w14:paraId="44DDC493" w14:textId="77777777" w:rsidR="008832BE" w:rsidRPr="00392637" w:rsidRDefault="008832BE" w:rsidP="008832BE">
      <w:pPr>
        <w:rPr>
          <w:rFonts w:ascii="Arial" w:hAnsi="Arial"/>
          <w:b/>
          <w:bCs/>
          <w:rtl/>
        </w:rPr>
      </w:pPr>
    </w:p>
    <w:p w14:paraId="0ACB1DF0" w14:textId="77777777" w:rsidR="008832BE" w:rsidRPr="00392637" w:rsidRDefault="008832BE" w:rsidP="008832BE">
      <w:pPr>
        <w:pStyle w:val="a9"/>
        <w:numPr>
          <w:ilvl w:val="0"/>
          <w:numId w:val="1"/>
        </w:numPr>
        <w:spacing w:line="360" w:lineRule="auto"/>
        <w:jc w:val="both"/>
        <w:rPr>
          <w:rFonts w:ascii="Arial" w:hAnsi="Arial"/>
        </w:rPr>
      </w:pPr>
      <w:bookmarkStart w:id="8" w:name="ABSTRACT_START"/>
      <w:bookmarkEnd w:id="8"/>
      <w:r w:rsidRPr="00392637">
        <w:rPr>
          <w:rFonts w:ascii="Arial" w:hAnsi="Arial" w:hint="cs"/>
          <w:rtl/>
        </w:rPr>
        <w:lastRenderedPageBreak/>
        <w:t xml:space="preserve">הנאשם 2 (להלן: </w:t>
      </w:r>
      <w:r w:rsidRPr="00392637">
        <w:rPr>
          <w:rFonts w:ascii="Arial" w:hAnsi="Arial" w:hint="cs"/>
          <w:b/>
          <w:bCs/>
          <w:rtl/>
        </w:rPr>
        <w:t>הנאשם</w:t>
      </w:r>
      <w:r w:rsidRPr="00392637">
        <w:rPr>
          <w:rFonts w:ascii="Arial" w:hAnsi="Arial" w:hint="cs"/>
          <w:rtl/>
        </w:rPr>
        <w:t xml:space="preserve">) הורשע על פי הודאתו בכתב אישום מתוקן, בעבירות בנשק (עסקה אחרת והחזקה), לפי </w:t>
      </w:r>
      <w:hyperlink r:id="rId24" w:history="1">
        <w:r w:rsidR="00EB2285" w:rsidRPr="00EB2285">
          <w:rPr>
            <w:rStyle w:val="Hyperlink"/>
            <w:rFonts w:ascii="Arial" w:hAnsi="Arial" w:hint="eastAsia"/>
            <w:rtl/>
          </w:rPr>
          <w:t>סעיף</w:t>
        </w:r>
        <w:r w:rsidR="00EB2285" w:rsidRPr="00EB2285">
          <w:rPr>
            <w:rStyle w:val="Hyperlink"/>
            <w:rFonts w:ascii="Arial" w:hAnsi="Arial"/>
            <w:rtl/>
          </w:rPr>
          <w:t xml:space="preserve"> 144(ב2)</w:t>
        </w:r>
      </w:hyperlink>
      <w:r w:rsidRPr="00392637">
        <w:rPr>
          <w:rFonts w:ascii="Arial" w:hAnsi="Arial" w:hint="cs"/>
          <w:rtl/>
        </w:rPr>
        <w:t xml:space="preserve"> </w:t>
      </w:r>
      <w:hyperlink r:id="rId25" w:history="1">
        <w:r w:rsidR="00EB2285" w:rsidRPr="00EB2285">
          <w:rPr>
            <w:rStyle w:val="Hyperlink"/>
            <w:rFonts w:ascii="Arial" w:hAnsi="Arial" w:hint="eastAsia"/>
            <w:rtl/>
          </w:rPr>
          <w:t>וסעיף</w:t>
        </w:r>
        <w:r w:rsidR="00EB2285" w:rsidRPr="00EB2285">
          <w:rPr>
            <w:rStyle w:val="Hyperlink"/>
            <w:rFonts w:ascii="Arial" w:hAnsi="Arial"/>
            <w:rtl/>
          </w:rPr>
          <w:t xml:space="preserve"> 144(א)</w:t>
        </w:r>
      </w:hyperlink>
      <w:r w:rsidRPr="00392637">
        <w:rPr>
          <w:rFonts w:ascii="Arial" w:hAnsi="Arial" w:hint="cs"/>
          <w:rtl/>
        </w:rPr>
        <w:t xml:space="preserve"> רישא, ל</w:t>
      </w:r>
      <w:hyperlink r:id="rId26" w:history="1">
        <w:r w:rsidR="00A003AB" w:rsidRPr="00A003AB">
          <w:rPr>
            <w:rFonts w:ascii="Arial" w:hAnsi="Arial"/>
            <w:color w:val="0000FF"/>
            <w:u w:val="single"/>
            <w:rtl/>
          </w:rPr>
          <w:t>חוק העונשין</w:t>
        </w:r>
      </w:hyperlink>
      <w:r w:rsidRPr="00392637">
        <w:rPr>
          <w:rFonts w:ascii="Arial" w:hAnsi="Arial" w:hint="cs"/>
          <w:rtl/>
        </w:rPr>
        <w:t xml:space="preserve">, התשל"ז-1977 (להלן: </w:t>
      </w:r>
      <w:r w:rsidRPr="00392637">
        <w:rPr>
          <w:rFonts w:ascii="Arial" w:hAnsi="Arial" w:hint="cs"/>
          <w:b/>
          <w:bCs/>
          <w:rtl/>
        </w:rPr>
        <w:t>חוק העונשין</w:t>
      </w:r>
      <w:r w:rsidRPr="00392637">
        <w:rPr>
          <w:rFonts w:ascii="Arial" w:hAnsi="Arial" w:hint="cs"/>
          <w:rtl/>
        </w:rPr>
        <w:t>).</w:t>
      </w:r>
    </w:p>
    <w:p w14:paraId="2D482E32" w14:textId="77777777" w:rsidR="008832BE" w:rsidRPr="00392637" w:rsidRDefault="008832BE" w:rsidP="008832BE">
      <w:pPr>
        <w:pStyle w:val="a9"/>
        <w:spacing w:line="360" w:lineRule="auto"/>
        <w:ind w:left="57"/>
        <w:jc w:val="both"/>
        <w:rPr>
          <w:rFonts w:ascii="Arial" w:hAnsi="Arial"/>
        </w:rPr>
      </w:pPr>
      <w:bookmarkStart w:id="9" w:name="ABSTRACT_END"/>
      <w:bookmarkEnd w:id="9"/>
    </w:p>
    <w:p w14:paraId="4520FBDF" w14:textId="77777777" w:rsidR="008832BE" w:rsidRDefault="008832BE" w:rsidP="008832BE">
      <w:pPr>
        <w:pStyle w:val="a9"/>
        <w:numPr>
          <w:ilvl w:val="0"/>
          <w:numId w:val="1"/>
        </w:numPr>
        <w:spacing w:line="360" w:lineRule="auto"/>
        <w:jc w:val="both"/>
        <w:rPr>
          <w:rFonts w:ascii="Arial" w:hAnsi="Arial"/>
        </w:rPr>
      </w:pPr>
      <w:r w:rsidRPr="00392637">
        <w:rPr>
          <w:rFonts w:ascii="Arial" w:hAnsi="Arial" w:hint="cs"/>
          <w:rtl/>
        </w:rPr>
        <w:t xml:space="preserve">כתב האישום המתוקן הוגש נגד </w:t>
      </w:r>
      <w:r>
        <w:rPr>
          <w:rFonts w:ascii="Arial" w:hAnsi="Arial" w:hint="cs"/>
          <w:rtl/>
        </w:rPr>
        <w:t xml:space="preserve">הנאשם </w:t>
      </w:r>
      <w:r w:rsidRPr="00392637">
        <w:rPr>
          <w:rFonts w:ascii="Arial" w:hAnsi="Arial" w:hint="cs"/>
          <w:rtl/>
        </w:rPr>
        <w:t>ואחיו</w:t>
      </w:r>
      <w:r>
        <w:rPr>
          <w:rFonts w:ascii="Arial" w:hAnsi="Arial" w:hint="cs"/>
          <w:rtl/>
        </w:rPr>
        <w:t>, ה</w:t>
      </w:r>
      <w:r w:rsidRPr="00392637">
        <w:rPr>
          <w:rFonts w:ascii="Arial" w:hAnsi="Arial" w:hint="cs"/>
          <w:rtl/>
        </w:rPr>
        <w:t xml:space="preserve">נאשם 1 </w:t>
      </w:r>
      <w:r>
        <w:rPr>
          <w:rFonts w:ascii="Arial" w:hAnsi="Arial" w:hint="cs"/>
          <w:rtl/>
        </w:rPr>
        <w:t xml:space="preserve">(להלן: </w:t>
      </w:r>
      <w:r w:rsidRPr="002A7D8F">
        <w:rPr>
          <w:rFonts w:ascii="Arial" w:hAnsi="Arial" w:hint="cs"/>
          <w:b/>
          <w:bCs/>
          <w:rtl/>
        </w:rPr>
        <w:t>ג'מיל</w:t>
      </w:r>
      <w:r>
        <w:rPr>
          <w:rFonts w:ascii="Arial" w:hAnsi="Arial" w:hint="cs"/>
          <w:rtl/>
        </w:rPr>
        <w:t xml:space="preserve">). בפתח כתב האישום הוזכר אח שלישי </w:t>
      </w:r>
      <w:r>
        <w:rPr>
          <w:rFonts w:ascii="Arial" w:hAnsi="Arial"/>
          <w:rtl/>
        </w:rPr>
        <w:t>–</w:t>
      </w:r>
      <w:r>
        <w:rPr>
          <w:rFonts w:ascii="Arial" w:hAnsi="Arial" w:hint="cs"/>
          <w:rtl/>
        </w:rPr>
        <w:t xml:space="preserve"> מ</w:t>
      </w:r>
      <w:r w:rsidRPr="00392637">
        <w:rPr>
          <w:rFonts w:ascii="Arial" w:hAnsi="Arial" w:hint="cs"/>
          <w:rtl/>
        </w:rPr>
        <w:t xml:space="preserve">ועתסם מחאמיד (להלן: </w:t>
      </w:r>
      <w:r w:rsidRPr="00392637">
        <w:rPr>
          <w:rFonts w:ascii="Arial" w:hAnsi="Arial" w:hint="cs"/>
          <w:b/>
          <w:bCs/>
          <w:rtl/>
        </w:rPr>
        <w:t>מועתסם</w:t>
      </w:r>
      <w:r w:rsidRPr="00392637">
        <w:rPr>
          <w:rFonts w:ascii="Arial" w:hAnsi="Arial" w:hint="cs"/>
          <w:rtl/>
        </w:rPr>
        <w:t>)</w:t>
      </w:r>
      <w:r>
        <w:rPr>
          <w:rFonts w:ascii="Arial" w:hAnsi="Arial" w:hint="cs"/>
          <w:rtl/>
        </w:rPr>
        <w:t>. לשלמות התמונה יובהר כי כתב האישום בהליך זה הוגש תחילה רק נגד ג'מיל ואילו נגד הנאשם הוגש כתב אישום בהליך אחר (</w:t>
      </w:r>
      <w:hyperlink r:id="rId27" w:history="1">
        <w:r w:rsidR="00A003AB" w:rsidRPr="00A003AB">
          <w:rPr>
            <w:rFonts w:ascii="Arial" w:hAnsi="Arial"/>
            <w:color w:val="0000FF"/>
            <w:u w:val="single"/>
            <w:rtl/>
          </w:rPr>
          <w:t>ת"פ 12107-05-22</w:t>
        </w:r>
      </w:hyperlink>
      <w:r>
        <w:rPr>
          <w:rFonts w:ascii="Arial" w:hAnsi="Arial" w:hint="cs"/>
          <w:rtl/>
        </w:rPr>
        <w:t xml:space="preserve">). בהחלטתי מיום 6.7.2022 הוריתי על איחוד הדיון בשני ההליכים והוריתי על הגשת כתב אישום מתוקן שיכלול את שני הנאשמים. עוד יצוין כי נגד מועתסם הוגש כתב אישום בתיק אחר נפרד. עניינם של מועתסם וג'מיל טרם הסתיים.  </w:t>
      </w:r>
    </w:p>
    <w:p w14:paraId="1D6B6D56" w14:textId="77777777" w:rsidR="008832BE" w:rsidRPr="003E45B3" w:rsidRDefault="008832BE" w:rsidP="008832BE">
      <w:pPr>
        <w:pStyle w:val="a9"/>
        <w:rPr>
          <w:rFonts w:ascii="Arial" w:hAnsi="Arial"/>
          <w:rtl/>
        </w:rPr>
      </w:pPr>
    </w:p>
    <w:p w14:paraId="3D4E2F1E" w14:textId="77777777" w:rsidR="008832BE" w:rsidRDefault="008832BE" w:rsidP="008832BE">
      <w:pPr>
        <w:pStyle w:val="a9"/>
        <w:numPr>
          <w:ilvl w:val="0"/>
          <w:numId w:val="1"/>
        </w:numPr>
        <w:spacing w:line="360" w:lineRule="auto"/>
        <w:jc w:val="both"/>
        <w:rPr>
          <w:rFonts w:ascii="Arial" w:hAnsi="Arial"/>
        </w:rPr>
      </w:pPr>
      <w:r>
        <w:rPr>
          <w:rFonts w:ascii="Arial" w:hAnsi="Arial" w:hint="cs"/>
          <w:rtl/>
        </w:rPr>
        <w:t xml:space="preserve">חלקו של הנאשם בפרשה מתבטא בביצוע עבירות נשק, ולהלן אביא את העובדות הקשורות בעבירות שביצע הנאשם, כפי שצוינו בכתב האישום: </w:t>
      </w:r>
    </w:p>
    <w:p w14:paraId="7B72788C" w14:textId="77777777" w:rsidR="008832BE" w:rsidRPr="00BC6100" w:rsidRDefault="008832BE" w:rsidP="008832BE">
      <w:pPr>
        <w:pStyle w:val="a9"/>
        <w:rPr>
          <w:rFonts w:ascii="Arial" w:hAnsi="Arial"/>
          <w:rtl/>
        </w:rPr>
      </w:pPr>
    </w:p>
    <w:p w14:paraId="71878D37" w14:textId="77777777" w:rsidR="008832BE" w:rsidRPr="003E45B3" w:rsidRDefault="008832BE" w:rsidP="008832BE">
      <w:pPr>
        <w:pStyle w:val="a9"/>
        <w:spacing w:line="360" w:lineRule="auto"/>
        <w:ind w:left="0" w:firstLine="567"/>
        <w:jc w:val="both"/>
        <w:rPr>
          <w:rFonts w:ascii="Arial" w:hAnsi="Arial"/>
        </w:rPr>
      </w:pPr>
      <w:r>
        <w:rPr>
          <w:rFonts w:ascii="Arial" w:hAnsi="Arial" w:hint="cs"/>
          <w:rtl/>
        </w:rPr>
        <w:t xml:space="preserve">(-) </w:t>
      </w:r>
      <w:r w:rsidRPr="003E45B3">
        <w:rPr>
          <w:rFonts w:ascii="Arial" w:hAnsi="Arial" w:hint="cs"/>
          <w:rtl/>
        </w:rPr>
        <w:t xml:space="preserve">במהלך החודשים ינואר או פברואר 2022, במועד שאינו ידוע במדויק למאשימה, סיכמו ביניהם מועתסם והנאשם, כי </w:t>
      </w:r>
      <w:r>
        <w:rPr>
          <w:rFonts w:ascii="Arial" w:hAnsi="Arial" w:hint="cs"/>
          <w:rtl/>
        </w:rPr>
        <w:t>הנאשם</w:t>
      </w:r>
      <w:r w:rsidRPr="003E45B3">
        <w:rPr>
          <w:rFonts w:ascii="Arial" w:hAnsi="Arial" w:hint="cs"/>
          <w:rtl/>
        </w:rPr>
        <w:t xml:space="preserve"> יספק למועתסם אקדח תמורת תשלום. בהמשך לכך, עדכן מועתסם את ג'מיל בפרטי הסיכום ומסר לו 35,000 ₪ במזומן על מנת שימסור את </w:t>
      </w:r>
      <w:r>
        <w:rPr>
          <w:rFonts w:ascii="Arial" w:hAnsi="Arial" w:hint="cs"/>
          <w:rtl/>
        </w:rPr>
        <w:t xml:space="preserve">הסכום </w:t>
      </w:r>
      <w:r w:rsidRPr="003E45B3">
        <w:rPr>
          <w:rFonts w:ascii="Arial" w:hAnsi="Arial" w:hint="cs"/>
          <w:rtl/>
        </w:rPr>
        <w:t xml:space="preserve">לנאשם עבור האקדח. </w:t>
      </w:r>
    </w:p>
    <w:p w14:paraId="784168A5" w14:textId="77777777" w:rsidR="008832BE" w:rsidRPr="003E45B3" w:rsidRDefault="008832BE" w:rsidP="008832BE">
      <w:pPr>
        <w:pStyle w:val="a9"/>
        <w:rPr>
          <w:rFonts w:ascii="Arial" w:hAnsi="Arial"/>
          <w:rtl/>
        </w:rPr>
      </w:pPr>
    </w:p>
    <w:p w14:paraId="005870EA" w14:textId="77777777" w:rsidR="008832BE" w:rsidRDefault="008832BE" w:rsidP="008832BE">
      <w:pPr>
        <w:pStyle w:val="a9"/>
        <w:spacing w:line="360" w:lineRule="auto"/>
        <w:ind w:left="0" w:firstLine="567"/>
        <w:jc w:val="both"/>
        <w:rPr>
          <w:rFonts w:ascii="Arial" w:hAnsi="Arial"/>
        </w:rPr>
      </w:pPr>
      <w:r>
        <w:rPr>
          <w:rFonts w:ascii="Arial" w:hAnsi="Arial" w:hint="cs"/>
          <w:rtl/>
        </w:rPr>
        <w:t xml:space="preserve">(-) </w:t>
      </w:r>
      <w:r w:rsidRPr="003E45B3">
        <w:rPr>
          <w:rFonts w:ascii="Arial" w:hAnsi="Arial" w:hint="cs"/>
          <w:rtl/>
        </w:rPr>
        <w:t>בהמשך</w:t>
      </w:r>
      <w:r>
        <w:rPr>
          <w:rFonts w:ascii="Arial" w:hAnsi="Arial" w:hint="cs"/>
          <w:rtl/>
        </w:rPr>
        <w:t xml:space="preserve"> לכך</w:t>
      </w:r>
      <w:r w:rsidRPr="003E45B3">
        <w:rPr>
          <w:rFonts w:ascii="Arial" w:hAnsi="Arial" w:hint="cs"/>
          <w:rtl/>
        </w:rPr>
        <w:t>, במסגרת הסיכום</w:t>
      </w:r>
      <w:r>
        <w:rPr>
          <w:rFonts w:ascii="Arial" w:hAnsi="Arial" w:hint="cs"/>
          <w:rtl/>
        </w:rPr>
        <w:t xml:space="preserve"> האמור</w:t>
      </w:r>
      <w:r w:rsidRPr="003E45B3">
        <w:rPr>
          <w:rFonts w:ascii="Arial" w:hAnsi="Arial" w:hint="cs"/>
          <w:rtl/>
        </w:rPr>
        <w:t>, במועד שאינו ידוע במדויק למאשימה, קיבל לידיו הנאשם אקדח חצי אוטומטי מסוג</w:t>
      </w:r>
      <w:r w:rsidRPr="003E45B3">
        <w:rPr>
          <w:rFonts w:ascii="Arial" w:hAnsi="Arial" w:hint="cs"/>
        </w:rPr>
        <w:t>F</w:t>
      </w:r>
      <w:r w:rsidRPr="003E45B3">
        <w:rPr>
          <w:rFonts w:ascii="Arial" w:hAnsi="Arial"/>
        </w:rPr>
        <w:t>N</w:t>
      </w:r>
      <w:r>
        <w:rPr>
          <w:rFonts w:ascii="Arial" w:hAnsi="Arial"/>
        </w:rPr>
        <w:t xml:space="preserve"> </w:t>
      </w:r>
      <w:r>
        <w:rPr>
          <w:rFonts w:ascii="Arial" w:hAnsi="Arial" w:hint="cs"/>
          <w:rtl/>
        </w:rPr>
        <w:t xml:space="preserve">. לאחר מכן, ג'מיל מסר לנאשם </w:t>
      </w:r>
      <w:r w:rsidRPr="003E45B3">
        <w:rPr>
          <w:rFonts w:ascii="Arial" w:hAnsi="Arial" w:hint="cs"/>
          <w:rtl/>
        </w:rPr>
        <w:t xml:space="preserve">את התשלום עבור האקדח והנאשם מסר את האקדח למועתסם. </w:t>
      </w:r>
    </w:p>
    <w:p w14:paraId="5BF074EF" w14:textId="77777777" w:rsidR="008832BE" w:rsidRPr="00445312" w:rsidRDefault="008832BE" w:rsidP="008832BE">
      <w:pPr>
        <w:pStyle w:val="a9"/>
        <w:rPr>
          <w:rFonts w:ascii="Arial" w:hAnsi="Arial"/>
          <w:rtl/>
        </w:rPr>
      </w:pPr>
    </w:p>
    <w:p w14:paraId="32C2C9F2" w14:textId="77777777" w:rsidR="008832BE" w:rsidRPr="00BC6100" w:rsidRDefault="008832BE" w:rsidP="008832BE">
      <w:pPr>
        <w:pStyle w:val="a9"/>
        <w:spacing w:line="360" w:lineRule="auto"/>
        <w:ind w:left="0" w:firstLine="567"/>
        <w:jc w:val="both"/>
        <w:rPr>
          <w:rFonts w:ascii="Arial" w:hAnsi="Arial"/>
          <w:rtl/>
        </w:rPr>
      </w:pPr>
      <w:r>
        <w:rPr>
          <w:rFonts w:ascii="Arial" w:hAnsi="Arial" w:hint="cs"/>
          <w:rtl/>
        </w:rPr>
        <w:t xml:space="preserve">(-) </w:t>
      </w:r>
      <w:r w:rsidRPr="00BC6100">
        <w:rPr>
          <w:rFonts w:ascii="Arial" w:hAnsi="Arial" w:hint="cs"/>
          <w:rtl/>
        </w:rPr>
        <w:t xml:space="preserve">בתאריך 4.4.2022 במסגרת חקירת </w:t>
      </w:r>
      <w:r>
        <w:rPr>
          <w:rFonts w:ascii="Arial" w:hAnsi="Arial" w:hint="cs"/>
          <w:rtl/>
        </w:rPr>
        <w:t xml:space="preserve">השלושה: </w:t>
      </w:r>
      <w:r w:rsidRPr="00BC6100">
        <w:rPr>
          <w:rFonts w:ascii="Arial" w:hAnsi="Arial" w:hint="cs"/>
          <w:rtl/>
        </w:rPr>
        <w:t>הנאשם</w:t>
      </w:r>
      <w:r>
        <w:rPr>
          <w:rFonts w:ascii="Arial" w:hAnsi="Arial" w:hint="cs"/>
          <w:rtl/>
        </w:rPr>
        <w:t>,</w:t>
      </w:r>
      <w:r w:rsidRPr="00BC6100">
        <w:rPr>
          <w:rFonts w:ascii="Arial" w:hAnsi="Arial" w:hint="cs"/>
          <w:rtl/>
        </w:rPr>
        <w:t xml:space="preserve"> ג'מיל ומועסתם ע"י גורמי הביטחון </w:t>
      </w:r>
      <w:r>
        <w:rPr>
          <w:rFonts w:ascii="Arial" w:hAnsi="Arial" w:hint="cs"/>
          <w:rtl/>
        </w:rPr>
        <w:t>ל</w:t>
      </w:r>
      <w:r w:rsidRPr="00BC6100">
        <w:rPr>
          <w:rFonts w:ascii="Arial" w:hAnsi="Arial" w:hint="cs"/>
          <w:rtl/>
        </w:rPr>
        <w:t>אחר מעצרם, נתפסו האקדח וכן מחסנית ו-79 כדורי אקדח בקוטר 9 מ"מ, המהווים תחמושת לנשק, ע"י שוטרי משטרת ישראל ואנשי כוחות הביטחון</w:t>
      </w:r>
      <w:r>
        <w:rPr>
          <w:rFonts w:ascii="Arial" w:hAnsi="Arial" w:hint="cs"/>
          <w:rtl/>
        </w:rPr>
        <w:t>.</w:t>
      </w:r>
      <w:r w:rsidRPr="00BC6100">
        <w:rPr>
          <w:rFonts w:ascii="Arial" w:hAnsi="Arial" w:hint="cs"/>
          <w:rtl/>
        </w:rPr>
        <w:t xml:space="preserve"> זאת</w:t>
      </w:r>
      <w:r>
        <w:rPr>
          <w:rFonts w:ascii="Arial" w:hAnsi="Arial" w:hint="cs"/>
          <w:rtl/>
        </w:rPr>
        <w:t>,</w:t>
      </w:r>
      <w:r w:rsidRPr="00BC6100">
        <w:rPr>
          <w:rFonts w:ascii="Arial" w:hAnsi="Arial" w:hint="cs"/>
          <w:rtl/>
        </w:rPr>
        <w:t xml:space="preserve"> לאחר שמועתסם והנאשם מסרו פרטים על מיקום</w:t>
      </w:r>
      <w:r>
        <w:rPr>
          <w:rFonts w:ascii="Arial" w:hAnsi="Arial" w:hint="cs"/>
          <w:rtl/>
        </w:rPr>
        <w:t xml:space="preserve"> הנשק והתחמושת</w:t>
      </w:r>
      <w:r w:rsidRPr="00BC6100">
        <w:rPr>
          <w:rFonts w:ascii="Arial" w:hAnsi="Arial" w:hint="cs"/>
          <w:rtl/>
        </w:rPr>
        <w:t xml:space="preserve">. </w:t>
      </w:r>
    </w:p>
    <w:p w14:paraId="75CA17F6" w14:textId="77777777" w:rsidR="008832BE" w:rsidRPr="00392637" w:rsidRDefault="008832BE" w:rsidP="008832BE">
      <w:pPr>
        <w:spacing w:line="360" w:lineRule="auto"/>
        <w:jc w:val="both"/>
        <w:rPr>
          <w:rFonts w:ascii="Arial" w:hAnsi="Arial"/>
          <w:rtl/>
        </w:rPr>
      </w:pPr>
    </w:p>
    <w:p w14:paraId="65062A68" w14:textId="77777777" w:rsidR="008832BE" w:rsidRDefault="008832BE" w:rsidP="008832BE">
      <w:pPr>
        <w:pStyle w:val="a9"/>
        <w:numPr>
          <w:ilvl w:val="0"/>
          <w:numId w:val="1"/>
        </w:numPr>
        <w:spacing w:line="360" w:lineRule="auto"/>
        <w:jc w:val="both"/>
        <w:rPr>
          <w:rFonts w:ascii="Arial" w:hAnsi="Arial"/>
        </w:rPr>
      </w:pPr>
      <w:r>
        <w:rPr>
          <w:rFonts w:ascii="Arial" w:hAnsi="Arial" w:hint="cs"/>
          <w:rtl/>
        </w:rPr>
        <w:t xml:space="preserve">כתב האישום כולל פירוט נרחב שנוגע לפעילותם של שני האחים הנוספים </w:t>
      </w:r>
      <w:r>
        <w:rPr>
          <w:rFonts w:ascii="Arial" w:hAnsi="Arial"/>
          <w:rtl/>
        </w:rPr>
        <w:t>–</w:t>
      </w:r>
      <w:r>
        <w:rPr>
          <w:rFonts w:ascii="Arial" w:hAnsi="Arial" w:hint="cs"/>
          <w:rtl/>
        </w:rPr>
        <w:t xml:space="preserve"> ג'מיל ומועתסם אשר מואשמים בעבירות נוספות מלבד עבירות הנשק </w:t>
      </w:r>
      <w:r>
        <w:rPr>
          <w:rFonts w:ascii="Arial" w:hAnsi="Arial"/>
          <w:rtl/>
        </w:rPr>
        <w:t>–</w:t>
      </w:r>
      <w:r>
        <w:rPr>
          <w:rFonts w:ascii="Arial" w:hAnsi="Arial" w:hint="cs"/>
          <w:rtl/>
        </w:rPr>
        <w:t xml:space="preserve"> ויודגש כי הגם שהוא נכלל בכתב האישום, חלק זה לא מיוחס לנאשם הנוכחי. להלן אסקור את הדברים:  </w:t>
      </w:r>
    </w:p>
    <w:p w14:paraId="3895C34E" w14:textId="77777777" w:rsidR="008832BE" w:rsidRPr="00445312" w:rsidRDefault="008832BE" w:rsidP="008832BE">
      <w:pPr>
        <w:pStyle w:val="a9"/>
        <w:spacing w:line="360" w:lineRule="auto"/>
        <w:ind w:left="0"/>
        <w:jc w:val="both"/>
        <w:rPr>
          <w:rFonts w:ascii="Arial" w:hAnsi="Arial"/>
        </w:rPr>
      </w:pPr>
    </w:p>
    <w:p w14:paraId="647253E9" w14:textId="77777777" w:rsidR="008832BE" w:rsidRDefault="008832BE" w:rsidP="008832BE">
      <w:pPr>
        <w:pStyle w:val="a9"/>
        <w:spacing w:line="360" w:lineRule="auto"/>
        <w:ind w:left="0" w:firstLine="720"/>
        <w:jc w:val="both"/>
        <w:rPr>
          <w:rFonts w:ascii="Arial" w:hAnsi="Arial"/>
        </w:rPr>
      </w:pPr>
      <w:r>
        <w:rPr>
          <w:rFonts w:ascii="Arial" w:hAnsi="Arial" w:hint="cs"/>
          <w:rtl/>
        </w:rPr>
        <w:t xml:space="preserve">(-) בכתב האישום הובא תיאור על </w:t>
      </w:r>
      <w:r w:rsidRPr="002A7D8F">
        <w:rPr>
          <w:rFonts w:ascii="Arial" w:hAnsi="Arial" w:hint="cs"/>
          <w:rtl/>
        </w:rPr>
        <w:t>ארגון המדינה האסלאמית (להלן:</w:t>
      </w:r>
      <w:r>
        <w:rPr>
          <w:rFonts w:ascii="Arial" w:hAnsi="Arial" w:hint="cs"/>
          <w:rtl/>
        </w:rPr>
        <w:t xml:space="preserve"> </w:t>
      </w:r>
      <w:r w:rsidRPr="001363DF">
        <w:rPr>
          <w:rFonts w:ascii="Arial" w:hAnsi="Arial" w:hint="cs"/>
          <w:b/>
          <w:bCs/>
          <w:rtl/>
        </w:rPr>
        <w:t>הארגון</w:t>
      </w:r>
      <w:r>
        <w:rPr>
          <w:rFonts w:ascii="Arial" w:hAnsi="Arial" w:hint="cs"/>
          <w:rtl/>
        </w:rPr>
        <w:t xml:space="preserve"> או </w:t>
      </w:r>
      <w:r w:rsidRPr="002A7D8F">
        <w:rPr>
          <w:rFonts w:ascii="Arial" w:hAnsi="Arial" w:hint="cs"/>
          <w:rtl/>
        </w:rPr>
        <w:t xml:space="preserve"> </w:t>
      </w:r>
      <w:r w:rsidRPr="002A7D8F">
        <w:rPr>
          <w:rFonts w:ascii="Arial" w:hAnsi="Arial" w:hint="cs"/>
          <w:b/>
          <w:bCs/>
          <w:rtl/>
        </w:rPr>
        <w:t>דאע"ש</w:t>
      </w:r>
      <w:r w:rsidRPr="002A7D8F">
        <w:rPr>
          <w:rFonts w:ascii="Arial" w:hAnsi="Arial" w:hint="cs"/>
          <w:rtl/>
        </w:rPr>
        <w:t>)</w:t>
      </w:r>
      <w:r>
        <w:rPr>
          <w:rFonts w:ascii="Arial" w:hAnsi="Arial" w:hint="cs"/>
          <w:rtl/>
        </w:rPr>
        <w:t>. צוין כי מקורו של הארגון</w:t>
      </w:r>
      <w:r w:rsidRPr="002A7D8F">
        <w:rPr>
          <w:rFonts w:ascii="Arial" w:hAnsi="Arial" w:hint="cs"/>
          <w:rtl/>
        </w:rPr>
        <w:t xml:space="preserve"> </w:t>
      </w:r>
      <w:r>
        <w:rPr>
          <w:rFonts w:ascii="Arial" w:hAnsi="Arial" w:hint="cs"/>
          <w:rtl/>
        </w:rPr>
        <w:t xml:space="preserve">הוא </w:t>
      </w:r>
      <w:r w:rsidRPr="002A7D8F">
        <w:rPr>
          <w:rFonts w:ascii="Arial" w:hAnsi="Arial" w:hint="cs"/>
          <w:rtl/>
        </w:rPr>
        <w:t>בארגון אל קאעידה בעיראק</w:t>
      </w:r>
      <w:r>
        <w:rPr>
          <w:rFonts w:ascii="Arial" w:hAnsi="Arial" w:hint="cs"/>
          <w:rtl/>
        </w:rPr>
        <w:t>;</w:t>
      </w:r>
      <w:r w:rsidRPr="002A7D8F">
        <w:rPr>
          <w:rFonts w:ascii="Arial" w:hAnsi="Arial" w:hint="cs"/>
          <w:rtl/>
        </w:rPr>
        <w:t xml:space="preserve"> </w:t>
      </w:r>
      <w:r>
        <w:rPr>
          <w:rFonts w:ascii="Arial" w:hAnsi="Arial" w:hint="cs"/>
          <w:rtl/>
        </w:rPr>
        <w:t>כי דאע"ש ה</w:t>
      </w:r>
      <w:r w:rsidRPr="002A7D8F">
        <w:rPr>
          <w:rFonts w:ascii="Arial" w:hAnsi="Arial" w:hint="cs"/>
          <w:rtl/>
        </w:rPr>
        <w:t>וא ארגון מחבלים קיצוני ביותר, הנמנה על ארגוני ג'יהאד עולמיים</w:t>
      </w:r>
      <w:r>
        <w:rPr>
          <w:rFonts w:ascii="Arial" w:hAnsi="Arial" w:hint="cs"/>
          <w:rtl/>
        </w:rPr>
        <w:t xml:space="preserve">; כי </w:t>
      </w:r>
      <w:r w:rsidRPr="002A7D8F">
        <w:rPr>
          <w:rFonts w:ascii="Arial" w:hAnsi="Arial" w:hint="cs"/>
          <w:rtl/>
        </w:rPr>
        <w:t>משנתו של הארגון מצדדת בתפיסת הסלפיה ג'יהאדיה הקוראת לפגיעה במשטרים "כופרים"</w:t>
      </w:r>
      <w:r>
        <w:rPr>
          <w:rFonts w:ascii="Arial" w:hAnsi="Arial" w:hint="cs"/>
          <w:rtl/>
        </w:rPr>
        <w:t xml:space="preserve"> </w:t>
      </w:r>
      <w:r w:rsidRPr="002A7D8F">
        <w:rPr>
          <w:rFonts w:ascii="Arial" w:hAnsi="Arial" w:hint="cs"/>
          <w:rtl/>
        </w:rPr>
        <w:t>שאינם הולכים בדרך האסלאם</w:t>
      </w:r>
      <w:r>
        <w:rPr>
          <w:rFonts w:ascii="Arial" w:hAnsi="Arial" w:hint="cs"/>
          <w:rtl/>
        </w:rPr>
        <w:t xml:space="preserve">; וכי </w:t>
      </w:r>
      <w:r w:rsidRPr="002A7D8F">
        <w:rPr>
          <w:rFonts w:ascii="Arial" w:hAnsi="Arial" w:hint="cs"/>
          <w:rtl/>
        </w:rPr>
        <w:t xml:space="preserve">ישראל כחלק </w:t>
      </w:r>
      <w:r w:rsidRPr="002A7D8F">
        <w:rPr>
          <w:rFonts w:ascii="Arial" w:hAnsi="Arial" w:hint="cs"/>
          <w:rtl/>
        </w:rPr>
        <w:lastRenderedPageBreak/>
        <w:t xml:space="preserve">מ"הכופרים" מהווה יעד לחימה מובהק כחלק ממטרות הג'יהאד העולמי. </w:t>
      </w:r>
      <w:r>
        <w:rPr>
          <w:rFonts w:ascii="Arial" w:hAnsi="Arial" w:hint="cs"/>
          <w:rtl/>
        </w:rPr>
        <w:t xml:space="preserve">עוד צוין בכתב האישום כי </w:t>
      </w:r>
      <w:r w:rsidRPr="002A7D8F">
        <w:rPr>
          <w:rFonts w:ascii="Arial" w:hAnsi="Arial" w:hint="cs"/>
          <w:rtl/>
        </w:rPr>
        <w:t xml:space="preserve">בתאריך 3.9.2014 הוכרז דאע"ש, ע"י שר הביטחון כהתאחדות בלתי מותרת מכח </w:t>
      </w:r>
      <w:hyperlink r:id="rId28" w:history="1">
        <w:r w:rsidR="00A003AB" w:rsidRPr="00A003AB">
          <w:rPr>
            <w:rFonts w:ascii="Arial" w:hAnsi="Arial"/>
            <w:color w:val="0000FF"/>
            <w:u w:val="single"/>
            <w:rtl/>
          </w:rPr>
          <w:t>תקנות ההגנה (שעת חירום)</w:t>
        </w:r>
      </w:hyperlink>
      <w:r w:rsidRPr="002A7D8F">
        <w:rPr>
          <w:rFonts w:ascii="Arial" w:hAnsi="Arial" w:hint="cs"/>
          <w:rtl/>
        </w:rPr>
        <w:t>, 1945</w:t>
      </w:r>
      <w:r>
        <w:rPr>
          <w:rFonts w:ascii="Arial" w:hAnsi="Arial" w:hint="cs"/>
          <w:rtl/>
        </w:rPr>
        <w:t xml:space="preserve">; </w:t>
      </w:r>
      <w:r w:rsidRPr="002A7D8F">
        <w:rPr>
          <w:rFonts w:ascii="Arial" w:hAnsi="Arial" w:hint="cs"/>
          <w:rtl/>
        </w:rPr>
        <w:t xml:space="preserve">בתאריך 28.10.2015 הוכרז כארגון טרוריסטי, </w:t>
      </w:r>
      <w:r>
        <w:rPr>
          <w:rFonts w:ascii="Arial" w:hAnsi="Arial" w:hint="cs"/>
          <w:rtl/>
        </w:rPr>
        <w:t xml:space="preserve">לפי </w:t>
      </w:r>
      <w:hyperlink r:id="rId29" w:history="1">
        <w:r w:rsidR="00A003AB" w:rsidRPr="00A003AB">
          <w:rPr>
            <w:rFonts w:ascii="Arial" w:hAnsi="Arial"/>
            <w:color w:val="0000FF"/>
            <w:u w:val="single"/>
            <w:rtl/>
          </w:rPr>
          <w:t>פקודת מניעת טרור</w:t>
        </w:r>
      </w:hyperlink>
      <w:r>
        <w:rPr>
          <w:rFonts w:ascii="Arial" w:hAnsi="Arial" w:hint="cs"/>
          <w:rtl/>
        </w:rPr>
        <w:t xml:space="preserve">, התש"ח-1948; והחל </w:t>
      </w:r>
      <w:r w:rsidRPr="002A7D8F">
        <w:rPr>
          <w:rFonts w:ascii="Arial" w:hAnsi="Arial" w:hint="cs"/>
          <w:rtl/>
        </w:rPr>
        <w:t xml:space="preserve">מתאריך 1.11.2016 מוכרז דאע"ש כארגון טרור מכח </w:t>
      </w:r>
      <w:hyperlink r:id="rId30" w:history="1">
        <w:r w:rsidR="00A003AB" w:rsidRPr="00A003AB">
          <w:rPr>
            <w:rFonts w:ascii="Arial" w:hAnsi="Arial"/>
            <w:color w:val="0000FF"/>
            <w:u w:val="single"/>
            <w:rtl/>
          </w:rPr>
          <w:t>חוק המאבק בטרור, התשע"ו-2016</w:t>
        </w:r>
      </w:hyperlink>
      <w:r w:rsidRPr="002A7D8F">
        <w:rPr>
          <w:rFonts w:ascii="Arial" w:hAnsi="Arial" w:hint="cs"/>
          <w:rtl/>
        </w:rPr>
        <w:t xml:space="preserve">. </w:t>
      </w:r>
      <w:r>
        <w:rPr>
          <w:rFonts w:ascii="Arial" w:hAnsi="Arial" w:hint="cs"/>
          <w:rtl/>
        </w:rPr>
        <w:t xml:space="preserve">דאע"ש </w:t>
      </w:r>
      <w:r w:rsidRPr="002A7D8F">
        <w:rPr>
          <w:rFonts w:ascii="Arial" w:hAnsi="Arial" w:hint="cs"/>
          <w:rtl/>
        </w:rPr>
        <w:t xml:space="preserve">אף מהווה ארגון מחבלים כהגדרתו </w:t>
      </w:r>
      <w:hyperlink r:id="rId31" w:history="1">
        <w:r w:rsidR="00EB2285" w:rsidRPr="00EB2285">
          <w:rPr>
            <w:rStyle w:val="Hyperlink"/>
            <w:rFonts w:ascii="Arial" w:hAnsi="Arial" w:hint="eastAsia"/>
            <w:rtl/>
          </w:rPr>
          <w:t>בסעיף</w:t>
        </w:r>
        <w:r w:rsidR="00EB2285" w:rsidRPr="00EB2285">
          <w:rPr>
            <w:rStyle w:val="Hyperlink"/>
            <w:rFonts w:ascii="Arial" w:hAnsi="Arial"/>
            <w:rtl/>
          </w:rPr>
          <w:t xml:space="preserve"> 91</w:t>
        </w:r>
      </w:hyperlink>
      <w:r w:rsidRPr="002A7D8F">
        <w:rPr>
          <w:rFonts w:ascii="Arial" w:hAnsi="Arial" w:hint="cs"/>
          <w:rtl/>
        </w:rPr>
        <w:t xml:space="preserve"> ל</w:t>
      </w:r>
      <w:hyperlink r:id="rId32" w:history="1">
        <w:r w:rsidR="00A003AB" w:rsidRPr="00A003AB">
          <w:rPr>
            <w:rFonts w:ascii="Arial" w:hAnsi="Arial"/>
            <w:color w:val="0000FF"/>
            <w:u w:val="single"/>
            <w:rtl/>
          </w:rPr>
          <w:t>חוק העונשין</w:t>
        </w:r>
      </w:hyperlink>
      <w:r w:rsidRPr="002A7D8F">
        <w:rPr>
          <w:rFonts w:ascii="Arial" w:hAnsi="Arial" w:hint="cs"/>
          <w:rtl/>
        </w:rPr>
        <w:t xml:space="preserve">. </w:t>
      </w:r>
    </w:p>
    <w:p w14:paraId="110A03EA" w14:textId="77777777" w:rsidR="008832BE" w:rsidRPr="002A7D8F" w:rsidRDefault="008832BE" w:rsidP="008832BE">
      <w:pPr>
        <w:pStyle w:val="a9"/>
        <w:rPr>
          <w:rFonts w:ascii="Arial" w:hAnsi="Arial"/>
          <w:rtl/>
        </w:rPr>
      </w:pPr>
    </w:p>
    <w:p w14:paraId="4844DB8F" w14:textId="77777777" w:rsidR="008832BE" w:rsidRDefault="008832BE" w:rsidP="008832BE">
      <w:pPr>
        <w:pStyle w:val="a9"/>
        <w:spacing w:line="360" w:lineRule="auto"/>
        <w:ind w:left="0" w:firstLine="567"/>
        <w:jc w:val="both"/>
        <w:rPr>
          <w:rFonts w:ascii="Arial" w:hAnsi="Arial"/>
        </w:rPr>
      </w:pPr>
      <w:r>
        <w:rPr>
          <w:rFonts w:ascii="Arial" w:hAnsi="Arial" w:hint="cs"/>
          <w:rtl/>
        </w:rPr>
        <w:t xml:space="preserve">(-) </w:t>
      </w:r>
      <w:r w:rsidRPr="002A7D8F">
        <w:rPr>
          <w:rFonts w:ascii="Arial" w:hAnsi="Arial" w:hint="cs"/>
          <w:rtl/>
        </w:rPr>
        <w:t xml:space="preserve">בכתב האישום צוין, כי במהלך השנתיים שקדמו למעצרם של </w:t>
      </w:r>
      <w:r>
        <w:rPr>
          <w:rFonts w:ascii="Arial" w:hAnsi="Arial" w:hint="cs"/>
          <w:rtl/>
        </w:rPr>
        <w:t xml:space="preserve">ג'מיל </w:t>
      </w:r>
      <w:r w:rsidRPr="002A7D8F">
        <w:rPr>
          <w:rFonts w:ascii="Arial" w:hAnsi="Arial" w:hint="cs"/>
          <w:rtl/>
        </w:rPr>
        <w:t xml:space="preserve">ומועתסם, ועד למועד מעצרם בתאריך 24.3.2022 (להלן: </w:t>
      </w:r>
      <w:r w:rsidRPr="002A7D8F">
        <w:rPr>
          <w:rFonts w:ascii="Arial" w:hAnsi="Arial" w:hint="cs"/>
          <w:b/>
          <w:bCs/>
          <w:rtl/>
        </w:rPr>
        <w:t>התקופה</w:t>
      </w:r>
      <w:r w:rsidRPr="002A7D8F">
        <w:rPr>
          <w:rFonts w:ascii="Arial" w:hAnsi="Arial" w:hint="cs"/>
          <w:rtl/>
        </w:rPr>
        <w:t xml:space="preserve">), גילו </w:t>
      </w:r>
      <w:r>
        <w:rPr>
          <w:rFonts w:ascii="Arial" w:hAnsi="Arial" w:hint="cs"/>
          <w:rtl/>
        </w:rPr>
        <w:t>השניים ע</w:t>
      </w:r>
      <w:r w:rsidRPr="002A7D8F">
        <w:rPr>
          <w:rFonts w:ascii="Arial" w:hAnsi="Arial" w:hint="cs"/>
          <w:rtl/>
        </w:rPr>
        <w:t>ניין הולך וגובר בארגון דאע"ש ו</w:t>
      </w:r>
      <w:r>
        <w:rPr>
          <w:rFonts w:ascii="Arial" w:hAnsi="Arial" w:hint="cs"/>
          <w:rtl/>
        </w:rPr>
        <w:t>ב</w:t>
      </w:r>
      <w:r w:rsidRPr="002A7D8F">
        <w:rPr>
          <w:rFonts w:ascii="Arial" w:hAnsi="Arial" w:hint="cs"/>
          <w:rtl/>
        </w:rPr>
        <w:t>פעילותו</w:t>
      </w:r>
      <w:r>
        <w:rPr>
          <w:rFonts w:ascii="Arial" w:hAnsi="Arial" w:hint="cs"/>
          <w:rtl/>
        </w:rPr>
        <w:t>, ו</w:t>
      </w:r>
      <w:r w:rsidRPr="002A7D8F">
        <w:rPr>
          <w:rFonts w:ascii="Arial" w:hAnsi="Arial" w:hint="cs"/>
          <w:rtl/>
        </w:rPr>
        <w:t>פיתחו הזדהות אידיאולוגית עם פעולות</w:t>
      </w:r>
      <w:r>
        <w:rPr>
          <w:rFonts w:ascii="Arial" w:hAnsi="Arial" w:hint="cs"/>
          <w:rtl/>
        </w:rPr>
        <w:t>יו</w:t>
      </w:r>
      <w:r w:rsidRPr="002A7D8F">
        <w:rPr>
          <w:rFonts w:ascii="Arial" w:hAnsi="Arial" w:hint="cs"/>
          <w:rtl/>
        </w:rPr>
        <w:t>, ערכיו ומטרותיו. במהלך התקופה,</w:t>
      </w:r>
      <w:r>
        <w:rPr>
          <w:rFonts w:ascii="Arial" w:hAnsi="Arial" w:hint="cs"/>
          <w:rtl/>
        </w:rPr>
        <w:t xml:space="preserve"> ביצעו ג'מיל </w:t>
      </w:r>
      <w:r w:rsidRPr="002A7D8F">
        <w:rPr>
          <w:rFonts w:ascii="Arial" w:hAnsi="Arial" w:hint="cs"/>
          <w:rtl/>
        </w:rPr>
        <w:t xml:space="preserve">ומועתסם פעולות שונות המביעות תמיכה בדאע"ש ובשלב מסוים הצטרפו ישירות לארגון, הכל כפי שיפורט להלן. </w:t>
      </w:r>
    </w:p>
    <w:p w14:paraId="14A7D598" w14:textId="77777777" w:rsidR="008832BE" w:rsidRPr="00AE1B36" w:rsidRDefault="008832BE" w:rsidP="008832BE">
      <w:pPr>
        <w:pStyle w:val="a9"/>
        <w:rPr>
          <w:rFonts w:ascii="Arial" w:hAnsi="Arial"/>
          <w:rtl/>
        </w:rPr>
      </w:pPr>
    </w:p>
    <w:p w14:paraId="05B9D721" w14:textId="77777777" w:rsidR="008832BE" w:rsidRDefault="008832BE" w:rsidP="008832BE">
      <w:pPr>
        <w:pStyle w:val="a9"/>
        <w:spacing w:line="360" w:lineRule="auto"/>
        <w:ind w:left="0" w:firstLine="567"/>
        <w:jc w:val="both"/>
        <w:rPr>
          <w:rFonts w:ascii="Arial" w:hAnsi="Arial"/>
        </w:rPr>
      </w:pPr>
      <w:r>
        <w:rPr>
          <w:rFonts w:ascii="Arial" w:hAnsi="Arial" w:hint="cs"/>
          <w:rtl/>
        </w:rPr>
        <w:t xml:space="preserve">(-) </w:t>
      </w:r>
      <w:r w:rsidRPr="00AE1B36">
        <w:rPr>
          <w:rFonts w:ascii="Arial" w:hAnsi="Arial" w:hint="cs"/>
          <w:rtl/>
        </w:rPr>
        <w:t>במהלך התקופה, בשנת 2020 לערך, במועדים שאינם ידועים במדויק למאשימה, על רקע הזדהותם האידיאולוגית ותמיכתם ב</w:t>
      </w:r>
      <w:r>
        <w:rPr>
          <w:rFonts w:ascii="Arial" w:hAnsi="Arial" w:hint="cs"/>
          <w:rtl/>
        </w:rPr>
        <w:t>דאע"ש</w:t>
      </w:r>
      <w:r w:rsidRPr="00AE1B36">
        <w:rPr>
          <w:rFonts w:ascii="Arial" w:hAnsi="Arial" w:hint="cs"/>
          <w:rtl/>
        </w:rPr>
        <w:t xml:space="preserve">, נשבעו </w:t>
      </w:r>
      <w:r>
        <w:rPr>
          <w:rFonts w:ascii="Arial" w:hAnsi="Arial" w:hint="cs"/>
          <w:rtl/>
        </w:rPr>
        <w:t xml:space="preserve">ג'מיל </w:t>
      </w:r>
      <w:r w:rsidRPr="00AE1B36">
        <w:rPr>
          <w:rFonts w:ascii="Arial" w:hAnsi="Arial" w:hint="cs"/>
          <w:rtl/>
        </w:rPr>
        <w:t>ומועתסם, כל אחד לחוד, שבועת אמונים לארגון ולמנהיגו, על מנת להביע נאמנותם לארגון ולעו</w:t>
      </w:r>
      <w:r>
        <w:rPr>
          <w:rFonts w:ascii="Arial" w:hAnsi="Arial" w:hint="cs"/>
          <w:rtl/>
        </w:rPr>
        <w:t>מ</w:t>
      </w:r>
      <w:r w:rsidRPr="00AE1B36">
        <w:rPr>
          <w:rFonts w:ascii="Arial" w:hAnsi="Arial" w:hint="cs"/>
          <w:rtl/>
        </w:rPr>
        <w:t xml:space="preserve">ד בראשו. </w:t>
      </w:r>
    </w:p>
    <w:p w14:paraId="457EB53A" w14:textId="77777777" w:rsidR="008832BE" w:rsidRPr="00AE1B36" w:rsidRDefault="008832BE" w:rsidP="008832BE">
      <w:pPr>
        <w:pStyle w:val="a9"/>
        <w:rPr>
          <w:rFonts w:ascii="Arial" w:hAnsi="Arial"/>
          <w:rtl/>
        </w:rPr>
      </w:pPr>
    </w:p>
    <w:p w14:paraId="28FB3A4E" w14:textId="77777777" w:rsidR="008832BE" w:rsidRDefault="008832BE" w:rsidP="008832BE">
      <w:pPr>
        <w:pStyle w:val="a9"/>
        <w:spacing w:line="360" w:lineRule="auto"/>
        <w:ind w:left="0" w:firstLine="567"/>
        <w:jc w:val="both"/>
        <w:rPr>
          <w:rFonts w:ascii="Arial" w:hAnsi="Arial"/>
        </w:rPr>
      </w:pPr>
      <w:r>
        <w:rPr>
          <w:rFonts w:ascii="Arial" w:hAnsi="Arial" w:hint="cs"/>
          <w:rtl/>
        </w:rPr>
        <w:t xml:space="preserve">(-) </w:t>
      </w:r>
      <w:r w:rsidRPr="00AE1B36">
        <w:rPr>
          <w:rFonts w:ascii="Arial" w:hAnsi="Arial" w:hint="cs"/>
          <w:rtl/>
        </w:rPr>
        <w:t xml:space="preserve">במהלך התקופה, על רקע הזדהותם האידיאולוגית ותמיכתם בארגון, נכנסו </w:t>
      </w:r>
      <w:r>
        <w:rPr>
          <w:rFonts w:ascii="Arial" w:hAnsi="Arial" w:hint="cs"/>
          <w:rtl/>
        </w:rPr>
        <w:t xml:space="preserve">ג'מיל </w:t>
      </w:r>
      <w:r w:rsidRPr="00AE1B36">
        <w:rPr>
          <w:rFonts w:ascii="Arial" w:hAnsi="Arial" w:hint="cs"/>
          <w:rtl/>
        </w:rPr>
        <w:t xml:space="preserve">ומועתסם לאתרי אינטרנט בהם הוצגו תכנים המזוהים עם </w:t>
      </w:r>
      <w:r>
        <w:rPr>
          <w:rFonts w:ascii="Arial" w:hAnsi="Arial" w:hint="cs"/>
          <w:rtl/>
        </w:rPr>
        <w:t>דאע"ש</w:t>
      </w:r>
      <w:r w:rsidRPr="00AE1B36">
        <w:rPr>
          <w:rFonts w:ascii="Arial" w:hAnsi="Arial" w:hint="cs"/>
          <w:rtl/>
        </w:rPr>
        <w:t xml:space="preserve"> וצפו, דרך קבע, יחד ולחוד, בסרטונים של דאע"ש או בסרטונים המזוהים עם הארגון, ובין היתר, צפו בסרטונים המתעדים את הפעילות הצבאית של הארגון. בנוסף, עקבו </w:t>
      </w:r>
      <w:r>
        <w:rPr>
          <w:rFonts w:ascii="Arial" w:hAnsi="Arial" w:hint="cs"/>
          <w:rtl/>
        </w:rPr>
        <w:t xml:space="preserve">ג'מיל </w:t>
      </w:r>
      <w:r w:rsidRPr="00AE1B36">
        <w:rPr>
          <w:rFonts w:ascii="Arial" w:hAnsi="Arial" w:hint="cs"/>
          <w:rtl/>
        </w:rPr>
        <w:t>ומועתסם אחר פעילות הארגון, תוך צפי</w:t>
      </w:r>
      <w:r>
        <w:rPr>
          <w:rFonts w:ascii="Arial" w:hAnsi="Arial" w:hint="cs"/>
          <w:rtl/>
        </w:rPr>
        <w:t>י</w:t>
      </w:r>
      <w:r w:rsidRPr="00AE1B36">
        <w:rPr>
          <w:rFonts w:ascii="Arial" w:hAnsi="Arial" w:hint="cs"/>
          <w:rtl/>
        </w:rPr>
        <w:t xml:space="preserve">ה בחדשות ובעדכונים הנוגעים לארגון ולאירועי הלחימה בהם הוא מעורב. </w:t>
      </w:r>
    </w:p>
    <w:p w14:paraId="48F879B5" w14:textId="77777777" w:rsidR="008832BE" w:rsidRPr="00AE1B36" w:rsidRDefault="008832BE" w:rsidP="008832BE">
      <w:pPr>
        <w:pStyle w:val="a9"/>
        <w:rPr>
          <w:rFonts w:ascii="Arial" w:hAnsi="Arial"/>
          <w:rtl/>
        </w:rPr>
      </w:pPr>
    </w:p>
    <w:p w14:paraId="7F61F781" w14:textId="77777777" w:rsidR="008832BE" w:rsidRDefault="008832BE" w:rsidP="008832BE">
      <w:pPr>
        <w:pStyle w:val="a9"/>
        <w:spacing w:line="360" w:lineRule="auto"/>
        <w:ind w:left="0" w:firstLine="567"/>
        <w:jc w:val="both"/>
        <w:rPr>
          <w:rFonts w:ascii="Arial" w:hAnsi="Arial"/>
        </w:rPr>
      </w:pPr>
      <w:r>
        <w:rPr>
          <w:rFonts w:ascii="Arial" w:hAnsi="Arial" w:hint="cs"/>
          <w:rtl/>
        </w:rPr>
        <w:t xml:space="preserve">(-) </w:t>
      </w:r>
      <w:r w:rsidRPr="00AE1B36">
        <w:rPr>
          <w:rFonts w:ascii="Arial" w:hAnsi="Arial" w:hint="cs"/>
          <w:rtl/>
        </w:rPr>
        <w:t xml:space="preserve">במהלך שנת 2021 לערך, על רקע הזדהותם האידיאולוגית ותמיכתם בארגון ומתוך רצון להצטרף לארגון וליטול חלק בפעילותו, שוחחו </w:t>
      </w:r>
      <w:r>
        <w:rPr>
          <w:rFonts w:ascii="Arial" w:hAnsi="Arial" w:hint="cs"/>
          <w:rtl/>
        </w:rPr>
        <w:t xml:space="preserve">ג'מיל </w:t>
      </w:r>
      <w:r w:rsidRPr="00AE1B36">
        <w:rPr>
          <w:rFonts w:ascii="Arial" w:hAnsi="Arial" w:hint="cs"/>
          <w:rtl/>
        </w:rPr>
        <w:t xml:space="preserve">ומועתסם על רצונם לייצר מטען חבלה למטרות ג'יהאד. בהמשך לאמור, נכנסו </w:t>
      </w:r>
      <w:r>
        <w:rPr>
          <w:rFonts w:ascii="Arial" w:hAnsi="Arial" w:hint="cs"/>
          <w:rtl/>
        </w:rPr>
        <w:t xml:space="preserve">ג'מיל </w:t>
      </w:r>
      <w:r w:rsidRPr="00AE1B36">
        <w:rPr>
          <w:rFonts w:ascii="Arial" w:hAnsi="Arial" w:hint="cs"/>
          <w:rtl/>
        </w:rPr>
        <w:t xml:space="preserve">ומועתסם לאתרי אינטרנט בהם הוצגו תכנים המזוהים עם הארגון וצפו, דרך קבע, יחד ולחוד, בקבצים ובסרטונים אשר מלמדים כיצד לייצר אמצעי לחימה ובהם חומרי נפץ ומטעני חבלה, לצורך ביצוע פעולות ג'יהאד באמצעותם. </w:t>
      </w:r>
      <w:r>
        <w:rPr>
          <w:rFonts w:ascii="Arial" w:hAnsi="Arial" w:hint="cs"/>
          <w:rtl/>
        </w:rPr>
        <w:t xml:space="preserve">ג'מיל </w:t>
      </w:r>
      <w:r w:rsidRPr="00AE1B36">
        <w:rPr>
          <w:rFonts w:ascii="Arial" w:hAnsi="Arial" w:hint="cs"/>
          <w:rtl/>
        </w:rPr>
        <w:t xml:space="preserve">ומועתסם הורידו והחזיקו על גבי המכשירים הסלולריים שלהם חלק מתכנים אלה, לרבות תכנים בקשר לייצור חומרי נפץ. </w:t>
      </w:r>
    </w:p>
    <w:p w14:paraId="6C611F80" w14:textId="77777777" w:rsidR="008832BE" w:rsidRPr="00AE1B36" w:rsidRDefault="008832BE" w:rsidP="008832BE">
      <w:pPr>
        <w:pStyle w:val="a9"/>
        <w:rPr>
          <w:rFonts w:ascii="Arial" w:hAnsi="Arial"/>
          <w:rtl/>
        </w:rPr>
      </w:pPr>
    </w:p>
    <w:p w14:paraId="65025348" w14:textId="77777777" w:rsidR="008832BE" w:rsidRDefault="008832BE" w:rsidP="008832BE">
      <w:pPr>
        <w:pStyle w:val="a9"/>
        <w:spacing w:line="360" w:lineRule="auto"/>
        <w:ind w:left="0" w:firstLine="567"/>
        <w:jc w:val="both"/>
        <w:rPr>
          <w:rFonts w:ascii="Arial" w:hAnsi="Arial"/>
        </w:rPr>
      </w:pPr>
      <w:r>
        <w:rPr>
          <w:rFonts w:ascii="Arial" w:hAnsi="Arial" w:hint="cs"/>
          <w:rtl/>
        </w:rPr>
        <w:t xml:space="preserve">(-) גמיל </w:t>
      </w:r>
      <w:r w:rsidRPr="00AE1B36">
        <w:rPr>
          <w:rFonts w:ascii="Arial" w:hAnsi="Arial" w:hint="cs"/>
          <w:rtl/>
        </w:rPr>
        <w:t>ומועתסם קראו וצפו בתכנים שפורטו לעיל כאימון והדרכה לשימוש בשיטות פעולה או באמצעים אשר יסייעו להם לבצע פעולות ג'יהאד או שימוש בנשק או הכנתו, זאת במטרה לקדם פעילותו של ארגון טרור או ביצוע עבי</w:t>
      </w:r>
      <w:r>
        <w:rPr>
          <w:rFonts w:ascii="Arial" w:hAnsi="Arial" w:hint="cs"/>
          <w:rtl/>
        </w:rPr>
        <w:t>רה שהיא מעשה טרור או לסייע להם.</w:t>
      </w:r>
    </w:p>
    <w:p w14:paraId="2541CCA5" w14:textId="77777777" w:rsidR="008832BE" w:rsidRPr="00AE1B36" w:rsidRDefault="008832BE" w:rsidP="008832BE">
      <w:pPr>
        <w:pStyle w:val="a9"/>
        <w:rPr>
          <w:rFonts w:ascii="Arial" w:hAnsi="Arial"/>
          <w:rtl/>
        </w:rPr>
      </w:pPr>
    </w:p>
    <w:p w14:paraId="6854A776" w14:textId="77777777" w:rsidR="008832BE" w:rsidRDefault="008832BE" w:rsidP="008832BE">
      <w:pPr>
        <w:pStyle w:val="a9"/>
        <w:spacing w:line="360" w:lineRule="auto"/>
        <w:ind w:left="0" w:firstLine="567"/>
        <w:jc w:val="both"/>
        <w:rPr>
          <w:rFonts w:ascii="Arial" w:hAnsi="Arial"/>
        </w:rPr>
      </w:pPr>
      <w:r>
        <w:rPr>
          <w:rFonts w:ascii="Arial" w:hAnsi="Arial" w:hint="cs"/>
          <w:rtl/>
        </w:rPr>
        <w:t xml:space="preserve">(-) </w:t>
      </w:r>
      <w:r w:rsidRPr="00AE1B36">
        <w:rPr>
          <w:rFonts w:ascii="Arial" w:hAnsi="Arial" w:hint="cs"/>
          <w:rtl/>
        </w:rPr>
        <w:t>במהלך התקופה בשנת 2021 לערך, על רקע הזדהותו האידיאולוגית ותמיכתו ב</w:t>
      </w:r>
      <w:r>
        <w:rPr>
          <w:rFonts w:ascii="Arial" w:hAnsi="Arial" w:hint="cs"/>
          <w:rtl/>
        </w:rPr>
        <w:t>דאע"ש</w:t>
      </w:r>
      <w:r w:rsidRPr="00AE1B36">
        <w:rPr>
          <w:rFonts w:ascii="Arial" w:hAnsi="Arial" w:hint="cs"/>
          <w:rtl/>
        </w:rPr>
        <w:t xml:space="preserve"> ומתוך רצון להצטרף לארגון וליטול חלק בפעילותו, רכש </w:t>
      </w:r>
      <w:r>
        <w:rPr>
          <w:rFonts w:ascii="Arial" w:hAnsi="Arial" w:hint="cs"/>
          <w:rtl/>
        </w:rPr>
        <w:t>ג'מיל</w:t>
      </w:r>
      <w:r w:rsidRPr="00AE1B36">
        <w:rPr>
          <w:rFonts w:ascii="Arial" w:hAnsi="Arial" w:hint="cs"/>
          <w:rtl/>
        </w:rPr>
        <w:t xml:space="preserve">, עבורו ועבור מועתסם, שני אפודי מגן, על מנת שישמשו אותם בעת ביצוע פעולות ג'יהאד. </w:t>
      </w:r>
    </w:p>
    <w:p w14:paraId="12A94BB0" w14:textId="77777777" w:rsidR="008832BE" w:rsidRPr="00AE1B36" w:rsidRDefault="008832BE" w:rsidP="008832BE">
      <w:pPr>
        <w:pStyle w:val="a9"/>
        <w:rPr>
          <w:rFonts w:ascii="Arial" w:hAnsi="Arial"/>
          <w:rtl/>
        </w:rPr>
      </w:pPr>
    </w:p>
    <w:p w14:paraId="03C94F0C" w14:textId="77777777" w:rsidR="008832BE" w:rsidRDefault="008832BE" w:rsidP="008832BE">
      <w:pPr>
        <w:pStyle w:val="a9"/>
        <w:spacing w:line="360" w:lineRule="auto"/>
        <w:ind w:left="0" w:firstLine="567"/>
        <w:jc w:val="both"/>
        <w:rPr>
          <w:rFonts w:ascii="Arial" w:hAnsi="Arial"/>
        </w:rPr>
      </w:pPr>
      <w:r>
        <w:rPr>
          <w:rFonts w:ascii="Arial" w:hAnsi="Arial" w:hint="cs"/>
          <w:rtl/>
        </w:rPr>
        <w:t xml:space="preserve">(-) </w:t>
      </w:r>
      <w:r w:rsidRPr="00AE1B36">
        <w:rPr>
          <w:rFonts w:ascii="Arial" w:hAnsi="Arial" w:hint="cs"/>
          <w:rtl/>
        </w:rPr>
        <w:t>במהלך התקופה, בשנת 2021 לערך, על רקע הזדהותם האידיאולוגית ותמיכתם בארגון ומתוך רצו</w:t>
      </w:r>
      <w:r>
        <w:rPr>
          <w:rFonts w:ascii="Arial" w:hAnsi="Arial" w:hint="cs"/>
          <w:rtl/>
        </w:rPr>
        <w:t>ן</w:t>
      </w:r>
      <w:r w:rsidRPr="00AE1B36">
        <w:rPr>
          <w:rFonts w:ascii="Arial" w:hAnsi="Arial" w:hint="cs"/>
          <w:rtl/>
        </w:rPr>
        <w:t xml:space="preserve"> להצטרף לארגון וליטול חלק בפעילותו, רכש </w:t>
      </w:r>
      <w:r>
        <w:rPr>
          <w:rFonts w:ascii="Arial" w:hAnsi="Arial" w:hint="cs"/>
          <w:rtl/>
        </w:rPr>
        <w:t xml:space="preserve">ג'מיל </w:t>
      </w:r>
      <w:r w:rsidRPr="00AE1B36">
        <w:rPr>
          <w:rFonts w:ascii="Arial" w:hAnsi="Arial" w:hint="cs"/>
          <w:rtl/>
        </w:rPr>
        <w:t xml:space="preserve">עבורו ועבור מועתסם שתי טבעות עליהן הוטבע אחד מסמלי הארגון </w:t>
      </w:r>
      <w:r w:rsidRPr="00AE1B36">
        <w:rPr>
          <w:rFonts w:ascii="Arial" w:hAnsi="Arial"/>
          <w:rtl/>
        </w:rPr>
        <w:t>–</w:t>
      </w:r>
      <w:r w:rsidRPr="00AE1B36">
        <w:rPr>
          <w:rFonts w:ascii="Arial" w:hAnsi="Arial" w:hint="cs"/>
          <w:rtl/>
        </w:rPr>
        <w:t xml:space="preserve"> עיגול ובו חותמת הנביא מוחמד, עם כיתוב בערבית "מוחמד שליח אללה"</w:t>
      </w:r>
      <w:r>
        <w:rPr>
          <w:rFonts w:ascii="Arial" w:hAnsi="Arial" w:hint="cs"/>
          <w:rtl/>
        </w:rPr>
        <w:t xml:space="preserve">, ומסר את אחת הטבעות למועתסם. ג'מיל </w:t>
      </w:r>
      <w:r w:rsidRPr="00AE1B36">
        <w:rPr>
          <w:rFonts w:ascii="Arial" w:hAnsi="Arial" w:hint="cs"/>
          <w:rtl/>
        </w:rPr>
        <w:t xml:space="preserve">ומועתסם החזיקו בטבעות עד ליום מעצרם. </w:t>
      </w:r>
    </w:p>
    <w:p w14:paraId="5CEA23FF" w14:textId="77777777" w:rsidR="008832BE" w:rsidRPr="00AE1B36" w:rsidRDefault="008832BE" w:rsidP="008832BE">
      <w:pPr>
        <w:pStyle w:val="a9"/>
        <w:rPr>
          <w:rFonts w:ascii="Arial" w:hAnsi="Arial"/>
          <w:rtl/>
        </w:rPr>
      </w:pPr>
    </w:p>
    <w:p w14:paraId="1D73E706" w14:textId="77777777" w:rsidR="008832BE" w:rsidRDefault="008832BE" w:rsidP="008832BE">
      <w:pPr>
        <w:pStyle w:val="a9"/>
        <w:spacing w:line="360" w:lineRule="auto"/>
        <w:ind w:left="0" w:firstLine="567"/>
        <w:jc w:val="both"/>
        <w:rPr>
          <w:rFonts w:ascii="Arial" w:hAnsi="Arial"/>
        </w:rPr>
      </w:pPr>
      <w:r>
        <w:rPr>
          <w:rFonts w:ascii="Arial" w:hAnsi="Arial" w:hint="cs"/>
          <w:rtl/>
        </w:rPr>
        <w:t xml:space="preserve">(-) </w:t>
      </w:r>
      <w:r w:rsidRPr="00AE1B36">
        <w:rPr>
          <w:rFonts w:ascii="Arial" w:hAnsi="Arial" w:hint="cs"/>
          <w:rtl/>
        </w:rPr>
        <w:t xml:space="preserve">במהלך התקופה, בחודש ינואר 2022 לערך, החליטו </w:t>
      </w:r>
      <w:r>
        <w:rPr>
          <w:rFonts w:ascii="Arial" w:hAnsi="Arial" w:hint="cs"/>
          <w:rtl/>
        </w:rPr>
        <w:t xml:space="preserve">ג'מיל </w:t>
      </w:r>
      <w:r w:rsidRPr="00AE1B36">
        <w:rPr>
          <w:rFonts w:ascii="Arial" w:hAnsi="Arial" w:hint="cs"/>
          <w:rtl/>
        </w:rPr>
        <w:t xml:space="preserve">ומעותסם להצטרף כחברים לארגון דאע"ש וליטול חלק בפעילותו, זאת מתוך הזדהותם האידיאולוגית ותמיכתם בארגון, כמפורט לעיל. בהמשך להחלטה </w:t>
      </w:r>
      <w:r>
        <w:rPr>
          <w:rFonts w:ascii="Arial" w:hAnsi="Arial" w:hint="cs"/>
          <w:rtl/>
        </w:rPr>
        <w:t xml:space="preserve">זו, </w:t>
      </w:r>
      <w:r w:rsidRPr="00AE1B36">
        <w:rPr>
          <w:rFonts w:ascii="Arial" w:hAnsi="Arial" w:hint="cs"/>
          <w:rtl/>
        </w:rPr>
        <w:t xml:space="preserve">בהיותם בבית מגוריהם במועאוויה, הניחו </w:t>
      </w:r>
      <w:r>
        <w:rPr>
          <w:rFonts w:ascii="Arial" w:hAnsi="Arial" w:hint="cs"/>
          <w:rtl/>
        </w:rPr>
        <w:t xml:space="preserve">ג'מיל </w:t>
      </w:r>
      <w:r w:rsidRPr="00AE1B36">
        <w:rPr>
          <w:rFonts w:ascii="Arial" w:hAnsi="Arial" w:hint="cs"/>
          <w:rtl/>
        </w:rPr>
        <w:t xml:space="preserve">ומועתסם ידיהם זו על זו ונשבעו שבועת אמונים נוספת לארגון דאע"ש ולמנהיגו אבו חסן, זאת על מנת להביע נאמנותם לארגון ולעומד בראשו. בכך ולאור מעשיהם המפורטים לעיל, הצטרפו </w:t>
      </w:r>
      <w:r>
        <w:rPr>
          <w:rFonts w:ascii="Arial" w:hAnsi="Arial" w:hint="cs"/>
          <w:rtl/>
        </w:rPr>
        <w:t xml:space="preserve">ג'מיל </w:t>
      </w:r>
      <w:r w:rsidRPr="00AE1B36">
        <w:rPr>
          <w:rFonts w:ascii="Arial" w:hAnsi="Arial" w:hint="cs"/>
          <w:rtl/>
        </w:rPr>
        <w:t>ומועתסם לארגון</w:t>
      </w:r>
      <w:r>
        <w:rPr>
          <w:rFonts w:ascii="Arial" w:hAnsi="Arial" w:hint="cs"/>
          <w:rtl/>
        </w:rPr>
        <w:t>.</w:t>
      </w:r>
      <w:r w:rsidRPr="00AE1B36">
        <w:rPr>
          <w:rFonts w:ascii="Arial" w:hAnsi="Arial" w:hint="cs"/>
          <w:rtl/>
        </w:rPr>
        <w:t xml:space="preserve"> </w:t>
      </w:r>
    </w:p>
    <w:p w14:paraId="02728E8D" w14:textId="77777777" w:rsidR="008832BE" w:rsidRPr="00AE1B36" w:rsidRDefault="008832BE" w:rsidP="008832BE">
      <w:pPr>
        <w:pStyle w:val="a9"/>
        <w:rPr>
          <w:rFonts w:ascii="Arial" w:hAnsi="Arial"/>
          <w:rtl/>
        </w:rPr>
      </w:pPr>
    </w:p>
    <w:p w14:paraId="7FD361A1" w14:textId="77777777" w:rsidR="008832BE" w:rsidRDefault="008832BE" w:rsidP="008832BE">
      <w:pPr>
        <w:pStyle w:val="a9"/>
        <w:spacing w:line="360" w:lineRule="auto"/>
        <w:ind w:left="0" w:firstLine="567"/>
        <w:jc w:val="both"/>
        <w:rPr>
          <w:rFonts w:ascii="Arial" w:hAnsi="Arial"/>
        </w:rPr>
      </w:pPr>
      <w:r>
        <w:rPr>
          <w:rFonts w:ascii="Arial" w:hAnsi="Arial" w:hint="cs"/>
          <w:rtl/>
        </w:rPr>
        <w:t xml:space="preserve">(-) </w:t>
      </w:r>
      <w:r w:rsidRPr="00AE1B36">
        <w:rPr>
          <w:rFonts w:ascii="Arial" w:hAnsi="Arial" w:hint="cs"/>
          <w:rtl/>
        </w:rPr>
        <w:t xml:space="preserve">במהלך התקופה, בחודש ינואר 2022 לערך, על רקע הצטרפותם לארגון ובמטרה לקדם את פעילותו, סיכמו ביניהם </w:t>
      </w:r>
      <w:r>
        <w:rPr>
          <w:rFonts w:ascii="Arial" w:hAnsi="Arial" w:hint="cs"/>
          <w:rtl/>
        </w:rPr>
        <w:t xml:space="preserve">ג'מיל </w:t>
      </w:r>
      <w:r w:rsidRPr="00AE1B36">
        <w:rPr>
          <w:rFonts w:ascii="Arial" w:hAnsi="Arial" w:hint="cs"/>
          <w:rtl/>
        </w:rPr>
        <w:t>ומועתסם לצאת לאחת ממדינות אפריקה בכדי להצטרף ללחימה של הארגון. במהלך שיחה זו, אמר מועתסם ל</w:t>
      </w:r>
      <w:r>
        <w:rPr>
          <w:rFonts w:ascii="Arial" w:hAnsi="Arial" w:hint="cs"/>
          <w:rtl/>
        </w:rPr>
        <w:t>ג'מיל</w:t>
      </w:r>
      <w:r w:rsidRPr="00AE1B36">
        <w:rPr>
          <w:rFonts w:ascii="Arial" w:hAnsi="Arial" w:hint="cs"/>
          <w:rtl/>
        </w:rPr>
        <w:t xml:space="preserve">, כי הוא יברר פרטים על אפשרות זו עם מכר שלו אשר השתתף בעבר בפעילות דאע"ש בסוריה, אולם בפועל לא פעל כאמור. </w:t>
      </w:r>
    </w:p>
    <w:p w14:paraId="6B555659" w14:textId="77777777" w:rsidR="008832BE" w:rsidRPr="00AE1B36" w:rsidRDefault="008832BE" w:rsidP="008832BE">
      <w:pPr>
        <w:pStyle w:val="a9"/>
        <w:rPr>
          <w:rFonts w:ascii="Arial" w:hAnsi="Arial"/>
          <w:rtl/>
        </w:rPr>
      </w:pPr>
    </w:p>
    <w:p w14:paraId="43DE84A6" w14:textId="77777777" w:rsidR="008832BE" w:rsidRDefault="008832BE" w:rsidP="008832BE">
      <w:pPr>
        <w:pStyle w:val="a9"/>
        <w:spacing w:line="360" w:lineRule="auto"/>
        <w:ind w:left="0" w:firstLine="567"/>
        <w:jc w:val="both"/>
        <w:rPr>
          <w:rFonts w:ascii="Arial" w:hAnsi="Arial"/>
        </w:rPr>
      </w:pPr>
      <w:r>
        <w:rPr>
          <w:rFonts w:ascii="Arial" w:hAnsi="Arial" w:hint="cs"/>
          <w:rtl/>
        </w:rPr>
        <w:t xml:space="preserve">(-) </w:t>
      </w:r>
      <w:r w:rsidRPr="00AE1B36">
        <w:rPr>
          <w:rFonts w:ascii="Arial" w:hAnsi="Arial" w:hint="cs"/>
          <w:rtl/>
        </w:rPr>
        <w:t>ב</w:t>
      </w:r>
      <w:r>
        <w:rPr>
          <w:rFonts w:ascii="Arial" w:hAnsi="Arial" w:hint="cs"/>
          <w:rtl/>
        </w:rPr>
        <w:t xml:space="preserve">המשך לכך, סיכמו שלושת האחים כי הנאשם יספק להם נשק ואכן מועתסם קיבל לידיו את הנשק מהנאשם כפי שתואר בהרחבה בפתח הדברים. </w:t>
      </w:r>
    </w:p>
    <w:p w14:paraId="4A93B8EF" w14:textId="77777777" w:rsidR="008832BE" w:rsidRPr="00846693" w:rsidRDefault="008832BE" w:rsidP="008832BE">
      <w:pPr>
        <w:pStyle w:val="a9"/>
        <w:rPr>
          <w:rFonts w:ascii="Arial" w:hAnsi="Arial"/>
          <w:rtl/>
        </w:rPr>
      </w:pPr>
    </w:p>
    <w:p w14:paraId="202A807E" w14:textId="77777777" w:rsidR="008832BE" w:rsidRPr="00392637" w:rsidRDefault="008832BE" w:rsidP="008832BE">
      <w:pPr>
        <w:spacing w:line="360" w:lineRule="auto"/>
        <w:ind w:firstLine="708"/>
        <w:jc w:val="both"/>
        <w:rPr>
          <w:rFonts w:ascii="Arial" w:hAnsi="Arial"/>
          <w:rtl/>
        </w:rPr>
      </w:pPr>
      <w:r>
        <w:rPr>
          <w:rFonts w:ascii="Arial" w:hAnsi="Arial" w:hint="cs"/>
          <w:rtl/>
        </w:rPr>
        <w:t>(-) לאחר שמועתסם קיבל את האקדח לידיו, הציגו בפני ג'מיל,</w:t>
      </w:r>
      <w:r w:rsidRPr="00392637">
        <w:rPr>
          <w:rFonts w:ascii="Arial" w:hAnsi="Arial" w:hint="cs"/>
          <w:rtl/>
        </w:rPr>
        <w:t xml:space="preserve"> והשניים סיכמו כי האקדח ישמש אותם למטרת לחימה עם הארגון באפריקה, או לצורך פגיעה במשתפי פעולה מוסלמים או לצורך פגיעה ביהודים. ממועד זה ועד ליום מעצרם, החזיקו </w:t>
      </w:r>
      <w:r>
        <w:rPr>
          <w:rFonts w:ascii="Arial" w:hAnsi="Arial" w:hint="cs"/>
          <w:rtl/>
        </w:rPr>
        <w:t xml:space="preserve">ג'מיל </w:t>
      </w:r>
      <w:r w:rsidRPr="00392637">
        <w:rPr>
          <w:rFonts w:ascii="Arial" w:hAnsi="Arial" w:hint="cs"/>
          <w:rtl/>
        </w:rPr>
        <w:t>ומועתסם באקדח, בצוותא חדא, זאת במטרה לקדם פעילות ארגון טרור או ביצוע מעשה טרור או לסייע לפעילות או ביצוע כאמור, והכל כחלק מהצטרפותם לארגון</w:t>
      </w:r>
      <w:r>
        <w:rPr>
          <w:rFonts w:ascii="Arial" w:hAnsi="Arial" w:hint="cs"/>
          <w:rtl/>
        </w:rPr>
        <w:t xml:space="preserve"> דאע"ש</w:t>
      </w:r>
      <w:r w:rsidRPr="00392637">
        <w:rPr>
          <w:rFonts w:ascii="Arial" w:hAnsi="Arial" w:hint="cs"/>
          <w:rtl/>
        </w:rPr>
        <w:t xml:space="preserve">. </w:t>
      </w:r>
    </w:p>
    <w:p w14:paraId="1990292F" w14:textId="77777777" w:rsidR="008832BE" w:rsidRPr="00392637" w:rsidRDefault="008832BE" w:rsidP="008832BE">
      <w:pPr>
        <w:spacing w:line="360" w:lineRule="auto"/>
        <w:jc w:val="both"/>
        <w:rPr>
          <w:rFonts w:ascii="Arial" w:hAnsi="Arial"/>
          <w:rtl/>
        </w:rPr>
      </w:pPr>
    </w:p>
    <w:p w14:paraId="4A88A785" w14:textId="77777777" w:rsidR="008832BE" w:rsidRPr="00392637" w:rsidRDefault="008832BE" w:rsidP="008832BE">
      <w:pPr>
        <w:spacing w:line="360" w:lineRule="auto"/>
        <w:ind w:firstLine="708"/>
        <w:jc w:val="both"/>
        <w:rPr>
          <w:rFonts w:ascii="Arial" w:hAnsi="Arial"/>
          <w:rtl/>
        </w:rPr>
      </w:pPr>
      <w:r>
        <w:rPr>
          <w:rFonts w:ascii="Arial" w:hAnsi="Arial" w:hint="cs"/>
          <w:rtl/>
        </w:rPr>
        <w:t xml:space="preserve">(-) </w:t>
      </w:r>
      <w:r w:rsidRPr="00392637">
        <w:rPr>
          <w:rFonts w:ascii="Arial" w:hAnsi="Arial" w:hint="cs"/>
          <w:rtl/>
        </w:rPr>
        <w:t>במועד שאינו ידוע למאשימה ועל מנת לבדוק את תקינות האקדח, הגיע מועתסם לשטח פתוח במיקום שאינו ידוע במדויק למאשימה, כשהוא נושא ומוביל את האקדח וכן מחסנית מתאימה טעונה בכדורים התואמים לאקדח. במעמד זה מועתסם ירה לפחות 1</w:t>
      </w:r>
      <w:r>
        <w:rPr>
          <w:rFonts w:ascii="Arial" w:hAnsi="Arial" w:hint="cs"/>
          <w:rtl/>
        </w:rPr>
        <w:t>0 כדורים באמצעות האקדח</w:t>
      </w:r>
      <w:r w:rsidRPr="00392637">
        <w:rPr>
          <w:rFonts w:ascii="Arial" w:hAnsi="Arial" w:hint="cs"/>
          <w:rtl/>
        </w:rPr>
        <w:t xml:space="preserve">. </w:t>
      </w:r>
    </w:p>
    <w:p w14:paraId="778F830A" w14:textId="77777777" w:rsidR="008832BE" w:rsidRPr="00392637" w:rsidRDefault="008832BE" w:rsidP="008832BE">
      <w:pPr>
        <w:spacing w:line="360" w:lineRule="auto"/>
        <w:jc w:val="both"/>
        <w:rPr>
          <w:rFonts w:ascii="Arial" w:hAnsi="Arial"/>
          <w:rtl/>
        </w:rPr>
      </w:pPr>
    </w:p>
    <w:p w14:paraId="57A2FBC9" w14:textId="77777777" w:rsidR="008832BE" w:rsidRDefault="008832BE" w:rsidP="008832BE">
      <w:pPr>
        <w:pStyle w:val="a9"/>
        <w:numPr>
          <w:ilvl w:val="0"/>
          <w:numId w:val="1"/>
        </w:numPr>
        <w:spacing w:line="360" w:lineRule="auto"/>
        <w:jc w:val="both"/>
        <w:rPr>
          <w:rFonts w:ascii="Arial" w:hAnsi="Arial"/>
        </w:rPr>
      </w:pPr>
      <w:r w:rsidRPr="00392637">
        <w:rPr>
          <w:rFonts w:ascii="Arial" w:hAnsi="Arial" w:hint="cs"/>
          <w:rtl/>
        </w:rPr>
        <w:t>בדיון שהתקיים ביום 6.9.2022 כפר הנאשם בעובדות כתב האישום ו</w:t>
      </w:r>
      <w:r>
        <w:rPr>
          <w:rFonts w:ascii="Arial" w:hAnsi="Arial" w:hint="cs"/>
          <w:rtl/>
        </w:rPr>
        <w:t>אף</w:t>
      </w:r>
      <w:r w:rsidRPr="00392637">
        <w:rPr>
          <w:rFonts w:ascii="Arial" w:hAnsi="Arial" w:hint="cs"/>
          <w:rtl/>
        </w:rPr>
        <w:t xml:space="preserve"> העלה טענת זוטא, אך בדיון שהתקיים ביום 6.10.2022 הודיעו הצדדים כי הגיעו להסדר טיעון </w:t>
      </w:r>
      <w:r>
        <w:rPr>
          <w:rFonts w:ascii="Arial" w:hAnsi="Arial" w:hint="cs"/>
          <w:rtl/>
        </w:rPr>
        <w:t>לפיו הנאשם הודה ב</w:t>
      </w:r>
      <w:r w:rsidRPr="00392637">
        <w:rPr>
          <w:rFonts w:ascii="Arial" w:hAnsi="Arial" w:hint="cs"/>
          <w:rtl/>
        </w:rPr>
        <w:t>כתב אישום מתוקן, מבלי שתהיינה הסכמות לעניין העונש.</w:t>
      </w:r>
    </w:p>
    <w:p w14:paraId="22A23041" w14:textId="77777777" w:rsidR="008832BE" w:rsidRDefault="008832BE" w:rsidP="008832BE">
      <w:pPr>
        <w:pStyle w:val="a9"/>
        <w:spacing w:line="360" w:lineRule="auto"/>
        <w:ind w:left="0"/>
        <w:jc w:val="both"/>
        <w:rPr>
          <w:rFonts w:ascii="Arial" w:hAnsi="Arial"/>
        </w:rPr>
      </w:pPr>
      <w:r w:rsidRPr="00392637">
        <w:rPr>
          <w:rFonts w:ascii="Arial" w:hAnsi="Arial" w:hint="cs"/>
          <w:rtl/>
        </w:rPr>
        <w:t xml:space="preserve"> </w:t>
      </w:r>
    </w:p>
    <w:p w14:paraId="4321E61C" w14:textId="77777777" w:rsidR="008832BE" w:rsidRPr="009B55FC" w:rsidRDefault="008832BE" w:rsidP="008832BE">
      <w:pPr>
        <w:pStyle w:val="a9"/>
        <w:numPr>
          <w:ilvl w:val="0"/>
          <w:numId w:val="1"/>
        </w:numPr>
        <w:spacing w:line="360" w:lineRule="auto"/>
        <w:jc w:val="both"/>
        <w:rPr>
          <w:rFonts w:ascii="Arial" w:hAnsi="Arial"/>
        </w:rPr>
      </w:pPr>
      <w:r w:rsidRPr="009B55FC">
        <w:rPr>
          <w:rFonts w:ascii="Arial" w:hAnsi="Arial" w:hint="cs"/>
          <w:rtl/>
        </w:rPr>
        <w:lastRenderedPageBreak/>
        <w:t>המאשימה הבהירה במהלך הדיון כי היא אינה יודעת מה מקור הנשק שהנאשם קיבל לידיו והעבירו לאחר מכן למועתסם. בהמשך, ציינה המאשימה, כפי שגם עולה מכתב האישום, כי לנאשם לא מיוחסת ידיעה לגבי מעשיהם של אחיו וכי אין ראיות לכך שהנאשם ידע שהנשק ישמש לביצוע עבירות ביטחוניות. לפיכך, כאמור, הנאשם הואשם והורשע בעבירות נשק בלבד.</w:t>
      </w:r>
    </w:p>
    <w:p w14:paraId="0685985E" w14:textId="77777777" w:rsidR="008832BE" w:rsidRPr="00392637" w:rsidRDefault="008832BE" w:rsidP="008832BE">
      <w:pPr>
        <w:pStyle w:val="a9"/>
        <w:spacing w:line="360" w:lineRule="auto"/>
        <w:ind w:left="57"/>
        <w:jc w:val="both"/>
        <w:rPr>
          <w:rFonts w:ascii="Arial" w:hAnsi="Arial"/>
        </w:rPr>
      </w:pPr>
    </w:p>
    <w:p w14:paraId="4E32F99B" w14:textId="77777777" w:rsidR="008832BE" w:rsidRPr="00392637" w:rsidRDefault="008832BE" w:rsidP="008832BE">
      <w:pPr>
        <w:rPr>
          <w:rFonts w:ascii="Arial" w:hAnsi="Arial"/>
          <w:b/>
          <w:bCs/>
          <w:rtl/>
        </w:rPr>
      </w:pPr>
      <w:r>
        <w:rPr>
          <w:rFonts w:ascii="Arial" w:hAnsi="Arial" w:hint="cs"/>
          <w:b/>
          <w:bCs/>
          <w:rtl/>
        </w:rPr>
        <w:t>ראיות ו</w:t>
      </w:r>
      <w:r w:rsidRPr="00392637">
        <w:rPr>
          <w:rFonts w:ascii="Arial" w:hAnsi="Arial" w:hint="cs"/>
          <w:b/>
          <w:bCs/>
          <w:rtl/>
        </w:rPr>
        <w:t>טיעוני הצדדים לעונש</w:t>
      </w:r>
    </w:p>
    <w:p w14:paraId="149E96A3" w14:textId="77777777" w:rsidR="008832BE" w:rsidRPr="00392637" w:rsidRDefault="008832BE" w:rsidP="008832BE">
      <w:pPr>
        <w:pStyle w:val="a9"/>
        <w:rPr>
          <w:rFonts w:ascii="Arial" w:hAnsi="Arial"/>
          <w:rtl/>
        </w:rPr>
      </w:pPr>
    </w:p>
    <w:p w14:paraId="2305B133" w14:textId="77777777" w:rsidR="008832BE" w:rsidRDefault="008832BE" w:rsidP="008832BE">
      <w:pPr>
        <w:pStyle w:val="a9"/>
        <w:spacing w:line="360" w:lineRule="auto"/>
        <w:ind w:left="0"/>
        <w:jc w:val="both"/>
        <w:rPr>
          <w:rFonts w:ascii="Arial" w:hAnsi="Arial"/>
        </w:rPr>
      </w:pPr>
    </w:p>
    <w:p w14:paraId="2C6BBE08" w14:textId="77777777" w:rsidR="008832BE" w:rsidRDefault="008832BE" w:rsidP="008832BE">
      <w:pPr>
        <w:pStyle w:val="a9"/>
        <w:numPr>
          <w:ilvl w:val="0"/>
          <w:numId w:val="1"/>
        </w:numPr>
        <w:spacing w:line="360" w:lineRule="auto"/>
        <w:jc w:val="both"/>
        <w:rPr>
          <w:rFonts w:ascii="Arial" w:hAnsi="Arial"/>
        </w:rPr>
      </w:pPr>
      <w:r w:rsidRPr="00392637">
        <w:rPr>
          <w:rFonts w:ascii="Arial" w:hAnsi="Arial" w:hint="cs"/>
          <w:rtl/>
        </w:rPr>
        <w:t xml:space="preserve">המאשימה הגישה טיעון כתוב לעונש והוסיפה וטענה בע"פ. נטען כי הערכים המוגנים שנפגעו ממעשיו של הנאשם הם הבטחת שלום הציבור והגנה על חיי אדם, </w:t>
      </w:r>
      <w:r>
        <w:rPr>
          <w:rFonts w:ascii="Arial" w:hAnsi="Arial" w:hint="cs"/>
          <w:rtl/>
        </w:rPr>
        <w:t xml:space="preserve">ובתוך כך </w:t>
      </w:r>
      <w:r w:rsidRPr="00392637">
        <w:rPr>
          <w:rFonts w:ascii="Arial" w:hAnsi="Arial" w:hint="cs"/>
          <w:rtl/>
        </w:rPr>
        <w:t xml:space="preserve">הודגש הצורך בענישה מרתיעה בעבירות נשק. כמו כן, הפנתה המאשימה לתיקון </w:t>
      </w:r>
      <w:r>
        <w:rPr>
          <w:rFonts w:ascii="Arial" w:hAnsi="Arial" w:hint="cs"/>
          <w:rtl/>
        </w:rPr>
        <w:t>ל</w:t>
      </w:r>
      <w:hyperlink r:id="rId33" w:history="1">
        <w:r w:rsidR="00A003AB" w:rsidRPr="00A003AB">
          <w:rPr>
            <w:rFonts w:ascii="Arial" w:hAnsi="Arial"/>
            <w:color w:val="0000FF"/>
            <w:u w:val="single"/>
            <w:rtl/>
          </w:rPr>
          <w:t>חוק העונשין</w:t>
        </w:r>
      </w:hyperlink>
      <w:r w:rsidRPr="00392637">
        <w:rPr>
          <w:rFonts w:ascii="Arial" w:hAnsi="Arial" w:hint="cs"/>
          <w:rtl/>
        </w:rPr>
        <w:t xml:space="preserve"> הקובע עונשי מינימום בעבירות נשק. </w:t>
      </w:r>
    </w:p>
    <w:p w14:paraId="3C65FDD7" w14:textId="77777777" w:rsidR="008832BE" w:rsidRDefault="008832BE" w:rsidP="008832BE">
      <w:pPr>
        <w:pStyle w:val="a9"/>
        <w:spacing w:line="360" w:lineRule="auto"/>
        <w:ind w:left="57"/>
        <w:jc w:val="both"/>
        <w:rPr>
          <w:rFonts w:ascii="Arial" w:hAnsi="Arial"/>
          <w:rtl/>
        </w:rPr>
      </w:pPr>
    </w:p>
    <w:p w14:paraId="2FC7FF24" w14:textId="77777777" w:rsidR="008832BE" w:rsidRDefault="008832BE" w:rsidP="008832BE">
      <w:pPr>
        <w:pStyle w:val="a9"/>
        <w:spacing w:line="360" w:lineRule="auto"/>
        <w:ind w:left="57" w:firstLine="510"/>
        <w:jc w:val="both"/>
        <w:rPr>
          <w:rFonts w:ascii="Arial" w:hAnsi="Arial"/>
          <w:rtl/>
        </w:rPr>
      </w:pPr>
      <w:r w:rsidRPr="00392637">
        <w:rPr>
          <w:rFonts w:ascii="Arial" w:hAnsi="Arial" w:hint="cs"/>
          <w:rtl/>
        </w:rPr>
        <w:t xml:space="preserve">בהתייחסה לנסיבות </w:t>
      </w:r>
      <w:r>
        <w:rPr>
          <w:rFonts w:ascii="Arial" w:hAnsi="Arial" w:hint="cs"/>
          <w:rtl/>
        </w:rPr>
        <w:t xml:space="preserve">הקשורות בביצוע העבירה, טענה </w:t>
      </w:r>
      <w:r w:rsidRPr="00392637">
        <w:rPr>
          <w:rFonts w:ascii="Arial" w:hAnsi="Arial" w:hint="cs"/>
          <w:rtl/>
        </w:rPr>
        <w:t xml:space="preserve">המאשימה כי במקרה הנדון העסקה שבוצעה בנשק מגבירה את הסיכון לאלימות קשה. בהקשר זה צוין כי אמנם אין ראיות </w:t>
      </w:r>
      <w:r>
        <w:rPr>
          <w:rFonts w:ascii="Arial" w:hAnsi="Arial" w:hint="cs"/>
          <w:rtl/>
        </w:rPr>
        <w:t>לכך ש</w:t>
      </w:r>
      <w:r w:rsidRPr="00392637">
        <w:rPr>
          <w:rFonts w:ascii="Arial" w:hAnsi="Arial" w:hint="cs"/>
          <w:rtl/>
        </w:rPr>
        <w:t>הנאשם ידע שהנשק ישמש למטרת ביצוע עבירות ביטחוניות, אך לדידה של המאשימה ניתן ל</w:t>
      </w:r>
      <w:r>
        <w:rPr>
          <w:rFonts w:ascii="Arial" w:hAnsi="Arial" w:hint="cs"/>
          <w:rtl/>
        </w:rPr>
        <w:t>הניח כי ה</w:t>
      </w:r>
      <w:r w:rsidRPr="00392637">
        <w:rPr>
          <w:rFonts w:ascii="Arial" w:hAnsi="Arial" w:hint="cs"/>
          <w:rtl/>
        </w:rPr>
        <w:t xml:space="preserve">שימוש </w:t>
      </w:r>
      <w:r>
        <w:rPr>
          <w:rFonts w:ascii="Arial" w:hAnsi="Arial" w:hint="cs"/>
          <w:rtl/>
        </w:rPr>
        <w:t>שיועד ל</w:t>
      </w:r>
      <w:r w:rsidRPr="00392637">
        <w:rPr>
          <w:rFonts w:ascii="Arial" w:hAnsi="Arial" w:hint="cs"/>
          <w:rtl/>
        </w:rPr>
        <w:t>נשק הוא למטרות פליליות או ביטחוניות, ו</w:t>
      </w:r>
      <w:r>
        <w:rPr>
          <w:rFonts w:ascii="Arial" w:hAnsi="Arial" w:hint="cs"/>
          <w:rtl/>
        </w:rPr>
        <w:t xml:space="preserve">תעיד על כך העובדה כי </w:t>
      </w:r>
      <w:r w:rsidRPr="00392637">
        <w:rPr>
          <w:rFonts w:ascii="Arial" w:hAnsi="Arial" w:hint="cs"/>
          <w:rtl/>
        </w:rPr>
        <w:t xml:space="preserve">בוצע ירי בנשק. נטען </w:t>
      </w:r>
      <w:r>
        <w:rPr>
          <w:rFonts w:ascii="Arial" w:hAnsi="Arial" w:hint="cs"/>
          <w:rtl/>
        </w:rPr>
        <w:t xml:space="preserve">עוד </w:t>
      </w:r>
      <w:r w:rsidRPr="00392637">
        <w:rPr>
          <w:rFonts w:ascii="Arial" w:hAnsi="Arial" w:hint="cs"/>
          <w:rtl/>
        </w:rPr>
        <w:t xml:space="preserve">כי המדובר במעשים מתוכננים היטב וכי פוטנציאל הנזק הוא משמעותי ביותר. המאשימה הדגישה כי </w:t>
      </w:r>
      <w:r>
        <w:rPr>
          <w:rFonts w:ascii="Arial" w:hAnsi="Arial" w:hint="cs"/>
          <w:rtl/>
        </w:rPr>
        <w:t xml:space="preserve">חוסר הידיעה לגבי </w:t>
      </w:r>
      <w:r w:rsidRPr="00392637">
        <w:rPr>
          <w:rFonts w:ascii="Arial" w:hAnsi="Arial" w:hint="cs"/>
          <w:rtl/>
        </w:rPr>
        <w:t>מקור הנשק אינ</w:t>
      </w:r>
      <w:r>
        <w:rPr>
          <w:rFonts w:ascii="Arial" w:hAnsi="Arial" w:hint="cs"/>
          <w:rtl/>
        </w:rPr>
        <w:t>ו</w:t>
      </w:r>
      <w:r w:rsidRPr="00392637">
        <w:rPr>
          <w:rFonts w:ascii="Arial" w:hAnsi="Arial" w:hint="cs"/>
          <w:rtl/>
        </w:rPr>
        <w:t xml:space="preserve"> מהווה נסיבה מקלה, שכן אין מחלוקת </w:t>
      </w:r>
      <w:r>
        <w:rPr>
          <w:rFonts w:ascii="Arial" w:hAnsi="Arial" w:hint="cs"/>
          <w:rtl/>
        </w:rPr>
        <w:t>ש</w:t>
      </w:r>
      <w:r w:rsidRPr="00392637">
        <w:rPr>
          <w:rFonts w:ascii="Arial" w:hAnsi="Arial" w:hint="cs"/>
          <w:rtl/>
        </w:rPr>
        <w:t xml:space="preserve">לנאשם </w:t>
      </w:r>
      <w:r>
        <w:rPr>
          <w:rFonts w:ascii="Arial" w:hAnsi="Arial" w:hint="cs"/>
          <w:rtl/>
        </w:rPr>
        <w:t xml:space="preserve">היה </w:t>
      </w:r>
      <w:r w:rsidRPr="00392637">
        <w:rPr>
          <w:rFonts w:ascii="Arial" w:hAnsi="Arial" w:hint="cs"/>
          <w:rtl/>
        </w:rPr>
        <w:t xml:space="preserve">נשק והוא ביצע </w:t>
      </w:r>
      <w:r>
        <w:rPr>
          <w:rFonts w:ascii="Arial" w:hAnsi="Arial" w:hint="cs"/>
          <w:rtl/>
        </w:rPr>
        <w:t xml:space="preserve">בו </w:t>
      </w:r>
      <w:r w:rsidRPr="00392637">
        <w:rPr>
          <w:rFonts w:ascii="Arial" w:hAnsi="Arial" w:hint="cs"/>
          <w:rtl/>
        </w:rPr>
        <w:t>עסקה אחרת. לטענת המאשימה, מתחם העונש ההולם נע בין 42 ל-72 חודשי מאסר בפועל</w:t>
      </w:r>
      <w:r>
        <w:rPr>
          <w:rFonts w:ascii="Arial" w:hAnsi="Arial" w:hint="cs"/>
          <w:rtl/>
        </w:rPr>
        <w:t xml:space="preserve">. המאשימה הפנתה גם לפסיקה שלדידה תומכת בעמדתה. </w:t>
      </w:r>
    </w:p>
    <w:p w14:paraId="2693E058" w14:textId="77777777" w:rsidR="008832BE" w:rsidRDefault="008832BE" w:rsidP="008832BE">
      <w:pPr>
        <w:pStyle w:val="a9"/>
        <w:spacing w:line="360" w:lineRule="auto"/>
        <w:ind w:left="57" w:firstLine="651"/>
        <w:jc w:val="both"/>
        <w:rPr>
          <w:rFonts w:ascii="Arial" w:hAnsi="Arial"/>
          <w:rtl/>
        </w:rPr>
      </w:pPr>
    </w:p>
    <w:p w14:paraId="121268C3" w14:textId="77777777" w:rsidR="008832BE" w:rsidRPr="00392637" w:rsidRDefault="008832BE" w:rsidP="008832BE">
      <w:pPr>
        <w:pStyle w:val="a9"/>
        <w:spacing w:line="360" w:lineRule="auto"/>
        <w:ind w:left="57" w:firstLine="651"/>
        <w:jc w:val="both"/>
        <w:rPr>
          <w:rFonts w:ascii="Arial" w:hAnsi="Arial"/>
        </w:rPr>
      </w:pPr>
      <w:r w:rsidRPr="00392637">
        <w:rPr>
          <w:rFonts w:ascii="Arial" w:hAnsi="Arial" w:hint="cs"/>
          <w:rtl/>
        </w:rPr>
        <w:t xml:space="preserve">אשר לנסיבות שאינן קשורות בביצוע העבירה, המאשימה </w:t>
      </w:r>
      <w:r>
        <w:rPr>
          <w:rFonts w:ascii="Arial" w:hAnsi="Arial" w:hint="cs"/>
          <w:rtl/>
        </w:rPr>
        <w:t xml:space="preserve">ציינה </w:t>
      </w:r>
      <w:r w:rsidRPr="00392637">
        <w:rPr>
          <w:rFonts w:ascii="Arial" w:hAnsi="Arial" w:hint="cs"/>
          <w:rtl/>
        </w:rPr>
        <w:t>כי</w:t>
      </w:r>
      <w:r>
        <w:rPr>
          <w:rFonts w:ascii="Arial" w:hAnsi="Arial" w:hint="cs"/>
          <w:rtl/>
        </w:rPr>
        <w:t xml:space="preserve"> </w:t>
      </w:r>
      <w:r w:rsidRPr="00392637">
        <w:rPr>
          <w:rFonts w:ascii="Arial" w:hAnsi="Arial" w:hint="cs"/>
          <w:rtl/>
        </w:rPr>
        <w:t>לנאשם הרשעה אחת קודמת בעבירה של החזקת אגרופן או סכין</w:t>
      </w:r>
      <w:r>
        <w:rPr>
          <w:rFonts w:ascii="Arial" w:hAnsi="Arial" w:hint="cs"/>
          <w:rtl/>
        </w:rPr>
        <w:t xml:space="preserve">; </w:t>
      </w:r>
      <w:r w:rsidRPr="00392637">
        <w:rPr>
          <w:rFonts w:ascii="Arial" w:hAnsi="Arial" w:hint="cs"/>
          <w:rtl/>
        </w:rPr>
        <w:t>כן צוינה תקופת מעצרו של הנאשם מיום 2.4.2022 ועד היום. המאשימה ביקשה להתחשב בעת גזירת עונשו של הנאשם בשיקולי הרתעה אישית והרתעת הרבים</w:t>
      </w:r>
      <w:r>
        <w:rPr>
          <w:rFonts w:ascii="Arial" w:hAnsi="Arial" w:hint="cs"/>
          <w:rtl/>
        </w:rPr>
        <w:t xml:space="preserve">. לסיכום, המאשימה ביקשה </w:t>
      </w:r>
      <w:r w:rsidRPr="00392637">
        <w:rPr>
          <w:rFonts w:ascii="Arial" w:hAnsi="Arial" w:hint="cs"/>
          <w:rtl/>
        </w:rPr>
        <w:t xml:space="preserve">להטיל על הנאשם עונש מאסר בפועל בטווח האמצעי-תחתון של מתחם העונש הנטען, וכן מאסר על תנאי משמעותי וקנס. </w:t>
      </w:r>
    </w:p>
    <w:p w14:paraId="6749BDAE" w14:textId="77777777" w:rsidR="008832BE" w:rsidRPr="00392637" w:rsidRDefault="008832BE" w:rsidP="008832BE">
      <w:pPr>
        <w:pStyle w:val="a9"/>
        <w:spacing w:line="360" w:lineRule="auto"/>
        <w:ind w:left="57"/>
        <w:jc w:val="both"/>
        <w:rPr>
          <w:rFonts w:ascii="Arial" w:hAnsi="Arial"/>
        </w:rPr>
      </w:pPr>
    </w:p>
    <w:p w14:paraId="12FEA8EF" w14:textId="77777777" w:rsidR="008832BE" w:rsidRPr="00261174" w:rsidRDefault="008832BE" w:rsidP="008832BE">
      <w:pPr>
        <w:pStyle w:val="a9"/>
        <w:numPr>
          <w:ilvl w:val="0"/>
          <w:numId w:val="1"/>
        </w:numPr>
        <w:spacing w:line="360" w:lineRule="auto"/>
        <w:jc w:val="both"/>
        <w:rPr>
          <w:rFonts w:ascii="Arial" w:hAnsi="Arial"/>
        </w:rPr>
      </w:pPr>
      <w:r w:rsidRPr="00261174">
        <w:rPr>
          <w:rFonts w:ascii="Arial" w:hAnsi="Arial" w:hint="cs"/>
          <w:rtl/>
        </w:rPr>
        <w:t>הסנגור טען לעונש ו</w:t>
      </w:r>
      <w:r>
        <w:rPr>
          <w:rFonts w:ascii="Arial" w:hAnsi="Arial" w:hint="cs"/>
          <w:rtl/>
        </w:rPr>
        <w:t xml:space="preserve">בפתח דבריו </w:t>
      </w:r>
      <w:r w:rsidRPr="00261174">
        <w:rPr>
          <w:rFonts w:ascii="Arial" w:hAnsi="Arial" w:hint="cs"/>
          <w:rtl/>
        </w:rPr>
        <w:t xml:space="preserve">ביקש להדגיש </w:t>
      </w:r>
      <w:r>
        <w:rPr>
          <w:rFonts w:ascii="Arial" w:hAnsi="Arial" w:hint="cs"/>
          <w:rtl/>
        </w:rPr>
        <w:t xml:space="preserve">את העובדה כי מכתב האישום לא עולה כי </w:t>
      </w:r>
      <w:r w:rsidRPr="00261174">
        <w:rPr>
          <w:rFonts w:ascii="Arial" w:hAnsi="Arial" w:hint="cs"/>
          <w:rtl/>
        </w:rPr>
        <w:t xml:space="preserve">הנאשם </w:t>
      </w:r>
      <w:r>
        <w:rPr>
          <w:rFonts w:ascii="Arial" w:hAnsi="Arial" w:hint="cs"/>
          <w:rtl/>
        </w:rPr>
        <w:t xml:space="preserve">היה </w:t>
      </w:r>
      <w:r w:rsidRPr="00261174">
        <w:rPr>
          <w:rFonts w:ascii="Arial" w:hAnsi="Arial" w:hint="cs"/>
          <w:rtl/>
        </w:rPr>
        <w:t xml:space="preserve">שותף לביצוע </w:t>
      </w:r>
      <w:r>
        <w:rPr>
          <w:rFonts w:ascii="Arial" w:hAnsi="Arial" w:hint="cs"/>
          <w:rtl/>
        </w:rPr>
        <w:t>ה</w:t>
      </w:r>
      <w:r w:rsidRPr="00261174">
        <w:rPr>
          <w:rFonts w:ascii="Arial" w:hAnsi="Arial" w:hint="cs"/>
          <w:rtl/>
        </w:rPr>
        <w:t>עביר</w:t>
      </w:r>
      <w:r>
        <w:rPr>
          <w:rFonts w:ascii="Arial" w:hAnsi="Arial" w:hint="cs"/>
          <w:rtl/>
        </w:rPr>
        <w:t>ות</w:t>
      </w:r>
      <w:r w:rsidRPr="00261174">
        <w:rPr>
          <w:rFonts w:ascii="Arial" w:hAnsi="Arial" w:hint="cs"/>
          <w:rtl/>
        </w:rPr>
        <w:t xml:space="preserve"> </w:t>
      </w:r>
      <w:r>
        <w:rPr>
          <w:rFonts w:ascii="Arial" w:hAnsi="Arial" w:hint="cs"/>
          <w:rtl/>
        </w:rPr>
        <w:t>ה</w:t>
      </w:r>
      <w:r w:rsidRPr="00261174">
        <w:rPr>
          <w:rFonts w:ascii="Arial" w:hAnsi="Arial" w:hint="cs"/>
          <w:rtl/>
        </w:rPr>
        <w:t>ביטחונית, ול</w:t>
      </w:r>
      <w:r>
        <w:rPr>
          <w:rFonts w:ascii="Arial" w:hAnsi="Arial" w:hint="cs"/>
          <w:rtl/>
        </w:rPr>
        <w:t>שיטתו</w:t>
      </w:r>
      <w:r w:rsidRPr="00261174">
        <w:rPr>
          <w:rFonts w:ascii="Arial" w:hAnsi="Arial" w:hint="cs"/>
          <w:rtl/>
        </w:rPr>
        <w:t xml:space="preserve"> </w:t>
      </w:r>
      <w:r w:rsidRPr="00261174">
        <w:rPr>
          <w:rFonts w:ascii="Arial" w:hAnsi="Arial"/>
          <w:rtl/>
        </w:rPr>
        <w:t>–</w:t>
      </w:r>
      <w:r w:rsidRPr="00261174">
        <w:rPr>
          <w:rFonts w:ascii="Arial" w:hAnsi="Arial" w:hint="cs"/>
          <w:rtl/>
        </w:rPr>
        <w:t xml:space="preserve"> הנאשם לא יכול היה לדעת איזה שימוש ייעשה בנשק. הסנגור הדגיש כי לנאשם לא מיוחסת עבירה של סחר בנשק, אלא עבירה של ביצוע עסקה אחרת בנשק</w:t>
      </w:r>
      <w:r>
        <w:rPr>
          <w:rFonts w:ascii="Arial" w:hAnsi="Arial" w:hint="cs"/>
          <w:rtl/>
        </w:rPr>
        <w:t xml:space="preserve">. עוד טען הסנגור כי הנאשם הוא אחיהם של ג'מיל ומועתסם ונסיבה זו מלמדת כי העבירה בוצעה על ידי הנאשם "שכוונתו הייתה לעזור לאחיו ולא לסחור", ומתוך </w:t>
      </w:r>
      <w:r w:rsidRPr="00261174">
        <w:rPr>
          <w:rFonts w:ascii="Arial" w:hAnsi="Arial" w:hint="cs"/>
          <w:rtl/>
        </w:rPr>
        <w:t>יחסי מרות וחברות</w:t>
      </w:r>
      <w:r>
        <w:rPr>
          <w:rFonts w:ascii="Arial" w:hAnsi="Arial" w:hint="cs"/>
          <w:rtl/>
        </w:rPr>
        <w:t xml:space="preserve">. עוד נטען כי הנשק היה רוב הזמן </w:t>
      </w:r>
      <w:r w:rsidRPr="00261174">
        <w:rPr>
          <w:rFonts w:ascii="Arial" w:hAnsi="Arial"/>
          <w:rtl/>
        </w:rPr>
        <w:t>בחזקתו של הנאשם, והוא ניתן ל</w:t>
      </w:r>
      <w:r>
        <w:rPr>
          <w:rFonts w:ascii="Arial" w:hAnsi="Arial" w:hint="cs"/>
          <w:rtl/>
        </w:rPr>
        <w:t xml:space="preserve">ג'מיל </w:t>
      </w:r>
      <w:r w:rsidRPr="00261174">
        <w:rPr>
          <w:rFonts w:ascii="Arial" w:hAnsi="Arial"/>
          <w:rtl/>
        </w:rPr>
        <w:t>ולמועתסם לתקופה קצובה של ימים או שעות</w:t>
      </w:r>
      <w:r w:rsidRPr="00261174">
        <w:rPr>
          <w:rFonts w:ascii="Arial" w:hAnsi="Arial" w:hint="cs"/>
          <w:rtl/>
        </w:rPr>
        <w:t xml:space="preserve">. </w:t>
      </w:r>
      <w:r w:rsidRPr="00261174">
        <w:rPr>
          <w:rFonts w:ascii="Arial" w:hAnsi="Arial"/>
          <w:rtl/>
        </w:rPr>
        <w:t>הסנגור טען כי הנאשם לא עשה שימוש בנשק, ולא ת</w:t>
      </w:r>
      <w:r>
        <w:rPr>
          <w:rFonts w:ascii="Arial" w:hAnsi="Arial"/>
          <w:rtl/>
        </w:rPr>
        <w:t xml:space="preserve">כנן או ידע </w:t>
      </w:r>
      <w:r>
        <w:rPr>
          <w:rFonts w:ascii="Arial" w:hAnsi="Arial"/>
          <w:rtl/>
        </w:rPr>
        <w:lastRenderedPageBreak/>
        <w:t xml:space="preserve">על כל כוונה לבצע בו </w:t>
      </w:r>
      <w:r>
        <w:rPr>
          <w:rFonts w:ascii="Arial" w:hAnsi="Arial" w:hint="cs"/>
          <w:rtl/>
        </w:rPr>
        <w:t xml:space="preserve">עבירות </w:t>
      </w:r>
      <w:r w:rsidRPr="00261174">
        <w:rPr>
          <w:rFonts w:ascii="Arial" w:hAnsi="Arial"/>
          <w:rtl/>
        </w:rPr>
        <w:t>ביטחונית, ולטענתו כאשר הנשק נתפס הוא היה ב</w:t>
      </w:r>
      <w:r>
        <w:rPr>
          <w:rFonts w:ascii="Arial" w:hAnsi="Arial" w:hint="cs"/>
          <w:rtl/>
        </w:rPr>
        <w:t>"</w:t>
      </w:r>
      <w:r w:rsidRPr="00261174">
        <w:rPr>
          <w:rFonts w:ascii="Arial" w:hAnsi="Arial"/>
          <w:rtl/>
        </w:rPr>
        <w:t>ניילון</w:t>
      </w:r>
      <w:r>
        <w:rPr>
          <w:rFonts w:ascii="Arial" w:hAnsi="Arial" w:hint="cs"/>
          <w:rtl/>
        </w:rPr>
        <w:t>"</w:t>
      </w:r>
      <w:r w:rsidRPr="00261174">
        <w:rPr>
          <w:rFonts w:ascii="Arial" w:hAnsi="Arial"/>
          <w:rtl/>
        </w:rPr>
        <w:t>, בלי כדור בקנה ובלי מחסנית.</w:t>
      </w:r>
      <w:r w:rsidRPr="00261174">
        <w:rPr>
          <w:rFonts w:ascii="Arial" w:hAnsi="Arial" w:hint="cs"/>
          <w:rtl/>
        </w:rPr>
        <w:t xml:space="preserve"> עוד ציין הסנגור כי </w:t>
      </w:r>
      <w:r w:rsidRPr="00261174">
        <w:rPr>
          <w:rFonts w:ascii="Arial" w:hAnsi="Arial"/>
          <w:rtl/>
        </w:rPr>
        <w:t xml:space="preserve"> </w:t>
      </w:r>
      <w:r>
        <w:rPr>
          <w:rFonts w:ascii="Arial" w:hAnsi="Arial" w:hint="cs"/>
          <w:rtl/>
        </w:rPr>
        <w:t>הנשק נמצא לאחר ש</w:t>
      </w:r>
      <w:r w:rsidRPr="00261174">
        <w:rPr>
          <w:rFonts w:ascii="Arial" w:hAnsi="Arial" w:hint="cs"/>
          <w:rtl/>
        </w:rPr>
        <w:t xml:space="preserve">הנאשם מסר את המיקום המדויק בו </w:t>
      </w:r>
      <w:r>
        <w:rPr>
          <w:rFonts w:ascii="Arial" w:hAnsi="Arial" w:hint="cs"/>
          <w:rtl/>
        </w:rPr>
        <w:t>הוסלק</w:t>
      </w:r>
      <w:r w:rsidRPr="00261174">
        <w:rPr>
          <w:rFonts w:ascii="Arial" w:hAnsi="Arial" w:hint="cs"/>
          <w:rtl/>
        </w:rPr>
        <w:t xml:space="preserve">. </w:t>
      </w:r>
    </w:p>
    <w:p w14:paraId="4EA3A1CE" w14:textId="77777777" w:rsidR="008832BE" w:rsidRPr="00E746B3" w:rsidRDefault="008832BE" w:rsidP="008832BE">
      <w:pPr>
        <w:spacing w:line="360" w:lineRule="auto"/>
        <w:ind w:left="57"/>
        <w:jc w:val="both"/>
        <w:rPr>
          <w:rFonts w:ascii="Arial" w:hAnsi="Arial"/>
          <w:rtl/>
        </w:rPr>
      </w:pPr>
    </w:p>
    <w:p w14:paraId="76833286" w14:textId="77777777" w:rsidR="008832BE" w:rsidRDefault="008832BE" w:rsidP="008832BE">
      <w:pPr>
        <w:spacing w:line="360" w:lineRule="auto"/>
        <w:ind w:left="57" w:firstLine="651"/>
        <w:jc w:val="both"/>
        <w:rPr>
          <w:rFonts w:ascii="Arial" w:hAnsi="Arial"/>
          <w:rtl/>
        </w:rPr>
      </w:pPr>
      <w:r w:rsidRPr="00261174">
        <w:rPr>
          <w:rFonts w:ascii="Arial" w:hAnsi="Arial" w:hint="cs"/>
          <w:rtl/>
        </w:rPr>
        <w:t xml:space="preserve">הסנגור טען כי מתחם העונש לו עותרת המאשימה </w:t>
      </w:r>
      <w:r>
        <w:rPr>
          <w:rFonts w:ascii="Arial" w:hAnsi="Arial" w:hint="cs"/>
          <w:rtl/>
        </w:rPr>
        <w:t xml:space="preserve">לא </w:t>
      </w:r>
      <w:r w:rsidRPr="00261174">
        <w:rPr>
          <w:rFonts w:ascii="Arial" w:hAnsi="Arial" w:hint="cs"/>
          <w:rtl/>
        </w:rPr>
        <w:t>הולם את נסיבות המקרה, ו</w:t>
      </w:r>
      <w:r>
        <w:rPr>
          <w:rFonts w:ascii="Arial" w:hAnsi="Arial" w:hint="cs"/>
          <w:rtl/>
        </w:rPr>
        <w:t xml:space="preserve">לדידו המתחם הנטען הולם עבירה חמורה יותר ולא העבירה בה הורשע הנאשם </w:t>
      </w:r>
      <w:r>
        <w:rPr>
          <w:rFonts w:ascii="Arial" w:hAnsi="Arial"/>
          <w:rtl/>
        </w:rPr>
        <w:t>–</w:t>
      </w:r>
      <w:r>
        <w:rPr>
          <w:rFonts w:ascii="Arial" w:hAnsi="Arial" w:hint="cs"/>
          <w:rtl/>
        </w:rPr>
        <w:t xml:space="preserve"> </w:t>
      </w:r>
      <w:r w:rsidRPr="00261174">
        <w:rPr>
          <w:rFonts w:ascii="Arial" w:hAnsi="Arial" w:hint="cs"/>
          <w:rtl/>
        </w:rPr>
        <w:t>עסקה אחרת בנשק</w:t>
      </w:r>
      <w:r>
        <w:rPr>
          <w:rFonts w:ascii="Arial" w:hAnsi="Arial" w:hint="cs"/>
          <w:rtl/>
        </w:rPr>
        <w:t>.</w:t>
      </w:r>
      <w:r w:rsidRPr="00261174">
        <w:rPr>
          <w:rFonts w:ascii="Arial" w:hAnsi="Arial" w:hint="cs"/>
          <w:rtl/>
        </w:rPr>
        <w:t xml:space="preserve"> הסנגור הפנה לפסיקה המשקפת לדידו את מדיניות הענישה, וטען כי מתחם העונש ההולם נע בין 10 ל-24 חודשי מאסר בפועל. </w:t>
      </w:r>
    </w:p>
    <w:p w14:paraId="223644F4" w14:textId="77777777" w:rsidR="008832BE" w:rsidRDefault="008832BE" w:rsidP="008832BE">
      <w:pPr>
        <w:spacing w:line="360" w:lineRule="auto"/>
        <w:jc w:val="both"/>
        <w:rPr>
          <w:rFonts w:ascii="Arial" w:hAnsi="Arial"/>
          <w:rtl/>
        </w:rPr>
      </w:pPr>
    </w:p>
    <w:p w14:paraId="17000B4D" w14:textId="77777777" w:rsidR="008832BE" w:rsidRPr="00261174" w:rsidRDefault="008832BE" w:rsidP="008832BE">
      <w:pPr>
        <w:spacing w:line="360" w:lineRule="auto"/>
        <w:ind w:left="57" w:firstLine="651"/>
        <w:jc w:val="both"/>
        <w:rPr>
          <w:rFonts w:ascii="Arial" w:hAnsi="Arial"/>
        </w:rPr>
      </w:pPr>
      <w:r w:rsidRPr="00261174">
        <w:rPr>
          <w:rFonts w:ascii="Arial" w:hAnsi="Arial" w:hint="cs"/>
          <w:rtl/>
        </w:rPr>
        <w:t xml:space="preserve">אשר לגזירת העונש בתוך המתחם </w:t>
      </w:r>
      <w:r w:rsidRPr="00261174">
        <w:rPr>
          <w:rFonts w:ascii="Arial" w:hAnsi="Arial"/>
          <w:rtl/>
        </w:rPr>
        <w:t>–</w:t>
      </w:r>
      <w:r w:rsidRPr="00261174">
        <w:rPr>
          <w:rFonts w:ascii="Arial" w:hAnsi="Arial" w:hint="cs"/>
          <w:rtl/>
        </w:rPr>
        <w:t xml:space="preserve"> הסנגור</w:t>
      </w:r>
      <w:r>
        <w:rPr>
          <w:rFonts w:ascii="Arial" w:hAnsi="Arial" w:hint="cs"/>
          <w:rtl/>
        </w:rPr>
        <w:t xml:space="preserve"> טען כי </w:t>
      </w:r>
      <w:r w:rsidRPr="00261174">
        <w:rPr>
          <w:rFonts w:ascii="Arial" w:hAnsi="Arial" w:hint="cs"/>
          <w:rtl/>
        </w:rPr>
        <w:t>הנאשם נחקר למעלה מ-40 יום במתקני שירות הביטחון הכללי ב</w:t>
      </w:r>
      <w:r>
        <w:rPr>
          <w:rFonts w:ascii="Arial" w:hAnsi="Arial" w:hint="cs"/>
          <w:rtl/>
        </w:rPr>
        <w:t xml:space="preserve">תנאים קשים. </w:t>
      </w:r>
      <w:r w:rsidRPr="00261174">
        <w:rPr>
          <w:rFonts w:ascii="Arial" w:hAnsi="Arial" w:hint="cs"/>
          <w:rtl/>
        </w:rPr>
        <w:t>נטען כי לו התיק היה מתנהל הייתה אפשרות ממשית לפסול את הוד</w:t>
      </w:r>
      <w:r>
        <w:rPr>
          <w:rFonts w:ascii="Arial" w:hAnsi="Arial" w:hint="cs"/>
          <w:rtl/>
        </w:rPr>
        <w:t>א</w:t>
      </w:r>
      <w:r w:rsidRPr="00261174">
        <w:rPr>
          <w:rFonts w:ascii="Arial" w:hAnsi="Arial" w:hint="cs"/>
          <w:rtl/>
        </w:rPr>
        <w:t xml:space="preserve">תו של הנאשם. הסנגור </w:t>
      </w:r>
      <w:r>
        <w:rPr>
          <w:rFonts w:ascii="Arial" w:hAnsi="Arial" w:hint="cs"/>
          <w:rtl/>
        </w:rPr>
        <w:t xml:space="preserve">טען כי </w:t>
      </w:r>
      <w:r w:rsidRPr="00261174">
        <w:rPr>
          <w:rFonts w:ascii="Arial" w:hAnsi="Arial" w:hint="cs"/>
          <w:rtl/>
        </w:rPr>
        <w:t xml:space="preserve">מדובר בנאשם צעיר, </w:t>
      </w:r>
      <w:r>
        <w:rPr>
          <w:rFonts w:ascii="Arial" w:hAnsi="Arial" w:hint="cs"/>
          <w:rtl/>
        </w:rPr>
        <w:t>ש</w:t>
      </w:r>
      <w:r w:rsidRPr="00261174">
        <w:rPr>
          <w:rFonts w:ascii="Arial" w:hAnsi="Arial" w:hint="cs"/>
          <w:rtl/>
        </w:rPr>
        <w:t xml:space="preserve">עברו הפלילי כולל הרשעה אחת לא חמורה, </w:t>
      </w:r>
      <w:r>
        <w:rPr>
          <w:rFonts w:ascii="Arial" w:hAnsi="Arial" w:hint="cs"/>
          <w:rtl/>
        </w:rPr>
        <w:t xml:space="preserve">וכי הנאשם מצוי בשלב בו הוא </w:t>
      </w:r>
      <w:r w:rsidRPr="00261174">
        <w:rPr>
          <w:rFonts w:ascii="Arial" w:hAnsi="Arial" w:hint="cs"/>
          <w:rtl/>
        </w:rPr>
        <w:t xml:space="preserve">בונה את ביתו ומנסה לתכנן את עתידו. </w:t>
      </w:r>
      <w:r>
        <w:rPr>
          <w:rFonts w:ascii="Arial" w:hAnsi="Arial" w:hint="cs"/>
          <w:rtl/>
        </w:rPr>
        <w:t xml:space="preserve">כמו כן נטען כי </w:t>
      </w:r>
      <w:r w:rsidRPr="00261174">
        <w:rPr>
          <w:rFonts w:ascii="Arial" w:hAnsi="Arial" w:hint="cs"/>
          <w:rtl/>
        </w:rPr>
        <w:t xml:space="preserve">הנאשם הודה בהזדמנות הראשונה ושיתף פעולה </w:t>
      </w:r>
      <w:r w:rsidRPr="00261174">
        <w:rPr>
          <w:rFonts w:ascii="Arial" w:hAnsi="Arial"/>
          <w:rtl/>
        </w:rPr>
        <w:t>–</w:t>
      </w:r>
      <w:r w:rsidRPr="00261174">
        <w:rPr>
          <w:rFonts w:ascii="Arial" w:hAnsi="Arial" w:hint="cs"/>
          <w:rtl/>
        </w:rPr>
        <w:t xml:space="preserve"> מה שמצביע על חרטה. לבסוף צוין כי הנאשם נעצר </w:t>
      </w:r>
      <w:r>
        <w:rPr>
          <w:rFonts w:ascii="Arial" w:hAnsi="Arial" w:hint="cs"/>
          <w:rtl/>
        </w:rPr>
        <w:t xml:space="preserve">בעיצומה של בעיה רפואית ממנה סובל וכי הוא אף </w:t>
      </w:r>
      <w:r w:rsidRPr="00261174">
        <w:rPr>
          <w:rFonts w:ascii="Arial" w:hAnsi="Arial" w:hint="cs"/>
          <w:rtl/>
        </w:rPr>
        <w:t xml:space="preserve">נוטל קנביס רפואי לשיכוך כאביו. </w:t>
      </w:r>
    </w:p>
    <w:p w14:paraId="77BE4776" w14:textId="77777777" w:rsidR="008832BE" w:rsidRPr="00BC3287" w:rsidRDefault="008832BE" w:rsidP="008832BE">
      <w:pPr>
        <w:pStyle w:val="a9"/>
        <w:rPr>
          <w:rFonts w:ascii="Arial" w:hAnsi="Arial"/>
          <w:rtl/>
        </w:rPr>
      </w:pPr>
    </w:p>
    <w:p w14:paraId="59C86670" w14:textId="77777777" w:rsidR="008832BE" w:rsidRPr="00392637" w:rsidRDefault="008832BE" w:rsidP="008832BE">
      <w:pPr>
        <w:pStyle w:val="a9"/>
        <w:numPr>
          <w:ilvl w:val="0"/>
          <w:numId w:val="1"/>
        </w:numPr>
        <w:spacing w:line="360" w:lineRule="auto"/>
        <w:jc w:val="both"/>
        <w:rPr>
          <w:rFonts w:ascii="Arial" w:hAnsi="Arial"/>
        </w:rPr>
      </w:pPr>
      <w:r>
        <w:rPr>
          <w:rFonts w:ascii="Arial" w:hAnsi="Arial" w:hint="cs"/>
          <w:rtl/>
        </w:rPr>
        <w:t xml:space="preserve">בתום הטיעונים לעונש, התרתי לסנגור להגיש חומר רפואי בעניינו של הנאשם. הסנגור הגיש שלושה מסמכים הנושאים את התאריך 28.11.2022, בהם תועד כי  הנאשם סובל מבעיה רפואית וכאבים בכף יד ימין. בין היתר צוין כי הנאשם מטופל בסד וכי היה מועמד לניתוח. </w:t>
      </w:r>
    </w:p>
    <w:p w14:paraId="780EB82B" w14:textId="77777777" w:rsidR="008832BE" w:rsidRPr="0015230C" w:rsidRDefault="008832BE" w:rsidP="008832BE">
      <w:pPr>
        <w:pStyle w:val="a9"/>
        <w:rPr>
          <w:rFonts w:ascii="Arial" w:hAnsi="Arial"/>
          <w:rtl/>
        </w:rPr>
      </w:pPr>
    </w:p>
    <w:p w14:paraId="67BC2F85" w14:textId="77777777" w:rsidR="008832BE" w:rsidRPr="00392637" w:rsidRDefault="008832BE" w:rsidP="008832BE">
      <w:pPr>
        <w:pStyle w:val="a9"/>
        <w:numPr>
          <w:ilvl w:val="0"/>
          <w:numId w:val="1"/>
        </w:numPr>
        <w:spacing w:line="360" w:lineRule="auto"/>
        <w:jc w:val="both"/>
        <w:rPr>
          <w:rFonts w:ascii="Arial" w:hAnsi="Arial"/>
          <w:rtl/>
        </w:rPr>
      </w:pPr>
      <w:r w:rsidRPr="00392637">
        <w:rPr>
          <w:rFonts w:ascii="Arial" w:hAnsi="Arial" w:hint="cs"/>
          <w:rtl/>
        </w:rPr>
        <w:t xml:space="preserve">בדברו לפניי אמר הנאשם </w:t>
      </w:r>
      <w:r>
        <w:rPr>
          <w:rFonts w:ascii="Arial" w:hAnsi="Arial" w:hint="cs"/>
          <w:rtl/>
        </w:rPr>
        <w:t xml:space="preserve">כי הוא לא ביצע עסקה אחרת, אך לצד זאת לא הסתייג מהודאתו בכתב האישום, וציין כי הוא יודע </w:t>
      </w:r>
      <w:r w:rsidRPr="00392637">
        <w:rPr>
          <w:rFonts w:ascii="Arial" w:hAnsi="Arial" w:hint="cs"/>
          <w:rtl/>
        </w:rPr>
        <w:t>שטעה</w:t>
      </w:r>
      <w:r>
        <w:rPr>
          <w:rFonts w:ascii="Arial" w:hAnsi="Arial" w:hint="cs"/>
          <w:rtl/>
        </w:rPr>
        <w:t xml:space="preserve">. עוד תהה הנאשם מדוע </w:t>
      </w:r>
      <w:r w:rsidRPr="00392637">
        <w:rPr>
          <w:rFonts w:ascii="Arial" w:hAnsi="Arial" w:hint="cs"/>
          <w:rtl/>
        </w:rPr>
        <w:t xml:space="preserve">המאשימה </w:t>
      </w:r>
      <w:r>
        <w:rPr>
          <w:rFonts w:ascii="Arial" w:hAnsi="Arial" w:hint="cs"/>
          <w:rtl/>
        </w:rPr>
        <w:t>"</w:t>
      </w:r>
      <w:r w:rsidRPr="00392637">
        <w:rPr>
          <w:rFonts w:ascii="Arial" w:hAnsi="Arial" w:hint="cs"/>
          <w:rtl/>
        </w:rPr>
        <w:t>עושה מזה תיק גדול</w:t>
      </w:r>
      <w:r>
        <w:rPr>
          <w:rFonts w:ascii="Arial" w:hAnsi="Arial" w:hint="cs"/>
          <w:rtl/>
        </w:rPr>
        <w:t>"</w:t>
      </w:r>
      <w:r w:rsidRPr="00392637">
        <w:rPr>
          <w:rFonts w:ascii="Arial" w:hAnsi="Arial" w:hint="cs"/>
          <w:rtl/>
        </w:rPr>
        <w:t xml:space="preserve">. </w:t>
      </w:r>
    </w:p>
    <w:p w14:paraId="397802B8" w14:textId="77777777" w:rsidR="008832BE" w:rsidRPr="00392637" w:rsidRDefault="008832BE" w:rsidP="008832BE">
      <w:pPr>
        <w:spacing w:line="360" w:lineRule="auto"/>
        <w:jc w:val="both"/>
        <w:rPr>
          <w:rFonts w:ascii="Arial" w:hAnsi="Arial"/>
          <w:rtl/>
        </w:rPr>
      </w:pPr>
    </w:p>
    <w:p w14:paraId="4C0D1AEB" w14:textId="77777777" w:rsidR="008832BE" w:rsidRPr="00392637" w:rsidRDefault="008832BE" w:rsidP="008832BE">
      <w:pPr>
        <w:spacing w:line="360" w:lineRule="auto"/>
        <w:jc w:val="both"/>
        <w:rPr>
          <w:rFonts w:ascii="Arial" w:hAnsi="Arial"/>
          <w:b/>
          <w:bCs/>
          <w:rtl/>
        </w:rPr>
      </w:pPr>
      <w:r w:rsidRPr="00392637">
        <w:rPr>
          <w:rFonts w:ascii="Arial" w:hAnsi="Arial" w:hint="cs"/>
          <w:b/>
          <w:bCs/>
          <w:rtl/>
        </w:rPr>
        <w:t>מתחם העונש ההולם</w:t>
      </w:r>
    </w:p>
    <w:p w14:paraId="2DCE8D8D" w14:textId="77777777" w:rsidR="008832BE" w:rsidRPr="00392637" w:rsidRDefault="008832BE" w:rsidP="008832BE">
      <w:pPr>
        <w:spacing w:line="360" w:lineRule="auto"/>
        <w:jc w:val="both"/>
        <w:rPr>
          <w:rFonts w:ascii="Arial" w:hAnsi="Arial"/>
          <w:rtl/>
        </w:rPr>
      </w:pPr>
    </w:p>
    <w:p w14:paraId="68192E71" w14:textId="77777777" w:rsidR="008832BE" w:rsidRPr="00392637" w:rsidRDefault="008832BE" w:rsidP="008832BE">
      <w:pPr>
        <w:pStyle w:val="a9"/>
        <w:numPr>
          <w:ilvl w:val="0"/>
          <w:numId w:val="1"/>
        </w:numPr>
        <w:spacing w:line="360" w:lineRule="auto"/>
        <w:jc w:val="both"/>
        <w:rPr>
          <w:rFonts w:ascii="Arial" w:hAnsi="Arial"/>
        </w:rPr>
      </w:pPr>
      <w:r w:rsidRPr="00392637">
        <w:rPr>
          <w:rFonts w:ascii="Arial" w:hAnsi="Arial"/>
          <w:rtl/>
        </w:rPr>
        <w:t>כידוע, גזירת הדין נעשית, בדרך כלל, בשני שלבים עיקריים: קביעת מתחם עונש הולם ולאחר מכן גזירת העונש בתוך המתחם (</w:t>
      </w:r>
      <w:hyperlink r:id="rId34" w:history="1">
        <w:r w:rsidR="00EB2285" w:rsidRPr="00EB2285">
          <w:rPr>
            <w:rStyle w:val="Hyperlink"/>
            <w:rFonts w:ascii="Arial" w:hAnsi="Arial"/>
            <w:rtl/>
          </w:rPr>
          <w:t>סעיף 40ג'</w:t>
        </w:r>
      </w:hyperlink>
      <w:r w:rsidRPr="00392637">
        <w:rPr>
          <w:rFonts w:ascii="Arial" w:hAnsi="Arial"/>
          <w:rtl/>
        </w:rPr>
        <w:t xml:space="preserve"> ל</w:t>
      </w:r>
      <w:hyperlink r:id="rId35" w:history="1">
        <w:r w:rsidR="00A003AB" w:rsidRPr="00A003AB">
          <w:rPr>
            <w:rFonts w:ascii="Arial" w:hAnsi="Arial"/>
            <w:color w:val="0000FF"/>
            <w:u w:val="single"/>
            <w:rtl/>
          </w:rPr>
          <w:t>חוק העונשין</w:t>
        </w:r>
      </w:hyperlink>
      <w:r w:rsidRPr="00392637">
        <w:rPr>
          <w:rFonts w:ascii="Arial" w:hAnsi="Arial"/>
          <w:rtl/>
        </w:rPr>
        <w:t xml:space="preserve">). בתוך כך יש לבחון אם קיימים שיקולים המצדיקים סטייה מהמתחם (ראו לעניין בחינת שלבי גזירת העונש בין היתר: </w:t>
      </w:r>
      <w:hyperlink r:id="rId36" w:history="1">
        <w:r w:rsidR="00A003AB" w:rsidRPr="00A003AB">
          <w:rPr>
            <w:rFonts w:ascii="Arial" w:hAnsi="Arial"/>
            <w:color w:val="0000FF"/>
            <w:u w:val="single"/>
            <w:rtl/>
          </w:rPr>
          <w:t>ע"פ 1127/13</w:t>
        </w:r>
      </w:hyperlink>
      <w:r w:rsidRPr="00392637">
        <w:rPr>
          <w:rFonts w:ascii="Arial" w:hAnsi="Arial"/>
          <w:rtl/>
        </w:rPr>
        <w:t xml:space="preserve"> </w:t>
      </w:r>
      <w:r w:rsidRPr="00392637">
        <w:rPr>
          <w:rFonts w:ascii="Arial" w:hAnsi="Arial"/>
          <w:b/>
          <w:bCs/>
          <w:rtl/>
        </w:rPr>
        <w:t>גברזגיי נ' מדינת ישראל</w:t>
      </w:r>
      <w:r w:rsidRPr="00392637">
        <w:rPr>
          <w:rFonts w:ascii="Arial" w:hAnsi="Arial"/>
          <w:rtl/>
        </w:rPr>
        <w:t xml:space="preserve"> (15.1.2014)). סימן </w:t>
      </w:r>
      <w:hyperlink r:id="rId37" w:history="1">
        <w:r w:rsidR="00EB2285" w:rsidRPr="00EB2285">
          <w:rPr>
            <w:rStyle w:val="Hyperlink"/>
            <w:rFonts w:ascii="Arial" w:hAnsi="Arial"/>
            <w:rtl/>
          </w:rPr>
          <w:t>א'1 לפרק ו'</w:t>
        </w:r>
      </w:hyperlink>
      <w:r w:rsidRPr="00392637">
        <w:rPr>
          <w:rFonts w:ascii="Arial" w:hAnsi="Arial"/>
          <w:rtl/>
        </w:rPr>
        <w:t xml:space="preserve"> ל</w:t>
      </w:r>
      <w:hyperlink r:id="rId38" w:history="1">
        <w:r w:rsidR="00A003AB" w:rsidRPr="00A003AB">
          <w:rPr>
            <w:rFonts w:ascii="Arial" w:hAnsi="Arial"/>
            <w:color w:val="0000FF"/>
            <w:u w:val="single"/>
            <w:rtl/>
          </w:rPr>
          <w:t>חוק העונשין</w:t>
        </w:r>
      </w:hyperlink>
      <w:r w:rsidRPr="00392637">
        <w:rPr>
          <w:rFonts w:ascii="Arial" w:hAnsi="Arial"/>
          <w:rtl/>
        </w:rPr>
        <w:t xml:space="preserve">, מונה שתי אפשרויות בהן ניתן לסטות ממתחם העונש שנקבע. </w:t>
      </w:r>
      <w:hyperlink r:id="rId39" w:history="1">
        <w:r w:rsidR="00EB2285" w:rsidRPr="00EB2285">
          <w:rPr>
            <w:rStyle w:val="Hyperlink"/>
            <w:rFonts w:ascii="Arial" w:hAnsi="Arial"/>
            <w:rtl/>
          </w:rPr>
          <w:t>סעיף 40ד'</w:t>
        </w:r>
      </w:hyperlink>
      <w:r w:rsidRPr="00392637">
        <w:rPr>
          <w:rFonts w:ascii="Arial" w:hAnsi="Arial"/>
          <w:rtl/>
        </w:rPr>
        <w:t xml:space="preserve"> ל</w:t>
      </w:r>
      <w:hyperlink r:id="rId40" w:history="1">
        <w:r w:rsidR="00A003AB" w:rsidRPr="00A003AB">
          <w:rPr>
            <w:rFonts w:ascii="Arial" w:hAnsi="Arial"/>
            <w:color w:val="0000FF"/>
            <w:u w:val="single"/>
            <w:rtl/>
          </w:rPr>
          <w:t>חוק העונשין</w:t>
        </w:r>
      </w:hyperlink>
      <w:r w:rsidRPr="00392637">
        <w:rPr>
          <w:rFonts w:ascii="Arial" w:hAnsi="Arial"/>
          <w:rtl/>
        </w:rPr>
        <w:t xml:space="preserve"> קובע כי בית המשפט רשאי לחרוג ממתחם העונש ההולם במקרה ומצא כי הנאשם השתקם או שיש סיכוי של ממש שישתקם. </w:t>
      </w:r>
      <w:hyperlink r:id="rId41" w:history="1">
        <w:r w:rsidR="00EB2285" w:rsidRPr="00EB2285">
          <w:rPr>
            <w:rStyle w:val="Hyperlink"/>
            <w:rFonts w:ascii="Arial" w:hAnsi="Arial"/>
            <w:rtl/>
          </w:rPr>
          <w:t>סעיף 40ה'</w:t>
        </w:r>
      </w:hyperlink>
      <w:r w:rsidRPr="00392637">
        <w:rPr>
          <w:rFonts w:ascii="Arial" w:hAnsi="Arial"/>
          <w:rtl/>
        </w:rPr>
        <w:t xml:space="preserve"> ל</w:t>
      </w:r>
      <w:hyperlink r:id="rId42" w:history="1">
        <w:r w:rsidR="00A003AB" w:rsidRPr="00A003AB">
          <w:rPr>
            <w:rFonts w:ascii="Arial" w:hAnsi="Arial"/>
            <w:color w:val="0000FF"/>
            <w:u w:val="single"/>
            <w:rtl/>
          </w:rPr>
          <w:t>חוק העונשין</w:t>
        </w:r>
      </w:hyperlink>
      <w:r w:rsidRPr="00392637">
        <w:rPr>
          <w:rFonts w:ascii="Arial" w:hAnsi="Arial"/>
          <w:rtl/>
        </w:rPr>
        <w:t xml:space="preserve"> קובע אפשרות להטיל עונש חמור מהרף העליון של המתחם במקרהו של נאשם שיש חשש ממשי שיחזור ויבצע עבירות, והחמרה בעונשו והרחקתו מהציבור נדרשת כדי להגן על שלום הציבור (קביעה כזו מחייבת קיומו של עבר פלילי משמעותי או הצגת חוות דעת מקצועית).</w:t>
      </w:r>
    </w:p>
    <w:p w14:paraId="2917852F" w14:textId="77777777" w:rsidR="008832BE" w:rsidRPr="00392637" w:rsidRDefault="008832BE" w:rsidP="008832BE">
      <w:pPr>
        <w:pStyle w:val="a9"/>
        <w:spacing w:line="360" w:lineRule="auto"/>
        <w:ind w:left="57"/>
        <w:jc w:val="both"/>
        <w:rPr>
          <w:rFonts w:ascii="Arial" w:hAnsi="Arial"/>
        </w:rPr>
      </w:pPr>
    </w:p>
    <w:p w14:paraId="065D37A4" w14:textId="77777777" w:rsidR="008832BE" w:rsidRDefault="008832BE" w:rsidP="008832BE">
      <w:pPr>
        <w:pStyle w:val="a9"/>
        <w:numPr>
          <w:ilvl w:val="0"/>
          <w:numId w:val="1"/>
        </w:numPr>
        <w:spacing w:line="360" w:lineRule="auto"/>
        <w:jc w:val="both"/>
        <w:rPr>
          <w:rFonts w:ascii="Arial" w:hAnsi="Arial"/>
        </w:rPr>
      </w:pPr>
      <w:r w:rsidRPr="007A7E22">
        <w:rPr>
          <w:rFonts w:ascii="Arial" w:hAnsi="Arial" w:hint="cs"/>
          <w:rtl/>
        </w:rPr>
        <w:lastRenderedPageBreak/>
        <w:t>הנאשם הורשע בעבירה של החזקת נשק ו</w:t>
      </w:r>
      <w:r>
        <w:rPr>
          <w:rFonts w:ascii="Arial" w:hAnsi="Arial" w:hint="cs"/>
          <w:rtl/>
        </w:rPr>
        <w:t>"</w:t>
      </w:r>
      <w:r w:rsidRPr="007A7E22">
        <w:rPr>
          <w:rFonts w:ascii="Arial" w:hAnsi="Arial" w:hint="cs"/>
          <w:rtl/>
        </w:rPr>
        <w:t>עסקה אחרת</w:t>
      </w:r>
      <w:r>
        <w:rPr>
          <w:rFonts w:ascii="Arial" w:hAnsi="Arial" w:hint="cs"/>
          <w:rtl/>
        </w:rPr>
        <w:t>"</w:t>
      </w:r>
      <w:r w:rsidRPr="007A7E22">
        <w:rPr>
          <w:rFonts w:ascii="Arial" w:hAnsi="Arial" w:hint="cs"/>
          <w:rtl/>
        </w:rPr>
        <w:t xml:space="preserve"> בנשק. </w:t>
      </w:r>
      <w:r w:rsidRPr="007A7E22">
        <w:rPr>
          <w:rFonts w:ascii="Arial" w:hAnsi="Arial"/>
          <w:rtl/>
        </w:rPr>
        <w:t xml:space="preserve">הערכים החברתיים </w:t>
      </w:r>
      <w:r>
        <w:rPr>
          <w:rFonts w:ascii="Arial" w:hAnsi="Arial" w:hint="cs"/>
          <w:rtl/>
        </w:rPr>
        <w:t>המוגנים</w:t>
      </w:r>
      <w:r>
        <w:rPr>
          <w:rFonts w:ascii="Arial" w:hAnsi="Arial"/>
          <w:rtl/>
        </w:rPr>
        <w:t xml:space="preserve"> </w:t>
      </w:r>
      <w:r>
        <w:rPr>
          <w:rFonts w:ascii="Arial" w:hAnsi="Arial" w:hint="cs"/>
          <w:rtl/>
        </w:rPr>
        <w:t>ב</w:t>
      </w:r>
      <w:r w:rsidRPr="007A7E22">
        <w:rPr>
          <w:rFonts w:ascii="Arial" w:hAnsi="Arial"/>
          <w:rtl/>
        </w:rPr>
        <w:t xml:space="preserve">עבירות הנשק </w:t>
      </w:r>
      <w:r>
        <w:rPr>
          <w:rFonts w:ascii="Arial" w:hAnsi="Arial" w:hint="cs"/>
          <w:rtl/>
        </w:rPr>
        <w:t xml:space="preserve">ברורים ועניינם הגנה על </w:t>
      </w:r>
      <w:r w:rsidRPr="007A7E22">
        <w:rPr>
          <w:rFonts w:ascii="Arial" w:hAnsi="Arial"/>
          <w:rtl/>
        </w:rPr>
        <w:t>שלום הציבור ובטחונו</w:t>
      </w:r>
      <w:r>
        <w:rPr>
          <w:rFonts w:ascii="Arial" w:hAnsi="Arial" w:hint="cs"/>
          <w:rtl/>
        </w:rPr>
        <w:t xml:space="preserve"> האישי, מתוך ראיית הפוטנציאל הקטלני שטמון בהחזקת נשק והשימוש בו</w:t>
      </w:r>
      <w:r w:rsidRPr="007A7E22">
        <w:rPr>
          <w:rFonts w:ascii="Arial" w:hAnsi="Arial"/>
          <w:rtl/>
        </w:rPr>
        <w:t>.</w:t>
      </w:r>
      <w:r w:rsidRPr="007A7E22">
        <w:rPr>
          <w:rFonts w:ascii="Arial" w:hAnsi="Arial" w:hint="cs"/>
          <w:rtl/>
        </w:rPr>
        <w:t xml:space="preserve"> בית המשפט העליון שב ועמד פעם אחר פעם על חומרתן של עבירות הנשק</w:t>
      </w:r>
      <w:r>
        <w:rPr>
          <w:rFonts w:ascii="Arial" w:hAnsi="Arial" w:hint="cs"/>
          <w:rtl/>
        </w:rPr>
        <w:t>,</w:t>
      </w:r>
      <w:r w:rsidRPr="007A7E22">
        <w:rPr>
          <w:rFonts w:ascii="Arial" w:hAnsi="Arial" w:hint="cs"/>
          <w:rtl/>
        </w:rPr>
        <w:t xml:space="preserve"> המסכנות את שלום הציבור ומביאות לפגיעות בגוף ובנפש (</w:t>
      </w:r>
      <w:hyperlink r:id="rId43" w:history="1">
        <w:r w:rsidR="00A003AB" w:rsidRPr="00A003AB">
          <w:rPr>
            <w:rFonts w:ascii="Arial" w:hAnsi="Arial"/>
            <w:color w:val="0000FF"/>
            <w:u w:val="single"/>
            <w:rtl/>
          </w:rPr>
          <w:t>ע"פ 579/22</w:t>
        </w:r>
      </w:hyperlink>
      <w:r w:rsidRPr="007A7E22">
        <w:rPr>
          <w:rFonts w:ascii="Arial" w:hAnsi="Arial" w:hint="cs"/>
          <w:rtl/>
        </w:rPr>
        <w:t xml:space="preserve"> </w:t>
      </w:r>
      <w:r w:rsidRPr="007A7E22">
        <w:rPr>
          <w:rFonts w:ascii="Arial" w:hAnsi="Arial" w:hint="cs"/>
          <w:b/>
          <w:bCs/>
          <w:rtl/>
        </w:rPr>
        <w:t>מדינת ישראל נ' טחאינה</w:t>
      </w:r>
      <w:r w:rsidRPr="007A7E22">
        <w:rPr>
          <w:rFonts w:ascii="Arial" w:hAnsi="Arial" w:hint="cs"/>
          <w:rtl/>
        </w:rPr>
        <w:t xml:space="preserve">, פסקה 15 (13.6.2022)). </w:t>
      </w:r>
      <w:r>
        <w:rPr>
          <w:rFonts w:ascii="Arial" w:hAnsi="Arial" w:hint="cs"/>
          <w:rtl/>
        </w:rPr>
        <w:t xml:space="preserve">חומרתן של עבירות מתחדדת מדי יום ביומו, נוכח </w:t>
      </w:r>
      <w:r w:rsidRPr="007A7E22">
        <w:rPr>
          <w:rFonts w:ascii="Arial" w:hAnsi="Arial" w:hint="cs"/>
          <w:rtl/>
        </w:rPr>
        <w:t xml:space="preserve">המציאות העגומה </w:t>
      </w:r>
      <w:r>
        <w:rPr>
          <w:rFonts w:ascii="Arial" w:hAnsi="Arial" w:hint="cs"/>
          <w:rtl/>
        </w:rPr>
        <w:t xml:space="preserve">אשר </w:t>
      </w:r>
      <w:r w:rsidRPr="007A7E22">
        <w:rPr>
          <w:rFonts w:ascii="Arial" w:hAnsi="Arial" w:hint="cs"/>
          <w:rtl/>
        </w:rPr>
        <w:t>השימוש הלא חוקי בנשק חם</w:t>
      </w:r>
      <w:r>
        <w:rPr>
          <w:rFonts w:ascii="Arial" w:hAnsi="Arial" w:hint="cs"/>
          <w:rtl/>
        </w:rPr>
        <w:t xml:space="preserve"> </w:t>
      </w:r>
      <w:r w:rsidRPr="007A7E22">
        <w:rPr>
          <w:rFonts w:ascii="Arial" w:hAnsi="Arial" w:hint="cs"/>
          <w:rtl/>
        </w:rPr>
        <w:t>ה</w:t>
      </w:r>
      <w:r>
        <w:rPr>
          <w:rFonts w:ascii="Arial" w:hAnsi="Arial" w:hint="cs"/>
          <w:rtl/>
        </w:rPr>
        <w:t xml:space="preserve">פך חלק </w:t>
      </w:r>
      <w:r w:rsidRPr="007A7E22">
        <w:rPr>
          <w:rFonts w:ascii="Arial" w:hAnsi="Arial" w:hint="cs"/>
          <w:rtl/>
        </w:rPr>
        <w:t xml:space="preserve">בלתי נפרד ממנה. </w:t>
      </w:r>
      <w:r>
        <w:rPr>
          <w:rFonts w:ascii="Arial" w:hAnsi="Arial" w:hint="cs"/>
          <w:rtl/>
        </w:rPr>
        <w:t>למרבה הצער הדברים הפכו להיות חלק מהווית חיינו, ולנו נועד תפקיד לנער מעלינו מציאות זו.</w:t>
      </w:r>
    </w:p>
    <w:p w14:paraId="412C40B5" w14:textId="77777777" w:rsidR="008832BE" w:rsidRPr="00F875A6" w:rsidRDefault="008832BE" w:rsidP="008832BE">
      <w:pPr>
        <w:pStyle w:val="a9"/>
        <w:rPr>
          <w:rFonts w:ascii="Arial" w:hAnsi="Arial"/>
          <w:rtl/>
        </w:rPr>
      </w:pPr>
    </w:p>
    <w:p w14:paraId="59BB2716" w14:textId="77777777" w:rsidR="008832BE" w:rsidRPr="00F875A6" w:rsidRDefault="008832BE" w:rsidP="008832BE">
      <w:pPr>
        <w:pStyle w:val="a9"/>
        <w:spacing w:line="360" w:lineRule="auto"/>
        <w:ind w:left="0" w:firstLine="567"/>
        <w:jc w:val="both"/>
        <w:rPr>
          <w:rFonts w:ascii="Arial" w:hAnsi="Arial"/>
        </w:rPr>
      </w:pPr>
      <w:r>
        <w:rPr>
          <w:noProof/>
          <w:rtl/>
        </w:rPr>
        <w:t>ב</w:t>
      </w:r>
      <w:hyperlink r:id="rId44" w:history="1">
        <w:r w:rsidR="00A003AB" w:rsidRPr="00A003AB">
          <w:rPr>
            <w:noProof/>
            <w:color w:val="0000FF"/>
            <w:u w:val="single"/>
            <w:rtl/>
          </w:rPr>
          <w:t>ע"פ 4406/19</w:t>
        </w:r>
      </w:hyperlink>
      <w:r>
        <w:rPr>
          <w:noProof/>
          <w:rtl/>
        </w:rPr>
        <w:t xml:space="preserve"> </w:t>
      </w:r>
      <w:r w:rsidRPr="00F875A6">
        <w:rPr>
          <w:bCs/>
          <w:noProof/>
          <w:rtl/>
        </w:rPr>
        <w:t>מדינת ישראל נ' סובח</w:t>
      </w:r>
      <w:r w:rsidRPr="00F875A6">
        <w:rPr>
          <w:b/>
          <w:noProof/>
          <w:rtl/>
        </w:rPr>
        <w:t xml:space="preserve">, פסקאות 15-16 </w:t>
      </w:r>
      <w:r>
        <w:rPr>
          <w:noProof/>
          <w:rtl/>
        </w:rPr>
        <w:t xml:space="preserve"> (5.11.2019) צוינו דברים אלו:</w:t>
      </w:r>
    </w:p>
    <w:p w14:paraId="7BD74DD5" w14:textId="77777777" w:rsidR="008832BE" w:rsidRDefault="008832BE" w:rsidP="008832BE">
      <w:pPr>
        <w:pStyle w:val="a9"/>
        <w:suppressLineNumbers/>
        <w:ind w:left="1134" w:right="1134"/>
        <w:jc w:val="both"/>
        <w:rPr>
          <w:noProof/>
          <w:rtl/>
        </w:rPr>
      </w:pPr>
    </w:p>
    <w:p w14:paraId="0DD1D23A" w14:textId="77777777" w:rsidR="008832BE" w:rsidRPr="00F875A6" w:rsidRDefault="008832BE" w:rsidP="008832BE">
      <w:pPr>
        <w:pStyle w:val="a9"/>
        <w:suppressLineNumbers/>
        <w:ind w:left="1134" w:right="1134"/>
        <w:jc w:val="both"/>
        <w:rPr>
          <w:b/>
          <w:bCs/>
          <w:noProof/>
          <w:rtl/>
        </w:rPr>
      </w:pPr>
      <w:r w:rsidRPr="00CF5B26">
        <w:rPr>
          <w:noProof/>
          <w:rtl/>
        </w:rPr>
        <w:t>"</w:t>
      </w:r>
      <w:r w:rsidRPr="00F875A6">
        <w:rPr>
          <w:b/>
          <w:bCs/>
          <w:noProof/>
          <w:rtl/>
        </w:rPr>
        <w:t>[...] 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 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 על רקע המציאות אותה אנו חווים למרבה הצער מדי יום, אנו עדים לקריאה ציבורית נרגשת להגברת האכיפה כלפי עבירות נשק –</w:t>
      </w:r>
      <w:r>
        <w:rPr>
          <w:b/>
          <w:bCs/>
          <w:noProof/>
          <w:rtl/>
        </w:rPr>
        <w:t xml:space="preserve"> ולהחמרה במדיניות הענישה הנוהגת</w:t>
      </w:r>
      <w:r w:rsidRPr="00CF5B26">
        <w:rPr>
          <w:noProof/>
          <w:rtl/>
        </w:rPr>
        <w:t>"</w:t>
      </w:r>
      <w:r w:rsidRPr="00CF5B26">
        <w:rPr>
          <w:rFonts w:hint="cs"/>
          <w:noProof/>
          <w:rtl/>
        </w:rPr>
        <w:t>.</w:t>
      </w:r>
    </w:p>
    <w:p w14:paraId="457AB9A3" w14:textId="77777777" w:rsidR="008832BE" w:rsidRDefault="008832BE" w:rsidP="008832BE">
      <w:pPr>
        <w:pStyle w:val="a9"/>
        <w:suppressLineNumbers/>
        <w:spacing w:line="360" w:lineRule="auto"/>
        <w:ind w:left="0"/>
        <w:jc w:val="both"/>
        <w:rPr>
          <w:noProof/>
        </w:rPr>
      </w:pPr>
    </w:p>
    <w:p w14:paraId="10306F65" w14:textId="77777777" w:rsidR="008832BE" w:rsidRDefault="008832BE" w:rsidP="008832BE">
      <w:pPr>
        <w:pStyle w:val="a9"/>
        <w:suppressLineNumbers/>
        <w:spacing w:line="360" w:lineRule="auto"/>
        <w:ind w:left="0" w:firstLine="567"/>
        <w:jc w:val="both"/>
        <w:rPr>
          <w:noProof/>
          <w:rtl/>
        </w:rPr>
      </w:pPr>
      <w:r>
        <w:rPr>
          <w:noProof/>
          <w:rtl/>
        </w:rPr>
        <w:t>ב</w:t>
      </w:r>
      <w:hyperlink r:id="rId45" w:history="1">
        <w:r w:rsidR="00A003AB" w:rsidRPr="00A003AB">
          <w:rPr>
            <w:noProof/>
            <w:color w:val="0000FF"/>
            <w:u w:val="single"/>
            <w:rtl/>
          </w:rPr>
          <w:t>ע"פ 147/21</w:t>
        </w:r>
      </w:hyperlink>
      <w:r>
        <w:rPr>
          <w:noProof/>
          <w:rtl/>
        </w:rPr>
        <w:t xml:space="preserve"> </w:t>
      </w:r>
      <w:r w:rsidRPr="00F875A6">
        <w:rPr>
          <w:bCs/>
          <w:noProof/>
          <w:rtl/>
        </w:rPr>
        <w:t>מדינת ישראל נ' ביטון</w:t>
      </w:r>
      <w:r>
        <w:rPr>
          <w:noProof/>
          <w:rtl/>
        </w:rPr>
        <w:t xml:space="preserve"> (14.2.2021) הוסיף וקבע בית המשפט העליון כלהלן:</w:t>
      </w:r>
    </w:p>
    <w:p w14:paraId="2D2E2C9E" w14:textId="77777777" w:rsidR="008832BE" w:rsidRDefault="008832BE" w:rsidP="008832BE">
      <w:pPr>
        <w:pStyle w:val="a9"/>
        <w:suppressLineNumbers/>
        <w:ind w:left="1134" w:right="1134"/>
        <w:jc w:val="both"/>
        <w:rPr>
          <w:noProof/>
          <w:rtl/>
        </w:rPr>
      </w:pPr>
    </w:p>
    <w:p w14:paraId="5F726258" w14:textId="77777777" w:rsidR="008832BE" w:rsidRDefault="008832BE" w:rsidP="008832BE">
      <w:pPr>
        <w:pStyle w:val="a9"/>
        <w:suppressLineNumbers/>
        <w:ind w:left="1134" w:right="1134"/>
        <w:jc w:val="both"/>
        <w:rPr>
          <w:noProof/>
        </w:rPr>
      </w:pPr>
      <w:r>
        <w:rPr>
          <w:noProof/>
          <w:rtl/>
        </w:rPr>
        <w:t>"</w:t>
      </w:r>
      <w:r w:rsidRPr="00F875A6">
        <w:rPr>
          <w:b/>
          <w:bCs/>
          <w:noProof/>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46" w:history="1">
        <w:r w:rsidR="00A003AB" w:rsidRPr="00A003AB">
          <w:rPr>
            <w:b/>
            <w:bCs/>
            <w:noProof/>
            <w:color w:val="0000FF"/>
            <w:u w:val="single"/>
            <w:rtl/>
          </w:rPr>
          <w:t>חוק העונשין</w:t>
        </w:r>
      </w:hyperlink>
      <w:r w:rsidRPr="00F875A6">
        <w:rPr>
          <w:b/>
          <w:bCs/>
          <w:noProof/>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 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sidRPr="00EF6B73">
        <w:rPr>
          <w:noProof/>
          <w:rtl/>
        </w:rPr>
        <w:t>"</w:t>
      </w:r>
      <w:r w:rsidRPr="00EF6B73">
        <w:rPr>
          <w:rFonts w:hint="cs"/>
          <w:noProof/>
          <w:rtl/>
        </w:rPr>
        <w:t>.</w:t>
      </w:r>
      <w:r>
        <w:rPr>
          <w:noProof/>
          <w:rtl/>
        </w:rPr>
        <w:t xml:space="preserve"> </w:t>
      </w:r>
    </w:p>
    <w:p w14:paraId="4233A59B" w14:textId="77777777" w:rsidR="008832BE" w:rsidRDefault="008832BE" w:rsidP="008832BE">
      <w:pPr>
        <w:pStyle w:val="a9"/>
        <w:suppressLineNumbers/>
        <w:spacing w:line="360" w:lineRule="auto"/>
        <w:ind w:left="0"/>
        <w:jc w:val="both"/>
        <w:rPr>
          <w:noProof/>
        </w:rPr>
      </w:pPr>
    </w:p>
    <w:p w14:paraId="52650AC4" w14:textId="77777777" w:rsidR="008832BE" w:rsidRDefault="008832BE" w:rsidP="008832BE">
      <w:pPr>
        <w:pStyle w:val="a9"/>
        <w:spacing w:line="360" w:lineRule="auto"/>
        <w:ind w:left="0" w:firstLine="567"/>
        <w:jc w:val="both"/>
        <w:rPr>
          <w:rFonts w:ascii="Arial" w:hAnsi="Arial"/>
          <w:rtl/>
        </w:rPr>
      </w:pPr>
      <w:r w:rsidRPr="008F755D">
        <w:rPr>
          <w:rFonts w:ascii="Arial" w:hAnsi="Arial" w:hint="cs"/>
          <w:rtl/>
        </w:rPr>
        <w:t>ב</w:t>
      </w:r>
      <w:hyperlink r:id="rId47" w:history="1">
        <w:r w:rsidR="00A003AB" w:rsidRPr="00A003AB">
          <w:rPr>
            <w:rFonts w:ascii="Arial" w:hAnsi="Arial"/>
            <w:color w:val="0000FF"/>
            <w:u w:val="single"/>
            <w:rtl/>
          </w:rPr>
          <w:t>ע"פ 5602/22</w:t>
        </w:r>
      </w:hyperlink>
      <w:r w:rsidRPr="008F755D">
        <w:rPr>
          <w:rFonts w:ascii="Arial" w:hAnsi="Arial" w:hint="cs"/>
          <w:rtl/>
        </w:rPr>
        <w:t xml:space="preserve"> </w:t>
      </w:r>
      <w:r w:rsidRPr="008F755D">
        <w:rPr>
          <w:rFonts w:ascii="Arial" w:hAnsi="Arial" w:hint="cs"/>
          <w:b/>
          <w:bCs/>
          <w:rtl/>
        </w:rPr>
        <w:t>מדינת ישראל נ' פלוני</w:t>
      </w:r>
      <w:r w:rsidRPr="008F755D">
        <w:rPr>
          <w:rFonts w:ascii="Arial" w:hAnsi="Arial" w:hint="cs"/>
          <w:rtl/>
        </w:rPr>
        <w:t xml:space="preserve"> (14.9.2022)</w:t>
      </w:r>
      <w:r>
        <w:rPr>
          <w:rFonts w:ascii="Arial" w:hAnsi="Arial" w:hint="cs"/>
          <w:rtl/>
        </w:rPr>
        <w:t xml:space="preserve"> (להלן: עניין </w:t>
      </w:r>
      <w:r w:rsidRPr="008F755D">
        <w:rPr>
          <w:rFonts w:ascii="Arial" w:hAnsi="Arial" w:hint="cs"/>
          <w:b/>
          <w:bCs/>
          <w:rtl/>
        </w:rPr>
        <w:t>פלוני</w:t>
      </w:r>
      <w:r>
        <w:rPr>
          <w:rFonts w:ascii="Arial" w:hAnsi="Arial" w:hint="cs"/>
          <w:rtl/>
        </w:rPr>
        <w:t>)</w:t>
      </w:r>
      <w:r w:rsidRPr="008F755D">
        <w:rPr>
          <w:rFonts w:ascii="Arial" w:hAnsi="Arial" w:hint="cs"/>
          <w:rtl/>
        </w:rPr>
        <w:t xml:space="preserve">, שניתן לאחרונה, </w:t>
      </w:r>
      <w:r>
        <w:rPr>
          <w:rFonts w:ascii="Arial" w:hAnsi="Arial" w:hint="cs"/>
          <w:rtl/>
        </w:rPr>
        <w:t xml:space="preserve">ציין כב' השופט שטיין את הדברים הללו </w:t>
      </w:r>
      <w:r>
        <w:rPr>
          <w:rFonts w:ascii="Arial" w:hAnsi="Arial"/>
          <w:rtl/>
        </w:rPr>
        <w:t>–</w:t>
      </w:r>
      <w:r>
        <w:rPr>
          <w:rFonts w:ascii="Arial" w:hAnsi="Arial" w:hint="cs"/>
          <w:rtl/>
        </w:rPr>
        <w:t xml:space="preserve"> </w:t>
      </w:r>
    </w:p>
    <w:p w14:paraId="095AEAC8" w14:textId="77777777" w:rsidR="008832BE" w:rsidRDefault="008832BE" w:rsidP="008832BE">
      <w:pPr>
        <w:pStyle w:val="a9"/>
        <w:spacing w:line="360" w:lineRule="auto"/>
        <w:ind w:left="0" w:firstLine="567"/>
        <w:jc w:val="both"/>
        <w:rPr>
          <w:rFonts w:ascii="Arial" w:hAnsi="Arial"/>
          <w:rtl/>
        </w:rPr>
      </w:pPr>
    </w:p>
    <w:p w14:paraId="7FEDAB82" w14:textId="77777777" w:rsidR="008832BE" w:rsidRDefault="008832BE" w:rsidP="008832BE">
      <w:pPr>
        <w:pStyle w:val="a9"/>
        <w:ind w:left="1134" w:right="1134"/>
        <w:jc w:val="both"/>
        <w:rPr>
          <w:rFonts w:ascii="Arial" w:hAnsi="Arial"/>
          <w:rtl/>
        </w:rPr>
      </w:pPr>
      <w:r>
        <w:rPr>
          <w:rFonts w:ascii="Arial" w:hAnsi="Arial" w:hint="cs"/>
          <w:rtl/>
        </w:rPr>
        <w:t>"</w:t>
      </w:r>
      <w:r w:rsidRPr="00D35B74">
        <w:rPr>
          <w:rFonts w:ascii="Arial" w:hAnsi="Arial" w:hint="cs"/>
          <w:b/>
          <w:bCs/>
          <w:rtl/>
        </w:rPr>
        <w:t xml:space="preserve">בית משפט שמקל בעונשו של עבריין נשק מכביד על החברה שנאלצת להגן על עצמה </w:t>
      </w:r>
      <w:r w:rsidRPr="00D35B74">
        <w:rPr>
          <w:rFonts w:ascii="Arial" w:hAnsi="Arial"/>
          <w:b/>
          <w:bCs/>
          <w:rtl/>
        </w:rPr>
        <w:t>–</w:t>
      </w:r>
      <w:r w:rsidRPr="00D35B74">
        <w:rPr>
          <w:rFonts w:ascii="Arial" w:hAnsi="Arial" w:hint="cs"/>
          <w:b/>
          <w:bCs/>
          <w:rtl/>
        </w:rPr>
        <w:t xml:space="preserve"> על כל בניה ובנותיה </w:t>
      </w:r>
      <w:r w:rsidRPr="00D35B74">
        <w:rPr>
          <w:rFonts w:ascii="Arial" w:hAnsi="Arial"/>
          <w:b/>
          <w:bCs/>
          <w:rtl/>
        </w:rPr>
        <w:t>–</w:t>
      </w:r>
      <w:r w:rsidRPr="00D35B74">
        <w:rPr>
          <w:rFonts w:ascii="Arial" w:hAnsi="Arial" w:hint="cs"/>
          <w:b/>
          <w:bCs/>
          <w:rtl/>
        </w:rPr>
        <w:t xml:space="preserve"> מעברייני נשק...בית משפט שמרחם על העבריין אינו מרחם על הקורבן הבא</w:t>
      </w:r>
      <w:r>
        <w:rPr>
          <w:rFonts w:ascii="Arial" w:hAnsi="Arial" w:hint="cs"/>
          <w:rtl/>
        </w:rPr>
        <w:t xml:space="preserve">" (שם, פסקה 15). </w:t>
      </w:r>
    </w:p>
    <w:p w14:paraId="5BD9848C" w14:textId="77777777" w:rsidR="008832BE" w:rsidRDefault="008832BE" w:rsidP="008832BE">
      <w:pPr>
        <w:pStyle w:val="a9"/>
        <w:spacing w:line="360" w:lineRule="auto"/>
        <w:ind w:left="0" w:firstLine="567"/>
        <w:jc w:val="both"/>
        <w:rPr>
          <w:rFonts w:ascii="Arial" w:hAnsi="Arial"/>
          <w:rtl/>
        </w:rPr>
      </w:pPr>
    </w:p>
    <w:p w14:paraId="42BEE579" w14:textId="77777777" w:rsidR="008832BE" w:rsidRPr="009F451F" w:rsidRDefault="008832BE" w:rsidP="008832BE">
      <w:pPr>
        <w:pStyle w:val="a9"/>
        <w:spacing w:line="360" w:lineRule="auto"/>
        <w:ind w:left="0" w:firstLine="567"/>
        <w:jc w:val="both"/>
        <w:rPr>
          <w:rFonts w:ascii="Arial" w:hAnsi="Arial"/>
        </w:rPr>
      </w:pPr>
      <w:r w:rsidRPr="009F451F">
        <w:rPr>
          <w:rFonts w:ascii="Arial" w:hAnsi="Arial"/>
          <w:rtl/>
        </w:rPr>
        <w:t xml:space="preserve">וראו גם שורה של פסיקה ברוח דומה: </w:t>
      </w:r>
      <w:hyperlink r:id="rId48" w:history="1">
        <w:r w:rsidR="00A003AB" w:rsidRPr="00A003AB">
          <w:rPr>
            <w:rFonts w:ascii="Arial" w:hAnsi="Arial"/>
            <w:color w:val="0000FF"/>
            <w:u w:val="single"/>
            <w:rtl/>
          </w:rPr>
          <w:t>ע"פ 5522/20</w:t>
        </w:r>
      </w:hyperlink>
      <w:r w:rsidRPr="009F451F">
        <w:rPr>
          <w:rFonts w:ascii="Arial" w:hAnsi="Arial"/>
          <w:rtl/>
        </w:rPr>
        <w:t xml:space="preserve"> </w:t>
      </w:r>
      <w:r w:rsidRPr="009F451F">
        <w:rPr>
          <w:rFonts w:ascii="Arial" w:hAnsi="Arial"/>
          <w:b/>
          <w:bCs/>
          <w:rtl/>
        </w:rPr>
        <w:t>חלייחל נ' מדינת ישראל</w:t>
      </w:r>
      <w:r w:rsidRPr="009F451F">
        <w:rPr>
          <w:rFonts w:ascii="Arial" w:hAnsi="Arial"/>
          <w:rtl/>
        </w:rPr>
        <w:t xml:space="preserve"> (24.2.2021); </w:t>
      </w:r>
      <w:hyperlink r:id="rId49" w:history="1">
        <w:r w:rsidR="00A003AB" w:rsidRPr="00A003AB">
          <w:rPr>
            <w:rFonts w:ascii="Arial" w:hAnsi="Arial"/>
            <w:color w:val="0000FF"/>
            <w:u w:val="single"/>
            <w:rtl/>
          </w:rPr>
          <w:t>ע"פ 4207/21</w:t>
        </w:r>
      </w:hyperlink>
      <w:r w:rsidRPr="009F451F">
        <w:rPr>
          <w:rFonts w:ascii="Arial" w:hAnsi="Arial"/>
          <w:rtl/>
        </w:rPr>
        <w:t xml:space="preserve"> </w:t>
      </w:r>
      <w:r w:rsidRPr="009F451F">
        <w:rPr>
          <w:rFonts w:ascii="Arial" w:hAnsi="Arial"/>
          <w:b/>
          <w:bCs/>
          <w:rtl/>
        </w:rPr>
        <w:t>נורי נ' מדינת ישראל</w:t>
      </w:r>
      <w:r w:rsidRPr="009F451F">
        <w:rPr>
          <w:rFonts w:ascii="Arial" w:hAnsi="Arial"/>
          <w:rtl/>
        </w:rPr>
        <w:t xml:space="preserve"> (28.7.2021); </w:t>
      </w:r>
      <w:hyperlink r:id="rId50" w:history="1">
        <w:r w:rsidR="00A003AB" w:rsidRPr="00A003AB">
          <w:rPr>
            <w:rFonts w:ascii="Arial" w:hAnsi="Arial"/>
            <w:color w:val="0000FF"/>
            <w:u w:val="single"/>
            <w:rtl/>
          </w:rPr>
          <w:t>ע"פ 4456/21</w:t>
        </w:r>
      </w:hyperlink>
      <w:r w:rsidRPr="009F451F">
        <w:rPr>
          <w:rFonts w:ascii="Arial" w:hAnsi="Arial"/>
          <w:rtl/>
        </w:rPr>
        <w:t xml:space="preserve"> </w:t>
      </w:r>
      <w:r w:rsidRPr="009F451F">
        <w:rPr>
          <w:rFonts w:ascii="Arial" w:hAnsi="Arial"/>
          <w:b/>
          <w:bCs/>
          <w:rtl/>
        </w:rPr>
        <w:t>מדינת ישראל נ' אבו עבסה</w:t>
      </w:r>
      <w:r w:rsidRPr="009F451F">
        <w:rPr>
          <w:rFonts w:ascii="Arial" w:hAnsi="Arial"/>
          <w:rtl/>
        </w:rPr>
        <w:t xml:space="preserve"> (23.1.2022); </w:t>
      </w:r>
      <w:hyperlink r:id="rId51" w:history="1">
        <w:r w:rsidR="00A003AB" w:rsidRPr="00A003AB">
          <w:rPr>
            <w:rFonts w:ascii="Arial" w:hAnsi="Arial"/>
            <w:color w:val="0000FF"/>
            <w:u w:val="single"/>
            <w:rtl/>
          </w:rPr>
          <w:t>ע"פ 8869/21</w:t>
        </w:r>
      </w:hyperlink>
      <w:r w:rsidRPr="009F451F">
        <w:rPr>
          <w:rFonts w:ascii="Arial" w:hAnsi="Arial"/>
          <w:rtl/>
        </w:rPr>
        <w:t xml:space="preserve"> </w:t>
      </w:r>
      <w:r w:rsidRPr="009F451F">
        <w:rPr>
          <w:rFonts w:ascii="Arial" w:hAnsi="Arial"/>
          <w:b/>
          <w:bCs/>
          <w:rtl/>
        </w:rPr>
        <w:t>מדינת ישראל נ' קואסמה</w:t>
      </w:r>
      <w:r>
        <w:rPr>
          <w:rFonts w:ascii="Arial" w:hAnsi="Arial"/>
          <w:rtl/>
        </w:rPr>
        <w:t xml:space="preserve"> (13.3.2022)</w:t>
      </w:r>
      <w:r>
        <w:rPr>
          <w:rFonts w:ascii="Arial" w:hAnsi="Arial" w:hint="cs"/>
          <w:rtl/>
        </w:rPr>
        <w:t xml:space="preserve">. </w:t>
      </w:r>
    </w:p>
    <w:p w14:paraId="30761B0A" w14:textId="77777777" w:rsidR="008832BE" w:rsidRPr="009F451F" w:rsidRDefault="008832BE" w:rsidP="008832BE">
      <w:pPr>
        <w:pStyle w:val="a9"/>
        <w:spacing w:line="360" w:lineRule="auto"/>
        <w:ind w:left="57"/>
        <w:jc w:val="both"/>
        <w:rPr>
          <w:rFonts w:ascii="Arial" w:hAnsi="Arial"/>
        </w:rPr>
      </w:pPr>
    </w:p>
    <w:p w14:paraId="3DF81E6F" w14:textId="77777777" w:rsidR="008832BE" w:rsidRDefault="008832BE" w:rsidP="008832BE">
      <w:pPr>
        <w:pStyle w:val="a9"/>
        <w:numPr>
          <w:ilvl w:val="0"/>
          <w:numId w:val="1"/>
        </w:numPr>
        <w:spacing w:line="360" w:lineRule="auto"/>
        <w:ind w:left="57"/>
        <w:jc w:val="both"/>
        <w:rPr>
          <w:rFonts w:ascii="Arial" w:hAnsi="Arial"/>
        </w:rPr>
      </w:pPr>
      <w:r>
        <w:rPr>
          <w:rFonts w:ascii="Arial" w:hAnsi="Arial" w:hint="cs"/>
          <w:rtl/>
        </w:rPr>
        <w:t xml:space="preserve">גם המחוקק נתן את דעתו לצורך בהחמרה בענישה בעבירות נשק. במסגרת </w:t>
      </w:r>
      <w:r w:rsidRPr="00CA6B04">
        <w:rPr>
          <w:rFonts w:ascii="Arial" w:hAnsi="Arial" w:hint="cs"/>
          <w:rtl/>
        </w:rPr>
        <w:t>תיקון 140 ל</w:t>
      </w:r>
      <w:hyperlink r:id="rId52" w:history="1">
        <w:r w:rsidR="00A003AB" w:rsidRPr="00A003AB">
          <w:rPr>
            <w:rFonts w:ascii="Arial" w:hAnsi="Arial"/>
            <w:color w:val="0000FF"/>
            <w:u w:val="single"/>
            <w:rtl/>
          </w:rPr>
          <w:t>חוק העונשין</w:t>
        </w:r>
      </w:hyperlink>
      <w:r w:rsidRPr="00CA6B04">
        <w:rPr>
          <w:rFonts w:ascii="Arial" w:hAnsi="Arial" w:hint="cs"/>
          <w:rtl/>
        </w:rPr>
        <w:t xml:space="preserve"> (חוק העונשין (תיקון מס' 140 </w:t>
      </w:r>
      <w:r w:rsidRPr="00CA6B04">
        <w:rPr>
          <w:rFonts w:ascii="Arial" w:hAnsi="Arial"/>
          <w:rtl/>
        </w:rPr>
        <w:t>–</w:t>
      </w:r>
      <w:r w:rsidRPr="00CA6B04">
        <w:rPr>
          <w:rFonts w:ascii="Arial" w:hAnsi="Arial" w:hint="cs"/>
          <w:rtl/>
        </w:rPr>
        <w:t xml:space="preserve"> הוראת שעה), התשפ"ב-2021, ס"ח 2938), </w:t>
      </w:r>
      <w:r>
        <w:rPr>
          <w:rFonts w:ascii="Arial" w:hAnsi="Arial" w:hint="cs"/>
          <w:rtl/>
        </w:rPr>
        <w:t xml:space="preserve">הוסף </w:t>
      </w:r>
      <w:hyperlink r:id="rId53" w:history="1">
        <w:r w:rsidR="00EB2285" w:rsidRPr="00EB2285">
          <w:rPr>
            <w:rStyle w:val="Hyperlink"/>
            <w:rFonts w:ascii="Arial" w:hAnsi="Arial" w:hint="eastAsia"/>
            <w:rtl/>
          </w:rPr>
          <w:t>סעיף</w:t>
        </w:r>
        <w:r w:rsidR="00EB2285" w:rsidRPr="00EB2285">
          <w:rPr>
            <w:rStyle w:val="Hyperlink"/>
            <w:rFonts w:ascii="Arial" w:hAnsi="Arial"/>
            <w:rtl/>
          </w:rPr>
          <w:t xml:space="preserve">  144(ז)</w:t>
        </w:r>
      </w:hyperlink>
      <w:r w:rsidRPr="00CA6B04">
        <w:rPr>
          <w:rFonts w:ascii="Arial" w:hAnsi="Arial" w:hint="cs"/>
          <w:rtl/>
        </w:rPr>
        <w:t xml:space="preserve"> לחוק העונשין, </w:t>
      </w:r>
      <w:r>
        <w:rPr>
          <w:rFonts w:ascii="Arial" w:hAnsi="Arial" w:hint="cs"/>
          <w:rtl/>
        </w:rPr>
        <w:t>שבו נקבע כלהלן:</w:t>
      </w:r>
    </w:p>
    <w:p w14:paraId="72B44CF5" w14:textId="77777777" w:rsidR="008832BE" w:rsidRPr="00F875A6" w:rsidRDefault="008832BE" w:rsidP="008832BE">
      <w:pPr>
        <w:pStyle w:val="a9"/>
        <w:rPr>
          <w:rFonts w:ascii="Arial" w:hAnsi="Arial"/>
          <w:rtl/>
        </w:rPr>
      </w:pPr>
    </w:p>
    <w:p w14:paraId="09F93B88" w14:textId="77777777" w:rsidR="008832BE" w:rsidRPr="00F875A6" w:rsidRDefault="008832BE" w:rsidP="008832BE">
      <w:pPr>
        <w:pStyle w:val="a9"/>
        <w:ind w:left="1134" w:right="1134"/>
        <w:jc w:val="both"/>
        <w:rPr>
          <w:rFonts w:ascii="Arial" w:hAnsi="Arial"/>
          <w:b/>
          <w:bCs/>
        </w:rPr>
      </w:pPr>
      <w:r w:rsidRPr="00EF6B73">
        <w:rPr>
          <w:rFonts w:ascii="Arial" w:hAnsi="Arial" w:hint="cs"/>
          <w:rtl/>
        </w:rPr>
        <w:t>"</w:t>
      </w:r>
      <w:r w:rsidRPr="00F875A6">
        <w:rPr>
          <w:rFonts w:ascii="Arial" w:hAnsi="Arial"/>
          <w:b/>
          <w:bCs/>
          <w:rtl/>
        </w:rPr>
        <w:t>הורשע אדם בעבירה לפי סעיף קטן (א) רישה, (ב) רישה, (ב2) או (ב3) רישה,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r w:rsidRPr="00EF6B73">
        <w:rPr>
          <w:rFonts w:ascii="Arial" w:hAnsi="Arial" w:hint="cs"/>
          <w:rtl/>
        </w:rPr>
        <w:t>".</w:t>
      </w:r>
    </w:p>
    <w:p w14:paraId="396D92DE" w14:textId="77777777" w:rsidR="008832BE" w:rsidRPr="00F875A6" w:rsidRDefault="008832BE" w:rsidP="008832BE">
      <w:pPr>
        <w:pStyle w:val="a9"/>
        <w:rPr>
          <w:rFonts w:ascii="Arial" w:hAnsi="Arial"/>
          <w:rtl/>
        </w:rPr>
      </w:pPr>
    </w:p>
    <w:p w14:paraId="3BA82CE9" w14:textId="77777777" w:rsidR="008832BE" w:rsidRDefault="008832BE" w:rsidP="008832BE">
      <w:pPr>
        <w:pStyle w:val="a9"/>
        <w:numPr>
          <w:ilvl w:val="0"/>
          <w:numId w:val="1"/>
        </w:numPr>
        <w:spacing w:line="360" w:lineRule="auto"/>
        <w:jc w:val="both"/>
        <w:rPr>
          <w:rFonts w:ascii="Arial" w:hAnsi="Arial"/>
        </w:rPr>
      </w:pPr>
      <w:r w:rsidRPr="007B747A">
        <w:rPr>
          <w:rFonts w:ascii="Arial" w:hAnsi="Arial" w:hint="cs"/>
          <w:rtl/>
        </w:rPr>
        <w:t>הסעיף המרכזי ב</w:t>
      </w:r>
      <w:hyperlink r:id="rId54" w:history="1">
        <w:r w:rsidR="00A003AB" w:rsidRPr="00A003AB">
          <w:rPr>
            <w:rFonts w:ascii="Arial" w:hAnsi="Arial"/>
            <w:color w:val="0000FF"/>
            <w:u w:val="single"/>
            <w:rtl/>
          </w:rPr>
          <w:t>חוק העונשין</w:t>
        </w:r>
      </w:hyperlink>
      <w:r w:rsidRPr="007B747A">
        <w:rPr>
          <w:rFonts w:ascii="Arial" w:hAnsi="Arial" w:hint="cs"/>
          <w:rtl/>
        </w:rPr>
        <w:t xml:space="preserve"> העוסק בעבירות הנשק הוא </w:t>
      </w:r>
      <w:hyperlink r:id="rId55" w:history="1">
        <w:r w:rsidR="00EB2285" w:rsidRPr="00EB2285">
          <w:rPr>
            <w:rStyle w:val="Hyperlink"/>
            <w:rFonts w:ascii="Arial" w:hAnsi="Arial" w:hint="eastAsia"/>
            <w:rtl/>
          </w:rPr>
          <w:t>סעיף</w:t>
        </w:r>
        <w:r w:rsidR="00EB2285" w:rsidRPr="00EB2285">
          <w:rPr>
            <w:rStyle w:val="Hyperlink"/>
            <w:rFonts w:ascii="Arial" w:hAnsi="Arial"/>
            <w:rtl/>
          </w:rPr>
          <w:t xml:space="preserve"> 144.</w:t>
        </w:r>
      </w:hyperlink>
      <w:r w:rsidRPr="007B747A">
        <w:rPr>
          <w:rFonts w:ascii="Arial" w:hAnsi="Arial" w:hint="cs"/>
          <w:rtl/>
        </w:rPr>
        <w:t xml:space="preserve"> סע</w:t>
      </w:r>
      <w:r>
        <w:rPr>
          <w:rFonts w:ascii="Arial" w:hAnsi="Arial" w:hint="cs"/>
          <w:rtl/>
        </w:rPr>
        <w:t xml:space="preserve">יף זה </w:t>
      </w:r>
      <w:r w:rsidRPr="007B747A">
        <w:rPr>
          <w:rFonts w:ascii="Arial" w:hAnsi="Arial" w:hint="cs"/>
          <w:rtl/>
        </w:rPr>
        <w:t xml:space="preserve">מגדיר מספר עבירות לפי מדרג </w:t>
      </w:r>
      <w:r>
        <w:rPr>
          <w:rFonts w:ascii="Arial" w:hAnsi="Arial" w:hint="cs"/>
          <w:rtl/>
        </w:rPr>
        <w:t>חומרה</w:t>
      </w:r>
      <w:r w:rsidRPr="007B747A">
        <w:rPr>
          <w:rFonts w:ascii="Arial" w:hAnsi="Arial" w:hint="cs"/>
          <w:rtl/>
        </w:rPr>
        <w:t xml:space="preserve">, שהעיקריות בהן: עבירה של רכישת או החזקת נשק שלא כדין, אשר העונש בגינה </w:t>
      </w:r>
      <w:r>
        <w:rPr>
          <w:rFonts w:ascii="Arial" w:hAnsi="Arial" w:hint="cs"/>
          <w:rtl/>
        </w:rPr>
        <w:t>הוא 7</w:t>
      </w:r>
      <w:r w:rsidRPr="007B747A">
        <w:rPr>
          <w:rFonts w:ascii="Arial" w:hAnsi="Arial" w:hint="cs"/>
          <w:rtl/>
        </w:rPr>
        <w:t xml:space="preserve"> שנות מאסר; נשיאה או הובלה של נשק, אשר העונש לצד</w:t>
      </w:r>
      <w:r>
        <w:rPr>
          <w:rFonts w:ascii="Arial" w:hAnsi="Arial" w:hint="cs"/>
          <w:rtl/>
        </w:rPr>
        <w:t>ה</w:t>
      </w:r>
      <w:r w:rsidRPr="007B747A">
        <w:rPr>
          <w:rFonts w:ascii="Arial" w:hAnsi="Arial" w:hint="cs"/>
          <w:rtl/>
        </w:rPr>
        <w:t xml:space="preserve"> הוא 10 שנ</w:t>
      </w:r>
      <w:r>
        <w:rPr>
          <w:rFonts w:ascii="Arial" w:hAnsi="Arial" w:hint="cs"/>
          <w:rtl/>
        </w:rPr>
        <w:t>ות מאסר</w:t>
      </w:r>
      <w:r w:rsidRPr="007B747A">
        <w:rPr>
          <w:rFonts w:ascii="Arial" w:hAnsi="Arial" w:hint="cs"/>
          <w:rtl/>
        </w:rPr>
        <w:t>; ייצור,  יבוא, שיווק, סחר או עשיית עסקת אחרת שיש בה מסירת החזק</w:t>
      </w:r>
      <w:r>
        <w:rPr>
          <w:rFonts w:ascii="Arial" w:hAnsi="Arial" w:hint="cs"/>
          <w:rtl/>
        </w:rPr>
        <w:t>ה</w:t>
      </w:r>
      <w:r w:rsidRPr="007B747A">
        <w:rPr>
          <w:rFonts w:ascii="Arial" w:hAnsi="Arial" w:hint="cs"/>
          <w:rtl/>
        </w:rPr>
        <w:t xml:space="preserve"> בנשק לזולת (בין בתמורה ובי</w:t>
      </w:r>
      <w:r>
        <w:rPr>
          <w:rFonts w:ascii="Arial" w:hAnsi="Arial" w:hint="cs"/>
          <w:rtl/>
        </w:rPr>
        <w:t>ן שלא בתמורה), אשר העונש לצדה ה</w:t>
      </w:r>
      <w:r w:rsidRPr="007B747A">
        <w:rPr>
          <w:rFonts w:ascii="Arial" w:hAnsi="Arial" w:hint="cs"/>
          <w:rtl/>
        </w:rPr>
        <w:t>ו</w:t>
      </w:r>
      <w:r>
        <w:rPr>
          <w:rFonts w:ascii="Arial" w:hAnsi="Arial" w:hint="cs"/>
          <w:rtl/>
        </w:rPr>
        <w:t>א 15 שנות מאסר</w:t>
      </w:r>
      <w:r w:rsidRPr="007B747A">
        <w:rPr>
          <w:rFonts w:ascii="Arial" w:hAnsi="Arial" w:hint="cs"/>
          <w:rtl/>
        </w:rPr>
        <w:t xml:space="preserve">. </w:t>
      </w:r>
    </w:p>
    <w:p w14:paraId="3DCFAD74" w14:textId="77777777" w:rsidR="008832BE" w:rsidRPr="007B747A" w:rsidRDefault="008832BE" w:rsidP="008832BE">
      <w:pPr>
        <w:pStyle w:val="a9"/>
        <w:spacing w:line="360" w:lineRule="auto"/>
        <w:ind w:left="0"/>
        <w:jc w:val="both"/>
        <w:rPr>
          <w:rFonts w:ascii="Arial" w:hAnsi="Arial"/>
        </w:rPr>
      </w:pPr>
    </w:p>
    <w:p w14:paraId="633E0791" w14:textId="77777777" w:rsidR="008832BE" w:rsidRPr="009D4679" w:rsidRDefault="008832BE" w:rsidP="008832BE">
      <w:pPr>
        <w:pStyle w:val="a9"/>
        <w:numPr>
          <w:ilvl w:val="0"/>
          <w:numId w:val="1"/>
        </w:numPr>
        <w:spacing w:line="360" w:lineRule="auto"/>
        <w:jc w:val="both"/>
        <w:rPr>
          <w:rFonts w:ascii="Arial" w:hAnsi="Arial"/>
        </w:rPr>
      </w:pPr>
      <w:r>
        <w:rPr>
          <w:rFonts w:ascii="Arial" w:hAnsi="Arial" w:hint="cs"/>
          <w:rtl/>
        </w:rPr>
        <w:t xml:space="preserve">לצד העבירה של החזקת נשק, הורשע הנאשם בעבירה של עשיית עסקה אחרת בנשק, אשר מדורגת במעלה מדרג החומרה והעונש לצדה הוא 15 שנות מאסר. מבחינה החומרה, אין שוני בין עבירה של סחר בנשק לבין עבירה של עשיית עסקה אחרת, ועל כן אין לקבל את טיעון הסנגור ממנו משתמע כי העבירה בה הורשע הנאשם היא פחות חמורה מעבירה של סחר בנשק. </w:t>
      </w:r>
      <w:r w:rsidRPr="007B747A">
        <w:rPr>
          <w:rFonts w:ascii="Arial" w:hAnsi="Arial" w:hint="cs"/>
          <w:rtl/>
        </w:rPr>
        <w:t xml:space="preserve">נזכיר כי על פי המתואר בכתב האישום, הנאשם סיפק לאחיו, </w:t>
      </w:r>
      <w:r>
        <w:rPr>
          <w:rFonts w:ascii="Arial" w:hAnsi="Arial" w:hint="cs"/>
          <w:rtl/>
        </w:rPr>
        <w:t xml:space="preserve">בעקבות סיכום ביניהם, </w:t>
      </w:r>
      <w:r w:rsidRPr="007B747A">
        <w:rPr>
          <w:rFonts w:ascii="Arial" w:hAnsi="Arial" w:hint="cs"/>
          <w:rtl/>
        </w:rPr>
        <w:t xml:space="preserve">אקדח מסוג </w:t>
      </w:r>
      <w:r w:rsidRPr="007B747A">
        <w:rPr>
          <w:rFonts w:ascii="Arial" w:hAnsi="Arial" w:hint="cs"/>
        </w:rPr>
        <w:t>FN</w:t>
      </w:r>
      <w:r w:rsidRPr="007B747A">
        <w:rPr>
          <w:rFonts w:ascii="Arial" w:hAnsi="Arial" w:hint="cs"/>
          <w:rtl/>
        </w:rPr>
        <w:t>, תמורת סך של 35,000 ₪. נסיבות אלו</w:t>
      </w:r>
      <w:r>
        <w:rPr>
          <w:rFonts w:ascii="Arial" w:hAnsi="Arial" w:hint="cs"/>
          <w:rtl/>
        </w:rPr>
        <w:t xml:space="preserve"> גם </w:t>
      </w:r>
      <w:r w:rsidRPr="007B747A">
        <w:rPr>
          <w:rFonts w:ascii="Arial" w:hAnsi="Arial" w:hint="cs"/>
          <w:rtl/>
        </w:rPr>
        <w:t>מלמדות על כך שהפגיעה בערכים המוגנים הייתה חמורה ביותר. זאת ועוד, כעולה מכתב האישום, ל</w:t>
      </w:r>
      <w:r>
        <w:rPr>
          <w:rFonts w:ascii="Arial" w:hAnsi="Arial" w:hint="cs"/>
          <w:rtl/>
        </w:rPr>
        <w:t>ביצוע ה</w:t>
      </w:r>
      <w:r w:rsidRPr="007B747A">
        <w:rPr>
          <w:rFonts w:ascii="Arial" w:hAnsi="Arial"/>
          <w:rtl/>
        </w:rPr>
        <w:t>עבירות קדם תכנון</w:t>
      </w:r>
      <w:r>
        <w:rPr>
          <w:rFonts w:ascii="Arial" w:hAnsi="Arial" w:hint="cs"/>
          <w:rtl/>
        </w:rPr>
        <w:t xml:space="preserve">. </w:t>
      </w:r>
      <w:r w:rsidRPr="007B747A">
        <w:rPr>
          <w:rFonts w:ascii="Arial" w:hAnsi="Arial" w:hint="cs"/>
          <w:rtl/>
        </w:rPr>
        <w:t>לעסקה בנשק קדם סיכום בין הנאשם לאחיו, לפיו הנאשם יספק לשניים אקדח תמורת תשלום, ג'מיל העביר את התשלום לנאשם, והאחרון העביר לידי מועתסם את האקדח. אשר לנסיבות הנוספות שנטענו על ידי הסנגור, בעניין התקופה הקצרה לכאורה בה היה האקדח בחזקת ג'מיל ומועתסם ו</w:t>
      </w:r>
      <w:r>
        <w:rPr>
          <w:rFonts w:ascii="Arial" w:hAnsi="Arial" w:hint="cs"/>
          <w:rtl/>
        </w:rPr>
        <w:t xml:space="preserve">מצב </w:t>
      </w:r>
      <w:r w:rsidRPr="007B747A">
        <w:rPr>
          <w:rFonts w:ascii="Arial" w:hAnsi="Arial" w:hint="cs"/>
          <w:rtl/>
        </w:rPr>
        <w:t xml:space="preserve">האקדח בעת </w:t>
      </w:r>
      <w:r>
        <w:rPr>
          <w:rFonts w:ascii="Arial" w:hAnsi="Arial" w:hint="cs"/>
          <w:rtl/>
        </w:rPr>
        <w:t>תפיסתו</w:t>
      </w:r>
      <w:r w:rsidRPr="007B747A">
        <w:rPr>
          <w:rFonts w:ascii="Arial" w:hAnsi="Arial" w:hint="cs"/>
          <w:rtl/>
        </w:rPr>
        <w:t xml:space="preserve">, </w:t>
      </w:r>
      <w:r>
        <w:rPr>
          <w:rFonts w:ascii="Arial" w:hAnsi="Arial" w:hint="cs"/>
          <w:rtl/>
        </w:rPr>
        <w:t>הרי טענות אלו לא</w:t>
      </w:r>
      <w:r w:rsidRPr="007B747A">
        <w:rPr>
          <w:rFonts w:ascii="Arial" w:hAnsi="Arial" w:hint="cs"/>
          <w:rtl/>
        </w:rPr>
        <w:t xml:space="preserve"> פורטו בכתב האישום המתוקן בו הודה הנאשם</w:t>
      </w:r>
      <w:r>
        <w:rPr>
          <w:rFonts w:ascii="Arial" w:hAnsi="Arial" w:hint="cs"/>
          <w:rtl/>
        </w:rPr>
        <w:t xml:space="preserve"> ומכל מקום לא הוכחו לפניי</w:t>
      </w:r>
      <w:r w:rsidRPr="007B747A">
        <w:rPr>
          <w:rFonts w:ascii="Arial" w:hAnsi="Arial" w:hint="cs"/>
          <w:rtl/>
        </w:rPr>
        <w:t>,</w:t>
      </w:r>
      <w:r>
        <w:rPr>
          <w:rFonts w:ascii="Arial" w:hAnsi="Arial" w:hint="cs"/>
          <w:rtl/>
        </w:rPr>
        <w:t xml:space="preserve"> ועל כן יש לדחותן (ראו: </w:t>
      </w:r>
      <w:hyperlink r:id="rId56" w:history="1">
        <w:r w:rsidR="00EB2285" w:rsidRPr="00EB2285">
          <w:rPr>
            <w:rStyle w:val="Hyperlink"/>
            <w:rFonts w:ascii="Arial" w:hAnsi="Arial" w:hint="eastAsia"/>
            <w:rtl/>
          </w:rPr>
          <w:t>סע</w:t>
        </w:r>
        <w:r w:rsidR="00EB2285" w:rsidRPr="00EB2285">
          <w:rPr>
            <w:rStyle w:val="Hyperlink"/>
            <w:rFonts w:ascii="Arial" w:hAnsi="Arial"/>
            <w:rtl/>
          </w:rPr>
          <w:t>' 40י'</w:t>
        </w:r>
      </w:hyperlink>
      <w:r>
        <w:rPr>
          <w:rFonts w:ascii="Arial" w:hAnsi="Arial" w:hint="cs"/>
          <w:rtl/>
        </w:rPr>
        <w:t xml:space="preserve"> ל</w:t>
      </w:r>
      <w:hyperlink r:id="rId57" w:history="1">
        <w:r w:rsidR="00A003AB" w:rsidRPr="00A003AB">
          <w:rPr>
            <w:rFonts w:ascii="Arial" w:hAnsi="Arial"/>
            <w:color w:val="0000FF"/>
            <w:u w:val="single"/>
            <w:rtl/>
          </w:rPr>
          <w:t>חוק העונשין</w:t>
        </w:r>
      </w:hyperlink>
      <w:r>
        <w:rPr>
          <w:rFonts w:ascii="Arial" w:hAnsi="Arial" w:hint="cs"/>
          <w:rtl/>
        </w:rPr>
        <w:t xml:space="preserve">; להרחבה: </w:t>
      </w:r>
      <w:r w:rsidRPr="009D4679">
        <w:rPr>
          <w:rFonts w:ascii="Arial" w:hAnsi="Arial"/>
          <w:rtl/>
        </w:rPr>
        <w:t xml:space="preserve">מוחמד </w:t>
      </w:r>
      <w:hyperlink r:id="rId58" w:history="1">
        <w:r w:rsidR="00A003AB" w:rsidRPr="00A003AB">
          <w:rPr>
            <w:rFonts w:ascii="Arial" w:hAnsi="Arial"/>
            <w:color w:val="0000FF"/>
            <w:u w:val="single"/>
            <w:rtl/>
          </w:rPr>
          <w:t xml:space="preserve">עלי "על סדרי דין וראיות </w:t>
        </w:r>
      </w:hyperlink>
      <w:r w:rsidRPr="009D4679">
        <w:rPr>
          <w:rFonts w:ascii="Arial" w:hAnsi="Arial"/>
          <w:rtl/>
        </w:rPr>
        <w:t xml:space="preserve">   בדרך לקביעת מתחם עונש הולם" </w:t>
      </w:r>
      <w:r w:rsidRPr="009D4679">
        <w:rPr>
          <w:rFonts w:ascii="Arial" w:hAnsi="Arial"/>
          <w:b/>
          <w:bCs/>
          <w:rtl/>
        </w:rPr>
        <w:t>הפרקליט</w:t>
      </w:r>
      <w:r w:rsidRPr="009D4679">
        <w:rPr>
          <w:rFonts w:ascii="Arial" w:hAnsi="Arial"/>
          <w:rtl/>
        </w:rPr>
        <w:t xml:space="preserve"> נד 19, 21 (התשע"ו)).</w:t>
      </w:r>
    </w:p>
    <w:p w14:paraId="5DB52A01" w14:textId="77777777" w:rsidR="008832BE" w:rsidRPr="00685DD4" w:rsidRDefault="008832BE" w:rsidP="008832BE">
      <w:pPr>
        <w:pStyle w:val="a9"/>
        <w:spacing w:line="360" w:lineRule="auto"/>
        <w:ind w:left="0"/>
        <w:jc w:val="both"/>
        <w:rPr>
          <w:rFonts w:ascii="Arial" w:hAnsi="Arial"/>
        </w:rPr>
      </w:pPr>
    </w:p>
    <w:p w14:paraId="0A194A86" w14:textId="77777777" w:rsidR="008832BE" w:rsidRDefault="008832BE" w:rsidP="008832BE">
      <w:pPr>
        <w:pStyle w:val="a9"/>
        <w:numPr>
          <w:ilvl w:val="0"/>
          <w:numId w:val="1"/>
        </w:numPr>
        <w:spacing w:line="360" w:lineRule="auto"/>
        <w:jc w:val="both"/>
        <w:rPr>
          <w:rFonts w:ascii="Arial" w:hAnsi="Arial"/>
        </w:rPr>
      </w:pPr>
      <w:r>
        <w:rPr>
          <w:rFonts w:ascii="Arial" w:hAnsi="Arial" w:hint="cs"/>
          <w:rtl/>
        </w:rPr>
        <w:t xml:space="preserve">אכן, מכתב האישום וכן מטיעוני המאשימה עולה, כי המאשימה לא מייחסת לנאשם ידיעה על כך שהאקדח נועד לשמש את אחיו לביצוע עבירות ביטחוניות. מזאת אין להתעלם, אך עם זאת </w:t>
      </w:r>
      <w:r>
        <w:rPr>
          <w:rFonts w:ascii="Arial" w:hAnsi="Arial"/>
          <w:rtl/>
        </w:rPr>
        <w:t>–</w:t>
      </w:r>
      <w:r>
        <w:rPr>
          <w:rFonts w:ascii="Arial" w:hAnsi="Arial" w:hint="cs"/>
          <w:rtl/>
        </w:rPr>
        <w:t xml:space="preserve"> אל לנו להיתמם. הנאשם לא סיפק את האקדח לאחיו כדי שיוצג במוזיאון הסובלנות. אקדח הוא נשק קטלני. החזקתו בידי מי שאינו מורשה על פי דין נושאת סיכון רב מאוד לפגיעה בחיי אדם. גם אם אין ראיות לכך שהנאשם ידע מה השימוש שייעשה בנשק שהוא סיפק,  הרי בבסיס התנהגותו אספקת נשק שמסוגל להרוג. הדגש הוא הוא אפוא על הסיכון הנשקף מהנשק. לעיתים החשש הוא כי הנשק יגיע לגורמים עבריינים לשם ביצוע עבירות; לעיתים החשש כי הנשק יגיע לגורמים שיבצעו עבירות ביטחוניות </w:t>
      </w:r>
      <w:r>
        <w:rPr>
          <w:rFonts w:ascii="Arial" w:hAnsi="Arial"/>
          <w:rtl/>
        </w:rPr>
        <w:t>–</w:t>
      </w:r>
      <w:r>
        <w:rPr>
          <w:rFonts w:ascii="Arial" w:hAnsi="Arial" w:hint="cs"/>
          <w:rtl/>
        </w:rPr>
        <w:t xml:space="preserve"> ונסיבות המקרה שלפניו יעידו. השאלה אפוא שיש להציב במוקד אינה מה בדיוק ידע הנאשם על השימוש העתידי בנשק, אלא את הסיכון הטמון בהתנהלותו </w:t>
      </w:r>
      <w:r>
        <w:rPr>
          <w:rFonts w:ascii="Arial" w:hAnsi="Arial"/>
          <w:rtl/>
        </w:rPr>
        <w:t>–</w:t>
      </w:r>
      <w:r>
        <w:rPr>
          <w:rFonts w:ascii="Arial" w:hAnsi="Arial" w:hint="cs"/>
          <w:rtl/>
        </w:rPr>
        <w:t xml:space="preserve"> וסיכון זה חמור. </w:t>
      </w:r>
    </w:p>
    <w:p w14:paraId="074CA836" w14:textId="77777777" w:rsidR="008832BE" w:rsidRPr="00DC4A79" w:rsidRDefault="008832BE" w:rsidP="008832BE">
      <w:pPr>
        <w:pStyle w:val="a9"/>
        <w:spacing w:line="360" w:lineRule="auto"/>
        <w:ind w:left="0"/>
        <w:jc w:val="both"/>
        <w:rPr>
          <w:rFonts w:ascii="Arial" w:hAnsi="Arial"/>
          <w:rtl/>
        </w:rPr>
      </w:pPr>
    </w:p>
    <w:p w14:paraId="22DDD591" w14:textId="77777777" w:rsidR="008832BE" w:rsidRDefault="008832BE" w:rsidP="008832BE">
      <w:pPr>
        <w:pStyle w:val="a9"/>
        <w:numPr>
          <w:ilvl w:val="0"/>
          <w:numId w:val="1"/>
        </w:numPr>
        <w:spacing w:line="360" w:lineRule="auto"/>
        <w:jc w:val="both"/>
        <w:rPr>
          <w:rFonts w:ascii="Arial" w:hAnsi="Arial"/>
        </w:rPr>
      </w:pPr>
      <w:r>
        <w:rPr>
          <w:rFonts w:ascii="Arial" w:hAnsi="Arial" w:hint="cs"/>
          <w:rtl/>
        </w:rPr>
        <w:t xml:space="preserve">לעניין מדיניות הענישה הנוהגת, יצוין כי בעניין פלוני נקבע על ידי בית המשפט העליון כי מתחם העונש הרגיל שראוי לקבוע לנאשם בגיר בגין עבירה של </w:t>
      </w:r>
      <w:r w:rsidRPr="00DC4A79">
        <w:rPr>
          <w:rFonts w:ascii="Arial" w:hAnsi="Arial" w:hint="cs"/>
          <w:rtl/>
        </w:rPr>
        <w:t xml:space="preserve"> נשיאה </w:t>
      </w:r>
      <w:r w:rsidRPr="003F29AD">
        <w:rPr>
          <w:rFonts w:ascii="Arial" w:hAnsi="Arial" w:hint="cs"/>
          <w:rtl/>
        </w:rPr>
        <w:t>בלתי חוקית של נשק</w:t>
      </w:r>
      <w:r>
        <w:rPr>
          <w:rFonts w:ascii="Arial" w:hAnsi="Arial" w:hint="cs"/>
          <w:rtl/>
        </w:rPr>
        <w:t xml:space="preserve"> במרחב הציבורי נע </w:t>
      </w:r>
      <w:r w:rsidRPr="00DC4A79">
        <w:rPr>
          <w:rFonts w:ascii="Arial" w:hAnsi="Arial" w:hint="cs"/>
          <w:rtl/>
        </w:rPr>
        <w:t xml:space="preserve">בין 30 ל-42 חודשי מאסר בפועל </w:t>
      </w:r>
      <w:r>
        <w:rPr>
          <w:rFonts w:ascii="Arial" w:hAnsi="Arial" w:hint="cs"/>
          <w:rtl/>
        </w:rPr>
        <w:t xml:space="preserve">(עניין </w:t>
      </w:r>
      <w:r w:rsidRPr="00AB084B">
        <w:rPr>
          <w:rFonts w:ascii="Arial" w:hAnsi="Arial" w:hint="cs"/>
          <w:b/>
          <w:bCs/>
          <w:rtl/>
        </w:rPr>
        <w:t>פלוני</w:t>
      </w:r>
      <w:r>
        <w:rPr>
          <w:rFonts w:ascii="Arial" w:hAnsi="Arial" w:hint="cs"/>
          <w:rtl/>
        </w:rPr>
        <w:t xml:space="preserve">, פסקה 16). כאמור, העונש הקבוע לצדה של עבירת נשיאת נשק (לפי </w:t>
      </w:r>
      <w:hyperlink r:id="rId59" w:history="1">
        <w:r w:rsidR="00EB2285" w:rsidRPr="00EB2285">
          <w:rPr>
            <w:rStyle w:val="Hyperlink"/>
            <w:rFonts w:ascii="Arial" w:hAnsi="Arial" w:hint="eastAsia"/>
            <w:rtl/>
          </w:rPr>
          <w:t>סעיף</w:t>
        </w:r>
        <w:r w:rsidR="00EB2285" w:rsidRPr="00EB2285">
          <w:rPr>
            <w:rStyle w:val="Hyperlink"/>
            <w:rFonts w:ascii="Arial" w:hAnsi="Arial"/>
            <w:rtl/>
          </w:rPr>
          <w:t xml:space="preserve"> 144(ב)</w:t>
        </w:r>
      </w:hyperlink>
      <w:r>
        <w:rPr>
          <w:rFonts w:ascii="Arial" w:hAnsi="Arial" w:hint="cs"/>
          <w:rtl/>
        </w:rPr>
        <w:t xml:space="preserve"> ל</w:t>
      </w:r>
      <w:hyperlink r:id="rId60" w:history="1">
        <w:r w:rsidR="00A003AB" w:rsidRPr="00A003AB">
          <w:rPr>
            <w:rFonts w:ascii="Arial" w:hAnsi="Arial"/>
            <w:color w:val="0000FF"/>
            <w:u w:val="single"/>
            <w:rtl/>
          </w:rPr>
          <w:t>חוק העונשין</w:t>
        </w:r>
      </w:hyperlink>
      <w:r>
        <w:rPr>
          <w:rFonts w:ascii="Arial" w:hAnsi="Arial" w:hint="cs"/>
          <w:rtl/>
        </w:rPr>
        <w:t xml:space="preserve">) עומד על 10 שנות מאסר, ואילו העונש בגין העבירה של עסקה אחרת בה הורשע הנאשם, עומד על 15 שנות מאסר.    </w:t>
      </w:r>
    </w:p>
    <w:p w14:paraId="3356ED20" w14:textId="77777777" w:rsidR="008832BE" w:rsidRPr="007E6A92" w:rsidRDefault="008832BE" w:rsidP="008832BE">
      <w:pPr>
        <w:pStyle w:val="a9"/>
        <w:rPr>
          <w:rFonts w:ascii="Arial" w:hAnsi="Arial"/>
          <w:rtl/>
        </w:rPr>
      </w:pPr>
    </w:p>
    <w:p w14:paraId="28D3A91C" w14:textId="77777777" w:rsidR="008832BE" w:rsidRDefault="008832BE" w:rsidP="008832BE">
      <w:pPr>
        <w:pStyle w:val="a9"/>
        <w:spacing w:line="360" w:lineRule="auto"/>
        <w:ind w:left="0" w:firstLine="567"/>
        <w:jc w:val="both"/>
        <w:rPr>
          <w:rFonts w:ascii="Arial" w:hAnsi="Arial"/>
        </w:rPr>
      </w:pPr>
      <w:r w:rsidRPr="0095161A">
        <w:rPr>
          <w:rFonts w:ascii="Arial" w:hAnsi="Arial"/>
          <w:rtl/>
        </w:rPr>
        <w:t>בחינת מדיניות הענישה הנהוגה בעבירות של סחר בנשק או עשיית כל עסקה אחרת בנשק (</w:t>
      </w:r>
      <w:hyperlink r:id="rId61" w:history="1">
        <w:r w:rsidR="00EB2285" w:rsidRPr="00EB2285">
          <w:rPr>
            <w:rStyle w:val="Hyperlink"/>
            <w:rFonts w:ascii="Arial" w:hAnsi="Arial"/>
            <w:rtl/>
          </w:rPr>
          <w:t>סעיף 144(ב2)</w:t>
        </w:r>
      </w:hyperlink>
      <w:r w:rsidRPr="0095161A">
        <w:rPr>
          <w:rFonts w:ascii="Arial" w:hAnsi="Arial"/>
          <w:rtl/>
        </w:rPr>
        <w:t xml:space="preserve"> </w:t>
      </w:r>
      <w:r w:rsidRPr="0095161A">
        <w:rPr>
          <w:rFonts w:ascii="Arial" w:hAnsi="Arial" w:hint="cs"/>
          <w:rtl/>
        </w:rPr>
        <w:t>ל</w:t>
      </w:r>
      <w:hyperlink r:id="rId62" w:history="1">
        <w:r w:rsidR="00A003AB" w:rsidRPr="00A003AB">
          <w:rPr>
            <w:rFonts w:ascii="Arial" w:hAnsi="Arial"/>
            <w:color w:val="0000FF"/>
            <w:u w:val="single"/>
            <w:rtl/>
          </w:rPr>
          <w:t>חוק העונשין</w:t>
        </w:r>
      </w:hyperlink>
      <w:r w:rsidRPr="0095161A">
        <w:rPr>
          <w:rFonts w:ascii="Arial" w:hAnsi="Arial"/>
          <w:rtl/>
        </w:rPr>
        <w:t>),</w:t>
      </w:r>
      <w:r w:rsidRPr="0095161A">
        <w:rPr>
          <w:rFonts w:ascii="Arial" w:hAnsi="Arial" w:hint="cs"/>
          <w:rtl/>
        </w:rPr>
        <w:t xml:space="preserve"> מעל</w:t>
      </w:r>
      <w:r>
        <w:rPr>
          <w:rFonts w:ascii="Arial" w:hAnsi="Arial" w:hint="cs"/>
          <w:rtl/>
        </w:rPr>
        <w:t>ה</w:t>
      </w:r>
      <w:r w:rsidRPr="0095161A">
        <w:rPr>
          <w:rFonts w:ascii="Arial" w:hAnsi="Arial" w:hint="cs"/>
          <w:rtl/>
        </w:rPr>
        <w:t xml:space="preserve"> כי</w:t>
      </w:r>
      <w:r w:rsidRPr="0095161A">
        <w:rPr>
          <w:rFonts w:ascii="Arial" w:hAnsi="Arial"/>
          <w:rtl/>
        </w:rPr>
        <w:t xml:space="preserve"> טווח הענישה רחב</w:t>
      </w:r>
      <w:r>
        <w:rPr>
          <w:rFonts w:ascii="Arial" w:hAnsi="Arial" w:hint="cs"/>
          <w:rtl/>
        </w:rPr>
        <w:t xml:space="preserve">. </w:t>
      </w:r>
      <w:r w:rsidRPr="0095161A">
        <w:rPr>
          <w:rFonts w:ascii="Arial" w:hAnsi="Arial"/>
          <w:rtl/>
        </w:rPr>
        <w:t>הגורמים המשפיעים על רמת הענישה בעבירה זו</w:t>
      </w:r>
      <w:r w:rsidRPr="0095161A">
        <w:rPr>
          <w:rFonts w:ascii="Arial" w:hAnsi="Arial" w:hint="cs"/>
          <w:rtl/>
        </w:rPr>
        <w:t xml:space="preserve"> כוללים בין היתר את </w:t>
      </w:r>
      <w:r w:rsidRPr="0095161A">
        <w:rPr>
          <w:rFonts w:ascii="Arial" w:hAnsi="Arial"/>
          <w:rtl/>
        </w:rPr>
        <w:t xml:space="preserve">סוג הנשק שנסחר </w:t>
      </w:r>
      <w:r w:rsidRPr="0095161A">
        <w:rPr>
          <w:rFonts w:ascii="Arial" w:hAnsi="Arial" w:hint="cs"/>
          <w:rtl/>
        </w:rPr>
        <w:t>ו</w:t>
      </w:r>
      <w:r>
        <w:rPr>
          <w:rFonts w:ascii="Arial" w:hAnsi="Arial" w:hint="cs"/>
          <w:rtl/>
        </w:rPr>
        <w:t xml:space="preserve">את </w:t>
      </w:r>
      <w:r w:rsidRPr="0095161A">
        <w:rPr>
          <w:rFonts w:ascii="Arial" w:hAnsi="Arial"/>
          <w:rtl/>
        </w:rPr>
        <w:t>חלקו של הנאשם בעסקת הנשק</w:t>
      </w:r>
      <w:r w:rsidRPr="0095161A">
        <w:rPr>
          <w:rFonts w:ascii="Arial" w:hAnsi="Arial" w:hint="cs"/>
          <w:rtl/>
        </w:rPr>
        <w:t xml:space="preserve">. </w:t>
      </w:r>
      <w:r w:rsidRPr="0095161A">
        <w:rPr>
          <w:rFonts w:ascii="Arial" w:hAnsi="Arial"/>
          <w:rtl/>
        </w:rPr>
        <w:t>בשלב זה אסקור מספר פסקי דין</w:t>
      </w:r>
      <w:r w:rsidRPr="0095161A">
        <w:rPr>
          <w:rFonts w:ascii="Arial" w:hAnsi="Arial" w:hint="cs"/>
          <w:rtl/>
        </w:rPr>
        <w:t xml:space="preserve"> מהם ניתן להקיש לענייננו, </w:t>
      </w:r>
      <w:r w:rsidRPr="0095161A">
        <w:rPr>
          <w:rFonts w:ascii="Arial" w:hAnsi="Arial"/>
          <w:rtl/>
        </w:rPr>
        <w:t>אם כי יש לזכור כי לא כל מקרה דומה למקרה ה</w:t>
      </w:r>
      <w:r>
        <w:rPr>
          <w:rFonts w:ascii="Arial" w:hAnsi="Arial"/>
          <w:rtl/>
        </w:rPr>
        <w:t>אחר ותמיד תהיה שונות בין המקרים</w:t>
      </w:r>
      <w:r>
        <w:rPr>
          <w:rFonts w:ascii="Arial" w:hAnsi="Arial" w:hint="cs"/>
          <w:rtl/>
        </w:rPr>
        <w:t>; עוד יש לזכור את קריאתו של בית המשפט העליון להחמרה בעבירות נשק.</w:t>
      </w:r>
    </w:p>
    <w:p w14:paraId="5B0B71C2" w14:textId="77777777" w:rsidR="008832BE" w:rsidRPr="009F160C" w:rsidRDefault="008832BE" w:rsidP="008832BE">
      <w:pPr>
        <w:pStyle w:val="a9"/>
        <w:rPr>
          <w:rFonts w:ascii="Arial" w:hAnsi="Arial"/>
          <w:rtl/>
        </w:rPr>
      </w:pPr>
    </w:p>
    <w:p w14:paraId="61181077" w14:textId="77777777" w:rsidR="008832BE" w:rsidRDefault="008832BE" w:rsidP="008832BE">
      <w:pPr>
        <w:spacing w:line="360" w:lineRule="auto"/>
        <w:ind w:firstLine="567"/>
        <w:jc w:val="both"/>
        <w:rPr>
          <w:rFonts w:ascii="Arial" w:hAnsi="Arial"/>
          <w:rtl/>
        </w:rPr>
      </w:pPr>
      <w:r>
        <w:rPr>
          <w:rFonts w:ascii="Arial" w:hAnsi="Arial" w:hint="cs"/>
          <w:rtl/>
        </w:rPr>
        <w:t xml:space="preserve">(-) </w:t>
      </w:r>
      <w:hyperlink r:id="rId63" w:history="1">
        <w:r w:rsidR="00A003AB" w:rsidRPr="00A003AB">
          <w:rPr>
            <w:rFonts w:ascii="Arial" w:hAnsi="Arial"/>
            <w:color w:val="0000FF"/>
            <w:u w:val="single"/>
            <w:rtl/>
          </w:rPr>
          <w:t>ע"פ 1944/20</w:t>
        </w:r>
      </w:hyperlink>
      <w:r w:rsidRPr="009F160C">
        <w:rPr>
          <w:rFonts w:ascii="Arial" w:hAnsi="Arial"/>
          <w:rtl/>
        </w:rPr>
        <w:t xml:space="preserve"> </w:t>
      </w:r>
      <w:r w:rsidRPr="009F160C">
        <w:rPr>
          <w:rFonts w:ascii="Arial" w:hAnsi="Arial"/>
          <w:b/>
          <w:bCs/>
          <w:rtl/>
        </w:rPr>
        <w:t>אמארה נ' מדינת ישראל</w:t>
      </w:r>
      <w:r w:rsidRPr="009F160C">
        <w:rPr>
          <w:rFonts w:ascii="Arial" w:hAnsi="Arial"/>
          <w:rtl/>
        </w:rPr>
        <w:t xml:space="preserve"> (2.9.</w:t>
      </w:r>
      <w:r>
        <w:rPr>
          <w:rFonts w:ascii="Arial" w:hAnsi="Arial" w:hint="cs"/>
          <w:rtl/>
        </w:rPr>
        <w:t>20</w:t>
      </w:r>
      <w:r>
        <w:rPr>
          <w:rFonts w:ascii="Arial" w:hAnsi="Arial"/>
          <w:rtl/>
        </w:rPr>
        <w:t>20)</w:t>
      </w:r>
      <w:r>
        <w:rPr>
          <w:rFonts w:ascii="Arial" w:hAnsi="Arial" w:hint="cs"/>
          <w:rtl/>
        </w:rPr>
        <w:t xml:space="preserve"> </w:t>
      </w:r>
      <w:r>
        <w:rPr>
          <w:rFonts w:ascii="Arial" w:hAnsi="Arial"/>
          <w:rtl/>
        </w:rPr>
        <w:t>–</w:t>
      </w:r>
      <w:r>
        <w:rPr>
          <w:rFonts w:ascii="Arial" w:hAnsi="Arial" w:hint="cs"/>
          <w:rtl/>
        </w:rPr>
        <w:t xml:space="preserve"> במקרה זה </w:t>
      </w:r>
      <w:r w:rsidRPr="009F160C">
        <w:rPr>
          <w:rFonts w:ascii="Arial" w:hAnsi="Arial"/>
          <w:rtl/>
        </w:rPr>
        <w:t xml:space="preserve">נדחה ערעורו של מי שהורשע בעבירות של סחר בנשק שלא כדין (תת מקלע מסוג </w:t>
      </w:r>
      <w:r w:rsidRPr="009F160C">
        <w:rPr>
          <w:rFonts w:ascii="Arial" w:hAnsi="Arial"/>
        </w:rPr>
        <w:t>CZ</w:t>
      </w:r>
      <w:r>
        <w:rPr>
          <w:rFonts w:ascii="Arial" w:hAnsi="Arial"/>
          <w:rtl/>
        </w:rPr>
        <w:t xml:space="preserve"> ומחסנית ריקה </w:t>
      </w:r>
      <w:r w:rsidRPr="009F160C">
        <w:rPr>
          <w:rFonts w:ascii="Arial" w:hAnsi="Arial"/>
          <w:rtl/>
        </w:rPr>
        <w:t>תואמת לנשק), החזקה ונשיאה של נשק, נהיגה ללא רישיון נהיגה תקף וללא פוליסת ביטוח תקפה. בית המשפט המחוזי קבע מתחם ענישה הנע בין 3 ל- 6 שנות מאסר בפועל, וגזר על המ</w:t>
      </w:r>
      <w:r>
        <w:rPr>
          <w:rFonts w:ascii="Arial" w:hAnsi="Arial"/>
          <w:rtl/>
        </w:rPr>
        <w:t xml:space="preserve">ערער עונש של </w:t>
      </w:r>
      <w:r w:rsidRPr="003F29AD">
        <w:rPr>
          <w:rFonts w:ascii="Arial" w:hAnsi="Arial"/>
          <w:rtl/>
        </w:rPr>
        <w:t>6 שנות מאסר בפועל</w:t>
      </w:r>
      <w:r w:rsidRPr="003F29AD">
        <w:rPr>
          <w:rFonts w:ascii="Arial" w:hAnsi="Arial" w:hint="cs"/>
          <w:rtl/>
        </w:rPr>
        <w:t>.</w:t>
      </w:r>
      <w:r>
        <w:rPr>
          <w:rFonts w:ascii="Arial" w:hAnsi="Arial" w:hint="cs"/>
          <w:rtl/>
        </w:rPr>
        <w:t xml:space="preserve"> בית המשפט העליון ציין כי </w:t>
      </w:r>
      <w:r w:rsidRPr="00F13A19">
        <w:rPr>
          <w:rFonts w:ascii="Arial" w:hAnsi="Arial"/>
          <w:rtl/>
        </w:rPr>
        <w:t>אמנם מתחם הענישה שקבע בית המשפט המחוזי הוא גבוה יחסית בהשוואה למתחם הנוהג בעבירות נשק, במיוחד בהינתן שליבת כתב ה</w:t>
      </w:r>
      <w:r>
        <w:rPr>
          <w:rFonts w:ascii="Arial" w:hAnsi="Arial"/>
          <w:rtl/>
        </w:rPr>
        <w:t>אישום עניינה בעסקת נשק אחת בלבד</w:t>
      </w:r>
      <w:r>
        <w:rPr>
          <w:rFonts w:ascii="Arial" w:hAnsi="Arial" w:hint="cs"/>
          <w:rtl/>
        </w:rPr>
        <w:t>;</w:t>
      </w:r>
      <w:r w:rsidRPr="00F13A19">
        <w:rPr>
          <w:rFonts w:ascii="Arial" w:hAnsi="Arial"/>
          <w:rtl/>
        </w:rPr>
        <w:t xml:space="preserve"> עם זאת, </w:t>
      </w:r>
      <w:r>
        <w:rPr>
          <w:rFonts w:ascii="Arial" w:hAnsi="Arial" w:hint="cs"/>
          <w:rtl/>
        </w:rPr>
        <w:t xml:space="preserve">נקבע כי המתחם </w:t>
      </w:r>
      <w:r w:rsidRPr="00F13A19">
        <w:rPr>
          <w:rFonts w:ascii="Arial" w:hAnsi="Arial"/>
          <w:rtl/>
        </w:rPr>
        <w:t>אינו חורג ממרחב הגמישות שנתון לערכאה הדיונית</w:t>
      </w:r>
      <w:r>
        <w:rPr>
          <w:rFonts w:ascii="Arial" w:hAnsi="Arial" w:hint="cs"/>
          <w:rtl/>
        </w:rPr>
        <w:t xml:space="preserve">. </w:t>
      </w:r>
    </w:p>
    <w:p w14:paraId="733CA222" w14:textId="77777777" w:rsidR="008832BE" w:rsidRPr="009F160C" w:rsidRDefault="008832BE" w:rsidP="008832BE">
      <w:pPr>
        <w:spacing w:line="360" w:lineRule="auto"/>
        <w:jc w:val="both"/>
        <w:rPr>
          <w:rFonts w:ascii="Arial" w:hAnsi="Arial"/>
        </w:rPr>
      </w:pPr>
    </w:p>
    <w:p w14:paraId="7824EAAF" w14:textId="77777777" w:rsidR="008832BE" w:rsidRDefault="008832BE" w:rsidP="008832BE">
      <w:pPr>
        <w:spacing w:line="360" w:lineRule="auto"/>
        <w:ind w:firstLine="567"/>
        <w:jc w:val="both"/>
        <w:rPr>
          <w:rFonts w:ascii="Arial" w:hAnsi="Arial"/>
          <w:rtl/>
        </w:rPr>
      </w:pPr>
      <w:r>
        <w:rPr>
          <w:rFonts w:ascii="Arial" w:hAnsi="Arial" w:hint="cs"/>
          <w:rtl/>
        </w:rPr>
        <w:t xml:space="preserve">(-) </w:t>
      </w:r>
      <w:hyperlink r:id="rId64" w:history="1">
        <w:r w:rsidR="00A003AB" w:rsidRPr="00A003AB">
          <w:rPr>
            <w:rFonts w:ascii="Arial" w:hAnsi="Arial"/>
            <w:color w:val="0000FF"/>
            <w:u w:val="single"/>
            <w:rtl/>
          </w:rPr>
          <w:t>ע"פ 7317/13</w:t>
        </w:r>
      </w:hyperlink>
      <w:r w:rsidRPr="007B43C0">
        <w:rPr>
          <w:rFonts w:ascii="Arial" w:hAnsi="Arial"/>
          <w:rtl/>
        </w:rPr>
        <w:t xml:space="preserve"> </w:t>
      </w:r>
      <w:r w:rsidRPr="007B43C0">
        <w:rPr>
          <w:rFonts w:ascii="Arial" w:hAnsi="Arial"/>
          <w:b/>
          <w:bCs/>
          <w:rtl/>
        </w:rPr>
        <w:t>חג'אב נ</w:t>
      </w:r>
      <w:r w:rsidRPr="007B43C0">
        <w:rPr>
          <w:rFonts w:ascii="Arial" w:hAnsi="Arial" w:hint="cs"/>
          <w:b/>
          <w:bCs/>
          <w:rtl/>
        </w:rPr>
        <w:t>'</w:t>
      </w:r>
      <w:r w:rsidRPr="007B43C0">
        <w:rPr>
          <w:rFonts w:ascii="Arial" w:hAnsi="Arial"/>
          <w:b/>
          <w:bCs/>
          <w:rtl/>
        </w:rPr>
        <w:t xml:space="preserve"> מדינת ישראל</w:t>
      </w:r>
      <w:r w:rsidRPr="007B43C0">
        <w:rPr>
          <w:rFonts w:ascii="Arial" w:hAnsi="Arial"/>
          <w:rtl/>
        </w:rPr>
        <w:t xml:space="preserve"> (19.5.</w:t>
      </w:r>
      <w:r>
        <w:rPr>
          <w:rFonts w:ascii="Arial" w:hAnsi="Arial" w:hint="cs"/>
          <w:rtl/>
        </w:rPr>
        <w:t>20</w:t>
      </w:r>
      <w:r w:rsidRPr="007B43C0">
        <w:rPr>
          <w:rFonts w:ascii="Arial" w:hAnsi="Arial"/>
          <w:rtl/>
        </w:rPr>
        <w:t>14)</w:t>
      </w:r>
      <w:r>
        <w:rPr>
          <w:rFonts w:ascii="Arial" w:hAnsi="Arial" w:hint="cs"/>
          <w:rtl/>
        </w:rPr>
        <w:t xml:space="preserve"> </w:t>
      </w:r>
      <w:r>
        <w:rPr>
          <w:rFonts w:ascii="Arial" w:hAnsi="Arial"/>
          <w:rtl/>
        </w:rPr>
        <w:t>–</w:t>
      </w:r>
      <w:r>
        <w:rPr>
          <w:rFonts w:ascii="Arial" w:hAnsi="Arial" w:hint="cs"/>
          <w:rtl/>
        </w:rPr>
        <w:t xml:space="preserve"> במקרה זה </w:t>
      </w:r>
      <w:r w:rsidRPr="007B43C0">
        <w:rPr>
          <w:rFonts w:ascii="Arial" w:hAnsi="Arial"/>
          <w:rtl/>
        </w:rPr>
        <w:t xml:space="preserve">בית המשפט העליון </w:t>
      </w:r>
      <w:r>
        <w:rPr>
          <w:rFonts w:ascii="Arial" w:hAnsi="Arial" w:hint="cs"/>
          <w:rtl/>
        </w:rPr>
        <w:t xml:space="preserve">אישר </w:t>
      </w:r>
      <w:r w:rsidRPr="007B43C0">
        <w:rPr>
          <w:rFonts w:ascii="Arial" w:hAnsi="Arial"/>
          <w:rtl/>
        </w:rPr>
        <w:t xml:space="preserve">את גזר דינו של בית המשפט המחוזי בחיפה, שבו </w:t>
      </w:r>
      <w:r>
        <w:rPr>
          <w:rFonts w:ascii="Arial" w:hAnsi="Arial" w:hint="cs"/>
          <w:rtl/>
        </w:rPr>
        <w:t xml:space="preserve">הוטלו על הנאשם 60 חודשי מאסר </w:t>
      </w:r>
      <w:r w:rsidRPr="007B43C0">
        <w:rPr>
          <w:rFonts w:ascii="Arial" w:hAnsi="Arial"/>
          <w:rtl/>
        </w:rPr>
        <w:t>בגין סחר בנשק שלא כדין</w:t>
      </w:r>
      <w:r>
        <w:rPr>
          <w:rFonts w:ascii="Arial" w:hAnsi="Arial" w:hint="cs"/>
          <w:rtl/>
        </w:rPr>
        <w:t xml:space="preserve"> </w:t>
      </w:r>
      <w:r>
        <w:rPr>
          <w:rFonts w:ascii="Arial" w:hAnsi="Arial"/>
          <w:rtl/>
        </w:rPr>
        <w:t>–</w:t>
      </w:r>
      <w:r>
        <w:rPr>
          <w:rFonts w:ascii="Arial" w:hAnsi="Arial" w:hint="cs"/>
          <w:rtl/>
        </w:rPr>
        <w:t xml:space="preserve"> א</w:t>
      </w:r>
      <w:r w:rsidRPr="007B43C0">
        <w:rPr>
          <w:rFonts w:ascii="Arial" w:hAnsi="Arial"/>
          <w:rtl/>
        </w:rPr>
        <w:t>קדח מסוג ברטה ומחסנית</w:t>
      </w:r>
      <w:r>
        <w:rPr>
          <w:rFonts w:ascii="Arial" w:hAnsi="Arial" w:hint="cs"/>
          <w:rtl/>
        </w:rPr>
        <w:t xml:space="preserve">. מתחם העונש שנקבע על ידי בית המשפט המחוזי </w:t>
      </w:r>
      <w:r w:rsidRPr="007B43C0">
        <w:rPr>
          <w:rFonts w:ascii="Arial" w:hAnsi="Arial"/>
          <w:rtl/>
        </w:rPr>
        <w:t xml:space="preserve">נע בין </w:t>
      </w:r>
      <w:r>
        <w:rPr>
          <w:rFonts w:ascii="Arial" w:hAnsi="Arial" w:hint="cs"/>
          <w:rtl/>
        </w:rPr>
        <w:t>3 ל-5.5 שנות</w:t>
      </w:r>
      <w:r w:rsidRPr="007B43C0">
        <w:rPr>
          <w:rFonts w:ascii="Arial" w:hAnsi="Arial"/>
          <w:rtl/>
        </w:rPr>
        <w:t xml:space="preserve"> מאסר בפועל. </w:t>
      </w:r>
    </w:p>
    <w:p w14:paraId="3B4C30FD" w14:textId="77777777" w:rsidR="008832BE" w:rsidRDefault="008832BE" w:rsidP="008832BE">
      <w:pPr>
        <w:spacing w:line="360" w:lineRule="auto"/>
        <w:jc w:val="both"/>
        <w:rPr>
          <w:rFonts w:ascii="Arial" w:hAnsi="Arial"/>
          <w:rtl/>
        </w:rPr>
      </w:pPr>
    </w:p>
    <w:p w14:paraId="750025A9" w14:textId="77777777" w:rsidR="008832BE" w:rsidRPr="007B43C0" w:rsidRDefault="008832BE" w:rsidP="008832BE">
      <w:pPr>
        <w:spacing w:line="360" w:lineRule="auto"/>
        <w:ind w:firstLine="567"/>
        <w:jc w:val="both"/>
        <w:rPr>
          <w:rFonts w:ascii="Arial" w:hAnsi="Arial"/>
          <w:rtl/>
        </w:rPr>
      </w:pPr>
      <w:r w:rsidRPr="007B43C0">
        <w:rPr>
          <w:rFonts w:ascii="Arial" w:hAnsi="Arial" w:hint="cs"/>
          <w:rtl/>
        </w:rPr>
        <w:t xml:space="preserve">(-) </w:t>
      </w:r>
      <w:hyperlink r:id="rId65" w:history="1">
        <w:r w:rsidR="00A003AB" w:rsidRPr="00A003AB">
          <w:rPr>
            <w:rFonts w:ascii="Arial" w:hAnsi="Arial"/>
            <w:color w:val="0000FF"/>
            <w:u w:val="single"/>
            <w:rtl/>
          </w:rPr>
          <w:t>ת"פ 56177-03-18</w:t>
        </w:r>
      </w:hyperlink>
      <w:r w:rsidRPr="007B43C0">
        <w:rPr>
          <w:rFonts w:ascii="Arial" w:hAnsi="Arial"/>
          <w:rtl/>
        </w:rPr>
        <w:t xml:space="preserve"> </w:t>
      </w:r>
      <w:r w:rsidRPr="007B43C0">
        <w:rPr>
          <w:rFonts w:ascii="Arial" w:hAnsi="Arial"/>
          <w:b/>
          <w:bCs/>
          <w:rtl/>
        </w:rPr>
        <w:t>מדינת ישראל נ' עוודאלה</w:t>
      </w:r>
      <w:r w:rsidRPr="007B43C0">
        <w:rPr>
          <w:rFonts w:ascii="Arial" w:hAnsi="Arial"/>
          <w:rtl/>
        </w:rPr>
        <w:t xml:space="preserve"> (29.4.</w:t>
      </w:r>
      <w:r w:rsidRPr="007B43C0">
        <w:rPr>
          <w:rFonts w:ascii="Arial" w:hAnsi="Arial" w:hint="cs"/>
          <w:rtl/>
        </w:rPr>
        <w:t>20</w:t>
      </w:r>
      <w:r w:rsidRPr="007B43C0">
        <w:rPr>
          <w:rFonts w:ascii="Arial" w:hAnsi="Arial"/>
          <w:rtl/>
        </w:rPr>
        <w:t>19)</w:t>
      </w:r>
      <w:r>
        <w:rPr>
          <w:rFonts w:ascii="Arial" w:hAnsi="Arial" w:hint="cs"/>
          <w:rtl/>
        </w:rPr>
        <w:t xml:space="preserve"> </w:t>
      </w:r>
      <w:r>
        <w:rPr>
          <w:rFonts w:ascii="Arial" w:hAnsi="Arial"/>
          <w:rtl/>
        </w:rPr>
        <w:t>–</w:t>
      </w:r>
      <w:r>
        <w:rPr>
          <w:rFonts w:ascii="Arial" w:hAnsi="Arial" w:hint="cs"/>
          <w:rtl/>
        </w:rPr>
        <w:t xml:space="preserve"> במקרה זה </w:t>
      </w:r>
      <w:r w:rsidRPr="007B43C0">
        <w:rPr>
          <w:rFonts w:ascii="Arial" w:hAnsi="Arial"/>
          <w:rtl/>
        </w:rPr>
        <w:t>בית המשפט המחוזי ה</w:t>
      </w:r>
      <w:r>
        <w:rPr>
          <w:rFonts w:ascii="Arial" w:hAnsi="Arial" w:hint="cs"/>
          <w:rtl/>
        </w:rPr>
        <w:t>טיל</w:t>
      </w:r>
      <w:r w:rsidRPr="007B43C0">
        <w:rPr>
          <w:rFonts w:ascii="Arial" w:hAnsi="Arial"/>
          <w:rtl/>
        </w:rPr>
        <w:t xml:space="preserve"> על נאשם שהורשע בביצוע עסקה אחרת בנשק מסוג </w:t>
      </w:r>
      <w:r w:rsidRPr="007B43C0">
        <w:rPr>
          <w:rFonts w:ascii="Arial" w:hAnsi="Arial"/>
        </w:rPr>
        <w:t>M-16</w:t>
      </w:r>
      <w:r w:rsidRPr="007B43C0">
        <w:rPr>
          <w:rFonts w:ascii="Arial" w:hAnsi="Arial" w:hint="cs"/>
          <w:rtl/>
        </w:rPr>
        <w:t xml:space="preserve"> </w:t>
      </w:r>
      <w:r w:rsidRPr="007B43C0">
        <w:rPr>
          <w:rFonts w:ascii="Arial" w:hAnsi="Arial"/>
          <w:rtl/>
        </w:rPr>
        <w:t xml:space="preserve">מאולתר, ללא קבלת תמורה, עונש של </w:t>
      </w:r>
      <w:r w:rsidRPr="003F29AD">
        <w:rPr>
          <w:rFonts w:ascii="Arial" w:hAnsi="Arial"/>
          <w:rtl/>
        </w:rPr>
        <w:t>18 חודשי מאסר בפועל.</w:t>
      </w:r>
      <w:r w:rsidRPr="007B43C0">
        <w:rPr>
          <w:rFonts w:ascii="Arial" w:hAnsi="Arial"/>
          <w:rtl/>
        </w:rPr>
        <w:t xml:space="preserve"> נקבע כי מתחם העונש ההולם נע </w:t>
      </w:r>
      <w:r w:rsidRPr="007B43C0">
        <w:rPr>
          <w:rFonts w:ascii="Arial" w:hAnsi="Arial" w:hint="cs"/>
          <w:rtl/>
        </w:rPr>
        <w:t xml:space="preserve">בין </w:t>
      </w:r>
      <w:r w:rsidRPr="007B43C0">
        <w:rPr>
          <w:rFonts w:ascii="Arial" w:hAnsi="Arial"/>
          <w:rtl/>
        </w:rPr>
        <w:t xml:space="preserve">15 </w:t>
      </w:r>
      <w:r w:rsidRPr="007B43C0">
        <w:rPr>
          <w:rFonts w:ascii="Arial" w:hAnsi="Arial" w:hint="cs"/>
          <w:rtl/>
        </w:rPr>
        <w:t>ל-</w:t>
      </w:r>
      <w:r w:rsidRPr="007B43C0">
        <w:rPr>
          <w:rFonts w:ascii="Arial" w:hAnsi="Arial"/>
          <w:rtl/>
        </w:rPr>
        <w:t>36 חודשי מאסר בפועל</w:t>
      </w:r>
      <w:r w:rsidRPr="007B43C0">
        <w:rPr>
          <w:rFonts w:ascii="Arial" w:hAnsi="Arial" w:hint="cs"/>
          <w:rtl/>
        </w:rPr>
        <w:t xml:space="preserve">. </w:t>
      </w:r>
    </w:p>
    <w:p w14:paraId="21B1B6BD" w14:textId="77777777" w:rsidR="008832BE" w:rsidRDefault="008832BE" w:rsidP="008832BE">
      <w:pPr>
        <w:pStyle w:val="a9"/>
        <w:spacing w:line="360" w:lineRule="auto"/>
        <w:ind w:left="57"/>
        <w:jc w:val="both"/>
        <w:rPr>
          <w:rFonts w:ascii="Arial" w:hAnsi="Arial"/>
          <w:rtl/>
        </w:rPr>
      </w:pPr>
    </w:p>
    <w:p w14:paraId="39BC2B54" w14:textId="77777777" w:rsidR="008832BE" w:rsidRDefault="008832BE" w:rsidP="008832BE">
      <w:pPr>
        <w:pStyle w:val="a9"/>
        <w:spacing w:line="360" w:lineRule="auto"/>
        <w:ind w:left="57" w:firstLine="510"/>
        <w:jc w:val="both"/>
        <w:rPr>
          <w:rFonts w:ascii="Arial" w:hAnsi="Arial"/>
          <w:rtl/>
        </w:rPr>
      </w:pPr>
      <w:r>
        <w:rPr>
          <w:rFonts w:ascii="Arial" w:hAnsi="Arial" w:hint="cs"/>
          <w:rtl/>
        </w:rPr>
        <w:t xml:space="preserve">(-) </w:t>
      </w:r>
      <w:hyperlink r:id="rId66" w:history="1">
        <w:r w:rsidR="00A003AB" w:rsidRPr="00A003AB">
          <w:rPr>
            <w:rFonts w:ascii="Arial" w:hAnsi="Arial"/>
            <w:color w:val="0000FF"/>
            <w:u w:val="single"/>
            <w:rtl/>
          </w:rPr>
          <w:t>ת"פ (מחוזי ירושלים) 24215-06-13</w:t>
        </w:r>
      </w:hyperlink>
      <w:r w:rsidRPr="005538AC">
        <w:rPr>
          <w:rFonts w:ascii="Arial" w:hAnsi="Arial"/>
          <w:rtl/>
        </w:rPr>
        <w:t xml:space="preserve"> </w:t>
      </w:r>
      <w:r w:rsidRPr="005538AC">
        <w:rPr>
          <w:rFonts w:ascii="Arial" w:hAnsi="Arial"/>
          <w:b/>
          <w:bCs/>
          <w:rtl/>
        </w:rPr>
        <w:t>מדינת ישראל נ' דוידאר</w:t>
      </w:r>
      <w:r w:rsidRPr="005538AC">
        <w:rPr>
          <w:rFonts w:ascii="Arial" w:hAnsi="Arial"/>
          <w:rtl/>
        </w:rPr>
        <w:t xml:space="preserve"> (17.2.2014)</w:t>
      </w:r>
      <w:r>
        <w:rPr>
          <w:rFonts w:ascii="Arial" w:hAnsi="Arial" w:hint="cs"/>
          <w:rtl/>
        </w:rPr>
        <w:t xml:space="preserve"> </w:t>
      </w:r>
      <w:r>
        <w:rPr>
          <w:rFonts w:ascii="Arial" w:hAnsi="Arial"/>
          <w:rtl/>
        </w:rPr>
        <w:t>–</w:t>
      </w:r>
      <w:r>
        <w:rPr>
          <w:rFonts w:ascii="Arial" w:hAnsi="Arial" w:hint="cs"/>
          <w:rtl/>
        </w:rPr>
        <w:t xml:space="preserve"> </w:t>
      </w:r>
      <w:r w:rsidRPr="005538AC">
        <w:rPr>
          <w:rFonts w:ascii="Arial" w:hAnsi="Arial"/>
          <w:rtl/>
        </w:rPr>
        <w:t xml:space="preserve">על הנאשם שהורשע במכירת רובה </w:t>
      </w:r>
      <w:r>
        <w:rPr>
          <w:rFonts w:ascii="Arial" w:hAnsi="Arial" w:hint="cs"/>
          <w:rtl/>
        </w:rPr>
        <w:t xml:space="preserve">מסוג קרל גוסטב </w:t>
      </w:r>
      <w:r w:rsidRPr="005538AC">
        <w:rPr>
          <w:rFonts w:ascii="Arial" w:hAnsi="Arial"/>
          <w:rtl/>
        </w:rPr>
        <w:t xml:space="preserve">לסוכן משטרה, הוטל עונש של </w:t>
      </w:r>
      <w:r w:rsidRPr="003F29AD">
        <w:rPr>
          <w:rFonts w:ascii="Arial" w:hAnsi="Arial"/>
          <w:rtl/>
        </w:rPr>
        <w:t>36 חודשי מאסר</w:t>
      </w:r>
      <w:r w:rsidRPr="003F29AD">
        <w:rPr>
          <w:rFonts w:ascii="Arial" w:hAnsi="Arial" w:hint="cs"/>
          <w:rtl/>
        </w:rPr>
        <w:t xml:space="preserve"> בפועל</w:t>
      </w:r>
      <w:r w:rsidRPr="003F29AD">
        <w:rPr>
          <w:rFonts w:ascii="Arial" w:hAnsi="Arial"/>
          <w:rtl/>
        </w:rPr>
        <w:t>,</w:t>
      </w:r>
      <w:r w:rsidRPr="005538AC">
        <w:rPr>
          <w:rFonts w:ascii="Arial" w:hAnsi="Arial"/>
          <w:rtl/>
        </w:rPr>
        <w:t xml:space="preserve"> לאחר שנקבע שמתחם </w:t>
      </w:r>
      <w:r>
        <w:rPr>
          <w:rFonts w:ascii="Arial" w:hAnsi="Arial" w:hint="cs"/>
          <w:rtl/>
        </w:rPr>
        <w:t xml:space="preserve">העונש ההולם נע </w:t>
      </w:r>
      <w:r w:rsidRPr="005538AC">
        <w:rPr>
          <w:rFonts w:ascii="Arial" w:hAnsi="Arial"/>
          <w:rtl/>
        </w:rPr>
        <w:t>בין 24 ל-48 חודשי מאסר</w:t>
      </w:r>
      <w:r>
        <w:rPr>
          <w:rFonts w:ascii="Arial" w:hAnsi="Arial" w:hint="cs"/>
          <w:rtl/>
        </w:rPr>
        <w:t xml:space="preserve"> בפועל.</w:t>
      </w:r>
    </w:p>
    <w:p w14:paraId="02D717FA" w14:textId="77777777" w:rsidR="008832BE" w:rsidRDefault="008832BE" w:rsidP="008832BE">
      <w:pPr>
        <w:pStyle w:val="a9"/>
        <w:spacing w:line="360" w:lineRule="auto"/>
        <w:ind w:left="57"/>
        <w:jc w:val="both"/>
        <w:rPr>
          <w:rFonts w:ascii="Arial" w:hAnsi="Arial"/>
          <w:rtl/>
        </w:rPr>
      </w:pPr>
    </w:p>
    <w:p w14:paraId="10BF78DC" w14:textId="77777777" w:rsidR="008832BE" w:rsidRPr="00B43AE1" w:rsidRDefault="008832BE" w:rsidP="008832BE">
      <w:pPr>
        <w:pStyle w:val="a9"/>
        <w:spacing w:line="360" w:lineRule="auto"/>
        <w:ind w:left="57" w:firstLine="510"/>
        <w:jc w:val="both"/>
        <w:rPr>
          <w:rFonts w:ascii="Arial" w:hAnsi="Arial"/>
          <w:rtl/>
        </w:rPr>
      </w:pPr>
      <w:r>
        <w:rPr>
          <w:rFonts w:ascii="Arial" w:hAnsi="Arial" w:hint="cs"/>
          <w:rtl/>
        </w:rPr>
        <w:t xml:space="preserve">(-) </w:t>
      </w:r>
      <w:hyperlink r:id="rId67" w:history="1">
        <w:r w:rsidR="00A003AB" w:rsidRPr="00A003AB">
          <w:rPr>
            <w:rFonts w:ascii="Arial" w:hAnsi="Arial"/>
            <w:color w:val="0000FF"/>
            <w:u w:val="single"/>
            <w:rtl/>
          </w:rPr>
          <w:t>ת"פ (מחוזי ירושלים) 35608-04-18</w:t>
        </w:r>
      </w:hyperlink>
      <w:r w:rsidRPr="00B43AE1">
        <w:rPr>
          <w:rFonts w:ascii="Arial" w:hAnsi="Arial"/>
          <w:rtl/>
        </w:rPr>
        <w:t xml:space="preserve"> </w:t>
      </w:r>
      <w:r w:rsidRPr="00B43AE1">
        <w:rPr>
          <w:rFonts w:ascii="Arial" w:hAnsi="Arial"/>
          <w:b/>
          <w:bCs/>
          <w:rtl/>
        </w:rPr>
        <w:t>מדינת ישראל נ' קורד</w:t>
      </w:r>
      <w:r w:rsidRPr="00B43AE1">
        <w:rPr>
          <w:rFonts w:ascii="Arial" w:hAnsi="Arial"/>
          <w:rtl/>
        </w:rPr>
        <w:t xml:space="preserve"> (28.2.2019)</w:t>
      </w:r>
      <w:r>
        <w:rPr>
          <w:rFonts w:ascii="Arial" w:hAnsi="Arial" w:hint="cs"/>
          <w:rtl/>
        </w:rPr>
        <w:t xml:space="preserve"> </w:t>
      </w:r>
      <w:r>
        <w:rPr>
          <w:rFonts w:ascii="Arial" w:hAnsi="Arial"/>
          <w:rtl/>
        </w:rPr>
        <w:t>–</w:t>
      </w:r>
      <w:r>
        <w:rPr>
          <w:rFonts w:ascii="Arial" w:hAnsi="Arial" w:hint="cs"/>
          <w:rtl/>
        </w:rPr>
        <w:t xml:space="preserve"> ה</w:t>
      </w:r>
      <w:r w:rsidRPr="00B43AE1">
        <w:rPr>
          <w:rFonts w:ascii="Arial" w:hAnsi="Arial"/>
          <w:rtl/>
        </w:rPr>
        <w:t>נאשם הורשע בשתי עב</w:t>
      </w:r>
      <w:r>
        <w:rPr>
          <w:rFonts w:ascii="Arial" w:hAnsi="Arial" w:hint="cs"/>
          <w:rtl/>
        </w:rPr>
        <w:t>ירות</w:t>
      </w:r>
      <w:r w:rsidRPr="00B43AE1">
        <w:rPr>
          <w:rFonts w:ascii="Arial" w:hAnsi="Arial"/>
          <w:rtl/>
        </w:rPr>
        <w:t xml:space="preserve"> של סחר בנשק, בקשר לשתי עסקאות. באחת נמכר אקדח </w:t>
      </w:r>
      <w:r>
        <w:rPr>
          <w:rFonts w:ascii="Arial" w:hAnsi="Arial" w:hint="cs"/>
          <w:rtl/>
        </w:rPr>
        <w:t xml:space="preserve">מסוג סטאר </w:t>
      </w:r>
      <w:r w:rsidRPr="00B43AE1">
        <w:rPr>
          <w:rFonts w:ascii="Arial" w:hAnsi="Arial"/>
          <w:rtl/>
        </w:rPr>
        <w:t>עם מחסנית וכדורים ובשנייה נמכר רובה סער מסוג</w:t>
      </w:r>
      <w:r>
        <w:rPr>
          <w:rFonts w:ascii="Arial" w:hAnsi="Arial" w:hint="cs"/>
          <w:rtl/>
        </w:rPr>
        <w:t xml:space="preserve"> </w:t>
      </w:r>
      <w:r>
        <w:rPr>
          <w:rFonts w:ascii="Arial" w:hAnsi="Arial" w:hint="cs"/>
        </w:rPr>
        <w:t>M-16</w:t>
      </w:r>
      <w:r w:rsidRPr="00B43AE1">
        <w:rPr>
          <w:rFonts w:ascii="Arial" w:hAnsi="Arial"/>
          <w:rtl/>
        </w:rPr>
        <w:t xml:space="preserve"> עם מחסנית וכדורים. </w:t>
      </w:r>
      <w:r>
        <w:rPr>
          <w:rFonts w:ascii="Arial" w:hAnsi="Arial" w:hint="cs"/>
          <w:rtl/>
        </w:rPr>
        <w:t xml:space="preserve">על הנאשם, נעדר עבר פלילי, הוטלו </w:t>
      </w:r>
      <w:r w:rsidRPr="003F29AD">
        <w:rPr>
          <w:rFonts w:ascii="Arial" w:hAnsi="Arial" w:hint="cs"/>
          <w:rtl/>
        </w:rPr>
        <w:t>34 חודשי מאסר בפועל</w:t>
      </w:r>
      <w:r>
        <w:rPr>
          <w:rFonts w:ascii="Arial" w:hAnsi="Arial" w:hint="cs"/>
          <w:rtl/>
        </w:rPr>
        <w:t xml:space="preserve">, לאחר שנקבע שמתחם העונש ההולם נע בין 24 ל-72 </w:t>
      </w:r>
      <w:r w:rsidRPr="00B43AE1">
        <w:rPr>
          <w:rFonts w:ascii="Arial" w:hAnsi="Arial"/>
          <w:rtl/>
        </w:rPr>
        <w:t>חודשי מאסר</w:t>
      </w:r>
      <w:r>
        <w:rPr>
          <w:rFonts w:ascii="Arial" w:hAnsi="Arial" w:hint="cs"/>
          <w:rtl/>
        </w:rPr>
        <w:t xml:space="preserve"> בפועל</w:t>
      </w:r>
      <w:r w:rsidRPr="00B43AE1">
        <w:rPr>
          <w:rFonts w:ascii="Arial" w:hAnsi="Arial"/>
          <w:rtl/>
        </w:rPr>
        <w:t xml:space="preserve">. </w:t>
      </w:r>
    </w:p>
    <w:p w14:paraId="1C8C5BC1" w14:textId="77777777" w:rsidR="008832BE" w:rsidRDefault="008832BE" w:rsidP="008832BE">
      <w:pPr>
        <w:pStyle w:val="a9"/>
        <w:spacing w:line="360" w:lineRule="auto"/>
        <w:ind w:left="57"/>
        <w:jc w:val="both"/>
        <w:rPr>
          <w:rFonts w:ascii="Arial" w:hAnsi="Arial"/>
          <w:rtl/>
        </w:rPr>
      </w:pPr>
    </w:p>
    <w:p w14:paraId="4FA8BEB3" w14:textId="77777777" w:rsidR="008832BE" w:rsidRPr="00D313C9" w:rsidRDefault="008832BE" w:rsidP="008832BE">
      <w:pPr>
        <w:pStyle w:val="a9"/>
        <w:spacing w:line="360" w:lineRule="auto"/>
        <w:ind w:left="57" w:firstLine="510"/>
        <w:jc w:val="both"/>
        <w:rPr>
          <w:rFonts w:ascii="Arial" w:hAnsi="Arial"/>
          <w:rtl/>
        </w:rPr>
      </w:pPr>
      <w:r>
        <w:rPr>
          <w:rFonts w:ascii="Arial" w:hAnsi="Arial" w:hint="cs"/>
          <w:rtl/>
        </w:rPr>
        <w:t xml:space="preserve">(-) </w:t>
      </w:r>
      <w:hyperlink r:id="rId68" w:history="1">
        <w:r w:rsidR="00A003AB" w:rsidRPr="00A003AB">
          <w:rPr>
            <w:rFonts w:ascii="Arial" w:hAnsi="Arial"/>
            <w:color w:val="0000FF"/>
            <w:u w:val="single"/>
            <w:rtl/>
          </w:rPr>
          <w:t>ת"פ (מחוזי מרכז) 39998-08-15</w:t>
        </w:r>
      </w:hyperlink>
      <w:r w:rsidRPr="00D313C9">
        <w:rPr>
          <w:rFonts w:ascii="Arial" w:hAnsi="Arial"/>
          <w:rtl/>
        </w:rPr>
        <w:t xml:space="preserve"> </w:t>
      </w:r>
      <w:r w:rsidRPr="00D313C9">
        <w:rPr>
          <w:rFonts w:ascii="Arial" w:hAnsi="Arial"/>
          <w:b/>
          <w:bCs/>
          <w:rtl/>
        </w:rPr>
        <w:t>מדינת ישראל נ' קישק</w:t>
      </w:r>
      <w:r>
        <w:rPr>
          <w:rFonts w:ascii="Arial" w:hAnsi="Arial"/>
          <w:rtl/>
        </w:rPr>
        <w:t xml:space="preserve"> (27.10.2016)</w:t>
      </w:r>
      <w:r>
        <w:rPr>
          <w:rFonts w:ascii="Arial" w:hAnsi="Arial" w:hint="cs"/>
          <w:rtl/>
        </w:rPr>
        <w:t xml:space="preserve">: </w:t>
      </w:r>
      <w:r w:rsidRPr="00D313C9">
        <w:rPr>
          <w:rFonts w:ascii="Arial" w:hAnsi="Arial"/>
          <w:rtl/>
        </w:rPr>
        <w:t>הנאשם 1 הורשע בעבירה של סחר בנשק, שכלל רכישת שני אקדחים</w:t>
      </w:r>
      <w:r>
        <w:rPr>
          <w:rFonts w:ascii="Arial" w:hAnsi="Arial" w:hint="cs"/>
          <w:rtl/>
        </w:rPr>
        <w:t xml:space="preserve"> מסוג גלוק;</w:t>
      </w:r>
      <w:r w:rsidRPr="00D313C9">
        <w:rPr>
          <w:rFonts w:ascii="Arial" w:hAnsi="Arial"/>
          <w:rtl/>
        </w:rPr>
        <w:t xml:space="preserve"> </w:t>
      </w:r>
      <w:r>
        <w:rPr>
          <w:rFonts w:ascii="Arial" w:hAnsi="Arial" w:hint="cs"/>
          <w:rtl/>
        </w:rPr>
        <w:t xml:space="preserve">הוטלו עליו </w:t>
      </w:r>
      <w:r w:rsidRPr="003F29AD">
        <w:rPr>
          <w:rFonts w:ascii="Arial" w:hAnsi="Arial" w:hint="cs"/>
          <w:rtl/>
        </w:rPr>
        <w:t>30 חודשי מאסר בפועל,</w:t>
      </w:r>
      <w:r>
        <w:rPr>
          <w:rFonts w:ascii="Arial" w:hAnsi="Arial" w:hint="cs"/>
          <w:rtl/>
        </w:rPr>
        <w:t xml:space="preserve"> לאחר שנקבע שמתחם העונש ההולם נע בין </w:t>
      </w:r>
      <w:r w:rsidRPr="00D313C9">
        <w:rPr>
          <w:rFonts w:ascii="Arial" w:hAnsi="Arial"/>
          <w:rtl/>
        </w:rPr>
        <w:t>24 ל-48 חודשי מאסר</w:t>
      </w:r>
      <w:r>
        <w:rPr>
          <w:rFonts w:ascii="Arial" w:hAnsi="Arial" w:hint="cs"/>
          <w:rtl/>
        </w:rPr>
        <w:t xml:space="preserve"> בפועל.</w:t>
      </w:r>
    </w:p>
    <w:p w14:paraId="17A8ACBA" w14:textId="77777777" w:rsidR="008832BE" w:rsidRDefault="008832BE" w:rsidP="008832BE">
      <w:pPr>
        <w:pStyle w:val="a9"/>
        <w:spacing w:line="360" w:lineRule="auto"/>
        <w:ind w:left="57"/>
        <w:jc w:val="both"/>
        <w:rPr>
          <w:rFonts w:ascii="Arial" w:hAnsi="Arial"/>
          <w:rtl/>
        </w:rPr>
      </w:pPr>
    </w:p>
    <w:p w14:paraId="3CF70AED" w14:textId="77777777" w:rsidR="008832BE" w:rsidRDefault="008832BE" w:rsidP="008832BE">
      <w:pPr>
        <w:pStyle w:val="a9"/>
        <w:numPr>
          <w:ilvl w:val="0"/>
          <w:numId w:val="1"/>
        </w:numPr>
        <w:spacing w:line="360" w:lineRule="auto"/>
        <w:jc w:val="both"/>
        <w:rPr>
          <w:rFonts w:ascii="Arial" w:hAnsi="Arial"/>
        </w:rPr>
      </w:pPr>
      <w:r w:rsidRPr="000226A4">
        <w:rPr>
          <w:rFonts w:ascii="Arial" w:hAnsi="Arial"/>
          <w:rtl/>
        </w:rPr>
        <w:t>כפי שפורט לעיל, בית המשפט העליון חזר לא אחת על הצורך להטיל עונשים מחמירים בעבירות נשק, ותיקון 140 ל</w:t>
      </w:r>
      <w:hyperlink r:id="rId69" w:history="1">
        <w:r w:rsidR="00A003AB" w:rsidRPr="00A003AB">
          <w:rPr>
            <w:rFonts w:ascii="Arial" w:hAnsi="Arial"/>
            <w:color w:val="0000FF"/>
            <w:u w:val="single"/>
            <w:rtl/>
          </w:rPr>
          <w:t>חוק העונשין</w:t>
        </w:r>
      </w:hyperlink>
      <w:r w:rsidRPr="000226A4">
        <w:rPr>
          <w:rFonts w:ascii="Arial" w:hAnsi="Arial"/>
          <w:rtl/>
        </w:rPr>
        <w:t>, אשר קובע עונשי מינימום בעבירות נ</w:t>
      </w:r>
      <w:r>
        <w:rPr>
          <w:rFonts w:ascii="Arial" w:hAnsi="Arial" w:hint="cs"/>
          <w:rtl/>
        </w:rPr>
        <w:t>ש</w:t>
      </w:r>
      <w:r w:rsidRPr="000226A4">
        <w:rPr>
          <w:rFonts w:ascii="Arial" w:hAnsi="Arial"/>
          <w:rtl/>
        </w:rPr>
        <w:t xml:space="preserve">ק, בא </w:t>
      </w:r>
      <w:r>
        <w:rPr>
          <w:rFonts w:ascii="Arial" w:hAnsi="Arial" w:hint="cs"/>
          <w:rtl/>
        </w:rPr>
        <w:t xml:space="preserve">גם הוא </w:t>
      </w:r>
      <w:r w:rsidRPr="000226A4">
        <w:rPr>
          <w:rFonts w:ascii="Arial" w:hAnsi="Arial"/>
          <w:rtl/>
        </w:rPr>
        <w:t xml:space="preserve">לבטא מגמה מחמירה זו. על כן, </w:t>
      </w:r>
      <w:r>
        <w:rPr>
          <w:rFonts w:ascii="Arial" w:hAnsi="Arial" w:hint="cs"/>
          <w:rtl/>
        </w:rPr>
        <w:t>נ</w:t>
      </w:r>
      <w:r w:rsidRPr="000226A4">
        <w:rPr>
          <w:rFonts w:ascii="Arial" w:hAnsi="Arial"/>
          <w:rtl/>
        </w:rPr>
        <w:t xml:space="preserve">קודת המוצא בעבירות נשק הינה </w:t>
      </w:r>
      <w:r>
        <w:rPr>
          <w:rFonts w:ascii="Arial" w:hAnsi="Arial" w:hint="cs"/>
          <w:rtl/>
        </w:rPr>
        <w:t xml:space="preserve">ענישה </w:t>
      </w:r>
      <w:r w:rsidRPr="000226A4">
        <w:rPr>
          <w:rFonts w:ascii="Arial" w:hAnsi="Arial"/>
          <w:rtl/>
        </w:rPr>
        <w:t>מחמירה</w:t>
      </w:r>
      <w:r>
        <w:rPr>
          <w:rFonts w:ascii="Arial" w:hAnsi="Arial" w:hint="cs"/>
          <w:rtl/>
        </w:rPr>
        <w:t xml:space="preserve">. </w:t>
      </w:r>
      <w:r w:rsidRPr="000226A4">
        <w:rPr>
          <w:rFonts w:ascii="Arial" w:hAnsi="Arial"/>
          <w:rtl/>
        </w:rPr>
        <w:t>על כן</w:t>
      </w:r>
      <w:r>
        <w:rPr>
          <w:rFonts w:ascii="Arial" w:hAnsi="Arial" w:hint="cs"/>
          <w:rtl/>
        </w:rPr>
        <w:t>,</w:t>
      </w:r>
      <w:r w:rsidRPr="000226A4">
        <w:rPr>
          <w:rFonts w:ascii="Arial" w:hAnsi="Arial"/>
          <w:rtl/>
        </w:rPr>
        <w:t xml:space="preserve"> איני רואה צורך להידרש, נוסף על האמור, </w:t>
      </w:r>
      <w:hyperlink r:id="rId70" w:history="1">
        <w:r w:rsidR="00EB2285" w:rsidRPr="00EB2285">
          <w:rPr>
            <w:rStyle w:val="Hyperlink"/>
            <w:rFonts w:ascii="Arial" w:hAnsi="Arial"/>
            <w:rtl/>
          </w:rPr>
          <w:t>לסעיף 40ז</w:t>
        </w:r>
      </w:hyperlink>
      <w:r w:rsidRPr="000226A4">
        <w:rPr>
          <w:rFonts w:ascii="Arial" w:hAnsi="Arial"/>
          <w:rtl/>
        </w:rPr>
        <w:t xml:space="preserve"> ל</w:t>
      </w:r>
      <w:hyperlink r:id="rId71" w:history="1">
        <w:r w:rsidR="00A003AB" w:rsidRPr="00A003AB">
          <w:rPr>
            <w:rFonts w:ascii="Arial" w:hAnsi="Arial"/>
            <w:color w:val="0000FF"/>
            <w:u w:val="single"/>
            <w:rtl/>
          </w:rPr>
          <w:t>חוק העונשין</w:t>
        </w:r>
      </w:hyperlink>
      <w:r w:rsidRPr="000226A4">
        <w:rPr>
          <w:rFonts w:ascii="Arial" w:hAnsi="Arial"/>
          <w:rtl/>
        </w:rPr>
        <w:t xml:space="preserve"> </w:t>
      </w:r>
      <w:r>
        <w:rPr>
          <w:rFonts w:ascii="Arial" w:hAnsi="Arial" w:hint="cs"/>
          <w:rtl/>
        </w:rPr>
        <w:t>שעוסק ב</w:t>
      </w:r>
      <w:r w:rsidRPr="000226A4">
        <w:rPr>
          <w:rFonts w:ascii="Arial" w:hAnsi="Arial"/>
          <w:rtl/>
        </w:rPr>
        <w:t>החמרה בענישה לצורך הרתעת הרבים בעת קביעת עונשו של הנאשם.</w:t>
      </w:r>
    </w:p>
    <w:p w14:paraId="6C6AF824" w14:textId="77777777" w:rsidR="008832BE" w:rsidRPr="000226A4" w:rsidRDefault="008832BE" w:rsidP="008832BE">
      <w:pPr>
        <w:pStyle w:val="a9"/>
        <w:spacing w:line="360" w:lineRule="auto"/>
        <w:ind w:left="57"/>
        <w:jc w:val="both"/>
        <w:rPr>
          <w:rFonts w:ascii="Arial" w:hAnsi="Arial"/>
          <w:rtl/>
        </w:rPr>
      </w:pPr>
    </w:p>
    <w:p w14:paraId="5EBE794F" w14:textId="77777777" w:rsidR="008832BE" w:rsidRDefault="008832BE" w:rsidP="008832BE">
      <w:pPr>
        <w:pStyle w:val="a9"/>
        <w:numPr>
          <w:ilvl w:val="0"/>
          <w:numId w:val="1"/>
        </w:numPr>
        <w:spacing w:line="360" w:lineRule="auto"/>
        <w:jc w:val="both"/>
        <w:rPr>
          <w:rFonts w:ascii="Arial" w:hAnsi="Arial"/>
        </w:rPr>
      </w:pPr>
      <w:r w:rsidRPr="003000C0">
        <w:rPr>
          <w:rFonts w:ascii="Arial" w:hAnsi="Arial"/>
          <w:rtl/>
        </w:rPr>
        <w:t xml:space="preserve">בשים לב לעבירות בהן הורשע הנאשם ולנסיבות המקרה, אני קובע כי מתחם העונש ההולם בנסיבותיו של מקרה זה נע בין </w:t>
      </w:r>
      <w:r>
        <w:rPr>
          <w:rFonts w:ascii="Arial" w:hAnsi="Arial" w:hint="cs"/>
          <w:rtl/>
        </w:rPr>
        <w:t>36</w:t>
      </w:r>
      <w:r w:rsidRPr="003000C0">
        <w:rPr>
          <w:rFonts w:ascii="Arial" w:hAnsi="Arial"/>
          <w:rtl/>
        </w:rPr>
        <w:t xml:space="preserve"> ל-</w:t>
      </w:r>
      <w:r>
        <w:rPr>
          <w:rFonts w:ascii="Arial" w:hAnsi="Arial" w:hint="cs"/>
          <w:rtl/>
        </w:rPr>
        <w:t>60</w:t>
      </w:r>
      <w:r w:rsidRPr="003000C0">
        <w:rPr>
          <w:rFonts w:ascii="Arial" w:hAnsi="Arial"/>
          <w:rtl/>
        </w:rPr>
        <w:t xml:space="preserve"> חודש</w:t>
      </w:r>
      <w:r>
        <w:rPr>
          <w:rFonts w:ascii="Arial" w:hAnsi="Arial"/>
          <w:rtl/>
        </w:rPr>
        <w:t>י מאסר בפועל וכן מאסר על תנאי</w:t>
      </w:r>
      <w:r>
        <w:rPr>
          <w:rFonts w:ascii="Arial" w:hAnsi="Arial" w:hint="cs"/>
          <w:rtl/>
        </w:rPr>
        <w:t xml:space="preserve">. </w:t>
      </w:r>
    </w:p>
    <w:p w14:paraId="4C40ABD5" w14:textId="77777777" w:rsidR="008832BE" w:rsidRPr="009F3E5B" w:rsidRDefault="008832BE" w:rsidP="008832BE">
      <w:pPr>
        <w:pStyle w:val="a9"/>
        <w:spacing w:line="360" w:lineRule="auto"/>
        <w:ind w:left="57"/>
        <w:jc w:val="both"/>
        <w:rPr>
          <w:rFonts w:ascii="Arial" w:hAnsi="Arial"/>
          <w:rtl/>
        </w:rPr>
      </w:pPr>
    </w:p>
    <w:p w14:paraId="680CE5F0" w14:textId="77777777" w:rsidR="008832BE" w:rsidRPr="00392637" w:rsidRDefault="008832BE" w:rsidP="008832BE">
      <w:pPr>
        <w:spacing w:line="360" w:lineRule="auto"/>
        <w:jc w:val="both"/>
        <w:rPr>
          <w:rFonts w:ascii="Arial" w:hAnsi="Arial"/>
          <w:b/>
          <w:bCs/>
          <w:rtl/>
        </w:rPr>
      </w:pPr>
      <w:r w:rsidRPr="00392637">
        <w:rPr>
          <w:rFonts w:ascii="Arial" w:hAnsi="Arial"/>
          <w:b/>
          <w:bCs/>
          <w:rtl/>
        </w:rPr>
        <w:t>נסיבות שאינן קשורות בביצוע העביר</w:t>
      </w:r>
      <w:r w:rsidRPr="00392637">
        <w:rPr>
          <w:rFonts w:ascii="Arial" w:hAnsi="Arial" w:hint="cs"/>
          <w:b/>
          <w:bCs/>
          <w:rtl/>
        </w:rPr>
        <w:t>ה</w:t>
      </w:r>
    </w:p>
    <w:p w14:paraId="51DE270A" w14:textId="77777777" w:rsidR="008832BE" w:rsidRPr="00392637" w:rsidRDefault="008832BE" w:rsidP="008832BE">
      <w:pPr>
        <w:spacing w:line="360" w:lineRule="auto"/>
        <w:jc w:val="both"/>
        <w:rPr>
          <w:rFonts w:ascii="Arial" w:hAnsi="Arial"/>
          <w:b/>
          <w:bCs/>
          <w:rtl/>
        </w:rPr>
      </w:pPr>
    </w:p>
    <w:p w14:paraId="528C9854" w14:textId="77777777" w:rsidR="008832BE" w:rsidRPr="00EE7CF3" w:rsidRDefault="008832BE" w:rsidP="008832BE">
      <w:pPr>
        <w:pStyle w:val="a9"/>
        <w:numPr>
          <w:ilvl w:val="0"/>
          <w:numId w:val="1"/>
        </w:numPr>
        <w:spacing w:line="360" w:lineRule="auto"/>
        <w:jc w:val="both"/>
        <w:rPr>
          <w:rFonts w:ascii="Arial" w:hAnsi="Arial"/>
        </w:rPr>
      </w:pPr>
      <w:r w:rsidRPr="00C33820">
        <w:rPr>
          <w:rFonts w:ascii="Arial" w:hAnsi="Arial"/>
          <w:rtl/>
        </w:rPr>
        <w:t xml:space="preserve">בגזירת העונש בגדרי מתחם העונש ההולם יש לשקול את הנסיבות שאינן קשורות בביצוע העבירה (סעיף </w:t>
      </w:r>
      <w:hyperlink r:id="rId72" w:history="1">
        <w:r w:rsidR="00EB2285" w:rsidRPr="00EB2285">
          <w:rPr>
            <w:rStyle w:val="Hyperlink"/>
            <w:rFonts w:ascii="Arial" w:hAnsi="Arial"/>
            <w:rtl/>
          </w:rPr>
          <w:t>40 יא'</w:t>
        </w:r>
      </w:hyperlink>
      <w:r w:rsidRPr="00C33820">
        <w:rPr>
          <w:rFonts w:ascii="Arial" w:hAnsi="Arial"/>
          <w:rtl/>
        </w:rPr>
        <w:t xml:space="preserve"> ל</w:t>
      </w:r>
      <w:hyperlink r:id="rId73" w:history="1">
        <w:r w:rsidR="00A003AB" w:rsidRPr="00A003AB">
          <w:rPr>
            <w:rFonts w:ascii="Arial" w:hAnsi="Arial"/>
            <w:color w:val="0000FF"/>
            <w:u w:val="single"/>
            <w:rtl/>
          </w:rPr>
          <w:t>חוק העונשין</w:t>
        </w:r>
      </w:hyperlink>
      <w:r w:rsidRPr="00C33820">
        <w:rPr>
          <w:rFonts w:ascii="Arial" w:hAnsi="Arial"/>
          <w:rtl/>
        </w:rPr>
        <w:t>). במקרה זה שקלתי את השיקולים הבאים:</w:t>
      </w:r>
      <w:r w:rsidRPr="00C33820">
        <w:rPr>
          <w:rFonts w:ascii="Arial" w:hAnsi="Arial" w:hint="cs"/>
          <w:rtl/>
        </w:rPr>
        <w:t xml:space="preserve"> א) הנאשם יליד 1992, כבן 30; ב) לנאשם הרשעה אחת מיום 11.12.2019 בעבירה של החזקת אגרופן או סכין שלא כדין, בגינה הוטל עליו עונש מאסר על תנאי בן 6 חודשים;</w:t>
      </w:r>
      <w:r>
        <w:rPr>
          <w:rFonts w:ascii="Arial" w:hAnsi="Arial" w:hint="cs"/>
          <w:rtl/>
        </w:rPr>
        <w:t xml:space="preserve">; ג) כעולה מכתב האישום, לאחר מעצרו </w:t>
      </w:r>
      <w:r>
        <w:rPr>
          <w:rFonts w:ascii="Arial" w:hAnsi="Arial"/>
          <w:rtl/>
        </w:rPr>
        <w:t>–</w:t>
      </w:r>
      <w:r>
        <w:rPr>
          <w:rFonts w:ascii="Arial" w:hAnsi="Arial" w:hint="cs"/>
          <w:rtl/>
        </w:rPr>
        <w:t xml:space="preserve"> הנאשם גילה לחוקרים את מקור מסתור האקדח, דבר שהביא לתפיסת האקדח; ד) </w:t>
      </w:r>
      <w:r w:rsidRPr="00C33820">
        <w:rPr>
          <w:rFonts w:ascii="Arial" w:hAnsi="Arial" w:hint="cs"/>
          <w:rtl/>
        </w:rPr>
        <w:t>הנאשם עצור מיום 2.4.2022 ו</w:t>
      </w:r>
      <w:r>
        <w:rPr>
          <w:rFonts w:ascii="Arial" w:hAnsi="Arial" w:hint="cs"/>
          <w:rtl/>
        </w:rPr>
        <w:t>עד היום, במשך למעלה מ-8 חודשים; ה</w:t>
      </w:r>
      <w:r w:rsidRPr="00EE7CF3">
        <w:rPr>
          <w:rFonts w:ascii="Arial" w:hAnsi="Arial" w:hint="cs"/>
          <w:rtl/>
        </w:rPr>
        <w:t>) הנאשם הודה לפני שהוחל בשמיעת הראיות</w:t>
      </w:r>
      <w:r>
        <w:rPr>
          <w:rFonts w:ascii="Arial" w:hAnsi="Arial" w:hint="cs"/>
          <w:rtl/>
        </w:rPr>
        <w:t>, עם זאת נראה שהנאשם לא מפנים את חומרת מעשיו. ביטוי לכך ניתן למצוא בטרונייתו של הנאשם כי מהמקרה "תיק גדול"</w:t>
      </w:r>
      <w:r w:rsidRPr="00EE7CF3">
        <w:rPr>
          <w:rFonts w:ascii="Arial" w:hAnsi="Arial" w:hint="cs"/>
          <w:rtl/>
        </w:rPr>
        <w:t xml:space="preserve">. </w:t>
      </w:r>
    </w:p>
    <w:p w14:paraId="76BCA55B" w14:textId="77777777" w:rsidR="008832BE" w:rsidRDefault="008832BE" w:rsidP="008832BE">
      <w:pPr>
        <w:pStyle w:val="a9"/>
        <w:spacing w:line="360" w:lineRule="auto"/>
        <w:ind w:left="0"/>
        <w:jc w:val="both"/>
        <w:rPr>
          <w:rFonts w:ascii="Arial" w:hAnsi="Arial"/>
        </w:rPr>
      </w:pPr>
    </w:p>
    <w:p w14:paraId="3E2081E7" w14:textId="77777777" w:rsidR="008832BE" w:rsidRPr="00C33820" w:rsidRDefault="008832BE" w:rsidP="008832BE">
      <w:pPr>
        <w:pStyle w:val="a9"/>
        <w:numPr>
          <w:ilvl w:val="0"/>
          <w:numId w:val="1"/>
        </w:numPr>
        <w:spacing w:line="360" w:lineRule="auto"/>
        <w:jc w:val="both"/>
        <w:rPr>
          <w:rFonts w:ascii="Arial" w:hAnsi="Arial"/>
          <w:rtl/>
        </w:rPr>
      </w:pPr>
      <w:r>
        <w:rPr>
          <w:rFonts w:ascii="Arial" w:hAnsi="Arial" w:hint="cs"/>
          <w:rtl/>
        </w:rPr>
        <w:t>הנני דוחה את טענת הסנגור כי הנאשם נחקר ב</w:t>
      </w:r>
      <w:r w:rsidRPr="00C33820">
        <w:rPr>
          <w:rFonts w:ascii="Arial" w:hAnsi="Arial" w:hint="cs"/>
          <w:rtl/>
        </w:rPr>
        <w:t>שיטות חקירה פסולות</w:t>
      </w:r>
      <w:r>
        <w:rPr>
          <w:rFonts w:ascii="Arial" w:hAnsi="Arial" w:hint="cs"/>
          <w:rtl/>
        </w:rPr>
        <w:t xml:space="preserve">, שכן הנאשם </w:t>
      </w:r>
      <w:r w:rsidRPr="00C33820">
        <w:rPr>
          <w:rFonts w:ascii="Arial" w:hAnsi="Arial" w:hint="cs"/>
          <w:rtl/>
        </w:rPr>
        <w:t xml:space="preserve">הודה </w:t>
      </w:r>
      <w:r>
        <w:rPr>
          <w:rFonts w:ascii="Arial" w:hAnsi="Arial" w:hint="cs"/>
          <w:rtl/>
        </w:rPr>
        <w:t xml:space="preserve">בעובדות </w:t>
      </w:r>
      <w:r w:rsidRPr="00C33820">
        <w:rPr>
          <w:rFonts w:ascii="Arial" w:hAnsi="Arial" w:hint="cs"/>
          <w:rtl/>
        </w:rPr>
        <w:t xml:space="preserve">כתב האישום המתוקן, ולא התבררה </w:t>
      </w:r>
      <w:r>
        <w:rPr>
          <w:rFonts w:ascii="Arial" w:hAnsi="Arial" w:hint="cs"/>
          <w:rtl/>
        </w:rPr>
        <w:t xml:space="preserve">טענת הזוטא. משכך, יש לראות בנאשם כמי שחזר בו מטענת הזוטא ואין מקום להעלותה שוב בשלב הטיעונים לעונש. </w:t>
      </w:r>
    </w:p>
    <w:p w14:paraId="00245FDA" w14:textId="77777777" w:rsidR="008832BE" w:rsidRPr="00392637" w:rsidRDefault="008832BE" w:rsidP="008832BE">
      <w:pPr>
        <w:rPr>
          <w:rFonts w:ascii="Arial" w:hAnsi="Arial"/>
          <w:rtl/>
        </w:rPr>
      </w:pPr>
    </w:p>
    <w:p w14:paraId="0E7DD503" w14:textId="77777777" w:rsidR="008832BE" w:rsidRPr="00392637" w:rsidRDefault="008832BE" w:rsidP="008832BE">
      <w:pPr>
        <w:rPr>
          <w:rFonts w:ascii="Arial" w:hAnsi="Arial"/>
          <w:b/>
          <w:bCs/>
          <w:rtl/>
        </w:rPr>
      </w:pPr>
      <w:r w:rsidRPr="00392637">
        <w:rPr>
          <w:rFonts w:ascii="Arial" w:hAnsi="Arial" w:hint="cs"/>
          <w:b/>
          <w:bCs/>
          <w:rtl/>
        </w:rPr>
        <w:t>גזר הדין</w:t>
      </w:r>
    </w:p>
    <w:p w14:paraId="0C618B04" w14:textId="77777777" w:rsidR="008832BE" w:rsidRPr="00392637" w:rsidRDefault="008832BE" w:rsidP="008832BE">
      <w:pPr>
        <w:rPr>
          <w:rFonts w:ascii="Arial" w:hAnsi="Arial"/>
          <w:rtl/>
        </w:rPr>
      </w:pPr>
    </w:p>
    <w:p w14:paraId="151EDFC5" w14:textId="77777777" w:rsidR="008832BE" w:rsidRPr="00392637" w:rsidRDefault="008832BE" w:rsidP="008832BE">
      <w:pPr>
        <w:pStyle w:val="a9"/>
        <w:numPr>
          <w:ilvl w:val="0"/>
          <w:numId w:val="1"/>
        </w:numPr>
        <w:spacing w:line="360" w:lineRule="auto"/>
        <w:jc w:val="both"/>
        <w:rPr>
          <w:rFonts w:ascii="Arial" w:hAnsi="Arial"/>
        </w:rPr>
      </w:pPr>
      <w:r w:rsidRPr="00392637">
        <w:rPr>
          <w:rFonts w:ascii="Arial" w:hAnsi="Arial" w:hint="cs"/>
          <w:rtl/>
        </w:rPr>
        <w:t xml:space="preserve">בשים </w:t>
      </w:r>
      <w:r w:rsidRPr="00392637">
        <w:rPr>
          <w:rFonts w:ascii="Arial" w:hAnsi="Arial"/>
          <w:rtl/>
        </w:rPr>
        <w:t>לב למתחם העונש שקבעתי ולשיקולים הקשורים לגזירת העונש, אני גוזר על הנאשם את העונשים הבאים:</w:t>
      </w:r>
    </w:p>
    <w:p w14:paraId="5C7B40E4" w14:textId="77777777" w:rsidR="008832BE" w:rsidRPr="00392637" w:rsidRDefault="008832BE" w:rsidP="008832BE">
      <w:pPr>
        <w:pStyle w:val="a9"/>
        <w:spacing w:line="360" w:lineRule="auto"/>
        <w:ind w:left="57"/>
        <w:jc w:val="both"/>
        <w:rPr>
          <w:rFonts w:ascii="Arial" w:hAnsi="Arial"/>
          <w:rtl/>
        </w:rPr>
      </w:pPr>
    </w:p>
    <w:p w14:paraId="7F75634A" w14:textId="77777777" w:rsidR="008832BE" w:rsidRDefault="008832BE" w:rsidP="008832BE">
      <w:pPr>
        <w:pStyle w:val="a9"/>
        <w:numPr>
          <w:ilvl w:val="0"/>
          <w:numId w:val="2"/>
        </w:numPr>
        <w:tabs>
          <w:tab w:val="left" w:pos="1134"/>
        </w:tabs>
        <w:spacing w:line="360" w:lineRule="auto"/>
        <w:ind w:left="567" w:firstLine="0"/>
        <w:rPr>
          <w:rFonts w:ascii="Arial" w:hAnsi="Arial"/>
        </w:rPr>
      </w:pPr>
      <w:r w:rsidRPr="00392637">
        <w:rPr>
          <w:rFonts w:ascii="Arial" w:hAnsi="Arial"/>
          <w:rtl/>
        </w:rPr>
        <w:t xml:space="preserve">מאסר בפועל לתקופה של </w:t>
      </w:r>
      <w:r>
        <w:rPr>
          <w:rFonts w:ascii="Arial" w:hAnsi="Arial" w:hint="cs"/>
          <w:rtl/>
        </w:rPr>
        <w:t xml:space="preserve">48 חודשים </w:t>
      </w:r>
      <w:r w:rsidRPr="00392637">
        <w:rPr>
          <w:rFonts w:ascii="Arial" w:hAnsi="Arial"/>
          <w:rtl/>
        </w:rPr>
        <w:t>בניכוי ימי מעצרו מיום</w:t>
      </w:r>
      <w:r>
        <w:rPr>
          <w:rFonts w:ascii="Arial" w:hAnsi="Arial" w:hint="cs"/>
          <w:rtl/>
        </w:rPr>
        <w:t xml:space="preserve"> 2.4.2022 ועד היום. </w:t>
      </w:r>
    </w:p>
    <w:p w14:paraId="556F18F3" w14:textId="77777777" w:rsidR="008832BE" w:rsidRDefault="008832BE" w:rsidP="008832BE">
      <w:pPr>
        <w:pStyle w:val="a9"/>
        <w:tabs>
          <w:tab w:val="left" w:pos="1134"/>
        </w:tabs>
        <w:spacing w:line="360" w:lineRule="auto"/>
        <w:ind w:left="567"/>
        <w:rPr>
          <w:rFonts w:ascii="Arial" w:hAnsi="Arial"/>
        </w:rPr>
      </w:pPr>
    </w:p>
    <w:p w14:paraId="221D00EA" w14:textId="77777777" w:rsidR="008832BE" w:rsidRDefault="008832BE" w:rsidP="008832BE">
      <w:pPr>
        <w:pStyle w:val="a9"/>
        <w:numPr>
          <w:ilvl w:val="0"/>
          <w:numId w:val="2"/>
        </w:numPr>
        <w:tabs>
          <w:tab w:val="left" w:pos="1134"/>
        </w:tabs>
        <w:spacing w:line="360" w:lineRule="auto"/>
        <w:ind w:left="567" w:firstLine="0"/>
        <w:jc w:val="both"/>
        <w:rPr>
          <w:rFonts w:ascii="Arial" w:hAnsi="Arial"/>
        </w:rPr>
      </w:pPr>
      <w:r w:rsidRPr="00C33820">
        <w:rPr>
          <w:rFonts w:ascii="Arial" w:hAnsi="Arial"/>
          <w:rtl/>
        </w:rPr>
        <w:t>מאסר על תנאי למשך 1</w:t>
      </w:r>
      <w:r>
        <w:rPr>
          <w:rFonts w:ascii="Arial" w:hAnsi="Arial" w:hint="cs"/>
          <w:rtl/>
        </w:rPr>
        <w:t>8</w:t>
      </w:r>
      <w:r w:rsidRPr="00C33820">
        <w:rPr>
          <w:rFonts w:ascii="Arial" w:hAnsi="Arial"/>
          <w:rtl/>
        </w:rPr>
        <w:t xml:space="preserve"> חודשים והתנאי כי הנאשם לא יעבור בתוך </w:t>
      </w:r>
      <w:r>
        <w:rPr>
          <w:rFonts w:ascii="Arial" w:hAnsi="Arial" w:hint="cs"/>
          <w:rtl/>
        </w:rPr>
        <w:t xml:space="preserve">שלוש שנים עבירת נשק; ואולם אם יורשע בעבירת נשק מסוג עוון יישא ב- 10 חודשים בלבד מתוכם. </w:t>
      </w:r>
    </w:p>
    <w:p w14:paraId="4DB8D44B" w14:textId="77777777" w:rsidR="008832BE" w:rsidRDefault="008832BE" w:rsidP="008832BE">
      <w:pPr>
        <w:rPr>
          <w:rFonts w:ascii="Arial" w:hAnsi="Arial"/>
          <w:b/>
          <w:bCs/>
          <w:u w:val="single"/>
          <w:rtl/>
        </w:rPr>
      </w:pPr>
    </w:p>
    <w:p w14:paraId="46B51F6E" w14:textId="77777777" w:rsidR="008832BE" w:rsidRDefault="008832BE" w:rsidP="008832BE">
      <w:pPr>
        <w:rPr>
          <w:rFonts w:ascii="Arial" w:hAnsi="Arial"/>
          <w:b/>
          <w:bCs/>
          <w:u w:val="single"/>
          <w:rtl/>
        </w:rPr>
      </w:pPr>
    </w:p>
    <w:p w14:paraId="2D83A52A" w14:textId="77777777" w:rsidR="008832BE" w:rsidRPr="00392637" w:rsidRDefault="00A003AB" w:rsidP="008832BE">
      <w:pPr>
        <w:rPr>
          <w:rFonts w:ascii="Arial" w:hAnsi="Arial"/>
          <w:b/>
          <w:bCs/>
          <w:u w:val="single"/>
          <w:rtl/>
        </w:rPr>
      </w:pPr>
      <w:r w:rsidRPr="00A003AB">
        <w:rPr>
          <w:rFonts w:ascii="Arial" w:hAnsi="Arial"/>
          <w:b/>
          <w:bCs/>
          <w:color w:val="FFFFFF"/>
          <w:sz w:val="2"/>
          <w:szCs w:val="2"/>
          <w:u w:val="single"/>
          <w:rtl/>
        </w:rPr>
        <w:t>5129371</w:t>
      </w:r>
      <w:r w:rsidR="008832BE" w:rsidRPr="00392637">
        <w:rPr>
          <w:rFonts w:ascii="Arial" w:hAnsi="Arial"/>
          <w:b/>
          <w:bCs/>
          <w:u w:val="single"/>
          <w:rtl/>
        </w:rPr>
        <w:t>זכות ערעור לבית המשפט העליון תוך 45 ימים.</w:t>
      </w:r>
    </w:p>
    <w:p w14:paraId="2E640CCF" w14:textId="77777777" w:rsidR="008832BE" w:rsidRPr="00A003AB" w:rsidRDefault="00A003AB" w:rsidP="008832BE">
      <w:pPr>
        <w:rPr>
          <w:rFonts w:ascii="Arial" w:hAnsi="Arial"/>
          <w:color w:val="FFFFFF"/>
          <w:sz w:val="2"/>
          <w:szCs w:val="2"/>
          <w:rtl/>
        </w:rPr>
      </w:pPr>
      <w:r w:rsidRPr="00A003AB">
        <w:rPr>
          <w:rFonts w:ascii="Arial" w:hAnsi="Arial"/>
          <w:color w:val="FFFFFF"/>
          <w:sz w:val="2"/>
          <w:szCs w:val="2"/>
          <w:rtl/>
        </w:rPr>
        <w:t>54678313</w:t>
      </w:r>
    </w:p>
    <w:p w14:paraId="4F4C1ECA" w14:textId="77777777" w:rsidR="008832BE" w:rsidRPr="000F2247" w:rsidRDefault="008832BE" w:rsidP="008832BE">
      <w:pPr>
        <w:rPr>
          <w:rFonts w:ascii="Arial" w:hAnsi="Arial"/>
          <w:b/>
          <w:bCs/>
          <w:sz w:val="26"/>
          <w:szCs w:val="26"/>
          <w:rtl/>
        </w:rPr>
      </w:pPr>
    </w:p>
    <w:p w14:paraId="36461110" w14:textId="77777777" w:rsidR="008832BE" w:rsidRPr="000F2247" w:rsidRDefault="00A003AB" w:rsidP="008832BE">
      <w:pPr>
        <w:rPr>
          <w:rFonts w:ascii="Arial" w:hAnsi="Arial"/>
          <w:b/>
          <w:bCs/>
          <w:sz w:val="26"/>
          <w:szCs w:val="26"/>
          <w:rtl/>
        </w:rPr>
      </w:pPr>
      <w:bookmarkStart w:id="10" w:name="Nitan"/>
      <w:r>
        <w:rPr>
          <w:rFonts w:ascii="Arial" w:hAnsi="Arial"/>
          <w:b/>
          <w:bCs/>
          <w:sz w:val="26"/>
          <w:szCs w:val="26"/>
          <w:rtl/>
        </w:rPr>
        <w:t xml:space="preserve">ניתן היום,  ב' טבת תשפ"ג, 26 דצמבר 2022, במעמד הנאשם וב"כ הצדדים. </w:t>
      </w:r>
      <w:bookmarkEnd w:id="10"/>
    </w:p>
    <w:p w14:paraId="390958F2" w14:textId="77777777" w:rsidR="008832BE" w:rsidRPr="000F2247" w:rsidRDefault="008832BE" w:rsidP="00A003A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6A6165A" w14:textId="77777777" w:rsidR="008832BE" w:rsidRPr="00EB2285" w:rsidRDefault="00EB2285" w:rsidP="008832BE">
      <w:pPr>
        <w:jc w:val="center"/>
        <w:rPr>
          <w:rFonts w:ascii="Arial" w:hAnsi="Arial"/>
          <w:b/>
          <w:bCs/>
          <w:color w:val="FFFFFF"/>
          <w:sz w:val="2"/>
          <w:szCs w:val="2"/>
          <w:rtl/>
        </w:rPr>
      </w:pPr>
      <w:r w:rsidRPr="00EB2285">
        <w:rPr>
          <w:rFonts w:ascii="Arial" w:hAnsi="Arial"/>
          <w:b/>
          <w:bCs/>
          <w:color w:val="FFFFFF"/>
          <w:sz w:val="2"/>
          <w:szCs w:val="2"/>
          <w:rtl/>
        </w:rPr>
        <w:t>5129371</w:t>
      </w:r>
    </w:p>
    <w:p w14:paraId="1CB45DC1" w14:textId="77777777" w:rsidR="00AC6992" w:rsidRPr="00EB2285" w:rsidRDefault="00EB2285" w:rsidP="00A003AB">
      <w:pPr>
        <w:keepNext/>
        <w:rPr>
          <w:rFonts w:ascii="David" w:hAnsi="David"/>
          <w:color w:val="FFFFFF"/>
          <w:sz w:val="2"/>
          <w:szCs w:val="2"/>
          <w:rtl/>
        </w:rPr>
      </w:pPr>
      <w:r w:rsidRPr="00EB2285">
        <w:rPr>
          <w:rFonts w:ascii="David" w:hAnsi="David"/>
          <w:color w:val="FFFFFF"/>
          <w:sz w:val="2"/>
          <w:szCs w:val="2"/>
          <w:rtl/>
        </w:rPr>
        <w:t>54678313</w:t>
      </w:r>
    </w:p>
    <w:p w14:paraId="4E7D6D89" w14:textId="77777777" w:rsidR="00A003AB" w:rsidRDefault="00A003AB" w:rsidP="00A003AB">
      <w:pPr>
        <w:rPr>
          <w:rtl/>
        </w:rPr>
      </w:pPr>
    </w:p>
    <w:p w14:paraId="3CDFF1FE" w14:textId="77777777" w:rsidR="00A003AB" w:rsidRDefault="00A003AB" w:rsidP="00A003AB">
      <w:pPr>
        <w:jc w:val="center"/>
        <w:rPr>
          <w:color w:val="0000FF"/>
          <w:u w:val="single"/>
        </w:rPr>
      </w:pPr>
      <w:hyperlink r:id="rId74" w:history="1">
        <w:r>
          <w:rPr>
            <w:color w:val="0000FF"/>
            <w:u w:val="single"/>
            <w:rtl/>
          </w:rPr>
          <w:t>בעניין עריכה ושינויים במסמכי פסיקה, חקיקה ועוד באתר נבו – הקש כאן</w:t>
        </w:r>
      </w:hyperlink>
    </w:p>
    <w:p w14:paraId="76537337" w14:textId="77777777" w:rsidR="00EB2285" w:rsidRPr="00EB2285" w:rsidRDefault="00EB2285" w:rsidP="00EB2285">
      <w:pPr>
        <w:keepNext/>
        <w:rPr>
          <w:rFonts w:ascii="David" w:hAnsi="David"/>
          <w:color w:val="000000"/>
          <w:sz w:val="22"/>
          <w:szCs w:val="22"/>
          <w:rtl/>
        </w:rPr>
      </w:pPr>
    </w:p>
    <w:p w14:paraId="7A77EBEE" w14:textId="77777777" w:rsidR="00EB2285" w:rsidRPr="00EB2285" w:rsidRDefault="00EB2285" w:rsidP="00EB2285">
      <w:pPr>
        <w:keepNext/>
        <w:rPr>
          <w:rFonts w:ascii="David" w:hAnsi="David"/>
          <w:color w:val="000000"/>
          <w:sz w:val="22"/>
          <w:szCs w:val="22"/>
          <w:rtl/>
        </w:rPr>
      </w:pPr>
      <w:r w:rsidRPr="00EB2285">
        <w:rPr>
          <w:rFonts w:ascii="David" w:hAnsi="David"/>
          <w:color w:val="000000"/>
          <w:sz w:val="22"/>
          <w:szCs w:val="22"/>
          <w:rtl/>
        </w:rPr>
        <w:t>מוחמד עלי 54678313-/</w:t>
      </w:r>
    </w:p>
    <w:p w14:paraId="65A2F97A" w14:textId="77777777" w:rsidR="00A003AB" w:rsidRPr="00A003AB" w:rsidRDefault="00EB2285" w:rsidP="00EB2285">
      <w:pPr>
        <w:rPr>
          <w:color w:val="0000FF"/>
          <w:u w:val="single"/>
        </w:rPr>
      </w:pPr>
      <w:r w:rsidRPr="00EB2285">
        <w:rPr>
          <w:color w:val="000000"/>
          <w:u w:val="single"/>
          <w:rtl/>
        </w:rPr>
        <w:t>נוסח מסמך זה כפוף לשינויי ניסוח ועריכה</w:t>
      </w:r>
    </w:p>
    <w:sectPr w:rsidR="00A003AB" w:rsidRPr="00A003AB" w:rsidSect="00EB2285">
      <w:headerReference w:type="even" r:id="rId75"/>
      <w:headerReference w:type="default" r:id="rId76"/>
      <w:footerReference w:type="even" r:id="rId77"/>
      <w:footerReference w:type="default" r:id="rId7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5A547" w14:textId="77777777" w:rsidR="00936857" w:rsidRDefault="00936857" w:rsidP="00D97657">
      <w:r>
        <w:separator/>
      </w:r>
    </w:p>
  </w:endnote>
  <w:endnote w:type="continuationSeparator" w:id="0">
    <w:p w14:paraId="1F23E874" w14:textId="77777777" w:rsidR="00936857" w:rsidRDefault="00936857" w:rsidP="00D97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08840" w14:textId="77777777" w:rsidR="00EB2285" w:rsidRDefault="00EB2285" w:rsidP="00EB22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D7CE60" w14:textId="77777777" w:rsidR="00544E32" w:rsidRPr="00EB2285" w:rsidRDefault="00EB2285" w:rsidP="00EB2285">
    <w:pPr>
      <w:pStyle w:val="a5"/>
      <w:pBdr>
        <w:top w:val="single" w:sz="4" w:space="1" w:color="auto"/>
        <w:between w:val="single" w:sz="4" w:space="0" w:color="auto"/>
      </w:pBdr>
      <w:spacing w:after="60"/>
      <w:jc w:val="center"/>
      <w:rPr>
        <w:rFonts w:ascii="FrankRuehl" w:hAnsi="FrankRuehl" w:cs="FrankRuehl"/>
        <w:color w:val="000000"/>
      </w:rPr>
    </w:pPr>
    <w:r w:rsidRPr="00EB228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7D492" w14:textId="77777777" w:rsidR="00EB2285" w:rsidRDefault="00EB2285" w:rsidP="00EB22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5808">
      <w:rPr>
        <w:rFonts w:ascii="FrankRuehl" w:hAnsi="FrankRuehl" w:cs="FrankRuehl"/>
        <w:noProof/>
        <w:rtl/>
      </w:rPr>
      <w:t>1</w:t>
    </w:r>
    <w:r>
      <w:rPr>
        <w:rFonts w:ascii="FrankRuehl" w:hAnsi="FrankRuehl" w:cs="FrankRuehl"/>
        <w:rtl/>
      </w:rPr>
      <w:fldChar w:fldCharType="end"/>
    </w:r>
  </w:p>
  <w:p w14:paraId="4052A40E" w14:textId="77777777" w:rsidR="00544E32" w:rsidRPr="00EB2285" w:rsidRDefault="00EB2285" w:rsidP="00EB2285">
    <w:pPr>
      <w:pStyle w:val="a5"/>
      <w:pBdr>
        <w:top w:val="single" w:sz="4" w:space="1" w:color="auto"/>
        <w:between w:val="single" w:sz="4" w:space="0" w:color="auto"/>
      </w:pBdr>
      <w:spacing w:after="60"/>
      <w:jc w:val="center"/>
      <w:rPr>
        <w:rFonts w:ascii="FrankRuehl" w:hAnsi="FrankRuehl" w:cs="FrankRuehl"/>
        <w:color w:val="000000"/>
      </w:rPr>
    </w:pPr>
    <w:r w:rsidRPr="00EB2285">
      <w:rPr>
        <w:rFonts w:ascii="FrankRuehl" w:hAnsi="FrankRuehl" w:cs="FrankRuehl"/>
        <w:color w:val="000000"/>
      </w:rPr>
      <w:pict w14:anchorId="7FA59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92CD6" w14:textId="77777777" w:rsidR="00936857" w:rsidRDefault="00936857" w:rsidP="00D97657">
      <w:r>
        <w:separator/>
      </w:r>
    </w:p>
  </w:footnote>
  <w:footnote w:type="continuationSeparator" w:id="0">
    <w:p w14:paraId="19293110" w14:textId="77777777" w:rsidR="00936857" w:rsidRDefault="00936857" w:rsidP="00D97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8E6A5" w14:textId="77777777" w:rsidR="00A003AB" w:rsidRPr="00EB2285" w:rsidRDefault="00EB2285" w:rsidP="00EB22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54444-04-22</w:t>
    </w:r>
    <w:r>
      <w:rPr>
        <w:rFonts w:ascii="David" w:hAnsi="David"/>
        <w:color w:val="000000"/>
        <w:sz w:val="22"/>
        <w:szCs w:val="22"/>
        <w:rtl/>
      </w:rPr>
      <w:tab/>
      <w:t xml:space="preserve"> מדינת ישראל נ' ג'מיל מחאמיד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0F1EB" w14:textId="77777777" w:rsidR="00A003AB" w:rsidRPr="00EB2285" w:rsidRDefault="00EB2285" w:rsidP="00EB22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54444-04-22</w:t>
    </w:r>
    <w:r>
      <w:rPr>
        <w:rFonts w:ascii="David" w:hAnsi="David"/>
        <w:color w:val="000000"/>
        <w:sz w:val="22"/>
        <w:szCs w:val="22"/>
        <w:rtl/>
      </w:rPr>
      <w:tab/>
      <w:t xml:space="preserve"> מדינת ישראל נ' ג'מיל מחאמיד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95528"/>
    <w:multiLevelType w:val="hybridMultilevel"/>
    <w:tmpl w:val="AD82C562"/>
    <w:lvl w:ilvl="0" w:tplc="66C29B1A">
      <w:start w:val="1"/>
      <w:numFmt w:val="decimal"/>
      <w:lvlText w:val="%1."/>
      <w:lvlJc w:val="left"/>
      <w:pPr>
        <w:tabs>
          <w:tab w:val="num" w:pos="567"/>
        </w:tabs>
        <w:ind w:left="0" w:firstLine="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2F5FC2"/>
    <w:multiLevelType w:val="hybridMultilevel"/>
    <w:tmpl w:val="57D05424"/>
    <w:lvl w:ilvl="0" w:tplc="6C46540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8544048">
    <w:abstractNumId w:val="0"/>
  </w:num>
  <w:num w:numId="2" w16cid:durableId="605815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32BE"/>
    <w:rsid w:val="00097A9B"/>
    <w:rsid w:val="000F3349"/>
    <w:rsid w:val="001B5A3B"/>
    <w:rsid w:val="001E00B5"/>
    <w:rsid w:val="002828D6"/>
    <w:rsid w:val="002E5808"/>
    <w:rsid w:val="005060E6"/>
    <w:rsid w:val="00544E32"/>
    <w:rsid w:val="006758AB"/>
    <w:rsid w:val="008832BE"/>
    <w:rsid w:val="00911DC5"/>
    <w:rsid w:val="00936857"/>
    <w:rsid w:val="00A003AB"/>
    <w:rsid w:val="00AC6992"/>
    <w:rsid w:val="00D97657"/>
    <w:rsid w:val="00EB22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1056E0"/>
  <w15:chartTrackingRefBased/>
  <w15:docId w15:val="{E93C237A-4808-41DD-AFF4-94415BD8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32B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32BE"/>
    <w:pPr>
      <w:tabs>
        <w:tab w:val="center" w:pos="4153"/>
        <w:tab w:val="right" w:pos="8306"/>
      </w:tabs>
    </w:pPr>
  </w:style>
  <w:style w:type="character" w:customStyle="1" w:styleId="a4">
    <w:name w:val="כותרת עליונה תו"/>
    <w:link w:val="a3"/>
    <w:rsid w:val="008832BE"/>
    <w:rPr>
      <w:rFonts w:ascii="Times New Roman" w:eastAsia="Times New Roman" w:hAnsi="Times New Roman" w:cs="David"/>
      <w:sz w:val="24"/>
      <w:szCs w:val="24"/>
    </w:rPr>
  </w:style>
  <w:style w:type="paragraph" w:styleId="a5">
    <w:name w:val="footer"/>
    <w:basedOn w:val="a"/>
    <w:link w:val="a6"/>
    <w:rsid w:val="008832BE"/>
    <w:pPr>
      <w:tabs>
        <w:tab w:val="center" w:pos="4153"/>
        <w:tab w:val="right" w:pos="8306"/>
      </w:tabs>
    </w:pPr>
  </w:style>
  <w:style w:type="character" w:customStyle="1" w:styleId="a6">
    <w:name w:val="כותרת תחתונה תו"/>
    <w:link w:val="a5"/>
    <w:rsid w:val="008832BE"/>
    <w:rPr>
      <w:rFonts w:ascii="Times New Roman" w:eastAsia="Times New Roman" w:hAnsi="Times New Roman" w:cs="David"/>
      <w:sz w:val="24"/>
      <w:szCs w:val="24"/>
    </w:rPr>
  </w:style>
  <w:style w:type="table" w:styleId="a7">
    <w:name w:val="Table Grid"/>
    <w:basedOn w:val="a1"/>
    <w:rsid w:val="008832B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832BE"/>
  </w:style>
  <w:style w:type="character" w:customStyle="1" w:styleId="TimesNewRomanTimesNewRoman">
    <w:name w:val="סגנון (לטיני) Times New Roman (עברית ושפות אחרות) Times New Roman..."/>
    <w:rsid w:val="008832BE"/>
    <w:rPr>
      <w:rFonts w:ascii="Times New Roman" w:hAnsi="Times New Roman" w:cs="David" w:hint="default"/>
      <w:b/>
      <w:bCs/>
      <w:sz w:val="26"/>
      <w:szCs w:val="26"/>
    </w:rPr>
  </w:style>
  <w:style w:type="paragraph" w:styleId="a9">
    <w:name w:val="List Paragraph"/>
    <w:basedOn w:val="a"/>
    <w:qFormat/>
    <w:rsid w:val="008832BE"/>
    <w:pPr>
      <w:ind w:left="720"/>
      <w:contextualSpacing/>
    </w:pPr>
  </w:style>
  <w:style w:type="character" w:styleId="Hyperlink">
    <w:name w:val="Hyperlink"/>
    <w:rsid w:val="00A003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3729"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8883087" TargetMode="External"/><Relationship Id="rId63" Type="http://schemas.openxmlformats.org/officeDocument/2006/relationships/hyperlink" Target="http://www.nevo.co.il/case/26538254" TargetMode="External"/><Relationship Id="rId68" Type="http://schemas.openxmlformats.org/officeDocument/2006/relationships/hyperlink" Target="http://www.nevo.co.il/case/20523508" TargetMode="External"/><Relationship Id="rId16" Type="http://schemas.openxmlformats.org/officeDocument/2006/relationships/hyperlink" Target="http://www.nevo.co.il/law/70301/144.b" TargetMode="External"/><Relationship Id="rId11" Type="http://schemas.openxmlformats.org/officeDocument/2006/relationships/hyperlink" Target="http://www.nevo.co.il/law/70301/40g" TargetMode="External"/><Relationship Id="rId24" Type="http://schemas.openxmlformats.org/officeDocument/2006/relationships/hyperlink" Target="http://www.nevo.co.il/law/70301/144.b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fCa(1)S"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7309272" TargetMode="External"/><Relationship Id="rId53" Type="http://schemas.openxmlformats.org/officeDocument/2006/relationships/hyperlink" Target="http://www.nevo.co.il/law/70301/144.g" TargetMode="External"/><Relationship Id="rId58" Type="http://schemas.openxmlformats.org/officeDocument/2006/relationships/hyperlink" Target="http://www.nevo.co.il/safrut/book/25954" TargetMode="External"/><Relationship Id="rId66" Type="http://schemas.openxmlformats.org/officeDocument/2006/relationships/hyperlink" Target="http://www.nevo.co.il/case/7827259" TargetMode="External"/><Relationship Id="rId74" Type="http://schemas.openxmlformats.org/officeDocument/2006/relationships/hyperlink" Target="http://www.nevo.co.il/advertisements/nevo-100.doc"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law/70301/144.b2"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144" TargetMode="External"/><Relationship Id="rId22" Type="http://schemas.openxmlformats.org/officeDocument/2006/relationships/hyperlink" Target="http://www.nevo.co.il/law/72515" TargetMode="External"/><Relationship Id="rId27" Type="http://schemas.openxmlformats.org/officeDocument/2006/relationships/hyperlink" Target="http://www.nevo.co.il/case/28582339" TargetMode="External"/><Relationship Id="rId30" Type="http://schemas.openxmlformats.org/officeDocument/2006/relationships/hyperlink" Target="http://www.nevo.co.il/law/14177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8266138" TargetMode="External"/><Relationship Id="rId48" Type="http://schemas.openxmlformats.org/officeDocument/2006/relationships/hyperlink" Target="http://www.nevo.co.il/case/26905927" TargetMode="External"/><Relationship Id="rId56" Type="http://schemas.openxmlformats.org/officeDocument/2006/relationships/hyperlink" Target="http://www.nevo.co.il/law/70301/40j" TargetMode="External"/><Relationship Id="rId64" Type="http://schemas.openxmlformats.org/officeDocument/2006/relationships/hyperlink" Target="http://www.nevo.co.il/case/8471804" TargetMode="External"/><Relationship Id="rId69" Type="http://schemas.openxmlformats.org/officeDocument/2006/relationships/hyperlink" Target="http://www.nevo.co.il/law/70301" TargetMode="External"/><Relationship Id="rId77" Type="http://schemas.openxmlformats.org/officeDocument/2006/relationships/footer" Target="footer1.xml"/><Relationship Id="rId8" Type="http://schemas.openxmlformats.org/officeDocument/2006/relationships/hyperlink" Target="http://www.nevo.co.il/law/70301/40c" TargetMode="External"/><Relationship Id="rId51" Type="http://schemas.openxmlformats.org/officeDocument/2006/relationships/hyperlink" Target="http://www.nevo.co.il/case/28200855" TargetMode="External"/><Relationship Id="rId72" Type="http://schemas.openxmlformats.org/officeDocument/2006/relationships/hyperlink" Target="http://www.nevo.co.il/law/70301/40ja"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j"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144.b" TargetMode="External"/><Relationship Id="rId67" Type="http://schemas.openxmlformats.org/officeDocument/2006/relationships/hyperlink" Target="http://www.nevo.co.il/case/23877165" TargetMode="External"/><Relationship Id="rId20" Type="http://schemas.openxmlformats.org/officeDocument/2006/relationships/hyperlink" Target="http://www.nevo.co.il/law/70301/fCa(1)S" TargetMode="External"/><Relationship Id="rId41" Type="http://schemas.openxmlformats.org/officeDocument/2006/relationships/hyperlink" Target="http://www.nevo.co.il/law/70301/40e"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0301/40g"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141771" TargetMode="External"/><Relationship Id="rId28" Type="http://schemas.openxmlformats.org/officeDocument/2006/relationships/hyperlink" Target="http://www.nevo.co.il/law/73729" TargetMode="External"/><Relationship Id="rId36" Type="http://schemas.openxmlformats.org/officeDocument/2006/relationships/hyperlink" Target="http://www.nevo.co.il/case/6018516" TargetMode="External"/><Relationship Id="rId49" Type="http://schemas.openxmlformats.org/officeDocument/2006/relationships/hyperlink" Target="http://www.nevo.co.il/case/27708542"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e" TargetMode="External"/><Relationship Id="rId31" Type="http://schemas.openxmlformats.org/officeDocument/2006/relationships/hyperlink" Target="http://www.nevo.co.il/law/70301/91" TargetMode="External"/><Relationship Id="rId44" Type="http://schemas.openxmlformats.org/officeDocument/2006/relationships/hyperlink" Target="http://www.nevo.co.il/case/25824863"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23817771" TargetMode="External"/><Relationship Id="rId73" Type="http://schemas.openxmlformats.org/officeDocument/2006/relationships/hyperlink" Target="http://www.nevo.co.il/law/70301" TargetMode="External"/><Relationship Id="rId78"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d" TargetMode="External"/><Relationship Id="rId13" Type="http://schemas.openxmlformats.org/officeDocument/2006/relationships/hyperlink" Target="http://www.nevo.co.il/law/70301/91" TargetMode="External"/><Relationship Id="rId18" Type="http://schemas.openxmlformats.org/officeDocument/2006/relationships/hyperlink" Target="http://www.nevo.co.il/law/70301/144.g" TargetMode="External"/><Relationship Id="rId39" Type="http://schemas.openxmlformats.org/officeDocument/2006/relationships/hyperlink" Target="http://www.nevo.co.il/law/70301/40d" TargetMode="External"/><Relationship Id="rId34" Type="http://schemas.openxmlformats.org/officeDocument/2006/relationships/hyperlink" Target="http://www.nevo.co.il/law/70301/40c" TargetMode="External"/><Relationship Id="rId50" Type="http://schemas.openxmlformats.org/officeDocument/2006/relationships/hyperlink" Target="http://www.nevo.co.il/case/27734980" TargetMode="External"/><Relationship Id="rId55" Type="http://schemas.openxmlformats.org/officeDocument/2006/relationships/hyperlink" Target="http://www.nevo.co.il/law/70301/144" TargetMode="External"/><Relationship Id="rId76"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25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4205</Words>
  <Characters>21026</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25181</CharactersWithSpaces>
  <SharedDoc>false</SharedDoc>
  <HLinks>
    <vt:vector size="414" baseType="variant">
      <vt:variant>
        <vt:i4>393283</vt:i4>
      </vt:variant>
      <vt:variant>
        <vt:i4>204</vt:i4>
      </vt:variant>
      <vt:variant>
        <vt:i4>0</vt:i4>
      </vt:variant>
      <vt:variant>
        <vt:i4>5</vt:i4>
      </vt:variant>
      <vt:variant>
        <vt:lpwstr>http://www.nevo.co.il/advertisements/nevo-100.doc</vt:lpwstr>
      </vt:variant>
      <vt:variant>
        <vt:lpwstr/>
      </vt:variant>
      <vt:variant>
        <vt:i4>7995492</vt:i4>
      </vt:variant>
      <vt:variant>
        <vt:i4>201</vt:i4>
      </vt:variant>
      <vt:variant>
        <vt:i4>0</vt:i4>
      </vt:variant>
      <vt:variant>
        <vt:i4>5</vt:i4>
      </vt:variant>
      <vt:variant>
        <vt:lpwstr>http://www.nevo.co.il/law/70301</vt:lpwstr>
      </vt:variant>
      <vt:variant>
        <vt:lpwstr/>
      </vt:variant>
      <vt:variant>
        <vt:i4>262155</vt:i4>
      </vt:variant>
      <vt:variant>
        <vt:i4>198</vt:i4>
      </vt:variant>
      <vt:variant>
        <vt:i4>0</vt:i4>
      </vt:variant>
      <vt:variant>
        <vt:i4>5</vt:i4>
      </vt:variant>
      <vt:variant>
        <vt:lpwstr>http://www.nevo.co.il/law/70301/40ja</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6619233</vt:i4>
      </vt:variant>
      <vt:variant>
        <vt:i4>192</vt:i4>
      </vt:variant>
      <vt:variant>
        <vt:i4>0</vt:i4>
      </vt:variant>
      <vt:variant>
        <vt:i4>5</vt:i4>
      </vt:variant>
      <vt:variant>
        <vt:lpwstr>http://www.nevo.co.il/law/70301/40g</vt:lpwstr>
      </vt:variant>
      <vt:variant>
        <vt:lpwstr/>
      </vt:variant>
      <vt:variant>
        <vt:i4>7995492</vt:i4>
      </vt:variant>
      <vt:variant>
        <vt:i4>189</vt:i4>
      </vt:variant>
      <vt:variant>
        <vt:i4>0</vt:i4>
      </vt:variant>
      <vt:variant>
        <vt:i4>5</vt:i4>
      </vt:variant>
      <vt:variant>
        <vt:lpwstr>http://www.nevo.co.il/law/70301</vt:lpwstr>
      </vt:variant>
      <vt:variant>
        <vt:lpwstr/>
      </vt:variant>
      <vt:variant>
        <vt:i4>3407987</vt:i4>
      </vt:variant>
      <vt:variant>
        <vt:i4>186</vt:i4>
      </vt:variant>
      <vt:variant>
        <vt:i4>0</vt:i4>
      </vt:variant>
      <vt:variant>
        <vt:i4>5</vt:i4>
      </vt:variant>
      <vt:variant>
        <vt:lpwstr>http://www.nevo.co.il/case/20523508</vt:lpwstr>
      </vt:variant>
      <vt:variant>
        <vt:lpwstr/>
      </vt:variant>
      <vt:variant>
        <vt:i4>3866737</vt:i4>
      </vt:variant>
      <vt:variant>
        <vt:i4>183</vt:i4>
      </vt:variant>
      <vt:variant>
        <vt:i4>0</vt:i4>
      </vt:variant>
      <vt:variant>
        <vt:i4>5</vt:i4>
      </vt:variant>
      <vt:variant>
        <vt:lpwstr>http://www.nevo.co.il/case/23877165</vt:lpwstr>
      </vt:variant>
      <vt:variant>
        <vt:lpwstr/>
      </vt:variant>
      <vt:variant>
        <vt:i4>4063358</vt:i4>
      </vt:variant>
      <vt:variant>
        <vt:i4>180</vt:i4>
      </vt:variant>
      <vt:variant>
        <vt:i4>0</vt:i4>
      </vt:variant>
      <vt:variant>
        <vt:i4>5</vt:i4>
      </vt:variant>
      <vt:variant>
        <vt:lpwstr>http://www.nevo.co.il/case/7827259</vt:lpwstr>
      </vt:variant>
      <vt:variant>
        <vt:lpwstr/>
      </vt:variant>
      <vt:variant>
        <vt:i4>3801201</vt:i4>
      </vt:variant>
      <vt:variant>
        <vt:i4>177</vt:i4>
      </vt:variant>
      <vt:variant>
        <vt:i4>0</vt:i4>
      </vt:variant>
      <vt:variant>
        <vt:i4>5</vt:i4>
      </vt:variant>
      <vt:variant>
        <vt:lpwstr>http://www.nevo.co.il/case/23817771</vt:lpwstr>
      </vt:variant>
      <vt:variant>
        <vt:lpwstr/>
      </vt:variant>
      <vt:variant>
        <vt:i4>3342449</vt:i4>
      </vt:variant>
      <vt:variant>
        <vt:i4>174</vt:i4>
      </vt:variant>
      <vt:variant>
        <vt:i4>0</vt:i4>
      </vt:variant>
      <vt:variant>
        <vt:i4>5</vt:i4>
      </vt:variant>
      <vt:variant>
        <vt:lpwstr>http://www.nevo.co.il/case/8471804</vt:lpwstr>
      </vt:variant>
      <vt:variant>
        <vt:lpwstr/>
      </vt:variant>
      <vt:variant>
        <vt:i4>3801203</vt:i4>
      </vt:variant>
      <vt:variant>
        <vt:i4>171</vt:i4>
      </vt:variant>
      <vt:variant>
        <vt:i4>0</vt:i4>
      </vt:variant>
      <vt:variant>
        <vt:i4>5</vt:i4>
      </vt:variant>
      <vt:variant>
        <vt:lpwstr>http://www.nevo.co.il/case/26538254</vt:lpwstr>
      </vt:variant>
      <vt:variant>
        <vt:lpwstr/>
      </vt:variant>
      <vt:variant>
        <vt:i4>7995492</vt:i4>
      </vt:variant>
      <vt:variant>
        <vt:i4>168</vt:i4>
      </vt:variant>
      <vt:variant>
        <vt:i4>0</vt:i4>
      </vt:variant>
      <vt:variant>
        <vt:i4>5</vt:i4>
      </vt:variant>
      <vt:variant>
        <vt:lpwstr>http://www.nevo.co.il/law/70301</vt:lpwstr>
      </vt:variant>
      <vt:variant>
        <vt:lpwstr/>
      </vt:variant>
      <vt:variant>
        <vt:i4>8192050</vt:i4>
      </vt:variant>
      <vt:variant>
        <vt:i4>165</vt:i4>
      </vt:variant>
      <vt:variant>
        <vt:i4>0</vt:i4>
      </vt:variant>
      <vt:variant>
        <vt:i4>5</vt:i4>
      </vt:variant>
      <vt:variant>
        <vt:lpwstr>http://www.nevo.co.il/law/70301/144.b2</vt:lpwstr>
      </vt:variant>
      <vt:variant>
        <vt:lpwstr/>
      </vt:variant>
      <vt:variant>
        <vt:i4>7995492</vt:i4>
      </vt:variant>
      <vt:variant>
        <vt:i4>162</vt:i4>
      </vt:variant>
      <vt:variant>
        <vt:i4>0</vt:i4>
      </vt:variant>
      <vt:variant>
        <vt:i4>5</vt:i4>
      </vt:variant>
      <vt:variant>
        <vt:lpwstr>http://www.nevo.co.il/law/70301</vt:lpwstr>
      </vt:variant>
      <vt:variant>
        <vt:lpwstr/>
      </vt:variant>
      <vt:variant>
        <vt:i4>5177424</vt:i4>
      </vt:variant>
      <vt:variant>
        <vt:i4>159</vt:i4>
      </vt:variant>
      <vt:variant>
        <vt:i4>0</vt:i4>
      </vt:variant>
      <vt:variant>
        <vt:i4>5</vt:i4>
      </vt:variant>
      <vt:variant>
        <vt:lpwstr>http://www.nevo.co.il/law/70301/144.b</vt:lpwstr>
      </vt:variant>
      <vt:variant>
        <vt:lpwstr/>
      </vt:variant>
      <vt:variant>
        <vt:i4>7405627</vt:i4>
      </vt:variant>
      <vt:variant>
        <vt:i4>156</vt:i4>
      </vt:variant>
      <vt:variant>
        <vt:i4>0</vt:i4>
      </vt:variant>
      <vt:variant>
        <vt:i4>5</vt:i4>
      </vt:variant>
      <vt:variant>
        <vt:lpwstr>http://www.nevo.co.il/safrut/book/25954</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6619233</vt:i4>
      </vt:variant>
      <vt:variant>
        <vt:i4>150</vt:i4>
      </vt:variant>
      <vt:variant>
        <vt:i4>0</vt:i4>
      </vt:variant>
      <vt:variant>
        <vt:i4>5</vt:i4>
      </vt:variant>
      <vt:variant>
        <vt:lpwstr>http://www.nevo.co.il/law/70301/40j</vt:lpwstr>
      </vt:variant>
      <vt:variant>
        <vt:lpwstr/>
      </vt:variant>
      <vt:variant>
        <vt:i4>6357092</vt:i4>
      </vt:variant>
      <vt:variant>
        <vt:i4>147</vt:i4>
      </vt:variant>
      <vt:variant>
        <vt:i4>0</vt:i4>
      </vt:variant>
      <vt:variant>
        <vt:i4>5</vt:i4>
      </vt:variant>
      <vt:variant>
        <vt:lpwstr>http://www.nevo.co.il/law/70301/144</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5177424</vt:i4>
      </vt:variant>
      <vt:variant>
        <vt:i4>141</vt:i4>
      </vt:variant>
      <vt:variant>
        <vt:i4>0</vt:i4>
      </vt:variant>
      <vt:variant>
        <vt:i4>5</vt:i4>
      </vt:variant>
      <vt:variant>
        <vt:lpwstr>http://www.nevo.co.il/law/70301/144.g</vt:lpwstr>
      </vt:variant>
      <vt:variant>
        <vt:lpwstr/>
      </vt:variant>
      <vt:variant>
        <vt:i4>7995492</vt:i4>
      </vt:variant>
      <vt:variant>
        <vt:i4>138</vt:i4>
      </vt:variant>
      <vt:variant>
        <vt:i4>0</vt:i4>
      </vt:variant>
      <vt:variant>
        <vt:i4>5</vt:i4>
      </vt:variant>
      <vt:variant>
        <vt:lpwstr>http://www.nevo.co.il/law/70301</vt:lpwstr>
      </vt:variant>
      <vt:variant>
        <vt:lpwstr/>
      </vt:variant>
      <vt:variant>
        <vt:i4>3473524</vt:i4>
      </vt:variant>
      <vt:variant>
        <vt:i4>135</vt:i4>
      </vt:variant>
      <vt:variant>
        <vt:i4>0</vt:i4>
      </vt:variant>
      <vt:variant>
        <vt:i4>5</vt:i4>
      </vt:variant>
      <vt:variant>
        <vt:lpwstr>http://www.nevo.co.il/case/28200855</vt:lpwstr>
      </vt:variant>
      <vt:variant>
        <vt:lpwstr/>
      </vt:variant>
      <vt:variant>
        <vt:i4>3735673</vt:i4>
      </vt:variant>
      <vt:variant>
        <vt:i4>132</vt:i4>
      </vt:variant>
      <vt:variant>
        <vt:i4>0</vt:i4>
      </vt:variant>
      <vt:variant>
        <vt:i4>5</vt:i4>
      </vt:variant>
      <vt:variant>
        <vt:lpwstr>http://www.nevo.co.il/case/27734980</vt:lpwstr>
      </vt:variant>
      <vt:variant>
        <vt:lpwstr/>
      </vt:variant>
      <vt:variant>
        <vt:i4>3735670</vt:i4>
      </vt:variant>
      <vt:variant>
        <vt:i4>129</vt:i4>
      </vt:variant>
      <vt:variant>
        <vt:i4>0</vt:i4>
      </vt:variant>
      <vt:variant>
        <vt:i4>5</vt:i4>
      </vt:variant>
      <vt:variant>
        <vt:lpwstr>http://www.nevo.co.il/case/27708542</vt:lpwstr>
      </vt:variant>
      <vt:variant>
        <vt:lpwstr/>
      </vt:variant>
      <vt:variant>
        <vt:i4>3932283</vt:i4>
      </vt:variant>
      <vt:variant>
        <vt:i4>126</vt:i4>
      </vt:variant>
      <vt:variant>
        <vt:i4>0</vt:i4>
      </vt:variant>
      <vt:variant>
        <vt:i4>5</vt:i4>
      </vt:variant>
      <vt:variant>
        <vt:lpwstr>http://www.nevo.co.il/case/26905927</vt:lpwstr>
      </vt:variant>
      <vt:variant>
        <vt:lpwstr/>
      </vt:variant>
      <vt:variant>
        <vt:i4>3211380</vt:i4>
      </vt:variant>
      <vt:variant>
        <vt:i4>123</vt:i4>
      </vt:variant>
      <vt:variant>
        <vt:i4>0</vt:i4>
      </vt:variant>
      <vt:variant>
        <vt:i4>5</vt:i4>
      </vt:variant>
      <vt:variant>
        <vt:lpwstr>http://www.nevo.co.il/case/28883087</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4128881</vt:i4>
      </vt:variant>
      <vt:variant>
        <vt:i4>117</vt:i4>
      </vt:variant>
      <vt:variant>
        <vt:i4>0</vt:i4>
      </vt:variant>
      <vt:variant>
        <vt:i4>5</vt:i4>
      </vt:variant>
      <vt:variant>
        <vt:lpwstr>http://www.nevo.co.il/case/27309272</vt:lpwstr>
      </vt:variant>
      <vt:variant>
        <vt:lpwstr/>
      </vt:variant>
      <vt:variant>
        <vt:i4>3670139</vt:i4>
      </vt:variant>
      <vt:variant>
        <vt:i4>114</vt:i4>
      </vt:variant>
      <vt:variant>
        <vt:i4>0</vt:i4>
      </vt:variant>
      <vt:variant>
        <vt:i4>5</vt:i4>
      </vt:variant>
      <vt:variant>
        <vt:lpwstr>http://www.nevo.co.il/case/25824863</vt:lpwstr>
      </vt:variant>
      <vt:variant>
        <vt:lpwstr/>
      </vt:variant>
      <vt:variant>
        <vt:i4>3473531</vt:i4>
      </vt:variant>
      <vt:variant>
        <vt:i4>111</vt:i4>
      </vt:variant>
      <vt:variant>
        <vt:i4>0</vt:i4>
      </vt:variant>
      <vt:variant>
        <vt:i4>5</vt:i4>
      </vt:variant>
      <vt:variant>
        <vt:lpwstr>http://www.nevo.co.il/case/28266138</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http://www.nevo.co.il/law/70301/40e</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7995492</vt:i4>
      </vt:variant>
      <vt:variant>
        <vt:i4>96</vt:i4>
      </vt:variant>
      <vt:variant>
        <vt:i4>0</vt:i4>
      </vt:variant>
      <vt:variant>
        <vt:i4>5</vt:i4>
      </vt:variant>
      <vt:variant>
        <vt:lpwstr>http://www.nevo.co.il/law/70301</vt:lpwstr>
      </vt:variant>
      <vt:variant>
        <vt:lpwstr/>
      </vt:variant>
      <vt:variant>
        <vt:i4>3604579</vt:i4>
      </vt:variant>
      <vt:variant>
        <vt:i4>93</vt:i4>
      </vt:variant>
      <vt:variant>
        <vt:i4>0</vt:i4>
      </vt:variant>
      <vt:variant>
        <vt:i4>5</vt:i4>
      </vt:variant>
      <vt:variant>
        <vt:lpwstr>http://www.nevo.co.il/law/70301/fCa(1)S</vt:lpwstr>
      </vt:variant>
      <vt:variant>
        <vt:lpwstr/>
      </vt:variant>
      <vt:variant>
        <vt:i4>3407997</vt:i4>
      </vt:variant>
      <vt:variant>
        <vt:i4>90</vt:i4>
      </vt:variant>
      <vt:variant>
        <vt:i4>0</vt:i4>
      </vt:variant>
      <vt:variant>
        <vt:i4>5</vt:i4>
      </vt:variant>
      <vt:variant>
        <vt:lpwstr>http://www.nevo.co.il/case/6018516</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http://www.nevo.co.il/law/70301/40c</vt:lpwstr>
      </vt:variant>
      <vt:variant>
        <vt:lpwstr/>
      </vt:variant>
      <vt:variant>
        <vt:i4>7995492</vt:i4>
      </vt:variant>
      <vt:variant>
        <vt:i4>81</vt:i4>
      </vt:variant>
      <vt:variant>
        <vt:i4>0</vt:i4>
      </vt:variant>
      <vt:variant>
        <vt:i4>5</vt:i4>
      </vt:variant>
      <vt:variant>
        <vt:lpwstr>http://www.nevo.co.il/law/70301</vt:lpwstr>
      </vt:variant>
      <vt:variant>
        <vt:lpwstr/>
      </vt:variant>
      <vt:variant>
        <vt:i4>7995492</vt:i4>
      </vt:variant>
      <vt:variant>
        <vt:i4>78</vt:i4>
      </vt:variant>
      <vt:variant>
        <vt:i4>0</vt:i4>
      </vt:variant>
      <vt:variant>
        <vt:i4>5</vt:i4>
      </vt:variant>
      <vt:variant>
        <vt:lpwstr>http://www.nevo.co.il/law/70301</vt:lpwstr>
      </vt:variant>
      <vt:variant>
        <vt:lpwstr/>
      </vt:variant>
      <vt:variant>
        <vt:i4>6553708</vt:i4>
      </vt:variant>
      <vt:variant>
        <vt:i4>75</vt:i4>
      </vt:variant>
      <vt:variant>
        <vt:i4>0</vt:i4>
      </vt:variant>
      <vt:variant>
        <vt:i4>5</vt:i4>
      </vt:variant>
      <vt:variant>
        <vt:lpwstr>http://www.nevo.co.il/law/70301/91</vt:lpwstr>
      </vt:variant>
      <vt:variant>
        <vt:lpwstr/>
      </vt:variant>
      <vt:variant>
        <vt:i4>4718679</vt:i4>
      </vt:variant>
      <vt:variant>
        <vt:i4>72</vt:i4>
      </vt:variant>
      <vt:variant>
        <vt:i4>0</vt:i4>
      </vt:variant>
      <vt:variant>
        <vt:i4>5</vt:i4>
      </vt:variant>
      <vt:variant>
        <vt:lpwstr>http://www.nevo.co.il/law/141771</vt:lpwstr>
      </vt:variant>
      <vt:variant>
        <vt:lpwstr/>
      </vt:variant>
      <vt:variant>
        <vt:i4>7929954</vt:i4>
      </vt:variant>
      <vt:variant>
        <vt:i4>69</vt:i4>
      </vt:variant>
      <vt:variant>
        <vt:i4>0</vt:i4>
      </vt:variant>
      <vt:variant>
        <vt:i4>5</vt:i4>
      </vt:variant>
      <vt:variant>
        <vt:lpwstr>http://www.nevo.co.il/law/72515</vt:lpwstr>
      </vt:variant>
      <vt:variant>
        <vt:lpwstr/>
      </vt:variant>
      <vt:variant>
        <vt:i4>8061024</vt:i4>
      </vt:variant>
      <vt:variant>
        <vt:i4>66</vt:i4>
      </vt:variant>
      <vt:variant>
        <vt:i4>0</vt:i4>
      </vt:variant>
      <vt:variant>
        <vt:i4>5</vt:i4>
      </vt:variant>
      <vt:variant>
        <vt:lpwstr>http://www.nevo.co.il/law/73729</vt:lpwstr>
      </vt:variant>
      <vt:variant>
        <vt:lpwstr/>
      </vt:variant>
      <vt:variant>
        <vt:i4>3539063</vt:i4>
      </vt:variant>
      <vt:variant>
        <vt:i4>63</vt:i4>
      </vt:variant>
      <vt:variant>
        <vt:i4>0</vt:i4>
      </vt:variant>
      <vt:variant>
        <vt:i4>5</vt:i4>
      </vt:variant>
      <vt:variant>
        <vt:lpwstr>http://www.nevo.co.il/case/28582339</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8192050</vt:i4>
      </vt:variant>
      <vt:variant>
        <vt:i4>54</vt:i4>
      </vt:variant>
      <vt:variant>
        <vt:i4>0</vt:i4>
      </vt:variant>
      <vt:variant>
        <vt:i4>5</vt:i4>
      </vt:variant>
      <vt:variant>
        <vt:lpwstr>http://www.nevo.co.il/law/70301/144.b2</vt:lpwstr>
      </vt:variant>
      <vt:variant>
        <vt:lpwstr/>
      </vt:variant>
      <vt:variant>
        <vt:i4>4718679</vt:i4>
      </vt:variant>
      <vt:variant>
        <vt:i4>51</vt:i4>
      </vt:variant>
      <vt:variant>
        <vt:i4>0</vt:i4>
      </vt:variant>
      <vt:variant>
        <vt:i4>5</vt:i4>
      </vt:variant>
      <vt:variant>
        <vt:lpwstr>http://www.nevo.co.il/law/141771</vt:lpwstr>
      </vt:variant>
      <vt:variant>
        <vt:lpwstr/>
      </vt:variant>
      <vt:variant>
        <vt:i4>7929954</vt:i4>
      </vt:variant>
      <vt:variant>
        <vt:i4>48</vt:i4>
      </vt:variant>
      <vt:variant>
        <vt:i4>0</vt:i4>
      </vt:variant>
      <vt:variant>
        <vt:i4>5</vt:i4>
      </vt:variant>
      <vt:variant>
        <vt:lpwstr>http://www.nevo.co.il/law/72515</vt:lpwstr>
      </vt:variant>
      <vt:variant>
        <vt:lpwstr/>
      </vt:variant>
      <vt:variant>
        <vt:i4>8061024</vt:i4>
      </vt:variant>
      <vt:variant>
        <vt:i4>45</vt:i4>
      </vt:variant>
      <vt:variant>
        <vt:i4>0</vt:i4>
      </vt:variant>
      <vt:variant>
        <vt:i4>5</vt:i4>
      </vt:variant>
      <vt:variant>
        <vt:lpwstr>http://www.nevo.co.il/law/73729</vt:lpwstr>
      </vt:variant>
      <vt:variant>
        <vt:lpwstr/>
      </vt:variant>
      <vt:variant>
        <vt:i4>3604579</vt:i4>
      </vt:variant>
      <vt:variant>
        <vt:i4>42</vt:i4>
      </vt:variant>
      <vt:variant>
        <vt:i4>0</vt:i4>
      </vt:variant>
      <vt:variant>
        <vt:i4>5</vt:i4>
      </vt:variant>
      <vt:variant>
        <vt:lpwstr>http://www.nevo.co.il/law/70301/fCa(1)S</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5177424</vt:i4>
      </vt:variant>
      <vt:variant>
        <vt:i4>36</vt:i4>
      </vt:variant>
      <vt:variant>
        <vt:i4>0</vt:i4>
      </vt:variant>
      <vt:variant>
        <vt:i4>5</vt:i4>
      </vt:variant>
      <vt:variant>
        <vt:lpwstr>http://www.nevo.co.il/law/70301/144.g</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6553708</vt:i4>
      </vt:variant>
      <vt:variant>
        <vt:i4>21</vt:i4>
      </vt:variant>
      <vt:variant>
        <vt:i4>0</vt:i4>
      </vt:variant>
      <vt:variant>
        <vt:i4>5</vt:i4>
      </vt:variant>
      <vt:variant>
        <vt:lpwstr>http://www.nevo.co.il/law/70301/91</vt:lpwstr>
      </vt:variant>
      <vt:variant>
        <vt:lpwstr/>
      </vt:variant>
      <vt:variant>
        <vt:i4>6619233</vt:i4>
      </vt:variant>
      <vt:variant>
        <vt:i4>18</vt:i4>
      </vt:variant>
      <vt:variant>
        <vt:i4>0</vt:i4>
      </vt:variant>
      <vt:variant>
        <vt:i4>5</vt:i4>
      </vt:variant>
      <vt:variant>
        <vt:lpwstr>http://www.nevo.co.il/law/70301/40j</vt:lpwstr>
      </vt:variant>
      <vt:variant>
        <vt:lpwstr/>
      </vt:variant>
      <vt:variant>
        <vt:i4>6619233</vt:i4>
      </vt:variant>
      <vt:variant>
        <vt:i4>15</vt:i4>
      </vt:variant>
      <vt:variant>
        <vt:i4>0</vt:i4>
      </vt:variant>
      <vt:variant>
        <vt:i4>5</vt:i4>
      </vt:variant>
      <vt:variant>
        <vt:lpwstr>http://www.nevo.co.il/law/70301/40g</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7995492</vt:i4>
      </vt:variant>
      <vt:variant>
        <vt:i4>3</vt:i4>
      </vt:variant>
      <vt:variant>
        <vt:i4>0</vt:i4>
      </vt:variant>
      <vt:variant>
        <vt:i4>5</vt:i4>
      </vt:variant>
      <vt:variant>
        <vt:lpwstr>http://www.nevo.co.il/law/70301</vt:lpwstr>
      </vt:variant>
      <vt:variant>
        <vt:lpwstr/>
      </vt:variant>
      <vt:variant>
        <vt:i4>7405627</vt:i4>
      </vt:variant>
      <vt:variant>
        <vt:i4>0</vt:i4>
      </vt:variant>
      <vt:variant>
        <vt:i4>0</vt:i4>
      </vt:variant>
      <vt:variant>
        <vt:i4>5</vt:i4>
      </vt:variant>
      <vt:variant>
        <vt:lpwstr>http://www.nevo.co.il/safrut/book/25954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2025-02-24T13:27:00Z</dcterms:created>
  <dcterms:modified xsi:type="dcterms:W3CDTF">2025-02-24T13:27:00Z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54444;12107</vt:lpwstr>
  </property>
  <property fmtid="{D5CDD505-2E9C-101B-9397-08002B2CF9AE}" pid="6" name="NEWPARTB">
    <vt:lpwstr>04;05</vt:lpwstr>
  </property>
  <property fmtid="{D5CDD505-2E9C-101B-9397-08002B2CF9AE}" pid="7" name="NEWPARTC">
    <vt:lpwstr>22;22</vt:lpwstr>
  </property>
  <property fmtid="{D5CDD505-2E9C-101B-9397-08002B2CF9AE}" pid="8" name="APPELLANT">
    <vt:lpwstr>מדינת ישראל</vt:lpwstr>
  </property>
  <property fmtid="{D5CDD505-2E9C-101B-9397-08002B2CF9AE}" pid="9" name="APPELLEE">
    <vt:lpwstr>ג'מיל מחאמיד </vt:lpwstr>
  </property>
  <property fmtid="{D5CDD505-2E9C-101B-9397-08002B2CF9AE}" pid="10" name="LAWYER">
    <vt:lpwstr>אבי אור זך;חאלד מחאג'נה;אחמד כליפה</vt:lpwstr>
  </property>
  <property fmtid="{D5CDD505-2E9C-101B-9397-08002B2CF9AE}" pid="11" name="JUDGE">
    <vt:lpwstr>מוחמד עלי</vt:lpwstr>
  </property>
  <property fmtid="{D5CDD505-2E9C-101B-9397-08002B2CF9AE}" pid="12" name="CITY">
    <vt:lpwstr>חי'</vt:lpwstr>
  </property>
  <property fmtid="{D5CDD505-2E9C-101B-9397-08002B2CF9AE}" pid="13" name="DATE">
    <vt:lpwstr>20221226</vt:lpwstr>
  </property>
  <property fmtid="{D5CDD505-2E9C-101B-9397-08002B2CF9AE}" pid="14" name="TYPE_N_DATE">
    <vt:lpwstr>39020221226</vt:lpwstr>
  </property>
  <property fmtid="{D5CDD505-2E9C-101B-9397-08002B2CF9AE}" pid="15" name="WORDNUMPAGES">
    <vt:lpwstr>11</vt:lpwstr>
  </property>
  <property fmtid="{D5CDD505-2E9C-101B-9397-08002B2CF9AE}" pid="16" name="TYPE_ABS_DATE">
    <vt:lpwstr>390020221226</vt:lpwstr>
  </property>
  <property fmtid="{D5CDD505-2E9C-101B-9397-08002B2CF9AE}" pid="17" name="ISABSTRACT">
    <vt:lpwstr>Y</vt:lpwstr>
  </property>
  <property fmtid="{D5CDD505-2E9C-101B-9397-08002B2CF9AE}" pid="18" name="CASESLISTTMP1">
    <vt:lpwstr>28582339;6018516;28266138;25824863;27309272;28883087;26905927;27708542;27734980;28200855;26538254;8471804;23817771;7827259;23877165;20523508</vt:lpwstr>
  </property>
  <property fmtid="{D5CDD505-2E9C-101B-9397-08002B2CF9AE}" pid="19" name="BOOKLISTTMP1">
    <vt:lpwstr>25954</vt:lpwstr>
  </property>
  <property fmtid="{D5CDD505-2E9C-101B-9397-08002B2CF9AE}" pid="20" name="LAWLISTTMP1">
    <vt:lpwstr>70301/144.b2:2;144.a;091;040c;fCa(1)S;040d;040e;144.g;144;040j;144.b;040g;40ja</vt:lpwstr>
  </property>
  <property fmtid="{D5CDD505-2E9C-101B-9397-08002B2CF9AE}" pid="21" name="LAWLISTTMP2">
    <vt:lpwstr>73729</vt:lpwstr>
  </property>
  <property fmtid="{D5CDD505-2E9C-101B-9397-08002B2CF9AE}" pid="22" name="LAWLISTTMP3">
    <vt:lpwstr>72515</vt:lpwstr>
  </property>
  <property fmtid="{D5CDD505-2E9C-101B-9397-08002B2CF9AE}" pid="23" name="LAWLISTTMP4">
    <vt:lpwstr>141771</vt:lpwstr>
  </property>
</Properties>
</file>