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1644AB" w:rsidRPr="00BC26C5" w14:paraId="05ACBE5D" w14:textId="77777777" w:rsidTr="00245182">
        <w:trPr>
          <w:gridAfter w:val="1"/>
          <w:wAfter w:w="99" w:type="dxa"/>
          <w:trHeight w:hRule="exact" w:val="418"/>
          <w:jc w:val="center"/>
        </w:trPr>
        <w:tc>
          <w:tcPr>
            <w:tcW w:w="8721" w:type="dxa"/>
            <w:gridSpan w:val="4"/>
          </w:tcPr>
          <w:p w14:paraId="1BEA46D9" w14:textId="77777777" w:rsidR="001644AB" w:rsidRPr="00BC26C5" w:rsidRDefault="001644AB" w:rsidP="00F932CB">
            <w:pPr>
              <w:pStyle w:val="a3"/>
              <w:jc w:val="center"/>
              <w:rPr>
                <w:rFonts w:ascii="Tahoma" w:hAnsi="Tahoma" w:cs="Tahoma"/>
                <w:color w:val="000080"/>
                <w:rtl/>
              </w:rPr>
            </w:pPr>
            <w:bookmarkStart w:id="0" w:name="LastJudge"/>
            <w:r w:rsidRPr="00BC26C5">
              <w:rPr>
                <w:rFonts w:ascii="Tahoma" w:hAnsi="Tahoma" w:cs="Tahoma"/>
                <w:b/>
                <w:bCs/>
                <w:color w:val="000080"/>
                <w:rtl/>
              </w:rPr>
              <w:t>בית המשפט המחוזי מרכז-לוד</w:t>
            </w:r>
          </w:p>
        </w:tc>
      </w:tr>
      <w:tr w:rsidR="001644AB" w:rsidRPr="00BC26C5" w14:paraId="623FEBA4" w14:textId="77777777" w:rsidTr="00245182">
        <w:trPr>
          <w:gridAfter w:val="1"/>
          <w:wAfter w:w="99" w:type="dxa"/>
          <w:trHeight w:val="337"/>
          <w:jc w:val="center"/>
        </w:trPr>
        <w:tc>
          <w:tcPr>
            <w:tcW w:w="5056" w:type="dxa"/>
            <w:gridSpan w:val="3"/>
          </w:tcPr>
          <w:p w14:paraId="4F0FACDB" w14:textId="77777777" w:rsidR="001644AB" w:rsidRPr="00BC26C5" w:rsidRDefault="001644AB" w:rsidP="00F932CB">
            <w:pPr>
              <w:rPr>
                <w:rFonts w:cs="FrankRuehl"/>
                <w:sz w:val="28"/>
                <w:szCs w:val="28"/>
                <w:rtl/>
              </w:rPr>
            </w:pPr>
            <w:r w:rsidRPr="00BC26C5">
              <w:rPr>
                <w:rFonts w:cs="FrankRuehl"/>
                <w:sz w:val="28"/>
                <w:szCs w:val="28"/>
                <w:rtl/>
              </w:rPr>
              <w:t>ת"פ</w:t>
            </w:r>
            <w:r w:rsidRPr="00BC26C5">
              <w:rPr>
                <w:rFonts w:cs="FrankRuehl" w:hint="cs"/>
                <w:sz w:val="28"/>
                <w:szCs w:val="28"/>
                <w:rtl/>
              </w:rPr>
              <w:t xml:space="preserve"> </w:t>
            </w:r>
            <w:r w:rsidRPr="00BC26C5">
              <w:rPr>
                <w:rFonts w:cs="FrankRuehl"/>
                <w:sz w:val="28"/>
                <w:szCs w:val="28"/>
                <w:rtl/>
              </w:rPr>
              <w:t>12401-05-22</w:t>
            </w:r>
            <w:r w:rsidRPr="00BC26C5">
              <w:rPr>
                <w:rFonts w:cs="FrankRuehl" w:hint="cs"/>
                <w:sz w:val="28"/>
                <w:szCs w:val="28"/>
                <w:rtl/>
              </w:rPr>
              <w:t xml:space="preserve"> </w:t>
            </w:r>
            <w:r w:rsidRPr="00BC26C5">
              <w:rPr>
                <w:rFonts w:cs="FrankRuehl"/>
                <w:sz w:val="28"/>
                <w:szCs w:val="28"/>
                <w:rtl/>
              </w:rPr>
              <w:t>מדינת ישראל נ' גמל(עציר) ואח'</w:t>
            </w:r>
          </w:p>
          <w:p w14:paraId="27673ACE" w14:textId="77777777" w:rsidR="001644AB" w:rsidRPr="00BC26C5" w:rsidRDefault="001644AB" w:rsidP="00F932CB">
            <w:pPr>
              <w:pStyle w:val="a3"/>
              <w:rPr>
                <w:rFonts w:cs="FrankRuehl"/>
                <w:sz w:val="28"/>
                <w:szCs w:val="28"/>
                <w:rtl/>
              </w:rPr>
            </w:pPr>
          </w:p>
        </w:tc>
        <w:tc>
          <w:tcPr>
            <w:tcW w:w="3665" w:type="dxa"/>
          </w:tcPr>
          <w:p w14:paraId="3E47C43B" w14:textId="77777777" w:rsidR="001644AB" w:rsidRPr="00BC26C5" w:rsidRDefault="001644AB" w:rsidP="00F932CB">
            <w:pPr>
              <w:pStyle w:val="a3"/>
              <w:jc w:val="right"/>
              <w:rPr>
                <w:rFonts w:cs="FrankRuehl"/>
                <w:sz w:val="28"/>
                <w:szCs w:val="28"/>
                <w:rtl/>
              </w:rPr>
            </w:pPr>
          </w:p>
        </w:tc>
      </w:tr>
      <w:tr w:rsidR="001644AB" w:rsidRPr="00BC26C5" w14:paraId="646AD5DB" w14:textId="77777777" w:rsidTr="002451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93FD51C" w14:textId="77777777" w:rsidR="001644AB" w:rsidRPr="00BC26C5" w:rsidRDefault="001644AB" w:rsidP="001644AB">
            <w:pPr>
              <w:jc w:val="both"/>
              <w:rPr>
                <w:rFonts w:ascii="David" w:hAnsi="David"/>
                <w:sz w:val="26"/>
                <w:szCs w:val="26"/>
              </w:rPr>
            </w:pPr>
            <w:r w:rsidRPr="00BC26C5">
              <w:rPr>
                <w:rFonts w:hint="cs"/>
                <w:rtl/>
              </w:rPr>
              <w:t xml:space="preserve"> </w:t>
            </w:r>
            <w:r w:rsidRPr="00BC26C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0DF678B" w14:textId="77777777" w:rsidR="001644AB" w:rsidRPr="00BC26C5" w:rsidRDefault="001644AB" w:rsidP="00F932CB">
            <w:pPr>
              <w:rPr>
                <w:rFonts w:ascii="David" w:hAnsi="David"/>
                <w:b/>
                <w:bCs/>
                <w:sz w:val="26"/>
                <w:szCs w:val="26"/>
                <w:rtl/>
              </w:rPr>
            </w:pPr>
            <w:r w:rsidRPr="00BC26C5">
              <w:rPr>
                <w:rFonts w:ascii="David" w:hAnsi="David"/>
                <w:b/>
                <w:bCs/>
                <w:sz w:val="26"/>
                <w:szCs w:val="26"/>
                <w:rtl/>
              </w:rPr>
              <w:t>כבוד השופטת  מרב גרינברג</w:t>
            </w:r>
          </w:p>
          <w:p w14:paraId="05940735" w14:textId="77777777" w:rsidR="001644AB" w:rsidRPr="00BC26C5" w:rsidRDefault="001644AB" w:rsidP="00F932CB">
            <w:pPr>
              <w:rPr>
                <w:rFonts w:ascii="David" w:hAnsi="David"/>
                <w:sz w:val="26"/>
                <w:szCs w:val="26"/>
                <w:rtl/>
              </w:rPr>
            </w:pPr>
          </w:p>
          <w:p w14:paraId="1AE52937" w14:textId="77777777" w:rsidR="001644AB" w:rsidRPr="00BC26C5" w:rsidRDefault="001644AB" w:rsidP="001644AB">
            <w:pPr>
              <w:jc w:val="both"/>
              <w:rPr>
                <w:rFonts w:ascii="David" w:hAnsi="David"/>
                <w:sz w:val="26"/>
                <w:szCs w:val="26"/>
              </w:rPr>
            </w:pPr>
          </w:p>
        </w:tc>
      </w:tr>
      <w:tr w:rsidR="001644AB" w:rsidRPr="00BC26C5" w14:paraId="34855023" w14:textId="77777777" w:rsidTr="002451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9B1935" w14:textId="77777777" w:rsidR="001644AB" w:rsidRPr="00BC26C5" w:rsidRDefault="001644AB" w:rsidP="001644AB">
            <w:pPr>
              <w:jc w:val="both"/>
              <w:rPr>
                <w:rFonts w:ascii="David" w:hAnsi="David"/>
                <w:sz w:val="26"/>
                <w:szCs w:val="26"/>
              </w:rPr>
            </w:pPr>
            <w:bookmarkStart w:id="1" w:name="FirstAppellant"/>
            <w:bookmarkStart w:id="2" w:name="FirstLawyer"/>
            <w:r w:rsidRPr="00BC26C5">
              <w:rPr>
                <w:rFonts w:ascii="David" w:hAnsi="David"/>
                <w:sz w:val="26"/>
                <w:szCs w:val="26"/>
                <w:rtl/>
              </w:rPr>
              <w:t>בעניין:</w:t>
            </w:r>
          </w:p>
        </w:tc>
        <w:tc>
          <w:tcPr>
            <w:tcW w:w="3219" w:type="dxa"/>
            <w:tcBorders>
              <w:top w:val="nil"/>
              <w:left w:val="nil"/>
              <w:bottom w:val="nil"/>
              <w:right w:val="nil"/>
            </w:tcBorders>
            <w:shd w:val="clear" w:color="auto" w:fill="auto"/>
          </w:tcPr>
          <w:p w14:paraId="6623009C" w14:textId="77777777" w:rsidR="001644AB" w:rsidRPr="00BC26C5" w:rsidRDefault="001644AB" w:rsidP="001644AB">
            <w:pPr>
              <w:suppressLineNumbers/>
            </w:pPr>
            <w:r w:rsidRPr="00BC26C5">
              <w:rPr>
                <w:rFonts w:ascii="Arial" w:hAnsi="Arial" w:hint="cs"/>
                <w:b/>
                <w:bCs/>
                <w:sz w:val="26"/>
                <w:szCs w:val="26"/>
                <w:rtl/>
              </w:rPr>
              <w:t>ה</w:t>
            </w:r>
            <w:r w:rsidRPr="00BC26C5">
              <w:rPr>
                <w:rFonts w:ascii="Arial" w:hAnsi="Arial"/>
                <w:b/>
                <w:bCs/>
                <w:sz w:val="26"/>
                <w:szCs w:val="26"/>
                <w:rtl/>
              </w:rPr>
              <w:t>מאשימה</w:t>
            </w:r>
          </w:p>
          <w:p w14:paraId="67DB5256" w14:textId="77777777" w:rsidR="001644AB" w:rsidRPr="00BC26C5" w:rsidRDefault="001644AB" w:rsidP="00F932C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3F29C22" w14:textId="77777777" w:rsidR="001644AB" w:rsidRPr="00BC26C5" w:rsidRDefault="001644AB" w:rsidP="001644AB">
            <w:pPr>
              <w:suppressLineNumbers/>
              <w:rPr>
                <w:rFonts w:ascii="Arial" w:hAnsi="Arial"/>
                <w:b/>
                <w:bCs/>
                <w:sz w:val="26"/>
                <w:szCs w:val="26"/>
                <w:rtl/>
              </w:rPr>
            </w:pPr>
            <w:r w:rsidRPr="00BC26C5">
              <w:rPr>
                <w:rFonts w:ascii="Arial" w:hAnsi="Arial"/>
                <w:b/>
                <w:bCs/>
                <w:sz w:val="26"/>
                <w:szCs w:val="26"/>
                <w:rtl/>
              </w:rPr>
              <w:t>מדינת ישראל</w:t>
            </w:r>
            <w:r w:rsidRPr="00BC26C5">
              <w:rPr>
                <w:rFonts w:ascii="Arial" w:hAnsi="Arial" w:hint="cs"/>
                <w:b/>
                <w:bCs/>
                <w:sz w:val="26"/>
                <w:szCs w:val="26"/>
                <w:rtl/>
              </w:rPr>
              <w:t xml:space="preserve"> </w:t>
            </w:r>
          </w:p>
          <w:p w14:paraId="6D5CBDF5" w14:textId="77777777" w:rsidR="001644AB" w:rsidRPr="00BC26C5" w:rsidRDefault="001644AB" w:rsidP="001644AB">
            <w:pPr>
              <w:suppressLineNumbers/>
              <w:rPr>
                <w:rFonts w:ascii="Arial" w:hAnsi="Arial"/>
                <w:b/>
                <w:bCs/>
                <w:sz w:val="26"/>
                <w:szCs w:val="26"/>
              </w:rPr>
            </w:pPr>
            <w:r w:rsidRPr="00BC26C5">
              <w:rPr>
                <w:rFonts w:ascii="Arial" w:hAnsi="Arial"/>
                <w:b/>
                <w:bCs/>
                <w:sz w:val="26"/>
                <w:szCs w:val="26"/>
                <w:rtl/>
              </w:rPr>
              <w:t>ע"י ב"כ עוה"ד</w:t>
            </w:r>
            <w:r w:rsidRPr="00BC26C5">
              <w:rPr>
                <w:rFonts w:hint="cs"/>
                <w:rtl/>
              </w:rPr>
              <w:t xml:space="preserve"> </w:t>
            </w:r>
            <w:r w:rsidRPr="00BC26C5">
              <w:rPr>
                <w:rFonts w:ascii="Arial" w:hAnsi="Arial" w:hint="cs"/>
                <w:b/>
                <w:bCs/>
                <w:sz w:val="26"/>
                <w:szCs w:val="26"/>
                <w:rtl/>
              </w:rPr>
              <w:t>ליטל שירי</w:t>
            </w:r>
          </w:p>
          <w:p w14:paraId="19F058A4" w14:textId="77777777" w:rsidR="001644AB" w:rsidRPr="00BC26C5" w:rsidRDefault="001644AB" w:rsidP="00F932CB">
            <w:pPr>
              <w:rPr>
                <w:rFonts w:ascii="David" w:hAnsi="David"/>
                <w:sz w:val="26"/>
                <w:szCs w:val="26"/>
              </w:rPr>
            </w:pPr>
          </w:p>
        </w:tc>
      </w:tr>
      <w:bookmarkEnd w:id="1"/>
      <w:bookmarkEnd w:id="2"/>
      <w:tr w:rsidR="001644AB" w:rsidRPr="00BC26C5" w14:paraId="29E67D66" w14:textId="77777777" w:rsidTr="002451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603045" w14:textId="77777777" w:rsidR="001644AB" w:rsidRPr="00BC26C5" w:rsidRDefault="001644AB" w:rsidP="001644A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A28B3EF" w14:textId="77777777" w:rsidR="001644AB" w:rsidRPr="00BC26C5" w:rsidRDefault="001644AB" w:rsidP="001644AB">
            <w:pPr>
              <w:jc w:val="center"/>
              <w:rPr>
                <w:rFonts w:ascii="David" w:hAnsi="David"/>
                <w:b/>
                <w:bCs/>
                <w:sz w:val="26"/>
                <w:szCs w:val="26"/>
                <w:rtl/>
              </w:rPr>
            </w:pPr>
          </w:p>
          <w:p w14:paraId="068BD52F" w14:textId="77777777" w:rsidR="001644AB" w:rsidRPr="00BC26C5" w:rsidRDefault="001644AB" w:rsidP="001644AB">
            <w:pPr>
              <w:jc w:val="center"/>
              <w:rPr>
                <w:rFonts w:ascii="David" w:hAnsi="David"/>
                <w:b/>
                <w:bCs/>
                <w:sz w:val="26"/>
                <w:szCs w:val="26"/>
                <w:rtl/>
              </w:rPr>
            </w:pPr>
            <w:r w:rsidRPr="00BC26C5">
              <w:rPr>
                <w:rFonts w:ascii="David" w:hAnsi="David"/>
                <w:b/>
                <w:bCs/>
                <w:sz w:val="26"/>
                <w:szCs w:val="26"/>
                <w:rtl/>
              </w:rPr>
              <w:t>נגד</w:t>
            </w:r>
          </w:p>
          <w:p w14:paraId="3D7E1B34" w14:textId="77777777" w:rsidR="001644AB" w:rsidRPr="00BC26C5" w:rsidRDefault="001644AB" w:rsidP="001644AB">
            <w:pPr>
              <w:jc w:val="both"/>
              <w:rPr>
                <w:rFonts w:ascii="David" w:hAnsi="David"/>
                <w:sz w:val="26"/>
                <w:szCs w:val="26"/>
              </w:rPr>
            </w:pPr>
          </w:p>
        </w:tc>
      </w:tr>
      <w:tr w:rsidR="001644AB" w:rsidRPr="00BC26C5" w14:paraId="2F515978" w14:textId="77777777" w:rsidTr="002451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656DED" w14:textId="77777777" w:rsidR="001644AB" w:rsidRPr="00BC26C5" w:rsidRDefault="001644AB" w:rsidP="00F932CB">
            <w:pPr>
              <w:rPr>
                <w:rFonts w:ascii="David" w:hAnsi="David"/>
                <w:sz w:val="26"/>
                <w:szCs w:val="26"/>
                <w:rtl/>
              </w:rPr>
            </w:pPr>
          </w:p>
        </w:tc>
        <w:tc>
          <w:tcPr>
            <w:tcW w:w="3219" w:type="dxa"/>
            <w:tcBorders>
              <w:top w:val="nil"/>
              <w:left w:val="nil"/>
              <w:bottom w:val="nil"/>
              <w:right w:val="nil"/>
            </w:tcBorders>
            <w:shd w:val="clear" w:color="auto" w:fill="auto"/>
          </w:tcPr>
          <w:p w14:paraId="7036D597" w14:textId="77777777" w:rsidR="001644AB" w:rsidRPr="00BC26C5" w:rsidRDefault="001644AB" w:rsidP="00F932CB">
            <w:pPr>
              <w:rPr>
                <w:rFonts w:ascii="Arial" w:hAnsi="Arial"/>
                <w:b/>
                <w:bCs/>
                <w:sz w:val="26"/>
                <w:szCs w:val="26"/>
                <w:rtl/>
              </w:rPr>
            </w:pPr>
            <w:r w:rsidRPr="00BC26C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2AD006A" w14:textId="77777777" w:rsidR="001644AB" w:rsidRPr="00BC26C5" w:rsidRDefault="001644AB" w:rsidP="00F932CB">
            <w:pPr>
              <w:rPr>
                <w:rFonts w:ascii="David" w:hAnsi="David"/>
                <w:sz w:val="26"/>
                <w:szCs w:val="26"/>
              </w:rPr>
            </w:pPr>
          </w:p>
          <w:p w14:paraId="41F58E0B" w14:textId="77777777" w:rsidR="001644AB" w:rsidRPr="00BC26C5" w:rsidRDefault="001644AB" w:rsidP="001644AB">
            <w:pPr>
              <w:suppressLineNumbers/>
              <w:spacing w:line="360" w:lineRule="auto"/>
              <w:rPr>
                <w:rFonts w:ascii="Arial" w:hAnsi="Arial"/>
                <w:b/>
                <w:bCs/>
                <w:sz w:val="26"/>
                <w:szCs w:val="26"/>
                <w:rtl/>
              </w:rPr>
            </w:pPr>
            <w:r w:rsidRPr="00BC26C5">
              <w:rPr>
                <w:rFonts w:ascii="Arial" w:hAnsi="Arial" w:hint="cs"/>
                <w:b/>
                <w:bCs/>
                <w:sz w:val="26"/>
                <w:szCs w:val="26"/>
                <w:rtl/>
              </w:rPr>
              <w:t>1.</w:t>
            </w:r>
            <w:r w:rsidRPr="00BC26C5">
              <w:rPr>
                <w:rFonts w:ascii="Arial" w:hAnsi="Arial"/>
                <w:b/>
                <w:bCs/>
                <w:sz w:val="26"/>
                <w:szCs w:val="26"/>
                <w:rtl/>
              </w:rPr>
              <w:t xml:space="preserve">קותייבה גמל </w:t>
            </w:r>
          </w:p>
          <w:p w14:paraId="045703EF" w14:textId="77777777" w:rsidR="001644AB" w:rsidRPr="00BC26C5" w:rsidRDefault="001644AB" w:rsidP="001644AB">
            <w:pPr>
              <w:suppressLineNumbers/>
              <w:spacing w:line="360" w:lineRule="auto"/>
              <w:rPr>
                <w:rFonts w:ascii="Arial" w:hAnsi="Arial"/>
                <w:b/>
                <w:bCs/>
                <w:sz w:val="26"/>
                <w:szCs w:val="26"/>
                <w:rtl/>
              </w:rPr>
            </w:pPr>
            <w:r w:rsidRPr="00BC26C5">
              <w:rPr>
                <w:rFonts w:ascii="Arial" w:hAnsi="Arial"/>
                <w:b/>
                <w:bCs/>
                <w:sz w:val="26"/>
                <w:szCs w:val="26"/>
                <w:rtl/>
              </w:rPr>
              <w:t>ע"י ב"כ עוה"ד</w:t>
            </w:r>
            <w:r w:rsidRPr="00BC26C5">
              <w:rPr>
                <w:rFonts w:ascii="Arial" w:hAnsi="Arial" w:hint="cs"/>
                <w:b/>
                <w:bCs/>
                <w:sz w:val="26"/>
                <w:szCs w:val="26"/>
                <w:rtl/>
              </w:rPr>
              <w:t xml:space="preserve"> שי טובים</w:t>
            </w:r>
          </w:p>
          <w:p w14:paraId="193E9A54" w14:textId="77777777" w:rsidR="001644AB" w:rsidRPr="00BC26C5" w:rsidRDefault="001644AB" w:rsidP="001644AB">
            <w:pPr>
              <w:suppressLineNumbers/>
              <w:spacing w:line="360" w:lineRule="auto"/>
              <w:rPr>
                <w:rFonts w:ascii="Arial" w:hAnsi="Arial"/>
                <w:b/>
                <w:bCs/>
                <w:sz w:val="26"/>
                <w:szCs w:val="26"/>
              </w:rPr>
            </w:pPr>
          </w:p>
          <w:p w14:paraId="11B34C54" w14:textId="77777777" w:rsidR="001644AB" w:rsidRPr="00BC26C5" w:rsidRDefault="001644AB" w:rsidP="001644AB">
            <w:pPr>
              <w:suppressLineNumbers/>
              <w:spacing w:line="360" w:lineRule="auto"/>
              <w:rPr>
                <w:rFonts w:ascii="Arial" w:hAnsi="Arial"/>
                <w:b/>
                <w:bCs/>
                <w:sz w:val="26"/>
                <w:szCs w:val="26"/>
                <w:rtl/>
              </w:rPr>
            </w:pPr>
            <w:r w:rsidRPr="00BC26C5">
              <w:rPr>
                <w:rFonts w:ascii="Arial" w:hAnsi="Arial" w:hint="cs"/>
                <w:b/>
                <w:bCs/>
                <w:sz w:val="26"/>
                <w:szCs w:val="26"/>
                <w:rtl/>
              </w:rPr>
              <w:t>2.</w:t>
            </w:r>
            <w:r w:rsidRPr="00BC26C5">
              <w:rPr>
                <w:rFonts w:ascii="Arial" w:hAnsi="Arial"/>
                <w:b/>
                <w:bCs/>
                <w:sz w:val="26"/>
                <w:szCs w:val="26"/>
                <w:rtl/>
              </w:rPr>
              <w:t xml:space="preserve">עבד אל ראזק גמל </w:t>
            </w:r>
            <w:r w:rsidRPr="00BC26C5">
              <w:rPr>
                <w:rFonts w:ascii="Arial" w:hAnsi="Arial" w:hint="cs"/>
                <w:b/>
                <w:bCs/>
                <w:sz w:val="26"/>
                <w:szCs w:val="26"/>
                <w:rtl/>
              </w:rPr>
              <w:t xml:space="preserve"> </w:t>
            </w:r>
          </w:p>
          <w:p w14:paraId="2683F4C1" w14:textId="77777777" w:rsidR="001644AB" w:rsidRPr="00BC26C5" w:rsidRDefault="001644AB" w:rsidP="001644AB">
            <w:pPr>
              <w:suppressLineNumbers/>
              <w:spacing w:line="360" w:lineRule="auto"/>
            </w:pPr>
            <w:r w:rsidRPr="00BC26C5">
              <w:rPr>
                <w:rFonts w:ascii="Arial" w:hAnsi="Arial"/>
                <w:b/>
                <w:bCs/>
                <w:sz w:val="26"/>
                <w:szCs w:val="26"/>
                <w:rtl/>
              </w:rPr>
              <w:t>ע"י ב"כ עוה"ד</w:t>
            </w:r>
            <w:r w:rsidRPr="00BC26C5">
              <w:rPr>
                <w:rFonts w:ascii="Arial" w:hAnsi="Arial" w:hint="cs"/>
                <w:b/>
                <w:bCs/>
                <w:sz w:val="26"/>
                <w:szCs w:val="26"/>
                <w:rtl/>
              </w:rPr>
              <w:t xml:space="preserve"> שאדי נאטור</w:t>
            </w:r>
          </w:p>
        </w:tc>
      </w:tr>
    </w:tbl>
    <w:p w14:paraId="5EE223C3" w14:textId="77777777" w:rsidR="00245182" w:rsidRDefault="00245182" w:rsidP="00BC26C5">
      <w:pPr>
        <w:rPr>
          <w:sz w:val="26"/>
          <w:szCs w:val="26"/>
          <w:rtl/>
        </w:rPr>
      </w:pPr>
    </w:p>
    <w:p w14:paraId="2482E182" w14:textId="77777777" w:rsidR="00245182" w:rsidRPr="00245182" w:rsidRDefault="00245182" w:rsidP="00245182">
      <w:pPr>
        <w:spacing w:after="120" w:line="240" w:lineRule="exact"/>
        <w:ind w:left="283" w:hanging="283"/>
        <w:jc w:val="both"/>
        <w:rPr>
          <w:rFonts w:ascii="FrankRuehl" w:hAnsi="FrankRuehl" w:cs="FrankRuehl"/>
          <w:rtl/>
        </w:rPr>
      </w:pPr>
    </w:p>
    <w:p w14:paraId="4C1200C2" w14:textId="77777777" w:rsidR="0061178E" w:rsidRPr="0061178E" w:rsidRDefault="0061178E" w:rsidP="0061178E">
      <w:pPr>
        <w:spacing w:before="120" w:after="120" w:line="240" w:lineRule="exact"/>
        <w:ind w:left="283" w:hanging="283"/>
        <w:jc w:val="both"/>
        <w:rPr>
          <w:rFonts w:ascii="FrankRuehl" w:hAnsi="FrankRuehl" w:cs="FrankRuehl"/>
          <w:rtl/>
        </w:rPr>
      </w:pPr>
    </w:p>
    <w:p w14:paraId="69B3E5B8" w14:textId="77777777" w:rsidR="00F40EF9" w:rsidRDefault="00F40EF9" w:rsidP="00F40EF9">
      <w:pPr>
        <w:rPr>
          <w:sz w:val="26"/>
          <w:szCs w:val="26"/>
          <w:rtl/>
        </w:rPr>
      </w:pPr>
      <w:bookmarkStart w:id="3" w:name="LawTable"/>
      <w:bookmarkEnd w:id="3"/>
    </w:p>
    <w:p w14:paraId="3580BC7B" w14:textId="77777777" w:rsidR="00F40EF9" w:rsidRPr="00F40EF9" w:rsidRDefault="00F40EF9" w:rsidP="00F40EF9">
      <w:pPr>
        <w:spacing w:before="120" w:after="120" w:line="240" w:lineRule="exact"/>
        <w:ind w:left="283" w:hanging="283"/>
        <w:jc w:val="both"/>
        <w:rPr>
          <w:rFonts w:ascii="FrankRuehl" w:hAnsi="FrankRuehl" w:cs="FrankRuehl"/>
          <w:rtl/>
        </w:rPr>
      </w:pPr>
    </w:p>
    <w:p w14:paraId="26CB7F18" w14:textId="77777777" w:rsidR="00F40EF9" w:rsidRPr="00F40EF9" w:rsidRDefault="00F40EF9" w:rsidP="00F40EF9">
      <w:pPr>
        <w:spacing w:before="120" w:after="120" w:line="240" w:lineRule="exact"/>
        <w:ind w:left="283" w:hanging="283"/>
        <w:jc w:val="both"/>
        <w:rPr>
          <w:rFonts w:ascii="FrankRuehl" w:hAnsi="FrankRuehl" w:cs="FrankRuehl"/>
          <w:rtl/>
        </w:rPr>
      </w:pPr>
    </w:p>
    <w:p w14:paraId="67D78F56" w14:textId="77777777" w:rsidR="00F40EF9" w:rsidRPr="00F40EF9" w:rsidRDefault="00F40EF9" w:rsidP="00F40EF9">
      <w:pPr>
        <w:spacing w:before="120" w:after="120" w:line="240" w:lineRule="exact"/>
        <w:ind w:left="283" w:hanging="283"/>
        <w:jc w:val="both"/>
        <w:rPr>
          <w:rFonts w:ascii="FrankRuehl" w:hAnsi="FrankRuehl" w:cs="FrankRuehl"/>
          <w:rtl/>
        </w:rPr>
      </w:pPr>
      <w:r w:rsidRPr="00F40EF9">
        <w:rPr>
          <w:rFonts w:ascii="FrankRuehl" w:hAnsi="FrankRuehl" w:cs="FrankRuehl"/>
          <w:rtl/>
        </w:rPr>
        <w:t xml:space="preserve">חקיקה שאוזכרה: </w:t>
      </w:r>
    </w:p>
    <w:p w14:paraId="53A2CB5B" w14:textId="77777777" w:rsidR="00F40EF9" w:rsidRPr="00F40EF9" w:rsidRDefault="00F40EF9" w:rsidP="00F40EF9">
      <w:pPr>
        <w:spacing w:before="120" w:after="120" w:line="240" w:lineRule="exact"/>
        <w:ind w:left="283" w:hanging="283"/>
        <w:jc w:val="both"/>
        <w:rPr>
          <w:rFonts w:ascii="FrankRuehl" w:hAnsi="FrankRuehl" w:cs="FrankRuehl"/>
          <w:rtl/>
        </w:rPr>
      </w:pPr>
      <w:hyperlink r:id="rId7" w:history="1">
        <w:r w:rsidRPr="00F40EF9">
          <w:rPr>
            <w:rFonts w:ascii="FrankRuehl" w:hAnsi="FrankRuehl" w:cs="FrankRuehl"/>
            <w:color w:val="0000FF"/>
            <w:rtl/>
          </w:rPr>
          <w:t>חוק העונשין, תשל"ז-1977</w:t>
        </w:r>
      </w:hyperlink>
      <w:r w:rsidRPr="00F40EF9">
        <w:rPr>
          <w:rFonts w:ascii="FrankRuehl" w:hAnsi="FrankRuehl" w:cs="FrankRuehl"/>
          <w:rtl/>
        </w:rPr>
        <w:t xml:space="preserve">: סע'  </w:t>
      </w:r>
      <w:hyperlink r:id="rId8" w:history="1">
        <w:r w:rsidRPr="00F40EF9">
          <w:rPr>
            <w:rFonts w:ascii="FrankRuehl" w:hAnsi="FrankRuehl" w:cs="FrankRuehl"/>
            <w:color w:val="0000FF"/>
            <w:rtl/>
          </w:rPr>
          <w:t>144(ב)</w:t>
        </w:r>
      </w:hyperlink>
    </w:p>
    <w:p w14:paraId="2760383A" w14:textId="77777777" w:rsidR="00F40EF9" w:rsidRPr="00F40EF9" w:rsidRDefault="00F40EF9" w:rsidP="00F40EF9">
      <w:pPr>
        <w:rPr>
          <w:sz w:val="26"/>
          <w:szCs w:val="26"/>
          <w:rtl/>
        </w:rPr>
      </w:pPr>
      <w:bookmarkStart w:id="4" w:name="LawTable_End"/>
      <w:bookmarkEnd w:id="4"/>
    </w:p>
    <w:p w14:paraId="3159DE91" w14:textId="77777777" w:rsidR="001644AB" w:rsidRPr="0061178E" w:rsidRDefault="001644AB" w:rsidP="0061178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44AB" w14:paraId="38F58664" w14:textId="77777777" w:rsidTr="001644AB">
        <w:trPr>
          <w:trHeight w:val="355"/>
          <w:jc w:val="center"/>
        </w:trPr>
        <w:tc>
          <w:tcPr>
            <w:tcW w:w="8820" w:type="dxa"/>
            <w:tcBorders>
              <w:top w:val="nil"/>
              <w:left w:val="nil"/>
              <w:bottom w:val="nil"/>
              <w:right w:val="nil"/>
            </w:tcBorders>
            <w:shd w:val="clear" w:color="auto" w:fill="auto"/>
          </w:tcPr>
          <w:p w14:paraId="5FBC1DD1" w14:textId="77777777" w:rsidR="00BC26C5" w:rsidRPr="00BC26C5" w:rsidRDefault="00BC26C5" w:rsidP="00BC26C5">
            <w:pPr>
              <w:jc w:val="center"/>
              <w:rPr>
                <w:rFonts w:ascii="David" w:hAnsi="David"/>
                <w:b/>
                <w:bCs/>
                <w:sz w:val="32"/>
                <w:szCs w:val="32"/>
                <w:u w:val="single"/>
                <w:rtl/>
              </w:rPr>
            </w:pPr>
            <w:bookmarkStart w:id="5" w:name="PsakDin" w:colFirst="0" w:colLast="0"/>
            <w:bookmarkEnd w:id="0"/>
            <w:r w:rsidRPr="00BC26C5">
              <w:rPr>
                <w:rFonts w:ascii="David" w:hAnsi="David"/>
                <w:b/>
                <w:bCs/>
                <w:sz w:val="32"/>
                <w:szCs w:val="32"/>
                <w:u w:val="single"/>
                <w:rtl/>
              </w:rPr>
              <w:t>גזר דין</w:t>
            </w:r>
          </w:p>
          <w:p w14:paraId="4ED0BD28" w14:textId="77777777" w:rsidR="001644AB" w:rsidRPr="00BC26C5" w:rsidRDefault="001644AB" w:rsidP="00BC26C5">
            <w:pPr>
              <w:jc w:val="center"/>
              <w:rPr>
                <w:rFonts w:ascii="David" w:hAnsi="David"/>
                <w:bCs/>
                <w:sz w:val="32"/>
                <w:szCs w:val="32"/>
                <w:u w:val="single"/>
                <w:rtl/>
              </w:rPr>
            </w:pPr>
          </w:p>
        </w:tc>
      </w:tr>
      <w:bookmarkEnd w:id="5"/>
    </w:tbl>
    <w:p w14:paraId="3E318285" w14:textId="77777777" w:rsidR="001644AB" w:rsidRDefault="001644AB" w:rsidP="001644AB">
      <w:pPr>
        <w:spacing w:line="360" w:lineRule="auto"/>
        <w:contextualSpacing/>
        <w:jc w:val="both"/>
        <w:rPr>
          <w:rFonts w:ascii="David" w:eastAsia="David" w:hAnsi="David"/>
        </w:rPr>
      </w:pPr>
    </w:p>
    <w:p w14:paraId="0C68FA24" w14:textId="77777777" w:rsidR="001644AB" w:rsidRDefault="001644AB" w:rsidP="001644AB">
      <w:pPr>
        <w:numPr>
          <w:ilvl w:val="0"/>
          <w:numId w:val="1"/>
        </w:numPr>
        <w:spacing w:line="360" w:lineRule="auto"/>
        <w:ind w:left="84" w:hanging="283"/>
        <w:contextualSpacing/>
        <w:jc w:val="both"/>
        <w:rPr>
          <w:rFonts w:ascii="David" w:eastAsia="David" w:hAnsi="David"/>
          <w:rtl/>
        </w:rPr>
      </w:pPr>
      <w:bookmarkStart w:id="6" w:name="ABSTRACT_START"/>
      <w:bookmarkEnd w:id="6"/>
      <w:r>
        <w:rPr>
          <w:rFonts w:ascii="David" w:eastAsia="David" w:hAnsi="David"/>
          <w:rtl/>
        </w:rPr>
        <w:t xml:space="preserve">הנאשמים הורשעו במסגרת הסדר טיעון בעובדות כתב אישום מתוקן </w:t>
      </w:r>
      <w:r>
        <w:rPr>
          <w:rFonts w:ascii="David" w:eastAsia="David" w:hAnsi="David"/>
          <w:b/>
          <w:bCs/>
          <w:rtl/>
        </w:rPr>
        <w:t xml:space="preserve">בעבירת נשיאה והובלת נשק ותחמושת לפי </w:t>
      </w:r>
      <w:hyperlink r:id="rId9" w:history="1">
        <w:r w:rsidR="00245182" w:rsidRPr="00245182">
          <w:rPr>
            <w:rStyle w:val="Hyperlink"/>
            <w:rFonts w:ascii="David" w:eastAsia="David" w:hAnsi="David"/>
            <w:b/>
            <w:bCs/>
            <w:rtl/>
          </w:rPr>
          <w:t>סעיף 144(ב)</w:t>
        </w:r>
      </w:hyperlink>
      <w:r>
        <w:rPr>
          <w:rFonts w:ascii="David" w:eastAsia="David" w:hAnsi="David"/>
          <w:b/>
          <w:bCs/>
          <w:rtl/>
        </w:rPr>
        <w:t xml:space="preserve"> רישא וסיפא ל</w:t>
      </w:r>
      <w:hyperlink r:id="rId10" w:history="1">
        <w:r w:rsidR="00BC26C5" w:rsidRPr="00BC26C5">
          <w:rPr>
            <w:rFonts w:ascii="David" w:eastAsia="David" w:hAnsi="David"/>
            <w:b/>
            <w:bCs/>
            <w:color w:val="0000FF"/>
            <w:u w:val="single"/>
            <w:rtl/>
          </w:rPr>
          <w:t>חוק העונשין</w:t>
        </w:r>
      </w:hyperlink>
      <w:r>
        <w:rPr>
          <w:rFonts w:ascii="David" w:eastAsia="David" w:hAnsi="David"/>
          <w:b/>
          <w:bCs/>
          <w:rtl/>
        </w:rPr>
        <w:t>, תשל"ז-1977</w:t>
      </w:r>
      <w:r>
        <w:rPr>
          <w:rFonts w:ascii="David" w:eastAsia="David" w:hAnsi="David"/>
          <w:rtl/>
        </w:rPr>
        <w:t xml:space="preserve"> (להלן-החוק). </w:t>
      </w:r>
    </w:p>
    <w:p w14:paraId="3250F80B" w14:textId="77777777" w:rsidR="001644AB" w:rsidRDefault="001644AB" w:rsidP="001644AB">
      <w:pPr>
        <w:spacing w:line="360" w:lineRule="auto"/>
        <w:ind w:left="84"/>
        <w:contextualSpacing/>
        <w:jc w:val="both"/>
        <w:rPr>
          <w:rFonts w:ascii="David" w:eastAsia="David" w:hAnsi="David"/>
        </w:rPr>
      </w:pPr>
      <w:bookmarkStart w:id="7" w:name="ABSTRACT_END"/>
      <w:bookmarkEnd w:id="7"/>
    </w:p>
    <w:p w14:paraId="674883FA" w14:textId="77777777" w:rsidR="001644AB" w:rsidRDefault="001644AB" w:rsidP="001644AB">
      <w:pPr>
        <w:spacing w:line="360" w:lineRule="auto"/>
        <w:ind w:left="84"/>
        <w:contextualSpacing/>
        <w:jc w:val="both"/>
        <w:rPr>
          <w:rFonts w:ascii="David" w:eastAsia="David" w:hAnsi="David"/>
          <w:rtl/>
        </w:rPr>
      </w:pPr>
      <w:r>
        <w:rPr>
          <w:rFonts w:ascii="David" w:eastAsia="David" w:hAnsi="David"/>
          <w:rtl/>
        </w:rPr>
        <w:t xml:space="preserve">כמפורט בעובדות כתב האישום המתוקן, ביום 11.4.22, על רק סכסוך שהתגלע בין הנאשמים, קרוב משפחתם פורסאן לבין המתלוננים א.א ו-ב., הצטיידו כל אחד מהנאשמים באקדח שסוגו אינו ידוע במדויק. בהמשך היום התקשר א.א לפורסאן והציע שייפגשו לפתור את הסכסוך, זמן קצר לאחר מכן הגיעו השלושה למתחם בית המתלוננים בקלנסווה, באמצעות רכב מסוג רנו, כשנאשם 1 נושא על גופו אקדח, ובכניסה למקום החלו לשוחח עימם. במהלך השיחה פנה א.א לנאשם 1 בכדי ללחוץ </w:t>
      </w:r>
      <w:r>
        <w:rPr>
          <w:rFonts w:ascii="David" w:eastAsia="David" w:hAnsi="David"/>
          <w:rtl/>
        </w:rPr>
        <w:lastRenderedPageBreak/>
        <w:t xml:space="preserve">את ידו אך זה, בתגובה, הסיט את ידו לאחור, דחפו ושלף לפתע את האקדח שהסתיר במכנסיו, והשלושה עזבו את המקום. </w:t>
      </w:r>
    </w:p>
    <w:p w14:paraId="63FC00AF" w14:textId="77777777" w:rsidR="001644AB" w:rsidRDefault="001644AB" w:rsidP="001644AB">
      <w:pPr>
        <w:spacing w:line="360" w:lineRule="auto"/>
        <w:ind w:left="84"/>
        <w:contextualSpacing/>
        <w:jc w:val="both"/>
        <w:rPr>
          <w:rFonts w:ascii="David" w:eastAsia="David" w:hAnsi="David"/>
          <w:rtl/>
        </w:rPr>
      </w:pPr>
      <w:r>
        <w:rPr>
          <w:rFonts w:ascii="David" w:eastAsia="David" w:hAnsi="David"/>
          <w:rtl/>
        </w:rPr>
        <w:t xml:space="preserve">בהמשך היום, קרוב משפחת הנאשמים הציע כי הצדדים לסכסוך ייפגשו שוב בבית המתלוננים במטרה להביא לפיוס וסיום המריבה, וא.א השיב בחיוב להצעה. בשעה 21:15 הגיעו הנאשמים ברכב אאודי, מצויידים בשני אקדחים, לבית המתלוננים. הנאשמים יצאו מהרכב והחלו לשוחח עם א.א, התפתח ביניהם ויכוח קצר, במהלכו נכנסו לפתע לרכבם ושלפו מתוכו את אקדחיהם. מיד לאחר מכן החל הרכב בנסיעה, כשבמהלכה, במרחק של כעשרה מטרים מהמתלוננים ובני משפחתם, נורו מתוך הרכב מספר יריות לעברם, שלא פגעו בהם. </w:t>
      </w:r>
    </w:p>
    <w:p w14:paraId="55B324DF" w14:textId="77777777" w:rsidR="001644AB" w:rsidRDefault="001644AB" w:rsidP="001644AB">
      <w:pPr>
        <w:ind w:left="84" w:hanging="283"/>
        <w:contextualSpacing/>
        <w:rPr>
          <w:rFonts w:ascii="David" w:eastAsia="David" w:hAnsi="David"/>
        </w:rPr>
      </w:pPr>
    </w:p>
    <w:p w14:paraId="549A5D0C" w14:textId="77777777" w:rsidR="001644AB" w:rsidRDefault="001644AB" w:rsidP="001644AB">
      <w:pPr>
        <w:numPr>
          <w:ilvl w:val="0"/>
          <w:numId w:val="1"/>
        </w:numPr>
        <w:spacing w:line="360" w:lineRule="auto"/>
        <w:ind w:left="84" w:hanging="283"/>
        <w:contextualSpacing/>
        <w:jc w:val="both"/>
        <w:rPr>
          <w:rFonts w:ascii="David" w:eastAsia="David" w:hAnsi="David"/>
          <w:rtl/>
        </w:rPr>
      </w:pPr>
      <w:r>
        <w:rPr>
          <w:rFonts w:ascii="David" w:eastAsia="David" w:hAnsi="David"/>
          <w:rtl/>
        </w:rPr>
        <w:t>ביום 31.10.22, הציגו הצדדים הסדר דיוני, במסגרתו הודו הנאשמים בעובדות כתב האישום המתוקן, נאשם 1 הופנה, מפאת גילו, לתסקיר חובה של שירות המבחן. עוד סוכם, כי הנאשמים יפקידו פיצוי בסך 55,000 ₪ לטובת מר בדר נביל מוחמד, סך של 7,500 לכל אחד עובר למועד הטיעונים ופיצוי נוסף בסך 20,000 לכל אחד במסגרת גזר הדין. מר בדר נפגע באירוע ירי שהתבצע סמוך לאירועי כתב האישום אך לא יוחס לנאשמים. בניגוד למוסכם, הפיצוי הראשוני לא הופקד במועד שהתחייבו לו</w:t>
      </w:r>
      <w:r>
        <w:rPr>
          <w:rFonts w:ascii="David" w:eastAsia="David" w:hAnsi="David" w:hint="cs"/>
          <w:rtl/>
        </w:rPr>
        <w:t xml:space="preserve"> אלא בסמוך למועד גזר הדין.</w:t>
      </w:r>
      <w:r>
        <w:rPr>
          <w:rFonts w:ascii="David" w:eastAsia="David" w:hAnsi="David"/>
          <w:rtl/>
        </w:rPr>
        <w:t xml:space="preserve"> </w:t>
      </w:r>
    </w:p>
    <w:p w14:paraId="40F06DA0" w14:textId="77777777" w:rsidR="001644AB" w:rsidRDefault="001644AB" w:rsidP="001644AB">
      <w:pPr>
        <w:spacing w:line="360" w:lineRule="auto"/>
        <w:ind w:left="84"/>
        <w:contextualSpacing/>
        <w:jc w:val="both"/>
        <w:rPr>
          <w:rFonts w:ascii="David" w:eastAsia="David" w:hAnsi="David"/>
        </w:rPr>
      </w:pPr>
    </w:p>
    <w:p w14:paraId="62AA6BEA" w14:textId="77777777" w:rsidR="001644AB" w:rsidRDefault="001644AB" w:rsidP="001644AB">
      <w:pPr>
        <w:spacing w:line="360" w:lineRule="auto"/>
        <w:ind w:left="84"/>
        <w:jc w:val="both"/>
        <w:rPr>
          <w:rFonts w:ascii="David" w:eastAsia="David" w:hAnsi="David"/>
          <w:b/>
          <w:bCs/>
          <w:u w:val="single"/>
          <w:rtl/>
        </w:rPr>
      </w:pPr>
      <w:r>
        <w:rPr>
          <w:rFonts w:ascii="David" w:eastAsia="David" w:hAnsi="David"/>
          <w:b/>
          <w:bCs/>
          <w:u w:val="single"/>
          <w:rtl/>
        </w:rPr>
        <w:t>נאשם 1- תסקיר שירות המבחן</w:t>
      </w:r>
    </w:p>
    <w:p w14:paraId="3EFAD337" w14:textId="77777777" w:rsidR="001644AB" w:rsidRDefault="001644AB" w:rsidP="001644AB">
      <w:pPr>
        <w:numPr>
          <w:ilvl w:val="0"/>
          <w:numId w:val="1"/>
        </w:numPr>
        <w:spacing w:line="360" w:lineRule="auto"/>
        <w:ind w:left="84" w:hanging="283"/>
        <w:contextualSpacing/>
        <w:jc w:val="both"/>
        <w:rPr>
          <w:rFonts w:ascii="David" w:eastAsia="David" w:hAnsi="David"/>
          <w:rtl/>
        </w:rPr>
      </w:pPr>
      <w:r>
        <w:rPr>
          <w:rFonts w:ascii="David" w:eastAsia="David" w:hAnsi="David"/>
          <w:rtl/>
        </w:rPr>
        <w:t xml:space="preserve">הנאשם בן 22, עבד עובר למעצרו כשליח פיצה, בעל תעודת בגרות חלקית, מנהל קשר זוגי. לנאשם הרשעה אחת בגין התנהגות שהפרה את שלום הציבור משנת 2022. הנאשם הסביר כי נאשם 2 הוא בן דודו אך הכחיש את המיוחס לו וטען כי המתלוננים העלילו עליו. במעמד הדיון, הבהיר כי אמר את הדברים בשל חוסר הבנה, מאחר שסבר שמיוחס לו מעשה הירי. הנאשם ניסה להרחיק את עצמו מהתנהלות שולית, צמצם בפרטים וציין כי אינו זקוק להתערבות טיפולית. שירות המבחן העריך כי מחזיק בעמדות בעייתיות בכל הקשור לציות לחוק ולהתנהלות שולית, לרבות בתחום הנשק, ושחשיפתו לגורמים עבריינים, מגבירים את הסיכון הנשקף ממנו. לפיכך, לא באו בהמלצה טיפולית. </w:t>
      </w:r>
    </w:p>
    <w:p w14:paraId="3785AB57" w14:textId="77777777" w:rsidR="001644AB" w:rsidRDefault="001644AB" w:rsidP="001644AB">
      <w:pPr>
        <w:spacing w:line="360" w:lineRule="auto"/>
        <w:ind w:left="84"/>
        <w:contextualSpacing/>
        <w:jc w:val="both"/>
        <w:rPr>
          <w:rFonts w:ascii="David" w:eastAsia="David" w:hAnsi="David"/>
        </w:rPr>
      </w:pPr>
    </w:p>
    <w:p w14:paraId="1E0AF197" w14:textId="77777777" w:rsidR="001644AB" w:rsidRDefault="001644AB" w:rsidP="001644AB">
      <w:pPr>
        <w:numPr>
          <w:ilvl w:val="0"/>
          <w:numId w:val="1"/>
        </w:numPr>
        <w:spacing w:line="360" w:lineRule="auto"/>
        <w:ind w:left="84" w:hanging="283"/>
        <w:contextualSpacing/>
        <w:jc w:val="both"/>
        <w:rPr>
          <w:rFonts w:ascii="David" w:eastAsia="David" w:hAnsi="David"/>
        </w:rPr>
      </w:pPr>
      <w:r>
        <w:rPr>
          <w:rFonts w:ascii="David" w:eastAsia="David" w:hAnsi="David"/>
          <w:rtl/>
        </w:rPr>
        <w:t xml:space="preserve">עוד הוגש </w:t>
      </w:r>
      <w:r>
        <w:rPr>
          <w:rFonts w:ascii="David" w:eastAsia="David" w:hAnsi="David"/>
          <w:b/>
          <w:bCs/>
          <w:rtl/>
        </w:rPr>
        <w:t>תצהיר נפגע עבירה</w:t>
      </w:r>
      <w:r>
        <w:rPr>
          <w:rFonts w:ascii="David" w:eastAsia="David" w:hAnsi="David"/>
          <w:rtl/>
        </w:rPr>
        <w:t xml:space="preserve"> (תע/1)- מר בדר נביל מוחמד-כעולה מתצהירו, נפגע באירוע ירי שבוצע כלפיו וכלפי בנו ואחרים , כולם ממשפחת המתלוננים, בהמשכם של אירועי כתב האישום. לא יוחסה לנאשמים מעורבות באירוע זה בכתב האישום המתוקן, עם זאת הסדר הצדדים כולל הסכמה לפצותו בסכום נכבד בסך 55,000 ₪. </w:t>
      </w:r>
    </w:p>
    <w:p w14:paraId="24E2DE30" w14:textId="77777777" w:rsidR="001644AB" w:rsidRDefault="001644AB" w:rsidP="001644AB">
      <w:pPr>
        <w:ind w:left="84"/>
        <w:contextualSpacing/>
        <w:rPr>
          <w:rFonts w:ascii="David" w:eastAsia="David" w:hAnsi="David"/>
        </w:rPr>
      </w:pPr>
    </w:p>
    <w:p w14:paraId="2E7290FC" w14:textId="77777777" w:rsidR="001644AB" w:rsidRDefault="001644AB" w:rsidP="001644AB">
      <w:pPr>
        <w:spacing w:line="360" w:lineRule="auto"/>
        <w:ind w:left="84"/>
        <w:jc w:val="both"/>
        <w:rPr>
          <w:rFonts w:ascii="David" w:eastAsia="David" w:hAnsi="David"/>
          <w:rtl/>
        </w:rPr>
      </w:pPr>
      <w:r>
        <w:rPr>
          <w:rFonts w:ascii="David" w:eastAsia="David" w:hAnsi="David"/>
          <w:b/>
          <w:bCs/>
          <w:u w:val="single"/>
          <w:rtl/>
        </w:rPr>
        <w:t>תמצית טיעוני הצדדים לעונש</w:t>
      </w:r>
    </w:p>
    <w:p w14:paraId="7C30DA33" w14:textId="77777777" w:rsidR="001644AB" w:rsidRDefault="001644AB" w:rsidP="001644AB">
      <w:pPr>
        <w:numPr>
          <w:ilvl w:val="0"/>
          <w:numId w:val="1"/>
        </w:numPr>
        <w:spacing w:line="360" w:lineRule="auto"/>
        <w:ind w:left="84" w:hanging="283"/>
        <w:contextualSpacing/>
        <w:jc w:val="both"/>
        <w:rPr>
          <w:rFonts w:ascii="David" w:eastAsia="David" w:hAnsi="David"/>
        </w:rPr>
      </w:pPr>
      <w:r>
        <w:rPr>
          <w:rFonts w:ascii="David" w:eastAsia="David" w:hAnsi="David"/>
          <w:rtl/>
        </w:rPr>
        <w:t xml:space="preserve">המאשימה, באמצעות עו"ד ליטל שירי, עמדה בטיעוניה על חומרת מעשי הנאשמים, בכך שנאשם 1 נשא נשק בשני מפגשים עם המתלוננים ובנוכחותם בארוע ירי שבוצע מרכב שבו נסעו. לדבריה, מדובר בנסיבה מחמירה שיש ליתן לה משקל בקביעת המתחם (הוגש לעניין זה </w:t>
      </w:r>
      <w:hyperlink r:id="rId11" w:history="1">
        <w:r w:rsidR="00BC26C5" w:rsidRPr="00BC26C5">
          <w:rPr>
            <w:rFonts w:ascii="David" w:eastAsia="David" w:hAnsi="David"/>
            <w:color w:val="0000FF"/>
            <w:u w:val="single"/>
            <w:rtl/>
          </w:rPr>
          <w:t>ע"פ 5522/20</w:t>
        </w:r>
      </w:hyperlink>
      <w:r>
        <w:rPr>
          <w:rFonts w:ascii="David" w:eastAsia="David" w:hAnsi="David"/>
          <w:rtl/>
        </w:rPr>
        <w:t xml:space="preserve">). עוד עמדה על  פגיעתם בערכים המוגנים של הגנה על שלום הציבור וביטחונו והסיכון הרב הגלום בהם </w:t>
      </w:r>
      <w:r>
        <w:rPr>
          <w:rFonts w:ascii="David" w:eastAsia="David" w:hAnsi="David"/>
          <w:rtl/>
        </w:rPr>
        <w:lastRenderedPageBreak/>
        <w:t>ומגמת ההחמרה בענישה בעבירות נשק, בעיקר משהמעשים מבוצעים על רקע סכסוך פעוט ערך.  לפיכך עתרה למתחם ענישה הנע בין 42-62 חודשי מאסר בפועל, והפנתה לפסיקה נוהגת ובראשה ל</w:t>
      </w:r>
      <w:hyperlink r:id="rId12" w:history="1">
        <w:r w:rsidR="00BC26C5" w:rsidRPr="00BC26C5">
          <w:rPr>
            <w:rFonts w:ascii="David" w:eastAsia="David" w:hAnsi="David"/>
            <w:color w:val="0000FF"/>
            <w:u w:val="single"/>
            <w:rtl/>
          </w:rPr>
          <w:t>ע"פ 5602/22</w:t>
        </w:r>
      </w:hyperlink>
      <w:r>
        <w:rPr>
          <w:rFonts w:ascii="David" w:eastAsia="David" w:hAnsi="David"/>
          <w:rtl/>
        </w:rPr>
        <w:t xml:space="preserve">. אשר לנסיבות הנאשמים, ציינה כי הודו, הרשעתו של נאשם 1 אינה בעבירה דומה אך תסקירו משקף בעייתיות בהתנהלותו וסיכון להמשך התנהגות עוברת חוק. לפיכך, עותרים לגזור עליו מאסר בן 48 חודשים. אשר לנאשם 2, שלו עבר רלבנטי בעבירת נשק, עותרים לעונש מאסר בן 50 חודשים וענישה נלווית הכוללת קנס ופיצוי. </w:t>
      </w:r>
    </w:p>
    <w:p w14:paraId="792FE1BE" w14:textId="77777777" w:rsidR="001644AB" w:rsidRDefault="001644AB" w:rsidP="001644AB">
      <w:pPr>
        <w:spacing w:line="360" w:lineRule="auto"/>
        <w:ind w:left="84"/>
        <w:contextualSpacing/>
        <w:jc w:val="both"/>
        <w:rPr>
          <w:rFonts w:ascii="David" w:eastAsia="David" w:hAnsi="David"/>
        </w:rPr>
      </w:pPr>
    </w:p>
    <w:p w14:paraId="3CF422BF" w14:textId="77777777" w:rsidR="001644AB" w:rsidRDefault="001644AB" w:rsidP="001644AB">
      <w:pPr>
        <w:spacing w:line="360" w:lineRule="auto"/>
        <w:ind w:left="84"/>
        <w:contextualSpacing/>
        <w:jc w:val="both"/>
        <w:rPr>
          <w:rFonts w:ascii="David" w:eastAsia="David" w:hAnsi="David"/>
          <w:rtl/>
        </w:rPr>
      </w:pPr>
      <w:r>
        <w:rPr>
          <w:rFonts w:ascii="David" w:eastAsia="David" w:hAnsi="David"/>
          <w:rtl/>
        </w:rPr>
        <w:t xml:space="preserve">ב"כ הנאשם 1, עו"ד שי טובים, ביקש ליתן משקל לתיקון כתב האישום, לכך שלא מיוחס לנאשם ביצוע הירי וכן שנשא נשק שאינו טעון. עוד הפנה לפסיקה שבה נקבעו מתחמים מתונים יותר, וסבור כי יש לקבוע מתחם דומה הנע בין 20-40 חודשי מאסר ונוכח הודאת הנאשם וחסכון בעדויות המתלוננת, למקמו בתחתיתו. ב"כ נאשם 2, עו"ד שאדי נאטור, הצטרף לטיעונים, והוסיף שכתב האישום תוקן בשל קושי ראייתי ממשי לקשור את הנאשמים לאירועי הירי. אשר לסכסוך, הסכים שלא מדובר בסכסוך דמים אלא בסכסוך קל, והפסול בהתנהלות הנאשמים שנשאו אקדחים אך ללא תחמושת וללא סיכון האחרים. אשר לפיצוי, הסביר כי מטרתו להושיט לנפגעים יד לשלום ומלמד כי הנאשמים נוטלים אחריות על התנהלותם הפסולה. </w:t>
      </w:r>
    </w:p>
    <w:p w14:paraId="7CE5C270" w14:textId="77777777" w:rsidR="001644AB" w:rsidRDefault="001644AB" w:rsidP="001644AB">
      <w:pPr>
        <w:spacing w:line="360" w:lineRule="auto"/>
        <w:ind w:left="84"/>
        <w:contextualSpacing/>
        <w:jc w:val="both"/>
        <w:rPr>
          <w:rFonts w:ascii="David" w:eastAsia="David" w:hAnsi="David"/>
          <w:rtl/>
        </w:rPr>
      </w:pPr>
      <w:r>
        <w:rPr>
          <w:rFonts w:ascii="David" w:eastAsia="David" w:hAnsi="David"/>
          <w:rtl/>
        </w:rPr>
        <w:t xml:space="preserve">הנאשמים הביעו צער וחרטה על מעשיהם. </w:t>
      </w:r>
    </w:p>
    <w:p w14:paraId="156146B7" w14:textId="77777777" w:rsidR="001644AB" w:rsidRDefault="001644AB" w:rsidP="001644AB">
      <w:pPr>
        <w:spacing w:line="360" w:lineRule="auto"/>
        <w:ind w:left="84"/>
        <w:contextualSpacing/>
        <w:jc w:val="both"/>
        <w:rPr>
          <w:rFonts w:ascii="David" w:eastAsia="David" w:hAnsi="David"/>
          <w:rtl/>
        </w:rPr>
      </w:pPr>
    </w:p>
    <w:p w14:paraId="4FE2900E" w14:textId="77777777" w:rsidR="001644AB" w:rsidRDefault="001644AB" w:rsidP="001644AB">
      <w:pPr>
        <w:spacing w:line="360" w:lineRule="auto"/>
        <w:ind w:left="84"/>
        <w:contextualSpacing/>
        <w:jc w:val="both"/>
        <w:rPr>
          <w:rFonts w:ascii="David" w:eastAsia="David" w:hAnsi="David"/>
          <w:rtl/>
        </w:rPr>
      </w:pPr>
      <w:r>
        <w:rPr>
          <w:rFonts w:ascii="David" w:eastAsia="David" w:hAnsi="David"/>
          <w:rtl/>
        </w:rPr>
        <w:t xml:space="preserve">הצדדים הגישו פסיקה לתמיכה בעתירתם העונשית. </w:t>
      </w:r>
    </w:p>
    <w:p w14:paraId="41BD3E0E" w14:textId="77777777" w:rsidR="001644AB" w:rsidRDefault="001644AB" w:rsidP="001644AB">
      <w:pPr>
        <w:spacing w:line="360" w:lineRule="auto"/>
        <w:ind w:left="84"/>
        <w:contextualSpacing/>
        <w:jc w:val="both"/>
        <w:rPr>
          <w:rFonts w:ascii="David" w:eastAsia="David" w:hAnsi="David"/>
          <w:rtl/>
        </w:rPr>
      </w:pPr>
    </w:p>
    <w:p w14:paraId="1402782E" w14:textId="77777777" w:rsidR="001644AB" w:rsidRDefault="001644AB" w:rsidP="001644AB">
      <w:pPr>
        <w:spacing w:line="360" w:lineRule="auto"/>
        <w:ind w:left="84"/>
        <w:jc w:val="both"/>
        <w:rPr>
          <w:rFonts w:ascii="David" w:eastAsia="David" w:hAnsi="David"/>
          <w:b/>
          <w:bCs/>
          <w:u w:val="single"/>
          <w:rtl/>
        </w:rPr>
      </w:pPr>
      <w:r>
        <w:rPr>
          <w:rFonts w:ascii="David" w:eastAsia="David" w:hAnsi="David"/>
          <w:b/>
          <w:bCs/>
          <w:u w:val="single"/>
          <w:rtl/>
        </w:rPr>
        <w:t>דיון והכרעה</w:t>
      </w:r>
    </w:p>
    <w:p w14:paraId="3DC92F10" w14:textId="77777777" w:rsidR="001644AB" w:rsidRDefault="001644AB" w:rsidP="001644AB">
      <w:pPr>
        <w:spacing w:line="360" w:lineRule="auto"/>
        <w:ind w:left="84"/>
        <w:jc w:val="both"/>
        <w:rPr>
          <w:rFonts w:ascii="David" w:eastAsia="David" w:hAnsi="David"/>
          <w:rtl/>
        </w:rPr>
      </w:pPr>
      <w:r>
        <w:rPr>
          <w:rFonts w:ascii="David" w:eastAsia="David" w:hAnsi="David"/>
          <w:b/>
          <w:bCs/>
          <w:u w:val="single"/>
          <w:rtl/>
        </w:rPr>
        <w:t>מתחם העונש ההולם</w:t>
      </w:r>
    </w:p>
    <w:p w14:paraId="6A1F550C" w14:textId="77777777" w:rsidR="001644AB" w:rsidRPr="00F9688C" w:rsidRDefault="001644AB" w:rsidP="001644AB">
      <w:pPr>
        <w:numPr>
          <w:ilvl w:val="0"/>
          <w:numId w:val="1"/>
        </w:numPr>
        <w:spacing w:line="360" w:lineRule="auto"/>
        <w:ind w:left="84" w:hanging="283"/>
        <w:contextualSpacing/>
        <w:jc w:val="both"/>
        <w:rPr>
          <w:rFonts w:ascii="David" w:eastAsia="David" w:hAnsi="David"/>
          <w:rtl/>
        </w:rPr>
      </w:pPr>
      <w:r w:rsidRPr="00F9688C">
        <w:rPr>
          <w:rFonts w:ascii="David" w:eastAsia="David" w:hAnsi="David"/>
          <w:rtl/>
        </w:rPr>
        <w:t>דומה שאין צורך להכביר מילים ביחס לחומרתן של עבירות הנשק והסיכון הנשקף מהן לשלום הציבור וביטחונו, למרבה הצער עבירות בנשק חם הפכו להיות תופעה נפוצה במחוזותינו ולעיתים תכופות אנו עדי לנזקי עבירות אלו, בדמות פגיעות בגוף או בנפש, ואף אובדן חיי אדם (</w:t>
      </w:r>
      <w:hyperlink r:id="rId13" w:history="1">
        <w:r w:rsidR="00BC26C5" w:rsidRPr="00BC26C5">
          <w:rPr>
            <w:rFonts w:ascii="David" w:eastAsia="David" w:hAnsi="David"/>
            <w:color w:val="0000FF"/>
            <w:u w:val="single"/>
            <w:rtl/>
          </w:rPr>
          <w:t>ע"פ 4456/21</w:t>
        </w:r>
      </w:hyperlink>
      <w:r w:rsidRPr="00F9688C">
        <w:rPr>
          <w:rFonts w:ascii="David" w:eastAsia="David" w:hAnsi="David"/>
          <w:rtl/>
        </w:rPr>
        <w:t xml:space="preserve"> </w:t>
      </w:r>
      <w:r w:rsidRPr="00F9688C">
        <w:rPr>
          <w:rFonts w:ascii="David" w:eastAsia="David" w:hAnsi="David"/>
          <w:b/>
          <w:bCs/>
          <w:rtl/>
        </w:rPr>
        <w:t>מדינת ישראל נ' אבו עבסה</w:t>
      </w:r>
      <w:r w:rsidRPr="00F9688C">
        <w:rPr>
          <w:rFonts w:ascii="David" w:eastAsia="David" w:hAnsi="David"/>
          <w:rtl/>
        </w:rPr>
        <w:t xml:space="preserve"> (23.1.2022)). נוכח מימדיה המדאיגים של התופעה נרתמו גם בתי המשפט למאבק למיגורה במדיניות ענישה בלתי מתפשרת כלפי כל עברייני הנשק, תוך מתן משקל בכורה לשיקול ההרתעתי, אף לנאשמים צעירים ונעדרי עבר פלילי: </w:t>
      </w:r>
      <w:r w:rsidRPr="00F9688C">
        <w:rPr>
          <w:rFonts w:ascii="David" w:eastAsia="David" w:hAnsi="David"/>
          <w:b/>
          <w:bCs/>
          <w:rtl/>
        </w:rPr>
        <w:t xml:space="preserve">"המסר העונשי הנגזר ממדיניות הענישה האמורה הוא כי שומר נפשו ושלומו – ירחק מעבירות הנשק באשר הן, קלות כחמורות" </w:t>
      </w:r>
      <w:r w:rsidRPr="00F9688C">
        <w:rPr>
          <w:rFonts w:ascii="David" w:eastAsia="David" w:hAnsi="David"/>
          <w:rtl/>
        </w:rPr>
        <w:t>(</w:t>
      </w:r>
      <w:hyperlink r:id="rId14" w:history="1">
        <w:r w:rsidR="00BC26C5" w:rsidRPr="00BC26C5">
          <w:rPr>
            <w:rFonts w:ascii="David" w:eastAsia="David" w:hAnsi="David"/>
            <w:color w:val="0000FF"/>
            <w:u w:val="single"/>
            <w:rtl/>
          </w:rPr>
          <w:t>ע"פ 78/21</w:t>
        </w:r>
      </w:hyperlink>
      <w:r w:rsidRPr="00F9688C">
        <w:rPr>
          <w:rFonts w:ascii="David" w:eastAsia="David" w:hAnsi="David"/>
          <w:b/>
          <w:bCs/>
          <w:rtl/>
        </w:rPr>
        <w:t xml:space="preserve"> פלוני נ' מדינת ישראל </w:t>
      </w:r>
      <w:r w:rsidRPr="00F9688C">
        <w:rPr>
          <w:rFonts w:ascii="David" w:eastAsia="David" w:hAnsi="David"/>
          <w:rtl/>
        </w:rPr>
        <w:t>פסקה 10</w:t>
      </w:r>
      <w:r w:rsidRPr="00F9688C">
        <w:rPr>
          <w:rFonts w:ascii="David" w:eastAsia="David" w:hAnsi="David"/>
          <w:b/>
          <w:bCs/>
          <w:rtl/>
        </w:rPr>
        <w:t xml:space="preserve"> </w:t>
      </w:r>
      <w:r w:rsidRPr="00F9688C">
        <w:rPr>
          <w:rFonts w:ascii="David" w:eastAsia="David" w:hAnsi="David"/>
          <w:rtl/>
        </w:rPr>
        <w:t>(26.7.2022);</w:t>
      </w:r>
      <w:r w:rsidRPr="00F9688C">
        <w:rPr>
          <w:rFonts w:ascii="David" w:hAnsi="David"/>
          <w:rtl/>
        </w:rPr>
        <w:t xml:space="preserve"> </w:t>
      </w:r>
      <w:hyperlink r:id="rId15" w:history="1">
        <w:r w:rsidR="00BC26C5" w:rsidRPr="00BC26C5">
          <w:rPr>
            <w:rFonts w:ascii="David" w:hAnsi="David"/>
            <w:color w:val="0000FF"/>
            <w:u w:val="single"/>
            <w:rtl/>
          </w:rPr>
          <w:t>ע"פ 587/22</w:t>
        </w:r>
      </w:hyperlink>
      <w:r w:rsidRPr="00F9688C">
        <w:rPr>
          <w:rFonts w:ascii="David" w:hAnsi="David"/>
          <w:rtl/>
        </w:rPr>
        <w:t xml:space="preserve"> </w:t>
      </w:r>
      <w:r w:rsidRPr="00F9688C">
        <w:rPr>
          <w:rFonts w:ascii="David" w:hAnsi="David"/>
          <w:b/>
          <w:bCs/>
          <w:rtl/>
        </w:rPr>
        <w:t>עדאב אבו נאעסה נ' מדינת ישראל</w:t>
      </w:r>
      <w:r w:rsidRPr="00F9688C">
        <w:rPr>
          <w:rFonts w:ascii="David" w:hAnsi="David"/>
          <w:rtl/>
        </w:rPr>
        <w:t xml:space="preserve"> פסקה 13 (22.5.2022)</w:t>
      </w:r>
      <w:r w:rsidRPr="00F9688C">
        <w:rPr>
          <w:rFonts w:ascii="David" w:eastAsia="David" w:hAnsi="David"/>
          <w:rtl/>
        </w:rPr>
        <w:t xml:space="preserve">; </w:t>
      </w:r>
      <w:hyperlink r:id="rId16" w:history="1">
        <w:r w:rsidR="00BC26C5" w:rsidRPr="00BC26C5">
          <w:rPr>
            <w:rFonts w:ascii="David" w:eastAsia="David" w:hAnsi="David"/>
            <w:color w:val="0000FF"/>
            <w:u w:val="single"/>
            <w:rtl/>
          </w:rPr>
          <w:t>ע"פ 2482/22</w:t>
        </w:r>
      </w:hyperlink>
      <w:r w:rsidRPr="00F9688C">
        <w:rPr>
          <w:rFonts w:ascii="David" w:eastAsia="David" w:hAnsi="David"/>
          <w:rtl/>
        </w:rPr>
        <w:t xml:space="preserve"> </w:t>
      </w:r>
      <w:r w:rsidRPr="00F9688C">
        <w:rPr>
          <w:rFonts w:ascii="David" w:eastAsia="David" w:hAnsi="David"/>
          <w:b/>
          <w:bCs/>
          <w:rtl/>
        </w:rPr>
        <w:t>מדינת ישראל נ' אחמד קדורה</w:t>
      </w:r>
      <w:r w:rsidRPr="00F9688C">
        <w:rPr>
          <w:rFonts w:ascii="David" w:eastAsia="David" w:hAnsi="David"/>
          <w:rtl/>
        </w:rPr>
        <w:t xml:space="preserve">, פסקה 5-6 (14.4.2022); </w:t>
      </w:r>
      <w:hyperlink r:id="rId17" w:history="1">
        <w:r w:rsidR="00BC26C5" w:rsidRPr="00BC26C5">
          <w:rPr>
            <w:rFonts w:ascii="David" w:eastAsia="David" w:hAnsi="David"/>
            <w:color w:val="0000FF"/>
            <w:u w:val="single"/>
            <w:rtl/>
          </w:rPr>
          <w:t>ע"פ 5813/21</w:t>
        </w:r>
      </w:hyperlink>
      <w:r w:rsidRPr="00F9688C">
        <w:rPr>
          <w:rFonts w:ascii="David" w:eastAsia="David" w:hAnsi="David"/>
          <w:rtl/>
        </w:rPr>
        <w:t xml:space="preserve"> </w:t>
      </w:r>
      <w:r w:rsidRPr="00F9688C">
        <w:rPr>
          <w:rFonts w:ascii="David" w:eastAsia="David" w:hAnsi="David"/>
          <w:b/>
          <w:bCs/>
          <w:rtl/>
        </w:rPr>
        <w:t>מוחמד ג'בארין נ' מדינת ישראל</w:t>
      </w:r>
      <w:r w:rsidRPr="00F9688C">
        <w:rPr>
          <w:rFonts w:ascii="David" w:eastAsia="David" w:hAnsi="David"/>
          <w:rtl/>
        </w:rPr>
        <w:t>, פסקה 14</w:t>
      </w:r>
      <w:r w:rsidRPr="00F9688C">
        <w:rPr>
          <w:rFonts w:ascii="David" w:eastAsia="David" w:hAnsi="David"/>
          <w:b/>
          <w:bCs/>
          <w:rtl/>
        </w:rPr>
        <w:t xml:space="preserve"> </w:t>
      </w:r>
      <w:r w:rsidRPr="00F9688C">
        <w:rPr>
          <w:rFonts w:ascii="David" w:eastAsia="David" w:hAnsi="David"/>
          <w:rtl/>
        </w:rPr>
        <w:t xml:space="preserve">(31.5.2022); </w:t>
      </w:r>
      <w:hyperlink r:id="rId18" w:history="1">
        <w:r w:rsidR="00BC26C5" w:rsidRPr="00BC26C5">
          <w:rPr>
            <w:rFonts w:ascii="David" w:eastAsia="David" w:hAnsi="David"/>
            <w:color w:val="0000FF"/>
            <w:u w:val="single"/>
            <w:rtl/>
          </w:rPr>
          <w:t>ע"פ 6011/21</w:t>
        </w:r>
      </w:hyperlink>
      <w:r w:rsidRPr="00F9688C">
        <w:rPr>
          <w:rFonts w:ascii="David" w:eastAsia="David" w:hAnsi="David" w:hint="cs"/>
          <w:rtl/>
        </w:rPr>
        <w:t xml:space="preserve"> </w:t>
      </w:r>
      <w:r w:rsidRPr="00F9688C">
        <w:rPr>
          <w:rFonts w:ascii="David" w:eastAsia="David" w:hAnsi="David"/>
          <w:b/>
          <w:bCs/>
          <w:rtl/>
        </w:rPr>
        <w:t>חאלד דסוקי נ' מדינת ישראל</w:t>
      </w:r>
      <w:r w:rsidRPr="00F9688C">
        <w:rPr>
          <w:rFonts w:ascii="David" w:eastAsia="David" w:hAnsi="David"/>
          <w:rtl/>
        </w:rPr>
        <w:t xml:space="preserve">  (25.11.2021); </w:t>
      </w:r>
      <w:hyperlink r:id="rId19" w:history="1">
        <w:r w:rsidR="00BC26C5" w:rsidRPr="00BC26C5">
          <w:rPr>
            <w:rFonts w:ascii="David" w:eastAsia="David" w:hAnsi="David"/>
            <w:color w:val="0000FF"/>
            <w:spacing w:val="10"/>
            <w:sz w:val="20"/>
            <w:u w:val="single"/>
            <w:shd w:val="clear" w:color="auto" w:fill="FFFFFF"/>
            <w:rtl/>
          </w:rPr>
          <w:t>ע"פ 8320/21</w:t>
        </w:r>
      </w:hyperlink>
      <w:r w:rsidRPr="00F9688C">
        <w:rPr>
          <w:rFonts w:ascii="David" w:eastAsia="David" w:hAnsi="David"/>
          <w:spacing w:val="10"/>
          <w:sz w:val="20"/>
          <w:shd w:val="clear" w:color="auto" w:fill="FFFFFF"/>
          <w:rtl/>
        </w:rPr>
        <w:t xml:space="preserve"> </w:t>
      </w:r>
      <w:r w:rsidRPr="00F9688C">
        <w:rPr>
          <w:rFonts w:ascii="David" w:eastAsia="David" w:hAnsi="David"/>
          <w:b/>
          <w:bCs/>
          <w:spacing w:val="10"/>
          <w:sz w:val="20"/>
          <w:shd w:val="clear" w:color="auto" w:fill="FFFFFF"/>
          <w:rtl/>
        </w:rPr>
        <w:t>מדינת ישראל נ' מחמד בסילה</w:t>
      </w:r>
      <w:r w:rsidRPr="00F9688C">
        <w:rPr>
          <w:rFonts w:ascii="David" w:eastAsia="David" w:hAnsi="David"/>
          <w:spacing w:val="10"/>
          <w:sz w:val="20"/>
          <w:shd w:val="clear" w:color="auto" w:fill="FFFFFF"/>
          <w:rtl/>
        </w:rPr>
        <w:t>, פסקה 10 (28.12.2021)</w:t>
      </w:r>
      <w:r w:rsidRPr="00F9688C">
        <w:rPr>
          <w:rFonts w:ascii="David" w:eastAsia="David" w:hAnsi="David"/>
          <w:rtl/>
        </w:rPr>
        <w:t xml:space="preserve">; </w:t>
      </w:r>
      <w:hyperlink r:id="rId20" w:history="1">
        <w:r w:rsidR="00BC26C5" w:rsidRPr="00BC26C5">
          <w:rPr>
            <w:rFonts w:ascii="David" w:eastAsia="David" w:hAnsi="David"/>
            <w:color w:val="0000FF"/>
            <w:u w:val="single"/>
            <w:rtl/>
          </w:rPr>
          <w:t>ע"פ 2283/22</w:t>
        </w:r>
      </w:hyperlink>
      <w:r w:rsidRPr="00F9688C">
        <w:rPr>
          <w:rFonts w:ascii="David" w:eastAsia="David" w:hAnsi="David"/>
          <w:rtl/>
        </w:rPr>
        <w:t xml:space="preserve"> </w:t>
      </w:r>
      <w:r w:rsidRPr="00F9688C">
        <w:rPr>
          <w:rFonts w:ascii="David" w:eastAsia="David" w:hAnsi="David"/>
          <w:b/>
          <w:bCs/>
          <w:rtl/>
        </w:rPr>
        <w:t>אל נבארי נ' מדינת ישראל</w:t>
      </w:r>
      <w:r w:rsidRPr="00F9688C">
        <w:rPr>
          <w:rFonts w:ascii="David" w:eastAsia="David" w:hAnsi="David"/>
          <w:rtl/>
        </w:rPr>
        <w:t xml:space="preserve"> (31.7.2022); </w:t>
      </w:r>
      <w:hyperlink r:id="rId21" w:history="1">
        <w:r w:rsidR="00BC26C5" w:rsidRPr="00BC26C5">
          <w:rPr>
            <w:rFonts w:ascii="David" w:eastAsia="David" w:hAnsi="David"/>
            <w:color w:val="0000FF"/>
            <w:u w:val="single"/>
            <w:rtl/>
          </w:rPr>
          <w:t>ע"פ 78/21</w:t>
        </w:r>
      </w:hyperlink>
      <w:r w:rsidRPr="00F9688C">
        <w:rPr>
          <w:rFonts w:ascii="David" w:eastAsia="David" w:hAnsi="David"/>
          <w:rtl/>
        </w:rPr>
        <w:t xml:space="preserve"> </w:t>
      </w:r>
      <w:r w:rsidRPr="00F9688C">
        <w:rPr>
          <w:rFonts w:ascii="David" w:eastAsia="David" w:hAnsi="David"/>
          <w:b/>
          <w:bCs/>
          <w:rtl/>
        </w:rPr>
        <w:t>פלוני נ' מדינת</w:t>
      </w:r>
      <w:r w:rsidRPr="00F9688C">
        <w:rPr>
          <w:rFonts w:ascii="David" w:eastAsia="David" w:hAnsi="David"/>
          <w:rtl/>
        </w:rPr>
        <w:t xml:space="preserve"> </w:t>
      </w:r>
      <w:r w:rsidRPr="00F9688C">
        <w:rPr>
          <w:rFonts w:ascii="David" w:eastAsia="David" w:hAnsi="David"/>
          <w:b/>
          <w:bCs/>
          <w:rtl/>
        </w:rPr>
        <w:t>ישראל</w:t>
      </w:r>
      <w:r w:rsidRPr="00F9688C">
        <w:rPr>
          <w:rFonts w:ascii="David" w:eastAsia="David" w:hAnsi="David"/>
          <w:rtl/>
        </w:rPr>
        <w:t xml:space="preserve"> (26.7.2022)). </w:t>
      </w:r>
    </w:p>
    <w:p w14:paraId="4F0E9E33" w14:textId="77777777" w:rsidR="001644AB" w:rsidRDefault="001644AB" w:rsidP="001644AB">
      <w:pPr>
        <w:spacing w:line="360" w:lineRule="auto"/>
        <w:ind w:left="84"/>
        <w:contextualSpacing/>
        <w:jc w:val="both"/>
        <w:rPr>
          <w:rFonts w:ascii="David" w:eastAsia="David" w:hAnsi="David"/>
          <w:rtl/>
        </w:rPr>
      </w:pPr>
    </w:p>
    <w:p w14:paraId="7ED7F97E" w14:textId="77777777" w:rsidR="001644AB" w:rsidRDefault="001644AB" w:rsidP="001644AB">
      <w:pPr>
        <w:spacing w:line="360" w:lineRule="auto"/>
        <w:jc w:val="both"/>
        <w:rPr>
          <w:rFonts w:ascii="David" w:eastAsia="David" w:hAnsi="David"/>
          <w:rtl/>
        </w:rPr>
      </w:pPr>
      <w:r>
        <w:rPr>
          <w:rFonts w:ascii="David" w:eastAsia="David" w:hAnsi="David"/>
          <w:rtl/>
        </w:rPr>
        <w:t xml:space="preserve">'מגיפה' זו לא חמקה מעינו של המחוקק, אשר בחר להחמיר עם עונשיהם של אלה הבוחרים לקחת חלק בעבירות נשק (דברי כב' השופט קרא, </w:t>
      </w:r>
      <w:hyperlink r:id="rId22" w:history="1">
        <w:r w:rsidR="00BC26C5" w:rsidRPr="00BC26C5">
          <w:rPr>
            <w:rFonts w:ascii="David" w:eastAsia="David" w:hAnsi="David"/>
            <w:color w:val="0000FF"/>
            <w:u w:val="single"/>
            <w:rtl/>
          </w:rPr>
          <w:t>ע"פ 6496/21</w:t>
        </w:r>
      </w:hyperlink>
      <w:r>
        <w:rPr>
          <w:rFonts w:ascii="David" w:eastAsia="David" w:hAnsi="David"/>
          <w:rtl/>
        </w:rPr>
        <w:t xml:space="preserve"> </w:t>
      </w:r>
      <w:r>
        <w:rPr>
          <w:rFonts w:ascii="David" w:eastAsia="David" w:hAnsi="David"/>
          <w:b/>
          <w:bCs/>
          <w:rtl/>
        </w:rPr>
        <w:t>ריאן נ' מדינת ישראל</w:t>
      </w:r>
      <w:r>
        <w:rPr>
          <w:rFonts w:ascii="David" w:eastAsia="David" w:hAnsi="David"/>
          <w:rtl/>
        </w:rPr>
        <w:t xml:space="preserve">, 20.12.2021) וקיבלה ביטוי מוחשי, במסגרת תיקון 140 לחוק, בו נקבעו עונשי מינימום לעבירות נשק באשר הן, באופן שככלל, העונש שיושת בגין עבירות אלו, לא יפחת מרבע העונש המרבי שנקבע לעבירה. </w:t>
      </w:r>
    </w:p>
    <w:p w14:paraId="3E8B575A" w14:textId="77777777" w:rsidR="001644AB" w:rsidRDefault="001644AB" w:rsidP="001644AB">
      <w:pPr>
        <w:spacing w:line="360" w:lineRule="auto"/>
        <w:ind w:left="-58"/>
        <w:contextualSpacing/>
        <w:jc w:val="both"/>
        <w:rPr>
          <w:rFonts w:ascii="David" w:eastAsia="David" w:hAnsi="David"/>
          <w:rtl/>
        </w:rPr>
      </w:pPr>
    </w:p>
    <w:p w14:paraId="02A2E5D9" w14:textId="77777777" w:rsidR="001644AB" w:rsidRDefault="001644AB" w:rsidP="001644AB">
      <w:pPr>
        <w:numPr>
          <w:ilvl w:val="0"/>
          <w:numId w:val="2"/>
        </w:numPr>
        <w:spacing w:after="120" w:line="360" w:lineRule="auto"/>
        <w:ind w:left="84" w:hanging="425"/>
        <w:contextualSpacing/>
        <w:jc w:val="both"/>
        <w:textAlignment w:val="baseline"/>
        <w:rPr>
          <w:rtl/>
        </w:rPr>
      </w:pPr>
      <w:r>
        <w:rPr>
          <w:rFonts w:ascii="David" w:eastAsia="David" w:hAnsi="David"/>
          <w:b/>
          <w:bCs/>
          <w:rtl/>
        </w:rPr>
        <w:t>בענייננו,</w:t>
      </w:r>
      <w:r>
        <w:rPr>
          <w:b/>
          <w:bCs/>
          <w:rtl/>
        </w:rPr>
        <w:t xml:space="preserve"> </w:t>
      </w:r>
      <w:r>
        <w:rPr>
          <w:rFonts w:ascii="David" w:eastAsia="David" w:hAnsi="David"/>
          <w:b/>
          <w:bCs/>
          <w:rtl/>
        </w:rPr>
        <w:t>נסיבות מעשי הנאשמים חמורות ופגעו פגיעה ממשית בערכים המוגנים</w:t>
      </w:r>
      <w:r>
        <w:rPr>
          <w:rFonts w:ascii="David" w:eastAsia="David" w:hAnsi="David"/>
          <w:rtl/>
        </w:rPr>
        <w:t xml:space="preserve">. ברקע המעשים סכסוך זוטא שטיבו לא הובהר; הנאשמים, בני דודים,  פעלו בצוותא עם קרוב משפחתם, הציגו מול המתלוננים מצג שפניהם לפיוס ולסיום הסכסוך אך מעשיהם מלמדים אחרת, נאשם 1 הצטייד באקדח במפגש הראשון, כשאחד המתלוננים מושיט לו את ידו לשלום, הוא משיב את פניו ריקם, מסיט את ידו, דחפו ושולף במפתיע אקדח. גם במפגש השני שיזמו מול המתלוננים, מתנהלים שניהם באופן שמלמד כי תכננו ליישב את הסכסוך בדרכי אלימות, הצטיידו מבעוד מועד באקדחים ושלפו את נשקם מול המתלוננים; מדובר באירוע מתמשך, תחילתו במפגש ראשון שבו הצטייד נאשם 1 באקדח, המשכו במפגש נוסף שיזמו ובו הגיעו השניים מצוידים בנשק, ונסעו בתוך רכב, שמתוכו ביצע מי מנוסעיו ירי מכוון לעבר המתלוננים, וכפי שצוין ע"י הצדדים, מעשיהם ליבו את הסכסוך ובהמשך הערב, בוצע ירי נוסף, שבו נפגעו בני משפחת המתלוננים, מעשה שאינו מיוחס לנאשמים. </w:t>
      </w:r>
    </w:p>
    <w:p w14:paraId="3E587A9E" w14:textId="77777777" w:rsidR="001644AB" w:rsidRDefault="001644AB" w:rsidP="001644AB">
      <w:pPr>
        <w:spacing w:after="120" w:line="360" w:lineRule="auto"/>
        <w:ind w:left="84"/>
        <w:contextualSpacing/>
        <w:jc w:val="both"/>
        <w:textAlignment w:val="baseline"/>
      </w:pPr>
    </w:p>
    <w:p w14:paraId="6364CF7F" w14:textId="77777777" w:rsidR="001644AB" w:rsidRDefault="001644AB" w:rsidP="001644AB">
      <w:pPr>
        <w:numPr>
          <w:ilvl w:val="0"/>
          <w:numId w:val="2"/>
        </w:numPr>
        <w:spacing w:after="120" w:line="360" w:lineRule="auto"/>
        <w:ind w:left="84" w:hanging="425"/>
        <w:contextualSpacing/>
        <w:jc w:val="both"/>
        <w:textAlignment w:val="baseline"/>
      </w:pPr>
      <w:r>
        <w:rPr>
          <w:rtl/>
        </w:rPr>
        <w:t>אכן, כתב האישום תוקן ואירועי הירי לא יוחסו לנאשמים. יחד עם זאת, נסיבות הירי אופפות את ביצוע העבירה, ויש להביאן כשיקול לחומרה לצורך קביעת המתחם (</w:t>
      </w:r>
      <w:hyperlink r:id="rId23" w:history="1">
        <w:r w:rsidR="00BC26C5" w:rsidRPr="00BC26C5">
          <w:rPr>
            <w:rFonts w:ascii="David" w:hAnsi="David"/>
            <w:color w:val="0000FF"/>
            <w:spacing w:val="10"/>
            <w:u w:val="single"/>
            <w:rtl/>
          </w:rPr>
          <w:t>ע"פ 5522/20</w:t>
        </w:r>
      </w:hyperlink>
      <w:r>
        <w:rPr>
          <w:rFonts w:ascii="David" w:hAnsi="David"/>
          <w:rtl/>
        </w:rPr>
        <w:t xml:space="preserve"> </w:t>
      </w:r>
      <w:r>
        <w:rPr>
          <w:b/>
          <w:bCs/>
          <w:rtl/>
        </w:rPr>
        <w:t>חלייחל נ' מדינת ישראל</w:t>
      </w:r>
      <w:r>
        <w:rPr>
          <w:rtl/>
        </w:rPr>
        <w:t>,  24.2.21, "עניין חלייחל"). גם אם לא ידוע מי מיושבי הרכב ביצע את הירי (בכתב האישום לא צוין כלל אם, מלבד נאשמים, אחר או יותר נכחו ברכב), הירי בוצע במסגרת סכסוך ישיר בין הנאשמים למתלוננים, ברכב שבו ישבו ובהמשך ישיר לאירוע בו שלפו נשק. כפי שנקבע בעניין חלייחל, גם בענייננו, אירועי הלילה לא הסתכמו אך בנשיאת נשק, אלא בירי של ממש, "</w:t>
      </w:r>
      <w:r>
        <w:rPr>
          <w:b/>
          <w:bCs/>
          <w:rtl/>
        </w:rPr>
        <w:t>עבירות בנשק קשורות בטבורן לנזק שעלול כתוצאה מן השימוש בכלי-הנשק. ברי כי להבדיל ממקרה שבו נעשה שימוש בכלי-נשק, כאשר נורו יריות, פוטנציאל הנזק, אף אם לא התממש-מתעצם; ועם התעצמותו-עולה מידת החומרה"</w:t>
      </w:r>
      <w:r>
        <w:rPr>
          <w:rtl/>
        </w:rPr>
        <w:t xml:space="preserve"> (שם, פסקה 9).</w:t>
      </w:r>
    </w:p>
    <w:p w14:paraId="2D7932A6" w14:textId="77777777" w:rsidR="001644AB" w:rsidRDefault="001644AB" w:rsidP="001644AB">
      <w:pPr>
        <w:spacing w:after="120" w:line="360" w:lineRule="auto"/>
        <w:ind w:left="84"/>
        <w:contextualSpacing/>
        <w:jc w:val="both"/>
        <w:textAlignment w:val="baseline"/>
      </w:pPr>
    </w:p>
    <w:p w14:paraId="1D98D948" w14:textId="77777777" w:rsidR="001644AB" w:rsidRDefault="001644AB" w:rsidP="001644AB">
      <w:pPr>
        <w:numPr>
          <w:ilvl w:val="0"/>
          <w:numId w:val="1"/>
        </w:numPr>
        <w:spacing w:after="120" w:line="360" w:lineRule="auto"/>
        <w:ind w:left="84" w:hanging="425"/>
        <w:contextualSpacing/>
        <w:jc w:val="both"/>
        <w:textAlignment w:val="baseline"/>
      </w:pPr>
      <w:r>
        <w:rPr>
          <w:rFonts w:ascii="David" w:eastAsia="David" w:hAnsi="David"/>
          <w:rtl/>
        </w:rPr>
        <w:t>אשר לפוטנציאל הנזק, אתן משקל מסויים לכך שלא יוחסה לנאשמים נשיאת אקדחים טעונים, אך אין בכך כדי להפחית ממידת האיום והחשש שחשו המתלוננים ובני המשפחה שעה שהנאשמים שלפו נשקם לעברם, עוד היה הדבר עלול להביא להסלמת האירוע, במידה שמי מהמעורבים היה עושה בתגובה למעשיהם שימוש בנשק קר או חם.</w:t>
      </w:r>
    </w:p>
    <w:p w14:paraId="0BD463DE" w14:textId="77777777" w:rsidR="001644AB" w:rsidRDefault="001644AB" w:rsidP="001644AB">
      <w:pPr>
        <w:spacing w:after="120" w:line="360" w:lineRule="auto"/>
        <w:ind w:left="84"/>
        <w:contextualSpacing/>
        <w:jc w:val="both"/>
        <w:textAlignment w:val="baseline"/>
      </w:pPr>
    </w:p>
    <w:p w14:paraId="6E0804C7" w14:textId="77777777" w:rsidR="001644AB" w:rsidRDefault="001644AB" w:rsidP="001644AB">
      <w:pPr>
        <w:numPr>
          <w:ilvl w:val="0"/>
          <w:numId w:val="1"/>
        </w:numPr>
        <w:spacing w:after="120" w:line="360" w:lineRule="auto"/>
        <w:ind w:left="84" w:hanging="425"/>
        <w:contextualSpacing/>
        <w:jc w:val="both"/>
        <w:textAlignment w:val="baseline"/>
      </w:pPr>
      <w:r>
        <w:rPr>
          <w:rtl/>
        </w:rPr>
        <w:t xml:space="preserve">בחינת מידת פגיעת מעשי הנאשמים בערכים המוגנים מובילה למסקנה כי היא </w:t>
      </w:r>
      <w:r>
        <w:rPr>
          <w:b/>
          <w:bCs/>
          <w:rtl/>
        </w:rPr>
        <w:t>ברף בינוני-גבוה.</w:t>
      </w:r>
      <w:r>
        <w:rPr>
          <w:rtl/>
        </w:rPr>
        <w:t xml:space="preserve"> בהקשר זה נתתי דעתי</w:t>
      </w:r>
      <w:r>
        <w:rPr>
          <w:b/>
          <w:bCs/>
          <w:rtl/>
        </w:rPr>
        <w:t xml:space="preserve"> </w:t>
      </w:r>
      <w:r>
        <w:rPr>
          <w:rtl/>
        </w:rPr>
        <w:t xml:space="preserve">לכך שמדובר באירוע נשיאת נשק מתמשך, על רקע סכסוך, ללא כל התגרות מצד המתלוננים ולכך שהנאשמים ישבו ברכב שממנו נורו יריות. מנגד, אתחשב בכך שלא יוחסה למי מהם נשיאת נשק טעון ולכך שחומרת מעשיו של נאשם 2, שנשא נשק רק במפגש השני, פחותה מעט מזו של נאשם 1.  </w:t>
      </w:r>
    </w:p>
    <w:p w14:paraId="44AC2AEC" w14:textId="77777777" w:rsidR="001644AB" w:rsidRDefault="001644AB" w:rsidP="001644AB">
      <w:pPr>
        <w:spacing w:after="120" w:line="360" w:lineRule="auto"/>
        <w:ind w:left="84"/>
        <w:contextualSpacing/>
        <w:jc w:val="both"/>
        <w:textAlignment w:val="baseline"/>
        <w:rPr>
          <w:rtl/>
        </w:rPr>
      </w:pPr>
    </w:p>
    <w:p w14:paraId="1BF7777A" w14:textId="77777777" w:rsidR="001644AB" w:rsidRDefault="001644AB" w:rsidP="001644AB">
      <w:pPr>
        <w:spacing w:after="120" w:line="360" w:lineRule="auto"/>
        <w:ind w:left="84"/>
        <w:contextualSpacing/>
        <w:jc w:val="both"/>
        <w:textAlignment w:val="baseline"/>
      </w:pPr>
    </w:p>
    <w:p w14:paraId="7FAF51B1" w14:textId="77777777" w:rsidR="001644AB" w:rsidRDefault="001644AB" w:rsidP="001644AB">
      <w:pPr>
        <w:spacing w:after="120" w:line="360" w:lineRule="auto"/>
        <w:ind w:left="84"/>
        <w:contextualSpacing/>
        <w:jc w:val="both"/>
        <w:textAlignment w:val="baseline"/>
        <w:rPr>
          <w:rtl/>
        </w:rPr>
      </w:pPr>
      <w:r>
        <w:rPr>
          <w:rFonts w:eastAsia="David"/>
          <w:b/>
          <w:bCs/>
          <w:u w:val="single"/>
          <w:rtl/>
        </w:rPr>
        <w:t>מדיניות הענישה הנוהגת</w:t>
      </w:r>
    </w:p>
    <w:p w14:paraId="03DDF35B" w14:textId="77777777" w:rsidR="001644AB" w:rsidRDefault="001644AB" w:rsidP="001644AB">
      <w:pPr>
        <w:numPr>
          <w:ilvl w:val="0"/>
          <w:numId w:val="1"/>
        </w:numPr>
        <w:spacing w:line="360" w:lineRule="auto"/>
        <w:ind w:left="84" w:hanging="425"/>
        <w:contextualSpacing/>
        <w:jc w:val="both"/>
        <w:rPr>
          <w:rFonts w:ascii="David" w:eastAsia="David" w:hAnsi="David"/>
          <w:rtl/>
        </w:rPr>
      </w:pPr>
      <w:r>
        <w:rPr>
          <w:rFonts w:ascii="David" w:eastAsia="David" w:hAnsi="David"/>
          <w:rtl/>
        </w:rPr>
        <w:t xml:space="preserve">בפסיקה ענפה הושתו על נושאי נשק עונשי מאסר מאחורי סורג ובריח לתקופות לא קצרות, גם במקרים שהנאשמים צעירים וזו להם הסתבכותם הראשונה עם החוק. </w:t>
      </w:r>
      <w:hyperlink r:id="rId24" w:history="1">
        <w:r w:rsidR="00BC26C5" w:rsidRPr="00BC26C5">
          <w:rPr>
            <w:color w:val="0000FF"/>
            <w:u w:val="single"/>
            <w:rtl/>
          </w:rPr>
          <w:t>ע"פ 5602/22</w:t>
        </w:r>
      </w:hyperlink>
      <w:r>
        <w:rPr>
          <w:rFonts w:eastAsia="David" w:hAnsi="David"/>
          <w:rtl/>
        </w:rPr>
        <w:t xml:space="preserve"> </w:t>
      </w:r>
      <w:r>
        <w:rPr>
          <w:rFonts w:eastAsia="David" w:hAnsi="David"/>
          <w:b/>
          <w:bCs/>
          <w:rtl/>
        </w:rPr>
        <w:t xml:space="preserve">מדינת ישראל נ' פלוני </w:t>
      </w:r>
      <w:r>
        <w:rPr>
          <w:rFonts w:eastAsia="David" w:hAnsi="David"/>
          <w:rtl/>
        </w:rPr>
        <w:t xml:space="preserve">(14.9.22) </w:t>
      </w:r>
      <w:r>
        <w:rPr>
          <w:rtl/>
        </w:rPr>
        <w:t>שניתן לפני מספר חודשים מסמן מגמת החמרה משמעותית בעבירות נשיאת נשק.</w:t>
      </w:r>
      <w:r>
        <w:rPr>
          <w:rFonts w:eastAsia="David" w:hAnsi="David"/>
          <w:rtl/>
        </w:rPr>
        <w:t xml:space="preserve"> במקרה זה, התקבל ערעור מדינה בעניינו של תושב האזור, שנשא אקדח טעון ברכב ונגזרו עליו 18 חודשי מאסר. </w:t>
      </w:r>
      <w:r>
        <w:rPr>
          <w:rFonts w:ascii="David" w:eastAsia="David" w:hAnsi="David"/>
          <w:rtl/>
        </w:rPr>
        <w:t xml:space="preserve">בית המשפט (כב' השופט שטיין) קבע מתחם ענישה ראוי שנע בין 30-42 חודשי מאסר. עונשו של המשיב, ללא עבר, הוחמר, מבלי למצות את הדין, למאסר בן 28 חודשים. </w:t>
      </w:r>
    </w:p>
    <w:p w14:paraId="74CDADDE" w14:textId="77777777" w:rsidR="001644AB" w:rsidRDefault="001644AB" w:rsidP="001644AB">
      <w:pPr>
        <w:spacing w:line="360" w:lineRule="auto"/>
        <w:ind w:left="84"/>
        <w:contextualSpacing/>
        <w:jc w:val="both"/>
        <w:rPr>
          <w:rFonts w:ascii="David" w:eastAsia="David" w:hAnsi="David"/>
        </w:rPr>
      </w:pPr>
    </w:p>
    <w:p w14:paraId="11940640" w14:textId="77777777" w:rsidR="001644AB" w:rsidRDefault="001644AB" w:rsidP="001644AB">
      <w:pPr>
        <w:spacing w:line="360" w:lineRule="auto"/>
        <w:ind w:left="84"/>
        <w:contextualSpacing/>
        <w:jc w:val="both"/>
        <w:rPr>
          <w:rFonts w:ascii="David" w:eastAsia="David" w:hAnsi="David"/>
        </w:rPr>
      </w:pPr>
      <w:r>
        <w:rPr>
          <w:rFonts w:ascii="David" w:eastAsia="David" w:hAnsi="David"/>
          <w:rtl/>
        </w:rPr>
        <w:t>עוד ניתן למצוא בפסיקה אבחנה בין מקרי נשיאת נשק שנסיבותיהן פחותות, בגדרם נקבע מתחם ענישה שנע בין 20-40 חודשי מאסר (אפנה ל</w:t>
      </w:r>
      <w:hyperlink r:id="rId25" w:history="1">
        <w:r w:rsidR="00BC26C5" w:rsidRPr="00BC26C5">
          <w:rPr>
            <w:rFonts w:ascii="David" w:eastAsia="David" w:hAnsi="David"/>
            <w:color w:val="0000FF"/>
            <w:u w:val="single"/>
            <w:rtl/>
          </w:rPr>
          <w:t>ע"פ 6021/21</w:t>
        </w:r>
      </w:hyperlink>
      <w:r>
        <w:rPr>
          <w:rFonts w:ascii="David" w:eastAsia="David" w:hAnsi="David"/>
          <w:b/>
          <w:bCs/>
          <w:rtl/>
        </w:rPr>
        <w:t xml:space="preserve"> עבוד נ' מדינת ישראל</w:t>
      </w:r>
      <w:r>
        <w:rPr>
          <w:rFonts w:ascii="David" w:eastAsia="David" w:hAnsi="David"/>
          <w:rtl/>
        </w:rPr>
        <w:t xml:space="preserve"> (19.12.2021); </w:t>
      </w:r>
      <w:hyperlink r:id="rId26" w:history="1">
        <w:r w:rsidR="00BC26C5" w:rsidRPr="00BC26C5">
          <w:rPr>
            <w:rFonts w:ascii="David" w:eastAsia="David" w:hAnsi="David"/>
            <w:color w:val="0000FF"/>
            <w:u w:val="single"/>
            <w:rtl/>
          </w:rPr>
          <w:t>ע"פ 930/22</w:t>
        </w:r>
      </w:hyperlink>
      <w:r>
        <w:rPr>
          <w:rFonts w:ascii="David" w:eastAsia="David" w:hAnsi="David"/>
          <w:rtl/>
        </w:rPr>
        <w:t xml:space="preserve"> </w:t>
      </w:r>
      <w:r>
        <w:rPr>
          <w:rFonts w:ascii="David" w:eastAsia="David" w:hAnsi="David"/>
          <w:b/>
          <w:bCs/>
          <w:rtl/>
        </w:rPr>
        <w:t xml:space="preserve">חטיב נ' מדינת ישראל </w:t>
      </w:r>
      <w:r>
        <w:rPr>
          <w:rFonts w:ascii="David" w:eastAsia="David" w:hAnsi="David"/>
          <w:rtl/>
        </w:rPr>
        <w:t xml:space="preserve">(31.7.2022), </w:t>
      </w:r>
      <w:hyperlink r:id="rId27" w:history="1">
        <w:r w:rsidR="00BC26C5" w:rsidRPr="00BC26C5">
          <w:rPr>
            <w:rFonts w:ascii="David" w:eastAsia="David" w:hAnsi="David"/>
            <w:color w:val="0000FF"/>
            <w:u w:val="single"/>
            <w:rtl/>
          </w:rPr>
          <w:t>ת"פ (מח-מרכז) 10686-05-20</w:t>
        </w:r>
      </w:hyperlink>
      <w:r>
        <w:rPr>
          <w:rFonts w:ascii="David" w:eastAsia="David" w:hAnsi="David"/>
          <w:rtl/>
        </w:rPr>
        <w:t xml:space="preserve"> </w:t>
      </w:r>
      <w:r>
        <w:rPr>
          <w:rFonts w:ascii="David" w:eastAsia="David" w:hAnsi="David"/>
          <w:b/>
          <w:bCs/>
          <w:rtl/>
        </w:rPr>
        <w:t>מדינת ישראל נ' עאזם</w:t>
      </w:r>
      <w:r>
        <w:rPr>
          <w:rFonts w:ascii="David" w:eastAsia="David" w:hAnsi="David"/>
          <w:rtl/>
        </w:rPr>
        <w:t xml:space="preserve"> אליו הפנתה ההגנה) לבין מקרים חמורים יותר, כמו זה שלפנינו. בהנתן נסיבות מחמירות, עולה אף רף הענישה בהתאמה. כך בעניין </w:t>
      </w:r>
      <w:hyperlink r:id="rId28" w:history="1">
        <w:r w:rsidR="00BC26C5" w:rsidRPr="00BC26C5">
          <w:rPr>
            <w:rFonts w:ascii="David" w:eastAsia="David" w:hAnsi="David"/>
            <w:color w:val="0000FF"/>
            <w:u w:val="single"/>
            <w:rtl/>
          </w:rPr>
          <w:t>ע"פ 5602/22</w:t>
        </w:r>
      </w:hyperlink>
      <w:r>
        <w:rPr>
          <w:rFonts w:ascii="David" w:eastAsia="David" w:hAnsi="David"/>
          <w:rtl/>
        </w:rPr>
        <w:t xml:space="preserve"> שהוזכר; עניין חלייחל, המזכיר את התיק שלפנינו, שם נגזרו על הנאשם, בעל עבר פלילי בעבירת נשק, 36 חודשי מאסר ו</w:t>
      </w:r>
      <w:hyperlink r:id="rId29" w:history="1">
        <w:r w:rsidR="00BC26C5" w:rsidRPr="00BC26C5">
          <w:rPr>
            <w:rFonts w:ascii="David" w:eastAsia="David" w:hAnsi="David"/>
            <w:color w:val="0000FF"/>
            <w:u w:val="single"/>
            <w:rtl/>
          </w:rPr>
          <w:t>ע"פ 309/22</w:t>
        </w:r>
      </w:hyperlink>
      <w:r>
        <w:rPr>
          <w:rFonts w:ascii="David" w:eastAsia="David" w:hAnsi="David"/>
          <w:rtl/>
        </w:rPr>
        <w:t xml:space="preserve"> </w:t>
      </w:r>
      <w:r>
        <w:rPr>
          <w:rFonts w:ascii="David" w:eastAsia="David" w:hAnsi="David"/>
          <w:b/>
          <w:bCs/>
          <w:rtl/>
        </w:rPr>
        <w:t>ביאדסה נ' מדינת ישראל</w:t>
      </w:r>
      <w:r>
        <w:rPr>
          <w:rFonts w:ascii="David" w:eastAsia="David" w:hAnsi="David"/>
          <w:rtl/>
        </w:rPr>
        <w:t xml:space="preserve"> (10.5.2022), שם הוחמר עונש בן 19 חודשים שנגזר על נאשם שנשא שני כלי נשק, ל-30 חודשי מאסר. </w:t>
      </w:r>
    </w:p>
    <w:p w14:paraId="76C08E9A" w14:textId="77777777" w:rsidR="001644AB" w:rsidRPr="001644AB" w:rsidRDefault="001644AB" w:rsidP="001644AB">
      <w:pPr>
        <w:spacing w:after="120" w:line="360" w:lineRule="auto"/>
        <w:ind w:left="84"/>
        <w:jc w:val="both"/>
        <w:rPr>
          <w:rFonts w:ascii="Arial TUR" w:eastAsia="Calibri" w:hAnsi="Arial TUR" w:cs="Arial TUR"/>
          <w:color w:val="000000"/>
          <w:spacing w:val="10"/>
          <w:sz w:val="22"/>
          <w:szCs w:val="22"/>
          <w:rtl/>
        </w:rPr>
      </w:pPr>
      <w:r>
        <w:rPr>
          <w:rtl/>
        </w:rPr>
        <w:t>עוד נתתי דעתי לכך שהנאשמים הורשעו בנשיאת נשק מסוג אקדח ולא נשק התקפי מסוג רובה סער, שלו מייחסת הפסיקה משנה חומרה ופוטנציאל קטלני גבוה (</w:t>
      </w:r>
      <w:hyperlink r:id="rId30" w:history="1">
        <w:r w:rsidR="00BC26C5" w:rsidRPr="00BC26C5">
          <w:rPr>
            <w:color w:val="0000FF"/>
            <w:u w:val="single"/>
            <w:rtl/>
          </w:rPr>
          <w:t>ע"פ 1695/22</w:t>
        </w:r>
      </w:hyperlink>
      <w:r>
        <w:rPr>
          <w:rtl/>
        </w:rPr>
        <w:t xml:space="preserve"> </w:t>
      </w:r>
      <w:r>
        <w:rPr>
          <w:b/>
          <w:bCs/>
          <w:rtl/>
        </w:rPr>
        <w:t xml:space="preserve">מדינת ישראל נ' מוחמד גנאים ואח' </w:t>
      </w:r>
      <w:r>
        <w:rPr>
          <w:rtl/>
        </w:rPr>
        <w:t xml:space="preserve">(29.3.2022). </w:t>
      </w:r>
    </w:p>
    <w:p w14:paraId="542BA37A" w14:textId="77777777" w:rsidR="001644AB" w:rsidRPr="001644AB" w:rsidRDefault="001644AB" w:rsidP="001644AB">
      <w:pPr>
        <w:spacing w:after="120" w:line="360" w:lineRule="auto"/>
        <w:ind w:left="84"/>
        <w:jc w:val="both"/>
        <w:rPr>
          <w:rFonts w:ascii="Arial TUR" w:eastAsia="Calibri" w:hAnsi="Arial TUR" w:cs="Arial TUR"/>
          <w:color w:val="000000"/>
          <w:spacing w:val="10"/>
          <w:sz w:val="22"/>
          <w:szCs w:val="22"/>
          <w:rtl/>
        </w:rPr>
      </w:pPr>
    </w:p>
    <w:p w14:paraId="292B7123" w14:textId="77777777" w:rsidR="001644AB" w:rsidRDefault="001644AB" w:rsidP="001644AB">
      <w:pPr>
        <w:numPr>
          <w:ilvl w:val="0"/>
          <w:numId w:val="1"/>
        </w:numPr>
        <w:spacing w:line="360" w:lineRule="auto"/>
        <w:ind w:left="84" w:hanging="283"/>
        <w:jc w:val="both"/>
        <w:rPr>
          <w:rFonts w:ascii="David" w:eastAsia="David" w:hAnsi="David"/>
          <w:b/>
          <w:bCs/>
          <w:u w:val="single"/>
          <w:rtl/>
        </w:rPr>
      </w:pPr>
      <w:r>
        <w:rPr>
          <w:rFonts w:eastAsia="David"/>
          <w:rtl/>
        </w:rPr>
        <w:t xml:space="preserve">לאחר שבחנתי את נסיבות ביצוע העבירה, מידת הפגיעה בערכים המוגנים ומדיניות הענישה הנוהגת, ראיתי לקבוע לנאשם 1- </w:t>
      </w:r>
      <w:r>
        <w:rPr>
          <w:rFonts w:eastAsia="David"/>
          <w:b/>
          <w:bCs/>
          <w:rtl/>
        </w:rPr>
        <w:t>מתחם ענישה הנע בין 30-48 חודשי מאסר בפועל</w:t>
      </w:r>
      <w:r>
        <w:rPr>
          <w:rFonts w:eastAsia="David"/>
          <w:rtl/>
        </w:rPr>
        <w:t>, ולנאשם 2 מתחם ענישה שנע</w:t>
      </w:r>
      <w:r>
        <w:rPr>
          <w:rFonts w:eastAsia="David"/>
          <w:b/>
          <w:bCs/>
          <w:rtl/>
        </w:rPr>
        <w:t xml:space="preserve"> בין 26-42 חודשי מאסר</w:t>
      </w:r>
      <w:r>
        <w:rPr>
          <w:rFonts w:eastAsia="David"/>
          <w:rtl/>
        </w:rPr>
        <w:t xml:space="preserve">. </w:t>
      </w:r>
    </w:p>
    <w:p w14:paraId="02A02230" w14:textId="77777777" w:rsidR="001644AB" w:rsidRDefault="001644AB" w:rsidP="001644AB">
      <w:pPr>
        <w:spacing w:line="360" w:lineRule="auto"/>
        <w:ind w:left="84"/>
        <w:jc w:val="both"/>
        <w:rPr>
          <w:rFonts w:ascii="David" w:eastAsia="David" w:hAnsi="David"/>
          <w:b/>
          <w:bCs/>
          <w:u w:val="single"/>
        </w:rPr>
      </w:pPr>
    </w:p>
    <w:p w14:paraId="544C3014" w14:textId="77777777" w:rsidR="001644AB" w:rsidRDefault="001644AB" w:rsidP="001644AB">
      <w:pPr>
        <w:spacing w:line="360" w:lineRule="auto"/>
        <w:ind w:left="84"/>
        <w:jc w:val="both"/>
        <w:rPr>
          <w:rFonts w:ascii="David" w:eastAsia="David" w:hAnsi="David"/>
          <w:b/>
          <w:bCs/>
          <w:u w:val="single"/>
        </w:rPr>
      </w:pPr>
      <w:r>
        <w:rPr>
          <w:rFonts w:ascii="David" w:eastAsia="David" w:hAnsi="David"/>
          <w:b/>
          <w:bCs/>
          <w:u w:val="single"/>
          <w:rtl/>
        </w:rPr>
        <w:t>גזירת העונש המתאים לנאשמים</w:t>
      </w:r>
    </w:p>
    <w:p w14:paraId="09DD424B" w14:textId="77777777" w:rsidR="001644AB" w:rsidRDefault="001644AB" w:rsidP="001644AB">
      <w:pPr>
        <w:numPr>
          <w:ilvl w:val="0"/>
          <w:numId w:val="1"/>
        </w:numPr>
        <w:spacing w:line="360" w:lineRule="auto"/>
        <w:ind w:left="84" w:hanging="283"/>
        <w:contextualSpacing/>
        <w:jc w:val="both"/>
        <w:rPr>
          <w:rFonts w:ascii="David" w:eastAsia="David" w:hAnsi="David"/>
          <w:rtl/>
        </w:rPr>
      </w:pPr>
      <w:r>
        <w:rPr>
          <w:rFonts w:ascii="David" w:eastAsia="David" w:hAnsi="David"/>
          <w:rtl/>
        </w:rPr>
        <w:t xml:space="preserve">נאשם 1, יליד 2001, תסקירו אינו חיובי ומלמד על סיכון לא מבוטל הנשקף ממנו. לנאשם הרשעה אחת בעבירה של הפרת שלום הציבור. להערכת שירות המבחן, מחזיק בעמדות בעייתיות בנוגע לציות לחוק ולשימוש בנשק, יעידו על כך גם דרך התנהלותו באירועי התיק ובחירתו ליישב ויכוחים בדרכי אלימות. לנאשם 2 הרשעה קודמת מבית משפט לנוער, משנת 2017, בנשיאת נשק, בגינה ריצה מאסר בן 6 חודשים. מעשיו בתיק מלמדים כי לא נרתע מהעונשים שהוטלו עליו ולא שינה את דרכיו. </w:t>
      </w:r>
    </w:p>
    <w:p w14:paraId="0844E541" w14:textId="77777777" w:rsidR="001644AB" w:rsidRDefault="001644AB" w:rsidP="001644AB">
      <w:pPr>
        <w:pStyle w:val="a9"/>
        <w:rPr>
          <w:rFonts w:ascii="David" w:eastAsia="David" w:hAnsi="David" w:cs="David"/>
          <w:sz w:val="24"/>
          <w:szCs w:val="24"/>
        </w:rPr>
      </w:pPr>
    </w:p>
    <w:p w14:paraId="561BB652" w14:textId="77777777" w:rsidR="001644AB" w:rsidRDefault="001644AB" w:rsidP="001644AB">
      <w:pPr>
        <w:spacing w:line="360" w:lineRule="auto"/>
        <w:ind w:left="84"/>
        <w:contextualSpacing/>
        <w:jc w:val="both"/>
        <w:rPr>
          <w:rFonts w:ascii="David" w:eastAsia="David" w:hAnsi="David"/>
          <w:rtl/>
        </w:rPr>
      </w:pPr>
      <w:r>
        <w:rPr>
          <w:rFonts w:ascii="David" w:eastAsia="David" w:hAnsi="David"/>
          <w:rtl/>
        </w:rPr>
        <w:t xml:space="preserve">לקולא אזקוף לטובת הנאשמים את הודאתם, היותם עצורים תקופה שאינה קצרה ונכונותם לפצות את נפגע העבירה בסכום לא מבוטל, הגם שלא הורשעו בפגיעה בו. אתחשב עוד בשיקולי הרתעת הרבים. על יסוד כל אלו, מצאתי למקם את עונשם של הנאשמים, כל אחד על בסיס נתוניו, בקצהו העליון של השליש התחתון של המתחם, ולגזור עליהם עונש דומה. </w:t>
      </w:r>
    </w:p>
    <w:p w14:paraId="002E3B1D" w14:textId="77777777" w:rsidR="001644AB" w:rsidRDefault="001644AB" w:rsidP="001644AB">
      <w:pPr>
        <w:spacing w:line="360" w:lineRule="auto"/>
        <w:ind w:left="84"/>
        <w:contextualSpacing/>
        <w:jc w:val="both"/>
        <w:rPr>
          <w:rFonts w:ascii="David" w:eastAsia="David" w:hAnsi="David"/>
          <w:rtl/>
        </w:rPr>
      </w:pPr>
    </w:p>
    <w:p w14:paraId="089E7A6A" w14:textId="77777777" w:rsidR="001644AB" w:rsidRDefault="001644AB" w:rsidP="001644AB">
      <w:pPr>
        <w:numPr>
          <w:ilvl w:val="0"/>
          <w:numId w:val="1"/>
        </w:numPr>
        <w:spacing w:line="360" w:lineRule="auto"/>
        <w:ind w:left="84"/>
        <w:contextualSpacing/>
        <w:jc w:val="both"/>
        <w:rPr>
          <w:rFonts w:ascii="David" w:eastAsia="David" w:hAnsi="David"/>
          <w:b/>
          <w:bCs/>
        </w:rPr>
      </w:pPr>
      <w:r>
        <w:rPr>
          <w:rFonts w:ascii="David" w:eastAsia="David" w:hAnsi="David"/>
          <w:b/>
          <w:bCs/>
          <w:rtl/>
        </w:rPr>
        <w:t>אני גוזרת, איפוא,  על כל אחד מהנאשמים את העונשים הבאים:</w:t>
      </w:r>
    </w:p>
    <w:p w14:paraId="42CAF4CC" w14:textId="77777777" w:rsidR="001644AB" w:rsidRDefault="001644AB" w:rsidP="001644AB">
      <w:pPr>
        <w:ind w:left="84"/>
        <w:contextualSpacing/>
        <w:rPr>
          <w:rFonts w:ascii="David" w:eastAsia="David" w:hAnsi="David"/>
        </w:rPr>
      </w:pPr>
    </w:p>
    <w:p w14:paraId="7F1E187A" w14:textId="77777777" w:rsidR="001644AB" w:rsidRDefault="001644AB" w:rsidP="001644AB">
      <w:pPr>
        <w:numPr>
          <w:ilvl w:val="0"/>
          <w:numId w:val="3"/>
        </w:numPr>
        <w:spacing w:line="360" w:lineRule="auto"/>
        <w:ind w:left="84"/>
        <w:contextualSpacing/>
        <w:jc w:val="both"/>
        <w:rPr>
          <w:rFonts w:ascii="David" w:eastAsia="David" w:hAnsi="David"/>
          <w:rtl/>
        </w:rPr>
      </w:pPr>
      <w:r>
        <w:rPr>
          <w:rFonts w:ascii="David" w:eastAsia="David" w:hAnsi="David"/>
          <w:b/>
          <w:bCs/>
          <w:rtl/>
        </w:rPr>
        <w:t>34 חודשי מאסר בפועל</w:t>
      </w:r>
      <w:r>
        <w:rPr>
          <w:rFonts w:ascii="David" w:eastAsia="David" w:hAnsi="David"/>
          <w:rtl/>
        </w:rPr>
        <w:t xml:space="preserve"> החל מיום מעצרם 26.4.22. </w:t>
      </w:r>
    </w:p>
    <w:p w14:paraId="409E0432" w14:textId="77777777" w:rsidR="001644AB" w:rsidRDefault="001644AB" w:rsidP="001644AB">
      <w:pPr>
        <w:numPr>
          <w:ilvl w:val="0"/>
          <w:numId w:val="3"/>
        </w:numPr>
        <w:spacing w:line="360" w:lineRule="auto"/>
        <w:ind w:left="84"/>
        <w:contextualSpacing/>
        <w:jc w:val="both"/>
        <w:rPr>
          <w:rFonts w:ascii="David" w:eastAsia="David" w:hAnsi="David"/>
        </w:rPr>
      </w:pPr>
      <w:r>
        <w:rPr>
          <w:rFonts w:ascii="David" w:eastAsia="David" w:hAnsi="David"/>
          <w:rtl/>
        </w:rPr>
        <w:t xml:space="preserve">מאסר על תנאי בן 12 חודשים לבל יעבור הנאשם עבירת נשק או עבירת אלימות מסוג פשע תוך 3 שנים מיום  שחרורם. </w:t>
      </w:r>
    </w:p>
    <w:p w14:paraId="0913C005" w14:textId="77777777" w:rsidR="001644AB" w:rsidRDefault="001644AB" w:rsidP="001644AB">
      <w:pPr>
        <w:numPr>
          <w:ilvl w:val="0"/>
          <w:numId w:val="3"/>
        </w:numPr>
        <w:spacing w:line="360" w:lineRule="auto"/>
        <w:ind w:left="84"/>
        <w:contextualSpacing/>
        <w:jc w:val="both"/>
        <w:rPr>
          <w:rFonts w:ascii="David" w:eastAsia="David" w:hAnsi="David"/>
        </w:rPr>
      </w:pPr>
      <w:r>
        <w:rPr>
          <w:rFonts w:ascii="David" w:eastAsia="David" w:hAnsi="David"/>
          <w:rtl/>
        </w:rPr>
        <w:t xml:space="preserve">קנס בסך 5,000 ₪ או 60 ימי מאסר תמורתו. הקנס ישולם בשני תשלומים החל מיום 3.4.23 </w:t>
      </w:r>
    </w:p>
    <w:p w14:paraId="55BA28BA" w14:textId="77777777" w:rsidR="001644AB" w:rsidRDefault="001644AB" w:rsidP="001644AB">
      <w:pPr>
        <w:numPr>
          <w:ilvl w:val="0"/>
          <w:numId w:val="3"/>
        </w:numPr>
        <w:spacing w:line="360" w:lineRule="auto"/>
        <w:ind w:left="84"/>
        <w:contextualSpacing/>
        <w:jc w:val="both"/>
        <w:rPr>
          <w:rFonts w:ascii="David" w:eastAsia="David" w:hAnsi="David"/>
        </w:rPr>
      </w:pPr>
      <w:r>
        <w:rPr>
          <w:rFonts w:ascii="David" w:eastAsia="David" w:hAnsi="David"/>
          <w:rtl/>
        </w:rPr>
        <w:t>פיצוי לנפגע העבירה מר בדר בסך 27,500 ₪ לכל אחד מהנאשמים. הפיצוי יופקד ב-10 תשלומים החל מיום 1.4.23</w:t>
      </w:r>
      <w:r>
        <w:rPr>
          <w:rFonts w:ascii="David" w:eastAsia="David" w:hAnsi="David" w:hint="cs"/>
          <w:rtl/>
        </w:rPr>
        <w:t xml:space="preserve">, בקיזוז הפיצוי שנופקד. </w:t>
      </w:r>
    </w:p>
    <w:p w14:paraId="61B94827" w14:textId="77777777" w:rsidR="001644AB" w:rsidRDefault="001644AB" w:rsidP="001644AB">
      <w:pPr>
        <w:spacing w:line="360" w:lineRule="auto"/>
        <w:ind w:left="84"/>
        <w:contextualSpacing/>
        <w:jc w:val="both"/>
        <w:rPr>
          <w:rFonts w:ascii="David" w:eastAsia="David" w:hAnsi="David"/>
        </w:rPr>
      </w:pPr>
      <w:r>
        <w:rPr>
          <w:rFonts w:ascii="David" w:eastAsia="David" w:hAnsi="David"/>
          <w:rtl/>
        </w:rPr>
        <w:t xml:space="preserve">צו כללי למוצגים. </w:t>
      </w:r>
    </w:p>
    <w:p w14:paraId="1C11DF2E" w14:textId="77777777" w:rsidR="001644AB" w:rsidRDefault="001644AB" w:rsidP="001644AB">
      <w:pPr>
        <w:spacing w:line="360" w:lineRule="auto"/>
        <w:ind w:left="84"/>
        <w:jc w:val="both"/>
        <w:rPr>
          <w:rFonts w:ascii="David" w:eastAsia="David" w:hAnsi="David"/>
          <w:b/>
          <w:bCs/>
        </w:rPr>
      </w:pPr>
    </w:p>
    <w:p w14:paraId="74ABA779" w14:textId="77777777" w:rsidR="001644AB" w:rsidRDefault="001644AB" w:rsidP="001644AB">
      <w:pPr>
        <w:spacing w:line="360" w:lineRule="auto"/>
        <w:ind w:left="84"/>
        <w:jc w:val="both"/>
        <w:rPr>
          <w:rFonts w:ascii="David" w:eastAsia="David" w:hAnsi="David"/>
          <w:b/>
          <w:bCs/>
          <w:rtl/>
        </w:rPr>
      </w:pPr>
      <w:r>
        <w:rPr>
          <w:rFonts w:ascii="David" w:eastAsia="David" w:hAnsi="David"/>
          <w:b/>
          <w:bCs/>
          <w:rtl/>
        </w:rPr>
        <w:t xml:space="preserve">זכות ערעור לבית המשפט העליון תוך 45 יום. </w:t>
      </w:r>
    </w:p>
    <w:p w14:paraId="7844BCE6" w14:textId="77777777" w:rsidR="001644AB" w:rsidRPr="001644AB" w:rsidRDefault="001644AB" w:rsidP="001644AB">
      <w:pPr>
        <w:tabs>
          <w:tab w:val="left" w:pos="800"/>
        </w:tabs>
        <w:overflowPunct w:val="0"/>
        <w:autoSpaceDE w:val="0"/>
        <w:autoSpaceDN w:val="0"/>
        <w:adjustRightInd w:val="0"/>
        <w:spacing w:line="360" w:lineRule="auto"/>
        <w:ind w:left="84"/>
        <w:jc w:val="both"/>
        <w:textAlignment w:val="baseline"/>
        <w:rPr>
          <w:rFonts w:eastAsia="Calibri"/>
        </w:rPr>
      </w:pPr>
    </w:p>
    <w:p w14:paraId="000FABC9" w14:textId="77777777" w:rsidR="001644AB" w:rsidRPr="001644AB" w:rsidRDefault="001644AB" w:rsidP="001644AB">
      <w:pPr>
        <w:tabs>
          <w:tab w:val="left" w:pos="800"/>
        </w:tabs>
        <w:overflowPunct w:val="0"/>
        <w:autoSpaceDE w:val="0"/>
        <w:autoSpaceDN w:val="0"/>
        <w:adjustRightInd w:val="0"/>
        <w:spacing w:line="360" w:lineRule="auto"/>
        <w:ind w:left="84"/>
        <w:jc w:val="both"/>
        <w:textAlignment w:val="baseline"/>
        <w:rPr>
          <w:rFonts w:eastAsia="Calibri"/>
          <w:rtl/>
        </w:rPr>
      </w:pPr>
    </w:p>
    <w:p w14:paraId="743DE49B" w14:textId="77777777" w:rsidR="001644AB" w:rsidRPr="00BC26C5" w:rsidRDefault="00BC26C5" w:rsidP="001644AB">
      <w:pPr>
        <w:rPr>
          <w:rFonts w:ascii="Calibri" w:hAnsi="Calibri" w:cs="Arial"/>
          <w:color w:val="FFFFFF"/>
          <w:sz w:val="2"/>
          <w:szCs w:val="2"/>
        </w:rPr>
      </w:pPr>
      <w:r w:rsidRPr="00BC26C5">
        <w:rPr>
          <w:rFonts w:ascii="Calibri" w:hAnsi="Calibri" w:cs="Arial"/>
          <w:color w:val="FFFFFF"/>
          <w:sz w:val="2"/>
          <w:szCs w:val="2"/>
          <w:rtl/>
        </w:rPr>
        <w:t>5129371</w:t>
      </w:r>
    </w:p>
    <w:p w14:paraId="0577FD0F" w14:textId="77777777" w:rsidR="001644AB" w:rsidRPr="00BC26C5" w:rsidRDefault="00BC26C5" w:rsidP="001644AB">
      <w:pPr>
        <w:rPr>
          <w:rFonts w:ascii="Arial" w:hAnsi="Arial"/>
          <w:b/>
          <w:bCs/>
          <w:color w:val="FFFFFF"/>
          <w:sz w:val="2"/>
          <w:szCs w:val="2"/>
          <w:rtl/>
        </w:rPr>
      </w:pPr>
      <w:r w:rsidRPr="00BC26C5">
        <w:rPr>
          <w:rFonts w:ascii="Arial" w:hAnsi="Arial"/>
          <w:b/>
          <w:bCs/>
          <w:color w:val="FFFFFF"/>
          <w:sz w:val="2"/>
          <w:szCs w:val="2"/>
          <w:rtl/>
        </w:rPr>
        <w:t>54678313</w:t>
      </w:r>
    </w:p>
    <w:p w14:paraId="6733D52E" w14:textId="77777777" w:rsidR="001644AB" w:rsidRPr="000F2247" w:rsidRDefault="001644AB" w:rsidP="001644AB">
      <w:pPr>
        <w:rPr>
          <w:rFonts w:ascii="Arial" w:hAnsi="Arial"/>
          <w:b/>
          <w:bCs/>
          <w:sz w:val="26"/>
          <w:szCs w:val="26"/>
          <w:rtl/>
        </w:rPr>
      </w:pPr>
    </w:p>
    <w:p w14:paraId="4A863069" w14:textId="77777777" w:rsidR="001644AB" w:rsidRPr="000F2247" w:rsidRDefault="00BC26C5" w:rsidP="001644A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אדר תשפ"ג, 27 פברואר 2023, במעמד הצדדים. </w:t>
      </w:r>
      <w:bookmarkEnd w:id="8"/>
      <w:r w:rsidR="001644AB">
        <w:rPr>
          <w:rFonts w:ascii="Arial" w:hAnsi="Arial"/>
          <w:b/>
          <w:bCs/>
          <w:sz w:val="26"/>
          <w:szCs w:val="26"/>
          <w:rtl/>
        </w:rPr>
        <w:tab/>
      </w:r>
      <w:r w:rsidR="001644AB">
        <w:rPr>
          <w:rFonts w:ascii="Arial" w:hAnsi="Arial"/>
          <w:b/>
          <w:bCs/>
          <w:sz w:val="26"/>
          <w:szCs w:val="26"/>
          <w:rtl/>
        </w:rPr>
        <w:tab/>
      </w:r>
      <w:r w:rsidR="001644AB">
        <w:rPr>
          <w:rFonts w:ascii="Arial" w:hAnsi="Arial"/>
          <w:b/>
          <w:bCs/>
          <w:sz w:val="26"/>
          <w:szCs w:val="26"/>
          <w:rtl/>
        </w:rPr>
        <w:tab/>
      </w:r>
      <w:r w:rsidR="001644AB">
        <w:rPr>
          <w:rFonts w:ascii="Arial" w:hAnsi="Arial"/>
          <w:b/>
          <w:bCs/>
          <w:sz w:val="26"/>
          <w:szCs w:val="26"/>
          <w:rtl/>
        </w:rPr>
        <w:tab/>
      </w:r>
      <w:r w:rsidR="001644AB">
        <w:rPr>
          <w:rFonts w:ascii="Arial" w:hAnsi="Arial"/>
          <w:b/>
          <w:bCs/>
          <w:sz w:val="26"/>
          <w:szCs w:val="26"/>
          <w:rtl/>
        </w:rPr>
        <w:tab/>
      </w:r>
      <w:r w:rsidR="001644AB">
        <w:rPr>
          <w:rFonts w:ascii="Arial" w:hAnsi="Arial"/>
          <w:b/>
          <w:bCs/>
          <w:sz w:val="26"/>
          <w:szCs w:val="26"/>
          <w:rtl/>
        </w:rPr>
        <w:tab/>
      </w:r>
      <w:r w:rsidR="001644AB">
        <w:rPr>
          <w:rFonts w:ascii="Arial" w:hAnsi="Arial"/>
          <w:b/>
          <w:bCs/>
          <w:sz w:val="26"/>
          <w:szCs w:val="26"/>
          <w:rtl/>
        </w:rPr>
        <w:tab/>
      </w:r>
      <w:r w:rsidR="001644AB">
        <w:rPr>
          <w:rFonts w:ascii="Arial" w:hAnsi="Arial" w:hint="cs"/>
          <w:b/>
          <w:bCs/>
          <w:sz w:val="26"/>
          <w:szCs w:val="26"/>
          <w:rtl/>
        </w:rPr>
        <w:t xml:space="preserve">         </w:t>
      </w:r>
    </w:p>
    <w:p w14:paraId="18FBF8CD" w14:textId="77777777" w:rsidR="00BC26C5" w:rsidRDefault="00BC26C5" w:rsidP="00BC26C5">
      <w:pPr>
        <w:rPr>
          <w:rtl/>
        </w:rPr>
      </w:pPr>
    </w:p>
    <w:p w14:paraId="15847CFC" w14:textId="77777777" w:rsidR="00BC26C5" w:rsidRDefault="00BC26C5" w:rsidP="00BC26C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6BB7EFB" w14:textId="77777777" w:rsidR="00245182" w:rsidRPr="00245182" w:rsidRDefault="00245182" w:rsidP="00245182">
      <w:pPr>
        <w:keepNext/>
        <w:rPr>
          <w:rFonts w:ascii="David" w:hAnsi="David"/>
          <w:color w:val="000000"/>
          <w:sz w:val="22"/>
          <w:szCs w:val="22"/>
          <w:rtl/>
        </w:rPr>
      </w:pPr>
    </w:p>
    <w:p w14:paraId="320315D6" w14:textId="77777777" w:rsidR="00245182" w:rsidRPr="00245182" w:rsidRDefault="00245182" w:rsidP="00245182">
      <w:pPr>
        <w:keepNext/>
        <w:rPr>
          <w:rFonts w:ascii="David" w:hAnsi="David"/>
          <w:color w:val="000000"/>
          <w:sz w:val="22"/>
          <w:szCs w:val="22"/>
          <w:rtl/>
        </w:rPr>
      </w:pPr>
      <w:r w:rsidRPr="00245182">
        <w:rPr>
          <w:rFonts w:ascii="David" w:hAnsi="David"/>
          <w:color w:val="000000"/>
          <w:sz w:val="22"/>
          <w:szCs w:val="22"/>
          <w:rtl/>
        </w:rPr>
        <w:t>מרב גרינברג 54678313-/</w:t>
      </w:r>
    </w:p>
    <w:p w14:paraId="3B69847D" w14:textId="77777777" w:rsidR="00BC26C5" w:rsidRPr="00BC26C5" w:rsidRDefault="00245182" w:rsidP="00245182">
      <w:pPr>
        <w:rPr>
          <w:color w:val="0000FF"/>
          <w:u w:val="single"/>
        </w:rPr>
      </w:pPr>
      <w:r w:rsidRPr="00245182">
        <w:rPr>
          <w:color w:val="000000"/>
          <w:u w:val="single"/>
          <w:rtl/>
        </w:rPr>
        <w:t>נוסח מסמך זה כפוף לשינויי ניסוח ועריכה</w:t>
      </w:r>
    </w:p>
    <w:sectPr w:rsidR="00BC26C5" w:rsidRPr="00BC26C5" w:rsidSect="00245182">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5A1FD" w14:textId="77777777" w:rsidR="00331246" w:rsidRDefault="00331246" w:rsidP="00FC50EC">
      <w:r>
        <w:separator/>
      </w:r>
    </w:p>
  </w:endnote>
  <w:endnote w:type="continuationSeparator" w:id="0">
    <w:p w14:paraId="00F2442C" w14:textId="77777777" w:rsidR="00331246" w:rsidRDefault="00331246" w:rsidP="00FC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0F4C9" w14:textId="77777777" w:rsidR="00245182" w:rsidRDefault="00245182" w:rsidP="002451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CB9E94" w14:textId="77777777" w:rsidR="00F932CB" w:rsidRPr="00245182" w:rsidRDefault="00245182" w:rsidP="00245182">
    <w:pPr>
      <w:pStyle w:val="a5"/>
      <w:pBdr>
        <w:top w:val="single" w:sz="4" w:space="1" w:color="auto"/>
        <w:between w:val="single" w:sz="4" w:space="0" w:color="auto"/>
      </w:pBdr>
      <w:spacing w:after="60"/>
      <w:jc w:val="center"/>
      <w:rPr>
        <w:rFonts w:ascii="FrankRuehl" w:hAnsi="FrankRuehl" w:cs="FrankRuehl"/>
        <w:color w:val="000000"/>
      </w:rPr>
    </w:pPr>
    <w:r w:rsidRPr="002451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8A52C" w14:textId="77777777" w:rsidR="00245182" w:rsidRDefault="00245182" w:rsidP="002451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3A5F">
      <w:rPr>
        <w:rFonts w:ascii="FrankRuehl" w:hAnsi="FrankRuehl" w:cs="FrankRuehl"/>
        <w:noProof/>
        <w:rtl/>
      </w:rPr>
      <w:t>1</w:t>
    </w:r>
    <w:r>
      <w:rPr>
        <w:rFonts w:ascii="FrankRuehl" w:hAnsi="FrankRuehl" w:cs="FrankRuehl"/>
        <w:rtl/>
      </w:rPr>
      <w:fldChar w:fldCharType="end"/>
    </w:r>
  </w:p>
  <w:p w14:paraId="42E5406E" w14:textId="77777777" w:rsidR="00F932CB" w:rsidRPr="00245182" w:rsidRDefault="00245182" w:rsidP="00245182">
    <w:pPr>
      <w:pStyle w:val="a5"/>
      <w:pBdr>
        <w:top w:val="single" w:sz="4" w:space="1" w:color="auto"/>
        <w:between w:val="single" w:sz="4" w:space="0" w:color="auto"/>
      </w:pBdr>
      <w:spacing w:after="60"/>
      <w:jc w:val="center"/>
      <w:rPr>
        <w:rFonts w:ascii="FrankRuehl" w:hAnsi="FrankRuehl" w:cs="FrankRuehl"/>
        <w:color w:val="000000"/>
      </w:rPr>
    </w:pPr>
    <w:r w:rsidRPr="00245182">
      <w:rPr>
        <w:rFonts w:ascii="FrankRuehl" w:hAnsi="FrankRuehl" w:cs="FrankRuehl"/>
        <w:color w:val="000000"/>
      </w:rPr>
      <w:pict w14:anchorId="47F23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442AC" w14:textId="77777777" w:rsidR="00331246" w:rsidRDefault="00331246" w:rsidP="00FC50EC">
      <w:r>
        <w:separator/>
      </w:r>
    </w:p>
  </w:footnote>
  <w:footnote w:type="continuationSeparator" w:id="0">
    <w:p w14:paraId="22552B7E" w14:textId="77777777" w:rsidR="00331246" w:rsidRDefault="00331246" w:rsidP="00FC5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41932" w14:textId="77777777" w:rsidR="00BC26C5" w:rsidRPr="00245182" w:rsidRDefault="00245182" w:rsidP="002451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12401-05-22</w:t>
    </w:r>
    <w:r>
      <w:rPr>
        <w:rFonts w:ascii="David" w:hAnsi="David"/>
        <w:color w:val="000000"/>
        <w:sz w:val="22"/>
        <w:szCs w:val="22"/>
        <w:rtl/>
      </w:rPr>
      <w:tab/>
      <w:t xml:space="preserve"> מדינת ישראל נ' קותייבה גמל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A4556" w14:textId="77777777" w:rsidR="00BC26C5" w:rsidRPr="00245182" w:rsidRDefault="00245182" w:rsidP="002451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12401-05-22</w:t>
    </w:r>
    <w:r>
      <w:rPr>
        <w:rFonts w:ascii="David" w:hAnsi="David"/>
        <w:color w:val="000000"/>
        <w:sz w:val="22"/>
        <w:szCs w:val="22"/>
        <w:rtl/>
      </w:rPr>
      <w:tab/>
      <w:t xml:space="preserve"> מדינת ישראל נ' קותייבה גמל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7A22"/>
    <w:multiLevelType w:val="hybridMultilevel"/>
    <w:tmpl w:val="510EEF16"/>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0C1AC608"/>
    <w:lvl w:ilvl="0" w:tplc="9AC4D338">
      <w:start w:val="1"/>
      <w:numFmt w:val="decimal"/>
      <w:lvlText w:val="%1."/>
      <w:lvlJc w:val="left"/>
      <w:pPr>
        <w:ind w:left="1494" w:hanging="360"/>
      </w:pPr>
      <w:rPr>
        <w:rFonts w:ascii="David" w:hAnsi="David" w:cs="David" w:hint="default"/>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3445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250258">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9670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44AB"/>
    <w:rsid w:val="001644AB"/>
    <w:rsid w:val="001B5A3B"/>
    <w:rsid w:val="00245182"/>
    <w:rsid w:val="00322C00"/>
    <w:rsid w:val="00331246"/>
    <w:rsid w:val="005F3A5F"/>
    <w:rsid w:val="0061178E"/>
    <w:rsid w:val="006F10A4"/>
    <w:rsid w:val="007C54CB"/>
    <w:rsid w:val="00907E3C"/>
    <w:rsid w:val="00A209E9"/>
    <w:rsid w:val="00BC26C5"/>
    <w:rsid w:val="00F21898"/>
    <w:rsid w:val="00F40EF9"/>
    <w:rsid w:val="00F932CB"/>
    <w:rsid w:val="00FC50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84413"/>
  <w15:chartTrackingRefBased/>
  <w15:docId w15:val="{A203DC4D-EDDF-460E-988F-B97E9B70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44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44AB"/>
    <w:pPr>
      <w:tabs>
        <w:tab w:val="center" w:pos="4153"/>
        <w:tab w:val="right" w:pos="8306"/>
      </w:tabs>
    </w:pPr>
  </w:style>
  <w:style w:type="character" w:customStyle="1" w:styleId="a4">
    <w:name w:val="כותרת עליונה תו"/>
    <w:link w:val="a3"/>
    <w:rsid w:val="001644AB"/>
    <w:rPr>
      <w:rFonts w:ascii="Times New Roman" w:eastAsia="Times New Roman" w:hAnsi="Times New Roman" w:cs="David"/>
      <w:sz w:val="24"/>
      <w:szCs w:val="24"/>
    </w:rPr>
  </w:style>
  <w:style w:type="paragraph" w:styleId="a5">
    <w:name w:val="footer"/>
    <w:basedOn w:val="a"/>
    <w:link w:val="a6"/>
    <w:rsid w:val="001644AB"/>
    <w:pPr>
      <w:tabs>
        <w:tab w:val="center" w:pos="4153"/>
        <w:tab w:val="right" w:pos="8306"/>
      </w:tabs>
    </w:pPr>
  </w:style>
  <w:style w:type="character" w:customStyle="1" w:styleId="a6">
    <w:name w:val="כותרת תחתונה תו"/>
    <w:link w:val="a5"/>
    <w:rsid w:val="001644AB"/>
    <w:rPr>
      <w:rFonts w:ascii="Times New Roman" w:eastAsia="Times New Roman" w:hAnsi="Times New Roman" w:cs="David"/>
      <w:sz w:val="24"/>
      <w:szCs w:val="24"/>
    </w:rPr>
  </w:style>
  <w:style w:type="table" w:styleId="a7">
    <w:name w:val="Table Grid"/>
    <w:basedOn w:val="a1"/>
    <w:rsid w:val="001644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44AB"/>
  </w:style>
  <w:style w:type="paragraph" w:styleId="a9">
    <w:name w:val="List Paragraph"/>
    <w:basedOn w:val="a"/>
    <w:qFormat/>
    <w:rsid w:val="001644AB"/>
    <w:pPr>
      <w:spacing w:after="160" w:line="256" w:lineRule="auto"/>
      <w:ind w:left="720"/>
      <w:contextualSpacing/>
    </w:pPr>
    <w:rPr>
      <w:rFonts w:ascii="Calibri" w:eastAsia="Calibri" w:hAnsi="Calibri" w:cs="Arial"/>
      <w:sz w:val="22"/>
      <w:szCs w:val="22"/>
    </w:rPr>
  </w:style>
  <w:style w:type="character" w:styleId="Hyperlink">
    <w:name w:val="Hyperlink"/>
    <w:rsid w:val="00BC2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734980" TargetMode="External"/><Relationship Id="rId18" Type="http://schemas.openxmlformats.org/officeDocument/2006/relationships/hyperlink" Target="http://www.nevo.co.il/case/27911638" TargetMode="External"/><Relationship Id="rId26" Type="http://schemas.openxmlformats.org/officeDocument/2006/relationships/hyperlink" Target="http://www.nevo.co.il/case/28300349" TargetMode="External"/><Relationship Id="rId21" Type="http://schemas.openxmlformats.org/officeDocument/2006/relationships/hyperlink" Target="http://www.nevo.co.il/case/27305799"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28883087" TargetMode="External"/><Relationship Id="rId17" Type="http://schemas.openxmlformats.org/officeDocument/2006/relationships/hyperlink" Target="http://www.nevo.co.il/case/27894608" TargetMode="External"/><Relationship Id="rId25" Type="http://schemas.openxmlformats.org/officeDocument/2006/relationships/hyperlink" Target="http://www.nevo.co.il/case/2791165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513828" TargetMode="External"/><Relationship Id="rId20" Type="http://schemas.openxmlformats.org/officeDocument/2006/relationships/hyperlink" Target="http://www.nevo.co.il/case/28452933" TargetMode="External"/><Relationship Id="rId29" Type="http://schemas.openxmlformats.org/officeDocument/2006/relationships/hyperlink" Target="http://www.nevo.co.il/case/282432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05927" TargetMode="External"/><Relationship Id="rId24" Type="http://schemas.openxmlformats.org/officeDocument/2006/relationships/hyperlink" Target="http://www.nevo.co.il/case/2888308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268880" TargetMode="External"/><Relationship Id="rId23" Type="http://schemas.openxmlformats.org/officeDocument/2006/relationships/hyperlink" Target="http://www.nevo.co.il/case/26905927" TargetMode="External"/><Relationship Id="rId28" Type="http://schemas.openxmlformats.org/officeDocument/2006/relationships/hyperlink" Target="http://www.nevo.co.il/case/28883087"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8152132"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305799" TargetMode="External"/><Relationship Id="rId22" Type="http://schemas.openxmlformats.org/officeDocument/2006/relationships/hyperlink" Target="http://www.nevo.co.il/case/27933514" TargetMode="External"/><Relationship Id="rId27" Type="http://schemas.openxmlformats.org/officeDocument/2006/relationships/hyperlink" Target="http://www.nevo.co.il/case/26645989" TargetMode="External"/><Relationship Id="rId30" Type="http://schemas.openxmlformats.org/officeDocument/2006/relationships/hyperlink" Target="http://www.nevo.co.il/case/28384637" TargetMode="External"/><Relationship Id="rId35"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2042</Words>
  <Characters>10212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12230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3539058</vt:i4>
      </vt:variant>
      <vt:variant>
        <vt:i4>69</vt:i4>
      </vt:variant>
      <vt:variant>
        <vt:i4>0</vt:i4>
      </vt:variant>
      <vt:variant>
        <vt:i4>5</vt:i4>
      </vt:variant>
      <vt:variant>
        <vt:lpwstr>http://www.nevo.co.il/case/28384637</vt:lpwstr>
      </vt:variant>
      <vt:variant>
        <vt:lpwstr/>
      </vt:variant>
      <vt:variant>
        <vt:i4>3407994</vt:i4>
      </vt:variant>
      <vt:variant>
        <vt:i4>66</vt:i4>
      </vt:variant>
      <vt:variant>
        <vt:i4>0</vt:i4>
      </vt:variant>
      <vt:variant>
        <vt:i4>5</vt:i4>
      </vt:variant>
      <vt:variant>
        <vt:lpwstr>http://www.nevo.co.il/case/28243273</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3735679</vt:i4>
      </vt:variant>
      <vt:variant>
        <vt:i4>60</vt:i4>
      </vt:variant>
      <vt:variant>
        <vt:i4>0</vt:i4>
      </vt:variant>
      <vt:variant>
        <vt:i4>5</vt:i4>
      </vt:variant>
      <vt:variant>
        <vt:lpwstr>http://www.nevo.co.il/case/26645989</vt:lpwstr>
      </vt:variant>
      <vt:variant>
        <vt:lpwstr/>
      </vt:variant>
      <vt:variant>
        <vt:i4>3473535</vt:i4>
      </vt:variant>
      <vt:variant>
        <vt:i4>57</vt:i4>
      </vt:variant>
      <vt:variant>
        <vt:i4>0</vt:i4>
      </vt:variant>
      <vt:variant>
        <vt:i4>5</vt:i4>
      </vt:variant>
      <vt:variant>
        <vt:lpwstr>http://www.nevo.co.il/case/28300349</vt:lpwstr>
      </vt:variant>
      <vt:variant>
        <vt:lpwstr/>
      </vt:variant>
      <vt:variant>
        <vt:i4>4128884</vt:i4>
      </vt:variant>
      <vt:variant>
        <vt:i4>54</vt:i4>
      </vt:variant>
      <vt:variant>
        <vt:i4>0</vt:i4>
      </vt:variant>
      <vt:variant>
        <vt:i4>5</vt:i4>
      </vt:variant>
      <vt:variant>
        <vt:lpwstr>http://www.nevo.co.il/case/27911655</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3932283</vt:i4>
      </vt:variant>
      <vt:variant>
        <vt:i4>48</vt:i4>
      </vt:variant>
      <vt:variant>
        <vt:i4>0</vt:i4>
      </vt:variant>
      <vt:variant>
        <vt:i4>5</vt:i4>
      </vt:variant>
      <vt:variant>
        <vt:lpwstr>http://www.nevo.co.il/case/26905927</vt:lpwstr>
      </vt:variant>
      <vt:variant>
        <vt:lpwstr/>
      </vt:variant>
      <vt:variant>
        <vt:i4>3735669</vt:i4>
      </vt:variant>
      <vt:variant>
        <vt:i4>45</vt:i4>
      </vt:variant>
      <vt:variant>
        <vt:i4>0</vt:i4>
      </vt:variant>
      <vt:variant>
        <vt:i4>5</vt:i4>
      </vt:variant>
      <vt:variant>
        <vt:lpwstr>http://www.nevo.co.il/case/27933514</vt:lpwstr>
      </vt:variant>
      <vt:variant>
        <vt:lpwstr/>
      </vt:variant>
      <vt:variant>
        <vt:i4>3997812</vt:i4>
      </vt:variant>
      <vt:variant>
        <vt:i4>42</vt:i4>
      </vt:variant>
      <vt:variant>
        <vt:i4>0</vt:i4>
      </vt:variant>
      <vt:variant>
        <vt:i4>5</vt:i4>
      </vt:variant>
      <vt:variant>
        <vt:lpwstr>http://www.nevo.co.il/case/27305799</vt:lpwstr>
      </vt:variant>
      <vt:variant>
        <vt:lpwstr/>
      </vt:variant>
      <vt:variant>
        <vt:i4>3604592</vt:i4>
      </vt:variant>
      <vt:variant>
        <vt:i4>39</vt:i4>
      </vt:variant>
      <vt:variant>
        <vt:i4>0</vt:i4>
      </vt:variant>
      <vt:variant>
        <vt:i4>5</vt:i4>
      </vt:variant>
      <vt:variant>
        <vt:lpwstr>http://www.nevo.co.il/case/28452933</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3735668</vt:i4>
      </vt:variant>
      <vt:variant>
        <vt:i4>33</vt:i4>
      </vt:variant>
      <vt:variant>
        <vt:i4>0</vt:i4>
      </vt:variant>
      <vt:variant>
        <vt:i4>5</vt:i4>
      </vt:variant>
      <vt:variant>
        <vt:lpwstr>http://www.nevo.co.il/case/27911638</vt:lpwstr>
      </vt:variant>
      <vt:variant>
        <vt:lpwstr/>
      </vt:variant>
      <vt:variant>
        <vt:i4>4063356</vt:i4>
      </vt:variant>
      <vt:variant>
        <vt:i4>30</vt:i4>
      </vt:variant>
      <vt:variant>
        <vt:i4>0</vt:i4>
      </vt:variant>
      <vt:variant>
        <vt:i4>5</vt:i4>
      </vt:variant>
      <vt:variant>
        <vt:lpwstr>http://www.nevo.co.il/case/27894608</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3145842</vt:i4>
      </vt:variant>
      <vt:variant>
        <vt:i4>24</vt:i4>
      </vt:variant>
      <vt:variant>
        <vt:i4>0</vt:i4>
      </vt:variant>
      <vt:variant>
        <vt:i4>5</vt:i4>
      </vt:variant>
      <vt:variant>
        <vt:lpwstr>http://www.nevo.co.il/case/28268880</vt:lpwstr>
      </vt:variant>
      <vt:variant>
        <vt:lpwstr/>
      </vt:variant>
      <vt:variant>
        <vt:i4>3997812</vt:i4>
      </vt:variant>
      <vt:variant>
        <vt:i4>21</vt:i4>
      </vt:variant>
      <vt:variant>
        <vt:i4>0</vt:i4>
      </vt:variant>
      <vt:variant>
        <vt:i4>5</vt:i4>
      </vt:variant>
      <vt:variant>
        <vt:lpwstr>http://www.nevo.co.il/case/27305799</vt:lpwstr>
      </vt:variant>
      <vt:variant>
        <vt:lpwstr/>
      </vt:variant>
      <vt:variant>
        <vt:i4>3735673</vt:i4>
      </vt:variant>
      <vt:variant>
        <vt:i4>18</vt:i4>
      </vt:variant>
      <vt:variant>
        <vt:i4>0</vt:i4>
      </vt:variant>
      <vt:variant>
        <vt:i4>5</vt:i4>
      </vt:variant>
      <vt:variant>
        <vt:lpwstr>http://www.nevo.co.il/case/27734980</vt:lpwstr>
      </vt:variant>
      <vt:variant>
        <vt:lpwstr/>
      </vt:variant>
      <vt:variant>
        <vt:i4>3211380</vt:i4>
      </vt:variant>
      <vt:variant>
        <vt:i4>15</vt:i4>
      </vt:variant>
      <vt:variant>
        <vt:i4>0</vt:i4>
      </vt:variant>
      <vt:variant>
        <vt:i4>5</vt:i4>
      </vt:variant>
      <vt:variant>
        <vt:lpwstr>http://www.nevo.co.il/case/28883087</vt:lpwstr>
      </vt:variant>
      <vt:variant>
        <vt:lpwstr/>
      </vt:variant>
      <vt:variant>
        <vt:i4>3932283</vt:i4>
      </vt:variant>
      <vt:variant>
        <vt:i4>12</vt:i4>
      </vt:variant>
      <vt:variant>
        <vt:i4>0</vt:i4>
      </vt:variant>
      <vt:variant>
        <vt:i4>5</vt:i4>
      </vt:variant>
      <vt:variant>
        <vt:lpwstr>http://www.nevo.co.il/case/26905927</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12401</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קותייבה גמל;עבד אל ראזק גמל</vt:lpwstr>
  </property>
  <property fmtid="{D5CDD505-2E9C-101B-9397-08002B2CF9AE}" pid="10" name="LAWYER">
    <vt:lpwstr>ליטל שירי;שי טובים;שאדי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20230227</vt:lpwstr>
  </property>
  <property fmtid="{D5CDD505-2E9C-101B-9397-08002B2CF9AE}" pid="14" name="TYPE_N_DATE">
    <vt:lpwstr>39020230227</vt:lpwstr>
  </property>
  <property fmtid="{D5CDD505-2E9C-101B-9397-08002B2CF9AE}" pid="15" name="WORDNUMPAGES">
    <vt:lpwstr>6</vt:lpwstr>
  </property>
  <property fmtid="{D5CDD505-2E9C-101B-9397-08002B2CF9AE}" pid="16" name="TYPE_ABS_DATE">
    <vt:lpwstr>390020230227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26905927:2;28883087:3;27734980;27305799:2;28268880;28513828;27894608;27911638;28152132;28452933;27933514;27911655;28300349;26645989;28243273;28384637</vt:lpwstr>
  </property>
  <property fmtid="{D5CDD505-2E9C-101B-9397-08002B2CF9AE}" pid="36" name="LAWLISTTMP1">
    <vt:lpwstr>70301/144.b</vt:lpwstr>
  </property>
</Properties>
</file>