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4471F3" w:rsidRPr="00AA302B" w14:paraId="751CB8B8" w14:textId="77777777" w:rsidTr="00237EE6">
        <w:trPr>
          <w:trHeight w:val="418"/>
          <w:jc w:val="center"/>
        </w:trPr>
        <w:tc>
          <w:tcPr>
            <w:tcW w:w="8504" w:type="dxa"/>
            <w:gridSpan w:val="3"/>
          </w:tcPr>
          <w:p w14:paraId="6F0D87B9" w14:textId="77777777" w:rsidR="004471F3" w:rsidRPr="00AA302B" w:rsidRDefault="004471F3" w:rsidP="00237EE6">
            <w:pPr>
              <w:pStyle w:val="a3"/>
              <w:jc w:val="center"/>
              <w:rPr>
                <w:rtl/>
              </w:rPr>
            </w:pPr>
            <w:r w:rsidRPr="00AA302B">
              <w:rPr>
                <w:rFonts w:ascii="Tahoma" w:hAnsi="Tahoma" w:cs="Tahoma"/>
                <w:b/>
                <w:bCs/>
                <w:color w:val="000080"/>
                <w:sz w:val="20"/>
                <w:szCs w:val="20"/>
                <w:rtl/>
              </w:rPr>
              <w:t>בית המשפט המחוזי בבאר שבע</w:t>
            </w:r>
          </w:p>
        </w:tc>
      </w:tr>
      <w:tr w:rsidR="004471F3" w:rsidRPr="00AA302B" w14:paraId="5CB35C76" w14:textId="77777777" w:rsidTr="00237EE6">
        <w:trPr>
          <w:trHeight w:val="337"/>
          <w:jc w:val="center"/>
        </w:trPr>
        <w:tc>
          <w:tcPr>
            <w:tcW w:w="4676" w:type="dxa"/>
          </w:tcPr>
          <w:p w14:paraId="69E75610" w14:textId="77777777" w:rsidR="004471F3" w:rsidRPr="00AA302B" w:rsidRDefault="004471F3" w:rsidP="00237EE6">
            <w:pPr>
              <w:spacing w:line="360" w:lineRule="auto"/>
              <w:jc w:val="both"/>
              <w:rPr>
                <w:b/>
                <w:bCs/>
                <w:rtl/>
              </w:rPr>
            </w:pPr>
            <w:r w:rsidRPr="00AA302B">
              <w:rPr>
                <w:rFonts w:hint="cs"/>
                <w:b/>
                <w:bCs/>
                <w:rtl/>
              </w:rPr>
              <w:t>לפני כבוד סגן הנשיאה, השופט אליהו ביתן</w:t>
            </w:r>
          </w:p>
        </w:tc>
        <w:tc>
          <w:tcPr>
            <w:tcW w:w="241" w:type="dxa"/>
          </w:tcPr>
          <w:p w14:paraId="6ADDA151" w14:textId="77777777" w:rsidR="004471F3" w:rsidRPr="00AA302B" w:rsidRDefault="004471F3" w:rsidP="00237EE6">
            <w:pPr>
              <w:pStyle w:val="a3"/>
              <w:jc w:val="right"/>
              <w:rPr>
                <w:b/>
                <w:bCs/>
                <w:rtl/>
              </w:rPr>
            </w:pPr>
          </w:p>
        </w:tc>
        <w:tc>
          <w:tcPr>
            <w:tcW w:w="3587" w:type="dxa"/>
          </w:tcPr>
          <w:p w14:paraId="538283C8" w14:textId="77777777" w:rsidR="004471F3" w:rsidRPr="00AA302B" w:rsidRDefault="004471F3" w:rsidP="00237EE6">
            <w:pPr>
              <w:pStyle w:val="a3"/>
              <w:tabs>
                <w:tab w:val="clear" w:pos="4153"/>
              </w:tabs>
              <w:jc w:val="right"/>
              <w:rPr>
                <w:rtl/>
              </w:rPr>
            </w:pPr>
            <w:r w:rsidRPr="00AA302B">
              <w:rPr>
                <w:rFonts w:hint="cs"/>
                <w:b/>
                <w:bCs/>
                <w:rtl/>
              </w:rPr>
              <w:t>25 אוקטובר 2022</w:t>
            </w:r>
          </w:p>
          <w:p w14:paraId="5106641A" w14:textId="77777777" w:rsidR="004471F3" w:rsidRPr="00AA302B" w:rsidRDefault="004471F3" w:rsidP="00237EE6">
            <w:pPr>
              <w:pStyle w:val="a3"/>
              <w:tabs>
                <w:tab w:val="clear" w:pos="4153"/>
              </w:tabs>
              <w:rPr>
                <w:b/>
                <w:bCs/>
                <w:rtl/>
              </w:rPr>
            </w:pPr>
          </w:p>
          <w:p w14:paraId="7D3B081E" w14:textId="77777777" w:rsidR="004471F3" w:rsidRPr="00AA302B" w:rsidRDefault="004471F3" w:rsidP="00237EE6">
            <w:pPr>
              <w:jc w:val="right"/>
              <w:rPr>
                <w:rtl/>
              </w:rPr>
            </w:pPr>
            <w:r w:rsidRPr="00AA302B">
              <w:rPr>
                <w:rFonts w:hint="cs"/>
                <w:b/>
                <w:bCs/>
                <w:rtl/>
              </w:rPr>
              <w:t>ת"פ 32410-05-22 מדינת ישראל נ' טאהא(עציר)</w:t>
            </w:r>
          </w:p>
        </w:tc>
      </w:tr>
    </w:tbl>
    <w:p w14:paraId="67EEF48E" w14:textId="77777777" w:rsidR="004471F3" w:rsidRPr="00AA302B" w:rsidRDefault="004471F3" w:rsidP="004471F3">
      <w:pPr>
        <w:pStyle w:val="a3"/>
        <w:rPr>
          <w:rtl/>
        </w:rPr>
      </w:pPr>
      <w:bookmarkStart w:id="0" w:name="LastJudge"/>
      <w:bookmarkEnd w:id="0"/>
    </w:p>
    <w:p w14:paraId="5528D5AF" w14:textId="77777777" w:rsidR="004471F3" w:rsidRPr="00AA302B" w:rsidRDefault="004471F3" w:rsidP="004471F3">
      <w:pPr>
        <w:spacing w:line="360" w:lineRule="auto"/>
        <w:jc w:val="both"/>
        <w:rPr>
          <w:sz w:val="2"/>
          <w:szCs w:val="2"/>
          <w:rtl/>
        </w:rPr>
      </w:pPr>
    </w:p>
    <w:p w14:paraId="1A9A7C35" w14:textId="77777777" w:rsidR="004471F3" w:rsidRPr="00AA302B" w:rsidRDefault="004471F3" w:rsidP="004471F3">
      <w:pPr>
        <w:spacing w:line="360" w:lineRule="auto"/>
        <w:jc w:val="both"/>
        <w:rPr>
          <w:sz w:val="2"/>
          <w:szCs w:val="2"/>
          <w:rtl/>
        </w:rPr>
      </w:pPr>
    </w:p>
    <w:tbl>
      <w:tblPr>
        <w:bidiVisual/>
        <w:tblW w:w="8543" w:type="dxa"/>
        <w:tblInd w:w="231" w:type="dxa"/>
        <w:tblLook w:val="01E0" w:firstRow="1" w:lastRow="1" w:firstColumn="1" w:lastColumn="1" w:noHBand="0" w:noVBand="0"/>
      </w:tblPr>
      <w:tblGrid>
        <w:gridCol w:w="2261"/>
        <w:gridCol w:w="6226"/>
        <w:gridCol w:w="56"/>
      </w:tblGrid>
      <w:tr w:rsidR="004471F3" w:rsidRPr="00AA302B" w14:paraId="7ABD3ABA" w14:textId="77777777" w:rsidTr="004471F3">
        <w:trPr>
          <w:gridAfter w:val="1"/>
          <w:wAfter w:w="56" w:type="dxa"/>
        </w:trPr>
        <w:tc>
          <w:tcPr>
            <w:tcW w:w="8487" w:type="dxa"/>
            <w:gridSpan w:val="2"/>
            <w:shd w:val="clear" w:color="auto" w:fill="auto"/>
          </w:tcPr>
          <w:p w14:paraId="339BCABB" w14:textId="77777777" w:rsidR="004471F3" w:rsidRPr="00AA302B" w:rsidRDefault="004471F3" w:rsidP="004471F3">
            <w:pPr>
              <w:spacing w:line="360" w:lineRule="auto"/>
              <w:jc w:val="both"/>
              <w:rPr>
                <w:rFonts w:ascii="David" w:hAnsi="David"/>
                <w:b/>
                <w:bCs/>
                <w:rtl/>
              </w:rPr>
            </w:pPr>
            <w:r w:rsidRPr="00AA302B">
              <w:rPr>
                <w:rFonts w:ascii="David" w:hAnsi="David" w:hint="cs"/>
                <w:b/>
                <w:bCs/>
                <w:rtl/>
              </w:rPr>
              <w:t>בעניין:</w:t>
            </w:r>
          </w:p>
        </w:tc>
      </w:tr>
      <w:tr w:rsidR="004471F3" w:rsidRPr="00AA302B" w14:paraId="5F6EC168" w14:textId="77777777" w:rsidTr="004471F3">
        <w:tc>
          <w:tcPr>
            <w:tcW w:w="2261" w:type="dxa"/>
            <w:shd w:val="clear" w:color="auto" w:fill="auto"/>
          </w:tcPr>
          <w:p w14:paraId="4882E6C2" w14:textId="77777777" w:rsidR="004471F3" w:rsidRPr="00AA302B" w:rsidRDefault="004471F3" w:rsidP="004471F3">
            <w:pPr>
              <w:spacing w:line="360" w:lineRule="auto"/>
              <w:ind w:left="26"/>
              <w:rPr>
                <w:rFonts w:ascii="David" w:hAnsi="David"/>
                <w:b/>
                <w:bCs/>
                <w:rtl/>
              </w:rPr>
            </w:pPr>
            <w:bookmarkStart w:id="1" w:name="FirstAppellant"/>
            <w:r w:rsidRPr="00AA302B">
              <w:rPr>
                <w:rFonts w:ascii="David" w:hAnsi="David" w:hint="cs"/>
                <w:b/>
                <w:bCs/>
                <w:rtl/>
              </w:rPr>
              <w:t>המאשימה:</w:t>
            </w:r>
          </w:p>
        </w:tc>
        <w:tc>
          <w:tcPr>
            <w:tcW w:w="6282" w:type="dxa"/>
            <w:gridSpan w:val="2"/>
            <w:shd w:val="clear" w:color="auto" w:fill="auto"/>
          </w:tcPr>
          <w:p w14:paraId="60DB7D9C" w14:textId="77777777" w:rsidR="004471F3" w:rsidRPr="00AA302B" w:rsidRDefault="004471F3" w:rsidP="004471F3">
            <w:pPr>
              <w:spacing w:line="360" w:lineRule="auto"/>
              <w:rPr>
                <w:rFonts w:ascii="David" w:hAnsi="David"/>
                <w:b/>
                <w:bCs/>
                <w:rtl/>
              </w:rPr>
            </w:pPr>
            <w:r w:rsidRPr="00AA302B">
              <w:rPr>
                <w:rFonts w:ascii="David" w:hAnsi="David" w:hint="cs"/>
                <w:b/>
                <w:bCs/>
                <w:rtl/>
              </w:rPr>
              <w:t>מדינת ישראל</w:t>
            </w:r>
          </w:p>
        </w:tc>
      </w:tr>
      <w:bookmarkEnd w:id="1"/>
      <w:tr w:rsidR="004471F3" w:rsidRPr="00AA302B" w14:paraId="5FE6B01A" w14:textId="77777777" w:rsidTr="004471F3">
        <w:tc>
          <w:tcPr>
            <w:tcW w:w="8543" w:type="dxa"/>
            <w:gridSpan w:val="3"/>
            <w:shd w:val="clear" w:color="auto" w:fill="auto"/>
          </w:tcPr>
          <w:p w14:paraId="36FE96A9" w14:textId="77777777" w:rsidR="004471F3" w:rsidRPr="00AA302B" w:rsidRDefault="004471F3" w:rsidP="004471F3">
            <w:pPr>
              <w:spacing w:line="360" w:lineRule="auto"/>
              <w:jc w:val="center"/>
              <w:rPr>
                <w:rFonts w:ascii="David" w:hAnsi="David"/>
                <w:b/>
                <w:bCs/>
                <w:sz w:val="28"/>
                <w:szCs w:val="28"/>
                <w:rtl/>
              </w:rPr>
            </w:pPr>
            <w:r w:rsidRPr="00AA302B">
              <w:rPr>
                <w:rFonts w:ascii="David" w:hAnsi="David" w:hint="cs"/>
                <w:b/>
                <w:bCs/>
                <w:sz w:val="28"/>
                <w:szCs w:val="28"/>
                <w:rtl/>
              </w:rPr>
              <w:t>נגד</w:t>
            </w:r>
          </w:p>
        </w:tc>
      </w:tr>
      <w:tr w:rsidR="004471F3" w:rsidRPr="00AA302B" w14:paraId="3449D0F4" w14:textId="77777777" w:rsidTr="004471F3">
        <w:tc>
          <w:tcPr>
            <w:tcW w:w="2261" w:type="dxa"/>
            <w:shd w:val="clear" w:color="auto" w:fill="auto"/>
          </w:tcPr>
          <w:p w14:paraId="2FFEC610" w14:textId="77777777" w:rsidR="004471F3" w:rsidRPr="00AA302B" w:rsidRDefault="004471F3" w:rsidP="004471F3">
            <w:pPr>
              <w:spacing w:line="360" w:lineRule="auto"/>
              <w:ind w:left="26"/>
              <w:rPr>
                <w:rFonts w:ascii="David" w:hAnsi="David"/>
                <w:b/>
                <w:bCs/>
              </w:rPr>
            </w:pPr>
            <w:r w:rsidRPr="00AA302B">
              <w:rPr>
                <w:rFonts w:ascii="David" w:hAnsi="David" w:hint="cs"/>
                <w:b/>
                <w:bCs/>
                <w:rtl/>
              </w:rPr>
              <w:t>הנאשם:</w:t>
            </w:r>
          </w:p>
        </w:tc>
        <w:tc>
          <w:tcPr>
            <w:tcW w:w="6282" w:type="dxa"/>
            <w:gridSpan w:val="2"/>
            <w:shd w:val="clear" w:color="auto" w:fill="auto"/>
          </w:tcPr>
          <w:p w14:paraId="5C012DE0" w14:textId="77777777" w:rsidR="004471F3" w:rsidRPr="00AA302B" w:rsidRDefault="004471F3" w:rsidP="004471F3">
            <w:pPr>
              <w:spacing w:line="360" w:lineRule="auto"/>
              <w:rPr>
                <w:rFonts w:ascii="David" w:hAnsi="David"/>
                <w:b/>
                <w:bCs/>
                <w:rtl/>
              </w:rPr>
            </w:pPr>
            <w:r w:rsidRPr="00AA302B">
              <w:rPr>
                <w:rFonts w:ascii="David" w:hAnsi="David"/>
                <w:b/>
                <w:bCs/>
                <w:rtl/>
              </w:rPr>
              <w:t>מוחמד טאהא (עציר)</w:t>
            </w:r>
          </w:p>
        </w:tc>
      </w:tr>
    </w:tbl>
    <w:p w14:paraId="0EE1EDAC" w14:textId="77777777" w:rsidR="004471F3" w:rsidRPr="00AA302B" w:rsidRDefault="004471F3" w:rsidP="004471F3">
      <w:pPr>
        <w:spacing w:line="360" w:lineRule="auto"/>
        <w:jc w:val="both"/>
        <w:rPr>
          <w:rFonts w:ascii="David" w:hAnsi="David"/>
          <w:sz w:val="2"/>
          <w:szCs w:val="2"/>
          <w:rtl/>
        </w:rPr>
      </w:pPr>
      <w:r w:rsidRPr="00AA302B">
        <w:rPr>
          <w:rFonts w:hint="cs"/>
          <w:sz w:val="2"/>
          <w:szCs w:val="2"/>
          <w:rtl/>
        </w:rPr>
        <w:t>&lt;#1#&gt;</w:t>
      </w:r>
    </w:p>
    <w:p w14:paraId="0C678879" w14:textId="77777777" w:rsidR="004471F3" w:rsidRPr="00AA302B" w:rsidRDefault="004471F3" w:rsidP="004471F3">
      <w:pPr>
        <w:pStyle w:val="12"/>
        <w:spacing w:line="360" w:lineRule="auto"/>
        <w:rPr>
          <w:u w:val="none"/>
          <w:rtl/>
        </w:rPr>
      </w:pPr>
      <w:r w:rsidRPr="00AA302B">
        <w:rPr>
          <w:u w:val="none"/>
          <w:rtl/>
        </w:rPr>
        <w:t>נוכחים:</w:t>
      </w:r>
    </w:p>
    <w:p w14:paraId="7AEB4B24" w14:textId="77777777" w:rsidR="004471F3" w:rsidRPr="00AA302B" w:rsidRDefault="004471F3" w:rsidP="004471F3">
      <w:pPr>
        <w:pStyle w:val="12"/>
        <w:spacing w:line="360" w:lineRule="auto"/>
        <w:rPr>
          <w:b w:val="0"/>
          <w:bCs w:val="0"/>
          <w:u w:val="none"/>
          <w:rtl/>
        </w:rPr>
      </w:pPr>
      <w:bookmarkStart w:id="2" w:name="FirstLawyer"/>
      <w:r w:rsidRPr="00AA302B">
        <w:rPr>
          <w:b w:val="0"/>
          <w:bCs w:val="0"/>
          <w:u w:val="none"/>
          <w:rtl/>
        </w:rPr>
        <w:t>ב"כ</w:t>
      </w:r>
      <w:bookmarkEnd w:id="2"/>
      <w:r w:rsidRPr="00AA302B">
        <w:rPr>
          <w:b w:val="0"/>
          <w:bCs w:val="0"/>
          <w:u w:val="none"/>
          <w:rtl/>
        </w:rPr>
        <w:t xml:space="preserve"> המאשימה, עו"ד הדס עמר </w:t>
      </w:r>
    </w:p>
    <w:p w14:paraId="2FAEA555" w14:textId="77777777" w:rsidR="004471F3" w:rsidRPr="00AA302B" w:rsidRDefault="004471F3" w:rsidP="004471F3">
      <w:pPr>
        <w:pStyle w:val="12"/>
        <w:spacing w:line="360" w:lineRule="auto"/>
        <w:rPr>
          <w:b w:val="0"/>
          <w:bCs w:val="0"/>
          <w:u w:val="none"/>
          <w:rtl/>
        </w:rPr>
      </w:pPr>
      <w:r w:rsidRPr="00AA302B">
        <w:rPr>
          <w:b w:val="0"/>
          <w:bCs w:val="0"/>
          <w:u w:val="none"/>
          <w:rtl/>
        </w:rPr>
        <w:t xml:space="preserve">הנאשם ובאת-כוחו, עו"ד שני מורן </w:t>
      </w:r>
    </w:p>
    <w:p w14:paraId="5A096E17" w14:textId="77777777" w:rsidR="00017B34" w:rsidRDefault="004471F3" w:rsidP="004471F3">
      <w:pPr>
        <w:spacing w:line="360" w:lineRule="auto"/>
        <w:jc w:val="both"/>
        <w:rPr>
          <w:sz w:val="6"/>
          <w:szCs w:val="6"/>
          <w:rtl/>
        </w:rPr>
      </w:pPr>
      <w:r w:rsidRPr="00AA302B">
        <w:rPr>
          <w:rFonts w:hint="cs"/>
          <w:sz w:val="6"/>
          <w:szCs w:val="6"/>
          <w:rtl/>
        </w:rPr>
        <w:t>&lt;#2#&gt;</w:t>
      </w:r>
    </w:p>
    <w:p w14:paraId="36D15BBF" w14:textId="77777777" w:rsidR="00017B34" w:rsidRPr="00017B34" w:rsidRDefault="00017B34" w:rsidP="00017B34">
      <w:pPr>
        <w:spacing w:after="120" w:line="240" w:lineRule="exact"/>
        <w:ind w:left="283" w:hanging="283"/>
        <w:jc w:val="both"/>
        <w:rPr>
          <w:rFonts w:ascii="FrankRuehl" w:hAnsi="FrankRuehl" w:cs="FrankRuehl"/>
          <w:rtl/>
        </w:rPr>
      </w:pPr>
    </w:p>
    <w:p w14:paraId="18B97DBD" w14:textId="77777777" w:rsidR="00775211" w:rsidRPr="00775211" w:rsidRDefault="00775211" w:rsidP="00775211">
      <w:pPr>
        <w:spacing w:before="120" w:after="120" w:line="240" w:lineRule="exact"/>
        <w:ind w:left="283" w:hanging="283"/>
        <w:jc w:val="both"/>
        <w:rPr>
          <w:rFonts w:ascii="FrankRuehl" w:hAnsi="FrankRuehl" w:cs="FrankRuehl"/>
          <w:rtl/>
        </w:rPr>
      </w:pPr>
    </w:p>
    <w:p w14:paraId="1F197CDA" w14:textId="77777777" w:rsidR="00B23A6C" w:rsidRDefault="00B23A6C" w:rsidP="00B23A6C">
      <w:pPr>
        <w:spacing w:line="360" w:lineRule="auto"/>
        <w:jc w:val="center"/>
        <w:rPr>
          <w:rFonts w:ascii="Arial" w:hAnsi="Arial"/>
          <w:sz w:val="28"/>
          <w:szCs w:val="28"/>
          <w:rtl/>
        </w:rPr>
      </w:pPr>
      <w:bookmarkStart w:id="3" w:name="LawTable"/>
      <w:bookmarkEnd w:id="3"/>
    </w:p>
    <w:p w14:paraId="2FD76BB9" w14:textId="77777777" w:rsidR="00B23A6C" w:rsidRPr="00B23A6C" w:rsidRDefault="00B23A6C" w:rsidP="00B23A6C">
      <w:pPr>
        <w:spacing w:before="120" w:after="120" w:line="240" w:lineRule="exact"/>
        <w:ind w:left="283" w:hanging="283"/>
        <w:jc w:val="both"/>
        <w:rPr>
          <w:rFonts w:ascii="FrankRuehl" w:hAnsi="FrankRuehl" w:cs="FrankRuehl"/>
          <w:rtl/>
        </w:rPr>
      </w:pPr>
    </w:p>
    <w:p w14:paraId="764C5858" w14:textId="77777777" w:rsidR="00B23A6C" w:rsidRPr="00B23A6C" w:rsidRDefault="00B23A6C" w:rsidP="00B23A6C">
      <w:pPr>
        <w:spacing w:before="120" w:after="120" w:line="240" w:lineRule="exact"/>
        <w:ind w:left="283" w:hanging="283"/>
        <w:jc w:val="both"/>
        <w:rPr>
          <w:rFonts w:ascii="FrankRuehl" w:hAnsi="FrankRuehl" w:cs="FrankRuehl"/>
          <w:rtl/>
        </w:rPr>
      </w:pPr>
    </w:p>
    <w:p w14:paraId="69E61463" w14:textId="77777777" w:rsidR="00B23A6C" w:rsidRPr="00B23A6C" w:rsidRDefault="00B23A6C" w:rsidP="00B23A6C">
      <w:pPr>
        <w:spacing w:before="120" w:after="120" w:line="240" w:lineRule="exact"/>
        <w:ind w:left="283" w:hanging="283"/>
        <w:jc w:val="both"/>
        <w:rPr>
          <w:rFonts w:ascii="FrankRuehl" w:hAnsi="FrankRuehl" w:cs="FrankRuehl"/>
          <w:rtl/>
        </w:rPr>
      </w:pPr>
      <w:r w:rsidRPr="00B23A6C">
        <w:rPr>
          <w:rFonts w:ascii="FrankRuehl" w:hAnsi="FrankRuehl" w:cs="FrankRuehl"/>
          <w:rtl/>
        </w:rPr>
        <w:t xml:space="preserve">חקיקה שאוזכרה: </w:t>
      </w:r>
    </w:p>
    <w:p w14:paraId="3AA913E0" w14:textId="77777777" w:rsidR="00B23A6C" w:rsidRPr="00B23A6C" w:rsidRDefault="00B23A6C" w:rsidP="00B23A6C">
      <w:pPr>
        <w:spacing w:before="120" w:after="120" w:line="240" w:lineRule="exact"/>
        <w:ind w:left="283" w:hanging="283"/>
        <w:jc w:val="both"/>
        <w:rPr>
          <w:rFonts w:ascii="FrankRuehl" w:hAnsi="FrankRuehl" w:cs="FrankRuehl"/>
          <w:rtl/>
        </w:rPr>
      </w:pPr>
      <w:hyperlink r:id="rId6" w:history="1">
        <w:r w:rsidRPr="00B23A6C">
          <w:rPr>
            <w:rFonts w:ascii="FrankRuehl" w:hAnsi="FrankRuehl" w:cs="FrankRuehl"/>
            <w:color w:val="0000FF"/>
            <w:rtl/>
          </w:rPr>
          <w:t>חוק העונשין, תשל"ז-1977</w:t>
        </w:r>
      </w:hyperlink>
      <w:r w:rsidRPr="00B23A6C">
        <w:rPr>
          <w:rFonts w:ascii="FrankRuehl" w:hAnsi="FrankRuehl" w:cs="FrankRuehl"/>
          <w:rtl/>
        </w:rPr>
        <w:t xml:space="preserve">: סע'  </w:t>
      </w:r>
      <w:hyperlink r:id="rId7" w:history="1">
        <w:r w:rsidRPr="00B23A6C">
          <w:rPr>
            <w:rFonts w:ascii="FrankRuehl" w:hAnsi="FrankRuehl" w:cs="FrankRuehl"/>
            <w:color w:val="0000FF"/>
            <w:rtl/>
          </w:rPr>
          <w:t>144(א)</w:t>
        </w:r>
      </w:hyperlink>
      <w:r w:rsidRPr="00B23A6C">
        <w:rPr>
          <w:rFonts w:ascii="FrankRuehl" w:hAnsi="FrankRuehl" w:cs="FrankRuehl"/>
          <w:rtl/>
        </w:rPr>
        <w:t xml:space="preserve">, </w:t>
      </w:r>
      <w:hyperlink r:id="rId8" w:history="1">
        <w:r w:rsidRPr="00B23A6C">
          <w:rPr>
            <w:rFonts w:ascii="FrankRuehl" w:hAnsi="FrankRuehl" w:cs="FrankRuehl"/>
            <w:color w:val="0000FF"/>
            <w:rtl/>
          </w:rPr>
          <w:t>144 (ז)</w:t>
        </w:r>
      </w:hyperlink>
      <w:r w:rsidRPr="00B23A6C">
        <w:rPr>
          <w:rFonts w:ascii="FrankRuehl" w:hAnsi="FrankRuehl" w:cs="FrankRuehl"/>
          <w:rtl/>
        </w:rPr>
        <w:t xml:space="preserve">, </w:t>
      </w:r>
      <w:hyperlink r:id="rId9" w:history="1">
        <w:r w:rsidRPr="00B23A6C">
          <w:rPr>
            <w:rFonts w:ascii="FrankRuehl" w:hAnsi="FrankRuehl" w:cs="FrankRuehl"/>
            <w:color w:val="0000FF"/>
            <w:rtl/>
          </w:rPr>
          <w:t>340 א' (ב)(1)</w:t>
        </w:r>
      </w:hyperlink>
    </w:p>
    <w:p w14:paraId="036C4029" w14:textId="77777777" w:rsidR="00B23A6C" w:rsidRPr="00B23A6C" w:rsidRDefault="00B23A6C" w:rsidP="00B23A6C">
      <w:pPr>
        <w:spacing w:line="360" w:lineRule="auto"/>
        <w:jc w:val="center"/>
        <w:rPr>
          <w:rFonts w:ascii="Arial" w:hAnsi="Arial"/>
          <w:sz w:val="28"/>
          <w:szCs w:val="28"/>
          <w:rtl/>
        </w:rPr>
      </w:pPr>
      <w:bookmarkStart w:id="4" w:name="LawTable_End"/>
      <w:bookmarkEnd w:id="4"/>
    </w:p>
    <w:p w14:paraId="6AE618D1" w14:textId="77777777" w:rsidR="00AA302B" w:rsidRPr="00775211" w:rsidRDefault="00AA302B" w:rsidP="00775211">
      <w:pPr>
        <w:spacing w:line="360" w:lineRule="auto"/>
        <w:jc w:val="center"/>
        <w:rPr>
          <w:rFonts w:ascii="Arial" w:hAnsi="Arial"/>
          <w:sz w:val="28"/>
          <w:szCs w:val="28"/>
          <w:rtl/>
        </w:rPr>
      </w:pPr>
    </w:p>
    <w:p w14:paraId="18530569" w14:textId="77777777" w:rsidR="00AA302B" w:rsidRPr="00AA302B" w:rsidRDefault="00AA302B" w:rsidP="00AA302B">
      <w:pPr>
        <w:spacing w:line="360" w:lineRule="auto"/>
        <w:jc w:val="center"/>
        <w:rPr>
          <w:rFonts w:ascii="Arial" w:hAnsi="Arial"/>
          <w:b/>
          <w:bCs/>
          <w:sz w:val="28"/>
          <w:szCs w:val="28"/>
          <w:u w:val="single"/>
          <w:rtl/>
        </w:rPr>
      </w:pPr>
      <w:bookmarkStart w:id="5" w:name="PsakDin"/>
      <w:r w:rsidRPr="00AA302B">
        <w:rPr>
          <w:rFonts w:ascii="Arial" w:hAnsi="Arial"/>
          <w:b/>
          <w:bCs/>
          <w:sz w:val="28"/>
          <w:szCs w:val="28"/>
          <w:u w:val="single"/>
          <w:rtl/>
        </w:rPr>
        <w:t>גזר דין</w:t>
      </w:r>
    </w:p>
    <w:bookmarkEnd w:id="5"/>
    <w:p w14:paraId="44034DCF" w14:textId="77777777" w:rsidR="004471F3" w:rsidRPr="00DA5930" w:rsidRDefault="004471F3" w:rsidP="004471F3">
      <w:pPr>
        <w:spacing w:line="360" w:lineRule="auto"/>
        <w:jc w:val="both"/>
        <w:rPr>
          <w:rFonts w:ascii="David" w:hAnsi="David"/>
        </w:rPr>
      </w:pPr>
    </w:p>
    <w:p w14:paraId="4DCCCEAC" w14:textId="77777777" w:rsidR="004471F3" w:rsidRPr="00DA5930" w:rsidRDefault="004471F3" w:rsidP="004471F3">
      <w:pPr>
        <w:spacing w:line="360" w:lineRule="auto"/>
        <w:ind w:left="720" w:hanging="720"/>
        <w:jc w:val="both"/>
        <w:rPr>
          <w:rtl/>
        </w:rPr>
      </w:pPr>
      <w:r w:rsidRPr="00DA5930">
        <w:rPr>
          <w:rFonts w:hint="cs"/>
          <w:rtl/>
        </w:rPr>
        <w:t>1.</w:t>
      </w:r>
      <w:r w:rsidRPr="00DA5930">
        <w:rPr>
          <w:rFonts w:hint="cs"/>
          <w:rtl/>
        </w:rPr>
        <w:tab/>
      </w:r>
      <w:bookmarkStart w:id="6" w:name="ABSTRACT_START"/>
      <w:bookmarkEnd w:id="6"/>
      <w:r w:rsidRPr="00DA5930">
        <w:rPr>
          <w:rFonts w:hint="cs"/>
          <w:rtl/>
        </w:rPr>
        <w:t xml:space="preserve">בטרם שמיעת הראיות, הגיעו הצדדים להסדר טיעון במסגרתו כתב האישום המקורי שהוגש נגד הנאשם תוקן והנאשם הודה בעובדות כתב האישום המתוקן. </w:t>
      </w:r>
    </w:p>
    <w:p w14:paraId="45217978" w14:textId="77777777" w:rsidR="004471F3" w:rsidRPr="00DA5930" w:rsidRDefault="004471F3" w:rsidP="004471F3">
      <w:pPr>
        <w:spacing w:line="360" w:lineRule="auto"/>
        <w:ind w:left="720" w:hanging="720"/>
        <w:jc w:val="both"/>
        <w:rPr>
          <w:rtl/>
        </w:rPr>
      </w:pPr>
    </w:p>
    <w:p w14:paraId="303DDA65" w14:textId="77777777" w:rsidR="004471F3" w:rsidRPr="00DA5930" w:rsidRDefault="004471F3" w:rsidP="004471F3">
      <w:pPr>
        <w:spacing w:line="360" w:lineRule="auto"/>
        <w:ind w:left="720" w:hanging="720"/>
        <w:jc w:val="both"/>
        <w:rPr>
          <w:rtl/>
        </w:rPr>
      </w:pPr>
      <w:r w:rsidRPr="00DA5930">
        <w:rPr>
          <w:rFonts w:hint="cs"/>
          <w:rtl/>
        </w:rPr>
        <w:t>2.</w:t>
      </w:r>
      <w:r w:rsidRPr="00DA5930">
        <w:rPr>
          <w:rFonts w:hint="cs"/>
          <w:rtl/>
        </w:rPr>
        <w:tab/>
        <w:t xml:space="preserve">על פי עובדות כתב האישום המתוקן, בתאריך 23.04.22 בשעת לילה, הנאשם עמד על מדרכה בסמוך לשער ביתו בשדרות. תוך כדי כך, עבר במקום רכב שאחד מיושביו ירה בנשק לעבר הנאשם, ובתגובה לכך הנאשם ירה מנשק שהחזיק שלא כדין, שסוגו איננו ידוע למאשימה.  </w:t>
      </w:r>
    </w:p>
    <w:p w14:paraId="4FF01A73" w14:textId="77777777" w:rsidR="004471F3" w:rsidRPr="00DA5930" w:rsidRDefault="004471F3" w:rsidP="004471F3">
      <w:pPr>
        <w:spacing w:line="360" w:lineRule="auto"/>
        <w:ind w:left="720" w:hanging="720"/>
        <w:jc w:val="both"/>
        <w:rPr>
          <w:rtl/>
        </w:rPr>
      </w:pPr>
      <w:r w:rsidRPr="00DA5930">
        <w:rPr>
          <w:rFonts w:hint="cs"/>
          <w:rtl/>
        </w:rPr>
        <w:tab/>
      </w:r>
    </w:p>
    <w:p w14:paraId="49338BBD" w14:textId="77777777" w:rsidR="004471F3" w:rsidRPr="00DA5930" w:rsidRDefault="004471F3" w:rsidP="004471F3">
      <w:pPr>
        <w:spacing w:line="360" w:lineRule="auto"/>
        <w:ind w:left="720" w:hanging="720"/>
        <w:jc w:val="both"/>
        <w:rPr>
          <w:rtl/>
        </w:rPr>
      </w:pPr>
      <w:bookmarkStart w:id="7" w:name="ABSTRACT_END"/>
      <w:bookmarkEnd w:id="7"/>
      <w:r w:rsidRPr="00DA5930">
        <w:rPr>
          <w:rFonts w:hint="cs"/>
          <w:rtl/>
        </w:rPr>
        <w:t>3.</w:t>
      </w:r>
      <w:r w:rsidRPr="00DA5930">
        <w:rPr>
          <w:rFonts w:hint="cs"/>
          <w:rtl/>
        </w:rPr>
        <w:tab/>
        <w:t xml:space="preserve">על יסוד הודאת הנאשם בעובדות כאמור, הוא הורשע בעבירות של החזקת נשק, לפי </w:t>
      </w:r>
      <w:hyperlink r:id="rId10" w:history="1">
        <w:r w:rsidR="00017B34" w:rsidRPr="00017B34">
          <w:rPr>
            <w:rStyle w:val="Hyperlink"/>
            <w:rFonts w:hint="eastAsia"/>
            <w:rtl/>
          </w:rPr>
          <w:t>סעיף</w:t>
        </w:r>
        <w:r w:rsidR="00017B34" w:rsidRPr="00017B34">
          <w:rPr>
            <w:rStyle w:val="Hyperlink"/>
            <w:rtl/>
          </w:rPr>
          <w:t xml:space="preserve"> 144(א)</w:t>
        </w:r>
      </w:hyperlink>
      <w:r w:rsidRPr="00DA5930">
        <w:rPr>
          <w:rFonts w:hint="cs"/>
          <w:rtl/>
        </w:rPr>
        <w:t xml:space="preserve"> ב</w:t>
      </w:r>
      <w:hyperlink r:id="rId11" w:history="1">
        <w:r w:rsidR="00AA302B" w:rsidRPr="00AA302B">
          <w:rPr>
            <w:color w:val="0000FF"/>
            <w:u w:val="single"/>
            <w:rtl/>
          </w:rPr>
          <w:t>חוק העונשין</w:t>
        </w:r>
      </w:hyperlink>
      <w:r w:rsidRPr="00DA5930">
        <w:rPr>
          <w:rFonts w:hint="cs"/>
          <w:rtl/>
        </w:rPr>
        <w:t xml:space="preserve"> התשל"ז-1977 (להלן: "חוק העונשין"); וירי מנשק חם, לפי סעיף </w:t>
      </w:r>
      <w:hyperlink r:id="rId12" w:history="1">
        <w:r w:rsidR="00017B34" w:rsidRPr="00017B34">
          <w:rPr>
            <w:rStyle w:val="Hyperlink"/>
            <w:rtl/>
          </w:rPr>
          <w:t>340 א' (ב)(1)</w:t>
        </w:r>
      </w:hyperlink>
      <w:r w:rsidRPr="00DA5930">
        <w:rPr>
          <w:rFonts w:hint="cs"/>
          <w:rtl/>
        </w:rPr>
        <w:t xml:space="preserve"> בחוק העונשין.</w:t>
      </w:r>
    </w:p>
    <w:p w14:paraId="5984A2F5" w14:textId="77777777" w:rsidR="004471F3" w:rsidRPr="00DA5930" w:rsidRDefault="004471F3" w:rsidP="004471F3">
      <w:pPr>
        <w:spacing w:line="360" w:lineRule="auto"/>
        <w:jc w:val="both"/>
      </w:pPr>
    </w:p>
    <w:p w14:paraId="506C6DEA" w14:textId="77777777" w:rsidR="004471F3" w:rsidRPr="00DA5930" w:rsidRDefault="004471F3" w:rsidP="004471F3">
      <w:pPr>
        <w:spacing w:line="360" w:lineRule="auto"/>
        <w:ind w:left="720" w:hanging="720"/>
        <w:jc w:val="both"/>
      </w:pPr>
      <w:r w:rsidRPr="00DA5930">
        <w:rPr>
          <w:rFonts w:hint="cs"/>
          <w:rtl/>
        </w:rPr>
        <w:lastRenderedPageBreak/>
        <w:t>4.</w:t>
      </w:r>
      <w:r w:rsidRPr="00DA5930">
        <w:rPr>
          <w:rFonts w:hint="cs"/>
          <w:rtl/>
        </w:rPr>
        <w:tab/>
        <w:t xml:space="preserve">במסגרת הסדר הטיעון, הצדדים המליצו לבית המשפט להטיל על הנאשם 22 חודשי מאסר בפועל, מאסר על תנאי וקנס בסך 3,000 ₪. </w:t>
      </w:r>
    </w:p>
    <w:p w14:paraId="6AC18CD6" w14:textId="77777777" w:rsidR="004471F3" w:rsidRPr="00DA5930" w:rsidRDefault="004471F3" w:rsidP="004471F3">
      <w:pPr>
        <w:spacing w:line="360" w:lineRule="auto"/>
        <w:ind w:left="720" w:hanging="720"/>
        <w:jc w:val="both"/>
        <w:rPr>
          <w:rtl/>
        </w:rPr>
      </w:pPr>
      <w:r w:rsidRPr="00DA5930">
        <w:rPr>
          <w:rFonts w:hint="cs"/>
          <w:rtl/>
        </w:rPr>
        <w:t xml:space="preserve"> </w:t>
      </w:r>
    </w:p>
    <w:p w14:paraId="1E44DDFD" w14:textId="77777777" w:rsidR="004471F3" w:rsidRPr="00DA5930" w:rsidRDefault="004471F3" w:rsidP="004471F3">
      <w:pPr>
        <w:spacing w:line="360" w:lineRule="auto"/>
        <w:ind w:left="720" w:hanging="720"/>
        <w:jc w:val="both"/>
        <w:rPr>
          <w:rtl/>
        </w:rPr>
      </w:pPr>
      <w:r w:rsidRPr="00DA5930">
        <w:rPr>
          <w:rFonts w:hint="cs"/>
          <w:rtl/>
        </w:rPr>
        <w:t>5.</w:t>
      </w:r>
      <w:r w:rsidRPr="00DA5930">
        <w:rPr>
          <w:rFonts w:hint="cs"/>
          <w:rtl/>
        </w:rPr>
        <w:tab/>
        <w:t xml:space="preserve">התביעה טענה, כי נסיבות האירוע מיוחדות. שכן, בעבר נעשו מספר ניסיונות לפגוע בנאשם, בין היתר בהנחת רימון ובירי לעבר ביתו, ועל רקעם המשטרה הציבה מצלמת אבטחה בקרבת בית הנאשם. וגם במקרה זה האירוע התחיל בכך שאחרים הגיעו לקרבת ביתו של הנאשם וירו לעברו מתוך רכב. עוד טענה, שאין אינדיקציה לכך שנגרמה פגיעה כלשהי מהירי של הנאשם, וטענה, שהגם שלא עומדת לנאשם טענת הגנה עצמית או הגנת בית מגורים, הרי שנסיבות האירוע מצדיקות הקלה מסוימת בעונשו של הנאשם. והעונש המוצע בהסדר משקלל נכונה את הנתונים. </w:t>
      </w:r>
    </w:p>
    <w:p w14:paraId="5304EA22" w14:textId="77777777" w:rsidR="004471F3" w:rsidRPr="00DA5930" w:rsidRDefault="004471F3" w:rsidP="004471F3">
      <w:pPr>
        <w:spacing w:line="360" w:lineRule="auto"/>
        <w:ind w:left="720" w:hanging="720"/>
        <w:jc w:val="both"/>
        <w:rPr>
          <w:rtl/>
        </w:rPr>
      </w:pPr>
      <w:r w:rsidRPr="00DA5930">
        <w:rPr>
          <w:rFonts w:hint="cs"/>
          <w:rtl/>
        </w:rPr>
        <w:t xml:space="preserve"> </w:t>
      </w:r>
    </w:p>
    <w:p w14:paraId="7E96EF2B" w14:textId="77777777" w:rsidR="004471F3" w:rsidRPr="00DA5930" w:rsidRDefault="004471F3" w:rsidP="004471F3">
      <w:pPr>
        <w:spacing w:line="360" w:lineRule="auto"/>
        <w:ind w:left="720" w:hanging="720"/>
        <w:jc w:val="both"/>
        <w:rPr>
          <w:rtl/>
        </w:rPr>
      </w:pPr>
      <w:r w:rsidRPr="00DA5930">
        <w:rPr>
          <w:rFonts w:hint="cs"/>
          <w:rtl/>
        </w:rPr>
        <w:t>6.</w:t>
      </w:r>
      <w:r w:rsidRPr="00DA5930">
        <w:rPr>
          <w:rFonts w:hint="cs"/>
          <w:rtl/>
        </w:rPr>
        <w:tab/>
        <w:t xml:space="preserve">ב"כ הנאשם טענה, שהנאשם איננו יודע למה ירו לעברו, הן באירוע הנוכחי והן באירועים קודמים. וטענה, שהמשטרה לא עושה די כדי לרדת לעומקם של הדברים ושבמקרה זה מי שירה על הנאשם לא נתפס וממילא לא הובא לדין. הוסיפה, שהנאשם בן 29, רווק. נמצא בזוגיות. התיק הקודם האחרון שנפתח לו הוא משנת 2016 ומאז לא נפתחו נגדו תיקים חדשים. ציינה שהנאשם עבד בעבודות מזדמנות ולאחרונה אינו עובד ומתקיים מקצבה של הביטוח הלאומי. הוסיפה, שהנאשם הוא מוסלמי החי בעיר יהודית והדבר כרוך בקשיים שונים. וביקשה לכבד את הסדר הטיעון. </w:t>
      </w:r>
    </w:p>
    <w:p w14:paraId="7F623622" w14:textId="77777777" w:rsidR="004471F3" w:rsidRPr="00DA5930" w:rsidRDefault="004471F3" w:rsidP="004471F3">
      <w:pPr>
        <w:spacing w:line="360" w:lineRule="auto"/>
        <w:ind w:left="720" w:hanging="720"/>
        <w:jc w:val="both"/>
        <w:rPr>
          <w:rtl/>
        </w:rPr>
      </w:pPr>
    </w:p>
    <w:p w14:paraId="75C3BDBE" w14:textId="77777777" w:rsidR="004471F3" w:rsidRPr="00DA5930" w:rsidRDefault="004471F3" w:rsidP="004471F3">
      <w:pPr>
        <w:spacing w:line="360" w:lineRule="auto"/>
        <w:ind w:left="720" w:hanging="720"/>
        <w:jc w:val="both"/>
        <w:rPr>
          <w:rtl/>
        </w:rPr>
      </w:pPr>
      <w:r w:rsidRPr="00DA5930">
        <w:rPr>
          <w:rFonts w:hint="cs"/>
          <w:rtl/>
        </w:rPr>
        <w:t>7.</w:t>
      </w:r>
      <w:r w:rsidRPr="00DA5930">
        <w:rPr>
          <w:rFonts w:hint="cs"/>
          <w:rtl/>
        </w:rPr>
        <w:tab/>
        <w:t xml:space="preserve">הנאשם הביע צער על מעשהו. סיפר כי עבד תקופה ארוכה בקיבוץ זיקים. טען ששכנו מסוכסך עם אחרים ואלה חשבו שהנאשם עומד לצד שכנו, ולכן מנסים לפגוע גם בו. </w:t>
      </w:r>
    </w:p>
    <w:p w14:paraId="71532AEA" w14:textId="77777777" w:rsidR="004471F3" w:rsidRPr="00DA5930" w:rsidRDefault="004471F3" w:rsidP="004471F3">
      <w:pPr>
        <w:spacing w:line="360" w:lineRule="auto"/>
        <w:ind w:left="720" w:hanging="720"/>
        <w:jc w:val="both"/>
        <w:rPr>
          <w:rtl/>
        </w:rPr>
      </w:pPr>
    </w:p>
    <w:p w14:paraId="1EA24DD1" w14:textId="77777777" w:rsidR="004471F3" w:rsidRPr="00DA5930" w:rsidRDefault="004471F3" w:rsidP="004471F3">
      <w:pPr>
        <w:spacing w:line="360" w:lineRule="auto"/>
        <w:ind w:left="720" w:hanging="720"/>
        <w:jc w:val="both"/>
        <w:rPr>
          <w:rtl/>
        </w:rPr>
      </w:pPr>
      <w:r w:rsidRPr="00DA5930">
        <w:rPr>
          <w:rFonts w:hint="cs"/>
          <w:rtl/>
        </w:rPr>
        <w:t>8.</w:t>
      </w:r>
      <w:r w:rsidRPr="00DA5930">
        <w:rPr>
          <w:rFonts w:hint="cs"/>
          <w:rtl/>
        </w:rPr>
        <w:tab/>
        <w:t xml:space="preserve">הנאשם החזיק בנשק שלא כדין, וירה ממנו באזור מגורים בטבורה של עיר. </w:t>
      </w:r>
    </w:p>
    <w:p w14:paraId="539019AD" w14:textId="77777777" w:rsidR="004471F3" w:rsidRPr="00DA5930" w:rsidRDefault="004471F3" w:rsidP="004471F3">
      <w:pPr>
        <w:spacing w:line="360" w:lineRule="auto"/>
        <w:ind w:left="720"/>
        <w:jc w:val="both"/>
        <w:rPr>
          <w:rtl/>
        </w:rPr>
      </w:pPr>
      <w:r w:rsidRPr="00DA5930">
        <w:rPr>
          <w:rFonts w:hint="cs"/>
          <w:rtl/>
        </w:rPr>
        <w:t xml:space="preserve">הסכנה הטמונה בעצם החזקת נשק חם שלא כדין ובמיוחד בהפעלתו בסביבת מגורים, ברורה מאליה. למרבה הצער, כבר אירע לא אחת שעובר אורח תמים ואפילו מי שהיה ספון בביתו, נפגעו מירי שלא היתה להם כל נגיעה אליו ושילמו מחיר כבד. </w:t>
      </w:r>
    </w:p>
    <w:p w14:paraId="5A35D804" w14:textId="77777777" w:rsidR="004471F3" w:rsidRPr="00DA5930" w:rsidRDefault="004471F3" w:rsidP="004471F3">
      <w:pPr>
        <w:spacing w:line="360" w:lineRule="auto"/>
        <w:ind w:left="720"/>
        <w:jc w:val="both"/>
        <w:rPr>
          <w:rtl/>
        </w:rPr>
      </w:pPr>
      <w:r w:rsidRPr="00DA5930">
        <w:rPr>
          <w:rFonts w:hint="cs"/>
          <w:rtl/>
        </w:rPr>
        <w:t xml:space="preserve">בשנים האחרונות, אירועי ירי במרחב הציבורי הפכו לחזון נפרץ. מעבר לפגיעה הקונקרטית בקרבן המעשה, לתופעה זו ישנן השלכות חמורות בתחומים שונים ובין היתר היא פוגעת בביטחון האישי והציבורי ויוצרת תחושה של הפקרות ופגיעות וחוסר מוגנות, ויש להתייחס אליה במלוא הרצינות והחומרה. </w:t>
      </w:r>
    </w:p>
    <w:p w14:paraId="5EACE6F2" w14:textId="77777777" w:rsidR="004471F3" w:rsidRPr="00DA5930" w:rsidRDefault="004471F3" w:rsidP="004471F3">
      <w:pPr>
        <w:spacing w:line="360" w:lineRule="auto"/>
        <w:ind w:left="720"/>
        <w:jc w:val="both"/>
        <w:rPr>
          <w:rtl/>
        </w:rPr>
      </w:pPr>
      <w:r w:rsidRPr="00DA5930">
        <w:rPr>
          <w:rFonts w:hint="cs"/>
          <w:rtl/>
        </w:rPr>
        <w:t xml:space="preserve">מדיניות הענישה בעבירות נשק התמקדה מאז ומתמיד בשיקולי הגמול וההרתעה, ובשנים האחרונות, נוכח ריבוי העבירות בתחום זה ופגיעתן הרחבה והקשה, מגמה זו התחזקה ביתר שאת והעונשים המוטלים בעבירות אלה מאופיינים בחומרה מובהקת. </w:t>
      </w:r>
    </w:p>
    <w:p w14:paraId="2A24B56C" w14:textId="77777777" w:rsidR="004471F3" w:rsidRPr="00DA5930" w:rsidRDefault="004471F3" w:rsidP="004471F3">
      <w:pPr>
        <w:spacing w:line="360" w:lineRule="auto"/>
        <w:ind w:left="720"/>
        <w:jc w:val="both"/>
        <w:rPr>
          <w:rtl/>
        </w:rPr>
      </w:pPr>
      <w:r w:rsidRPr="00DA5930">
        <w:rPr>
          <w:rFonts w:hint="cs"/>
          <w:rtl/>
        </w:rPr>
        <w:lastRenderedPageBreak/>
        <w:t xml:space="preserve">לכך יש להוסיף את הוראת סעיף </w:t>
      </w:r>
      <w:hyperlink r:id="rId13" w:history="1">
        <w:r w:rsidR="00017B34" w:rsidRPr="00017B34">
          <w:rPr>
            <w:rStyle w:val="Hyperlink"/>
            <w:rtl/>
          </w:rPr>
          <w:t>144 (ז)</w:t>
        </w:r>
      </w:hyperlink>
      <w:r w:rsidRPr="00DA5930">
        <w:rPr>
          <w:rFonts w:hint="cs"/>
          <w:rtl/>
        </w:rPr>
        <w:t xml:space="preserve"> ב</w:t>
      </w:r>
      <w:hyperlink r:id="rId14" w:history="1">
        <w:r w:rsidR="00AA302B" w:rsidRPr="00AA302B">
          <w:rPr>
            <w:color w:val="0000FF"/>
            <w:u w:val="single"/>
            <w:rtl/>
          </w:rPr>
          <w:t>חוק העונשין</w:t>
        </w:r>
      </w:hyperlink>
      <w:r w:rsidRPr="00DA5930">
        <w:rPr>
          <w:rFonts w:hint="cs"/>
          <w:rtl/>
        </w:rPr>
        <w:t xml:space="preserve">, שנכנסה לתוקף בחודש דצמבר 2021, הקובעת לעבירות נשק מסוימות, כולל עבירת החזקה, עונש מזערי של רבע מהעונש המרבי. </w:t>
      </w:r>
    </w:p>
    <w:p w14:paraId="5D50AC1A" w14:textId="77777777" w:rsidR="004471F3" w:rsidRPr="00DA5930" w:rsidRDefault="004471F3" w:rsidP="004471F3">
      <w:pPr>
        <w:spacing w:line="360" w:lineRule="auto"/>
        <w:ind w:left="720" w:hanging="720"/>
        <w:jc w:val="both"/>
        <w:rPr>
          <w:rtl/>
        </w:rPr>
      </w:pPr>
      <w:r w:rsidRPr="00DA5930">
        <w:rPr>
          <w:rFonts w:hint="cs"/>
          <w:rtl/>
        </w:rPr>
        <w:tab/>
      </w:r>
    </w:p>
    <w:p w14:paraId="7AE7404D" w14:textId="77777777" w:rsidR="004471F3" w:rsidRDefault="004471F3" w:rsidP="004471F3">
      <w:pPr>
        <w:spacing w:line="360" w:lineRule="auto"/>
        <w:ind w:left="720" w:hanging="720"/>
        <w:jc w:val="both"/>
        <w:rPr>
          <w:rtl/>
        </w:rPr>
      </w:pPr>
      <w:r w:rsidRPr="00DA5930">
        <w:rPr>
          <w:rFonts w:hint="cs"/>
          <w:rtl/>
        </w:rPr>
        <w:t>9.</w:t>
      </w:r>
      <w:r w:rsidRPr="00DA5930">
        <w:rPr>
          <w:rFonts w:hint="cs"/>
          <w:rtl/>
        </w:rPr>
        <w:tab/>
        <w:t xml:space="preserve">מעשי הנאשם כשלעצמם, מצדיקים תגובה עונשית משמעותית. ועברו הפלילי של הנאשם - הכולל גם שתי הרשעות בעבירות נשק, האחת על רקע אירוע משנת 2016 במסגרתו הנאשם יצא לפגוש עבריינים מסוימים כשהוא מזוין באקדח, ובמהלך האירוע הוא עצמו נורה ברגליו. והשנייה בגין אירוע מחודש יולי 2012, במסגרתו נמצאו בחזקת הנאשם רימון יד הלם מתוצרת צבאית ומטען חבלה מאולתר שבכוחו לגרום למוות בעת התפוצצותו, עליו הנאשם נידון ל- 18 חודשי מאסר בפועל – תומך בענישה כזו. </w:t>
      </w:r>
    </w:p>
    <w:p w14:paraId="149AC888" w14:textId="77777777" w:rsidR="004471F3" w:rsidRPr="00DA5930" w:rsidRDefault="004471F3" w:rsidP="004471F3">
      <w:pPr>
        <w:spacing w:line="360" w:lineRule="auto"/>
        <w:ind w:left="720" w:hanging="720"/>
        <w:jc w:val="both"/>
        <w:rPr>
          <w:rtl/>
        </w:rPr>
      </w:pPr>
    </w:p>
    <w:p w14:paraId="110BB4F1" w14:textId="77777777" w:rsidR="004471F3" w:rsidRPr="00DA5930" w:rsidRDefault="004471F3" w:rsidP="004471F3">
      <w:pPr>
        <w:spacing w:line="360" w:lineRule="auto"/>
        <w:ind w:left="720" w:hanging="720"/>
        <w:jc w:val="both"/>
        <w:rPr>
          <w:rtl/>
        </w:rPr>
      </w:pPr>
      <w:r w:rsidRPr="00DA5930">
        <w:rPr>
          <w:rFonts w:hint="cs"/>
          <w:rtl/>
        </w:rPr>
        <w:t>10.</w:t>
      </w:r>
      <w:r w:rsidRPr="00DA5930">
        <w:rPr>
          <w:rFonts w:hint="cs"/>
          <w:rtl/>
        </w:rPr>
        <w:tab/>
        <w:t xml:space="preserve">עם זאת, כעולה מטיעוני התביעה לעונש, נסיבות האירוע כאן מיוחדות וחריגות. מסתבר, שהנאשם היה מושא למספר ניסיונות פגיעה מצד אחרים, שכללו ירי בגופו ועל ביתו והנחת רימון שנועד לפגוע בו. אין המדובר אפוא בטענות העולות מפי הנאשם בלבד, אלא בעובדות מוכחות, הידועות למשטרה, שעל רקען היא מצאה לנכון להתקין מצלמת אבטחה בסביבת ביתו של הנאשם. וגם האירוע עליו הנאשם נותן את הדין, התחיל בכך שאחרים ירו לעברו מתוך רכב נוסע כשהוא היה על מדרכה בסמוך לביתו, שבעקבותיו הנאשם הגיב כפי שהגיב. </w:t>
      </w:r>
    </w:p>
    <w:p w14:paraId="0929497C" w14:textId="77777777" w:rsidR="004471F3" w:rsidRPr="00DA5930" w:rsidRDefault="004471F3" w:rsidP="004471F3">
      <w:pPr>
        <w:spacing w:line="360" w:lineRule="auto"/>
        <w:ind w:left="720" w:hanging="720"/>
        <w:jc w:val="both"/>
        <w:rPr>
          <w:rtl/>
        </w:rPr>
      </w:pPr>
    </w:p>
    <w:p w14:paraId="0FF4DBE9" w14:textId="77777777" w:rsidR="004471F3" w:rsidRPr="00DA5930" w:rsidRDefault="004471F3" w:rsidP="004471F3">
      <w:pPr>
        <w:spacing w:line="360" w:lineRule="auto"/>
        <w:ind w:left="720"/>
        <w:jc w:val="both"/>
        <w:rPr>
          <w:rtl/>
        </w:rPr>
      </w:pPr>
      <w:r w:rsidRPr="00DA5930">
        <w:rPr>
          <w:rFonts w:hint="cs"/>
          <w:rtl/>
        </w:rPr>
        <w:t xml:space="preserve">ברגיל, באירועים על רקע יריבויות עברייניות, שבמסגרתן צד מסוים מבצע עבירת נשק, אין לתת משקל משמעותי לתרומת הצד האחר לסיטואציה שבמסגרתה נעשה השימוש בנשק. כל עוד החזקת הנשק איננה כדין והשימוש בו איננו חוסה תחת הגנה, אין מקום להיכנס לחשבונות הקיימים בין העבריינים, שמטבע הדברים אינם נחשפים במלואם לפני בית המשפט ולא אחת קשורים לאירועים קודמים ולמעשים נוספים של הצדדים המעורבים, כך שהאירוע המתברר בבית המשפט איננו מציג את מלוא התמונה העובדתית הנוגעת לענין. </w:t>
      </w:r>
    </w:p>
    <w:p w14:paraId="3FA54685" w14:textId="77777777" w:rsidR="004471F3" w:rsidRPr="00DA5930" w:rsidRDefault="004471F3" w:rsidP="004471F3">
      <w:pPr>
        <w:spacing w:line="360" w:lineRule="auto"/>
        <w:ind w:left="720"/>
        <w:jc w:val="both"/>
        <w:rPr>
          <w:rtl/>
        </w:rPr>
      </w:pPr>
      <w:r w:rsidRPr="00DA5930">
        <w:rPr>
          <w:rFonts w:hint="cs"/>
          <w:rtl/>
        </w:rPr>
        <w:t>כאן, בשונה מהרגיל, נראה שהתביעה מקבלת עקרונית את הטענה בדבר מצבו המורכב המתמשך של הנאשם. נתון זה רלוונטי לקביעת עונשו של הנאשם והוא מהווה טעם סביר להסכמת התביעה להסדר הטיעון.</w:t>
      </w:r>
    </w:p>
    <w:p w14:paraId="428F4418" w14:textId="77777777" w:rsidR="004471F3" w:rsidRPr="00DA5930" w:rsidRDefault="004471F3" w:rsidP="004471F3">
      <w:pPr>
        <w:spacing w:line="360" w:lineRule="auto"/>
        <w:ind w:left="720"/>
        <w:jc w:val="both"/>
        <w:rPr>
          <w:rtl/>
        </w:rPr>
      </w:pPr>
    </w:p>
    <w:p w14:paraId="0D341627" w14:textId="77777777" w:rsidR="004471F3" w:rsidRPr="00DA5930" w:rsidRDefault="004471F3" w:rsidP="004471F3">
      <w:pPr>
        <w:spacing w:line="360" w:lineRule="auto"/>
        <w:ind w:left="720" w:hanging="720"/>
        <w:jc w:val="both"/>
        <w:rPr>
          <w:rtl/>
        </w:rPr>
      </w:pPr>
      <w:r w:rsidRPr="00DA5930">
        <w:rPr>
          <w:rFonts w:hint="cs"/>
          <w:rtl/>
        </w:rPr>
        <w:t>11.</w:t>
      </w:r>
      <w:r w:rsidRPr="00DA5930">
        <w:rPr>
          <w:rFonts w:hint="cs"/>
          <w:rtl/>
        </w:rPr>
        <w:tab/>
        <w:t xml:space="preserve">במצב דברים מיוחד זה, ובהתחשב בפסיקה הנוגעת לכיבוד הסדרי טיעון, ההקלה הגלומה בעונש המוצע בהסדר הטיעון איננה מגיעה לרף המצדיק דחיית הסדר הטיעון.  (ראה </w:t>
      </w:r>
      <w:hyperlink r:id="rId15" w:history="1">
        <w:r w:rsidR="00AA302B" w:rsidRPr="00AA302B">
          <w:rPr>
            <w:color w:val="0000FF"/>
            <w:u w:val="single"/>
            <w:rtl/>
          </w:rPr>
          <w:t>ע"פ 2021/17</w:t>
        </w:r>
      </w:hyperlink>
      <w:r w:rsidRPr="00DA5930">
        <w:rPr>
          <w:rFonts w:hint="cs"/>
          <w:rtl/>
        </w:rPr>
        <w:t xml:space="preserve"> יונה יחיאל מצגר נ' מדינת ישראל (30.04.2017); </w:t>
      </w:r>
      <w:hyperlink r:id="rId16" w:history="1">
        <w:r w:rsidR="00AA302B" w:rsidRPr="00AA302B">
          <w:rPr>
            <w:color w:val="0000FF"/>
            <w:u w:val="single"/>
            <w:rtl/>
          </w:rPr>
          <w:t>ע"פ 1958/98</w:t>
        </w:r>
      </w:hyperlink>
      <w:r w:rsidRPr="00DA5930">
        <w:rPr>
          <w:rFonts w:hint="cs"/>
          <w:rtl/>
        </w:rPr>
        <w:t xml:space="preserve"> פלוני נ' מדינת ישראל (25.12.2002); וע"פ 512/13 פלוני נ' מדינת ישראל (04.12.2013)).</w:t>
      </w:r>
    </w:p>
    <w:p w14:paraId="224289F2" w14:textId="77777777" w:rsidR="004471F3" w:rsidRPr="00DA5930" w:rsidRDefault="004471F3" w:rsidP="004471F3">
      <w:pPr>
        <w:spacing w:line="360" w:lineRule="auto"/>
        <w:ind w:left="720"/>
        <w:jc w:val="both"/>
        <w:rPr>
          <w:rtl/>
        </w:rPr>
      </w:pPr>
    </w:p>
    <w:p w14:paraId="6DB2D018" w14:textId="77777777" w:rsidR="004471F3" w:rsidRPr="00DA5930" w:rsidRDefault="004471F3" w:rsidP="004471F3">
      <w:pPr>
        <w:spacing w:line="360" w:lineRule="auto"/>
        <w:jc w:val="both"/>
        <w:rPr>
          <w:rtl/>
          <w:lang w:eastAsia="he-IL"/>
        </w:rPr>
      </w:pPr>
      <w:r w:rsidRPr="00DA5930">
        <w:rPr>
          <w:rFonts w:hint="cs"/>
          <w:rtl/>
          <w:lang w:eastAsia="he-IL"/>
        </w:rPr>
        <w:t>12.</w:t>
      </w:r>
      <w:r w:rsidRPr="00DA5930">
        <w:rPr>
          <w:rFonts w:hint="cs"/>
          <w:rtl/>
          <w:lang w:eastAsia="he-IL"/>
        </w:rPr>
        <w:tab/>
        <w:t>בהתחשב בכל האמור, אני דן את הנאשם לעונשים הבאים:</w:t>
      </w:r>
    </w:p>
    <w:p w14:paraId="7FE617FC" w14:textId="77777777" w:rsidR="004471F3" w:rsidRPr="00DA5930" w:rsidRDefault="004471F3" w:rsidP="004471F3">
      <w:pPr>
        <w:spacing w:line="360" w:lineRule="auto"/>
        <w:ind w:left="1440" w:hanging="720"/>
        <w:jc w:val="both"/>
        <w:rPr>
          <w:rtl/>
          <w:lang w:eastAsia="he-IL"/>
        </w:rPr>
      </w:pPr>
      <w:r w:rsidRPr="00DA5930">
        <w:rPr>
          <w:rFonts w:hint="cs"/>
          <w:rtl/>
          <w:lang w:eastAsia="he-IL"/>
        </w:rPr>
        <w:t>1.</w:t>
      </w:r>
      <w:r w:rsidRPr="00DA5930">
        <w:rPr>
          <w:rFonts w:hint="cs"/>
          <w:rtl/>
          <w:lang w:eastAsia="he-IL"/>
        </w:rPr>
        <w:tab/>
        <w:t xml:space="preserve">22 חודשי מאסר בפועל, בניכוי ימי מעצרו. </w:t>
      </w:r>
    </w:p>
    <w:p w14:paraId="393314B6" w14:textId="77777777" w:rsidR="004471F3" w:rsidRPr="00DA5930" w:rsidRDefault="004471F3" w:rsidP="004471F3">
      <w:pPr>
        <w:spacing w:line="360" w:lineRule="auto"/>
        <w:ind w:left="1440" w:hanging="720"/>
        <w:jc w:val="both"/>
        <w:rPr>
          <w:rtl/>
          <w:lang w:eastAsia="he-IL"/>
        </w:rPr>
      </w:pPr>
      <w:r w:rsidRPr="00DA5930">
        <w:rPr>
          <w:rFonts w:hint="cs"/>
          <w:rtl/>
          <w:lang w:eastAsia="he-IL"/>
        </w:rPr>
        <w:t>2.</w:t>
      </w:r>
      <w:r w:rsidRPr="00DA5930">
        <w:rPr>
          <w:rFonts w:hint="cs"/>
          <w:rtl/>
          <w:lang w:eastAsia="he-IL"/>
        </w:rPr>
        <w:tab/>
        <w:t xml:space="preserve">12 חודשי מאסר על תנאי למשך 3 שנים מיום שחרורו מהמאסר, שלא יעבור עבירת נשק שהיא פשע. </w:t>
      </w:r>
    </w:p>
    <w:p w14:paraId="77AE4ED3" w14:textId="77777777" w:rsidR="004471F3" w:rsidRPr="00DA5930" w:rsidRDefault="004471F3" w:rsidP="004471F3">
      <w:pPr>
        <w:spacing w:line="360" w:lineRule="auto"/>
        <w:ind w:left="1440" w:hanging="720"/>
        <w:jc w:val="both"/>
        <w:rPr>
          <w:rtl/>
          <w:lang w:eastAsia="he-IL"/>
        </w:rPr>
      </w:pPr>
      <w:r w:rsidRPr="00DA5930">
        <w:rPr>
          <w:rFonts w:hint="cs"/>
          <w:rtl/>
          <w:lang w:eastAsia="he-IL"/>
        </w:rPr>
        <w:t>3.</w:t>
      </w:r>
      <w:r w:rsidRPr="00DA5930">
        <w:rPr>
          <w:rFonts w:hint="cs"/>
          <w:rtl/>
          <w:lang w:eastAsia="he-IL"/>
        </w:rPr>
        <w:tab/>
        <w:t xml:space="preserve">קנס בסך 3,000 ₪ או 10 ימי מאסר תחתיו. הקנס ישולם בתוך 30  יום מהיום. </w:t>
      </w:r>
    </w:p>
    <w:p w14:paraId="7512E425" w14:textId="77777777" w:rsidR="004471F3" w:rsidRPr="00DA5930" w:rsidRDefault="004471F3" w:rsidP="004471F3">
      <w:pPr>
        <w:spacing w:line="360" w:lineRule="auto"/>
        <w:ind w:left="720"/>
        <w:jc w:val="both"/>
        <w:rPr>
          <w:b/>
          <w:bCs/>
          <w:rtl/>
          <w:lang w:eastAsia="he-IL"/>
        </w:rPr>
      </w:pPr>
    </w:p>
    <w:p w14:paraId="70C74411" w14:textId="77777777" w:rsidR="004471F3" w:rsidRPr="00DA5930" w:rsidRDefault="004471F3" w:rsidP="004471F3">
      <w:pPr>
        <w:spacing w:line="360" w:lineRule="auto"/>
        <w:ind w:left="720"/>
        <w:jc w:val="both"/>
        <w:rPr>
          <w:b/>
          <w:bCs/>
          <w:rtl/>
          <w:lang w:eastAsia="he-IL"/>
        </w:rPr>
      </w:pPr>
      <w:r w:rsidRPr="00DA5930">
        <w:rPr>
          <w:rFonts w:hint="cs"/>
          <w:b/>
          <w:bCs/>
          <w:rtl/>
          <w:lang w:eastAsia="he-IL"/>
        </w:rPr>
        <w:t>זכות ערעור תוך 45 יום.</w:t>
      </w:r>
    </w:p>
    <w:p w14:paraId="278B3E48" w14:textId="77777777" w:rsidR="004471F3" w:rsidRPr="00DA5930" w:rsidRDefault="004471F3" w:rsidP="004471F3">
      <w:pPr>
        <w:spacing w:line="360" w:lineRule="auto"/>
        <w:jc w:val="both"/>
        <w:rPr>
          <w:sz w:val="6"/>
          <w:szCs w:val="6"/>
          <w:rtl/>
        </w:rPr>
      </w:pPr>
      <w:r w:rsidRPr="00DA5930">
        <w:rPr>
          <w:rFonts w:hint="cs"/>
          <w:sz w:val="6"/>
          <w:szCs w:val="6"/>
          <w:rtl/>
        </w:rPr>
        <w:t>&lt;#3#&gt;</w:t>
      </w:r>
    </w:p>
    <w:p w14:paraId="23E11E9C" w14:textId="77777777" w:rsidR="004471F3" w:rsidRDefault="00AA302B" w:rsidP="004471F3">
      <w:pPr>
        <w:jc w:val="both"/>
        <w:rPr>
          <w:rtl/>
        </w:rPr>
      </w:pPr>
      <w:bookmarkStart w:id="8" w:name="Nitan"/>
      <w:r w:rsidRPr="00AA302B">
        <w:rPr>
          <w:b/>
          <w:bCs/>
          <w:color w:val="FFFFFF"/>
          <w:sz w:val="2"/>
          <w:szCs w:val="2"/>
          <w:rtl/>
        </w:rPr>
        <w:t>5129371</w:t>
      </w:r>
      <w:r>
        <w:rPr>
          <w:b/>
          <w:bCs/>
          <w:rtl/>
        </w:rPr>
        <w:t xml:space="preserve">ניתנה והודעה היום ל' תשרי תשפ"ג, 25/10/2022 במעמד הנוכחים. </w:t>
      </w:r>
      <w:bookmarkEnd w:id="8"/>
    </w:p>
    <w:tbl>
      <w:tblPr>
        <w:bidiVisual/>
        <w:tblW w:w="0" w:type="auto"/>
        <w:tblInd w:w="4397" w:type="dxa"/>
        <w:tblBorders>
          <w:insideH w:val="single" w:sz="4" w:space="0" w:color="auto"/>
          <w:insideV w:val="single" w:sz="4" w:space="0" w:color="auto"/>
        </w:tblBorders>
        <w:tblLook w:val="01E0" w:firstRow="1" w:lastRow="1" w:firstColumn="1" w:lastColumn="1" w:noHBand="0" w:noVBand="0"/>
      </w:tblPr>
      <w:tblGrid>
        <w:gridCol w:w="3542"/>
      </w:tblGrid>
      <w:tr w:rsidR="004471F3" w:rsidRPr="00DA5930" w14:paraId="1411E9B6" w14:textId="77777777" w:rsidTr="004471F3">
        <w:trPr>
          <w:trHeight w:val="316"/>
        </w:trPr>
        <w:tc>
          <w:tcPr>
            <w:tcW w:w="3542" w:type="dxa"/>
            <w:tcBorders>
              <w:top w:val="nil"/>
              <w:left w:val="nil"/>
              <w:bottom w:val="single" w:sz="4" w:space="0" w:color="auto"/>
              <w:right w:val="nil"/>
            </w:tcBorders>
            <w:shd w:val="clear" w:color="auto" w:fill="auto"/>
          </w:tcPr>
          <w:p w14:paraId="0E6000F8" w14:textId="77777777" w:rsidR="004471F3" w:rsidRPr="00AA302B" w:rsidRDefault="00AA302B" w:rsidP="004471F3">
            <w:pPr>
              <w:jc w:val="center"/>
              <w:rPr>
                <w:color w:val="FFFFFF"/>
                <w:sz w:val="2"/>
                <w:szCs w:val="2"/>
              </w:rPr>
            </w:pPr>
            <w:r w:rsidRPr="00AA302B">
              <w:rPr>
                <w:color w:val="FFFFFF"/>
                <w:sz w:val="2"/>
                <w:szCs w:val="2"/>
                <w:rtl/>
              </w:rPr>
              <w:t>54678313</w:t>
            </w:r>
          </w:p>
        </w:tc>
      </w:tr>
      <w:tr w:rsidR="004471F3" w:rsidRPr="00DA5930" w14:paraId="3D41604D" w14:textId="77777777" w:rsidTr="004471F3">
        <w:trPr>
          <w:trHeight w:val="361"/>
        </w:trPr>
        <w:tc>
          <w:tcPr>
            <w:tcW w:w="3542" w:type="dxa"/>
            <w:tcBorders>
              <w:top w:val="single" w:sz="4" w:space="0" w:color="auto"/>
              <w:left w:val="nil"/>
              <w:bottom w:val="nil"/>
              <w:right w:val="nil"/>
            </w:tcBorders>
            <w:shd w:val="clear" w:color="auto" w:fill="auto"/>
          </w:tcPr>
          <w:p w14:paraId="0E3FA6C3" w14:textId="77777777" w:rsidR="004471F3" w:rsidRPr="004471F3" w:rsidRDefault="004471F3" w:rsidP="004471F3">
            <w:pPr>
              <w:jc w:val="center"/>
              <w:rPr>
                <w:b/>
                <w:bCs/>
                <w:rtl/>
              </w:rPr>
            </w:pPr>
            <w:r w:rsidRPr="004471F3">
              <w:rPr>
                <w:rFonts w:hint="cs"/>
                <w:b/>
                <w:bCs/>
                <w:rtl/>
              </w:rPr>
              <w:t>אליהו ביתן, שופט</w:t>
            </w:r>
          </w:p>
          <w:p w14:paraId="3AED50CB" w14:textId="77777777" w:rsidR="004471F3" w:rsidRPr="004471F3" w:rsidRDefault="004471F3" w:rsidP="004471F3">
            <w:pPr>
              <w:jc w:val="center"/>
              <w:rPr>
                <w:b/>
                <w:bCs/>
                <w:rtl/>
              </w:rPr>
            </w:pPr>
            <w:r w:rsidRPr="004471F3">
              <w:rPr>
                <w:rFonts w:hint="cs"/>
                <w:b/>
                <w:bCs/>
                <w:rtl/>
              </w:rPr>
              <w:t>סגן הנשיאה</w:t>
            </w:r>
          </w:p>
        </w:tc>
      </w:tr>
    </w:tbl>
    <w:p w14:paraId="10183AAC" w14:textId="77777777" w:rsidR="004471F3" w:rsidRPr="00DA5930" w:rsidRDefault="004471F3" w:rsidP="004471F3">
      <w:pPr>
        <w:jc w:val="both"/>
        <w:rPr>
          <w:rFonts w:ascii="David" w:hAnsi="David"/>
          <w:rtl/>
        </w:rPr>
      </w:pPr>
      <w:r w:rsidRPr="00DA5930">
        <w:rPr>
          <w:rtl/>
        </w:rPr>
        <w:t xml:space="preserve"> </w:t>
      </w:r>
    </w:p>
    <w:p w14:paraId="0C8FA404" w14:textId="77777777" w:rsidR="005F0657" w:rsidRPr="00AA302B" w:rsidRDefault="005F0657" w:rsidP="00AA302B">
      <w:pPr>
        <w:keepNext/>
        <w:rPr>
          <w:rFonts w:ascii="David" w:hAnsi="David"/>
          <w:color w:val="000000"/>
          <w:sz w:val="22"/>
          <w:szCs w:val="22"/>
          <w:rtl/>
        </w:rPr>
      </w:pPr>
    </w:p>
    <w:p w14:paraId="7D93E486" w14:textId="77777777" w:rsidR="00AA302B" w:rsidRPr="00AA302B" w:rsidRDefault="00AA302B" w:rsidP="00AA302B">
      <w:pPr>
        <w:keepNext/>
        <w:rPr>
          <w:rFonts w:ascii="David" w:hAnsi="David"/>
          <w:color w:val="000000"/>
          <w:sz w:val="22"/>
          <w:szCs w:val="22"/>
          <w:rtl/>
        </w:rPr>
      </w:pPr>
      <w:r w:rsidRPr="00AA302B">
        <w:rPr>
          <w:rFonts w:ascii="David" w:hAnsi="David"/>
          <w:color w:val="000000"/>
          <w:sz w:val="22"/>
          <w:szCs w:val="22"/>
          <w:rtl/>
        </w:rPr>
        <w:t>אליהו ביתן 54678313</w:t>
      </w:r>
    </w:p>
    <w:p w14:paraId="2DB2D5ED" w14:textId="77777777" w:rsidR="00AA302B" w:rsidRDefault="00AA302B" w:rsidP="00AA302B">
      <w:r w:rsidRPr="00AA302B">
        <w:rPr>
          <w:color w:val="000000"/>
          <w:rtl/>
        </w:rPr>
        <w:t>נוסח מסמך זה כפוף לשינויי ניסוח ועריכה</w:t>
      </w:r>
    </w:p>
    <w:p w14:paraId="40C5B8A5" w14:textId="77777777" w:rsidR="00AA302B" w:rsidRDefault="00AA302B" w:rsidP="00AA302B">
      <w:pPr>
        <w:rPr>
          <w:rtl/>
        </w:rPr>
      </w:pPr>
    </w:p>
    <w:p w14:paraId="7C4959B8" w14:textId="77777777" w:rsidR="00AA302B" w:rsidRDefault="00AA302B" w:rsidP="00AA302B">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2503E87F" w14:textId="77777777" w:rsidR="00AA302B" w:rsidRPr="00AA302B" w:rsidRDefault="00AA302B" w:rsidP="00AA302B">
      <w:pPr>
        <w:jc w:val="center"/>
        <w:rPr>
          <w:color w:val="0000FF"/>
          <w:u w:val="single"/>
        </w:rPr>
      </w:pPr>
    </w:p>
    <w:sectPr w:rsidR="00AA302B" w:rsidRPr="00AA302B" w:rsidSect="00AA302B">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2F4FE" w14:textId="77777777" w:rsidR="009311B3" w:rsidRDefault="009311B3" w:rsidP="007A1B84">
      <w:r>
        <w:separator/>
      </w:r>
    </w:p>
  </w:endnote>
  <w:endnote w:type="continuationSeparator" w:id="0">
    <w:p w14:paraId="055143D5" w14:textId="77777777" w:rsidR="009311B3" w:rsidRDefault="009311B3" w:rsidP="007A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0DEF1" w14:textId="77777777" w:rsidR="00AA302B" w:rsidRDefault="00AA302B" w:rsidP="00AA30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357A53" w14:textId="77777777" w:rsidR="00237EE6" w:rsidRPr="00AA302B" w:rsidRDefault="00AA302B" w:rsidP="00AA30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25F8F" w14:textId="77777777" w:rsidR="00AA302B" w:rsidRDefault="00AA302B" w:rsidP="00AA30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5889">
      <w:rPr>
        <w:rFonts w:ascii="FrankRuehl" w:hAnsi="FrankRuehl" w:cs="FrankRuehl"/>
        <w:noProof/>
        <w:rtl/>
      </w:rPr>
      <w:t>1</w:t>
    </w:r>
    <w:r>
      <w:rPr>
        <w:rFonts w:ascii="FrankRuehl" w:hAnsi="FrankRuehl" w:cs="FrankRuehl"/>
        <w:rtl/>
      </w:rPr>
      <w:fldChar w:fldCharType="end"/>
    </w:r>
  </w:p>
  <w:p w14:paraId="7D18CFBB" w14:textId="77777777" w:rsidR="00237EE6" w:rsidRPr="00AA302B" w:rsidRDefault="00AA302B" w:rsidP="00AA30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41A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3F583" w14:textId="77777777" w:rsidR="009311B3" w:rsidRDefault="009311B3" w:rsidP="007A1B84">
      <w:r>
        <w:separator/>
      </w:r>
    </w:p>
  </w:footnote>
  <w:footnote w:type="continuationSeparator" w:id="0">
    <w:p w14:paraId="3D72F0E9" w14:textId="77777777" w:rsidR="009311B3" w:rsidRDefault="009311B3" w:rsidP="007A1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5E47D" w14:textId="77777777" w:rsidR="00AA302B" w:rsidRPr="00AA302B" w:rsidRDefault="00AA302B" w:rsidP="00AA30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32410-05-22</w:t>
    </w:r>
    <w:r>
      <w:rPr>
        <w:rFonts w:ascii="David" w:hAnsi="David"/>
        <w:color w:val="000000"/>
        <w:sz w:val="22"/>
        <w:szCs w:val="22"/>
        <w:rtl/>
      </w:rPr>
      <w:tab/>
      <w:t xml:space="preserve"> מדינת ישראל נ' מוחמד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C8079" w14:textId="77777777" w:rsidR="00AA302B" w:rsidRPr="00AA302B" w:rsidRDefault="00AA302B" w:rsidP="00AA30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32410-05-22</w:t>
    </w:r>
    <w:r>
      <w:rPr>
        <w:rFonts w:ascii="David" w:hAnsi="David"/>
        <w:color w:val="000000"/>
        <w:sz w:val="22"/>
        <w:szCs w:val="22"/>
        <w:rtl/>
      </w:rPr>
      <w:tab/>
      <w:t xml:space="preserve"> מדינת ישראל נ' מוחמד טאהא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1F3"/>
    <w:rsid w:val="00017B34"/>
    <w:rsid w:val="00135C49"/>
    <w:rsid w:val="001B5A3B"/>
    <w:rsid w:val="00237EE6"/>
    <w:rsid w:val="004471F3"/>
    <w:rsid w:val="00485889"/>
    <w:rsid w:val="005F0657"/>
    <w:rsid w:val="00775211"/>
    <w:rsid w:val="007A1B84"/>
    <w:rsid w:val="007C58C6"/>
    <w:rsid w:val="009311B3"/>
    <w:rsid w:val="009606D7"/>
    <w:rsid w:val="00AA302B"/>
    <w:rsid w:val="00B23A6C"/>
    <w:rsid w:val="00C94AEF"/>
    <w:rsid w:val="00CF08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E549D7"/>
  <w15:chartTrackingRefBased/>
  <w15:docId w15:val="{0D666731-9965-476C-B14B-FBD21CDC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1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1F3"/>
    <w:pPr>
      <w:tabs>
        <w:tab w:val="center" w:pos="4153"/>
        <w:tab w:val="right" w:pos="8306"/>
      </w:tabs>
    </w:pPr>
  </w:style>
  <w:style w:type="character" w:customStyle="1" w:styleId="a4">
    <w:name w:val="כותרת עליונה תו"/>
    <w:link w:val="a3"/>
    <w:rsid w:val="004471F3"/>
    <w:rPr>
      <w:rFonts w:ascii="Times New Roman" w:eastAsia="Times New Roman" w:hAnsi="Times New Roman" w:cs="David"/>
      <w:sz w:val="24"/>
      <w:szCs w:val="24"/>
    </w:rPr>
  </w:style>
  <w:style w:type="paragraph" w:styleId="a5">
    <w:name w:val="footer"/>
    <w:basedOn w:val="a"/>
    <w:link w:val="a6"/>
    <w:rsid w:val="004471F3"/>
    <w:pPr>
      <w:tabs>
        <w:tab w:val="center" w:pos="4153"/>
        <w:tab w:val="right" w:pos="8306"/>
      </w:tabs>
    </w:pPr>
  </w:style>
  <w:style w:type="character" w:customStyle="1" w:styleId="a6">
    <w:name w:val="כותרת תחתונה תו"/>
    <w:link w:val="a5"/>
    <w:rsid w:val="004471F3"/>
    <w:rPr>
      <w:rFonts w:ascii="Times New Roman" w:eastAsia="Times New Roman" w:hAnsi="Times New Roman" w:cs="David"/>
      <w:sz w:val="24"/>
      <w:szCs w:val="24"/>
    </w:rPr>
  </w:style>
  <w:style w:type="table" w:styleId="a7">
    <w:name w:val="Table Grid"/>
    <w:basedOn w:val="a1"/>
    <w:rsid w:val="004471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1F3"/>
  </w:style>
  <w:style w:type="paragraph" w:customStyle="1" w:styleId="12">
    <w:name w:val="רגיל + ‏12 נק'"/>
    <w:aliases w:val="מיושר לשני הצדדים,מרווח בין שורות:  שורה וחצי"/>
    <w:basedOn w:val="a"/>
    <w:rsid w:val="004471F3"/>
    <w:rPr>
      <w:b/>
      <w:bCs/>
      <w:u w:val="single"/>
    </w:rPr>
  </w:style>
  <w:style w:type="character" w:styleId="Hyperlink">
    <w:name w:val="Hyperlink"/>
    <w:rsid w:val="00447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g" TargetMode="External"/><Relationship Id="rId13" Type="http://schemas.openxmlformats.org/officeDocument/2006/relationships/hyperlink" Target="http://www.nevo.co.il/law/70301/144.g"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law/70301/340a.b.1"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161892"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22294063" TargetMode="External"/><Relationship Id="rId23"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0a.b.1" TargetMode="External"/><Relationship Id="rId14" Type="http://schemas.openxmlformats.org/officeDocument/2006/relationships/hyperlink" Target="http://www.nevo.co.il/law/703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5095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6102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589898</vt:i4>
      </vt:variant>
      <vt:variant>
        <vt:i4>30</vt:i4>
      </vt:variant>
      <vt:variant>
        <vt:i4>0</vt:i4>
      </vt:variant>
      <vt:variant>
        <vt:i4>5</vt:i4>
      </vt:variant>
      <vt:variant>
        <vt:lpwstr>http://www.nevo.co.il/case/161892</vt:lpwstr>
      </vt:variant>
      <vt:variant>
        <vt:lpwstr/>
      </vt:variant>
      <vt:variant>
        <vt:i4>3276927</vt:i4>
      </vt:variant>
      <vt:variant>
        <vt:i4>27</vt:i4>
      </vt:variant>
      <vt:variant>
        <vt:i4>0</vt:i4>
      </vt:variant>
      <vt:variant>
        <vt:i4>5</vt:i4>
      </vt:variant>
      <vt:variant>
        <vt:lpwstr>http://www.nevo.co.il/case/22294063</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32410</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טאהא</vt:lpwstr>
  </property>
  <property fmtid="{D5CDD505-2E9C-101B-9397-08002B2CF9AE}" pid="10" name="LAWYER">
    <vt:lpwstr>הדס עמר;שני מורן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20221025</vt:lpwstr>
  </property>
  <property fmtid="{D5CDD505-2E9C-101B-9397-08002B2CF9AE}" pid="14" name="TYPE_N_DATE">
    <vt:lpwstr>39020221025</vt:lpwstr>
  </property>
  <property fmtid="{D5CDD505-2E9C-101B-9397-08002B2CF9AE}" pid="15" name="WORDNUMPAGES">
    <vt:lpwstr>4</vt:lpwstr>
  </property>
  <property fmtid="{D5CDD505-2E9C-101B-9397-08002B2CF9AE}" pid="16" name="TYPE_ABS_DATE">
    <vt:lpwstr>390020221025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22294063;161892</vt:lpwstr>
  </property>
  <property fmtid="{D5CDD505-2E9C-101B-9397-08002B2CF9AE}" pid="36" name="LAWLISTTMP1">
    <vt:lpwstr>70301/144.a;340a.b.1;144.g</vt:lpwstr>
  </property>
</Properties>
</file>