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613812" w:rsidRPr="0056730E" w14:paraId="3564001A" w14:textId="77777777" w:rsidTr="00C83CBD">
        <w:trPr>
          <w:trHeight w:hRule="exact" w:val="418"/>
          <w:jc w:val="center"/>
        </w:trPr>
        <w:tc>
          <w:tcPr>
            <w:tcW w:w="8721" w:type="dxa"/>
            <w:gridSpan w:val="2"/>
          </w:tcPr>
          <w:p w14:paraId="283FDF3D" w14:textId="77777777" w:rsidR="00613812" w:rsidRPr="0056730E" w:rsidRDefault="00613812" w:rsidP="000266BC">
            <w:pPr>
              <w:pStyle w:val="a3"/>
              <w:jc w:val="center"/>
              <w:rPr>
                <w:rFonts w:ascii="Tahoma" w:hAnsi="Tahoma" w:cs="Tahoma"/>
                <w:color w:val="000080"/>
                <w:rtl/>
              </w:rPr>
            </w:pPr>
            <w:bookmarkStart w:id="0" w:name="LastJudge"/>
            <w:r w:rsidRPr="0056730E">
              <w:rPr>
                <w:rFonts w:ascii="Tahoma" w:hAnsi="Tahoma" w:cs="Tahoma"/>
                <w:b/>
                <w:bCs/>
                <w:color w:val="000080"/>
                <w:rtl/>
              </w:rPr>
              <w:t>בית המשפט המחוזי בבאר שבע</w:t>
            </w:r>
          </w:p>
        </w:tc>
      </w:tr>
      <w:tr w:rsidR="00613812" w:rsidRPr="0056730E" w14:paraId="43D60745" w14:textId="77777777" w:rsidTr="00C83CBD">
        <w:trPr>
          <w:trHeight w:val="337"/>
          <w:jc w:val="center"/>
        </w:trPr>
        <w:tc>
          <w:tcPr>
            <w:tcW w:w="5060" w:type="dxa"/>
          </w:tcPr>
          <w:p w14:paraId="5864B039" w14:textId="77777777" w:rsidR="00613812" w:rsidRPr="0056730E" w:rsidRDefault="00613812" w:rsidP="000266BC">
            <w:pPr>
              <w:rPr>
                <w:rFonts w:cs="FrankRuehl"/>
                <w:sz w:val="28"/>
                <w:szCs w:val="28"/>
                <w:rtl/>
              </w:rPr>
            </w:pPr>
            <w:r w:rsidRPr="0056730E">
              <w:rPr>
                <w:rFonts w:cs="FrankRuehl"/>
                <w:sz w:val="28"/>
                <w:szCs w:val="28"/>
                <w:rtl/>
              </w:rPr>
              <w:t>ת"פ</w:t>
            </w:r>
            <w:r w:rsidRPr="0056730E">
              <w:rPr>
                <w:rFonts w:cs="FrankRuehl" w:hint="cs"/>
                <w:sz w:val="28"/>
                <w:szCs w:val="28"/>
                <w:rtl/>
              </w:rPr>
              <w:t xml:space="preserve"> </w:t>
            </w:r>
            <w:r w:rsidRPr="0056730E">
              <w:rPr>
                <w:rFonts w:cs="FrankRuehl"/>
                <w:sz w:val="28"/>
                <w:szCs w:val="28"/>
                <w:rtl/>
              </w:rPr>
              <w:t>38609-05-22</w:t>
            </w:r>
            <w:r w:rsidRPr="0056730E">
              <w:rPr>
                <w:rFonts w:cs="FrankRuehl" w:hint="cs"/>
                <w:sz w:val="28"/>
                <w:szCs w:val="28"/>
                <w:rtl/>
              </w:rPr>
              <w:t xml:space="preserve"> </w:t>
            </w:r>
            <w:r w:rsidRPr="0056730E">
              <w:rPr>
                <w:rFonts w:cs="FrankRuehl"/>
                <w:sz w:val="28"/>
                <w:szCs w:val="28"/>
                <w:rtl/>
              </w:rPr>
              <w:t>מדינת ישראל נ' אלבחירי(עציר)</w:t>
            </w:r>
          </w:p>
          <w:p w14:paraId="29C95F30" w14:textId="77777777" w:rsidR="00613812" w:rsidRPr="0056730E" w:rsidRDefault="00613812" w:rsidP="000266BC">
            <w:pPr>
              <w:pStyle w:val="a3"/>
              <w:rPr>
                <w:rFonts w:cs="FrankRuehl"/>
                <w:sz w:val="28"/>
                <w:szCs w:val="28"/>
                <w:rtl/>
              </w:rPr>
            </w:pPr>
          </w:p>
        </w:tc>
        <w:tc>
          <w:tcPr>
            <w:tcW w:w="3661" w:type="dxa"/>
          </w:tcPr>
          <w:p w14:paraId="2D557E2B" w14:textId="77777777" w:rsidR="00613812" w:rsidRPr="0056730E" w:rsidRDefault="00613812" w:rsidP="000266BC">
            <w:pPr>
              <w:pStyle w:val="a3"/>
              <w:jc w:val="right"/>
              <w:rPr>
                <w:rFonts w:cs="FrankRuehl"/>
                <w:sz w:val="28"/>
                <w:szCs w:val="28"/>
                <w:rtl/>
              </w:rPr>
            </w:pPr>
          </w:p>
        </w:tc>
      </w:tr>
    </w:tbl>
    <w:p w14:paraId="04E1BF22" w14:textId="77777777" w:rsidR="00613812" w:rsidRPr="0056730E" w:rsidRDefault="00613812" w:rsidP="00613812">
      <w:pPr>
        <w:pStyle w:val="a3"/>
        <w:rPr>
          <w:rtl/>
        </w:rPr>
      </w:pPr>
      <w:r w:rsidRPr="0056730E">
        <w:rPr>
          <w:rFonts w:hint="cs"/>
          <w:rtl/>
        </w:rPr>
        <w:t xml:space="preserve"> </w:t>
      </w:r>
    </w:p>
    <w:p w14:paraId="636E1F64" w14:textId="77777777" w:rsidR="00613812" w:rsidRPr="0056730E" w:rsidRDefault="00613812" w:rsidP="00613812">
      <w:pPr>
        <w:rPr>
          <w:rtl/>
        </w:rPr>
      </w:pPr>
    </w:p>
    <w:p w14:paraId="12B72755" w14:textId="77777777" w:rsidR="00613812" w:rsidRPr="0056730E" w:rsidRDefault="00613812" w:rsidP="0061381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13812" w:rsidRPr="0056730E" w14:paraId="21133B22" w14:textId="77777777" w:rsidTr="00613812">
        <w:trPr>
          <w:trHeight w:val="295"/>
          <w:jc w:val="center"/>
        </w:trPr>
        <w:tc>
          <w:tcPr>
            <w:tcW w:w="923" w:type="dxa"/>
            <w:tcBorders>
              <w:top w:val="nil"/>
              <w:left w:val="nil"/>
              <w:bottom w:val="nil"/>
              <w:right w:val="nil"/>
            </w:tcBorders>
            <w:shd w:val="clear" w:color="auto" w:fill="auto"/>
          </w:tcPr>
          <w:p w14:paraId="176C9FDA" w14:textId="77777777" w:rsidR="00613812" w:rsidRPr="0056730E" w:rsidRDefault="00613812" w:rsidP="00613812">
            <w:pPr>
              <w:jc w:val="both"/>
              <w:rPr>
                <w:rFonts w:ascii="David" w:hAnsi="David"/>
                <w:sz w:val="26"/>
                <w:szCs w:val="26"/>
              </w:rPr>
            </w:pPr>
            <w:r w:rsidRPr="0056730E">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D3D3BF9" w14:textId="77777777" w:rsidR="00613812" w:rsidRPr="0056730E" w:rsidRDefault="00613812" w:rsidP="000266BC">
            <w:pPr>
              <w:rPr>
                <w:rFonts w:ascii="David" w:hAnsi="David"/>
                <w:b/>
                <w:bCs/>
                <w:sz w:val="26"/>
                <w:szCs w:val="26"/>
                <w:rtl/>
              </w:rPr>
            </w:pPr>
            <w:r w:rsidRPr="0056730E">
              <w:rPr>
                <w:rFonts w:ascii="David" w:hAnsi="David"/>
                <w:b/>
                <w:bCs/>
                <w:sz w:val="26"/>
                <w:szCs w:val="26"/>
                <w:rtl/>
              </w:rPr>
              <w:t>כבוד השופט  אלון גביזון</w:t>
            </w:r>
          </w:p>
          <w:p w14:paraId="713287C3" w14:textId="77777777" w:rsidR="00613812" w:rsidRPr="0056730E" w:rsidRDefault="00613812" w:rsidP="000266BC">
            <w:pPr>
              <w:rPr>
                <w:rFonts w:ascii="David" w:hAnsi="David"/>
                <w:sz w:val="26"/>
                <w:szCs w:val="26"/>
                <w:rtl/>
              </w:rPr>
            </w:pPr>
          </w:p>
          <w:p w14:paraId="3A8F288B" w14:textId="77777777" w:rsidR="00613812" w:rsidRPr="0056730E" w:rsidRDefault="00613812" w:rsidP="00613812">
            <w:pPr>
              <w:jc w:val="both"/>
              <w:rPr>
                <w:rFonts w:ascii="David" w:hAnsi="David"/>
                <w:sz w:val="26"/>
                <w:szCs w:val="26"/>
              </w:rPr>
            </w:pPr>
          </w:p>
        </w:tc>
      </w:tr>
      <w:tr w:rsidR="00613812" w:rsidRPr="0056730E" w14:paraId="39D43EE9" w14:textId="77777777" w:rsidTr="00613812">
        <w:trPr>
          <w:trHeight w:val="355"/>
          <w:jc w:val="center"/>
        </w:trPr>
        <w:tc>
          <w:tcPr>
            <w:tcW w:w="923" w:type="dxa"/>
            <w:tcBorders>
              <w:top w:val="nil"/>
              <w:left w:val="nil"/>
              <w:bottom w:val="nil"/>
              <w:right w:val="nil"/>
            </w:tcBorders>
            <w:shd w:val="clear" w:color="auto" w:fill="auto"/>
          </w:tcPr>
          <w:p w14:paraId="79D04AA2" w14:textId="77777777" w:rsidR="00613812" w:rsidRPr="0056730E" w:rsidRDefault="00613812" w:rsidP="00613812">
            <w:pPr>
              <w:jc w:val="both"/>
              <w:rPr>
                <w:rFonts w:ascii="David" w:hAnsi="David"/>
                <w:sz w:val="26"/>
                <w:szCs w:val="26"/>
              </w:rPr>
            </w:pPr>
            <w:bookmarkStart w:id="1" w:name="FirstAppellant"/>
            <w:bookmarkStart w:id="2" w:name="FirstLawyer"/>
            <w:r w:rsidRPr="0056730E">
              <w:rPr>
                <w:rFonts w:ascii="David" w:hAnsi="David"/>
                <w:sz w:val="26"/>
                <w:szCs w:val="26"/>
                <w:rtl/>
              </w:rPr>
              <w:t>בעניין:</w:t>
            </w:r>
          </w:p>
        </w:tc>
        <w:tc>
          <w:tcPr>
            <w:tcW w:w="3219" w:type="dxa"/>
            <w:tcBorders>
              <w:top w:val="nil"/>
              <w:left w:val="nil"/>
              <w:bottom w:val="nil"/>
              <w:right w:val="nil"/>
            </w:tcBorders>
            <w:shd w:val="clear" w:color="auto" w:fill="auto"/>
          </w:tcPr>
          <w:p w14:paraId="46CC2D66" w14:textId="77777777" w:rsidR="00613812" w:rsidRPr="0056730E" w:rsidRDefault="00613812" w:rsidP="00613812">
            <w:pPr>
              <w:suppressLineNumbers/>
            </w:pPr>
            <w:r w:rsidRPr="0056730E">
              <w:rPr>
                <w:rFonts w:ascii="Arial" w:hAnsi="Arial" w:hint="cs"/>
                <w:b/>
                <w:bCs/>
                <w:sz w:val="26"/>
                <w:szCs w:val="26"/>
                <w:rtl/>
              </w:rPr>
              <w:t>ה</w:t>
            </w:r>
            <w:r w:rsidRPr="0056730E">
              <w:rPr>
                <w:rFonts w:ascii="Arial" w:hAnsi="Arial"/>
                <w:b/>
                <w:bCs/>
                <w:sz w:val="26"/>
                <w:szCs w:val="26"/>
                <w:rtl/>
              </w:rPr>
              <w:t>מאשימה</w:t>
            </w:r>
          </w:p>
          <w:p w14:paraId="21F68855" w14:textId="77777777" w:rsidR="00613812" w:rsidRPr="0056730E" w:rsidRDefault="00613812" w:rsidP="000266BC">
            <w:pPr>
              <w:rPr>
                <w:rFonts w:ascii="David" w:hAnsi="David"/>
                <w:sz w:val="26"/>
                <w:szCs w:val="26"/>
              </w:rPr>
            </w:pPr>
          </w:p>
        </w:tc>
        <w:tc>
          <w:tcPr>
            <w:tcW w:w="4678" w:type="dxa"/>
            <w:tcBorders>
              <w:top w:val="nil"/>
              <w:left w:val="nil"/>
              <w:bottom w:val="nil"/>
              <w:right w:val="nil"/>
            </w:tcBorders>
            <w:shd w:val="clear" w:color="auto" w:fill="auto"/>
            <w:vAlign w:val="center"/>
          </w:tcPr>
          <w:p w14:paraId="09D8FC66" w14:textId="77777777" w:rsidR="00613812" w:rsidRPr="0056730E" w:rsidRDefault="00613812" w:rsidP="00613812">
            <w:pPr>
              <w:suppressLineNumbers/>
              <w:rPr>
                <w:rFonts w:ascii="Arial" w:hAnsi="Arial"/>
                <w:b/>
                <w:bCs/>
                <w:sz w:val="26"/>
                <w:szCs w:val="26"/>
                <w:rtl/>
              </w:rPr>
            </w:pPr>
            <w:r w:rsidRPr="0056730E">
              <w:rPr>
                <w:rFonts w:ascii="Arial" w:hAnsi="Arial"/>
                <w:b/>
                <w:bCs/>
                <w:sz w:val="26"/>
                <w:szCs w:val="26"/>
                <w:rtl/>
              </w:rPr>
              <w:t>מדינת ישראל</w:t>
            </w:r>
            <w:r w:rsidRPr="0056730E">
              <w:rPr>
                <w:rFonts w:ascii="Arial" w:hAnsi="Arial" w:hint="cs"/>
                <w:b/>
                <w:bCs/>
                <w:sz w:val="26"/>
                <w:szCs w:val="26"/>
                <w:rtl/>
              </w:rPr>
              <w:t xml:space="preserve"> </w:t>
            </w:r>
          </w:p>
          <w:p w14:paraId="64578E86" w14:textId="77777777" w:rsidR="00613812" w:rsidRPr="0056730E" w:rsidRDefault="00613812" w:rsidP="00613812">
            <w:pPr>
              <w:suppressLineNumbers/>
            </w:pPr>
            <w:r w:rsidRPr="0056730E">
              <w:rPr>
                <w:rFonts w:ascii="Arial" w:hAnsi="Arial"/>
                <w:b/>
                <w:bCs/>
                <w:sz w:val="26"/>
                <w:szCs w:val="26"/>
                <w:rtl/>
              </w:rPr>
              <w:t>ע"י ב"כ עוה"</w:t>
            </w:r>
            <w:r w:rsidRPr="0056730E">
              <w:rPr>
                <w:rFonts w:ascii="Arial" w:hAnsi="Arial" w:hint="cs"/>
                <w:b/>
                <w:bCs/>
                <w:sz w:val="26"/>
                <w:szCs w:val="26"/>
                <w:rtl/>
              </w:rPr>
              <w:t xml:space="preserve">ד איילת קדוש </w:t>
            </w:r>
          </w:p>
          <w:p w14:paraId="0E0390BC" w14:textId="77777777" w:rsidR="00613812" w:rsidRPr="0056730E" w:rsidRDefault="00613812" w:rsidP="000266BC">
            <w:pPr>
              <w:rPr>
                <w:rFonts w:ascii="David" w:hAnsi="David"/>
                <w:sz w:val="26"/>
                <w:szCs w:val="26"/>
              </w:rPr>
            </w:pPr>
          </w:p>
        </w:tc>
      </w:tr>
      <w:bookmarkEnd w:id="1"/>
      <w:bookmarkEnd w:id="2"/>
      <w:tr w:rsidR="00613812" w:rsidRPr="0056730E" w14:paraId="192C223B" w14:textId="77777777" w:rsidTr="00613812">
        <w:trPr>
          <w:trHeight w:val="355"/>
          <w:jc w:val="center"/>
        </w:trPr>
        <w:tc>
          <w:tcPr>
            <w:tcW w:w="923" w:type="dxa"/>
            <w:tcBorders>
              <w:top w:val="nil"/>
              <w:left w:val="nil"/>
              <w:bottom w:val="nil"/>
              <w:right w:val="nil"/>
            </w:tcBorders>
            <w:shd w:val="clear" w:color="auto" w:fill="auto"/>
          </w:tcPr>
          <w:p w14:paraId="1E7E367B" w14:textId="77777777" w:rsidR="00613812" w:rsidRPr="0056730E" w:rsidRDefault="00613812" w:rsidP="0061381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AFCCB3F" w14:textId="77777777" w:rsidR="00613812" w:rsidRPr="0056730E" w:rsidRDefault="00613812" w:rsidP="00613812">
            <w:pPr>
              <w:jc w:val="center"/>
              <w:rPr>
                <w:rFonts w:ascii="David" w:hAnsi="David"/>
                <w:b/>
                <w:bCs/>
                <w:sz w:val="26"/>
                <w:szCs w:val="26"/>
                <w:rtl/>
              </w:rPr>
            </w:pPr>
          </w:p>
          <w:p w14:paraId="7F0E236C" w14:textId="77777777" w:rsidR="00613812" w:rsidRPr="0056730E" w:rsidRDefault="00613812" w:rsidP="00613812">
            <w:pPr>
              <w:jc w:val="center"/>
              <w:rPr>
                <w:rFonts w:ascii="David" w:hAnsi="David"/>
                <w:b/>
                <w:bCs/>
                <w:sz w:val="26"/>
                <w:szCs w:val="26"/>
                <w:rtl/>
              </w:rPr>
            </w:pPr>
            <w:r w:rsidRPr="0056730E">
              <w:rPr>
                <w:rFonts w:ascii="David" w:hAnsi="David"/>
                <w:b/>
                <w:bCs/>
                <w:sz w:val="26"/>
                <w:szCs w:val="26"/>
                <w:rtl/>
              </w:rPr>
              <w:t>נגד</w:t>
            </w:r>
          </w:p>
          <w:p w14:paraId="5C71EA08" w14:textId="77777777" w:rsidR="00613812" w:rsidRPr="0056730E" w:rsidRDefault="00613812" w:rsidP="00613812">
            <w:pPr>
              <w:jc w:val="both"/>
              <w:rPr>
                <w:rFonts w:ascii="David" w:hAnsi="David"/>
                <w:sz w:val="26"/>
                <w:szCs w:val="26"/>
              </w:rPr>
            </w:pPr>
          </w:p>
        </w:tc>
      </w:tr>
      <w:tr w:rsidR="00613812" w:rsidRPr="0056730E" w14:paraId="12A7D382" w14:textId="77777777" w:rsidTr="00613812">
        <w:trPr>
          <w:trHeight w:val="355"/>
          <w:jc w:val="center"/>
        </w:trPr>
        <w:tc>
          <w:tcPr>
            <w:tcW w:w="923" w:type="dxa"/>
            <w:tcBorders>
              <w:top w:val="nil"/>
              <w:left w:val="nil"/>
              <w:bottom w:val="nil"/>
              <w:right w:val="nil"/>
            </w:tcBorders>
            <w:shd w:val="clear" w:color="auto" w:fill="auto"/>
          </w:tcPr>
          <w:p w14:paraId="4D29E56F" w14:textId="77777777" w:rsidR="00613812" w:rsidRPr="0056730E" w:rsidRDefault="00613812" w:rsidP="000266BC">
            <w:pPr>
              <w:rPr>
                <w:rFonts w:ascii="David" w:hAnsi="David"/>
                <w:sz w:val="26"/>
                <w:szCs w:val="26"/>
                <w:rtl/>
              </w:rPr>
            </w:pPr>
          </w:p>
        </w:tc>
        <w:tc>
          <w:tcPr>
            <w:tcW w:w="3219" w:type="dxa"/>
            <w:tcBorders>
              <w:top w:val="nil"/>
              <w:left w:val="nil"/>
              <w:bottom w:val="nil"/>
              <w:right w:val="nil"/>
            </w:tcBorders>
            <w:shd w:val="clear" w:color="auto" w:fill="auto"/>
          </w:tcPr>
          <w:p w14:paraId="5B53AF69" w14:textId="77777777" w:rsidR="00613812" w:rsidRPr="0056730E" w:rsidRDefault="00613812" w:rsidP="000266BC">
            <w:pPr>
              <w:rPr>
                <w:rFonts w:ascii="Arial" w:hAnsi="Arial"/>
                <w:b/>
                <w:bCs/>
                <w:sz w:val="26"/>
                <w:szCs w:val="26"/>
                <w:rtl/>
              </w:rPr>
            </w:pPr>
            <w:r w:rsidRPr="0056730E">
              <w:rPr>
                <w:rFonts w:ascii="Arial" w:hAnsi="Arial"/>
                <w:b/>
                <w:bCs/>
                <w:sz w:val="26"/>
                <w:szCs w:val="26"/>
                <w:rtl/>
              </w:rPr>
              <w:t>הנא</w:t>
            </w:r>
            <w:r w:rsidRPr="0056730E">
              <w:rPr>
                <w:rFonts w:ascii="Arial" w:hAnsi="Arial" w:hint="cs"/>
                <w:b/>
                <w:bCs/>
                <w:sz w:val="26"/>
                <w:szCs w:val="26"/>
                <w:rtl/>
              </w:rPr>
              <w:t xml:space="preserve">שם </w:t>
            </w:r>
          </w:p>
        </w:tc>
        <w:tc>
          <w:tcPr>
            <w:tcW w:w="4678" w:type="dxa"/>
            <w:tcBorders>
              <w:top w:val="nil"/>
              <w:left w:val="nil"/>
              <w:bottom w:val="nil"/>
              <w:right w:val="nil"/>
            </w:tcBorders>
            <w:shd w:val="clear" w:color="auto" w:fill="auto"/>
            <w:vAlign w:val="center"/>
          </w:tcPr>
          <w:p w14:paraId="347D320D" w14:textId="77777777" w:rsidR="00613812" w:rsidRPr="0056730E" w:rsidRDefault="00613812" w:rsidP="00613812">
            <w:pPr>
              <w:suppressLineNumbers/>
            </w:pPr>
            <w:r w:rsidRPr="0056730E">
              <w:rPr>
                <w:rFonts w:ascii="Arial" w:hAnsi="Arial"/>
                <w:b/>
                <w:bCs/>
                <w:sz w:val="26"/>
                <w:szCs w:val="26"/>
                <w:rtl/>
              </w:rPr>
              <w:t>מוסטפה אלבחירי (עציר)</w:t>
            </w:r>
            <w:r w:rsidRPr="0056730E">
              <w:rPr>
                <w:rFonts w:ascii="Arial" w:hAnsi="Arial"/>
                <w:b/>
                <w:bCs/>
                <w:sz w:val="26"/>
                <w:szCs w:val="26"/>
                <w:rtl/>
              </w:rPr>
              <w:br/>
              <w:t>ע"י ב"כ עוה"ד</w:t>
            </w:r>
            <w:r w:rsidRPr="0056730E">
              <w:rPr>
                <w:rFonts w:ascii="Arial" w:hAnsi="Arial" w:hint="cs"/>
                <w:b/>
                <w:bCs/>
                <w:sz w:val="26"/>
                <w:szCs w:val="26"/>
                <w:rtl/>
              </w:rPr>
              <w:t xml:space="preserve"> אהוד בן יהודה</w:t>
            </w:r>
          </w:p>
          <w:p w14:paraId="41F5ED92" w14:textId="77777777" w:rsidR="00613812" w:rsidRPr="0056730E" w:rsidRDefault="00613812" w:rsidP="000266BC">
            <w:pPr>
              <w:rPr>
                <w:rFonts w:ascii="David" w:hAnsi="David"/>
                <w:sz w:val="26"/>
                <w:szCs w:val="26"/>
              </w:rPr>
            </w:pPr>
          </w:p>
        </w:tc>
      </w:tr>
    </w:tbl>
    <w:p w14:paraId="4B69D10E" w14:textId="77777777" w:rsidR="008360B1" w:rsidRPr="008360B1" w:rsidRDefault="008360B1" w:rsidP="008360B1">
      <w:pPr>
        <w:spacing w:before="120" w:after="120" w:line="240" w:lineRule="exact"/>
        <w:ind w:left="283" w:hanging="283"/>
        <w:jc w:val="both"/>
        <w:rPr>
          <w:rFonts w:ascii="FrankRuehl" w:hAnsi="FrankRuehl" w:cs="FrankRuehl"/>
          <w:rtl/>
        </w:rPr>
      </w:pPr>
    </w:p>
    <w:p w14:paraId="3585F415" w14:textId="77777777" w:rsidR="00646578" w:rsidRDefault="00646578" w:rsidP="00646578">
      <w:pPr>
        <w:rPr>
          <w:rtl/>
        </w:rPr>
      </w:pPr>
      <w:bookmarkStart w:id="3" w:name="LawTable"/>
      <w:bookmarkEnd w:id="3"/>
    </w:p>
    <w:p w14:paraId="6EF195FA" w14:textId="77777777" w:rsidR="00646578" w:rsidRPr="00646578" w:rsidRDefault="00646578" w:rsidP="00646578">
      <w:pPr>
        <w:spacing w:before="120" w:after="120" w:line="240" w:lineRule="exact"/>
        <w:ind w:left="283" w:hanging="283"/>
        <w:jc w:val="both"/>
        <w:rPr>
          <w:rFonts w:ascii="FrankRuehl" w:hAnsi="FrankRuehl" w:cs="FrankRuehl"/>
          <w:rtl/>
        </w:rPr>
      </w:pPr>
    </w:p>
    <w:p w14:paraId="45139B8B" w14:textId="77777777" w:rsidR="00646578" w:rsidRPr="00646578" w:rsidRDefault="00646578" w:rsidP="00646578">
      <w:pPr>
        <w:spacing w:before="120" w:after="120" w:line="240" w:lineRule="exact"/>
        <w:ind w:left="283" w:hanging="283"/>
        <w:jc w:val="both"/>
        <w:rPr>
          <w:rFonts w:ascii="FrankRuehl" w:hAnsi="FrankRuehl" w:cs="FrankRuehl"/>
          <w:rtl/>
        </w:rPr>
      </w:pPr>
    </w:p>
    <w:p w14:paraId="1C4309ED" w14:textId="77777777" w:rsidR="00646578" w:rsidRPr="00646578" w:rsidRDefault="00646578" w:rsidP="00646578">
      <w:pPr>
        <w:spacing w:before="120" w:after="120" w:line="240" w:lineRule="exact"/>
        <w:ind w:left="283" w:hanging="283"/>
        <w:jc w:val="both"/>
        <w:rPr>
          <w:rFonts w:ascii="FrankRuehl" w:hAnsi="FrankRuehl" w:cs="FrankRuehl"/>
          <w:rtl/>
        </w:rPr>
      </w:pPr>
      <w:r w:rsidRPr="00646578">
        <w:rPr>
          <w:rFonts w:ascii="FrankRuehl" w:hAnsi="FrankRuehl" w:cs="FrankRuehl"/>
          <w:rtl/>
        </w:rPr>
        <w:t xml:space="preserve">חקיקה שאוזכרה: </w:t>
      </w:r>
    </w:p>
    <w:p w14:paraId="52E08830" w14:textId="77777777" w:rsidR="00646578" w:rsidRPr="00646578" w:rsidRDefault="00646578" w:rsidP="00646578">
      <w:pPr>
        <w:spacing w:before="120" w:after="120" w:line="240" w:lineRule="exact"/>
        <w:ind w:left="283" w:hanging="283"/>
        <w:jc w:val="both"/>
        <w:rPr>
          <w:rFonts w:ascii="FrankRuehl" w:hAnsi="FrankRuehl" w:cs="FrankRuehl"/>
          <w:rtl/>
        </w:rPr>
      </w:pPr>
      <w:hyperlink r:id="rId7" w:history="1">
        <w:r w:rsidRPr="00646578">
          <w:rPr>
            <w:rFonts w:ascii="FrankRuehl" w:hAnsi="FrankRuehl" w:cs="FrankRuehl"/>
            <w:color w:val="0000FF"/>
            <w:rtl/>
          </w:rPr>
          <w:t>חוק העונשין, תשל"ז-1977</w:t>
        </w:r>
      </w:hyperlink>
      <w:r w:rsidRPr="00646578">
        <w:rPr>
          <w:rFonts w:ascii="FrankRuehl" w:hAnsi="FrankRuehl" w:cs="FrankRuehl"/>
          <w:rtl/>
        </w:rPr>
        <w:t xml:space="preserve">: סע'  </w:t>
      </w:r>
      <w:hyperlink r:id="rId8" w:history="1">
        <w:r w:rsidRPr="00646578">
          <w:rPr>
            <w:rFonts w:ascii="FrankRuehl" w:hAnsi="FrankRuehl" w:cs="FrankRuehl"/>
            <w:color w:val="0000FF"/>
            <w:rtl/>
          </w:rPr>
          <w:t>144</w:t>
        </w:r>
      </w:hyperlink>
      <w:r w:rsidRPr="00646578">
        <w:rPr>
          <w:rFonts w:ascii="FrankRuehl" w:hAnsi="FrankRuehl" w:cs="FrankRuehl"/>
          <w:rtl/>
        </w:rPr>
        <w:t xml:space="preserve">, </w:t>
      </w:r>
      <w:hyperlink r:id="rId9" w:history="1">
        <w:r w:rsidRPr="00646578">
          <w:rPr>
            <w:rFonts w:ascii="FrankRuehl" w:hAnsi="FrankRuehl" w:cs="FrankRuehl"/>
            <w:color w:val="0000FF"/>
            <w:rtl/>
          </w:rPr>
          <w:t>144(א)</w:t>
        </w:r>
      </w:hyperlink>
      <w:r w:rsidRPr="00646578">
        <w:rPr>
          <w:rFonts w:ascii="FrankRuehl" w:hAnsi="FrankRuehl" w:cs="FrankRuehl"/>
          <w:rtl/>
        </w:rPr>
        <w:t xml:space="preserve">, </w:t>
      </w:r>
      <w:hyperlink r:id="rId10" w:history="1">
        <w:r w:rsidRPr="00646578">
          <w:rPr>
            <w:rFonts w:ascii="FrankRuehl" w:hAnsi="FrankRuehl" w:cs="FrankRuehl"/>
            <w:color w:val="0000FF"/>
            <w:rtl/>
          </w:rPr>
          <w:t>(ב)</w:t>
        </w:r>
      </w:hyperlink>
      <w:r w:rsidRPr="00646578">
        <w:rPr>
          <w:rFonts w:ascii="FrankRuehl" w:hAnsi="FrankRuehl" w:cs="FrankRuehl"/>
          <w:rtl/>
        </w:rPr>
        <w:t xml:space="preserve">, </w:t>
      </w:r>
      <w:hyperlink r:id="rId11" w:history="1">
        <w:r w:rsidRPr="00646578">
          <w:rPr>
            <w:rFonts w:ascii="FrankRuehl" w:hAnsi="FrankRuehl" w:cs="FrankRuehl"/>
            <w:color w:val="0000FF"/>
            <w:rtl/>
          </w:rPr>
          <w:t>329(א)(1)</w:t>
        </w:r>
      </w:hyperlink>
    </w:p>
    <w:p w14:paraId="0AD57108" w14:textId="77777777" w:rsidR="00646578" w:rsidRPr="00646578" w:rsidRDefault="00646578" w:rsidP="00646578">
      <w:pPr>
        <w:rPr>
          <w:rtl/>
        </w:rPr>
      </w:pPr>
      <w:bookmarkStart w:id="4" w:name="LawTable_End"/>
      <w:bookmarkEnd w:id="4"/>
    </w:p>
    <w:p w14:paraId="395E0058" w14:textId="77777777" w:rsidR="0056730E" w:rsidRPr="008360B1" w:rsidRDefault="0056730E" w:rsidP="008360B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3812" w14:paraId="477FBF98" w14:textId="77777777" w:rsidTr="00613812">
        <w:trPr>
          <w:trHeight w:val="355"/>
          <w:jc w:val="center"/>
        </w:trPr>
        <w:tc>
          <w:tcPr>
            <w:tcW w:w="8820" w:type="dxa"/>
            <w:tcBorders>
              <w:top w:val="nil"/>
              <w:left w:val="nil"/>
              <w:bottom w:val="nil"/>
              <w:right w:val="nil"/>
            </w:tcBorders>
            <w:shd w:val="clear" w:color="auto" w:fill="auto"/>
          </w:tcPr>
          <w:p w14:paraId="664011E6" w14:textId="77777777" w:rsidR="0056730E" w:rsidRPr="0056730E" w:rsidRDefault="0056730E" w:rsidP="0056730E">
            <w:pPr>
              <w:jc w:val="center"/>
              <w:rPr>
                <w:rFonts w:ascii="David" w:hAnsi="David"/>
                <w:b/>
                <w:bCs/>
                <w:sz w:val="32"/>
                <w:szCs w:val="32"/>
                <w:u w:val="single"/>
                <w:rtl/>
              </w:rPr>
            </w:pPr>
            <w:bookmarkStart w:id="5" w:name="PsakDin" w:colFirst="0" w:colLast="0"/>
            <w:bookmarkEnd w:id="0"/>
            <w:r w:rsidRPr="0056730E">
              <w:rPr>
                <w:rFonts w:ascii="David" w:hAnsi="David"/>
                <w:b/>
                <w:bCs/>
                <w:sz w:val="32"/>
                <w:szCs w:val="32"/>
                <w:u w:val="single"/>
                <w:rtl/>
              </w:rPr>
              <w:t>גזר דין</w:t>
            </w:r>
          </w:p>
          <w:p w14:paraId="42FB8DE7" w14:textId="77777777" w:rsidR="00613812" w:rsidRPr="0056730E" w:rsidRDefault="00613812" w:rsidP="0056730E">
            <w:pPr>
              <w:jc w:val="center"/>
              <w:rPr>
                <w:rFonts w:ascii="David" w:hAnsi="David"/>
                <w:bCs/>
                <w:sz w:val="32"/>
                <w:szCs w:val="32"/>
                <w:u w:val="single"/>
                <w:rtl/>
              </w:rPr>
            </w:pPr>
          </w:p>
        </w:tc>
      </w:tr>
    </w:tbl>
    <w:bookmarkEnd w:id="5"/>
    <w:p w14:paraId="0AE5FA8C" w14:textId="77777777" w:rsidR="00613812" w:rsidRDefault="00613812" w:rsidP="00613812">
      <w:pPr>
        <w:spacing w:line="360" w:lineRule="auto"/>
        <w:rPr>
          <w:rFonts w:ascii="David" w:hAnsi="David"/>
          <w:b/>
          <w:bCs/>
          <w:u w:val="single"/>
          <w:rtl/>
        </w:rPr>
      </w:pPr>
      <w:r>
        <w:rPr>
          <w:rFonts w:ascii="David" w:hAnsi="David"/>
          <w:b/>
          <w:bCs/>
          <w:u w:val="single"/>
          <w:rtl/>
        </w:rPr>
        <w:t>האישום והסדר הטיעון</w:t>
      </w:r>
    </w:p>
    <w:p w14:paraId="33C9758C" w14:textId="77777777" w:rsidR="00613812" w:rsidRDefault="00613812" w:rsidP="00613812">
      <w:pPr>
        <w:spacing w:line="360" w:lineRule="auto"/>
        <w:rPr>
          <w:rFonts w:ascii="David" w:hAnsi="David"/>
          <w:b/>
          <w:bCs/>
          <w:u w:val="single"/>
          <w:rtl/>
        </w:rPr>
      </w:pPr>
    </w:p>
    <w:p w14:paraId="52AF4789" w14:textId="77777777" w:rsidR="00613812" w:rsidRDefault="00613812" w:rsidP="00613812">
      <w:pPr>
        <w:spacing w:line="360" w:lineRule="auto"/>
        <w:ind w:left="720" w:hanging="720"/>
        <w:jc w:val="both"/>
        <w:rPr>
          <w:rFonts w:ascii="David" w:hAnsi="David"/>
          <w:rtl/>
        </w:rPr>
      </w:pPr>
      <w:r w:rsidRPr="0097237B">
        <w:rPr>
          <w:rFonts w:ascii="David" w:hAnsi="David" w:hint="cs"/>
          <w:rtl/>
        </w:rPr>
        <w:t>1.</w:t>
      </w:r>
      <w:r w:rsidRPr="0097237B">
        <w:rPr>
          <w:rFonts w:ascii="David" w:hAnsi="David" w:hint="cs"/>
          <w:b/>
          <w:bCs/>
          <w:rtl/>
        </w:rPr>
        <w:tab/>
      </w:r>
      <w:bookmarkStart w:id="6" w:name="ABSTRACT_START"/>
      <w:bookmarkEnd w:id="6"/>
      <w:r>
        <w:rPr>
          <w:rFonts w:ascii="David" w:hAnsi="David"/>
          <w:rtl/>
        </w:rPr>
        <w:t xml:space="preserve">הנאשם הורשע על יסוד הודאתו בכתב אישום מתוקן, בעבירות של חבלה בכוונה מחמירה – מספר עבירות לפי </w:t>
      </w:r>
      <w:hyperlink r:id="rId12" w:history="1">
        <w:r w:rsidR="00C83CBD" w:rsidRPr="00C83CBD">
          <w:rPr>
            <w:rStyle w:val="Hyperlink"/>
            <w:rFonts w:ascii="David" w:hAnsi="David"/>
            <w:rtl/>
          </w:rPr>
          <w:t>סעיף 329(א)(1)</w:t>
        </w:r>
      </w:hyperlink>
      <w:r>
        <w:rPr>
          <w:rFonts w:ascii="David" w:hAnsi="David"/>
          <w:rtl/>
        </w:rPr>
        <w:t xml:space="preserve"> ל</w:t>
      </w:r>
      <w:hyperlink r:id="rId13" w:history="1">
        <w:r w:rsidR="0056730E" w:rsidRPr="0056730E">
          <w:rPr>
            <w:rFonts w:ascii="David" w:hAnsi="David"/>
            <w:color w:val="0000FF"/>
            <w:u w:val="single"/>
            <w:rtl/>
          </w:rPr>
          <w:t>חוק העונשין</w:t>
        </w:r>
      </w:hyperlink>
      <w:r>
        <w:rPr>
          <w:rFonts w:ascii="David" w:hAnsi="David"/>
          <w:rtl/>
        </w:rPr>
        <w:t>, התשל"ז – 1977 (להלן: "</w:t>
      </w:r>
      <w:r>
        <w:rPr>
          <w:rFonts w:ascii="David" w:hAnsi="David"/>
          <w:b/>
          <w:bCs/>
          <w:rtl/>
        </w:rPr>
        <w:t>החוק</w:t>
      </w:r>
      <w:r>
        <w:rPr>
          <w:rFonts w:ascii="David" w:hAnsi="David"/>
          <w:rtl/>
        </w:rPr>
        <w:t xml:space="preserve">") ובעבירות בנשק (נשיאה והחזקת נשק ותחמושת) – עבירות לפי </w:t>
      </w:r>
      <w:hyperlink r:id="rId14" w:history="1">
        <w:r w:rsidR="00C83CBD" w:rsidRPr="00C83CBD">
          <w:rPr>
            <w:rStyle w:val="Hyperlink"/>
            <w:rFonts w:ascii="David" w:hAnsi="David"/>
            <w:rtl/>
          </w:rPr>
          <w:t>סעיף 144(א)</w:t>
        </w:r>
      </w:hyperlink>
      <w:r>
        <w:rPr>
          <w:rFonts w:ascii="David" w:hAnsi="David"/>
          <w:rtl/>
        </w:rPr>
        <w:t xml:space="preserve"> + </w:t>
      </w:r>
      <w:hyperlink r:id="rId15" w:history="1">
        <w:r w:rsidR="00C83CBD" w:rsidRPr="00C83CBD">
          <w:rPr>
            <w:rStyle w:val="Hyperlink"/>
            <w:rFonts w:ascii="David" w:hAnsi="David"/>
            <w:rtl/>
          </w:rPr>
          <w:t>(ב)</w:t>
        </w:r>
      </w:hyperlink>
      <w:r>
        <w:rPr>
          <w:rFonts w:ascii="David" w:hAnsi="David"/>
          <w:rtl/>
        </w:rPr>
        <w:t xml:space="preserve"> רישא וסיפא לחוק. </w:t>
      </w:r>
    </w:p>
    <w:p w14:paraId="29583E25" w14:textId="77777777" w:rsidR="00613812" w:rsidRDefault="00613812" w:rsidP="00613812">
      <w:pPr>
        <w:spacing w:line="360" w:lineRule="auto"/>
        <w:ind w:left="720" w:hanging="720"/>
        <w:jc w:val="both"/>
        <w:rPr>
          <w:rFonts w:ascii="David" w:hAnsi="David"/>
          <w:rtl/>
        </w:rPr>
      </w:pPr>
      <w:bookmarkStart w:id="7" w:name="ABSTRACT_END"/>
      <w:bookmarkEnd w:id="7"/>
    </w:p>
    <w:p w14:paraId="3954D015" w14:textId="77777777" w:rsidR="00613812" w:rsidRDefault="00613812" w:rsidP="00613812">
      <w:pPr>
        <w:spacing w:line="360" w:lineRule="auto"/>
        <w:ind w:left="720" w:hanging="720"/>
        <w:jc w:val="both"/>
        <w:rPr>
          <w:rFonts w:ascii="David" w:hAnsi="David"/>
        </w:rPr>
      </w:pPr>
      <w:r>
        <w:rPr>
          <w:rFonts w:ascii="David" w:hAnsi="David" w:hint="cs"/>
          <w:rtl/>
        </w:rPr>
        <w:t>2.</w:t>
      </w:r>
      <w:r>
        <w:rPr>
          <w:rFonts w:ascii="David" w:hAnsi="David" w:hint="cs"/>
          <w:rtl/>
        </w:rPr>
        <w:tab/>
      </w:r>
      <w:r>
        <w:rPr>
          <w:rFonts w:ascii="David" w:hAnsi="David"/>
          <w:rtl/>
        </w:rPr>
        <w:t>על פי עובדות כתב האישום המתוקן בין משפחת אלבחירי לבין משפחת אלעוברה, המתגוררים ברהט, ישנו סכסוך אשר טיבו אינו ידוע במדויק למאשימה.</w:t>
      </w:r>
    </w:p>
    <w:p w14:paraId="05BF89C7" w14:textId="77777777" w:rsidR="00613812" w:rsidRDefault="00613812" w:rsidP="00613812">
      <w:pPr>
        <w:pStyle w:val="a9"/>
        <w:spacing w:line="360" w:lineRule="auto"/>
        <w:jc w:val="both"/>
        <w:rPr>
          <w:rFonts w:ascii="David" w:hAnsi="David" w:cs="David"/>
          <w:sz w:val="24"/>
          <w:szCs w:val="24"/>
        </w:rPr>
      </w:pPr>
      <w:r>
        <w:rPr>
          <w:rFonts w:ascii="David" w:hAnsi="David" w:cs="David"/>
          <w:sz w:val="24"/>
          <w:szCs w:val="24"/>
          <w:rtl/>
        </w:rPr>
        <w:t>במועד שאינו ידוע במדויק למאשימה, פורסם פוסט בפייסבוק (להלן: "</w:t>
      </w:r>
      <w:r>
        <w:rPr>
          <w:rFonts w:ascii="David" w:hAnsi="David" w:cs="David"/>
          <w:b/>
          <w:bCs/>
          <w:sz w:val="24"/>
          <w:szCs w:val="24"/>
          <w:rtl/>
        </w:rPr>
        <w:t>הפוסט</w:t>
      </w:r>
      <w:r>
        <w:rPr>
          <w:rFonts w:ascii="David" w:hAnsi="David" w:cs="David"/>
          <w:sz w:val="24"/>
          <w:szCs w:val="24"/>
          <w:rtl/>
        </w:rPr>
        <w:t xml:space="preserve">") ובו אמירות פוגעניות ביחס לאמו של הנאשם. </w:t>
      </w:r>
    </w:p>
    <w:p w14:paraId="20154A19"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lastRenderedPageBreak/>
        <w:t>הפוסט עורר את חמתו של הנאשם ובליבו גמלה החלטה לנקום בכותב הפוסט כנגד אמו, והוא אף העלה פוסטים ברוח זו ברשתות החברתיות.</w:t>
      </w:r>
    </w:p>
    <w:p w14:paraId="6BC85A66"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בהמשך לאמור, במועד שאינו ידוע במדויק למאשימה, קשר הנאשם קשר עם אחרים שזהותם אינה ידועה במדויק למאשימה (להלן: "</w:t>
      </w:r>
      <w:r>
        <w:rPr>
          <w:rFonts w:ascii="David" w:hAnsi="David" w:cs="David"/>
          <w:b/>
          <w:bCs/>
          <w:sz w:val="24"/>
          <w:szCs w:val="24"/>
          <w:rtl/>
        </w:rPr>
        <w:t>האחרים</w:t>
      </w:r>
      <w:r>
        <w:rPr>
          <w:rFonts w:ascii="David" w:hAnsi="David" w:cs="David"/>
          <w:sz w:val="24"/>
          <w:szCs w:val="24"/>
          <w:rtl/>
        </w:rPr>
        <w:t xml:space="preserve">"), לפגוע בבני משפחת אלעוברה ובכללם בנ.א (להלן: "המתלונן"), בסברו כי הוא אחראי לפרסום הפוסט, וזאת בכוונה להטיל בהם נכות או מום או לגרום להם חבלות חמורות. </w:t>
      </w:r>
    </w:p>
    <w:p w14:paraId="0040F98A"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במסגרת הקשר הנ"ל ולשם קידומו הצטיידו הנאשם והאחרים (להלן יכונו ביחד: "</w:t>
      </w:r>
      <w:r>
        <w:rPr>
          <w:rFonts w:ascii="David" w:hAnsi="David" w:cs="David"/>
          <w:b/>
          <w:bCs/>
          <w:sz w:val="24"/>
          <w:szCs w:val="24"/>
          <w:rtl/>
        </w:rPr>
        <w:t>התוקפים</w:t>
      </w:r>
      <w:r>
        <w:rPr>
          <w:rFonts w:ascii="David" w:hAnsi="David" w:cs="David"/>
          <w:sz w:val="24"/>
          <w:szCs w:val="24"/>
          <w:rtl/>
        </w:rPr>
        <w:t xml:space="preserve">") בנשקים ובאלות, כאשר </w:t>
      </w:r>
      <w:r>
        <w:rPr>
          <w:rFonts w:ascii="David" w:hAnsi="David" w:cs="David" w:hint="cs"/>
          <w:sz w:val="24"/>
          <w:szCs w:val="24"/>
          <w:rtl/>
        </w:rPr>
        <w:t>ה</w:t>
      </w:r>
      <w:r>
        <w:rPr>
          <w:rFonts w:ascii="David" w:hAnsi="David" w:cs="David"/>
          <w:sz w:val="24"/>
          <w:szCs w:val="24"/>
          <w:rtl/>
        </w:rPr>
        <w:t>נאשם נשא בלא רשות על פי דין נשק מסוג אקדח (להלן: "</w:t>
      </w:r>
      <w:r>
        <w:rPr>
          <w:rFonts w:ascii="David" w:hAnsi="David" w:cs="David"/>
          <w:b/>
          <w:bCs/>
          <w:sz w:val="24"/>
          <w:szCs w:val="24"/>
          <w:rtl/>
        </w:rPr>
        <w:t>האקדח</w:t>
      </w:r>
      <w:r>
        <w:rPr>
          <w:rFonts w:ascii="David" w:hAnsi="David" w:cs="David"/>
          <w:sz w:val="24"/>
          <w:szCs w:val="24"/>
          <w:rtl/>
        </w:rPr>
        <w:t xml:space="preserve">"), אחד מהאחרים נשא בלא רשות על פי דין נשק מסוג </w:t>
      </w:r>
      <w:r>
        <w:rPr>
          <w:rFonts w:ascii="David" w:hAnsi="David" w:cs="David"/>
          <w:sz w:val="24"/>
          <w:szCs w:val="24"/>
        </w:rPr>
        <w:t>M16</w:t>
      </w:r>
      <w:r>
        <w:rPr>
          <w:rFonts w:ascii="David" w:hAnsi="David" w:cs="David"/>
          <w:sz w:val="24"/>
          <w:szCs w:val="24"/>
          <w:rtl/>
        </w:rPr>
        <w:t xml:space="preserve"> (להלן: "ה"</w:t>
      </w:r>
      <w:r>
        <w:rPr>
          <w:rFonts w:ascii="David" w:hAnsi="David" w:cs="David"/>
          <w:b/>
          <w:bCs/>
          <w:sz w:val="24"/>
          <w:szCs w:val="24"/>
        </w:rPr>
        <w:t>M16</w:t>
      </w:r>
      <w:r>
        <w:rPr>
          <w:rFonts w:ascii="David" w:hAnsi="David" w:cs="David"/>
          <w:sz w:val="24"/>
          <w:szCs w:val="24"/>
          <w:rtl/>
        </w:rPr>
        <w:t>" ו/או "</w:t>
      </w:r>
      <w:r>
        <w:rPr>
          <w:rFonts w:ascii="David" w:hAnsi="David" w:cs="David"/>
          <w:b/>
          <w:bCs/>
          <w:sz w:val="24"/>
          <w:szCs w:val="24"/>
          <w:rtl/>
        </w:rPr>
        <w:t>הנשקים</w:t>
      </w:r>
      <w:r>
        <w:rPr>
          <w:rFonts w:ascii="David" w:hAnsi="David" w:cs="David"/>
          <w:sz w:val="24"/>
          <w:szCs w:val="24"/>
          <w:rtl/>
        </w:rPr>
        <w:t xml:space="preserve">") והיתר נשאו בידיהם אלות. </w:t>
      </w:r>
    </w:p>
    <w:p w14:paraId="57B1C79F"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 xml:space="preserve">התוקפים, בתאריך 8.4.22, בשעה 23:30, לערך, הגיעו כשהם חמושים – כאמור לעיל, ובעודם רעולי פנים, לבית הקפה "וואנסה" ברהט, ביודעם כי הוא בבעלות משפחת אלעוברה וכי המתלונן נמצא בבית הקפה אותה עת יחד עם אחרים מבני משפחת אלעוברה. </w:t>
      </w:r>
    </w:p>
    <w:p w14:paraId="5A440A36"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 xml:space="preserve">בהמשך לאמור, נכנסו חלק מהתוקפים כשבידיהם אלות לבית הקפה תוך שהם מכים באלות ביושבי בית הקפה בכיסאות ובשולחנות. יושבי בית הקפה המבוהלים נמלטו לכל עבר בעודם משליכים לעבר התוקפים כיסאות ונרגילות, על מנת להתגונן מפניהם ולהבריחם מהמקום.  </w:t>
      </w:r>
    </w:p>
    <w:p w14:paraId="7F488D9C"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 xml:space="preserve">בעקבות האמור, יצאו התוקפים הנ"ל מבית הקפה, ולאחר שניות מספר, חזרו שוב, יחד עם הנאשם כשהוא אוחז בידו אקדח והאחר שאוחז בידו </w:t>
      </w:r>
      <w:r>
        <w:rPr>
          <w:rFonts w:ascii="David" w:hAnsi="David" w:cs="David"/>
          <w:sz w:val="24"/>
          <w:szCs w:val="24"/>
        </w:rPr>
        <w:t>M16</w:t>
      </w:r>
      <w:r>
        <w:rPr>
          <w:rFonts w:ascii="David" w:hAnsi="David" w:cs="David"/>
          <w:sz w:val="24"/>
          <w:szCs w:val="24"/>
          <w:rtl/>
        </w:rPr>
        <w:t xml:space="preserve"> ותוך שהם יורים מטווח קצר במי שזוהה כבן משפחת אלעוברה בעוד הנאשם תר אחר המתלונן, והכל בכוונה להטיל בהם נכות או מום, או לגרום להם חבלה חמורה. </w:t>
      </w:r>
    </w:p>
    <w:p w14:paraId="1D6D8B44" w14:textId="77777777" w:rsidR="00613812" w:rsidRDefault="00613812" w:rsidP="00613812">
      <w:pPr>
        <w:pStyle w:val="a9"/>
        <w:spacing w:line="360" w:lineRule="auto"/>
        <w:jc w:val="both"/>
        <w:rPr>
          <w:rFonts w:ascii="David" w:hAnsi="David" w:cs="David"/>
          <w:sz w:val="24"/>
          <w:szCs w:val="24"/>
          <w:rtl/>
        </w:rPr>
      </w:pPr>
    </w:p>
    <w:p w14:paraId="0E847145"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 xml:space="preserve">במהלך האירועים נשמט כיסוי הפנים מפניו של הנאשם והוא זוהה על ידי מ.א. שנכח בבית הקפה וזעק לעברו בערבית "מוסטפא לא לא", אך הנאשם המשיך לירות, כאמור לעיל, והדברים תועדו במצלמת טלפון נייד של מי מהנוכחים. בשלב כלשהו, לאחר שהצליח לאתר את המתלונן ירה הנאשם לעברו, מבעד לזכוכית המרפסת החיצונית של בית הקפה, וזאת בכוונה להטיל בו נכות, או מום, או לגרום לו לחבלה חמורה. </w:t>
      </w:r>
    </w:p>
    <w:p w14:paraId="09FA1513"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 xml:space="preserve">כתוצאה ממעשיהם של התוקפים, נגרמו חבלות חמורות ופציעות למספר יושבי בית הקפה ובכללם המתלונן, והם פנו למרכז הרפואי האוניברסיטאי "סורוקה" לקבלת טיפול רפואי, כמפורט בכתב האישום המתוקן. </w:t>
      </w:r>
    </w:p>
    <w:p w14:paraId="5A07256F" w14:textId="77777777" w:rsidR="00613812" w:rsidRDefault="00613812" w:rsidP="00613812">
      <w:pPr>
        <w:spacing w:line="360" w:lineRule="auto"/>
        <w:jc w:val="both"/>
        <w:rPr>
          <w:rFonts w:ascii="David" w:hAnsi="David"/>
          <w:rtl/>
        </w:rPr>
      </w:pPr>
    </w:p>
    <w:p w14:paraId="5F34019E" w14:textId="77777777" w:rsidR="00613812" w:rsidRDefault="00613812" w:rsidP="00613812">
      <w:pPr>
        <w:spacing w:line="360" w:lineRule="auto"/>
        <w:ind w:left="720" w:hanging="720"/>
        <w:jc w:val="both"/>
        <w:rPr>
          <w:rFonts w:ascii="David" w:hAnsi="David"/>
          <w:rtl/>
        </w:rPr>
      </w:pPr>
      <w:r>
        <w:rPr>
          <w:rFonts w:ascii="David" w:hAnsi="David" w:hint="cs"/>
          <w:rtl/>
        </w:rPr>
        <w:t>3.</w:t>
      </w:r>
      <w:r>
        <w:rPr>
          <w:rFonts w:ascii="David" w:hAnsi="David" w:hint="cs"/>
          <w:rtl/>
        </w:rPr>
        <w:tab/>
      </w:r>
      <w:r>
        <w:rPr>
          <w:rFonts w:ascii="David" w:hAnsi="David"/>
          <w:rtl/>
        </w:rPr>
        <w:t xml:space="preserve">הנאשם הודה בכתב האישום המתוקן במסגרת הסדר טיעון ולאחר שנשמעו מרבית עדי התביעה. </w:t>
      </w:r>
    </w:p>
    <w:p w14:paraId="692EF29F"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 xml:space="preserve">במסגרת ההסדר הוסכם כי הצדדים יעתרו במשותף כי בית המשפט יגזור על הנאשם את העונשים הבאים: </w:t>
      </w:r>
    </w:p>
    <w:p w14:paraId="491EB100" w14:textId="77777777" w:rsidR="00613812" w:rsidRDefault="00613812" w:rsidP="00613812">
      <w:pPr>
        <w:pStyle w:val="a9"/>
        <w:numPr>
          <w:ilvl w:val="0"/>
          <w:numId w:val="1"/>
        </w:numPr>
        <w:spacing w:line="360" w:lineRule="auto"/>
        <w:jc w:val="both"/>
        <w:rPr>
          <w:rFonts w:ascii="David" w:hAnsi="David" w:cs="David"/>
          <w:sz w:val="24"/>
          <w:szCs w:val="24"/>
        </w:rPr>
      </w:pPr>
      <w:r>
        <w:rPr>
          <w:rFonts w:ascii="David" w:hAnsi="David" w:cs="David"/>
          <w:sz w:val="24"/>
          <w:szCs w:val="24"/>
          <w:rtl/>
        </w:rPr>
        <w:lastRenderedPageBreak/>
        <w:t xml:space="preserve">עונש מאסר בפועל בן 70 חודשים, בניכוי ימי מעצרו. </w:t>
      </w:r>
    </w:p>
    <w:p w14:paraId="397934C7" w14:textId="77777777" w:rsidR="00613812" w:rsidRPr="00F934F8" w:rsidRDefault="00613812" w:rsidP="00613812">
      <w:pPr>
        <w:pStyle w:val="a9"/>
        <w:numPr>
          <w:ilvl w:val="0"/>
          <w:numId w:val="1"/>
        </w:numPr>
        <w:spacing w:line="360" w:lineRule="auto"/>
        <w:jc w:val="both"/>
        <w:rPr>
          <w:rFonts w:ascii="David" w:hAnsi="David" w:cs="David"/>
          <w:sz w:val="24"/>
          <w:szCs w:val="24"/>
        </w:rPr>
      </w:pPr>
      <w:r w:rsidRPr="00F934F8">
        <w:rPr>
          <w:rFonts w:ascii="David" w:hAnsi="David" w:cs="David"/>
          <w:sz w:val="24"/>
          <w:szCs w:val="24"/>
          <w:rtl/>
        </w:rPr>
        <w:t xml:space="preserve">פיצוי כספי בסך כולל של 50,000 ₪ </w:t>
      </w:r>
      <w:r w:rsidRPr="00F934F8">
        <w:rPr>
          <w:rFonts w:ascii="David" w:hAnsi="David" w:cs="David" w:hint="cs"/>
          <w:sz w:val="24"/>
          <w:szCs w:val="24"/>
          <w:rtl/>
        </w:rPr>
        <w:t>לנפגעי העבירה. הפיצוי ישול</w:t>
      </w:r>
      <w:r w:rsidRPr="00F934F8">
        <w:rPr>
          <w:rFonts w:ascii="David" w:hAnsi="David" w:cs="David"/>
          <w:sz w:val="24"/>
          <w:szCs w:val="24"/>
          <w:rtl/>
        </w:rPr>
        <w:t xml:space="preserve">ם ב-10 תשלומים של 5,000 ₪ כל אחד, החל מיום 1.10.23. </w:t>
      </w:r>
    </w:p>
    <w:p w14:paraId="79EA7FB8" w14:textId="77777777" w:rsidR="00613812" w:rsidRDefault="00613812" w:rsidP="00613812">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מאסר על תנאי ממושך בגין עבירת אלימות מסוג פשע ועוון. </w:t>
      </w:r>
    </w:p>
    <w:p w14:paraId="3432B659" w14:textId="77777777" w:rsidR="00613812" w:rsidRDefault="00613812" w:rsidP="00613812">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מאסר על תנאי ממושך בגין עבירות בנשק. </w:t>
      </w:r>
    </w:p>
    <w:p w14:paraId="188A3B97" w14:textId="77777777" w:rsidR="00613812" w:rsidRDefault="00613812" w:rsidP="00613812">
      <w:pPr>
        <w:spacing w:line="360" w:lineRule="auto"/>
        <w:jc w:val="both"/>
        <w:rPr>
          <w:rFonts w:ascii="David" w:hAnsi="David"/>
          <w:rtl/>
        </w:rPr>
      </w:pPr>
      <w:r>
        <w:rPr>
          <w:rFonts w:ascii="David" w:hAnsi="David"/>
          <w:b/>
          <w:bCs/>
          <w:u w:val="single"/>
          <w:rtl/>
        </w:rPr>
        <w:t>ראיות וטיעונים לעונש:</w:t>
      </w:r>
    </w:p>
    <w:p w14:paraId="0A1CDFBC" w14:textId="77777777" w:rsidR="00613812" w:rsidRDefault="00613812" w:rsidP="00613812">
      <w:pPr>
        <w:spacing w:line="360" w:lineRule="auto"/>
        <w:jc w:val="both"/>
        <w:rPr>
          <w:rFonts w:ascii="David" w:hAnsi="David"/>
          <w:rtl/>
        </w:rPr>
      </w:pPr>
      <w:r>
        <w:rPr>
          <w:rFonts w:ascii="David" w:hAnsi="David" w:hint="cs"/>
          <w:rtl/>
        </w:rPr>
        <w:t>4.</w:t>
      </w:r>
      <w:r>
        <w:rPr>
          <w:rFonts w:ascii="David" w:hAnsi="David" w:hint="cs"/>
          <w:rtl/>
        </w:rPr>
        <w:tab/>
      </w:r>
      <w:r>
        <w:rPr>
          <w:rFonts w:ascii="David" w:hAnsi="David"/>
          <w:rtl/>
        </w:rPr>
        <w:t>באי כוח הצדדים הודיעו כי אין להם ראיות לעונש.</w:t>
      </w:r>
    </w:p>
    <w:p w14:paraId="10BFD48A" w14:textId="77777777" w:rsidR="00613812" w:rsidRDefault="00613812" w:rsidP="00613812">
      <w:pPr>
        <w:spacing w:line="360" w:lineRule="auto"/>
        <w:jc w:val="both"/>
        <w:rPr>
          <w:rFonts w:ascii="David" w:hAnsi="David"/>
          <w:rtl/>
        </w:rPr>
      </w:pPr>
    </w:p>
    <w:p w14:paraId="2A49702D" w14:textId="77777777" w:rsidR="00613812" w:rsidRDefault="00613812" w:rsidP="00613812">
      <w:pPr>
        <w:spacing w:line="360" w:lineRule="auto"/>
        <w:ind w:left="720" w:hanging="720"/>
        <w:jc w:val="both"/>
        <w:rPr>
          <w:rFonts w:ascii="David" w:hAnsi="David"/>
        </w:rPr>
      </w:pPr>
      <w:r>
        <w:rPr>
          <w:rFonts w:ascii="David" w:hAnsi="David" w:hint="cs"/>
          <w:rtl/>
        </w:rPr>
        <w:t>5.</w:t>
      </w:r>
      <w:r>
        <w:rPr>
          <w:rFonts w:ascii="David" w:hAnsi="David" w:hint="cs"/>
          <w:rtl/>
        </w:rPr>
        <w:tab/>
      </w:r>
      <w:r>
        <w:rPr>
          <w:rFonts w:ascii="David" w:hAnsi="David"/>
          <w:rtl/>
        </w:rPr>
        <w:t>באת כוח המאשימה עתרה לכבד את הסדר הטיעון אשר התגבש לאחר שנשקלו כלל השיקולים ובכלל זה חומרתו הרבה של האירוע, וקיבל את אישור הדרגים הבכירים בפרקליטות המחוז. לדבריה ההסדר אינו משקף בשום צורה ואופן את הענישה הראויה אילו הראיות בתיק היו מוצקות יותר.</w:t>
      </w:r>
    </w:p>
    <w:p w14:paraId="5E61311B" w14:textId="77777777" w:rsidR="00613812" w:rsidRDefault="00613812" w:rsidP="00613812">
      <w:pPr>
        <w:pStyle w:val="a9"/>
        <w:spacing w:line="360" w:lineRule="auto"/>
        <w:jc w:val="both"/>
        <w:rPr>
          <w:rFonts w:ascii="David" w:hAnsi="David" w:cs="David"/>
          <w:sz w:val="24"/>
          <w:szCs w:val="24"/>
        </w:rPr>
      </w:pPr>
    </w:p>
    <w:p w14:paraId="51A5D2F1" w14:textId="77777777" w:rsidR="00613812" w:rsidRDefault="00613812" w:rsidP="00613812">
      <w:pPr>
        <w:pStyle w:val="a9"/>
        <w:spacing w:line="360" w:lineRule="auto"/>
        <w:jc w:val="both"/>
        <w:rPr>
          <w:rFonts w:ascii="David" w:hAnsi="David" w:cs="David"/>
          <w:sz w:val="24"/>
          <w:szCs w:val="24"/>
        </w:rPr>
      </w:pPr>
      <w:r>
        <w:rPr>
          <w:rFonts w:ascii="David" w:hAnsi="David" w:cs="David"/>
          <w:sz w:val="24"/>
          <w:szCs w:val="24"/>
          <w:rtl/>
        </w:rPr>
        <w:t xml:space="preserve">ב"כ המאשימה הוסיפה כי לאחר שנשמעו מרבית עדויות הנפגעים עולה כי קיים קושי בזיהוי הנאשם כמבצעי הירי. בפגישות אשר התקיימו בין הצדדים טרם החתימה על הסדר הטיעון, התקבלה טענת הסנגור כי נפל פגם בזיהוי הנאשם על ידי חלק מעדי התביעה, שכן הנאשם זוהה בדיעבד על סמך תמונות שהופצו ברשת המשפחתית של משפחת הנפגעים. עדי התביעה אשר זיהו את הנאשם עשו כן רק לאחר שנחשפו לתמונות הנאשם שהופצו, בעוד שבעדותם במשטרה מסרו חלקם כי אינם יודעים לזהות את היורה. </w:t>
      </w:r>
    </w:p>
    <w:p w14:paraId="619A443C" w14:textId="77777777" w:rsidR="00613812" w:rsidRDefault="00613812" w:rsidP="00613812">
      <w:pPr>
        <w:pStyle w:val="a9"/>
        <w:spacing w:line="360" w:lineRule="auto"/>
        <w:jc w:val="both"/>
        <w:rPr>
          <w:rFonts w:ascii="David" w:hAnsi="David" w:cs="David"/>
          <w:sz w:val="24"/>
          <w:szCs w:val="24"/>
        </w:rPr>
      </w:pPr>
    </w:p>
    <w:p w14:paraId="7638A615" w14:textId="77777777" w:rsidR="00613812" w:rsidRDefault="00613812" w:rsidP="00613812">
      <w:pPr>
        <w:pStyle w:val="a9"/>
        <w:spacing w:line="360" w:lineRule="auto"/>
        <w:jc w:val="both"/>
        <w:rPr>
          <w:rFonts w:ascii="David" w:hAnsi="David" w:cs="David"/>
          <w:sz w:val="24"/>
          <w:szCs w:val="24"/>
        </w:rPr>
      </w:pPr>
      <w:r>
        <w:rPr>
          <w:rFonts w:ascii="David" w:hAnsi="David" w:cs="David"/>
          <w:sz w:val="24"/>
          <w:szCs w:val="24"/>
          <w:rtl/>
        </w:rPr>
        <w:t xml:space="preserve">המאשימה הוסיפה כי עד </w:t>
      </w:r>
      <w:r>
        <w:rPr>
          <w:rFonts w:ascii="David" w:hAnsi="David" w:cs="David" w:hint="cs"/>
          <w:sz w:val="24"/>
          <w:szCs w:val="24"/>
          <w:rtl/>
        </w:rPr>
        <w:t>ה</w:t>
      </w:r>
      <w:r>
        <w:rPr>
          <w:rFonts w:ascii="David" w:hAnsi="David" w:cs="David"/>
          <w:sz w:val="24"/>
          <w:szCs w:val="24"/>
          <w:rtl/>
        </w:rPr>
        <w:t xml:space="preserve">תביעה </w:t>
      </w:r>
      <w:r>
        <w:rPr>
          <w:rFonts w:ascii="David" w:hAnsi="David" w:cs="David" w:hint="cs"/>
          <w:sz w:val="24"/>
          <w:szCs w:val="24"/>
          <w:rtl/>
        </w:rPr>
        <w:t>ה</w:t>
      </w:r>
      <w:r>
        <w:rPr>
          <w:rFonts w:ascii="David" w:hAnsi="David" w:cs="David"/>
          <w:sz w:val="24"/>
          <w:szCs w:val="24"/>
          <w:rtl/>
        </w:rPr>
        <w:t xml:space="preserve">מרכזי שאמור היה להעיד בפני בית המשפט, והנו העד היחיד שזיהה את הנאשם בזמן אמת, אינו נמצא בארץ מזה תקופה ארוכה ואינו משתף פעולה. נתון זה מהווה חלק משיקולי המאשימה בהסדר שכן יכול והיה משפיע על סיכויי הרשעת הנאשם. </w:t>
      </w:r>
    </w:p>
    <w:p w14:paraId="7648703B" w14:textId="77777777" w:rsidR="00613812" w:rsidRPr="00F934F8" w:rsidRDefault="00613812" w:rsidP="00613812">
      <w:pPr>
        <w:pStyle w:val="a9"/>
        <w:spacing w:line="360" w:lineRule="auto"/>
        <w:jc w:val="both"/>
        <w:rPr>
          <w:rFonts w:ascii="David" w:hAnsi="David" w:cs="David"/>
          <w:sz w:val="24"/>
          <w:szCs w:val="24"/>
          <w:rtl/>
        </w:rPr>
      </w:pPr>
    </w:p>
    <w:p w14:paraId="54068A55"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 xml:space="preserve">ב"כ המאשימה טענה כי הסדר הטיעון לוקח בחשבון גם את העובדה שלא הוגשו כתבי אישום נגד מעורבים נוספים באירוע שזהותם אינה ידועה למאשימה, וכי לא ניתן לייחס את כל הפציעות המפורטות בכתב האישום המתוקן לנאשם, הגם שביצעם בצוותא עם האחרים. </w:t>
      </w:r>
    </w:p>
    <w:p w14:paraId="19F5C54F" w14:textId="77777777" w:rsidR="00613812" w:rsidRDefault="00613812" w:rsidP="00613812">
      <w:pPr>
        <w:pStyle w:val="a9"/>
        <w:spacing w:line="360" w:lineRule="auto"/>
        <w:jc w:val="both"/>
        <w:rPr>
          <w:rFonts w:ascii="David" w:hAnsi="David" w:cs="David"/>
          <w:sz w:val="24"/>
          <w:szCs w:val="24"/>
          <w:rtl/>
        </w:rPr>
      </w:pPr>
    </w:p>
    <w:p w14:paraId="049F26CB"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 xml:space="preserve">הסדר הטיעון התגבש לאחר שנשקלה גם עמדת מרבית הנפגעים אשר הביעו הסכמתם להסדר, וכי יש בהסדר כדי להביא להרגעת עוצמת הסכסוך בין שתי המשפחות. </w:t>
      </w:r>
    </w:p>
    <w:p w14:paraId="689FEAF9"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 xml:space="preserve"> </w:t>
      </w:r>
    </w:p>
    <w:p w14:paraId="5A063942"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 xml:space="preserve">ביחס לנסיבותיו האישות של הנאשם נטען כי מדובר בנאשם נעדר עבר פלילי אשר הודה ומעוניין לסיים ההליך ולהביא להרגעת הרוחות בין המשפחות. </w:t>
      </w:r>
    </w:p>
    <w:p w14:paraId="3BCF7AE9" w14:textId="77777777" w:rsidR="00613812" w:rsidRDefault="00613812" w:rsidP="00613812">
      <w:pPr>
        <w:spacing w:line="360" w:lineRule="auto"/>
        <w:jc w:val="both"/>
        <w:rPr>
          <w:rFonts w:ascii="David" w:hAnsi="David"/>
          <w:rtl/>
        </w:rPr>
      </w:pPr>
    </w:p>
    <w:p w14:paraId="21AAFFA2" w14:textId="77777777" w:rsidR="00613812" w:rsidRDefault="00613812" w:rsidP="00613812">
      <w:pPr>
        <w:spacing w:line="360" w:lineRule="auto"/>
        <w:ind w:left="720" w:hanging="720"/>
        <w:jc w:val="both"/>
        <w:rPr>
          <w:rFonts w:ascii="David" w:hAnsi="David"/>
          <w:rtl/>
        </w:rPr>
      </w:pPr>
      <w:r>
        <w:rPr>
          <w:rFonts w:ascii="David" w:hAnsi="David" w:hint="cs"/>
          <w:rtl/>
        </w:rPr>
        <w:t>6.</w:t>
      </w:r>
      <w:r>
        <w:rPr>
          <w:rFonts w:ascii="David" w:hAnsi="David" w:hint="cs"/>
          <w:rtl/>
        </w:rPr>
        <w:tab/>
      </w:r>
      <w:r>
        <w:rPr>
          <w:rFonts w:ascii="David" w:hAnsi="David"/>
          <w:rtl/>
        </w:rPr>
        <w:t xml:space="preserve">בא כוח הנאשם הצטרף לדברי ב"כ המאשימה, ביקש לכבד ההסדר והפנה לפסיקת בית המשפט העליון בסוגיית כיבוד הסדרי טיעון. מקום שבו ישנו קושי ראייתי </w:t>
      </w:r>
      <w:r>
        <w:rPr>
          <w:rFonts w:ascii="David" w:hAnsi="David" w:hint="cs"/>
          <w:rtl/>
        </w:rPr>
        <w:t>ש</w:t>
      </w:r>
      <w:r>
        <w:rPr>
          <w:rFonts w:ascii="David" w:hAnsi="David"/>
          <w:rtl/>
        </w:rPr>
        <w:t xml:space="preserve">יכול להביא לזיכוי </w:t>
      </w:r>
      <w:r>
        <w:rPr>
          <w:rFonts w:ascii="David" w:hAnsi="David" w:hint="cs"/>
          <w:rtl/>
        </w:rPr>
        <w:t>ומהווה שי</w:t>
      </w:r>
      <w:r>
        <w:rPr>
          <w:rFonts w:ascii="David" w:hAnsi="David"/>
          <w:rtl/>
        </w:rPr>
        <w:t>קול עיקרי בכריתת הסדר הטיעון הרי שבית המשפט לא יתערב בהסדר.</w:t>
      </w:r>
    </w:p>
    <w:p w14:paraId="381DAC2A" w14:textId="77777777" w:rsidR="00613812" w:rsidRDefault="00613812" w:rsidP="00613812">
      <w:pPr>
        <w:pStyle w:val="a9"/>
        <w:spacing w:line="360" w:lineRule="auto"/>
        <w:jc w:val="both"/>
        <w:rPr>
          <w:rFonts w:ascii="David" w:hAnsi="David" w:cs="David"/>
          <w:sz w:val="24"/>
          <w:szCs w:val="24"/>
        </w:rPr>
      </w:pPr>
      <w:r>
        <w:rPr>
          <w:rFonts w:ascii="David" w:hAnsi="David" w:cs="David"/>
          <w:sz w:val="24"/>
          <w:szCs w:val="24"/>
          <w:rtl/>
        </w:rPr>
        <w:t>נטען כי בהליך דנן, וכפי שבית המשפט נחשף לכך במהלך שמיעת הראיות בתיק, קיים קושי משמעותי בשאלת זיהויו של הנאשם, וכי העדים שהעידו עד כה הציגו סתירות ניכרות בין עדותם במשטרה לבין עדותם בבית המשפט.</w:t>
      </w:r>
    </w:p>
    <w:p w14:paraId="65629794" w14:textId="77777777" w:rsidR="00613812" w:rsidRDefault="00613812" w:rsidP="00613812">
      <w:pPr>
        <w:pStyle w:val="a9"/>
        <w:spacing w:line="360" w:lineRule="auto"/>
        <w:jc w:val="both"/>
        <w:rPr>
          <w:rFonts w:ascii="David" w:hAnsi="David" w:cs="David"/>
          <w:sz w:val="24"/>
          <w:szCs w:val="24"/>
        </w:rPr>
      </w:pPr>
      <w:r>
        <w:rPr>
          <w:rFonts w:ascii="David" w:hAnsi="David" w:cs="David"/>
          <w:sz w:val="24"/>
          <w:szCs w:val="24"/>
          <w:rtl/>
        </w:rPr>
        <w:t xml:space="preserve">נטען כי הנאשם הנו צעיר נעדר עבר פלילי, אשר הודה, לקח אחריות, וחסך מזמנו של בית המשפט. הנאשם נתון במעצר מזה למעלה משנה, והעונש לו עותרים הצדדים במסגרת הסדר הטיעון, הכולל מאסר ממושך ופיצוי, אינו עונש קל. </w:t>
      </w:r>
    </w:p>
    <w:p w14:paraId="125DFE2E" w14:textId="77777777" w:rsidR="00613812" w:rsidRDefault="00613812" w:rsidP="00613812">
      <w:pPr>
        <w:pStyle w:val="a9"/>
        <w:spacing w:line="360" w:lineRule="auto"/>
        <w:jc w:val="both"/>
        <w:rPr>
          <w:rFonts w:ascii="David" w:hAnsi="David" w:cs="David"/>
          <w:sz w:val="24"/>
          <w:szCs w:val="24"/>
          <w:rtl/>
        </w:rPr>
      </w:pPr>
    </w:p>
    <w:p w14:paraId="3AECF664" w14:textId="77777777" w:rsidR="00613812" w:rsidRDefault="00613812" w:rsidP="00613812">
      <w:pPr>
        <w:pStyle w:val="a9"/>
        <w:spacing w:line="360" w:lineRule="auto"/>
        <w:jc w:val="both"/>
        <w:rPr>
          <w:rFonts w:ascii="David" w:hAnsi="David" w:cs="David"/>
          <w:sz w:val="24"/>
          <w:szCs w:val="24"/>
          <w:rtl/>
        </w:rPr>
      </w:pPr>
      <w:r>
        <w:rPr>
          <w:rFonts w:ascii="David" w:hAnsi="David" w:cs="David"/>
          <w:sz w:val="24"/>
          <w:szCs w:val="24"/>
          <w:rtl/>
        </w:rPr>
        <w:t xml:space="preserve">ב"כ הנאשם ביקש להביא בחשבון גם את האינטרס הרחב, בהינתן השקט הנשמר בין המשפחות מזה כשנה וחצי ורצון שני הצדדים להביא לסיום ההליך.  ההסדר משקף למעשה רצון של מאות אנשים משני צדי המשפחות ומשכך גם עולה גם בקנה אחד עם האינטרס הציבורי. </w:t>
      </w:r>
    </w:p>
    <w:p w14:paraId="2FB51F57" w14:textId="77777777" w:rsidR="00613812" w:rsidRDefault="00613812" w:rsidP="00613812">
      <w:pPr>
        <w:pStyle w:val="a9"/>
        <w:spacing w:line="360" w:lineRule="auto"/>
        <w:jc w:val="both"/>
        <w:rPr>
          <w:rFonts w:ascii="David" w:hAnsi="David" w:cs="David"/>
          <w:sz w:val="24"/>
          <w:szCs w:val="24"/>
          <w:rtl/>
        </w:rPr>
      </w:pPr>
    </w:p>
    <w:p w14:paraId="52800B3F" w14:textId="77777777" w:rsidR="00613812" w:rsidRDefault="00613812" w:rsidP="00613812">
      <w:pPr>
        <w:pStyle w:val="a9"/>
        <w:spacing w:line="360" w:lineRule="auto"/>
        <w:jc w:val="both"/>
        <w:rPr>
          <w:rFonts w:ascii="David" w:hAnsi="David"/>
          <w:rtl/>
        </w:rPr>
      </w:pPr>
      <w:r>
        <w:rPr>
          <w:rFonts w:ascii="David" w:hAnsi="David" w:cs="David"/>
          <w:sz w:val="24"/>
          <w:szCs w:val="24"/>
          <w:rtl/>
        </w:rPr>
        <w:t>ב"כ הנאשם טען כי מדובר בהסדר מאוזן וראוי אשר נשקל על ידי מספר גורמים בפרקליטות ועתר לכבדו.</w:t>
      </w:r>
    </w:p>
    <w:p w14:paraId="153C4409" w14:textId="77777777" w:rsidR="00613812" w:rsidRDefault="00613812" w:rsidP="00613812">
      <w:pPr>
        <w:spacing w:line="360" w:lineRule="auto"/>
        <w:ind w:left="720" w:hanging="720"/>
        <w:jc w:val="both"/>
        <w:rPr>
          <w:rFonts w:ascii="David" w:hAnsi="David"/>
        </w:rPr>
      </w:pPr>
      <w:r>
        <w:rPr>
          <w:rFonts w:ascii="David" w:hAnsi="David" w:hint="cs"/>
          <w:rtl/>
        </w:rPr>
        <w:t>7.</w:t>
      </w:r>
      <w:r>
        <w:rPr>
          <w:rFonts w:ascii="David" w:hAnsi="David" w:hint="cs"/>
          <w:rtl/>
        </w:rPr>
        <w:tab/>
      </w:r>
      <w:r>
        <w:rPr>
          <w:rFonts w:ascii="David" w:hAnsi="David"/>
          <w:rtl/>
        </w:rPr>
        <w:t xml:space="preserve">בהתאם למצוות המחוקק ובסיום טיעוני באי כוח הצדדים לעונש, אמר הנאשם כי הוא מצטער על מעשיו, כי טעה ולא היה צריך להגיב כפי שהגיב וכי הוא ישלם את המחיר בבית הסוהר. לשאלת בית המשפט הנאשם הוסיף שהוא מעוניין להתחיל בהליך טיפולי בשליטה בכעסים בכלא ומבקש להשתקם. </w:t>
      </w:r>
    </w:p>
    <w:p w14:paraId="440AC012" w14:textId="77777777" w:rsidR="00613812" w:rsidRDefault="00613812" w:rsidP="00613812">
      <w:pPr>
        <w:pStyle w:val="a9"/>
        <w:spacing w:line="360" w:lineRule="auto"/>
        <w:jc w:val="both"/>
        <w:rPr>
          <w:rFonts w:ascii="David" w:hAnsi="David" w:cs="David"/>
          <w:sz w:val="24"/>
          <w:szCs w:val="24"/>
        </w:rPr>
      </w:pPr>
    </w:p>
    <w:p w14:paraId="6B775238" w14:textId="77777777" w:rsidR="00613812" w:rsidRDefault="00613812" w:rsidP="00613812">
      <w:pPr>
        <w:spacing w:line="360" w:lineRule="auto"/>
        <w:ind w:left="720" w:hanging="720"/>
        <w:jc w:val="both"/>
        <w:rPr>
          <w:rFonts w:ascii="David" w:hAnsi="David"/>
          <w:b/>
          <w:bCs/>
          <w:u w:val="single"/>
          <w:rtl/>
        </w:rPr>
      </w:pPr>
      <w:r>
        <w:rPr>
          <w:rFonts w:ascii="David" w:hAnsi="David"/>
          <w:b/>
          <w:bCs/>
          <w:u w:val="single"/>
          <w:rtl/>
        </w:rPr>
        <w:t>דיון והכרעה:</w:t>
      </w:r>
    </w:p>
    <w:p w14:paraId="5B9A2CD2" w14:textId="77777777" w:rsidR="00613812" w:rsidRDefault="00613812" w:rsidP="00613812">
      <w:pPr>
        <w:spacing w:line="360" w:lineRule="auto"/>
        <w:ind w:left="720" w:hanging="720"/>
        <w:jc w:val="both"/>
        <w:rPr>
          <w:rFonts w:ascii="David" w:hAnsi="David"/>
          <w:rtl/>
        </w:rPr>
      </w:pPr>
    </w:p>
    <w:p w14:paraId="44B66581" w14:textId="77777777" w:rsidR="00613812" w:rsidRDefault="00613812" w:rsidP="00613812">
      <w:pPr>
        <w:spacing w:line="360" w:lineRule="auto"/>
        <w:ind w:left="720" w:hanging="720"/>
        <w:jc w:val="both"/>
        <w:rPr>
          <w:rFonts w:ascii="David" w:hAnsi="David"/>
          <w:rtl/>
        </w:rPr>
      </w:pPr>
      <w:r>
        <w:rPr>
          <w:rFonts w:ascii="David" w:hAnsi="David" w:hint="cs"/>
          <w:rtl/>
        </w:rPr>
        <w:t>8</w:t>
      </w:r>
      <w:r>
        <w:rPr>
          <w:rFonts w:ascii="David" w:hAnsi="David"/>
          <w:rtl/>
        </w:rPr>
        <w:t>.</w:t>
      </w:r>
      <w:r>
        <w:rPr>
          <w:rFonts w:ascii="David" w:hAnsi="David"/>
          <w:rtl/>
        </w:rPr>
        <w:tab/>
        <w:t xml:space="preserve">הנאשם יליד 1999, נעדר עבר פלילי הורשע במסגרת הסדר טיעון בעבירות של חבלה בכוונה מחמירה – מספר עבירות, ובעבירות בנשק (נשיאה והחזקת נשק ותחמושת). </w:t>
      </w:r>
    </w:p>
    <w:p w14:paraId="2460F150" w14:textId="77777777" w:rsidR="00613812" w:rsidRDefault="00613812" w:rsidP="00613812">
      <w:pPr>
        <w:spacing w:line="360" w:lineRule="auto"/>
        <w:ind w:left="720"/>
        <w:jc w:val="both"/>
        <w:rPr>
          <w:rFonts w:ascii="David" w:hAnsi="David"/>
          <w:rtl/>
        </w:rPr>
      </w:pPr>
      <w:r>
        <w:rPr>
          <w:rFonts w:ascii="David" w:hAnsi="David"/>
          <w:rtl/>
        </w:rPr>
        <w:t>הנאשם עצור מיום 26.4.22.</w:t>
      </w:r>
    </w:p>
    <w:p w14:paraId="36164FAC" w14:textId="77777777" w:rsidR="00613812" w:rsidRDefault="00613812" w:rsidP="00613812">
      <w:pPr>
        <w:spacing w:line="360" w:lineRule="auto"/>
        <w:ind w:left="720"/>
        <w:jc w:val="both"/>
        <w:rPr>
          <w:rFonts w:ascii="David" w:hAnsi="David"/>
          <w:rtl/>
        </w:rPr>
      </w:pPr>
    </w:p>
    <w:p w14:paraId="10FB4983" w14:textId="77777777" w:rsidR="00613812" w:rsidRDefault="00613812" w:rsidP="00613812">
      <w:pPr>
        <w:spacing w:line="360" w:lineRule="auto"/>
        <w:ind w:left="720" w:hanging="720"/>
        <w:jc w:val="both"/>
        <w:rPr>
          <w:rFonts w:ascii="David" w:hAnsi="David"/>
          <w:rtl/>
        </w:rPr>
      </w:pPr>
      <w:r>
        <w:rPr>
          <w:rFonts w:ascii="David" w:hAnsi="David" w:hint="cs"/>
          <w:rtl/>
        </w:rPr>
        <w:t>9</w:t>
      </w:r>
      <w:r>
        <w:rPr>
          <w:rFonts w:ascii="David" w:hAnsi="David"/>
          <w:rtl/>
        </w:rPr>
        <w:t>.</w:t>
      </w:r>
      <w:r>
        <w:rPr>
          <w:rFonts w:ascii="David" w:hAnsi="David"/>
          <w:rtl/>
        </w:rPr>
        <w:tab/>
        <w:t xml:space="preserve">בביצוע העבירות לעיל פגע הנאשם בערכים המוגנים של שלמות גופו של אדם, חירותו, ובזכותו לביטחון אישי ולחיים נטולי אלימות ופחד. כמו כן פגע הנאשם במעשיו בתחושת הביטחון של הציבור עת ביצע את העבירות בבית קפה בו שהה ציבור אשר ביקש לבלות בשלווה. </w:t>
      </w:r>
    </w:p>
    <w:p w14:paraId="133FD9C5" w14:textId="77777777" w:rsidR="00613812" w:rsidRDefault="00613812" w:rsidP="00613812">
      <w:pPr>
        <w:spacing w:line="360" w:lineRule="auto"/>
        <w:ind w:left="720" w:hanging="720"/>
        <w:jc w:val="both"/>
        <w:rPr>
          <w:rFonts w:ascii="David" w:hAnsi="David"/>
          <w:rtl/>
        </w:rPr>
      </w:pPr>
      <w:r>
        <w:rPr>
          <w:rFonts w:ascii="David" w:hAnsi="David"/>
          <w:rtl/>
        </w:rPr>
        <w:tab/>
        <w:t xml:space="preserve">רבות נפסק באשר לחומרה שיש בתופעה העושה שימוש באלימות לפתרון סכסוכים כמו גם השימוש בנשק חם לצורך כך. </w:t>
      </w:r>
    </w:p>
    <w:p w14:paraId="1392105E" w14:textId="77777777" w:rsidR="00613812" w:rsidRDefault="00613812" w:rsidP="00613812">
      <w:pPr>
        <w:spacing w:line="360" w:lineRule="auto"/>
        <w:ind w:left="720" w:hanging="720"/>
        <w:jc w:val="both"/>
        <w:rPr>
          <w:rFonts w:ascii="David" w:hAnsi="David"/>
          <w:b/>
          <w:bCs/>
          <w:rtl/>
        </w:rPr>
      </w:pPr>
      <w:r>
        <w:rPr>
          <w:rFonts w:ascii="David" w:hAnsi="David"/>
          <w:rtl/>
        </w:rPr>
        <w:tab/>
        <w:t xml:space="preserve">יפים לעניין זה דברי בית המשפט </w:t>
      </w:r>
      <w:r>
        <w:rPr>
          <w:rFonts w:ascii="David" w:hAnsi="David"/>
          <w:b/>
          <w:bCs/>
          <w:rtl/>
        </w:rPr>
        <w:t>ב</w:t>
      </w:r>
      <w:hyperlink r:id="rId16" w:history="1">
        <w:r w:rsidR="0056730E" w:rsidRPr="0056730E">
          <w:rPr>
            <w:rFonts w:ascii="David" w:hAnsi="David"/>
            <w:b/>
            <w:bCs/>
            <w:color w:val="0000FF"/>
            <w:u w:val="single"/>
            <w:rtl/>
          </w:rPr>
          <w:t>ע"פ 941/13</w:t>
        </w:r>
      </w:hyperlink>
      <w:r>
        <w:rPr>
          <w:rFonts w:ascii="David" w:hAnsi="David"/>
          <w:b/>
          <w:bCs/>
          <w:rtl/>
        </w:rPr>
        <w:t xml:space="preserve"> פרץ נגד מדינת ישראל (26.11.13):</w:t>
      </w:r>
    </w:p>
    <w:p w14:paraId="658AA9A8" w14:textId="77777777" w:rsidR="00613812" w:rsidRDefault="00613812" w:rsidP="00613812">
      <w:pPr>
        <w:spacing w:line="360" w:lineRule="auto"/>
        <w:ind w:left="720" w:hanging="720"/>
        <w:jc w:val="both"/>
        <w:rPr>
          <w:rFonts w:ascii="David" w:hAnsi="David"/>
          <w:b/>
          <w:bCs/>
          <w:rtl/>
        </w:rPr>
      </w:pPr>
      <w:r>
        <w:rPr>
          <w:rFonts w:ascii="David" w:hAnsi="David"/>
          <w:b/>
          <w:bCs/>
          <w:rtl/>
        </w:rPr>
        <w:tab/>
        <w:t xml:space="preserve">"בית משפט זה עמד לא אחת על הצורך בהרתעתם של עבריינים הפונים "לפתור סכסוכים" מכוח הזרוע. בפסקי דין רבים נקבע כי יש להילחם בנגע האלימות שפשט בארצנו ולהטיל עונשים מרתיעים ומשמעותיים על מי שבחרו בחירה בלתי נסבלת בדרך האלימות, למען יועבר מסר מתאים לעבריינים ולחברה כולה". </w:t>
      </w:r>
    </w:p>
    <w:p w14:paraId="139B8520" w14:textId="77777777" w:rsidR="00613812" w:rsidRDefault="00613812" w:rsidP="00613812">
      <w:pPr>
        <w:spacing w:line="360" w:lineRule="auto"/>
        <w:jc w:val="both"/>
        <w:rPr>
          <w:rFonts w:ascii="David" w:hAnsi="David"/>
          <w:b/>
          <w:bCs/>
          <w:rtl/>
        </w:rPr>
      </w:pPr>
    </w:p>
    <w:p w14:paraId="504ED01A" w14:textId="77777777" w:rsidR="00613812" w:rsidRDefault="00613812" w:rsidP="00613812">
      <w:pPr>
        <w:spacing w:line="360" w:lineRule="auto"/>
        <w:jc w:val="both"/>
        <w:rPr>
          <w:rFonts w:ascii="David" w:hAnsi="David"/>
          <w:b/>
          <w:bCs/>
          <w:rtl/>
        </w:rPr>
      </w:pPr>
    </w:p>
    <w:p w14:paraId="7A92471D" w14:textId="77777777" w:rsidR="00613812" w:rsidRDefault="00613812" w:rsidP="00613812">
      <w:pPr>
        <w:spacing w:line="360" w:lineRule="auto"/>
        <w:jc w:val="both"/>
        <w:rPr>
          <w:rFonts w:ascii="David" w:hAnsi="David"/>
          <w:b/>
          <w:bCs/>
          <w:rtl/>
        </w:rPr>
      </w:pPr>
    </w:p>
    <w:p w14:paraId="58BF2349" w14:textId="77777777" w:rsidR="00613812" w:rsidRDefault="00613812" w:rsidP="00613812">
      <w:pPr>
        <w:spacing w:line="360" w:lineRule="auto"/>
        <w:ind w:left="720" w:hanging="720"/>
        <w:jc w:val="both"/>
        <w:rPr>
          <w:rFonts w:ascii="David" w:hAnsi="David"/>
          <w:rtl/>
        </w:rPr>
      </w:pPr>
      <w:r>
        <w:rPr>
          <w:rFonts w:ascii="David" w:hAnsi="David" w:hint="cs"/>
          <w:rtl/>
        </w:rPr>
        <w:t>10</w:t>
      </w:r>
      <w:r>
        <w:rPr>
          <w:rFonts w:ascii="David" w:hAnsi="David"/>
          <w:rtl/>
        </w:rPr>
        <w:t>.</w:t>
      </w:r>
      <w:r>
        <w:rPr>
          <w:rFonts w:ascii="David" w:hAnsi="David"/>
          <w:rtl/>
        </w:rPr>
        <w:tab/>
        <w:t xml:space="preserve">העבירות בהן הורשע הנאשם ונסיבות ביצוען מלמדות כי השימוש באלימות קשה כדרך לפתרון סכסוכים בין משפחות יריבות בחברה ערבית, הפך לצערנו נרחב ונפוץ. </w:t>
      </w:r>
    </w:p>
    <w:p w14:paraId="37B99C2F" w14:textId="77777777" w:rsidR="00613812" w:rsidRDefault="00613812" w:rsidP="00613812">
      <w:pPr>
        <w:spacing w:line="360" w:lineRule="auto"/>
        <w:ind w:left="720" w:hanging="720"/>
        <w:jc w:val="both"/>
        <w:rPr>
          <w:rFonts w:ascii="David" w:hAnsi="David"/>
          <w:rtl/>
        </w:rPr>
      </w:pPr>
      <w:r>
        <w:rPr>
          <w:rFonts w:ascii="David" w:hAnsi="David"/>
          <w:rtl/>
        </w:rPr>
        <w:tab/>
        <w:t xml:space="preserve">הנאשם הורשע בביצוע עבירות חמורות המצביעות על אכזריות רבה והעדר כל מורא מהחוק. הנאשם ביצע את מעשיו הקשים לאחר תכנון מוקדם, בצוותא עם אחרים, לאורך זמן ותוך כדי שימוש בנשק חם. </w:t>
      </w:r>
    </w:p>
    <w:p w14:paraId="66A989CB" w14:textId="77777777" w:rsidR="00613812" w:rsidRDefault="00613812" w:rsidP="00613812">
      <w:pPr>
        <w:spacing w:line="360" w:lineRule="auto"/>
        <w:ind w:left="720" w:hanging="720"/>
        <w:jc w:val="both"/>
        <w:rPr>
          <w:rFonts w:ascii="David" w:hAnsi="David"/>
          <w:rtl/>
        </w:rPr>
      </w:pPr>
      <w:r>
        <w:rPr>
          <w:rFonts w:ascii="David" w:hAnsi="David"/>
          <w:rtl/>
        </w:rPr>
        <w:tab/>
        <w:t>הנאשם חמוש באקדח והאחר שאחז בנשק ארוך, ירו בטווח קצר במי שזוהה כבן המשפחה היריבה, תוך שהנאשם, בקור רוח מבעית, תר אחר המתלונן.</w:t>
      </w:r>
    </w:p>
    <w:p w14:paraId="11181EF8" w14:textId="77777777" w:rsidR="00613812" w:rsidRDefault="00613812" w:rsidP="00613812">
      <w:pPr>
        <w:spacing w:line="360" w:lineRule="auto"/>
        <w:ind w:left="720" w:hanging="720"/>
        <w:jc w:val="both"/>
        <w:rPr>
          <w:rFonts w:ascii="David" w:hAnsi="David"/>
          <w:rtl/>
        </w:rPr>
      </w:pPr>
      <w:r>
        <w:rPr>
          <w:rFonts w:ascii="David" w:hAnsi="David"/>
          <w:rtl/>
        </w:rPr>
        <w:tab/>
        <w:t xml:space="preserve"> </w:t>
      </w:r>
    </w:p>
    <w:p w14:paraId="6568CAFC" w14:textId="77777777" w:rsidR="00613812" w:rsidRDefault="00613812" w:rsidP="00613812">
      <w:pPr>
        <w:spacing w:line="360" w:lineRule="auto"/>
        <w:ind w:left="720" w:hanging="720"/>
        <w:jc w:val="both"/>
        <w:rPr>
          <w:rFonts w:ascii="David" w:hAnsi="David"/>
          <w:rtl/>
        </w:rPr>
      </w:pPr>
      <w:r>
        <w:rPr>
          <w:rFonts w:ascii="David" w:hAnsi="David" w:hint="cs"/>
          <w:rtl/>
        </w:rPr>
        <w:t>11</w:t>
      </w:r>
      <w:r>
        <w:rPr>
          <w:rFonts w:ascii="David" w:hAnsi="David"/>
          <w:rtl/>
        </w:rPr>
        <w:t>.</w:t>
      </w:r>
      <w:r>
        <w:rPr>
          <w:rFonts w:ascii="David" w:hAnsi="David"/>
          <w:rtl/>
        </w:rPr>
        <w:tab/>
        <w:t>חומרת העבירות בענייננו נלמדת גם מהחבלות החמורות ומהפציעות אשר נגרמו למתלונן ולמספר יושבי בית הקפה, שבעטין טופלו  בבית החולים וחלקם אף נזקקו לניתוח. הגם שלא ניתן לייחס באופן ישיר את כל החבלות והפציעות המפורטות בכתב האישום המתוקן למעשיו של הנאשם, אין בכך כדי</w:t>
      </w:r>
      <w:r>
        <w:rPr>
          <w:rFonts w:ascii="David" w:hAnsi="David" w:hint="cs"/>
          <w:rtl/>
        </w:rPr>
        <w:t xml:space="preserve"> </w:t>
      </w:r>
      <w:r>
        <w:rPr>
          <w:rFonts w:ascii="David" w:hAnsi="David"/>
          <w:rtl/>
        </w:rPr>
        <w:t xml:space="preserve">להפחית מחלקו באירוע החמור ובאחריותו לתוצאות הקשות. האירוע בענייננו עלול היה להסתיים בתוצאות אף קשות יותר וחלילה קטלניות. </w:t>
      </w:r>
    </w:p>
    <w:p w14:paraId="00401CE9" w14:textId="77777777" w:rsidR="00613812" w:rsidRDefault="00613812" w:rsidP="00613812">
      <w:pPr>
        <w:spacing w:line="360" w:lineRule="auto"/>
        <w:ind w:left="720" w:hanging="720"/>
        <w:jc w:val="both"/>
        <w:rPr>
          <w:rFonts w:ascii="David" w:hAnsi="David"/>
          <w:rtl/>
        </w:rPr>
      </w:pPr>
      <w:r>
        <w:rPr>
          <w:rFonts w:ascii="David" w:hAnsi="David"/>
          <w:rtl/>
        </w:rPr>
        <w:tab/>
      </w:r>
    </w:p>
    <w:p w14:paraId="36A1D7AF" w14:textId="77777777" w:rsidR="00613812" w:rsidRDefault="00613812" w:rsidP="00613812">
      <w:pPr>
        <w:spacing w:line="360" w:lineRule="auto"/>
        <w:ind w:left="720" w:hanging="720"/>
        <w:jc w:val="both"/>
        <w:rPr>
          <w:rFonts w:ascii="David" w:hAnsi="David"/>
          <w:rtl/>
        </w:rPr>
      </w:pPr>
      <w:r>
        <w:rPr>
          <w:rFonts w:ascii="David" w:hAnsi="David" w:hint="cs"/>
          <w:rtl/>
        </w:rPr>
        <w:t>12</w:t>
      </w:r>
      <w:r>
        <w:rPr>
          <w:rFonts w:ascii="David" w:hAnsi="David"/>
          <w:rtl/>
        </w:rPr>
        <w:t>.</w:t>
      </w:r>
      <w:r>
        <w:rPr>
          <w:rFonts w:ascii="David" w:hAnsi="David"/>
          <w:rtl/>
        </w:rPr>
        <w:tab/>
        <w:t xml:space="preserve">לקולת העונש התחשבתי בגילו הצעיר של הנאשם, בהיותו נעדר עבר פלילי, בהודאתו, ובחרטה שהביע. </w:t>
      </w:r>
    </w:p>
    <w:p w14:paraId="79DC2186" w14:textId="77777777" w:rsidR="00613812" w:rsidRDefault="00613812" w:rsidP="00613812">
      <w:pPr>
        <w:spacing w:line="360" w:lineRule="auto"/>
        <w:ind w:left="720" w:hanging="720"/>
        <w:jc w:val="both"/>
        <w:rPr>
          <w:rFonts w:ascii="David" w:hAnsi="David"/>
          <w:rtl/>
        </w:rPr>
      </w:pPr>
    </w:p>
    <w:p w14:paraId="0CFF0ED0" w14:textId="77777777" w:rsidR="00613812" w:rsidRDefault="00613812" w:rsidP="00613812">
      <w:pPr>
        <w:spacing w:line="360" w:lineRule="auto"/>
        <w:ind w:left="720" w:hanging="720"/>
        <w:jc w:val="both"/>
        <w:rPr>
          <w:rFonts w:ascii="David" w:hAnsi="David"/>
          <w:rtl/>
        </w:rPr>
      </w:pPr>
      <w:r>
        <w:rPr>
          <w:rFonts w:ascii="David" w:hAnsi="David" w:hint="cs"/>
          <w:rtl/>
        </w:rPr>
        <w:t>13</w:t>
      </w:r>
      <w:r>
        <w:rPr>
          <w:rFonts w:ascii="David" w:hAnsi="David"/>
          <w:rtl/>
        </w:rPr>
        <w:t>.</w:t>
      </w:r>
      <w:r>
        <w:rPr>
          <w:rFonts w:ascii="David" w:hAnsi="David"/>
          <w:rtl/>
        </w:rPr>
        <w:tab/>
        <w:t xml:space="preserve">התלבטתי לא מעט בשאלת כיבוד הסדר הטיעון, שכן העונש אליו עותרים הצדדים  מקל מאוד עם הנאשם, ואינו עולה בקנה אחד עם מגמת ההחמרה בענישה המתבקשת בסוג זה של עבירות.  שיקולי הרתעת היחיד והרתעת הרבים כמו גם שיקולי גמול, היו צריכים להוביל לענישה מחמירה יותר מזו לה עתרו באי כוח הצדדים במסגרת הסדר הטיעון. </w:t>
      </w:r>
    </w:p>
    <w:p w14:paraId="2FE8023A" w14:textId="77777777" w:rsidR="00613812" w:rsidRDefault="00613812" w:rsidP="00613812">
      <w:pPr>
        <w:spacing w:line="360" w:lineRule="auto"/>
        <w:ind w:left="720" w:hanging="720"/>
        <w:jc w:val="both"/>
        <w:rPr>
          <w:rFonts w:ascii="David" w:hAnsi="David"/>
          <w:rtl/>
        </w:rPr>
      </w:pPr>
      <w:r>
        <w:rPr>
          <w:rFonts w:ascii="David" w:hAnsi="David"/>
          <w:rtl/>
        </w:rPr>
        <w:tab/>
        <w:t>חומרת המעשה ואכזריות הנאשם,</w:t>
      </w:r>
      <w:r>
        <w:rPr>
          <w:rFonts w:ascii="David" w:hAnsi="David" w:hint="cs"/>
          <w:rtl/>
        </w:rPr>
        <w:t xml:space="preserve"> </w:t>
      </w:r>
      <w:r>
        <w:rPr>
          <w:rFonts w:ascii="David" w:hAnsi="David"/>
          <w:rtl/>
        </w:rPr>
        <w:t xml:space="preserve">מדיניות הענישה הנוהגת בעבירות אלימות חמורות ובעבירות הנשק, מחייבות להטיל על הנאשם עונש חמור הכולל רכיב של מאסר ממושך. בקשת ב"כ הצדדים כי הנאשם יישא את עונשו בהתאם להסדר הטיעון, אינה הולמת את מעשיו של הנאשם, וברגיל מן הדין היה נכון לדחות את הסדר הטיעון. </w:t>
      </w:r>
    </w:p>
    <w:p w14:paraId="72AA3B8A" w14:textId="77777777" w:rsidR="00613812" w:rsidRDefault="00613812" w:rsidP="00613812">
      <w:pPr>
        <w:spacing w:line="360" w:lineRule="auto"/>
        <w:ind w:left="720" w:hanging="720"/>
        <w:jc w:val="both"/>
        <w:rPr>
          <w:rFonts w:ascii="David" w:hAnsi="David"/>
          <w:rtl/>
        </w:rPr>
      </w:pPr>
      <w:r>
        <w:rPr>
          <w:rFonts w:ascii="David" w:hAnsi="David"/>
          <w:rtl/>
        </w:rPr>
        <w:tab/>
        <w:t xml:space="preserve">לצד זאת, לא ניתן להתעלם מהבהרת באי כוח הצדדים כי הסדר הטיעון בענייננו הוא תוצאה של קשיים ראייתיים של ממש באשר לזיהוי הנאשם, קשיים שהיה בהם כדי להשפיע על סיכויי ההרשעה. </w:t>
      </w:r>
    </w:p>
    <w:p w14:paraId="07BB207C" w14:textId="77777777" w:rsidR="00613812" w:rsidRDefault="00613812" w:rsidP="00613812">
      <w:pPr>
        <w:spacing w:line="360" w:lineRule="auto"/>
        <w:ind w:left="720" w:hanging="720"/>
        <w:jc w:val="both"/>
        <w:rPr>
          <w:rFonts w:ascii="David" w:hAnsi="David"/>
          <w:rtl/>
        </w:rPr>
      </w:pPr>
      <w:r>
        <w:rPr>
          <w:rFonts w:ascii="David" w:hAnsi="David"/>
          <w:rtl/>
        </w:rPr>
        <w:tab/>
        <w:t xml:space="preserve">בענייננו, וכחלק משיקולי בית המשפט האם לכבד את ההסדר, יש ליתן משקל להודאת הנאשם שוויתר על זכותו לנהל את התיק הגם הקושי הראייתי הנטען להוכחת אשמתו. </w:t>
      </w:r>
    </w:p>
    <w:p w14:paraId="30D9F88F" w14:textId="77777777" w:rsidR="00613812" w:rsidRDefault="00613812" w:rsidP="00613812">
      <w:pPr>
        <w:spacing w:line="360" w:lineRule="auto"/>
        <w:ind w:left="720"/>
        <w:jc w:val="both"/>
        <w:rPr>
          <w:rFonts w:ascii="David" w:hAnsi="David"/>
          <w:rtl/>
        </w:rPr>
      </w:pPr>
      <w:r>
        <w:rPr>
          <w:rFonts w:ascii="David" w:hAnsi="David"/>
          <w:rtl/>
        </w:rPr>
        <w:t xml:space="preserve">כמו כן, ובמסגרת לבטיי האם לכבד את הסדר נתתי משקל להודעת המאשימה כי ההסדר קיבל את הסכמת מרבית הנפגעים. </w:t>
      </w:r>
    </w:p>
    <w:p w14:paraId="352152AD" w14:textId="77777777" w:rsidR="00613812" w:rsidRDefault="00613812" w:rsidP="00613812">
      <w:pPr>
        <w:spacing w:line="360" w:lineRule="auto"/>
        <w:ind w:left="720" w:hanging="720"/>
        <w:jc w:val="both"/>
        <w:rPr>
          <w:rFonts w:ascii="David" w:hAnsi="David"/>
          <w:rtl/>
        </w:rPr>
      </w:pPr>
    </w:p>
    <w:p w14:paraId="5A6D90AF" w14:textId="77777777" w:rsidR="00613812" w:rsidRDefault="00613812" w:rsidP="00613812">
      <w:pPr>
        <w:spacing w:line="360" w:lineRule="auto"/>
        <w:ind w:left="720" w:hanging="720"/>
        <w:jc w:val="both"/>
        <w:rPr>
          <w:rFonts w:ascii="David" w:hAnsi="David"/>
          <w:rtl/>
        </w:rPr>
      </w:pPr>
      <w:r>
        <w:rPr>
          <w:rFonts w:ascii="David" w:hAnsi="David" w:hint="cs"/>
          <w:rtl/>
        </w:rPr>
        <w:t>14</w:t>
      </w:r>
      <w:r>
        <w:rPr>
          <w:rFonts w:ascii="David" w:hAnsi="David"/>
          <w:rtl/>
        </w:rPr>
        <w:t>.</w:t>
      </w:r>
      <w:r>
        <w:rPr>
          <w:rFonts w:ascii="David" w:hAnsi="David"/>
          <w:rtl/>
        </w:rPr>
        <w:tab/>
        <w:t xml:space="preserve">לאחר ששמעתי טיעוני באי כוח הצדדים, מצאתי, לא בלי היסוס, שלא לחרוג מהסדר הטיעון בהינתן מדיניות בתי המשפט הנוגעת לכיבוד הסדר טיעון, ובעיקר נוכח הקושי הראייתי עליו הצביעה המאשימה, וההנחה שמדובר בקושי של ממש שהיה בו כדי להשפיע על סיכויי ההרשעה, ובאופן הנותן משקל נוסף לעקרון ההסתמכות של הנאשם כי בית המשפט יכבד את ההסדר. </w:t>
      </w:r>
    </w:p>
    <w:p w14:paraId="3854819C" w14:textId="77777777" w:rsidR="00613812" w:rsidRDefault="00613812" w:rsidP="00613812">
      <w:pPr>
        <w:spacing w:line="360" w:lineRule="auto"/>
        <w:ind w:left="720" w:hanging="720"/>
        <w:jc w:val="both"/>
        <w:rPr>
          <w:rFonts w:ascii="David" w:hAnsi="David"/>
          <w:rtl/>
        </w:rPr>
      </w:pPr>
      <w:r>
        <w:rPr>
          <w:rFonts w:ascii="David" w:hAnsi="David"/>
          <w:rtl/>
        </w:rPr>
        <w:tab/>
      </w:r>
    </w:p>
    <w:p w14:paraId="1CFD1710" w14:textId="77777777" w:rsidR="00613812" w:rsidRDefault="00613812" w:rsidP="00613812">
      <w:pPr>
        <w:spacing w:line="360" w:lineRule="auto"/>
        <w:ind w:left="720" w:hanging="720"/>
        <w:jc w:val="both"/>
        <w:rPr>
          <w:rFonts w:ascii="David" w:hAnsi="David"/>
          <w:rtl/>
        </w:rPr>
      </w:pPr>
      <w:r>
        <w:rPr>
          <w:rFonts w:ascii="David" w:hAnsi="David" w:hint="cs"/>
          <w:rtl/>
        </w:rPr>
        <w:t>15</w:t>
      </w:r>
      <w:r>
        <w:rPr>
          <w:rFonts w:ascii="David" w:hAnsi="David"/>
          <w:rtl/>
        </w:rPr>
        <w:t>.</w:t>
      </w:r>
      <w:r>
        <w:rPr>
          <w:rFonts w:ascii="David" w:hAnsi="David"/>
          <w:rtl/>
        </w:rPr>
        <w:tab/>
        <w:t>לאור האמור לעיל, אני גוזר על הנאשם את העונשים הבאים:</w:t>
      </w:r>
    </w:p>
    <w:p w14:paraId="346A8F0A" w14:textId="77777777" w:rsidR="00613812" w:rsidRDefault="00613812" w:rsidP="00613812">
      <w:pPr>
        <w:spacing w:line="360" w:lineRule="auto"/>
        <w:ind w:left="720" w:hanging="720"/>
        <w:jc w:val="both"/>
        <w:rPr>
          <w:rFonts w:ascii="David" w:hAnsi="David"/>
          <w:rtl/>
        </w:rPr>
      </w:pPr>
    </w:p>
    <w:p w14:paraId="76FE3E62" w14:textId="77777777" w:rsidR="00613812" w:rsidRDefault="00613812" w:rsidP="00613812">
      <w:pPr>
        <w:spacing w:line="360" w:lineRule="auto"/>
        <w:ind w:left="720" w:hanging="720"/>
        <w:jc w:val="both"/>
        <w:rPr>
          <w:rFonts w:ascii="David" w:hAnsi="David"/>
          <w:rtl/>
        </w:rPr>
      </w:pPr>
      <w:r>
        <w:rPr>
          <w:rFonts w:ascii="David" w:hAnsi="David" w:hint="cs"/>
          <w:rtl/>
        </w:rPr>
        <w:tab/>
        <w:t>א.</w:t>
      </w:r>
      <w:r>
        <w:rPr>
          <w:rFonts w:ascii="David" w:hAnsi="David" w:hint="cs"/>
          <w:rtl/>
        </w:rPr>
        <w:tab/>
      </w:r>
      <w:r>
        <w:rPr>
          <w:rFonts w:ascii="David" w:hAnsi="David"/>
          <w:rtl/>
        </w:rPr>
        <w:t>70 חודשי מאסר בפועל, בניכוי ימי מעצרו.</w:t>
      </w:r>
    </w:p>
    <w:p w14:paraId="12AC27F2" w14:textId="77777777" w:rsidR="00613812" w:rsidRDefault="00613812" w:rsidP="00613812">
      <w:pPr>
        <w:spacing w:line="360" w:lineRule="auto"/>
        <w:ind w:left="720" w:hanging="720"/>
        <w:jc w:val="both"/>
        <w:rPr>
          <w:rFonts w:ascii="David" w:hAnsi="David"/>
          <w:rtl/>
        </w:rPr>
      </w:pPr>
    </w:p>
    <w:p w14:paraId="71852995" w14:textId="77777777" w:rsidR="00613812" w:rsidRDefault="00613812" w:rsidP="00613812">
      <w:pPr>
        <w:spacing w:line="360" w:lineRule="auto"/>
        <w:ind w:left="1440" w:hanging="720"/>
        <w:jc w:val="both"/>
        <w:rPr>
          <w:rFonts w:ascii="David" w:hAnsi="David"/>
          <w:rtl/>
        </w:rPr>
      </w:pPr>
      <w:r>
        <w:rPr>
          <w:rFonts w:ascii="David" w:hAnsi="David" w:hint="cs"/>
          <w:rtl/>
        </w:rPr>
        <w:t>ב.</w:t>
      </w:r>
      <w:r>
        <w:rPr>
          <w:rFonts w:ascii="David" w:hAnsi="David" w:hint="cs"/>
          <w:rtl/>
        </w:rPr>
        <w:tab/>
      </w:r>
      <w:r>
        <w:rPr>
          <w:rFonts w:ascii="David" w:hAnsi="David"/>
          <w:rtl/>
        </w:rPr>
        <w:t xml:space="preserve">24 חודשי מאסר על תנאי למשך שלוש שנים מיום שחרורו שלא יעבור עבירת אלימות מסוג פשע. </w:t>
      </w:r>
    </w:p>
    <w:p w14:paraId="1C991B96" w14:textId="77777777" w:rsidR="00613812" w:rsidRDefault="00613812" w:rsidP="00613812">
      <w:pPr>
        <w:spacing w:line="360" w:lineRule="auto"/>
        <w:ind w:left="1440" w:hanging="720"/>
        <w:jc w:val="both"/>
        <w:rPr>
          <w:rFonts w:ascii="David" w:hAnsi="David"/>
          <w:rtl/>
        </w:rPr>
      </w:pPr>
    </w:p>
    <w:p w14:paraId="38C4170B" w14:textId="77777777" w:rsidR="00613812" w:rsidRDefault="00613812" w:rsidP="00613812">
      <w:pPr>
        <w:spacing w:line="360" w:lineRule="auto"/>
        <w:ind w:left="1440" w:hanging="720"/>
        <w:jc w:val="both"/>
        <w:rPr>
          <w:rFonts w:ascii="David" w:hAnsi="David"/>
          <w:rtl/>
        </w:rPr>
      </w:pPr>
      <w:r>
        <w:rPr>
          <w:rFonts w:ascii="David" w:hAnsi="David" w:hint="cs"/>
          <w:rtl/>
        </w:rPr>
        <w:t>ג.</w:t>
      </w:r>
      <w:r>
        <w:rPr>
          <w:rFonts w:ascii="David" w:hAnsi="David" w:hint="cs"/>
          <w:rtl/>
        </w:rPr>
        <w:tab/>
      </w:r>
      <w:r>
        <w:rPr>
          <w:rFonts w:ascii="David" w:hAnsi="David"/>
          <w:rtl/>
        </w:rPr>
        <w:t>10 חודשי מאסר על תנאי למשך שלוש שנים מיום שחרורו שלא יעבור עבירת אלימות מסוג עוון.</w:t>
      </w:r>
    </w:p>
    <w:p w14:paraId="55B4DAC2" w14:textId="77777777" w:rsidR="00613812" w:rsidRDefault="00613812" w:rsidP="00613812">
      <w:pPr>
        <w:spacing w:line="360" w:lineRule="auto"/>
        <w:ind w:left="1440" w:hanging="720"/>
        <w:jc w:val="both"/>
        <w:rPr>
          <w:rFonts w:ascii="David" w:hAnsi="David"/>
          <w:rtl/>
        </w:rPr>
      </w:pPr>
    </w:p>
    <w:p w14:paraId="1639358C" w14:textId="77777777" w:rsidR="00613812" w:rsidRDefault="00613812" w:rsidP="00613812">
      <w:pPr>
        <w:spacing w:line="360" w:lineRule="auto"/>
        <w:ind w:left="1440" w:hanging="720"/>
        <w:jc w:val="both"/>
        <w:rPr>
          <w:rFonts w:ascii="David" w:hAnsi="David"/>
          <w:rtl/>
        </w:rPr>
      </w:pPr>
      <w:r>
        <w:rPr>
          <w:rFonts w:ascii="David" w:hAnsi="David" w:hint="cs"/>
          <w:rtl/>
        </w:rPr>
        <w:t>ד.</w:t>
      </w:r>
      <w:r>
        <w:rPr>
          <w:rFonts w:ascii="David" w:hAnsi="David" w:hint="cs"/>
          <w:rtl/>
        </w:rPr>
        <w:tab/>
      </w:r>
      <w:r>
        <w:rPr>
          <w:rFonts w:ascii="David" w:hAnsi="David"/>
          <w:rtl/>
        </w:rPr>
        <w:t>24 חודשי מאסר על תנאי למשך שלוש שנים מיום שחרורו שלא יעבור עביר</w:t>
      </w:r>
      <w:r>
        <w:rPr>
          <w:rFonts w:ascii="David" w:hAnsi="David" w:hint="cs"/>
          <w:rtl/>
        </w:rPr>
        <w:t>ה</w:t>
      </w:r>
      <w:r>
        <w:rPr>
          <w:rFonts w:ascii="David" w:hAnsi="David"/>
          <w:rtl/>
        </w:rPr>
        <w:t xml:space="preserve">  בנשק לפי </w:t>
      </w:r>
      <w:hyperlink r:id="rId17" w:history="1">
        <w:r w:rsidR="00C83CBD" w:rsidRPr="00C83CBD">
          <w:rPr>
            <w:rStyle w:val="Hyperlink"/>
            <w:rFonts w:ascii="David" w:hAnsi="David"/>
            <w:rtl/>
          </w:rPr>
          <w:t>סעיף 144</w:t>
        </w:r>
      </w:hyperlink>
      <w:r>
        <w:rPr>
          <w:rFonts w:ascii="David" w:hAnsi="David"/>
          <w:rtl/>
        </w:rPr>
        <w:t xml:space="preserve"> לחוק על חלופותיו השונות.</w:t>
      </w:r>
    </w:p>
    <w:p w14:paraId="2BC7F302" w14:textId="77777777" w:rsidR="00613812" w:rsidRDefault="00613812" w:rsidP="00613812">
      <w:pPr>
        <w:spacing w:line="360" w:lineRule="auto"/>
        <w:ind w:left="1440" w:hanging="720"/>
        <w:jc w:val="both"/>
        <w:rPr>
          <w:rFonts w:ascii="David" w:hAnsi="David"/>
          <w:rtl/>
        </w:rPr>
      </w:pPr>
    </w:p>
    <w:p w14:paraId="30C26194" w14:textId="77777777" w:rsidR="00613812" w:rsidRDefault="00613812" w:rsidP="00613812">
      <w:pPr>
        <w:spacing w:line="360" w:lineRule="auto"/>
        <w:ind w:left="1440" w:hanging="720"/>
        <w:jc w:val="both"/>
        <w:rPr>
          <w:rFonts w:ascii="David" w:hAnsi="David"/>
          <w:rtl/>
        </w:rPr>
      </w:pPr>
      <w:r>
        <w:rPr>
          <w:rFonts w:ascii="David" w:hAnsi="David" w:hint="cs"/>
          <w:rtl/>
        </w:rPr>
        <w:t>ה.</w:t>
      </w:r>
      <w:r>
        <w:rPr>
          <w:rFonts w:ascii="David" w:hAnsi="David" w:hint="cs"/>
          <w:rtl/>
        </w:rPr>
        <w:tab/>
      </w:r>
      <w:r>
        <w:rPr>
          <w:rFonts w:ascii="David" w:hAnsi="David"/>
          <w:rtl/>
        </w:rPr>
        <w:t xml:space="preserve">פיצוי כספי בסך  50,000 ₪. הפיצוי ישולם לתיק בית המשפט ב- 10 תשלומים שווים ורצופים של 5,000 ₪ כל אחד, החל מיום 01.10.23. </w:t>
      </w:r>
    </w:p>
    <w:p w14:paraId="2C263A0B" w14:textId="77777777" w:rsidR="00613812" w:rsidRPr="0097237B" w:rsidRDefault="00613812" w:rsidP="00613812">
      <w:pPr>
        <w:spacing w:line="360" w:lineRule="auto"/>
        <w:ind w:left="1440"/>
        <w:jc w:val="both"/>
        <w:rPr>
          <w:rFonts w:ascii="David" w:hAnsi="David"/>
        </w:rPr>
      </w:pPr>
      <w:r w:rsidRPr="0097237B">
        <w:rPr>
          <w:rFonts w:ascii="David" w:hAnsi="David"/>
          <w:rtl/>
        </w:rPr>
        <w:t xml:space="preserve">המאשימה תגיש לתיק בית המשפט תוך 30 ימים רשימת נפגעי העבירה ואופן חלוקת הפיצוי ביניהם. </w:t>
      </w:r>
    </w:p>
    <w:p w14:paraId="518D7237" w14:textId="77777777" w:rsidR="00613812" w:rsidRPr="0097237B" w:rsidRDefault="00613812" w:rsidP="00613812">
      <w:pPr>
        <w:spacing w:line="360" w:lineRule="auto"/>
        <w:ind w:left="720" w:firstLine="720"/>
        <w:jc w:val="both"/>
        <w:rPr>
          <w:rFonts w:ascii="David" w:hAnsi="David"/>
          <w:b/>
          <w:bCs/>
          <w:rtl/>
        </w:rPr>
      </w:pPr>
      <w:r w:rsidRPr="0097237B">
        <w:rPr>
          <w:rFonts w:ascii="David" w:hAnsi="David"/>
          <w:b/>
          <w:bCs/>
          <w:rtl/>
        </w:rPr>
        <w:t xml:space="preserve">המזכירות תנפיק לנאשם שוברים בהתאם. </w:t>
      </w:r>
    </w:p>
    <w:p w14:paraId="3A6386FD" w14:textId="77777777" w:rsidR="00613812" w:rsidRPr="0056730E" w:rsidRDefault="0056730E" w:rsidP="00613812">
      <w:pPr>
        <w:spacing w:line="360" w:lineRule="auto"/>
        <w:jc w:val="both"/>
        <w:rPr>
          <w:rFonts w:ascii="David" w:hAnsi="David"/>
          <w:b/>
          <w:bCs/>
          <w:color w:val="FFFFFF"/>
          <w:sz w:val="2"/>
          <w:szCs w:val="2"/>
        </w:rPr>
      </w:pPr>
      <w:r w:rsidRPr="0056730E">
        <w:rPr>
          <w:rFonts w:ascii="David" w:hAnsi="David"/>
          <w:b/>
          <w:bCs/>
          <w:color w:val="FFFFFF"/>
          <w:sz w:val="2"/>
          <w:szCs w:val="2"/>
          <w:rtl/>
        </w:rPr>
        <w:t>5129371</w:t>
      </w:r>
    </w:p>
    <w:p w14:paraId="173E7E0A" w14:textId="77777777" w:rsidR="00613812" w:rsidRPr="000F2247" w:rsidRDefault="0056730E" w:rsidP="00613812">
      <w:pPr>
        <w:spacing w:line="360" w:lineRule="auto"/>
        <w:jc w:val="both"/>
        <w:rPr>
          <w:rFonts w:ascii="Arial" w:hAnsi="Arial"/>
          <w:b/>
          <w:bCs/>
          <w:sz w:val="26"/>
          <w:szCs w:val="26"/>
          <w:rtl/>
        </w:rPr>
      </w:pPr>
      <w:r w:rsidRPr="0056730E">
        <w:rPr>
          <w:rFonts w:ascii="David" w:hAnsi="David"/>
          <w:b/>
          <w:bCs/>
          <w:color w:val="FFFFFF"/>
          <w:sz w:val="2"/>
          <w:szCs w:val="2"/>
          <w:rtl/>
        </w:rPr>
        <w:t>54678313</w:t>
      </w:r>
      <w:r w:rsidR="00613812">
        <w:rPr>
          <w:rFonts w:ascii="David" w:hAnsi="David"/>
          <w:b/>
          <w:bCs/>
          <w:rtl/>
        </w:rPr>
        <w:t>זכות ערעור תוך 45 ימים לבית המשפט העליון.</w:t>
      </w:r>
    </w:p>
    <w:p w14:paraId="53760F36" w14:textId="77777777" w:rsidR="00613812" w:rsidRPr="000F2247" w:rsidRDefault="00613812" w:rsidP="00613812">
      <w:pPr>
        <w:rPr>
          <w:rFonts w:ascii="Arial" w:hAnsi="Arial"/>
          <w:b/>
          <w:bCs/>
          <w:sz w:val="26"/>
          <w:szCs w:val="26"/>
          <w:rtl/>
        </w:rPr>
      </w:pPr>
    </w:p>
    <w:p w14:paraId="733272B1" w14:textId="77777777" w:rsidR="00613812" w:rsidRPr="000F2247" w:rsidRDefault="0056730E" w:rsidP="0061381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אב תשפ"ג, 20 יולי 2023, במעמד הצדדים. </w:t>
      </w:r>
      <w:bookmarkEnd w:id="8"/>
      <w:r w:rsidR="00613812">
        <w:rPr>
          <w:rFonts w:ascii="Arial" w:hAnsi="Arial"/>
          <w:b/>
          <w:bCs/>
          <w:sz w:val="26"/>
          <w:szCs w:val="26"/>
          <w:rtl/>
        </w:rPr>
        <w:tab/>
      </w:r>
      <w:r w:rsidR="00613812">
        <w:rPr>
          <w:rFonts w:ascii="Arial" w:hAnsi="Arial"/>
          <w:b/>
          <w:bCs/>
          <w:sz w:val="26"/>
          <w:szCs w:val="26"/>
          <w:rtl/>
        </w:rPr>
        <w:tab/>
      </w:r>
      <w:r w:rsidR="00613812">
        <w:rPr>
          <w:rFonts w:ascii="Arial" w:hAnsi="Arial"/>
          <w:b/>
          <w:bCs/>
          <w:sz w:val="26"/>
          <w:szCs w:val="26"/>
          <w:rtl/>
        </w:rPr>
        <w:tab/>
      </w:r>
      <w:r w:rsidR="00613812">
        <w:rPr>
          <w:rFonts w:ascii="Arial" w:hAnsi="Arial"/>
          <w:b/>
          <w:bCs/>
          <w:sz w:val="26"/>
          <w:szCs w:val="26"/>
          <w:rtl/>
        </w:rPr>
        <w:tab/>
      </w:r>
      <w:r w:rsidR="00613812">
        <w:rPr>
          <w:rFonts w:ascii="Arial" w:hAnsi="Arial"/>
          <w:b/>
          <w:bCs/>
          <w:sz w:val="26"/>
          <w:szCs w:val="26"/>
          <w:rtl/>
        </w:rPr>
        <w:tab/>
      </w:r>
      <w:r w:rsidR="00613812">
        <w:rPr>
          <w:rFonts w:ascii="Arial" w:hAnsi="Arial"/>
          <w:b/>
          <w:bCs/>
          <w:sz w:val="26"/>
          <w:szCs w:val="26"/>
          <w:rtl/>
        </w:rPr>
        <w:tab/>
      </w:r>
      <w:r w:rsidR="00613812">
        <w:rPr>
          <w:rFonts w:ascii="Arial" w:hAnsi="Arial"/>
          <w:b/>
          <w:bCs/>
          <w:sz w:val="26"/>
          <w:szCs w:val="26"/>
          <w:rtl/>
        </w:rPr>
        <w:tab/>
      </w:r>
      <w:r w:rsidR="00613812">
        <w:rPr>
          <w:rFonts w:ascii="Arial" w:hAnsi="Arial" w:hint="cs"/>
          <w:b/>
          <w:bCs/>
          <w:sz w:val="26"/>
          <w:szCs w:val="26"/>
          <w:rtl/>
        </w:rPr>
        <w:t xml:space="preserve">         </w:t>
      </w:r>
    </w:p>
    <w:p w14:paraId="7166D59A" w14:textId="77777777" w:rsidR="00613812" w:rsidRPr="000F2247" w:rsidRDefault="00613812" w:rsidP="0056730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11D64F7" w14:textId="77777777" w:rsidR="00613812" w:rsidRPr="000F2247" w:rsidRDefault="00613812" w:rsidP="00613812">
      <w:pPr>
        <w:jc w:val="center"/>
        <w:rPr>
          <w:rFonts w:ascii="Arial" w:hAnsi="Arial"/>
          <w:b/>
          <w:bCs/>
          <w:sz w:val="26"/>
          <w:szCs w:val="26"/>
          <w:rtl/>
        </w:rPr>
      </w:pPr>
    </w:p>
    <w:p w14:paraId="2FB7207D" w14:textId="77777777" w:rsidR="001701EC" w:rsidRPr="0056730E" w:rsidRDefault="001701EC" w:rsidP="0056730E">
      <w:pPr>
        <w:keepNext/>
        <w:rPr>
          <w:rFonts w:ascii="David" w:hAnsi="David"/>
          <w:color w:val="000000"/>
          <w:sz w:val="22"/>
          <w:szCs w:val="22"/>
          <w:rtl/>
        </w:rPr>
      </w:pPr>
    </w:p>
    <w:p w14:paraId="1F661D33" w14:textId="77777777" w:rsidR="0056730E" w:rsidRPr="0056730E" w:rsidRDefault="0056730E" w:rsidP="0056730E">
      <w:pPr>
        <w:keepNext/>
        <w:rPr>
          <w:rFonts w:ascii="David" w:hAnsi="David"/>
          <w:color w:val="000000"/>
          <w:sz w:val="22"/>
          <w:szCs w:val="22"/>
          <w:rtl/>
        </w:rPr>
      </w:pPr>
      <w:r w:rsidRPr="0056730E">
        <w:rPr>
          <w:rFonts w:ascii="David" w:hAnsi="David"/>
          <w:color w:val="000000"/>
          <w:sz w:val="22"/>
          <w:szCs w:val="22"/>
          <w:rtl/>
        </w:rPr>
        <w:t>אלון גביזון 54678313</w:t>
      </w:r>
    </w:p>
    <w:p w14:paraId="2B7AF370" w14:textId="77777777" w:rsidR="0056730E" w:rsidRDefault="0056730E" w:rsidP="0056730E">
      <w:r w:rsidRPr="0056730E">
        <w:rPr>
          <w:color w:val="000000"/>
          <w:rtl/>
        </w:rPr>
        <w:t>נוסח מסמך זה כפוף לשינויי ניסוח ועריכה</w:t>
      </w:r>
    </w:p>
    <w:p w14:paraId="26D9D539" w14:textId="77777777" w:rsidR="0056730E" w:rsidRDefault="0056730E" w:rsidP="0056730E">
      <w:pPr>
        <w:rPr>
          <w:rtl/>
        </w:rPr>
      </w:pPr>
    </w:p>
    <w:p w14:paraId="0DD5B4C4" w14:textId="77777777" w:rsidR="0056730E" w:rsidRDefault="0056730E" w:rsidP="0056730E">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5A847A80" w14:textId="77777777" w:rsidR="0056730E" w:rsidRPr="0056730E" w:rsidRDefault="0056730E" w:rsidP="0056730E">
      <w:pPr>
        <w:jc w:val="center"/>
        <w:rPr>
          <w:color w:val="0000FF"/>
          <w:u w:val="single"/>
        </w:rPr>
      </w:pPr>
    </w:p>
    <w:sectPr w:rsidR="0056730E" w:rsidRPr="0056730E" w:rsidSect="0056730E">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8471D" w14:textId="77777777" w:rsidR="00B32750" w:rsidRDefault="00B32750" w:rsidP="007313D8">
      <w:r>
        <w:separator/>
      </w:r>
    </w:p>
  </w:endnote>
  <w:endnote w:type="continuationSeparator" w:id="0">
    <w:p w14:paraId="4E7BFF9E" w14:textId="77777777" w:rsidR="00B32750" w:rsidRDefault="00B32750" w:rsidP="00731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DEC78" w14:textId="77777777" w:rsidR="0056730E" w:rsidRDefault="0056730E" w:rsidP="005673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06575B6" w14:textId="77777777" w:rsidR="000266BC" w:rsidRPr="0056730E" w:rsidRDefault="0056730E" w:rsidP="005673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EA47A" w14:textId="77777777" w:rsidR="0056730E" w:rsidRDefault="0056730E" w:rsidP="005673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0715F">
      <w:rPr>
        <w:rFonts w:ascii="FrankRuehl" w:hAnsi="FrankRuehl" w:cs="FrankRuehl"/>
        <w:noProof/>
        <w:rtl/>
      </w:rPr>
      <w:t>1</w:t>
    </w:r>
    <w:r>
      <w:rPr>
        <w:rFonts w:ascii="FrankRuehl" w:hAnsi="FrankRuehl" w:cs="FrankRuehl"/>
        <w:rtl/>
      </w:rPr>
      <w:fldChar w:fldCharType="end"/>
    </w:r>
  </w:p>
  <w:p w14:paraId="4FF8DFBE" w14:textId="77777777" w:rsidR="000266BC" w:rsidRPr="0056730E" w:rsidRDefault="0056730E" w:rsidP="005673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228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D49EB" w14:textId="77777777" w:rsidR="00B32750" w:rsidRDefault="00B32750" w:rsidP="007313D8">
      <w:r>
        <w:separator/>
      </w:r>
    </w:p>
  </w:footnote>
  <w:footnote w:type="continuationSeparator" w:id="0">
    <w:p w14:paraId="21041C93" w14:textId="77777777" w:rsidR="00B32750" w:rsidRDefault="00B32750" w:rsidP="00731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4768" w14:textId="77777777" w:rsidR="0056730E" w:rsidRPr="0056730E" w:rsidRDefault="0056730E" w:rsidP="005673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38609-05-22</w:t>
    </w:r>
    <w:r>
      <w:rPr>
        <w:rFonts w:ascii="David" w:hAnsi="David"/>
        <w:color w:val="000000"/>
        <w:sz w:val="22"/>
        <w:szCs w:val="22"/>
        <w:rtl/>
      </w:rPr>
      <w:tab/>
      <w:t xml:space="preserve"> מדינת ישראל נ' מוסטפה אלבחירי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2808B" w14:textId="77777777" w:rsidR="0056730E" w:rsidRPr="0056730E" w:rsidRDefault="0056730E" w:rsidP="005673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38609-05-22</w:t>
    </w:r>
    <w:r>
      <w:rPr>
        <w:rFonts w:ascii="David" w:hAnsi="David"/>
        <w:color w:val="000000"/>
        <w:sz w:val="22"/>
        <w:szCs w:val="22"/>
        <w:rtl/>
      </w:rPr>
      <w:tab/>
      <w:t xml:space="preserve"> מדינת ישראל נ' מוסטפה אלבחירי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7189A"/>
    <w:multiLevelType w:val="hybridMultilevel"/>
    <w:tmpl w:val="AACAAB78"/>
    <w:lvl w:ilvl="0" w:tplc="7F9CFB1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2513513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3812"/>
    <w:rsid w:val="000266BC"/>
    <w:rsid w:val="0014632A"/>
    <w:rsid w:val="001701EC"/>
    <w:rsid w:val="001B5A3B"/>
    <w:rsid w:val="00442A63"/>
    <w:rsid w:val="004664DA"/>
    <w:rsid w:val="004F2CB5"/>
    <w:rsid w:val="0056730E"/>
    <w:rsid w:val="00613812"/>
    <w:rsid w:val="00646578"/>
    <w:rsid w:val="007313D8"/>
    <w:rsid w:val="00750F20"/>
    <w:rsid w:val="008360B1"/>
    <w:rsid w:val="00A763EB"/>
    <w:rsid w:val="00B32750"/>
    <w:rsid w:val="00C83CBD"/>
    <w:rsid w:val="00F071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570C6"/>
  <w15:chartTrackingRefBased/>
  <w15:docId w15:val="{05D72D46-DD43-48DB-BB0C-3203C255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38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13812"/>
    <w:pPr>
      <w:tabs>
        <w:tab w:val="center" w:pos="4153"/>
        <w:tab w:val="right" w:pos="8306"/>
      </w:tabs>
    </w:pPr>
  </w:style>
  <w:style w:type="character" w:customStyle="1" w:styleId="a4">
    <w:name w:val="כותרת עליונה תו"/>
    <w:link w:val="a3"/>
    <w:rsid w:val="00613812"/>
    <w:rPr>
      <w:rFonts w:ascii="Times New Roman" w:eastAsia="Times New Roman" w:hAnsi="Times New Roman" w:cs="David"/>
      <w:sz w:val="24"/>
      <w:szCs w:val="24"/>
    </w:rPr>
  </w:style>
  <w:style w:type="paragraph" w:styleId="a5">
    <w:name w:val="footer"/>
    <w:basedOn w:val="a"/>
    <w:link w:val="a6"/>
    <w:rsid w:val="00613812"/>
    <w:pPr>
      <w:tabs>
        <w:tab w:val="center" w:pos="4153"/>
        <w:tab w:val="right" w:pos="8306"/>
      </w:tabs>
    </w:pPr>
  </w:style>
  <w:style w:type="character" w:customStyle="1" w:styleId="a6">
    <w:name w:val="כותרת תחתונה תו"/>
    <w:link w:val="a5"/>
    <w:rsid w:val="00613812"/>
    <w:rPr>
      <w:rFonts w:ascii="Times New Roman" w:eastAsia="Times New Roman" w:hAnsi="Times New Roman" w:cs="David"/>
      <w:sz w:val="24"/>
      <w:szCs w:val="24"/>
    </w:rPr>
  </w:style>
  <w:style w:type="table" w:styleId="a7">
    <w:name w:val="Table Grid"/>
    <w:basedOn w:val="a1"/>
    <w:rsid w:val="006138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3812"/>
  </w:style>
  <w:style w:type="paragraph" w:styleId="a9">
    <w:name w:val="List Paragraph"/>
    <w:basedOn w:val="a"/>
    <w:qFormat/>
    <w:rsid w:val="00613812"/>
    <w:pPr>
      <w:spacing w:after="160" w:line="256" w:lineRule="auto"/>
      <w:ind w:left="720"/>
      <w:contextualSpacing/>
    </w:pPr>
    <w:rPr>
      <w:rFonts w:ascii="Calibri" w:eastAsia="Calibri" w:hAnsi="Calibri" w:cs="Arial"/>
      <w:sz w:val="22"/>
      <w:szCs w:val="22"/>
    </w:rPr>
  </w:style>
  <w:style w:type="character" w:styleId="Hyperlink">
    <w:name w:val="Hyperlink"/>
    <w:rsid w:val="00567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law/7030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329.a.1" TargetMode="External"/><Relationship Id="rId17" Type="http://schemas.openxmlformats.org/officeDocument/2006/relationships/hyperlink" Target="http://www.nevo.co.il/law/70301/144" TargetMode="External"/><Relationship Id="rId2" Type="http://schemas.openxmlformats.org/officeDocument/2006/relationships/styles" Target="styles.xml"/><Relationship Id="rId16" Type="http://schemas.openxmlformats.org/officeDocument/2006/relationships/hyperlink" Target="http://www.nevo.co.il/case/567002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9.a.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1762</Words>
  <Characters>8815</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10556</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3276912</vt:i4>
      </vt:variant>
      <vt:variant>
        <vt:i4>27</vt:i4>
      </vt:variant>
      <vt:variant>
        <vt:i4>0</vt:i4>
      </vt:variant>
      <vt:variant>
        <vt:i4>5</vt:i4>
      </vt:variant>
      <vt:variant>
        <vt:lpwstr>http://www.nevo.co.il/case/5670020</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6750270</vt:i4>
      </vt:variant>
      <vt:variant>
        <vt:i4>12</vt:i4>
      </vt:variant>
      <vt:variant>
        <vt:i4>0</vt:i4>
      </vt:variant>
      <vt:variant>
        <vt:i4>5</vt:i4>
      </vt:variant>
      <vt:variant>
        <vt:lpwstr>http://www.nevo.co.il/law/70301/329.a.1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2025-01-19T16:53:00Z</dcterms:created>
  <dcterms:modified xsi:type="dcterms:W3CDTF">2025-01-19T16:53:00Z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38609</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מוסטפה אלבחירי</vt:lpwstr>
  </property>
  <property fmtid="{D5CDD505-2E9C-101B-9397-08002B2CF9AE}" pid="10" name="LAWYER">
    <vt:lpwstr>איילת קדוש;אהוד בן יהודה</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20230720</vt:lpwstr>
  </property>
  <property fmtid="{D5CDD505-2E9C-101B-9397-08002B2CF9AE}" pid="14" name="TYPE_N_DATE">
    <vt:lpwstr>39020230720</vt:lpwstr>
  </property>
  <property fmtid="{D5CDD505-2E9C-101B-9397-08002B2CF9AE}" pid="15" name="WORDNUMPAGES">
    <vt:lpwstr>7</vt:lpwstr>
  </property>
  <property fmtid="{D5CDD505-2E9C-101B-9397-08002B2CF9AE}" pid="16" name="TYPE_ABS_DATE">
    <vt:lpwstr>390020230720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5670020</vt:lpwstr>
  </property>
  <property fmtid="{D5CDD505-2E9C-101B-9397-08002B2CF9AE}" pid="36" name="LAWLISTTMP1">
    <vt:lpwstr>70301/329.a.1;144.a;144.b;144</vt:lpwstr>
  </property>
</Properties>
</file>