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3212"/>
        <w:gridCol w:w="5293"/>
        <w:gridCol w:w="269"/>
      </w:tblGrid>
      <w:tr w:rsidR="00E23AAC" w:rsidRPr="00B31F4C" w14:paraId="6A3A39FF" w14:textId="77777777" w:rsidTr="009F3DD2">
        <w:trPr>
          <w:gridBefore w:val="1"/>
          <w:gridAfter w:val="1"/>
          <w:wBefore w:w="28" w:type="dxa"/>
          <w:wAfter w:w="269" w:type="dxa"/>
          <w:trHeight w:hRule="exact" w:val="418"/>
          <w:jc w:val="center"/>
        </w:trPr>
        <w:tc>
          <w:tcPr>
            <w:tcW w:w="8505" w:type="dxa"/>
            <w:gridSpan w:val="2"/>
          </w:tcPr>
          <w:p w14:paraId="6A26B6A8" w14:textId="77777777" w:rsidR="00E23AAC" w:rsidRPr="00B31F4C" w:rsidRDefault="00E23AAC" w:rsidP="009E132E">
            <w:pPr>
              <w:pStyle w:val="a3"/>
              <w:jc w:val="center"/>
              <w:rPr>
                <w:rFonts w:ascii="Tahoma" w:hAnsi="Tahoma" w:cs="Tahoma"/>
                <w:color w:val="000080"/>
                <w:rtl/>
              </w:rPr>
            </w:pPr>
            <w:bookmarkStart w:id="0" w:name="LastJudge"/>
            <w:r w:rsidRPr="00B31F4C">
              <w:rPr>
                <w:rFonts w:ascii="Tahoma" w:hAnsi="Tahoma" w:cs="Tahoma"/>
                <w:b/>
                <w:bCs/>
                <w:color w:val="000080"/>
                <w:rtl/>
              </w:rPr>
              <w:t>בית המשפט המחוזי בחיפה</w:t>
            </w:r>
          </w:p>
        </w:tc>
      </w:tr>
      <w:tr w:rsidR="00E23AAC" w:rsidRPr="00B31F4C" w14:paraId="01A5C823" w14:textId="77777777" w:rsidTr="009F3DD2">
        <w:trPr>
          <w:gridBefore w:val="1"/>
          <w:gridAfter w:val="1"/>
          <w:wBefore w:w="28" w:type="dxa"/>
          <w:wAfter w:w="269" w:type="dxa"/>
          <w:trHeight w:val="337"/>
          <w:jc w:val="center"/>
        </w:trPr>
        <w:tc>
          <w:tcPr>
            <w:tcW w:w="8505" w:type="dxa"/>
            <w:gridSpan w:val="2"/>
          </w:tcPr>
          <w:p w14:paraId="56CFEC36" w14:textId="77777777" w:rsidR="00E23AAC" w:rsidRPr="00B31F4C" w:rsidRDefault="00E23AAC" w:rsidP="009E132E">
            <w:pPr>
              <w:rPr>
                <w:b/>
                <w:bCs/>
                <w:rtl/>
              </w:rPr>
            </w:pPr>
            <w:r w:rsidRPr="00B31F4C">
              <w:rPr>
                <w:b/>
                <w:bCs/>
                <w:rtl/>
              </w:rPr>
              <w:t>ת"פ</w:t>
            </w:r>
            <w:r w:rsidRPr="00B31F4C">
              <w:rPr>
                <w:rFonts w:hint="cs"/>
                <w:b/>
                <w:bCs/>
                <w:rtl/>
              </w:rPr>
              <w:t xml:space="preserve"> </w:t>
            </w:r>
            <w:r w:rsidRPr="00B31F4C">
              <w:rPr>
                <w:b/>
                <w:bCs/>
                <w:rtl/>
              </w:rPr>
              <w:t>48621-05-22</w:t>
            </w:r>
            <w:r w:rsidRPr="00B31F4C">
              <w:rPr>
                <w:rFonts w:hint="cs"/>
                <w:b/>
                <w:bCs/>
                <w:rtl/>
              </w:rPr>
              <w:t xml:space="preserve"> </w:t>
            </w:r>
            <w:r w:rsidRPr="00B31F4C">
              <w:rPr>
                <w:b/>
                <w:bCs/>
                <w:rtl/>
              </w:rPr>
              <w:t>מדינת ישראל נ' מחאמיד</w:t>
            </w:r>
            <w:r w:rsidRPr="00B31F4C">
              <w:rPr>
                <w:rFonts w:hint="cs"/>
                <w:b/>
                <w:bCs/>
                <w:rtl/>
              </w:rPr>
              <w:t xml:space="preserve"> </w:t>
            </w:r>
            <w:r w:rsidRPr="00B31F4C">
              <w:rPr>
                <w:b/>
                <w:bCs/>
                <w:rtl/>
              </w:rPr>
              <w:t>(עציר)</w:t>
            </w:r>
          </w:p>
        </w:tc>
      </w:tr>
      <w:tr w:rsidR="00E23AAC" w:rsidRPr="00B31F4C" w14:paraId="7F2F5FD0" w14:textId="77777777" w:rsidTr="009F3DD2">
        <w:tblPrEx>
          <w:jc w:val="left"/>
          <w:tblInd w:w="-28" w:type="dxa"/>
          <w:tblLook w:val="01E0" w:firstRow="1" w:lastRow="1" w:firstColumn="1" w:lastColumn="1" w:noHBand="0" w:noVBand="0"/>
        </w:tblPrEx>
        <w:tc>
          <w:tcPr>
            <w:tcW w:w="8802" w:type="dxa"/>
            <w:gridSpan w:val="4"/>
            <w:shd w:val="clear" w:color="auto" w:fill="auto"/>
          </w:tcPr>
          <w:p w14:paraId="4FFB8523" w14:textId="77777777" w:rsidR="00E23AAC" w:rsidRPr="00B31F4C" w:rsidRDefault="00E23AAC" w:rsidP="009E132E">
            <w:pPr>
              <w:rPr>
                <w:rFonts w:ascii="David" w:hAnsi="David"/>
                <w:b/>
                <w:bCs/>
              </w:rPr>
            </w:pPr>
            <w:r w:rsidRPr="00B31F4C">
              <w:rPr>
                <w:rFonts w:hint="cs"/>
                <w:rtl/>
              </w:rPr>
              <w:t xml:space="preserve"> </w:t>
            </w:r>
            <w:r w:rsidRPr="00B31F4C">
              <w:rPr>
                <w:rFonts w:ascii="David" w:hAnsi="David"/>
                <w:b/>
                <w:bCs/>
                <w:rtl/>
              </w:rPr>
              <w:t>לפני כבוד השופט אמיר טובי, שופט בכיר</w:t>
            </w:r>
          </w:p>
        </w:tc>
      </w:tr>
      <w:tr w:rsidR="00E23AAC" w:rsidRPr="00B31F4C" w14:paraId="5B769892" w14:textId="77777777" w:rsidTr="009F3DD2">
        <w:tblPrEx>
          <w:jc w:val="left"/>
          <w:tblInd w:w="-28" w:type="dxa"/>
          <w:tblLook w:val="01E0" w:firstRow="1" w:lastRow="1" w:firstColumn="1" w:lastColumn="1" w:noHBand="0" w:noVBand="0"/>
        </w:tblPrEx>
        <w:tc>
          <w:tcPr>
            <w:tcW w:w="3240" w:type="dxa"/>
            <w:gridSpan w:val="2"/>
            <w:shd w:val="clear" w:color="auto" w:fill="auto"/>
          </w:tcPr>
          <w:p w14:paraId="577B9A88" w14:textId="77777777" w:rsidR="00E23AAC" w:rsidRPr="00B31F4C" w:rsidRDefault="00E23AAC" w:rsidP="00E23AAC">
            <w:pPr>
              <w:ind w:left="26"/>
              <w:rPr>
                <w:rFonts w:ascii="David" w:hAnsi="David"/>
                <w:b/>
                <w:bCs/>
                <w:rtl/>
              </w:rPr>
            </w:pPr>
            <w:bookmarkStart w:id="1" w:name="FirstAppellant"/>
          </w:p>
          <w:p w14:paraId="3BE449DE" w14:textId="77777777" w:rsidR="00E23AAC" w:rsidRPr="00B31F4C" w:rsidRDefault="00E23AAC" w:rsidP="00E23AAC">
            <w:pPr>
              <w:ind w:left="26"/>
              <w:rPr>
                <w:rFonts w:ascii="David" w:hAnsi="David"/>
                <w:b/>
                <w:bCs/>
                <w:rtl/>
              </w:rPr>
            </w:pPr>
            <w:r w:rsidRPr="00B31F4C">
              <w:rPr>
                <w:rFonts w:ascii="David" w:hAnsi="David"/>
                <w:b/>
                <w:bCs/>
                <w:rtl/>
              </w:rPr>
              <w:t>המאשימה</w:t>
            </w:r>
          </w:p>
        </w:tc>
        <w:tc>
          <w:tcPr>
            <w:tcW w:w="5562" w:type="dxa"/>
            <w:gridSpan w:val="2"/>
            <w:shd w:val="clear" w:color="auto" w:fill="auto"/>
          </w:tcPr>
          <w:p w14:paraId="3FF2AA28" w14:textId="77777777" w:rsidR="00E23AAC" w:rsidRPr="00B31F4C" w:rsidRDefault="00E23AAC" w:rsidP="009E132E">
            <w:pPr>
              <w:rPr>
                <w:rFonts w:ascii="David" w:hAnsi="David"/>
                <w:b/>
                <w:bCs/>
                <w:rtl/>
              </w:rPr>
            </w:pPr>
            <w:r w:rsidRPr="00B31F4C">
              <w:rPr>
                <w:rFonts w:ascii="David" w:hAnsi="David"/>
                <w:rtl/>
              </w:rPr>
              <w:br/>
            </w:r>
            <w:r w:rsidRPr="00B31F4C">
              <w:rPr>
                <w:rFonts w:ascii="David" w:hAnsi="David"/>
                <w:b/>
                <w:bCs/>
                <w:rtl/>
              </w:rPr>
              <w:t xml:space="preserve"> מדינת ישראל</w:t>
            </w:r>
          </w:p>
        </w:tc>
      </w:tr>
      <w:bookmarkEnd w:id="1"/>
      <w:tr w:rsidR="00E23AAC" w:rsidRPr="00B31F4C" w14:paraId="48933E45" w14:textId="77777777" w:rsidTr="009F3DD2">
        <w:tblPrEx>
          <w:jc w:val="left"/>
          <w:tblInd w:w="-28" w:type="dxa"/>
          <w:tblLook w:val="01E0" w:firstRow="1" w:lastRow="1" w:firstColumn="1" w:lastColumn="1" w:noHBand="0" w:noVBand="0"/>
        </w:tblPrEx>
        <w:tc>
          <w:tcPr>
            <w:tcW w:w="8802" w:type="dxa"/>
            <w:gridSpan w:val="4"/>
            <w:shd w:val="clear" w:color="auto" w:fill="auto"/>
          </w:tcPr>
          <w:p w14:paraId="6FC80349" w14:textId="77777777" w:rsidR="00E23AAC" w:rsidRPr="00B31F4C" w:rsidRDefault="00E23AAC" w:rsidP="00E23AAC">
            <w:pPr>
              <w:jc w:val="both"/>
              <w:rPr>
                <w:rFonts w:ascii="David" w:hAnsi="David"/>
                <w:b/>
                <w:bCs/>
                <w:rtl/>
              </w:rPr>
            </w:pPr>
          </w:p>
          <w:p w14:paraId="6732F716" w14:textId="77777777" w:rsidR="00E23AAC" w:rsidRPr="00B31F4C" w:rsidRDefault="00E23AAC" w:rsidP="00E23AAC">
            <w:pPr>
              <w:jc w:val="center"/>
              <w:rPr>
                <w:rFonts w:ascii="David" w:hAnsi="David"/>
                <w:b/>
                <w:bCs/>
                <w:rtl/>
              </w:rPr>
            </w:pPr>
            <w:r w:rsidRPr="00B31F4C">
              <w:rPr>
                <w:rFonts w:ascii="David" w:hAnsi="David"/>
                <w:b/>
                <w:bCs/>
                <w:rtl/>
              </w:rPr>
              <w:t>נגד</w:t>
            </w:r>
          </w:p>
          <w:p w14:paraId="293DF2AA" w14:textId="77777777" w:rsidR="00E23AAC" w:rsidRPr="00B31F4C" w:rsidRDefault="00E23AAC" w:rsidP="00E23AAC">
            <w:pPr>
              <w:jc w:val="center"/>
              <w:rPr>
                <w:rFonts w:ascii="David" w:hAnsi="David"/>
                <w:b/>
                <w:bCs/>
                <w:rtl/>
              </w:rPr>
            </w:pPr>
          </w:p>
        </w:tc>
      </w:tr>
      <w:tr w:rsidR="00E23AAC" w:rsidRPr="00B31F4C" w14:paraId="57F6C96A" w14:textId="77777777" w:rsidTr="009F3DD2">
        <w:tblPrEx>
          <w:jc w:val="left"/>
          <w:tblInd w:w="-28" w:type="dxa"/>
          <w:tblLook w:val="01E0" w:firstRow="1" w:lastRow="1" w:firstColumn="1" w:lastColumn="1" w:noHBand="0" w:noVBand="0"/>
        </w:tblPrEx>
        <w:tc>
          <w:tcPr>
            <w:tcW w:w="3240" w:type="dxa"/>
            <w:gridSpan w:val="2"/>
            <w:shd w:val="clear" w:color="auto" w:fill="auto"/>
          </w:tcPr>
          <w:p w14:paraId="53C8C717" w14:textId="77777777" w:rsidR="00E23AAC" w:rsidRPr="00B31F4C" w:rsidRDefault="00E23AAC" w:rsidP="00E23AAC">
            <w:pPr>
              <w:ind w:left="26"/>
              <w:rPr>
                <w:rFonts w:ascii="David" w:hAnsi="David"/>
                <w:b/>
                <w:bCs/>
              </w:rPr>
            </w:pPr>
            <w:r w:rsidRPr="00B31F4C">
              <w:rPr>
                <w:rFonts w:ascii="David" w:hAnsi="David"/>
                <w:b/>
                <w:bCs/>
                <w:rtl/>
              </w:rPr>
              <w:t>הנאשם</w:t>
            </w:r>
          </w:p>
        </w:tc>
        <w:tc>
          <w:tcPr>
            <w:tcW w:w="5562" w:type="dxa"/>
            <w:gridSpan w:val="2"/>
            <w:shd w:val="clear" w:color="auto" w:fill="auto"/>
          </w:tcPr>
          <w:p w14:paraId="588A9804" w14:textId="77777777" w:rsidR="00E23AAC" w:rsidRPr="00B31F4C" w:rsidRDefault="00E23AAC" w:rsidP="009E132E">
            <w:pPr>
              <w:rPr>
                <w:rFonts w:ascii="David" w:hAnsi="David"/>
                <w:b/>
                <w:bCs/>
                <w:rtl/>
              </w:rPr>
            </w:pPr>
            <w:r w:rsidRPr="00B31F4C">
              <w:rPr>
                <w:rFonts w:ascii="David" w:hAnsi="David"/>
                <w:b/>
                <w:bCs/>
                <w:rtl/>
              </w:rPr>
              <w:t xml:space="preserve">פורסאן מחאמיד, ת"ז </w:t>
            </w:r>
            <w:r w:rsidR="00B31F4C">
              <w:rPr>
                <w:rFonts w:ascii="David" w:hAnsi="David"/>
                <w:b/>
                <w:bCs/>
              </w:rPr>
              <w:t>xxxxxxxxxx</w:t>
            </w:r>
            <w:r w:rsidRPr="00B31F4C">
              <w:rPr>
                <w:rFonts w:ascii="David" w:hAnsi="David"/>
                <w:b/>
                <w:bCs/>
                <w:rtl/>
              </w:rPr>
              <w:t>(עציר)</w:t>
            </w:r>
          </w:p>
        </w:tc>
      </w:tr>
    </w:tbl>
    <w:p w14:paraId="3199B9EE" w14:textId="77777777" w:rsidR="00E23AAC" w:rsidRPr="00B31F4C" w:rsidRDefault="00E23AAC" w:rsidP="00E23AAC">
      <w:pPr>
        <w:rPr>
          <w:rFonts w:ascii="David" w:hAnsi="David"/>
          <w:rtl/>
        </w:rPr>
      </w:pPr>
    </w:p>
    <w:p w14:paraId="717EB1CE" w14:textId="77777777" w:rsidR="00E23AAC" w:rsidRPr="00B31F4C" w:rsidRDefault="00E23AAC" w:rsidP="00E23AAC">
      <w:pPr>
        <w:rPr>
          <w:rFonts w:ascii="David" w:hAnsi="David"/>
          <w:b/>
          <w:bCs/>
          <w:rtl/>
        </w:rPr>
      </w:pPr>
      <w:r w:rsidRPr="00B31F4C">
        <w:rPr>
          <w:rFonts w:ascii="David" w:hAnsi="David" w:hint="cs"/>
          <w:b/>
          <w:bCs/>
          <w:rtl/>
        </w:rPr>
        <w:t>נוכחים:</w:t>
      </w:r>
    </w:p>
    <w:p w14:paraId="24781D94" w14:textId="77777777" w:rsidR="00E23AAC" w:rsidRPr="00B31F4C" w:rsidRDefault="00E23AAC" w:rsidP="00E23AAC">
      <w:pPr>
        <w:rPr>
          <w:rFonts w:ascii="David" w:hAnsi="David"/>
          <w:rtl/>
        </w:rPr>
      </w:pPr>
      <w:bookmarkStart w:id="2" w:name="FirstLawyer"/>
      <w:r w:rsidRPr="00B31F4C">
        <w:rPr>
          <w:rFonts w:ascii="David" w:hAnsi="David" w:hint="cs"/>
          <w:rtl/>
        </w:rPr>
        <w:t>ב"כ</w:t>
      </w:r>
      <w:bookmarkEnd w:id="2"/>
      <w:r w:rsidRPr="00B31F4C">
        <w:rPr>
          <w:rFonts w:ascii="David" w:hAnsi="David" w:hint="cs"/>
          <w:rtl/>
        </w:rPr>
        <w:t xml:space="preserve"> המאשימה: עו"ד רוהיפה זכור</w:t>
      </w:r>
    </w:p>
    <w:p w14:paraId="2F13866A" w14:textId="77777777" w:rsidR="00E23AAC" w:rsidRPr="00B31F4C" w:rsidRDefault="00E23AAC" w:rsidP="00E23AAC">
      <w:pPr>
        <w:rPr>
          <w:rFonts w:ascii="David" w:hAnsi="David"/>
          <w:rtl/>
        </w:rPr>
      </w:pPr>
      <w:r w:rsidRPr="00B31F4C">
        <w:rPr>
          <w:rFonts w:ascii="David" w:hAnsi="David" w:hint="cs"/>
          <w:rtl/>
        </w:rPr>
        <w:t>ב"כ הנאשם: עו"ד תמי אולמן</w:t>
      </w:r>
    </w:p>
    <w:p w14:paraId="1B186D92" w14:textId="77777777" w:rsidR="00E23AAC" w:rsidRPr="00B31F4C" w:rsidRDefault="00E23AAC" w:rsidP="00E23AAC">
      <w:pPr>
        <w:rPr>
          <w:rFonts w:ascii="David" w:hAnsi="David"/>
          <w:rtl/>
        </w:rPr>
      </w:pPr>
      <w:r w:rsidRPr="00B31F4C">
        <w:rPr>
          <w:rFonts w:ascii="David" w:hAnsi="David" w:hint="cs"/>
          <w:rtl/>
        </w:rPr>
        <w:t>הנאשם באמצעות הליווי</w:t>
      </w:r>
    </w:p>
    <w:p w14:paraId="13304472" w14:textId="77777777" w:rsidR="00E23AAC" w:rsidRPr="00B31F4C" w:rsidRDefault="00E23AAC" w:rsidP="00E23AAC">
      <w:pPr>
        <w:rPr>
          <w:rFonts w:ascii="David" w:hAnsi="David"/>
        </w:rPr>
      </w:pPr>
    </w:p>
    <w:p w14:paraId="3DBE8B0D" w14:textId="77777777" w:rsidR="009F3DD2" w:rsidRPr="009F3DD2" w:rsidRDefault="009F3DD2" w:rsidP="009F3DD2">
      <w:pPr>
        <w:spacing w:before="120" w:after="120" w:line="240" w:lineRule="exact"/>
        <w:ind w:left="283" w:hanging="283"/>
        <w:jc w:val="both"/>
        <w:rPr>
          <w:rFonts w:ascii="FrankRuehl" w:hAnsi="FrankRuehl" w:cs="FrankRuehl"/>
          <w:rtl/>
        </w:rPr>
      </w:pPr>
    </w:p>
    <w:p w14:paraId="51E9500E" w14:textId="77777777" w:rsidR="00A125F6" w:rsidRPr="00A125F6" w:rsidRDefault="00A125F6" w:rsidP="00A125F6">
      <w:pPr>
        <w:spacing w:before="120" w:after="120" w:line="240" w:lineRule="exact"/>
        <w:ind w:left="283" w:hanging="283"/>
        <w:jc w:val="both"/>
        <w:rPr>
          <w:rFonts w:ascii="FrankRuehl" w:hAnsi="FrankRuehl" w:cs="FrankRuehl"/>
          <w:rtl/>
        </w:rPr>
      </w:pPr>
    </w:p>
    <w:p w14:paraId="7EB11D39" w14:textId="77777777" w:rsidR="003822F0" w:rsidRDefault="003822F0" w:rsidP="003822F0">
      <w:pPr>
        <w:rPr>
          <w:rFonts w:ascii="Arial" w:hAnsi="Arial"/>
          <w:rtl/>
        </w:rPr>
      </w:pPr>
      <w:bookmarkStart w:id="3" w:name="LawTable"/>
      <w:bookmarkEnd w:id="3"/>
    </w:p>
    <w:p w14:paraId="6BBB0260" w14:textId="77777777" w:rsidR="003822F0" w:rsidRPr="003822F0" w:rsidRDefault="003822F0" w:rsidP="003822F0">
      <w:pPr>
        <w:spacing w:before="120" w:after="120" w:line="240" w:lineRule="exact"/>
        <w:ind w:left="283" w:hanging="283"/>
        <w:jc w:val="both"/>
        <w:rPr>
          <w:rFonts w:ascii="FrankRuehl" w:hAnsi="FrankRuehl" w:cs="FrankRuehl"/>
          <w:rtl/>
        </w:rPr>
      </w:pPr>
    </w:p>
    <w:p w14:paraId="005701A8" w14:textId="77777777" w:rsidR="003822F0" w:rsidRPr="003822F0" w:rsidRDefault="003822F0" w:rsidP="003822F0">
      <w:pPr>
        <w:spacing w:before="120" w:after="120" w:line="240" w:lineRule="exact"/>
        <w:ind w:left="283" w:hanging="283"/>
        <w:jc w:val="both"/>
        <w:rPr>
          <w:rFonts w:ascii="FrankRuehl" w:hAnsi="FrankRuehl" w:cs="FrankRuehl"/>
          <w:rtl/>
        </w:rPr>
      </w:pPr>
    </w:p>
    <w:p w14:paraId="24E74959" w14:textId="77777777" w:rsidR="003822F0" w:rsidRPr="003822F0" w:rsidRDefault="003822F0" w:rsidP="003822F0">
      <w:pPr>
        <w:spacing w:before="120" w:after="120" w:line="240" w:lineRule="exact"/>
        <w:ind w:left="283" w:hanging="283"/>
        <w:jc w:val="both"/>
        <w:rPr>
          <w:rFonts w:ascii="FrankRuehl" w:hAnsi="FrankRuehl" w:cs="FrankRuehl"/>
          <w:rtl/>
        </w:rPr>
      </w:pPr>
      <w:r w:rsidRPr="003822F0">
        <w:rPr>
          <w:rFonts w:ascii="FrankRuehl" w:hAnsi="FrankRuehl" w:cs="FrankRuehl"/>
          <w:rtl/>
        </w:rPr>
        <w:t xml:space="preserve">חקיקה שאוזכרה: </w:t>
      </w:r>
    </w:p>
    <w:p w14:paraId="57F5A177" w14:textId="77777777" w:rsidR="003822F0" w:rsidRPr="003822F0" w:rsidRDefault="003822F0" w:rsidP="003822F0">
      <w:pPr>
        <w:spacing w:before="120" w:after="120" w:line="240" w:lineRule="exact"/>
        <w:ind w:left="283" w:hanging="283"/>
        <w:jc w:val="both"/>
        <w:rPr>
          <w:rFonts w:ascii="FrankRuehl" w:hAnsi="FrankRuehl" w:cs="FrankRuehl"/>
          <w:rtl/>
        </w:rPr>
      </w:pPr>
      <w:hyperlink r:id="rId6" w:history="1">
        <w:r w:rsidRPr="003822F0">
          <w:rPr>
            <w:rFonts w:ascii="FrankRuehl" w:hAnsi="FrankRuehl" w:cs="FrankRuehl"/>
            <w:color w:val="0000FF"/>
            <w:rtl/>
          </w:rPr>
          <w:t>חוק העונשין, תשל"ז-1977</w:t>
        </w:r>
      </w:hyperlink>
      <w:r w:rsidRPr="003822F0">
        <w:rPr>
          <w:rFonts w:ascii="FrankRuehl" w:hAnsi="FrankRuehl" w:cs="FrankRuehl"/>
          <w:rtl/>
        </w:rPr>
        <w:t xml:space="preserve">: סע'  </w:t>
      </w:r>
      <w:hyperlink r:id="rId7" w:history="1">
        <w:r w:rsidRPr="003822F0">
          <w:rPr>
            <w:rFonts w:ascii="FrankRuehl" w:hAnsi="FrankRuehl" w:cs="FrankRuehl"/>
            <w:color w:val="0000FF"/>
            <w:rtl/>
          </w:rPr>
          <w:t>40ב</w:t>
        </w:r>
      </w:hyperlink>
      <w:r w:rsidRPr="003822F0">
        <w:rPr>
          <w:rFonts w:ascii="FrankRuehl" w:hAnsi="FrankRuehl" w:cs="FrankRuehl"/>
          <w:rtl/>
        </w:rPr>
        <w:t xml:space="preserve">, </w:t>
      </w:r>
      <w:hyperlink r:id="rId8" w:history="1">
        <w:r w:rsidRPr="003822F0">
          <w:rPr>
            <w:rFonts w:ascii="FrankRuehl" w:hAnsi="FrankRuehl" w:cs="FrankRuehl"/>
            <w:color w:val="0000FF"/>
            <w:rtl/>
          </w:rPr>
          <w:t>40ט(א)</w:t>
        </w:r>
      </w:hyperlink>
      <w:r w:rsidRPr="003822F0">
        <w:rPr>
          <w:rFonts w:ascii="FrankRuehl" w:hAnsi="FrankRuehl" w:cs="FrankRuehl"/>
          <w:rtl/>
        </w:rPr>
        <w:t xml:space="preserve">, </w:t>
      </w:r>
      <w:hyperlink r:id="rId9" w:history="1">
        <w:r w:rsidRPr="003822F0">
          <w:rPr>
            <w:rFonts w:ascii="FrankRuehl" w:hAnsi="FrankRuehl" w:cs="FrankRuehl"/>
            <w:color w:val="0000FF"/>
            <w:rtl/>
          </w:rPr>
          <w:t>40ט(א)(5)</w:t>
        </w:r>
      </w:hyperlink>
      <w:r w:rsidRPr="003822F0">
        <w:rPr>
          <w:rFonts w:ascii="FrankRuehl" w:hAnsi="FrankRuehl" w:cs="FrankRuehl"/>
          <w:rtl/>
        </w:rPr>
        <w:t xml:space="preserve">, </w:t>
      </w:r>
      <w:hyperlink r:id="rId10" w:history="1">
        <w:r w:rsidRPr="003822F0">
          <w:rPr>
            <w:rFonts w:ascii="FrankRuehl" w:hAnsi="FrankRuehl" w:cs="FrankRuehl"/>
            <w:color w:val="0000FF"/>
            <w:rtl/>
          </w:rPr>
          <w:t>144</w:t>
        </w:r>
      </w:hyperlink>
      <w:r w:rsidRPr="003822F0">
        <w:rPr>
          <w:rFonts w:ascii="FrankRuehl" w:hAnsi="FrankRuehl" w:cs="FrankRuehl"/>
          <w:rtl/>
        </w:rPr>
        <w:t xml:space="preserve">, </w:t>
      </w:r>
      <w:hyperlink r:id="rId11" w:history="1">
        <w:r w:rsidRPr="003822F0">
          <w:rPr>
            <w:rFonts w:ascii="FrankRuehl" w:hAnsi="FrankRuehl" w:cs="FrankRuehl"/>
            <w:color w:val="0000FF"/>
            <w:rtl/>
          </w:rPr>
          <w:t>144(א)</w:t>
        </w:r>
      </w:hyperlink>
      <w:r w:rsidRPr="003822F0">
        <w:rPr>
          <w:rFonts w:ascii="FrankRuehl" w:hAnsi="FrankRuehl" w:cs="FrankRuehl"/>
          <w:rtl/>
        </w:rPr>
        <w:t xml:space="preserve">, </w:t>
      </w:r>
      <w:hyperlink r:id="rId12" w:history="1">
        <w:r w:rsidRPr="003822F0">
          <w:rPr>
            <w:rFonts w:ascii="FrankRuehl" w:hAnsi="FrankRuehl" w:cs="FrankRuehl"/>
            <w:color w:val="0000FF"/>
            <w:rtl/>
          </w:rPr>
          <w:t>144(ב)</w:t>
        </w:r>
      </w:hyperlink>
      <w:r w:rsidRPr="003822F0">
        <w:rPr>
          <w:rFonts w:ascii="FrankRuehl" w:hAnsi="FrankRuehl" w:cs="FrankRuehl"/>
          <w:rtl/>
        </w:rPr>
        <w:t xml:space="preserve">, </w:t>
      </w:r>
      <w:hyperlink r:id="rId13" w:history="1">
        <w:r w:rsidRPr="003822F0">
          <w:rPr>
            <w:rFonts w:ascii="FrankRuehl" w:hAnsi="FrankRuehl" w:cs="FrankRuehl"/>
            <w:color w:val="0000FF"/>
            <w:rtl/>
          </w:rPr>
          <w:t>144(ג)(1)</w:t>
        </w:r>
      </w:hyperlink>
      <w:r w:rsidRPr="003822F0">
        <w:rPr>
          <w:rFonts w:ascii="FrankRuehl" w:hAnsi="FrankRuehl" w:cs="FrankRuehl"/>
          <w:rtl/>
        </w:rPr>
        <w:t xml:space="preserve">, </w:t>
      </w:r>
      <w:hyperlink r:id="rId14" w:history="1">
        <w:r w:rsidRPr="003822F0">
          <w:rPr>
            <w:rFonts w:ascii="FrankRuehl" w:hAnsi="FrankRuehl" w:cs="FrankRuehl"/>
            <w:color w:val="0000FF"/>
            <w:rtl/>
          </w:rPr>
          <w:t>192</w:t>
        </w:r>
      </w:hyperlink>
      <w:r w:rsidRPr="003822F0">
        <w:rPr>
          <w:rFonts w:ascii="FrankRuehl" w:hAnsi="FrankRuehl" w:cs="FrankRuehl"/>
          <w:rtl/>
        </w:rPr>
        <w:t xml:space="preserve">, </w:t>
      </w:r>
      <w:hyperlink r:id="rId15" w:history="1">
        <w:r w:rsidRPr="003822F0">
          <w:rPr>
            <w:rFonts w:ascii="FrankRuehl" w:hAnsi="FrankRuehl" w:cs="FrankRuehl"/>
            <w:color w:val="0000FF"/>
            <w:rtl/>
          </w:rPr>
          <w:t>333</w:t>
        </w:r>
      </w:hyperlink>
      <w:r w:rsidRPr="003822F0">
        <w:rPr>
          <w:rFonts w:ascii="FrankRuehl" w:hAnsi="FrankRuehl" w:cs="FrankRuehl"/>
          <w:rtl/>
        </w:rPr>
        <w:t xml:space="preserve">, </w:t>
      </w:r>
      <w:hyperlink r:id="rId16" w:history="1">
        <w:r w:rsidRPr="003822F0">
          <w:rPr>
            <w:rFonts w:ascii="FrankRuehl" w:hAnsi="FrankRuehl" w:cs="FrankRuehl"/>
            <w:color w:val="0000FF"/>
            <w:rtl/>
          </w:rPr>
          <w:t>335.א.1</w:t>
        </w:r>
      </w:hyperlink>
      <w:r w:rsidRPr="003822F0">
        <w:rPr>
          <w:rFonts w:ascii="FrankRuehl" w:hAnsi="FrankRuehl" w:cs="FrankRuehl"/>
          <w:rtl/>
        </w:rPr>
        <w:t xml:space="preserve">, </w:t>
      </w:r>
      <w:hyperlink r:id="rId17" w:history="1">
        <w:r w:rsidRPr="003822F0">
          <w:rPr>
            <w:rFonts w:ascii="FrankRuehl" w:hAnsi="FrankRuehl" w:cs="FrankRuehl"/>
            <w:color w:val="0000FF"/>
            <w:rtl/>
          </w:rPr>
          <w:t>380</w:t>
        </w:r>
      </w:hyperlink>
    </w:p>
    <w:p w14:paraId="05403B0F" w14:textId="77777777" w:rsidR="003822F0" w:rsidRPr="003822F0" w:rsidRDefault="003822F0" w:rsidP="003822F0">
      <w:pPr>
        <w:spacing w:before="120" w:after="120" w:line="240" w:lineRule="exact"/>
        <w:ind w:left="283" w:hanging="283"/>
        <w:jc w:val="both"/>
        <w:rPr>
          <w:rFonts w:ascii="FrankRuehl" w:hAnsi="FrankRuehl" w:cs="FrankRuehl"/>
          <w:rtl/>
        </w:rPr>
      </w:pPr>
      <w:hyperlink r:id="rId18" w:history="1">
        <w:r w:rsidRPr="003822F0">
          <w:rPr>
            <w:rFonts w:ascii="FrankRuehl" w:hAnsi="FrankRuehl" w:cs="FrankRuehl"/>
            <w:color w:val="0000FF"/>
            <w:rtl/>
          </w:rPr>
          <w:t>פקודת התעבורה [נוסח חדש]</w:t>
        </w:r>
      </w:hyperlink>
      <w:r w:rsidRPr="003822F0">
        <w:rPr>
          <w:rFonts w:ascii="FrankRuehl" w:hAnsi="FrankRuehl" w:cs="FrankRuehl"/>
          <w:rtl/>
        </w:rPr>
        <w:t xml:space="preserve">: סע'  </w:t>
      </w:r>
      <w:hyperlink r:id="rId19" w:history="1">
        <w:r w:rsidRPr="003822F0">
          <w:rPr>
            <w:rFonts w:ascii="FrankRuehl" w:hAnsi="FrankRuehl" w:cs="FrankRuehl"/>
            <w:color w:val="0000FF"/>
            <w:rtl/>
          </w:rPr>
          <w:t>10(א)</w:t>
        </w:r>
      </w:hyperlink>
      <w:r w:rsidRPr="003822F0">
        <w:rPr>
          <w:rFonts w:ascii="FrankRuehl" w:hAnsi="FrankRuehl" w:cs="FrankRuehl"/>
          <w:rtl/>
        </w:rPr>
        <w:t xml:space="preserve">, </w:t>
      </w:r>
      <w:hyperlink r:id="rId20" w:history="1">
        <w:r w:rsidRPr="003822F0">
          <w:rPr>
            <w:rFonts w:ascii="FrankRuehl" w:hAnsi="FrankRuehl" w:cs="FrankRuehl"/>
            <w:color w:val="0000FF"/>
            <w:rtl/>
          </w:rPr>
          <w:t>62(1)</w:t>
        </w:r>
      </w:hyperlink>
      <w:r w:rsidRPr="003822F0">
        <w:rPr>
          <w:rFonts w:ascii="FrankRuehl" w:hAnsi="FrankRuehl" w:cs="FrankRuehl"/>
          <w:rtl/>
        </w:rPr>
        <w:t xml:space="preserve">, </w:t>
      </w:r>
      <w:hyperlink r:id="rId21" w:history="1">
        <w:r w:rsidRPr="003822F0">
          <w:rPr>
            <w:rFonts w:ascii="FrankRuehl" w:hAnsi="FrankRuehl" w:cs="FrankRuehl"/>
            <w:color w:val="0000FF"/>
            <w:rtl/>
          </w:rPr>
          <w:t>67</w:t>
        </w:r>
      </w:hyperlink>
    </w:p>
    <w:p w14:paraId="0C266659" w14:textId="77777777" w:rsidR="003822F0" w:rsidRPr="003822F0" w:rsidRDefault="003822F0" w:rsidP="003822F0">
      <w:pPr>
        <w:spacing w:before="120" w:after="120" w:line="240" w:lineRule="exact"/>
        <w:ind w:left="283" w:hanging="283"/>
        <w:jc w:val="both"/>
        <w:rPr>
          <w:rFonts w:ascii="FrankRuehl" w:hAnsi="FrankRuehl" w:cs="FrankRuehl"/>
          <w:rtl/>
        </w:rPr>
      </w:pPr>
      <w:hyperlink r:id="rId22" w:history="1">
        <w:r w:rsidRPr="003822F0">
          <w:rPr>
            <w:rFonts w:ascii="FrankRuehl" w:hAnsi="FrankRuehl" w:cs="FrankRuehl"/>
            <w:color w:val="0000FF"/>
            <w:rtl/>
          </w:rPr>
          <w:t>פקודת ביטוח רכב מנועי [נוסח חדש], תש"ל-1970</w:t>
        </w:r>
      </w:hyperlink>
      <w:r w:rsidRPr="003822F0">
        <w:rPr>
          <w:rFonts w:ascii="FrankRuehl" w:hAnsi="FrankRuehl" w:cs="FrankRuehl"/>
          <w:rtl/>
        </w:rPr>
        <w:t xml:space="preserve">: סע'  </w:t>
      </w:r>
      <w:hyperlink r:id="rId23" w:history="1">
        <w:r w:rsidRPr="003822F0">
          <w:rPr>
            <w:rFonts w:ascii="FrankRuehl" w:hAnsi="FrankRuehl" w:cs="FrankRuehl"/>
            <w:color w:val="0000FF"/>
            <w:rtl/>
          </w:rPr>
          <w:t>2(א)</w:t>
        </w:r>
      </w:hyperlink>
    </w:p>
    <w:p w14:paraId="38312B24" w14:textId="77777777" w:rsidR="003822F0" w:rsidRPr="003822F0" w:rsidRDefault="003822F0" w:rsidP="003822F0">
      <w:pPr>
        <w:rPr>
          <w:rFonts w:ascii="Arial" w:hAnsi="Arial"/>
          <w:rtl/>
        </w:rPr>
      </w:pPr>
      <w:bookmarkStart w:id="4" w:name="LawTable_End"/>
      <w:bookmarkEnd w:id="4"/>
    </w:p>
    <w:p w14:paraId="5150D081" w14:textId="77777777" w:rsidR="00E23AAC" w:rsidRPr="00A125F6" w:rsidRDefault="00E23AAC" w:rsidP="00A125F6">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23AAC" w14:paraId="387614E5" w14:textId="77777777" w:rsidTr="00E23AAC">
        <w:trPr>
          <w:trHeight w:val="355"/>
          <w:jc w:val="center"/>
        </w:trPr>
        <w:tc>
          <w:tcPr>
            <w:tcW w:w="8820" w:type="dxa"/>
            <w:tcBorders>
              <w:top w:val="nil"/>
              <w:left w:val="nil"/>
              <w:bottom w:val="nil"/>
              <w:right w:val="nil"/>
            </w:tcBorders>
            <w:shd w:val="clear" w:color="auto" w:fill="auto"/>
          </w:tcPr>
          <w:p w14:paraId="245BC932" w14:textId="77777777" w:rsidR="00B31F4C" w:rsidRPr="00B31F4C" w:rsidRDefault="00B31F4C" w:rsidP="00B31F4C">
            <w:pPr>
              <w:jc w:val="center"/>
              <w:rPr>
                <w:rFonts w:ascii="Arial" w:hAnsi="Arial"/>
                <w:b/>
                <w:bCs/>
                <w:sz w:val="32"/>
                <w:szCs w:val="32"/>
                <w:u w:val="single"/>
                <w:rtl/>
              </w:rPr>
            </w:pPr>
            <w:bookmarkStart w:id="5" w:name="PsakDin" w:colFirst="0" w:colLast="0"/>
            <w:bookmarkEnd w:id="0"/>
            <w:r w:rsidRPr="00B31F4C">
              <w:rPr>
                <w:rFonts w:ascii="Arial" w:hAnsi="Arial"/>
                <w:b/>
                <w:bCs/>
                <w:sz w:val="32"/>
                <w:szCs w:val="32"/>
                <w:u w:val="single"/>
                <w:rtl/>
              </w:rPr>
              <w:t>גזר דין</w:t>
            </w:r>
          </w:p>
          <w:p w14:paraId="70423EF4" w14:textId="77777777" w:rsidR="00E23AAC" w:rsidRPr="00B31F4C" w:rsidRDefault="00E23AAC" w:rsidP="00B31F4C">
            <w:pPr>
              <w:jc w:val="center"/>
              <w:rPr>
                <w:rFonts w:ascii="Arial" w:hAnsi="Arial"/>
                <w:bCs/>
                <w:sz w:val="32"/>
                <w:szCs w:val="32"/>
                <w:u w:val="single"/>
                <w:rtl/>
              </w:rPr>
            </w:pPr>
          </w:p>
        </w:tc>
      </w:tr>
      <w:bookmarkEnd w:id="5"/>
    </w:tbl>
    <w:p w14:paraId="250C7194" w14:textId="77777777" w:rsidR="00E23AAC" w:rsidRPr="00B05847" w:rsidRDefault="00E23AAC" w:rsidP="00E23AAC">
      <w:pPr>
        <w:rPr>
          <w:rFonts w:ascii="Arial" w:hAnsi="Arial"/>
          <w:rtl/>
        </w:rPr>
      </w:pPr>
    </w:p>
    <w:p w14:paraId="696E132E" w14:textId="77777777" w:rsidR="00E23AAC" w:rsidRPr="00785A6C" w:rsidRDefault="00E23AAC" w:rsidP="00E23AAC">
      <w:pPr>
        <w:tabs>
          <w:tab w:val="left" w:pos="567"/>
          <w:tab w:val="left" w:pos="1134"/>
          <w:tab w:val="left" w:pos="1701"/>
        </w:tabs>
        <w:spacing w:line="360" w:lineRule="auto"/>
        <w:jc w:val="both"/>
        <w:rPr>
          <w:rFonts w:ascii="David" w:eastAsia="Calibri" w:hAnsi="David"/>
          <w:u w:val="single"/>
        </w:rPr>
      </w:pPr>
      <w:r w:rsidRPr="00785A6C">
        <w:rPr>
          <w:rFonts w:ascii="David" w:eastAsia="Calibri" w:hAnsi="David" w:hint="cs"/>
          <w:u w:val="single"/>
          <w:rtl/>
        </w:rPr>
        <w:t>ההליך וכתב האישום</w:t>
      </w:r>
    </w:p>
    <w:p w14:paraId="3EE2B270" w14:textId="77777777" w:rsidR="00E23AAC" w:rsidRPr="00785A6C" w:rsidRDefault="00E23AAC" w:rsidP="00E23AAC">
      <w:pPr>
        <w:tabs>
          <w:tab w:val="left" w:pos="567"/>
          <w:tab w:val="left" w:pos="1134"/>
          <w:tab w:val="left" w:pos="1701"/>
        </w:tabs>
        <w:spacing w:line="360" w:lineRule="auto"/>
        <w:jc w:val="both"/>
        <w:rPr>
          <w:rFonts w:ascii="David" w:eastAsia="Calibri" w:hAnsi="David"/>
          <w:u w:val="single"/>
        </w:rPr>
      </w:pPr>
    </w:p>
    <w:p w14:paraId="19E44DA7"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1.</w:t>
      </w:r>
      <w:r w:rsidRPr="00785A6C">
        <w:rPr>
          <w:rFonts w:ascii="David" w:eastAsia="Calibri" w:hAnsi="David" w:hint="cs"/>
          <w:rtl/>
        </w:rPr>
        <w:tab/>
      </w:r>
      <w:bookmarkStart w:id="6" w:name="ABSTRACT_START"/>
      <w:bookmarkEnd w:id="6"/>
      <w:r w:rsidRPr="00785A6C">
        <w:rPr>
          <w:rFonts w:ascii="David" w:eastAsia="Calibri" w:hAnsi="David" w:hint="cs"/>
          <w:rtl/>
        </w:rPr>
        <w:t xml:space="preserve">הנאשם הורשע, על סמך הודאתו, שניתנה במסגרת הסדר טיעון, בעבירות הבאות: עבירות בנשק, לפי </w:t>
      </w:r>
      <w:hyperlink r:id="rId24" w:history="1">
        <w:r w:rsidR="009F3DD2" w:rsidRPr="009F3DD2">
          <w:rPr>
            <w:rStyle w:val="Hyperlink"/>
            <w:rFonts w:ascii="David" w:eastAsia="Calibri" w:hAnsi="David" w:hint="eastAsia"/>
            <w:rtl/>
          </w:rPr>
          <w:t>סעיפים</w:t>
        </w:r>
        <w:r w:rsidR="009F3DD2" w:rsidRPr="009F3DD2">
          <w:rPr>
            <w:rStyle w:val="Hyperlink"/>
            <w:rFonts w:ascii="David" w:eastAsia="Calibri" w:hAnsi="David"/>
            <w:rtl/>
          </w:rPr>
          <w:t xml:space="preserve"> 144(א)</w:t>
        </w:r>
      </w:hyperlink>
      <w:r w:rsidRPr="00785A6C">
        <w:rPr>
          <w:rFonts w:ascii="David" w:eastAsia="Calibri" w:hAnsi="David" w:hint="cs"/>
          <w:rtl/>
        </w:rPr>
        <w:t xml:space="preserve"> רישא וסיפא, </w:t>
      </w:r>
      <w:hyperlink r:id="rId25" w:history="1">
        <w:r w:rsidR="009F3DD2" w:rsidRPr="009F3DD2">
          <w:rPr>
            <w:rStyle w:val="Hyperlink"/>
            <w:rFonts w:ascii="David" w:eastAsia="Calibri" w:hAnsi="David"/>
            <w:rtl/>
          </w:rPr>
          <w:t>144(ב)</w:t>
        </w:r>
      </w:hyperlink>
      <w:r w:rsidRPr="00785A6C">
        <w:rPr>
          <w:rFonts w:ascii="David" w:eastAsia="Calibri" w:hAnsi="David" w:hint="cs"/>
          <w:rtl/>
        </w:rPr>
        <w:t xml:space="preserve"> רישא וסיפא ו-</w:t>
      </w:r>
      <w:hyperlink r:id="rId26" w:history="1">
        <w:r w:rsidR="009F3DD2" w:rsidRPr="009F3DD2">
          <w:rPr>
            <w:rStyle w:val="Hyperlink"/>
            <w:rFonts w:ascii="David" w:eastAsia="Calibri" w:hAnsi="David"/>
            <w:rtl/>
          </w:rPr>
          <w:t>144(ג)(1)</w:t>
        </w:r>
      </w:hyperlink>
      <w:r w:rsidRPr="00785A6C">
        <w:rPr>
          <w:rFonts w:ascii="David" w:eastAsia="Calibri" w:hAnsi="David" w:hint="cs"/>
          <w:rtl/>
        </w:rPr>
        <w:t xml:space="preserve"> ל</w:t>
      </w:r>
      <w:hyperlink r:id="rId27" w:history="1">
        <w:r w:rsidR="00B31F4C" w:rsidRPr="00B31F4C">
          <w:rPr>
            <w:rFonts w:ascii="David" w:eastAsia="Calibri" w:hAnsi="David"/>
            <w:color w:val="0000FF"/>
            <w:u w:val="single"/>
            <w:rtl/>
          </w:rPr>
          <w:t>חוק העונשין</w:t>
        </w:r>
      </w:hyperlink>
      <w:r w:rsidRPr="00785A6C">
        <w:rPr>
          <w:rFonts w:ascii="David" w:eastAsia="Calibri" w:hAnsi="David" w:hint="cs"/>
          <w:rtl/>
        </w:rPr>
        <w:t>, התשל"ז-1977 (להלן:</w:t>
      </w:r>
      <w:r w:rsidRPr="00785A6C">
        <w:rPr>
          <w:rFonts w:ascii="David" w:eastAsia="Calibri" w:hAnsi="David" w:hint="cs"/>
        </w:rPr>
        <w:t xml:space="preserve"> </w:t>
      </w:r>
      <w:r w:rsidRPr="00785A6C">
        <w:rPr>
          <w:rFonts w:ascii="David" w:eastAsia="Calibri" w:hAnsi="David" w:hint="cs"/>
          <w:rtl/>
        </w:rPr>
        <w:t xml:space="preserve">"חוק העונשין"); חבלה חמורה בנסיבות מחמירות, עבירה לפי </w:t>
      </w:r>
      <w:hyperlink r:id="rId28" w:history="1">
        <w:r w:rsidR="009F3DD2" w:rsidRPr="009F3DD2">
          <w:rPr>
            <w:rStyle w:val="Hyperlink"/>
            <w:rFonts w:ascii="David" w:eastAsia="Calibri" w:hAnsi="David" w:hint="eastAsia"/>
            <w:rtl/>
          </w:rPr>
          <w:t>סעיף</w:t>
        </w:r>
        <w:r w:rsidR="009F3DD2" w:rsidRPr="009F3DD2">
          <w:rPr>
            <w:rStyle w:val="Hyperlink"/>
            <w:rFonts w:ascii="David" w:eastAsia="Calibri" w:hAnsi="David"/>
            <w:rtl/>
          </w:rPr>
          <w:t xml:space="preserve"> 335+333(א)(1)</w:t>
        </w:r>
      </w:hyperlink>
      <w:r w:rsidRPr="00785A6C">
        <w:rPr>
          <w:rFonts w:ascii="David" w:eastAsia="Calibri" w:hAnsi="David" w:hint="cs"/>
          <w:rtl/>
        </w:rPr>
        <w:t xml:space="preserve"> לחוק העונשין; איומים, עבירה לפי </w:t>
      </w:r>
      <w:hyperlink r:id="rId29" w:history="1">
        <w:r w:rsidR="009F3DD2" w:rsidRPr="009F3DD2">
          <w:rPr>
            <w:rStyle w:val="Hyperlink"/>
            <w:rFonts w:ascii="David" w:eastAsia="Calibri" w:hAnsi="David" w:hint="eastAsia"/>
            <w:rtl/>
          </w:rPr>
          <w:t>סעיף</w:t>
        </w:r>
        <w:r w:rsidR="009F3DD2" w:rsidRPr="009F3DD2">
          <w:rPr>
            <w:rStyle w:val="Hyperlink"/>
            <w:rFonts w:ascii="David" w:eastAsia="Calibri" w:hAnsi="David"/>
            <w:rtl/>
          </w:rPr>
          <w:t xml:space="preserve"> 192</w:t>
        </w:r>
      </w:hyperlink>
      <w:r w:rsidRPr="00785A6C">
        <w:rPr>
          <w:rFonts w:ascii="David" w:eastAsia="Calibri" w:hAnsi="David" w:hint="cs"/>
          <w:rtl/>
        </w:rPr>
        <w:t xml:space="preserve"> לחוק העונשין; תקיפה הגורמת חבלה ממשית, עבירה לפי </w:t>
      </w:r>
      <w:hyperlink r:id="rId30" w:history="1">
        <w:r w:rsidR="009F3DD2" w:rsidRPr="009F3DD2">
          <w:rPr>
            <w:rStyle w:val="Hyperlink"/>
            <w:rFonts w:ascii="David" w:eastAsia="Calibri" w:hAnsi="David" w:hint="eastAsia"/>
            <w:rtl/>
          </w:rPr>
          <w:t>סעיף</w:t>
        </w:r>
        <w:r w:rsidR="009F3DD2" w:rsidRPr="009F3DD2">
          <w:rPr>
            <w:rStyle w:val="Hyperlink"/>
            <w:rFonts w:ascii="David" w:eastAsia="Calibri" w:hAnsi="David"/>
            <w:rtl/>
          </w:rPr>
          <w:t xml:space="preserve"> 380</w:t>
        </w:r>
      </w:hyperlink>
      <w:r w:rsidRPr="00785A6C">
        <w:rPr>
          <w:rFonts w:ascii="David" w:eastAsia="Calibri" w:hAnsi="David" w:hint="cs"/>
          <w:rtl/>
        </w:rPr>
        <w:t xml:space="preserve"> לחוק העונשין; נהיגה בפסילה, עבירה לפי </w:t>
      </w:r>
      <w:hyperlink r:id="rId31" w:history="1">
        <w:r w:rsidR="009F3DD2" w:rsidRPr="009F3DD2">
          <w:rPr>
            <w:rStyle w:val="Hyperlink"/>
            <w:rFonts w:ascii="David" w:eastAsia="Calibri" w:hAnsi="David" w:hint="eastAsia"/>
            <w:rtl/>
          </w:rPr>
          <w:t>סעיף</w:t>
        </w:r>
        <w:r w:rsidR="009F3DD2" w:rsidRPr="009F3DD2">
          <w:rPr>
            <w:rStyle w:val="Hyperlink"/>
            <w:rFonts w:ascii="David" w:eastAsia="Calibri" w:hAnsi="David"/>
            <w:rtl/>
          </w:rPr>
          <w:t xml:space="preserve"> 67</w:t>
        </w:r>
      </w:hyperlink>
      <w:r w:rsidRPr="00785A6C">
        <w:rPr>
          <w:rFonts w:ascii="David" w:eastAsia="Calibri" w:hAnsi="David" w:hint="cs"/>
          <w:rtl/>
        </w:rPr>
        <w:t xml:space="preserve"> ל</w:t>
      </w:r>
      <w:hyperlink r:id="rId32" w:history="1">
        <w:r w:rsidR="00B31F4C" w:rsidRPr="00B31F4C">
          <w:rPr>
            <w:rFonts w:ascii="David" w:eastAsia="Calibri" w:hAnsi="David"/>
            <w:color w:val="0000FF"/>
            <w:u w:val="single"/>
            <w:rtl/>
          </w:rPr>
          <w:t>פקודת התעבורה</w:t>
        </w:r>
      </w:hyperlink>
      <w:r w:rsidRPr="00785A6C">
        <w:rPr>
          <w:rFonts w:ascii="David" w:eastAsia="Calibri" w:hAnsi="David" w:hint="cs"/>
          <w:rtl/>
        </w:rPr>
        <w:t xml:space="preserve"> [נוסח חדש] התשכ"א-1961; איסור לנהוג ללא רישיון נהיגה, עבירה לפי </w:t>
      </w:r>
      <w:hyperlink r:id="rId33" w:history="1">
        <w:r w:rsidR="009F3DD2" w:rsidRPr="009F3DD2">
          <w:rPr>
            <w:rStyle w:val="Hyperlink"/>
            <w:rFonts w:ascii="David" w:eastAsia="Calibri" w:hAnsi="David" w:hint="eastAsia"/>
            <w:rtl/>
          </w:rPr>
          <w:t>סעיפים</w:t>
        </w:r>
        <w:r w:rsidR="009F3DD2" w:rsidRPr="009F3DD2">
          <w:rPr>
            <w:rStyle w:val="Hyperlink"/>
            <w:rFonts w:ascii="David" w:eastAsia="Calibri" w:hAnsi="David"/>
            <w:rtl/>
          </w:rPr>
          <w:t xml:space="preserve"> 10(א)</w:t>
        </w:r>
      </w:hyperlink>
      <w:r w:rsidRPr="00785A6C">
        <w:rPr>
          <w:rFonts w:ascii="David" w:eastAsia="Calibri" w:hAnsi="David" w:hint="cs"/>
          <w:rtl/>
        </w:rPr>
        <w:t xml:space="preserve"> ו-</w:t>
      </w:r>
      <w:hyperlink r:id="rId34" w:history="1">
        <w:r w:rsidR="009F3DD2" w:rsidRPr="009F3DD2">
          <w:rPr>
            <w:rStyle w:val="Hyperlink"/>
            <w:rFonts w:ascii="David" w:eastAsia="Calibri" w:hAnsi="David"/>
            <w:rtl/>
          </w:rPr>
          <w:t>62(1)</w:t>
        </w:r>
      </w:hyperlink>
      <w:r w:rsidRPr="00785A6C">
        <w:rPr>
          <w:rFonts w:ascii="David" w:eastAsia="Calibri" w:hAnsi="David" w:hint="cs"/>
          <w:rtl/>
        </w:rPr>
        <w:t xml:space="preserve"> לפקודת התעבורה, ונהיגה ללא פוליסת ביטוח בתוקף, עבירה לפי </w:t>
      </w:r>
      <w:hyperlink r:id="rId35" w:history="1">
        <w:r w:rsidR="009F3DD2" w:rsidRPr="009F3DD2">
          <w:rPr>
            <w:rStyle w:val="Hyperlink"/>
            <w:rFonts w:ascii="David" w:eastAsia="Calibri" w:hAnsi="David" w:hint="eastAsia"/>
            <w:rtl/>
          </w:rPr>
          <w:t>סעיף</w:t>
        </w:r>
        <w:r w:rsidR="009F3DD2" w:rsidRPr="009F3DD2">
          <w:rPr>
            <w:rStyle w:val="Hyperlink"/>
            <w:rFonts w:ascii="David" w:eastAsia="Calibri" w:hAnsi="David"/>
            <w:rtl/>
          </w:rPr>
          <w:t xml:space="preserve"> 2(א)</w:t>
        </w:r>
      </w:hyperlink>
      <w:r w:rsidRPr="00785A6C">
        <w:rPr>
          <w:rFonts w:ascii="David" w:eastAsia="Calibri" w:hAnsi="David" w:hint="cs"/>
          <w:rtl/>
        </w:rPr>
        <w:t xml:space="preserve"> ל</w:t>
      </w:r>
      <w:hyperlink r:id="rId36" w:history="1">
        <w:r w:rsidR="00B31F4C" w:rsidRPr="00B31F4C">
          <w:rPr>
            <w:rFonts w:ascii="David" w:eastAsia="Calibri" w:hAnsi="David"/>
            <w:color w:val="0000FF"/>
            <w:u w:val="single"/>
            <w:rtl/>
          </w:rPr>
          <w:t>פקודת ביטוח רכב מנועי</w:t>
        </w:r>
      </w:hyperlink>
      <w:r w:rsidRPr="00785A6C">
        <w:rPr>
          <w:rFonts w:ascii="David" w:eastAsia="Calibri" w:hAnsi="David" w:hint="cs"/>
          <w:rtl/>
        </w:rPr>
        <w:t xml:space="preserve"> [נוסח חדש], התש"ל-1970. </w:t>
      </w:r>
    </w:p>
    <w:p w14:paraId="6683C6C6"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686D823A"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bookmarkStart w:id="7" w:name="ABSTRACT_END"/>
      <w:bookmarkEnd w:id="7"/>
      <w:r w:rsidRPr="00785A6C">
        <w:rPr>
          <w:rFonts w:ascii="David" w:eastAsia="Calibri" w:hAnsi="David" w:hint="cs"/>
          <w:rtl/>
        </w:rPr>
        <w:tab/>
        <w:t>במסגרת ההסדר תוקן כתב האישום, אך לא הושגה הסכמה עונשית, ולעניין זה נקבע כי כל צד יעלה את טענותיו באופן חופשי.</w:t>
      </w:r>
    </w:p>
    <w:p w14:paraId="4C29E547"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7E4DB872"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lastRenderedPageBreak/>
        <w:t>2.</w:t>
      </w:r>
      <w:r w:rsidRPr="00785A6C">
        <w:rPr>
          <w:rFonts w:ascii="David" w:eastAsia="Calibri" w:hAnsi="David" w:hint="cs"/>
          <w:rtl/>
        </w:rPr>
        <w:tab/>
        <w:t xml:space="preserve">בעובדות כתב האישום המתוקן (להלן: "כתב האישום") נאמר כי החל מתאריך 3.4.22, לרבות במועד הרלוונטי לכתב האישום, היה הנאשם פסול מלנהוג ומלהוציא רישיון נהיגה מתוקף גזר דין שניתן נגדו ביום 6.12.21 בבית משפט השלום לתעבורה בנצרת, במסגרת תיק </w:t>
      </w:r>
      <w:hyperlink r:id="rId37" w:history="1">
        <w:r w:rsidR="00B31F4C" w:rsidRPr="00B31F4C">
          <w:rPr>
            <w:rFonts w:ascii="David" w:eastAsia="Calibri" w:hAnsi="David"/>
            <w:color w:val="0000FF"/>
            <w:u w:val="single"/>
            <w:rtl/>
          </w:rPr>
          <w:t>תת"ע 2611-04-20</w:t>
        </w:r>
      </w:hyperlink>
      <w:r w:rsidRPr="00785A6C">
        <w:rPr>
          <w:rFonts w:ascii="David" w:eastAsia="Calibri" w:hAnsi="David" w:hint="cs"/>
          <w:rtl/>
        </w:rPr>
        <w:t>, כאשר הדבר היה ידוע לנאשם.</w:t>
      </w:r>
    </w:p>
    <w:p w14:paraId="06A9DD96"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3DA673D2"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ab/>
        <w:t>כן צוין כי בין הנאשם לבין אמיר רוחי, יליד 2000 (להלן: "המתלונן"), קיימת קרבה משפחתית רחוקה.</w:t>
      </w:r>
    </w:p>
    <w:p w14:paraId="35B61F33"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26D7AE30"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3.</w:t>
      </w:r>
      <w:r w:rsidRPr="00785A6C">
        <w:rPr>
          <w:rFonts w:ascii="David" w:eastAsia="Calibri" w:hAnsi="David" w:hint="cs"/>
          <w:rtl/>
        </w:rPr>
        <w:tab/>
        <w:t>עובר למועד הרלוונטי לכתב האישום, הועסק המתלונן על ידי הנאשם בעבודות בנייה למשך מספר שבועות. בין השניים נתגלעה מחלוקת על רקע אי תשלום שכרו היומי המלא של המתלונן על ידי הנאשם, בשלה הפסיק המתלונן לעבוד עם הנאשם וסירב לפנייתו לחזור לעבוד עמו. עוד סירב המתלונן להיענות לדרישת הנאשם למכור לו מכשיר טלפון נייד ששימש אותו והיה בחזקתו (להלן: "הסכסוך").</w:t>
      </w:r>
    </w:p>
    <w:p w14:paraId="3B4225EE"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73B5E1AA"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4.</w:t>
      </w:r>
      <w:r w:rsidRPr="00785A6C">
        <w:rPr>
          <w:rFonts w:ascii="David" w:eastAsia="Calibri" w:hAnsi="David" w:hint="cs"/>
          <w:rtl/>
        </w:rPr>
        <w:tab/>
        <w:t xml:space="preserve">ביום 22.4.2022, בשעה 14:40 או בסמוך לכך, החלו חילופי הודעות קוליות באפליקציית "ווטסאפ" בין המתלונן לבין הנאשם על רקע הסכסוך, במהלכם איים הנאשם על המתלונן בכוונה להפחידו או להקניטו, באומרו "באימא שלי אני אתפוס אותך ואזיין אותך". משסירב המתלונן להשיב לנאשם בהודעה חוזרת, שב ואיים עליו הנאשם, באומרו "תן לי שאני אתפוס אותך אל תדאג בסדר". בהמשך, מסר המתלונן לנאשם את מיקומו בבית דודו במועאוויה (להלן: "הבית"). </w:t>
      </w:r>
    </w:p>
    <w:p w14:paraId="239F3E88"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2F2E9FFA"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5.</w:t>
      </w:r>
      <w:r w:rsidRPr="00785A6C">
        <w:rPr>
          <w:rFonts w:ascii="David" w:eastAsia="Calibri" w:hAnsi="David" w:hint="cs"/>
          <w:rtl/>
        </w:rPr>
        <w:tab/>
        <w:t xml:space="preserve">על רקע האמור, החליט הנאשם לפגוע במתלונן באמצעות ירי מנשק. לצורך כך, עובר לשעה 19:35 ולאחר ארוחת שבירת צום הרמדאן, הצטייד הנאשם באקדח אשר סוגל לירות קליע שבכוחו להמית אדם ובתחמושת (להלן: "הנשק"), והגיע לבית בנסיעה ברכב כשהוא אינו מורשה לנהיגה וללא תעודת ביטוח בתוקף. </w:t>
      </w:r>
    </w:p>
    <w:p w14:paraId="2ABC18FB"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0D1722E3"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6.</w:t>
      </w:r>
      <w:r w:rsidRPr="00785A6C">
        <w:rPr>
          <w:rFonts w:ascii="David" w:eastAsia="Calibri" w:hAnsi="David" w:hint="cs"/>
          <w:rtl/>
        </w:rPr>
        <w:tab/>
        <w:t>בשעה 19:35 הגיע הנאשם לבית כשהוא מחזיק, נושא ומוביל ברכב את הנשק. הנאשם התקשר למתלונן באמצעות אפליקציית "ווטסאפ", ומשלא נענה צפר והמתלונן יצא מחוץ לבית. או אז, ירד הנאשם מרכבו, התקרב למתלונן כשהוא אוחז בידו את הנשק, וירה מיד מטווח קצר של מטרים אחדים כדור לעבר המתלונן, אשר קפץ ממקומו ולא נפגע. הנאשם הוסיף והתקרב אל המתלונן, ובהיותו צמוד אליו, ירה לעבר פלג גופו התחתון ירייה נוספת שפגעה בו והוא נפל. הנאשם הוסיף וירה לעבר פלג גופו התחתון של המתלונן, בעודו שוכב על הקרקע, שתי יריות נוספות אשר פגעו בו. בסך הכל נפגע המתלונן משלושה קליעים שגרמו לו לחבלה חמורה, כאשר שניים מהם פגעו בשוק רגלו השמאלית וקליע נוסף פגע בשוק רגלו הימנית.</w:t>
      </w:r>
    </w:p>
    <w:p w14:paraId="4BA21FCD"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25AAE44D"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7.</w:t>
      </w:r>
      <w:r w:rsidRPr="00785A6C">
        <w:rPr>
          <w:rFonts w:ascii="David" w:eastAsia="Calibri" w:hAnsi="David" w:hint="cs"/>
          <w:rtl/>
        </w:rPr>
        <w:tab/>
        <w:t xml:space="preserve">בהמשך, שב הנאשם לרכבו ונכנס למושב הנהג. אמו של המתלונן, חנאן רוחי, ניגשה לעבר הרכב וניסתה לאחוז בנאשם על מנת למנוע ממנו לעזוב את המקום. או אז, נסע הנאשם לאחור, נצמד לרכב אחר וחנאן נפלה על הכביש ואיבדה הכרתה. </w:t>
      </w:r>
    </w:p>
    <w:p w14:paraId="280515DF"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6624D2D1"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8.</w:t>
      </w:r>
      <w:r w:rsidRPr="00785A6C">
        <w:rPr>
          <w:rFonts w:ascii="David" w:eastAsia="Calibri" w:hAnsi="David" w:hint="cs"/>
          <w:rtl/>
        </w:rPr>
        <w:tab/>
        <w:t xml:space="preserve">כתוצאה ממעשי הנאשם, הובהלו המתלונן ואמו לבית חולים העמק באמבולנס. </w:t>
      </w:r>
    </w:p>
    <w:p w14:paraId="2DB88EB8"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1C47E6D0"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ab/>
        <w:t xml:space="preserve">למתלונן נגרמו שני פצעי ירי כניסה ויציאה בשוק גפה שמאלית, פצע ירי כניסה ויציאה בשוק גפה ימנית תחתונה ושברים דו צדדיים בפיבולה מתחת לברכיים. בעקבות הפגיעה הוא הובהל לחדר הלם, שם בוצע </w:t>
      </w:r>
      <w:r w:rsidRPr="00785A6C">
        <w:rPr>
          <w:rFonts w:ascii="David" w:eastAsia="Calibri" w:hAnsi="David"/>
        </w:rPr>
        <w:t>CTA</w:t>
      </w:r>
      <w:r w:rsidRPr="00785A6C">
        <w:rPr>
          <w:rFonts w:ascii="David" w:eastAsia="Calibri" w:hAnsi="David" w:hint="cs"/>
          <w:rtl/>
        </w:rPr>
        <w:t xml:space="preserve"> גפיים תחתונות, אובחן שבר דו צדדי בטיביה ורגליו הושמו בסד גבס. בהמשך הועבר המתלונן למחלקה האורתופדית להמשך טיפול בפצעיו. בתאריך 23.4.22 עבר המתלונן הטריית פצעים וניתוח פסיוטומיה בשתי שוקיו תחת הרדמה כללית והותקנה לו מערכת </w:t>
      </w:r>
      <w:r w:rsidRPr="00785A6C">
        <w:rPr>
          <w:rFonts w:ascii="David" w:eastAsia="Calibri" w:hAnsi="David"/>
        </w:rPr>
        <w:t>VAC</w:t>
      </w:r>
      <w:r w:rsidRPr="00785A6C">
        <w:rPr>
          <w:rFonts w:ascii="David" w:eastAsia="Calibri" w:hAnsi="David" w:hint="cs"/>
          <w:rtl/>
        </w:rPr>
        <w:t>. המתלונן שוחרר מבית החולים ביום 2.5.2022, אולם בשל החמרת מצבו הוחלט על אשפוזו מחדש בתאריך 12.5.2022 והוא נותח לצורך פתיחת אבצס. במועד הגשת כתב האישום היה המתלונן עדיין מאושפז בבית החולים.</w:t>
      </w:r>
    </w:p>
    <w:p w14:paraId="0D6E755C"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6198FBF3"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ab/>
        <w:t>לאמו של המתלונן נגרמו שפשופים מעל כתף ימין, בירך, בכף רגל מימין ובצד השמאלי של הגוף, בגינם טופלה בבית החולים ושוחררה בחלוף מספר שעות.</w:t>
      </w:r>
    </w:p>
    <w:p w14:paraId="45067597"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23D9F34E"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u w:val="single"/>
          <w:rtl/>
        </w:rPr>
      </w:pPr>
      <w:r w:rsidRPr="00785A6C">
        <w:rPr>
          <w:rFonts w:ascii="David" w:eastAsia="Calibri" w:hAnsi="David" w:hint="cs"/>
          <w:u w:val="single"/>
          <w:rtl/>
        </w:rPr>
        <w:t>ראיות הצדדים לעונש</w:t>
      </w:r>
    </w:p>
    <w:p w14:paraId="7B57BBD1"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u w:val="single"/>
          <w:rtl/>
        </w:rPr>
      </w:pPr>
    </w:p>
    <w:p w14:paraId="6FCD41E0"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9.</w:t>
      </w:r>
      <w:r w:rsidRPr="00785A6C">
        <w:rPr>
          <w:rFonts w:ascii="David" w:eastAsia="Calibri" w:hAnsi="David" w:hint="cs"/>
          <w:rtl/>
        </w:rPr>
        <w:tab/>
        <w:t>במסגרת ראיותיה לעונש הגישה המאשימה את תדפיסי המידע הפלילי והתעבורתי של הנאשם (מע/1 ו-מע/2), מהם עולה כי לחובתו שלוש הרשעות פליליות ו-26 הרשעות תעבורתיות, בגין חלקן ריצה בעבר עונשי מאסר בפועל ורישיונו נפסל. עוד הוגשו כתב האישום וגזר הדין מיום 6.12.2021 ב</w:t>
      </w:r>
      <w:hyperlink r:id="rId38" w:history="1">
        <w:r w:rsidR="00B31F4C" w:rsidRPr="00B31F4C">
          <w:rPr>
            <w:rFonts w:ascii="David" w:eastAsia="Calibri" w:hAnsi="David"/>
            <w:color w:val="0000FF"/>
            <w:u w:val="single"/>
            <w:rtl/>
          </w:rPr>
          <w:t>תת"ע 2611-04-20</w:t>
        </w:r>
      </w:hyperlink>
      <w:r w:rsidRPr="00785A6C">
        <w:rPr>
          <w:rFonts w:ascii="David" w:eastAsia="Calibri" w:hAnsi="David" w:hint="cs"/>
          <w:rtl/>
        </w:rPr>
        <w:t xml:space="preserve"> (נע/3), בו הוטלו על הנאשם, בין היתר, 3.5 חודשי מאסר לריצוי בדרך של עבודות שירות ו-5 חודשי מאסר על תנאי אותם ביקשה המאשימה להפעיל במצטבר לעונש שיוטל עליו בתיק זה. בהקשר זה הוגשה בנוסף החלטת בית משפט השלום לתעבורה בנצרת מיום 29.6.2022 בתיק דלעיל (מע/4), אשר הורתה על הפקעת עבודות השירות ונשיאת עונש המאסר שהוטל על הנאשם מאחורי סורג ובריח. בנוסף, הפנתה המאשימה למוצגים שהוגשו במהלך שמיעת הראיות, המעידים על החבלות שנגרמו למתלונן ולאמו.</w:t>
      </w:r>
    </w:p>
    <w:p w14:paraId="30651F71"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32740FA3"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10.</w:t>
      </w:r>
      <w:r w:rsidRPr="00785A6C">
        <w:rPr>
          <w:rFonts w:ascii="David" w:eastAsia="Calibri" w:hAnsi="David" w:hint="cs"/>
          <w:rtl/>
        </w:rPr>
        <w:tab/>
        <w:t>מטעם ההגנה העיד המתלונן כעד אופי. הלה סיפר כי הוא והנאשם קרובי משפחה רחוקים ובעבר עבדו יחד. לדבריו, בינו לבין הנאשם קרתה אי הבנה שנפתרה, הנאשם פיצה אותו בגין הפגיעה שנגרמה לו בסך של 100,000 ₪, והוא סבור שלאחר שחרורו של הנאשם ממאסר השניים יוכלו לשמור על יחסים תקינים. במענה לשאלות ב"כ המאשימה, הדגיש המתלונן את הסבל והטראומה שנגרמו לו כתוצאה ממעשיו של הנאשם, תוך שציין כי עבר מספר ניתוחים, אחד מהם בנורבגיה, וכיום הוא עדיין מצוי בשיקום ונזקק לטיפול נפשי.</w:t>
      </w:r>
    </w:p>
    <w:p w14:paraId="2988B509"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7C95E56B"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ab/>
        <w:t>בנוסף, הגישה ההגנה דו"ח סוציאלי מטעם המחלקה לשירותים חברתיים במועצה המקומית בסמ"ה (נע/1), בו תואר מצבה הסוציו-אקונומי הקשה של משפחת הנאשם ואת הקשיים הכלכליים עמם היא מתמודדת. נאמר כי אמו של הנאשם תיארה אותו כצעיר חברותי, השומר על יחסים טובים עם בני הכפר ומבלה את רוב זמנו בעבודה, והביעה פחד ודאגה בשל מעצרו. כן הוגש מסמך המעיד על הסכם סולחה שנערך בין משפחת המתלונן לבין הנאשם ביום 18.2.2023 (נע/2), ובו נאמר כי הנאשם שילם למתלונן פיצוי בסך 100,000 ₪.</w:t>
      </w:r>
    </w:p>
    <w:p w14:paraId="1D8F4132"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1BC4D071"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u w:val="single"/>
          <w:rtl/>
        </w:rPr>
      </w:pPr>
      <w:r w:rsidRPr="00785A6C">
        <w:rPr>
          <w:rFonts w:ascii="David" w:eastAsia="Calibri" w:hAnsi="David" w:hint="cs"/>
          <w:u w:val="single"/>
          <w:rtl/>
        </w:rPr>
        <w:t>טיעוני הצדדים לעונש</w:t>
      </w:r>
    </w:p>
    <w:p w14:paraId="687D3825"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u w:val="single"/>
          <w:rtl/>
        </w:rPr>
      </w:pPr>
    </w:p>
    <w:p w14:paraId="26DFCD04"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11.</w:t>
      </w:r>
      <w:r w:rsidRPr="00785A6C">
        <w:rPr>
          <w:rFonts w:ascii="David" w:eastAsia="Calibri" w:hAnsi="David" w:hint="cs"/>
          <w:rtl/>
        </w:rPr>
        <w:tab/>
        <w:t xml:space="preserve">בטיעוניה לעונש עמדה המאשימה על הערכים החברתיים בהם פגע הנאשם במעשיו, שהינם שמירה על חיי אדם ושלמות גופו, כאשר חומרה יתרה נובעת מהעובדה שמעשיו כללו ירי מנשק חם. נטען כי לא מדובר במעשים ספונטניים, אלא כאלה שקדם להם תכנון מדוקדק, במסגרתו הצטייד הנאשם בנשק חם ונסע במיוחד למקום בו שהה המתלונן על מנת לפגוע בו בשל סכסוך של מה בכך. </w:t>
      </w:r>
    </w:p>
    <w:p w14:paraId="72C8E9AB"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20B92F72"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ab/>
        <w:t>המאשימה ציינה כי לצד הנזק שנגרם למתלונן ולאמו, הנזק שעלול היה להיגרם מביצוע העבירות הינו חמור ביותר ורק בנס לא נגרמו למתלונן חבלות קשות עוד יותר. נאמר כי מעשיו של הנאשם מעידים על התנהלות עבריינית, מסוכנות גבוהה וזלזול בחיי אדם.</w:t>
      </w:r>
    </w:p>
    <w:p w14:paraId="7B5DF8A9"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5F1959D6"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12.</w:t>
      </w:r>
      <w:r w:rsidRPr="00785A6C">
        <w:rPr>
          <w:rFonts w:ascii="David" w:eastAsia="Calibri" w:hAnsi="David" w:hint="cs"/>
          <w:rtl/>
        </w:rPr>
        <w:tab/>
        <w:t xml:space="preserve">הגם שהנאשם הורשע במספר עבירות, סבורה המאשימה כי מדובר ברצף של מעשים שבוצעו בטווח זמנים קצר לצורך תכלית אחת. לכן, יש לראות בכל העבירות אירוע אחד, בגינו יש לקבוע מתחם כולל הנע בין 8-6 שנות מאסר בפועל, בהתאם לפסיקה אליה הפנתה. </w:t>
      </w:r>
    </w:p>
    <w:p w14:paraId="6A985D0D"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7236B4A7"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13.</w:t>
      </w:r>
      <w:r w:rsidRPr="00785A6C">
        <w:rPr>
          <w:rFonts w:ascii="David" w:eastAsia="Calibri" w:hAnsi="David" w:hint="cs"/>
          <w:rtl/>
        </w:rPr>
        <w:tab/>
        <w:t xml:space="preserve">ב"כ המאשימה ביקש לא לייחס משקל יתר להסכם הסולחה שנערך בין הצדדים, שכן מדברי המתלונן כפי שנמסרו בעדות האופי עולה כי האירוע עדיין נותן בו אותותיו והוא עדיין נדרש לטיפולים, הן במישור הפיזי והן במישור הנפשי. </w:t>
      </w:r>
    </w:p>
    <w:p w14:paraId="37BD7151"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79B0F3A2"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14.</w:t>
      </w:r>
      <w:r w:rsidRPr="00785A6C">
        <w:rPr>
          <w:rFonts w:ascii="David" w:eastAsia="Calibri" w:hAnsi="David" w:hint="cs"/>
          <w:rtl/>
        </w:rPr>
        <w:tab/>
        <w:t>נוכח עברו הפלילי של הנאשם, עתרה המאשימה לגזור את עונשו ברף הבינוני של המתחם המוצע על ידה, ולהפעיל במצטבר את עונש המאסר המותנה בן 5 חודשים שהוטל עליו ב</w:t>
      </w:r>
      <w:hyperlink r:id="rId39" w:history="1">
        <w:r w:rsidR="00B31F4C" w:rsidRPr="00B31F4C">
          <w:rPr>
            <w:rFonts w:ascii="David" w:eastAsia="Calibri" w:hAnsi="David"/>
            <w:color w:val="0000FF"/>
            <w:u w:val="single"/>
            <w:rtl/>
          </w:rPr>
          <w:t>תת"ע 2611-04-20</w:t>
        </w:r>
      </w:hyperlink>
      <w:r w:rsidRPr="00785A6C">
        <w:rPr>
          <w:rFonts w:ascii="David" w:eastAsia="Calibri" w:hAnsi="David" w:hint="cs"/>
          <w:rtl/>
        </w:rPr>
        <w:t>. כן ביקשה שלא לנכות את תקופת המאסר בה נשא הנאשם במסגרת התיק הנ"ל מהעונש שיוטל עליו בתיק זה. בנוסף, ביקשה המאשימה להטיל על הנאשם מאסר מותנה ופיצוי למתלונן, לפסול אותו מלקבל או להחזיק רישיון נהיגה לתקופה ארוכה ומשמעותית, להפעיל במצטבר את הפסילה המותנית בת 4 חודשים שהוטלה עליו ולהשית עליו פסילה על תנאי.</w:t>
      </w:r>
    </w:p>
    <w:p w14:paraId="147F8B6F"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7C14E548"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15.</w:t>
      </w:r>
      <w:r w:rsidRPr="00785A6C">
        <w:rPr>
          <w:rFonts w:ascii="David" w:eastAsia="Calibri" w:hAnsi="David" w:hint="cs"/>
          <w:rtl/>
        </w:rPr>
        <w:tab/>
        <w:t>בפתח טיעוניה, ביקשה ההגנה להתחשב בהודאת הנאשם, המבטאת חרטה כנה ואשר הביאה לחיסכון בזמן שיפוטי יקר. לאחר ניהול מספר ישיבות הוכחות ועל אף העובדה שחלק מעדי התביעה לא התייצבו למסור עדותם, בחר הנאשם לקחת אחריות על מעשיו.</w:t>
      </w:r>
    </w:p>
    <w:p w14:paraId="48ACF1B1"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2DC0FAEE"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16.</w:t>
      </w:r>
      <w:r w:rsidRPr="00785A6C">
        <w:rPr>
          <w:rFonts w:ascii="David" w:eastAsia="Calibri" w:hAnsi="David" w:hint="cs"/>
          <w:rtl/>
        </w:rPr>
        <w:tab/>
        <w:t>בניגוד לעמדת המאשימה, ביקשה הסנגורית ליתן משקל משמעותי להסכם הסולחה, במסגרתו פיצה הנאשם את המתלונן ומשפחתו על העוול שנגרם להם. הודגש כי בתי המשפט קבעו לא אחת כי להסכם סולחה חשיבות רבה בפתרון סכסוכים. המתלונן פרט אמנם בעדותו על אודות הנזק והסבל שנגרמו לו כתוצאה מפגיעתו, אך יחד עם זאת ברי כי פניו לשלום והוא מוחל לנאשם.</w:t>
      </w:r>
    </w:p>
    <w:p w14:paraId="5F6737F4"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15DA6E06"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17.</w:t>
      </w:r>
      <w:r w:rsidRPr="00785A6C">
        <w:rPr>
          <w:rFonts w:ascii="David" w:eastAsia="Calibri" w:hAnsi="David" w:hint="cs"/>
          <w:rtl/>
        </w:rPr>
        <w:tab/>
        <w:t>בנוסף ביקשה ב"כ הנאשם להתחשב בעובדה כי מרשה שוהה במעצר מאז קרות האירוע. במהלך תקופה זו היה לו זמן לחשוב על הנזק שגרם לקורבן והוא מבין כי מגיע לו עונש על מעשיו. מדובר בנאשם צעיר, יליד 1994, המגיע ממשפחה בעלת רקע סוציו-אקונומי מורכב. אמו פרנסה אותו ואת אחיו לאורך השנים, ובבגרותו הוא עבד שנים רבות בבניין ועזר בפרנסת הבית. נאמר כי אמו של הנאשם זקוקה לו, ובשל המצוקה הכלכלית של משפחתו ראוי שלא יוטל עליו מאסר ממושך.</w:t>
      </w:r>
    </w:p>
    <w:p w14:paraId="77BBA29C"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745A30FB"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18.</w:t>
      </w:r>
      <w:r w:rsidRPr="00785A6C">
        <w:rPr>
          <w:rFonts w:ascii="David" w:eastAsia="Calibri" w:hAnsi="David" w:hint="cs"/>
          <w:rtl/>
        </w:rPr>
        <w:tab/>
        <w:t>לאחר שהפנתה לפסיקה המשקפת לשיטתה את מדיניות הענישה הנוהגת במקרים דומים ואף חמורים יותר, ביקשה ההגנה לא למצות את הדין עם הנאשם ולהטיל עליו עונש מאסר קצר. נוכח העובדה כי במסגרת הסכם הסולחה הוא שילם סך של 100,000 ₪, ביקשה הסנגורית להימנע מלהטיל עליו פיצוי נוסף.</w:t>
      </w:r>
    </w:p>
    <w:p w14:paraId="43160631" w14:textId="77777777" w:rsidR="00E23AAC" w:rsidRDefault="00E23AAC" w:rsidP="00E23AAC">
      <w:pPr>
        <w:tabs>
          <w:tab w:val="left" w:pos="567"/>
          <w:tab w:val="left" w:pos="1134"/>
          <w:tab w:val="left" w:pos="1701"/>
        </w:tabs>
        <w:spacing w:line="360" w:lineRule="auto"/>
        <w:ind w:left="567" w:hanging="567"/>
        <w:jc w:val="both"/>
        <w:rPr>
          <w:rFonts w:ascii="David" w:eastAsia="Calibri" w:hAnsi="David"/>
          <w:rtl/>
        </w:rPr>
      </w:pPr>
    </w:p>
    <w:p w14:paraId="3EF86D21" w14:textId="77777777" w:rsidR="00E23AAC" w:rsidRDefault="00E23AAC" w:rsidP="00E23AAC">
      <w:pPr>
        <w:tabs>
          <w:tab w:val="left" w:pos="567"/>
          <w:tab w:val="left" w:pos="1134"/>
          <w:tab w:val="left" w:pos="1701"/>
        </w:tabs>
        <w:spacing w:line="360" w:lineRule="auto"/>
        <w:ind w:left="567" w:hanging="567"/>
        <w:jc w:val="both"/>
        <w:rPr>
          <w:rFonts w:ascii="David" w:eastAsia="Calibri" w:hAnsi="David"/>
          <w:rtl/>
        </w:rPr>
      </w:pPr>
    </w:p>
    <w:p w14:paraId="5B7F50F8"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3E522CF6"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u w:val="single"/>
          <w:rtl/>
        </w:rPr>
      </w:pPr>
      <w:r w:rsidRPr="00785A6C">
        <w:rPr>
          <w:rFonts w:ascii="David" w:eastAsia="Calibri" w:hAnsi="David" w:hint="cs"/>
          <w:u w:val="single"/>
          <w:rtl/>
        </w:rPr>
        <w:t>דברו האחרון של הנאשם</w:t>
      </w:r>
    </w:p>
    <w:p w14:paraId="71939E4C"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u w:val="single"/>
          <w:rtl/>
        </w:rPr>
      </w:pPr>
    </w:p>
    <w:p w14:paraId="472CCE02"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19.</w:t>
      </w:r>
      <w:r w:rsidRPr="00785A6C">
        <w:rPr>
          <w:rFonts w:ascii="David" w:eastAsia="Calibri" w:hAnsi="David" w:hint="cs"/>
          <w:rtl/>
        </w:rPr>
        <w:tab/>
        <w:t>בדברו האחרון הביע הנאשם חרטה על מעשיו וביקש סליחה מהמתלונן ומבית המשפט.</w:t>
      </w:r>
    </w:p>
    <w:p w14:paraId="1CE7FB12"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0A979AF0"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u w:val="single"/>
          <w:rtl/>
        </w:rPr>
      </w:pPr>
      <w:r w:rsidRPr="00785A6C">
        <w:rPr>
          <w:rFonts w:ascii="David" w:eastAsia="Calibri" w:hAnsi="David" w:hint="cs"/>
          <w:u w:val="single"/>
          <w:rtl/>
        </w:rPr>
        <w:t>דיון והכרעה</w:t>
      </w:r>
    </w:p>
    <w:p w14:paraId="751FA1E8"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u w:val="single"/>
          <w:rtl/>
        </w:rPr>
      </w:pPr>
      <w:r w:rsidRPr="00785A6C">
        <w:rPr>
          <w:rFonts w:ascii="David" w:eastAsia="Calibri" w:hAnsi="David" w:hint="cs"/>
          <w:u w:val="single"/>
          <w:rtl/>
        </w:rPr>
        <w:t>קביעת מתחם העונש ההולם</w:t>
      </w:r>
    </w:p>
    <w:p w14:paraId="59932E60"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u w:val="single"/>
          <w:rtl/>
        </w:rPr>
      </w:pPr>
    </w:p>
    <w:p w14:paraId="7E6704B1"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20.</w:t>
      </w:r>
      <w:r w:rsidRPr="00785A6C">
        <w:rPr>
          <w:rFonts w:ascii="David" w:eastAsia="Calibri" w:hAnsi="David" w:hint="cs"/>
          <w:rtl/>
        </w:rPr>
        <w:tab/>
        <w:t>מתחם העונש ההולם ייקבע, ככלל, בהתאם לעיקרון ההלימה, שהוא עקרון על בגזירת העונש המחייב קיומו של יחס הולם בין חומרת מעשה העבירה בנסיבותיו ומידת אשמו של הנאשם ובין סוג ומידת העונש המוטל עליו (</w:t>
      </w:r>
      <w:hyperlink r:id="rId40" w:history="1">
        <w:r w:rsidR="009F3DD2" w:rsidRPr="009F3DD2">
          <w:rPr>
            <w:rStyle w:val="Hyperlink"/>
            <w:rFonts w:ascii="David" w:eastAsia="Calibri" w:hAnsi="David" w:hint="eastAsia"/>
            <w:rtl/>
          </w:rPr>
          <w:t>סעיף</w:t>
        </w:r>
        <w:r w:rsidR="009F3DD2" w:rsidRPr="009F3DD2">
          <w:rPr>
            <w:rStyle w:val="Hyperlink"/>
            <w:rFonts w:ascii="David" w:eastAsia="Calibri" w:hAnsi="David"/>
            <w:rtl/>
          </w:rPr>
          <w:t xml:space="preserve"> 40ב</w:t>
        </w:r>
      </w:hyperlink>
      <w:r w:rsidRPr="00785A6C">
        <w:rPr>
          <w:rFonts w:ascii="David" w:eastAsia="Calibri" w:hAnsi="David" w:hint="cs"/>
          <w:rtl/>
        </w:rPr>
        <w:t xml:space="preserve"> ל</w:t>
      </w:r>
      <w:hyperlink r:id="rId41" w:history="1">
        <w:r w:rsidR="00B31F4C" w:rsidRPr="00B31F4C">
          <w:rPr>
            <w:rFonts w:ascii="David" w:eastAsia="Calibri" w:hAnsi="David"/>
            <w:color w:val="0000FF"/>
            <w:u w:val="single"/>
            <w:rtl/>
          </w:rPr>
          <w:t>חוק העונשין</w:t>
        </w:r>
      </w:hyperlink>
      <w:r w:rsidRPr="00785A6C">
        <w:rPr>
          <w:rFonts w:ascii="David" w:eastAsia="Calibri" w:hAnsi="David" w:hint="cs"/>
          <w:rtl/>
        </w:rPr>
        <w:t xml:space="preserve">). בקביעת מתחם העונש ההולם על בית המשפט להתחשב בערכים החברתיים שנפגעו מביצוע העבירה, במידת הפגיעה בהם, במדיניות הענישה הנהוגה ובנסיבות הקשורות בביצוע העבירה, כמפורט </w:t>
      </w:r>
      <w:hyperlink r:id="rId42" w:history="1">
        <w:r w:rsidR="009F3DD2" w:rsidRPr="009F3DD2">
          <w:rPr>
            <w:rStyle w:val="Hyperlink"/>
            <w:rFonts w:ascii="David" w:eastAsia="Calibri" w:hAnsi="David" w:hint="eastAsia"/>
            <w:rtl/>
          </w:rPr>
          <w:t>בסעיף</w:t>
        </w:r>
        <w:r w:rsidR="009F3DD2" w:rsidRPr="009F3DD2">
          <w:rPr>
            <w:rStyle w:val="Hyperlink"/>
            <w:rFonts w:ascii="David" w:eastAsia="Calibri" w:hAnsi="David"/>
            <w:rtl/>
          </w:rPr>
          <w:t xml:space="preserve"> 40ט(א)</w:t>
        </w:r>
      </w:hyperlink>
      <w:r w:rsidRPr="00785A6C">
        <w:rPr>
          <w:rFonts w:ascii="David" w:eastAsia="Calibri" w:hAnsi="David" w:hint="cs"/>
          <w:rtl/>
        </w:rPr>
        <w:t xml:space="preserve"> ל</w:t>
      </w:r>
      <w:hyperlink r:id="rId43" w:history="1">
        <w:r w:rsidR="00B31F4C" w:rsidRPr="00B31F4C">
          <w:rPr>
            <w:rFonts w:ascii="David" w:eastAsia="Calibri" w:hAnsi="David"/>
            <w:color w:val="0000FF"/>
            <w:u w:val="single"/>
            <w:rtl/>
          </w:rPr>
          <w:t>חוק העונשין</w:t>
        </w:r>
      </w:hyperlink>
      <w:r w:rsidRPr="00785A6C">
        <w:rPr>
          <w:rFonts w:ascii="David" w:eastAsia="Calibri" w:hAnsi="David" w:hint="cs"/>
          <w:rtl/>
        </w:rPr>
        <w:t>.</w:t>
      </w:r>
    </w:p>
    <w:p w14:paraId="512C091D"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21667F78"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21.</w:t>
      </w:r>
      <w:r w:rsidRPr="00785A6C">
        <w:rPr>
          <w:rFonts w:ascii="David" w:eastAsia="Calibri" w:hAnsi="David" w:hint="cs"/>
          <w:rtl/>
        </w:rPr>
        <w:tab/>
        <w:t xml:space="preserve">הערכים החברתיים המוגנים שנפגעו כתוצאה מביצוע עבירות הנשק והאלימות בהן הורשע הנאשם הם שלמות גופו ובטחונו של אדם כמו גם השמירה על גופו ובטחונו של הציבור בכללותו, בשים לב לכך שהירי בענייננו בוצע בקרבת בית מגורים. העבירות של נהיגה בפסילה ללא רישיון וללא פוליסת ביטוח פוגעות בערך המוגן של שלום הציבור מפני נהיגה בידי מי שאינם מורשים וכן פוגעות בסדר הציבורי ובשלטון החוק. </w:t>
      </w:r>
    </w:p>
    <w:p w14:paraId="7434E194"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2BBED371"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22.</w:t>
      </w:r>
      <w:r w:rsidRPr="00785A6C">
        <w:rPr>
          <w:rFonts w:ascii="David" w:eastAsia="Calibri" w:hAnsi="David" w:hint="cs"/>
          <w:rtl/>
        </w:rPr>
        <w:tab/>
        <w:t>מעשיו של הנאשם חמורים ביותר. על רקע של מחלוקת על עניינים של מה בכך, גמלה בלבו של הנאשם ההחלטה לירות לעבר המתלונן ולפגוע בו פגיעה חמורה. המחלוקת בין הצדדים נסובה סביב אי תשלום שכרו היומי המלא של המתלונן שהועסק על ידי הנאשם בעבודות בניה משך מספר שבועות. בנוסף, סירב המתלונן למכור לנאשם את מכשיר הטלפון הנייד ששימש אותו בתמורה לסכום כסף מסוים. בעקבות כך, ולאחר חילופי דברים בין השניים באמצעות אפליקציית וואטסאפ במהלכם איים הנאשם על המתלונן, הגיע הנאשם לבית דודו של המתלונן כשהוא מחזיק, נושא ומוביל  אקדח ותחמושת. משיצא המתלונן מהבית לקראת הנאשם, לאחר שזה התקשר אליו, ירד הנאשם מהרכב כשהוא אוחז בנשק, התקרב למתלונן וירה לעברו כדור ממרחק של מטרים ספורים שלא פגע בו לאחר שהמתלונן קפץ ממקומו. לאחר הירי הראשון, התקרב הנאשם אל המתלונן ובהיותו צמוד אליו ירה לפלג גופו התחתון ירייה נוספת שפגעה במתלונן והוא נפל. הנאשם לא הסתפק בכך, אלא הוסיף וירה לעבר פלג גופו התחתון של המתלונן שתי יריות שפגעו בו בעודו שכוב על הקרקע. בסך הכל נפגע המתלונן משלושה קליעים – שניים פגעו בשוק רגל שמאל וקליע אחד שפגע בשוק רגל ימין. בשלב זה אמו של המתלונן נגשה לעבר רכבו של הנאשם בעוד הנאשם יושב במושב הנהג וניסתה לאחוז בו על מנת למנוע ממנו לעזוב את זירת האירוע. הנאשם נסע לאחור, נצמד לרכב אחר, ואמו של המתלונן נפלה על הכביש ואיבדה את הכרתה. את הנסיעה לזירת האירוע וממנה עשה הנאשם כשהוא נוהג ברכב, בעודו בפסילה.</w:t>
      </w:r>
    </w:p>
    <w:p w14:paraId="52C26673"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ab/>
      </w:r>
    </w:p>
    <w:p w14:paraId="06E11FCD"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23.</w:t>
      </w:r>
      <w:r w:rsidRPr="00785A6C">
        <w:rPr>
          <w:rFonts w:ascii="David" w:eastAsia="Calibri" w:hAnsi="David" w:hint="cs"/>
          <w:rtl/>
        </w:rPr>
        <w:tab/>
        <w:t xml:space="preserve">כפי שצוין הנסיבות של ביצוע עבירות האלימות בענייננו הן חמורות ביותר. הנאשם התנהל בבריונות ובאכזריות כלפי המתלונן וירה לעברו ללא כל חמלה בעודו עומד בפתח ביתו של דודו. הקלות שבה שלף הנאשם אקדח וירה בדם קר במתלונן, תחילה בעודו צמוד אליו ובהמשך עוד שתי יריות ממרחק קצר ביותר, אינה נתפסת. הנאשם לא חס על המתלונן גם לאחר שפגע ברגלו בירייה הראשונה, אלא המשיך וירה בו עוד שתי יריות מטווח קצר, שפגעו בו, בעודו שכוב על הקרקע. </w:t>
      </w:r>
    </w:p>
    <w:p w14:paraId="058D9CAB"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24C01182" w14:textId="77777777" w:rsidR="00E23AA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ab/>
        <w:t xml:space="preserve">בעקבות מעשי הנאשם נגרמו למתלונן חבלות חמורות שחייבו את אשפוזו משך עשרה ימים במהלכם עבר טיפולים רפואיים שונים ושתי רגליו הושמו בסד גבס. המתלונן שוחרר ביום 2.5.2022 אלא שעשרה ימים לאחר מכן הוא אושפז בשנית בעקבות החמרה במצבו והוא נזקק לניתוח ואשפוז ממושך. בכתב האישום שהוגש ביום 23.5.2023 נאמר כי נכון למועד הגשת כתב האישום המתלונן עדיין מאושפז ומטופל בבית החולים. אוסיף כי גם מהתרשמות בלתי אמצעית מהמתלונן במהלך עדותו בפניי, יכולתי להתרשם מהצליעה בהליכתו. אין ספק כי מדובר בפגיעה משמעותית שהסבה למתלונן, בחור צעיר בראשית חייו, סבל רב ואפשר והיא תלווה אותו כל ימיו. </w:t>
      </w:r>
    </w:p>
    <w:p w14:paraId="776C6358"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142C0CE0"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24.</w:t>
      </w:r>
      <w:r w:rsidRPr="00785A6C">
        <w:rPr>
          <w:rFonts w:ascii="David" w:eastAsia="Calibri" w:hAnsi="David" w:hint="cs"/>
          <w:rtl/>
        </w:rPr>
        <w:tab/>
        <w:t>בית המשפט העליון חזר באין ספור הזדמנויות, בייחוד בשנים האחרונות, על כך שחומרתן היתרה של העבירות בנשק, מחייבת החמרה בענישה, בין היתר בשים לב לנזק האדיר שהן מסבות לחברה ונוכח העובדה שהן הפכו ל "מכת מדינה". החמרה זו מתחייבת ביתר שאת בעת האחרונה, שעה שעברייני הנשק משתוללים ברחובות הערים והישובים, זורעים פורענות ומטילים חתתם על אזורים שלמים בהם התושבים חיים תחת חרדה קיומית יומיומית לשלומם וביטחונם. ב</w:t>
      </w:r>
      <w:hyperlink r:id="rId44" w:history="1">
        <w:r w:rsidR="00B31F4C" w:rsidRPr="00B31F4C">
          <w:rPr>
            <w:rFonts w:ascii="David" w:eastAsia="Calibri" w:hAnsi="David"/>
            <w:color w:val="0000FF"/>
            <w:u w:val="single"/>
            <w:rtl/>
          </w:rPr>
          <w:t>ע"פ 4456/21</w:t>
        </w:r>
      </w:hyperlink>
      <w:r w:rsidRPr="00785A6C">
        <w:rPr>
          <w:rFonts w:ascii="David" w:eastAsia="Calibri" w:hAnsi="David" w:hint="cs"/>
          <w:rtl/>
        </w:rPr>
        <w:t xml:space="preserve"> </w:t>
      </w:r>
      <w:r w:rsidRPr="00785A6C">
        <w:rPr>
          <w:rFonts w:ascii="David" w:eastAsia="Calibri" w:hAnsi="David" w:hint="cs"/>
          <w:b/>
          <w:bCs/>
          <w:rtl/>
        </w:rPr>
        <w:t>מדינת ישראל נ' אבו עבסה</w:t>
      </w:r>
      <w:r w:rsidRPr="00785A6C">
        <w:rPr>
          <w:rFonts w:ascii="David" w:eastAsia="Calibri" w:hAnsi="David" w:hint="cs"/>
          <w:rtl/>
        </w:rPr>
        <w:t>, (23.1.2022), נקבע כי:</w:t>
      </w:r>
    </w:p>
    <w:p w14:paraId="78F6A20C"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28B39ACD" w14:textId="77777777" w:rsidR="00E23AAC" w:rsidRPr="00785A6C" w:rsidRDefault="00E23AAC" w:rsidP="00E23AAC">
      <w:pPr>
        <w:tabs>
          <w:tab w:val="left" w:pos="567"/>
          <w:tab w:val="left" w:pos="1134"/>
          <w:tab w:val="left" w:pos="1701"/>
        </w:tabs>
        <w:spacing w:line="360" w:lineRule="auto"/>
        <w:ind w:left="1418" w:right="1418" w:hanging="567"/>
        <w:jc w:val="both"/>
        <w:rPr>
          <w:rFonts w:ascii="David" w:eastAsia="Calibri" w:hAnsi="David"/>
          <w:rtl/>
        </w:rPr>
      </w:pPr>
      <w:r w:rsidRPr="00785A6C">
        <w:rPr>
          <w:rFonts w:ascii="David" w:eastAsia="Calibri" w:hAnsi="David" w:hint="cs"/>
          <w:rtl/>
        </w:rPr>
        <w:tab/>
      </w:r>
      <w:r w:rsidRPr="00785A6C">
        <w:rPr>
          <w:rFonts w:ascii="David" w:eastAsia="Calibri" w:hAnsi="David" w:hint="cs"/>
          <w:rtl/>
        </w:rPr>
        <w:tab/>
        <w:t xml:space="preserve">"רבות דובר ונכתב על השימוש הנרחב שנעשה בחברה בישראל בכלל ובמגזר הערבי בפרט, בנשק בלתי חוקי. חדשות לבקרים אנו עדים לתוצאותיו ההרסניות בדמות גרימת נזקים בגוף ובנפש לאזרחים תמימים, ופגיעה ממשית בביטחונם האישי וברווחתם. לא פעם עמד בית משפט זה על הצורך בענישה מרתיעה ומחמירה על מנת למגר תופעה זו, וכפי שקבעתי במקרה אחר: </w:t>
      </w:r>
      <w:r w:rsidR="00B31F4C">
        <w:rPr>
          <w:rFonts w:ascii="David" w:eastAsia="Calibri" w:hAnsi="David" w:hint="cs"/>
          <w:rtl/>
        </w:rPr>
        <w:t xml:space="preserve"> </w:t>
      </w:r>
      <w:r w:rsidRPr="00785A6C">
        <w:rPr>
          <w:rFonts w:ascii="David" w:eastAsia="Calibri" w:hAnsi="David" w:hint="cs"/>
          <w:rtl/>
        </w:rPr>
        <w:t xml:space="preserve"> </w:t>
      </w:r>
      <w:r w:rsidR="00B31F4C">
        <w:rPr>
          <w:rFonts w:ascii="David" w:eastAsia="Calibri" w:hAnsi="David" w:hint="cs"/>
          <w:rtl/>
        </w:rPr>
        <w:t xml:space="preserve"> </w:t>
      </w:r>
    </w:p>
    <w:p w14:paraId="0D466871" w14:textId="77777777" w:rsidR="00E23AAC" w:rsidRPr="00785A6C" w:rsidRDefault="00E23AAC" w:rsidP="00E23AAC">
      <w:pPr>
        <w:tabs>
          <w:tab w:val="left" w:pos="567"/>
          <w:tab w:val="left" w:pos="1134"/>
          <w:tab w:val="left" w:pos="1701"/>
        </w:tabs>
        <w:spacing w:line="360" w:lineRule="auto"/>
        <w:ind w:left="1418" w:right="1418" w:hanging="567"/>
        <w:jc w:val="both"/>
        <w:rPr>
          <w:rFonts w:ascii="David" w:eastAsia="Calibri" w:hAnsi="David"/>
          <w:rtl/>
        </w:rPr>
      </w:pPr>
    </w:p>
    <w:p w14:paraId="612172D8" w14:textId="77777777" w:rsidR="00E23AAC" w:rsidRPr="00785A6C" w:rsidRDefault="00E23AAC" w:rsidP="00E23AAC">
      <w:pPr>
        <w:tabs>
          <w:tab w:val="left" w:pos="567"/>
          <w:tab w:val="left" w:pos="1134"/>
          <w:tab w:val="left" w:pos="1701"/>
        </w:tabs>
        <w:spacing w:line="360" w:lineRule="auto"/>
        <w:ind w:left="1418" w:right="1418" w:hanging="567"/>
        <w:jc w:val="both"/>
        <w:rPr>
          <w:rFonts w:ascii="David" w:eastAsia="Calibri" w:hAnsi="David"/>
          <w:rtl/>
        </w:rPr>
      </w:pPr>
      <w:r w:rsidRPr="00785A6C">
        <w:rPr>
          <w:rFonts w:ascii="David" w:eastAsia="Calibri" w:hAnsi="David" w:hint="cs"/>
          <w:rtl/>
        </w:rPr>
        <w:tab/>
      </w:r>
      <w:r w:rsidRPr="00785A6C">
        <w:rPr>
          <w:rFonts w:ascii="David" w:eastAsia="Calibri" w:hAnsi="David" w:hint="cs"/>
          <w:rtl/>
        </w:rPr>
        <w:tab/>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מעורבים 28</w:t>
      </w:r>
      <w:r w:rsidRPr="00785A6C">
        <w:rPr>
          <w:rFonts w:ascii="David" w:eastAsia="Calibri" w:hAnsi="David" w:hint="cs"/>
        </w:rPr>
        <w:t xml:space="preserve"> </w:t>
      </w:r>
      <w:r w:rsidRPr="00785A6C">
        <w:rPr>
          <w:rFonts w:ascii="David" w:eastAsia="Calibri" w:hAnsi="David"/>
        </w:rPr>
        <w:t>(2018)</w:t>
      </w:r>
      <w:r w:rsidRPr="00785A6C">
        <w:rPr>
          <w:rFonts w:ascii="David" w:eastAsia="Calibri" w:hAnsi="David" w:hint="cs"/>
          <w:rtl/>
        </w:rPr>
        <w:t xml:space="preserve">). על רקע המציאות אותה אנו חווים למרבה הצער מדי יום, אנו עדים לקריאה ציבורית נרגשת להגברת האכיפה כלפי עבירות נשק – ולהחמרה במדיניות הענישה הנוהגת. </w:t>
      </w:r>
    </w:p>
    <w:p w14:paraId="5B3FA05C" w14:textId="77777777" w:rsidR="00E23AAC" w:rsidRPr="00785A6C" w:rsidRDefault="00E23AAC" w:rsidP="00E23AAC">
      <w:pPr>
        <w:tabs>
          <w:tab w:val="left" w:pos="567"/>
          <w:tab w:val="left" w:pos="1134"/>
          <w:tab w:val="left" w:pos="1701"/>
        </w:tabs>
        <w:spacing w:line="360" w:lineRule="auto"/>
        <w:ind w:left="1418" w:right="1418" w:hanging="567"/>
        <w:jc w:val="both"/>
        <w:rPr>
          <w:rFonts w:ascii="David" w:eastAsia="Calibri" w:hAnsi="David"/>
          <w:rtl/>
        </w:rPr>
      </w:pPr>
    </w:p>
    <w:p w14:paraId="32F7C5BC" w14:textId="77777777" w:rsidR="00E23AAC" w:rsidRPr="00785A6C" w:rsidRDefault="00E23AAC" w:rsidP="00E23AAC">
      <w:pPr>
        <w:tabs>
          <w:tab w:val="left" w:pos="567"/>
          <w:tab w:val="left" w:pos="1134"/>
          <w:tab w:val="left" w:pos="1701"/>
        </w:tabs>
        <w:spacing w:line="360" w:lineRule="auto"/>
        <w:ind w:left="1418" w:right="1418" w:hanging="567"/>
        <w:jc w:val="both"/>
        <w:rPr>
          <w:rFonts w:ascii="David" w:eastAsia="Calibri" w:hAnsi="David"/>
          <w:rtl/>
        </w:rPr>
      </w:pPr>
      <w:r w:rsidRPr="00785A6C">
        <w:rPr>
          <w:rFonts w:ascii="David" w:eastAsia="Calibri" w:hAnsi="David" w:hint="cs"/>
          <w:rtl/>
        </w:rPr>
        <w:tab/>
      </w:r>
      <w:r w:rsidRPr="00785A6C">
        <w:rPr>
          <w:rFonts w:ascii="David" w:eastAsia="Calibri" w:hAnsi="David" w:hint="cs"/>
          <w:rtl/>
        </w:rPr>
        <w:tab/>
        <w:t xml:space="preserve">[...] </w:t>
      </w:r>
    </w:p>
    <w:p w14:paraId="66698EBE" w14:textId="77777777" w:rsidR="00E23AAC" w:rsidRPr="00785A6C" w:rsidRDefault="00E23AAC" w:rsidP="00E23AAC">
      <w:pPr>
        <w:tabs>
          <w:tab w:val="left" w:pos="567"/>
          <w:tab w:val="left" w:pos="1134"/>
          <w:tab w:val="left" w:pos="1701"/>
        </w:tabs>
        <w:spacing w:line="360" w:lineRule="auto"/>
        <w:ind w:left="1418" w:right="1418" w:hanging="567"/>
        <w:jc w:val="both"/>
        <w:rPr>
          <w:rFonts w:ascii="David" w:eastAsia="Calibri" w:hAnsi="David"/>
          <w:rtl/>
        </w:rPr>
      </w:pPr>
    </w:p>
    <w:p w14:paraId="7A95F9DE" w14:textId="77777777" w:rsidR="00E23AAC" w:rsidRPr="00785A6C" w:rsidRDefault="00E23AAC" w:rsidP="00E23AAC">
      <w:pPr>
        <w:tabs>
          <w:tab w:val="left" w:pos="567"/>
          <w:tab w:val="left" w:pos="1134"/>
          <w:tab w:val="left" w:pos="1701"/>
        </w:tabs>
        <w:spacing w:line="360" w:lineRule="auto"/>
        <w:ind w:left="1418" w:right="1418" w:hanging="567"/>
        <w:jc w:val="both"/>
        <w:rPr>
          <w:rFonts w:ascii="David" w:eastAsia="Calibri" w:hAnsi="David"/>
          <w:rtl/>
        </w:rPr>
      </w:pPr>
      <w:r w:rsidRPr="00785A6C">
        <w:rPr>
          <w:rFonts w:ascii="David" w:eastAsia="Calibri" w:hAnsi="David" w:hint="cs"/>
          <w:rtl/>
        </w:rPr>
        <w:tab/>
      </w:r>
      <w:r w:rsidRPr="00785A6C">
        <w:rPr>
          <w:rFonts w:ascii="David" w:eastAsia="Calibri" w:hAnsi="David" w:hint="cs"/>
          <w:rtl/>
        </w:rPr>
        <w:tab/>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 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עוינים ובכללם גורמי טרור. נמצא אפוא כי בנסיבות דהיום, ראוי ונכון להחמיר את מדיניות הענישה הנוהגת, זאת בין היתר על מנת להרתיע עבריינים פוטנציאליים משימוש בו כאמצעי ליישוב סכסוכים" (</w:t>
      </w:r>
      <w:hyperlink r:id="rId45" w:history="1">
        <w:r w:rsidR="00B31F4C" w:rsidRPr="00B31F4C">
          <w:rPr>
            <w:rFonts w:ascii="David" w:eastAsia="Calibri" w:hAnsi="David"/>
            <w:color w:val="0000FF"/>
            <w:u w:val="single"/>
            <w:rtl/>
          </w:rPr>
          <w:t>ע"פ 4406/19</w:t>
        </w:r>
      </w:hyperlink>
      <w:r w:rsidRPr="00785A6C">
        <w:rPr>
          <w:rFonts w:ascii="David" w:eastAsia="Calibri" w:hAnsi="David" w:hint="cs"/>
          <w:rtl/>
        </w:rPr>
        <w:t xml:space="preserve"> מדינת ישראל נ' סובח, פסקאות 17-16 [פורסם בנבו] (5.11.2019)); ראו גם: </w:t>
      </w:r>
      <w:hyperlink r:id="rId46" w:history="1">
        <w:r w:rsidR="00B31F4C" w:rsidRPr="00B31F4C">
          <w:rPr>
            <w:rFonts w:ascii="David" w:eastAsia="Calibri" w:hAnsi="David"/>
            <w:color w:val="0000FF"/>
            <w:u w:val="single"/>
            <w:rtl/>
          </w:rPr>
          <w:t>ע"פ 5993/21</w:t>
        </w:r>
      </w:hyperlink>
      <w:r w:rsidRPr="00785A6C">
        <w:rPr>
          <w:rFonts w:ascii="David" w:eastAsia="Calibri" w:hAnsi="David" w:hint="cs"/>
          <w:rtl/>
        </w:rPr>
        <w:t xml:space="preserve"> אבו סאלח נ' מדינת ישראל, פסקה 12 [פורסם בנבו] (29.11.2021); </w:t>
      </w:r>
      <w:hyperlink r:id="rId47" w:history="1">
        <w:r w:rsidR="00B31F4C" w:rsidRPr="00B31F4C">
          <w:rPr>
            <w:rFonts w:ascii="David" w:eastAsia="Calibri" w:hAnsi="David"/>
            <w:color w:val="0000FF"/>
            <w:u w:val="single"/>
            <w:rtl/>
          </w:rPr>
          <w:t>ע"פ 3793/20</w:t>
        </w:r>
      </w:hyperlink>
      <w:r w:rsidRPr="00785A6C">
        <w:rPr>
          <w:rFonts w:ascii="David" w:eastAsia="Calibri" w:hAnsi="David" w:hint="cs"/>
          <w:rtl/>
        </w:rPr>
        <w:t xml:space="preserve"> מורייחי נ' מדינת ישראל, פסקה 6 [פורסם בנבו] (23.11.2020); רע"פ 7344/18מג'יד נ' מדינת ישראל, פסקה 10 [פורסם בנבו]</w:t>
      </w:r>
      <w:r w:rsidRPr="00785A6C">
        <w:rPr>
          <w:rFonts w:ascii="David" w:eastAsia="Calibri" w:hAnsi="David" w:hint="cs"/>
        </w:rPr>
        <w:t xml:space="preserve"> </w:t>
      </w:r>
      <w:r w:rsidRPr="00785A6C">
        <w:rPr>
          <w:rFonts w:ascii="David" w:eastAsia="Calibri" w:hAnsi="David"/>
        </w:rPr>
        <w:t>((21.10.2018)</w:t>
      </w:r>
      <w:r w:rsidRPr="00785A6C">
        <w:rPr>
          <w:rFonts w:ascii="David" w:eastAsia="Calibri" w:hAnsi="David" w:hint="cs"/>
          <w:rtl/>
        </w:rPr>
        <w:t>.</w:t>
      </w:r>
    </w:p>
    <w:p w14:paraId="669FBA99" w14:textId="77777777" w:rsidR="00E23AAC" w:rsidRPr="00785A6C" w:rsidRDefault="00E23AAC" w:rsidP="00E23AAC">
      <w:pPr>
        <w:tabs>
          <w:tab w:val="left" w:pos="567"/>
          <w:tab w:val="left" w:pos="1134"/>
          <w:tab w:val="left" w:pos="1701"/>
        </w:tabs>
        <w:spacing w:line="360" w:lineRule="auto"/>
        <w:ind w:left="1418" w:right="1418" w:hanging="567"/>
        <w:jc w:val="both"/>
        <w:rPr>
          <w:rFonts w:ascii="David" w:eastAsia="Calibri" w:hAnsi="David"/>
          <w:rtl/>
        </w:rPr>
      </w:pPr>
      <w:r w:rsidRPr="00785A6C">
        <w:rPr>
          <w:rFonts w:ascii="David" w:eastAsia="Calibri" w:hAnsi="David"/>
        </w:rPr>
        <w:t xml:space="preserve"> </w:t>
      </w:r>
      <w:r w:rsidR="00B31F4C">
        <w:rPr>
          <w:rFonts w:ascii="David" w:eastAsia="Calibri" w:hAnsi="David"/>
        </w:rPr>
        <w:t xml:space="preserve">       </w:t>
      </w:r>
    </w:p>
    <w:p w14:paraId="18C670A7" w14:textId="77777777" w:rsidR="00E23AAC" w:rsidRPr="00785A6C" w:rsidRDefault="00E23AAC" w:rsidP="00E23AAC">
      <w:pPr>
        <w:tabs>
          <w:tab w:val="left" w:pos="567"/>
          <w:tab w:val="left" w:pos="1134"/>
          <w:tab w:val="left" w:pos="1701"/>
        </w:tabs>
        <w:spacing w:line="360" w:lineRule="auto"/>
        <w:ind w:left="1418" w:right="1418" w:hanging="567"/>
        <w:jc w:val="both"/>
        <w:rPr>
          <w:rFonts w:ascii="David" w:eastAsia="Calibri" w:hAnsi="David"/>
          <w:rtl/>
        </w:rPr>
      </w:pPr>
      <w:r w:rsidRPr="00785A6C">
        <w:rPr>
          <w:rFonts w:ascii="David" w:eastAsia="Calibri" w:hAnsi="David" w:hint="cs"/>
          <w:rtl/>
        </w:rPr>
        <w:tab/>
      </w:r>
      <w:r w:rsidRPr="00785A6C">
        <w:rPr>
          <w:rFonts w:ascii="David" w:eastAsia="Calibri" w:hAnsi="David" w:hint="cs"/>
          <w:rtl/>
        </w:rPr>
        <w:tab/>
        <w:t>בהתאם לזאת, וכחלק מתפקידו של בית המשפט בביעורן של תופעות קשות אלו, קיימת חשיבות של ממש להטלת ענישה הולמת ומרתיעה על כל חוליות השרשרת העבריינית – החל מיצרני או מבריחי הנשק הבלתי חוקי, דרך הסוחרים בו, ועד לאלו הנוטלים אותו לידם ועושים בו שימוש בלתי חוקי</w:t>
      </w:r>
      <w:r w:rsidRPr="00785A6C">
        <w:rPr>
          <w:rFonts w:ascii="David" w:eastAsia="Calibri" w:hAnsi="David"/>
        </w:rPr>
        <w:t>."</w:t>
      </w:r>
      <w:r w:rsidRPr="00785A6C">
        <w:rPr>
          <w:rFonts w:ascii="David" w:eastAsia="Calibri" w:hAnsi="David"/>
          <w:rtl/>
        </w:rPr>
        <w:t xml:space="preserve"> </w:t>
      </w:r>
    </w:p>
    <w:p w14:paraId="0FDC6DD2" w14:textId="77777777" w:rsidR="00E23AAC" w:rsidRPr="00785A6C" w:rsidRDefault="00E23AAC" w:rsidP="00E23AAC">
      <w:pPr>
        <w:tabs>
          <w:tab w:val="left" w:pos="567"/>
          <w:tab w:val="left" w:pos="1134"/>
          <w:tab w:val="left" w:pos="1701"/>
        </w:tabs>
        <w:spacing w:line="360" w:lineRule="auto"/>
        <w:jc w:val="both"/>
        <w:rPr>
          <w:rFonts w:ascii="David" w:eastAsia="Calibri" w:hAnsi="David"/>
        </w:rPr>
      </w:pPr>
    </w:p>
    <w:p w14:paraId="166DB8C7" w14:textId="77777777" w:rsidR="00E23AAC" w:rsidRPr="00785A6C" w:rsidRDefault="00E23AAC" w:rsidP="00E23AAC">
      <w:pPr>
        <w:tabs>
          <w:tab w:val="left" w:pos="567"/>
          <w:tab w:val="left" w:pos="1134"/>
          <w:tab w:val="left" w:pos="1701"/>
        </w:tabs>
        <w:spacing w:line="360" w:lineRule="auto"/>
        <w:ind w:left="567" w:hanging="567"/>
        <w:jc w:val="both"/>
        <w:rPr>
          <w:rFonts w:ascii="Calibri" w:eastAsia="Calibri" w:hAnsi="Calibri"/>
          <w:rtl/>
        </w:rPr>
      </w:pPr>
      <w:r w:rsidRPr="00785A6C">
        <w:rPr>
          <w:rFonts w:ascii="Calibri" w:eastAsia="Calibri" w:hAnsi="Calibri" w:hint="cs"/>
          <w:rtl/>
        </w:rPr>
        <w:tab/>
        <w:t xml:space="preserve">עוד ראו והשוו: </w:t>
      </w:r>
      <w:hyperlink r:id="rId48" w:history="1">
        <w:r w:rsidR="00B31F4C" w:rsidRPr="00B31F4C">
          <w:rPr>
            <w:rFonts w:ascii="Calibri" w:eastAsia="Calibri" w:hAnsi="Calibri" w:hint="cs"/>
            <w:color w:val="0000FF"/>
            <w:u w:val="single"/>
            <w:rtl/>
          </w:rPr>
          <w:t>ע</w:t>
        </w:r>
        <w:r w:rsidR="00B31F4C" w:rsidRPr="00B31F4C">
          <w:rPr>
            <w:rFonts w:ascii="Calibri" w:eastAsia="Calibri" w:hAnsi="Calibri"/>
            <w:color w:val="0000FF"/>
            <w:u w:val="single"/>
            <w:rtl/>
          </w:rPr>
          <w:t>"</w:t>
        </w:r>
        <w:r w:rsidR="00B31F4C" w:rsidRPr="00B31F4C">
          <w:rPr>
            <w:rFonts w:ascii="Calibri" w:eastAsia="Calibri" w:hAnsi="Calibri" w:hint="cs"/>
            <w:color w:val="0000FF"/>
            <w:u w:val="single"/>
            <w:rtl/>
          </w:rPr>
          <w:t>פ</w:t>
        </w:r>
        <w:r w:rsidR="00B31F4C" w:rsidRPr="00B31F4C">
          <w:rPr>
            <w:rFonts w:ascii="Calibri" w:eastAsia="Calibri" w:hAnsi="Calibri"/>
            <w:color w:val="0000FF"/>
            <w:u w:val="single"/>
            <w:rtl/>
          </w:rPr>
          <w:t xml:space="preserve"> 3169/21</w:t>
        </w:r>
      </w:hyperlink>
      <w:r w:rsidRPr="00785A6C">
        <w:rPr>
          <w:rFonts w:ascii="Calibri" w:eastAsia="Calibri" w:hAnsi="Calibri" w:hint="cs"/>
          <w:rtl/>
        </w:rPr>
        <w:t xml:space="preserve"> </w:t>
      </w:r>
      <w:r w:rsidRPr="00785A6C">
        <w:rPr>
          <w:rFonts w:ascii="Calibri" w:eastAsia="Calibri" w:hAnsi="Calibri" w:hint="cs"/>
          <w:b/>
          <w:bCs/>
          <w:rtl/>
        </w:rPr>
        <w:t xml:space="preserve">מדינת ישראל נ' אגבאריה </w:t>
      </w:r>
      <w:r w:rsidRPr="00785A6C">
        <w:rPr>
          <w:rFonts w:ascii="Calibri" w:eastAsia="Calibri" w:hAnsi="Calibri" w:hint="cs"/>
          <w:rtl/>
        </w:rPr>
        <w:t xml:space="preserve">(21.6.2021); </w:t>
      </w:r>
      <w:hyperlink r:id="rId49" w:history="1">
        <w:r w:rsidR="00B31F4C" w:rsidRPr="00B31F4C">
          <w:rPr>
            <w:rFonts w:ascii="Calibri" w:eastAsia="Calibri" w:hAnsi="Calibri" w:hint="cs"/>
            <w:color w:val="0000FF"/>
            <w:u w:val="single"/>
            <w:rtl/>
          </w:rPr>
          <w:t>ע</w:t>
        </w:r>
        <w:r w:rsidR="00B31F4C" w:rsidRPr="00B31F4C">
          <w:rPr>
            <w:rFonts w:ascii="Calibri" w:eastAsia="Calibri" w:hAnsi="Calibri"/>
            <w:color w:val="0000FF"/>
            <w:u w:val="single"/>
            <w:rtl/>
          </w:rPr>
          <w:t>"</w:t>
        </w:r>
        <w:r w:rsidR="00B31F4C" w:rsidRPr="00B31F4C">
          <w:rPr>
            <w:rFonts w:ascii="Calibri" w:eastAsia="Calibri" w:hAnsi="Calibri" w:hint="cs"/>
            <w:color w:val="0000FF"/>
            <w:u w:val="single"/>
            <w:rtl/>
          </w:rPr>
          <w:t>פ</w:t>
        </w:r>
        <w:r w:rsidR="00B31F4C" w:rsidRPr="00B31F4C">
          <w:rPr>
            <w:rFonts w:ascii="Calibri" w:eastAsia="Calibri" w:hAnsi="Calibri"/>
            <w:color w:val="0000FF"/>
            <w:u w:val="single"/>
            <w:rtl/>
          </w:rPr>
          <w:t xml:space="preserve"> 7473/20</w:t>
        </w:r>
      </w:hyperlink>
      <w:r w:rsidRPr="00785A6C">
        <w:rPr>
          <w:rFonts w:ascii="Calibri" w:eastAsia="Calibri" w:hAnsi="Calibri" w:hint="cs"/>
          <w:rtl/>
        </w:rPr>
        <w:t xml:space="preserve"> </w:t>
      </w:r>
      <w:r w:rsidRPr="00785A6C">
        <w:rPr>
          <w:rFonts w:ascii="Calibri" w:eastAsia="Calibri" w:hAnsi="Calibri" w:hint="cs"/>
          <w:b/>
          <w:bCs/>
          <w:rtl/>
        </w:rPr>
        <w:t xml:space="preserve">מדינת ישראל נ' מחאמיד </w:t>
      </w:r>
      <w:r w:rsidRPr="00785A6C">
        <w:rPr>
          <w:rFonts w:ascii="Calibri" w:eastAsia="Calibri" w:hAnsi="Calibri" w:hint="cs"/>
          <w:rtl/>
        </w:rPr>
        <w:t xml:space="preserve">(29.6.21); </w:t>
      </w:r>
      <w:hyperlink r:id="rId50" w:history="1">
        <w:r w:rsidR="00B31F4C" w:rsidRPr="00B31F4C">
          <w:rPr>
            <w:rFonts w:ascii="Calibri" w:eastAsia="Calibri" w:hAnsi="Calibri" w:hint="cs"/>
            <w:color w:val="0000FF"/>
            <w:u w:val="single"/>
            <w:rtl/>
          </w:rPr>
          <w:t>ע</w:t>
        </w:r>
        <w:r w:rsidR="00B31F4C" w:rsidRPr="00B31F4C">
          <w:rPr>
            <w:rFonts w:ascii="Calibri" w:eastAsia="Calibri" w:hAnsi="Calibri"/>
            <w:color w:val="0000FF"/>
            <w:u w:val="single"/>
            <w:rtl/>
          </w:rPr>
          <w:t>"</w:t>
        </w:r>
        <w:r w:rsidR="00B31F4C" w:rsidRPr="00B31F4C">
          <w:rPr>
            <w:rFonts w:ascii="Calibri" w:eastAsia="Calibri" w:hAnsi="Calibri" w:hint="cs"/>
            <w:color w:val="0000FF"/>
            <w:u w:val="single"/>
            <w:rtl/>
          </w:rPr>
          <w:t>פ</w:t>
        </w:r>
        <w:r w:rsidR="00B31F4C" w:rsidRPr="00B31F4C">
          <w:rPr>
            <w:rFonts w:ascii="Calibri" w:eastAsia="Calibri" w:hAnsi="Calibri"/>
            <w:color w:val="0000FF"/>
            <w:u w:val="single"/>
            <w:rtl/>
          </w:rPr>
          <w:t xml:space="preserve"> 135/17</w:t>
        </w:r>
      </w:hyperlink>
      <w:r w:rsidRPr="00785A6C">
        <w:rPr>
          <w:rFonts w:ascii="Calibri" w:eastAsia="Calibri" w:hAnsi="Calibri" w:hint="cs"/>
          <w:rtl/>
        </w:rPr>
        <w:t xml:space="preserve"> </w:t>
      </w:r>
      <w:r w:rsidRPr="00785A6C">
        <w:rPr>
          <w:rFonts w:ascii="Calibri" w:eastAsia="Calibri" w:hAnsi="Calibri" w:hint="cs"/>
          <w:b/>
          <w:bCs/>
          <w:rtl/>
        </w:rPr>
        <w:t>מדינת ישראל נ' בסל</w:t>
      </w:r>
      <w:r w:rsidRPr="00785A6C">
        <w:rPr>
          <w:rFonts w:ascii="Calibri" w:eastAsia="Calibri" w:hAnsi="Calibri" w:hint="cs"/>
          <w:rtl/>
        </w:rPr>
        <w:t xml:space="preserve"> (08.03.17); </w:t>
      </w:r>
      <w:hyperlink r:id="rId51" w:history="1">
        <w:r w:rsidR="00B31F4C" w:rsidRPr="00B31F4C">
          <w:rPr>
            <w:rFonts w:ascii="Calibri" w:eastAsia="Calibri" w:hAnsi="Calibri" w:hint="cs"/>
            <w:color w:val="0000FF"/>
            <w:u w:val="single"/>
            <w:rtl/>
          </w:rPr>
          <w:t>רע</w:t>
        </w:r>
        <w:r w:rsidR="00B31F4C" w:rsidRPr="00B31F4C">
          <w:rPr>
            <w:rFonts w:ascii="Calibri" w:eastAsia="Calibri" w:hAnsi="Calibri"/>
            <w:color w:val="0000FF"/>
            <w:u w:val="single"/>
            <w:rtl/>
          </w:rPr>
          <w:t>"</w:t>
        </w:r>
        <w:r w:rsidR="00B31F4C" w:rsidRPr="00B31F4C">
          <w:rPr>
            <w:rFonts w:ascii="Calibri" w:eastAsia="Calibri" w:hAnsi="Calibri" w:hint="cs"/>
            <w:color w:val="0000FF"/>
            <w:u w:val="single"/>
            <w:rtl/>
          </w:rPr>
          <w:t>פ</w:t>
        </w:r>
        <w:r w:rsidR="00B31F4C" w:rsidRPr="00B31F4C">
          <w:rPr>
            <w:rFonts w:ascii="Calibri" w:eastAsia="Calibri" w:hAnsi="Calibri"/>
            <w:color w:val="0000FF"/>
            <w:u w:val="single"/>
            <w:rtl/>
          </w:rPr>
          <w:t xml:space="preserve"> 4079/21</w:t>
        </w:r>
      </w:hyperlink>
      <w:r w:rsidRPr="00785A6C">
        <w:rPr>
          <w:rFonts w:ascii="Calibri" w:eastAsia="Calibri" w:hAnsi="Calibri" w:hint="cs"/>
          <w:rtl/>
        </w:rPr>
        <w:t xml:space="preserve"> </w:t>
      </w:r>
      <w:r w:rsidRPr="00785A6C">
        <w:rPr>
          <w:rFonts w:ascii="Calibri" w:eastAsia="Calibri" w:hAnsi="Calibri" w:hint="cs"/>
          <w:b/>
          <w:bCs/>
          <w:rtl/>
        </w:rPr>
        <w:t>פלוני נ' מדינת ישראל</w:t>
      </w:r>
      <w:r w:rsidRPr="00785A6C">
        <w:rPr>
          <w:rFonts w:ascii="Calibri" w:eastAsia="Calibri" w:hAnsi="Calibri" w:hint="cs"/>
          <w:rtl/>
        </w:rPr>
        <w:t xml:space="preserve"> (20.6.21); </w:t>
      </w:r>
      <w:hyperlink r:id="rId52" w:history="1">
        <w:r w:rsidR="00B31F4C" w:rsidRPr="00B31F4C">
          <w:rPr>
            <w:rFonts w:ascii="Calibri" w:eastAsia="Calibri" w:hAnsi="Calibri" w:hint="cs"/>
            <w:color w:val="0000FF"/>
            <w:u w:val="single"/>
            <w:rtl/>
          </w:rPr>
          <w:t>ע</w:t>
        </w:r>
        <w:r w:rsidR="00B31F4C" w:rsidRPr="00B31F4C">
          <w:rPr>
            <w:rFonts w:ascii="Calibri" w:eastAsia="Calibri" w:hAnsi="Calibri"/>
            <w:color w:val="0000FF"/>
            <w:u w:val="single"/>
            <w:rtl/>
          </w:rPr>
          <w:t>"</w:t>
        </w:r>
        <w:r w:rsidR="00B31F4C" w:rsidRPr="00B31F4C">
          <w:rPr>
            <w:rFonts w:ascii="Calibri" w:eastAsia="Calibri" w:hAnsi="Calibri" w:hint="cs"/>
            <w:color w:val="0000FF"/>
            <w:u w:val="single"/>
            <w:rtl/>
          </w:rPr>
          <w:t>פ</w:t>
        </w:r>
        <w:r w:rsidR="00B31F4C" w:rsidRPr="00B31F4C">
          <w:rPr>
            <w:rFonts w:ascii="Calibri" w:eastAsia="Calibri" w:hAnsi="Calibri"/>
            <w:color w:val="0000FF"/>
            <w:u w:val="single"/>
            <w:rtl/>
          </w:rPr>
          <w:t xml:space="preserve"> 6277/20</w:t>
        </w:r>
      </w:hyperlink>
      <w:r w:rsidRPr="00785A6C">
        <w:rPr>
          <w:rFonts w:ascii="Calibri" w:eastAsia="Calibri" w:hAnsi="Calibri" w:hint="cs"/>
          <w:rtl/>
        </w:rPr>
        <w:t xml:space="preserve"> </w:t>
      </w:r>
      <w:r w:rsidRPr="00785A6C">
        <w:rPr>
          <w:rFonts w:ascii="Calibri" w:eastAsia="Calibri" w:hAnsi="Calibri" w:hint="cs"/>
          <w:b/>
          <w:bCs/>
          <w:rtl/>
        </w:rPr>
        <w:t>היילי נ' מדינת ישראל</w:t>
      </w:r>
      <w:r w:rsidRPr="00785A6C">
        <w:rPr>
          <w:rFonts w:ascii="Calibri" w:eastAsia="Calibri" w:hAnsi="Calibri" w:hint="cs"/>
          <w:rtl/>
        </w:rPr>
        <w:t xml:space="preserve"> (24.3.21); </w:t>
      </w:r>
      <w:hyperlink r:id="rId53" w:history="1">
        <w:r w:rsidR="00B31F4C" w:rsidRPr="00B31F4C">
          <w:rPr>
            <w:rFonts w:ascii="Calibri" w:eastAsia="Calibri" w:hAnsi="Calibri" w:hint="cs"/>
            <w:color w:val="0000FF"/>
            <w:u w:val="single"/>
            <w:rtl/>
          </w:rPr>
          <w:t>ע</w:t>
        </w:r>
        <w:r w:rsidR="00B31F4C" w:rsidRPr="00B31F4C">
          <w:rPr>
            <w:rFonts w:ascii="Calibri" w:eastAsia="Calibri" w:hAnsi="Calibri"/>
            <w:color w:val="0000FF"/>
            <w:u w:val="single"/>
            <w:rtl/>
          </w:rPr>
          <w:t>"</w:t>
        </w:r>
        <w:r w:rsidR="00B31F4C" w:rsidRPr="00B31F4C">
          <w:rPr>
            <w:rFonts w:ascii="Calibri" w:eastAsia="Calibri" w:hAnsi="Calibri" w:hint="cs"/>
            <w:color w:val="0000FF"/>
            <w:u w:val="single"/>
            <w:rtl/>
          </w:rPr>
          <w:t>פ</w:t>
        </w:r>
        <w:r w:rsidR="00B31F4C" w:rsidRPr="00B31F4C">
          <w:rPr>
            <w:rFonts w:ascii="Calibri" w:eastAsia="Calibri" w:hAnsi="Calibri"/>
            <w:color w:val="0000FF"/>
            <w:u w:val="single"/>
            <w:rtl/>
          </w:rPr>
          <w:t xml:space="preserve"> 147/21</w:t>
        </w:r>
      </w:hyperlink>
      <w:r w:rsidRPr="00785A6C">
        <w:rPr>
          <w:rFonts w:ascii="Calibri" w:eastAsia="Calibri" w:hAnsi="Calibri" w:hint="cs"/>
          <w:rtl/>
        </w:rPr>
        <w:t xml:space="preserve"> </w:t>
      </w:r>
      <w:r w:rsidRPr="00785A6C">
        <w:rPr>
          <w:rFonts w:ascii="Calibri" w:eastAsia="Calibri" w:hAnsi="Calibri" w:hint="cs"/>
          <w:b/>
          <w:bCs/>
          <w:rtl/>
        </w:rPr>
        <w:t>מדינת ישראל נ' ביטון</w:t>
      </w:r>
      <w:r w:rsidRPr="00785A6C">
        <w:rPr>
          <w:rFonts w:ascii="Calibri" w:eastAsia="Calibri" w:hAnsi="Calibri" w:hint="cs"/>
          <w:rtl/>
        </w:rPr>
        <w:t xml:space="preserve"> (14.2.21); </w:t>
      </w:r>
      <w:hyperlink r:id="rId54" w:history="1">
        <w:r w:rsidR="00B31F4C" w:rsidRPr="00B31F4C">
          <w:rPr>
            <w:rFonts w:ascii="Calibri" w:eastAsia="Calibri" w:hAnsi="Calibri" w:hint="cs"/>
            <w:color w:val="0000FF"/>
            <w:u w:val="single"/>
            <w:rtl/>
          </w:rPr>
          <w:t>ע</w:t>
        </w:r>
        <w:r w:rsidR="00B31F4C" w:rsidRPr="00B31F4C">
          <w:rPr>
            <w:rFonts w:ascii="Calibri" w:eastAsia="Calibri" w:hAnsi="Calibri"/>
            <w:color w:val="0000FF"/>
            <w:u w:val="single"/>
            <w:rtl/>
          </w:rPr>
          <w:t>"</w:t>
        </w:r>
        <w:r w:rsidR="00B31F4C" w:rsidRPr="00B31F4C">
          <w:rPr>
            <w:rFonts w:ascii="Calibri" w:eastAsia="Calibri" w:hAnsi="Calibri" w:hint="cs"/>
            <w:color w:val="0000FF"/>
            <w:u w:val="single"/>
            <w:rtl/>
          </w:rPr>
          <w:t>פ</w:t>
        </w:r>
        <w:r w:rsidR="00B31F4C" w:rsidRPr="00B31F4C">
          <w:rPr>
            <w:rFonts w:ascii="Calibri" w:eastAsia="Calibri" w:hAnsi="Calibri"/>
            <w:color w:val="0000FF"/>
            <w:u w:val="single"/>
            <w:rtl/>
          </w:rPr>
          <w:t xml:space="preserve"> 2564/19</w:t>
        </w:r>
      </w:hyperlink>
      <w:r w:rsidRPr="00785A6C">
        <w:rPr>
          <w:rFonts w:ascii="Calibri" w:eastAsia="Calibri" w:hAnsi="Calibri" w:hint="cs"/>
          <w:rtl/>
        </w:rPr>
        <w:t xml:space="preserve"> </w:t>
      </w:r>
      <w:r w:rsidRPr="00785A6C">
        <w:rPr>
          <w:rFonts w:ascii="Calibri" w:eastAsia="Calibri" w:hAnsi="Calibri" w:hint="cs"/>
          <w:b/>
          <w:bCs/>
          <w:rtl/>
        </w:rPr>
        <w:t>אזברגה נ' מדינת ישראל</w:t>
      </w:r>
      <w:r w:rsidRPr="00785A6C">
        <w:rPr>
          <w:rFonts w:ascii="Calibri" w:eastAsia="Calibri" w:hAnsi="Calibri" w:hint="cs"/>
          <w:rtl/>
        </w:rPr>
        <w:t xml:space="preserve"> (18.7.19); </w:t>
      </w:r>
      <w:hyperlink r:id="rId55" w:history="1">
        <w:r w:rsidR="00B31F4C" w:rsidRPr="00B31F4C">
          <w:rPr>
            <w:rFonts w:ascii="David" w:eastAsia="Calibri" w:hAnsi="David"/>
            <w:color w:val="0000FF"/>
            <w:u w:val="single"/>
            <w:rtl/>
          </w:rPr>
          <w:t>ע"פ 5807/20</w:t>
        </w:r>
      </w:hyperlink>
      <w:r w:rsidRPr="00785A6C">
        <w:rPr>
          <w:rFonts w:ascii="David" w:eastAsia="Calibri" w:hAnsi="David" w:hint="cs"/>
          <w:rtl/>
        </w:rPr>
        <w:t xml:space="preserve"> </w:t>
      </w:r>
      <w:r w:rsidRPr="00785A6C">
        <w:rPr>
          <w:rFonts w:ascii="David" w:eastAsia="Calibri" w:hAnsi="David" w:hint="cs"/>
          <w:b/>
          <w:bCs/>
          <w:rtl/>
        </w:rPr>
        <w:t>שיבלי נ' מדינת ישראל</w:t>
      </w:r>
      <w:r w:rsidRPr="00785A6C">
        <w:rPr>
          <w:rFonts w:ascii="David" w:eastAsia="Calibri" w:hAnsi="David" w:hint="cs"/>
          <w:rtl/>
        </w:rPr>
        <w:t xml:space="preserve"> (30.12.20); </w:t>
      </w:r>
      <w:hyperlink r:id="rId56" w:history="1">
        <w:r w:rsidR="00B31F4C" w:rsidRPr="00B31F4C">
          <w:rPr>
            <w:rFonts w:ascii="David" w:eastAsia="Calibri" w:hAnsi="David"/>
            <w:color w:val="0000FF"/>
            <w:u w:val="single"/>
            <w:rtl/>
          </w:rPr>
          <w:t>ע"פ 1944/20</w:t>
        </w:r>
      </w:hyperlink>
      <w:r w:rsidRPr="00785A6C">
        <w:rPr>
          <w:rFonts w:ascii="David" w:eastAsia="Calibri" w:hAnsi="David" w:hint="cs"/>
          <w:rtl/>
        </w:rPr>
        <w:t xml:space="preserve"> </w:t>
      </w:r>
      <w:r w:rsidRPr="00785A6C">
        <w:rPr>
          <w:rFonts w:ascii="David" w:eastAsia="Calibri" w:hAnsi="David" w:hint="cs"/>
          <w:b/>
          <w:bCs/>
          <w:rtl/>
        </w:rPr>
        <w:t>מדינת ישראל נ' אמארה</w:t>
      </w:r>
      <w:r w:rsidRPr="00785A6C">
        <w:rPr>
          <w:rFonts w:ascii="David" w:eastAsia="Calibri" w:hAnsi="David" w:hint="cs"/>
          <w:rtl/>
        </w:rPr>
        <w:t xml:space="preserve"> (2.9.20);</w:t>
      </w:r>
      <w:r w:rsidRPr="00785A6C">
        <w:rPr>
          <w:rFonts w:ascii="Calibri" w:eastAsia="Calibri" w:hAnsi="Calibri" w:hint="cs"/>
          <w:rtl/>
        </w:rPr>
        <w:t xml:space="preserve"> </w:t>
      </w:r>
      <w:hyperlink r:id="rId57" w:history="1">
        <w:r w:rsidR="00B31F4C" w:rsidRPr="00B31F4C">
          <w:rPr>
            <w:rFonts w:ascii="Calibri" w:eastAsia="Calibri" w:hAnsi="Calibri" w:hint="cs"/>
            <w:color w:val="0000FF"/>
            <w:u w:val="single"/>
            <w:rtl/>
          </w:rPr>
          <w:t>רע</w:t>
        </w:r>
        <w:r w:rsidR="00B31F4C" w:rsidRPr="00B31F4C">
          <w:rPr>
            <w:rFonts w:ascii="Calibri" w:eastAsia="Calibri" w:hAnsi="Calibri"/>
            <w:color w:val="0000FF"/>
            <w:u w:val="single"/>
            <w:rtl/>
          </w:rPr>
          <w:t>"</w:t>
        </w:r>
        <w:r w:rsidR="00B31F4C" w:rsidRPr="00B31F4C">
          <w:rPr>
            <w:rFonts w:ascii="Calibri" w:eastAsia="Calibri" w:hAnsi="Calibri" w:hint="cs"/>
            <w:color w:val="0000FF"/>
            <w:u w:val="single"/>
            <w:rtl/>
          </w:rPr>
          <w:t>פ</w:t>
        </w:r>
        <w:r w:rsidR="00B31F4C" w:rsidRPr="00B31F4C">
          <w:rPr>
            <w:rFonts w:ascii="Calibri" w:eastAsia="Calibri" w:hAnsi="Calibri"/>
            <w:color w:val="0000FF"/>
            <w:u w:val="single"/>
            <w:rtl/>
          </w:rPr>
          <w:t xml:space="preserve"> 3619/21</w:t>
        </w:r>
      </w:hyperlink>
      <w:r w:rsidRPr="00785A6C">
        <w:rPr>
          <w:rFonts w:ascii="Calibri" w:eastAsia="Calibri" w:hAnsi="Calibri" w:hint="cs"/>
          <w:rtl/>
        </w:rPr>
        <w:t xml:space="preserve"> </w:t>
      </w:r>
      <w:r w:rsidRPr="00785A6C">
        <w:rPr>
          <w:rFonts w:ascii="Calibri" w:eastAsia="Calibri" w:hAnsi="Calibri" w:hint="cs"/>
          <w:b/>
          <w:bCs/>
          <w:rtl/>
        </w:rPr>
        <w:t>אבו הלאל ואח' נ' מדינת ישראל</w:t>
      </w:r>
      <w:r w:rsidRPr="00785A6C">
        <w:rPr>
          <w:rFonts w:ascii="Calibri" w:eastAsia="Calibri" w:hAnsi="Calibri" w:hint="cs"/>
          <w:rtl/>
        </w:rPr>
        <w:t xml:space="preserve"> (26.5.21); </w:t>
      </w:r>
      <w:hyperlink r:id="rId58" w:history="1">
        <w:r w:rsidR="00B31F4C" w:rsidRPr="00B31F4C">
          <w:rPr>
            <w:rFonts w:ascii="Calibri" w:eastAsia="Calibri" w:hAnsi="Calibri" w:hint="cs"/>
            <w:color w:val="0000FF"/>
            <w:u w:val="single"/>
            <w:rtl/>
          </w:rPr>
          <w:t>ע</w:t>
        </w:r>
        <w:r w:rsidR="00B31F4C" w:rsidRPr="00B31F4C">
          <w:rPr>
            <w:rFonts w:ascii="Calibri" w:eastAsia="Calibri" w:hAnsi="Calibri"/>
            <w:color w:val="0000FF"/>
            <w:u w:val="single"/>
            <w:rtl/>
          </w:rPr>
          <w:t>"</w:t>
        </w:r>
        <w:r w:rsidR="00B31F4C" w:rsidRPr="00B31F4C">
          <w:rPr>
            <w:rFonts w:ascii="Calibri" w:eastAsia="Calibri" w:hAnsi="Calibri" w:hint="cs"/>
            <w:color w:val="0000FF"/>
            <w:u w:val="single"/>
            <w:rtl/>
          </w:rPr>
          <w:t>פ</w:t>
        </w:r>
        <w:r w:rsidR="00B31F4C" w:rsidRPr="00B31F4C">
          <w:rPr>
            <w:rFonts w:ascii="Calibri" w:eastAsia="Calibri" w:hAnsi="Calibri"/>
            <w:color w:val="0000FF"/>
            <w:u w:val="single"/>
            <w:rtl/>
          </w:rPr>
          <w:t xml:space="preserve"> 5522/20</w:t>
        </w:r>
      </w:hyperlink>
      <w:r w:rsidRPr="00785A6C">
        <w:rPr>
          <w:rFonts w:ascii="Calibri" w:eastAsia="Calibri" w:hAnsi="Calibri" w:hint="cs"/>
          <w:rtl/>
        </w:rPr>
        <w:t xml:space="preserve"> </w:t>
      </w:r>
      <w:r w:rsidRPr="00785A6C">
        <w:rPr>
          <w:rFonts w:ascii="Calibri" w:eastAsia="Calibri" w:hAnsi="Calibri" w:hint="cs"/>
          <w:b/>
          <w:bCs/>
          <w:rtl/>
        </w:rPr>
        <w:t>חלייחל נ' מדינת ישראל</w:t>
      </w:r>
      <w:r w:rsidRPr="00785A6C">
        <w:rPr>
          <w:rFonts w:ascii="Calibri" w:eastAsia="Calibri" w:hAnsi="Calibri" w:hint="cs"/>
          <w:rtl/>
        </w:rPr>
        <w:t xml:space="preserve"> (24.02.2021).</w:t>
      </w:r>
    </w:p>
    <w:p w14:paraId="0A567992" w14:textId="77777777" w:rsidR="00E23AAC" w:rsidRPr="00785A6C" w:rsidRDefault="00E23AAC" w:rsidP="00E23AAC">
      <w:pPr>
        <w:tabs>
          <w:tab w:val="left" w:pos="567"/>
          <w:tab w:val="left" w:pos="1134"/>
          <w:tab w:val="left" w:pos="1701"/>
        </w:tabs>
        <w:spacing w:line="360" w:lineRule="auto"/>
        <w:ind w:left="567" w:hanging="567"/>
        <w:jc w:val="both"/>
        <w:rPr>
          <w:rFonts w:ascii="Calibri" w:eastAsia="Calibri" w:hAnsi="Calibri"/>
          <w:rtl/>
        </w:rPr>
      </w:pPr>
    </w:p>
    <w:p w14:paraId="32829042"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Calibri" w:eastAsia="Calibri" w:hAnsi="Calibri" w:hint="cs"/>
          <w:rtl/>
        </w:rPr>
        <w:t>25.</w:t>
      </w:r>
      <w:r w:rsidRPr="00785A6C">
        <w:rPr>
          <w:rFonts w:ascii="Calibri" w:eastAsia="Calibri" w:hAnsi="Calibri" w:hint="cs"/>
          <w:rtl/>
        </w:rPr>
        <w:tab/>
        <w:t>נוכח מימדי העבירות בנשק וחומרתן הרבה, נרתם גם המחוקק לביצוע תיקוני חקיקה בניסיון למגר, ולמצער, לבלום את התפשטות התופעה של ירי חם בלתי חוקי. כך הוכנס עוד בשנת 2018 תיקון ל</w:t>
      </w:r>
      <w:hyperlink r:id="rId59" w:history="1">
        <w:r w:rsidR="00B31F4C" w:rsidRPr="00B31F4C">
          <w:rPr>
            <w:rFonts w:ascii="Calibri" w:eastAsia="Calibri" w:hAnsi="Calibri" w:hint="cs"/>
            <w:color w:val="0000FF"/>
            <w:u w:val="single"/>
            <w:rtl/>
          </w:rPr>
          <w:t>חוק</w:t>
        </w:r>
        <w:r w:rsidR="00B31F4C" w:rsidRPr="00B31F4C">
          <w:rPr>
            <w:rFonts w:ascii="Calibri" w:eastAsia="Calibri" w:hAnsi="Calibri"/>
            <w:color w:val="0000FF"/>
            <w:u w:val="single"/>
            <w:rtl/>
          </w:rPr>
          <w:t xml:space="preserve"> </w:t>
        </w:r>
        <w:r w:rsidR="00B31F4C" w:rsidRPr="00B31F4C">
          <w:rPr>
            <w:rFonts w:ascii="Calibri" w:eastAsia="Calibri" w:hAnsi="Calibri" w:hint="cs"/>
            <w:color w:val="0000FF"/>
            <w:u w:val="single"/>
            <w:rtl/>
          </w:rPr>
          <w:t>העונשין</w:t>
        </w:r>
      </w:hyperlink>
      <w:r w:rsidRPr="00785A6C">
        <w:rPr>
          <w:rFonts w:ascii="Calibri" w:eastAsia="Calibri" w:hAnsi="Calibri" w:hint="cs"/>
          <w:rtl/>
        </w:rPr>
        <w:t xml:space="preserve"> אשר </w:t>
      </w:r>
      <w:r w:rsidRPr="00785A6C">
        <w:rPr>
          <w:rFonts w:ascii="David" w:eastAsia="Calibri" w:hAnsi="David" w:hint="cs"/>
          <w:rtl/>
        </w:rPr>
        <w:t xml:space="preserve">החמיר את העונש הקבוע בצדה של עבירת הירי באזור מגורים (תיקון 132 (ירי מנשק חם), תשע"ח-2018). הרקע לתיקון החוק, כפי שניתן ללמוד מדברי ההסבר להצעת החוק, הוא הרצון ליתן ביטוי עונשי לחומרה הגלומה במעשי ירי שלא כדין המסכן חיי אדם. </w:t>
      </w:r>
    </w:p>
    <w:p w14:paraId="55E512FC"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501633AC"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ab/>
        <w:t>ביום 8.12.2021 נכנס לתוקפו תיקון נוסף ל</w:t>
      </w:r>
      <w:hyperlink r:id="rId60" w:history="1">
        <w:r w:rsidR="00B31F4C" w:rsidRPr="00B31F4C">
          <w:rPr>
            <w:rFonts w:ascii="David" w:eastAsia="Calibri" w:hAnsi="David"/>
            <w:color w:val="0000FF"/>
            <w:u w:val="single"/>
            <w:rtl/>
          </w:rPr>
          <w:t>חוק העונשין</w:t>
        </w:r>
      </w:hyperlink>
      <w:r w:rsidRPr="00785A6C">
        <w:rPr>
          <w:rFonts w:ascii="David" w:eastAsia="Calibri" w:hAnsi="David" w:hint="cs"/>
          <w:rtl/>
        </w:rPr>
        <w:t xml:space="preserve"> שנועד להחמיר בענישה המוטלת, אגב קביעת עונשי מינימום לעבירות בנשק, ובכללן רכישה, החזקה, נשיאה והובלה. נקבע, בין היתר, כי בתקופה של שלוש שנים מיום פרסום התיקון, לא יפחת עונשו של מי שהורשע בעבירות המנויות </w:t>
      </w:r>
      <w:hyperlink r:id="rId61" w:history="1">
        <w:r w:rsidR="009F3DD2" w:rsidRPr="009F3DD2">
          <w:rPr>
            <w:rStyle w:val="Hyperlink"/>
            <w:rFonts w:ascii="David" w:eastAsia="Calibri" w:hAnsi="David" w:hint="eastAsia"/>
            <w:rtl/>
          </w:rPr>
          <w:t>בסעיף</w:t>
        </w:r>
        <w:r w:rsidR="009F3DD2" w:rsidRPr="009F3DD2">
          <w:rPr>
            <w:rStyle w:val="Hyperlink"/>
            <w:rFonts w:ascii="David" w:eastAsia="Calibri" w:hAnsi="David"/>
            <w:rtl/>
          </w:rPr>
          <w:t xml:space="preserve"> 144</w:t>
        </w:r>
      </w:hyperlink>
      <w:r w:rsidRPr="00785A6C">
        <w:rPr>
          <w:rFonts w:ascii="David" w:eastAsia="Calibri" w:hAnsi="David" w:hint="cs"/>
          <w:rtl/>
        </w:rPr>
        <w:t xml:space="preserve"> ל</w:t>
      </w:r>
      <w:hyperlink r:id="rId62" w:history="1">
        <w:r w:rsidR="00B31F4C" w:rsidRPr="00B31F4C">
          <w:rPr>
            <w:rFonts w:ascii="David" w:eastAsia="Calibri" w:hAnsi="David"/>
            <w:color w:val="0000FF"/>
            <w:u w:val="single"/>
            <w:rtl/>
          </w:rPr>
          <w:t>חוק העונשין</w:t>
        </w:r>
      </w:hyperlink>
      <w:r w:rsidRPr="00785A6C">
        <w:rPr>
          <w:rFonts w:ascii="David" w:eastAsia="Calibri" w:hAnsi="David" w:hint="cs"/>
          <w:rtl/>
        </w:rPr>
        <w:t xml:space="preserve"> מרבע העונש המרבי שנקבע לאותה עבירה, אלא אם כן יחליט בית המשפט, מטעמים מיוחדים שיירשמו, להקל בעונש. עוד נקבע כי עונש מאסר לפי אותו סעיף לא יהא כולו על תנאי, בהיעדר טעמים מיוחדים.</w:t>
      </w:r>
    </w:p>
    <w:p w14:paraId="7EC93D6C"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094666AD"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ab/>
        <w:t>ביום 30.3.2023 פורסם חוק המאבק בכלי הנשק הבלתי חוקיים (תיקון חקיקה והוראות שעה), התשפ"ג-2023, אשר נועד גם הוא להיאבק בתפוצת כלי הנשק הבלתי חוקיים המשמשים ארגוני פשיעה ופשיעה חמורה, בדרך של מתן כלים למשטרת ישראל וליתר רשויות אכיפת החוק להתמודד עם התופעה. החוק קבע, בין היתר, הבחנה בין חלקי נשק מהותיים לכאלה שאינם מהותיים, כאשר העונש על רכישה, נשיאה או הובלה של חלק מהותי בנשק הוחמר מ-3 ל-5 שנות מאסר, ואילו כשמדובר בחלק של נשק שאינו מהותי, נותר העונש על כנו, קרי 3 שנות מאסר.</w:t>
      </w:r>
    </w:p>
    <w:p w14:paraId="6CDDB9DC"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113023E9"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26.</w:t>
      </w:r>
      <w:r w:rsidRPr="00785A6C">
        <w:rPr>
          <w:rFonts w:ascii="David" w:eastAsia="Calibri" w:hAnsi="David" w:hint="cs"/>
          <w:rtl/>
        </w:rPr>
        <w:tab/>
        <w:t>לצד עבירת החבלה החמורה בנסיבות מחמירות, הורשע הנאשם גם בעבירה של החזקה, נשיאה והובלה של נשק, שחומרתה עומדת בפני עצמה ומחייבת גם היא ענישה הולמת ומחמירה. עמד על כך בית המשפט ב</w:t>
      </w:r>
      <w:hyperlink r:id="rId63" w:history="1">
        <w:r w:rsidR="00B31F4C" w:rsidRPr="00B31F4C">
          <w:rPr>
            <w:rFonts w:ascii="David" w:eastAsia="Calibri" w:hAnsi="David"/>
            <w:color w:val="0000FF"/>
            <w:u w:val="single"/>
            <w:rtl/>
          </w:rPr>
          <w:t>ע"פ 4406/19</w:t>
        </w:r>
      </w:hyperlink>
      <w:r w:rsidRPr="00785A6C">
        <w:rPr>
          <w:rFonts w:ascii="David" w:eastAsia="Calibri" w:hAnsi="David" w:hint="cs"/>
          <w:rtl/>
        </w:rPr>
        <w:t xml:space="preserve"> </w:t>
      </w:r>
      <w:r w:rsidRPr="00785A6C">
        <w:rPr>
          <w:rFonts w:ascii="David" w:eastAsia="Calibri" w:hAnsi="David" w:hint="cs"/>
          <w:b/>
          <w:bCs/>
          <w:rtl/>
        </w:rPr>
        <w:t>מדינת ישראל נ' סובח</w:t>
      </w:r>
      <w:r w:rsidRPr="00785A6C">
        <w:rPr>
          <w:rFonts w:ascii="David" w:eastAsia="Calibri" w:hAnsi="David" w:hint="cs"/>
          <w:rtl/>
        </w:rPr>
        <w:t xml:space="preserve"> (5.11.2019) שם נאמר:</w:t>
      </w:r>
    </w:p>
    <w:p w14:paraId="7EDE6633" w14:textId="77777777" w:rsidR="00E23AAC" w:rsidRPr="00785A6C" w:rsidRDefault="00E23AAC" w:rsidP="00E23AAC">
      <w:pPr>
        <w:tabs>
          <w:tab w:val="left" w:pos="567"/>
          <w:tab w:val="left" w:pos="1134"/>
          <w:tab w:val="left" w:pos="1701"/>
        </w:tabs>
        <w:spacing w:line="360" w:lineRule="auto"/>
        <w:jc w:val="both"/>
        <w:rPr>
          <w:rFonts w:ascii="David" w:eastAsia="Calibri" w:hAnsi="David"/>
          <w:rtl/>
        </w:rPr>
      </w:pPr>
    </w:p>
    <w:p w14:paraId="3503BA73" w14:textId="77777777" w:rsidR="00E23AAC" w:rsidRPr="00785A6C" w:rsidRDefault="00E23AAC" w:rsidP="00E23AAC">
      <w:pPr>
        <w:tabs>
          <w:tab w:val="left" w:pos="567"/>
          <w:tab w:val="left" w:pos="1134"/>
          <w:tab w:val="left" w:pos="1701"/>
        </w:tabs>
        <w:spacing w:line="360" w:lineRule="auto"/>
        <w:ind w:left="1418" w:right="1418"/>
        <w:jc w:val="both"/>
        <w:rPr>
          <w:rFonts w:ascii="David" w:eastAsia="Calibri" w:hAnsi="David"/>
          <w:rtl/>
        </w:rPr>
      </w:pPr>
      <w:r w:rsidRPr="00785A6C">
        <w:rPr>
          <w:rFonts w:ascii="David" w:eastAsia="Calibri" w:hAnsi="David" w:hint="cs"/>
          <w:rtl/>
        </w:rPr>
        <w:t>"התופעה של החזקת נשק שלא כדין על ידי אזרחים מהווה איום על שלום הציבור ועל הסדר הציבורי. היא התשתית ו"הגורם בלעדו איין" (</w:t>
      </w:r>
      <w:r w:rsidRPr="00785A6C">
        <w:rPr>
          <w:rFonts w:ascii="David" w:eastAsia="Calibri" w:hAnsi="David"/>
        </w:rPr>
        <w:t>causa sine qua non</w:t>
      </w:r>
      <w:r w:rsidRPr="00785A6C">
        <w:rPr>
          <w:rFonts w:ascii="David" w:eastAsia="Calibri" w:hAnsi="David" w:hint="cs"/>
          <w:rtl/>
        </w:rPr>
        <w:t xml:space="preserve">)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ולחרפת תוצאותיהן. </w:t>
      </w:r>
    </w:p>
    <w:p w14:paraId="6B14946F" w14:textId="77777777" w:rsidR="00E23AAC" w:rsidRPr="00785A6C" w:rsidRDefault="00B31F4C" w:rsidP="00E23AAC">
      <w:pPr>
        <w:tabs>
          <w:tab w:val="left" w:pos="567"/>
          <w:tab w:val="left" w:pos="1134"/>
          <w:tab w:val="left" w:pos="1701"/>
        </w:tabs>
        <w:spacing w:line="360" w:lineRule="auto"/>
        <w:ind w:left="1418" w:right="1418"/>
        <w:jc w:val="both"/>
        <w:rPr>
          <w:rFonts w:ascii="David" w:eastAsia="Calibri" w:hAnsi="David"/>
        </w:rPr>
      </w:pPr>
      <w:r>
        <w:rPr>
          <w:rFonts w:ascii="David" w:eastAsia="Calibri" w:hAnsi="David" w:hint="cs"/>
          <w:rtl/>
        </w:rPr>
        <w:t xml:space="preserve"> </w:t>
      </w:r>
    </w:p>
    <w:p w14:paraId="0F8F4B2E" w14:textId="77777777" w:rsidR="00E23AAC" w:rsidRPr="00785A6C" w:rsidRDefault="00E23AAC" w:rsidP="00E23AAC">
      <w:pPr>
        <w:tabs>
          <w:tab w:val="left" w:pos="567"/>
          <w:tab w:val="left" w:pos="1134"/>
          <w:tab w:val="left" w:pos="1701"/>
        </w:tabs>
        <w:spacing w:line="360" w:lineRule="auto"/>
        <w:ind w:left="1418" w:right="1418"/>
        <w:jc w:val="both"/>
        <w:rPr>
          <w:rFonts w:ascii="David" w:eastAsia="Calibri" w:hAnsi="David"/>
          <w:rtl/>
        </w:rPr>
      </w:pPr>
      <w:r w:rsidRPr="00785A6C">
        <w:rPr>
          <w:rFonts w:ascii="David" w:eastAsia="Calibri" w:hAnsi="David" w:hint="cs"/>
          <w:rtl/>
        </w:rPr>
        <w:t>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w:t>
      </w:r>
    </w:p>
    <w:p w14:paraId="0743EA13" w14:textId="77777777" w:rsidR="00E23AAC" w:rsidRPr="00785A6C" w:rsidRDefault="00E23AAC" w:rsidP="00E23AAC">
      <w:pPr>
        <w:tabs>
          <w:tab w:val="left" w:pos="567"/>
          <w:tab w:val="left" w:pos="1134"/>
          <w:tab w:val="left" w:pos="1701"/>
        </w:tabs>
        <w:spacing w:line="360" w:lineRule="auto"/>
        <w:ind w:left="1418" w:right="1418"/>
        <w:jc w:val="both"/>
        <w:rPr>
          <w:rFonts w:ascii="David" w:eastAsia="Calibri" w:hAnsi="David"/>
          <w:rtl/>
        </w:rPr>
      </w:pPr>
      <w:r w:rsidRPr="00785A6C">
        <w:rPr>
          <w:rFonts w:ascii="David" w:eastAsia="Calibri" w:hAnsi="David" w:hint="cs"/>
          <w:rtl/>
        </w:rPr>
        <w:t>.....</w:t>
      </w:r>
      <w:r w:rsidR="00B31F4C">
        <w:rPr>
          <w:rFonts w:ascii="David" w:eastAsia="Calibri" w:hAnsi="David" w:hint="cs"/>
          <w:rtl/>
        </w:rPr>
        <w:t xml:space="preserve"> </w:t>
      </w:r>
    </w:p>
    <w:p w14:paraId="53777D85" w14:textId="77777777" w:rsidR="00E23AAC" w:rsidRPr="00785A6C" w:rsidRDefault="00E23AAC" w:rsidP="00E23AAC">
      <w:pPr>
        <w:tabs>
          <w:tab w:val="left" w:pos="567"/>
          <w:tab w:val="left" w:pos="1134"/>
          <w:tab w:val="left" w:pos="1701"/>
        </w:tabs>
        <w:spacing w:line="360" w:lineRule="auto"/>
        <w:ind w:left="1418" w:right="1418"/>
        <w:jc w:val="both"/>
        <w:rPr>
          <w:rFonts w:ascii="David" w:eastAsia="Calibri" w:hAnsi="David"/>
          <w:rtl/>
        </w:rPr>
      </w:pPr>
      <w:r w:rsidRPr="00785A6C">
        <w:rPr>
          <w:rFonts w:ascii="David" w:eastAsia="Calibri" w:hAnsi="David" w:hint="cs"/>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p>
    <w:p w14:paraId="2A172E03"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564CE2A2"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27.</w:t>
      </w:r>
      <w:r w:rsidRPr="00785A6C">
        <w:rPr>
          <w:rFonts w:ascii="David" w:eastAsia="Calibri" w:hAnsi="David" w:hint="cs"/>
          <w:rtl/>
        </w:rPr>
        <w:tab/>
        <w:t xml:space="preserve">עבירת האלימות הנוספת בה הורשע הנאשם, ואשר הופנתה כלפי אמו של המתלונן, אף היא חמורה בנסיבותיה. לאחר שהנאשם ירה במתלונן, אמו של המתלונן יצאה מהבית, ניגשה לעבר הרכב בו ישב הנאשם וניסתה לאחוז בו לבל יעזוב את זירת האירוע. הנאשם נסע לאחור, נצמד לרכב אחר ואמו של המתלונן נפלה על הכביש ואיבדה את הכרתה. בגין מעשים אלה הורשע הנאשם בעבירה של תקיפה הגורמת חבלה של ממש. מעשיו הבריוניים כלפי אמו של המתלונן אינם אלא המשך להתנהלותו האלימה והאכזרית. נראה כי הנאשם היה נחוש להשלים את מזימתו העבריינית ולהימלט מהמקום מיד לאחר מכן, ויהי מה. </w:t>
      </w:r>
    </w:p>
    <w:p w14:paraId="5E9F4DDF"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207B48DE"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28.</w:t>
      </w:r>
      <w:r w:rsidRPr="00785A6C">
        <w:rPr>
          <w:rFonts w:ascii="David" w:eastAsia="Calibri" w:hAnsi="David" w:hint="cs"/>
          <w:rtl/>
        </w:rPr>
        <w:tab/>
        <w:t xml:space="preserve">מעבר לעבירות הנשק והאלימות, הורשע הנאשם גם בעבירות מתחום התעבורה, לרבות נהיגה בזמן פסילה ונהיגה ללא רישיון נהיגה. עבירות אלו חמורות בפני עצמן ומבטאות זלזול מצד הנאשם ברשויות האכיפה והעדר מורא מפני הדין. </w:t>
      </w:r>
    </w:p>
    <w:p w14:paraId="34A732DB"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0D56DCF8"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29.</w:t>
      </w:r>
      <w:r w:rsidRPr="00785A6C">
        <w:rPr>
          <w:rFonts w:ascii="David" w:eastAsia="Calibri" w:hAnsi="David" w:hint="cs"/>
          <w:rtl/>
        </w:rPr>
        <w:tab/>
        <w:t xml:space="preserve">בבחינת הנסיבות הקשורות בביצוע העבירות הבאתי בחשבון בראש ובראשונה את הנזק שנגרם למתלונן. כפי שצוין, כתוצאה ממעשה הירי נגרמו למתלונן שני פצעי ירי בשוק גפה שמאלית ופצע ירי נוסף בשוק גפה ימנית תחתונה ושברים בפיבולה דו"צ מתחת לברכיים. המתלונן הובהל לחדר הלם במיון בית חולים העמק, שם אובחנו השברים ושתי רגליו הושמו בגבס. המתלונן אושפז מיום האירוע 22.4.2022 ועד 2.5.2022. בהמשך, ובשל החמרה במצבו, עקב חום, כאבי שוקיים וזיהום, אושפז המתלונן בשנית וביום 12.5.2022 הוא נותח. בכתב האישום נאמר כי נכון למועד הגשתו ביום 23.5.2023 היה המתלונן עדין מאושפז בבית החולים. </w:t>
      </w:r>
    </w:p>
    <w:p w14:paraId="5867CEAA"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21702EEB"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ab/>
        <w:t xml:space="preserve">לצד הנזק שנגרם בפועל, אין צורך להכביר במלים לגבי פוטנציאל הנזק הטמון במעשיו של הנאשם. הלה בחר לירות במתלונן מטווח קרוב ביותר לא פחות משלוש יריות שפגעו בו. נכון הוא שהירי כוון לפלג גופו התחתון של המתלונן, אך אין לומר כי לא היה בו כדי לסכן את חייו של המתלונן וכבר היו דברים מעולם. </w:t>
      </w:r>
    </w:p>
    <w:p w14:paraId="67C4BB12"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0149893E"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ab/>
        <w:t xml:space="preserve">לא זו אף זו, לאמו של המתלונן נגרמה חבלה ממשית בעקבות מעשיו של הנאשם לאחר שנפלה על הכביש ואיבדה את הכרתה. בחירתו של הנאשם להמשיך בנסיעה בעוד אמו של המתלונן מנסה לאחוז בו על מנת למנוע הימלטותו מהזירה, טומנת בחובה פוטנציאל פגיעה רב מאוד. רק בנס לא הסתיים האירוע בנזק חמור יותר מכפי שאירע בפועל. </w:t>
      </w:r>
    </w:p>
    <w:p w14:paraId="7D22D1FB"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3BDE8ECF"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30.</w:t>
      </w:r>
      <w:r w:rsidRPr="00785A6C">
        <w:rPr>
          <w:rFonts w:ascii="David" w:eastAsia="Calibri" w:hAnsi="David" w:hint="cs"/>
          <w:rtl/>
        </w:rPr>
        <w:tab/>
        <w:t xml:space="preserve">עוד בגדר הנסיבות הקשורות בביצוע עבירות האלימות הבאתי בחשבון את התכנון שקדם להן. לאחר שגילה כי המתלונן שוהה בבית דודו בכפר מועאוויה, הצטייד הנאשם באקדח ובתחמושת והגיע ברכבו לזירת האירוע. הנאשם התקשר למתלונן באמצעות אפליקציית הוואטסאפ ומשלא נענה צפר, שאז יצא המתלונן אל מחוץ לבית. צעדיו והתנהלותו של הנאשם מעידים על תכנון ונחישות לבצע את המעשה העברייני ולא על מעידה אקראית ואבדן שליטה רגעי שהובילו לתגובה האלימה. </w:t>
      </w:r>
    </w:p>
    <w:p w14:paraId="64196D8B"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3E8C5F3D"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31.</w:t>
      </w:r>
      <w:r w:rsidRPr="00785A6C">
        <w:rPr>
          <w:rFonts w:ascii="David" w:eastAsia="Calibri" w:hAnsi="David" w:hint="cs"/>
          <w:rtl/>
        </w:rPr>
        <w:tab/>
      </w:r>
      <w:hyperlink r:id="rId64" w:history="1">
        <w:r w:rsidR="009F3DD2" w:rsidRPr="009F3DD2">
          <w:rPr>
            <w:rStyle w:val="Hyperlink"/>
            <w:rFonts w:ascii="David" w:eastAsia="Calibri" w:hAnsi="David" w:hint="eastAsia"/>
            <w:rtl/>
          </w:rPr>
          <w:t>סעיף</w:t>
        </w:r>
        <w:r w:rsidR="009F3DD2" w:rsidRPr="009F3DD2">
          <w:rPr>
            <w:rStyle w:val="Hyperlink"/>
            <w:rFonts w:ascii="David" w:eastAsia="Calibri" w:hAnsi="David"/>
            <w:rtl/>
          </w:rPr>
          <w:t xml:space="preserve"> 40ט(א)(5)</w:t>
        </w:r>
      </w:hyperlink>
      <w:r w:rsidRPr="00785A6C">
        <w:rPr>
          <w:rFonts w:ascii="David" w:eastAsia="Calibri" w:hAnsi="David" w:hint="cs"/>
          <w:rtl/>
        </w:rPr>
        <w:t xml:space="preserve"> ל</w:t>
      </w:r>
      <w:hyperlink r:id="rId65" w:history="1">
        <w:r w:rsidR="00B31F4C" w:rsidRPr="00B31F4C">
          <w:rPr>
            <w:rFonts w:ascii="David" w:eastAsia="Calibri" w:hAnsi="David"/>
            <w:color w:val="0000FF"/>
            <w:u w:val="single"/>
            <w:rtl/>
          </w:rPr>
          <w:t>חוק העונשין</w:t>
        </w:r>
      </w:hyperlink>
      <w:r w:rsidRPr="00785A6C">
        <w:rPr>
          <w:rFonts w:ascii="David" w:eastAsia="Calibri" w:hAnsi="David" w:hint="cs"/>
          <w:rtl/>
        </w:rPr>
        <w:t xml:space="preserve"> מורה כי בבואו לקבוע את מתחם העונש ההולם, ובמסגרת בחינת הנסיבות הקשורות ביצוע העבירה, יתחשב בית המשפט גם בסיבות שהביאו את הנאשם לבצע את העבירה. בענייננו מדובר כאמור בסכסוך בעניינים של מה בכך על רקע אי תשלום שכרו היומי המלא של המתלונן על ידי הנאשם וכן בשל סירובו של המתלונן למכור לנאשם את מכשיר הטלפון הנייד ששימש אותו והיה בחזקתו. סכסוך זניח זה הוביל את הנאשם לשאת ולהוביל אקדח, עד לפתח בית דודו של המתלונן, לירות לעבר המתלונן ולפגוע בו שלוש פעמים. בהמשך, כאשר ניסתה אמו של המתלונן למנוע את עזיבתו מזירת האירוע, נסע הנאשם לאחור, נצמד לרכב אחר וגרם לנפילתה וחבלתה. הנאשם עשה את מעשיו תוך שהוא נוהג ברכב, בעודו בפסילה, ללא רישיון נהיגה וללא פוליסת ביטוח. התנהלותו העבריינית החמורה אינה עומדת בכל יחס לסכסוך הזניח והתפל שעמד ברקע למעשים. </w:t>
      </w:r>
    </w:p>
    <w:p w14:paraId="2A2E76A9"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538B0085" w14:textId="77777777" w:rsidR="00E23AAC" w:rsidRPr="00785A6C" w:rsidRDefault="00E23AAC" w:rsidP="00E23AAC">
      <w:pPr>
        <w:tabs>
          <w:tab w:val="left" w:pos="567"/>
          <w:tab w:val="left" w:pos="1134"/>
          <w:tab w:val="left" w:pos="1701"/>
        </w:tabs>
        <w:spacing w:line="360" w:lineRule="auto"/>
        <w:ind w:left="567" w:hanging="567"/>
        <w:jc w:val="both"/>
        <w:rPr>
          <w:rFonts w:ascii="Calibri" w:eastAsia="Calibri" w:hAnsi="Calibri"/>
          <w:rtl/>
        </w:rPr>
      </w:pPr>
      <w:r w:rsidRPr="00785A6C">
        <w:rPr>
          <w:rFonts w:ascii="David" w:eastAsia="Calibri" w:hAnsi="David" w:hint="cs"/>
          <w:rtl/>
        </w:rPr>
        <w:t>31.</w:t>
      </w:r>
      <w:r w:rsidRPr="00785A6C">
        <w:rPr>
          <w:rFonts w:ascii="David" w:eastAsia="Calibri" w:hAnsi="David" w:hint="cs"/>
          <w:rtl/>
        </w:rPr>
        <w:tab/>
        <w:t xml:space="preserve">בחינת מדיניות הענישה לגבי העבירה של חבלה חמורה בנסיבות מחמירות מלמדת על קיומו של מנעד רחב של עונשים ומתחמי ענישה, בהתאם לנסיבות ביצוע העבירה ונסיבותיו של המבצע. </w:t>
      </w:r>
      <w:r w:rsidRPr="00785A6C">
        <w:rPr>
          <w:rFonts w:ascii="Calibri" w:eastAsia="Calibri" w:hAnsi="Calibri" w:hint="cs"/>
          <w:rtl/>
        </w:rPr>
        <w:t xml:space="preserve">(ראו: </w:t>
      </w:r>
      <w:hyperlink r:id="rId66" w:history="1">
        <w:r w:rsidR="00B31F4C" w:rsidRPr="00B31F4C">
          <w:rPr>
            <w:rFonts w:ascii="Calibri" w:eastAsia="Calibri" w:hAnsi="Calibri" w:hint="cs"/>
            <w:color w:val="0000FF"/>
            <w:u w:val="single"/>
            <w:rtl/>
          </w:rPr>
          <w:t>ע</w:t>
        </w:r>
        <w:r w:rsidR="00B31F4C" w:rsidRPr="00B31F4C">
          <w:rPr>
            <w:rFonts w:ascii="Calibri" w:eastAsia="Calibri" w:hAnsi="Calibri"/>
            <w:color w:val="0000FF"/>
            <w:u w:val="single"/>
            <w:rtl/>
          </w:rPr>
          <w:t>"</w:t>
        </w:r>
        <w:r w:rsidR="00B31F4C" w:rsidRPr="00B31F4C">
          <w:rPr>
            <w:rFonts w:ascii="Calibri" w:eastAsia="Calibri" w:hAnsi="Calibri" w:hint="cs"/>
            <w:color w:val="0000FF"/>
            <w:u w:val="single"/>
            <w:rtl/>
          </w:rPr>
          <w:t>פ</w:t>
        </w:r>
        <w:r w:rsidR="00B31F4C" w:rsidRPr="00B31F4C">
          <w:rPr>
            <w:rFonts w:ascii="Calibri" w:eastAsia="Calibri" w:hAnsi="Calibri"/>
            <w:color w:val="0000FF"/>
            <w:u w:val="single"/>
            <w:rtl/>
          </w:rPr>
          <w:t xml:space="preserve"> 6310/14</w:t>
        </w:r>
      </w:hyperlink>
      <w:r w:rsidRPr="00785A6C">
        <w:rPr>
          <w:rFonts w:ascii="Calibri" w:eastAsia="Calibri" w:hAnsi="Calibri" w:hint="cs"/>
          <w:rtl/>
        </w:rPr>
        <w:t xml:space="preserve"> </w:t>
      </w:r>
      <w:r w:rsidRPr="00785A6C">
        <w:rPr>
          <w:rFonts w:ascii="Calibri" w:eastAsia="Calibri" w:hAnsi="Calibri" w:hint="cs"/>
          <w:b/>
          <w:bCs/>
          <w:rtl/>
        </w:rPr>
        <w:t>פלוני נ' מדינת ישראל</w:t>
      </w:r>
      <w:r w:rsidRPr="00785A6C">
        <w:rPr>
          <w:rFonts w:ascii="Calibri" w:eastAsia="Calibri" w:hAnsi="Calibri" w:hint="cs"/>
          <w:rtl/>
        </w:rPr>
        <w:t xml:space="preserve"> (16.6.15)</w:t>
      </w:r>
      <w:r w:rsidRPr="00785A6C">
        <w:rPr>
          <w:rFonts w:ascii="Calibri" w:eastAsia="Calibri" w:hAnsi="Calibri" w:hint="cs"/>
          <w:b/>
          <w:bCs/>
          <w:rtl/>
        </w:rPr>
        <w:t xml:space="preserve">; </w:t>
      </w:r>
      <w:hyperlink r:id="rId67" w:history="1">
        <w:r w:rsidR="00B31F4C" w:rsidRPr="00B31F4C">
          <w:rPr>
            <w:rFonts w:ascii="Calibri" w:eastAsia="Calibri" w:hAnsi="Calibri" w:hint="cs"/>
            <w:color w:val="0000FF"/>
            <w:u w:val="single"/>
            <w:rtl/>
          </w:rPr>
          <w:t>ע</w:t>
        </w:r>
        <w:r w:rsidR="00B31F4C" w:rsidRPr="00B31F4C">
          <w:rPr>
            <w:rFonts w:ascii="Calibri" w:eastAsia="Calibri" w:hAnsi="Calibri"/>
            <w:color w:val="0000FF"/>
            <w:u w:val="single"/>
            <w:rtl/>
          </w:rPr>
          <w:t>"</w:t>
        </w:r>
        <w:r w:rsidR="00B31F4C" w:rsidRPr="00B31F4C">
          <w:rPr>
            <w:rFonts w:ascii="Calibri" w:eastAsia="Calibri" w:hAnsi="Calibri" w:hint="cs"/>
            <w:color w:val="0000FF"/>
            <w:u w:val="single"/>
            <w:rtl/>
          </w:rPr>
          <w:t>פ</w:t>
        </w:r>
        <w:r w:rsidR="00B31F4C" w:rsidRPr="00B31F4C">
          <w:rPr>
            <w:rFonts w:ascii="Calibri" w:eastAsia="Calibri" w:hAnsi="Calibri"/>
            <w:color w:val="0000FF"/>
            <w:u w:val="single"/>
            <w:rtl/>
          </w:rPr>
          <w:t xml:space="preserve"> 8597/07</w:t>
        </w:r>
      </w:hyperlink>
      <w:r w:rsidRPr="00785A6C">
        <w:rPr>
          <w:rFonts w:ascii="Calibri" w:eastAsia="Calibri" w:hAnsi="Calibri" w:hint="cs"/>
          <w:rtl/>
        </w:rPr>
        <w:t xml:space="preserve"> </w:t>
      </w:r>
      <w:r w:rsidRPr="00785A6C">
        <w:rPr>
          <w:rFonts w:ascii="Calibri" w:eastAsia="Calibri" w:hAnsi="Calibri" w:hint="cs"/>
          <w:b/>
          <w:bCs/>
          <w:rtl/>
        </w:rPr>
        <w:t>זועבי נ' מדינת ישראל</w:t>
      </w:r>
      <w:r w:rsidRPr="00785A6C">
        <w:rPr>
          <w:rFonts w:ascii="Calibri" w:eastAsia="Calibri" w:hAnsi="Calibri" w:hint="cs"/>
          <w:rtl/>
        </w:rPr>
        <w:t xml:space="preserve"> (15.1.08); </w:t>
      </w:r>
      <w:hyperlink r:id="rId68" w:history="1">
        <w:r w:rsidR="00B31F4C" w:rsidRPr="00B31F4C">
          <w:rPr>
            <w:rFonts w:ascii="Calibri" w:eastAsia="Calibri" w:hAnsi="Calibri" w:hint="cs"/>
            <w:color w:val="0000FF"/>
            <w:u w:val="single"/>
            <w:rtl/>
          </w:rPr>
          <w:t>ע</w:t>
        </w:r>
        <w:r w:rsidR="00B31F4C" w:rsidRPr="00B31F4C">
          <w:rPr>
            <w:rFonts w:ascii="Calibri" w:eastAsia="Calibri" w:hAnsi="Calibri"/>
            <w:color w:val="0000FF"/>
            <w:u w:val="single"/>
            <w:rtl/>
          </w:rPr>
          <w:t>"</w:t>
        </w:r>
        <w:r w:rsidR="00B31F4C" w:rsidRPr="00B31F4C">
          <w:rPr>
            <w:rFonts w:ascii="Calibri" w:eastAsia="Calibri" w:hAnsi="Calibri" w:hint="cs"/>
            <w:color w:val="0000FF"/>
            <w:u w:val="single"/>
            <w:rtl/>
          </w:rPr>
          <w:t>פ</w:t>
        </w:r>
        <w:r w:rsidR="00B31F4C" w:rsidRPr="00B31F4C">
          <w:rPr>
            <w:rFonts w:ascii="Calibri" w:eastAsia="Calibri" w:hAnsi="Calibri"/>
            <w:color w:val="0000FF"/>
            <w:u w:val="single"/>
            <w:rtl/>
          </w:rPr>
          <w:t xml:space="preserve"> 607/07</w:t>
        </w:r>
      </w:hyperlink>
      <w:r w:rsidRPr="00785A6C">
        <w:rPr>
          <w:rFonts w:ascii="Calibri" w:eastAsia="Calibri" w:hAnsi="Calibri" w:hint="cs"/>
          <w:rtl/>
        </w:rPr>
        <w:t xml:space="preserve"> </w:t>
      </w:r>
      <w:r w:rsidRPr="00785A6C">
        <w:rPr>
          <w:rFonts w:ascii="Calibri" w:eastAsia="Calibri" w:hAnsi="Calibri" w:hint="cs"/>
          <w:b/>
          <w:bCs/>
          <w:rtl/>
        </w:rPr>
        <w:t>סאלם נ' מדינת ישראל</w:t>
      </w:r>
      <w:r w:rsidRPr="00785A6C">
        <w:rPr>
          <w:rFonts w:ascii="Calibri" w:eastAsia="Calibri" w:hAnsi="Calibri" w:hint="cs"/>
          <w:rtl/>
        </w:rPr>
        <w:t xml:space="preserve"> (10.5.07)). בע"פ 9580/15 </w:t>
      </w:r>
      <w:r w:rsidRPr="00785A6C">
        <w:rPr>
          <w:rFonts w:ascii="Calibri" w:eastAsia="Calibri" w:hAnsi="Calibri" w:hint="cs"/>
          <w:b/>
          <w:bCs/>
          <w:rtl/>
        </w:rPr>
        <w:t>מדינת ישראל נ' זדה</w:t>
      </w:r>
      <w:r w:rsidRPr="00785A6C">
        <w:rPr>
          <w:rFonts w:ascii="Calibri" w:eastAsia="Calibri" w:hAnsi="Calibri" w:hint="cs"/>
          <w:rtl/>
        </w:rPr>
        <w:t xml:space="preserve"> (23.3.2016) נקבע כי:</w:t>
      </w:r>
    </w:p>
    <w:p w14:paraId="169FC0F7" w14:textId="77777777" w:rsidR="00E23AAC" w:rsidRPr="00785A6C" w:rsidRDefault="00E23AAC" w:rsidP="00E23AAC">
      <w:pPr>
        <w:tabs>
          <w:tab w:val="left" w:pos="567"/>
          <w:tab w:val="left" w:pos="1134"/>
          <w:tab w:val="left" w:pos="1701"/>
        </w:tabs>
        <w:spacing w:line="360" w:lineRule="auto"/>
        <w:ind w:left="567" w:hanging="567"/>
        <w:jc w:val="both"/>
        <w:rPr>
          <w:rFonts w:ascii="Calibri" w:eastAsia="Calibri" w:hAnsi="Calibri"/>
        </w:rPr>
      </w:pPr>
    </w:p>
    <w:p w14:paraId="09BA849F" w14:textId="77777777" w:rsidR="00E23AAC" w:rsidRPr="00785A6C" w:rsidRDefault="00E23AAC" w:rsidP="00E23AAC">
      <w:pPr>
        <w:tabs>
          <w:tab w:val="left" w:pos="567"/>
          <w:tab w:val="left" w:pos="1134"/>
          <w:tab w:val="left" w:pos="1701"/>
        </w:tabs>
        <w:spacing w:line="360" w:lineRule="auto"/>
        <w:ind w:left="1418" w:right="1418"/>
        <w:jc w:val="both"/>
        <w:rPr>
          <w:rFonts w:ascii="Calibri" w:eastAsia="Calibri" w:hAnsi="Calibri"/>
          <w:rtl/>
        </w:rPr>
      </w:pPr>
      <w:r w:rsidRPr="00785A6C">
        <w:rPr>
          <w:rFonts w:ascii="Calibri" w:eastAsia="Calibri" w:hAnsi="Calibri" w:hint="cs"/>
          <w:rtl/>
        </w:rPr>
        <w:t>"מטבע הדברים שאירועי אלימות המגולמים בעבירה של 'חבלה חמורה בנסיבות מחמירות', שהיא העבירה העיקרית בה הורשע המשיב בענייננו, עשויים להתרחש במגוון רחב מאוד של מצבים, נסיבות ביצוע ורמות חומרה. ואכן הפסיקה בתחום זה כוללת מנעד רחב של רמות ענישה, כאשר לצד מקרים של ענישה מקלה הוטלו במקרים אחרים עונשים חמורים של שנות מאסר ארוכות, הכל בהתאם לנסיבות הספציפיות של כל מקרה לגופו... בקביעת מתחם העונש ההולם ובגזירת הדין בגדרו אין די כמובן בהתייחסות לסעיף העבירה בו הורשע הנאשם, אלא העיקר הוא בעובדות ובנסיבות האירועים הספציפיים בגינן הורשע הנאשם (</w:t>
      </w:r>
      <w:hyperlink r:id="rId69" w:history="1">
        <w:r w:rsidR="00B31F4C" w:rsidRPr="00B31F4C">
          <w:rPr>
            <w:rFonts w:ascii="Calibri" w:eastAsia="Calibri" w:hAnsi="Calibri" w:hint="cs"/>
            <w:color w:val="0000FF"/>
            <w:u w:val="single"/>
            <w:rtl/>
          </w:rPr>
          <w:t>ע</w:t>
        </w:r>
        <w:r w:rsidR="00B31F4C" w:rsidRPr="00B31F4C">
          <w:rPr>
            <w:rFonts w:ascii="Calibri" w:eastAsia="Calibri" w:hAnsi="Calibri"/>
            <w:color w:val="0000FF"/>
            <w:u w:val="single"/>
            <w:rtl/>
          </w:rPr>
          <w:t>"</w:t>
        </w:r>
        <w:r w:rsidR="00B31F4C" w:rsidRPr="00B31F4C">
          <w:rPr>
            <w:rFonts w:ascii="Calibri" w:eastAsia="Calibri" w:hAnsi="Calibri" w:hint="cs"/>
            <w:color w:val="0000FF"/>
            <w:u w:val="single"/>
            <w:rtl/>
          </w:rPr>
          <w:t>פ</w:t>
        </w:r>
        <w:r w:rsidR="00B31F4C" w:rsidRPr="00B31F4C">
          <w:rPr>
            <w:rFonts w:ascii="Calibri" w:eastAsia="Calibri" w:hAnsi="Calibri"/>
            <w:color w:val="0000FF"/>
            <w:u w:val="single"/>
            <w:rtl/>
          </w:rPr>
          <w:t xml:space="preserve"> 1997/13</w:t>
        </w:r>
      </w:hyperlink>
      <w:r w:rsidRPr="00785A6C">
        <w:rPr>
          <w:rFonts w:ascii="Calibri" w:eastAsia="Calibri" w:hAnsi="Calibri" w:hint="cs"/>
          <w:rtl/>
        </w:rPr>
        <w:t xml:space="preserve"> </w:t>
      </w:r>
      <w:r w:rsidRPr="00785A6C">
        <w:rPr>
          <w:rFonts w:ascii="Calibri" w:eastAsia="Calibri" w:hAnsi="Calibri" w:hint="cs"/>
          <w:b/>
          <w:bCs/>
          <w:rtl/>
        </w:rPr>
        <w:t>פלוני נ' מדינת ישראל</w:t>
      </w:r>
      <w:r w:rsidRPr="00785A6C">
        <w:rPr>
          <w:rFonts w:ascii="Calibri" w:eastAsia="Calibri" w:hAnsi="Calibri" w:hint="cs"/>
          <w:rtl/>
        </w:rPr>
        <w:t xml:space="preserve"> (29.8.2013))".</w:t>
      </w:r>
    </w:p>
    <w:p w14:paraId="537E86C7" w14:textId="77777777" w:rsidR="00E23AAC" w:rsidRPr="00785A6C" w:rsidRDefault="00E23AAC" w:rsidP="00E23AAC">
      <w:pPr>
        <w:tabs>
          <w:tab w:val="left" w:pos="567"/>
          <w:tab w:val="left" w:pos="1134"/>
          <w:tab w:val="left" w:pos="1701"/>
        </w:tabs>
        <w:spacing w:line="360" w:lineRule="auto"/>
        <w:ind w:left="567" w:hanging="567"/>
        <w:jc w:val="both"/>
        <w:rPr>
          <w:rFonts w:ascii="Calibri" w:eastAsia="Calibri" w:hAnsi="Calibri"/>
        </w:rPr>
      </w:pPr>
    </w:p>
    <w:p w14:paraId="380550EB" w14:textId="77777777" w:rsidR="00E23AAC" w:rsidRPr="00785A6C" w:rsidRDefault="00E23AAC" w:rsidP="00E23AAC">
      <w:pPr>
        <w:tabs>
          <w:tab w:val="left" w:pos="567"/>
          <w:tab w:val="left" w:pos="1134"/>
          <w:tab w:val="left" w:pos="1701"/>
        </w:tabs>
        <w:spacing w:line="360" w:lineRule="auto"/>
        <w:ind w:left="567" w:hanging="567"/>
        <w:jc w:val="both"/>
        <w:rPr>
          <w:rFonts w:ascii="Calibri" w:eastAsia="Calibri" w:hAnsi="Calibri"/>
          <w:rtl/>
        </w:rPr>
      </w:pPr>
      <w:r w:rsidRPr="00785A6C">
        <w:rPr>
          <w:rFonts w:ascii="Calibri" w:eastAsia="Calibri" w:hAnsi="Calibri" w:hint="cs"/>
          <w:rtl/>
        </w:rPr>
        <w:t xml:space="preserve"> </w:t>
      </w:r>
      <w:r w:rsidRPr="00785A6C">
        <w:rPr>
          <w:rFonts w:ascii="Calibri" w:eastAsia="Calibri" w:hAnsi="Calibri" w:hint="cs"/>
          <w:rtl/>
        </w:rPr>
        <w:tab/>
        <w:t>יחד עם זאת, ועל מנת לסבר את האוזן, להלן מספר דוגמאות מהפסיקה בנסיבות הדומות במידת מה לענייננו.</w:t>
      </w:r>
    </w:p>
    <w:p w14:paraId="3EFE0BEE" w14:textId="77777777" w:rsidR="00E23AAC" w:rsidRPr="00785A6C" w:rsidRDefault="00E23AAC" w:rsidP="00E23AAC">
      <w:pPr>
        <w:tabs>
          <w:tab w:val="left" w:pos="567"/>
          <w:tab w:val="left" w:pos="1134"/>
          <w:tab w:val="left" w:pos="1701"/>
        </w:tabs>
        <w:spacing w:line="360" w:lineRule="auto"/>
        <w:ind w:left="567" w:hanging="567"/>
        <w:jc w:val="both"/>
        <w:rPr>
          <w:rFonts w:ascii="Calibri" w:eastAsia="Calibri" w:hAnsi="Calibri"/>
          <w:rtl/>
        </w:rPr>
      </w:pPr>
    </w:p>
    <w:p w14:paraId="331C8B05" w14:textId="77777777" w:rsidR="00E23AAC" w:rsidRDefault="00E23AAC" w:rsidP="00E23AAC">
      <w:pPr>
        <w:tabs>
          <w:tab w:val="left" w:pos="567"/>
          <w:tab w:val="left" w:pos="1134"/>
          <w:tab w:val="left" w:pos="1701"/>
        </w:tabs>
        <w:spacing w:line="360" w:lineRule="auto"/>
        <w:ind w:left="567" w:hanging="567"/>
        <w:jc w:val="both"/>
        <w:rPr>
          <w:rFonts w:ascii="Calibri" w:eastAsia="Calibri" w:hAnsi="Calibri"/>
          <w:rtl/>
        </w:rPr>
      </w:pPr>
      <w:r w:rsidRPr="00785A6C">
        <w:rPr>
          <w:rFonts w:ascii="Calibri" w:eastAsia="Calibri" w:hAnsi="Calibri" w:hint="cs"/>
          <w:rtl/>
        </w:rPr>
        <w:tab/>
        <w:t>ב</w:t>
      </w:r>
      <w:hyperlink r:id="rId70" w:history="1">
        <w:r w:rsidR="00B31F4C" w:rsidRPr="00B31F4C">
          <w:rPr>
            <w:rFonts w:ascii="Calibri" w:eastAsia="Calibri" w:hAnsi="Calibri" w:hint="cs"/>
            <w:color w:val="0000FF"/>
            <w:u w:val="single"/>
            <w:rtl/>
          </w:rPr>
          <w:t>ע</w:t>
        </w:r>
        <w:r w:rsidR="00B31F4C" w:rsidRPr="00B31F4C">
          <w:rPr>
            <w:rFonts w:ascii="Calibri" w:eastAsia="Calibri" w:hAnsi="Calibri"/>
            <w:color w:val="0000FF"/>
            <w:u w:val="single"/>
            <w:rtl/>
          </w:rPr>
          <w:t>"</w:t>
        </w:r>
        <w:r w:rsidR="00B31F4C" w:rsidRPr="00B31F4C">
          <w:rPr>
            <w:rFonts w:ascii="Calibri" w:eastAsia="Calibri" w:hAnsi="Calibri" w:hint="cs"/>
            <w:color w:val="0000FF"/>
            <w:u w:val="single"/>
            <w:rtl/>
          </w:rPr>
          <w:t>פ</w:t>
        </w:r>
        <w:r w:rsidR="00B31F4C" w:rsidRPr="00B31F4C">
          <w:rPr>
            <w:rFonts w:ascii="Calibri" w:eastAsia="Calibri" w:hAnsi="Calibri"/>
            <w:color w:val="0000FF"/>
            <w:u w:val="single"/>
            <w:rtl/>
          </w:rPr>
          <w:t xml:space="preserve"> 4406/19</w:t>
        </w:r>
      </w:hyperlink>
      <w:r w:rsidRPr="00785A6C">
        <w:rPr>
          <w:rFonts w:ascii="Calibri" w:eastAsia="Calibri" w:hAnsi="Calibri" w:hint="cs"/>
          <w:rtl/>
        </w:rPr>
        <w:t xml:space="preserve"> </w:t>
      </w:r>
      <w:r w:rsidRPr="00785A6C">
        <w:rPr>
          <w:rFonts w:ascii="Calibri" w:eastAsia="Calibri" w:hAnsi="Calibri" w:hint="cs"/>
          <w:b/>
          <w:bCs/>
          <w:rtl/>
        </w:rPr>
        <w:t>מדינת ישראל נ' סובח ואח'</w:t>
      </w:r>
      <w:r w:rsidRPr="00785A6C">
        <w:rPr>
          <w:rFonts w:ascii="Calibri" w:eastAsia="Calibri" w:hAnsi="Calibri" w:hint="cs"/>
          <w:rtl/>
        </w:rPr>
        <w:t xml:space="preserve"> (5.11.2019) קיבל בית המשפט העליון את ערעור המדינה על קולת העונשים שהושתו על המשיבים ודחה את ערעורם הנגדי. מדובר במי שהורשעו בביצוע עבירות של חבלה חמורה בנסיבות מחמירות ועבירות בנשק, על רקע סכסוך  בין משפחת המתלוננים למשפחת המשיבים. באותו מקרה ירו המשיבים 1 ו-2 יחד עם אחר לעבר המתלונן, שעמד ליד ביתו, מתוך רכב שבו נסעו ופגעו בבטנו התחתונה. משיב 3 ירה באמצעות אקדח במקום אחר לעבר מתלונן נוסף ופגע בו בירך, ולאחר מכן ירה לעבר אנשים אחרים מבלי שפגע בהם. בית המשפט העליון קיבל את ערעור המדינה על קולת העונש וגזר על המשיב 1 שש שנות מאסר תחת 50 חודשי מאסר שנגזרו על ידי בית המשפט המחוזי, על משיב 2 גזר בית המשפט חמש שנות מאסר תחת 42 חודשי מאסר, ועל משיב 3 נגזרו 3.5 שנות מאסר תחת 24 חודשי מאסר שנגזרו עליו בבית המשפט המחוזי.</w:t>
      </w:r>
    </w:p>
    <w:p w14:paraId="690E0552" w14:textId="77777777" w:rsidR="00E23AAC" w:rsidRPr="00785A6C" w:rsidRDefault="00E23AAC" w:rsidP="00E23AAC">
      <w:pPr>
        <w:tabs>
          <w:tab w:val="left" w:pos="567"/>
          <w:tab w:val="left" w:pos="1134"/>
          <w:tab w:val="left" w:pos="1701"/>
        </w:tabs>
        <w:spacing w:line="360" w:lineRule="auto"/>
        <w:ind w:left="567" w:hanging="567"/>
        <w:jc w:val="both"/>
        <w:rPr>
          <w:rFonts w:ascii="Calibri" w:hAnsi="Calibri"/>
          <w:rtl/>
        </w:rPr>
      </w:pPr>
    </w:p>
    <w:p w14:paraId="59EF1811" w14:textId="77777777" w:rsidR="00E23AAC" w:rsidRPr="00785A6C" w:rsidRDefault="00E23AAC" w:rsidP="00E23AAC">
      <w:pPr>
        <w:tabs>
          <w:tab w:val="left" w:pos="567"/>
          <w:tab w:val="left" w:pos="1134"/>
          <w:tab w:val="left" w:pos="1701"/>
        </w:tabs>
        <w:spacing w:line="360" w:lineRule="auto"/>
        <w:ind w:left="567" w:hanging="567"/>
        <w:jc w:val="both"/>
        <w:rPr>
          <w:rFonts w:ascii="Calibri" w:eastAsia="Calibri" w:hAnsi="Calibri"/>
          <w:rtl/>
        </w:rPr>
      </w:pPr>
      <w:r w:rsidRPr="00785A6C">
        <w:rPr>
          <w:rFonts w:ascii="Calibri" w:eastAsia="Calibri" w:hAnsi="Calibri" w:hint="cs"/>
          <w:rtl/>
        </w:rPr>
        <w:tab/>
        <w:t>ב</w:t>
      </w:r>
      <w:hyperlink r:id="rId71" w:history="1">
        <w:r w:rsidR="00B31F4C" w:rsidRPr="00B31F4C">
          <w:rPr>
            <w:rFonts w:ascii="Calibri" w:eastAsia="Calibri" w:hAnsi="Calibri" w:hint="cs"/>
            <w:color w:val="0000FF"/>
            <w:u w:val="single"/>
            <w:rtl/>
          </w:rPr>
          <w:t>ע</w:t>
        </w:r>
        <w:r w:rsidR="00B31F4C" w:rsidRPr="00B31F4C">
          <w:rPr>
            <w:rFonts w:ascii="Calibri" w:eastAsia="Calibri" w:hAnsi="Calibri"/>
            <w:color w:val="0000FF"/>
            <w:u w:val="single"/>
            <w:rtl/>
          </w:rPr>
          <w:t>"</w:t>
        </w:r>
        <w:r w:rsidR="00B31F4C" w:rsidRPr="00B31F4C">
          <w:rPr>
            <w:rFonts w:ascii="Calibri" w:eastAsia="Calibri" w:hAnsi="Calibri" w:hint="cs"/>
            <w:color w:val="0000FF"/>
            <w:u w:val="single"/>
            <w:rtl/>
          </w:rPr>
          <w:t>פ</w:t>
        </w:r>
        <w:r w:rsidR="00B31F4C" w:rsidRPr="00B31F4C">
          <w:rPr>
            <w:rFonts w:ascii="Calibri" w:eastAsia="Calibri" w:hAnsi="Calibri"/>
            <w:color w:val="0000FF"/>
            <w:u w:val="single"/>
            <w:rtl/>
          </w:rPr>
          <w:t xml:space="preserve"> 1843/19</w:t>
        </w:r>
      </w:hyperlink>
      <w:r w:rsidRPr="00785A6C">
        <w:rPr>
          <w:rFonts w:ascii="Calibri" w:eastAsia="Calibri" w:hAnsi="Calibri" w:hint="cs"/>
          <w:rtl/>
        </w:rPr>
        <w:t xml:space="preserve"> </w:t>
      </w:r>
      <w:r w:rsidRPr="00785A6C">
        <w:rPr>
          <w:rFonts w:ascii="Calibri" w:eastAsia="Calibri" w:hAnsi="Calibri" w:hint="cs"/>
          <w:b/>
          <w:bCs/>
          <w:rtl/>
        </w:rPr>
        <w:t>עמאש נ' מדינת ישראל</w:t>
      </w:r>
      <w:r w:rsidRPr="00785A6C">
        <w:rPr>
          <w:rFonts w:ascii="Calibri" w:eastAsia="Calibri" w:hAnsi="Calibri" w:hint="cs"/>
          <w:rtl/>
        </w:rPr>
        <w:t xml:space="preserve"> (2.10.2019) מדובר במי שהורשע בעבירות של חבלה חמורה בנסיבות מחמירות והחזקה ונשיאה של נשק ונדון על ידי בית המשפט המחוזי לעונש של 4.5 שנות מאסר. באותו מקרה ירה המערער מספר כדורים לעבר אדם איתו היה מסוכסך ופגע בידו של ילד בן 10 שעמד בסמוך. בית המשפט העליון דחה את ערעורו של המערער, הגם שמדובר במי שאין לחובתו עבר פלילי.</w:t>
      </w:r>
    </w:p>
    <w:p w14:paraId="447B38FD" w14:textId="77777777" w:rsidR="00E23AAC" w:rsidRPr="00785A6C" w:rsidRDefault="00E23AAC" w:rsidP="00E23AAC">
      <w:pPr>
        <w:tabs>
          <w:tab w:val="left" w:pos="567"/>
          <w:tab w:val="left" w:pos="1134"/>
          <w:tab w:val="left" w:pos="1701"/>
        </w:tabs>
        <w:spacing w:line="360" w:lineRule="auto"/>
        <w:ind w:left="567" w:hanging="567"/>
        <w:jc w:val="both"/>
        <w:rPr>
          <w:rFonts w:ascii="Calibri" w:eastAsia="Calibri" w:hAnsi="Calibri"/>
          <w:rtl/>
        </w:rPr>
      </w:pPr>
    </w:p>
    <w:p w14:paraId="46462291"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Calibri" w:eastAsia="Calibri" w:hAnsi="Calibri" w:hint="cs"/>
          <w:rtl/>
        </w:rPr>
        <w:tab/>
        <w:t>ב</w:t>
      </w:r>
      <w:hyperlink r:id="rId72" w:history="1">
        <w:r w:rsidR="00B31F4C" w:rsidRPr="00B31F4C">
          <w:rPr>
            <w:rFonts w:ascii="Calibri" w:eastAsia="Calibri" w:hAnsi="Calibri" w:hint="cs"/>
            <w:color w:val="0000FF"/>
            <w:u w:val="single"/>
            <w:rtl/>
          </w:rPr>
          <w:t>ע</w:t>
        </w:r>
        <w:r w:rsidR="00B31F4C" w:rsidRPr="00B31F4C">
          <w:rPr>
            <w:rFonts w:ascii="Calibri" w:eastAsia="Calibri" w:hAnsi="Calibri"/>
            <w:color w:val="0000FF"/>
            <w:u w:val="single"/>
            <w:rtl/>
          </w:rPr>
          <w:t>"</w:t>
        </w:r>
        <w:r w:rsidR="00B31F4C" w:rsidRPr="00B31F4C">
          <w:rPr>
            <w:rFonts w:ascii="Calibri" w:eastAsia="Calibri" w:hAnsi="Calibri" w:hint="cs"/>
            <w:color w:val="0000FF"/>
            <w:u w:val="single"/>
            <w:rtl/>
          </w:rPr>
          <w:t>פ</w:t>
        </w:r>
        <w:r w:rsidR="00B31F4C" w:rsidRPr="00B31F4C">
          <w:rPr>
            <w:rFonts w:ascii="Calibri" w:eastAsia="Calibri" w:hAnsi="Calibri"/>
            <w:color w:val="0000FF"/>
            <w:u w:val="single"/>
            <w:rtl/>
          </w:rPr>
          <w:t xml:space="preserve"> 1971/19</w:t>
        </w:r>
      </w:hyperlink>
      <w:r w:rsidRPr="00785A6C">
        <w:rPr>
          <w:rFonts w:ascii="Calibri" w:eastAsia="Calibri" w:hAnsi="Calibri" w:hint="cs"/>
          <w:rtl/>
        </w:rPr>
        <w:t xml:space="preserve"> </w:t>
      </w:r>
      <w:r w:rsidRPr="00785A6C">
        <w:rPr>
          <w:rFonts w:ascii="Calibri" w:eastAsia="Calibri" w:hAnsi="Calibri" w:hint="cs"/>
          <w:b/>
          <w:bCs/>
          <w:rtl/>
        </w:rPr>
        <w:t>אבו חוסין נ' מדינת ישראל</w:t>
      </w:r>
      <w:r w:rsidRPr="00785A6C">
        <w:rPr>
          <w:rFonts w:ascii="Calibri" w:eastAsia="Calibri" w:hAnsi="Calibri" w:hint="cs"/>
          <w:rtl/>
        </w:rPr>
        <w:t xml:space="preserve"> (30.6.2019) מדובר במי שהורשע בעבירות של חבלה חמורה בנסיבות מחמירות ונשיאת נשק והובלתו שלא כדין. המערער ירה אל עבר המתלונן מספר כדורים, על רקע סכסוך כספי, פגע בו בירך וגרם לו למספר פגיעות. בית המשפט המחוזי גזר עליו 42 חודשי מאסר לריצוי בפועל ובבית המשפט העליון חזר בו המערער מערעורו.</w:t>
      </w:r>
    </w:p>
    <w:p w14:paraId="0BA8FAA8"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6CA4BAAC"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32.</w:t>
      </w:r>
      <w:r w:rsidRPr="00785A6C">
        <w:rPr>
          <w:rFonts w:ascii="David" w:eastAsia="Calibri" w:hAnsi="David" w:hint="cs"/>
          <w:rtl/>
        </w:rPr>
        <w:tab/>
        <w:t>באשר לעבירה של החזקה, נשיאה והובלה של נשק, נקבע כי מתחם העונש ההולם שראוי לקבוע לגבי נאשם בגיר שהורשע בנשיאה של נשק חם באופן בלתי חוקי במרחב הציבורי נע ככלל בין 30 ל-42 חודשי מאסר לריצוי בפועל. כך לדוגמה, פסק בית המשפט ב</w:t>
      </w:r>
      <w:hyperlink r:id="rId73" w:history="1">
        <w:r w:rsidR="00B31F4C" w:rsidRPr="00B31F4C">
          <w:rPr>
            <w:rFonts w:ascii="David" w:eastAsia="Calibri" w:hAnsi="David"/>
            <w:color w:val="0000FF"/>
            <w:u w:val="single"/>
            <w:rtl/>
          </w:rPr>
          <w:t>ע"פ 5602/22</w:t>
        </w:r>
      </w:hyperlink>
      <w:r w:rsidR="00B31F4C">
        <w:rPr>
          <w:rFonts w:ascii="David" w:eastAsia="Calibri" w:hAnsi="David" w:hint="cs"/>
          <w:rtl/>
        </w:rPr>
        <w:t xml:space="preserve"> </w:t>
      </w:r>
      <w:r w:rsidRPr="00785A6C">
        <w:rPr>
          <w:rFonts w:ascii="David" w:eastAsia="Calibri" w:hAnsi="David" w:hint="cs"/>
          <w:b/>
          <w:bCs/>
          <w:rtl/>
        </w:rPr>
        <w:t>מדינת ישראל נ' פלוני</w:t>
      </w:r>
      <w:r w:rsidR="00B31F4C">
        <w:rPr>
          <w:rFonts w:ascii="David" w:eastAsia="Calibri" w:hAnsi="David" w:hint="cs"/>
          <w:rtl/>
        </w:rPr>
        <w:t xml:space="preserve"> </w:t>
      </w:r>
      <w:r w:rsidRPr="00785A6C">
        <w:rPr>
          <w:rFonts w:ascii="David" w:eastAsia="Calibri" w:hAnsi="David" w:hint="cs"/>
          <w:rtl/>
        </w:rPr>
        <w:t>(14.09.2022), כי:</w:t>
      </w:r>
    </w:p>
    <w:p w14:paraId="069A48CE"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Pr>
      </w:pPr>
      <w:r w:rsidRPr="00785A6C">
        <w:rPr>
          <w:rFonts w:ascii="David" w:eastAsia="Calibri" w:hAnsi="David"/>
          <w:rtl/>
        </w:rPr>
        <w:t xml:space="preserve"> </w:t>
      </w:r>
    </w:p>
    <w:p w14:paraId="67E7C519" w14:textId="77777777" w:rsidR="00E23AAC" w:rsidRPr="00785A6C" w:rsidRDefault="00E23AAC" w:rsidP="00E23AAC">
      <w:pPr>
        <w:tabs>
          <w:tab w:val="left" w:pos="567"/>
          <w:tab w:val="left" w:pos="1134"/>
          <w:tab w:val="left" w:pos="1701"/>
        </w:tabs>
        <w:spacing w:line="360" w:lineRule="auto"/>
        <w:ind w:left="1418" w:right="1418"/>
        <w:jc w:val="both"/>
        <w:rPr>
          <w:rFonts w:ascii="David" w:eastAsia="Calibri" w:hAnsi="David"/>
          <w:rtl/>
        </w:rPr>
      </w:pPr>
      <w:r w:rsidRPr="00785A6C">
        <w:rPr>
          <w:rFonts w:ascii="David" w:eastAsia="Calibri" w:hAnsi="David" w:hint="cs"/>
          <w:rtl/>
        </w:rPr>
        <w:t xml:space="preserve">"בהמשך לדברים אלה הבהרתי, בפסק הדין שניתן באחרונה בהסכמת חבריי השופטים י' אלרון וי' כשר, כי 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 (ראו: </w:t>
      </w:r>
      <w:hyperlink r:id="rId74" w:history="1">
        <w:r w:rsidR="00B31F4C" w:rsidRPr="00B31F4C">
          <w:rPr>
            <w:rFonts w:ascii="David" w:eastAsia="Calibri" w:hAnsi="David"/>
            <w:color w:val="0000FF"/>
            <w:u w:val="single"/>
            <w:rtl/>
          </w:rPr>
          <w:t>ע"פ 4077/22</w:t>
        </w:r>
      </w:hyperlink>
      <w:r w:rsidRPr="00785A6C">
        <w:rPr>
          <w:rFonts w:ascii="David" w:eastAsia="Calibri" w:hAnsi="David" w:hint="cs"/>
          <w:rtl/>
        </w:rPr>
        <w:t xml:space="preserve"> פלוני נ' מדינת ישראל, פסקה 12 [פורסם בנבו] (‏28.7.2022)). זאת, מסיבה פשוטה: "בימים קשים אלה, השיקום שבראש מעייננו הוא שיקום המרחב הציבורי המדמם כתוצאה מעבירות נשק בלתי פוסקות והשימוש העברייני בנשק חם." (שם). בהקשר זה אוסיף ואציין את המובן מאליו: בית משפט שמקל בעונשו של עבריין נשק מכביד על החברה שנאלצת להגן על עצמה –על כל בניה ובנותיה – מעברייני נשק.</w:t>
      </w:r>
    </w:p>
    <w:p w14:paraId="41814E1D" w14:textId="77777777" w:rsidR="00E23AAC" w:rsidRPr="00785A6C" w:rsidRDefault="00E23AAC" w:rsidP="00E23AAC">
      <w:pPr>
        <w:tabs>
          <w:tab w:val="left" w:pos="567"/>
          <w:tab w:val="left" w:pos="1134"/>
          <w:tab w:val="left" w:pos="1701"/>
        </w:tabs>
        <w:spacing w:line="360" w:lineRule="auto"/>
        <w:ind w:left="1418" w:right="1418"/>
        <w:jc w:val="both"/>
        <w:rPr>
          <w:rFonts w:ascii="David" w:eastAsia="Calibri" w:hAnsi="David"/>
          <w:rtl/>
        </w:rPr>
      </w:pPr>
      <w:r w:rsidRPr="00785A6C">
        <w:rPr>
          <w:rFonts w:ascii="David" w:eastAsia="Calibri" w:hAnsi="David" w:hint="cs"/>
          <w:rtl/>
        </w:rPr>
        <w:t>...</w:t>
      </w:r>
    </w:p>
    <w:p w14:paraId="189E75F2" w14:textId="77777777" w:rsidR="00E23AAC" w:rsidRPr="00785A6C" w:rsidRDefault="00E23AAC" w:rsidP="00E23AAC">
      <w:pPr>
        <w:tabs>
          <w:tab w:val="left" w:pos="567"/>
          <w:tab w:val="left" w:pos="1134"/>
          <w:tab w:val="left" w:pos="1701"/>
        </w:tabs>
        <w:spacing w:line="360" w:lineRule="auto"/>
        <w:ind w:left="1418" w:right="1418"/>
        <w:jc w:val="both"/>
        <w:rPr>
          <w:rFonts w:ascii="David" w:eastAsia="Calibri" w:hAnsi="David"/>
          <w:rtl/>
        </w:rPr>
      </w:pPr>
      <w:r w:rsidRPr="00785A6C">
        <w:rPr>
          <w:rFonts w:ascii="David" w:eastAsia="Calibri" w:hAnsi="David" w:hint="cs"/>
          <w:rtl/>
        </w:rPr>
        <w:t xml:space="preserve">כעולה מפסיקתו של בית משפט זה, </w:t>
      </w:r>
      <w:r w:rsidRPr="00785A6C">
        <w:rPr>
          <w:rFonts w:ascii="David" w:eastAsia="Calibri" w:hAnsi="David" w:hint="cs"/>
          <w:u w:val="single"/>
          <w:rtl/>
        </w:rPr>
        <w:t>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w:t>
      </w:r>
      <w:r w:rsidRPr="00785A6C">
        <w:rPr>
          <w:rFonts w:ascii="David" w:eastAsia="Calibri" w:hAnsi="David" w:hint="cs"/>
          <w:rtl/>
        </w:rPr>
        <w:t xml:space="preserve"> (ראו והשוו: עניין נורי, בפסקה 12; עניין קואסמה, בפסקה 14; עניין ביטון, בפסקה 12; ועניין חלייחל, בפסקה 3 ו-10). הווה אומר: באין נסיבות מיוחדות לחומרא או לקולא, יהא זה בהחלט סביר אם בית משפט יטיל על נאשם כאמור עונש של 36 חודשי מאסר לריצוי בפועל. </w:t>
      </w:r>
    </w:p>
    <w:p w14:paraId="121F7C5D" w14:textId="77777777" w:rsidR="00E23AAC" w:rsidRPr="00785A6C" w:rsidRDefault="00E23AAC" w:rsidP="00E23AAC">
      <w:pPr>
        <w:tabs>
          <w:tab w:val="left" w:pos="567"/>
          <w:tab w:val="left" w:pos="1134"/>
          <w:tab w:val="left" w:pos="1701"/>
        </w:tabs>
        <w:spacing w:line="360" w:lineRule="auto"/>
        <w:ind w:left="1418" w:right="1418"/>
        <w:jc w:val="both"/>
        <w:rPr>
          <w:rFonts w:ascii="David" w:eastAsia="Calibri" w:hAnsi="David"/>
          <w:rtl/>
        </w:rPr>
      </w:pPr>
    </w:p>
    <w:p w14:paraId="5CF2BF25" w14:textId="77777777" w:rsidR="00E23AAC" w:rsidRPr="00785A6C" w:rsidRDefault="00E23AAC" w:rsidP="00E23AAC">
      <w:pPr>
        <w:tabs>
          <w:tab w:val="left" w:pos="567"/>
          <w:tab w:val="left" w:pos="1134"/>
          <w:tab w:val="left" w:pos="1701"/>
        </w:tabs>
        <w:spacing w:line="360" w:lineRule="auto"/>
        <w:ind w:left="1418" w:right="1418"/>
        <w:jc w:val="both"/>
        <w:rPr>
          <w:rFonts w:ascii="David" w:eastAsia="Calibri" w:hAnsi="David"/>
          <w:rtl/>
        </w:rPr>
      </w:pPr>
      <w:r w:rsidRPr="00785A6C">
        <w:rPr>
          <w:rFonts w:ascii="David" w:eastAsia="Calibri" w:hAnsi="David" w:hint="cs"/>
          <w:rtl/>
        </w:rPr>
        <w:t>תקוותי היא כי אמות מידה אלה תנחנה את הערכאות הדיוניות באופן שיטתי, כך שמדיניות הענישה אשר נקוטה בידינו ביחס לעבירות נשק תיושם כהלכתה ובמלוא עוצמתה</w:t>
      </w:r>
      <w:r w:rsidRPr="00785A6C">
        <w:rPr>
          <w:rFonts w:ascii="David" w:eastAsia="Calibri" w:hAnsi="David"/>
        </w:rPr>
        <w:t>."</w:t>
      </w:r>
      <w:r w:rsidRPr="00785A6C">
        <w:rPr>
          <w:rFonts w:ascii="David" w:eastAsia="Calibri" w:hAnsi="David" w:hint="cs"/>
          <w:rtl/>
        </w:rPr>
        <w:t xml:space="preserve"> (ההדגשה אינה במקור - א.ט). </w:t>
      </w:r>
    </w:p>
    <w:p w14:paraId="679BD398"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b/>
          <w:bCs/>
          <w:rtl/>
        </w:rPr>
      </w:pPr>
    </w:p>
    <w:p w14:paraId="6011504C"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ab/>
        <w:t>ב</w:t>
      </w:r>
      <w:hyperlink r:id="rId75" w:history="1">
        <w:r w:rsidR="00B31F4C" w:rsidRPr="00B31F4C">
          <w:rPr>
            <w:rFonts w:ascii="David" w:eastAsia="Calibri" w:hAnsi="David"/>
            <w:color w:val="0000FF"/>
            <w:u w:val="single"/>
            <w:rtl/>
          </w:rPr>
          <w:t>ע"פ 5856/22</w:t>
        </w:r>
      </w:hyperlink>
      <w:r w:rsidR="00B31F4C">
        <w:rPr>
          <w:rFonts w:ascii="David" w:eastAsia="Calibri" w:hAnsi="David" w:hint="cs"/>
          <w:rtl/>
        </w:rPr>
        <w:t xml:space="preserve"> </w:t>
      </w:r>
      <w:r w:rsidRPr="00785A6C">
        <w:rPr>
          <w:rFonts w:ascii="David" w:eastAsia="Calibri" w:hAnsi="David" w:hint="cs"/>
          <w:b/>
          <w:bCs/>
          <w:rtl/>
        </w:rPr>
        <w:t>טאיע סויטאת נ' מדינת ישראל</w:t>
      </w:r>
      <w:r w:rsidR="00B31F4C">
        <w:rPr>
          <w:rFonts w:ascii="David" w:eastAsia="Calibri" w:hAnsi="David" w:hint="cs"/>
          <w:rtl/>
        </w:rPr>
        <w:t xml:space="preserve"> </w:t>
      </w:r>
      <w:r w:rsidRPr="00785A6C">
        <w:rPr>
          <w:rFonts w:ascii="David" w:eastAsia="Calibri" w:hAnsi="David" w:hint="cs"/>
          <w:rtl/>
        </w:rPr>
        <w:t>(21.03.2023) נדון עניינו של מי שהורשע בעבירות של נשיאה והובלת נשק ותחמושת שלא כדין והפרעה לשוטר במילוי תפקידו. מדובר במערער שנסע עם אדם אחר כשהוא נושא אקדח מסוג</w:t>
      </w:r>
      <w:r w:rsidRPr="00785A6C">
        <w:rPr>
          <w:rFonts w:ascii="David" w:eastAsia="Calibri" w:hAnsi="David"/>
        </w:rPr>
        <w:t xml:space="preserve"> FN </w:t>
      </w:r>
      <w:r w:rsidRPr="00785A6C">
        <w:rPr>
          <w:rFonts w:ascii="David" w:eastAsia="Calibri" w:hAnsi="David" w:hint="cs"/>
          <w:rtl/>
        </w:rPr>
        <w:t xml:space="preserve">ובו מחסנית ריקה. כאשר הגיע הרכב למחסום משטרתי הנהג עצר את הרכב, המערער יצא מהרכב והחל להימלט מהמקום ובחלוף מרדף קצר, שבמהלכו השליך את האקדח, נתפס. בית המשפט המחוזי הרשיע את המערער לאחר ניהול הוכחות וגזר עליו 28 חודשי מאסר לריצוי בפועל. ערעור שהוגש כנגד הכרעת הדין וגזר הדין נדחה על ידי בית המשפט העליון. יודגש כי באותו מקרה דובר בנשיאה והובלה בלבד, מבלי שנעשה ירי, לא כל שכן מבלי שנפגע מאן דהו. </w:t>
      </w:r>
    </w:p>
    <w:p w14:paraId="13426AE6"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760BB39F"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33.</w:t>
      </w:r>
      <w:r w:rsidRPr="00785A6C">
        <w:rPr>
          <w:rFonts w:ascii="David" w:eastAsia="Calibri" w:hAnsi="David" w:hint="cs"/>
          <w:rtl/>
        </w:rPr>
        <w:tab/>
        <w:t xml:space="preserve"> לאחר שבחנתי את הערכים המוגנים שנפגעו מביצוע העבירות בענייננו ונתתי דעתי לנסיבות ביצוען ולאחר שעמדתי על מדיניות הענישה הנוהגת במקרים דומים, ובשים לב לכך שלבד מעבירות הנשק והאלימות הורשע הנאשם גם בעבירות חמורות מתחום התעבורה, אני קובע כי מתחם העונש ההולם נע בין </w:t>
      </w:r>
      <w:r>
        <w:rPr>
          <w:rFonts w:ascii="David" w:eastAsia="Calibri" w:hAnsi="David" w:hint="cs"/>
          <w:rtl/>
        </w:rPr>
        <w:t>5</w:t>
      </w:r>
      <w:r w:rsidRPr="00785A6C">
        <w:rPr>
          <w:rFonts w:ascii="David" w:eastAsia="Calibri" w:hAnsi="David" w:hint="cs"/>
          <w:rtl/>
        </w:rPr>
        <w:t xml:space="preserve"> - 8 שנות מאסר לריצוי בפועל בצירוף עונשים נלווים. </w:t>
      </w:r>
    </w:p>
    <w:p w14:paraId="39F6D233"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4CEAB6AF"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u w:val="single"/>
          <w:rtl/>
        </w:rPr>
      </w:pPr>
      <w:r w:rsidRPr="00785A6C">
        <w:rPr>
          <w:rFonts w:ascii="David" w:eastAsia="Calibri" w:hAnsi="David" w:hint="cs"/>
          <w:u w:val="single"/>
          <w:rtl/>
        </w:rPr>
        <w:t>גזירת העונש בתוך המתחם</w:t>
      </w:r>
    </w:p>
    <w:p w14:paraId="636F2E57"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u w:val="single"/>
          <w:rtl/>
        </w:rPr>
      </w:pPr>
    </w:p>
    <w:p w14:paraId="3B51A67C"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34.</w:t>
      </w:r>
      <w:r w:rsidRPr="00785A6C">
        <w:rPr>
          <w:rFonts w:ascii="David" w:eastAsia="Calibri" w:hAnsi="David" w:hint="cs"/>
          <w:rtl/>
        </w:rPr>
        <w:tab/>
        <w:t>בבואי לגזור את עונשו של הנאשם בתוך המתחם שנקבע לגביו הבאתי בחשבון את הודאתו במיוחס לו, המגלמת נטילת אחריות מצדו על מעשיו והביאה לחסכון בזמן שיפוטי יקר. יחד עם זאת, מדובר בהודאה שניתנה לאחר שהתקיימו שתי ישיבות הוכחות במהלכן נשמעו מספר עדי תביעה.</w:t>
      </w:r>
    </w:p>
    <w:p w14:paraId="466CA595"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51192A5B"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35.</w:t>
      </w:r>
      <w:r w:rsidRPr="00785A6C">
        <w:rPr>
          <w:rFonts w:ascii="David" w:eastAsia="Calibri" w:hAnsi="David" w:hint="cs"/>
          <w:rtl/>
        </w:rPr>
        <w:tab/>
        <w:t xml:space="preserve">עוד ראיתי להביא בחשבון את הרשעותיו הקודמות של הנאשם. מדובר במי שלחובתו  שלוש הרשעות פליליות ולא פחות מ- 26 הרשעות מתחום התעבורה. בנוסף, לנאשם שתי הרשעות תעבורה נוספות בזיקה לתיקים פליליים שהתנהלו נגדו. הגם שהרשעותיו הפליליות אינן ברף חומרה גבוה, הרי היקף הרשעותיו התעבורתיות הוא גדול ואין זו הפעם הראשונה בה מורשע הנאשם בעבירה של נהיגה בזמן פסילה. זאת ועוד, הנאשם ביצע את העבירות בענייננו בזמן שהיה תלוי ועומד נגדו מאסר מותנה בגין הרשעתו בעבירה של נהיגה בזמן פסילה, שכן ביום 6.12.2021 גזר עליו בית משפט השלום לתעבורה בנצרת, בין היתר, 5 חודשי מאסר על תנאי למשך שלוש שנים. המאשימה בקשה להורות על הפעלת התנאי באופן מצטבר לעונש שיוטל על הנאשם בגין תיק זה, ואני מקבל עמדתה לעניין זה. </w:t>
      </w:r>
    </w:p>
    <w:p w14:paraId="4D7ACE1C"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7B41D4F8"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36.</w:t>
      </w:r>
      <w:r w:rsidRPr="00785A6C">
        <w:rPr>
          <w:rFonts w:ascii="David" w:eastAsia="Calibri" w:hAnsi="David" w:hint="cs"/>
          <w:rtl/>
        </w:rPr>
        <w:tab/>
        <w:t xml:space="preserve">מטעם ההגנה הוצג אישור ערוך בידי עו"ד עלאא אגבריה (נע/2) בו נאמר כי בין הצדדים נערך הסכם סולחה, במסגרתו העביר הנאשם למתלונן פיצוי בסך 100,000 ₪. אלא שמשום מה הסכם הסולחה עצמו לא הוצג, כך שלא ניתן לעמוד על תנאיו לא כל שכן אופן תשלום הפיצוי הנטען. </w:t>
      </w:r>
    </w:p>
    <w:p w14:paraId="27943544"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7BCC3F40"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color w:val="000000"/>
          <w:rtl/>
        </w:rPr>
      </w:pPr>
      <w:r w:rsidRPr="00785A6C">
        <w:rPr>
          <w:rFonts w:ascii="David" w:eastAsia="Calibri" w:hAnsi="David" w:hint="cs"/>
          <w:rtl/>
        </w:rPr>
        <w:tab/>
        <w:t xml:space="preserve">לא מצאתי לייחס להסכם זה משקל רב. </w:t>
      </w:r>
      <w:r w:rsidRPr="00785A6C">
        <w:rPr>
          <w:rFonts w:ascii="Calibri" w:eastAsia="Calibri" w:hAnsi="Calibri" w:hint="cs"/>
          <w:rtl/>
        </w:rPr>
        <w:t>ב</w:t>
      </w:r>
      <w:hyperlink r:id="rId76" w:history="1">
        <w:r w:rsidR="00B31F4C" w:rsidRPr="00B31F4C">
          <w:rPr>
            <w:rFonts w:ascii="David" w:eastAsia="Calibri" w:hAnsi="David"/>
            <w:color w:val="0000FF"/>
            <w:u w:val="single"/>
            <w:rtl/>
          </w:rPr>
          <w:t>ע"פ 6496/21</w:t>
        </w:r>
      </w:hyperlink>
      <w:r w:rsidR="00B31F4C">
        <w:rPr>
          <w:rFonts w:ascii="David" w:eastAsia="Calibri" w:hAnsi="David" w:hint="cs"/>
          <w:color w:val="000000"/>
          <w:rtl/>
        </w:rPr>
        <w:t xml:space="preserve"> </w:t>
      </w:r>
      <w:r w:rsidRPr="00785A6C">
        <w:rPr>
          <w:rFonts w:ascii="David" w:eastAsia="Calibri" w:hAnsi="David" w:hint="cs"/>
          <w:b/>
          <w:bCs/>
          <w:color w:val="000000"/>
          <w:rtl/>
        </w:rPr>
        <w:t xml:space="preserve"> ריאן נ' מדינת ישראל</w:t>
      </w:r>
      <w:r w:rsidR="00B31F4C">
        <w:rPr>
          <w:rFonts w:ascii="David" w:eastAsia="Calibri" w:hAnsi="David" w:hint="cs"/>
          <w:color w:val="000000"/>
          <w:rtl/>
        </w:rPr>
        <w:t xml:space="preserve"> </w:t>
      </w:r>
      <w:r w:rsidRPr="00785A6C">
        <w:rPr>
          <w:rFonts w:ascii="David" w:eastAsia="Calibri" w:hAnsi="David" w:hint="cs"/>
          <w:color w:val="000000"/>
          <w:rtl/>
        </w:rPr>
        <w:t>(20.12.2021) עמד בית המשפט בהרחבה על המשקל שיש ליתן להסכמי סולחה בקבעו:</w:t>
      </w:r>
    </w:p>
    <w:p w14:paraId="65A37A60"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color w:val="000000"/>
          <w:rtl/>
        </w:rPr>
      </w:pPr>
      <w:r w:rsidRPr="00785A6C">
        <w:rPr>
          <w:rFonts w:ascii="David" w:eastAsia="Calibri" w:hAnsi="David" w:hint="cs"/>
          <w:color w:val="000000"/>
          <w:rtl/>
        </w:rPr>
        <w:t xml:space="preserve"> </w:t>
      </w:r>
    </w:p>
    <w:p w14:paraId="4B9AA617" w14:textId="77777777" w:rsidR="00E23AAC" w:rsidRPr="00785A6C" w:rsidRDefault="00E23AAC" w:rsidP="00E23AAC">
      <w:pPr>
        <w:tabs>
          <w:tab w:val="left" w:pos="567"/>
          <w:tab w:val="left" w:pos="1134"/>
          <w:tab w:val="left" w:pos="1701"/>
        </w:tabs>
        <w:spacing w:line="360" w:lineRule="auto"/>
        <w:ind w:left="1418" w:right="1418"/>
        <w:jc w:val="both"/>
        <w:rPr>
          <w:rFonts w:ascii="David" w:eastAsia="Calibri" w:hAnsi="David"/>
          <w:sz w:val="20"/>
          <w:szCs w:val="20"/>
          <w:rtl/>
        </w:rPr>
      </w:pPr>
      <w:r w:rsidRPr="00785A6C">
        <w:rPr>
          <w:rFonts w:ascii="David" w:eastAsia="Calibri" w:hAnsi="David" w:hint="cs"/>
          <w:rtl/>
        </w:rPr>
        <w:t xml:space="preserve">"במסגרת בחינת משקלה של סולחה מסוימת על בית המשפט ליתן את דעתו, בין היתר, לרקע להסכם הסולחה, משמעות הוראותיו של ההסכם, יציבותו ופערי הכוחות שעמדו מאחורי חתימתו (ראו, בין היתר: </w:t>
      </w:r>
      <w:hyperlink r:id="rId77" w:history="1">
        <w:r w:rsidR="00B31F4C" w:rsidRPr="00B31F4C">
          <w:rPr>
            <w:rFonts w:ascii="David" w:eastAsia="Calibri" w:hAnsi="David"/>
            <w:color w:val="0000FF"/>
            <w:u w:val="single"/>
            <w:rtl/>
          </w:rPr>
          <w:t>ע"פ 7473/20</w:t>
        </w:r>
      </w:hyperlink>
      <w:r w:rsidRPr="00785A6C">
        <w:rPr>
          <w:rFonts w:ascii="David" w:eastAsia="Calibri" w:hAnsi="David" w:hint="cs"/>
          <w:rtl/>
        </w:rPr>
        <w:t xml:space="preserve"> מדינת ישראל נ' מחאמיד, פסקה 27 [פורסם בנבו]</w:t>
      </w:r>
      <w:r w:rsidRPr="00785A6C">
        <w:rPr>
          <w:rFonts w:ascii="David" w:eastAsia="Calibri" w:hAnsi="David"/>
        </w:rPr>
        <w:t xml:space="preserve"> (29.6.2021)</w:t>
      </w:r>
      <w:r w:rsidRPr="00785A6C">
        <w:rPr>
          <w:rFonts w:ascii="David" w:eastAsia="Calibri" w:hAnsi="David" w:hint="cs"/>
          <w:rtl/>
        </w:rPr>
        <w:t>). בהינתן שהסולחה, מטבעה, מהווה הסכמה קבוצתית, שעשויה לכלול הפעלת אי אלו לחצים, הרי שיש לראות בה הסכמה "חשודה". על בית המשפט לנסות להתרשם מעמדתם האישית והכנה של הנאשם ונפגעי העבירה הישירים לגביה</w:t>
      </w:r>
      <w:r w:rsidRPr="00785A6C">
        <w:rPr>
          <w:rFonts w:ascii="David" w:eastAsia="Calibri" w:hAnsi="David"/>
        </w:rPr>
        <w:t xml:space="preserve"> (Nurit Tsafrir, Arab Customary Law in Israel: Sulha Agreements and Israeli Courts, 13 ISLAM. LAW SOC. 76, 95 (2006)).</w:t>
      </w:r>
      <w:r w:rsidRPr="00785A6C">
        <w:rPr>
          <w:rFonts w:ascii="David" w:eastAsia="Calibri" w:hAnsi="David"/>
          <w:rtl/>
        </w:rPr>
        <w:t xml:space="preserve"> </w:t>
      </w:r>
      <w:r w:rsidRPr="00785A6C">
        <w:rPr>
          <w:rFonts w:ascii="David" w:eastAsia="Calibri" w:hAnsi="David" w:hint="cs"/>
          <w:rtl/>
        </w:rPr>
        <w:t>בהתאם, יש לבחון שזו לא נכפתה על הצדדים הר כגיגית (</w:t>
      </w:r>
      <w:hyperlink r:id="rId78" w:history="1">
        <w:r w:rsidR="00B31F4C" w:rsidRPr="00B31F4C">
          <w:rPr>
            <w:rFonts w:ascii="David" w:eastAsia="Calibri" w:hAnsi="David"/>
            <w:color w:val="0000FF"/>
            <w:u w:val="single"/>
            <w:rtl/>
          </w:rPr>
          <w:t>ע"פ 3623/11</w:t>
        </w:r>
      </w:hyperlink>
      <w:r w:rsidRPr="00785A6C">
        <w:rPr>
          <w:rFonts w:ascii="David" w:eastAsia="Calibri" w:hAnsi="David" w:hint="cs"/>
          <w:rtl/>
        </w:rPr>
        <w:t xml:space="preserve"> פרעוני נ' מדינת ישראל, פסקה 49 [פורסם בנבו] (26.11.2012); ו</w:t>
      </w:r>
      <w:hyperlink r:id="rId79" w:history="1">
        <w:r w:rsidR="00B31F4C" w:rsidRPr="00B31F4C">
          <w:rPr>
            <w:rFonts w:ascii="David" w:eastAsia="Calibri" w:hAnsi="David"/>
            <w:color w:val="0000FF"/>
            <w:u w:val="single"/>
            <w:rtl/>
          </w:rPr>
          <w:t>ע"פ 2127/17</w:t>
        </w:r>
      </w:hyperlink>
      <w:r w:rsidRPr="00785A6C">
        <w:rPr>
          <w:rFonts w:ascii="David" w:eastAsia="Calibri" w:hAnsi="David" w:hint="cs"/>
          <w:rtl/>
        </w:rPr>
        <w:t xml:space="preserve"> עלוש נ' מדינת ישראל [פורסם בנבו]</w:t>
      </w:r>
      <w:r w:rsidRPr="00785A6C">
        <w:rPr>
          <w:rFonts w:ascii="David" w:eastAsia="Calibri" w:hAnsi="David"/>
        </w:rPr>
        <w:t xml:space="preserve"> (28.2.2018) </w:t>
      </w:r>
      <w:r w:rsidRPr="00785A6C">
        <w:rPr>
          <w:rFonts w:ascii="David" w:eastAsia="Calibri" w:hAnsi="David" w:hint="cs"/>
          <w:rtl/>
        </w:rPr>
        <w:t>). ראו גם עדנה ארבל "מעמדו של קרבן העבירה בהליך המשפטי" ספר גבריאל בך 189, 213 (2011), וכן אורי ינאי ושאוקי עדווי "מסורות ליישוב קונפליקט פלילי: מה בין 'סולחה' ובין הליך 'צדק מאחה'" מפגיעה לאיחוי – צדק מאחה ושיח מאחה בישראל 51, 71-70 (אורי ינאי וטלי גל עורכים 2016)). לצד האמור, וכמשקל נגד להסכמה גופה, על בית המשפט ליתן משקל משמעותי לחומרת המעשים שברקע השגת הסולחה. ככל שמדובר במעשים חמורים יותר, הרי שבית המשפט יטה שלא לייחס משמעות משפטית לסולחה כלל (</w:t>
      </w:r>
      <w:hyperlink r:id="rId80" w:history="1">
        <w:r w:rsidR="00B31F4C" w:rsidRPr="00B31F4C">
          <w:rPr>
            <w:rFonts w:ascii="David" w:eastAsia="Calibri" w:hAnsi="David"/>
            <w:color w:val="0000FF"/>
            <w:u w:val="single"/>
            <w:rtl/>
          </w:rPr>
          <w:t>ע"פ 4131/13</w:t>
        </w:r>
      </w:hyperlink>
      <w:r w:rsidRPr="00785A6C">
        <w:rPr>
          <w:rFonts w:ascii="David" w:eastAsia="Calibri" w:hAnsi="David" w:hint="cs"/>
          <w:rtl/>
        </w:rPr>
        <w:t xml:space="preserve"> שמארי נ' מדינת ישראל [פורסם בנבו] (13.3.2014))".</w:t>
      </w:r>
    </w:p>
    <w:p w14:paraId="06E2ABCE"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40E5C372"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r w:rsidRPr="00785A6C">
        <w:rPr>
          <w:rFonts w:ascii="David" w:eastAsia="Calibri" w:hAnsi="David" w:hint="cs"/>
          <w:rtl/>
        </w:rPr>
        <w:t>37.</w:t>
      </w:r>
      <w:r w:rsidRPr="00785A6C">
        <w:rPr>
          <w:rFonts w:ascii="David" w:eastAsia="Calibri" w:hAnsi="David" w:hint="cs"/>
          <w:rtl/>
        </w:rPr>
        <w:tab/>
        <w:t>סיכומו של דבר, ועל יסוד מקבץ השיקולים שמניתי לעיל אני גוזר על הנאשם את העונשים הבאים:</w:t>
      </w:r>
    </w:p>
    <w:p w14:paraId="4987BC70" w14:textId="77777777" w:rsidR="00E23AAC" w:rsidRPr="00785A6C" w:rsidRDefault="00E23AAC" w:rsidP="00E23AAC">
      <w:pPr>
        <w:tabs>
          <w:tab w:val="left" w:pos="567"/>
          <w:tab w:val="left" w:pos="1134"/>
          <w:tab w:val="left" w:pos="1701"/>
        </w:tabs>
        <w:spacing w:line="360" w:lineRule="auto"/>
        <w:ind w:left="567" w:hanging="567"/>
        <w:jc w:val="both"/>
        <w:rPr>
          <w:rFonts w:ascii="David" w:eastAsia="Calibri" w:hAnsi="David"/>
          <w:rtl/>
        </w:rPr>
      </w:pPr>
    </w:p>
    <w:p w14:paraId="7754EE39" w14:textId="77777777" w:rsidR="00E23AAC" w:rsidRPr="00785A6C" w:rsidRDefault="00E23AAC" w:rsidP="00E23AAC">
      <w:pPr>
        <w:tabs>
          <w:tab w:val="left" w:pos="567"/>
          <w:tab w:val="left" w:pos="1134"/>
          <w:tab w:val="left" w:pos="1701"/>
        </w:tabs>
        <w:spacing w:line="360" w:lineRule="auto"/>
        <w:ind w:left="1134" w:hanging="1134"/>
        <w:jc w:val="both"/>
        <w:rPr>
          <w:rFonts w:ascii="David" w:eastAsia="Calibri" w:hAnsi="David"/>
          <w:rtl/>
        </w:rPr>
      </w:pPr>
      <w:r w:rsidRPr="00785A6C">
        <w:rPr>
          <w:rFonts w:ascii="David" w:eastAsia="Calibri" w:hAnsi="David" w:hint="cs"/>
          <w:rtl/>
        </w:rPr>
        <w:tab/>
        <w:t>א.</w:t>
      </w:r>
      <w:r w:rsidRPr="00785A6C">
        <w:rPr>
          <w:rFonts w:ascii="David" w:eastAsia="Calibri" w:hAnsi="David" w:hint="cs"/>
          <w:rtl/>
        </w:rPr>
        <w:tab/>
      </w:r>
      <w:r>
        <w:rPr>
          <w:rFonts w:ascii="David" w:eastAsia="Calibri" w:hAnsi="David" w:hint="cs"/>
          <w:rtl/>
        </w:rPr>
        <w:t>5.5</w:t>
      </w:r>
      <w:r w:rsidRPr="00785A6C">
        <w:rPr>
          <w:rFonts w:ascii="David" w:eastAsia="Calibri" w:hAnsi="David" w:hint="cs"/>
          <w:rtl/>
        </w:rPr>
        <w:t xml:space="preserve"> שנות מאסר לריצוי בפועל. בנוסף, אני מורה על הפעלת המאסר המותנה בן חמשה חודשים שהוטל על הנאשם על ידי בית משפט לתעבורה בנצרת ב</w:t>
      </w:r>
      <w:hyperlink r:id="rId81" w:history="1">
        <w:r w:rsidR="00B31F4C" w:rsidRPr="00B31F4C">
          <w:rPr>
            <w:rFonts w:ascii="David" w:eastAsia="Calibri" w:hAnsi="David"/>
            <w:color w:val="0000FF"/>
            <w:u w:val="single"/>
            <w:rtl/>
          </w:rPr>
          <w:t>תת"ע 2611-04-20</w:t>
        </w:r>
      </w:hyperlink>
      <w:r w:rsidRPr="00785A6C">
        <w:rPr>
          <w:rFonts w:ascii="David" w:eastAsia="Calibri" w:hAnsi="David" w:hint="cs"/>
          <w:rtl/>
        </w:rPr>
        <w:t xml:space="preserve"> באופן מצטבר. בסה"כ ירצה הנאשם </w:t>
      </w:r>
      <w:r>
        <w:rPr>
          <w:rFonts w:ascii="David" w:eastAsia="Calibri" w:hAnsi="David" w:hint="cs"/>
          <w:rtl/>
        </w:rPr>
        <w:t>71</w:t>
      </w:r>
      <w:r w:rsidRPr="00785A6C">
        <w:rPr>
          <w:rFonts w:ascii="David" w:eastAsia="Calibri" w:hAnsi="David" w:hint="cs"/>
          <w:rtl/>
        </w:rPr>
        <w:t xml:space="preserve"> חודשי מאסר בפועל בניכוי ימי מעצרו מיום 1.5.2022. </w:t>
      </w:r>
    </w:p>
    <w:p w14:paraId="1044033C" w14:textId="77777777" w:rsidR="00E23AAC" w:rsidRPr="00785A6C" w:rsidRDefault="00E23AAC" w:rsidP="00E23AAC">
      <w:pPr>
        <w:tabs>
          <w:tab w:val="left" w:pos="567"/>
          <w:tab w:val="left" w:pos="1134"/>
          <w:tab w:val="left" w:pos="1701"/>
        </w:tabs>
        <w:spacing w:line="360" w:lineRule="auto"/>
        <w:ind w:left="1134" w:hanging="1134"/>
        <w:jc w:val="both"/>
        <w:rPr>
          <w:rFonts w:ascii="David" w:eastAsia="Calibri" w:hAnsi="David"/>
          <w:rtl/>
        </w:rPr>
      </w:pPr>
    </w:p>
    <w:p w14:paraId="1C3CD876" w14:textId="77777777" w:rsidR="00E23AAC" w:rsidRPr="00785A6C" w:rsidRDefault="00E23AAC" w:rsidP="00E23AAC">
      <w:pPr>
        <w:tabs>
          <w:tab w:val="left" w:pos="567"/>
          <w:tab w:val="left" w:pos="1134"/>
          <w:tab w:val="left" w:pos="1701"/>
        </w:tabs>
        <w:spacing w:line="360" w:lineRule="auto"/>
        <w:ind w:left="1134" w:hanging="1134"/>
        <w:jc w:val="both"/>
        <w:rPr>
          <w:rFonts w:ascii="David" w:eastAsia="Calibri" w:hAnsi="David"/>
          <w:rtl/>
        </w:rPr>
      </w:pPr>
      <w:r w:rsidRPr="00785A6C">
        <w:rPr>
          <w:rFonts w:ascii="David" w:eastAsia="Calibri" w:hAnsi="David" w:hint="cs"/>
          <w:rtl/>
        </w:rPr>
        <w:tab/>
        <w:t>ב.</w:t>
      </w:r>
      <w:r w:rsidRPr="00785A6C">
        <w:rPr>
          <w:rFonts w:ascii="David" w:eastAsia="Calibri" w:hAnsi="David" w:hint="cs"/>
          <w:rtl/>
        </w:rPr>
        <w:tab/>
        <w:t xml:space="preserve">12 חודשי מאסר על תנאי לבל יעבור משך שלוש שנים כל עבירת אלימות או נשק מסוג פשע ויורשע בגינה. </w:t>
      </w:r>
    </w:p>
    <w:p w14:paraId="6548DB2A" w14:textId="77777777" w:rsidR="00E23AAC" w:rsidRPr="00785A6C" w:rsidRDefault="00E23AAC" w:rsidP="00E23AAC">
      <w:pPr>
        <w:tabs>
          <w:tab w:val="left" w:pos="567"/>
          <w:tab w:val="left" w:pos="1134"/>
          <w:tab w:val="left" w:pos="1701"/>
        </w:tabs>
        <w:spacing w:line="360" w:lineRule="auto"/>
        <w:ind w:left="1134" w:hanging="1134"/>
        <w:jc w:val="both"/>
        <w:rPr>
          <w:rFonts w:ascii="David" w:eastAsia="Calibri" w:hAnsi="David"/>
          <w:rtl/>
        </w:rPr>
      </w:pPr>
    </w:p>
    <w:p w14:paraId="370CD238" w14:textId="77777777" w:rsidR="00E23AAC" w:rsidRPr="00785A6C" w:rsidRDefault="00E23AAC" w:rsidP="00E23AAC">
      <w:pPr>
        <w:tabs>
          <w:tab w:val="left" w:pos="567"/>
          <w:tab w:val="left" w:pos="1134"/>
          <w:tab w:val="left" w:pos="1701"/>
        </w:tabs>
        <w:spacing w:line="360" w:lineRule="auto"/>
        <w:ind w:left="1134" w:hanging="1134"/>
        <w:jc w:val="both"/>
        <w:rPr>
          <w:rFonts w:ascii="David" w:eastAsia="Calibri" w:hAnsi="David"/>
          <w:rtl/>
        </w:rPr>
      </w:pPr>
      <w:r w:rsidRPr="00785A6C">
        <w:rPr>
          <w:rFonts w:ascii="David" w:eastAsia="Calibri" w:hAnsi="David" w:hint="cs"/>
          <w:rtl/>
        </w:rPr>
        <w:tab/>
        <w:t>ג.</w:t>
      </w:r>
      <w:r w:rsidRPr="00785A6C">
        <w:rPr>
          <w:rFonts w:ascii="David" w:eastAsia="Calibri" w:hAnsi="David" w:hint="cs"/>
          <w:rtl/>
        </w:rPr>
        <w:tab/>
        <w:t xml:space="preserve">6 חודשי מאסר על תנאי לבל יעבור משך שלוש שנים כל עבירת אלימות או נשק מסוג עוון, נהיגה בזמן פסילה, נהיגה ללא רישיון נהיגה או פוליסת ביטוח בת תוקף ויורשע בגין אחת מהן. </w:t>
      </w:r>
    </w:p>
    <w:p w14:paraId="01E980C5" w14:textId="77777777" w:rsidR="00E23AAC" w:rsidRPr="00785A6C" w:rsidRDefault="00E23AAC" w:rsidP="00E23AAC">
      <w:pPr>
        <w:tabs>
          <w:tab w:val="left" w:pos="567"/>
          <w:tab w:val="left" w:pos="1134"/>
          <w:tab w:val="left" w:pos="1701"/>
        </w:tabs>
        <w:spacing w:line="360" w:lineRule="auto"/>
        <w:ind w:left="1134" w:hanging="1134"/>
        <w:jc w:val="both"/>
        <w:rPr>
          <w:rFonts w:ascii="David" w:eastAsia="Calibri" w:hAnsi="David"/>
          <w:rtl/>
        </w:rPr>
      </w:pPr>
    </w:p>
    <w:p w14:paraId="75FDB18C" w14:textId="77777777" w:rsidR="00E23AAC" w:rsidRPr="00785A6C" w:rsidRDefault="00E23AAC" w:rsidP="00E23AAC">
      <w:pPr>
        <w:tabs>
          <w:tab w:val="left" w:pos="567"/>
          <w:tab w:val="left" w:pos="1134"/>
          <w:tab w:val="left" w:pos="1701"/>
        </w:tabs>
        <w:spacing w:line="360" w:lineRule="auto"/>
        <w:ind w:left="1134" w:hanging="1134"/>
        <w:jc w:val="both"/>
        <w:rPr>
          <w:rFonts w:ascii="David" w:eastAsia="Calibri" w:hAnsi="David"/>
          <w:rtl/>
        </w:rPr>
      </w:pPr>
      <w:r w:rsidRPr="00785A6C">
        <w:rPr>
          <w:rFonts w:ascii="David" w:eastAsia="Calibri" w:hAnsi="David" w:hint="cs"/>
          <w:rtl/>
        </w:rPr>
        <w:tab/>
        <w:t>ד.</w:t>
      </w:r>
      <w:r w:rsidRPr="00785A6C">
        <w:rPr>
          <w:rFonts w:ascii="David" w:eastAsia="Calibri" w:hAnsi="David" w:hint="cs"/>
          <w:rtl/>
        </w:rPr>
        <w:tab/>
        <w:t>3 חודשי מאסר על תנאי לבל יעבור משך שנתיים עבירת איומים ויורשע בגינה.</w:t>
      </w:r>
    </w:p>
    <w:p w14:paraId="2091399B" w14:textId="77777777" w:rsidR="00E23AAC" w:rsidRPr="00785A6C" w:rsidRDefault="00E23AAC" w:rsidP="00E23AAC">
      <w:pPr>
        <w:tabs>
          <w:tab w:val="left" w:pos="567"/>
          <w:tab w:val="left" w:pos="1134"/>
          <w:tab w:val="left" w:pos="1701"/>
        </w:tabs>
        <w:spacing w:line="360" w:lineRule="auto"/>
        <w:ind w:left="1134" w:hanging="1134"/>
        <w:jc w:val="both"/>
        <w:rPr>
          <w:rFonts w:ascii="David" w:eastAsia="Calibri" w:hAnsi="David"/>
          <w:rtl/>
        </w:rPr>
      </w:pPr>
    </w:p>
    <w:p w14:paraId="7E5BAF85" w14:textId="77777777" w:rsidR="00E23AAC" w:rsidRPr="00785A6C" w:rsidRDefault="00E23AAC" w:rsidP="00E23AAC">
      <w:pPr>
        <w:tabs>
          <w:tab w:val="left" w:pos="567"/>
          <w:tab w:val="left" w:pos="1134"/>
          <w:tab w:val="left" w:pos="1701"/>
        </w:tabs>
        <w:spacing w:line="360" w:lineRule="auto"/>
        <w:ind w:left="1134" w:hanging="1134"/>
        <w:jc w:val="both"/>
        <w:rPr>
          <w:rFonts w:ascii="David" w:eastAsia="Calibri" w:hAnsi="David"/>
          <w:rtl/>
        </w:rPr>
      </w:pPr>
      <w:r w:rsidRPr="00785A6C">
        <w:rPr>
          <w:rFonts w:ascii="David" w:eastAsia="Calibri" w:hAnsi="David" w:hint="cs"/>
          <w:rtl/>
        </w:rPr>
        <w:tab/>
        <w:t>ה.</w:t>
      </w:r>
      <w:r w:rsidRPr="00785A6C">
        <w:rPr>
          <w:rFonts w:ascii="David" w:eastAsia="Calibri" w:hAnsi="David" w:hint="cs"/>
          <w:rtl/>
        </w:rPr>
        <w:tab/>
        <w:t xml:space="preserve">פיצוי למתלונן בסך 25,000 ₪ שישולם באמצעות המרכז לגביית קנסות והוצאות עד ליום 1.9.2023. </w:t>
      </w:r>
    </w:p>
    <w:p w14:paraId="1E6974B5" w14:textId="77777777" w:rsidR="00E23AAC" w:rsidRPr="00785A6C" w:rsidRDefault="00E23AAC" w:rsidP="00E23AAC">
      <w:pPr>
        <w:tabs>
          <w:tab w:val="left" w:pos="567"/>
          <w:tab w:val="left" w:pos="1134"/>
          <w:tab w:val="left" w:pos="1701"/>
        </w:tabs>
        <w:spacing w:line="360" w:lineRule="auto"/>
        <w:ind w:left="1134" w:hanging="1134"/>
        <w:jc w:val="both"/>
        <w:rPr>
          <w:rFonts w:ascii="David" w:eastAsia="Calibri" w:hAnsi="David"/>
          <w:rtl/>
        </w:rPr>
      </w:pPr>
    </w:p>
    <w:p w14:paraId="4EAF131A" w14:textId="77777777" w:rsidR="00E23AAC" w:rsidRPr="00785A6C" w:rsidRDefault="00E23AAC" w:rsidP="00E23AAC">
      <w:pPr>
        <w:tabs>
          <w:tab w:val="left" w:pos="567"/>
          <w:tab w:val="left" w:pos="1134"/>
          <w:tab w:val="left" w:pos="1701"/>
        </w:tabs>
        <w:spacing w:line="360" w:lineRule="auto"/>
        <w:ind w:left="1134" w:hanging="1134"/>
        <w:jc w:val="both"/>
        <w:rPr>
          <w:rFonts w:ascii="David" w:eastAsia="Calibri" w:hAnsi="David"/>
          <w:rtl/>
        </w:rPr>
      </w:pPr>
      <w:r w:rsidRPr="00785A6C">
        <w:rPr>
          <w:rFonts w:ascii="David" w:eastAsia="Calibri" w:hAnsi="David" w:hint="cs"/>
          <w:rtl/>
        </w:rPr>
        <w:tab/>
        <w:t>ו.</w:t>
      </w:r>
      <w:r w:rsidRPr="00785A6C">
        <w:rPr>
          <w:rFonts w:ascii="David" w:eastAsia="Calibri" w:hAnsi="David" w:hint="cs"/>
          <w:rtl/>
        </w:rPr>
        <w:tab/>
        <w:t>24 חודשי פסילה בפועל מלהוציא או להחזיק רישיון נהיגה. בנוסף, אני מורה על הפעלת הפסילה המותנית בת 4 חודשים שהוטלה על הנאשם ב</w:t>
      </w:r>
      <w:hyperlink r:id="rId82" w:history="1">
        <w:r w:rsidR="00B31F4C" w:rsidRPr="00B31F4C">
          <w:rPr>
            <w:rFonts w:ascii="David" w:eastAsia="Calibri" w:hAnsi="David"/>
            <w:color w:val="0000FF"/>
            <w:u w:val="single"/>
            <w:rtl/>
          </w:rPr>
          <w:t>תת"ע 2611-04-20</w:t>
        </w:r>
      </w:hyperlink>
      <w:r>
        <w:rPr>
          <w:rFonts w:ascii="David" w:eastAsia="Calibri" w:hAnsi="David" w:hint="cs"/>
          <w:rtl/>
        </w:rPr>
        <w:t xml:space="preserve"> באופן מצטבר.</w:t>
      </w:r>
      <w:r w:rsidRPr="00785A6C">
        <w:rPr>
          <w:rFonts w:ascii="David" w:eastAsia="Calibri" w:hAnsi="David" w:hint="cs"/>
          <w:rtl/>
        </w:rPr>
        <w:t xml:space="preserve">  בסה"כ יהיה הנאשם פסול מלהוציא או להחזיק רישיון נהיגה למשך 28 חודשים ממועד שחרורו. </w:t>
      </w:r>
    </w:p>
    <w:p w14:paraId="2D7CB3FF" w14:textId="77777777" w:rsidR="00E23AAC" w:rsidRPr="00785A6C" w:rsidRDefault="00E23AAC" w:rsidP="00E23AAC">
      <w:pPr>
        <w:tabs>
          <w:tab w:val="left" w:pos="567"/>
          <w:tab w:val="left" w:pos="1134"/>
          <w:tab w:val="left" w:pos="1701"/>
        </w:tabs>
        <w:spacing w:line="360" w:lineRule="auto"/>
        <w:ind w:left="1134" w:hanging="1134"/>
        <w:jc w:val="both"/>
        <w:rPr>
          <w:rFonts w:ascii="David" w:eastAsia="Calibri" w:hAnsi="David"/>
          <w:rtl/>
        </w:rPr>
      </w:pPr>
    </w:p>
    <w:p w14:paraId="24121887" w14:textId="77777777" w:rsidR="00E23AAC" w:rsidRPr="00785A6C" w:rsidRDefault="00E23AAC" w:rsidP="00E23AAC">
      <w:pPr>
        <w:tabs>
          <w:tab w:val="left" w:pos="567"/>
          <w:tab w:val="left" w:pos="1134"/>
          <w:tab w:val="left" w:pos="1701"/>
        </w:tabs>
        <w:spacing w:line="360" w:lineRule="auto"/>
        <w:ind w:left="1134" w:hanging="1134"/>
        <w:jc w:val="both"/>
        <w:rPr>
          <w:rFonts w:ascii="David" w:eastAsia="Calibri" w:hAnsi="David"/>
          <w:rtl/>
        </w:rPr>
      </w:pPr>
      <w:r w:rsidRPr="00785A6C">
        <w:rPr>
          <w:rFonts w:ascii="David" w:eastAsia="Calibri" w:hAnsi="David" w:hint="cs"/>
          <w:rtl/>
        </w:rPr>
        <w:tab/>
        <w:t>ז.</w:t>
      </w:r>
      <w:r w:rsidRPr="00785A6C">
        <w:rPr>
          <w:rFonts w:ascii="David" w:eastAsia="Calibri" w:hAnsi="David" w:hint="cs"/>
          <w:rtl/>
        </w:rPr>
        <w:tab/>
        <w:t>אני פוסל את הנאשם על תנאי מלהוציא או להחזיק רישיון נהיגה</w:t>
      </w:r>
      <w:r>
        <w:rPr>
          <w:rFonts w:ascii="David" w:eastAsia="Calibri" w:hAnsi="David" w:hint="cs"/>
          <w:rtl/>
        </w:rPr>
        <w:t xml:space="preserve"> למשך 8 חודשים</w:t>
      </w:r>
      <w:r w:rsidRPr="00785A6C">
        <w:rPr>
          <w:rFonts w:ascii="David" w:eastAsia="Calibri" w:hAnsi="David" w:hint="cs"/>
          <w:rtl/>
        </w:rPr>
        <w:t xml:space="preserve"> לבל יעבור משך שלוש שנים ממועד שחרורו עבירה של נהיגה בזמן פסילה, נהגיה ללא רישיון נהיגה או ללא פוליסת ביטוח בת תוקף ויורשע בגין אחת מהן. </w:t>
      </w:r>
    </w:p>
    <w:p w14:paraId="6543B32E" w14:textId="77777777" w:rsidR="00E23AAC" w:rsidRPr="00785A6C" w:rsidRDefault="00E23AAC" w:rsidP="00E23AAC">
      <w:pPr>
        <w:tabs>
          <w:tab w:val="left" w:pos="567"/>
          <w:tab w:val="left" w:pos="1134"/>
          <w:tab w:val="left" w:pos="1701"/>
        </w:tabs>
        <w:spacing w:line="360" w:lineRule="auto"/>
        <w:ind w:left="1134" w:hanging="1134"/>
        <w:jc w:val="both"/>
        <w:rPr>
          <w:rFonts w:ascii="David" w:eastAsia="Calibri" w:hAnsi="David"/>
          <w:rtl/>
        </w:rPr>
      </w:pPr>
    </w:p>
    <w:p w14:paraId="713DD821" w14:textId="77777777" w:rsidR="00E23AAC" w:rsidRPr="00785A6C" w:rsidRDefault="00E23AAC" w:rsidP="00E23AAC">
      <w:pPr>
        <w:tabs>
          <w:tab w:val="left" w:pos="567"/>
          <w:tab w:val="left" w:pos="1134"/>
          <w:tab w:val="left" w:pos="1701"/>
        </w:tabs>
        <w:spacing w:line="360" w:lineRule="auto"/>
        <w:ind w:left="1134" w:hanging="1134"/>
        <w:jc w:val="both"/>
        <w:rPr>
          <w:rFonts w:ascii="David" w:eastAsia="Calibri" w:hAnsi="David"/>
          <w:rtl/>
        </w:rPr>
      </w:pPr>
      <w:r w:rsidRPr="00785A6C">
        <w:rPr>
          <w:rFonts w:ascii="David" w:eastAsia="Calibri" w:hAnsi="David" w:hint="cs"/>
          <w:rtl/>
        </w:rPr>
        <w:t xml:space="preserve">זכות ערעור לבית המשפט העליון תוך 45 ימים. </w:t>
      </w:r>
    </w:p>
    <w:p w14:paraId="6C9963D2" w14:textId="77777777" w:rsidR="00E23AAC" w:rsidRPr="00B31F4C" w:rsidRDefault="00B31F4C" w:rsidP="00E23AAC">
      <w:pPr>
        <w:rPr>
          <w:color w:val="FFFFFF"/>
          <w:sz w:val="2"/>
          <w:szCs w:val="2"/>
          <w:rtl/>
        </w:rPr>
      </w:pPr>
      <w:r w:rsidRPr="00B31F4C">
        <w:rPr>
          <w:color w:val="FFFFFF"/>
          <w:sz w:val="2"/>
          <w:szCs w:val="2"/>
          <w:rtl/>
        </w:rPr>
        <w:t>5129371</w:t>
      </w:r>
    </w:p>
    <w:p w14:paraId="5397569D" w14:textId="77777777" w:rsidR="00E23AAC" w:rsidRDefault="00B31F4C" w:rsidP="00E23AAC">
      <w:pPr>
        <w:rPr>
          <w:rFonts w:cs="FrankRuehl"/>
          <w:sz w:val="28"/>
          <w:szCs w:val="28"/>
          <w:rtl/>
        </w:rPr>
      </w:pPr>
      <w:bookmarkStart w:id="8" w:name="Nitan"/>
      <w:r w:rsidRPr="00B31F4C">
        <w:rPr>
          <w:rFonts w:ascii="Arial" w:hAnsi="Arial"/>
          <w:color w:val="FFFFFF"/>
          <w:sz w:val="2"/>
          <w:szCs w:val="2"/>
          <w:rtl/>
        </w:rPr>
        <w:t>54678313</w:t>
      </w:r>
      <w:r>
        <w:rPr>
          <w:rFonts w:ascii="Arial" w:hAnsi="Arial"/>
          <w:rtl/>
        </w:rPr>
        <w:t xml:space="preserve">ניתן היום,  ח' אב תשפ"ג, 26 יולי 2023, במעמד הנוכחים. </w:t>
      </w:r>
      <w:bookmarkEnd w:id="8"/>
    </w:p>
    <w:p w14:paraId="6FE2B174" w14:textId="77777777" w:rsidR="00E23AAC" w:rsidRDefault="00E23AAC" w:rsidP="00B31F4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6BEA8F9" w14:textId="77777777" w:rsidR="00E23AAC" w:rsidRDefault="00E23AAC" w:rsidP="00E23AAC">
      <w:pPr>
        <w:jc w:val="center"/>
        <w:rPr>
          <w:rFonts w:ascii="Arial" w:hAnsi="Arial" w:cs="FrankRuehl"/>
          <w:sz w:val="28"/>
          <w:szCs w:val="28"/>
          <w:rtl/>
        </w:rPr>
      </w:pPr>
    </w:p>
    <w:p w14:paraId="3B653FC9" w14:textId="77777777" w:rsidR="00E23AAC" w:rsidRDefault="00E23AAC" w:rsidP="00E23AAC">
      <w:pPr>
        <w:rPr>
          <w:rFonts w:cs="FrankRuehl"/>
          <w:sz w:val="28"/>
          <w:szCs w:val="28"/>
          <w:rtl/>
        </w:rPr>
      </w:pPr>
    </w:p>
    <w:p w14:paraId="364CC801" w14:textId="77777777" w:rsidR="00B31F4C" w:rsidRDefault="009F3DD2" w:rsidP="00B31F4C">
      <w:r w:rsidRPr="009F3DD2">
        <w:rPr>
          <w:color w:val="FFFFFF"/>
          <w:sz w:val="2"/>
          <w:szCs w:val="2"/>
          <w:rtl/>
        </w:rPr>
        <w:t>51293715129371</w:t>
      </w:r>
    </w:p>
    <w:p w14:paraId="3AA19ADE" w14:textId="77777777" w:rsidR="00B31F4C" w:rsidRPr="009F3DD2" w:rsidRDefault="009F3DD2" w:rsidP="00B31F4C">
      <w:pPr>
        <w:rPr>
          <w:color w:val="FFFFFF"/>
          <w:sz w:val="2"/>
          <w:szCs w:val="2"/>
          <w:rtl/>
        </w:rPr>
      </w:pPr>
      <w:r w:rsidRPr="009F3DD2">
        <w:rPr>
          <w:color w:val="FFFFFF"/>
          <w:sz w:val="2"/>
          <w:szCs w:val="2"/>
          <w:rtl/>
        </w:rPr>
        <w:t>54678313</w:t>
      </w:r>
    </w:p>
    <w:p w14:paraId="64BEFB95" w14:textId="77777777" w:rsidR="00B31F4C" w:rsidRDefault="00B31F4C" w:rsidP="00B31F4C">
      <w:pPr>
        <w:jc w:val="center"/>
        <w:rPr>
          <w:color w:val="0000FF"/>
          <w:u w:val="single"/>
        </w:rPr>
      </w:pPr>
      <w:hyperlink r:id="rId83" w:history="1">
        <w:r>
          <w:rPr>
            <w:color w:val="0000FF"/>
            <w:u w:val="single"/>
            <w:rtl/>
          </w:rPr>
          <w:t>בעניין עריכה ושינויים במסמכי פסיקה, חקיקה ועוד באתר נבו – הקש כאן</w:t>
        </w:r>
      </w:hyperlink>
    </w:p>
    <w:p w14:paraId="0DC6612B" w14:textId="77777777" w:rsidR="009F3DD2" w:rsidRPr="009F3DD2" w:rsidRDefault="009F3DD2" w:rsidP="009F3DD2">
      <w:pPr>
        <w:keepNext/>
        <w:rPr>
          <w:rFonts w:ascii="David" w:hAnsi="David"/>
          <w:color w:val="000000"/>
          <w:sz w:val="22"/>
          <w:szCs w:val="22"/>
          <w:rtl/>
        </w:rPr>
      </w:pPr>
    </w:p>
    <w:p w14:paraId="0E8A6087" w14:textId="77777777" w:rsidR="009F3DD2" w:rsidRPr="009F3DD2" w:rsidRDefault="009F3DD2" w:rsidP="009F3DD2">
      <w:pPr>
        <w:keepNext/>
        <w:rPr>
          <w:rFonts w:ascii="David" w:hAnsi="David"/>
          <w:color w:val="000000"/>
          <w:sz w:val="22"/>
          <w:szCs w:val="22"/>
          <w:rtl/>
        </w:rPr>
      </w:pPr>
      <w:r w:rsidRPr="009F3DD2">
        <w:rPr>
          <w:rFonts w:ascii="David" w:hAnsi="David"/>
          <w:color w:val="000000"/>
          <w:sz w:val="22"/>
          <w:szCs w:val="22"/>
          <w:rtl/>
        </w:rPr>
        <w:t>אמיר טובי 54678313-/</w:t>
      </w:r>
    </w:p>
    <w:p w14:paraId="6DA5CD78" w14:textId="77777777" w:rsidR="009F3DD2" w:rsidRPr="009F3DD2" w:rsidRDefault="009F3DD2" w:rsidP="009F3DD2">
      <w:pPr>
        <w:keepNext/>
        <w:rPr>
          <w:rFonts w:ascii="David" w:hAnsi="David"/>
          <w:color w:val="000000"/>
          <w:sz w:val="22"/>
          <w:szCs w:val="22"/>
          <w:rtl/>
        </w:rPr>
      </w:pPr>
      <w:r w:rsidRPr="009F3DD2">
        <w:rPr>
          <w:color w:val="000000"/>
          <w:u w:val="single"/>
          <w:rtl/>
        </w:rPr>
        <w:t>נוסח מסמך זה כפוף לשינויי ניסוח ועריכה</w:t>
      </w:r>
    </w:p>
    <w:p w14:paraId="0CC857CD" w14:textId="77777777" w:rsidR="00B31F4C" w:rsidRPr="00B31F4C" w:rsidRDefault="00B31F4C" w:rsidP="009F3DD2">
      <w:pPr>
        <w:rPr>
          <w:color w:val="0000FF"/>
          <w:u w:val="single"/>
        </w:rPr>
      </w:pPr>
    </w:p>
    <w:sectPr w:rsidR="00B31F4C" w:rsidRPr="00B31F4C" w:rsidSect="009F3DD2">
      <w:headerReference w:type="even" r:id="rId84"/>
      <w:headerReference w:type="default" r:id="rId85"/>
      <w:footerReference w:type="even" r:id="rId86"/>
      <w:footerReference w:type="default" r:id="rId87"/>
      <w:pgSz w:w="11907" w:h="16840" w:code="9"/>
      <w:pgMar w:top="1701" w:right="1701" w:bottom="56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8254CB" w14:textId="77777777" w:rsidR="00CA308F" w:rsidRDefault="00CA308F" w:rsidP="00D61EFF">
      <w:r>
        <w:separator/>
      </w:r>
    </w:p>
  </w:endnote>
  <w:endnote w:type="continuationSeparator" w:id="0">
    <w:p w14:paraId="25F18664" w14:textId="77777777" w:rsidR="00CA308F" w:rsidRDefault="00CA308F" w:rsidP="00D61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7713B" w14:textId="77777777" w:rsidR="009F3DD2" w:rsidRDefault="009F3DD2" w:rsidP="009F3DD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8CFB98E" w14:textId="77777777" w:rsidR="009E132E" w:rsidRPr="009F3DD2" w:rsidRDefault="009F3DD2" w:rsidP="009F3DD2">
    <w:pPr>
      <w:pStyle w:val="a5"/>
      <w:pBdr>
        <w:top w:val="single" w:sz="4" w:space="1" w:color="auto"/>
        <w:between w:val="single" w:sz="4" w:space="0" w:color="auto"/>
      </w:pBdr>
      <w:spacing w:after="60"/>
      <w:jc w:val="center"/>
      <w:rPr>
        <w:rFonts w:ascii="FrankRuehl" w:hAnsi="FrankRuehl" w:cs="FrankRuehl"/>
        <w:color w:val="000000"/>
      </w:rPr>
    </w:pPr>
    <w:r w:rsidRPr="009F3DD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090B9" w14:textId="77777777" w:rsidR="009F3DD2" w:rsidRDefault="009F3DD2" w:rsidP="009F3DD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511E8">
      <w:rPr>
        <w:rFonts w:ascii="FrankRuehl" w:hAnsi="FrankRuehl" w:cs="FrankRuehl"/>
        <w:noProof/>
        <w:rtl/>
      </w:rPr>
      <w:t>1</w:t>
    </w:r>
    <w:r>
      <w:rPr>
        <w:rFonts w:ascii="FrankRuehl" w:hAnsi="FrankRuehl" w:cs="FrankRuehl"/>
        <w:rtl/>
      </w:rPr>
      <w:fldChar w:fldCharType="end"/>
    </w:r>
  </w:p>
  <w:p w14:paraId="6ACCE657" w14:textId="77777777" w:rsidR="009E132E" w:rsidRPr="009F3DD2" w:rsidRDefault="009F3DD2" w:rsidP="009F3DD2">
    <w:pPr>
      <w:pStyle w:val="a5"/>
      <w:pBdr>
        <w:top w:val="single" w:sz="4" w:space="1" w:color="auto"/>
        <w:between w:val="single" w:sz="4" w:space="0" w:color="auto"/>
      </w:pBdr>
      <w:spacing w:after="60"/>
      <w:jc w:val="center"/>
      <w:rPr>
        <w:rFonts w:ascii="FrankRuehl" w:hAnsi="FrankRuehl" w:cs="FrankRuehl"/>
        <w:color w:val="000000"/>
      </w:rPr>
    </w:pPr>
    <w:r w:rsidRPr="009F3DD2">
      <w:rPr>
        <w:rFonts w:ascii="FrankRuehl" w:hAnsi="FrankRuehl" w:cs="FrankRuehl"/>
        <w:color w:val="000000"/>
      </w:rPr>
      <w:pict w14:anchorId="419693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4C95C" w14:textId="77777777" w:rsidR="00CA308F" w:rsidRDefault="00CA308F" w:rsidP="00D61EFF">
      <w:r>
        <w:separator/>
      </w:r>
    </w:p>
  </w:footnote>
  <w:footnote w:type="continuationSeparator" w:id="0">
    <w:p w14:paraId="5159E92F" w14:textId="77777777" w:rsidR="00CA308F" w:rsidRDefault="00CA308F" w:rsidP="00D61E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AC008" w14:textId="77777777" w:rsidR="00B31F4C" w:rsidRPr="009F3DD2" w:rsidRDefault="009F3DD2" w:rsidP="009F3DD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48621-05-22</w:t>
    </w:r>
    <w:r>
      <w:rPr>
        <w:rFonts w:ascii="David" w:hAnsi="David"/>
        <w:color w:val="000000"/>
        <w:sz w:val="22"/>
        <w:szCs w:val="22"/>
        <w:rtl/>
      </w:rPr>
      <w:tab/>
      <w:t xml:space="preserve"> מדינת ישראל נ' פורסאן מחאמיד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CB891" w14:textId="77777777" w:rsidR="00B31F4C" w:rsidRPr="009F3DD2" w:rsidRDefault="009F3DD2" w:rsidP="009F3DD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48621-05-22</w:t>
    </w:r>
    <w:r>
      <w:rPr>
        <w:rFonts w:ascii="David" w:hAnsi="David"/>
        <w:color w:val="000000"/>
        <w:sz w:val="22"/>
        <w:szCs w:val="22"/>
        <w:rtl/>
      </w:rPr>
      <w:tab/>
      <w:t xml:space="preserve"> מדינת ישראל נ' פורסאן מחאמיד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23AAC"/>
    <w:rsid w:val="001B5A3B"/>
    <w:rsid w:val="003822F0"/>
    <w:rsid w:val="004720F4"/>
    <w:rsid w:val="006A760C"/>
    <w:rsid w:val="009B4D07"/>
    <w:rsid w:val="009E132E"/>
    <w:rsid w:val="009F3DD2"/>
    <w:rsid w:val="00A125F6"/>
    <w:rsid w:val="00AB0FB6"/>
    <w:rsid w:val="00AD173D"/>
    <w:rsid w:val="00B31F4C"/>
    <w:rsid w:val="00CA308F"/>
    <w:rsid w:val="00D61EFF"/>
    <w:rsid w:val="00E23AAC"/>
    <w:rsid w:val="00F36ACB"/>
    <w:rsid w:val="00F511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1B1768"/>
  <w15:chartTrackingRefBased/>
  <w15:docId w15:val="{CE8E69B6-AF17-4621-A388-D7A9AE2E6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23AA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23AAC"/>
    <w:pPr>
      <w:tabs>
        <w:tab w:val="center" w:pos="4153"/>
        <w:tab w:val="right" w:pos="8306"/>
      </w:tabs>
    </w:pPr>
  </w:style>
  <w:style w:type="character" w:customStyle="1" w:styleId="a4">
    <w:name w:val="כותרת עליונה תו"/>
    <w:link w:val="a3"/>
    <w:rsid w:val="00E23AAC"/>
    <w:rPr>
      <w:rFonts w:ascii="Times New Roman" w:eastAsia="Times New Roman" w:hAnsi="Times New Roman" w:cs="David"/>
      <w:sz w:val="24"/>
      <w:szCs w:val="24"/>
    </w:rPr>
  </w:style>
  <w:style w:type="paragraph" w:styleId="a5">
    <w:name w:val="footer"/>
    <w:basedOn w:val="a"/>
    <w:link w:val="a6"/>
    <w:rsid w:val="00E23AAC"/>
    <w:pPr>
      <w:tabs>
        <w:tab w:val="center" w:pos="4153"/>
        <w:tab w:val="right" w:pos="8306"/>
      </w:tabs>
    </w:pPr>
  </w:style>
  <w:style w:type="character" w:customStyle="1" w:styleId="a6">
    <w:name w:val="כותרת תחתונה תו"/>
    <w:link w:val="a5"/>
    <w:rsid w:val="00E23AAC"/>
    <w:rPr>
      <w:rFonts w:ascii="Times New Roman" w:eastAsia="Times New Roman" w:hAnsi="Times New Roman" w:cs="David"/>
      <w:sz w:val="24"/>
      <w:szCs w:val="24"/>
    </w:rPr>
  </w:style>
  <w:style w:type="table" w:styleId="a7">
    <w:name w:val="Table Grid"/>
    <w:basedOn w:val="a1"/>
    <w:rsid w:val="00E23AA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23AAC"/>
  </w:style>
  <w:style w:type="character" w:styleId="Hyperlink">
    <w:name w:val="Hyperlink"/>
    <w:rsid w:val="00B31F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c.1" TargetMode="External"/><Relationship Id="rId21" Type="http://schemas.openxmlformats.org/officeDocument/2006/relationships/hyperlink" Target="http://www.nevo.co.il/law/5227/67" TargetMode="External"/><Relationship Id="rId42" Type="http://schemas.openxmlformats.org/officeDocument/2006/relationships/hyperlink" Target="http://www.nevo.co.il/law/70301/40i.a" TargetMode="External"/><Relationship Id="rId47" Type="http://schemas.openxmlformats.org/officeDocument/2006/relationships/hyperlink" Target="http://www.nevo.co.il/case/26747892" TargetMode="External"/><Relationship Id="rId63" Type="http://schemas.openxmlformats.org/officeDocument/2006/relationships/hyperlink" Target="http://www.nevo.co.il/case/25824863" TargetMode="External"/><Relationship Id="rId68" Type="http://schemas.openxmlformats.org/officeDocument/2006/relationships/hyperlink" Target="http://www.nevo.co.il/case/5713850" TargetMode="External"/><Relationship Id="rId84" Type="http://schemas.openxmlformats.org/officeDocument/2006/relationships/header" Target="header1.xml"/><Relationship Id="rId89" Type="http://schemas.openxmlformats.org/officeDocument/2006/relationships/theme" Target="theme/theme1.xml"/><Relationship Id="rId16" Type="http://schemas.openxmlformats.org/officeDocument/2006/relationships/hyperlink" Target="http://www.nevo.co.il/law/70301/335.a.1" TargetMode="External"/><Relationship Id="rId11" Type="http://schemas.openxmlformats.org/officeDocument/2006/relationships/hyperlink" Target="http://www.nevo.co.il/law/70301/144.a" TargetMode="External"/><Relationship Id="rId32" Type="http://schemas.openxmlformats.org/officeDocument/2006/relationships/hyperlink" Target="http://www.nevo.co.il/law/5227" TargetMode="External"/><Relationship Id="rId37" Type="http://schemas.openxmlformats.org/officeDocument/2006/relationships/hyperlink" Target="http://www.nevo.co.il/case/26583264" TargetMode="External"/><Relationship Id="rId53" Type="http://schemas.openxmlformats.org/officeDocument/2006/relationships/hyperlink" Target="http://www.nevo.co.il/case/27309272" TargetMode="External"/><Relationship Id="rId58" Type="http://schemas.openxmlformats.org/officeDocument/2006/relationships/hyperlink" Target="http://www.nevo.co.il/case/26905927" TargetMode="External"/><Relationship Id="rId74" Type="http://schemas.openxmlformats.org/officeDocument/2006/relationships/hyperlink" Target="http://www.nevo.co.il/case/28697227" TargetMode="External"/><Relationship Id="rId79" Type="http://schemas.openxmlformats.org/officeDocument/2006/relationships/hyperlink" Target="http://www.nevo.co.il/case/22301096" TargetMode="External"/><Relationship Id="rId5" Type="http://schemas.openxmlformats.org/officeDocument/2006/relationships/endnotes" Target="endnotes.xml"/><Relationship Id="rId14" Type="http://schemas.openxmlformats.org/officeDocument/2006/relationships/hyperlink" Target="http://www.nevo.co.il/law/70301/192" TargetMode="External"/><Relationship Id="rId22" Type="http://schemas.openxmlformats.org/officeDocument/2006/relationships/hyperlink" Target="http://www.nevo.co.il/law/7450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380" TargetMode="External"/><Relationship Id="rId35" Type="http://schemas.openxmlformats.org/officeDocument/2006/relationships/hyperlink" Target="http://www.nevo.co.il/law/74501/2.a"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27603872" TargetMode="External"/><Relationship Id="rId56" Type="http://schemas.openxmlformats.org/officeDocument/2006/relationships/hyperlink" Target="http://www.nevo.co.il/case/26538254" TargetMode="External"/><Relationship Id="rId64" Type="http://schemas.openxmlformats.org/officeDocument/2006/relationships/hyperlink" Target="http://www.nevo.co.il/law/70301/40i.a.5" TargetMode="External"/><Relationship Id="rId69" Type="http://schemas.openxmlformats.org/officeDocument/2006/relationships/hyperlink" Target="http://www.nevo.co.il/case/7977312" TargetMode="External"/><Relationship Id="rId77" Type="http://schemas.openxmlformats.org/officeDocument/2006/relationships/hyperlink" Target="http://www.nevo.co.il/case/27115374" TargetMode="External"/><Relationship Id="rId8" Type="http://schemas.openxmlformats.org/officeDocument/2006/relationships/hyperlink" Target="http://www.nevo.co.il/law/70301/40i.a" TargetMode="External"/><Relationship Id="rId51" Type="http://schemas.openxmlformats.org/officeDocument/2006/relationships/hyperlink" Target="http://www.nevo.co.il/case/27693610" TargetMode="External"/><Relationship Id="rId72" Type="http://schemas.openxmlformats.org/officeDocument/2006/relationships/hyperlink" Target="http://www.nevo.co.il/case/25546727" TargetMode="External"/><Relationship Id="rId80" Type="http://schemas.openxmlformats.org/officeDocument/2006/relationships/hyperlink" Target="http://www.nevo.co.il/case/7674250" TargetMode="External"/><Relationship Id="rId85" Type="http://schemas.openxmlformats.org/officeDocument/2006/relationships/header" Target="header2.xml"/><Relationship Id="rId3" Type="http://schemas.openxmlformats.org/officeDocument/2006/relationships/webSettings" Target="web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380" TargetMode="External"/><Relationship Id="rId25" Type="http://schemas.openxmlformats.org/officeDocument/2006/relationships/hyperlink" Target="http://www.nevo.co.il/law/70301/144.b" TargetMode="External"/><Relationship Id="rId33" Type="http://schemas.openxmlformats.org/officeDocument/2006/relationships/hyperlink" Target="http://www.nevo.co.il/law/5227/10.a" TargetMode="External"/><Relationship Id="rId38" Type="http://schemas.openxmlformats.org/officeDocument/2006/relationships/hyperlink" Target="http://www.nevo.co.il/case/26583264" TargetMode="External"/><Relationship Id="rId46" Type="http://schemas.openxmlformats.org/officeDocument/2006/relationships/hyperlink" Target="http://www.nevo.co.il/case/27907602" TargetMode="External"/><Relationship Id="rId59" Type="http://schemas.openxmlformats.org/officeDocument/2006/relationships/hyperlink" Target="http://www.nevo.co.il/law/70301" TargetMode="External"/><Relationship Id="rId67" Type="http://schemas.openxmlformats.org/officeDocument/2006/relationships/hyperlink" Target="http://www.nevo.co.il/case/6133293" TargetMode="External"/><Relationship Id="rId20" Type="http://schemas.openxmlformats.org/officeDocument/2006/relationships/hyperlink" Target="http://www.nevo.co.il/law/5227/62.1"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25612982" TargetMode="External"/><Relationship Id="rId62" Type="http://schemas.openxmlformats.org/officeDocument/2006/relationships/hyperlink" Target="http://www.nevo.co.il/law/70301" TargetMode="External"/><Relationship Id="rId70" Type="http://schemas.openxmlformats.org/officeDocument/2006/relationships/hyperlink" Target="http://www.nevo.co.il/case/25824863" TargetMode="External"/><Relationship Id="rId75" Type="http://schemas.openxmlformats.org/officeDocument/2006/relationships/hyperlink" Target="http://www.nevo.co.il/case/28916087" TargetMode="External"/><Relationship Id="rId83" Type="http://schemas.openxmlformats.org/officeDocument/2006/relationships/hyperlink" Target="http://www.nevo.co.il/advertisements/nevo-100.doc" TargetMode="External"/><Relationship Id="rId88"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33" TargetMode="External"/><Relationship Id="rId23" Type="http://schemas.openxmlformats.org/officeDocument/2006/relationships/hyperlink" Target="http://www.nevo.co.il/law/74501/2.a" TargetMode="External"/><Relationship Id="rId28" Type="http://schemas.openxmlformats.org/officeDocument/2006/relationships/hyperlink" Target="http://www.nevo.co.il/law/70301/333;335.a.1" TargetMode="External"/><Relationship Id="rId36" Type="http://schemas.openxmlformats.org/officeDocument/2006/relationships/hyperlink" Target="http://www.nevo.co.il/law/74501" TargetMode="External"/><Relationship Id="rId49" Type="http://schemas.openxmlformats.org/officeDocument/2006/relationships/hyperlink" Target="http://www.nevo.co.il/case/27115374" TargetMode="External"/><Relationship Id="rId57" Type="http://schemas.openxmlformats.org/officeDocument/2006/relationships/hyperlink" Target="http://www.nevo.co.il/case/27648787" TargetMode="External"/><Relationship Id="rId10" Type="http://schemas.openxmlformats.org/officeDocument/2006/relationships/hyperlink" Target="http://www.nevo.co.il/law/70301/144" TargetMode="External"/><Relationship Id="rId31" Type="http://schemas.openxmlformats.org/officeDocument/2006/relationships/hyperlink" Target="http://www.nevo.co.il/law/5227/67" TargetMode="External"/><Relationship Id="rId44" Type="http://schemas.openxmlformats.org/officeDocument/2006/relationships/hyperlink" Target="http://www.nevo.co.il/case/27734980" TargetMode="External"/><Relationship Id="rId52" Type="http://schemas.openxmlformats.org/officeDocument/2006/relationships/hyperlink" Target="http://www.nevo.co.il/case/26986954" TargetMode="External"/><Relationship Id="rId60" Type="http://schemas.openxmlformats.org/officeDocument/2006/relationships/hyperlink" Target="http://www.nevo.co.il/law/70301" TargetMode="External"/><Relationship Id="rId65" Type="http://schemas.openxmlformats.org/officeDocument/2006/relationships/hyperlink" Target="http://www.nevo.co.il/law/70301" TargetMode="External"/><Relationship Id="rId73" Type="http://schemas.openxmlformats.org/officeDocument/2006/relationships/hyperlink" Target="http://www.nevo.co.il/case/28883087" TargetMode="External"/><Relationship Id="rId78" Type="http://schemas.openxmlformats.org/officeDocument/2006/relationships/hyperlink" Target="http://www.nevo.co.il/case/5906202" TargetMode="External"/><Relationship Id="rId81" Type="http://schemas.openxmlformats.org/officeDocument/2006/relationships/hyperlink" Target="http://www.nevo.co.il/case/26583264" TargetMode="External"/><Relationship Id="rId86"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40i.a.5" TargetMode="External"/><Relationship Id="rId13" Type="http://schemas.openxmlformats.org/officeDocument/2006/relationships/hyperlink" Target="http://www.nevo.co.il/law/70301/144.c.1" TargetMode="External"/><Relationship Id="rId18" Type="http://schemas.openxmlformats.org/officeDocument/2006/relationships/hyperlink" Target="http://www.nevo.co.il/law/5227" TargetMode="External"/><Relationship Id="rId39" Type="http://schemas.openxmlformats.org/officeDocument/2006/relationships/hyperlink" Target="http://www.nevo.co.il/case/26583264" TargetMode="External"/><Relationship Id="rId34" Type="http://schemas.openxmlformats.org/officeDocument/2006/relationships/hyperlink" Target="http://www.nevo.co.il/law/5227/62.1" TargetMode="External"/><Relationship Id="rId50" Type="http://schemas.openxmlformats.org/officeDocument/2006/relationships/hyperlink" Target="http://www.nevo.co.il/case/22006503" TargetMode="External"/><Relationship Id="rId55" Type="http://schemas.openxmlformats.org/officeDocument/2006/relationships/hyperlink" Target="http://www.nevo.co.il/case/26934681" TargetMode="External"/><Relationship Id="rId76" Type="http://schemas.openxmlformats.org/officeDocument/2006/relationships/hyperlink" Target="http://www.nevo.co.il/case/27933514" TargetMode="External"/><Relationship Id="rId7" Type="http://schemas.openxmlformats.org/officeDocument/2006/relationships/hyperlink" Target="http://www.nevo.co.il/law/70301/40b" TargetMode="External"/><Relationship Id="rId71" Type="http://schemas.openxmlformats.org/officeDocument/2006/relationships/hyperlink" Target="http://www.nevo.co.il/case/25528733" TargetMode="External"/><Relationship Id="rId2" Type="http://schemas.openxmlformats.org/officeDocument/2006/relationships/settings" Target="settings.xml"/><Relationship Id="rId29" Type="http://schemas.openxmlformats.org/officeDocument/2006/relationships/hyperlink" Target="http://www.nevo.co.il/law/70301/192" TargetMode="External"/><Relationship Id="rId24" Type="http://schemas.openxmlformats.org/officeDocument/2006/relationships/hyperlink" Target="http://www.nevo.co.il/law/70301/144.a" TargetMode="External"/><Relationship Id="rId40" Type="http://schemas.openxmlformats.org/officeDocument/2006/relationships/hyperlink" Target="http://www.nevo.co.il/law/70301/40b" TargetMode="External"/><Relationship Id="rId45" Type="http://schemas.openxmlformats.org/officeDocument/2006/relationships/hyperlink" Target="http://www.nevo.co.il/case/25824863" TargetMode="External"/><Relationship Id="rId66" Type="http://schemas.openxmlformats.org/officeDocument/2006/relationships/hyperlink" Target="http://www.nevo.co.il/case/17947529" TargetMode="External"/><Relationship Id="rId87" Type="http://schemas.openxmlformats.org/officeDocument/2006/relationships/footer" Target="footer2.xml"/><Relationship Id="rId61" Type="http://schemas.openxmlformats.org/officeDocument/2006/relationships/hyperlink" Target="http://www.nevo.co.il/law/70301/144" TargetMode="External"/><Relationship Id="rId82" Type="http://schemas.openxmlformats.org/officeDocument/2006/relationships/hyperlink" Target="http://www.nevo.co.il/case/26583264" TargetMode="External"/><Relationship Id="rId19" Type="http://schemas.openxmlformats.org/officeDocument/2006/relationships/hyperlink" Target="http://www.nevo.co.il/law/5227/10.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5652</Words>
  <Characters>28264</Characters>
  <Application>Microsoft Office Word</Application>
  <DocSecurity>0</DocSecurity>
  <Lines>235</Lines>
  <Paragraphs>67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33849</CharactersWithSpaces>
  <SharedDoc>false</SharedDoc>
  <HLinks>
    <vt:vector size="468" baseType="variant">
      <vt:variant>
        <vt:i4>393283</vt:i4>
      </vt:variant>
      <vt:variant>
        <vt:i4>231</vt:i4>
      </vt:variant>
      <vt:variant>
        <vt:i4>0</vt:i4>
      </vt:variant>
      <vt:variant>
        <vt:i4>5</vt:i4>
      </vt:variant>
      <vt:variant>
        <vt:lpwstr>http://www.nevo.co.il/advertisements/nevo-100.doc</vt:lpwstr>
      </vt:variant>
      <vt:variant>
        <vt:lpwstr/>
      </vt:variant>
      <vt:variant>
        <vt:i4>3276920</vt:i4>
      </vt:variant>
      <vt:variant>
        <vt:i4>228</vt:i4>
      </vt:variant>
      <vt:variant>
        <vt:i4>0</vt:i4>
      </vt:variant>
      <vt:variant>
        <vt:i4>5</vt:i4>
      </vt:variant>
      <vt:variant>
        <vt:lpwstr>http://www.nevo.co.il/case/26583264</vt:lpwstr>
      </vt:variant>
      <vt:variant>
        <vt:lpwstr/>
      </vt:variant>
      <vt:variant>
        <vt:i4>3276920</vt:i4>
      </vt:variant>
      <vt:variant>
        <vt:i4>225</vt:i4>
      </vt:variant>
      <vt:variant>
        <vt:i4>0</vt:i4>
      </vt:variant>
      <vt:variant>
        <vt:i4>5</vt:i4>
      </vt:variant>
      <vt:variant>
        <vt:lpwstr>http://www.nevo.co.il/case/26583264</vt:lpwstr>
      </vt:variant>
      <vt:variant>
        <vt:lpwstr/>
      </vt:variant>
      <vt:variant>
        <vt:i4>3276915</vt:i4>
      </vt:variant>
      <vt:variant>
        <vt:i4>222</vt:i4>
      </vt:variant>
      <vt:variant>
        <vt:i4>0</vt:i4>
      </vt:variant>
      <vt:variant>
        <vt:i4>5</vt:i4>
      </vt:variant>
      <vt:variant>
        <vt:lpwstr>http://www.nevo.co.il/case/7674250</vt:lpwstr>
      </vt:variant>
      <vt:variant>
        <vt:lpwstr/>
      </vt:variant>
      <vt:variant>
        <vt:i4>3735670</vt:i4>
      </vt:variant>
      <vt:variant>
        <vt:i4>219</vt:i4>
      </vt:variant>
      <vt:variant>
        <vt:i4>0</vt:i4>
      </vt:variant>
      <vt:variant>
        <vt:i4>5</vt:i4>
      </vt:variant>
      <vt:variant>
        <vt:lpwstr>http://www.nevo.co.il/case/22301096</vt:lpwstr>
      </vt:variant>
      <vt:variant>
        <vt:lpwstr/>
      </vt:variant>
      <vt:variant>
        <vt:i4>3473531</vt:i4>
      </vt:variant>
      <vt:variant>
        <vt:i4>216</vt:i4>
      </vt:variant>
      <vt:variant>
        <vt:i4>0</vt:i4>
      </vt:variant>
      <vt:variant>
        <vt:i4>5</vt:i4>
      </vt:variant>
      <vt:variant>
        <vt:lpwstr>http://www.nevo.co.il/case/5906202</vt:lpwstr>
      </vt:variant>
      <vt:variant>
        <vt:lpwstr/>
      </vt:variant>
      <vt:variant>
        <vt:i4>3211377</vt:i4>
      </vt:variant>
      <vt:variant>
        <vt:i4>213</vt:i4>
      </vt:variant>
      <vt:variant>
        <vt:i4>0</vt:i4>
      </vt:variant>
      <vt:variant>
        <vt:i4>5</vt:i4>
      </vt:variant>
      <vt:variant>
        <vt:lpwstr>http://www.nevo.co.il/case/27115374</vt:lpwstr>
      </vt:variant>
      <vt:variant>
        <vt:lpwstr/>
      </vt:variant>
      <vt:variant>
        <vt:i4>3735669</vt:i4>
      </vt:variant>
      <vt:variant>
        <vt:i4>210</vt:i4>
      </vt:variant>
      <vt:variant>
        <vt:i4>0</vt:i4>
      </vt:variant>
      <vt:variant>
        <vt:i4>5</vt:i4>
      </vt:variant>
      <vt:variant>
        <vt:lpwstr>http://www.nevo.co.il/case/27933514</vt:lpwstr>
      </vt:variant>
      <vt:variant>
        <vt:lpwstr/>
      </vt:variant>
      <vt:variant>
        <vt:i4>3473533</vt:i4>
      </vt:variant>
      <vt:variant>
        <vt:i4>207</vt:i4>
      </vt:variant>
      <vt:variant>
        <vt:i4>0</vt:i4>
      </vt:variant>
      <vt:variant>
        <vt:i4>5</vt:i4>
      </vt:variant>
      <vt:variant>
        <vt:lpwstr>http://www.nevo.co.il/case/28916087</vt:lpwstr>
      </vt:variant>
      <vt:variant>
        <vt:lpwstr/>
      </vt:variant>
      <vt:variant>
        <vt:i4>3211383</vt:i4>
      </vt:variant>
      <vt:variant>
        <vt:i4>204</vt:i4>
      </vt:variant>
      <vt:variant>
        <vt:i4>0</vt:i4>
      </vt:variant>
      <vt:variant>
        <vt:i4>5</vt:i4>
      </vt:variant>
      <vt:variant>
        <vt:lpwstr>http://www.nevo.co.il/case/28697227</vt:lpwstr>
      </vt:variant>
      <vt:variant>
        <vt:lpwstr/>
      </vt:variant>
      <vt:variant>
        <vt:i4>3211380</vt:i4>
      </vt:variant>
      <vt:variant>
        <vt:i4>201</vt:i4>
      </vt:variant>
      <vt:variant>
        <vt:i4>0</vt:i4>
      </vt:variant>
      <vt:variant>
        <vt:i4>5</vt:i4>
      </vt:variant>
      <vt:variant>
        <vt:lpwstr>http://www.nevo.co.il/case/28883087</vt:lpwstr>
      </vt:variant>
      <vt:variant>
        <vt:lpwstr/>
      </vt:variant>
      <vt:variant>
        <vt:i4>3342450</vt:i4>
      </vt:variant>
      <vt:variant>
        <vt:i4>198</vt:i4>
      </vt:variant>
      <vt:variant>
        <vt:i4>0</vt:i4>
      </vt:variant>
      <vt:variant>
        <vt:i4>5</vt:i4>
      </vt:variant>
      <vt:variant>
        <vt:lpwstr>http://www.nevo.co.il/case/25546727</vt:lpwstr>
      </vt:variant>
      <vt:variant>
        <vt:lpwstr/>
      </vt:variant>
      <vt:variant>
        <vt:i4>3932276</vt:i4>
      </vt:variant>
      <vt:variant>
        <vt:i4>195</vt:i4>
      </vt:variant>
      <vt:variant>
        <vt:i4>0</vt:i4>
      </vt:variant>
      <vt:variant>
        <vt:i4>5</vt:i4>
      </vt:variant>
      <vt:variant>
        <vt:lpwstr>http://www.nevo.co.il/case/25528733</vt:lpwstr>
      </vt:variant>
      <vt:variant>
        <vt:lpwstr/>
      </vt:variant>
      <vt:variant>
        <vt:i4>3670139</vt:i4>
      </vt:variant>
      <vt:variant>
        <vt:i4>192</vt:i4>
      </vt:variant>
      <vt:variant>
        <vt:i4>0</vt:i4>
      </vt:variant>
      <vt:variant>
        <vt:i4>5</vt:i4>
      </vt:variant>
      <vt:variant>
        <vt:lpwstr>http://www.nevo.co.il/case/25824863</vt:lpwstr>
      </vt:variant>
      <vt:variant>
        <vt:lpwstr/>
      </vt:variant>
      <vt:variant>
        <vt:i4>3211387</vt:i4>
      </vt:variant>
      <vt:variant>
        <vt:i4>189</vt:i4>
      </vt:variant>
      <vt:variant>
        <vt:i4>0</vt:i4>
      </vt:variant>
      <vt:variant>
        <vt:i4>5</vt:i4>
      </vt:variant>
      <vt:variant>
        <vt:lpwstr>http://www.nevo.co.il/case/7977312</vt:lpwstr>
      </vt:variant>
      <vt:variant>
        <vt:lpwstr/>
      </vt:variant>
      <vt:variant>
        <vt:i4>3932277</vt:i4>
      </vt:variant>
      <vt:variant>
        <vt:i4>186</vt:i4>
      </vt:variant>
      <vt:variant>
        <vt:i4>0</vt:i4>
      </vt:variant>
      <vt:variant>
        <vt:i4>5</vt:i4>
      </vt:variant>
      <vt:variant>
        <vt:lpwstr>http://www.nevo.co.il/case/5713850</vt:lpwstr>
      </vt:variant>
      <vt:variant>
        <vt:lpwstr/>
      </vt:variant>
      <vt:variant>
        <vt:i4>3407999</vt:i4>
      </vt:variant>
      <vt:variant>
        <vt:i4>183</vt:i4>
      </vt:variant>
      <vt:variant>
        <vt:i4>0</vt:i4>
      </vt:variant>
      <vt:variant>
        <vt:i4>5</vt:i4>
      </vt:variant>
      <vt:variant>
        <vt:lpwstr>http://www.nevo.co.il/case/6133293</vt:lpwstr>
      </vt:variant>
      <vt:variant>
        <vt:lpwstr/>
      </vt:variant>
      <vt:variant>
        <vt:i4>3997810</vt:i4>
      </vt:variant>
      <vt:variant>
        <vt:i4>180</vt:i4>
      </vt:variant>
      <vt:variant>
        <vt:i4>0</vt:i4>
      </vt:variant>
      <vt:variant>
        <vt:i4>5</vt:i4>
      </vt:variant>
      <vt:variant>
        <vt:lpwstr>http://www.nevo.co.il/case/17947529</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6619241</vt:i4>
      </vt:variant>
      <vt:variant>
        <vt:i4>174</vt:i4>
      </vt:variant>
      <vt:variant>
        <vt:i4>0</vt:i4>
      </vt:variant>
      <vt:variant>
        <vt:i4>5</vt:i4>
      </vt:variant>
      <vt:variant>
        <vt:lpwstr>http://www.nevo.co.il/law/70301/40i.a.5</vt:lpwstr>
      </vt:variant>
      <vt:variant>
        <vt:lpwstr/>
      </vt:variant>
      <vt:variant>
        <vt:i4>3670139</vt:i4>
      </vt:variant>
      <vt:variant>
        <vt:i4>171</vt:i4>
      </vt:variant>
      <vt:variant>
        <vt:i4>0</vt:i4>
      </vt:variant>
      <vt:variant>
        <vt:i4>5</vt:i4>
      </vt:variant>
      <vt:variant>
        <vt:lpwstr>http://www.nevo.co.il/case/25824863</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6357092</vt:i4>
      </vt:variant>
      <vt:variant>
        <vt:i4>165</vt:i4>
      </vt:variant>
      <vt:variant>
        <vt:i4>0</vt:i4>
      </vt:variant>
      <vt:variant>
        <vt:i4>5</vt:i4>
      </vt:variant>
      <vt:variant>
        <vt:lpwstr>http://www.nevo.co.il/law/70301/144</vt:lpwstr>
      </vt:variant>
      <vt:variant>
        <vt:lpwstr/>
      </vt:variant>
      <vt:variant>
        <vt:i4>7995492</vt:i4>
      </vt:variant>
      <vt:variant>
        <vt:i4>162</vt:i4>
      </vt:variant>
      <vt:variant>
        <vt:i4>0</vt:i4>
      </vt:variant>
      <vt:variant>
        <vt:i4>5</vt:i4>
      </vt:variant>
      <vt:variant>
        <vt:lpwstr>http://www.nevo.co.il/law/70301</vt:lpwstr>
      </vt:variant>
      <vt:variant>
        <vt:lpwstr/>
      </vt:variant>
      <vt:variant>
        <vt:i4>7995492</vt:i4>
      </vt:variant>
      <vt:variant>
        <vt:i4>159</vt:i4>
      </vt:variant>
      <vt:variant>
        <vt:i4>0</vt:i4>
      </vt:variant>
      <vt:variant>
        <vt:i4>5</vt:i4>
      </vt:variant>
      <vt:variant>
        <vt:lpwstr>http://www.nevo.co.il/law/70301</vt:lpwstr>
      </vt:variant>
      <vt:variant>
        <vt:lpwstr/>
      </vt:variant>
      <vt:variant>
        <vt:i4>3932283</vt:i4>
      </vt:variant>
      <vt:variant>
        <vt:i4>156</vt:i4>
      </vt:variant>
      <vt:variant>
        <vt:i4>0</vt:i4>
      </vt:variant>
      <vt:variant>
        <vt:i4>5</vt:i4>
      </vt:variant>
      <vt:variant>
        <vt:lpwstr>http://www.nevo.co.il/case/26905927</vt:lpwstr>
      </vt:variant>
      <vt:variant>
        <vt:lpwstr/>
      </vt:variant>
      <vt:variant>
        <vt:i4>3407984</vt:i4>
      </vt:variant>
      <vt:variant>
        <vt:i4>153</vt:i4>
      </vt:variant>
      <vt:variant>
        <vt:i4>0</vt:i4>
      </vt:variant>
      <vt:variant>
        <vt:i4>5</vt:i4>
      </vt:variant>
      <vt:variant>
        <vt:lpwstr>http://www.nevo.co.il/case/27648787</vt:lpwstr>
      </vt:variant>
      <vt:variant>
        <vt:lpwstr/>
      </vt:variant>
      <vt:variant>
        <vt:i4>3801203</vt:i4>
      </vt:variant>
      <vt:variant>
        <vt:i4>150</vt:i4>
      </vt:variant>
      <vt:variant>
        <vt:i4>0</vt:i4>
      </vt:variant>
      <vt:variant>
        <vt:i4>5</vt:i4>
      </vt:variant>
      <vt:variant>
        <vt:lpwstr>http://www.nevo.co.il/case/26538254</vt:lpwstr>
      </vt:variant>
      <vt:variant>
        <vt:lpwstr/>
      </vt:variant>
      <vt:variant>
        <vt:i4>3604599</vt:i4>
      </vt:variant>
      <vt:variant>
        <vt:i4>147</vt:i4>
      </vt:variant>
      <vt:variant>
        <vt:i4>0</vt:i4>
      </vt:variant>
      <vt:variant>
        <vt:i4>5</vt:i4>
      </vt:variant>
      <vt:variant>
        <vt:lpwstr>http://www.nevo.co.il/case/26934681</vt:lpwstr>
      </vt:variant>
      <vt:variant>
        <vt:lpwstr/>
      </vt:variant>
      <vt:variant>
        <vt:i4>4063353</vt:i4>
      </vt:variant>
      <vt:variant>
        <vt:i4>144</vt:i4>
      </vt:variant>
      <vt:variant>
        <vt:i4>0</vt:i4>
      </vt:variant>
      <vt:variant>
        <vt:i4>5</vt:i4>
      </vt:variant>
      <vt:variant>
        <vt:lpwstr>http://www.nevo.co.il/case/25612982</vt:lpwstr>
      </vt:variant>
      <vt:variant>
        <vt:lpwstr/>
      </vt:variant>
      <vt:variant>
        <vt:i4>4128881</vt:i4>
      </vt:variant>
      <vt:variant>
        <vt:i4>141</vt:i4>
      </vt:variant>
      <vt:variant>
        <vt:i4>0</vt:i4>
      </vt:variant>
      <vt:variant>
        <vt:i4>5</vt:i4>
      </vt:variant>
      <vt:variant>
        <vt:lpwstr>http://www.nevo.co.il/case/27309272</vt:lpwstr>
      </vt:variant>
      <vt:variant>
        <vt:lpwstr/>
      </vt:variant>
      <vt:variant>
        <vt:i4>3670131</vt:i4>
      </vt:variant>
      <vt:variant>
        <vt:i4>138</vt:i4>
      </vt:variant>
      <vt:variant>
        <vt:i4>0</vt:i4>
      </vt:variant>
      <vt:variant>
        <vt:i4>5</vt:i4>
      </vt:variant>
      <vt:variant>
        <vt:lpwstr>http://www.nevo.co.il/case/26986954</vt:lpwstr>
      </vt:variant>
      <vt:variant>
        <vt:lpwstr/>
      </vt:variant>
      <vt:variant>
        <vt:i4>3539068</vt:i4>
      </vt:variant>
      <vt:variant>
        <vt:i4>135</vt:i4>
      </vt:variant>
      <vt:variant>
        <vt:i4>0</vt:i4>
      </vt:variant>
      <vt:variant>
        <vt:i4>5</vt:i4>
      </vt:variant>
      <vt:variant>
        <vt:lpwstr>http://www.nevo.co.il/case/27693610</vt:lpwstr>
      </vt:variant>
      <vt:variant>
        <vt:lpwstr/>
      </vt:variant>
      <vt:variant>
        <vt:i4>3407987</vt:i4>
      </vt:variant>
      <vt:variant>
        <vt:i4>132</vt:i4>
      </vt:variant>
      <vt:variant>
        <vt:i4>0</vt:i4>
      </vt:variant>
      <vt:variant>
        <vt:i4>5</vt:i4>
      </vt:variant>
      <vt:variant>
        <vt:lpwstr>http://www.nevo.co.il/case/22006503</vt:lpwstr>
      </vt:variant>
      <vt:variant>
        <vt:lpwstr/>
      </vt:variant>
      <vt:variant>
        <vt:i4>3211377</vt:i4>
      </vt:variant>
      <vt:variant>
        <vt:i4>129</vt:i4>
      </vt:variant>
      <vt:variant>
        <vt:i4>0</vt:i4>
      </vt:variant>
      <vt:variant>
        <vt:i4>5</vt:i4>
      </vt:variant>
      <vt:variant>
        <vt:lpwstr>http://www.nevo.co.il/case/27115374</vt:lpwstr>
      </vt:variant>
      <vt:variant>
        <vt:lpwstr/>
      </vt:variant>
      <vt:variant>
        <vt:i4>3145851</vt:i4>
      </vt:variant>
      <vt:variant>
        <vt:i4>126</vt:i4>
      </vt:variant>
      <vt:variant>
        <vt:i4>0</vt:i4>
      </vt:variant>
      <vt:variant>
        <vt:i4>5</vt:i4>
      </vt:variant>
      <vt:variant>
        <vt:lpwstr>http://www.nevo.co.il/case/27603872</vt:lpwstr>
      </vt:variant>
      <vt:variant>
        <vt:lpwstr/>
      </vt:variant>
      <vt:variant>
        <vt:i4>3866750</vt:i4>
      </vt:variant>
      <vt:variant>
        <vt:i4>123</vt:i4>
      </vt:variant>
      <vt:variant>
        <vt:i4>0</vt:i4>
      </vt:variant>
      <vt:variant>
        <vt:i4>5</vt:i4>
      </vt:variant>
      <vt:variant>
        <vt:lpwstr>http://www.nevo.co.il/case/26747892</vt:lpwstr>
      </vt:variant>
      <vt:variant>
        <vt:lpwstr/>
      </vt:variant>
      <vt:variant>
        <vt:i4>3932277</vt:i4>
      </vt:variant>
      <vt:variant>
        <vt:i4>120</vt:i4>
      </vt:variant>
      <vt:variant>
        <vt:i4>0</vt:i4>
      </vt:variant>
      <vt:variant>
        <vt:i4>5</vt:i4>
      </vt:variant>
      <vt:variant>
        <vt:lpwstr>http://www.nevo.co.il/case/27907602</vt:lpwstr>
      </vt:variant>
      <vt:variant>
        <vt:lpwstr/>
      </vt:variant>
      <vt:variant>
        <vt:i4>3670139</vt:i4>
      </vt:variant>
      <vt:variant>
        <vt:i4>117</vt:i4>
      </vt:variant>
      <vt:variant>
        <vt:i4>0</vt:i4>
      </vt:variant>
      <vt:variant>
        <vt:i4>5</vt:i4>
      </vt:variant>
      <vt:variant>
        <vt:lpwstr>http://www.nevo.co.il/case/25824863</vt:lpwstr>
      </vt:variant>
      <vt:variant>
        <vt:lpwstr/>
      </vt:variant>
      <vt:variant>
        <vt:i4>3735673</vt:i4>
      </vt:variant>
      <vt:variant>
        <vt:i4>114</vt:i4>
      </vt:variant>
      <vt:variant>
        <vt:i4>0</vt:i4>
      </vt:variant>
      <vt:variant>
        <vt:i4>5</vt:i4>
      </vt:variant>
      <vt:variant>
        <vt:lpwstr>http://www.nevo.co.il/case/27734980</vt:lpwstr>
      </vt:variant>
      <vt:variant>
        <vt:lpwstr/>
      </vt:variant>
      <vt:variant>
        <vt:i4>7995492</vt:i4>
      </vt:variant>
      <vt:variant>
        <vt:i4>111</vt:i4>
      </vt:variant>
      <vt:variant>
        <vt:i4>0</vt:i4>
      </vt:variant>
      <vt:variant>
        <vt:i4>5</vt:i4>
      </vt:variant>
      <vt:variant>
        <vt:lpwstr>http://www.nevo.co.il/law/70301</vt:lpwstr>
      </vt:variant>
      <vt:variant>
        <vt:lpwstr/>
      </vt:variant>
      <vt:variant>
        <vt:i4>4915208</vt:i4>
      </vt:variant>
      <vt:variant>
        <vt:i4>108</vt:i4>
      </vt:variant>
      <vt:variant>
        <vt:i4>0</vt:i4>
      </vt:variant>
      <vt:variant>
        <vt:i4>5</vt:i4>
      </vt:variant>
      <vt:variant>
        <vt:lpwstr>http://www.nevo.co.il/law/70301/40i.a</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6619233</vt:i4>
      </vt:variant>
      <vt:variant>
        <vt:i4>102</vt:i4>
      </vt:variant>
      <vt:variant>
        <vt:i4>0</vt:i4>
      </vt:variant>
      <vt:variant>
        <vt:i4>5</vt:i4>
      </vt:variant>
      <vt:variant>
        <vt:lpwstr>http://www.nevo.co.il/law/70301/40b</vt:lpwstr>
      </vt:variant>
      <vt:variant>
        <vt:lpwstr/>
      </vt:variant>
      <vt:variant>
        <vt:i4>3276920</vt:i4>
      </vt:variant>
      <vt:variant>
        <vt:i4>99</vt:i4>
      </vt:variant>
      <vt:variant>
        <vt:i4>0</vt:i4>
      </vt:variant>
      <vt:variant>
        <vt:i4>5</vt:i4>
      </vt:variant>
      <vt:variant>
        <vt:lpwstr>http://www.nevo.co.il/case/26583264</vt:lpwstr>
      </vt:variant>
      <vt:variant>
        <vt:lpwstr/>
      </vt:variant>
      <vt:variant>
        <vt:i4>3276920</vt:i4>
      </vt:variant>
      <vt:variant>
        <vt:i4>96</vt:i4>
      </vt:variant>
      <vt:variant>
        <vt:i4>0</vt:i4>
      </vt:variant>
      <vt:variant>
        <vt:i4>5</vt:i4>
      </vt:variant>
      <vt:variant>
        <vt:lpwstr>http://www.nevo.co.il/case/26583264</vt:lpwstr>
      </vt:variant>
      <vt:variant>
        <vt:lpwstr/>
      </vt:variant>
      <vt:variant>
        <vt:i4>3276920</vt:i4>
      </vt:variant>
      <vt:variant>
        <vt:i4>93</vt:i4>
      </vt:variant>
      <vt:variant>
        <vt:i4>0</vt:i4>
      </vt:variant>
      <vt:variant>
        <vt:i4>5</vt:i4>
      </vt:variant>
      <vt:variant>
        <vt:lpwstr>http://www.nevo.co.il/case/26583264</vt:lpwstr>
      </vt:variant>
      <vt:variant>
        <vt:lpwstr/>
      </vt:variant>
      <vt:variant>
        <vt:i4>8257634</vt:i4>
      </vt:variant>
      <vt:variant>
        <vt:i4>90</vt:i4>
      </vt:variant>
      <vt:variant>
        <vt:i4>0</vt:i4>
      </vt:variant>
      <vt:variant>
        <vt:i4>5</vt:i4>
      </vt:variant>
      <vt:variant>
        <vt:lpwstr>http://www.nevo.co.il/law/74501</vt:lpwstr>
      </vt:variant>
      <vt:variant>
        <vt:lpwstr/>
      </vt:variant>
      <vt:variant>
        <vt:i4>8323169</vt:i4>
      </vt:variant>
      <vt:variant>
        <vt:i4>87</vt:i4>
      </vt:variant>
      <vt:variant>
        <vt:i4>0</vt:i4>
      </vt:variant>
      <vt:variant>
        <vt:i4>5</vt:i4>
      </vt:variant>
      <vt:variant>
        <vt:lpwstr>http://www.nevo.co.il/law/74501/2.a</vt:lpwstr>
      </vt:variant>
      <vt:variant>
        <vt:lpwstr/>
      </vt:variant>
      <vt:variant>
        <vt:i4>6750330</vt:i4>
      </vt:variant>
      <vt:variant>
        <vt:i4>84</vt:i4>
      </vt:variant>
      <vt:variant>
        <vt:i4>0</vt:i4>
      </vt:variant>
      <vt:variant>
        <vt:i4>5</vt:i4>
      </vt:variant>
      <vt:variant>
        <vt:lpwstr>http://www.nevo.co.il/law/5227/62.1</vt:lpwstr>
      </vt:variant>
      <vt:variant>
        <vt:lpwstr/>
      </vt:variant>
      <vt:variant>
        <vt:i4>6291576</vt:i4>
      </vt:variant>
      <vt:variant>
        <vt:i4>81</vt:i4>
      </vt:variant>
      <vt:variant>
        <vt:i4>0</vt:i4>
      </vt:variant>
      <vt:variant>
        <vt:i4>5</vt:i4>
      </vt:variant>
      <vt:variant>
        <vt:lpwstr>http://www.nevo.co.il/law/5227/10.a</vt:lpwstr>
      </vt:variant>
      <vt:variant>
        <vt:lpwstr/>
      </vt:variant>
      <vt:variant>
        <vt:i4>8323175</vt:i4>
      </vt:variant>
      <vt:variant>
        <vt:i4>78</vt:i4>
      </vt:variant>
      <vt:variant>
        <vt:i4>0</vt:i4>
      </vt:variant>
      <vt:variant>
        <vt:i4>5</vt:i4>
      </vt:variant>
      <vt:variant>
        <vt:lpwstr>http://www.nevo.co.il/law/5227</vt:lpwstr>
      </vt:variant>
      <vt:variant>
        <vt:lpwstr/>
      </vt:variant>
      <vt:variant>
        <vt:i4>4784200</vt:i4>
      </vt:variant>
      <vt:variant>
        <vt:i4>75</vt:i4>
      </vt:variant>
      <vt:variant>
        <vt:i4>0</vt:i4>
      </vt:variant>
      <vt:variant>
        <vt:i4>5</vt:i4>
      </vt:variant>
      <vt:variant>
        <vt:lpwstr>http://www.nevo.co.il/law/5227/67</vt:lpwstr>
      </vt:variant>
      <vt:variant>
        <vt:lpwstr/>
      </vt:variant>
      <vt:variant>
        <vt:i4>7143526</vt:i4>
      </vt:variant>
      <vt:variant>
        <vt:i4>72</vt:i4>
      </vt:variant>
      <vt:variant>
        <vt:i4>0</vt:i4>
      </vt:variant>
      <vt:variant>
        <vt:i4>5</vt:i4>
      </vt:variant>
      <vt:variant>
        <vt:lpwstr>http://www.nevo.co.il/law/70301/380</vt:lpwstr>
      </vt:variant>
      <vt:variant>
        <vt:lpwstr/>
      </vt:variant>
      <vt:variant>
        <vt:i4>7077988</vt:i4>
      </vt:variant>
      <vt:variant>
        <vt:i4>69</vt:i4>
      </vt:variant>
      <vt:variant>
        <vt:i4>0</vt:i4>
      </vt:variant>
      <vt:variant>
        <vt:i4>5</vt:i4>
      </vt:variant>
      <vt:variant>
        <vt:lpwstr>http://www.nevo.co.il/law/70301/192</vt:lpwstr>
      </vt:variant>
      <vt:variant>
        <vt:lpwstr/>
      </vt:variant>
      <vt:variant>
        <vt:i4>7209010</vt:i4>
      </vt:variant>
      <vt:variant>
        <vt:i4>66</vt:i4>
      </vt:variant>
      <vt:variant>
        <vt:i4>0</vt:i4>
      </vt:variant>
      <vt:variant>
        <vt:i4>5</vt:i4>
      </vt:variant>
      <vt:variant>
        <vt:lpwstr>http://www.nevo.co.il/law/70301/333;335.a.1</vt:lpwstr>
      </vt:variant>
      <vt:variant>
        <vt:lpwstr/>
      </vt:variant>
      <vt:variant>
        <vt:i4>7995492</vt:i4>
      </vt:variant>
      <vt:variant>
        <vt:i4>63</vt:i4>
      </vt:variant>
      <vt:variant>
        <vt:i4>0</vt:i4>
      </vt:variant>
      <vt:variant>
        <vt:i4>5</vt:i4>
      </vt:variant>
      <vt:variant>
        <vt:lpwstr>http://www.nevo.co.il/law/70301</vt:lpwstr>
      </vt:variant>
      <vt:variant>
        <vt:lpwstr/>
      </vt:variant>
      <vt:variant>
        <vt:i4>6357043</vt:i4>
      </vt:variant>
      <vt:variant>
        <vt:i4>60</vt:i4>
      </vt:variant>
      <vt:variant>
        <vt:i4>0</vt:i4>
      </vt:variant>
      <vt:variant>
        <vt:i4>5</vt:i4>
      </vt:variant>
      <vt:variant>
        <vt:lpwstr>http://www.nevo.co.il/law/70301/144.c.1</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5177424</vt:i4>
      </vt:variant>
      <vt:variant>
        <vt:i4>54</vt:i4>
      </vt:variant>
      <vt:variant>
        <vt:i4>0</vt:i4>
      </vt:variant>
      <vt:variant>
        <vt:i4>5</vt:i4>
      </vt:variant>
      <vt:variant>
        <vt:lpwstr>http://www.nevo.co.il/law/70301/144.a</vt:lpwstr>
      </vt:variant>
      <vt:variant>
        <vt:lpwstr/>
      </vt:variant>
      <vt:variant>
        <vt:i4>8323169</vt:i4>
      </vt:variant>
      <vt:variant>
        <vt:i4>51</vt:i4>
      </vt:variant>
      <vt:variant>
        <vt:i4>0</vt:i4>
      </vt:variant>
      <vt:variant>
        <vt:i4>5</vt:i4>
      </vt:variant>
      <vt:variant>
        <vt:lpwstr>http://www.nevo.co.il/law/74501/2.a</vt:lpwstr>
      </vt:variant>
      <vt:variant>
        <vt:lpwstr/>
      </vt:variant>
      <vt:variant>
        <vt:i4>8257634</vt:i4>
      </vt:variant>
      <vt:variant>
        <vt:i4>48</vt:i4>
      </vt:variant>
      <vt:variant>
        <vt:i4>0</vt:i4>
      </vt:variant>
      <vt:variant>
        <vt:i4>5</vt:i4>
      </vt:variant>
      <vt:variant>
        <vt:lpwstr>http://www.nevo.co.il/law/74501</vt:lpwstr>
      </vt:variant>
      <vt:variant>
        <vt:lpwstr/>
      </vt:variant>
      <vt:variant>
        <vt:i4>4784200</vt:i4>
      </vt:variant>
      <vt:variant>
        <vt:i4>45</vt:i4>
      </vt:variant>
      <vt:variant>
        <vt:i4>0</vt:i4>
      </vt:variant>
      <vt:variant>
        <vt:i4>5</vt:i4>
      </vt:variant>
      <vt:variant>
        <vt:lpwstr>http://www.nevo.co.il/law/5227/67</vt:lpwstr>
      </vt:variant>
      <vt:variant>
        <vt:lpwstr/>
      </vt:variant>
      <vt:variant>
        <vt:i4>6750330</vt:i4>
      </vt:variant>
      <vt:variant>
        <vt:i4>42</vt:i4>
      </vt:variant>
      <vt:variant>
        <vt:i4>0</vt:i4>
      </vt:variant>
      <vt:variant>
        <vt:i4>5</vt:i4>
      </vt:variant>
      <vt:variant>
        <vt:lpwstr>http://www.nevo.co.il/law/5227/62.1</vt:lpwstr>
      </vt:variant>
      <vt:variant>
        <vt:lpwstr/>
      </vt:variant>
      <vt:variant>
        <vt:i4>6291576</vt:i4>
      </vt:variant>
      <vt:variant>
        <vt:i4>39</vt:i4>
      </vt:variant>
      <vt:variant>
        <vt:i4>0</vt:i4>
      </vt:variant>
      <vt:variant>
        <vt:i4>5</vt:i4>
      </vt:variant>
      <vt:variant>
        <vt:lpwstr>http://www.nevo.co.il/law/5227/10.a</vt:lpwstr>
      </vt:variant>
      <vt:variant>
        <vt:lpwstr/>
      </vt:variant>
      <vt:variant>
        <vt:i4>8323175</vt:i4>
      </vt:variant>
      <vt:variant>
        <vt:i4>36</vt:i4>
      </vt:variant>
      <vt:variant>
        <vt:i4>0</vt:i4>
      </vt:variant>
      <vt:variant>
        <vt:i4>5</vt:i4>
      </vt:variant>
      <vt:variant>
        <vt:lpwstr>http://www.nevo.co.il/law/5227</vt:lpwstr>
      </vt:variant>
      <vt:variant>
        <vt:lpwstr/>
      </vt:variant>
      <vt:variant>
        <vt:i4>7143526</vt:i4>
      </vt:variant>
      <vt:variant>
        <vt:i4>33</vt:i4>
      </vt:variant>
      <vt:variant>
        <vt:i4>0</vt:i4>
      </vt:variant>
      <vt:variant>
        <vt:i4>5</vt:i4>
      </vt:variant>
      <vt:variant>
        <vt:lpwstr>http://www.nevo.co.il/law/70301/380</vt:lpwstr>
      </vt:variant>
      <vt:variant>
        <vt:lpwstr/>
      </vt:variant>
      <vt:variant>
        <vt:i4>6684722</vt:i4>
      </vt:variant>
      <vt:variant>
        <vt:i4>30</vt:i4>
      </vt:variant>
      <vt:variant>
        <vt:i4>0</vt:i4>
      </vt:variant>
      <vt:variant>
        <vt:i4>5</vt:i4>
      </vt:variant>
      <vt:variant>
        <vt:lpwstr>http://www.nevo.co.il/law/70301/335.a.1</vt:lpwstr>
      </vt:variant>
      <vt:variant>
        <vt:lpwstr/>
      </vt:variant>
      <vt:variant>
        <vt:i4>6684774</vt:i4>
      </vt:variant>
      <vt:variant>
        <vt:i4>27</vt:i4>
      </vt:variant>
      <vt:variant>
        <vt:i4>0</vt:i4>
      </vt:variant>
      <vt:variant>
        <vt:i4>5</vt:i4>
      </vt:variant>
      <vt:variant>
        <vt:lpwstr>http://www.nevo.co.il/law/70301/333</vt:lpwstr>
      </vt:variant>
      <vt:variant>
        <vt:lpwstr/>
      </vt:variant>
      <vt:variant>
        <vt:i4>7077988</vt:i4>
      </vt:variant>
      <vt:variant>
        <vt:i4>24</vt:i4>
      </vt:variant>
      <vt:variant>
        <vt:i4>0</vt:i4>
      </vt:variant>
      <vt:variant>
        <vt:i4>5</vt:i4>
      </vt:variant>
      <vt:variant>
        <vt:lpwstr>http://www.nevo.co.il/law/70301/192</vt:lpwstr>
      </vt:variant>
      <vt:variant>
        <vt:lpwstr/>
      </vt:variant>
      <vt:variant>
        <vt:i4>6357043</vt:i4>
      </vt:variant>
      <vt:variant>
        <vt:i4>21</vt:i4>
      </vt:variant>
      <vt:variant>
        <vt:i4>0</vt:i4>
      </vt:variant>
      <vt:variant>
        <vt:i4>5</vt:i4>
      </vt:variant>
      <vt:variant>
        <vt:lpwstr>http://www.nevo.co.il/law/70301/144.c.1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6619241</vt:i4>
      </vt:variant>
      <vt:variant>
        <vt:i4>9</vt:i4>
      </vt:variant>
      <vt:variant>
        <vt:i4>0</vt:i4>
      </vt:variant>
      <vt:variant>
        <vt:i4>5</vt:i4>
      </vt:variant>
      <vt:variant>
        <vt:lpwstr>http://www.nevo.co.il/law/70301/40i.a.5</vt:lpwstr>
      </vt:variant>
      <vt:variant>
        <vt:lpwstr/>
      </vt:variant>
      <vt:variant>
        <vt:i4>4915208</vt:i4>
      </vt:variant>
      <vt:variant>
        <vt:i4>6</vt:i4>
      </vt:variant>
      <vt:variant>
        <vt:i4>0</vt:i4>
      </vt:variant>
      <vt:variant>
        <vt:i4>5</vt:i4>
      </vt:variant>
      <vt:variant>
        <vt:lpwstr>http://www.nevo.co.il/law/70301/40i.a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2025-01-19T16:53:00Z</dcterms:created>
  <dcterms:modified xsi:type="dcterms:W3CDTF">2025-01-19T16:53:00Z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48621</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פורסאן מחאמיד</vt:lpwstr>
  </property>
  <property fmtid="{D5CDD505-2E9C-101B-9397-08002B2CF9AE}" pid="10" name="LAWYER">
    <vt:lpwstr>רוהיפה זכור;תמי אולמן</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20230726</vt:lpwstr>
  </property>
  <property fmtid="{D5CDD505-2E9C-101B-9397-08002B2CF9AE}" pid="14" name="TYPE_N_DATE">
    <vt:lpwstr>39020230726</vt:lpwstr>
  </property>
  <property fmtid="{D5CDD505-2E9C-101B-9397-08002B2CF9AE}" pid="15" name="WORDNUMPAGES">
    <vt:lpwstr>15</vt:lpwstr>
  </property>
  <property fmtid="{D5CDD505-2E9C-101B-9397-08002B2CF9AE}" pid="16" name="TYPE_ABS_DATE">
    <vt:lpwstr>390020230726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26583264:5;27734980;25824863:3;27907602;26747892;27603872;27115374:2;22006503;27693610;26986954;27309272;25612982;26934681;26538254;27648787;26905927;17947529;6133293;5713850;7977312;25528733;25546727;28883087;28697227;28916087;27933514;5906202;22301096</vt:lpwstr>
  </property>
  <property fmtid="{D5CDD505-2E9C-101B-9397-08002B2CF9AE}" pid="36" name="CASESLISTTMP2">
    <vt:lpwstr>7674250</vt:lpwstr>
  </property>
  <property fmtid="{D5CDD505-2E9C-101B-9397-08002B2CF9AE}" pid="37" name="LAWLISTTMP1">
    <vt:lpwstr>70301/144.a;144.b;144.c.1;333;335.a.1;192;380;040b;040i.a;144;040i.a.5</vt:lpwstr>
  </property>
  <property fmtid="{D5CDD505-2E9C-101B-9397-08002B2CF9AE}" pid="38" name="LAWLISTTMP2">
    <vt:lpwstr>5227/067;010.a;062.1</vt:lpwstr>
  </property>
  <property fmtid="{D5CDD505-2E9C-101B-9397-08002B2CF9AE}" pid="39" name="LAWLISTTMP3">
    <vt:lpwstr>74501/002.a</vt:lpwstr>
  </property>
</Properties>
</file>