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B0392" w:rsidRPr="00392CB5" w14:paraId="4E5D5E25" w14:textId="77777777" w:rsidTr="00AE2BE6">
        <w:trPr>
          <w:trHeight w:hRule="exact" w:val="418"/>
          <w:jc w:val="center"/>
        </w:trPr>
        <w:tc>
          <w:tcPr>
            <w:tcW w:w="8721" w:type="dxa"/>
            <w:gridSpan w:val="2"/>
          </w:tcPr>
          <w:p w14:paraId="6200A8EC" w14:textId="77777777" w:rsidR="005B0392" w:rsidRPr="00392CB5" w:rsidRDefault="005B0392" w:rsidP="00B71E21">
            <w:pPr>
              <w:pStyle w:val="a3"/>
              <w:jc w:val="center"/>
              <w:rPr>
                <w:rFonts w:ascii="Tahoma" w:hAnsi="Tahoma" w:cs="Tahoma"/>
                <w:color w:val="000080"/>
                <w:rtl/>
              </w:rPr>
            </w:pPr>
            <w:bookmarkStart w:id="0" w:name="LastJudge"/>
            <w:r w:rsidRPr="00392CB5">
              <w:rPr>
                <w:rFonts w:ascii="Tahoma" w:hAnsi="Tahoma" w:cs="Tahoma"/>
                <w:b/>
                <w:bCs/>
                <w:color w:val="000080"/>
                <w:rtl/>
              </w:rPr>
              <w:t>בית המשפט המחוזי בבאר שבע</w:t>
            </w:r>
          </w:p>
        </w:tc>
      </w:tr>
      <w:tr w:rsidR="005B0392" w:rsidRPr="00392CB5" w14:paraId="33437922" w14:textId="77777777" w:rsidTr="00AE2BE6">
        <w:trPr>
          <w:trHeight w:val="337"/>
          <w:jc w:val="center"/>
        </w:trPr>
        <w:tc>
          <w:tcPr>
            <w:tcW w:w="5054" w:type="dxa"/>
          </w:tcPr>
          <w:p w14:paraId="6EF1874F" w14:textId="77777777" w:rsidR="005B0392" w:rsidRPr="00392CB5" w:rsidRDefault="005B0392" w:rsidP="00B71E21">
            <w:pPr>
              <w:rPr>
                <w:rFonts w:cs="FrankRuehl"/>
                <w:sz w:val="28"/>
                <w:szCs w:val="28"/>
                <w:rtl/>
              </w:rPr>
            </w:pPr>
            <w:r w:rsidRPr="00392CB5">
              <w:rPr>
                <w:rFonts w:cs="FrankRuehl"/>
                <w:sz w:val="28"/>
                <w:szCs w:val="28"/>
                <w:rtl/>
              </w:rPr>
              <w:t>ת"פ</w:t>
            </w:r>
            <w:r w:rsidRPr="00392CB5">
              <w:rPr>
                <w:rFonts w:cs="FrankRuehl" w:hint="cs"/>
                <w:sz w:val="28"/>
                <w:szCs w:val="28"/>
                <w:rtl/>
              </w:rPr>
              <w:t xml:space="preserve"> </w:t>
            </w:r>
            <w:r w:rsidRPr="00392CB5">
              <w:rPr>
                <w:rFonts w:cs="FrankRuehl"/>
                <w:sz w:val="28"/>
                <w:szCs w:val="28"/>
                <w:rtl/>
              </w:rPr>
              <w:t>57000-05-22</w:t>
            </w:r>
            <w:r w:rsidRPr="00392CB5">
              <w:rPr>
                <w:rFonts w:cs="FrankRuehl" w:hint="cs"/>
                <w:sz w:val="28"/>
                <w:szCs w:val="28"/>
                <w:rtl/>
              </w:rPr>
              <w:t xml:space="preserve"> </w:t>
            </w:r>
            <w:r w:rsidRPr="00392CB5">
              <w:rPr>
                <w:rFonts w:cs="FrankRuehl"/>
                <w:sz w:val="28"/>
                <w:szCs w:val="28"/>
                <w:rtl/>
              </w:rPr>
              <w:t>מדינת ישראל נ' זיאדנה</w:t>
            </w:r>
          </w:p>
          <w:p w14:paraId="42E0C1AF" w14:textId="77777777" w:rsidR="005B0392" w:rsidRPr="00392CB5" w:rsidRDefault="005B0392" w:rsidP="00B71E21">
            <w:pPr>
              <w:pStyle w:val="a3"/>
              <w:rPr>
                <w:rFonts w:cs="FrankRuehl"/>
                <w:sz w:val="28"/>
                <w:szCs w:val="28"/>
                <w:rtl/>
              </w:rPr>
            </w:pPr>
          </w:p>
        </w:tc>
        <w:tc>
          <w:tcPr>
            <w:tcW w:w="3667" w:type="dxa"/>
          </w:tcPr>
          <w:p w14:paraId="43732446" w14:textId="77777777" w:rsidR="005B0392" w:rsidRPr="00392CB5" w:rsidRDefault="005B0392" w:rsidP="00B71E21">
            <w:pPr>
              <w:pStyle w:val="a3"/>
              <w:jc w:val="right"/>
              <w:rPr>
                <w:rFonts w:cs="FrankRuehl"/>
                <w:sz w:val="28"/>
                <w:szCs w:val="28"/>
                <w:rtl/>
              </w:rPr>
            </w:pPr>
          </w:p>
        </w:tc>
      </w:tr>
    </w:tbl>
    <w:p w14:paraId="3E8ACFD0" w14:textId="77777777" w:rsidR="005B0392" w:rsidRPr="00392CB5" w:rsidRDefault="005B0392" w:rsidP="00AE2BE6">
      <w:pPr>
        <w:pStyle w:val="a3"/>
        <w:rPr>
          <w:rtl/>
        </w:rPr>
      </w:pPr>
      <w:r w:rsidRPr="00392CB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B0392" w:rsidRPr="00392CB5" w14:paraId="0BAED874" w14:textId="77777777" w:rsidTr="005B0392">
        <w:trPr>
          <w:trHeight w:val="295"/>
          <w:jc w:val="center"/>
        </w:trPr>
        <w:tc>
          <w:tcPr>
            <w:tcW w:w="923" w:type="dxa"/>
            <w:tcBorders>
              <w:top w:val="nil"/>
              <w:left w:val="nil"/>
              <w:bottom w:val="nil"/>
              <w:right w:val="nil"/>
            </w:tcBorders>
            <w:shd w:val="clear" w:color="auto" w:fill="auto"/>
          </w:tcPr>
          <w:p w14:paraId="6E533CD2" w14:textId="77777777" w:rsidR="005B0392" w:rsidRPr="00392CB5" w:rsidRDefault="005B0392" w:rsidP="005B0392">
            <w:pPr>
              <w:jc w:val="both"/>
              <w:rPr>
                <w:rFonts w:ascii="David" w:hAnsi="David"/>
                <w:sz w:val="26"/>
                <w:szCs w:val="26"/>
              </w:rPr>
            </w:pPr>
            <w:r w:rsidRPr="00392CB5">
              <w:rPr>
                <w:rFonts w:ascii="David" w:hAnsi="David" w:hint="cs"/>
                <w:sz w:val="26"/>
                <w:szCs w:val="26"/>
                <w:rtl/>
              </w:rPr>
              <w:t>ל</w:t>
            </w:r>
            <w:r w:rsidRPr="00392CB5">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A513177" w14:textId="77777777" w:rsidR="005B0392" w:rsidRPr="00392CB5" w:rsidRDefault="005B0392" w:rsidP="00B71E21">
            <w:pPr>
              <w:rPr>
                <w:rFonts w:ascii="David" w:hAnsi="David"/>
                <w:b/>
                <w:bCs/>
                <w:sz w:val="26"/>
                <w:szCs w:val="26"/>
                <w:rtl/>
              </w:rPr>
            </w:pPr>
            <w:r w:rsidRPr="00392CB5">
              <w:rPr>
                <w:rFonts w:ascii="David" w:hAnsi="David"/>
                <w:b/>
                <w:bCs/>
                <w:sz w:val="26"/>
                <w:szCs w:val="26"/>
                <w:rtl/>
              </w:rPr>
              <w:t>כבוד השופט  אלון גביזון</w:t>
            </w:r>
          </w:p>
          <w:p w14:paraId="67E3485E" w14:textId="77777777" w:rsidR="005B0392" w:rsidRPr="00392CB5" w:rsidRDefault="005B0392" w:rsidP="00B71E21">
            <w:pPr>
              <w:rPr>
                <w:rFonts w:ascii="David" w:hAnsi="David"/>
                <w:sz w:val="26"/>
                <w:szCs w:val="26"/>
                <w:rtl/>
              </w:rPr>
            </w:pPr>
          </w:p>
          <w:p w14:paraId="155C2973" w14:textId="77777777" w:rsidR="005B0392" w:rsidRPr="00392CB5" w:rsidRDefault="005B0392" w:rsidP="005B0392">
            <w:pPr>
              <w:jc w:val="both"/>
              <w:rPr>
                <w:rFonts w:ascii="David" w:hAnsi="David"/>
                <w:sz w:val="26"/>
                <w:szCs w:val="26"/>
              </w:rPr>
            </w:pPr>
          </w:p>
        </w:tc>
      </w:tr>
      <w:tr w:rsidR="005B0392" w:rsidRPr="00392CB5" w14:paraId="37B5796F" w14:textId="77777777" w:rsidTr="005B0392">
        <w:trPr>
          <w:trHeight w:val="355"/>
          <w:jc w:val="center"/>
        </w:trPr>
        <w:tc>
          <w:tcPr>
            <w:tcW w:w="923" w:type="dxa"/>
            <w:tcBorders>
              <w:top w:val="nil"/>
              <w:left w:val="nil"/>
              <w:bottom w:val="nil"/>
              <w:right w:val="nil"/>
            </w:tcBorders>
            <w:shd w:val="clear" w:color="auto" w:fill="auto"/>
          </w:tcPr>
          <w:p w14:paraId="4DB28C0B" w14:textId="77777777" w:rsidR="005B0392" w:rsidRPr="00392CB5" w:rsidRDefault="005B0392" w:rsidP="005B0392">
            <w:pPr>
              <w:jc w:val="both"/>
              <w:rPr>
                <w:rFonts w:ascii="David" w:hAnsi="David"/>
                <w:sz w:val="26"/>
                <w:szCs w:val="26"/>
              </w:rPr>
            </w:pPr>
            <w:bookmarkStart w:id="1" w:name="FirstAppellant"/>
            <w:bookmarkStart w:id="2" w:name="FirstLawyer"/>
            <w:r w:rsidRPr="00392CB5">
              <w:rPr>
                <w:rFonts w:ascii="David" w:hAnsi="David"/>
                <w:sz w:val="26"/>
                <w:szCs w:val="26"/>
                <w:rtl/>
              </w:rPr>
              <w:t>בעניין:</w:t>
            </w:r>
          </w:p>
        </w:tc>
        <w:tc>
          <w:tcPr>
            <w:tcW w:w="3219" w:type="dxa"/>
            <w:tcBorders>
              <w:top w:val="nil"/>
              <w:left w:val="nil"/>
              <w:bottom w:val="nil"/>
              <w:right w:val="nil"/>
            </w:tcBorders>
            <w:shd w:val="clear" w:color="auto" w:fill="auto"/>
          </w:tcPr>
          <w:p w14:paraId="55B35AC9" w14:textId="77777777" w:rsidR="005B0392" w:rsidRPr="00392CB5" w:rsidRDefault="005B0392" w:rsidP="005B0392">
            <w:pPr>
              <w:suppressLineNumbers/>
            </w:pPr>
            <w:r w:rsidRPr="00392CB5">
              <w:rPr>
                <w:rFonts w:ascii="Arial" w:hAnsi="Arial" w:hint="cs"/>
                <w:b/>
                <w:bCs/>
                <w:sz w:val="26"/>
                <w:szCs w:val="26"/>
                <w:rtl/>
              </w:rPr>
              <w:t>ה</w:t>
            </w:r>
            <w:r w:rsidRPr="00392CB5">
              <w:rPr>
                <w:rFonts w:ascii="Arial" w:hAnsi="Arial"/>
                <w:b/>
                <w:bCs/>
                <w:sz w:val="26"/>
                <w:szCs w:val="26"/>
                <w:rtl/>
              </w:rPr>
              <w:t>מאשימה</w:t>
            </w:r>
          </w:p>
          <w:p w14:paraId="5CAEB439" w14:textId="77777777" w:rsidR="005B0392" w:rsidRPr="00392CB5" w:rsidRDefault="005B0392" w:rsidP="00B71E21">
            <w:pPr>
              <w:rPr>
                <w:rFonts w:ascii="David" w:hAnsi="David"/>
                <w:sz w:val="26"/>
                <w:szCs w:val="26"/>
              </w:rPr>
            </w:pPr>
          </w:p>
        </w:tc>
        <w:tc>
          <w:tcPr>
            <w:tcW w:w="4678" w:type="dxa"/>
            <w:tcBorders>
              <w:top w:val="nil"/>
              <w:left w:val="nil"/>
              <w:bottom w:val="nil"/>
              <w:right w:val="nil"/>
            </w:tcBorders>
            <w:shd w:val="clear" w:color="auto" w:fill="auto"/>
            <w:vAlign w:val="center"/>
          </w:tcPr>
          <w:p w14:paraId="3544DB6E" w14:textId="77777777" w:rsidR="005B0392" w:rsidRPr="00392CB5" w:rsidRDefault="005B0392" w:rsidP="005B0392">
            <w:pPr>
              <w:suppressLineNumbers/>
              <w:rPr>
                <w:rFonts w:ascii="Arial" w:hAnsi="Arial"/>
                <w:b/>
                <w:bCs/>
                <w:sz w:val="26"/>
                <w:szCs w:val="26"/>
                <w:rtl/>
              </w:rPr>
            </w:pPr>
            <w:r w:rsidRPr="00392CB5">
              <w:rPr>
                <w:rFonts w:ascii="Arial" w:hAnsi="Arial"/>
                <w:b/>
                <w:bCs/>
                <w:sz w:val="26"/>
                <w:szCs w:val="26"/>
                <w:rtl/>
              </w:rPr>
              <w:t>מדינת ישראל</w:t>
            </w:r>
            <w:r w:rsidRPr="00392CB5">
              <w:rPr>
                <w:rFonts w:ascii="Arial" w:hAnsi="Arial" w:hint="cs"/>
                <w:b/>
                <w:bCs/>
                <w:sz w:val="26"/>
                <w:szCs w:val="26"/>
                <w:rtl/>
              </w:rPr>
              <w:t xml:space="preserve"> </w:t>
            </w:r>
          </w:p>
          <w:p w14:paraId="2DA2D3F1" w14:textId="77777777" w:rsidR="005B0392" w:rsidRPr="00392CB5" w:rsidRDefault="005B0392" w:rsidP="005B0392">
            <w:pPr>
              <w:suppressLineNumbers/>
              <w:rPr>
                <w:b/>
                <w:bCs/>
              </w:rPr>
            </w:pPr>
            <w:r w:rsidRPr="00392CB5">
              <w:rPr>
                <w:rFonts w:ascii="Arial" w:hAnsi="Arial"/>
                <w:b/>
                <w:bCs/>
                <w:sz w:val="26"/>
                <w:szCs w:val="26"/>
                <w:rtl/>
              </w:rPr>
              <w:t>ע"י ב"כ עוה"ד</w:t>
            </w:r>
            <w:r w:rsidRPr="00392CB5">
              <w:rPr>
                <w:rFonts w:hint="cs"/>
                <w:b/>
                <w:bCs/>
                <w:rtl/>
              </w:rPr>
              <w:t xml:space="preserve"> ואסים אבו עמאר </w:t>
            </w:r>
          </w:p>
          <w:p w14:paraId="5AA99B3E" w14:textId="77777777" w:rsidR="005B0392" w:rsidRPr="00392CB5" w:rsidRDefault="005B0392" w:rsidP="00B71E21">
            <w:pPr>
              <w:rPr>
                <w:rFonts w:ascii="David" w:hAnsi="David"/>
                <w:sz w:val="26"/>
                <w:szCs w:val="26"/>
              </w:rPr>
            </w:pPr>
          </w:p>
        </w:tc>
      </w:tr>
      <w:bookmarkEnd w:id="1"/>
      <w:bookmarkEnd w:id="2"/>
      <w:tr w:rsidR="005B0392" w:rsidRPr="00392CB5" w14:paraId="1FA13987" w14:textId="77777777" w:rsidTr="005B0392">
        <w:trPr>
          <w:trHeight w:val="355"/>
          <w:jc w:val="center"/>
        </w:trPr>
        <w:tc>
          <w:tcPr>
            <w:tcW w:w="923" w:type="dxa"/>
            <w:tcBorders>
              <w:top w:val="nil"/>
              <w:left w:val="nil"/>
              <w:bottom w:val="nil"/>
              <w:right w:val="nil"/>
            </w:tcBorders>
            <w:shd w:val="clear" w:color="auto" w:fill="auto"/>
          </w:tcPr>
          <w:p w14:paraId="48005DFB" w14:textId="77777777" w:rsidR="005B0392" w:rsidRPr="00392CB5" w:rsidRDefault="005B0392" w:rsidP="005B039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1224B09" w14:textId="77777777" w:rsidR="005B0392" w:rsidRPr="00392CB5" w:rsidRDefault="005B0392" w:rsidP="005B0392">
            <w:pPr>
              <w:jc w:val="center"/>
              <w:rPr>
                <w:rFonts w:ascii="David" w:hAnsi="David"/>
                <w:b/>
                <w:bCs/>
                <w:sz w:val="26"/>
                <w:szCs w:val="26"/>
                <w:rtl/>
              </w:rPr>
            </w:pPr>
          </w:p>
          <w:p w14:paraId="2BA584D8" w14:textId="77777777" w:rsidR="005B0392" w:rsidRPr="00392CB5" w:rsidRDefault="005B0392" w:rsidP="005B0392">
            <w:pPr>
              <w:jc w:val="center"/>
              <w:rPr>
                <w:rFonts w:ascii="David" w:hAnsi="David"/>
                <w:b/>
                <w:bCs/>
                <w:sz w:val="26"/>
                <w:szCs w:val="26"/>
                <w:rtl/>
              </w:rPr>
            </w:pPr>
            <w:r w:rsidRPr="00392CB5">
              <w:rPr>
                <w:rFonts w:ascii="David" w:hAnsi="David"/>
                <w:b/>
                <w:bCs/>
                <w:sz w:val="26"/>
                <w:szCs w:val="26"/>
                <w:rtl/>
              </w:rPr>
              <w:t>נגד</w:t>
            </w:r>
          </w:p>
          <w:p w14:paraId="07E60D84" w14:textId="77777777" w:rsidR="005B0392" w:rsidRPr="00392CB5" w:rsidRDefault="005B0392" w:rsidP="005B0392">
            <w:pPr>
              <w:jc w:val="both"/>
              <w:rPr>
                <w:rFonts w:ascii="David" w:hAnsi="David"/>
                <w:sz w:val="26"/>
                <w:szCs w:val="26"/>
              </w:rPr>
            </w:pPr>
          </w:p>
        </w:tc>
      </w:tr>
      <w:tr w:rsidR="005B0392" w:rsidRPr="00392CB5" w14:paraId="53D3917D" w14:textId="77777777" w:rsidTr="005B0392">
        <w:trPr>
          <w:trHeight w:val="355"/>
          <w:jc w:val="center"/>
        </w:trPr>
        <w:tc>
          <w:tcPr>
            <w:tcW w:w="923" w:type="dxa"/>
            <w:tcBorders>
              <w:top w:val="nil"/>
              <w:left w:val="nil"/>
              <w:bottom w:val="nil"/>
              <w:right w:val="nil"/>
            </w:tcBorders>
            <w:shd w:val="clear" w:color="auto" w:fill="auto"/>
          </w:tcPr>
          <w:p w14:paraId="0728A8D8" w14:textId="77777777" w:rsidR="005B0392" w:rsidRPr="00392CB5" w:rsidRDefault="005B0392" w:rsidP="00B71E21">
            <w:pPr>
              <w:rPr>
                <w:rFonts w:ascii="David" w:hAnsi="David"/>
                <w:sz w:val="26"/>
                <w:szCs w:val="26"/>
                <w:rtl/>
              </w:rPr>
            </w:pPr>
          </w:p>
        </w:tc>
        <w:tc>
          <w:tcPr>
            <w:tcW w:w="3219" w:type="dxa"/>
            <w:tcBorders>
              <w:top w:val="nil"/>
              <w:left w:val="nil"/>
              <w:bottom w:val="nil"/>
              <w:right w:val="nil"/>
            </w:tcBorders>
            <w:shd w:val="clear" w:color="auto" w:fill="auto"/>
          </w:tcPr>
          <w:p w14:paraId="3DE20DCE" w14:textId="77777777" w:rsidR="005B0392" w:rsidRPr="00392CB5" w:rsidRDefault="005B0392" w:rsidP="00B71E21">
            <w:pPr>
              <w:rPr>
                <w:rFonts w:ascii="Arial" w:hAnsi="Arial"/>
                <w:b/>
                <w:bCs/>
                <w:sz w:val="26"/>
                <w:szCs w:val="26"/>
                <w:rtl/>
              </w:rPr>
            </w:pPr>
            <w:r w:rsidRPr="00392CB5">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4387F8A" w14:textId="77777777" w:rsidR="005B0392" w:rsidRPr="00392CB5" w:rsidRDefault="005B0392" w:rsidP="005B0392">
            <w:pPr>
              <w:suppressLineNumbers/>
              <w:rPr>
                <w:rFonts w:ascii="Arial" w:hAnsi="Arial"/>
                <w:b/>
                <w:bCs/>
                <w:sz w:val="26"/>
                <w:szCs w:val="26"/>
                <w:rtl/>
              </w:rPr>
            </w:pPr>
            <w:r w:rsidRPr="00392CB5">
              <w:rPr>
                <w:rFonts w:ascii="Arial" w:hAnsi="Arial"/>
                <w:b/>
                <w:bCs/>
                <w:sz w:val="26"/>
                <w:szCs w:val="26"/>
                <w:rtl/>
              </w:rPr>
              <w:t>שאקר זיאדנה</w:t>
            </w:r>
            <w:r w:rsidRPr="00392CB5">
              <w:rPr>
                <w:rFonts w:ascii="Arial" w:hAnsi="Arial" w:hint="cs"/>
                <w:b/>
                <w:bCs/>
                <w:sz w:val="26"/>
                <w:szCs w:val="26"/>
                <w:rtl/>
              </w:rPr>
              <w:t xml:space="preserve"> - בעצמו</w:t>
            </w:r>
          </w:p>
          <w:p w14:paraId="26819399" w14:textId="77777777" w:rsidR="005B0392" w:rsidRPr="00392CB5" w:rsidRDefault="005B0392" w:rsidP="005B0392">
            <w:pPr>
              <w:suppressLineNumbers/>
              <w:rPr>
                <w:b/>
                <w:bCs/>
              </w:rPr>
            </w:pPr>
            <w:r w:rsidRPr="00392CB5">
              <w:rPr>
                <w:rFonts w:ascii="Arial" w:hAnsi="Arial"/>
                <w:b/>
                <w:bCs/>
                <w:sz w:val="26"/>
                <w:szCs w:val="26"/>
                <w:rtl/>
              </w:rPr>
              <w:t>ע"י ב"כ עוה"ד</w:t>
            </w:r>
            <w:r w:rsidRPr="00392CB5">
              <w:rPr>
                <w:rFonts w:hint="cs"/>
                <w:b/>
                <w:bCs/>
                <w:rtl/>
              </w:rPr>
              <w:t xml:space="preserve"> בני גריקו </w:t>
            </w:r>
          </w:p>
          <w:p w14:paraId="54080C7A" w14:textId="77777777" w:rsidR="005B0392" w:rsidRPr="00392CB5" w:rsidRDefault="005B0392" w:rsidP="00B71E21">
            <w:pPr>
              <w:rPr>
                <w:rFonts w:ascii="David" w:hAnsi="David"/>
                <w:sz w:val="26"/>
                <w:szCs w:val="26"/>
              </w:rPr>
            </w:pPr>
          </w:p>
        </w:tc>
      </w:tr>
    </w:tbl>
    <w:p w14:paraId="76815B33" w14:textId="77777777" w:rsidR="00392CB5" w:rsidRPr="00392CB5" w:rsidRDefault="00392CB5" w:rsidP="005B0392">
      <w:pPr>
        <w:rPr>
          <w:sz w:val="26"/>
          <w:szCs w:val="26"/>
          <w:rtl/>
        </w:rPr>
      </w:pPr>
    </w:p>
    <w:p w14:paraId="5B9497DB" w14:textId="77777777" w:rsidR="00392CB5" w:rsidRPr="00392CB5" w:rsidRDefault="00392CB5" w:rsidP="00392CB5">
      <w:pPr>
        <w:spacing w:after="120" w:line="240" w:lineRule="exact"/>
        <w:ind w:left="283" w:hanging="283"/>
        <w:jc w:val="both"/>
        <w:rPr>
          <w:rFonts w:ascii="FrankRuehl" w:hAnsi="FrankRuehl" w:cs="FrankRuehl"/>
        </w:rPr>
      </w:pPr>
      <w:bookmarkStart w:id="3" w:name="Links_Start"/>
      <w:bookmarkEnd w:id="3"/>
      <w:r w:rsidRPr="00392CB5">
        <w:rPr>
          <w:rFonts w:ascii="FrankRuehl" w:hAnsi="FrankRuehl" w:cs="FrankRuehl"/>
          <w:rtl/>
        </w:rPr>
        <w:t>ספרות:</w:t>
      </w:r>
    </w:p>
    <w:p w14:paraId="6E928EC9" w14:textId="77777777" w:rsidR="00392CB5" w:rsidRPr="00392CB5" w:rsidRDefault="00392CB5" w:rsidP="00392CB5">
      <w:pPr>
        <w:spacing w:after="120" w:line="240" w:lineRule="exact"/>
        <w:ind w:left="283" w:hanging="283"/>
        <w:jc w:val="both"/>
        <w:rPr>
          <w:rFonts w:ascii="FrankRuehl" w:hAnsi="FrankRuehl" w:cs="FrankRuehl"/>
          <w:color w:val="000000"/>
          <w:rtl/>
        </w:rPr>
      </w:pPr>
      <w:r w:rsidRPr="00392CB5">
        <w:rPr>
          <w:rFonts w:ascii="FrankRuehl" w:hAnsi="FrankRuehl" w:cs="FrankRuehl"/>
          <w:color w:val="000000"/>
          <w:rtl/>
        </w:rPr>
        <w:t xml:space="preserve">מיכאל בר זוהר  </w:t>
      </w:r>
      <w:r w:rsidRPr="00392CB5">
        <w:rPr>
          <w:rFonts w:ascii="FrankRuehl" w:hAnsi="FrankRuehl" w:cs="FrankRuehl"/>
          <w:color w:val="000000"/>
        </w:rPr>
        <w:t xml:space="preserve"> </w:t>
      </w:r>
      <w:r w:rsidRPr="00392CB5">
        <w:rPr>
          <w:rFonts w:ascii="FrankRuehl" w:hAnsi="FrankRuehl" w:cs="FrankRuehl"/>
          <w:b/>
          <w:bCs/>
          <w:color w:val="000000"/>
          <w:rtl/>
        </w:rPr>
        <w:t xml:space="preserve">בן גוריון </w:t>
      </w:r>
    </w:p>
    <w:p w14:paraId="077CBA3F" w14:textId="77777777" w:rsidR="00392CB5" w:rsidRPr="00392CB5" w:rsidRDefault="00392CB5" w:rsidP="00392CB5">
      <w:pPr>
        <w:rPr>
          <w:sz w:val="26"/>
          <w:szCs w:val="26"/>
          <w:rtl/>
        </w:rPr>
      </w:pPr>
      <w:bookmarkStart w:id="4" w:name="Links_End"/>
      <w:bookmarkEnd w:id="4"/>
    </w:p>
    <w:p w14:paraId="5701B4DD" w14:textId="77777777" w:rsidR="00AE2BE6" w:rsidRPr="00AE2BE6" w:rsidRDefault="00AE2BE6" w:rsidP="00AE2BE6">
      <w:pPr>
        <w:spacing w:before="120" w:after="120" w:line="240" w:lineRule="exact"/>
        <w:ind w:left="283" w:hanging="283"/>
        <w:jc w:val="both"/>
        <w:rPr>
          <w:rFonts w:ascii="FrankRuehl" w:hAnsi="FrankRuehl" w:cs="FrankRuehl"/>
          <w:rtl/>
        </w:rPr>
      </w:pPr>
      <w:bookmarkStart w:id="5" w:name="LawTable"/>
      <w:bookmarkEnd w:id="5"/>
    </w:p>
    <w:p w14:paraId="7784620A" w14:textId="77777777" w:rsidR="00AE2BE6" w:rsidRPr="00AE2BE6" w:rsidRDefault="00AE2BE6" w:rsidP="00AE2BE6">
      <w:pPr>
        <w:spacing w:before="120" w:after="120" w:line="240" w:lineRule="exact"/>
        <w:ind w:left="283" w:hanging="283"/>
        <w:jc w:val="both"/>
        <w:rPr>
          <w:rFonts w:ascii="FrankRuehl" w:hAnsi="FrankRuehl" w:cs="FrankRuehl"/>
          <w:rtl/>
        </w:rPr>
      </w:pPr>
      <w:r w:rsidRPr="00AE2BE6">
        <w:rPr>
          <w:rFonts w:ascii="FrankRuehl" w:hAnsi="FrankRuehl" w:cs="FrankRuehl"/>
          <w:rtl/>
        </w:rPr>
        <w:t xml:space="preserve">חקיקה שאוזכרה: </w:t>
      </w:r>
    </w:p>
    <w:p w14:paraId="2CB21F15" w14:textId="77777777" w:rsidR="00AE2BE6" w:rsidRPr="00AE2BE6" w:rsidRDefault="00AE2BE6" w:rsidP="00AE2BE6">
      <w:pPr>
        <w:spacing w:before="120" w:after="120" w:line="240" w:lineRule="exact"/>
        <w:ind w:left="283" w:hanging="283"/>
        <w:jc w:val="both"/>
        <w:rPr>
          <w:rFonts w:ascii="FrankRuehl" w:hAnsi="FrankRuehl" w:cs="FrankRuehl"/>
          <w:color w:val="0000FF"/>
          <w:rtl/>
        </w:rPr>
      </w:pPr>
      <w:hyperlink r:id="rId7" w:history="1">
        <w:r w:rsidRPr="00AE2BE6">
          <w:rPr>
            <w:rStyle w:val="Hyperlink"/>
            <w:rFonts w:ascii="FrankRuehl" w:hAnsi="FrankRuehl" w:cs="FrankRuehl"/>
            <w:u w:val="none"/>
            <w:rtl/>
          </w:rPr>
          <w:t>חוק העונשין, תשל"ז-1977</w:t>
        </w:r>
      </w:hyperlink>
      <w:r w:rsidRPr="00AE2BE6">
        <w:rPr>
          <w:rFonts w:ascii="FrankRuehl" w:hAnsi="FrankRuehl" w:cs="FrankRuehl"/>
          <w:color w:val="0000FF"/>
          <w:rtl/>
        </w:rPr>
        <w:t xml:space="preserve">: סע'  </w:t>
      </w:r>
      <w:hyperlink r:id="rId8" w:history="1">
        <w:r w:rsidRPr="00AE2BE6">
          <w:rPr>
            <w:rStyle w:val="Hyperlink"/>
            <w:rFonts w:ascii="FrankRuehl" w:hAnsi="FrankRuehl" w:cs="FrankRuehl"/>
            <w:u w:val="none"/>
          </w:rPr>
          <w:t xml:space="preserve">40 </w:t>
        </w:r>
        <w:r w:rsidRPr="00AE2BE6">
          <w:rPr>
            <w:rStyle w:val="Hyperlink"/>
            <w:rFonts w:ascii="FrankRuehl" w:hAnsi="FrankRuehl" w:cs="FrankRuehl"/>
            <w:u w:val="none"/>
            <w:rtl/>
          </w:rPr>
          <w:t>ב</w:t>
        </w:r>
      </w:hyperlink>
      <w:r w:rsidRPr="00AE2BE6">
        <w:rPr>
          <w:rFonts w:ascii="FrankRuehl" w:hAnsi="FrankRuehl" w:cs="FrankRuehl"/>
          <w:color w:val="0000FF"/>
          <w:rtl/>
        </w:rPr>
        <w:t xml:space="preserve">, </w:t>
      </w:r>
      <w:hyperlink r:id="rId9" w:history="1">
        <w:r w:rsidRPr="00AE2BE6">
          <w:rPr>
            <w:rStyle w:val="Hyperlink"/>
            <w:rFonts w:ascii="FrankRuehl" w:hAnsi="FrankRuehl" w:cs="FrankRuehl"/>
            <w:u w:val="none"/>
          </w:rPr>
          <w:t xml:space="preserve">40 </w:t>
        </w:r>
        <w:r w:rsidRPr="00AE2BE6">
          <w:rPr>
            <w:rStyle w:val="Hyperlink"/>
            <w:rFonts w:ascii="FrankRuehl" w:hAnsi="FrankRuehl" w:cs="FrankRuehl"/>
            <w:u w:val="none"/>
            <w:rtl/>
          </w:rPr>
          <w:t>ג</w:t>
        </w:r>
      </w:hyperlink>
      <w:r w:rsidRPr="00AE2BE6">
        <w:rPr>
          <w:rFonts w:ascii="FrankRuehl" w:hAnsi="FrankRuehl" w:cs="FrankRuehl"/>
          <w:color w:val="0000FF"/>
          <w:rtl/>
        </w:rPr>
        <w:t xml:space="preserve">, </w:t>
      </w:r>
      <w:hyperlink r:id="rId10" w:history="1">
        <w:r w:rsidRPr="00AE2BE6">
          <w:rPr>
            <w:rStyle w:val="Hyperlink"/>
            <w:rFonts w:ascii="FrankRuehl" w:hAnsi="FrankRuehl" w:cs="FrankRuehl"/>
            <w:u w:val="none"/>
          </w:rPr>
          <w:t>40</w:t>
        </w:r>
        <w:r w:rsidRPr="00AE2BE6">
          <w:rPr>
            <w:rStyle w:val="Hyperlink"/>
            <w:rFonts w:ascii="FrankRuehl" w:hAnsi="FrankRuehl" w:cs="FrankRuehl"/>
            <w:u w:val="none"/>
            <w:rtl/>
          </w:rPr>
          <w:t>ד</w:t>
        </w:r>
      </w:hyperlink>
      <w:r w:rsidRPr="00AE2BE6">
        <w:rPr>
          <w:rFonts w:ascii="FrankRuehl" w:hAnsi="FrankRuehl" w:cs="FrankRuehl"/>
          <w:color w:val="0000FF"/>
          <w:rtl/>
        </w:rPr>
        <w:t xml:space="preserve">, </w:t>
      </w:r>
      <w:hyperlink r:id="rId11" w:history="1">
        <w:r w:rsidRPr="00AE2BE6">
          <w:rPr>
            <w:rStyle w:val="Hyperlink"/>
            <w:rFonts w:ascii="FrankRuehl" w:hAnsi="FrankRuehl" w:cs="FrankRuehl"/>
            <w:u w:val="none"/>
          </w:rPr>
          <w:t>40</w:t>
        </w:r>
        <w:r w:rsidRPr="00AE2BE6">
          <w:rPr>
            <w:rStyle w:val="Hyperlink"/>
            <w:rFonts w:ascii="FrankRuehl" w:hAnsi="FrankRuehl" w:cs="FrankRuehl"/>
            <w:u w:val="none"/>
            <w:rtl/>
          </w:rPr>
          <w:t>ד</w:t>
        </w:r>
      </w:hyperlink>
      <w:r w:rsidRPr="00AE2BE6">
        <w:rPr>
          <w:rFonts w:ascii="FrankRuehl" w:hAnsi="FrankRuehl" w:cs="FrankRuehl"/>
          <w:color w:val="0000FF"/>
          <w:rtl/>
        </w:rPr>
        <w:t xml:space="preserve">(א), </w:t>
      </w:r>
      <w:hyperlink r:id="rId12" w:history="1">
        <w:r w:rsidRPr="00AE2BE6">
          <w:rPr>
            <w:rStyle w:val="Hyperlink"/>
            <w:rFonts w:ascii="FrankRuehl" w:hAnsi="FrankRuehl" w:cs="FrankRuehl"/>
            <w:u w:val="none"/>
          </w:rPr>
          <w:t>144</w:t>
        </w:r>
      </w:hyperlink>
      <w:r w:rsidRPr="00AE2BE6">
        <w:rPr>
          <w:rFonts w:ascii="FrankRuehl" w:hAnsi="FrankRuehl" w:cs="FrankRuehl"/>
          <w:color w:val="0000FF"/>
          <w:rtl/>
        </w:rPr>
        <w:t xml:space="preserve">, </w:t>
      </w:r>
      <w:hyperlink r:id="rId13" w:history="1">
        <w:r w:rsidRPr="00AE2BE6">
          <w:rPr>
            <w:rStyle w:val="Hyperlink"/>
            <w:rFonts w:ascii="FrankRuehl" w:hAnsi="FrankRuehl" w:cs="FrankRuehl"/>
            <w:u w:val="none"/>
          </w:rPr>
          <w:t>192</w:t>
        </w:r>
      </w:hyperlink>
      <w:r w:rsidRPr="00AE2BE6">
        <w:rPr>
          <w:rFonts w:ascii="FrankRuehl" w:hAnsi="FrankRuehl" w:cs="FrankRuehl"/>
          <w:color w:val="0000FF"/>
          <w:rtl/>
        </w:rPr>
        <w:t xml:space="preserve">, </w:t>
      </w:r>
      <w:hyperlink r:id="rId14" w:history="1">
        <w:r w:rsidRPr="00AE2BE6">
          <w:rPr>
            <w:rStyle w:val="Hyperlink"/>
            <w:rFonts w:ascii="FrankRuehl" w:hAnsi="FrankRuehl" w:cs="FrankRuehl"/>
            <w:u w:val="none"/>
          </w:rPr>
          <w:t>340</w:t>
        </w:r>
      </w:hyperlink>
      <w:r w:rsidRPr="00AE2BE6">
        <w:rPr>
          <w:rFonts w:ascii="FrankRuehl" w:hAnsi="FrankRuehl" w:cs="FrankRuehl"/>
          <w:color w:val="0000FF"/>
          <w:rtl/>
        </w:rPr>
        <w:t xml:space="preserve">, </w:t>
      </w:r>
      <w:hyperlink r:id="rId15" w:history="1">
        <w:r w:rsidRPr="00AE2BE6">
          <w:rPr>
            <w:rStyle w:val="Hyperlink"/>
            <w:rFonts w:ascii="FrankRuehl" w:hAnsi="FrankRuehl" w:cs="FrankRuehl"/>
            <w:u w:val="none"/>
          </w:rPr>
          <w:t>340</w:t>
        </w:r>
      </w:hyperlink>
      <w:r w:rsidRPr="00AE2BE6">
        <w:rPr>
          <w:rFonts w:ascii="FrankRuehl" w:hAnsi="FrankRuehl" w:cs="FrankRuehl"/>
          <w:color w:val="0000FF"/>
          <w:rtl/>
        </w:rPr>
        <w:t xml:space="preserve">(א), </w:t>
      </w:r>
      <w:hyperlink r:id="rId16" w:history="1">
        <w:r w:rsidRPr="00AE2BE6">
          <w:rPr>
            <w:rStyle w:val="Hyperlink"/>
            <w:rFonts w:ascii="FrankRuehl" w:hAnsi="FrankRuehl" w:cs="FrankRuehl"/>
            <w:u w:val="none"/>
          </w:rPr>
          <w:t>340</w:t>
        </w:r>
        <w:r w:rsidRPr="00AE2BE6">
          <w:rPr>
            <w:rStyle w:val="Hyperlink"/>
            <w:rFonts w:ascii="FrankRuehl" w:hAnsi="FrankRuehl" w:cs="FrankRuehl"/>
            <w:u w:val="none"/>
            <w:rtl/>
          </w:rPr>
          <w:t>א</w:t>
        </w:r>
      </w:hyperlink>
      <w:r w:rsidRPr="00AE2BE6">
        <w:rPr>
          <w:rFonts w:ascii="FrankRuehl" w:hAnsi="FrankRuehl" w:cs="FrankRuehl"/>
          <w:color w:val="0000FF"/>
          <w:rtl/>
        </w:rPr>
        <w:t xml:space="preserve">, </w:t>
      </w:r>
      <w:hyperlink r:id="rId17" w:history="1">
        <w:r w:rsidRPr="00AE2BE6">
          <w:rPr>
            <w:rStyle w:val="Hyperlink"/>
            <w:rFonts w:ascii="FrankRuehl" w:hAnsi="FrankRuehl" w:cs="FrankRuehl"/>
            <w:u w:val="none"/>
          </w:rPr>
          <w:t>340</w:t>
        </w:r>
        <w:r w:rsidRPr="00AE2BE6">
          <w:rPr>
            <w:rStyle w:val="Hyperlink"/>
            <w:rFonts w:ascii="FrankRuehl" w:hAnsi="FrankRuehl" w:cs="FrankRuehl"/>
            <w:u w:val="none"/>
            <w:rtl/>
          </w:rPr>
          <w:t>א</w:t>
        </w:r>
      </w:hyperlink>
      <w:r w:rsidRPr="00AE2BE6">
        <w:rPr>
          <w:rFonts w:ascii="FrankRuehl" w:hAnsi="FrankRuehl" w:cs="FrankRuehl"/>
          <w:color w:val="0000FF"/>
          <w:rtl/>
        </w:rPr>
        <w:t xml:space="preserve">(א), </w:t>
      </w:r>
      <w:hyperlink r:id="rId18" w:history="1">
        <w:r w:rsidRPr="00AE2BE6">
          <w:rPr>
            <w:rStyle w:val="Hyperlink"/>
            <w:rFonts w:ascii="FrankRuehl" w:hAnsi="FrankRuehl" w:cs="FrankRuehl"/>
            <w:u w:val="none"/>
          </w:rPr>
          <w:t>340</w:t>
        </w:r>
        <w:r w:rsidRPr="00AE2BE6">
          <w:rPr>
            <w:rStyle w:val="Hyperlink"/>
            <w:rFonts w:ascii="FrankRuehl" w:hAnsi="FrankRuehl" w:cs="FrankRuehl"/>
            <w:u w:val="none"/>
            <w:rtl/>
          </w:rPr>
          <w:t>א</w:t>
        </w:r>
      </w:hyperlink>
      <w:r w:rsidRPr="00AE2BE6">
        <w:rPr>
          <w:rFonts w:ascii="FrankRuehl" w:hAnsi="FrankRuehl" w:cs="FrankRuehl"/>
          <w:color w:val="0000FF"/>
          <w:rtl/>
        </w:rPr>
        <w:t xml:space="preserve">(ב)(1), </w:t>
      </w:r>
      <w:hyperlink r:id="rId19" w:history="1">
        <w:r w:rsidRPr="00AE2BE6">
          <w:rPr>
            <w:rStyle w:val="Hyperlink"/>
            <w:rFonts w:ascii="FrankRuehl" w:hAnsi="FrankRuehl" w:cs="FrankRuehl"/>
            <w:u w:val="none"/>
          </w:rPr>
          <w:t>2</w:t>
        </w:r>
      </w:hyperlink>
      <w:r w:rsidRPr="00AE2BE6">
        <w:rPr>
          <w:rFonts w:ascii="FrankRuehl" w:hAnsi="FrankRuehl" w:cs="FrankRuehl"/>
          <w:color w:val="0000FF"/>
          <w:rtl/>
        </w:rPr>
        <w:t xml:space="preserve">, </w:t>
      </w:r>
      <w:hyperlink r:id="rId20" w:history="1">
        <w:r w:rsidRPr="00AE2BE6">
          <w:rPr>
            <w:rStyle w:val="Hyperlink"/>
            <w:rFonts w:ascii="FrankRuehl" w:hAnsi="FrankRuehl" w:cs="FrankRuehl"/>
            <w:u w:val="none"/>
          </w:rPr>
          <w:t>380</w:t>
        </w:r>
      </w:hyperlink>
      <w:r w:rsidRPr="00AE2BE6">
        <w:rPr>
          <w:rFonts w:ascii="FrankRuehl" w:hAnsi="FrankRuehl" w:cs="FrankRuehl"/>
          <w:color w:val="0000FF"/>
          <w:rtl/>
        </w:rPr>
        <w:t xml:space="preserve">, </w:t>
      </w:r>
      <w:hyperlink r:id="rId21" w:history="1">
        <w:r w:rsidRPr="00AE2BE6">
          <w:rPr>
            <w:rStyle w:val="Hyperlink"/>
            <w:rFonts w:ascii="FrankRuehl" w:hAnsi="FrankRuehl" w:cs="FrankRuehl"/>
            <w:u w:val="none"/>
          </w:rPr>
          <w:t xml:space="preserve">413 </w:t>
        </w:r>
        <w:r w:rsidRPr="00AE2BE6">
          <w:rPr>
            <w:rStyle w:val="Hyperlink"/>
            <w:rFonts w:ascii="FrankRuehl" w:hAnsi="FrankRuehl" w:cs="FrankRuehl"/>
            <w:u w:val="none"/>
            <w:rtl/>
          </w:rPr>
          <w:t>ה</w:t>
        </w:r>
        <w:r w:rsidRPr="00AE2BE6">
          <w:rPr>
            <w:rStyle w:val="Hyperlink"/>
            <w:rFonts w:ascii="FrankRuehl" w:hAnsi="FrankRuehl" w:cs="FrankRuehl"/>
            <w:u w:val="none"/>
          </w:rPr>
          <w:t>'</w:t>
        </w:r>
      </w:hyperlink>
    </w:p>
    <w:p w14:paraId="485F2F70" w14:textId="77777777" w:rsidR="005B0392" w:rsidRPr="00AE2BE6" w:rsidRDefault="005B0392" w:rsidP="00AE2BE6">
      <w:pPr>
        <w:rPr>
          <w:sz w:val="26"/>
          <w:szCs w:val="26"/>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B0392" w14:paraId="4F27B471" w14:textId="77777777" w:rsidTr="005B0392">
        <w:trPr>
          <w:trHeight w:val="355"/>
          <w:jc w:val="center"/>
        </w:trPr>
        <w:tc>
          <w:tcPr>
            <w:tcW w:w="8820" w:type="dxa"/>
            <w:tcBorders>
              <w:top w:val="nil"/>
              <w:left w:val="nil"/>
              <w:bottom w:val="nil"/>
              <w:right w:val="nil"/>
            </w:tcBorders>
            <w:shd w:val="clear" w:color="auto" w:fill="auto"/>
          </w:tcPr>
          <w:p w14:paraId="06ABA81E" w14:textId="77777777" w:rsidR="00392CB5" w:rsidRPr="00392CB5" w:rsidRDefault="00392CB5" w:rsidP="00392CB5">
            <w:pPr>
              <w:jc w:val="center"/>
              <w:rPr>
                <w:rFonts w:ascii="David" w:hAnsi="David"/>
                <w:b/>
                <w:bCs/>
                <w:sz w:val="32"/>
                <w:szCs w:val="32"/>
                <w:u w:val="single"/>
                <w:rtl/>
              </w:rPr>
            </w:pPr>
            <w:bookmarkStart w:id="7" w:name="PsakDin" w:colFirst="0" w:colLast="0"/>
            <w:bookmarkEnd w:id="0"/>
            <w:r w:rsidRPr="00392CB5">
              <w:rPr>
                <w:rFonts w:ascii="David" w:hAnsi="David"/>
                <w:b/>
                <w:bCs/>
                <w:sz w:val="32"/>
                <w:szCs w:val="32"/>
                <w:u w:val="single"/>
                <w:rtl/>
              </w:rPr>
              <w:t>גזר דין</w:t>
            </w:r>
          </w:p>
          <w:p w14:paraId="025D44DE" w14:textId="77777777" w:rsidR="005B0392" w:rsidRPr="00392CB5" w:rsidRDefault="005B0392" w:rsidP="00392CB5">
            <w:pPr>
              <w:jc w:val="center"/>
              <w:rPr>
                <w:rFonts w:ascii="David" w:hAnsi="David"/>
                <w:bCs/>
                <w:sz w:val="32"/>
                <w:szCs w:val="32"/>
                <w:u w:val="single"/>
                <w:rtl/>
              </w:rPr>
            </w:pPr>
          </w:p>
        </w:tc>
      </w:tr>
      <w:bookmarkEnd w:id="7"/>
    </w:tbl>
    <w:p w14:paraId="41422AF2" w14:textId="77777777" w:rsidR="005B0392" w:rsidRPr="000F2247" w:rsidRDefault="005B0392" w:rsidP="005B0392">
      <w:pPr>
        <w:rPr>
          <w:rFonts w:ascii="Arial" w:hAnsi="Arial"/>
          <w:b/>
          <w:bCs/>
          <w:sz w:val="26"/>
          <w:szCs w:val="26"/>
          <w:rtl/>
        </w:rPr>
      </w:pPr>
    </w:p>
    <w:p w14:paraId="227652DE" w14:textId="77777777" w:rsidR="005B0392" w:rsidRDefault="005B0392" w:rsidP="005B0392">
      <w:pPr>
        <w:spacing w:line="360" w:lineRule="auto"/>
        <w:rPr>
          <w:rFonts w:ascii="David" w:hAnsi="David"/>
        </w:rPr>
      </w:pPr>
      <w:bookmarkStart w:id="8" w:name="ABSTRACT_START"/>
      <w:bookmarkEnd w:id="8"/>
    </w:p>
    <w:p w14:paraId="3055D708" w14:textId="77777777" w:rsidR="005B0392" w:rsidRDefault="005B0392" w:rsidP="005B0392">
      <w:pPr>
        <w:spacing w:line="360" w:lineRule="auto"/>
        <w:rPr>
          <w:rFonts w:ascii="David" w:hAnsi="David"/>
          <w:rtl/>
        </w:rPr>
      </w:pPr>
      <w:r>
        <w:rPr>
          <w:rFonts w:ascii="David" w:hAnsi="David"/>
          <w:rtl/>
        </w:rPr>
        <w:t>1.</w:t>
      </w:r>
      <w:r>
        <w:rPr>
          <w:rFonts w:ascii="David" w:hAnsi="David"/>
          <w:rtl/>
        </w:rPr>
        <w:tab/>
        <w:t>הנאשם הורשע, על יסוד הודאתו בכתב אישום מתוקן, בעבירות של:</w:t>
      </w:r>
    </w:p>
    <w:p w14:paraId="68271336" w14:textId="77777777" w:rsidR="005B0392" w:rsidRDefault="005B0392" w:rsidP="005B0392">
      <w:pPr>
        <w:spacing w:line="360" w:lineRule="auto"/>
        <w:rPr>
          <w:rFonts w:ascii="David" w:hAnsi="David"/>
          <w:rtl/>
        </w:rPr>
      </w:pPr>
    </w:p>
    <w:p w14:paraId="3E18FF7F" w14:textId="77777777" w:rsidR="005B0392" w:rsidRDefault="005B0392" w:rsidP="005B0392">
      <w:pPr>
        <w:spacing w:line="360" w:lineRule="auto"/>
        <w:ind w:firstLine="720"/>
        <w:jc w:val="both"/>
        <w:rPr>
          <w:rFonts w:ascii="David" w:hAnsi="David"/>
          <w:rtl/>
        </w:rPr>
      </w:pPr>
      <w:r>
        <w:rPr>
          <w:rFonts w:ascii="David" w:hAnsi="David"/>
          <w:rtl/>
        </w:rPr>
        <w:t>א.</w:t>
      </w:r>
      <w:r>
        <w:rPr>
          <w:rFonts w:ascii="David" w:hAnsi="David"/>
          <w:rtl/>
        </w:rPr>
        <w:tab/>
        <w:t xml:space="preserve">ירי מנשק חם – עבירה לפי </w:t>
      </w:r>
      <w:hyperlink r:id="rId22" w:history="1">
        <w:r w:rsidR="00AE2BE6" w:rsidRPr="00AE2BE6">
          <w:rPr>
            <w:rStyle w:val="Hyperlink"/>
            <w:rFonts w:ascii="David" w:hAnsi="David"/>
            <w:color w:val="0000FF"/>
            <w:rtl/>
          </w:rPr>
          <w:t>סעיף 340א(ב)(1)</w:t>
        </w:r>
      </w:hyperlink>
      <w:r>
        <w:rPr>
          <w:rFonts w:ascii="David" w:hAnsi="David"/>
          <w:rtl/>
        </w:rPr>
        <w:t xml:space="preserve"> ל</w:t>
      </w:r>
      <w:hyperlink r:id="rId23" w:history="1">
        <w:r w:rsidR="00392CB5" w:rsidRPr="00392CB5">
          <w:rPr>
            <w:rFonts w:ascii="David" w:hAnsi="David"/>
            <w:color w:val="0000FF"/>
            <w:u w:val="single"/>
            <w:rtl/>
          </w:rPr>
          <w:t>חוק העונשין</w:t>
        </w:r>
      </w:hyperlink>
      <w:r>
        <w:rPr>
          <w:rFonts w:ascii="David" w:hAnsi="David"/>
          <w:rtl/>
        </w:rPr>
        <w:t>, התשל"ז – 1977.</w:t>
      </w:r>
    </w:p>
    <w:p w14:paraId="600E6ECC" w14:textId="77777777" w:rsidR="005B0392" w:rsidRDefault="005B0392" w:rsidP="005B0392">
      <w:pPr>
        <w:spacing w:line="360" w:lineRule="auto"/>
        <w:ind w:firstLine="720"/>
        <w:jc w:val="both"/>
        <w:rPr>
          <w:rFonts w:ascii="David" w:hAnsi="David"/>
          <w:rtl/>
        </w:rPr>
      </w:pPr>
    </w:p>
    <w:p w14:paraId="24BD62C6" w14:textId="77777777" w:rsidR="005B0392" w:rsidRDefault="005B0392" w:rsidP="005B0392">
      <w:pPr>
        <w:spacing w:line="360" w:lineRule="auto"/>
        <w:jc w:val="both"/>
        <w:rPr>
          <w:rFonts w:ascii="David" w:hAnsi="David"/>
          <w:rtl/>
        </w:rPr>
      </w:pPr>
      <w:r>
        <w:rPr>
          <w:rFonts w:ascii="David" w:hAnsi="David"/>
          <w:rtl/>
        </w:rPr>
        <w:tab/>
        <w:t>ב.</w:t>
      </w:r>
      <w:r>
        <w:rPr>
          <w:rFonts w:ascii="David" w:hAnsi="David"/>
          <w:rtl/>
        </w:rPr>
        <w:tab/>
        <w:t xml:space="preserve">איומים – עבירה לפי </w:t>
      </w:r>
      <w:hyperlink r:id="rId24" w:history="1">
        <w:r w:rsidR="00AE2BE6" w:rsidRPr="00AE2BE6">
          <w:rPr>
            <w:rStyle w:val="Hyperlink"/>
            <w:rFonts w:ascii="David" w:hAnsi="David"/>
            <w:color w:val="0000FF"/>
            <w:rtl/>
          </w:rPr>
          <w:t>סעיף 192</w:t>
        </w:r>
      </w:hyperlink>
      <w:r>
        <w:rPr>
          <w:rFonts w:ascii="David" w:hAnsi="David"/>
          <w:rtl/>
        </w:rPr>
        <w:t xml:space="preserve"> ל</w:t>
      </w:r>
      <w:hyperlink r:id="rId25" w:history="1">
        <w:r w:rsidR="00392CB5" w:rsidRPr="00392CB5">
          <w:rPr>
            <w:rFonts w:ascii="David" w:hAnsi="David"/>
            <w:color w:val="0000FF"/>
            <w:u w:val="single"/>
            <w:rtl/>
          </w:rPr>
          <w:t>חוק העונשין</w:t>
        </w:r>
      </w:hyperlink>
      <w:r>
        <w:rPr>
          <w:rFonts w:ascii="David" w:hAnsi="David"/>
          <w:rtl/>
        </w:rPr>
        <w:t>, התשל"ז – 1977.</w:t>
      </w:r>
    </w:p>
    <w:p w14:paraId="10831788" w14:textId="77777777" w:rsidR="005B0392" w:rsidRDefault="005B0392" w:rsidP="005B0392">
      <w:pPr>
        <w:spacing w:line="360" w:lineRule="auto"/>
        <w:jc w:val="both"/>
        <w:rPr>
          <w:rFonts w:ascii="David" w:hAnsi="David"/>
        </w:rPr>
      </w:pPr>
    </w:p>
    <w:p w14:paraId="102A6878" w14:textId="77777777" w:rsidR="005B0392" w:rsidRDefault="005B0392" w:rsidP="005B0392">
      <w:pPr>
        <w:spacing w:line="360" w:lineRule="auto"/>
        <w:jc w:val="both"/>
        <w:rPr>
          <w:rFonts w:ascii="David" w:hAnsi="David"/>
          <w:b/>
          <w:bCs/>
          <w:rtl/>
        </w:rPr>
      </w:pPr>
      <w:bookmarkStart w:id="9" w:name="ABSTRACT_END"/>
      <w:bookmarkEnd w:id="9"/>
      <w:r>
        <w:rPr>
          <w:rFonts w:ascii="David" w:hAnsi="David"/>
          <w:b/>
          <w:bCs/>
          <w:rtl/>
        </w:rPr>
        <w:t>כתב האישום המתוקן והסדר הטיעון:</w:t>
      </w:r>
    </w:p>
    <w:p w14:paraId="45F66F94" w14:textId="77777777" w:rsidR="005B0392" w:rsidRDefault="005B0392" w:rsidP="005B0392">
      <w:pPr>
        <w:spacing w:line="360" w:lineRule="auto"/>
        <w:jc w:val="both"/>
        <w:rPr>
          <w:rFonts w:ascii="David" w:hAnsi="David"/>
          <w:b/>
          <w:bCs/>
          <w:rtl/>
        </w:rPr>
      </w:pPr>
    </w:p>
    <w:p w14:paraId="1A234C25" w14:textId="77777777" w:rsidR="005B0392" w:rsidRDefault="005B0392" w:rsidP="005B0392">
      <w:pPr>
        <w:spacing w:line="360" w:lineRule="auto"/>
        <w:ind w:left="720" w:hanging="720"/>
        <w:jc w:val="both"/>
        <w:rPr>
          <w:rFonts w:ascii="David" w:hAnsi="David"/>
          <w:b/>
          <w:bCs/>
          <w:rtl/>
        </w:rPr>
      </w:pPr>
      <w:r>
        <w:rPr>
          <w:rFonts w:ascii="David" w:hAnsi="David"/>
          <w:rtl/>
        </w:rPr>
        <w:t>2.</w:t>
      </w:r>
      <w:r>
        <w:rPr>
          <w:rFonts w:ascii="David" w:hAnsi="David"/>
          <w:b/>
          <w:bCs/>
          <w:rtl/>
        </w:rPr>
        <w:tab/>
      </w:r>
      <w:r>
        <w:rPr>
          <w:rFonts w:ascii="David" w:hAnsi="David"/>
          <w:rtl/>
        </w:rPr>
        <w:t xml:space="preserve">על פי עובדות כתב האישום המתוקן, הנאשם הינו הבעלים של רכב מסוג יונדאי </w:t>
      </w:r>
      <w:r>
        <w:rPr>
          <w:rFonts w:ascii="David" w:hAnsi="David"/>
        </w:rPr>
        <w:t>I35</w:t>
      </w:r>
      <w:r>
        <w:rPr>
          <w:rFonts w:ascii="David" w:hAnsi="David"/>
          <w:rtl/>
        </w:rPr>
        <w:t>, מ.ר 48-726-11</w:t>
      </w:r>
      <w:r>
        <w:rPr>
          <w:rFonts w:ascii="David" w:hAnsi="David"/>
          <w:b/>
          <w:bCs/>
          <w:rtl/>
        </w:rPr>
        <w:t xml:space="preserve"> (להלן: "היונדאי"). </w:t>
      </w:r>
    </w:p>
    <w:p w14:paraId="572CF6F0" w14:textId="77777777" w:rsidR="005B0392" w:rsidRDefault="005B0392" w:rsidP="005B0392">
      <w:pPr>
        <w:spacing w:line="360" w:lineRule="auto"/>
        <w:ind w:left="720" w:hanging="720"/>
        <w:jc w:val="both"/>
        <w:rPr>
          <w:rFonts w:ascii="David" w:hAnsi="David"/>
          <w:b/>
          <w:bCs/>
          <w:rtl/>
        </w:rPr>
      </w:pPr>
    </w:p>
    <w:p w14:paraId="730A4AAC" w14:textId="77777777" w:rsidR="005B0392" w:rsidRDefault="005B0392" w:rsidP="005B0392">
      <w:pPr>
        <w:spacing w:line="360" w:lineRule="auto"/>
        <w:ind w:left="720" w:hanging="720"/>
        <w:jc w:val="both"/>
        <w:rPr>
          <w:rFonts w:ascii="David" w:hAnsi="David"/>
          <w:rtl/>
        </w:rPr>
      </w:pPr>
      <w:r>
        <w:rPr>
          <w:rFonts w:ascii="David" w:hAnsi="David"/>
          <w:rtl/>
        </w:rPr>
        <w:lastRenderedPageBreak/>
        <w:tab/>
        <w:t>הנאשם הוא אחיינם של סלימאן זיאדנה</w:t>
      </w:r>
      <w:r>
        <w:rPr>
          <w:rFonts w:ascii="David" w:hAnsi="David"/>
          <w:b/>
          <w:bCs/>
          <w:rtl/>
        </w:rPr>
        <w:t xml:space="preserve"> (</w:t>
      </w:r>
      <w:r>
        <w:rPr>
          <w:rFonts w:ascii="David" w:hAnsi="David"/>
          <w:rtl/>
        </w:rPr>
        <w:t>להלן:</w:t>
      </w:r>
      <w:r>
        <w:rPr>
          <w:rFonts w:ascii="David" w:hAnsi="David"/>
          <w:b/>
          <w:bCs/>
          <w:rtl/>
        </w:rPr>
        <w:t xml:space="preserve"> "המתלונן 1"</w:t>
      </w:r>
      <w:r>
        <w:rPr>
          <w:rFonts w:ascii="David" w:hAnsi="David"/>
          <w:rtl/>
        </w:rPr>
        <w:t xml:space="preserve">) וחאלד זיאדנה (להלן: </w:t>
      </w:r>
      <w:r>
        <w:rPr>
          <w:rFonts w:ascii="David" w:hAnsi="David"/>
          <w:b/>
          <w:bCs/>
          <w:rtl/>
        </w:rPr>
        <w:t>"המתלונן 2"</w:t>
      </w:r>
      <w:r>
        <w:rPr>
          <w:rFonts w:ascii="David" w:hAnsi="David"/>
          <w:rtl/>
        </w:rPr>
        <w:t xml:space="preserve">). הנאשם התגורר בסמיכות למתלוננים. </w:t>
      </w:r>
    </w:p>
    <w:p w14:paraId="6CDFA17E" w14:textId="77777777" w:rsidR="005B0392" w:rsidRDefault="005B0392" w:rsidP="005B0392">
      <w:pPr>
        <w:spacing w:line="360" w:lineRule="auto"/>
        <w:ind w:left="720" w:hanging="720"/>
        <w:jc w:val="both"/>
        <w:rPr>
          <w:rFonts w:ascii="David" w:hAnsi="David"/>
          <w:rtl/>
        </w:rPr>
      </w:pPr>
    </w:p>
    <w:p w14:paraId="5A434619" w14:textId="77777777" w:rsidR="005B0392" w:rsidRDefault="005B0392" w:rsidP="005B0392">
      <w:pPr>
        <w:spacing w:line="360" w:lineRule="auto"/>
        <w:ind w:left="720" w:hanging="720"/>
        <w:jc w:val="both"/>
        <w:rPr>
          <w:rFonts w:ascii="David" w:hAnsi="David"/>
          <w:rtl/>
        </w:rPr>
      </w:pPr>
      <w:r>
        <w:rPr>
          <w:rFonts w:ascii="David" w:hAnsi="David"/>
          <w:rtl/>
        </w:rPr>
        <w:tab/>
        <w:t xml:space="preserve">בין משפחת הנאשם למשפחת המתלונן 1 קיים סכסוך על קרקע, במקום מגוריהם שטיבו אינו ידוע במדויק למאשימה (להלן: </w:t>
      </w:r>
      <w:r>
        <w:rPr>
          <w:rFonts w:ascii="David" w:hAnsi="David"/>
          <w:b/>
          <w:bCs/>
          <w:rtl/>
        </w:rPr>
        <w:t>"הסכסוך"</w:t>
      </w:r>
      <w:r>
        <w:rPr>
          <w:rFonts w:ascii="David" w:hAnsi="David"/>
          <w:rtl/>
        </w:rPr>
        <w:t xml:space="preserve">). </w:t>
      </w:r>
    </w:p>
    <w:p w14:paraId="61E51980" w14:textId="77777777" w:rsidR="005B0392" w:rsidRDefault="005B0392" w:rsidP="005B0392">
      <w:pPr>
        <w:spacing w:line="360" w:lineRule="auto"/>
        <w:ind w:left="720" w:hanging="720"/>
        <w:jc w:val="both"/>
        <w:rPr>
          <w:rFonts w:ascii="David" w:hAnsi="David"/>
          <w:rtl/>
        </w:rPr>
      </w:pPr>
    </w:p>
    <w:p w14:paraId="2D103D56" w14:textId="77777777" w:rsidR="005B0392" w:rsidRDefault="005B0392" w:rsidP="005B0392">
      <w:pPr>
        <w:spacing w:line="360" w:lineRule="auto"/>
        <w:ind w:left="720" w:hanging="720"/>
        <w:jc w:val="both"/>
        <w:rPr>
          <w:rFonts w:ascii="David" w:hAnsi="David"/>
          <w:rtl/>
        </w:rPr>
      </w:pPr>
      <w:r>
        <w:rPr>
          <w:rFonts w:ascii="David" w:hAnsi="David"/>
          <w:rtl/>
        </w:rPr>
        <w:tab/>
        <w:t>ביום 28.11.20, בשעה 14:45, או בסמוך לכך, התגלע ויכוח בין הנאשם לבין סלימאן על רקע הסכסוך.</w:t>
      </w:r>
    </w:p>
    <w:p w14:paraId="630DCD0E" w14:textId="77777777" w:rsidR="005B0392" w:rsidRDefault="005B0392" w:rsidP="005B0392">
      <w:pPr>
        <w:spacing w:line="360" w:lineRule="auto"/>
        <w:ind w:left="720" w:hanging="720"/>
        <w:jc w:val="both"/>
        <w:rPr>
          <w:rFonts w:ascii="David" w:hAnsi="David"/>
          <w:rtl/>
        </w:rPr>
      </w:pPr>
      <w:r>
        <w:rPr>
          <w:rFonts w:ascii="David" w:hAnsi="David"/>
          <w:rtl/>
        </w:rPr>
        <w:tab/>
        <w:t>במסגרת הוויכוח איים הנאשם על המתלונן 1 ואמר לו "חכה אני אראה לך מזה" ו"חכה אני אירה בך ולא אשב שניה בתא המעצר", בכוונה להפחידו או להק</w:t>
      </w:r>
      <w:r>
        <w:rPr>
          <w:rFonts w:ascii="David" w:hAnsi="David" w:hint="cs"/>
          <w:rtl/>
        </w:rPr>
        <w:t xml:space="preserve">ניטו </w:t>
      </w:r>
      <w:r>
        <w:rPr>
          <w:rFonts w:ascii="David" w:hAnsi="David"/>
          <w:rtl/>
        </w:rPr>
        <w:t xml:space="preserve">ולאחר מכן עזב את המקום. </w:t>
      </w:r>
    </w:p>
    <w:p w14:paraId="2380707F" w14:textId="77777777" w:rsidR="005B0392" w:rsidRDefault="005B0392" w:rsidP="005B0392">
      <w:pPr>
        <w:spacing w:line="360" w:lineRule="auto"/>
        <w:ind w:left="720" w:hanging="720"/>
        <w:jc w:val="both"/>
        <w:rPr>
          <w:rFonts w:ascii="David" w:hAnsi="David"/>
          <w:rtl/>
        </w:rPr>
      </w:pPr>
    </w:p>
    <w:p w14:paraId="11688CE2" w14:textId="77777777" w:rsidR="005B0392" w:rsidRDefault="005B0392" w:rsidP="005B0392">
      <w:pPr>
        <w:spacing w:line="360" w:lineRule="auto"/>
        <w:ind w:left="720" w:hanging="720"/>
        <w:jc w:val="both"/>
        <w:rPr>
          <w:rFonts w:ascii="David" w:hAnsi="David"/>
          <w:rtl/>
        </w:rPr>
      </w:pPr>
      <w:r>
        <w:rPr>
          <w:rFonts w:ascii="David" w:hAnsi="David"/>
          <w:rtl/>
        </w:rPr>
        <w:tab/>
        <w:t xml:space="preserve">לאחר כ- 10 דקות ירה הנאשם מספר יריות סמוך לבית המתלוננים, באמצעות אקדח שטיבו המדויק אינו ידוע במדויק למאשימה. </w:t>
      </w:r>
    </w:p>
    <w:p w14:paraId="72F17E49" w14:textId="77777777" w:rsidR="005B0392" w:rsidRDefault="005B0392" w:rsidP="005B0392">
      <w:pPr>
        <w:spacing w:line="360" w:lineRule="auto"/>
        <w:ind w:left="720" w:hanging="720"/>
        <w:jc w:val="both"/>
        <w:rPr>
          <w:rFonts w:ascii="David" w:hAnsi="David"/>
          <w:rtl/>
        </w:rPr>
      </w:pPr>
    </w:p>
    <w:p w14:paraId="35869B99" w14:textId="77777777" w:rsidR="005B0392" w:rsidRDefault="005B0392" w:rsidP="005B0392">
      <w:pPr>
        <w:spacing w:line="360" w:lineRule="auto"/>
        <w:ind w:left="720" w:hanging="720"/>
        <w:jc w:val="both"/>
        <w:rPr>
          <w:rFonts w:ascii="David" w:hAnsi="David"/>
          <w:rtl/>
        </w:rPr>
      </w:pPr>
      <w:r>
        <w:rPr>
          <w:rFonts w:ascii="David" w:hAnsi="David"/>
          <w:rtl/>
        </w:rPr>
        <w:tab/>
        <w:t xml:space="preserve">המתלונן 2 ששמע את קולות הירי, צעד לעבר הרכב והנאשם ושאל לפשר התנהגותו. הנאשם בתגובה השיב לו שלא יתערב וכי אם יתערב יפגע גם בו ולאחר מכן נסע מהמקום. </w:t>
      </w:r>
    </w:p>
    <w:p w14:paraId="080C17C6" w14:textId="77777777" w:rsidR="005B0392" w:rsidRDefault="005B0392" w:rsidP="005B0392">
      <w:pPr>
        <w:spacing w:line="360" w:lineRule="auto"/>
        <w:jc w:val="both"/>
        <w:rPr>
          <w:rFonts w:ascii="David" w:hAnsi="David"/>
          <w:rtl/>
        </w:rPr>
      </w:pPr>
    </w:p>
    <w:p w14:paraId="52F8BC94" w14:textId="77777777" w:rsidR="005B0392" w:rsidRDefault="005B0392" w:rsidP="005B0392">
      <w:pPr>
        <w:spacing w:line="360" w:lineRule="auto"/>
        <w:ind w:left="720" w:hanging="720"/>
        <w:jc w:val="both"/>
        <w:rPr>
          <w:rFonts w:ascii="David" w:hAnsi="David"/>
          <w:rtl/>
        </w:rPr>
      </w:pPr>
      <w:r>
        <w:rPr>
          <w:rFonts w:ascii="David" w:hAnsi="David"/>
          <w:rtl/>
        </w:rPr>
        <w:t>3.</w:t>
      </w:r>
      <w:r>
        <w:rPr>
          <w:rFonts w:ascii="David" w:hAnsi="David"/>
          <w:rtl/>
        </w:rPr>
        <w:tab/>
        <w:t xml:space="preserve">הנאשם הורשע בעבירות לעיל לאחר שמיעת חלק מעדי התביעה ובמסגרת הסדר טיעון אשר לא כלל הסכמה לעניין העונש. </w:t>
      </w:r>
    </w:p>
    <w:p w14:paraId="2B6755B4" w14:textId="77777777" w:rsidR="005B0392" w:rsidRDefault="005B0392" w:rsidP="005B0392">
      <w:pPr>
        <w:spacing w:line="360" w:lineRule="auto"/>
        <w:ind w:left="720" w:hanging="720"/>
        <w:jc w:val="both"/>
        <w:rPr>
          <w:rFonts w:ascii="David" w:hAnsi="David"/>
          <w:rtl/>
        </w:rPr>
      </w:pPr>
    </w:p>
    <w:p w14:paraId="364FAF5C" w14:textId="77777777" w:rsidR="005B0392" w:rsidRDefault="005B0392" w:rsidP="005B0392">
      <w:pPr>
        <w:spacing w:line="360" w:lineRule="auto"/>
        <w:ind w:left="720" w:hanging="720"/>
        <w:jc w:val="both"/>
        <w:rPr>
          <w:rFonts w:ascii="David" w:hAnsi="David"/>
          <w:rtl/>
        </w:rPr>
      </w:pPr>
      <w:r>
        <w:rPr>
          <w:rFonts w:ascii="David" w:hAnsi="David"/>
          <w:rtl/>
        </w:rPr>
        <w:tab/>
        <w:t>לבקשת ההגנה התבקש שירות המבחן להגיש תסקיר לעונש בעניינו של הנאשם.</w:t>
      </w:r>
    </w:p>
    <w:p w14:paraId="2A073583" w14:textId="77777777" w:rsidR="005B0392" w:rsidRDefault="005B0392" w:rsidP="005B0392">
      <w:pPr>
        <w:spacing w:line="360" w:lineRule="auto"/>
        <w:ind w:left="720" w:hanging="720"/>
        <w:jc w:val="both"/>
        <w:rPr>
          <w:rFonts w:ascii="David" w:hAnsi="David"/>
          <w:rtl/>
        </w:rPr>
      </w:pPr>
    </w:p>
    <w:p w14:paraId="719CBB4D" w14:textId="77777777" w:rsidR="005B0392" w:rsidRDefault="005B0392" w:rsidP="005B0392">
      <w:pPr>
        <w:spacing w:line="360" w:lineRule="auto"/>
        <w:ind w:left="720" w:hanging="720"/>
        <w:jc w:val="both"/>
        <w:rPr>
          <w:rFonts w:ascii="David" w:hAnsi="David"/>
          <w:rtl/>
        </w:rPr>
      </w:pPr>
      <w:r>
        <w:rPr>
          <w:rFonts w:ascii="David" w:hAnsi="David"/>
          <w:b/>
          <w:bCs/>
          <w:rtl/>
        </w:rPr>
        <w:t>תסקירי שירות המבחן</w:t>
      </w:r>
      <w:r>
        <w:rPr>
          <w:rFonts w:ascii="David" w:hAnsi="David"/>
          <w:rtl/>
        </w:rPr>
        <w:t>:</w:t>
      </w:r>
    </w:p>
    <w:p w14:paraId="24CA7B93" w14:textId="77777777" w:rsidR="005B0392" w:rsidRDefault="005B0392" w:rsidP="005B0392">
      <w:pPr>
        <w:spacing w:line="360" w:lineRule="auto"/>
        <w:ind w:left="720" w:hanging="720"/>
        <w:jc w:val="both"/>
        <w:rPr>
          <w:rFonts w:ascii="David" w:hAnsi="David"/>
          <w:rtl/>
        </w:rPr>
      </w:pPr>
    </w:p>
    <w:p w14:paraId="06F380F6" w14:textId="77777777" w:rsidR="005B0392" w:rsidRDefault="005B0392" w:rsidP="005B0392">
      <w:pPr>
        <w:spacing w:line="360" w:lineRule="auto"/>
        <w:ind w:left="720" w:hanging="720"/>
        <w:jc w:val="both"/>
        <w:rPr>
          <w:rFonts w:ascii="David" w:hAnsi="David"/>
          <w:rtl/>
        </w:rPr>
      </w:pPr>
      <w:r>
        <w:rPr>
          <w:rFonts w:ascii="David" w:hAnsi="David"/>
          <w:rtl/>
        </w:rPr>
        <w:t>4.</w:t>
      </w:r>
      <w:r>
        <w:rPr>
          <w:rFonts w:ascii="David" w:hAnsi="David"/>
          <w:rtl/>
        </w:rPr>
        <w:tab/>
      </w:r>
      <w:r>
        <w:rPr>
          <w:rFonts w:ascii="David" w:hAnsi="David"/>
          <w:b/>
          <w:bCs/>
          <w:rtl/>
        </w:rPr>
        <w:t xml:space="preserve">בתסקיר שירות המבחן מיום 09.06.24 </w:t>
      </w:r>
      <w:r>
        <w:rPr>
          <w:rFonts w:ascii="David" w:hAnsi="David"/>
          <w:rtl/>
        </w:rPr>
        <w:t>פורט הרקע האישי והמשפחתי של הנאשם. הנאשם, בן 37 שנים, מתגורר ברהט, נשוי ואב לשני ילדים. מתיאור קורות חייו עולה, כי למד 12 שנות לימוד וזכאי לתעודת מכונאי רכב. שלל קשיים לימודיים וציין שהשתלב חברתית. ביחס לתפקודו התעסוקתי, מסר שבעקבות לימודיו החל לעבוד במוסך למשך כשבע שנים אך בהמשך שינה מסגרות עבודה. משנת 2013 ועד היום, עובד בחברת "אבשלום מפעלים אזוריים" בתפקיד מלגזן ואחראי משמרת. לדבריו במסגרת עבודתו אחראי על 35 עובדים, השתלב בלימודי ניהול תעשייתי שנמשך שישה חודשים ומרוצה מעבודתו. לדבריו, במקביל לעבודתו כמלגזן ולאורך השנים עובד במכולת שבבעלות אחיו.</w:t>
      </w:r>
    </w:p>
    <w:p w14:paraId="46A70694" w14:textId="77777777" w:rsidR="005B0392" w:rsidRDefault="005B0392" w:rsidP="005B0392">
      <w:pPr>
        <w:spacing w:line="360" w:lineRule="auto"/>
        <w:ind w:left="720" w:hanging="720"/>
        <w:jc w:val="both"/>
        <w:rPr>
          <w:rFonts w:ascii="David" w:hAnsi="David"/>
          <w:rtl/>
        </w:rPr>
      </w:pPr>
      <w:r>
        <w:rPr>
          <w:rFonts w:ascii="David" w:hAnsi="David"/>
          <w:rtl/>
        </w:rPr>
        <w:tab/>
        <w:t xml:space="preserve">הנאשם שיתף כי במהלך עשר השנים האחרונות מתנדב בבתי ספר על מנת לחשוף ולגייס תלמידים לשירות צבאי במגזר הבדואי. </w:t>
      </w:r>
    </w:p>
    <w:p w14:paraId="10B431DD" w14:textId="77777777" w:rsidR="005B0392" w:rsidRDefault="005B0392" w:rsidP="005B0392">
      <w:pPr>
        <w:spacing w:line="360" w:lineRule="auto"/>
        <w:ind w:left="720" w:hanging="720"/>
        <w:jc w:val="both"/>
        <w:rPr>
          <w:rFonts w:ascii="David" w:hAnsi="David"/>
          <w:rtl/>
        </w:rPr>
      </w:pPr>
    </w:p>
    <w:p w14:paraId="6BE99372" w14:textId="77777777" w:rsidR="005B0392" w:rsidRDefault="005B0392" w:rsidP="005B0392">
      <w:pPr>
        <w:spacing w:line="360" w:lineRule="auto"/>
        <w:ind w:left="720" w:hanging="720"/>
        <w:jc w:val="both"/>
        <w:rPr>
          <w:rFonts w:ascii="David" w:hAnsi="David"/>
          <w:rtl/>
        </w:rPr>
      </w:pPr>
      <w:r>
        <w:rPr>
          <w:rFonts w:ascii="David" w:hAnsi="David"/>
          <w:rtl/>
        </w:rPr>
        <w:tab/>
        <w:t>מעיון ברישומו הפלילי מיום 04.06.24, עולה כי לחובתו שלוש הרשעות קודמות, אך על כולן חלה התיישנות.</w:t>
      </w:r>
    </w:p>
    <w:p w14:paraId="7ACA6409" w14:textId="77777777" w:rsidR="005B0392" w:rsidRDefault="005B0392" w:rsidP="005B0392">
      <w:pPr>
        <w:spacing w:line="360" w:lineRule="auto"/>
        <w:ind w:left="720" w:hanging="720"/>
        <w:jc w:val="both"/>
        <w:rPr>
          <w:rFonts w:ascii="David" w:hAnsi="David"/>
          <w:rtl/>
        </w:rPr>
      </w:pPr>
    </w:p>
    <w:p w14:paraId="416CB590" w14:textId="77777777" w:rsidR="005B0392" w:rsidRDefault="005B0392" w:rsidP="005B0392">
      <w:pPr>
        <w:spacing w:line="360" w:lineRule="auto"/>
        <w:ind w:left="720" w:hanging="720"/>
        <w:jc w:val="both"/>
        <w:rPr>
          <w:rFonts w:ascii="David" w:hAnsi="David"/>
          <w:rtl/>
        </w:rPr>
      </w:pPr>
    </w:p>
    <w:p w14:paraId="027E3EBE" w14:textId="77777777" w:rsidR="005B0392" w:rsidRDefault="005B0392" w:rsidP="005B0392">
      <w:pPr>
        <w:spacing w:line="360" w:lineRule="auto"/>
        <w:ind w:left="720" w:hanging="720"/>
        <w:jc w:val="both"/>
        <w:rPr>
          <w:rFonts w:ascii="David" w:hAnsi="David"/>
          <w:rtl/>
        </w:rPr>
      </w:pPr>
    </w:p>
    <w:p w14:paraId="4039A1F1" w14:textId="77777777" w:rsidR="005B0392" w:rsidRDefault="005B0392" w:rsidP="005B0392">
      <w:pPr>
        <w:spacing w:line="360" w:lineRule="auto"/>
        <w:ind w:left="720" w:hanging="720"/>
        <w:jc w:val="both"/>
        <w:rPr>
          <w:rFonts w:ascii="David" w:hAnsi="David"/>
          <w:rtl/>
        </w:rPr>
      </w:pPr>
    </w:p>
    <w:p w14:paraId="7E0666C0" w14:textId="77777777" w:rsidR="005B0392" w:rsidRDefault="005B0392" w:rsidP="005B0392">
      <w:pPr>
        <w:spacing w:line="360" w:lineRule="auto"/>
        <w:ind w:left="720"/>
        <w:jc w:val="both"/>
        <w:rPr>
          <w:rFonts w:ascii="David" w:hAnsi="David"/>
          <w:rtl/>
        </w:rPr>
      </w:pPr>
      <w:r>
        <w:rPr>
          <w:rFonts w:ascii="David" w:hAnsi="David"/>
          <w:rtl/>
        </w:rPr>
        <w:t xml:space="preserve">ביחס לעבירה הנוכחית, מסר כי ברקע לביצוע העבירה סכסוך שכנים על גבולות קרקע. הנאשם ציין כי המתלוננים הם דודיו  וכי הסכסוך נמשך יותר משלוש שנים. לדבריו ביום ביצוע העבירה הצדדים סיכמו ליישב את המחלוקת ביניהם על גבולות הקרקע, ובמהלך המפגש, המתלוננים השתמשו באלימות כלפיו וכלפי בנו. לכן,  פנה למשטרה ומיד לאחר מכן התקשר לחברו, כשהוא יודע שיש בבעלותו נשק, לקח ממנו את הנשק והחליט לירות לאוויר שלוש פעמים. לדבריו, עשה כן מתוך כעס רב ורצון להשיב אליו את כבודו, לאחר שחש שהמתלוננים השפילו אותו בפני אמו ואשתו. לתפיסתו, מעבר להגנה על כבודו, בהתנהגותו ניסה להרתיע את המתלוננים ולהגן על עצמו ומשפחתו. </w:t>
      </w:r>
    </w:p>
    <w:p w14:paraId="56A0E08A" w14:textId="77777777" w:rsidR="005B0392" w:rsidRDefault="005B0392" w:rsidP="005B0392">
      <w:pPr>
        <w:spacing w:line="360" w:lineRule="auto"/>
        <w:ind w:left="720"/>
        <w:jc w:val="both"/>
        <w:rPr>
          <w:rFonts w:ascii="David" w:hAnsi="David"/>
          <w:rtl/>
        </w:rPr>
      </w:pPr>
    </w:p>
    <w:p w14:paraId="74D2F3A8" w14:textId="77777777" w:rsidR="005B0392" w:rsidRDefault="005B0392" w:rsidP="005B0392">
      <w:pPr>
        <w:spacing w:line="360" w:lineRule="auto"/>
        <w:ind w:left="720"/>
        <w:jc w:val="both"/>
        <w:rPr>
          <w:rFonts w:ascii="David" w:hAnsi="David"/>
          <w:rtl/>
        </w:rPr>
      </w:pPr>
      <w:r>
        <w:rPr>
          <w:rFonts w:ascii="David" w:hAnsi="David"/>
          <w:rtl/>
        </w:rPr>
        <w:t>הנאשם הציג בפני שירות המבחן הסכם סולחה שנחתם ביום 15.07.21 לפיו הצדדים הגיעו להסכם על סיום המחלוקות. עולה מההסכם שהצדדים פותחים דף חדש של יחסים טובים ביניהם ומתחייבים לפעול בשכנות טובה. הנאשם מסר שמאז החתימה על הסכם הסולחה, היחסים בינו ובין שכניו רגועים ונטולי קונפליקט, והשטח שהיה במחלוקת נמצא כיום בבעלותו.</w:t>
      </w:r>
    </w:p>
    <w:p w14:paraId="5BDA78F4" w14:textId="77777777" w:rsidR="005B0392" w:rsidRDefault="005B0392" w:rsidP="005B0392">
      <w:pPr>
        <w:spacing w:line="360" w:lineRule="auto"/>
        <w:ind w:left="720"/>
        <w:jc w:val="both"/>
        <w:rPr>
          <w:rFonts w:ascii="David" w:hAnsi="David"/>
          <w:rtl/>
        </w:rPr>
      </w:pPr>
    </w:p>
    <w:p w14:paraId="675F0B78" w14:textId="77777777" w:rsidR="005B0392" w:rsidRDefault="005B0392" w:rsidP="005B0392">
      <w:pPr>
        <w:spacing w:line="360" w:lineRule="auto"/>
        <w:ind w:left="720"/>
        <w:jc w:val="both"/>
        <w:rPr>
          <w:rFonts w:ascii="David" w:hAnsi="David"/>
          <w:rtl/>
        </w:rPr>
      </w:pPr>
      <w:r>
        <w:rPr>
          <w:rFonts w:ascii="David" w:hAnsi="David"/>
          <w:rtl/>
        </w:rPr>
        <w:t xml:space="preserve">הנאשם ציין כי ברצונו להשתלב בקבוצה טיפולית בשירות המבחן על מנת לרכוש כלים להתמודדות במצבי כעס, חוסר אונים ופחד. כמו כן, מסר כי מעוניין לערוך שינוי בנטייתו להתנהג באימפולסיביות. </w:t>
      </w:r>
    </w:p>
    <w:p w14:paraId="4447EAD6" w14:textId="77777777" w:rsidR="005B0392" w:rsidRDefault="005B0392" w:rsidP="005B0392">
      <w:pPr>
        <w:spacing w:line="360" w:lineRule="auto"/>
        <w:ind w:left="720"/>
        <w:jc w:val="both"/>
        <w:rPr>
          <w:rFonts w:ascii="David" w:hAnsi="David"/>
          <w:rtl/>
        </w:rPr>
      </w:pPr>
    </w:p>
    <w:p w14:paraId="1608F155" w14:textId="77777777" w:rsidR="005B0392" w:rsidRDefault="005B0392" w:rsidP="005B0392">
      <w:pPr>
        <w:spacing w:line="360" w:lineRule="auto"/>
        <w:ind w:left="720"/>
        <w:jc w:val="both"/>
        <w:rPr>
          <w:rFonts w:ascii="David" w:hAnsi="David"/>
          <w:rtl/>
        </w:rPr>
      </w:pPr>
      <w:r>
        <w:rPr>
          <w:rFonts w:ascii="David" w:hAnsi="David"/>
          <w:rtl/>
        </w:rPr>
        <w:t xml:space="preserve">ביחס לגורמי הסיכוי, שירות המבחן התרשם כי הנאשם מצליח לשמור על רציפות ויציבות תעסוקתית, שיתף פעולה עם שירות המבחן וביטא רצון להשתלב בטיפול במסגרת השירות כדי לערוך התבוננות עמוקה על בחירותיו לאורך השנים וכדי לרכוש כלים להתמודדות עם מצבים רגישים קשים. </w:t>
      </w:r>
    </w:p>
    <w:p w14:paraId="701EF855" w14:textId="77777777" w:rsidR="005B0392" w:rsidRDefault="005B0392" w:rsidP="005B0392">
      <w:pPr>
        <w:spacing w:line="360" w:lineRule="auto"/>
        <w:ind w:left="720"/>
        <w:jc w:val="both"/>
        <w:rPr>
          <w:rFonts w:ascii="David" w:hAnsi="David"/>
          <w:rtl/>
        </w:rPr>
      </w:pPr>
    </w:p>
    <w:p w14:paraId="6F29C665" w14:textId="77777777" w:rsidR="005B0392" w:rsidRDefault="005B0392" w:rsidP="005B0392">
      <w:pPr>
        <w:spacing w:line="360" w:lineRule="auto"/>
        <w:ind w:left="720"/>
        <w:jc w:val="both"/>
        <w:rPr>
          <w:rFonts w:ascii="David" w:hAnsi="David"/>
          <w:rtl/>
        </w:rPr>
      </w:pPr>
      <w:r>
        <w:rPr>
          <w:rFonts w:ascii="David" w:hAnsi="David"/>
          <w:rtl/>
        </w:rPr>
        <w:t xml:space="preserve">ביחס לגורמי הסיכון, שירות המבחן התרשם שבמצבים בהם חש בושה או פגיעה בערך העצמי רגשותיו מועצמים והוא עלול להתנהג בצורה אימפולסיבית, לא מווסתת ואלימה תוך שמתקשה לשקול השלכות מעשיו עליו ועל האחרים, זאת כמשתקף בביצוע העבירה הנוכחית. בנוסף, על אף שמבטא יכולות וורבליות טובות, שירות המבחן מצא כי הנאשם הביע בלבול לאורך השיחה וכן ערפול מסוים באשר לקורות חייו ולדפוסיו לאורך השנים. </w:t>
      </w:r>
    </w:p>
    <w:p w14:paraId="30ACF1BA" w14:textId="77777777" w:rsidR="005B0392" w:rsidRDefault="005B0392" w:rsidP="005B0392">
      <w:pPr>
        <w:spacing w:line="360" w:lineRule="auto"/>
        <w:ind w:left="720"/>
        <w:jc w:val="both"/>
        <w:rPr>
          <w:rFonts w:ascii="David" w:hAnsi="David"/>
          <w:rtl/>
        </w:rPr>
      </w:pPr>
    </w:p>
    <w:p w14:paraId="75C228BC" w14:textId="77777777" w:rsidR="005B0392" w:rsidRDefault="005B0392" w:rsidP="005B0392">
      <w:pPr>
        <w:spacing w:line="360" w:lineRule="auto"/>
        <w:ind w:left="720"/>
        <w:jc w:val="both"/>
        <w:rPr>
          <w:rFonts w:ascii="David" w:hAnsi="David"/>
          <w:rtl/>
        </w:rPr>
      </w:pPr>
      <w:r>
        <w:rPr>
          <w:rFonts w:ascii="David" w:hAnsi="David"/>
          <w:rtl/>
        </w:rPr>
        <w:t xml:space="preserve">לאור האמור, ומכיוון ששירות המבחן סבר שבמסגרת הליך טיפולי הנאשם יוכל להפיק לקחים ולרכוש כלים וכי יש במעורבות הטיפולית כדי להפחית מהסיכון להישנות עוברת חוק בעתיד, המליץ על הטלת צו מבחן למשך שנה במסגרתו ישתלב בקבוצה טיפולית בתחום האלימות. </w:t>
      </w:r>
    </w:p>
    <w:p w14:paraId="34A1AF08" w14:textId="77777777" w:rsidR="005B0392" w:rsidRDefault="005B0392" w:rsidP="005B0392">
      <w:pPr>
        <w:spacing w:line="360" w:lineRule="auto"/>
        <w:ind w:left="720"/>
        <w:jc w:val="both"/>
        <w:rPr>
          <w:rFonts w:ascii="David" w:hAnsi="David"/>
          <w:rtl/>
        </w:rPr>
      </w:pPr>
      <w:r>
        <w:rPr>
          <w:rFonts w:ascii="David" w:hAnsi="David"/>
          <w:rtl/>
        </w:rPr>
        <w:t xml:space="preserve">בנוסף ובשים לב לחומרת העבירה, והקלות שבה השיג נשק והחליט להשתמש בו בצורה אימפולסיבית וללא יכולת לווסת עצמו, המליץ שירות המבחן על עונש מאסר בעבודות שירות. </w:t>
      </w:r>
    </w:p>
    <w:p w14:paraId="39C48DC3" w14:textId="77777777" w:rsidR="005B0392" w:rsidRDefault="005B0392" w:rsidP="005B0392">
      <w:pPr>
        <w:spacing w:line="360" w:lineRule="auto"/>
        <w:ind w:left="720"/>
        <w:jc w:val="both"/>
        <w:rPr>
          <w:rFonts w:ascii="David" w:hAnsi="David"/>
          <w:rtl/>
        </w:rPr>
      </w:pPr>
    </w:p>
    <w:p w14:paraId="447F5319" w14:textId="77777777" w:rsidR="005B0392" w:rsidRDefault="005B0392" w:rsidP="005B0392">
      <w:pPr>
        <w:spacing w:line="360" w:lineRule="auto"/>
        <w:ind w:left="720" w:hanging="720"/>
        <w:jc w:val="both"/>
        <w:rPr>
          <w:rFonts w:ascii="David" w:hAnsi="David"/>
          <w:rtl/>
        </w:rPr>
      </w:pPr>
      <w:r>
        <w:rPr>
          <w:rFonts w:ascii="David" w:hAnsi="David"/>
          <w:rtl/>
        </w:rPr>
        <w:t>5.</w:t>
      </w:r>
      <w:r>
        <w:rPr>
          <w:rFonts w:ascii="David" w:hAnsi="David"/>
          <w:rtl/>
        </w:rPr>
        <w:tab/>
      </w:r>
      <w:r>
        <w:rPr>
          <w:rFonts w:ascii="David" w:hAnsi="David"/>
          <w:b/>
          <w:bCs/>
          <w:rtl/>
        </w:rPr>
        <w:t xml:space="preserve">בתסקיר המשלים מיום 30.09.24 </w:t>
      </w:r>
      <w:r>
        <w:rPr>
          <w:rFonts w:ascii="David" w:hAnsi="David"/>
          <w:rtl/>
        </w:rPr>
        <w:t>(בהמשך להחלטת בית המשפט מיום 27.06.24) צוין כי הנאשם היה עתיד להשתלב בקבוצה ייעודית בתחום האלימות, אך בשל רשימת ההמתנה הארוכה טרם שולב</w:t>
      </w:r>
      <w:r>
        <w:rPr>
          <w:rFonts w:ascii="David" w:hAnsi="David"/>
          <w:b/>
          <w:bCs/>
          <w:rtl/>
        </w:rPr>
        <w:t xml:space="preserve">. </w:t>
      </w:r>
      <w:r>
        <w:rPr>
          <w:rFonts w:ascii="David" w:hAnsi="David"/>
          <w:rtl/>
        </w:rPr>
        <w:t xml:space="preserve">עוד פורט בתסקיר המשלים כי הנאשם עתיד להשתלב בקבוצה בתאריך 08.10.24 וכי הקבוצה עתידה להתקיים אחת לשבוע בימי שלישי בין השעות 17:30 - 19:00 בשירות המבחן. </w:t>
      </w:r>
    </w:p>
    <w:p w14:paraId="63A3B714" w14:textId="77777777" w:rsidR="005B0392" w:rsidRDefault="005B0392" w:rsidP="005B0392">
      <w:pPr>
        <w:spacing w:line="360" w:lineRule="auto"/>
        <w:ind w:left="720" w:hanging="720"/>
        <w:jc w:val="both"/>
        <w:rPr>
          <w:rFonts w:ascii="David" w:hAnsi="David"/>
          <w:rtl/>
        </w:rPr>
      </w:pPr>
    </w:p>
    <w:p w14:paraId="1AB361AB" w14:textId="77777777" w:rsidR="005B0392" w:rsidRDefault="005B0392" w:rsidP="005B0392">
      <w:pPr>
        <w:spacing w:line="360" w:lineRule="auto"/>
        <w:ind w:left="720" w:hanging="720"/>
        <w:jc w:val="both"/>
        <w:rPr>
          <w:rFonts w:ascii="David" w:hAnsi="David"/>
          <w:rtl/>
        </w:rPr>
      </w:pPr>
      <w:r>
        <w:rPr>
          <w:rFonts w:ascii="David" w:hAnsi="David"/>
          <w:rtl/>
        </w:rPr>
        <w:tab/>
        <w:t xml:space="preserve">עוד עולה מהתסקיר המשלים כי הנאשם הגיע מספר פעמים לפגישות פרטניות, ומהשיחות עולה כי כיום מנהל קשר קרוב עם המתלונן, מבין את חומרת מעשיו מצטער על אופן התנהלותו, וכן מביע מוטיבציה להשתלב בהליך טיפולי. לדבריו, במשך שנים רבות התבייש ללכת לטיפול ולעבד חוויות מורכבות אשר לדבריו הובילו אותו לפיתוח מיומנויות לא אדפטיביות להתמודדות במצבי לחץ וכעס וכיום חש בשל יותר ומעונין להשתלב בקבוצה על מנת לשתף בסיפור האישי שלו וללמוד מחברי הקבוצה על מנת להימנע מביצוע עבירות דומות. הנאשם ביטא חוסר וודאות לגבי עתידו ופרנסת משפחתו, יחד עם זאת ביטא הפנמה של חומרת מעשיו ומסר כי מבין שפעל בצורה שגויה וביטא מחויבת לבצע כל עונש שיוטל עליו. </w:t>
      </w:r>
    </w:p>
    <w:p w14:paraId="6EB6AA12" w14:textId="77777777" w:rsidR="005B0392" w:rsidRDefault="005B0392" w:rsidP="005B0392">
      <w:pPr>
        <w:spacing w:line="360" w:lineRule="auto"/>
        <w:ind w:left="720" w:hanging="720"/>
        <w:jc w:val="both"/>
        <w:rPr>
          <w:rFonts w:ascii="David" w:hAnsi="David"/>
          <w:rtl/>
        </w:rPr>
      </w:pPr>
    </w:p>
    <w:p w14:paraId="70A76348" w14:textId="77777777" w:rsidR="005B0392" w:rsidRDefault="005B0392" w:rsidP="005B0392">
      <w:pPr>
        <w:spacing w:line="360" w:lineRule="auto"/>
        <w:ind w:left="720" w:hanging="720"/>
        <w:jc w:val="both"/>
        <w:rPr>
          <w:rFonts w:ascii="David" w:hAnsi="David"/>
          <w:rtl/>
        </w:rPr>
      </w:pPr>
      <w:r>
        <w:rPr>
          <w:rFonts w:ascii="David" w:hAnsi="David"/>
          <w:rtl/>
        </w:rPr>
        <w:tab/>
        <w:t xml:space="preserve">לאור האמור, חזר שירות המבחן על המלצתו להטיל על הנאשם צו מבחן למשך שנה במסגרתו יחל השתלבותו בקבוצה טיפולית וכן על הטלת מאסר בעבודות שירות שיהווה עונש הרתעתי ומוחשי. </w:t>
      </w:r>
    </w:p>
    <w:p w14:paraId="6098ACFA" w14:textId="77777777" w:rsidR="005B0392" w:rsidRDefault="005B0392" w:rsidP="005B0392">
      <w:pPr>
        <w:spacing w:line="360" w:lineRule="auto"/>
        <w:ind w:left="720" w:hanging="720"/>
        <w:jc w:val="both"/>
        <w:rPr>
          <w:rFonts w:ascii="David" w:hAnsi="David"/>
          <w:rtl/>
        </w:rPr>
      </w:pPr>
    </w:p>
    <w:p w14:paraId="5C30DB58" w14:textId="77777777" w:rsidR="005B0392" w:rsidRDefault="005B0392" w:rsidP="005B0392">
      <w:pPr>
        <w:spacing w:line="360" w:lineRule="auto"/>
        <w:ind w:left="720" w:hanging="720"/>
        <w:jc w:val="both"/>
        <w:rPr>
          <w:rFonts w:ascii="David" w:hAnsi="David"/>
          <w:rtl/>
        </w:rPr>
      </w:pPr>
      <w:r>
        <w:rPr>
          <w:rFonts w:ascii="David" w:hAnsi="David"/>
          <w:rtl/>
        </w:rPr>
        <w:t>6.</w:t>
      </w:r>
      <w:r>
        <w:rPr>
          <w:rFonts w:ascii="David" w:hAnsi="David"/>
          <w:rtl/>
        </w:rPr>
        <w:tab/>
      </w:r>
      <w:r>
        <w:rPr>
          <w:rFonts w:ascii="David" w:hAnsi="David"/>
          <w:b/>
          <w:bCs/>
          <w:rtl/>
        </w:rPr>
        <w:t>בתסקיר המשלים הנוסף מיום 13.01.25</w:t>
      </w:r>
      <w:r>
        <w:rPr>
          <w:rFonts w:ascii="David" w:hAnsi="David"/>
          <w:rtl/>
        </w:rPr>
        <w:t xml:space="preserve"> (בהמשך להחלטת בית המשפט מיום 08.10.24) צוין כי במהלך תקופת הדחייה הנאשם השתלב בקבוצה טיפולית בשירות המבחן ביום 05.11.24. מאופן השתתפותו עולה כי הגעתו למפגשים הקבוצתיים הנה רציפה, ניחן בבשלות טיפולית אשר באה לידי ביטוי בהכרה ובהפנמה של דפוסי אלימות אשר הובילו לביצוע העבירה, ניכר כי עורך מאמצים רבים לתרום לשיח הקבוצתי וכן משתף על עצמו באופן פתוח וכן. </w:t>
      </w:r>
    </w:p>
    <w:p w14:paraId="595BA7B8" w14:textId="77777777" w:rsidR="005B0392" w:rsidRDefault="005B0392" w:rsidP="005B0392">
      <w:pPr>
        <w:spacing w:line="360" w:lineRule="auto"/>
        <w:ind w:left="720" w:hanging="720"/>
        <w:jc w:val="both"/>
        <w:rPr>
          <w:rFonts w:ascii="David" w:hAnsi="David"/>
          <w:rtl/>
        </w:rPr>
      </w:pPr>
    </w:p>
    <w:p w14:paraId="2C3E1523" w14:textId="77777777" w:rsidR="005B0392" w:rsidRDefault="005B0392" w:rsidP="005B0392">
      <w:pPr>
        <w:spacing w:line="360" w:lineRule="auto"/>
        <w:ind w:left="720"/>
        <w:jc w:val="both"/>
        <w:rPr>
          <w:rFonts w:ascii="David" w:hAnsi="David"/>
          <w:rtl/>
        </w:rPr>
      </w:pPr>
      <w:r>
        <w:rPr>
          <w:rFonts w:ascii="David" w:hAnsi="David"/>
          <w:rtl/>
        </w:rPr>
        <w:t xml:space="preserve">בפגישה שהתקיימה מסר הנאשם כי חש שהקבוצה מהווה עבורו מקום לפורקן נפשי. כמו כן, מסר כי משתלב בקבוצה ומצליח להירתם מהתהליך הקבוצתי וחש שחל שינוי משמעותי בדפוסי התנהגותו. כיום, חש שרכש מנגנוני התמודדות מיטיבים כמו הפעלת שיקול דעת ושיפור התקשורת המילולית. כן מסר כי חש שנמצא בשלב ראשוני בקבוצה ובעל מוטיבציה להמשיך את השתתפותו בה. באשר לקשר עם המתלוננים בתיק מסר כי כיום הקשר ביניהם השתקם וכי מנהלים קשר תקין. </w:t>
      </w:r>
    </w:p>
    <w:p w14:paraId="64BDAAA4" w14:textId="77777777" w:rsidR="005B0392" w:rsidRDefault="005B0392" w:rsidP="005B0392">
      <w:pPr>
        <w:spacing w:line="360" w:lineRule="auto"/>
        <w:ind w:left="720"/>
        <w:jc w:val="both"/>
        <w:rPr>
          <w:rFonts w:ascii="David" w:hAnsi="David"/>
          <w:rtl/>
        </w:rPr>
      </w:pPr>
    </w:p>
    <w:p w14:paraId="5B4847FE" w14:textId="77777777" w:rsidR="005B0392" w:rsidRDefault="005B0392" w:rsidP="005B0392">
      <w:pPr>
        <w:spacing w:line="360" w:lineRule="auto"/>
        <w:ind w:left="720"/>
        <w:jc w:val="both"/>
        <w:rPr>
          <w:rFonts w:ascii="David" w:hAnsi="David"/>
          <w:rtl/>
        </w:rPr>
      </w:pPr>
      <w:r>
        <w:rPr>
          <w:rFonts w:ascii="David" w:hAnsi="David"/>
          <w:rtl/>
        </w:rPr>
        <w:t xml:space="preserve">לצורך העמקת האבחון, שירות המבחן שוחח עם המתלונן, חאלד זיאדנה, אשר מסר כי הנאשם הנו אחיינו וכיום גרים בשכנות. מסר כי ברקע לעבירה עמדה מחלוקת באשר לבעלות בקרקע וכי הסכם הסולחה שנחתם בשנת 2021 רלוונטי גם למועד כתיבת תסקיר זה.  לדבריו פועל לשימור היחסים התקינים בינו ובין המשפחה ולהשאיר את משקעי העבר מאחוריהם וכיום מנהלים קשר טוב אשר מבוסס על כבוד הדדי. </w:t>
      </w:r>
    </w:p>
    <w:p w14:paraId="7EFEC31F" w14:textId="77777777" w:rsidR="005B0392" w:rsidRDefault="005B0392" w:rsidP="005B0392">
      <w:pPr>
        <w:spacing w:line="360" w:lineRule="auto"/>
        <w:ind w:left="720"/>
        <w:jc w:val="both"/>
        <w:rPr>
          <w:rFonts w:ascii="David" w:hAnsi="David"/>
          <w:rtl/>
        </w:rPr>
      </w:pPr>
    </w:p>
    <w:p w14:paraId="0E907307" w14:textId="77777777" w:rsidR="005B0392" w:rsidRDefault="005B0392" w:rsidP="005B0392">
      <w:pPr>
        <w:spacing w:line="360" w:lineRule="auto"/>
        <w:ind w:left="720"/>
        <w:jc w:val="both"/>
        <w:rPr>
          <w:rFonts w:ascii="David" w:hAnsi="David"/>
          <w:rtl/>
        </w:rPr>
      </w:pPr>
      <w:r>
        <w:rPr>
          <w:rFonts w:ascii="David" w:hAnsi="David"/>
          <w:rtl/>
        </w:rPr>
        <w:t>מעיון ברישום הפלילי העדכני לתאריך 06.01.25 עולה כי במהלך תקופת הדחייה לא נפתחו לנאשם תיקים פליליים חדשים.</w:t>
      </w:r>
    </w:p>
    <w:p w14:paraId="56998345" w14:textId="77777777" w:rsidR="005B0392" w:rsidRDefault="005B0392" w:rsidP="005B0392">
      <w:pPr>
        <w:spacing w:line="360" w:lineRule="auto"/>
        <w:ind w:left="720"/>
        <w:jc w:val="both"/>
        <w:rPr>
          <w:rFonts w:ascii="David" w:hAnsi="David"/>
          <w:rtl/>
        </w:rPr>
      </w:pPr>
    </w:p>
    <w:p w14:paraId="5A4DE2F4" w14:textId="77777777" w:rsidR="005B0392" w:rsidRDefault="005B0392" w:rsidP="005B0392">
      <w:pPr>
        <w:spacing w:line="360" w:lineRule="auto"/>
        <w:ind w:left="720"/>
        <w:jc w:val="both"/>
        <w:rPr>
          <w:rFonts w:ascii="David" w:hAnsi="David"/>
          <w:rtl/>
        </w:rPr>
      </w:pPr>
      <w:r>
        <w:rPr>
          <w:rFonts w:ascii="David" w:hAnsi="David"/>
          <w:rtl/>
        </w:rPr>
        <w:t xml:space="preserve">לאור האמור ובשקלול כלל הגורמים, שב שירות המבחן על המלצתו למאסר בעבודות שירות אשר יהווה ענישה מוחשית והרתעתית לצד צו מבחן למשך שנה במסגרתו ימשיך את השתלבותו בקבוצה הייעודית לעוברי חוק בתחום האלימות. </w:t>
      </w:r>
    </w:p>
    <w:p w14:paraId="79089243" w14:textId="77777777" w:rsidR="005B0392" w:rsidRDefault="005B0392" w:rsidP="005B0392">
      <w:pPr>
        <w:spacing w:line="360" w:lineRule="auto"/>
        <w:ind w:left="720"/>
        <w:jc w:val="both"/>
        <w:rPr>
          <w:rFonts w:ascii="David" w:hAnsi="David"/>
          <w:rtl/>
        </w:rPr>
      </w:pPr>
    </w:p>
    <w:p w14:paraId="58E01C8F" w14:textId="77777777" w:rsidR="005B0392" w:rsidRDefault="005B0392" w:rsidP="005B0392">
      <w:pPr>
        <w:spacing w:line="360" w:lineRule="auto"/>
        <w:jc w:val="both"/>
        <w:rPr>
          <w:rFonts w:ascii="David" w:hAnsi="David"/>
          <w:b/>
          <w:bCs/>
          <w:rtl/>
        </w:rPr>
      </w:pPr>
      <w:r>
        <w:rPr>
          <w:rFonts w:ascii="David" w:hAnsi="David"/>
          <w:b/>
          <w:bCs/>
          <w:rtl/>
        </w:rPr>
        <w:t>טענות הצדדים:</w:t>
      </w:r>
    </w:p>
    <w:p w14:paraId="28B47C7B" w14:textId="77777777" w:rsidR="005B0392" w:rsidRDefault="005B0392" w:rsidP="005B0392">
      <w:pPr>
        <w:spacing w:line="360" w:lineRule="auto"/>
        <w:jc w:val="both"/>
        <w:rPr>
          <w:rFonts w:ascii="David" w:hAnsi="David"/>
          <w:b/>
          <w:bCs/>
          <w:rtl/>
        </w:rPr>
      </w:pPr>
    </w:p>
    <w:p w14:paraId="2F184F0E" w14:textId="77777777" w:rsidR="005B0392" w:rsidRDefault="005B0392" w:rsidP="005B0392">
      <w:pPr>
        <w:spacing w:line="360" w:lineRule="auto"/>
        <w:ind w:left="720" w:hanging="720"/>
        <w:jc w:val="both"/>
        <w:rPr>
          <w:rFonts w:ascii="David" w:hAnsi="David"/>
          <w:rtl/>
        </w:rPr>
      </w:pPr>
      <w:r>
        <w:rPr>
          <w:rFonts w:ascii="David" w:hAnsi="David"/>
          <w:rtl/>
        </w:rPr>
        <w:t>7.</w:t>
      </w:r>
      <w:r>
        <w:rPr>
          <w:rFonts w:ascii="David" w:hAnsi="David"/>
          <w:rtl/>
        </w:rPr>
        <w:tab/>
        <w:t xml:space="preserve">במסגרת הראיות לעונש הגישה המאשימה תדפיס מידע פלילי של הנאשם (ת/40), ממנו עולה כי לנאשם שלוש הרשעות קודמות שהתיישנו. </w:t>
      </w:r>
    </w:p>
    <w:p w14:paraId="529D93CB" w14:textId="77777777" w:rsidR="005B0392" w:rsidRDefault="005B0392" w:rsidP="005B0392">
      <w:pPr>
        <w:spacing w:line="360" w:lineRule="auto"/>
        <w:ind w:left="720" w:hanging="720"/>
        <w:jc w:val="both"/>
        <w:rPr>
          <w:rFonts w:ascii="David" w:hAnsi="David"/>
          <w:rtl/>
        </w:rPr>
      </w:pPr>
    </w:p>
    <w:p w14:paraId="023BA612" w14:textId="77777777" w:rsidR="005B0392" w:rsidRDefault="005B0392" w:rsidP="005B0392">
      <w:pPr>
        <w:spacing w:line="360" w:lineRule="auto"/>
        <w:ind w:left="720" w:hanging="720"/>
        <w:jc w:val="both"/>
        <w:rPr>
          <w:rFonts w:ascii="David" w:hAnsi="David"/>
          <w:rtl/>
        </w:rPr>
      </w:pPr>
      <w:r>
        <w:rPr>
          <w:rFonts w:ascii="David" w:hAnsi="David"/>
          <w:rtl/>
        </w:rPr>
        <w:t>8.</w:t>
      </w:r>
      <w:r>
        <w:rPr>
          <w:rFonts w:ascii="David" w:hAnsi="David"/>
          <w:rtl/>
        </w:rPr>
        <w:tab/>
        <w:t xml:space="preserve">ההגנה העידה מטעמה את המתלונן - מר חאלד זיאדנה, ע.ת.2. לדבריו, הנאשם אחיין שלו מצד אחיו, לאחר האירוע נעשתה סולחה עם הנאשם, הוא סולח לו ומאז היחסים ביניהם תקינים. מר זיאדנה הוסיף כי מנהל בית ספר ועד לפני שנתיים היה מרצה באוניברסיטת </w:t>
      </w:r>
      <w:hyperlink r:id="rId26" w:history="1">
        <w:r w:rsidR="00392CB5" w:rsidRPr="00392CB5">
          <w:rPr>
            <w:rFonts w:ascii="David" w:hAnsi="David"/>
            <w:color w:val="000000"/>
            <w:rtl/>
          </w:rPr>
          <w:t>בן גוריון</w:t>
        </w:r>
      </w:hyperlink>
      <w:r>
        <w:rPr>
          <w:rFonts w:ascii="David" w:hAnsi="David"/>
          <w:rtl/>
        </w:rPr>
        <w:t xml:space="preserve"> ופועל ליישב סכסוכים במגזר הבדואי. לשאלת ב"כ המאשימה השיב העד כי הנאשם לא נכח במעמד הסולחה. </w:t>
      </w:r>
    </w:p>
    <w:p w14:paraId="455EB36A" w14:textId="77777777" w:rsidR="005B0392" w:rsidRDefault="005B0392" w:rsidP="005B0392">
      <w:pPr>
        <w:spacing w:line="360" w:lineRule="auto"/>
        <w:ind w:left="720" w:hanging="720"/>
        <w:jc w:val="both"/>
        <w:rPr>
          <w:rFonts w:ascii="David" w:hAnsi="David"/>
          <w:rtl/>
        </w:rPr>
      </w:pPr>
    </w:p>
    <w:p w14:paraId="5D15D029" w14:textId="77777777" w:rsidR="005B0392" w:rsidRDefault="005B0392" w:rsidP="005B0392">
      <w:pPr>
        <w:spacing w:line="360" w:lineRule="auto"/>
        <w:ind w:left="720" w:hanging="720"/>
        <w:jc w:val="both"/>
        <w:rPr>
          <w:rFonts w:ascii="David" w:hAnsi="David"/>
          <w:rtl/>
        </w:rPr>
      </w:pPr>
      <w:r>
        <w:rPr>
          <w:rFonts w:ascii="David" w:hAnsi="David"/>
          <w:rtl/>
        </w:rPr>
        <w:t>9.</w:t>
      </w:r>
      <w:r>
        <w:rPr>
          <w:rFonts w:ascii="David" w:hAnsi="David"/>
          <w:rtl/>
        </w:rPr>
        <w:tab/>
      </w:r>
      <w:r>
        <w:rPr>
          <w:rFonts w:ascii="David" w:hAnsi="David"/>
          <w:b/>
          <w:bCs/>
          <w:rtl/>
        </w:rPr>
        <w:t xml:space="preserve">ב"כ המאשימה </w:t>
      </w:r>
      <w:r>
        <w:rPr>
          <w:rFonts w:ascii="David" w:hAnsi="David"/>
          <w:rtl/>
        </w:rPr>
        <w:t xml:space="preserve">הגיש טיעוניו בכתב (ת/41) והשלימם בעל פה. </w:t>
      </w:r>
    </w:p>
    <w:p w14:paraId="28DF9FE5" w14:textId="77777777" w:rsidR="005B0392" w:rsidRDefault="005B0392" w:rsidP="005B0392">
      <w:pPr>
        <w:spacing w:line="360" w:lineRule="auto"/>
        <w:ind w:left="720" w:hanging="720"/>
        <w:jc w:val="both"/>
        <w:rPr>
          <w:rFonts w:ascii="David" w:hAnsi="David"/>
          <w:rtl/>
        </w:rPr>
      </w:pPr>
    </w:p>
    <w:p w14:paraId="2605D65B" w14:textId="77777777" w:rsidR="005B0392" w:rsidRDefault="005B0392" w:rsidP="005B0392">
      <w:pPr>
        <w:spacing w:line="360" w:lineRule="auto"/>
        <w:ind w:left="720"/>
        <w:jc w:val="both"/>
        <w:rPr>
          <w:rFonts w:ascii="David" w:hAnsi="David"/>
          <w:rtl/>
        </w:rPr>
      </w:pPr>
      <w:r>
        <w:rPr>
          <w:rFonts w:ascii="David" w:hAnsi="David"/>
          <w:rtl/>
        </w:rPr>
        <w:t xml:space="preserve">ב"כ המאשימה עתר למתחם עונש הולם הנע בין 24 ועד 36 חודשי מאסר בפועל לצד ענישה נלווית (מאסר על תנאי, קנס ופיצוי למתלוננים) וביקש למקם את עונשו של הנאשם בשליש התחתון אך לא בתחתיתו. </w:t>
      </w:r>
    </w:p>
    <w:p w14:paraId="48FD2372" w14:textId="77777777" w:rsidR="005B0392" w:rsidRDefault="005B0392" w:rsidP="005B0392">
      <w:pPr>
        <w:spacing w:line="360" w:lineRule="auto"/>
        <w:ind w:left="720"/>
        <w:jc w:val="both"/>
        <w:rPr>
          <w:rFonts w:ascii="David" w:hAnsi="David"/>
          <w:rtl/>
        </w:rPr>
      </w:pPr>
    </w:p>
    <w:p w14:paraId="3245A3B5" w14:textId="77777777" w:rsidR="005B0392" w:rsidRDefault="005B0392" w:rsidP="005B0392">
      <w:pPr>
        <w:spacing w:line="360" w:lineRule="auto"/>
        <w:ind w:left="720"/>
        <w:jc w:val="both"/>
        <w:rPr>
          <w:rFonts w:ascii="David" w:hAnsi="David"/>
          <w:rtl/>
        </w:rPr>
      </w:pPr>
      <w:r>
        <w:rPr>
          <w:rFonts w:ascii="David" w:hAnsi="David"/>
          <w:rtl/>
        </w:rPr>
        <w:t xml:space="preserve">המאשימה טענה כי הנאשם פגע במידה גבוהה עד מאוד בערכים המוגנים של שלום הציבור והסדר הציבורי והדגישה את הסיכון הרב הטמון בשימוש בנשק לפגיעה בגוף ובנפש. </w:t>
      </w:r>
    </w:p>
    <w:p w14:paraId="34A621AF" w14:textId="77777777" w:rsidR="005B0392" w:rsidRDefault="005B0392" w:rsidP="005B0392">
      <w:pPr>
        <w:spacing w:line="360" w:lineRule="auto"/>
        <w:ind w:left="720"/>
        <w:jc w:val="both"/>
        <w:rPr>
          <w:rFonts w:ascii="David" w:hAnsi="David"/>
          <w:rtl/>
        </w:rPr>
      </w:pPr>
    </w:p>
    <w:p w14:paraId="646702A0" w14:textId="77777777" w:rsidR="005B0392" w:rsidRDefault="005B0392" w:rsidP="005B0392">
      <w:pPr>
        <w:spacing w:line="360" w:lineRule="auto"/>
        <w:ind w:left="720"/>
        <w:jc w:val="both"/>
        <w:rPr>
          <w:rFonts w:ascii="David" w:hAnsi="David"/>
          <w:rtl/>
        </w:rPr>
      </w:pPr>
      <w:r>
        <w:rPr>
          <w:rFonts w:ascii="David" w:hAnsi="David"/>
          <w:rtl/>
        </w:rPr>
        <w:t xml:space="preserve">נטען כי בית המשפט העליון עמד על החומרה שיש לנקוט בענישה כלפי מבצעי עבירות בנשק והתייחס אף לעונש המינימום הקיים בצד עבירות אלו.  הגם שעונשי המינימום אינם חלים על הנאשם והעבירה שבענייננו, הם מלמדים על התייחסותו של המחוקק לתופעה והצורך ההכרחי בהחמרת הענישה. ב"כ המאשימה הוסיף כי לנוכח ריבוי מקרי הירי יש לנקוט במדיניות ענישה מחמירה וזאת, בין היתר, על מנת להרתיע עבריינים פוטנציאליים משימוש בנשק כאמצעי ליישוב סכסוכים. </w:t>
      </w:r>
    </w:p>
    <w:p w14:paraId="5EDC9BF9" w14:textId="77777777" w:rsidR="005B0392" w:rsidRDefault="005B0392" w:rsidP="005B0392">
      <w:pPr>
        <w:spacing w:line="360" w:lineRule="auto"/>
        <w:ind w:left="720"/>
        <w:jc w:val="both"/>
        <w:rPr>
          <w:rFonts w:ascii="David" w:hAnsi="David"/>
          <w:rtl/>
        </w:rPr>
      </w:pPr>
    </w:p>
    <w:p w14:paraId="50589638" w14:textId="77777777" w:rsidR="005B0392" w:rsidRDefault="005B0392" w:rsidP="005B0392">
      <w:pPr>
        <w:spacing w:line="360" w:lineRule="auto"/>
        <w:ind w:left="720"/>
        <w:jc w:val="both"/>
        <w:rPr>
          <w:rFonts w:ascii="David" w:hAnsi="David"/>
          <w:rtl/>
        </w:rPr>
      </w:pPr>
      <w:r>
        <w:rPr>
          <w:rFonts w:ascii="David" w:hAnsi="David"/>
          <w:rtl/>
        </w:rPr>
        <w:t xml:space="preserve">ב"כ המאשימה הפנה לחומרתן של נסיבות ביצוע העבירות, ובכללן התכנון המוקדם,  הסיכון הפוטנציאלי והנזק שהיה צפוי להיגרם מביצוע הירי. עוד נטען כי הנאשם ביקש לפתור סכסוך בכוח הזרוע ולא חשש להשתמש בכלי נשק לאורו של יום ובטבורה של עיר. ירי שכזה, המבוצע בשכונת מגורים, מעבר לעובדה שיכול היה לגרום לפגיעה בחיי אדם, זורע פחד, דאגה ופוגע בשלוות הנפש והציבור. הנאשם הסלים את התנהגותו במהלך הסכסוך, יכול היה להימנע מלבצע את העבירות, אולם בחר את ההיפך. </w:t>
      </w:r>
    </w:p>
    <w:p w14:paraId="7187B85C" w14:textId="77777777" w:rsidR="005B0392" w:rsidRDefault="005B0392" w:rsidP="005B0392">
      <w:pPr>
        <w:spacing w:line="360" w:lineRule="auto"/>
        <w:ind w:left="720"/>
        <w:jc w:val="both"/>
        <w:rPr>
          <w:rFonts w:ascii="David" w:hAnsi="David"/>
          <w:rtl/>
        </w:rPr>
      </w:pPr>
    </w:p>
    <w:p w14:paraId="7EB88F57" w14:textId="77777777" w:rsidR="005B0392" w:rsidRDefault="005B0392" w:rsidP="005B0392">
      <w:pPr>
        <w:spacing w:line="360" w:lineRule="auto"/>
        <w:ind w:left="720"/>
        <w:jc w:val="both"/>
        <w:rPr>
          <w:rFonts w:ascii="David" w:hAnsi="David"/>
          <w:rtl/>
        </w:rPr>
      </w:pPr>
      <w:r>
        <w:rPr>
          <w:rFonts w:ascii="David" w:hAnsi="David"/>
          <w:rtl/>
        </w:rPr>
        <w:t xml:space="preserve">נטען כי הגם שהנאשם הודה במיוחס לו בכתב האישום המתוקן וקיבל אחריות על מעשיו, הרי שהודאתו באה לאחר שנשמעו מספר עדי תביעה, אך גם בשלב זה ניתן לומר כי הנאשם חסך זמן שיפוטי יקר. </w:t>
      </w:r>
    </w:p>
    <w:p w14:paraId="095FE86E" w14:textId="77777777" w:rsidR="005B0392" w:rsidRDefault="005B0392" w:rsidP="005B0392">
      <w:pPr>
        <w:spacing w:line="360" w:lineRule="auto"/>
        <w:ind w:left="720"/>
        <w:jc w:val="both"/>
        <w:rPr>
          <w:rFonts w:ascii="David" w:hAnsi="David"/>
          <w:rtl/>
        </w:rPr>
      </w:pPr>
    </w:p>
    <w:p w14:paraId="3F64861F" w14:textId="77777777" w:rsidR="005B0392" w:rsidRDefault="005B0392" w:rsidP="005B0392">
      <w:pPr>
        <w:spacing w:line="360" w:lineRule="auto"/>
        <w:ind w:left="720"/>
        <w:jc w:val="both"/>
        <w:rPr>
          <w:rFonts w:ascii="David" w:hAnsi="David"/>
          <w:rtl/>
        </w:rPr>
      </w:pPr>
      <w:r>
        <w:rPr>
          <w:rFonts w:ascii="David" w:hAnsi="David"/>
          <w:rtl/>
        </w:rPr>
        <w:t>לעניין ה"סולחה", טענה המאשימה כי אין מדובר בהסכם סולחה שכן הנאשם לא היה חלק ממנו, לא השתתף במפגש הסולחה ואין לתן לה כל משקל בעת גזירת העונש.</w:t>
      </w:r>
    </w:p>
    <w:p w14:paraId="0E7A3C04" w14:textId="77777777" w:rsidR="005B0392" w:rsidRDefault="005B0392" w:rsidP="005B0392">
      <w:pPr>
        <w:spacing w:line="360" w:lineRule="auto"/>
        <w:ind w:left="720"/>
        <w:jc w:val="both"/>
        <w:rPr>
          <w:rFonts w:ascii="David" w:hAnsi="David"/>
          <w:rtl/>
        </w:rPr>
      </w:pPr>
    </w:p>
    <w:p w14:paraId="025D1663" w14:textId="77777777" w:rsidR="005B0392" w:rsidRDefault="005B0392" w:rsidP="005B0392">
      <w:pPr>
        <w:spacing w:line="360" w:lineRule="auto"/>
        <w:ind w:left="720"/>
        <w:jc w:val="both"/>
        <w:rPr>
          <w:rFonts w:ascii="David" w:hAnsi="David"/>
          <w:rtl/>
        </w:rPr>
      </w:pPr>
      <w:r>
        <w:rPr>
          <w:rFonts w:ascii="David" w:hAnsi="David"/>
          <w:rtl/>
        </w:rPr>
        <w:t xml:space="preserve">המאשימה ביקשה לדחות את המלצתו של שירות המבחן שכן חורגת משמעותית מהענישה המקובלת, אינה הולמת את נסיבות ביצוע העבירות ולא עולה בקנה אחד עם העיקרון המנחה – עיקרון ההלימה. אמנם התסקירים מתארים שיתוף פעולה מילולי של הנאשם, אך מדובר בשלב ראשוני של הטיפול ואין בו כדי להצדיק חריגה ממתחמי ענישה בהתאם </w:t>
      </w:r>
      <w:hyperlink r:id="rId27" w:history="1">
        <w:r w:rsidR="00AE2BE6" w:rsidRPr="00AE2BE6">
          <w:rPr>
            <w:rStyle w:val="Hyperlink"/>
            <w:rFonts w:ascii="David" w:hAnsi="David"/>
            <w:color w:val="0000FF"/>
            <w:rtl/>
          </w:rPr>
          <w:t>לסעיף 40ד</w:t>
        </w:r>
      </w:hyperlink>
      <w:r>
        <w:rPr>
          <w:rFonts w:ascii="David" w:hAnsi="David"/>
          <w:rtl/>
        </w:rPr>
        <w:t xml:space="preserve"> ל</w:t>
      </w:r>
      <w:hyperlink r:id="rId28" w:history="1">
        <w:r w:rsidR="00392CB5" w:rsidRPr="00392CB5">
          <w:rPr>
            <w:rFonts w:ascii="David" w:hAnsi="David"/>
            <w:color w:val="0000FF"/>
            <w:u w:val="single"/>
            <w:rtl/>
          </w:rPr>
          <w:t>חוק העונשין</w:t>
        </w:r>
      </w:hyperlink>
      <w:r>
        <w:rPr>
          <w:rFonts w:ascii="David" w:hAnsi="David"/>
          <w:rtl/>
        </w:rPr>
        <w:t xml:space="preserve">. </w:t>
      </w:r>
    </w:p>
    <w:p w14:paraId="48307888" w14:textId="77777777" w:rsidR="005B0392" w:rsidRDefault="005B0392" w:rsidP="005B0392">
      <w:pPr>
        <w:spacing w:line="360" w:lineRule="auto"/>
        <w:ind w:left="720"/>
        <w:jc w:val="both"/>
        <w:rPr>
          <w:rFonts w:ascii="David" w:hAnsi="David"/>
          <w:rtl/>
        </w:rPr>
      </w:pPr>
    </w:p>
    <w:p w14:paraId="068CC577" w14:textId="77777777" w:rsidR="005B0392" w:rsidRDefault="005B0392" w:rsidP="005B0392">
      <w:pPr>
        <w:spacing w:line="360" w:lineRule="auto"/>
        <w:ind w:left="720"/>
        <w:jc w:val="both"/>
        <w:rPr>
          <w:rFonts w:ascii="David" w:hAnsi="David"/>
          <w:rtl/>
        </w:rPr>
      </w:pPr>
      <w:r>
        <w:rPr>
          <w:rFonts w:ascii="David" w:hAnsi="David"/>
          <w:rtl/>
        </w:rPr>
        <w:t xml:space="preserve">ב"כ המאשימה הפנה לפסיקה (ת/42), וכאשר נשאל על ידי בית המשפט מדוע פסיקה זו כוללת עבירות חמורות יותר מאלו בהן הורשע הנאשם (ירי בצירוף נשיאת נשק או ירי בצירוף החזקת נשק), השיב כי ניתן לעשות את ההיקש לתיק שבענייננו וכי הפסיקה הקיימת בעבירה הירי אינה תואמת את מדיניות הענישה של המאשימה. </w:t>
      </w:r>
    </w:p>
    <w:p w14:paraId="6180185B" w14:textId="77777777" w:rsidR="005B0392" w:rsidRDefault="005B0392" w:rsidP="005B0392">
      <w:pPr>
        <w:spacing w:line="360" w:lineRule="auto"/>
        <w:ind w:left="720" w:hanging="720"/>
        <w:jc w:val="both"/>
        <w:rPr>
          <w:rFonts w:ascii="David" w:hAnsi="David"/>
          <w:rtl/>
        </w:rPr>
      </w:pPr>
      <w:r>
        <w:rPr>
          <w:rFonts w:ascii="David" w:hAnsi="David"/>
          <w:rtl/>
        </w:rPr>
        <w:t>10.</w:t>
      </w:r>
      <w:r>
        <w:rPr>
          <w:rFonts w:ascii="David" w:hAnsi="David"/>
          <w:rtl/>
        </w:rPr>
        <w:tab/>
      </w:r>
      <w:r>
        <w:rPr>
          <w:rFonts w:ascii="David" w:hAnsi="David"/>
          <w:b/>
          <w:bCs/>
          <w:rtl/>
        </w:rPr>
        <w:t xml:space="preserve">ב"כ הנאשם </w:t>
      </w:r>
      <w:r>
        <w:rPr>
          <w:rFonts w:ascii="David" w:hAnsi="David"/>
          <w:rtl/>
        </w:rPr>
        <w:t xml:space="preserve">טען למתחם עונש הולם הנע בין מספר חודשי מאסר שיכול וירוצו בעבודות שירות ועד לשנת מאסר אחת. הסניגור עתר לחרוג לקולא ממתחם העונש ההולם מטעמי שיקום, לאמץ את המלצת שירות המבחן ולגזור על הנאשם עבודות שירות. </w:t>
      </w:r>
    </w:p>
    <w:p w14:paraId="0A3348C2" w14:textId="77777777" w:rsidR="005B0392" w:rsidRDefault="005B0392" w:rsidP="005B0392">
      <w:pPr>
        <w:spacing w:line="360" w:lineRule="auto"/>
        <w:ind w:left="720" w:hanging="720"/>
        <w:jc w:val="both"/>
        <w:rPr>
          <w:rFonts w:ascii="David" w:hAnsi="David"/>
          <w:rtl/>
        </w:rPr>
      </w:pPr>
    </w:p>
    <w:p w14:paraId="6C7AEAF4" w14:textId="77777777" w:rsidR="005B0392" w:rsidRDefault="005B0392" w:rsidP="005B0392">
      <w:pPr>
        <w:spacing w:line="360" w:lineRule="auto"/>
        <w:ind w:left="720" w:hanging="720"/>
        <w:jc w:val="both"/>
        <w:rPr>
          <w:rFonts w:ascii="David" w:hAnsi="David"/>
          <w:rtl/>
        </w:rPr>
      </w:pPr>
      <w:r>
        <w:rPr>
          <w:rFonts w:ascii="David" w:hAnsi="David"/>
          <w:rtl/>
        </w:rPr>
        <w:tab/>
        <w:t>הסניגור טען כי מתחם העונש ההולם לו עתרה המאשימה אינו תואם את מדיניות הענישה בעבירות בהן הורשע הנאשם וכי המאשימה מתעלמת למעשה מתיקון כתב האישום ומהעובדה כי הנאשם לא הורשע בעבירה של נשיאה או החזקת נשק. עוד נטען כי הפניית המאשימה לחקיקה בדבר עונשי המינימום בעבירות בנשק אינה רלוונטית לעבירת הירי שבענייננו.</w:t>
      </w:r>
    </w:p>
    <w:p w14:paraId="4294807C" w14:textId="77777777" w:rsidR="005B0392" w:rsidRDefault="005B0392" w:rsidP="005B0392">
      <w:pPr>
        <w:spacing w:line="360" w:lineRule="auto"/>
        <w:ind w:left="720" w:hanging="720"/>
        <w:jc w:val="both"/>
        <w:rPr>
          <w:rFonts w:ascii="David" w:hAnsi="David"/>
          <w:rtl/>
        </w:rPr>
      </w:pPr>
    </w:p>
    <w:p w14:paraId="5611F9F9" w14:textId="77777777" w:rsidR="005B0392" w:rsidRDefault="005B0392" w:rsidP="005B0392">
      <w:pPr>
        <w:spacing w:line="360" w:lineRule="auto"/>
        <w:ind w:left="720" w:hanging="720"/>
        <w:jc w:val="both"/>
        <w:rPr>
          <w:rFonts w:ascii="David" w:hAnsi="David"/>
          <w:rtl/>
        </w:rPr>
      </w:pPr>
      <w:r>
        <w:rPr>
          <w:rFonts w:ascii="David" w:hAnsi="David"/>
          <w:rtl/>
        </w:rPr>
        <w:tab/>
        <w:t xml:space="preserve">ב"כ הנאשם הפנה לאסופת פסיקה (נ/1). כשנשאל על ידי בית המשפט כיצד מתחם הענישה לו עתר </w:t>
      </w:r>
      <w:r>
        <w:rPr>
          <w:rFonts w:ascii="David" w:hAnsi="David"/>
          <w:rtl/>
        </w:rPr>
        <w:softHyphen/>
      </w:r>
      <w:r>
        <w:rPr>
          <w:rFonts w:ascii="David" w:hAnsi="David"/>
          <w:rtl/>
        </w:rPr>
        <w:softHyphen/>
      </w:r>
      <w:r>
        <w:rPr>
          <w:rFonts w:ascii="David" w:hAnsi="David"/>
          <w:rtl/>
        </w:rPr>
        <w:softHyphen/>
      </w:r>
      <w:r>
        <w:rPr>
          <w:rFonts w:ascii="David" w:hAnsi="David"/>
          <w:rtl/>
        </w:rPr>
        <w:softHyphen/>
      </w:r>
      <w:r>
        <w:rPr>
          <w:rFonts w:ascii="David" w:hAnsi="David"/>
          <w:rtl/>
        </w:rPr>
        <w:softHyphen/>
        <w:t xml:space="preserve">עולה בקנה אחד עם שיקולי הרתעת הרבים בשים לב לשימוש הגובר בכלי נשק, השיב כי להבדיל מעבירות בנשק (החזקה או נשיאה והובלה), בענייננו אין מדובר בתופעה נפוצה ומשכך שיקולי הרתעת הרבים אינו רלוונטי. </w:t>
      </w:r>
    </w:p>
    <w:p w14:paraId="0AAFB900" w14:textId="77777777" w:rsidR="005B0392" w:rsidRDefault="005B0392" w:rsidP="005B0392">
      <w:pPr>
        <w:spacing w:line="360" w:lineRule="auto"/>
        <w:ind w:left="720" w:hanging="720"/>
        <w:jc w:val="both"/>
        <w:rPr>
          <w:rFonts w:ascii="David" w:hAnsi="David"/>
          <w:rtl/>
        </w:rPr>
      </w:pPr>
    </w:p>
    <w:p w14:paraId="1258EBED" w14:textId="77777777" w:rsidR="005B0392" w:rsidRDefault="005B0392" w:rsidP="005B0392">
      <w:pPr>
        <w:spacing w:line="360" w:lineRule="auto"/>
        <w:ind w:left="720" w:hanging="720"/>
        <w:jc w:val="both"/>
        <w:rPr>
          <w:rFonts w:ascii="David" w:hAnsi="David"/>
          <w:rtl/>
        </w:rPr>
      </w:pPr>
      <w:r>
        <w:rPr>
          <w:rFonts w:ascii="David" w:hAnsi="David"/>
          <w:rtl/>
        </w:rPr>
        <w:tab/>
        <w:t xml:space="preserve">הסניגור הוסיף כי המחוקק הבחין בין עבירות בנשק (החזקה, נשיאה והובלה וסחר) לבין עבירת הירי וכי חומרת העבירות שונה בשים לב לענישה המרבית שנקבעה לכל עבירה. </w:t>
      </w:r>
    </w:p>
    <w:p w14:paraId="785F9C0A" w14:textId="77777777" w:rsidR="005B0392" w:rsidRDefault="005B0392" w:rsidP="005B0392">
      <w:pPr>
        <w:spacing w:line="360" w:lineRule="auto"/>
        <w:ind w:left="720"/>
        <w:jc w:val="both"/>
        <w:rPr>
          <w:rFonts w:ascii="David" w:hAnsi="David"/>
          <w:rtl/>
        </w:rPr>
      </w:pPr>
      <w:r>
        <w:rPr>
          <w:rFonts w:ascii="David" w:hAnsi="David"/>
          <w:rtl/>
        </w:rPr>
        <w:t>באשר לנסיבות ביצוע העבירה נטען כי אכן מדובר בירי שבוצע על רקע סכסוך אולם כיום הסכסוך יושב, אינו קיים יותר ולדברי המתלונן סלח לנאשם.</w:t>
      </w:r>
    </w:p>
    <w:p w14:paraId="06F22DA3" w14:textId="77777777" w:rsidR="005B0392" w:rsidRDefault="005B0392" w:rsidP="005B0392">
      <w:pPr>
        <w:spacing w:line="360" w:lineRule="auto"/>
        <w:ind w:left="720"/>
        <w:jc w:val="both"/>
        <w:rPr>
          <w:rFonts w:ascii="David" w:hAnsi="David"/>
          <w:rtl/>
        </w:rPr>
      </w:pPr>
    </w:p>
    <w:p w14:paraId="13CD7F63" w14:textId="77777777" w:rsidR="005B0392" w:rsidRDefault="005B0392" w:rsidP="005B0392">
      <w:pPr>
        <w:spacing w:line="360" w:lineRule="auto"/>
        <w:ind w:left="720"/>
        <w:jc w:val="both"/>
        <w:rPr>
          <w:rFonts w:ascii="David" w:hAnsi="David"/>
          <w:rtl/>
        </w:rPr>
      </w:pPr>
      <w:r>
        <w:rPr>
          <w:rFonts w:ascii="David" w:hAnsi="David"/>
          <w:rtl/>
        </w:rPr>
        <w:t xml:space="preserve">ב"כ הנאשם הוסיף כי על בית המשפט לשקול ביתר שאת את חלוף הזמן שכן העבירות בוצעו בשנת 2020, דהיינו לפני כ- 5 שנים כשבמהלך כל התקופה הארוכה הנאשם לא הסתבך בפלילים. עוד נטען כי כתב האישום הוגש נגד הנאשם רק בחלוף כשנה וחצי מאז האירוע וזאת מבלי שהוגשה נגדו בקשה למעצר עד תום ההליכים. </w:t>
      </w:r>
    </w:p>
    <w:p w14:paraId="4D9CC325" w14:textId="77777777" w:rsidR="005B0392" w:rsidRDefault="005B0392" w:rsidP="005B0392">
      <w:pPr>
        <w:spacing w:line="360" w:lineRule="auto"/>
        <w:ind w:left="720"/>
        <w:jc w:val="both"/>
        <w:rPr>
          <w:rFonts w:ascii="David" w:hAnsi="David"/>
          <w:rtl/>
        </w:rPr>
      </w:pPr>
    </w:p>
    <w:p w14:paraId="11F7358A" w14:textId="77777777" w:rsidR="005B0392" w:rsidRDefault="005B0392" w:rsidP="005B0392">
      <w:pPr>
        <w:spacing w:line="360" w:lineRule="auto"/>
        <w:ind w:left="720"/>
        <w:jc w:val="both"/>
        <w:rPr>
          <w:rFonts w:ascii="David" w:hAnsi="David"/>
          <w:rtl/>
        </w:rPr>
      </w:pPr>
      <w:r>
        <w:rPr>
          <w:rFonts w:ascii="David" w:hAnsi="David"/>
          <w:rtl/>
        </w:rPr>
        <w:t>נטען כי כעולה מתסקירי שירות המבחן, הנאשם עשה כברת דרך ארוכה, השתלב בקבוצה טיפולית ומגיע באופן רציף, נתרם ותורם לשיח הקבוצתי. הנאשם עובר הליך טיפולי אמתי ותורם למדינה, בין היתר, כאשר הוא פועל לגיוס צעירים לגדס"ר הבדואי בצה"ל. ב"כ הנאשם הוסיף כי עסקינן באדם יצרני עובד מזה כ- 12 שנה באותו מקום עבודה ואחראי על מספר של אנשים.</w:t>
      </w:r>
    </w:p>
    <w:p w14:paraId="53CDB377" w14:textId="77777777" w:rsidR="005B0392" w:rsidRDefault="005B0392" w:rsidP="005B0392">
      <w:pPr>
        <w:spacing w:line="360" w:lineRule="auto"/>
        <w:ind w:left="720"/>
        <w:jc w:val="both"/>
        <w:rPr>
          <w:rFonts w:ascii="David" w:hAnsi="David"/>
          <w:rtl/>
        </w:rPr>
      </w:pPr>
    </w:p>
    <w:p w14:paraId="156ACF40" w14:textId="77777777" w:rsidR="005B0392" w:rsidRDefault="005B0392" w:rsidP="005B0392">
      <w:pPr>
        <w:spacing w:line="360" w:lineRule="auto"/>
        <w:ind w:left="720"/>
        <w:jc w:val="both"/>
        <w:rPr>
          <w:rFonts w:ascii="David" w:hAnsi="David"/>
          <w:rtl/>
        </w:rPr>
      </w:pPr>
    </w:p>
    <w:p w14:paraId="3D9D76C2" w14:textId="77777777" w:rsidR="005B0392" w:rsidRDefault="005B0392" w:rsidP="005B0392">
      <w:pPr>
        <w:spacing w:line="360" w:lineRule="auto"/>
        <w:ind w:left="720"/>
        <w:jc w:val="both"/>
        <w:rPr>
          <w:rFonts w:ascii="David" w:hAnsi="David"/>
          <w:rtl/>
        </w:rPr>
      </w:pPr>
      <w:r>
        <w:rPr>
          <w:rFonts w:ascii="David" w:hAnsi="David"/>
          <w:rtl/>
        </w:rPr>
        <w:t>עוד נטען כי עתירת ההגנה מתיישבת עם העמדה העקבית של שירות המבחן אשר המליץ על ענישה בדמות עבודות שירות ואין מקום לחרוג ממנה.</w:t>
      </w:r>
    </w:p>
    <w:p w14:paraId="5CE1C645" w14:textId="77777777" w:rsidR="005B0392" w:rsidRDefault="005B0392" w:rsidP="005B0392">
      <w:pPr>
        <w:spacing w:line="360" w:lineRule="auto"/>
        <w:ind w:left="720" w:hanging="720"/>
        <w:jc w:val="both"/>
        <w:rPr>
          <w:rFonts w:ascii="David" w:hAnsi="David"/>
          <w:rtl/>
        </w:rPr>
      </w:pPr>
      <w:r>
        <w:rPr>
          <w:rFonts w:ascii="David" w:hAnsi="David"/>
          <w:rtl/>
        </w:rPr>
        <w:t>11.</w:t>
      </w:r>
      <w:r>
        <w:rPr>
          <w:rFonts w:ascii="David" w:hAnsi="David"/>
          <w:rtl/>
        </w:rPr>
        <w:tab/>
        <w:t>הנאשם אמר שהוא מתחרט על מה שהיה בעבר, עובר טיפול במסגרת קבוצה אחת לשבוע בשירות המבחן. לדבריו למד רבות בהליך הטיפולי ומנסה לעזור וללמד את החברה כדי לא לחזור על טעויות. הנאשם הוסיף כי משרת את המדינה, אב לשלושה ילדים ומבקש שיתחשבו בו.</w:t>
      </w:r>
    </w:p>
    <w:p w14:paraId="5C801E14" w14:textId="77777777" w:rsidR="005B0392" w:rsidRDefault="005B0392" w:rsidP="005B0392">
      <w:pPr>
        <w:spacing w:line="360" w:lineRule="auto"/>
        <w:ind w:left="720" w:hanging="720"/>
        <w:jc w:val="both"/>
        <w:rPr>
          <w:rFonts w:ascii="David" w:hAnsi="David"/>
          <w:rtl/>
        </w:rPr>
      </w:pPr>
    </w:p>
    <w:p w14:paraId="3A0EDD60" w14:textId="77777777" w:rsidR="005B0392" w:rsidRDefault="005B0392" w:rsidP="005B0392">
      <w:pPr>
        <w:spacing w:line="360" w:lineRule="auto"/>
        <w:jc w:val="both"/>
        <w:rPr>
          <w:rFonts w:ascii="David" w:hAnsi="David"/>
          <w:b/>
          <w:bCs/>
          <w:rtl/>
        </w:rPr>
      </w:pPr>
      <w:r>
        <w:rPr>
          <w:rFonts w:ascii="David" w:hAnsi="David"/>
          <w:b/>
          <w:bCs/>
          <w:rtl/>
        </w:rPr>
        <w:t>דיון והכרעה</w:t>
      </w:r>
      <w:r>
        <w:rPr>
          <w:rFonts w:ascii="David" w:hAnsi="David" w:hint="cs"/>
          <w:b/>
          <w:bCs/>
          <w:rtl/>
        </w:rPr>
        <w:t>:</w:t>
      </w:r>
    </w:p>
    <w:p w14:paraId="674F8C3B" w14:textId="77777777" w:rsidR="005B0392" w:rsidRDefault="005B0392" w:rsidP="005B0392">
      <w:pPr>
        <w:spacing w:line="360" w:lineRule="auto"/>
        <w:jc w:val="both"/>
        <w:rPr>
          <w:rFonts w:ascii="David" w:hAnsi="David"/>
          <w:b/>
          <w:bCs/>
          <w:rtl/>
        </w:rPr>
      </w:pPr>
    </w:p>
    <w:p w14:paraId="71C3A3E6" w14:textId="77777777" w:rsidR="005B0392" w:rsidRDefault="005B0392" w:rsidP="005B0392">
      <w:pPr>
        <w:spacing w:line="360" w:lineRule="auto"/>
        <w:jc w:val="both"/>
        <w:rPr>
          <w:rFonts w:ascii="David" w:hAnsi="David"/>
          <w:rtl/>
        </w:rPr>
      </w:pPr>
      <w:r>
        <w:rPr>
          <w:rFonts w:ascii="David" w:hAnsi="David"/>
          <w:rtl/>
        </w:rPr>
        <w:t>12.</w:t>
      </w:r>
      <w:r>
        <w:rPr>
          <w:rFonts w:ascii="David" w:hAnsi="David"/>
          <w:rtl/>
        </w:rPr>
        <w:tab/>
        <w:t>הנאשם הורשע בעבירות של ירי מנשק חם באזור מגורים ואיומים.</w:t>
      </w:r>
    </w:p>
    <w:p w14:paraId="7973A10B" w14:textId="77777777" w:rsidR="005B0392" w:rsidRDefault="005B0392" w:rsidP="005B0392">
      <w:pPr>
        <w:spacing w:line="360" w:lineRule="auto"/>
        <w:jc w:val="both"/>
        <w:rPr>
          <w:rFonts w:ascii="David" w:hAnsi="David"/>
          <w:rtl/>
        </w:rPr>
      </w:pPr>
    </w:p>
    <w:p w14:paraId="63F611D0" w14:textId="77777777" w:rsidR="005B0392" w:rsidRDefault="005B0392" w:rsidP="005B0392">
      <w:pPr>
        <w:spacing w:line="360" w:lineRule="auto"/>
        <w:jc w:val="both"/>
        <w:rPr>
          <w:rFonts w:ascii="David" w:hAnsi="David"/>
          <w:b/>
          <w:bCs/>
          <w:rtl/>
        </w:rPr>
      </w:pPr>
      <w:r>
        <w:rPr>
          <w:rFonts w:ascii="David" w:hAnsi="David"/>
          <w:b/>
          <w:bCs/>
          <w:rtl/>
        </w:rPr>
        <w:t xml:space="preserve">קביעת מתחם העונש ההולם: </w:t>
      </w:r>
    </w:p>
    <w:p w14:paraId="72164B46" w14:textId="77777777" w:rsidR="005B0392" w:rsidRDefault="005B0392" w:rsidP="005B0392">
      <w:pPr>
        <w:spacing w:line="360" w:lineRule="auto"/>
        <w:jc w:val="both"/>
        <w:rPr>
          <w:rFonts w:ascii="David" w:hAnsi="David"/>
          <w:b/>
          <w:bCs/>
          <w:rtl/>
        </w:rPr>
      </w:pPr>
    </w:p>
    <w:p w14:paraId="5C52C027" w14:textId="77777777" w:rsidR="005B0392" w:rsidRDefault="005B0392" w:rsidP="005B0392">
      <w:pPr>
        <w:spacing w:line="360" w:lineRule="auto"/>
        <w:ind w:left="720" w:hanging="720"/>
        <w:jc w:val="both"/>
        <w:rPr>
          <w:rFonts w:ascii="David" w:hAnsi="David"/>
          <w:rtl/>
        </w:rPr>
      </w:pPr>
      <w:r>
        <w:rPr>
          <w:rFonts w:ascii="David" w:hAnsi="David"/>
          <w:rtl/>
        </w:rPr>
        <w:t xml:space="preserve">13. </w:t>
      </w:r>
      <w:r>
        <w:rPr>
          <w:rFonts w:ascii="David" w:hAnsi="David"/>
          <w:rtl/>
        </w:rPr>
        <w:tab/>
        <w:t xml:space="preserve">בהתאם לסעיף </w:t>
      </w:r>
      <w:hyperlink r:id="rId29" w:history="1">
        <w:r w:rsidR="00AE2BE6" w:rsidRPr="00AE2BE6">
          <w:rPr>
            <w:rStyle w:val="Hyperlink"/>
            <w:rFonts w:ascii="David" w:hAnsi="David"/>
            <w:color w:val="0000FF"/>
            <w:rtl/>
          </w:rPr>
          <w:t>40 ב</w:t>
        </w:r>
      </w:hyperlink>
      <w:r>
        <w:rPr>
          <w:rFonts w:ascii="David" w:hAnsi="David"/>
          <w:rtl/>
        </w:rPr>
        <w:t xml:space="preserve"> ל</w:t>
      </w:r>
      <w:hyperlink r:id="rId30" w:history="1">
        <w:r w:rsidR="00392CB5" w:rsidRPr="00392CB5">
          <w:rPr>
            <w:rFonts w:ascii="David" w:hAnsi="David"/>
            <w:color w:val="0000FF"/>
            <w:u w:val="single"/>
            <w:rtl/>
          </w:rPr>
          <w:t>חוק העונשין</w:t>
        </w:r>
      </w:hyperlink>
      <w:r>
        <w:rPr>
          <w:rFonts w:ascii="David" w:hAnsi="David"/>
          <w:rtl/>
        </w:rPr>
        <w:t>, עקרון ההלימה הינו העיקרון המנחה בענישה, ויש לבחון קיומו של יחס הולם בין חומרת מעשי העבירות, בנסיבותיהן ובמידת אשמתו של הנאשם ובין העונש המוטל עליו.</w:t>
      </w:r>
    </w:p>
    <w:p w14:paraId="6DA27E98" w14:textId="77777777" w:rsidR="005B0392" w:rsidRDefault="005B0392" w:rsidP="005B0392">
      <w:pPr>
        <w:spacing w:line="360" w:lineRule="auto"/>
        <w:ind w:left="720" w:hanging="720"/>
        <w:jc w:val="both"/>
        <w:rPr>
          <w:rFonts w:ascii="David" w:hAnsi="David"/>
          <w:rtl/>
        </w:rPr>
      </w:pPr>
    </w:p>
    <w:p w14:paraId="0DDF72AD" w14:textId="77777777" w:rsidR="005B0392" w:rsidRDefault="005B0392" w:rsidP="005B0392">
      <w:pPr>
        <w:spacing w:line="360" w:lineRule="auto"/>
        <w:ind w:left="720" w:hanging="720"/>
        <w:jc w:val="both"/>
        <w:rPr>
          <w:rFonts w:ascii="David" w:hAnsi="David"/>
          <w:rtl/>
        </w:rPr>
      </w:pPr>
      <w:r>
        <w:rPr>
          <w:rFonts w:ascii="David" w:hAnsi="David"/>
          <w:rtl/>
        </w:rPr>
        <w:t>14.</w:t>
      </w:r>
      <w:r>
        <w:rPr>
          <w:rFonts w:ascii="David" w:hAnsi="David"/>
          <w:rtl/>
        </w:rPr>
        <w:tab/>
        <w:t xml:space="preserve">לצורך קביעת מתחם העונש ההולם בהתאם לסעיף </w:t>
      </w:r>
      <w:hyperlink r:id="rId31" w:history="1">
        <w:r w:rsidR="00AE2BE6" w:rsidRPr="00AE2BE6">
          <w:rPr>
            <w:rStyle w:val="Hyperlink"/>
            <w:rFonts w:ascii="David" w:hAnsi="David"/>
            <w:color w:val="0000FF"/>
            <w:rtl/>
          </w:rPr>
          <w:t>40 ג</w:t>
        </w:r>
      </w:hyperlink>
      <w:r>
        <w:rPr>
          <w:rFonts w:ascii="David" w:hAnsi="David"/>
          <w:rtl/>
        </w:rPr>
        <w:t xml:space="preserve"> ל</w:t>
      </w:r>
      <w:hyperlink r:id="rId32" w:history="1">
        <w:r w:rsidR="00392CB5" w:rsidRPr="00392CB5">
          <w:rPr>
            <w:rFonts w:ascii="David" w:hAnsi="David"/>
            <w:color w:val="0000FF"/>
            <w:u w:val="single"/>
            <w:rtl/>
          </w:rPr>
          <w:t>חוק עונשין</w:t>
        </w:r>
      </w:hyperlink>
      <w:r>
        <w:rPr>
          <w:rFonts w:ascii="David" w:hAnsi="David"/>
          <w:rtl/>
        </w:rPr>
        <w:t xml:space="preserve">, יש לבחון את הערכים החברתיים שנפגעו מהעבירות ומידת הפגיעה בהם, מדיניות הענישה הנוהגת, והנסיבות הקשורות בביצוע העבירות. </w:t>
      </w:r>
    </w:p>
    <w:p w14:paraId="503F083A" w14:textId="77777777" w:rsidR="005B0392" w:rsidRDefault="005B0392" w:rsidP="005B0392">
      <w:pPr>
        <w:spacing w:line="360" w:lineRule="auto"/>
        <w:ind w:left="720" w:hanging="720"/>
        <w:jc w:val="both"/>
        <w:rPr>
          <w:rFonts w:ascii="David" w:hAnsi="David"/>
          <w:rtl/>
        </w:rPr>
      </w:pPr>
    </w:p>
    <w:p w14:paraId="1D2B6773" w14:textId="77777777" w:rsidR="005B0392" w:rsidRDefault="005B0392" w:rsidP="005B0392">
      <w:pPr>
        <w:spacing w:line="360" w:lineRule="auto"/>
        <w:ind w:left="720" w:hanging="720"/>
        <w:jc w:val="both"/>
        <w:rPr>
          <w:rFonts w:ascii="David" w:hAnsi="David"/>
          <w:rtl/>
        </w:rPr>
      </w:pPr>
      <w:r>
        <w:rPr>
          <w:rFonts w:ascii="David" w:hAnsi="David"/>
          <w:rtl/>
        </w:rPr>
        <w:t>15.</w:t>
      </w:r>
      <w:r>
        <w:rPr>
          <w:rFonts w:ascii="David" w:hAnsi="David"/>
          <w:rtl/>
        </w:rPr>
        <w:tab/>
        <w:t>בנוסף לאמור, ובשים לב לכך שעבירת הירי מנשק לא חוקי, כמו גם עבירות בנשק (החזקה, נשיאה והובלה וסחר), הוכרה כ"מכת מדינה", קביעת מתחם העונש ההולם צריכה להיעשות גם בזיקה לענישה המרבית שקבע המחוקק- 5 שנות מאסר, ולעניין זה יפים דברי כבוד השופט שטיין ב</w:t>
      </w:r>
      <w:hyperlink r:id="rId33" w:history="1">
        <w:r w:rsidR="00392CB5" w:rsidRPr="00392CB5">
          <w:rPr>
            <w:rFonts w:ascii="David" w:hAnsi="David"/>
            <w:b/>
            <w:bCs/>
            <w:color w:val="0000FF"/>
            <w:u w:val="single"/>
            <w:rtl/>
          </w:rPr>
          <w:t>ע"פ 147/21</w:t>
        </w:r>
      </w:hyperlink>
      <w:r>
        <w:rPr>
          <w:rFonts w:ascii="David" w:hAnsi="David"/>
          <w:b/>
          <w:bCs/>
          <w:rtl/>
        </w:rPr>
        <w:t xml:space="preserve"> מ"י נ' ירין ביטון </w:t>
      </w:r>
      <w:r>
        <w:rPr>
          <w:rFonts w:ascii="David" w:hAnsi="David"/>
          <w:rtl/>
        </w:rPr>
        <w:t>(14.02.2021):</w:t>
      </w:r>
    </w:p>
    <w:p w14:paraId="252C5A1B" w14:textId="77777777" w:rsidR="005B0392" w:rsidRDefault="005B0392" w:rsidP="005B0392">
      <w:pPr>
        <w:spacing w:line="360" w:lineRule="auto"/>
        <w:ind w:left="720" w:hanging="720"/>
        <w:jc w:val="both"/>
        <w:rPr>
          <w:rFonts w:ascii="David" w:hAnsi="David"/>
          <w:rtl/>
        </w:rPr>
      </w:pPr>
    </w:p>
    <w:p w14:paraId="3189818C" w14:textId="77777777" w:rsidR="005B0392" w:rsidRDefault="005B0392" w:rsidP="005B0392">
      <w:pPr>
        <w:spacing w:line="360" w:lineRule="auto"/>
        <w:ind w:left="1502" w:right="1418"/>
        <w:jc w:val="both"/>
        <w:rPr>
          <w:rFonts w:ascii="David" w:hAnsi="David"/>
          <w:rtl/>
        </w:rPr>
      </w:pPr>
      <w:r>
        <w:rPr>
          <w:rFonts w:ascii="David" w:hAnsi="David"/>
          <w:rtl/>
        </w:rPr>
        <w:t>"</w:t>
      </w:r>
      <w:r>
        <w:rPr>
          <w:rFonts w:ascii="David" w:hAnsi="David"/>
          <w:b/>
          <w:bCs/>
          <w:rtl/>
        </w:rPr>
        <w:t>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w:t>
      </w:r>
      <w:r>
        <w:rPr>
          <w:b/>
          <w:bCs/>
          <w:rtl/>
        </w:rPr>
        <w:t xml:space="preserve"> </w:t>
      </w:r>
      <w:r>
        <w:rPr>
          <w:rFonts w:ascii="David" w:hAnsi="David"/>
          <w:b/>
          <w:bCs/>
          <w:rtl/>
        </w:rPr>
        <w:t>מובן מאליו הוא, שגזירה כאמור אינה נעשית בדרך של התאמה מתמטית. מדובר אך ורק בזיקה עניינית לחומרת העבירה, כפי שנקבעה על ידי המחוקק שאת דברו אנו מקיימים. הקפדה על זיקה כאמור היא חלק מהבניית שיקול הדעת השיפוטי בענישה, אשר נעשתה בגדרו של תיקון 113 ל</w:t>
      </w:r>
      <w:hyperlink r:id="rId34" w:history="1">
        <w:r w:rsidR="00392CB5" w:rsidRPr="00392CB5">
          <w:rPr>
            <w:rFonts w:ascii="David" w:hAnsi="David"/>
            <w:b/>
            <w:bCs/>
            <w:color w:val="0000FF"/>
            <w:u w:val="single"/>
            <w:rtl/>
          </w:rPr>
          <w:t>חוק העונשין</w:t>
        </w:r>
      </w:hyperlink>
      <w:r>
        <w:rPr>
          <w:rFonts w:ascii="David" w:hAnsi="David"/>
          <w:b/>
          <w:bCs/>
          <w:rtl/>
        </w:rPr>
        <w:t>..."</w:t>
      </w:r>
      <w:r>
        <w:rPr>
          <w:rFonts w:ascii="David" w:hAnsi="David" w:hint="cs"/>
          <w:rtl/>
        </w:rPr>
        <w:t>.</w:t>
      </w:r>
    </w:p>
    <w:p w14:paraId="033B9322" w14:textId="77777777" w:rsidR="005B0392" w:rsidRDefault="005B0392" w:rsidP="005B0392">
      <w:pPr>
        <w:spacing w:line="360" w:lineRule="auto"/>
        <w:ind w:left="720" w:hanging="720"/>
        <w:jc w:val="both"/>
        <w:rPr>
          <w:rFonts w:ascii="David" w:hAnsi="David"/>
          <w:rtl/>
        </w:rPr>
      </w:pPr>
      <w:r>
        <w:rPr>
          <w:rFonts w:ascii="David" w:hAnsi="David"/>
          <w:rtl/>
        </w:rPr>
        <w:t>16.</w:t>
      </w:r>
      <w:r>
        <w:rPr>
          <w:rFonts w:ascii="David" w:hAnsi="David"/>
          <w:rtl/>
        </w:rPr>
        <w:tab/>
        <w:t xml:space="preserve">בהקשר לאמור אוסיף כי אינני מקבל את עמדת הסנגור המלומד כי עבירת הירי הלא חוקי, בשונה מעבירות בנשק, איננה מוכרת בפסיקה כ"מכת מדינה" וזאת נוכח מיעוט גזרי הדין בעבירות הירי בלבד. אכן רוב גזרי הדין המתייחסים לתופעה הקשה והפסולה שפשה בחברה בכלל ובחברה הערבית בפרט, דנים בעבירות בנשק ( החזקה, נשיאה והובלה וסחר)  או בשילוב של עבירות בנשק עם עבירת הירי, אך אין להסיק מכך שתופעת הירי כשלעצמה אינה תופעה שהפכה לנפוצה. ההבחנה שמבקש הסנגור לעשות בין עבירות בנשק לבין ירי מנשק חם בהקשר של "מכת מדינה" היא הבחנה מלאכותית וחוטאת למציאות העגומה והקשה בחברה. </w:t>
      </w:r>
    </w:p>
    <w:p w14:paraId="1F882677" w14:textId="77777777" w:rsidR="005B0392" w:rsidRDefault="005B0392" w:rsidP="005B0392">
      <w:pPr>
        <w:spacing w:line="360" w:lineRule="auto"/>
        <w:ind w:left="720" w:hanging="720"/>
        <w:jc w:val="both"/>
        <w:rPr>
          <w:rFonts w:ascii="David" w:hAnsi="David"/>
          <w:rtl/>
        </w:rPr>
      </w:pPr>
    </w:p>
    <w:p w14:paraId="45387607" w14:textId="77777777" w:rsidR="005B0392" w:rsidRDefault="005B0392" w:rsidP="005B0392">
      <w:pPr>
        <w:spacing w:line="360" w:lineRule="auto"/>
        <w:ind w:left="720"/>
        <w:jc w:val="both"/>
        <w:rPr>
          <w:rFonts w:ascii="David" w:hAnsi="David"/>
          <w:rtl/>
        </w:rPr>
      </w:pPr>
      <w:r>
        <w:rPr>
          <w:rFonts w:ascii="David" w:hAnsi="David"/>
          <w:rtl/>
        </w:rPr>
        <w:t xml:space="preserve">ריבוי גזרי הדין של עבירות הירי, גם </w:t>
      </w:r>
      <w:r>
        <w:rPr>
          <w:rFonts w:ascii="David" w:hAnsi="David" w:hint="cs"/>
          <w:rtl/>
        </w:rPr>
        <w:t>כ</w:t>
      </w:r>
      <w:r>
        <w:rPr>
          <w:rFonts w:ascii="David" w:hAnsi="David"/>
          <w:rtl/>
        </w:rPr>
        <w:t>שלצידן עבירות בנשק, מלמד דווקא אחרת. התופעה הפסולה שפשטה בחברה בדמות ישוב סכסוכים באמצעות עבירות בנשק או באמצעות ירי מנשק חם או בשילוב בין השניים היא אותה תופעה שהוכרה בפסיקה מזה זמן רב כ"מכת מדינה".</w:t>
      </w:r>
    </w:p>
    <w:p w14:paraId="2214D05F" w14:textId="77777777" w:rsidR="005B0392" w:rsidRDefault="005B0392" w:rsidP="005B0392">
      <w:pPr>
        <w:spacing w:line="360" w:lineRule="auto"/>
        <w:ind w:left="720" w:hanging="720"/>
        <w:jc w:val="both"/>
        <w:rPr>
          <w:rFonts w:ascii="David" w:hAnsi="David"/>
          <w:rtl/>
        </w:rPr>
      </w:pPr>
    </w:p>
    <w:p w14:paraId="138AA096" w14:textId="77777777" w:rsidR="005B0392" w:rsidRDefault="005B0392" w:rsidP="005B0392">
      <w:pPr>
        <w:spacing w:line="360" w:lineRule="auto"/>
        <w:ind w:left="720"/>
        <w:jc w:val="both"/>
        <w:rPr>
          <w:rFonts w:ascii="David" w:hAnsi="David"/>
          <w:rtl/>
        </w:rPr>
      </w:pPr>
      <w:r>
        <w:rPr>
          <w:rFonts w:ascii="David" w:hAnsi="David"/>
          <w:rtl/>
        </w:rPr>
        <w:t>יפים לעניין זה דברי בית המשפט העליון, טרם תיקון 134 ל</w:t>
      </w:r>
      <w:hyperlink r:id="rId35" w:history="1">
        <w:r w:rsidR="00392CB5" w:rsidRPr="00392CB5">
          <w:rPr>
            <w:rFonts w:ascii="David" w:hAnsi="David"/>
            <w:color w:val="0000FF"/>
            <w:u w:val="single"/>
            <w:rtl/>
          </w:rPr>
          <w:t>חוק העונשין</w:t>
        </w:r>
      </w:hyperlink>
      <w:r>
        <w:rPr>
          <w:rFonts w:ascii="David" w:hAnsi="David"/>
          <w:rtl/>
        </w:rPr>
        <w:t>, ב</w:t>
      </w:r>
      <w:hyperlink r:id="rId36" w:history="1">
        <w:r w:rsidR="00392CB5" w:rsidRPr="00392CB5">
          <w:rPr>
            <w:rFonts w:ascii="David" w:hAnsi="David"/>
            <w:b/>
            <w:bCs/>
            <w:color w:val="0000FF"/>
            <w:u w:val="single"/>
            <w:rtl/>
          </w:rPr>
          <w:t>ע"פ 32/14</w:t>
        </w:r>
      </w:hyperlink>
      <w:r>
        <w:rPr>
          <w:rFonts w:ascii="David" w:hAnsi="David"/>
          <w:b/>
          <w:bCs/>
          <w:rtl/>
        </w:rPr>
        <w:t xml:space="preserve"> שווקאת עמאש נ' מדינת ישראל </w:t>
      </w:r>
      <w:r>
        <w:rPr>
          <w:rFonts w:ascii="David" w:hAnsi="David"/>
          <w:rtl/>
        </w:rPr>
        <w:t xml:space="preserve">(17.09.2015):  </w:t>
      </w:r>
    </w:p>
    <w:p w14:paraId="483F4653" w14:textId="77777777" w:rsidR="005B0392" w:rsidRDefault="005B0392" w:rsidP="005B0392">
      <w:pPr>
        <w:spacing w:line="360" w:lineRule="auto"/>
        <w:ind w:left="720"/>
        <w:jc w:val="both"/>
        <w:rPr>
          <w:rFonts w:ascii="David" w:hAnsi="David"/>
          <w:rtl/>
        </w:rPr>
      </w:pPr>
    </w:p>
    <w:p w14:paraId="3E79C1F5" w14:textId="77777777" w:rsidR="005B0392" w:rsidRDefault="005B0392" w:rsidP="005B0392">
      <w:pPr>
        <w:spacing w:line="360" w:lineRule="auto"/>
        <w:ind w:left="1643" w:right="1701"/>
        <w:jc w:val="both"/>
        <w:rPr>
          <w:rFonts w:ascii="David" w:hAnsi="David"/>
          <w:b/>
          <w:bCs/>
          <w:rtl/>
        </w:rPr>
      </w:pPr>
      <w:r>
        <w:rPr>
          <w:rFonts w:ascii="David" w:hAnsi="David"/>
          <w:b/>
          <w:bCs/>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דמם של אלו אשר קיפדו את פתיל חייהם, בכללם עוברי אורח תמימים, זועק מן האדמה. אין מנוס מהטלת עונש מאסר של ממש בנסיבות אלו, גם אם מדובר באנשים נורמטיביים ללא עבר פלילי מכביד...".</w:t>
      </w:r>
    </w:p>
    <w:p w14:paraId="6012ABBE" w14:textId="77777777" w:rsidR="005B0392" w:rsidRDefault="005B0392" w:rsidP="005B0392">
      <w:pPr>
        <w:spacing w:line="360" w:lineRule="auto"/>
        <w:ind w:left="1502" w:right="1418"/>
        <w:jc w:val="both"/>
        <w:rPr>
          <w:rFonts w:ascii="David" w:hAnsi="David"/>
          <w:b/>
          <w:bCs/>
          <w:rtl/>
        </w:rPr>
      </w:pPr>
    </w:p>
    <w:p w14:paraId="47538CC3" w14:textId="77777777" w:rsidR="005B0392" w:rsidRDefault="005B0392" w:rsidP="005B0392">
      <w:pPr>
        <w:spacing w:line="360" w:lineRule="auto"/>
        <w:ind w:left="720"/>
        <w:jc w:val="both"/>
        <w:rPr>
          <w:rFonts w:ascii="David" w:hAnsi="David"/>
          <w:rtl/>
        </w:rPr>
      </w:pPr>
      <w:r>
        <w:rPr>
          <w:rFonts w:ascii="David" w:hAnsi="David"/>
          <w:rtl/>
        </w:rPr>
        <w:t>וראה גם דברי בית המשפט העליון, לאחר תיקון 134 ל</w:t>
      </w:r>
      <w:hyperlink r:id="rId37" w:history="1">
        <w:r w:rsidR="00392CB5" w:rsidRPr="00392CB5">
          <w:rPr>
            <w:rFonts w:ascii="David" w:hAnsi="David"/>
            <w:color w:val="0000FF"/>
            <w:u w:val="single"/>
            <w:rtl/>
          </w:rPr>
          <w:t>חוק העונשין</w:t>
        </w:r>
      </w:hyperlink>
      <w:r>
        <w:rPr>
          <w:rFonts w:ascii="David" w:hAnsi="David"/>
          <w:rtl/>
        </w:rPr>
        <w:t>, ב</w:t>
      </w:r>
      <w:hyperlink r:id="rId38" w:history="1">
        <w:r w:rsidR="00392CB5" w:rsidRPr="00392CB5">
          <w:rPr>
            <w:rFonts w:ascii="David" w:hAnsi="David"/>
            <w:b/>
            <w:bCs/>
            <w:color w:val="0000FF"/>
            <w:u w:val="single"/>
            <w:rtl/>
          </w:rPr>
          <w:t>ע"פ 3169/21</w:t>
        </w:r>
      </w:hyperlink>
      <w:r>
        <w:rPr>
          <w:rFonts w:ascii="David" w:hAnsi="David"/>
          <w:b/>
          <w:bCs/>
          <w:rtl/>
        </w:rPr>
        <w:t xml:space="preserve"> מדינת ישראל נ' אנס אגבאריה (</w:t>
      </w:r>
      <w:r>
        <w:rPr>
          <w:rFonts w:ascii="David" w:hAnsi="David"/>
          <w:rtl/>
        </w:rPr>
        <w:t xml:space="preserve">21.06.21): </w:t>
      </w:r>
    </w:p>
    <w:p w14:paraId="6B4BEE87" w14:textId="77777777" w:rsidR="005B0392" w:rsidRDefault="005B0392" w:rsidP="005B0392">
      <w:pPr>
        <w:spacing w:line="360" w:lineRule="auto"/>
        <w:ind w:left="720"/>
        <w:jc w:val="both"/>
        <w:rPr>
          <w:rFonts w:ascii="David" w:hAnsi="David"/>
          <w:rtl/>
        </w:rPr>
      </w:pPr>
    </w:p>
    <w:p w14:paraId="5B0A9B24" w14:textId="77777777" w:rsidR="005B0392" w:rsidRDefault="005B0392" w:rsidP="005B0392">
      <w:pPr>
        <w:spacing w:line="360" w:lineRule="auto"/>
        <w:ind w:left="1643" w:right="1560"/>
        <w:jc w:val="both"/>
        <w:rPr>
          <w:rFonts w:ascii="David" w:hAnsi="David"/>
          <w:b/>
          <w:bCs/>
          <w:rtl/>
        </w:rPr>
      </w:pPr>
      <w:r>
        <w:rPr>
          <w:rFonts w:ascii="David" w:hAnsi="David"/>
          <w:b/>
          <w:bCs/>
          <w:rtl/>
        </w:rPr>
        <w:t>"בשנת 2018 החמיר המחוקק את העונש המירבי על ירי מנשק חם במקום מגורים משנת מאסר אחת ל- 5 שנות מאסר (</w:t>
      </w:r>
      <w:hyperlink r:id="rId39" w:history="1">
        <w:r w:rsidR="00392CB5" w:rsidRPr="00392CB5">
          <w:rPr>
            <w:rFonts w:ascii="David" w:hAnsi="David"/>
            <w:b/>
            <w:bCs/>
            <w:color w:val="0000FF"/>
            <w:u w:val="single"/>
            <w:rtl/>
          </w:rPr>
          <w:t>חוק העונשין</w:t>
        </w:r>
      </w:hyperlink>
      <w:r>
        <w:rPr>
          <w:rFonts w:ascii="David" w:hAnsi="David"/>
          <w:b/>
          <w:bCs/>
          <w:rtl/>
        </w:rPr>
        <w:t xml:space="preserve"> (תיקון מספר 134), התשע"ח – 2018, ס"ח 887). יפים לענייננו הדברים האמורים בדברי ההסבר להצעת התיקון לחוק:</w:t>
      </w:r>
    </w:p>
    <w:p w14:paraId="40EE95B6" w14:textId="77777777" w:rsidR="005B0392" w:rsidRDefault="005B0392" w:rsidP="005B0392">
      <w:pPr>
        <w:spacing w:line="360" w:lineRule="auto"/>
        <w:ind w:left="2153" w:right="1560"/>
        <w:jc w:val="both"/>
        <w:rPr>
          <w:rFonts w:ascii="David" w:hAnsi="David"/>
          <w:b/>
          <w:bCs/>
          <w:sz w:val="20"/>
          <w:szCs w:val="20"/>
          <w:rtl/>
        </w:rPr>
      </w:pPr>
      <w:r>
        <w:rPr>
          <w:rFonts w:ascii="David" w:hAnsi="David"/>
          <w:b/>
          <w:bCs/>
          <w:sz w:val="20"/>
          <w:szCs w:val="20"/>
          <w:rtl/>
        </w:rPr>
        <w:t>"עונש זה [שנת מאסר אחת – ע' פ'] אינו נותן ביטוי הולם לחומרה הגלומה במעשי ירי שלא כדין ולסיכון הגלום במעשה כאמור לפגיעה בערך המוגן שבבסיס העבירה – הגנה על חיי אדם. סיכון כאמור קיים גם אם לא היה סיכון קונקרטי לחיי אדם שהעושה היה מודע לו.</w:t>
      </w:r>
    </w:p>
    <w:p w14:paraId="1BF23498" w14:textId="77777777" w:rsidR="005B0392" w:rsidRDefault="005B0392" w:rsidP="005B0392">
      <w:pPr>
        <w:spacing w:line="360" w:lineRule="auto"/>
        <w:ind w:left="2153" w:right="1560"/>
        <w:jc w:val="both"/>
        <w:rPr>
          <w:rFonts w:ascii="David" w:hAnsi="David"/>
          <w:b/>
          <w:bCs/>
          <w:rtl/>
        </w:rPr>
      </w:pPr>
      <w:r>
        <w:rPr>
          <w:rFonts w:ascii="David" w:hAnsi="David"/>
          <w:b/>
          <w:bCs/>
          <w:sz w:val="20"/>
          <w:szCs w:val="20"/>
          <w:rtl/>
        </w:rPr>
        <w:tab/>
        <w:t xml:space="preserve">קל וחומר שסיכון כאמור גלום במקרה שבו הירי מנשק חם סיכן בפועל חיי אדם, למשל במקרה שבו יריות נורו לעבר ביתו של אדם במטרה להפחידו, בנסיבות שבהן לא ניתן לייחס ליורה ניסיון לגרימת פציעה או חבלה חמורה לאדם" (דברי ההסבר להצעת </w:t>
      </w:r>
      <w:hyperlink r:id="rId40" w:history="1">
        <w:r w:rsidR="00392CB5" w:rsidRPr="00392CB5">
          <w:rPr>
            <w:rFonts w:ascii="David" w:hAnsi="David"/>
            <w:b/>
            <w:bCs/>
            <w:color w:val="0000FF"/>
            <w:sz w:val="20"/>
            <w:szCs w:val="20"/>
            <w:u w:val="single"/>
            <w:rtl/>
          </w:rPr>
          <w:t>חוק העונשין</w:t>
        </w:r>
      </w:hyperlink>
      <w:r>
        <w:rPr>
          <w:rFonts w:ascii="David" w:hAnsi="David"/>
          <w:b/>
          <w:bCs/>
          <w:sz w:val="20"/>
          <w:szCs w:val="20"/>
          <w:rtl/>
        </w:rPr>
        <w:t xml:space="preserve"> (תיקון מס' 132) (ירי מנשק חם), התשע"ח – 2018, ה"ח הממשלה 914,914). </w:t>
      </w:r>
    </w:p>
    <w:p w14:paraId="35D87E04" w14:textId="77777777" w:rsidR="005B0392" w:rsidRDefault="005B0392" w:rsidP="005B0392">
      <w:pPr>
        <w:spacing w:line="360" w:lineRule="auto"/>
        <w:ind w:left="1440" w:right="1560"/>
        <w:jc w:val="both"/>
        <w:rPr>
          <w:rFonts w:ascii="David" w:hAnsi="David"/>
          <w:b/>
          <w:bCs/>
          <w:rtl/>
        </w:rPr>
      </w:pPr>
      <w:r>
        <w:rPr>
          <w:rFonts w:ascii="David" w:hAnsi="David"/>
          <w:b/>
          <w:bCs/>
          <w:rtl/>
        </w:rPr>
        <w:t>בהתאם לכך, נוקט בית משפט זה מדיניות ענישה הכוללת עונשי מאסר ממושכים בפועל בגין עבירות ירי בנשק במקום מגורים כבענייננו".</w:t>
      </w:r>
    </w:p>
    <w:p w14:paraId="4D672E47" w14:textId="77777777" w:rsidR="005B0392" w:rsidRDefault="005B0392" w:rsidP="005B0392">
      <w:pPr>
        <w:spacing w:line="360" w:lineRule="auto"/>
        <w:ind w:left="1440" w:right="1560"/>
        <w:jc w:val="both"/>
        <w:rPr>
          <w:rFonts w:ascii="David" w:hAnsi="David"/>
          <w:b/>
          <w:bCs/>
          <w:rtl/>
        </w:rPr>
      </w:pPr>
    </w:p>
    <w:p w14:paraId="0A6736EF" w14:textId="77777777" w:rsidR="005B0392" w:rsidRDefault="005B0392" w:rsidP="005B0392">
      <w:pPr>
        <w:spacing w:line="360" w:lineRule="auto"/>
        <w:jc w:val="both"/>
        <w:rPr>
          <w:rFonts w:ascii="David" w:hAnsi="David"/>
          <w:b/>
          <w:bCs/>
          <w:rtl/>
        </w:rPr>
      </w:pPr>
      <w:r>
        <w:rPr>
          <w:rFonts w:ascii="David" w:hAnsi="David"/>
          <w:b/>
          <w:bCs/>
          <w:rtl/>
        </w:rPr>
        <w:t xml:space="preserve">הערכים החברתיים שנפגעו: </w:t>
      </w:r>
    </w:p>
    <w:p w14:paraId="34B319D6" w14:textId="77777777" w:rsidR="005B0392" w:rsidRDefault="005B0392" w:rsidP="005B0392">
      <w:pPr>
        <w:spacing w:line="360" w:lineRule="auto"/>
        <w:jc w:val="both"/>
        <w:rPr>
          <w:rFonts w:ascii="David" w:hAnsi="David"/>
          <w:b/>
          <w:bCs/>
          <w:rtl/>
        </w:rPr>
      </w:pPr>
    </w:p>
    <w:p w14:paraId="55F2E442" w14:textId="77777777" w:rsidR="005B0392" w:rsidRDefault="005B0392" w:rsidP="005B0392">
      <w:pPr>
        <w:spacing w:line="360" w:lineRule="auto"/>
        <w:ind w:left="720" w:hanging="720"/>
        <w:jc w:val="both"/>
        <w:rPr>
          <w:rFonts w:ascii="David" w:hAnsi="David"/>
          <w:rtl/>
        </w:rPr>
      </w:pPr>
      <w:r>
        <w:rPr>
          <w:rFonts w:ascii="David" w:hAnsi="David"/>
          <w:rtl/>
        </w:rPr>
        <w:t>17.</w:t>
      </w:r>
      <w:r>
        <w:rPr>
          <w:rFonts w:ascii="David" w:hAnsi="David"/>
          <w:rtl/>
        </w:rPr>
        <w:tab/>
        <w:t xml:space="preserve">בביצוע העבירות ובנסיבותיהן פגע הנאשם בצורה משמעותית בערכים  המוגנים, ובכללם שמירה על החיים והגוף, ביטחון הציבור והסדר הציבורי. </w:t>
      </w:r>
    </w:p>
    <w:p w14:paraId="622B96AF" w14:textId="77777777" w:rsidR="005B0392" w:rsidRDefault="005B0392" w:rsidP="005B0392">
      <w:pPr>
        <w:spacing w:line="360" w:lineRule="auto"/>
        <w:ind w:left="720" w:hanging="720"/>
        <w:jc w:val="both"/>
        <w:rPr>
          <w:rFonts w:ascii="David" w:hAnsi="David"/>
          <w:rtl/>
        </w:rPr>
      </w:pPr>
    </w:p>
    <w:p w14:paraId="3D40A831" w14:textId="77777777" w:rsidR="005B0392" w:rsidRDefault="005B0392" w:rsidP="005B0392">
      <w:pPr>
        <w:spacing w:line="360" w:lineRule="auto"/>
        <w:ind w:left="720"/>
        <w:jc w:val="both"/>
        <w:rPr>
          <w:rFonts w:ascii="David" w:hAnsi="David"/>
          <w:b/>
          <w:bCs/>
          <w:rtl/>
        </w:rPr>
      </w:pPr>
      <w:r>
        <w:rPr>
          <w:rFonts w:ascii="David" w:hAnsi="David"/>
          <w:b/>
          <w:bCs/>
          <w:rtl/>
        </w:rPr>
        <w:t xml:space="preserve">יודגש כי עבירת הירי בשטח  מגורים פוגעת באופן קשה בתחושת הביטחון האישי ומעגלי פגיעתה רחבים כגלי קולות הירי הנשאים למרחק. </w:t>
      </w:r>
    </w:p>
    <w:p w14:paraId="748139DD" w14:textId="77777777" w:rsidR="005B0392" w:rsidRDefault="005B0392" w:rsidP="005B0392">
      <w:pPr>
        <w:spacing w:line="360" w:lineRule="auto"/>
        <w:ind w:left="720"/>
        <w:jc w:val="both"/>
        <w:rPr>
          <w:rFonts w:ascii="David" w:hAnsi="David"/>
          <w:b/>
          <w:bCs/>
          <w:rtl/>
        </w:rPr>
      </w:pPr>
    </w:p>
    <w:p w14:paraId="1C95B9DD" w14:textId="77777777" w:rsidR="005B0392" w:rsidRDefault="005B0392" w:rsidP="005B0392">
      <w:pPr>
        <w:spacing w:line="360" w:lineRule="auto"/>
        <w:jc w:val="both"/>
        <w:rPr>
          <w:rFonts w:ascii="David" w:hAnsi="David"/>
          <w:b/>
          <w:bCs/>
          <w:rtl/>
        </w:rPr>
      </w:pPr>
      <w:r>
        <w:rPr>
          <w:rFonts w:ascii="David" w:hAnsi="David"/>
          <w:b/>
          <w:bCs/>
          <w:rtl/>
        </w:rPr>
        <w:t>מדיניות הענישה הנוהגת:</w:t>
      </w:r>
    </w:p>
    <w:p w14:paraId="37082063" w14:textId="77777777" w:rsidR="005B0392" w:rsidRDefault="005B0392" w:rsidP="005B0392">
      <w:pPr>
        <w:spacing w:line="360" w:lineRule="auto"/>
        <w:jc w:val="both"/>
        <w:rPr>
          <w:rFonts w:ascii="David" w:hAnsi="David"/>
          <w:b/>
          <w:bCs/>
          <w:rtl/>
        </w:rPr>
      </w:pPr>
    </w:p>
    <w:p w14:paraId="4DCF4C48" w14:textId="77777777" w:rsidR="005B0392" w:rsidRDefault="005B0392" w:rsidP="005B0392">
      <w:pPr>
        <w:spacing w:line="360" w:lineRule="auto"/>
        <w:ind w:left="720" w:hanging="720"/>
        <w:jc w:val="both"/>
        <w:rPr>
          <w:rFonts w:ascii="David" w:hAnsi="David"/>
          <w:rtl/>
        </w:rPr>
      </w:pPr>
      <w:r>
        <w:rPr>
          <w:rFonts w:ascii="David" w:hAnsi="David"/>
          <w:rtl/>
        </w:rPr>
        <w:t>18.</w:t>
      </w:r>
      <w:r>
        <w:rPr>
          <w:rFonts w:ascii="David" w:hAnsi="David"/>
          <w:rtl/>
        </w:rPr>
        <w:tab/>
        <w:t>בענייננו הורשע הנאשם בעבירה של ירי מנשק חם באזור מגורים, ולעניין חומרת עבירה זו בחקיקה ובפסיקה</w:t>
      </w:r>
      <w:r>
        <w:rPr>
          <w:rFonts w:ascii="David" w:hAnsi="David" w:hint="cs"/>
          <w:rtl/>
        </w:rPr>
        <w:t>,</w:t>
      </w:r>
      <w:r>
        <w:rPr>
          <w:rFonts w:ascii="David" w:hAnsi="David"/>
          <w:rtl/>
        </w:rPr>
        <w:t xml:space="preserve"> ראה דברי בית המשפט </w:t>
      </w:r>
      <w:r>
        <w:rPr>
          <w:rFonts w:ascii="David" w:hAnsi="David"/>
          <w:b/>
          <w:bCs/>
          <w:rtl/>
        </w:rPr>
        <w:t>ב</w:t>
      </w:r>
      <w:hyperlink r:id="rId41" w:history="1">
        <w:r w:rsidR="00392CB5" w:rsidRPr="00392CB5">
          <w:rPr>
            <w:rFonts w:ascii="David" w:hAnsi="David"/>
            <w:b/>
            <w:bCs/>
            <w:color w:val="0000FF"/>
            <w:u w:val="single"/>
            <w:rtl/>
          </w:rPr>
          <w:t>ע"פ 3169/21</w:t>
        </w:r>
      </w:hyperlink>
      <w:r>
        <w:rPr>
          <w:rFonts w:ascii="David" w:hAnsi="David"/>
          <w:b/>
          <w:bCs/>
          <w:rtl/>
        </w:rPr>
        <w:t xml:space="preserve"> מדינת ישראל נ' אגבאריה</w:t>
      </w:r>
      <w:r>
        <w:rPr>
          <w:rFonts w:ascii="David" w:hAnsi="David"/>
          <w:rtl/>
        </w:rPr>
        <w:t xml:space="preserve"> (21.6.2021):</w:t>
      </w:r>
    </w:p>
    <w:p w14:paraId="24AE4997" w14:textId="77777777" w:rsidR="005B0392" w:rsidRDefault="005B0392" w:rsidP="005B0392">
      <w:pPr>
        <w:spacing w:line="360" w:lineRule="auto"/>
        <w:ind w:left="1643" w:right="1701"/>
        <w:jc w:val="both"/>
        <w:rPr>
          <w:rFonts w:ascii="David" w:hAnsi="David"/>
          <w:b/>
          <w:bCs/>
        </w:rPr>
      </w:pPr>
      <w:r>
        <w:rPr>
          <w:rFonts w:ascii="David" w:hAnsi="David"/>
          <w:b/>
          <w:bCs/>
          <w:rtl/>
        </w:rPr>
        <w:t xml:space="preserve">"מהעבירה של ירי בנשק חם בסביבת מגורים, כבמקרה דנן, נשקפת חומרה יתרה. היא עלולה לגרום לנזק כבד לחיים, לגוף ולרכוש, לעוברי אורח וליושבים בבתיהם.  לכן מתחייבת ענישה מחמירה בגינה... בשנת 2018 החמיר המחוקק את העונש המרבי על ירי מנשק חם במקום מגורים משנת מאסר אחת ל- 5 שנות מאסר...". </w:t>
      </w:r>
    </w:p>
    <w:p w14:paraId="4D49DAC1" w14:textId="77777777" w:rsidR="005B0392" w:rsidRDefault="005B0392" w:rsidP="005B0392">
      <w:pPr>
        <w:spacing w:line="360" w:lineRule="auto"/>
        <w:ind w:left="720" w:hanging="720"/>
        <w:jc w:val="both"/>
        <w:rPr>
          <w:rFonts w:ascii="David" w:hAnsi="David"/>
          <w:rtl/>
        </w:rPr>
      </w:pPr>
      <w:r>
        <w:rPr>
          <w:rFonts w:ascii="David" w:hAnsi="David"/>
          <w:rtl/>
        </w:rPr>
        <w:t>19.</w:t>
      </w:r>
      <w:r>
        <w:rPr>
          <w:rFonts w:ascii="David" w:hAnsi="David"/>
          <w:rtl/>
        </w:rPr>
        <w:tab/>
        <w:t xml:space="preserve">נזכיר כי הנאשם ביצע את העבירות בענייננו על רקע סכסוך ו"כאמצעי" פסול ליישובו, ובהקשר לכך נפסק לא אחת כי יש למגר את תופעת האלימות באמצעות ענישה משמעותית וכי אין להשלים עם עשייה של דין עצמי.  </w:t>
      </w:r>
    </w:p>
    <w:p w14:paraId="255A0118" w14:textId="77777777" w:rsidR="005B0392" w:rsidRDefault="005B0392" w:rsidP="005B0392">
      <w:pPr>
        <w:spacing w:line="360" w:lineRule="auto"/>
        <w:ind w:left="720" w:hanging="720"/>
        <w:jc w:val="both"/>
        <w:rPr>
          <w:rFonts w:ascii="David" w:hAnsi="David"/>
          <w:rtl/>
        </w:rPr>
      </w:pPr>
    </w:p>
    <w:p w14:paraId="08E8CD8A" w14:textId="77777777" w:rsidR="005B0392" w:rsidRDefault="005B0392" w:rsidP="005B0392">
      <w:pPr>
        <w:spacing w:line="360" w:lineRule="auto"/>
        <w:ind w:left="720"/>
        <w:jc w:val="both"/>
        <w:rPr>
          <w:rFonts w:ascii="David" w:hAnsi="David"/>
          <w:rtl/>
        </w:rPr>
      </w:pPr>
      <w:r>
        <w:rPr>
          <w:rFonts w:ascii="David" w:hAnsi="David"/>
          <w:rtl/>
        </w:rPr>
        <w:t>ראה גם דברי בית המשפט העליון ב</w:t>
      </w:r>
      <w:hyperlink r:id="rId42" w:history="1">
        <w:r w:rsidR="00392CB5" w:rsidRPr="00392CB5">
          <w:rPr>
            <w:rFonts w:ascii="David" w:hAnsi="David"/>
            <w:b/>
            <w:bCs/>
            <w:color w:val="0000FF"/>
            <w:u w:val="single"/>
            <w:rtl/>
          </w:rPr>
          <w:t>ע"פ 4406/19</w:t>
        </w:r>
      </w:hyperlink>
      <w:r>
        <w:rPr>
          <w:rFonts w:ascii="David" w:hAnsi="David"/>
          <w:b/>
          <w:bCs/>
          <w:rtl/>
        </w:rPr>
        <w:t xml:space="preserve"> מדינת ישראל נ' יונס סובח (</w:t>
      </w:r>
      <w:r>
        <w:rPr>
          <w:rFonts w:ascii="David" w:hAnsi="David"/>
          <w:rtl/>
        </w:rPr>
        <w:t xml:space="preserve">05.11.19) (להלן: </w:t>
      </w:r>
      <w:r>
        <w:rPr>
          <w:rFonts w:ascii="David" w:hAnsi="David"/>
          <w:b/>
          <w:bCs/>
          <w:rtl/>
        </w:rPr>
        <w:t>"פסק דין סובח"</w:t>
      </w:r>
      <w:r>
        <w:rPr>
          <w:rFonts w:ascii="David" w:hAnsi="David"/>
          <w:rtl/>
        </w:rPr>
        <w:t>):</w:t>
      </w:r>
    </w:p>
    <w:p w14:paraId="6621D61C" w14:textId="77777777" w:rsidR="005B0392" w:rsidRDefault="005B0392" w:rsidP="005B0392">
      <w:pPr>
        <w:spacing w:line="360" w:lineRule="auto"/>
        <w:ind w:left="720"/>
        <w:jc w:val="both"/>
        <w:rPr>
          <w:rFonts w:ascii="David" w:hAnsi="David"/>
          <w:rtl/>
        </w:rPr>
      </w:pPr>
    </w:p>
    <w:p w14:paraId="3B1FEC1B" w14:textId="77777777" w:rsidR="005B0392" w:rsidRDefault="005B0392" w:rsidP="005B0392">
      <w:pPr>
        <w:spacing w:line="360" w:lineRule="auto"/>
        <w:ind w:left="2160" w:right="1843"/>
        <w:jc w:val="both"/>
        <w:rPr>
          <w:rFonts w:ascii="David" w:hAnsi="David"/>
          <w:b/>
          <w:bCs/>
          <w:rtl/>
        </w:rPr>
      </w:pPr>
      <w:r>
        <w:rPr>
          <w:rFonts w:ascii="David" w:hAnsi="David"/>
          <w:b/>
          <w:bCs/>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w:t>
      </w:r>
    </w:p>
    <w:p w14:paraId="52B18BEB" w14:textId="77777777" w:rsidR="005B0392" w:rsidRDefault="005B0392" w:rsidP="005B0392">
      <w:pPr>
        <w:spacing w:line="360" w:lineRule="auto"/>
        <w:ind w:left="2160" w:right="1843"/>
        <w:jc w:val="both"/>
        <w:rPr>
          <w:rFonts w:ascii="David" w:hAnsi="David"/>
          <w:b/>
          <w:bCs/>
          <w:rtl/>
        </w:rPr>
      </w:pPr>
    </w:p>
    <w:p w14:paraId="0051947C" w14:textId="77777777" w:rsidR="005B0392" w:rsidRDefault="005B0392" w:rsidP="005B0392">
      <w:pPr>
        <w:spacing w:line="360" w:lineRule="auto"/>
        <w:ind w:left="640" w:hanging="640"/>
        <w:jc w:val="both"/>
        <w:rPr>
          <w:rFonts w:ascii="David" w:hAnsi="David"/>
          <w:rtl/>
        </w:rPr>
      </w:pPr>
      <w:r>
        <w:rPr>
          <w:rFonts w:ascii="David" w:hAnsi="David"/>
          <w:rtl/>
        </w:rPr>
        <w:t>20.</w:t>
      </w:r>
      <w:r>
        <w:rPr>
          <w:rFonts w:ascii="David" w:hAnsi="David"/>
          <w:rtl/>
        </w:rPr>
        <w:tab/>
        <w:t>בזיקה לאמור לעיל, אדרש למדגם של פסיקה נוהגת בעבירה ירי מנשק חם באזור מגורים. אציין כי בהבניית שיקול הדעת אין הכוונה לעריכת ממוצע סטטיסטי של טווחי ענישה. קשת הענישה בפסיקה רחבה, תלויה בנסיבותיו של המקרה הקונקרטי ובפרמטרים שונים, ובכללם מידת התחכום והתכנון שקדם לביצוע העבירות, מידת התעוזה שהפגין הנאשם בביצוע העבירות, קיומם של נפגעי העבירה ומספרם, הנזק שנגרם לנפגעים למול פוטנציאל הנזק, כיוון הירי, מספר היריות, סוג כלי הנשק בו נעשה שימוש וקיומן של עבירות נלוות. בענייננו יש לבצע את ההבחנה הנדרשת לקולא ולחומרא:</w:t>
      </w:r>
    </w:p>
    <w:p w14:paraId="54BA11EB" w14:textId="77777777" w:rsidR="005B0392" w:rsidRDefault="005B0392" w:rsidP="005B0392">
      <w:pPr>
        <w:spacing w:line="360" w:lineRule="auto"/>
        <w:ind w:left="640" w:hanging="640"/>
        <w:jc w:val="both"/>
        <w:rPr>
          <w:rFonts w:ascii="David" w:hAnsi="David"/>
          <w:rtl/>
        </w:rPr>
      </w:pPr>
    </w:p>
    <w:p w14:paraId="014E390C" w14:textId="77777777" w:rsidR="005B0392" w:rsidRDefault="005B0392" w:rsidP="005B0392">
      <w:pPr>
        <w:spacing w:line="360" w:lineRule="auto"/>
        <w:ind w:left="1435" w:hanging="795"/>
        <w:jc w:val="both"/>
        <w:rPr>
          <w:rFonts w:ascii="David" w:hAnsi="David"/>
          <w:rtl/>
        </w:rPr>
      </w:pPr>
      <w:r>
        <w:rPr>
          <w:rFonts w:ascii="David" w:hAnsi="David"/>
          <w:rtl/>
        </w:rPr>
        <w:t>א.</w:t>
      </w:r>
      <w:r>
        <w:rPr>
          <w:rFonts w:ascii="David" w:hAnsi="David"/>
          <w:b/>
          <w:bCs/>
          <w:rtl/>
        </w:rPr>
        <w:tab/>
        <w:t>ב</w:t>
      </w:r>
      <w:hyperlink r:id="rId43" w:history="1">
        <w:r w:rsidR="00392CB5" w:rsidRPr="00392CB5">
          <w:rPr>
            <w:rFonts w:ascii="David" w:hAnsi="David"/>
            <w:b/>
            <w:bCs/>
            <w:color w:val="0000FF"/>
            <w:u w:val="single"/>
            <w:rtl/>
          </w:rPr>
          <w:t>ת"פ (מחוזי ב"ש) 27179-12-23</w:t>
        </w:r>
      </w:hyperlink>
      <w:r>
        <w:rPr>
          <w:rFonts w:ascii="David" w:hAnsi="David"/>
          <w:b/>
          <w:bCs/>
          <w:rtl/>
        </w:rPr>
        <w:t xml:space="preserve"> מדינת ישראל נ' אבו גויעד (</w:t>
      </w:r>
      <w:r>
        <w:rPr>
          <w:rFonts w:ascii="David" w:hAnsi="David"/>
          <w:rtl/>
        </w:rPr>
        <w:t xml:space="preserve">15.10.24) הורשע נאשם, על יסוד הודאתו במסגרת הסדר טיעון שכלל הסכמה לעניין העונש, בעבירה של ירי מנשק חם לפי </w:t>
      </w:r>
      <w:hyperlink r:id="rId44" w:history="1">
        <w:r w:rsidR="00AE2BE6" w:rsidRPr="00AE2BE6">
          <w:rPr>
            <w:rStyle w:val="Hyperlink"/>
            <w:rFonts w:ascii="David" w:hAnsi="David"/>
            <w:color w:val="0000FF"/>
            <w:rtl/>
          </w:rPr>
          <w:t>סעיף 340א(א)</w:t>
        </w:r>
      </w:hyperlink>
      <w:r>
        <w:rPr>
          <w:rFonts w:ascii="David" w:hAnsi="David"/>
          <w:rtl/>
        </w:rPr>
        <w:t xml:space="preserve"> ל</w:t>
      </w:r>
      <w:hyperlink r:id="rId45" w:history="1">
        <w:r w:rsidR="00392CB5" w:rsidRPr="00392CB5">
          <w:rPr>
            <w:rFonts w:ascii="David" w:hAnsi="David"/>
            <w:color w:val="0000FF"/>
            <w:u w:val="single"/>
            <w:rtl/>
          </w:rPr>
          <w:t>חוק העונשין</w:t>
        </w:r>
      </w:hyperlink>
      <w:r>
        <w:rPr>
          <w:rFonts w:ascii="David" w:hAnsi="David"/>
          <w:rtl/>
        </w:rPr>
        <w:t xml:space="preserve">, שלא באזור מגורים. הנאשם ואדם נוסף הגיעו לשטח הררי פתוח, טיפסו על הר ושם ירה הנאשם מנשק חם שלא כדין. בית המשפט כיבד את הסכמות הצדדים חרף קלות העונש, וזאת נוכח קשיים ראייתיים, והטיל על הנאשם 7.5 חודשי מאסר בעבודות שירות לצד מאסרים מותנים וקנס בסך 5,000 ₪ </w:t>
      </w:r>
    </w:p>
    <w:p w14:paraId="30EF269A" w14:textId="77777777" w:rsidR="005B0392" w:rsidRDefault="005B0392" w:rsidP="005B0392">
      <w:pPr>
        <w:spacing w:line="360" w:lineRule="auto"/>
        <w:ind w:left="1435" w:hanging="795"/>
        <w:jc w:val="both"/>
        <w:rPr>
          <w:rFonts w:ascii="David" w:hAnsi="David"/>
          <w:rtl/>
        </w:rPr>
      </w:pPr>
    </w:p>
    <w:p w14:paraId="61A89FFC" w14:textId="77777777" w:rsidR="005B0392" w:rsidRDefault="005B0392" w:rsidP="005B0392">
      <w:pPr>
        <w:spacing w:line="360" w:lineRule="auto"/>
        <w:ind w:left="1435" w:hanging="795"/>
        <w:jc w:val="both"/>
        <w:rPr>
          <w:rFonts w:ascii="David" w:hAnsi="David"/>
          <w:rtl/>
        </w:rPr>
      </w:pPr>
      <w:r>
        <w:rPr>
          <w:rFonts w:ascii="David" w:hAnsi="David"/>
          <w:rtl/>
        </w:rPr>
        <w:t>ב.</w:t>
      </w:r>
      <w:r>
        <w:rPr>
          <w:rFonts w:ascii="David" w:hAnsi="David"/>
          <w:rtl/>
        </w:rPr>
        <w:tab/>
      </w:r>
      <w:r>
        <w:rPr>
          <w:rFonts w:ascii="David" w:hAnsi="David"/>
          <w:b/>
          <w:bCs/>
          <w:rtl/>
        </w:rPr>
        <w:t>ב</w:t>
      </w:r>
      <w:hyperlink r:id="rId46" w:history="1">
        <w:r w:rsidR="00392CB5" w:rsidRPr="00392CB5">
          <w:rPr>
            <w:rFonts w:ascii="David" w:hAnsi="David"/>
            <w:b/>
            <w:bCs/>
            <w:color w:val="0000FF"/>
            <w:u w:val="single"/>
            <w:rtl/>
          </w:rPr>
          <w:t>עפ"ג (מחוזי מרכז) 3580-03-08</w:t>
        </w:r>
      </w:hyperlink>
      <w:r>
        <w:rPr>
          <w:rFonts w:ascii="David" w:hAnsi="David"/>
          <w:b/>
          <w:bCs/>
          <w:rtl/>
        </w:rPr>
        <w:t xml:space="preserve"> מדינת ישראל נ' מחמד זמירו</w:t>
      </w:r>
      <w:r>
        <w:rPr>
          <w:rFonts w:ascii="David" w:hAnsi="David"/>
          <w:rtl/>
        </w:rPr>
        <w:t xml:space="preserve"> (19.11.2008) נדחה ערעורו של הנאשם על הכרעת הדין והתקבל ערעור המדינה על קולת עונשו של נאשם אשר הורשע לאחר שמיעת הוכחות, בעבירה של ירי באזור מגורים לפי </w:t>
      </w:r>
      <w:hyperlink r:id="rId47" w:history="1">
        <w:r w:rsidR="00AE2BE6" w:rsidRPr="00AE2BE6">
          <w:rPr>
            <w:rStyle w:val="Hyperlink"/>
            <w:rFonts w:ascii="David" w:hAnsi="David"/>
            <w:color w:val="0000FF"/>
            <w:rtl/>
          </w:rPr>
          <w:t>סעיף 340א</w:t>
        </w:r>
      </w:hyperlink>
      <w:r>
        <w:rPr>
          <w:rFonts w:ascii="David" w:hAnsi="David"/>
          <w:rtl/>
        </w:rPr>
        <w:t xml:space="preserve"> לחוק ובעבירות נוספות בהן חבלה במזיד, 5 עבירות של הטרדת עד, 2 עבירות איומים, 4 עבירות שיבוש מהלכי משפט ועבירה של ניסיון תקיפה. על רקע ויכוח שהתגלע בין הנאשם לאדם אחר במהלך חתונה, ישב ברכבו לאחר החתונה לצד אחר שנהג ברכב, עצר בסמוך לרכבו של המתלונן וירה מספר יריות לעבר הרכב של המתלונן. בזיקה למשפט שהתנהל כנגד הנאשם במסגרת אירוע זה השמיע הנאשם איומים והטריד את העדים. בית משפט קמא הטיל על הנאשם 6 חודשי מאסר בפועל שירוצו בעבודות שירות לצד מאסר מותנה, קנס ופיצוי. </w:t>
      </w:r>
    </w:p>
    <w:p w14:paraId="1D0E7B2D" w14:textId="77777777" w:rsidR="005B0392" w:rsidRDefault="005B0392" w:rsidP="005B0392">
      <w:pPr>
        <w:spacing w:line="360" w:lineRule="auto"/>
        <w:ind w:left="1435" w:hanging="795"/>
        <w:jc w:val="both"/>
        <w:rPr>
          <w:rFonts w:ascii="David" w:hAnsi="David"/>
          <w:rtl/>
        </w:rPr>
      </w:pPr>
    </w:p>
    <w:p w14:paraId="4F982971" w14:textId="77777777" w:rsidR="005B0392" w:rsidRDefault="005B0392" w:rsidP="005B0392">
      <w:pPr>
        <w:pStyle w:val="a9"/>
        <w:spacing w:line="360" w:lineRule="auto"/>
        <w:ind w:left="1440"/>
        <w:jc w:val="both"/>
        <w:rPr>
          <w:rFonts w:ascii="David" w:hAnsi="David" w:cs="David"/>
          <w:sz w:val="24"/>
          <w:szCs w:val="24"/>
          <w:rtl/>
        </w:rPr>
      </w:pPr>
      <w:r>
        <w:rPr>
          <w:rFonts w:ascii="David" w:hAnsi="David" w:cs="David"/>
          <w:b/>
          <w:bCs/>
          <w:sz w:val="24"/>
          <w:szCs w:val="24"/>
          <w:rtl/>
        </w:rPr>
        <w:t xml:space="preserve">בית המשפט המחוזי התערב בעונש וקבע כי ענישה בגין מעשה הכולל ירי באזור מגורים צריכה להיות ענישה ממשית של מאסר בפועל. </w:t>
      </w:r>
      <w:r>
        <w:rPr>
          <w:rFonts w:ascii="David" w:hAnsi="David" w:cs="David"/>
          <w:sz w:val="24"/>
          <w:szCs w:val="24"/>
          <w:rtl/>
        </w:rPr>
        <w:t xml:space="preserve">על הנאשם הוטלו 18 חודשי מאסר בפועל ויתר רכיבי הענישה שנקבעו בבית משפט קמא נותרו בעינם. </w:t>
      </w:r>
    </w:p>
    <w:p w14:paraId="1B7AA174" w14:textId="77777777" w:rsidR="005B0392" w:rsidRDefault="005B0392" w:rsidP="005B0392">
      <w:pPr>
        <w:spacing w:line="360" w:lineRule="auto"/>
        <w:ind w:left="1440" w:hanging="720"/>
        <w:jc w:val="both"/>
        <w:rPr>
          <w:rFonts w:ascii="David" w:hAnsi="David"/>
          <w:rtl/>
        </w:rPr>
      </w:pPr>
      <w:r>
        <w:rPr>
          <w:rFonts w:ascii="David" w:hAnsi="David"/>
          <w:rtl/>
        </w:rPr>
        <w:t>ג.</w:t>
      </w:r>
      <w:r>
        <w:rPr>
          <w:rFonts w:ascii="David" w:hAnsi="David"/>
          <w:b/>
          <w:bCs/>
          <w:rtl/>
        </w:rPr>
        <w:tab/>
        <w:t>ב</w:t>
      </w:r>
      <w:hyperlink r:id="rId48" w:history="1">
        <w:r w:rsidR="00392CB5" w:rsidRPr="00392CB5">
          <w:rPr>
            <w:rFonts w:ascii="David" w:hAnsi="David"/>
            <w:b/>
            <w:bCs/>
            <w:color w:val="0000FF"/>
            <w:u w:val="single"/>
            <w:rtl/>
          </w:rPr>
          <w:t>ת"פ (שלום י-ם) 19771-10-20</w:t>
        </w:r>
      </w:hyperlink>
      <w:r>
        <w:rPr>
          <w:rFonts w:ascii="David" w:hAnsi="David"/>
          <w:b/>
          <w:bCs/>
          <w:rtl/>
        </w:rPr>
        <w:t xml:space="preserve"> מדינת ישראל נ' ויטאלי טאראסטב</w:t>
      </w:r>
      <w:r>
        <w:rPr>
          <w:rFonts w:ascii="David" w:hAnsi="David"/>
          <w:rtl/>
        </w:rPr>
        <w:t xml:space="preserve"> (06.06.2023) הורשע נאשם על יסוד הודאתו בביצוע שתי עבירות של ירי מנשק חם באזור מגורים לפי </w:t>
      </w:r>
      <w:hyperlink r:id="rId49" w:history="1">
        <w:r w:rsidR="00AE2BE6" w:rsidRPr="00AE2BE6">
          <w:rPr>
            <w:rStyle w:val="Hyperlink"/>
            <w:rFonts w:ascii="David" w:hAnsi="David"/>
            <w:color w:val="0000FF"/>
            <w:rtl/>
          </w:rPr>
          <w:t>סעיף 340א(ב)(1)</w:t>
        </w:r>
      </w:hyperlink>
      <w:r>
        <w:rPr>
          <w:rFonts w:ascii="David" w:hAnsi="David"/>
          <w:rtl/>
        </w:rPr>
        <w:t xml:space="preserve"> ו-(</w:t>
      </w:r>
      <w:hyperlink r:id="rId50" w:history="1">
        <w:r w:rsidR="00AE2BE6" w:rsidRPr="00AE2BE6">
          <w:rPr>
            <w:rStyle w:val="Hyperlink"/>
            <w:rFonts w:ascii="David" w:hAnsi="David"/>
            <w:color w:val="0000FF"/>
            <w:rtl/>
          </w:rPr>
          <w:t>2</w:t>
        </w:r>
      </w:hyperlink>
      <w:r>
        <w:rPr>
          <w:rFonts w:ascii="David" w:hAnsi="David"/>
          <w:rtl/>
        </w:rPr>
        <w:t>) ל</w:t>
      </w:r>
      <w:hyperlink r:id="rId51" w:history="1">
        <w:r w:rsidR="00392CB5" w:rsidRPr="00392CB5">
          <w:rPr>
            <w:rFonts w:ascii="David" w:hAnsi="David"/>
            <w:color w:val="0000FF"/>
            <w:u w:val="single"/>
            <w:rtl/>
          </w:rPr>
          <w:t>חוק העונשין</w:t>
        </w:r>
      </w:hyperlink>
      <w:r>
        <w:rPr>
          <w:rFonts w:ascii="David" w:hAnsi="David"/>
          <w:rtl/>
        </w:rPr>
        <w:t xml:space="preserve">. בשני אירועים נפרדים עשה שימוש בנשקו האישי בו החזיק ברישיון, וירה שני כדורים באירוע הראשון וכדור אחד באירוע השני בתוך בית הוריו בו התגורר, לעבר ארון, שעה שבבית שהו בני משפחתו. מגזר הדין עולה כי השימוש בנשק נעשה ללא סיבה נראית לעין ועל רקע צריכת אלכוהול. הצדדים הציגו "הסדר טווח" במסגרתו הגבילה עצמה המאשימה לעונש של 7 חודשי מאסר בעבודות שירות. נקבע מתחם עונש הולם הנע בין חודשי מאסר ספורים ועד 10 חודשי מאסר בפועל. על הנאשם נעדר עבר פלילי, שעבר הליך שיקומי משמעותי, הוטלו של"צ בהיקף 250 שעות לצד מאסרים מותנים, קנס בסך 2,000 ש"ח, התחייבות וצו מבחן למשך 12 חודשים. </w:t>
      </w:r>
    </w:p>
    <w:p w14:paraId="4A90AAF8" w14:textId="77777777" w:rsidR="005B0392" w:rsidRDefault="005B0392" w:rsidP="005B0392">
      <w:pPr>
        <w:spacing w:line="360" w:lineRule="auto"/>
        <w:ind w:left="1440" w:hanging="720"/>
        <w:jc w:val="both"/>
        <w:rPr>
          <w:rFonts w:ascii="David" w:hAnsi="David"/>
          <w:rtl/>
        </w:rPr>
      </w:pPr>
    </w:p>
    <w:p w14:paraId="2AFBBF0A" w14:textId="77777777" w:rsidR="005B0392" w:rsidRDefault="005B0392" w:rsidP="005B0392">
      <w:pPr>
        <w:spacing w:line="360" w:lineRule="auto"/>
        <w:ind w:left="1440" w:hanging="720"/>
        <w:jc w:val="both"/>
        <w:rPr>
          <w:rFonts w:ascii="David" w:hAnsi="David"/>
          <w:rtl/>
        </w:rPr>
      </w:pPr>
      <w:r>
        <w:rPr>
          <w:rFonts w:ascii="David" w:hAnsi="David"/>
          <w:rtl/>
        </w:rPr>
        <w:t>ד.</w:t>
      </w:r>
      <w:r>
        <w:rPr>
          <w:rFonts w:ascii="David" w:hAnsi="David"/>
          <w:rtl/>
        </w:rPr>
        <w:tab/>
        <w:t xml:space="preserve"> </w:t>
      </w:r>
      <w:r>
        <w:rPr>
          <w:rFonts w:ascii="David" w:hAnsi="David"/>
          <w:b/>
          <w:bCs/>
          <w:rtl/>
        </w:rPr>
        <w:t>בת"פ (שלום פ"ת) 8148-07-15 מדינת ישראל נ' יעקב קרבצוב</w:t>
      </w:r>
      <w:r>
        <w:rPr>
          <w:rFonts w:ascii="David" w:hAnsi="David"/>
          <w:rtl/>
        </w:rPr>
        <w:t xml:space="preserve"> (18.06.2017) הורשע נאשם על יסוד הודאתו באיומים - עבירה לפי </w:t>
      </w:r>
      <w:hyperlink r:id="rId52" w:history="1">
        <w:r w:rsidR="00AE2BE6" w:rsidRPr="00AE2BE6">
          <w:rPr>
            <w:rStyle w:val="Hyperlink"/>
            <w:rFonts w:ascii="David" w:hAnsi="David"/>
            <w:color w:val="0000FF"/>
            <w:rtl/>
          </w:rPr>
          <w:t>סעיף 192</w:t>
        </w:r>
      </w:hyperlink>
      <w:r>
        <w:rPr>
          <w:rFonts w:ascii="David" w:hAnsi="David"/>
          <w:rtl/>
        </w:rPr>
        <w:t xml:space="preserve"> ל</w:t>
      </w:r>
      <w:hyperlink r:id="rId53" w:history="1">
        <w:r w:rsidR="00392CB5" w:rsidRPr="00392CB5">
          <w:rPr>
            <w:rFonts w:ascii="David" w:hAnsi="David"/>
            <w:color w:val="0000FF"/>
            <w:u w:val="single"/>
            <w:rtl/>
          </w:rPr>
          <w:t>חוק העונשין</w:t>
        </w:r>
      </w:hyperlink>
      <w:r>
        <w:rPr>
          <w:rFonts w:ascii="David" w:hAnsi="David"/>
          <w:rtl/>
        </w:rPr>
        <w:t xml:space="preserve">, בניסיון תקיפה הגורמת חבלה של ממש - עבירה לפי </w:t>
      </w:r>
      <w:hyperlink r:id="rId54" w:history="1">
        <w:r w:rsidR="00AE2BE6" w:rsidRPr="00AE2BE6">
          <w:rPr>
            <w:rStyle w:val="Hyperlink"/>
            <w:rFonts w:ascii="David" w:hAnsi="David"/>
            <w:color w:val="0000FF"/>
            <w:rtl/>
          </w:rPr>
          <w:t>סעיף 380</w:t>
        </w:r>
      </w:hyperlink>
      <w:r>
        <w:rPr>
          <w:rFonts w:ascii="David" w:hAnsi="David"/>
          <w:rtl/>
        </w:rPr>
        <w:t xml:space="preserve"> לחוק ובירי בנשק חם באזור מגורים -  עבירה לפי </w:t>
      </w:r>
      <w:hyperlink r:id="rId55" w:history="1">
        <w:r w:rsidR="00AE2BE6" w:rsidRPr="00AE2BE6">
          <w:rPr>
            <w:rStyle w:val="Hyperlink"/>
            <w:rFonts w:ascii="David" w:hAnsi="David"/>
            <w:color w:val="0000FF"/>
            <w:rtl/>
          </w:rPr>
          <w:t>סעיף 340א</w:t>
        </w:r>
      </w:hyperlink>
      <w:r>
        <w:rPr>
          <w:rFonts w:ascii="David" w:hAnsi="David"/>
          <w:rtl/>
        </w:rPr>
        <w:t xml:space="preserve"> לחוק. על רקע סכסוך שכנים מתמשך ירה הנאשם לעבר השכנים מסמרים וברגים אמצעות רוגטקה, וכן דרך במרפסת ביתו אקדח מסוג "פארבלום" אותו החזיק ברישיון, וירה לאוויר 2 כדורים. נקבע מתחם עונש הולם הנע בין מאסר לריצוי בדרך של עבודות שירות לבין מספר חודשי מאסר בפועל. על הנאשם, נעדר עבר פלילי, הוטלו 3 חודשי מאסר בעבודות שירות ומאסר מותנה. </w:t>
      </w:r>
    </w:p>
    <w:p w14:paraId="16DCBF66" w14:textId="77777777" w:rsidR="005B0392" w:rsidRDefault="005B0392" w:rsidP="005B0392">
      <w:pPr>
        <w:spacing w:line="360" w:lineRule="auto"/>
        <w:ind w:left="1440" w:hanging="720"/>
        <w:jc w:val="both"/>
        <w:rPr>
          <w:rFonts w:ascii="David" w:hAnsi="David"/>
          <w:rtl/>
        </w:rPr>
      </w:pPr>
    </w:p>
    <w:p w14:paraId="2DA75A96" w14:textId="77777777" w:rsidR="005B0392" w:rsidRDefault="005B0392" w:rsidP="005B0392">
      <w:pPr>
        <w:spacing w:line="360" w:lineRule="auto"/>
        <w:ind w:left="1440" w:hanging="720"/>
        <w:jc w:val="both"/>
        <w:rPr>
          <w:rFonts w:ascii="David" w:hAnsi="David"/>
          <w:rtl/>
        </w:rPr>
      </w:pPr>
    </w:p>
    <w:p w14:paraId="084AFE9E" w14:textId="77777777" w:rsidR="005B0392" w:rsidRDefault="005B0392" w:rsidP="005B0392">
      <w:pPr>
        <w:spacing w:line="360" w:lineRule="auto"/>
        <w:ind w:left="1440" w:hanging="720"/>
        <w:jc w:val="both"/>
        <w:rPr>
          <w:rFonts w:ascii="David" w:hAnsi="David"/>
          <w:rtl/>
        </w:rPr>
      </w:pPr>
    </w:p>
    <w:p w14:paraId="4016A9DF" w14:textId="77777777" w:rsidR="005B0392" w:rsidRDefault="005B0392" w:rsidP="005B0392">
      <w:pPr>
        <w:spacing w:line="360" w:lineRule="auto"/>
        <w:ind w:left="1440" w:hanging="720"/>
        <w:jc w:val="both"/>
        <w:rPr>
          <w:rFonts w:ascii="David" w:hAnsi="David"/>
          <w:rtl/>
        </w:rPr>
      </w:pPr>
      <w:r>
        <w:rPr>
          <w:rFonts w:ascii="David" w:hAnsi="David"/>
          <w:rtl/>
        </w:rPr>
        <w:t>ה.</w:t>
      </w:r>
      <w:r>
        <w:rPr>
          <w:rFonts w:ascii="David" w:hAnsi="David"/>
          <w:rtl/>
        </w:rPr>
        <w:tab/>
      </w:r>
      <w:r>
        <w:rPr>
          <w:rFonts w:ascii="David" w:hAnsi="David"/>
          <w:b/>
          <w:bCs/>
          <w:rtl/>
        </w:rPr>
        <w:t xml:space="preserve">בת"פ (שלום נצרת) 3569/05 מדינת ישראל נ' דחלה סאמר </w:t>
      </w:r>
      <w:r>
        <w:rPr>
          <w:rFonts w:ascii="David" w:hAnsi="David"/>
          <w:rtl/>
        </w:rPr>
        <w:t xml:space="preserve">(13.06.2007) הורשע נאשם על יסוד הודאתו בחבלה במזיד – עבירה לפי סעיף </w:t>
      </w:r>
      <w:hyperlink r:id="rId56" w:history="1">
        <w:r w:rsidR="00AE2BE6" w:rsidRPr="00AE2BE6">
          <w:rPr>
            <w:rStyle w:val="Hyperlink"/>
            <w:rFonts w:ascii="David" w:hAnsi="David"/>
            <w:color w:val="0000FF"/>
            <w:rtl/>
          </w:rPr>
          <w:t>413 ה'</w:t>
        </w:r>
      </w:hyperlink>
      <w:r>
        <w:rPr>
          <w:rFonts w:ascii="David" w:hAnsi="David"/>
          <w:rtl/>
        </w:rPr>
        <w:t xml:space="preserve"> ל</w:t>
      </w:r>
      <w:hyperlink r:id="rId57" w:history="1">
        <w:r w:rsidR="00392CB5" w:rsidRPr="00392CB5">
          <w:rPr>
            <w:rFonts w:ascii="David" w:hAnsi="David"/>
            <w:color w:val="0000FF"/>
            <w:u w:val="single"/>
            <w:rtl/>
          </w:rPr>
          <w:t>חוק העונשין</w:t>
        </w:r>
      </w:hyperlink>
      <w:r>
        <w:rPr>
          <w:rFonts w:ascii="David" w:hAnsi="David"/>
          <w:rtl/>
        </w:rPr>
        <w:t xml:space="preserve"> ובעבירה של ירי מנשק חם באזור מגורים לפי </w:t>
      </w:r>
      <w:hyperlink r:id="rId58" w:history="1">
        <w:r w:rsidR="00AE2BE6" w:rsidRPr="00AE2BE6">
          <w:rPr>
            <w:rStyle w:val="Hyperlink"/>
            <w:rFonts w:ascii="David" w:hAnsi="David"/>
            <w:color w:val="0000FF"/>
            <w:rtl/>
          </w:rPr>
          <w:t>סעיף 340(א)</w:t>
        </w:r>
      </w:hyperlink>
      <w:r>
        <w:rPr>
          <w:rFonts w:ascii="David" w:hAnsi="David"/>
          <w:rtl/>
        </w:rPr>
        <w:t xml:space="preserve"> לחוק. על רקע קיומו של מסע בחירות בו התמודדו פעילים ממשפחתו של הנאשם מול משפחה יריבה, פגע באמצעות רכבו ברכב אחר, הוציא מרכבו רובה ציד אותו הוא נושא ברישיון, וירה עמו באוויר כדור אחד. הצדדים הציגו "הסדר טווח" במסגרתו הגבילה עצמה המאשימה לעונש של מאסר בפועל לריצוי בעבודות שירות לצד ענישה נלווית. על הנאשם, בעל עבר פלילי ישן, הוטלו מאסר מותנה וקנס בסך 2,000 ₪</w:t>
      </w:r>
      <w:r>
        <w:rPr>
          <w:rFonts w:ascii="David" w:hAnsi="David" w:hint="cs"/>
          <w:rtl/>
        </w:rPr>
        <w:t>.</w:t>
      </w:r>
    </w:p>
    <w:p w14:paraId="407FABE0" w14:textId="77777777" w:rsidR="005B0392" w:rsidRDefault="005B0392" w:rsidP="005B0392">
      <w:pPr>
        <w:spacing w:line="360" w:lineRule="auto"/>
        <w:ind w:left="1440" w:hanging="720"/>
        <w:jc w:val="both"/>
        <w:rPr>
          <w:rFonts w:ascii="David" w:hAnsi="David"/>
          <w:rtl/>
        </w:rPr>
      </w:pPr>
    </w:p>
    <w:p w14:paraId="7CF17E5F" w14:textId="77777777" w:rsidR="005B0392" w:rsidRDefault="005B0392" w:rsidP="005B0392">
      <w:pPr>
        <w:spacing w:line="360" w:lineRule="auto"/>
        <w:ind w:left="720" w:hanging="720"/>
        <w:jc w:val="both"/>
        <w:rPr>
          <w:rFonts w:ascii="David" w:hAnsi="David"/>
          <w:rtl/>
        </w:rPr>
      </w:pPr>
      <w:r>
        <w:rPr>
          <w:rFonts w:ascii="David" w:hAnsi="David"/>
          <w:rtl/>
        </w:rPr>
        <w:t>21.</w:t>
      </w:r>
      <w:r>
        <w:rPr>
          <w:rFonts w:ascii="David" w:hAnsi="David"/>
          <w:rtl/>
        </w:rPr>
        <w:tab/>
      </w:r>
      <w:r>
        <w:rPr>
          <w:rFonts w:ascii="David" w:hAnsi="David"/>
          <w:b/>
          <w:bCs/>
          <w:rtl/>
        </w:rPr>
        <w:t>יוער כי מרבית הפסיקה אליה הפנתה ההגנה מתייחסת לענישה טרם תיקון 134 ל</w:t>
      </w:r>
      <w:hyperlink r:id="rId59" w:history="1">
        <w:r w:rsidR="00392CB5" w:rsidRPr="00392CB5">
          <w:rPr>
            <w:rFonts w:ascii="David" w:hAnsi="David"/>
            <w:b/>
            <w:bCs/>
            <w:color w:val="0000FF"/>
            <w:u w:val="single"/>
            <w:rtl/>
          </w:rPr>
          <w:t>חוק העונשין</w:t>
        </w:r>
      </w:hyperlink>
      <w:r>
        <w:rPr>
          <w:rFonts w:ascii="David" w:hAnsi="David"/>
          <w:b/>
          <w:bCs/>
          <w:rtl/>
        </w:rPr>
        <w:t xml:space="preserve"> שכאמור הגדיל את העונש המרבי בעבירת ירי משנת מאסר ל-5 שנות מאסר.</w:t>
      </w:r>
      <w:r>
        <w:rPr>
          <w:rFonts w:ascii="David" w:hAnsi="David"/>
          <w:rtl/>
        </w:rPr>
        <w:t xml:space="preserve"> </w:t>
      </w:r>
    </w:p>
    <w:p w14:paraId="578A0616" w14:textId="77777777" w:rsidR="005B0392" w:rsidRDefault="005B0392" w:rsidP="005B0392">
      <w:pPr>
        <w:spacing w:line="360" w:lineRule="auto"/>
        <w:ind w:left="720" w:hanging="720"/>
        <w:jc w:val="both"/>
        <w:rPr>
          <w:rFonts w:ascii="David" w:hAnsi="David"/>
          <w:rtl/>
        </w:rPr>
      </w:pPr>
    </w:p>
    <w:p w14:paraId="65185255" w14:textId="77777777" w:rsidR="005B0392" w:rsidRDefault="005B0392" w:rsidP="005B0392">
      <w:pPr>
        <w:spacing w:line="360" w:lineRule="auto"/>
        <w:ind w:left="720" w:hanging="720"/>
        <w:jc w:val="both"/>
        <w:rPr>
          <w:rFonts w:ascii="David" w:hAnsi="David"/>
          <w:b/>
          <w:bCs/>
          <w:rtl/>
        </w:rPr>
      </w:pPr>
      <w:r>
        <w:rPr>
          <w:rFonts w:ascii="David" w:hAnsi="David"/>
          <w:rtl/>
        </w:rPr>
        <w:tab/>
      </w:r>
      <w:r>
        <w:rPr>
          <w:rFonts w:ascii="David" w:hAnsi="David"/>
          <w:b/>
          <w:bCs/>
          <w:rtl/>
        </w:rPr>
        <w:t xml:space="preserve">מנגד, הפסיקה אליה הפנתה המאשימה התייחסה לעבירות הירי בצירוף עבירות חמורות יותר – עבירות בנשק (החזקה, נשיאה והובלה וסחר). </w:t>
      </w:r>
    </w:p>
    <w:p w14:paraId="711B66A2" w14:textId="77777777" w:rsidR="005B0392" w:rsidRDefault="005B0392" w:rsidP="005B0392">
      <w:pPr>
        <w:spacing w:line="360" w:lineRule="auto"/>
        <w:ind w:left="720" w:hanging="720"/>
        <w:jc w:val="both"/>
        <w:rPr>
          <w:rFonts w:ascii="David" w:hAnsi="David"/>
          <w:b/>
          <w:bCs/>
          <w:rtl/>
        </w:rPr>
      </w:pPr>
    </w:p>
    <w:p w14:paraId="433D5A4D" w14:textId="77777777" w:rsidR="005B0392" w:rsidRDefault="005B0392" w:rsidP="005B0392">
      <w:pPr>
        <w:spacing w:line="360" w:lineRule="auto"/>
        <w:jc w:val="both"/>
        <w:rPr>
          <w:rFonts w:ascii="David" w:hAnsi="David"/>
          <w:b/>
          <w:bCs/>
          <w:rtl/>
        </w:rPr>
      </w:pPr>
      <w:r>
        <w:rPr>
          <w:rFonts w:ascii="David" w:hAnsi="David"/>
          <w:b/>
          <w:bCs/>
          <w:rtl/>
        </w:rPr>
        <w:t>נסיבות ביצוע העביר</w:t>
      </w:r>
      <w:r>
        <w:rPr>
          <w:rFonts w:ascii="David" w:hAnsi="David" w:hint="cs"/>
          <w:b/>
          <w:bCs/>
          <w:rtl/>
        </w:rPr>
        <w:t>ות</w:t>
      </w:r>
      <w:r>
        <w:rPr>
          <w:rFonts w:ascii="David" w:hAnsi="David"/>
          <w:b/>
          <w:bCs/>
          <w:rtl/>
        </w:rPr>
        <w:t>:</w:t>
      </w:r>
    </w:p>
    <w:p w14:paraId="23BE02C8" w14:textId="77777777" w:rsidR="005B0392" w:rsidRDefault="005B0392" w:rsidP="005B0392">
      <w:pPr>
        <w:spacing w:line="360" w:lineRule="auto"/>
        <w:jc w:val="both"/>
        <w:rPr>
          <w:rFonts w:ascii="David" w:hAnsi="David"/>
          <w:b/>
          <w:bCs/>
          <w:rtl/>
        </w:rPr>
      </w:pPr>
    </w:p>
    <w:p w14:paraId="4B7D7F15" w14:textId="77777777" w:rsidR="005B0392" w:rsidRDefault="005B0392" w:rsidP="005B0392">
      <w:pPr>
        <w:spacing w:line="360" w:lineRule="auto"/>
        <w:ind w:left="720" w:hanging="720"/>
        <w:jc w:val="both"/>
        <w:rPr>
          <w:rFonts w:ascii="David" w:hAnsi="David"/>
          <w:rtl/>
        </w:rPr>
      </w:pPr>
      <w:r>
        <w:rPr>
          <w:rFonts w:ascii="David" w:hAnsi="David"/>
          <w:rtl/>
        </w:rPr>
        <w:t>22.</w:t>
      </w:r>
      <w:r>
        <w:rPr>
          <w:rFonts w:ascii="David" w:hAnsi="David"/>
          <w:rtl/>
        </w:rPr>
        <w:tab/>
        <w:t>חומרת נסיבות ביצוע עבירת הירי בענייננו כפולה, שכן הנאשם לא רק שירה באזור מגורים  אלא גם עשה זאת כאמצעי "לישוב" סכסוך בכוח הזרוע.</w:t>
      </w:r>
    </w:p>
    <w:p w14:paraId="28812CF6" w14:textId="77777777" w:rsidR="005B0392" w:rsidRDefault="005B0392" w:rsidP="005B0392">
      <w:pPr>
        <w:spacing w:line="360" w:lineRule="auto"/>
        <w:ind w:left="720" w:hanging="720"/>
        <w:jc w:val="both"/>
        <w:rPr>
          <w:rFonts w:ascii="David" w:hAnsi="David"/>
          <w:rtl/>
        </w:rPr>
      </w:pPr>
    </w:p>
    <w:p w14:paraId="7EA69528" w14:textId="77777777" w:rsidR="005B0392" w:rsidRDefault="005B0392" w:rsidP="005B0392">
      <w:pPr>
        <w:spacing w:line="360" w:lineRule="auto"/>
        <w:ind w:left="720" w:hanging="720"/>
        <w:jc w:val="both"/>
        <w:rPr>
          <w:rFonts w:ascii="David" w:hAnsi="David"/>
          <w:rtl/>
        </w:rPr>
      </w:pPr>
      <w:r>
        <w:rPr>
          <w:rFonts w:ascii="David" w:hAnsi="David"/>
          <w:rtl/>
        </w:rPr>
        <w:tab/>
        <w:t xml:space="preserve">זאת ועוד, הנאשם בחר לירות סמוך לבית המתלוננים ובכך הגדיל משמעותית את פוטנציאל הפגיעה ביושבי הבית ובעוברי אורח תמימים. יודגש כי הנאשם לא הסתפק בירי בודד, החמור כשלעצמו, אלא ירה מספר יריות. </w:t>
      </w:r>
    </w:p>
    <w:p w14:paraId="57B51DC9" w14:textId="77777777" w:rsidR="005B0392" w:rsidRDefault="005B0392" w:rsidP="005B0392">
      <w:pPr>
        <w:spacing w:line="360" w:lineRule="auto"/>
        <w:ind w:left="720" w:hanging="720"/>
        <w:jc w:val="both"/>
        <w:rPr>
          <w:rFonts w:ascii="David" w:hAnsi="David"/>
          <w:rtl/>
        </w:rPr>
      </w:pPr>
    </w:p>
    <w:p w14:paraId="5A448468" w14:textId="77777777" w:rsidR="005B0392" w:rsidRDefault="005B0392" w:rsidP="005B0392">
      <w:pPr>
        <w:spacing w:line="360" w:lineRule="auto"/>
        <w:ind w:left="720" w:hanging="720"/>
        <w:jc w:val="both"/>
        <w:rPr>
          <w:rFonts w:ascii="David" w:hAnsi="David"/>
          <w:rtl/>
        </w:rPr>
      </w:pPr>
      <w:r>
        <w:rPr>
          <w:rFonts w:ascii="David" w:hAnsi="David"/>
          <w:rtl/>
        </w:rPr>
        <w:t>23.</w:t>
      </w:r>
      <w:r>
        <w:rPr>
          <w:rFonts w:ascii="David" w:hAnsi="David"/>
          <w:rtl/>
        </w:rPr>
        <w:tab/>
        <w:t>עבירת הירי בוצעה לאחר תכנון מסוים, שכן בתחילת האירוע איים הנאשם על המתלונן 1 כי ירה בו, ובחלוף כ- 10 דקות מהשמעת האיום, הצטייד באקדח לא לו וממש  את איומו.</w:t>
      </w:r>
    </w:p>
    <w:p w14:paraId="11986233" w14:textId="77777777" w:rsidR="005B0392" w:rsidRDefault="005B0392" w:rsidP="005B0392">
      <w:pPr>
        <w:spacing w:line="360" w:lineRule="auto"/>
        <w:ind w:left="720" w:hanging="720"/>
        <w:jc w:val="both"/>
        <w:rPr>
          <w:rFonts w:ascii="David" w:hAnsi="David"/>
          <w:rtl/>
        </w:rPr>
      </w:pPr>
    </w:p>
    <w:p w14:paraId="1DFBFEE5" w14:textId="77777777" w:rsidR="005B0392" w:rsidRDefault="005B0392" w:rsidP="005B0392">
      <w:pPr>
        <w:spacing w:line="360" w:lineRule="auto"/>
        <w:ind w:left="720" w:hanging="720"/>
        <w:jc w:val="both"/>
        <w:rPr>
          <w:rFonts w:ascii="David" w:hAnsi="David"/>
          <w:rtl/>
        </w:rPr>
      </w:pPr>
      <w:r>
        <w:rPr>
          <w:rFonts w:ascii="David" w:hAnsi="David"/>
          <w:rtl/>
        </w:rPr>
        <w:t>24.</w:t>
      </w:r>
      <w:r>
        <w:rPr>
          <w:rFonts w:ascii="David" w:hAnsi="David"/>
          <w:rtl/>
        </w:rPr>
        <w:tab/>
        <w:t xml:space="preserve">עובדות כתב האישום מצביעות על הסלמה בהתנהגותו של הנאשם עת איומים מילוליים הופכים במהרה ובאימפולסיביות למעשה. הנאשם יכול היה לחדול מהתנהגותו האלימה, אך בחר להחמירה. גם לאחר הירי, המשיך הנאשם לאיים, והפעם על המתלונן 2 שרק בקש להבין את פשר התנהגותו. </w:t>
      </w:r>
    </w:p>
    <w:p w14:paraId="676E4BCA" w14:textId="77777777" w:rsidR="005B0392" w:rsidRDefault="005B0392" w:rsidP="005B0392">
      <w:pPr>
        <w:spacing w:line="360" w:lineRule="auto"/>
        <w:ind w:left="720" w:hanging="720"/>
        <w:jc w:val="both"/>
        <w:rPr>
          <w:rFonts w:ascii="David" w:hAnsi="David"/>
          <w:rtl/>
        </w:rPr>
      </w:pPr>
    </w:p>
    <w:p w14:paraId="0D5E71DB" w14:textId="77777777" w:rsidR="005B0392" w:rsidRDefault="005B0392" w:rsidP="005B0392">
      <w:pPr>
        <w:spacing w:line="360" w:lineRule="auto"/>
        <w:ind w:left="720" w:hanging="720"/>
        <w:jc w:val="both"/>
        <w:rPr>
          <w:rFonts w:ascii="David" w:hAnsi="David"/>
          <w:rtl/>
        </w:rPr>
      </w:pPr>
      <w:r>
        <w:rPr>
          <w:rFonts w:ascii="David" w:hAnsi="David"/>
          <w:rtl/>
        </w:rPr>
        <w:t>25.</w:t>
      </w:r>
      <w:r>
        <w:rPr>
          <w:rFonts w:ascii="David" w:hAnsi="David"/>
          <w:rtl/>
        </w:rPr>
        <w:tab/>
        <w:t xml:space="preserve">יודגש כי במעשה הירי פגע הנאשם לא רק בתחושת הביטחון האישית של המתלוננים, אלא  גם בתחושת הביטחון של ציבור גדול אשר מן הסתם שמע את קולות הירי. צודקת המאשימה בטיעוניה כי במעשיו זרע הנאשם פחד, דאגה ופגיעה בשלוות הציבור. </w:t>
      </w:r>
    </w:p>
    <w:p w14:paraId="7B42A07E" w14:textId="77777777" w:rsidR="005B0392" w:rsidRDefault="005B0392" w:rsidP="005B0392">
      <w:pPr>
        <w:spacing w:line="360" w:lineRule="auto"/>
        <w:ind w:left="720" w:hanging="720"/>
        <w:jc w:val="both"/>
        <w:rPr>
          <w:rFonts w:ascii="David" w:hAnsi="David"/>
          <w:rtl/>
        </w:rPr>
      </w:pPr>
    </w:p>
    <w:p w14:paraId="4613FBFB" w14:textId="77777777" w:rsidR="005B0392" w:rsidRDefault="005B0392" w:rsidP="005B0392">
      <w:pPr>
        <w:spacing w:line="360" w:lineRule="auto"/>
        <w:ind w:left="720" w:hanging="720"/>
        <w:jc w:val="both"/>
        <w:rPr>
          <w:rFonts w:ascii="David" w:hAnsi="David"/>
          <w:rtl/>
        </w:rPr>
      </w:pPr>
      <w:r>
        <w:rPr>
          <w:rFonts w:ascii="David" w:hAnsi="David"/>
          <w:rtl/>
        </w:rPr>
        <w:t>26.</w:t>
      </w:r>
      <w:r>
        <w:rPr>
          <w:rFonts w:ascii="David" w:hAnsi="David"/>
          <w:rtl/>
        </w:rPr>
        <w:tab/>
        <w:t xml:space="preserve">כאמור הנאשם הורשע גם בעבירת איומים, ונסיבות ביצועה בענייננו אף הן חמורות, שכן מדובר באיומים על חייו של אדם ושלימות גופו, ובנוסף  הופנו כלפי בני משפחה. </w:t>
      </w:r>
    </w:p>
    <w:p w14:paraId="07B6AFEB" w14:textId="77777777" w:rsidR="005B0392" w:rsidRDefault="005B0392" w:rsidP="005B0392">
      <w:pPr>
        <w:spacing w:line="360" w:lineRule="auto"/>
        <w:ind w:left="720" w:hanging="720"/>
        <w:jc w:val="both"/>
        <w:rPr>
          <w:rFonts w:ascii="David" w:hAnsi="David"/>
          <w:rtl/>
        </w:rPr>
      </w:pPr>
    </w:p>
    <w:p w14:paraId="068774C9" w14:textId="77777777" w:rsidR="005B0392" w:rsidRDefault="005B0392" w:rsidP="005B0392">
      <w:pPr>
        <w:spacing w:line="360" w:lineRule="auto"/>
        <w:ind w:left="720" w:hanging="720"/>
        <w:jc w:val="both"/>
        <w:rPr>
          <w:rFonts w:ascii="David" w:hAnsi="David"/>
          <w:rtl/>
        </w:rPr>
      </w:pPr>
      <w:r>
        <w:rPr>
          <w:rFonts w:ascii="David" w:hAnsi="David"/>
          <w:rtl/>
        </w:rPr>
        <w:t>27.</w:t>
      </w:r>
      <w:r>
        <w:rPr>
          <w:rFonts w:ascii="David" w:hAnsi="David"/>
          <w:rtl/>
        </w:rPr>
        <w:tab/>
        <w:t>העבירות בהן הורשע, בוצעו על ידי הנאשם בשעת הצהריים, בתעוזה, תוך שניכר שאינו ירא מגורמי אכיפת החוק. התנהגות הנאשם באירוע מלמדת על דפוסים אלימים ואימפולסיביים. לא ניתן להישאר אדישים לקלות המבעיתה של שימוש בנשק חם כדי לפתור סכסוכים.</w:t>
      </w:r>
    </w:p>
    <w:p w14:paraId="1597EF28" w14:textId="77777777" w:rsidR="005B0392" w:rsidRDefault="005B0392" w:rsidP="005B0392">
      <w:pPr>
        <w:spacing w:line="360" w:lineRule="auto"/>
        <w:ind w:left="720" w:hanging="720"/>
        <w:jc w:val="both"/>
        <w:rPr>
          <w:rFonts w:ascii="David" w:hAnsi="David"/>
          <w:rtl/>
        </w:rPr>
      </w:pPr>
    </w:p>
    <w:p w14:paraId="00BE847D" w14:textId="77777777" w:rsidR="005B0392" w:rsidRDefault="005B0392" w:rsidP="005B0392">
      <w:pPr>
        <w:spacing w:line="360" w:lineRule="auto"/>
        <w:ind w:left="720" w:hanging="720"/>
        <w:jc w:val="both"/>
        <w:rPr>
          <w:rFonts w:ascii="David" w:hAnsi="David"/>
          <w:b/>
          <w:bCs/>
          <w:rtl/>
        </w:rPr>
      </w:pPr>
      <w:r>
        <w:rPr>
          <w:rFonts w:ascii="David" w:hAnsi="David"/>
          <w:rtl/>
        </w:rPr>
        <w:t>28.</w:t>
      </w:r>
      <w:r>
        <w:rPr>
          <w:rFonts w:ascii="David" w:hAnsi="David"/>
          <w:rtl/>
        </w:rPr>
        <w:tab/>
      </w:r>
      <w:r>
        <w:rPr>
          <w:rFonts w:ascii="David" w:hAnsi="David"/>
          <w:b/>
          <w:bCs/>
          <w:rtl/>
        </w:rPr>
        <w:t>מכל המקובץ לעיל ולאחר שעיינתי גם בפסיקה אליה הפנו באי כוח הצדדים, סבורני כי מתחם העונש ההולם בגין העבירות בהן הורשע הנאשם בנסיבותיהן, נע בין 14 ל- 20 חודשי מאסר בפועל לצד מאסר על תנאי, קנס ופיצוי.</w:t>
      </w:r>
    </w:p>
    <w:p w14:paraId="27ED504E" w14:textId="77777777" w:rsidR="005B0392" w:rsidRDefault="005B0392" w:rsidP="005B0392">
      <w:pPr>
        <w:spacing w:line="360" w:lineRule="auto"/>
        <w:ind w:left="720" w:hanging="720"/>
        <w:jc w:val="both"/>
        <w:rPr>
          <w:rFonts w:ascii="David" w:hAnsi="David"/>
          <w:b/>
          <w:bCs/>
          <w:rtl/>
        </w:rPr>
      </w:pPr>
    </w:p>
    <w:p w14:paraId="562E9036" w14:textId="77777777" w:rsidR="005B0392" w:rsidRDefault="005B0392" w:rsidP="005B0392">
      <w:pPr>
        <w:spacing w:line="360" w:lineRule="auto"/>
        <w:ind w:left="720"/>
        <w:jc w:val="both"/>
        <w:rPr>
          <w:rFonts w:ascii="David" w:hAnsi="David"/>
          <w:rtl/>
        </w:rPr>
      </w:pPr>
      <w:r>
        <w:rPr>
          <w:rFonts w:ascii="David" w:hAnsi="David"/>
          <w:rtl/>
        </w:rPr>
        <w:t xml:space="preserve">אינני מקבל את עמדת ההגנה כי ניתן להסתפק בענייננו במתחם ענישה שרצפתו במספר חודשי מאסר שיכול וירוצו בעבודות שירות, שכן מתחם מוצע זה אינו עומד בהלימה למעשה ולמידת הפגיעה בערכים המוגנים, ולדידי אין בו כדי לתן מענה ראוי לשיקולי הגמול, הרתעת היחיד והרבים והוא עלול חלילה לנרמל התנהגות כגון דא. </w:t>
      </w:r>
    </w:p>
    <w:p w14:paraId="535F3EB8" w14:textId="77777777" w:rsidR="005B0392" w:rsidRDefault="005B0392" w:rsidP="005B0392">
      <w:pPr>
        <w:spacing w:line="360" w:lineRule="auto"/>
        <w:ind w:left="720"/>
        <w:jc w:val="both"/>
        <w:rPr>
          <w:rFonts w:ascii="David" w:hAnsi="David"/>
          <w:rtl/>
        </w:rPr>
      </w:pPr>
    </w:p>
    <w:p w14:paraId="07F60BF0" w14:textId="77777777" w:rsidR="005B0392" w:rsidRDefault="005B0392" w:rsidP="005B0392">
      <w:pPr>
        <w:spacing w:line="360" w:lineRule="auto"/>
        <w:ind w:left="720"/>
        <w:jc w:val="both"/>
        <w:rPr>
          <w:rFonts w:ascii="David" w:hAnsi="David"/>
          <w:rtl/>
        </w:rPr>
      </w:pPr>
      <w:r>
        <w:rPr>
          <w:rFonts w:ascii="David" w:hAnsi="David"/>
          <w:rtl/>
        </w:rPr>
        <w:t xml:space="preserve">מדיניות ענישה ההולמת את חומרת עבירת הירי במקום מגורים כאמצעי ליישוב סכסוך כבענייננו, חייבת לכלול ענישה מוחשית ומרתיעה בדמות מאסר מאחורי סורג ובריח. </w:t>
      </w:r>
    </w:p>
    <w:p w14:paraId="0534A9AB" w14:textId="77777777" w:rsidR="005B0392" w:rsidRDefault="005B0392" w:rsidP="005B0392">
      <w:pPr>
        <w:spacing w:line="360" w:lineRule="auto"/>
        <w:ind w:left="720"/>
        <w:jc w:val="both"/>
        <w:rPr>
          <w:rFonts w:ascii="David" w:hAnsi="David"/>
          <w:rtl/>
        </w:rPr>
      </w:pPr>
    </w:p>
    <w:p w14:paraId="505DB06E" w14:textId="77777777" w:rsidR="005B0392" w:rsidRDefault="005B0392" w:rsidP="005B0392">
      <w:pPr>
        <w:spacing w:line="360" w:lineRule="auto"/>
        <w:ind w:left="720"/>
        <w:jc w:val="both"/>
        <w:rPr>
          <w:rFonts w:ascii="David" w:hAnsi="David"/>
          <w:rtl/>
        </w:rPr>
      </w:pPr>
      <w:r>
        <w:rPr>
          <w:rFonts w:ascii="David" w:hAnsi="David"/>
          <w:rtl/>
        </w:rPr>
        <w:t xml:space="preserve">בהקשר לאמור ראה גם דברי בית המשפט העליון </w:t>
      </w:r>
      <w:r>
        <w:rPr>
          <w:rFonts w:ascii="David" w:hAnsi="David"/>
          <w:b/>
          <w:bCs/>
          <w:rtl/>
        </w:rPr>
        <w:t>בפס"ד סובח</w:t>
      </w:r>
      <w:r>
        <w:rPr>
          <w:rFonts w:ascii="David" w:hAnsi="David"/>
          <w:rtl/>
        </w:rPr>
        <w:t xml:space="preserve"> המוזכר לעיל:</w:t>
      </w:r>
    </w:p>
    <w:p w14:paraId="3546455A" w14:textId="77777777" w:rsidR="005B0392" w:rsidRDefault="005B0392" w:rsidP="005B0392">
      <w:pPr>
        <w:spacing w:line="360" w:lineRule="auto"/>
        <w:ind w:left="720"/>
        <w:jc w:val="both"/>
        <w:rPr>
          <w:rFonts w:ascii="David" w:hAnsi="David"/>
          <w:rtl/>
        </w:rPr>
      </w:pPr>
    </w:p>
    <w:p w14:paraId="63DF5BEB" w14:textId="77777777" w:rsidR="005B0392" w:rsidRDefault="005B0392" w:rsidP="005B0392">
      <w:pPr>
        <w:spacing w:line="360" w:lineRule="auto"/>
        <w:ind w:left="1502" w:right="1701"/>
        <w:jc w:val="both"/>
        <w:rPr>
          <w:rFonts w:ascii="David" w:hAnsi="David"/>
          <w:b/>
          <w:bCs/>
          <w:rtl/>
        </w:rPr>
      </w:pPr>
      <w:r>
        <w:rPr>
          <w:rFonts w:ascii="David" w:hAnsi="David"/>
          <w:b/>
          <w:bCs/>
          <w:rtl/>
        </w:rPr>
        <w:t>"אולם, 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ליחס להן".</w:t>
      </w:r>
    </w:p>
    <w:p w14:paraId="0AD6387E" w14:textId="77777777" w:rsidR="005B0392" w:rsidRDefault="005B0392" w:rsidP="005B0392">
      <w:pPr>
        <w:spacing w:line="360" w:lineRule="auto"/>
        <w:ind w:left="1502" w:right="1701"/>
        <w:jc w:val="both"/>
        <w:rPr>
          <w:rFonts w:ascii="David" w:hAnsi="David"/>
          <w:b/>
          <w:bCs/>
          <w:rtl/>
        </w:rPr>
      </w:pPr>
    </w:p>
    <w:p w14:paraId="5741DF63" w14:textId="77777777" w:rsidR="005B0392" w:rsidRDefault="005B0392" w:rsidP="005B0392">
      <w:pPr>
        <w:spacing w:line="360" w:lineRule="auto"/>
        <w:ind w:left="1502" w:right="1701"/>
        <w:jc w:val="both"/>
        <w:rPr>
          <w:rFonts w:ascii="David" w:hAnsi="David"/>
          <w:b/>
          <w:bCs/>
          <w:rtl/>
        </w:rPr>
      </w:pPr>
    </w:p>
    <w:p w14:paraId="1523B9DA" w14:textId="77777777" w:rsidR="005B0392" w:rsidRDefault="005B0392" w:rsidP="005B0392">
      <w:pPr>
        <w:spacing w:line="360" w:lineRule="auto"/>
        <w:ind w:left="1502" w:right="1701"/>
        <w:jc w:val="both"/>
        <w:rPr>
          <w:rFonts w:ascii="David" w:hAnsi="David"/>
          <w:b/>
          <w:bCs/>
          <w:rtl/>
        </w:rPr>
      </w:pPr>
    </w:p>
    <w:p w14:paraId="169D8E5B" w14:textId="77777777" w:rsidR="005B0392" w:rsidRDefault="005B0392" w:rsidP="005B0392">
      <w:pPr>
        <w:spacing w:line="360" w:lineRule="auto"/>
        <w:ind w:left="720" w:hanging="720"/>
        <w:jc w:val="both"/>
        <w:rPr>
          <w:rFonts w:ascii="David" w:hAnsi="David"/>
          <w:rtl/>
        </w:rPr>
      </w:pPr>
      <w:r>
        <w:rPr>
          <w:rFonts w:ascii="David" w:hAnsi="David"/>
          <w:rtl/>
        </w:rPr>
        <w:t>29.</w:t>
      </w:r>
      <w:r>
        <w:rPr>
          <w:rFonts w:ascii="David" w:hAnsi="David"/>
          <w:rtl/>
        </w:rPr>
        <w:tab/>
        <w:t xml:space="preserve">אשר למתחם הקנס ההולם, ומאחר שבבסיס השימוש שעשה הנאשם באקדח עמד סכסוך כלכלי, על הענישה לכלול גם קנס כספי שימנע כל טובת הנאה מעבריין ויהפוך את העבירה ללא כדאית גם מבחינה כלכלית. ההגנה לא </w:t>
      </w:r>
      <w:r>
        <w:rPr>
          <w:rFonts w:ascii="David" w:hAnsi="David" w:hint="cs"/>
          <w:rtl/>
        </w:rPr>
        <w:t xml:space="preserve">הציגה </w:t>
      </w:r>
      <w:r>
        <w:rPr>
          <w:rFonts w:ascii="David" w:hAnsi="David"/>
          <w:rtl/>
        </w:rPr>
        <w:t xml:space="preserve">אסמכתאות אודות מצבו הכלכלי של הנאשם והותירה את גובה הקנס לשיקול דעת בית המשפט. </w:t>
      </w:r>
    </w:p>
    <w:p w14:paraId="356AE857" w14:textId="77777777" w:rsidR="005B0392" w:rsidRDefault="005B0392" w:rsidP="005B0392">
      <w:pPr>
        <w:spacing w:line="360" w:lineRule="auto"/>
        <w:ind w:left="720" w:hanging="720"/>
        <w:jc w:val="both"/>
        <w:rPr>
          <w:rFonts w:ascii="David" w:hAnsi="David"/>
          <w:rtl/>
        </w:rPr>
      </w:pPr>
    </w:p>
    <w:p w14:paraId="61601CAF" w14:textId="77777777" w:rsidR="005B0392" w:rsidRDefault="005B0392" w:rsidP="005B0392">
      <w:pPr>
        <w:spacing w:line="360" w:lineRule="auto"/>
        <w:ind w:left="720" w:hanging="720"/>
        <w:jc w:val="both"/>
        <w:rPr>
          <w:rFonts w:ascii="David" w:hAnsi="David"/>
          <w:rtl/>
        </w:rPr>
      </w:pPr>
      <w:r>
        <w:rPr>
          <w:rFonts w:ascii="David" w:hAnsi="David"/>
          <w:rtl/>
        </w:rPr>
        <w:tab/>
        <w:t>לאחר שעיינתי בפסיקה, הנני קובע כי מתחם הקנס בענייננו נע בין 6,000 ל- 12,000 ₪.</w:t>
      </w:r>
    </w:p>
    <w:p w14:paraId="3F393F90" w14:textId="77777777" w:rsidR="005B0392" w:rsidRDefault="005B0392" w:rsidP="005B0392">
      <w:pPr>
        <w:spacing w:line="360" w:lineRule="auto"/>
        <w:ind w:left="720" w:hanging="720"/>
        <w:jc w:val="both"/>
        <w:rPr>
          <w:rFonts w:ascii="David" w:hAnsi="David"/>
          <w:rtl/>
        </w:rPr>
      </w:pPr>
    </w:p>
    <w:p w14:paraId="124856ED" w14:textId="77777777" w:rsidR="005B0392" w:rsidRDefault="005B0392" w:rsidP="005B0392">
      <w:pPr>
        <w:spacing w:line="360" w:lineRule="auto"/>
        <w:ind w:left="720" w:hanging="720"/>
        <w:jc w:val="both"/>
        <w:rPr>
          <w:rFonts w:ascii="David" w:hAnsi="David"/>
          <w:b/>
          <w:bCs/>
          <w:rtl/>
        </w:rPr>
      </w:pPr>
      <w:r>
        <w:rPr>
          <w:rFonts w:ascii="David" w:hAnsi="David"/>
          <w:b/>
          <w:bCs/>
          <w:rtl/>
        </w:rPr>
        <w:t>גזירת העונש בגדרי המתחם:</w:t>
      </w:r>
      <w:r>
        <w:rPr>
          <w:rFonts w:ascii="David" w:hAnsi="David"/>
          <w:b/>
          <w:bCs/>
        </w:rPr>
        <w:t xml:space="preserve"> </w:t>
      </w:r>
    </w:p>
    <w:p w14:paraId="7C3B6CE1" w14:textId="77777777" w:rsidR="005B0392" w:rsidRDefault="005B0392" w:rsidP="005B0392">
      <w:pPr>
        <w:spacing w:line="360" w:lineRule="auto"/>
        <w:ind w:left="720" w:hanging="720"/>
        <w:jc w:val="both"/>
        <w:rPr>
          <w:rFonts w:ascii="David" w:hAnsi="David"/>
          <w:b/>
          <w:bCs/>
          <w:rtl/>
        </w:rPr>
      </w:pPr>
    </w:p>
    <w:p w14:paraId="0ECCE914" w14:textId="77777777" w:rsidR="005B0392" w:rsidRDefault="005B0392" w:rsidP="005B0392">
      <w:pPr>
        <w:spacing w:line="360" w:lineRule="auto"/>
        <w:ind w:left="720" w:hanging="720"/>
        <w:jc w:val="both"/>
        <w:rPr>
          <w:rFonts w:ascii="David" w:hAnsi="David"/>
          <w:rtl/>
        </w:rPr>
      </w:pPr>
      <w:r>
        <w:rPr>
          <w:rFonts w:ascii="David" w:hAnsi="David"/>
          <w:rtl/>
        </w:rPr>
        <w:t>30.</w:t>
      </w:r>
      <w:r>
        <w:rPr>
          <w:rFonts w:ascii="David" w:hAnsi="David"/>
          <w:rtl/>
        </w:rPr>
        <w:tab/>
        <w:t xml:space="preserve">בגזירת העונש ההולם לנאשם, יש להתחשב בנסיבות שאינן קשורות בביצוע העבירה. הענישה הנה אינדיבידואלית, ובמסגרתה יש לתן את הדעת לכך כי הנאשם יליד 1986, נשוי ואב לשני ילדים, עובד במקום מסודר מזה שנים ובעברו שלוש הרשעות קודמות אשר התיישנו. </w:t>
      </w:r>
    </w:p>
    <w:p w14:paraId="6616691F" w14:textId="77777777" w:rsidR="005B0392" w:rsidRDefault="005B0392" w:rsidP="005B0392">
      <w:pPr>
        <w:spacing w:line="360" w:lineRule="auto"/>
        <w:ind w:left="720" w:hanging="720"/>
        <w:jc w:val="both"/>
        <w:rPr>
          <w:rFonts w:ascii="David" w:hAnsi="David"/>
          <w:rtl/>
        </w:rPr>
      </w:pPr>
    </w:p>
    <w:p w14:paraId="04CBC7B2" w14:textId="77777777" w:rsidR="005B0392" w:rsidRDefault="005B0392" w:rsidP="005B0392">
      <w:pPr>
        <w:spacing w:line="360" w:lineRule="auto"/>
        <w:ind w:left="720" w:hanging="720"/>
        <w:jc w:val="both"/>
        <w:rPr>
          <w:rFonts w:ascii="David" w:hAnsi="David"/>
          <w:rtl/>
        </w:rPr>
      </w:pPr>
      <w:r>
        <w:rPr>
          <w:rFonts w:ascii="David" w:hAnsi="David"/>
          <w:rtl/>
        </w:rPr>
        <w:t>31.</w:t>
      </w:r>
      <w:r>
        <w:rPr>
          <w:rFonts w:ascii="David" w:hAnsi="David"/>
          <w:rtl/>
        </w:rPr>
        <w:tab/>
        <w:t xml:space="preserve">לקולת העונש נתתי דעתי לעובדה כי הנאשם לקח חלק בהליך טיפולי קבוצתי ופרטני במסגרת שירות המבחן. מהתסקירים עולה כי שירות המבחן סבר כי יש במעורבות הטיפולית כדי להפחית מהסיכון להישנות עוברת חוק בעתיד.  </w:t>
      </w:r>
    </w:p>
    <w:p w14:paraId="18B8ADB1" w14:textId="77777777" w:rsidR="005B0392" w:rsidRDefault="005B0392" w:rsidP="005B0392">
      <w:pPr>
        <w:spacing w:line="360" w:lineRule="auto"/>
        <w:ind w:left="720" w:hanging="720"/>
        <w:jc w:val="both"/>
        <w:rPr>
          <w:rFonts w:ascii="David" w:hAnsi="David"/>
          <w:rtl/>
        </w:rPr>
      </w:pPr>
    </w:p>
    <w:p w14:paraId="7FEC1159" w14:textId="77777777" w:rsidR="005B0392" w:rsidRDefault="005B0392" w:rsidP="005B0392">
      <w:pPr>
        <w:spacing w:line="360" w:lineRule="auto"/>
        <w:ind w:left="720" w:hanging="720"/>
        <w:jc w:val="both"/>
        <w:rPr>
          <w:rFonts w:ascii="David" w:hAnsi="David"/>
          <w:rtl/>
        </w:rPr>
      </w:pPr>
      <w:r>
        <w:rPr>
          <w:rFonts w:ascii="David" w:hAnsi="David"/>
          <w:rtl/>
        </w:rPr>
        <w:t>32.</w:t>
      </w:r>
      <w:r>
        <w:rPr>
          <w:rFonts w:ascii="David" w:hAnsi="David"/>
          <w:rtl/>
        </w:rPr>
        <w:tab/>
        <w:t xml:space="preserve">כמו כן, נתתי דעתי לכך שהאירוע בענייננו אירע לפני כארבע וחצי שנים, במהלכן הנאשם לא הסתבך בפלילים, שמר על תעסוקה יציבה, השתלב בלימודים ולדבריו אף מתנדב בבתי ספר על מנת לחשוף ולגייס תלמידים לשירות צבאי במגזר הבדואי. </w:t>
      </w:r>
    </w:p>
    <w:p w14:paraId="1E62906D" w14:textId="77777777" w:rsidR="005B0392" w:rsidRDefault="005B0392" w:rsidP="005B0392">
      <w:pPr>
        <w:spacing w:line="360" w:lineRule="auto"/>
        <w:ind w:left="720" w:hanging="720"/>
        <w:jc w:val="both"/>
        <w:rPr>
          <w:rFonts w:ascii="David" w:hAnsi="David"/>
          <w:rtl/>
        </w:rPr>
      </w:pPr>
    </w:p>
    <w:p w14:paraId="464B5A46" w14:textId="77777777" w:rsidR="005B0392" w:rsidRDefault="005B0392" w:rsidP="005B0392">
      <w:pPr>
        <w:spacing w:line="360" w:lineRule="auto"/>
        <w:ind w:left="720" w:hanging="720"/>
        <w:jc w:val="both"/>
        <w:rPr>
          <w:rFonts w:ascii="David" w:hAnsi="David"/>
          <w:rtl/>
        </w:rPr>
      </w:pPr>
      <w:r>
        <w:rPr>
          <w:rFonts w:ascii="David" w:hAnsi="David"/>
          <w:rtl/>
        </w:rPr>
        <w:t>33.</w:t>
      </w:r>
      <w:r>
        <w:rPr>
          <w:rFonts w:ascii="David" w:hAnsi="David"/>
          <w:rtl/>
        </w:rPr>
        <w:tab/>
        <w:t xml:space="preserve">לקולת העונש התחשבתי גם בהודאתו של הנאשם, בחסכון (החלקי) בזמן שיפוטי, בלקיחת האחריות ובחרטה שהביע. מתסקיר שירות המבחן, מדברי הנאשם ואף מעדותו של המתלונן בבית המשפט, עולה כי מאז הסכם הסולחה הנטען, היחסים בין הנאשם ובין שכניו נטולי קונפליקט. הנאשם מנהל כיום קשר טוב עם המתלונן, מבין את חומרת מעשיו ומצטער על אופן התנהלותו. </w:t>
      </w:r>
    </w:p>
    <w:p w14:paraId="53D2FD81" w14:textId="77777777" w:rsidR="005B0392" w:rsidRDefault="005B0392" w:rsidP="005B0392">
      <w:pPr>
        <w:spacing w:line="360" w:lineRule="auto"/>
        <w:ind w:left="720" w:hanging="720"/>
        <w:jc w:val="both"/>
        <w:rPr>
          <w:rFonts w:ascii="David" w:hAnsi="David"/>
          <w:rtl/>
        </w:rPr>
      </w:pPr>
    </w:p>
    <w:p w14:paraId="6054220A" w14:textId="77777777" w:rsidR="005B0392" w:rsidRDefault="005B0392" w:rsidP="005B0392">
      <w:pPr>
        <w:spacing w:line="360" w:lineRule="auto"/>
        <w:ind w:left="720" w:hanging="720"/>
        <w:jc w:val="both"/>
        <w:rPr>
          <w:rFonts w:ascii="David" w:hAnsi="David"/>
          <w:rtl/>
        </w:rPr>
      </w:pPr>
      <w:r>
        <w:rPr>
          <w:rFonts w:ascii="David" w:hAnsi="David"/>
          <w:rtl/>
        </w:rPr>
        <w:t>34.</w:t>
      </w:r>
      <w:r>
        <w:rPr>
          <w:rFonts w:ascii="David" w:hAnsi="David"/>
          <w:rtl/>
        </w:rPr>
        <w:tab/>
        <w:t>הגם המלצתו החיובית של שירות המבחן, משההליך הטיפולי טרם הסתיים ומשהנאשם נוטה לאימפולסיביות כפי בא</w:t>
      </w:r>
      <w:r>
        <w:rPr>
          <w:rFonts w:ascii="David" w:hAnsi="David" w:hint="cs"/>
          <w:rtl/>
        </w:rPr>
        <w:t>ה</w:t>
      </w:r>
      <w:r>
        <w:rPr>
          <w:rFonts w:ascii="David" w:hAnsi="David"/>
          <w:rtl/>
        </w:rPr>
        <w:t xml:space="preserve"> לידי ביטוי באירוע שבענייננו, יש ליתן משקל מסוים לשיקולי הרתעת היחיד.</w:t>
      </w:r>
    </w:p>
    <w:p w14:paraId="16AAD438" w14:textId="77777777" w:rsidR="005B0392" w:rsidRDefault="005B0392" w:rsidP="005B0392">
      <w:pPr>
        <w:spacing w:line="360" w:lineRule="auto"/>
        <w:ind w:left="720" w:hanging="720"/>
        <w:jc w:val="both"/>
        <w:rPr>
          <w:rFonts w:ascii="David" w:hAnsi="David"/>
          <w:rtl/>
        </w:rPr>
      </w:pPr>
    </w:p>
    <w:p w14:paraId="329C221D" w14:textId="77777777" w:rsidR="005B0392" w:rsidRDefault="005B0392" w:rsidP="005B0392">
      <w:pPr>
        <w:spacing w:line="360" w:lineRule="auto"/>
        <w:ind w:left="720" w:hanging="720"/>
        <w:jc w:val="both"/>
        <w:rPr>
          <w:rFonts w:ascii="David" w:hAnsi="David"/>
          <w:rtl/>
        </w:rPr>
      </w:pPr>
    </w:p>
    <w:p w14:paraId="2AD58E19" w14:textId="77777777" w:rsidR="005B0392" w:rsidRDefault="005B0392" w:rsidP="005B0392">
      <w:pPr>
        <w:spacing w:line="360" w:lineRule="auto"/>
        <w:ind w:left="720" w:hanging="720"/>
        <w:jc w:val="both"/>
        <w:rPr>
          <w:rFonts w:ascii="David" w:hAnsi="David"/>
          <w:rtl/>
        </w:rPr>
      </w:pPr>
    </w:p>
    <w:p w14:paraId="5DB92D92" w14:textId="77777777" w:rsidR="005B0392" w:rsidRDefault="005B0392" w:rsidP="005B0392">
      <w:pPr>
        <w:spacing w:line="360" w:lineRule="auto"/>
        <w:ind w:left="720" w:hanging="720"/>
        <w:jc w:val="both"/>
        <w:rPr>
          <w:rFonts w:ascii="David" w:hAnsi="David"/>
          <w:rtl/>
        </w:rPr>
      </w:pPr>
    </w:p>
    <w:p w14:paraId="241627BC" w14:textId="77777777" w:rsidR="005B0392" w:rsidRDefault="005B0392" w:rsidP="005B0392">
      <w:pPr>
        <w:spacing w:line="360" w:lineRule="auto"/>
        <w:ind w:left="720" w:hanging="720"/>
        <w:jc w:val="both"/>
        <w:rPr>
          <w:rFonts w:ascii="David" w:hAnsi="David"/>
          <w:rtl/>
        </w:rPr>
      </w:pPr>
    </w:p>
    <w:p w14:paraId="00FF2E25" w14:textId="77777777" w:rsidR="005B0392" w:rsidRDefault="005B0392" w:rsidP="005B0392">
      <w:pPr>
        <w:spacing w:line="360" w:lineRule="auto"/>
        <w:ind w:left="720" w:hanging="720"/>
        <w:jc w:val="both"/>
        <w:rPr>
          <w:rFonts w:ascii="David" w:hAnsi="David"/>
          <w:rtl/>
        </w:rPr>
      </w:pPr>
      <w:r>
        <w:rPr>
          <w:rFonts w:ascii="David" w:hAnsi="David"/>
          <w:rtl/>
        </w:rPr>
        <w:t>35.</w:t>
      </w:r>
      <w:r>
        <w:rPr>
          <w:rFonts w:ascii="David" w:hAnsi="David"/>
          <w:rtl/>
        </w:rPr>
        <w:tab/>
        <w:t xml:space="preserve">כמו כן במסגרת שיקולי הענישה בתוך מתחם הענישה יש לתן משקל משמעותי לשיקולי הרתעת הרבים. תופעת השימוש בנשק חם והירי כדי לפתור סכסוכים, המסכנים חיים והפוגעים בתחושת הביטחון האישי מחייבים החמרת הענישה ולמען יראו וייראו. הקלות הבלתי נסבלת של שימוש בנשק חם כאמצעי ליישוב סכסוך, במדינה בכלל ובנגב בפרט, מחייבת ענישה ממשית של בית המשפט.  ידעו כולם כי הנגב אינו שטח הפקר בו פותרים סכסוכים בכוח הנשק. </w:t>
      </w:r>
    </w:p>
    <w:p w14:paraId="5899E28F" w14:textId="77777777" w:rsidR="005B0392" w:rsidRDefault="005B0392" w:rsidP="005B0392">
      <w:pPr>
        <w:spacing w:line="360" w:lineRule="auto"/>
        <w:ind w:left="720" w:hanging="720"/>
        <w:jc w:val="both"/>
        <w:rPr>
          <w:rFonts w:ascii="David" w:hAnsi="David"/>
          <w:rtl/>
        </w:rPr>
      </w:pPr>
    </w:p>
    <w:p w14:paraId="22956CBB" w14:textId="77777777" w:rsidR="005B0392" w:rsidRDefault="005B0392" w:rsidP="005B0392">
      <w:pPr>
        <w:spacing w:line="360" w:lineRule="auto"/>
        <w:ind w:left="720" w:hanging="720"/>
        <w:jc w:val="both"/>
        <w:rPr>
          <w:rFonts w:ascii="David" w:hAnsi="David"/>
          <w:rtl/>
        </w:rPr>
      </w:pPr>
      <w:r>
        <w:rPr>
          <w:rFonts w:ascii="David" w:hAnsi="David"/>
          <w:rtl/>
        </w:rPr>
        <w:t xml:space="preserve">36. </w:t>
      </w:r>
      <w:r>
        <w:rPr>
          <w:rFonts w:ascii="David" w:hAnsi="David"/>
          <w:rtl/>
        </w:rPr>
        <w:tab/>
        <w:t xml:space="preserve">לאור האמור ואלמלא מצאתי לחרוג לקולא ממתחם העונש ההולם כפי שיפורט בהמשך, הייתי גוזר על הנאשם 16 חודשי מאסר בפועל לצד ענישה נלווית. </w:t>
      </w:r>
    </w:p>
    <w:p w14:paraId="59790CA3" w14:textId="77777777" w:rsidR="005B0392" w:rsidRDefault="005B0392" w:rsidP="005B0392">
      <w:pPr>
        <w:spacing w:line="360" w:lineRule="auto"/>
        <w:ind w:left="720" w:hanging="720"/>
        <w:jc w:val="both"/>
        <w:rPr>
          <w:rFonts w:ascii="David" w:hAnsi="David"/>
          <w:rtl/>
        </w:rPr>
      </w:pPr>
    </w:p>
    <w:p w14:paraId="13E6A6BA" w14:textId="77777777" w:rsidR="005B0392" w:rsidRDefault="005B0392" w:rsidP="005B0392">
      <w:pPr>
        <w:spacing w:line="360" w:lineRule="auto"/>
        <w:ind w:left="720" w:hanging="720"/>
        <w:jc w:val="both"/>
        <w:rPr>
          <w:rFonts w:ascii="David" w:hAnsi="David"/>
          <w:b/>
          <w:bCs/>
          <w:rtl/>
        </w:rPr>
      </w:pPr>
      <w:r>
        <w:rPr>
          <w:rFonts w:ascii="David" w:hAnsi="David"/>
          <w:b/>
          <w:bCs/>
          <w:rtl/>
        </w:rPr>
        <w:t>חריגה לקולא ממתחם העונש ההולם משיקולי שיקום:</w:t>
      </w:r>
      <w:r>
        <w:rPr>
          <w:rFonts w:ascii="David" w:hAnsi="David"/>
          <w:b/>
          <w:bCs/>
        </w:rPr>
        <w:t xml:space="preserve"> </w:t>
      </w:r>
    </w:p>
    <w:p w14:paraId="1296FB6D" w14:textId="77777777" w:rsidR="005B0392" w:rsidRDefault="005B0392" w:rsidP="005B0392">
      <w:pPr>
        <w:spacing w:line="360" w:lineRule="auto"/>
        <w:ind w:left="720" w:hanging="720"/>
        <w:jc w:val="both"/>
        <w:rPr>
          <w:rFonts w:ascii="David" w:hAnsi="David"/>
          <w:b/>
          <w:bCs/>
          <w:rtl/>
        </w:rPr>
      </w:pPr>
    </w:p>
    <w:p w14:paraId="45382D82" w14:textId="77777777" w:rsidR="005B0392" w:rsidRDefault="005B0392" w:rsidP="005B0392">
      <w:pPr>
        <w:spacing w:line="360" w:lineRule="auto"/>
        <w:ind w:left="720" w:hanging="720"/>
        <w:jc w:val="both"/>
        <w:rPr>
          <w:rFonts w:ascii="David" w:hAnsi="David"/>
          <w:rtl/>
        </w:rPr>
      </w:pPr>
      <w:r>
        <w:rPr>
          <w:rFonts w:ascii="David" w:hAnsi="David"/>
          <w:rtl/>
        </w:rPr>
        <w:t>37.</w:t>
      </w:r>
      <w:r>
        <w:rPr>
          <w:rFonts w:ascii="David" w:hAnsi="David"/>
          <w:rtl/>
        </w:rPr>
        <w:tab/>
        <w:t xml:space="preserve">כידוע, </w:t>
      </w:r>
      <w:hyperlink r:id="rId60" w:history="1">
        <w:r w:rsidR="00AE2BE6" w:rsidRPr="00AE2BE6">
          <w:rPr>
            <w:rStyle w:val="Hyperlink"/>
            <w:rFonts w:ascii="David" w:hAnsi="David"/>
            <w:color w:val="0000FF"/>
            <w:rtl/>
          </w:rPr>
          <w:t>סעיף 40ד(א)</w:t>
        </w:r>
      </w:hyperlink>
      <w:r>
        <w:rPr>
          <w:rFonts w:ascii="David" w:hAnsi="David"/>
          <w:rtl/>
        </w:rPr>
        <w:t xml:space="preserve"> ל</w:t>
      </w:r>
      <w:hyperlink r:id="rId61" w:history="1">
        <w:r w:rsidR="00392CB5" w:rsidRPr="00392CB5">
          <w:rPr>
            <w:rFonts w:ascii="David" w:hAnsi="David"/>
            <w:color w:val="0000FF"/>
            <w:u w:val="single"/>
            <w:rtl/>
          </w:rPr>
          <w:t>חוק העונשין</w:t>
        </w:r>
      </w:hyperlink>
      <w:r>
        <w:rPr>
          <w:rFonts w:ascii="David" w:hAnsi="David"/>
          <w:rtl/>
        </w:rPr>
        <w:t xml:space="preserve"> מקנה לבית המשפט את שיקול הדעת לחרוג מטה ממתחם העונש ההולם אם מצא "</w:t>
      </w:r>
      <w:r>
        <w:rPr>
          <w:rFonts w:ascii="David" w:hAnsi="David"/>
          <w:b/>
          <w:bCs/>
          <w:rtl/>
        </w:rPr>
        <w:t>כי הנאשם השתקם או כי יש סיכוי של ממש שישתקם</w:t>
      </w:r>
      <w:r>
        <w:rPr>
          <w:rFonts w:ascii="David" w:hAnsi="David"/>
          <w:rtl/>
        </w:rPr>
        <w:t xml:space="preserve">". </w:t>
      </w:r>
    </w:p>
    <w:p w14:paraId="1736B4D0" w14:textId="77777777" w:rsidR="005B0392" w:rsidRDefault="005B0392" w:rsidP="005B0392">
      <w:pPr>
        <w:spacing w:line="360" w:lineRule="auto"/>
        <w:ind w:left="720" w:hanging="720"/>
        <w:jc w:val="both"/>
        <w:rPr>
          <w:rFonts w:ascii="David" w:hAnsi="David"/>
          <w:rtl/>
        </w:rPr>
      </w:pPr>
    </w:p>
    <w:p w14:paraId="28C34836" w14:textId="77777777" w:rsidR="005B0392" w:rsidRDefault="005B0392" w:rsidP="005B0392">
      <w:pPr>
        <w:spacing w:line="360" w:lineRule="auto"/>
        <w:ind w:left="720"/>
        <w:jc w:val="both"/>
        <w:rPr>
          <w:rFonts w:ascii="David" w:hAnsi="David"/>
          <w:rtl/>
        </w:rPr>
      </w:pPr>
      <w:r>
        <w:rPr>
          <w:rFonts w:ascii="David" w:hAnsi="David"/>
          <w:rtl/>
        </w:rPr>
        <w:t>עסקינן בסמכות שבשיקול הדעת, ועל בית המשפט ליישמה בזהירות, הן מהטעם כי שיקולי שיקום מהווים חריג לכלל העומד ביסוד תיקון 113 ל</w:t>
      </w:r>
      <w:hyperlink r:id="rId62" w:history="1">
        <w:r w:rsidR="00392CB5" w:rsidRPr="00392CB5">
          <w:rPr>
            <w:rFonts w:ascii="David" w:hAnsi="David"/>
            <w:color w:val="0000FF"/>
            <w:u w:val="single"/>
            <w:rtl/>
          </w:rPr>
          <w:t>חוק העונשין</w:t>
        </w:r>
      </w:hyperlink>
      <w:r>
        <w:rPr>
          <w:rFonts w:ascii="David" w:hAnsi="David"/>
          <w:rtl/>
        </w:rPr>
        <w:t xml:space="preserve"> – עקרון ההלימה, והן מהטעם שחלק מהשיקולים הרלוונטיים להליך השיקום מובאים ברגיל בחשבון במסגרת קביעת העונש בתוך המתחם. ראה לעניין זה </w:t>
      </w:r>
      <w:r>
        <w:rPr>
          <w:rFonts w:ascii="David" w:hAnsi="David"/>
          <w:b/>
          <w:bCs/>
          <w:rtl/>
        </w:rPr>
        <w:t>ע"פ 6673/17 אליזבת קרנדל נ' מדינת ישראל</w:t>
      </w:r>
      <w:r>
        <w:rPr>
          <w:rFonts w:ascii="David" w:hAnsi="David"/>
          <w:rtl/>
        </w:rPr>
        <w:t xml:space="preserve"> (18.4.18) (להלן: "</w:t>
      </w:r>
      <w:r>
        <w:rPr>
          <w:rFonts w:ascii="David" w:hAnsi="David"/>
          <w:b/>
          <w:bCs/>
          <w:rtl/>
        </w:rPr>
        <w:t>פסק דין קרנדל</w:t>
      </w:r>
      <w:r>
        <w:rPr>
          <w:rFonts w:ascii="David" w:hAnsi="David"/>
          <w:rtl/>
        </w:rPr>
        <w:t>").</w:t>
      </w:r>
    </w:p>
    <w:p w14:paraId="66B5FF61" w14:textId="77777777" w:rsidR="005B0392" w:rsidRDefault="005B0392" w:rsidP="005B0392">
      <w:pPr>
        <w:spacing w:line="360" w:lineRule="auto"/>
        <w:ind w:left="720"/>
        <w:jc w:val="both"/>
        <w:rPr>
          <w:rFonts w:ascii="David" w:hAnsi="David"/>
          <w:rtl/>
        </w:rPr>
      </w:pPr>
    </w:p>
    <w:p w14:paraId="6F131C2E" w14:textId="77777777" w:rsidR="005B0392" w:rsidRDefault="005B0392" w:rsidP="005B0392">
      <w:pPr>
        <w:spacing w:line="360" w:lineRule="auto"/>
        <w:ind w:left="720"/>
        <w:jc w:val="both"/>
        <w:rPr>
          <w:rFonts w:ascii="David" w:hAnsi="David"/>
          <w:rtl/>
        </w:rPr>
      </w:pPr>
      <w:r>
        <w:rPr>
          <w:rFonts w:ascii="David" w:hAnsi="David"/>
          <w:rtl/>
        </w:rPr>
        <w:t>בהקשר לשיקול דעתו של היושב בדין לחרוג לקולא ממתחם העונש ההולם ראה גם דברי ביהמ"ש ב</w:t>
      </w:r>
      <w:hyperlink r:id="rId63" w:history="1">
        <w:r w:rsidR="00392CB5" w:rsidRPr="00392CB5">
          <w:rPr>
            <w:rFonts w:ascii="David" w:hAnsi="David"/>
            <w:b/>
            <w:bCs/>
            <w:color w:val="0000FF"/>
            <w:u w:val="single"/>
            <w:rtl/>
          </w:rPr>
          <w:t>ע"פ 7757/21</w:t>
        </w:r>
      </w:hyperlink>
      <w:r>
        <w:rPr>
          <w:rFonts w:ascii="David" w:hAnsi="David"/>
          <w:b/>
          <w:bCs/>
          <w:rtl/>
        </w:rPr>
        <w:t xml:space="preserve"> מרזוקי נ' מדינת ישראל</w:t>
      </w:r>
      <w:r>
        <w:rPr>
          <w:rFonts w:ascii="David" w:hAnsi="David"/>
          <w:rtl/>
        </w:rPr>
        <w:t xml:space="preserve"> (24.05.2022): </w:t>
      </w:r>
    </w:p>
    <w:p w14:paraId="4B2CF8C9" w14:textId="77777777" w:rsidR="005B0392" w:rsidRDefault="005B0392" w:rsidP="005B0392">
      <w:pPr>
        <w:spacing w:line="360" w:lineRule="auto"/>
        <w:ind w:left="720"/>
        <w:jc w:val="both"/>
        <w:rPr>
          <w:rFonts w:ascii="David" w:hAnsi="David"/>
          <w:rtl/>
        </w:rPr>
      </w:pPr>
    </w:p>
    <w:p w14:paraId="17511C66" w14:textId="77777777" w:rsidR="005B0392" w:rsidRDefault="005B0392" w:rsidP="005B0392">
      <w:pPr>
        <w:spacing w:line="360" w:lineRule="auto"/>
        <w:ind w:left="1643" w:right="1701"/>
        <w:jc w:val="both"/>
        <w:rPr>
          <w:rFonts w:ascii="David" w:hAnsi="David"/>
          <w:b/>
          <w:bCs/>
          <w:rtl/>
        </w:rPr>
      </w:pPr>
      <w:r>
        <w:rPr>
          <w:rFonts w:ascii="David" w:hAnsi="David"/>
          <w:b/>
          <w:bCs/>
          <w:rtl/>
        </w:rPr>
        <w:t>"כפי שעולה בבירור מהוראות החוק, לא בכל מקרה שבו תהליך טיפולי מתקדם בכיוון חיובי, יש להפעיל את הסמכות הקבועה בסעיף 40 ד ל</w:t>
      </w:r>
      <w:hyperlink r:id="rId64" w:history="1">
        <w:r w:rsidR="00392CB5" w:rsidRPr="00392CB5">
          <w:rPr>
            <w:rFonts w:ascii="David" w:hAnsi="David"/>
            <w:b/>
            <w:bCs/>
            <w:color w:val="0000FF"/>
            <w:u w:val="single"/>
            <w:rtl/>
          </w:rPr>
          <w:t>חוק העונשין</w:t>
        </w:r>
      </w:hyperlink>
      <w:r>
        <w:rPr>
          <w:rFonts w:ascii="David" w:hAnsi="David"/>
          <w:b/>
          <w:bCs/>
          <w:rtl/>
        </w:rPr>
        <w:t>, שאחרת בא החריג ומרוקן את הכלל מתוכן".</w:t>
      </w:r>
    </w:p>
    <w:p w14:paraId="1DBB45AE" w14:textId="77777777" w:rsidR="005B0392" w:rsidRDefault="005B0392" w:rsidP="005B0392">
      <w:pPr>
        <w:spacing w:line="360" w:lineRule="auto"/>
        <w:ind w:left="1643" w:right="1701"/>
        <w:jc w:val="both"/>
        <w:rPr>
          <w:rFonts w:ascii="David" w:hAnsi="David"/>
          <w:b/>
          <w:bCs/>
          <w:rtl/>
        </w:rPr>
      </w:pPr>
    </w:p>
    <w:p w14:paraId="346CE8C5" w14:textId="77777777" w:rsidR="005B0392" w:rsidRDefault="005B0392" w:rsidP="005B0392">
      <w:pPr>
        <w:spacing w:line="360" w:lineRule="auto"/>
        <w:ind w:left="1643" w:right="1701"/>
        <w:jc w:val="both"/>
        <w:rPr>
          <w:rFonts w:ascii="David" w:hAnsi="David"/>
          <w:b/>
          <w:bCs/>
          <w:rtl/>
        </w:rPr>
      </w:pPr>
    </w:p>
    <w:p w14:paraId="512AAF1F" w14:textId="77777777" w:rsidR="005B0392" w:rsidRDefault="005B0392" w:rsidP="005B0392">
      <w:pPr>
        <w:spacing w:line="360" w:lineRule="auto"/>
        <w:ind w:left="1643" w:right="1701"/>
        <w:jc w:val="both"/>
        <w:rPr>
          <w:rFonts w:ascii="David" w:hAnsi="David"/>
          <w:b/>
          <w:bCs/>
          <w:rtl/>
        </w:rPr>
      </w:pPr>
    </w:p>
    <w:p w14:paraId="6D8D2521" w14:textId="77777777" w:rsidR="005B0392" w:rsidRDefault="005B0392" w:rsidP="005B0392">
      <w:pPr>
        <w:spacing w:line="360" w:lineRule="auto"/>
        <w:ind w:left="1643" w:right="1701"/>
        <w:jc w:val="both"/>
        <w:rPr>
          <w:rFonts w:ascii="David" w:hAnsi="David"/>
          <w:b/>
          <w:bCs/>
          <w:rtl/>
        </w:rPr>
      </w:pPr>
    </w:p>
    <w:p w14:paraId="5AD66044" w14:textId="77777777" w:rsidR="005B0392" w:rsidRDefault="005B0392" w:rsidP="005B0392">
      <w:pPr>
        <w:spacing w:line="360" w:lineRule="auto"/>
        <w:ind w:left="1643" w:right="1701"/>
        <w:jc w:val="both"/>
        <w:rPr>
          <w:rFonts w:ascii="David" w:hAnsi="David"/>
          <w:b/>
          <w:bCs/>
          <w:rtl/>
        </w:rPr>
      </w:pPr>
    </w:p>
    <w:p w14:paraId="6D380584" w14:textId="77777777" w:rsidR="005B0392" w:rsidRDefault="005B0392" w:rsidP="005B0392">
      <w:pPr>
        <w:spacing w:line="360" w:lineRule="auto"/>
        <w:ind w:left="720" w:hanging="720"/>
        <w:jc w:val="both"/>
        <w:rPr>
          <w:rFonts w:ascii="David" w:hAnsi="David"/>
          <w:rtl/>
        </w:rPr>
      </w:pPr>
      <w:r>
        <w:rPr>
          <w:rFonts w:ascii="David" w:hAnsi="David"/>
          <w:rtl/>
        </w:rPr>
        <w:t>38.</w:t>
      </w:r>
      <w:r>
        <w:rPr>
          <w:rFonts w:ascii="David" w:hAnsi="David"/>
          <w:rtl/>
        </w:rPr>
        <w:tab/>
        <w:t>כאמור, שירות המבחן המליץ בענייננו על הטלת עונש מאסר לריצוי בעבודות שירות לצד צו מבחן. כידוע, בית המשפט אינו חייב לקבל את המלצת שירות המבחן, ולעניין זה ראה דברי בית המשפט העליון ב</w:t>
      </w:r>
      <w:hyperlink r:id="rId65" w:history="1">
        <w:r w:rsidR="00392CB5" w:rsidRPr="00392CB5">
          <w:rPr>
            <w:rFonts w:ascii="David" w:hAnsi="David"/>
            <w:b/>
            <w:bCs/>
            <w:color w:val="0000FF"/>
            <w:u w:val="single"/>
            <w:rtl/>
          </w:rPr>
          <w:t>ע"פ 4910/16</w:t>
        </w:r>
      </w:hyperlink>
      <w:r>
        <w:rPr>
          <w:rFonts w:ascii="David" w:hAnsi="David"/>
          <w:b/>
          <w:bCs/>
          <w:rtl/>
        </w:rPr>
        <w:t xml:space="preserve"> אבני נ' מדינת ישראל </w:t>
      </w:r>
      <w:r>
        <w:rPr>
          <w:rFonts w:ascii="David" w:hAnsi="David"/>
          <w:rtl/>
        </w:rPr>
        <w:t>(5.4.17):</w:t>
      </w:r>
    </w:p>
    <w:p w14:paraId="1938799D" w14:textId="77777777" w:rsidR="005B0392" w:rsidRDefault="005B0392" w:rsidP="005B0392">
      <w:pPr>
        <w:spacing w:line="360" w:lineRule="auto"/>
        <w:ind w:left="720" w:hanging="720"/>
        <w:jc w:val="both"/>
        <w:rPr>
          <w:rFonts w:ascii="David" w:hAnsi="David"/>
          <w:rtl/>
        </w:rPr>
      </w:pPr>
    </w:p>
    <w:p w14:paraId="269E3BCD" w14:textId="77777777" w:rsidR="005B0392" w:rsidRDefault="005B0392" w:rsidP="005B0392">
      <w:pPr>
        <w:spacing w:line="360" w:lineRule="auto"/>
        <w:ind w:left="1643" w:right="1701" w:hanging="720"/>
        <w:jc w:val="both"/>
        <w:rPr>
          <w:rFonts w:ascii="David" w:hAnsi="David"/>
          <w:b/>
          <w:bCs/>
          <w:rtl/>
        </w:rPr>
      </w:pPr>
      <w:r>
        <w:rPr>
          <w:rFonts w:ascii="David" w:hAnsi="David"/>
          <w:rtl/>
        </w:rPr>
        <w:tab/>
      </w:r>
      <w:r>
        <w:rPr>
          <w:rFonts w:ascii="David" w:hAnsi="David"/>
          <w:b/>
          <w:bCs/>
          <w:rtl/>
        </w:rPr>
        <w:t>"המלצתו של שירות המבחן, אף שהיא נושאת משקל נכבד לצורך קביעת העונש, כשמה כן היא – המלצה, והפוסק האחרון בית המשפט אשר רשאי לאמץ או לדחות את המלצת התסקיר ולהביא במניין גם שיקולי ענישה אחרים".</w:t>
      </w:r>
    </w:p>
    <w:p w14:paraId="1F68F10E" w14:textId="77777777" w:rsidR="005B0392" w:rsidRDefault="005B0392" w:rsidP="005B0392">
      <w:pPr>
        <w:spacing w:line="360" w:lineRule="auto"/>
        <w:ind w:left="1643" w:right="1701" w:hanging="720"/>
        <w:jc w:val="both"/>
        <w:rPr>
          <w:rFonts w:ascii="David" w:hAnsi="David"/>
          <w:b/>
          <w:bCs/>
          <w:rtl/>
        </w:rPr>
      </w:pPr>
    </w:p>
    <w:p w14:paraId="17F467CD" w14:textId="77777777" w:rsidR="005B0392" w:rsidRDefault="005B0392" w:rsidP="005B0392">
      <w:pPr>
        <w:spacing w:line="360" w:lineRule="auto"/>
        <w:ind w:left="720" w:hanging="720"/>
        <w:jc w:val="both"/>
        <w:rPr>
          <w:rFonts w:ascii="David" w:hAnsi="David"/>
          <w:rtl/>
        </w:rPr>
      </w:pPr>
      <w:r>
        <w:rPr>
          <w:rFonts w:ascii="David" w:hAnsi="David"/>
          <w:rtl/>
        </w:rPr>
        <w:t>39.</w:t>
      </w:r>
      <w:r>
        <w:rPr>
          <w:rFonts w:ascii="David" w:hAnsi="David"/>
          <w:rtl/>
        </w:rPr>
        <w:tab/>
        <w:t xml:space="preserve">לאחר ששקלתי את כלל שיקולי הענישה ואת עמדות הצדדים, מצאתי כי יהא זה נכון לחרוג לקולא ממתחם העונש ההולם שנקבע אך לא באופן הפוטר את הנאשם מריצוי עונשו מאחורי סורג ובריח. חומרת העבירות שביצע הנאשם כפי שהדבר נלמד גם מנסיבות ביצוען, מבכרת את עיקרון ההלימה והגמול כמו גם את שיקולי הרתעת הרבים. </w:t>
      </w:r>
    </w:p>
    <w:p w14:paraId="163EE26A" w14:textId="77777777" w:rsidR="005B0392" w:rsidRDefault="005B0392" w:rsidP="005B0392">
      <w:pPr>
        <w:spacing w:line="360" w:lineRule="auto"/>
        <w:ind w:left="720" w:hanging="720"/>
        <w:jc w:val="both"/>
        <w:rPr>
          <w:rFonts w:ascii="David" w:hAnsi="David"/>
          <w:rtl/>
        </w:rPr>
      </w:pPr>
    </w:p>
    <w:p w14:paraId="0580C62B" w14:textId="77777777" w:rsidR="005B0392" w:rsidRDefault="005B0392" w:rsidP="005B0392">
      <w:pPr>
        <w:spacing w:line="360" w:lineRule="auto"/>
        <w:ind w:left="720" w:hanging="720"/>
        <w:jc w:val="both"/>
        <w:rPr>
          <w:rFonts w:ascii="David" w:hAnsi="David"/>
          <w:rtl/>
        </w:rPr>
      </w:pPr>
      <w:r>
        <w:rPr>
          <w:rFonts w:ascii="David" w:hAnsi="David"/>
          <w:rtl/>
        </w:rPr>
        <w:tab/>
        <w:t xml:space="preserve">ההליך הטיפולי אותו עובר הנאשם, חלוף הזמן מאז ביצוע העבירות </w:t>
      </w:r>
      <w:r>
        <w:rPr>
          <w:rFonts w:ascii="David" w:hAnsi="David" w:hint="cs"/>
          <w:rtl/>
        </w:rPr>
        <w:t xml:space="preserve">המלמד על שינוי לטובה שחל בנאשם </w:t>
      </w:r>
      <w:r>
        <w:rPr>
          <w:rFonts w:ascii="David" w:hAnsi="David"/>
          <w:rtl/>
        </w:rPr>
        <w:t>והיחסים התקינים בין הצדדים לסכסוך ימצאו את ביטויים לקולא בגזירת עונשו של הנאשם בגדרי המתחם, ובנוסף יביאו לחריגה מטה ממתחם העונש ההולם, אך אין במשקלם כדי שהנאשם לא ירצה את עונשו מאחורי סורג ובריח.</w:t>
      </w:r>
    </w:p>
    <w:p w14:paraId="383F01F0" w14:textId="77777777" w:rsidR="005B0392" w:rsidRDefault="005B0392" w:rsidP="005B0392">
      <w:pPr>
        <w:spacing w:line="360" w:lineRule="auto"/>
        <w:ind w:left="720" w:hanging="720"/>
        <w:jc w:val="both"/>
        <w:rPr>
          <w:rFonts w:ascii="David" w:hAnsi="David"/>
          <w:rtl/>
        </w:rPr>
      </w:pPr>
    </w:p>
    <w:p w14:paraId="643A355E" w14:textId="77777777" w:rsidR="005B0392" w:rsidRDefault="005B0392" w:rsidP="005B0392">
      <w:pPr>
        <w:spacing w:line="360" w:lineRule="auto"/>
        <w:ind w:left="720" w:hanging="720"/>
        <w:jc w:val="both"/>
        <w:rPr>
          <w:rFonts w:ascii="David" w:hAnsi="David"/>
          <w:rtl/>
        </w:rPr>
      </w:pPr>
      <w:r>
        <w:rPr>
          <w:rFonts w:ascii="David" w:hAnsi="David"/>
          <w:rtl/>
        </w:rPr>
        <w:t>40.</w:t>
      </w:r>
      <w:r>
        <w:rPr>
          <w:rFonts w:ascii="David" w:hAnsi="David"/>
          <w:rtl/>
        </w:rPr>
        <w:tab/>
        <w:t xml:space="preserve">אוסיף, מבלי להמעיט במהות ההליך שעבר הנאשם עד כה (פגישות פרטניות וקבוצתיות להבדיל מקהילה סגורה) כי עסקינן בהליך שנמצא בעיצומו, והנאשם יוכל להשלימו גם בין כותלי הכלא. </w:t>
      </w:r>
    </w:p>
    <w:p w14:paraId="281E478B" w14:textId="77777777" w:rsidR="005B0392" w:rsidRDefault="005B0392" w:rsidP="005B0392">
      <w:pPr>
        <w:spacing w:line="360" w:lineRule="auto"/>
        <w:ind w:left="720" w:hanging="720"/>
        <w:jc w:val="both"/>
        <w:rPr>
          <w:rFonts w:ascii="David" w:hAnsi="David"/>
          <w:rtl/>
        </w:rPr>
      </w:pPr>
    </w:p>
    <w:p w14:paraId="2CAB64A8" w14:textId="77777777" w:rsidR="005B0392" w:rsidRDefault="005B0392" w:rsidP="005B0392">
      <w:pPr>
        <w:spacing w:line="360" w:lineRule="auto"/>
        <w:ind w:left="720" w:hanging="720"/>
        <w:jc w:val="both"/>
        <w:rPr>
          <w:rFonts w:ascii="David" w:hAnsi="David"/>
          <w:rtl/>
        </w:rPr>
      </w:pPr>
      <w:r>
        <w:rPr>
          <w:rFonts w:ascii="David" w:hAnsi="David"/>
          <w:rtl/>
        </w:rPr>
        <w:t>41.</w:t>
      </w:r>
      <w:r>
        <w:rPr>
          <w:rFonts w:ascii="David" w:hAnsi="David"/>
          <w:rtl/>
        </w:rPr>
        <w:tab/>
        <w:t xml:space="preserve">זאת ועוד, ההגנה לא הציגה בפני בית המשפט ראיות כי מאסרו של הנאשם מאחורי סורג ובריח יפגע באופן ממשי בסיכויי שיקומו, והדבר גם לא נלמד מתסקירי שירות המבחן. לעניין זה ראה </w:t>
      </w:r>
      <w:r>
        <w:rPr>
          <w:rFonts w:ascii="David" w:hAnsi="David"/>
          <w:b/>
          <w:bCs/>
          <w:rtl/>
        </w:rPr>
        <w:t xml:space="preserve">ת"פ (מחוזי ב"ש) מדינת ישראל נ' אלנבארי 27236-09-10 </w:t>
      </w:r>
      <w:r>
        <w:rPr>
          <w:rFonts w:ascii="David" w:hAnsi="David"/>
          <w:rtl/>
        </w:rPr>
        <w:t xml:space="preserve">(20.02.14): </w:t>
      </w:r>
    </w:p>
    <w:p w14:paraId="46414D9C" w14:textId="77777777" w:rsidR="005B0392" w:rsidRPr="004C0EFC" w:rsidRDefault="005B0392" w:rsidP="005B0392">
      <w:pPr>
        <w:spacing w:line="360" w:lineRule="auto"/>
        <w:ind w:left="720" w:hanging="720"/>
        <w:jc w:val="both"/>
        <w:rPr>
          <w:rFonts w:ascii="David" w:hAnsi="David"/>
          <w:sz w:val="14"/>
          <w:szCs w:val="14"/>
        </w:rPr>
      </w:pPr>
    </w:p>
    <w:p w14:paraId="524B2593" w14:textId="77777777" w:rsidR="005B0392" w:rsidRDefault="005B0392" w:rsidP="005B0392">
      <w:pPr>
        <w:spacing w:line="360" w:lineRule="auto"/>
        <w:ind w:left="1614" w:right="2127"/>
        <w:jc w:val="both"/>
        <w:rPr>
          <w:rFonts w:ascii="David" w:hAnsi="David"/>
          <w:rtl/>
        </w:rPr>
      </w:pPr>
      <w:r>
        <w:rPr>
          <w:rFonts w:ascii="David" w:hAnsi="David"/>
          <w:b/>
          <w:bCs/>
          <w:rtl/>
        </w:rPr>
        <w:t>"מטרותיו העיקריות של סעיף 40ד לחוק, העוסק בסוגיית השיקום היא לאפשר הימנעות ממיצוי הדין, כאשר מיצוי כזה במסגרת מתחם הענישה ההולמת עלול לגרום לפגיעה בשיקום הנאשם.  אין מדובר רק במעין "פרס" על ההליך השיקומי שעבר הנאשם, אלא גם במנגנון שנועד לאפשר הימנעות מפגיעה בשיקום משמעותי, שהושג או צפוי להיות מושג, והעדפת אפשרות זו על פני מיצוי הדין</w:t>
      </w:r>
      <w:r>
        <w:rPr>
          <w:rFonts w:ascii="David" w:hAnsi="David"/>
          <w:rtl/>
        </w:rPr>
        <w:t>".</w:t>
      </w:r>
    </w:p>
    <w:p w14:paraId="27ED5251" w14:textId="77777777" w:rsidR="005B0392" w:rsidRDefault="005B0392" w:rsidP="005B0392">
      <w:pPr>
        <w:spacing w:line="360" w:lineRule="auto"/>
        <w:ind w:left="720" w:hanging="720"/>
        <w:jc w:val="both"/>
        <w:rPr>
          <w:rFonts w:ascii="David" w:hAnsi="David"/>
          <w:rtl/>
        </w:rPr>
      </w:pPr>
    </w:p>
    <w:p w14:paraId="567BC611" w14:textId="77777777" w:rsidR="005B0392" w:rsidRDefault="005B0392" w:rsidP="005B0392">
      <w:pPr>
        <w:spacing w:line="360" w:lineRule="auto"/>
        <w:ind w:left="720"/>
        <w:jc w:val="both"/>
        <w:rPr>
          <w:rFonts w:ascii="David" w:hAnsi="David"/>
          <w:rtl/>
        </w:rPr>
      </w:pPr>
      <w:r>
        <w:rPr>
          <w:rFonts w:ascii="David" w:hAnsi="David"/>
          <w:rtl/>
        </w:rPr>
        <w:t xml:space="preserve">חששו של כל נאשם כי מאסרו מאחורי סורג ובריח יפגע בהמשך שיקומו הנו חשש מובן וטבעי, ובענייננו לא מצאתי כל מניעה כי הנאשם ימשיך את הליך שיקומו בכלא וישלם את חובו לחברה בה פגע. </w:t>
      </w:r>
    </w:p>
    <w:p w14:paraId="656A4F71" w14:textId="77777777" w:rsidR="005B0392" w:rsidRDefault="005B0392" w:rsidP="005B0392">
      <w:pPr>
        <w:spacing w:line="360" w:lineRule="auto"/>
        <w:ind w:left="720"/>
        <w:jc w:val="both"/>
        <w:rPr>
          <w:rFonts w:ascii="David" w:hAnsi="David"/>
          <w:rtl/>
        </w:rPr>
      </w:pPr>
    </w:p>
    <w:p w14:paraId="3A769704" w14:textId="77777777" w:rsidR="005B0392" w:rsidRDefault="005B0392" w:rsidP="005B0392">
      <w:pPr>
        <w:spacing w:line="360" w:lineRule="auto"/>
        <w:ind w:left="720"/>
        <w:jc w:val="both"/>
        <w:rPr>
          <w:rFonts w:ascii="David" w:hAnsi="David"/>
          <w:rtl/>
        </w:rPr>
      </w:pPr>
      <w:r>
        <w:rPr>
          <w:rFonts w:ascii="David" w:hAnsi="David"/>
          <w:rtl/>
        </w:rPr>
        <w:t>לעניין האמור ראה דברי בית המשפט העליון ב</w:t>
      </w:r>
      <w:hyperlink r:id="rId66" w:history="1">
        <w:r w:rsidR="00392CB5" w:rsidRPr="00392CB5">
          <w:rPr>
            <w:rFonts w:ascii="David" w:hAnsi="David"/>
            <w:b/>
            <w:bCs/>
            <w:color w:val="0000FF"/>
            <w:u w:val="single"/>
            <w:rtl/>
          </w:rPr>
          <w:t>ע"פ 2421/21</w:t>
        </w:r>
      </w:hyperlink>
      <w:r>
        <w:rPr>
          <w:rFonts w:ascii="David" w:hAnsi="David"/>
          <w:b/>
          <w:bCs/>
          <w:rtl/>
        </w:rPr>
        <w:t xml:space="preserve"> אוראל ברמי נ' מדינת ישראל </w:t>
      </w:r>
      <w:r>
        <w:rPr>
          <w:rFonts w:ascii="David" w:hAnsi="David"/>
          <w:rtl/>
        </w:rPr>
        <w:t>(7.7.2022):</w:t>
      </w:r>
    </w:p>
    <w:p w14:paraId="728C3CAE" w14:textId="77777777" w:rsidR="005B0392" w:rsidRDefault="005B0392" w:rsidP="005B0392">
      <w:pPr>
        <w:spacing w:line="360" w:lineRule="auto"/>
        <w:ind w:left="720"/>
        <w:jc w:val="both"/>
        <w:rPr>
          <w:rFonts w:ascii="David" w:hAnsi="David"/>
          <w:rtl/>
        </w:rPr>
      </w:pPr>
    </w:p>
    <w:p w14:paraId="0900E350" w14:textId="77777777" w:rsidR="005B0392" w:rsidRDefault="005B0392" w:rsidP="005B0392">
      <w:pPr>
        <w:spacing w:line="360" w:lineRule="auto"/>
        <w:ind w:left="1643" w:right="1276" w:hanging="720"/>
        <w:jc w:val="both"/>
        <w:rPr>
          <w:rFonts w:ascii="David" w:hAnsi="David"/>
          <w:b/>
          <w:bCs/>
          <w:rtl/>
        </w:rPr>
      </w:pPr>
      <w:r>
        <w:rPr>
          <w:rFonts w:ascii="David" w:hAnsi="David"/>
          <w:b/>
          <w:bCs/>
          <w:rtl/>
        </w:rPr>
        <w:tab/>
        <w:t>"'תהליך שיקומי' אינו יכול לשמש כמילת קסם, שהנוקב בה זוכה באופן אוטומטי להקלה בעונש, בשל החשש לפגיעה בתהליך זה. ככל שהשיקום הוא תהליך משמעותי שיש להתחשב בו ... עונש המאסר לא ימוטט אותו, והתהליך יימשך בבית הסוהר, ואף לאחר השחרור. מסופקני, אם תהליך שיקום שיתמוטט בקלות, בעקבות עונש מאסר לתקופה קצרה, הוא כזה שראוי ליתן לו משקל ממשי בקביעת העונש".</w:t>
      </w:r>
    </w:p>
    <w:p w14:paraId="021D3089" w14:textId="77777777" w:rsidR="005B0392" w:rsidRDefault="005B0392" w:rsidP="005B0392">
      <w:pPr>
        <w:spacing w:line="360" w:lineRule="auto"/>
        <w:ind w:left="1643" w:right="1276" w:hanging="720"/>
        <w:jc w:val="both"/>
        <w:rPr>
          <w:rFonts w:ascii="David" w:hAnsi="David"/>
          <w:b/>
          <w:bCs/>
        </w:rPr>
      </w:pPr>
    </w:p>
    <w:p w14:paraId="34DB9B49" w14:textId="77777777" w:rsidR="005B0392" w:rsidRDefault="005B0392" w:rsidP="005B0392">
      <w:pPr>
        <w:spacing w:line="360" w:lineRule="auto"/>
        <w:ind w:left="720" w:hanging="720"/>
        <w:jc w:val="both"/>
        <w:rPr>
          <w:rFonts w:ascii="David" w:hAnsi="David"/>
          <w:highlight w:val="cyan"/>
          <w:rtl/>
        </w:rPr>
      </w:pPr>
      <w:r>
        <w:rPr>
          <w:rFonts w:ascii="David" w:hAnsi="David"/>
          <w:rtl/>
        </w:rPr>
        <w:t xml:space="preserve">42. </w:t>
      </w:r>
      <w:r>
        <w:rPr>
          <w:rFonts w:ascii="David" w:hAnsi="David"/>
          <w:rtl/>
        </w:rPr>
        <w:tab/>
        <w:t xml:space="preserve">טענת ההגנה בדבר "הסולחה" תמצא את ביטויה ברכיב הפיצוי בעיקר אך לא מעבר לכך. מאחר והנאשם והמתלונן מתגוררים כיום בשכנות טובה, לא מצאתי לכלול רכיב של פיצוי בגזר הדין. </w:t>
      </w:r>
    </w:p>
    <w:p w14:paraId="67E11D1B" w14:textId="77777777" w:rsidR="005B0392" w:rsidRDefault="005B0392" w:rsidP="005B0392">
      <w:pPr>
        <w:spacing w:line="360" w:lineRule="auto"/>
        <w:ind w:left="720" w:hanging="720"/>
        <w:jc w:val="both"/>
        <w:rPr>
          <w:rFonts w:ascii="David" w:hAnsi="David"/>
          <w:highlight w:val="cyan"/>
          <w:rtl/>
        </w:rPr>
      </w:pPr>
    </w:p>
    <w:p w14:paraId="422680A1" w14:textId="77777777" w:rsidR="005B0392" w:rsidRDefault="005B0392" w:rsidP="005B0392">
      <w:pPr>
        <w:spacing w:line="360" w:lineRule="auto"/>
        <w:ind w:left="720" w:hanging="720"/>
        <w:jc w:val="both"/>
        <w:rPr>
          <w:rFonts w:ascii="David" w:hAnsi="David"/>
          <w:rtl/>
        </w:rPr>
      </w:pPr>
      <w:r>
        <w:rPr>
          <w:rFonts w:ascii="David" w:hAnsi="David"/>
          <w:rtl/>
        </w:rPr>
        <w:tab/>
        <w:t xml:space="preserve">אשר למשקלה של טענת ה"סולחה" ראה דברי בית המשפט העליון </w:t>
      </w:r>
      <w:r>
        <w:rPr>
          <w:rFonts w:ascii="David" w:hAnsi="David"/>
          <w:b/>
          <w:bCs/>
          <w:rtl/>
        </w:rPr>
        <w:t>בפס"ד סובח</w:t>
      </w:r>
      <w:r>
        <w:rPr>
          <w:rFonts w:ascii="David" w:hAnsi="David"/>
          <w:rtl/>
        </w:rPr>
        <w:t xml:space="preserve"> המוזכר לעיל: </w:t>
      </w:r>
    </w:p>
    <w:p w14:paraId="5A2188F0" w14:textId="77777777" w:rsidR="005B0392" w:rsidRDefault="005B0392" w:rsidP="005B0392">
      <w:pPr>
        <w:spacing w:line="360" w:lineRule="auto"/>
        <w:ind w:left="720" w:hanging="720"/>
        <w:jc w:val="both"/>
        <w:rPr>
          <w:rFonts w:ascii="David" w:hAnsi="David"/>
          <w:rtl/>
        </w:rPr>
      </w:pPr>
    </w:p>
    <w:p w14:paraId="538F40F8" w14:textId="77777777" w:rsidR="005B0392" w:rsidRDefault="005B0392" w:rsidP="005B0392">
      <w:pPr>
        <w:spacing w:line="360" w:lineRule="auto"/>
        <w:ind w:left="1785" w:right="1276" w:hanging="720"/>
        <w:jc w:val="both"/>
        <w:rPr>
          <w:rFonts w:ascii="David" w:hAnsi="David"/>
          <w:b/>
          <w:bCs/>
          <w:rtl/>
        </w:rPr>
      </w:pPr>
      <w:r>
        <w:rPr>
          <w:rFonts w:ascii="David" w:hAnsi="David"/>
          <w:rtl/>
        </w:rPr>
        <w:tab/>
      </w:r>
      <w:r>
        <w:rPr>
          <w:rFonts w:ascii="David" w:hAnsi="David"/>
          <w:b/>
          <w:bCs/>
          <w:rtl/>
        </w:rPr>
        <w:t>"ממלא קיים קושי של ממש לקבוע כי קיומה של 'סולחה' מלמד על נטילת אחריות ממשית מצד מבצע העבירות עצמן... כפי שציינתי בעבר, איני סבור כי יש בעצם יישוב הסכסוך בין הצדדים כדי מיצוי האינטרס הציבורי שבהרתעת הרבים מפני ביצוע מעשים דומים... והוא אינו מאיין את הצורך כי מבצעי עבירה יתנו את הדין על מעשיהם".</w:t>
      </w:r>
    </w:p>
    <w:p w14:paraId="39BC4582" w14:textId="77777777" w:rsidR="005B0392" w:rsidRDefault="005B0392" w:rsidP="005B0392">
      <w:pPr>
        <w:spacing w:line="360" w:lineRule="auto"/>
        <w:ind w:left="720" w:hanging="720"/>
        <w:jc w:val="both"/>
        <w:rPr>
          <w:rFonts w:ascii="David" w:hAnsi="David"/>
          <w:rtl/>
        </w:rPr>
      </w:pPr>
      <w:r>
        <w:rPr>
          <w:rFonts w:ascii="David" w:hAnsi="David"/>
          <w:rtl/>
        </w:rPr>
        <w:tab/>
      </w:r>
    </w:p>
    <w:p w14:paraId="06C356C9" w14:textId="77777777" w:rsidR="005B0392" w:rsidRDefault="005B0392" w:rsidP="005B0392">
      <w:pPr>
        <w:spacing w:line="360" w:lineRule="auto"/>
        <w:ind w:left="720" w:hanging="720"/>
        <w:jc w:val="both"/>
        <w:rPr>
          <w:rFonts w:ascii="David" w:hAnsi="David"/>
          <w:rtl/>
        </w:rPr>
      </w:pPr>
    </w:p>
    <w:p w14:paraId="0EE5063C" w14:textId="77777777" w:rsidR="005B0392" w:rsidRDefault="005B0392" w:rsidP="005B0392">
      <w:pPr>
        <w:spacing w:line="360" w:lineRule="auto"/>
        <w:ind w:left="720" w:hanging="720"/>
        <w:jc w:val="both"/>
        <w:rPr>
          <w:rFonts w:ascii="David" w:hAnsi="David"/>
          <w:rtl/>
        </w:rPr>
      </w:pPr>
    </w:p>
    <w:p w14:paraId="032CDB88" w14:textId="77777777" w:rsidR="005B0392" w:rsidRDefault="005B0392" w:rsidP="005B0392">
      <w:pPr>
        <w:spacing w:line="360" w:lineRule="auto"/>
        <w:ind w:left="720" w:hanging="720"/>
        <w:jc w:val="both"/>
        <w:rPr>
          <w:rFonts w:ascii="David" w:hAnsi="David"/>
          <w:rtl/>
        </w:rPr>
      </w:pPr>
    </w:p>
    <w:p w14:paraId="6AEE9891" w14:textId="77777777" w:rsidR="005B0392" w:rsidRDefault="005B0392" w:rsidP="005B0392">
      <w:pPr>
        <w:spacing w:line="360" w:lineRule="auto"/>
        <w:ind w:left="720" w:hanging="720"/>
        <w:jc w:val="both"/>
        <w:rPr>
          <w:rFonts w:ascii="David" w:hAnsi="David"/>
          <w:rtl/>
        </w:rPr>
      </w:pPr>
    </w:p>
    <w:p w14:paraId="5E5FDA4D" w14:textId="77777777" w:rsidR="005B0392" w:rsidRDefault="005B0392" w:rsidP="005B0392">
      <w:pPr>
        <w:spacing w:line="360" w:lineRule="auto"/>
        <w:ind w:left="720" w:hanging="720"/>
        <w:jc w:val="both"/>
        <w:rPr>
          <w:rFonts w:ascii="David" w:hAnsi="David"/>
          <w:rtl/>
        </w:rPr>
      </w:pPr>
    </w:p>
    <w:p w14:paraId="1E46B4D6" w14:textId="77777777" w:rsidR="005B0392" w:rsidRDefault="005B0392" w:rsidP="005B0392">
      <w:pPr>
        <w:spacing w:line="360" w:lineRule="auto"/>
        <w:ind w:left="720" w:hanging="720"/>
        <w:jc w:val="both"/>
        <w:rPr>
          <w:rFonts w:ascii="David" w:hAnsi="David"/>
          <w:rtl/>
        </w:rPr>
      </w:pPr>
      <w:r>
        <w:rPr>
          <w:rFonts w:ascii="David" w:hAnsi="David"/>
          <w:rtl/>
        </w:rPr>
        <w:t>43.</w:t>
      </w:r>
      <w:r>
        <w:rPr>
          <w:rFonts w:ascii="David" w:hAnsi="David"/>
          <w:rtl/>
        </w:rPr>
        <w:tab/>
        <w:t xml:space="preserve">אשר על כן ולאור האמור לעיל, אני גוזר על הנאשם את העונשים הבאים: </w:t>
      </w:r>
    </w:p>
    <w:p w14:paraId="199428B2" w14:textId="77777777" w:rsidR="005B0392" w:rsidRDefault="005B0392" w:rsidP="005B0392">
      <w:pPr>
        <w:spacing w:line="360" w:lineRule="auto"/>
        <w:ind w:left="720" w:hanging="720"/>
        <w:jc w:val="both"/>
        <w:rPr>
          <w:rFonts w:ascii="David" w:hAnsi="David"/>
          <w:rtl/>
        </w:rPr>
      </w:pPr>
    </w:p>
    <w:p w14:paraId="63E9FBEB" w14:textId="77777777" w:rsidR="005B0392" w:rsidRDefault="005B0392" w:rsidP="005B0392">
      <w:pPr>
        <w:spacing w:line="360" w:lineRule="auto"/>
        <w:ind w:left="720"/>
        <w:jc w:val="both"/>
        <w:rPr>
          <w:rFonts w:ascii="David" w:hAnsi="David"/>
          <w:rtl/>
        </w:rPr>
      </w:pPr>
      <w:r>
        <w:rPr>
          <w:rFonts w:ascii="David" w:hAnsi="David"/>
          <w:rtl/>
        </w:rPr>
        <w:t xml:space="preserve">א. </w:t>
      </w:r>
      <w:r>
        <w:rPr>
          <w:rFonts w:ascii="David" w:hAnsi="David"/>
          <w:rtl/>
        </w:rPr>
        <w:tab/>
        <w:t>12 חודשי מאסר בפועל.</w:t>
      </w:r>
    </w:p>
    <w:p w14:paraId="22725C9C" w14:textId="77777777" w:rsidR="005B0392" w:rsidRDefault="005B0392" w:rsidP="005B0392">
      <w:pPr>
        <w:spacing w:line="360" w:lineRule="auto"/>
        <w:ind w:left="720"/>
        <w:jc w:val="both"/>
        <w:rPr>
          <w:rFonts w:ascii="David" w:hAnsi="David"/>
          <w:rtl/>
        </w:rPr>
      </w:pPr>
    </w:p>
    <w:p w14:paraId="18579847" w14:textId="77777777" w:rsidR="005B0392" w:rsidRDefault="005B0392" w:rsidP="005B0392">
      <w:pPr>
        <w:spacing w:line="360" w:lineRule="auto"/>
        <w:ind w:left="1440" w:hanging="720"/>
        <w:jc w:val="both"/>
        <w:rPr>
          <w:rFonts w:ascii="David" w:hAnsi="David"/>
          <w:rtl/>
        </w:rPr>
      </w:pPr>
      <w:r>
        <w:rPr>
          <w:rFonts w:ascii="David" w:hAnsi="David"/>
          <w:rtl/>
        </w:rPr>
        <w:t>ב.</w:t>
      </w:r>
      <w:r>
        <w:rPr>
          <w:rFonts w:ascii="David" w:hAnsi="David"/>
          <w:rtl/>
        </w:rPr>
        <w:tab/>
        <w:t xml:space="preserve">12 חודשי מאסר על תנאי למשך 3 שנים מיום שחרורו, שלא יעבור עבירה  לפי סעיף </w:t>
      </w:r>
      <w:hyperlink r:id="rId67" w:history="1">
        <w:r w:rsidR="00AE2BE6" w:rsidRPr="00AE2BE6">
          <w:rPr>
            <w:rStyle w:val="Hyperlink"/>
            <w:rFonts w:ascii="David" w:hAnsi="David"/>
            <w:color w:val="0000FF"/>
            <w:rtl/>
          </w:rPr>
          <w:t xml:space="preserve">144 </w:t>
        </w:r>
      </w:hyperlink>
      <w:r>
        <w:rPr>
          <w:rFonts w:ascii="David" w:hAnsi="David"/>
          <w:rtl/>
        </w:rPr>
        <w:t xml:space="preserve">  או לפי </w:t>
      </w:r>
      <w:hyperlink r:id="rId68" w:history="1">
        <w:r w:rsidR="00AE2BE6" w:rsidRPr="00AE2BE6">
          <w:rPr>
            <w:rStyle w:val="Hyperlink"/>
            <w:rFonts w:ascii="David" w:hAnsi="David"/>
            <w:color w:val="0000FF"/>
            <w:rtl/>
          </w:rPr>
          <w:t>סעיף 340</w:t>
        </w:r>
      </w:hyperlink>
      <w:r>
        <w:rPr>
          <w:rFonts w:ascii="David" w:hAnsi="David"/>
          <w:rtl/>
        </w:rPr>
        <w:t xml:space="preserve"> ל</w:t>
      </w:r>
      <w:hyperlink r:id="rId69" w:history="1">
        <w:r w:rsidR="00392CB5" w:rsidRPr="00392CB5">
          <w:rPr>
            <w:rFonts w:ascii="David" w:hAnsi="David"/>
            <w:color w:val="0000FF"/>
            <w:u w:val="single"/>
            <w:rtl/>
          </w:rPr>
          <w:t>חוק העונשין</w:t>
        </w:r>
      </w:hyperlink>
      <w:r>
        <w:rPr>
          <w:rFonts w:ascii="David" w:hAnsi="David"/>
          <w:rtl/>
        </w:rPr>
        <w:t>.</w:t>
      </w:r>
    </w:p>
    <w:p w14:paraId="737999D5" w14:textId="77777777" w:rsidR="005B0392" w:rsidRDefault="005B0392" w:rsidP="005B0392">
      <w:pPr>
        <w:spacing w:line="360" w:lineRule="auto"/>
        <w:ind w:left="720" w:hanging="720"/>
        <w:jc w:val="both"/>
        <w:rPr>
          <w:rFonts w:ascii="David" w:hAnsi="David"/>
          <w:rtl/>
        </w:rPr>
      </w:pPr>
    </w:p>
    <w:p w14:paraId="1B0F6982" w14:textId="77777777" w:rsidR="005B0392" w:rsidRDefault="005B0392" w:rsidP="005B0392">
      <w:pPr>
        <w:spacing w:line="360" w:lineRule="auto"/>
        <w:ind w:left="1440" w:hanging="720"/>
        <w:jc w:val="both"/>
        <w:rPr>
          <w:rFonts w:ascii="David" w:hAnsi="David"/>
          <w:rtl/>
        </w:rPr>
      </w:pPr>
      <w:r>
        <w:rPr>
          <w:rFonts w:ascii="David" w:hAnsi="David"/>
          <w:rtl/>
        </w:rPr>
        <w:t>ג.</w:t>
      </w:r>
      <w:r>
        <w:rPr>
          <w:rFonts w:ascii="David" w:hAnsi="David"/>
          <w:rtl/>
        </w:rPr>
        <w:tab/>
        <w:t>6 חודשי מאסר על תנאי למשך שנתיים מיום שחרורו, שלא יעבור עבירת אלימות מסוג פשע.</w:t>
      </w:r>
    </w:p>
    <w:p w14:paraId="394F4DB5" w14:textId="77777777" w:rsidR="005B0392" w:rsidRDefault="005B0392" w:rsidP="005B0392">
      <w:pPr>
        <w:spacing w:line="360" w:lineRule="auto"/>
        <w:ind w:left="1440" w:hanging="720"/>
        <w:jc w:val="both"/>
        <w:rPr>
          <w:rFonts w:ascii="David" w:hAnsi="David"/>
          <w:rtl/>
        </w:rPr>
      </w:pPr>
    </w:p>
    <w:p w14:paraId="3264FC69" w14:textId="77777777" w:rsidR="005B0392" w:rsidRDefault="005B0392" w:rsidP="005B0392">
      <w:pPr>
        <w:spacing w:line="360" w:lineRule="auto"/>
        <w:ind w:left="1440" w:hanging="720"/>
        <w:jc w:val="both"/>
        <w:rPr>
          <w:rFonts w:ascii="David" w:hAnsi="David"/>
          <w:rtl/>
        </w:rPr>
      </w:pPr>
      <w:r>
        <w:rPr>
          <w:rFonts w:ascii="David" w:hAnsi="David"/>
          <w:rtl/>
        </w:rPr>
        <w:t>ד.</w:t>
      </w:r>
      <w:r>
        <w:rPr>
          <w:rFonts w:ascii="David" w:hAnsi="David"/>
          <w:rtl/>
        </w:rPr>
        <w:tab/>
        <w:t xml:space="preserve">קנס בסך 7,000 ש"ח או </w:t>
      </w:r>
      <w:r>
        <w:rPr>
          <w:rFonts w:ascii="David" w:hAnsi="David" w:hint="cs"/>
          <w:rtl/>
        </w:rPr>
        <w:t>45</w:t>
      </w:r>
      <w:r>
        <w:rPr>
          <w:rFonts w:ascii="David" w:hAnsi="David"/>
          <w:rtl/>
        </w:rPr>
        <w:t xml:space="preserve"> ימי מאסר תמורתו. הקנס ישולם ב- 7 תשלומים חודשים שווים ורצופים בסך 1,000 ₪ כל אחד החל מיום 01.09.25 ומידי כל 01 בכל חודש. </w:t>
      </w:r>
    </w:p>
    <w:p w14:paraId="673411F2" w14:textId="77777777" w:rsidR="005B0392" w:rsidRDefault="005B0392" w:rsidP="005B0392">
      <w:pPr>
        <w:spacing w:line="360" w:lineRule="auto"/>
        <w:jc w:val="both"/>
        <w:rPr>
          <w:rFonts w:ascii="David" w:hAnsi="David"/>
          <w:b/>
          <w:bCs/>
          <w:rtl/>
        </w:rPr>
      </w:pPr>
    </w:p>
    <w:p w14:paraId="53A16DE5" w14:textId="77777777" w:rsidR="005B0392" w:rsidRDefault="005B0392" w:rsidP="005B0392">
      <w:pPr>
        <w:spacing w:line="360" w:lineRule="auto"/>
        <w:jc w:val="both"/>
      </w:pPr>
      <w:r>
        <w:rPr>
          <w:rtl/>
        </w:rPr>
        <w:t>לידיעת הנאשם, ניתן יהיה לשלם את</w:t>
      </w:r>
      <w:r>
        <w:rPr>
          <w:rFonts w:hint="cs"/>
          <w:rtl/>
        </w:rPr>
        <w:t xml:space="preserve"> הקנס</w:t>
      </w:r>
      <w:r>
        <w:rPr>
          <w:rtl/>
        </w:rPr>
        <w:t xml:space="preserve"> לחשבון המרכז לגביית קנסות, אגרות והוצאות ברשות האכיפה והגבייה באחת מהדרכים הבאות:</w:t>
      </w:r>
    </w:p>
    <w:p w14:paraId="7301C321" w14:textId="77777777" w:rsidR="005B0392" w:rsidRDefault="005B0392" w:rsidP="005B0392"/>
    <w:p w14:paraId="25A7BA22" w14:textId="77777777" w:rsidR="005B0392" w:rsidRDefault="005B0392" w:rsidP="005B0392">
      <w:pPr>
        <w:pStyle w:val="a9"/>
        <w:numPr>
          <w:ilvl w:val="0"/>
          <w:numId w:val="1"/>
        </w:numPr>
        <w:spacing w:after="0" w:line="240" w:lineRule="auto"/>
        <w:jc w:val="both"/>
        <w:rPr>
          <w:rFonts w:ascii="David" w:hAnsi="David"/>
          <w:b/>
          <w:bCs/>
          <w:rtl/>
        </w:rPr>
      </w:pPr>
      <w:r>
        <w:rPr>
          <w:rFonts w:ascii="David" w:hAnsi="David"/>
          <w:b/>
          <w:bCs/>
          <w:rtl/>
        </w:rPr>
        <w:t>בכרטיס אשראי</w:t>
      </w:r>
      <w:r>
        <w:rPr>
          <w:rFonts w:ascii="David" w:hAnsi="David"/>
          <w:rtl/>
        </w:rPr>
        <w:t xml:space="preserve"> – באתר המקוון של רשות האכיפה והגבייה, </w:t>
      </w:r>
      <w:hyperlink r:id="rId70" w:history="1">
        <w:r>
          <w:rPr>
            <w:rStyle w:val="Hyperlink"/>
            <w:rFonts w:ascii="David" w:hAnsi="David"/>
          </w:rPr>
          <w:t>www.eca.gov.il</w:t>
        </w:r>
      </w:hyperlink>
      <w:r>
        <w:rPr>
          <w:rFonts w:ascii="David" w:hAnsi="David"/>
        </w:rPr>
        <w:t xml:space="preserve"> </w:t>
      </w:r>
      <w:r w:rsidR="00392CB5">
        <w:rPr>
          <w:rFonts w:ascii="David" w:hAnsi="David"/>
          <w:rtl/>
        </w:rPr>
        <w:t xml:space="preserve"> </w:t>
      </w:r>
    </w:p>
    <w:p w14:paraId="2E9C689E" w14:textId="77777777" w:rsidR="005B0392" w:rsidRDefault="005B0392" w:rsidP="005B0392">
      <w:pPr>
        <w:pStyle w:val="a9"/>
        <w:numPr>
          <w:ilvl w:val="0"/>
          <w:numId w:val="1"/>
        </w:numPr>
        <w:spacing w:after="0" w:line="240" w:lineRule="auto"/>
        <w:jc w:val="both"/>
        <w:rPr>
          <w:rFonts w:ascii="David" w:hAnsi="David"/>
          <w:b/>
          <w:bCs/>
        </w:rPr>
      </w:pPr>
      <w:r>
        <w:rPr>
          <w:rFonts w:ascii="David" w:hAnsi="David"/>
          <w:b/>
          <w:bCs/>
          <w:rtl/>
        </w:rPr>
        <w:t>מוקד שירות טלפוני בשרות עצמי (מרכז גבייה)</w:t>
      </w:r>
      <w:r w:rsidR="00392CB5">
        <w:rPr>
          <w:rFonts w:ascii="David" w:hAnsi="David"/>
          <w:b/>
          <w:bCs/>
          <w:rtl/>
        </w:rPr>
        <w:t xml:space="preserve"> </w:t>
      </w:r>
      <w:r>
        <w:rPr>
          <w:rFonts w:ascii="David" w:hAnsi="David"/>
          <w:b/>
          <w:bCs/>
          <w:rtl/>
        </w:rPr>
        <w:t xml:space="preserve"> – בטלפון 35592* או בטלפון 073-2055000</w:t>
      </w:r>
    </w:p>
    <w:p w14:paraId="41664D11" w14:textId="77777777" w:rsidR="005B0392" w:rsidRDefault="005B0392" w:rsidP="005B0392">
      <w:pPr>
        <w:pStyle w:val="a9"/>
        <w:numPr>
          <w:ilvl w:val="0"/>
          <w:numId w:val="1"/>
        </w:numPr>
        <w:spacing w:after="0" w:line="240" w:lineRule="auto"/>
        <w:jc w:val="both"/>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0CA74C96" w14:textId="77777777" w:rsidR="005B0392" w:rsidRPr="004B03E2" w:rsidRDefault="005B0392" w:rsidP="005B0392"/>
    <w:p w14:paraId="0931CDF1" w14:textId="77777777" w:rsidR="005B0392" w:rsidRPr="00392CB5" w:rsidRDefault="00392CB5" w:rsidP="005B0392">
      <w:pPr>
        <w:spacing w:line="360" w:lineRule="auto"/>
        <w:jc w:val="both"/>
        <w:rPr>
          <w:rFonts w:ascii="David" w:hAnsi="David"/>
          <w:b/>
          <w:bCs/>
          <w:color w:val="FFFFFF"/>
          <w:sz w:val="2"/>
          <w:szCs w:val="2"/>
          <w:rtl/>
        </w:rPr>
      </w:pPr>
      <w:r w:rsidRPr="00392CB5">
        <w:rPr>
          <w:rFonts w:ascii="David" w:hAnsi="David"/>
          <w:b/>
          <w:bCs/>
          <w:color w:val="FFFFFF"/>
          <w:sz w:val="2"/>
          <w:szCs w:val="2"/>
          <w:rtl/>
        </w:rPr>
        <w:t>5129371</w:t>
      </w:r>
    </w:p>
    <w:p w14:paraId="56B659E9" w14:textId="77777777" w:rsidR="005B0392" w:rsidRPr="000F2247" w:rsidRDefault="00392CB5" w:rsidP="005B0392">
      <w:pPr>
        <w:spacing w:line="360" w:lineRule="auto"/>
        <w:jc w:val="both"/>
        <w:rPr>
          <w:rFonts w:ascii="Arial" w:hAnsi="Arial"/>
          <w:b/>
          <w:bCs/>
          <w:sz w:val="26"/>
          <w:szCs w:val="26"/>
          <w:rtl/>
        </w:rPr>
      </w:pPr>
      <w:r w:rsidRPr="00392CB5">
        <w:rPr>
          <w:rFonts w:ascii="David" w:hAnsi="David"/>
          <w:b/>
          <w:bCs/>
          <w:color w:val="FFFFFF"/>
          <w:sz w:val="2"/>
          <w:szCs w:val="2"/>
          <w:rtl/>
        </w:rPr>
        <w:t>54678313</w:t>
      </w:r>
      <w:r w:rsidR="005B0392">
        <w:rPr>
          <w:rFonts w:ascii="David" w:hAnsi="David"/>
          <w:b/>
          <w:bCs/>
          <w:rtl/>
        </w:rPr>
        <w:t>זכות ערעור תוך 45 ימים לבית המשפט העליון.</w:t>
      </w:r>
    </w:p>
    <w:p w14:paraId="2CA424CD" w14:textId="77777777" w:rsidR="005B0392" w:rsidRPr="000F2247" w:rsidRDefault="005B0392" w:rsidP="005B0392">
      <w:pPr>
        <w:rPr>
          <w:rFonts w:ascii="Arial" w:hAnsi="Arial"/>
          <w:b/>
          <w:bCs/>
          <w:sz w:val="26"/>
          <w:szCs w:val="26"/>
          <w:rtl/>
        </w:rPr>
      </w:pPr>
    </w:p>
    <w:p w14:paraId="30248831" w14:textId="77777777" w:rsidR="00392CB5" w:rsidRDefault="00392CB5" w:rsidP="00392CB5">
      <w:bookmarkStart w:id="10" w:name="Nitan"/>
      <w:r>
        <w:rPr>
          <w:rFonts w:ascii="Arial" w:hAnsi="Arial"/>
          <w:b/>
          <w:bCs/>
          <w:sz w:val="26"/>
          <w:szCs w:val="26"/>
          <w:rtl/>
        </w:rPr>
        <w:t xml:space="preserve">ניתן היום,  כ"ד ניסן תשפ"ה, 22 אפריל 2025, במעמד הצדדים. </w:t>
      </w:r>
      <w:bookmarkEnd w:id="10"/>
      <w:r w:rsidR="005B0392">
        <w:rPr>
          <w:rFonts w:ascii="Arial" w:hAnsi="Arial"/>
          <w:b/>
          <w:bCs/>
          <w:sz w:val="26"/>
          <w:szCs w:val="26"/>
          <w:rtl/>
        </w:rPr>
        <w:tab/>
      </w:r>
      <w:r w:rsidR="005B0392">
        <w:rPr>
          <w:rFonts w:ascii="Arial" w:hAnsi="Arial"/>
          <w:b/>
          <w:bCs/>
          <w:sz w:val="26"/>
          <w:szCs w:val="26"/>
          <w:rtl/>
        </w:rPr>
        <w:tab/>
      </w:r>
      <w:r w:rsidR="005B0392">
        <w:rPr>
          <w:rFonts w:ascii="Arial" w:hAnsi="Arial"/>
          <w:b/>
          <w:bCs/>
          <w:sz w:val="26"/>
          <w:szCs w:val="26"/>
          <w:rtl/>
        </w:rPr>
        <w:tab/>
      </w:r>
    </w:p>
    <w:p w14:paraId="048990BA" w14:textId="77777777" w:rsidR="00392CB5" w:rsidRDefault="00392CB5" w:rsidP="00392CB5">
      <w:pPr>
        <w:rPr>
          <w:rtl/>
        </w:rPr>
      </w:pPr>
    </w:p>
    <w:p w14:paraId="2C81E9A4" w14:textId="77777777" w:rsidR="00392CB5" w:rsidRDefault="00392CB5" w:rsidP="00392CB5">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0EED09A7" w14:textId="77777777" w:rsidR="00AE2BE6" w:rsidRPr="00AE2BE6" w:rsidRDefault="00AE2BE6" w:rsidP="00AE2BE6">
      <w:pPr>
        <w:keepNext/>
        <w:rPr>
          <w:rFonts w:ascii="David" w:hAnsi="David"/>
          <w:color w:val="000000"/>
          <w:sz w:val="22"/>
          <w:szCs w:val="22"/>
          <w:rtl/>
        </w:rPr>
      </w:pPr>
    </w:p>
    <w:p w14:paraId="369813AD" w14:textId="77777777" w:rsidR="00AE2BE6" w:rsidRPr="00AE2BE6" w:rsidRDefault="00AE2BE6" w:rsidP="00AE2BE6">
      <w:pPr>
        <w:keepNext/>
        <w:rPr>
          <w:rFonts w:ascii="David" w:hAnsi="David"/>
          <w:color w:val="000000"/>
          <w:sz w:val="22"/>
          <w:szCs w:val="22"/>
          <w:rtl/>
        </w:rPr>
      </w:pPr>
      <w:r w:rsidRPr="00AE2BE6">
        <w:rPr>
          <w:rFonts w:ascii="David" w:hAnsi="David"/>
          <w:color w:val="000000"/>
          <w:sz w:val="22"/>
          <w:szCs w:val="22"/>
          <w:rtl/>
        </w:rPr>
        <w:t>אלון גביזון 54678313-/</w:t>
      </w:r>
    </w:p>
    <w:p w14:paraId="03379CAF" w14:textId="77777777" w:rsidR="00392CB5" w:rsidRPr="00392CB5" w:rsidRDefault="00AE2BE6" w:rsidP="00AE2BE6">
      <w:pPr>
        <w:rPr>
          <w:color w:val="0000FF"/>
          <w:u w:val="single"/>
        </w:rPr>
      </w:pPr>
      <w:r w:rsidRPr="00AE2BE6">
        <w:rPr>
          <w:color w:val="000000"/>
          <w:u w:val="single"/>
          <w:rtl/>
        </w:rPr>
        <w:t>נוסח מסמך זה כפוף לשינויי ניסוח ועריכה</w:t>
      </w:r>
    </w:p>
    <w:sectPr w:rsidR="00392CB5" w:rsidRPr="00392CB5" w:rsidSect="00AE2BE6">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BD7E4" w14:textId="77777777" w:rsidR="004F162C" w:rsidRDefault="004F162C" w:rsidP="00F22722">
      <w:r>
        <w:separator/>
      </w:r>
    </w:p>
  </w:endnote>
  <w:endnote w:type="continuationSeparator" w:id="0">
    <w:p w14:paraId="0D87BF08" w14:textId="77777777" w:rsidR="004F162C" w:rsidRDefault="004F162C" w:rsidP="00F22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0D1A7" w14:textId="77777777" w:rsidR="00AE2BE6" w:rsidRDefault="00AE2BE6" w:rsidP="00AE2BE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9C796E2" w14:textId="77777777" w:rsidR="00B71E21" w:rsidRPr="00AE2BE6" w:rsidRDefault="00AE2BE6" w:rsidP="00AE2BE6">
    <w:pPr>
      <w:pStyle w:val="a5"/>
      <w:pBdr>
        <w:top w:val="single" w:sz="4" w:space="1" w:color="auto"/>
        <w:between w:val="single" w:sz="4" w:space="0" w:color="auto"/>
      </w:pBdr>
      <w:spacing w:after="60"/>
      <w:jc w:val="center"/>
      <w:rPr>
        <w:rFonts w:ascii="FrankRuehl" w:hAnsi="FrankRuehl" w:cs="FrankRuehl"/>
        <w:color w:val="000000"/>
      </w:rPr>
    </w:pPr>
    <w:r w:rsidRPr="00AE2B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857A7" w14:textId="77777777" w:rsidR="00AE2BE6" w:rsidRDefault="00AE2BE6" w:rsidP="00AE2BE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4203A">
      <w:rPr>
        <w:rFonts w:ascii="FrankRuehl" w:hAnsi="FrankRuehl" w:cs="FrankRuehl"/>
        <w:noProof/>
        <w:rtl/>
      </w:rPr>
      <w:t>1</w:t>
    </w:r>
    <w:r>
      <w:rPr>
        <w:rFonts w:ascii="FrankRuehl" w:hAnsi="FrankRuehl" w:cs="FrankRuehl"/>
        <w:rtl/>
      </w:rPr>
      <w:fldChar w:fldCharType="end"/>
    </w:r>
  </w:p>
  <w:p w14:paraId="45776B53" w14:textId="77777777" w:rsidR="00B71E21" w:rsidRPr="00AE2BE6" w:rsidRDefault="00AE2BE6" w:rsidP="00AE2BE6">
    <w:pPr>
      <w:pStyle w:val="a5"/>
      <w:pBdr>
        <w:top w:val="single" w:sz="4" w:space="1" w:color="auto"/>
        <w:between w:val="single" w:sz="4" w:space="0" w:color="auto"/>
      </w:pBdr>
      <w:spacing w:after="60"/>
      <w:jc w:val="center"/>
      <w:rPr>
        <w:rFonts w:ascii="FrankRuehl" w:hAnsi="FrankRuehl" w:cs="FrankRuehl"/>
        <w:color w:val="000000"/>
      </w:rPr>
    </w:pPr>
    <w:r w:rsidRPr="00AE2BE6">
      <w:rPr>
        <w:rFonts w:ascii="FrankRuehl" w:hAnsi="FrankRuehl" w:cs="FrankRuehl"/>
        <w:color w:val="000000"/>
      </w:rPr>
      <w:pict w14:anchorId="25C28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6F6E2" w14:textId="77777777" w:rsidR="004F162C" w:rsidRDefault="004F162C" w:rsidP="00F22722">
      <w:r>
        <w:separator/>
      </w:r>
    </w:p>
  </w:footnote>
  <w:footnote w:type="continuationSeparator" w:id="0">
    <w:p w14:paraId="587E0EE8" w14:textId="77777777" w:rsidR="004F162C" w:rsidRDefault="004F162C" w:rsidP="00F22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E9D8D" w14:textId="77777777" w:rsidR="00392CB5" w:rsidRPr="00AE2BE6" w:rsidRDefault="00AE2BE6" w:rsidP="00AE2BE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57000-05-22</w:t>
    </w:r>
    <w:r>
      <w:rPr>
        <w:rFonts w:ascii="David" w:hAnsi="David"/>
        <w:color w:val="000000"/>
        <w:sz w:val="22"/>
        <w:szCs w:val="22"/>
        <w:rtl/>
      </w:rPr>
      <w:tab/>
      <w:t xml:space="preserve"> מדינת ישראל נ' שאקר זיאדנה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8D604" w14:textId="77777777" w:rsidR="00392CB5" w:rsidRPr="00AE2BE6" w:rsidRDefault="00AE2BE6" w:rsidP="00AE2BE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57000-05-22</w:t>
    </w:r>
    <w:r>
      <w:rPr>
        <w:rFonts w:ascii="David" w:hAnsi="David"/>
        <w:color w:val="000000"/>
        <w:sz w:val="22"/>
        <w:szCs w:val="22"/>
        <w:rtl/>
      </w:rPr>
      <w:tab/>
      <w:t xml:space="preserve"> מדינת ישראל נ' שאקר זיאדנה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num w:numId="1" w16cid:durableId="683630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0392"/>
    <w:rsid w:val="00392CB5"/>
    <w:rsid w:val="004F162C"/>
    <w:rsid w:val="005B0392"/>
    <w:rsid w:val="005B0A15"/>
    <w:rsid w:val="00A912ED"/>
    <w:rsid w:val="00AE2BE6"/>
    <w:rsid w:val="00B4203A"/>
    <w:rsid w:val="00B71E21"/>
    <w:rsid w:val="00C25AD8"/>
    <w:rsid w:val="00F227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C05091"/>
  <w15:chartTrackingRefBased/>
  <w15:docId w15:val="{9EF4AA71-85ED-41AD-9B9F-77BCB3FD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039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B0392"/>
    <w:pPr>
      <w:tabs>
        <w:tab w:val="center" w:pos="4153"/>
        <w:tab w:val="right" w:pos="8306"/>
      </w:tabs>
    </w:pPr>
  </w:style>
  <w:style w:type="character" w:customStyle="1" w:styleId="a4">
    <w:name w:val="כותרת עליונה תו"/>
    <w:link w:val="a3"/>
    <w:rsid w:val="005B0392"/>
    <w:rPr>
      <w:rFonts w:ascii="Times New Roman" w:eastAsia="Times New Roman" w:hAnsi="Times New Roman" w:cs="David"/>
      <w:sz w:val="24"/>
      <w:szCs w:val="24"/>
    </w:rPr>
  </w:style>
  <w:style w:type="paragraph" w:styleId="a5">
    <w:name w:val="footer"/>
    <w:basedOn w:val="a"/>
    <w:link w:val="a6"/>
    <w:rsid w:val="005B0392"/>
    <w:pPr>
      <w:tabs>
        <w:tab w:val="center" w:pos="4153"/>
        <w:tab w:val="right" w:pos="8306"/>
      </w:tabs>
    </w:pPr>
  </w:style>
  <w:style w:type="character" w:customStyle="1" w:styleId="a6">
    <w:name w:val="כותרת תחתונה תו"/>
    <w:link w:val="a5"/>
    <w:rsid w:val="005B0392"/>
    <w:rPr>
      <w:rFonts w:ascii="Times New Roman" w:eastAsia="Times New Roman" w:hAnsi="Times New Roman" w:cs="David"/>
      <w:sz w:val="24"/>
      <w:szCs w:val="24"/>
    </w:rPr>
  </w:style>
  <w:style w:type="table" w:styleId="a7">
    <w:name w:val="Table Grid"/>
    <w:basedOn w:val="a1"/>
    <w:rsid w:val="005B039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B0392"/>
  </w:style>
  <w:style w:type="paragraph" w:styleId="a9">
    <w:name w:val="List Paragraph"/>
    <w:basedOn w:val="a"/>
    <w:link w:val="aa"/>
    <w:qFormat/>
    <w:rsid w:val="005B0392"/>
    <w:pPr>
      <w:spacing w:after="160" w:line="256" w:lineRule="auto"/>
      <w:ind w:left="720"/>
      <w:contextualSpacing/>
    </w:pPr>
    <w:rPr>
      <w:rFonts w:ascii="Calibri" w:eastAsia="Calibri" w:hAnsi="Calibri" w:cs="Arial"/>
      <w:kern w:val="2"/>
      <w:sz w:val="22"/>
      <w:szCs w:val="22"/>
    </w:rPr>
  </w:style>
  <w:style w:type="character" w:styleId="Hyperlink">
    <w:name w:val="Hyperlink"/>
    <w:rsid w:val="005B0392"/>
    <w:rPr>
      <w:color w:val="0563C1"/>
      <w:u w:val="single"/>
    </w:rPr>
  </w:style>
  <w:style w:type="character" w:customStyle="1" w:styleId="aa">
    <w:name w:val="פיסקת רשימה תו"/>
    <w:link w:val="a9"/>
    <w:locked/>
    <w:rsid w:val="005B0392"/>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safrut/bookgroup/2870" TargetMode="External"/><Relationship Id="rId21" Type="http://schemas.openxmlformats.org/officeDocument/2006/relationships/hyperlink" Target="http://www.nevo.co.il/law/70301/413e" TargetMode="External"/><Relationship Id="rId42" Type="http://schemas.openxmlformats.org/officeDocument/2006/relationships/hyperlink" Target="http://www.nevo.co.il/case/25824863" TargetMode="External"/><Relationship Id="rId47" Type="http://schemas.openxmlformats.org/officeDocument/2006/relationships/hyperlink" Target="http://www.nevo.co.il/law/70301/340a" TargetMode="External"/><Relationship Id="rId63" Type="http://schemas.openxmlformats.org/officeDocument/2006/relationships/hyperlink" Target="http://www.nevo.co.il/case/28092391" TargetMode="External"/><Relationship Id="rId68" Type="http://schemas.openxmlformats.org/officeDocument/2006/relationships/hyperlink" Target="http://www.nevo.co.il/law/70301/340" TargetMode="External"/><Relationship Id="rId16" Type="http://schemas.openxmlformats.org/officeDocument/2006/relationships/hyperlink" Target="http://www.nevo.co.il/law/70301/340a"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law/70301/19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340.a" TargetMode="External"/><Relationship Id="rId66" Type="http://schemas.openxmlformats.org/officeDocument/2006/relationships/hyperlink" Target="http://www.nevo.co.il/case/27529712"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0301/340a.b.2" TargetMode="External"/><Relationship Id="rId14" Type="http://schemas.openxmlformats.org/officeDocument/2006/relationships/hyperlink" Target="http://www.nevo.co.il/law/70301/340" TargetMode="External"/><Relationship Id="rId22" Type="http://schemas.openxmlformats.org/officeDocument/2006/relationships/hyperlink" Target="http://www.nevo.co.il/law/70301/340a.b.1" TargetMode="External"/><Relationship Id="rId27" Type="http://schemas.openxmlformats.org/officeDocument/2006/relationships/hyperlink" Target="http://www.nevo.co.il/law/70301/40d"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30268293" TargetMode="External"/><Relationship Id="rId48" Type="http://schemas.openxmlformats.org/officeDocument/2006/relationships/hyperlink" Target="http://www.nevo.co.il/case/27059478" TargetMode="External"/><Relationship Id="rId56" Type="http://schemas.openxmlformats.org/officeDocument/2006/relationships/hyperlink" Target="http://www.nevo.co.il/law/70301/413e"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 TargetMode="External"/><Relationship Id="rId77" Type="http://schemas.openxmlformats.org/officeDocument/2006/relationships/theme" Target="theme/theme1.xml"/><Relationship Id="rId8"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340a.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7309272" TargetMode="External"/><Relationship Id="rId38" Type="http://schemas.openxmlformats.org/officeDocument/2006/relationships/hyperlink" Target="http://www.nevo.co.il/case/27603872" TargetMode="External"/><Relationship Id="rId46" Type="http://schemas.openxmlformats.org/officeDocument/2006/relationships/hyperlink" Target="http://www.nevo.co.il/case/5974621"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0301/144" TargetMode="External"/><Relationship Id="rId20" Type="http://schemas.openxmlformats.org/officeDocument/2006/relationships/hyperlink" Target="http://www.nevo.co.il/law/70301/380" TargetMode="External"/><Relationship Id="rId41" Type="http://schemas.openxmlformats.org/officeDocument/2006/relationships/hyperlink" Target="http://www.nevo.co.il/case/27603872" TargetMode="External"/><Relationship Id="rId54" Type="http://schemas.openxmlformats.org/officeDocument/2006/relationships/hyperlink" Target="http://www.nevo.co.il/law/70301/380" TargetMode="External"/><Relationship Id="rId62" Type="http://schemas.openxmlformats.org/officeDocument/2006/relationships/hyperlink" Target="http://www.nevo.co.il/law/70301" TargetMode="External"/><Relationship Id="rId70" Type="http://schemas.openxmlformats.org/officeDocument/2006/relationships/hyperlink" Target="http://www.eca.gov.il"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0291305" TargetMode="External"/><Relationship Id="rId49" Type="http://schemas.openxmlformats.org/officeDocument/2006/relationships/hyperlink" Target="http://www.nevo.co.il/law/70301/340a.b.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d" TargetMode="External"/><Relationship Id="rId31" Type="http://schemas.openxmlformats.org/officeDocument/2006/relationships/hyperlink" Target="http://www.nevo.co.il/law/70301/40c" TargetMode="External"/><Relationship Id="rId44" Type="http://schemas.openxmlformats.org/officeDocument/2006/relationships/hyperlink" Target="http://www.nevo.co.il/law/70301/340a.a" TargetMode="External"/><Relationship Id="rId52" Type="http://schemas.openxmlformats.org/officeDocument/2006/relationships/hyperlink" Target="http://www.nevo.co.il/law/70301/192" TargetMode="External"/><Relationship Id="rId60" Type="http://schemas.openxmlformats.org/officeDocument/2006/relationships/hyperlink" Target="http://www.nevo.co.il/law/70301/40d.a" TargetMode="External"/><Relationship Id="rId65" Type="http://schemas.openxmlformats.org/officeDocument/2006/relationships/hyperlink" Target="http://www.nevo.co.il/case/21475572"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192" TargetMode="External"/><Relationship Id="rId18" Type="http://schemas.openxmlformats.org/officeDocument/2006/relationships/hyperlink" Target="http://www.nevo.co.il/law/70301/340a.b.1"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340a.b.2" TargetMode="External"/><Relationship Id="rId55" Type="http://schemas.openxmlformats.org/officeDocument/2006/relationships/hyperlink" Target="http://www.nevo.co.il/law/70301/340a" TargetMode="External"/><Relationship Id="rId76"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5549</Words>
  <Characters>27746</Characters>
  <Application>Microsoft Office Word</Application>
  <DocSecurity>0</DocSecurity>
  <Lines>231</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33229</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7864368</vt:i4>
      </vt:variant>
      <vt:variant>
        <vt:i4>189</vt:i4>
      </vt:variant>
      <vt:variant>
        <vt:i4>0</vt:i4>
      </vt:variant>
      <vt:variant>
        <vt:i4>5</vt:i4>
      </vt:variant>
      <vt:variant>
        <vt:lpwstr>http://www.eca.gov.il/</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6357094</vt:i4>
      </vt:variant>
      <vt:variant>
        <vt:i4>183</vt:i4>
      </vt:variant>
      <vt:variant>
        <vt:i4>0</vt:i4>
      </vt:variant>
      <vt:variant>
        <vt:i4>5</vt:i4>
      </vt:variant>
      <vt:variant>
        <vt:lpwstr>http://www.nevo.co.il/law/70301/340</vt:lpwstr>
      </vt:variant>
      <vt:variant>
        <vt:lpwstr/>
      </vt:variant>
      <vt:variant>
        <vt:i4>6357092</vt:i4>
      </vt:variant>
      <vt:variant>
        <vt:i4>180</vt:i4>
      </vt:variant>
      <vt:variant>
        <vt:i4>0</vt:i4>
      </vt:variant>
      <vt:variant>
        <vt:i4>5</vt:i4>
      </vt:variant>
      <vt:variant>
        <vt:lpwstr>http://www.nevo.co.il/law/70301/144</vt:lpwstr>
      </vt:variant>
      <vt:variant>
        <vt:lpwstr/>
      </vt:variant>
      <vt:variant>
        <vt:i4>4128886</vt:i4>
      </vt:variant>
      <vt:variant>
        <vt:i4>177</vt:i4>
      </vt:variant>
      <vt:variant>
        <vt:i4>0</vt:i4>
      </vt:variant>
      <vt:variant>
        <vt:i4>5</vt:i4>
      </vt:variant>
      <vt:variant>
        <vt:lpwstr>http://www.nevo.co.il/case/27529712</vt:lpwstr>
      </vt:variant>
      <vt:variant>
        <vt:lpwstr/>
      </vt:variant>
      <vt:variant>
        <vt:i4>3407991</vt:i4>
      </vt:variant>
      <vt:variant>
        <vt:i4>174</vt:i4>
      </vt:variant>
      <vt:variant>
        <vt:i4>0</vt:i4>
      </vt:variant>
      <vt:variant>
        <vt:i4>5</vt:i4>
      </vt:variant>
      <vt:variant>
        <vt:lpwstr>http://www.nevo.co.il/case/21475572</vt:lpwstr>
      </vt:variant>
      <vt:variant>
        <vt:lpwstr/>
      </vt:variant>
      <vt:variant>
        <vt:i4>7995492</vt:i4>
      </vt:variant>
      <vt:variant>
        <vt:i4>171</vt:i4>
      </vt:variant>
      <vt:variant>
        <vt:i4>0</vt:i4>
      </vt:variant>
      <vt:variant>
        <vt:i4>5</vt:i4>
      </vt:variant>
      <vt:variant>
        <vt:lpwstr>http://www.nevo.co.il/law/70301</vt:lpwstr>
      </vt:variant>
      <vt:variant>
        <vt:lpwstr/>
      </vt:variant>
      <vt:variant>
        <vt:i4>3735670</vt:i4>
      </vt:variant>
      <vt:variant>
        <vt:i4>168</vt:i4>
      </vt:variant>
      <vt:variant>
        <vt:i4>0</vt:i4>
      </vt:variant>
      <vt:variant>
        <vt:i4>5</vt:i4>
      </vt:variant>
      <vt:variant>
        <vt:lpwstr>http://www.nevo.co.il/case/28092391</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7995492</vt:i4>
      </vt:variant>
      <vt:variant>
        <vt:i4>162</vt:i4>
      </vt:variant>
      <vt:variant>
        <vt:i4>0</vt:i4>
      </vt:variant>
      <vt:variant>
        <vt:i4>5</vt:i4>
      </vt:variant>
      <vt:variant>
        <vt:lpwstr>http://www.nevo.co.il/law/70301</vt:lpwstr>
      </vt:variant>
      <vt:variant>
        <vt:lpwstr/>
      </vt:variant>
      <vt:variant>
        <vt:i4>4915205</vt:i4>
      </vt:variant>
      <vt:variant>
        <vt:i4>159</vt:i4>
      </vt:variant>
      <vt:variant>
        <vt:i4>0</vt:i4>
      </vt:variant>
      <vt:variant>
        <vt:i4>5</vt:i4>
      </vt:variant>
      <vt:variant>
        <vt:lpwstr>http://www.nevo.co.il/law/70301/40d.a</vt:lpwstr>
      </vt:variant>
      <vt:variant>
        <vt:lpwstr/>
      </vt:variant>
      <vt:variant>
        <vt:i4>7995492</vt:i4>
      </vt:variant>
      <vt:variant>
        <vt:i4>156</vt:i4>
      </vt:variant>
      <vt:variant>
        <vt:i4>0</vt:i4>
      </vt:variant>
      <vt:variant>
        <vt:i4>5</vt:i4>
      </vt:variant>
      <vt:variant>
        <vt:lpwstr>http://www.nevo.co.il/law/70301</vt:lpwstr>
      </vt:variant>
      <vt:variant>
        <vt:lpwstr/>
      </vt:variant>
      <vt:variant>
        <vt:i4>5177430</vt:i4>
      </vt:variant>
      <vt:variant>
        <vt:i4>153</vt:i4>
      </vt:variant>
      <vt:variant>
        <vt:i4>0</vt:i4>
      </vt:variant>
      <vt:variant>
        <vt:i4>5</vt:i4>
      </vt:variant>
      <vt:variant>
        <vt:lpwstr>http://www.nevo.co.il/law/70301/340.a</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65618</vt:i4>
      </vt:variant>
      <vt:variant>
        <vt:i4>147</vt:i4>
      </vt:variant>
      <vt:variant>
        <vt:i4>0</vt:i4>
      </vt:variant>
      <vt:variant>
        <vt:i4>5</vt:i4>
      </vt:variant>
      <vt:variant>
        <vt:lpwstr>http://www.nevo.co.il/law/70301/413e</vt:lpwstr>
      </vt:variant>
      <vt:variant>
        <vt:lpwstr/>
      </vt:variant>
      <vt:variant>
        <vt:i4>86</vt:i4>
      </vt:variant>
      <vt:variant>
        <vt:i4>144</vt:i4>
      </vt:variant>
      <vt:variant>
        <vt:i4>0</vt:i4>
      </vt:variant>
      <vt:variant>
        <vt:i4>5</vt:i4>
      </vt:variant>
      <vt:variant>
        <vt:lpwstr>http://www.nevo.co.il/law/70301/340a</vt:lpwstr>
      </vt:variant>
      <vt:variant>
        <vt:lpwstr/>
      </vt:variant>
      <vt:variant>
        <vt:i4>7143526</vt:i4>
      </vt:variant>
      <vt:variant>
        <vt:i4>141</vt:i4>
      </vt:variant>
      <vt:variant>
        <vt:i4>0</vt:i4>
      </vt:variant>
      <vt:variant>
        <vt:i4>5</vt:i4>
      </vt:variant>
      <vt:variant>
        <vt:lpwstr>http://www.nevo.co.il/law/70301/380</vt:lpwstr>
      </vt:variant>
      <vt:variant>
        <vt:lpwstr/>
      </vt:variant>
      <vt:variant>
        <vt:i4>7995492</vt:i4>
      </vt:variant>
      <vt:variant>
        <vt:i4>138</vt:i4>
      </vt:variant>
      <vt:variant>
        <vt:i4>0</vt:i4>
      </vt:variant>
      <vt:variant>
        <vt:i4>5</vt:i4>
      </vt:variant>
      <vt:variant>
        <vt:lpwstr>http://www.nevo.co.il/law/70301</vt:lpwstr>
      </vt:variant>
      <vt:variant>
        <vt:lpwstr/>
      </vt:variant>
      <vt:variant>
        <vt:i4>7077988</vt:i4>
      </vt:variant>
      <vt:variant>
        <vt:i4>135</vt:i4>
      </vt:variant>
      <vt:variant>
        <vt:i4>0</vt:i4>
      </vt:variant>
      <vt:variant>
        <vt:i4>5</vt:i4>
      </vt:variant>
      <vt:variant>
        <vt:lpwstr>http://www.nevo.co.il/law/70301/192</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5242966</vt:i4>
      </vt:variant>
      <vt:variant>
        <vt:i4>129</vt:i4>
      </vt:variant>
      <vt:variant>
        <vt:i4>0</vt:i4>
      </vt:variant>
      <vt:variant>
        <vt:i4>5</vt:i4>
      </vt:variant>
      <vt:variant>
        <vt:lpwstr>http://www.nevo.co.il/law/70301/340a.b.2</vt:lpwstr>
      </vt:variant>
      <vt:variant>
        <vt:lpwstr/>
      </vt:variant>
      <vt:variant>
        <vt:i4>5439574</vt:i4>
      </vt:variant>
      <vt:variant>
        <vt:i4>126</vt:i4>
      </vt:variant>
      <vt:variant>
        <vt:i4>0</vt:i4>
      </vt:variant>
      <vt:variant>
        <vt:i4>5</vt:i4>
      </vt:variant>
      <vt:variant>
        <vt:lpwstr>http://www.nevo.co.il/law/70301/340a.b.1</vt:lpwstr>
      </vt:variant>
      <vt:variant>
        <vt:lpwstr/>
      </vt:variant>
      <vt:variant>
        <vt:i4>3932274</vt:i4>
      </vt:variant>
      <vt:variant>
        <vt:i4>123</vt:i4>
      </vt:variant>
      <vt:variant>
        <vt:i4>0</vt:i4>
      </vt:variant>
      <vt:variant>
        <vt:i4>5</vt:i4>
      </vt:variant>
      <vt:variant>
        <vt:lpwstr>http://www.nevo.co.il/case/27059478</vt:lpwstr>
      </vt:variant>
      <vt:variant>
        <vt:lpwstr/>
      </vt:variant>
      <vt:variant>
        <vt:i4>86</vt:i4>
      </vt:variant>
      <vt:variant>
        <vt:i4>120</vt:i4>
      </vt:variant>
      <vt:variant>
        <vt:i4>0</vt:i4>
      </vt:variant>
      <vt:variant>
        <vt:i4>5</vt:i4>
      </vt:variant>
      <vt:variant>
        <vt:lpwstr>http://www.nevo.co.il/law/70301/340a</vt:lpwstr>
      </vt:variant>
      <vt:variant>
        <vt:lpwstr/>
      </vt:variant>
      <vt:variant>
        <vt:i4>3473531</vt:i4>
      </vt:variant>
      <vt:variant>
        <vt:i4>117</vt:i4>
      </vt:variant>
      <vt:variant>
        <vt:i4>0</vt:i4>
      </vt:variant>
      <vt:variant>
        <vt:i4>5</vt:i4>
      </vt:variant>
      <vt:variant>
        <vt:lpwstr>http://www.nevo.co.il/case/5974621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6357112</vt:i4>
      </vt:variant>
      <vt:variant>
        <vt:i4>111</vt:i4>
      </vt:variant>
      <vt:variant>
        <vt:i4>0</vt:i4>
      </vt:variant>
      <vt:variant>
        <vt:i4>5</vt:i4>
      </vt:variant>
      <vt:variant>
        <vt:lpwstr>http://www.nevo.co.il/law/70301/340a.a</vt:lpwstr>
      </vt:variant>
      <vt:variant>
        <vt:lpwstr/>
      </vt:variant>
      <vt:variant>
        <vt:i4>3145840</vt:i4>
      </vt:variant>
      <vt:variant>
        <vt:i4>108</vt:i4>
      </vt:variant>
      <vt:variant>
        <vt:i4>0</vt:i4>
      </vt:variant>
      <vt:variant>
        <vt:i4>5</vt:i4>
      </vt:variant>
      <vt:variant>
        <vt:lpwstr>http://www.nevo.co.il/case/30268293</vt:lpwstr>
      </vt:variant>
      <vt:variant>
        <vt:lpwstr/>
      </vt:variant>
      <vt:variant>
        <vt:i4>3670139</vt:i4>
      </vt:variant>
      <vt:variant>
        <vt:i4>105</vt:i4>
      </vt:variant>
      <vt:variant>
        <vt:i4>0</vt:i4>
      </vt:variant>
      <vt:variant>
        <vt:i4>5</vt:i4>
      </vt:variant>
      <vt:variant>
        <vt:lpwstr>http://www.nevo.co.il/case/25824863</vt:lpwstr>
      </vt:variant>
      <vt:variant>
        <vt:lpwstr/>
      </vt:variant>
      <vt:variant>
        <vt:i4>3145851</vt:i4>
      </vt:variant>
      <vt:variant>
        <vt:i4>102</vt:i4>
      </vt:variant>
      <vt:variant>
        <vt:i4>0</vt:i4>
      </vt:variant>
      <vt:variant>
        <vt:i4>5</vt:i4>
      </vt:variant>
      <vt:variant>
        <vt:lpwstr>http://www.nevo.co.il/case/27603872</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3145851</vt:i4>
      </vt:variant>
      <vt:variant>
        <vt:i4>93</vt:i4>
      </vt:variant>
      <vt:variant>
        <vt:i4>0</vt:i4>
      </vt:variant>
      <vt:variant>
        <vt:i4>5</vt:i4>
      </vt:variant>
      <vt:variant>
        <vt:lpwstr>http://www.nevo.co.il/case/27603872</vt:lpwstr>
      </vt:variant>
      <vt:variant>
        <vt:lpwstr/>
      </vt:variant>
      <vt:variant>
        <vt:i4>7995492</vt:i4>
      </vt:variant>
      <vt:variant>
        <vt:i4>90</vt:i4>
      </vt:variant>
      <vt:variant>
        <vt:i4>0</vt:i4>
      </vt:variant>
      <vt:variant>
        <vt:i4>5</vt:i4>
      </vt:variant>
      <vt:variant>
        <vt:lpwstr>http://www.nevo.co.il/law/70301</vt:lpwstr>
      </vt:variant>
      <vt:variant>
        <vt:lpwstr/>
      </vt:variant>
      <vt:variant>
        <vt:i4>3211390</vt:i4>
      </vt:variant>
      <vt:variant>
        <vt:i4>87</vt:i4>
      </vt:variant>
      <vt:variant>
        <vt:i4>0</vt:i4>
      </vt:variant>
      <vt:variant>
        <vt:i4>5</vt:i4>
      </vt:variant>
      <vt:variant>
        <vt:lpwstr>http://www.nevo.co.il/case/20291305</vt:lpwstr>
      </vt:variant>
      <vt:variant>
        <vt:lpwstr/>
      </vt:variant>
      <vt:variant>
        <vt:i4>7995492</vt:i4>
      </vt:variant>
      <vt:variant>
        <vt:i4>84</vt:i4>
      </vt:variant>
      <vt:variant>
        <vt:i4>0</vt:i4>
      </vt:variant>
      <vt:variant>
        <vt:i4>5</vt:i4>
      </vt:variant>
      <vt:variant>
        <vt:lpwstr>http://www.nevo.co.il/law/70301</vt:lpwstr>
      </vt:variant>
      <vt:variant>
        <vt:lpwstr/>
      </vt:variant>
      <vt:variant>
        <vt:i4>7995492</vt:i4>
      </vt:variant>
      <vt:variant>
        <vt:i4>81</vt:i4>
      </vt:variant>
      <vt:variant>
        <vt:i4>0</vt:i4>
      </vt:variant>
      <vt:variant>
        <vt:i4>5</vt:i4>
      </vt:variant>
      <vt:variant>
        <vt:lpwstr>http://www.nevo.co.il/law/70301</vt:lpwstr>
      </vt:variant>
      <vt:variant>
        <vt:lpwstr/>
      </vt:variant>
      <vt:variant>
        <vt:i4>4128881</vt:i4>
      </vt:variant>
      <vt:variant>
        <vt:i4>78</vt:i4>
      </vt:variant>
      <vt:variant>
        <vt:i4>0</vt:i4>
      </vt:variant>
      <vt:variant>
        <vt:i4>5</vt:i4>
      </vt:variant>
      <vt:variant>
        <vt:lpwstr>http://www.nevo.co.il/case/27309272</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http://www.nevo.co.il/law/70301/40c</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http://www.nevo.co.il/law/70301/40d</vt:lpwstr>
      </vt:variant>
      <vt:variant>
        <vt:lpwstr/>
      </vt:variant>
      <vt:variant>
        <vt:i4>2293792</vt:i4>
      </vt:variant>
      <vt:variant>
        <vt:i4>57</vt:i4>
      </vt:variant>
      <vt:variant>
        <vt:i4>0</vt:i4>
      </vt:variant>
      <vt:variant>
        <vt:i4>5</vt:i4>
      </vt:variant>
      <vt:variant>
        <vt:lpwstr>http://www.nevo.co.il/safrut/bookgroup/2870</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7995492</vt:i4>
      </vt:variant>
      <vt:variant>
        <vt:i4>48</vt:i4>
      </vt:variant>
      <vt:variant>
        <vt:i4>0</vt:i4>
      </vt:variant>
      <vt:variant>
        <vt:i4>5</vt:i4>
      </vt:variant>
      <vt:variant>
        <vt:lpwstr>http://www.nevo.co.il/law/70301</vt:lpwstr>
      </vt:variant>
      <vt:variant>
        <vt:lpwstr/>
      </vt:variant>
      <vt:variant>
        <vt:i4>5439574</vt:i4>
      </vt:variant>
      <vt:variant>
        <vt:i4>45</vt:i4>
      </vt:variant>
      <vt:variant>
        <vt:i4>0</vt:i4>
      </vt:variant>
      <vt:variant>
        <vt:i4>5</vt:i4>
      </vt:variant>
      <vt:variant>
        <vt:lpwstr>http://www.nevo.co.il/law/70301/340a.b.1</vt:lpwstr>
      </vt:variant>
      <vt:variant>
        <vt:lpwstr/>
      </vt:variant>
      <vt:variant>
        <vt:i4>65618</vt:i4>
      </vt:variant>
      <vt:variant>
        <vt:i4>42</vt:i4>
      </vt:variant>
      <vt:variant>
        <vt:i4>0</vt:i4>
      </vt:variant>
      <vt:variant>
        <vt:i4>5</vt:i4>
      </vt:variant>
      <vt:variant>
        <vt:lpwstr>http://www.nevo.co.il/law/70301/413e</vt:lpwstr>
      </vt:variant>
      <vt:variant>
        <vt:lpwstr/>
      </vt:variant>
      <vt:variant>
        <vt:i4>7143526</vt:i4>
      </vt:variant>
      <vt:variant>
        <vt:i4>39</vt:i4>
      </vt:variant>
      <vt:variant>
        <vt:i4>0</vt:i4>
      </vt:variant>
      <vt:variant>
        <vt:i4>5</vt:i4>
      </vt:variant>
      <vt:variant>
        <vt:lpwstr>http://www.nevo.co.il/law/70301/380</vt:lpwstr>
      </vt:variant>
      <vt:variant>
        <vt:lpwstr/>
      </vt:variant>
      <vt:variant>
        <vt:i4>5242966</vt:i4>
      </vt:variant>
      <vt:variant>
        <vt:i4>36</vt:i4>
      </vt:variant>
      <vt:variant>
        <vt:i4>0</vt:i4>
      </vt:variant>
      <vt:variant>
        <vt:i4>5</vt:i4>
      </vt:variant>
      <vt:variant>
        <vt:lpwstr>http://www.nevo.co.il/law/70301/340a.b.2</vt:lpwstr>
      </vt:variant>
      <vt:variant>
        <vt:lpwstr/>
      </vt:variant>
      <vt:variant>
        <vt:i4>5439574</vt:i4>
      </vt:variant>
      <vt:variant>
        <vt:i4>33</vt:i4>
      </vt:variant>
      <vt:variant>
        <vt:i4>0</vt:i4>
      </vt:variant>
      <vt:variant>
        <vt:i4>5</vt:i4>
      </vt:variant>
      <vt:variant>
        <vt:lpwstr>http://www.nevo.co.il/law/70301/340a.b.1</vt:lpwstr>
      </vt:variant>
      <vt:variant>
        <vt:lpwstr/>
      </vt:variant>
      <vt:variant>
        <vt:i4>6357112</vt:i4>
      </vt:variant>
      <vt:variant>
        <vt:i4>30</vt:i4>
      </vt:variant>
      <vt:variant>
        <vt:i4>0</vt:i4>
      </vt:variant>
      <vt:variant>
        <vt:i4>5</vt:i4>
      </vt:variant>
      <vt:variant>
        <vt:lpwstr>http://www.nevo.co.il/law/70301/340a.a</vt:lpwstr>
      </vt:variant>
      <vt:variant>
        <vt:lpwstr/>
      </vt:variant>
      <vt:variant>
        <vt:i4>86</vt:i4>
      </vt:variant>
      <vt:variant>
        <vt:i4>27</vt:i4>
      </vt:variant>
      <vt:variant>
        <vt:i4>0</vt:i4>
      </vt:variant>
      <vt:variant>
        <vt:i4>5</vt:i4>
      </vt:variant>
      <vt:variant>
        <vt:lpwstr>http://www.nevo.co.il/law/70301/340a</vt:lpwstr>
      </vt:variant>
      <vt:variant>
        <vt:lpwstr/>
      </vt:variant>
      <vt:variant>
        <vt:i4>5177430</vt:i4>
      </vt:variant>
      <vt:variant>
        <vt:i4>24</vt:i4>
      </vt:variant>
      <vt:variant>
        <vt:i4>0</vt:i4>
      </vt:variant>
      <vt:variant>
        <vt:i4>5</vt:i4>
      </vt:variant>
      <vt:variant>
        <vt:lpwstr>http://www.nevo.co.il/law/70301/340.a</vt:lpwstr>
      </vt:variant>
      <vt:variant>
        <vt:lpwstr/>
      </vt:variant>
      <vt:variant>
        <vt:i4>6357094</vt:i4>
      </vt:variant>
      <vt:variant>
        <vt:i4>21</vt:i4>
      </vt:variant>
      <vt:variant>
        <vt:i4>0</vt:i4>
      </vt:variant>
      <vt:variant>
        <vt:i4>5</vt:i4>
      </vt:variant>
      <vt:variant>
        <vt:lpwstr>http://www.nevo.co.il/law/70301/340</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2025-04-25T10:55:00Z</dcterms:created>
  <dcterms:modified xsi:type="dcterms:W3CDTF">2025-04-25T10:55:00Z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57000</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שאקר זיאדנה</vt:lpwstr>
  </property>
  <property fmtid="{D5CDD505-2E9C-101B-9397-08002B2CF9AE}" pid="10" name="LAWYER">
    <vt:lpwstr>ואסים אבו עמאר;בני גריקו</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20250422</vt:lpwstr>
  </property>
  <property fmtid="{D5CDD505-2E9C-101B-9397-08002B2CF9AE}" pid="14" name="TYPE_N_DATE">
    <vt:lpwstr>39020250422</vt:lpwstr>
  </property>
  <property fmtid="{D5CDD505-2E9C-101B-9397-08002B2CF9AE}" pid="15" name="CASESLISTTMP1">
    <vt:lpwstr>27309272;20291305;27603872:2;25824863;30268293;5974621;27059478;28092391;21475572;27529712</vt:lpwstr>
  </property>
  <property fmtid="{D5CDD505-2E9C-101B-9397-08002B2CF9AE}" pid="16" name="CASENOTES1">
    <vt:lpwstr>ProcID=209&amp;PartA=3569&amp;PartC=05</vt:lpwstr>
  </property>
  <property fmtid="{D5CDD505-2E9C-101B-9397-08002B2CF9AE}" pid="17" name="CASENOTES2">
    <vt:lpwstr>ProcID=209&amp;PartA=8148&amp;PartB=07&amp;PartC=15</vt:lpwstr>
  </property>
  <property fmtid="{D5CDD505-2E9C-101B-9397-08002B2CF9AE}" pid="18" name="CASENOTES3">
    <vt:lpwstr>ProcID=133;209&amp;PartA=6673&amp;PartC=17</vt:lpwstr>
  </property>
  <property fmtid="{D5CDD505-2E9C-101B-9397-08002B2CF9AE}" pid="19" name="BOOKGROUPTMP1">
    <vt:lpwstr/>
  </property>
  <property fmtid="{D5CDD505-2E9C-101B-9397-08002B2CF9AE}" pid="20" name="NOBOOKNEVO">
    <vt:lpwstr>2870</vt:lpwstr>
  </property>
  <property fmtid="{D5CDD505-2E9C-101B-9397-08002B2CF9AE}" pid="21" name="WORDNUMPAGES">
    <vt:lpwstr>19</vt:lpwstr>
  </property>
  <property fmtid="{D5CDD505-2E9C-101B-9397-08002B2CF9AE}" pid="22" name="TYPE_ABS_DATE">
    <vt:lpwstr>390020250422</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LAWLISTTMP1">
    <vt:lpwstr>70301/340a.b.1:2;192:2;040d;040b;040c;340a.a;340a:2;340a.b.2;380;413e;340.a;040d.a;144;340</vt:lpwstr>
  </property>
  <property fmtid="{D5CDD505-2E9C-101B-9397-08002B2CF9AE}" pid="41" name="ISABSTRACT">
    <vt:lpwstr>Y</vt:lpwstr>
  </property>
</Properties>
</file>