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83F50" w:rsidRPr="00E1625E" w14:paraId="68C14F90" w14:textId="77777777" w:rsidTr="00D9355E">
        <w:trPr>
          <w:trHeight w:hRule="exact" w:val="418"/>
          <w:jc w:val="center"/>
        </w:trPr>
        <w:tc>
          <w:tcPr>
            <w:tcW w:w="8721" w:type="dxa"/>
            <w:gridSpan w:val="2"/>
          </w:tcPr>
          <w:p w14:paraId="560A6B40" w14:textId="77777777" w:rsidR="00E83F50" w:rsidRPr="00E1625E" w:rsidRDefault="00E83F50" w:rsidP="00F72F49">
            <w:pPr>
              <w:pStyle w:val="a3"/>
              <w:jc w:val="center"/>
              <w:rPr>
                <w:rFonts w:ascii="Tahoma" w:hAnsi="Tahoma" w:cs="Tahoma"/>
                <w:color w:val="000080"/>
                <w:rtl/>
              </w:rPr>
            </w:pPr>
            <w:bookmarkStart w:id="0" w:name="LastJudge"/>
            <w:r w:rsidRPr="00E1625E">
              <w:rPr>
                <w:rFonts w:ascii="Tahoma" w:hAnsi="Tahoma" w:cs="Tahoma"/>
                <w:b/>
                <w:bCs/>
                <w:color w:val="000080"/>
                <w:rtl/>
              </w:rPr>
              <w:t>בית המשפט המחוזי בבאר שבע</w:t>
            </w:r>
          </w:p>
        </w:tc>
      </w:tr>
      <w:tr w:rsidR="00E83F50" w:rsidRPr="00E1625E" w14:paraId="755A0EF7" w14:textId="77777777" w:rsidTr="00D9355E">
        <w:trPr>
          <w:trHeight w:val="337"/>
          <w:jc w:val="center"/>
        </w:trPr>
        <w:tc>
          <w:tcPr>
            <w:tcW w:w="5054" w:type="dxa"/>
          </w:tcPr>
          <w:p w14:paraId="5B1634EE" w14:textId="77777777" w:rsidR="00E83F50" w:rsidRPr="00E1625E" w:rsidRDefault="00E83F50" w:rsidP="00F72F49">
            <w:pPr>
              <w:rPr>
                <w:rFonts w:cs="FrankRuehl"/>
                <w:sz w:val="28"/>
                <w:szCs w:val="28"/>
                <w:rtl/>
              </w:rPr>
            </w:pPr>
            <w:r w:rsidRPr="00E1625E">
              <w:rPr>
                <w:rFonts w:cs="FrankRuehl"/>
                <w:sz w:val="28"/>
                <w:szCs w:val="28"/>
                <w:rtl/>
              </w:rPr>
              <w:t>ת"פ</w:t>
            </w:r>
            <w:r w:rsidRPr="00E1625E">
              <w:rPr>
                <w:rFonts w:cs="FrankRuehl" w:hint="cs"/>
                <w:sz w:val="28"/>
                <w:szCs w:val="28"/>
                <w:rtl/>
              </w:rPr>
              <w:t xml:space="preserve"> </w:t>
            </w:r>
            <w:r w:rsidRPr="00E1625E">
              <w:rPr>
                <w:rFonts w:cs="FrankRuehl"/>
                <w:sz w:val="28"/>
                <w:szCs w:val="28"/>
                <w:rtl/>
              </w:rPr>
              <w:t>57219-05-22</w:t>
            </w:r>
            <w:r w:rsidRPr="00E1625E">
              <w:rPr>
                <w:rFonts w:cs="FrankRuehl" w:hint="cs"/>
                <w:sz w:val="28"/>
                <w:szCs w:val="28"/>
                <w:rtl/>
              </w:rPr>
              <w:t xml:space="preserve"> </w:t>
            </w:r>
            <w:r w:rsidRPr="00E1625E">
              <w:rPr>
                <w:rFonts w:cs="FrankRuehl"/>
                <w:sz w:val="28"/>
                <w:szCs w:val="28"/>
                <w:rtl/>
              </w:rPr>
              <w:t>מדינת ישראל נ' שלמה ואח'</w:t>
            </w:r>
          </w:p>
          <w:p w14:paraId="7DF984B2" w14:textId="77777777" w:rsidR="00E83F50" w:rsidRPr="00E1625E" w:rsidRDefault="00E83F50" w:rsidP="00F72F49">
            <w:pPr>
              <w:pStyle w:val="a3"/>
              <w:rPr>
                <w:rFonts w:cs="FrankRuehl"/>
                <w:sz w:val="28"/>
                <w:szCs w:val="28"/>
                <w:rtl/>
              </w:rPr>
            </w:pPr>
          </w:p>
        </w:tc>
        <w:tc>
          <w:tcPr>
            <w:tcW w:w="3667" w:type="dxa"/>
          </w:tcPr>
          <w:p w14:paraId="686492A1" w14:textId="77777777" w:rsidR="00E83F50" w:rsidRPr="00E1625E" w:rsidRDefault="00E83F50" w:rsidP="00F72F49">
            <w:pPr>
              <w:pStyle w:val="a3"/>
              <w:jc w:val="right"/>
              <w:rPr>
                <w:rFonts w:cs="FrankRuehl"/>
                <w:sz w:val="28"/>
                <w:szCs w:val="28"/>
                <w:rtl/>
              </w:rPr>
            </w:pPr>
          </w:p>
        </w:tc>
      </w:tr>
    </w:tbl>
    <w:p w14:paraId="1AFD09D3" w14:textId="77777777" w:rsidR="00E83F50" w:rsidRPr="00E1625E" w:rsidRDefault="00E83F50" w:rsidP="00E83F50">
      <w:pPr>
        <w:pStyle w:val="a3"/>
        <w:rPr>
          <w:rtl/>
        </w:rPr>
      </w:pPr>
      <w:r w:rsidRPr="00E1625E">
        <w:rPr>
          <w:rFonts w:hint="cs"/>
          <w:rtl/>
        </w:rPr>
        <w:t xml:space="preserve"> </w:t>
      </w:r>
    </w:p>
    <w:p w14:paraId="786EB34C" w14:textId="77777777" w:rsidR="00E83F50" w:rsidRPr="00E1625E" w:rsidRDefault="00E83F50" w:rsidP="00E83F50">
      <w:pPr>
        <w:rPr>
          <w:rtl/>
        </w:rPr>
      </w:pPr>
    </w:p>
    <w:p w14:paraId="49E16E09" w14:textId="77777777" w:rsidR="00E83F50" w:rsidRPr="00E1625E" w:rsidRDefault="00E83F50" w:rsidP="00E83F5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83F50" w:rsidRPr="00E1625E" w14:paraId="6D4B8348" w14:textId="77777777" w:rsidTr="00E83F50">
        <w:trPr>
          <w:trHeight w:val="295"/>
          <w:jc w:val="center"/>
        </w:trPr>
        <w:tc>
          <w:tcPr>
            <w:tcW w:w="923" w:type="dxa"/>
            <w:tcBorders>
              <w:top w:val="nil"/>
              <w:left w:val="nil"/>
              <w:bottom w:val="nil"/>
              <w:right w:val="nil"/>
            </w:tcBorders>
            <w:shd w:val="clear" w:color="auto" w:fill="auto"/>
          </w:tcPr>
          <w:p w14:paraId="684719D2" w14:textId="77777777" w:rsidR="00E83F50" w:rsidRPr="00E1625E" w:rsidRDefault="00E83F50" w:rsidP="00E83F50">
            <w:pPr>
              <w:jc w:val="both"/>
              <w:rPr>
                <w:rFonts w:ascii="David" w:hAnsi="David"/>
                <w:sz w:val="26"/>
                <w:szCs w:val="26"/>
              </w:rPr>
            </w:pPr>
            <w:r w:rsidRPr="00E1625E">
              <w:rPr>
                <w:rFonts w:ascii="David" w:hAnsi="David" w:hint="cs"/>
                <w:sz w:val="26"/>
                <w:szCs w:val="26"/>
                <w:rtl/>
              </w:rPr>
              <w:t>ל</w:t>
            </w:r>
            <w:r w:rsidRPr="00E1625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AB6833B" w14:textId="77777777" w:rsidR="00E83F50" w:rsidRPr="00E1625E" w:rsidRDefault="00E83F50" w:rsidP="00F72F49">
            <w:pPr>
              <w:rPr>
                <w:rFonts w:ascii="David" w:hAnsi="David"/>
                <w:b/>
                <w:bCs/>
                <w:sz w:val="26"/>
                <w:szCs w:val="26"/>
                <w:rtl/>
              </w:rPr>
            </w:pPr>
            <w:r w:rsidRPr="00E1625E">
              <w:rPr>
                <w:rFonts w:ascii="David" w:hAnsi="David"/>
                <w:b/>
                <w:bCs/>
                <w:sz w:val="26"/>
                <w:szCs w:val="26"/>
                <w:rtl/>
              </w:rPr>
              <w:t>כבוד השופט  אלון גביזון</w:t>
            </w:r>
          </w:p>
          <w:p w14:paraId="16D51E2A" w14:textId="77777777" w:rsidR="00E83F50" w:rsidRPr="00E1625E" w:rsidRDefault="00E83F50" w:rsidP="00F72F49">
            <w:pPr>
              <w:rPr>
                <w:rFonts w:ascii="David" w:hAnsi="David"/>
                <w:sz w:val="26"/>
                <w:szCs w:val="26"/>
                <w:rtl/>
              </w:rPr>
            </w:pPr>
          </w:p>
          <w:p w14:paraId="08F2FFC9" w14:textId="77777777" w:rsidR="00E83F50" w:rsidRPr="00E1625E" w:rsidRDefault="00E83F50" w:rsidP="00E83F50">
            <w:pPr>
              <w:jc w:val="both"/>
              <w:rPr>
                <w:rFonts w:ascii="David" w:hAnsi="David"/>
                <w:sz w:val="26"/>
                <w:szCs w:val="26"/>
              </w:rPr>
            </w:pPr>
          </w:p>
        </w:tc>
      </w:tr>
      <w:tr w:rsidR="00E83F50" w:rsidRPr="00E1625E" w14:paraId="34F3D17D" w14:textId="77777777" w:rsidTr="00E83F50">
        <w:trPr>
          <w:trHeight w:val="355"/>
          <w:jc w:val="center"/>
        </w:trPr>
        <w:tc>
          <w:tcPr>
            <w:tcW w:w="923" w:type="dxa"/>
            <w:tcBorders>
              <w:top w:val="nil"/>
              <w:left w:val="nil"/>
              <w:bottom w:val="nil"/>
              <w:right w:val="nil"/>
            </w:tcBorders>
            <w:shd w:val="clear" w:color="auto" w:fill="auto"/>
          </w:tcPr>
          <w:p w14:paraId="04F84304" w14:textId="77777777" w:rsidR="00E83F50" w:rsidRPr="00E1625E" w:rsidRDefault="00E83F50" w:rsidP="00E83F50">
            <w:pPr>
              <w:jc w:val="both"/>
              <w:rPr>
                <w:rFonts w:ascii="David" w:hAnsi="David"/>
                <w:sz w:val="26"/>
                <w:szCs w:val="26"/>
              </w:rPr>
            </w:pPr>
            <w:bookmarkStart w:id="1" w:name="FirstAppellant"/>
            <w:bookmarkStart w:id="2" w:name="FirstLawyer"/>
            <w:r w:rsidRPr="00E1625E">
              <w:rPr>
                <w:rFonts w:ascii="David" w:hAnsi="David"/>
                <w:sz w:val="26"/>
                <w:szCs w:val="26"/>
                <w:rtl/>
              </w:rPr>
              <w:t>בעניין:</w:t>
            </w:r>
          </w:p>
        </w:tc>
        <w:tc>
          <w:tcPr>
            <w:tcW w:w="3219" w:type="dxa"/>
            <w:tcBorders>
              <w:top w:val="nil"/>
              <w:left w:val="nil"/>
              <w:bottom w:val="nil"/>
              <w:right w:val="nil"/>
            </w:tcBorders>
            <w:shd w:val="clear" w:color="auto" w:fill="auto"/>
          </w:tcPr>
          <w:p w14:paraId="432FAC9F" w14:textId="77777777" w:rsidR="00E83F50" w:rsidRPr="00E1625E" w:rsidRDefault="00E83F50" w:rsidP="00E83F50">
            <w:pPr>
              <w:suppressLineNumbers/>
            </w:pPr>
            <w:r w:rsidRPr="00E1625E">
              <w:rPr>
                <w:rFonts w:ascii="Arial" w:hAnsi="Arial" w:hint="cs"/>
                <w:b/>
                <w:bCs/>
                <w:sz w:val="26"/>
                <w:szCs w:val="26"/>
                <w:rtl/>
              </w:rPr>
              <w:t>ה</w:t>
            </w:r>
            <w:r w:rsidRPr="00E1625E">
              <w:rPr>
                <w:rFonts w:ascii="Arial" w:hAnsi="Arial"/>
                <w:b/>
                <w:bCs/>
                <w:sz w:val="26"/>
                <w:szCs w:val="26"/>
                <w:rtl/>
              </w:rPr>
              <w:t>מאשימה</w:t>
            </w:r>
          </w:p>
          <w:p w14:paraId="16FE2422" w14:textId="77777777" w:rsidR="00E83F50" w:rsidRPr="00E1625E" w:rsidRDefault="00E83F50" w:rsidP="00F72F49">
            <w:pPr>
              <w:rPr>
                <w:rFonts w:ascii="David" w:hAnsi="David"/>
                <w:sz w:val="26"/>
                <w:szCs w:val="26"/>
              </w:rPr>
            </w:pPr>
          </w:p>
        </w:tc>
        <w:tc>
          <w:tcPr>
            <w:tcW w:w="4678" w:type="dxa"/>
            <w:tcBorders>
              <w:top w:val="nil"/>
              <w:left w:val="nil"/>
              <w:bottom w:val="nil"/>
              <w:right w:val="nil"/>
            </w:tcBorders>
            <w:shd w:val="clear" w:color="auto" w:fill="auto"/>
            <w:vAlign w:val="center"/>
          </w:tcPr>
          <w:p w14:paraId="2EBCF40F" w14:textId="77777777" w:rsidR="00E83F50" w:rsidRPr="00E1625E" w:rsidRDefault="00E83F50" w:rsidP="00E83F50">
            <w:pPr>
              <w:suppressLineNumbers/>
              <w:rPr>
                <w:rFonts w:ascii="Arial" w:hAnsi="Arial"/>
                <w:b/>
                <w:bCs/>
                <w:sz w:val="26"/>
                <w:szCs w:val="26"/>
                <w:rtl/>
              </w:rPr>
            </w:pPr>
            <w:r w:rsidRPr="00E1625E">
              <w:rPr>
                <w:rFonts w:ascii="Arial" w:hAnsi="Arial"/>
                <w:b/>
                <w:bCs/>
                <w:sz w:val="26"/>
                <w:szCs w:val="26"/>
                <w:rtl/>
              </w:rPr>
              <w:t>מדינת ישראל</w:t>
            </w:r>
          </w:p>
          <w:p w14:paraId="21EBB6C6" w14:textId="77777777" w:rsidR="00E83F50" w:rsidRPr="00E1625E" w:rsidRDefault="00E83F50" w:rsidP="00E83F50">
            <w:pPr>
              <w:suppressLineNumbers/>
            </w:pPr>
            <w:r w:rsidRPr="00E1625E">
              <w:rPr>
                <w:rFonts w:ascii="Arial" w:hAnsi="Arial"/>
                <w:b/>
                <w:bCs/>
                <w:sz w:val="26"/>
                <w:szCs w:val="26"/>
                <w:rtl/>
              </w:rPr>
              <w:t>ע"י ב"כ עוה"ד</w:t>
            </w:r>
            <w:r w:rsidRPr="00E1625E">
              <w:rPr>
                <w:rFonts w:ascii="Arial" w:hAnsi="Arial" w:hint="cs"/>
                <w:b/>
                <w:bCs/>
                <w:sz w:val="26"/>
                <w:szCs w:val="26"/>
                <w:rtl/>
              </w:rPr>
              <w:t xml:space="preserve"> גיורא חזן </w:t>
            </w:r>
          </w:p>
          <w:p w14:paraId="6ACF7CCE" w14:textId="77777777" w:rsidR="00E83F50" w:rsidRPr="00E1625E" w:rsidRDefault="00E83F50" w:rsidP="00F72F49">
            <w:pPr>
              <w:rPr>
                <w:rFonts w:ascii="David" w:hAnsi="David"/>
                <w:sz w:val="26"/>
                <w:szCs w:val="26"/>
              </w:rPr>
            </w:pPr>
          </w:p>
        </w:tc>
      </w:tr>
      <w:bookmarkEnd w:id="1"/>
      <w:bookmarkEnd w:id="2"/>
      <w:tr w:rsidR="00E83F50" w:rsidRPr="00E1625E" w14:paraId="6B9E74E7" w14:textId="77777777" w:rsidTr="00E83F50">
        <w:trPr>
          <w:trHeight w:val="355"/>
          <w:jc w:val="center"/>
        </w:trPr>
        <w:tc>
          <w:tcPr>
            <w:tcW w:w="923" w:type="dxa"/>
            <w:tcBorders>
              <w:top w:val="nil"/>
              <w:left w:val="nil"/>
              <w:bottom w:val="nil"/>
              <w:right w:val="nil"/>
            </w:tcBorders>
            <w:shd w:val="clear" w:color="auto" w:fill="auto"/>
          </w:tcPr>
          <w:p w14:paraId="08B87C8F" w14:textId="77777777" w:rsidR="00E83F50" w:rsidRPr="00E1625E" w:rsidRDefault="00E83F50" w:rsidP="00E83F5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88F2CC1" w14:textId="77777777" w:rsidR="00E83F50" w:rsidRPr="00E1625E" w:rsidRDefault="00E83F50" w:rsidP="00E83F50">
            <w:pPr>
              <w:jc w:val="center"/>
              <w:rPr>
                <w:rFonts w:ascii="David" w:hAnsi="David"/>
                <w:b/>
                <w:bCs/>
                <w:sz w:val="26"/>
                <w:szCs w:val="26"/>
                <w:rtl/>
              </w:rPr>
            </w:pPr>
          </w:p>
          <w:p w14:paraId="17B4A170" w14:textId="77777777" w:rsidR="00E83F50" w:rsidRPr="00E1625E" w:rsidRDefault="00E83F50" w:rsidP="00E83F50">
            <w:pPr>
              <w:jc w:val="center"/>
              <w:rPr>
                <w:rFonts w:ascii="David" w:hAnsi="David"/>
                <w:b/>
                <w:bCs/>
                <w:sz w:val="26"/>
                <w:szCs w:val="26"/>
                <w:rtl/>
              </w:rPr>
            </w:pPr>
            <w:r w:rsidRPr="00E1625E">
              <w:rPr>
                <w:rFonts w:ascii="David" w:hAnsi="David"/>
                <w:b/>
                <w:bCs/>
                <w:sz w:val="26"/>
                <w:szCs w:val="26"/>
                <w:rtl/>
              </w:rPr>
              <w:t>נגד</w:t>
            </w:r>
          </w:p>
          <w:p w14:paraId="07A1F772" w14:textId="77777777" w:rsidR="00E83F50" w:rsidRPr="00E1625E" w:rsidRDefault="00E83F50" w:rsidP="00E83F50">
            <w:pPr>
              <w:jc w:val="both"/>
              <w:rPr>
                <w:rFonts w:ascii="David" w:hAnsi="David"/>
                <w:sz w:val="26"/>
                <w:szCs w:val="26"/>
              </w:rPr>
            </w:pPr>
          </w:p>
        </w:tc>
      </w:tr>
      <w:tr w:rsidR="00E83F50" w:rsidRPr="00E1625E" w14:paraId="7B31C84C" w14:textId="77777777" w:rsidTr="00E83F50">
        <w:trPr>
          <w:trHeight w:val="355"/>
          <w:jc w:val="center"/>
        </w:trPr>
        <w:tc>
          <w:tcPr>
            <w:tcW w:w="923" w:type="dxa"/>
            <w:tcBorders>
              <w:top w:val="nil"/>
              <w:left w:val="nil"/>
              <w:bottom w:val="nil"/>
              <w:right w:val="nil"/>
            </w:tcBorders>
            <w:shd w:val="clear" w:color="auto" w:fill="auto"/>
          </w:tcPr>
          <w:p w14:paraId="38F7AD5E" w14:textId="77777777" w:rsidR="00E83F50" w:rsidRPr="00E1625E" w:rsidRDefault="00E83F50" w:rsidP="00F72F49">
            <w:pPr>
              <w:rPr>
                <w:rFonts w:ascii="David" w:hAnsi="David"/>
                <w:sz w:val="26"/>
                <w:szCs w:val="26"/>
                <w:rtl/>
              </w:rPr>
            </w:pPr>
          </w:p>
        </w:tc>
        <w:tc>
          <w:tcPr>
            <w:tcW w:w="3219" w:type="dxa"/>
            <w:tcBorders>
              <w:top w:val="nil"/>
              <w:left w:val="nil"/>
              <w:bottom w:val="nil"/>
              <w:right w:val="nil"/>
            </w:tcBorders>
            <w:shd w:val="clear" w:color="auto" w:fill="auto"/>
          </w:tcPr>
          <w:p w14:paraId="10C2B4E9" w14:textId="77777777" w:rsidR="00E83F50" w:rsidRPr="00E1625E" w:rsidRDefault="00E83F50" w:rsidP="00F72F49">
            <w:pPr>
              <w:rPr>
                <w:rFonts w:ascii="Arial" w:hAnsi="Arial"/>
                <w:b/>
                <w:bCs/>
                <w:sz w:val="26"/>
                <w:szCs w:val="26"/>
                <w:rtl/>
              </w:rPr>
            </w:pPr>
            <w:r w:rsidRPr="00E1625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18A3063E" w14:textId="77777777" w:rsidR="00E83F50" w:rsidRPr="00E1625E" w:rsidRDefault="00E83F50" w:rsidP="00F72F49">
            <w:pPr>
              <w:rPr>
                <w:rFonts w:ascii="David" w:hAnsi="David"/>
                <w:bCs/>
                <w:sz w:val="26"/>
                <w:szCs w:val="26"/>
              </w:rPr>
            </w:pPr>
          </w:p>
          <w:p w14:paraId="413349D2" w14:textId="77777777" w:rsidR="00E83F50" w:rsidRPr="00E1625E" w:rsidRDefault="00E83F50" w:rsidP="00E83F50">
            <w:pPr>
              <w:suppressLineNumbers/>
              <w:rPr>
                <w:rFonts w:ascii="Arial" w:hAnsi="Arial"/>
                <w:bCs/>
                <w:sz w:val="26"/>
                <w:szCs w:val="26"/>
                <w:rtl/>
              </w:rPr>
            </w:pPr>
            <w:r w:rsidRPr="00E1625E">
              <w:rPr>
                <w:rFonts w:ascii="Arial" w:hAnsi="Arial"/>
                <w:bCs/>
                <w:sz w:val="26"/>
                <w:szCs w:val="26"/>
                <w:rtl/>
              </w:rPr>
              <w:t>1. נתן שלמה</w:t>
            </w:r>
            <w:r w:rsidRPr="00E1625E">
              <w:rPr>
                <w:rFonts w:ascii="Arial" w:hAnsi="Arial" w:hint="cs"/>
                <w:bCs/>
                <w:sz w:val="26"/>
                <w:szCs w:val="26"/>
                <w:rtl/>
              </w:rPr>
              <w:t xml:space="preserve"> </w:t>
            </w:r>
            <w:r w:rsidRPr="00E1625E">
              <w:rPr>
                <w:rFonts w:ascii="Arial" w:hAnsi="Arial"/>
                <w:bCs/>
                <w:sz w:val="26"/>
                <w:szCs w:val="26"/>
                <w:rtl/>
              </w:rPr>
              <w:t>–</w:t>
            </w:r>
            <w:r w:rsidRPr="00E1625E">
              <w:rPr>
                <w:rFonts w:ascii="Arial" w:hAnsi="Arial" w:hint="cs"/>
                <w:bCs/>
                <w:sz w:val="26"/>
                <w:szCs w:val="26"/>
                <w:rtl/>
              </w:rPr>
              <w:t xml:space="preserve"> לא בעניינו</w:t>
            </w:r>
          </w:p>
          <w:p w14:paraId="67A3DA33" w14:textId="77777777" w:rsidR="00E83F50" w:rsidRPr="00E1625E" w:rsidRDefault="00E83F50" w:rsidP="00E83F50">
            <w:pPr>
              <w:suppressLineNumbers/>
              <w:rPr>
                <w:rFonts w:ascii="Arial" w:hAnsi="Arial"/>
                <w:bCs/>
                <w:sz w:val="26"/>
                <w:szCs w:val="26"/>
                <w:rtl/>
              </w:rPr>
            </w:pPr>
          </w:p>
          <w:p w14:paraId="13F6B95C" w14:textId="77777777" w:rsidR="00E83F50" w:rsidRPr="00E1625E" w:rsidRDefault="00E83F50" w:rsidP="00E83F50">
            <w:pPr>
              <w:suppressLineNumbers/>
              <w:rPr>
                <w:bCs/>
              </w:rPr>
            </w:pPr>
            <w:r w:rsidRPr="00E1625E">
              <w:rPr>
                <w:rFonts w:ascii="Arial" w:hAnsi="Arial"/>
                <w:bCs/>
                <w:sz w:val="26"/>
                <w:szCs w:val="26"/>
                <w:rtl/>
              </w:rPr>
              <w:t xml:space="preserve">2. יבנאל קרטר – הובא </w:t>
            </w:r>
            <w:r w:rsidRPr="00E1625E">
              <w:rPr>
                <w:rFonts w:ascii="Arial" w:hAnsi="Arial" w:hint="cs"/>
                <w:bCs/>
                <w:sz w:val="26"/>
                <w:szCs w:val="26"/>
                <w:rtl/>
              </w:rPr>
              <w:t xml:space="preserve">ע"י נחשון </w:t>
            </w:r>
            <w:r w:rsidRPr="00E1625E">
              <w:rPr>
                <w:rFonts w:ascii="Arial" w:hAnsi="Arial"/>
                <w:bCs/>
                <w:sz w:val="26"/>
                <w:szCs w:val="26"/>
                <w:rtl/>
              </w:rPr>
              <w:br/>
              <w:t xml:space="preserve">  </w:t>
            </w:r>
            <w:r w:rsidRPr="00E1625E">
              <w:rPr>
                <w:rFonts w:ascii="Arial" w:hAnsi="Arial" w:hint="cs"/>
                <w:bCs/>
                <w:sz w:val="26"/>
                <w:szCs w:val="26"/>
                <w:rtl/>
              </w:rPr>
              <w:t xml:space="preserve">  </w:t>
            </w:r>
            <w:r w:rsidRPr="00E1625E">
              <w:rPr>
                <w:rFonts w:ascii="Arial" w:hAnsi="Arial"/>
                <w:bCs/>
                <w:sz w:val="26"/>
                <w:szCs w:val="26"/>
                <w:rtl/>
              </w:rPr>
              <w:t>ע"י ב"כ עוה"ד</w:t>
            </w:r>
            <w:r w:rsidRPr="00E1625E">
              <w:rPr>
                <w:rFonts w:hint="cs"/>
                <w:bCs/>
                <w:rtl/>
              </w:rPr>
              <w:t xml:space="preserve"> אלכס גאוסקין </w:t>
            </w:r>
          </w:p>
        </w:tc>
      </w:tr>
      <w:tr w:rsidR="00E83F50" w:rsidRPr="00E1625E" w14:paraId="1E5C0AB2" w14:textId="77777777" w:rsidTr="00E83F50">
        <w:trPr>
          <w:trHeight w:val="355"/>
          <w:jc w:val="center"/>
        </w:trPr>
        <w:tc>
          <w:tcPr>
            <w:tcW w:w="923" w:type="dxa"/>
            <w:tcBorders>
              <w:top w:val="nil"/>
              <w:left w:val="nil"/>
              <w:bottom w:val="nil"/>
              <w:right w:val="nil"/>
            </w:tcBorders>
            <w:shd w:val="clear" w:color="auto" w:fill="auto"/>
          </w:tcPr>
          <w:p w14:paraId="3FDE0F8F" w14:textId="77777777" w:rsidR="00E83F50" w:rsidRPr="00E1625E" w:rsidRDefault="00E83F50" w:rsidP="00E83F50">
            <w:pPr>
              <w:jc w:val="both"/>
              <w:rPr>
                <w:rFonts w:ascii="David" w:hAnsi="David"/>
                <w:sz w:val="26"/>
                <w:szCs w:val="26"/>
                <w:rtl/>
              </w:rPr>
            </w:pPr>
          </w:p>
        </w:tc>
        <w:tc>
          <w:tcPr>
            <w:tcW w:w="3219" w:type="dxa"/>
            <w:tcBorders>
              <w:top w:val="nil"/>
              <w:left w:val="nil"/>
              <w:bottom w:val="nil"/>
              <w:right w:val="nil"/>
            </w:tcBorders>
            <w:shd w:val="clear" w:color="auto" w:fill="auto"/>
          </w:tcPr>
          <w:p w14:paraId="4507B5D8" w14:textId="77777777" w:rsidR="00E83F50" w:rsidRPr="00E1625E" w:rsidRDefault="00E83F50" w:rsidP="00E83F50">
            <w:pPr>
              <w:jc w:val="both"/>
              <w:rPr>
                <w:rFonts w:ascii="David" w:hAnsi="David"/>
                <w:sz w:val="26"/>
                <w:szCs w:val="26"/>
                <w:rtl/>
              </w:rPr>
            </w:pPr>
          </w:p>
        </w:tc>
        <w:tc>
          <w:tcPr>
            <w:tcW w:w="4678" w:type="dxa"/>
            <w:tcBorders>
              <w:top w:val="nil"/>
              <w:left w:val="nil"/>
              <w:bottom w:val="nil"/>
              <w:right w:val="nil"/>
            </w:tcBorders>
            <w:shd w:val="clear" w:color="auto" w:fill="auto"/>
          </w:tcPr>
          <w:p w14:paraId="53D7F197" w14:textId="77777777" w:rsidR="00E83F50" w:rsidRPr="00E1625E" w:rsidRDefault="00E83F50" w:rsidP="00E83F50">
            <w:pPr>
              <w:jc w:val="right"/>
              <w:rPr>
                <w:rFonts w:ascii="David" w:hAnsi="David"/>
                <w:bCs/>
                <w:sz w:val="26"/>
                <w:szCs w:val="26"/>
              </w:rPr>
            </w:pPr>
          </w:p>
        </w:tc>
      </w:tr>
    </w:tbl>
    <w:p w14:paraId="4C13042A" w14:textId="77777777" w:rsidR="00E83F50" w:rsidRPr="00E1625E" w:rsidRDefault="00E83F50" w:rsidP="00E83F50">
      <w:pPr>
        <w:rPr>
          <w:sz w:val="26"/>
          <w:szCs w:val="26"/>
        </w:rPr>
      </w:pPr>
    </w:p>
    <w:p w14:paraId="10938D43" w14:textId="77777777" w:rsidR="00D9355E" w:rsidRPr="00D9355E" w:rsidRDefault="00D9355E" w:rsidP="00D9355E">
      <w:pPr>
        <w:spacing w:before="120" w:after="120" w:line="240" w:lineRule="exact"/>
        <w:ind w:left="283" w:hanging="283"/>
        <w:jc w:val="both"/>
        <w:rPr>
          <w:rFonts w:ascii="FrankRuehl" w:hAnsi="FrankRuehl" w:cs="FrankRuehl"/>
          <w:rtl/>
        </w:rPr>
      </w:pPr>
      <w:bookmarkStart w:id="3" w:name="LawTable"/>
      <w:bookmarkEnd w:id="3"/>
      <w:r w:rsidRPr="00D9355E">
        <w:rPr>
          <w:rFonts w:ascii="FrankRuehl" w:hAnsi="FrankRuehl" w:cs="FrankRuehl"/>
          <w:rtl/>
        </w:rPr>
        <w:t xml:space="preserve">חקיקה שאוזכרה: </w:t>
      </w:r>
    </w:p>
    <w:p w14:paraId="079EFA31" w14:textId="77777777" w:rsidR="00D9355E" w:rsidRPr="00D9355E" w:rsidRDefault="00D9355E" w:rsidP="00D9355E">
      <w:pPr>
        <w:spacing w:before="120" w:after="120" w:line="240" w:lineRule="exact"/>
        <w:ind w:left="283" w:hanging="283"/>
        <w:jc w:val="both"/>
        <w:rPr>
          <w:rFonts w:ascii="FrankRuehl" w:hAnsi="FrankRuehl" w:cs="FrankRuehl"/>
          <w:rtl/>
        </w:rPr>
      </w:pPr>
      <w:hyperlink r:id="rId7" w:history="1">
        <w:r w:rsidRPr="00D9355E">
          <w:rPr>
            <w:rStyle w:val="Hyperlink"/>
            <w:rFonts w:ascii="FrankRuehl" w:hAnsi="FrankRuehl" w:cs="FrankRuehl"/>
            <w:u w:val="none"/>
            <w:rtl/>
          </w:rPr>
          <w:t>חוק העונשין, תשל"ז-</w:t>
        </w:r>
        <w:r w:rsidRPr="00D9355E">
          <w:rPr>
            <w:rStyle w:val="Hyperlink"/>
            <w:rFonts w:ascii="FrankRuehl" w:hAnsi="FrankRuehl" w:cs="FrankRuehl"/>
            <w:color w:val="auto"/>
            <w:u w:val="none"/>
            <w:rtl/>
          </w:rPr>
          <w:t>1977</w:t>
        </w:r>
      </w:hyperlink>
      <w:r w:rsidRPr="00D9355E">
        <w:rPr>
          <w:rFonts w:ascii="FrankRuehl" w:hAnsi="FrankRuehl" w:cs="FrankRuehl"/>
          <w:rtl/>
        </w:rPr>
        <w:t xml:space="preserve">: סע'  </w:t>
      </w:r>
      <w:hyperlink r:id="rId8" w:history="1">
        <w:r w:rsidRPr="00D9355E">
          <w:rPr>
            <w:rStyle w:val="Hyperlink"/>
            <w:rFonts w:ascii="FrankRuehl" w:hAnsi="FrankRuehl" w:cs="FrankRuehl"/>
            <w:color w:val="0000FF"/>
            <w:u w:val="none"/>
          </w:rPr>
          <w:t>25</w:t>
        </w:r>
      </w:hyperlink>
      <w:r w:rsidRPr="00D9355E">
        <w:rPr>
          <w:rFonts w:ascii="FrankRuehl" w:hAnsi="FrankRuehl" w:cs="FrankRuehl"/>
          <w:color w:val="0000FF"/>
          <w:rtl/>
        </w:rPr>
        <w:t xml:space="preserve">, </w:t>
      </w:r>
      <w:hyperlink r:id="rId9" w:history="1">
        <w:r w:rsidRPr="00D9355E">
          <w:rPr>
            <w:rStyle w:val="Hyperlink"/>
            <w:rFonts w:ascii="FrankRuehl" w:hAnsi="FrankRuehl" w:cs="FrankRuehl"/>
            <w:color w:val="0000FF"/>
            <w:u w:val="none"/>
          </w:rPr>
          <w:t>144</w:t>
        </w:r>
      </w:hyperlink>
      <w:r w:rsidRPr="00D9355E">
        <w:rPr>
          <w:rFonts w:ascii="FrankRuehl" w:hAnsi="FrankRuehl" w:cs="FrankRuehl"/>
          <w:color w:val="0000FF"/>
          <w:rtl/>
        </w:rPr>
        <w:t xml:space="preserve">, </w:t>
      </w:r>
      <w:hyperlink r:id="rId10" w:history="1">
        <w:r w:rsidRPr="00D9355E">
          <w:rPr>
            <w:rStyle w:val="Hyperlink"/>
            <w:rFonts w:ascii="FrankRuehl" w:hAnsi="FrankRuehl" w:cs="FrankRuehl"/>
            <w:u w:val="none"/>
          </w:rPr>
          <w:t>144</w:t>
        </w:r>
      </w:hyperlink>
      <w:r w:rsidRPr="00D9355E">
        <w:rPr>
          <w:rFonts w:ascii="FrankRuehl" w:hAnsi="FrankRuehl" w:cs="FrankRuehl"/>
          <w:color w:val="0000FF"/>
          <w:rtl/>
        </w:rPr>
        <w:t xml:space="preserve">(א), </w:t>
      </w:r>
      <w:hyperlink r:id="rId11" w:history="1">
        <w:r w:rsidRPr="00D9355E">
          <w:rPr>
            <w:rStyle w:val="Hyperlink"/>
            <w:rFonts w:ascii="FrankRuehl" w:hAnsi="FrankRuehl" w:cs="FrankRuehl"/>
            <w:u w:val="none"/>
          </w:rPr>
          <w:t>144</w:t>
        </w:r>
      </w:hyperlink>
      <w:r w:rsidRPr="00D9355E">
        <w:rPr>
          <w:rFonts w:ascii="FrankRuehl" w:hAnsi="FrankRuehl" w:cs="FrankRuehl"/>
          <w:color w:val="0000FF"/>
          <w:rtl/>
        </w:rPr>
        <w:t xml:space="preserve">(ב), </w:t>
      </w:r>
      <w:hyperlink r:id="rId12" w:history="1">
        <w:r w:rsidRPr="00D9355E">
          <w:rPr>
            <w:rStyle w:val="Hyperlink"/>
            <w:rFonts w:ascii="FrankRuehl" w:hAnsi="FrankRuehl" w:cs="FrankRuehl"/>
            <w:color w:val="0000FF"/>
            <w:u w:val="none"/>
          </w:rPr>
          <w:t>291</w:t>
        </w:r>
      </w:hyperlink>
      <w:r w:rsidRPr="00D9355E">
        <w:rPr>
          <w:rFonts w:ascii="FrankRuehl" w:hAnsi="FrankRuehl" w:cs="FrankRuehl"/>
          <w:color w:val="0000FF"/>
          <w:rtl/>
        </w:rPr>
        <w:t xml:space="preserve">, </w:t>
      </w:r>
      <w:hyperlink r:id="rId13" w:history="1">
        <w:r w:rsidRPr="00D9355E">
          <w:rPr>
            <w:rStyle w:val="Hyperlink"/>
            <w:rFonts w:ascii="FrankRuehl" w:hAnsi="FrankRuehl" w:cs="FrankRuehl"/>
            <w:u w:val="none"/>
          </w:rPr>
          <w:t>431</w:t>
        </w:r>
      </w:hyperlink>
      <w:r w:rsidRPr="00D9355E">
        <w:rPr>
          <w:rFonts w:ascii="FrankRuehl" w:hAnsi="FrankRuehl" w:cs="FrankRuehl"/>
          <w:color w:val="0000FF"/>
          <w:rtl/>
        </w:rPr>
        <w:t xml:space="preserve">(1), </w:t>
      </w:r>
      <w:hyperlink r:id="rId14" w:history="1">
        <w:r w:rsidRPr="00D9355E">
          <w:rPr>
            <w:rStyle w:val="Hyperlink"/>
            <w:rFonts w:ascii="FrankRuehl" w:hAnsi="FrankRuehl" w:cs="FrankRuehl"/>
            <w:color w:val="0000FF"/>
            <w:u w:val="none"/>
          </w:rPr>
          <w:t>454</w:t>
        </w:r>
      </w:hyperlink>
      <w:r w:rsidRPr="00D9355E">
        <w:rPr>
          <w:rFonts w:ascii="FrankRuehl" w:hAnsi="FrankRuehl" w:cs="FrankRuehl"/>
          <w:color w:val="0000FF"/>
          <w:rtl/>
        </w:rPr>
        <w:t xml:space="preserve">, </w:t>
      </w:r>
      <w:hyperlink r:id="rId15" w:history="1">
        <w:r w:rsidRPr="00D9355E">
          <w:rPr>
            <w:rStyle w:val="Hyperlink"/>
            <w:rFonts w:ascii="FrankRuehl" w:hAnsi="FrankRuehl" w:cs="FrankRuehl"/>
            <w:color w:val="auto"/>
            <w:u w:val="none"/>
          </w:rPr>
          <w:t>456</w:t>
        </w:r>
      </w:hyperlink>
    </w:p>
    <w:p w14:paraId="78F0DBC6" w14:textId="77777777" w:rsidR="00D9355E" w:rsidRPr="00D9355E" w:rsidRDefault="00D9355E" w:rsidP="00D9355E">
      <w:pPr>
        <w:spacing w:before="120" w:after="120" w:line="240" w:lineRule="exact"/>
        <w:ind w:left="283" w:hanging="283"/>
        <w:jc w:val="both"/>
        <w:rPr>
          <w:rFonts w:ascii="FrankRuehl" w:hAnsi="FrankRuehl" w:cs="FrankRuehl"/>
          <w:rtl/>
        </w:rPr>
      </w:pPr>
      <w:hyperlink r:id="rId16" w:history="1">
        <w:r w:rsidRPr="00D9355E">
          <w:rPr>
            <w:rStyle w:val="Hyperlink"/>
            <w:rFonts w:ascii="FrankRuehl" w:hAnsi="FrankRuehl" w:cs="FrankRuehl"/>
            <w:u w:val="none"/>
            <w:rtl/>
          </w:rPr>
          <w:t>פקודת הסמים המסוכנים [נוסח חדש], תשל"ג-</w:t>
        </w:r>
        <w:r w:rsidRPr="00D9355E">
          <w:rPr>
            <w:rStyle w:val="Hyperlink"/>
            <w:rFonts w:ascii="FrankRuehl" w:hAnsi="FrankRuehl" w:cs="FrankRuehl"/>
            <w:color w:val="auto"/>
            <w:u w:val="none"/>
            <w:rtl/>
          </w:rPr>
          <w:t>1973</w:t>
        </w:r>
      </w:hyperlink>
      <w:r w:rsidRPr="00D9355E">
        <w:rPr>
          <w:rFonts w:ascii="FrankRuehl" w:hAnsi="FrankRuehl" w:cs="FrankRuehl"/>
          <w:rtl/>
        </w:rPr>
        <w:t xml:space="preserve">: סע'  </w:t>
      </w:r>
      <w:hyperlink r:id="rId17" w:history="1">
        <w:r w:rsidRPr="00D9355E">
          <w:rPr>
            <w:rStyle w:val="Hyperlink"/>
            <w:rFonts w:ascii="FrankRuehl" w:hAnsi="FrankRuehl" w:cs="FrankRuehl"/>
            <w:u w:val="none"/>
          </w:rPr>
          <w:t>7.</w:t>
        </w:r>
        <w:r w:rsidRPr="00D9355E">
          <w:rPr>
            <w:rStyle w:val="Hyperlink"/>
            <w:rFonts w:ascii="FrankRuehl" w:hAnsi="FrankRuehl" w:cs="FrankRuehl"/>
            <w:u w:val="none"/>
            <w:rtl/>
          </w:rPr>
          <w:t>א</w:t>
        </w:r>
        <w:r w:rsidRPr="00D9355E">
          <w:rPr>
            <w:rStyle w:val="Hyperlink"/>
            <w:rFonts w:ascii="FrankRuehl" w:hAnsi="FrankRuehl" w:cs="FrankRuehl"/>
            <w:u w:val="none"/>
          </w:rPr>
          <w:t>.</w:t>
        </w:r>
      </w:hyperlink>
      <w:r w:rsidRPr="00D9355E">
        <w:rPr>
          <w:rFonts w:ascii="FrankRuehl" w:hAnsi="FrankRuehl" w:cs="FrankRuehl"/>
          <w:rtl/>
        </w:rPr>
        <w:t xml:space="preserve">, </w:t>
      </w:r>
      <w:hyperlink r:id="rId18" w:history="1">
        <w:r w:rsidRPr="00D9355E">
          <w:rPr>
            <w:rStyle w:val="Hyperlink"/>
            <w:rFonts w:ascii="FrankRuehl" w:hAnsi="FrankRuehl" w:cs="FrankRuehl"/>
            <w:u w:val="none"/>
          </w:rPr>
          <w:t>7.</w:t>
        </w:r>
        <w:r w:rsidRPr="00D9355E">
          <w:rPr>
            <w:rStyle w:val="Hyperlink"/>
            <w:rFonts w:ascii="FrankRuehl" w:hAnsi="FrankRuehl" w:cs="FrankRuehl"/>
            <w:color w:val="auto"/>
            <w:u w:val="none"/>
            <w:rtl/>
          </w:rPr>
          <w:t>ג</w:t>
        </w:r>
      </w:hyperlink>
    </w:p>
    <w:p w14:paraId="4B2C410D" w14:textId="77777777" w:rsidR="00D9355E" w:rsidRPr="00D9355E" w:rsidRDefault="00D9355E" w:rsidP="00D9355E">
      <w:pPr>
        <w:spacing w:before="120" w:after="120" w:line="240" w:lineRule="exact"/>
        <w:ind w:left="283" w:hanging="283"/>
        <w:jc w:val="both"/>
        <w:rPr>
          <w:rFonts w:ascii="FrankRuehl" w:hAnsi="FrankRuehl" w:cs="FrankRuehl"/>
          <w:color w:val="0000FF"/>
          <w:rtl/>
        </w:rPr>
      </w:pPr>
      <w:hyperlink r:id="rId19" w:history="1">
        <w:r w:rsidRPr="00D9355E">
          <w:rPr>
            <w:rStyle w:val="Hyperlink"/>
            <w:rFonts w:ascii="FrankRuehl" w:hAnsi="FrankRuehl" w:cs="FrankRuehl"/>
            <w:u w:val="none"/>
            <w:rtl/>
          </w:rPr>
          <w:t>פקודת בתי הסוהר [נוסח חדש], תשל"ב-</w:t>
        </w:r>
        <w:r w:rsidRPr="00D9355E">
          <w:rPr>
            <w:rStyle w:val="Hyperlink"/>
            <w:rFonts w:ascii="FrankRuehl" w:hAnsi="FrankRuehl" w:cs="FrankRuehl"/>
            <w:color w:val="auto"/>
            <w:u w:val="none"/>
            <w:rtl/>
          </w:rPr>
          <w:t>1971</w:t>
        </w:r>
      </w:hyperlink>
      <w:r w:rsidRPr="00D9355E">
        <w:rPr>
          <w:rFonts w:ascii="FrankRuehl" w:hAnsi="FrankRuehl" w:cs="FrankRuehl"/>
          <w:rtl/>
        </w:rPr>
        <w:t xml:space="preserve">: סע'  </w:t>
      </w:r>
      <w:hyperlink r:id="rId20" w:history="1">
        <w:r w:rsidRPr="00D9355E">
          <w:rPr>
            <w:rStyle w:val="Hyperlink"/>
            <w:rFonts w:ascii="FrankRuehl" w:hAnsi="FrankRuehl" w:cs="FrankRuehl"/>
            <w:u w:val="none"/>
          </w:rPr>
          <w:t>52</w:t>
        </w:r>
      </w:hyperlink>
      <w:r w:rsidRPr="00D9355E">
        <w:rPr>
          <w:rFonts w:ascii="FrankRuehl" w:hAnsi="FrankRuehl" w:cs="FrankRuehl"/>
          <w:color w:val="0000FF"/>
          <w:rtl/>
        </w:rPr>
        <w:t>(ב)(2)(א)</w:t>
      </w:r>
    </w:p>
    <w:p w14:paraId="7BC86EF4" w14:textId="77777777" w:rsidR="00D9355E" w:rsidRPr="00E1625E" w:rsidRDefault="00D9355E" w:rsidP="00D9355E">
      <w:pPr>
        <w:jc w:val="center"/>
        <w:rPr>
          <w:rFonts w:ascii="David" w:hAnsi="David"/>
          <w:b/>
          <w:bCs/>
          <w:sz w:val="32"/>
          <w:szCs w:val="32"/>
          <w:rtl/>
        </w:rPr>
      </w:pPr>
      <w:bookmarkStart w:id="4" w:name="LawTable_End"/>
      <w:bookmarkStart w:id="5" w:name="PsakDin"/>
      <w:bookmarkEnd w:id="4"/>
      <w:r w:rsidRPr="00D9355E">
        <w:rPr>
          <w:rFonts w:ascii="David" w:hAnsi="David"/>
          <w:b/>
          <w:bCs/>
          <w:sz w:val="32"/>
          <w:szCs w:val="32"/>
          <w:rtl/>
        </w:rPr>
        <w:t>גזר</w:t>
      </w:r>
      <w:r w:rsidRPr="00E1625E">
        <w:rPr>
          <w:rFonts w:ascii="David" w:hAnsi="David"/>
          <w:b/>
          <w:bCs/>
          <w:sz w:val="32"/>
          <w:szCs w:val="32"/>
          <w:rtl/>
        </w:rPr>
        <w:t xml:space="preserve"> דין</w:t>
      </w:r>
    </w:p>
    <w:bookmarkEnd w:id="5"/>
    <w:p w14:paraId="535581AC" w14:textId="77777777" w:rsidR="00D9355E" w:rsidRPr="00E83F50" w:rsidRDefault="00D9355E" w:rsidP="00E83F50">
      <w:pPr>
        <w:jc w:val="center"/>
        <w:rPr>
          <w:rFonts w:ascii="David" w:hAnsi="David"/>
          <w:b/>
          <w:bCs/>
          <w:sz w:val="32"/>
          <w:szCs w:val="32"/>
          <w:rtl/>
        </w:rPr>
      </w:pPr>
      <w:r w:rsidRPr="00E83F50">
        <w:rPr>
          <w:rFonts w:ascii="David" w:hAnsi="David" w:hint="cs"/>
          <w:b/>
          <w:bCs/>
          <w:sz w:val="32"/>
          <w:szCs w:val="32"/>
          <w:rtl/>
        </w:rPr>
        <w:t>(ביחס לנאשם 2)</w:t>
      </w:r>
    </w:p>
    <w:bookmarkEnd w:id="0"/>
    <w:p w14:paraId="125C8738" w14:textId="77777777" w:rsidR="00E83F50" w:rsidRPr="000F2247" w:rsidRDefault="00E83F50" w:rsidP="00E83F50">
      <w:pPr>
        <w:rPr>
          <w:rFonts w:ascii="Arial" w:hAnsi="Arial"/>
          <w:b/>
          <w:bCs/>
          <w:sz w:val="26"/>
          <w:szCs w:val="26"/>
          <w:rtl/>
        </w:rPr>
      </w:pPr>
    </w:p>
    <w:p w14:paraId="02BC19C2" w14:textId="77777777" w:rsidR="00E83F50" w:rsidRDefault="00E83F50" w:rsidP="00E83F50">
      <w:pPr>
        <w:ind w:left="1440" w:firstLine="720"/>
        <w:rPr>
          <w:rFonts w:ascii="David" w:hAnsi="David"/>
          <w:rtl/>
        </w:rPr>
      </w:pPr>
    </w:p>
    <w:p w14:paraId="0534D39D" w14:textId="77777777" w:rsidR="00E83F50" w:rsidRDefault="00E83F50" w:rsidP="00E83F50">
      <w:pPr>
        <w:rPr>
          <w:rFonts w:ascii="David" w:hAnsi="David"/>
          <w:b/>
          <w:bCs/>
          <w:rtl/>
        </w:rPr>
      </w:pPr>
      <w:r>
        <w:rPr>
          <w:rFonts w:ascii="David" w:hAnsi="David"/>
          <w:b/>
          <w:bCs/>
          <w:rtl/>
        </w:rPr>
        <w:t>כתב האישום המתוקן והסדר הטיעון:</w:t>
      </w:r>
    </w:p>
    <w:p w14:paraId="56A6E0FD" w14:textId="77777777" w:rsidR="00E83F50" w:rsidRDefault="00E83F50" w:rsidP="00E83F50">
      <w:pPr>
        <w:jc w:val="both"/>
        <w:rPr>
          <w:rFonts w:ascii="David" w:hAnsi="David"/>
          <w:b/>
          <w:bCs/>
          <w:rtl/>
        </w:rPr>
      </w:pPr>
    </w:p>
    <w:p w14:paraId="5B122829" w14:textId="77777777" w:rsidR="00E83F50" w:rsidRDefault="00E83F50" w:rsidP="00E83F50">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2 הורשע, ע"פ הודאתו בכתב האישום המתוקן, בניסיון להרוס נכס בחומר נפץ- עבירה לפי </w:t>
      </w:r>
      <w:hyperlink r:id="rId21" w:history="1">
        <w:r w:rsidR="00D9355E" w:rsidRPr="00D9355E">
          <w:rPr>
            <w:rStyle w:val="Hyperlink"/>
            <w:rFonts w:ascii="David" w:hAnsi="David"/>
            <w:color w:val="0000FF"/>
            <w:rtl/>
          </w:rPr>
          <w:t>סעיף 456</w:t>
        </w:r>
      </w:hyperlink>
      <w:r>
        <w:rPr>
          <w:rFonts w:ascii="David" w:hAnsi="David"/>
          <w:rtl/>
        </w:rPr>
        <w:t xml:space="preserve"> ל</w:t>
      </w:r>
      <w:hyperlink r:id="rId22" w:history="1">
        <w:r w:rsidR="00E1625E" w:rsidRPr="00E1625E">
          <w:rPr>
            <w:rFonts w:ascii="David" w:hAnsi="David"/>
            <w:color w:val="0000FF"/>
            <w:u w:val="single"/>
            <w:rtl/>
          </w:rPr>
          <w:t>חוק העונשין</w:t>
        </w:r>
      </w:hyperlink>
      <w:r>
        <w:rPr>
          <w:rFonts w:ascii="David" w:hAnsi="David"/>
          <w:rtl/>
        </w:rPr>
        <w:t xml:space="preserve">, התשל"ז 1977 (להלן: </w:t>
      </w:r>
      <w:r>
        <w:rPr>
          <w:rFonts w:ascii="David" w:hAnsi="David"/>
          <w:b/>
          <w:bCs/>
          <w:rtl/>
        </w:rPr>
        <w:t>"חוק העונשין"</w:t>
      </w:r>
      <w:r>
        <w:rPr>
          <w:rFonts w:ascii="David" w:hAnsi="David"/>
          <w:rtl/>
        </w:rPr>
        <w:t xml:space="preserve">) ובעבירות בנשק (נשיאה והובלה) - עבירה לפי </w:t>
      </w:r>
      <w:hyperlink r:id="rId23" w:history="1">
        <w:r w:rsidR="00D9355E" w:rsidRPr="00D9355E">
          <w:rPr>
            <w:rStyle w:val="Hyperlink"/>
            <w:rFonts w:ascii="David" w:hAnsi="David"/>
            <w:color w:val="0000FF"/>
            <w:rtl/>
          </w:rPr>
          <w:t>סעיף 144(ב)</w:t>
        </w:r>
      </w:hyperlink>
      <w:r>
        <w:rPr>
          <w:rFonts w:ascii="David" w:hAnsi="David"/>
          <w:rtl/>
        </w:rPr>
        <w:t xml:space="preserve"> רישא לחוק העונשין. </w:t>
      </w:r>
    </w:p>
    <w:p w14:paraId="629B8AC7" w14:textId="77777777" w:rsidR="00E83F50" w:rsidRDefault="00E83F50" w:rsidP="00E83F50">
      <w:pPr>
        <w:spacing w:line="360" w:lineRule="auto"/>
        <w:ind w:left="720" w:hanging="720"/>
        <w:jc w:val="both"/>
        <w:rPr>
          <w:rFonts w:ascii="David" w:hAnsi="David"/>
          <w:rtl/>
        </w:rPr>
      </w:pPr>
      <w:bookmarkStart w:id="7" w:name="ABSTRACT_END"/>
      <w:bookmarkEnd w:id="7"/>
    </w:p>
    <w:p w14:paraId="0427E4FD" w14:textId="77777777" w:rsidR="00E83F50" w:rsidRDefault="00E83F50" w:rsidP="00E83F50">
      <w:pPr>
        <w:spacing w:line="360" w:lineRule="auto"/>
        <w:ind w:left="720" w:hanging="720"/>
        <w:jc w:val="both"/>
        <w:rPr>
          <w:rFonts w:ascii="David" w:hAnsi="David"/>
          <w:rtl/>
        </w:rPr>
      </w:pPr>
      <w:r>
        <w:rPr>
          <w:rFonts w:ascii="David" w:hAnsi="David"/>
          <w:rtl/>
        </w:rPr>
        <w:tab/>
        <w:t xml:space="preserve">למען שלימות התמונה יצוין כי הנאשם 1 הורשע, ע"פ הודאתו בכתב האישום המתוקן, בעבירות בנשק (החזקה) - עבירה לפי </w:t>
      </w:r>
      <w:hyperlink r:id="rId24" w:history="1">
        <w:r w:rsidR="00D9355E" w:rsidRPr="00D9355E">
          <w:rPr>
            <w:rStyle w:val="Hyperlink"/>
            <w:rFonts w:ascii="David" w:hAnsi="David"/>
            <w:color w:val="0000FF"/>
            <w:rtl/>
          </w:rPr>
          <w:t>סעיף 144(א)</w:t>
        </w:r>
      </w:hyperlink>
      <w:r>
        <w:rPr>
          <w:rFonts w:ascii="David" w:hAnsi="David"/>
          <w:rtl/>
        </w:rPr>
        <w:t xml:space="preserve"> רישא וסיפא ל</w:t>
      </w:r>
      <w:hyperlink r:id="rId25" w:history="1">
        <w:r w:rsidR="00E1625E" w:rsidRPr="00E1625E">
          <w:rPr>
            <w:rFonts w:ascii="David" w:hAnsi="David"/>
            <w:color w:val="0000FF"/>
            <w:u w:val="single"/>
            <w:rtl/>
          </w:rPr>
          <w:t>חוק העונשין</w:t>
        </w:r>
      </w:hyperlink>
      <w:r w:rsidRPr="003E1014">
        <w:rPr>
          <w:rFonts w:ascii="David" w:hAnsi="David"/>
          <w:rtl/>
        </w:rPr>
        <w:t xml:space="preserve">, וטיעונים לעונש </w:t>
      </w:r>
      <w:r w:rsidRPr="003E1014">
        <w:rPr>
          <w:rFonts w:ascii="David" w:hAnsi="David" w:hint="cs"/>
          <w:rtl/>
        </w:rPr>
        <w:t xml:space="preserve"> נקבעו בעניינו ליום 05.01.25.</w:t>
      </w:r>
    </w:p>
    <w:p w14:paraId="09887895" w14:textId="77777777" w:rsidR="00E83F50" w:rsidRDefault="00E83F50" w:rsidP="00E83F50">
      <w:pPr>
        <w:spacing w:line="276" w:lineRule="auto"/>
        <w:ind w:left="720" w:hanging="720"/>
        <w:jc w:val="both"/>
        <w:rPr>
          <w:rFonts w:ascii="David" w:hAnsi="David"/>
          <w:rtl/>
        </w:rPr>
      </w:pPr>
    </w:p>
    <w:p w14:paraId="5386A838" w14:textId="77777777" w:rsidR="00E83F50" w:rsidRDefault="00E83F50" w:rsidP="00E83F50">
      <w:pPr>
        <w:spacing w:line="360" w:lineRule="auto"/>
        <w:ind w:left="720" w:hanging="720"/>
        <w:jc w:val="both"/>
        <w:rPr>
          <w:rFonts w:ascii="David" w:hAnsi="David"/>
          <w:rtl/>
        </w:rPr>
      </w:pPr>
      <w:r>
        <w:rPr>
          <w:rFonts w:ascii="David" w:hAnsi="David"/>
          <w:rtl/>
        </w:rPr>
        <w:lastRenderedPageBreak/>
        <w:t>2.</w:t>
      </w:r>
      <w:r>
        <w:rPr>
          <w:rFonts w:ascii="David" w:hAnsi="David"/>
          <w:rtl/>
        </w:rPr>
        <w:tab/>
        <w:t>על פי עובדות כתב האישום המתוקן, י.ח. הינו הבעלים של מסעדת "לבונה" אקספרס (להלן: "</w:t>
      </w:r>
      <w:r>
        <w:rPr>
          <w:rFonts w:ascii="David" w:hAnsi="David"/>
          <w:b/>
          <w:bCs/>
          <w:rtl/>
        </w:rPr>
        <w:t>המתלונן</w:t>
      </w:r>
      <w:r>
        <w:rPr>
          <w:rFonts w:ascii="David" w:hAnsi="David"/>
          <w:rtl/>
        </w:rPr>
        <w:t xml:space="preserve">") הממוקמת סמוך לתחנת דלק "פז" ברחוב חיים בר לב בעיר אשקלון (להלן: </w:t>
      </w:r>
      <w:r w:rsidRPr="003E1014">
        <w:rPr>
          <w:rFonts w:ascii="David" w:hAnsi="David"/>
          <w:b/>
          <w:bCs/>
          <w:rtl/>
        </w:rPr>
        <w:t>"מסעדת לבונה"</w:t>
      </w:r>
      <w:r w:rsidRPr="003E1014">
        <w:rPr>
          <w:rFonts w:ascii="David" w:hAnsi="David"/>
          <w:rtl/>
        </w:rPr>
        <w:t>).</w:t>
      </w:r>
    </w:p>
    <w:p w14:paraId="6FF0601B" w14:textId="77777777" w:rsidR="00E83F50" w:rsidRDefault="00E83F50" w:rsidP="00E83F50">
      <w:pPr>
        <w:spacing w:line="360" w:lineRule="auto"/>
        <w:ind w:left="720" w:hanging="720"/>
        <w:jc w:val="both"/>
        <w:rPr>
          <w:rFonts w:ascii="David" w:hAnsi="David"/>
          <w:rtl/>
        </w:rPr>
      </w:pPr>
    </w:p>
    <w:p w14:paraId="73A3DDFF" w14:textId="77777777" w:rsidR="00E83F50" w:rsidRDefault="00E83F50" w:rsidP="00E83F50">
      <w:pPr>
        <w:spacing w:line="360" w:lineRule="auto"/>
        <w:ind w:left="720"/>
        <w:jc w:val="both"/>
        <w:rPr>
          <w:rFonts w:ascii="David" w:hAnsi="David"/>
          <w:rtl/>
        </w:rPr>
      </w:pPr>
      <w:r>
        <w:rPr>
          <w:rFonts w:ascii="David" w:hAnsi="David"/>
          <w:rtl/>
        </w:rPr>
        <w:t>בין נאשם 2 לבין אלזפן ג'קסון (להלן: "</w:t>
      </w:r>
      <w:r>
        <w:rPr>
          <w:rFonts w:ascii="David" w:hAnsi="David"/>
          <w:b/>
          <w:bCs/>
          <w:rtl/>
        </w:rPr>
        <w:t>ג'קסון</w:t>
      </w:r>
      <w:r>
        <w:rPr>
          <w:rFonts w:ascii="David" w:hAnsi="David"/>
          <w:rtl/>
        </w:rPr>
        <w:t xml:space="preserve">") קיימת היכרות מוקדמת. כשבוע לפני האירועים שיתארו בכתב האישום הכיר נאשם 2 לנאשם 1 את ג'קסון. </w:t>
      </w:r>
    </w:p>
    <w:p w14:paraId="708878F1" w14:textId="77777777" w:rsidR="00E83F50" w:rsidRDefault="00E83F50" w:rsidP="00E83F50">
      <w:pPr>
        <w:spacing w:line="360" w:lineRule="auto"/>
        <w:ind w:left="720"/>
        <w:jc w:val="both"/>
        <w:rPr>
          <w:rFonts w:ascii="David" w:hAnsi="David"/>
          <w:rtl/>
        </w:rPr>
      </w:pPr>
    </w:p>
    <w:p w14:paraId="3E94B8C0" w14:textId="77777777" w:rsidR="00E83F50" w:rsidRDefault="00E83F50" w:rsidP="00E83F50">
      <w:pPr>
        <w:spacing w:line="360" w:lineRule="auto"/>
        <w:ind w:left="720"/>
        <w:jc w:val="both"/>
        <w:rPr>
          <w:rFonts w:ascii="David" w:hAnsi="David"/>
          <w:rtl/>
        </w:rPr>
      </w:pPr>
      <w:r>
        <w:rPr>
          <w:rFonts w:ascii="David" w:hAnsi="David"/>
          <w:rtl/>
        </w:rPr>
        <w:t xml:space="preserve">עובר לאירועים שיתוארו להלן, סיכמו הנאשמים עם ג'קסון לפגוע במסעדה, על רקע נסיבות שאינן ידועות במדויק למאשימה. </w:t>
      </w:r>
    </w:p>
    <w:p w14:paraId="6A8079AF" w14:textId="77777777" w:rsidR="00E83F50" w:rsidRDefault="00E83F50" w:rsidP="00E83F50">
      <w:pPr>
        <w:spacing w:line="360" w:lineRule="auto"/>
        <w:ind w:left="720"/>
        <w:jc w:val="both"/>
        <w:rPr>
          <w:rFonts w:ascii="David" w:hAnsi="David"/>
          <w:rtl/>
        </w:rPr>
      </w:pPr>
      <w:r>
        <w:rPr>
          <w:rFonts w:ascii="David" w:hAnsi="David"/>
          <w:rtl/>
        </w:rPr>
        <w:t>בהמשך למתואר לעיל, במועד שאינו ידוע למאשימה במדויק, כשבוע לפני האירועים שיתוארו בהמשך כתב האישום, נפגש נאשם 2 בדירתו באשקלון עם ג'קסון ואדם נוסף שזהותו אינה ידועה למאשימה (להלן:</w:t>
      </w:r>
      <w:r>
        <w:rPr>
          <w:rFonts w:ascii="David" w:hAnsi="David"/>
          <w:b/>
          <w:bCs/>
          <w:rtl/>
        </w:rPr>
        <w:t xml:space="preserve"> "האחר"</w:t>
      </w:r>
      <w:r>
        <w:rPr>
          <w:rFonts w:ascii="David" w:hAnsi="David"/>
          <w:rtl/>
        </w:rPr>
        <w:t>). במעמד הפגישה אמר נאשם 2 לג'קסון שהוא מעוניין להרתיע אדם אשר חייב לו כספים אך הוא לא מעונין בפגיעה פיזית.</w:t>
      </w:r>
    </w:p>
    <w:p w14:paraId="5DC929E8" w14:textId="77777777" w:rsidR="00E83F50" w:rsidRDefault="00E83F50" w:rsidP="00E83F50">
      <w:pPr>
        <w:spacing w:line="360" w:lineRule="auto"/>
        <w:ind w:left="720"/>
        <w:jc w:val="both"/>
        <w:rPr>
          <w:rFonts w:ascii="David" w:hAnsi="David"/>
          <w:rtl/>
        </w:rPr>
      </w:pPr>
    </w:p>
    <w:p w14:paraId="09598260" w14:textId="77777777" w:rsidR="00E83F50" w:rsidRDefault="00E83F50" w:rsidP="00E83F50">
      <w:pPr>
        <w:spacing w:line="360" w:lineRule="auto"/>
        <w:ind w:left="720"/>
        <w:jc w:val="both"/>
        <w:rPr>
          <w:rFonts w:ascii="David" w:hAnsi="David"/>
          <w:rtl/>
        </w:rPr>
      </w:pPr>
      <w:r>
        <w:rPr>
          <w:rFonts w:ascii="David" w:hAnsi="David"/>
          <w:rtl/>
        </w:rPr>
        <w:t xml:space="preserve">בתאריך 26.4.22 בשעה שאינה ידועה למאשימה, אספו נאשם 1 ואדם נוסף, שזהותו אינה ידועה למאשימה את ג'קסון והאחר מביתו של נאשם 2 ברכב מסוג "סקודה". נאשם 1 הסיע את ג'קסון והאחר למסעדת לבונה וכשהגיעו בסמוך למסעדת לבונה הצביע נאשם 1 על המסעדה ואמר לג'קסון ולאחר "זה המקום של הבן זונה", או בדומה לכך. מיד לאחר מכן, החזיר נאשם 1 את ג'קסון והאחר לביתו של נאשם 2. </w:t>
      </w:r>
    </w:p>
    <w:p w14:paraId="49EB4F3A" w14:textId="77777777" w:rsidR="00E83F50" w:rsidRDefault="00E83F50" w:rsidP="00E83F50">
      <w:pPr>
        <w:spacing w:line="360" w:lineRule="auto"/>
        <w:ind w:left="720"/>
        <w:jc w:val="both"/>
        <w:rPr>
          <w:rFonts w:ascii="David" w:hAnsi="David"/>
          <w:rtl/>
        </w:rPr>
      </w:pPr>
    </w:p>
    <w:p w14:paraId="634B404E" w14:textId="77777777" w:rsidR="00E83F50" w:rsidRDefault="00E83F50" w:rsidP="00E83F50">
      <w:pPr>
        <w:spacing w:line="360" w:lineRule="auto"/>
        <w:ind w:left="720"/>
        <w:jc w:val="both"/>
        <w:rPr>
          <w:rFonts w:ascii="David" w:hAnsi="David"/>
          <w:rtl/>
        </w:rPr>
      </w:pPr>
      <w:r>
        <w:rPr>
          <w:rFonts w:ascii="David" w:hAnsi="David"/>
          <w:rtl/>
        </w:rPr>
        <w:t xml:space="preserve">בהמשך למתואר לעיל, במועדים שאינם ידועים במדויק למאשימה, נפגשו הנאשמים עם ג'קסון והאחר לשם תכנון הפגיעה. חלק מהמפגשים התקיימו בביתו של נאשם 1 וחלקם בביתו של נאשם 2. </w:t>
      </w:r>
    </w:p>
    <w:p w14:paraId="58EEE12D" w14:textId="77777777" w:rsidR="00E83F50" w:rsidRDefault="00E83F50" w:rsidP="00E83F50">
      <w:pPr>
        <w:spacing w:line="360" w:lineRule="auto"/>
        <w:ind w:left="720"/>
        <w:jc w:val="both"/>
        <w:rPr>
          <w:rFonts w:ascii="David" w:hAnsi="David"/>
          <w:rtl/>
        </w:rPr>
      </w:pPr>
    </w:p>
    <w:p w14:paraId="5F416A51" w14:textId="77777777" w:rsidR="00E83F50" w:rsidRDefault="00E83F50" w:rsidP="00E83F50">
      <w:pPr>
        <w:spacing w:line="360" w:lineRule="auto"/>
        <w:ind w:left="720"/>
        <w:jc w:val="both"/>
        <w:rPr>
          <w:rFonts w:ascii="David" w:hAnsi="David"/>
          <w:rtl/>
        </w:rPr>
      </w:pPr>
      <w:r>
        <w:rPr>
          <w:rFonts w:ascii="David" w:hAnsi="David"/>
          <w:rtl/>
        </w:rPr>
        <w:t xml:space="preserve">במועד שאינו ידוע למאשימה אולם לפני יום 27.4.22 העביר הנאשם 2 מטען חבלה מאולתר לידי ג'קסון. בתאריך 27.4.22, בסמוך לשעה 02:00 לפנות בוקר, רכבו ג'קסון והאחר על אופנוע גנוב מסוג </w:t>
      </w:r>
      <w:r>
        <w:rPr>
          <w:rFonts w:ascii="David" w:hAnsi="David"/>
        </w:rPr>
        <w:t>N MAX</w:t>
      </w:r>
      <w:r>
        <w:rPr>
          <w:rFonts w:ascii="David" w:hAnsi="David"/>
          <w:rtl/>
        </w:rPr>
        <w:t xml:space="preserve"> של ימאהה מ.ר. 58-554-89 שנגנב מבעליו, מאיר נגר בתאריך 3.1.22 (להלן: </w:t>
      </w:r>
      <w:r>
        <w:rPr>
          <w:rFonts w:ascii="David" w:hAnsi="David"/>
          <w:b/>
          <w:bCs/>
          <w:rtl/>
        </w:rPr>
        <w:t>"האופנוע"</w:t>
      </w:r>
      <w:r>
        <w:rPr>
          <w:rFonts w:ascii="David" w:hAnsi="David"/>
          <w:rtl/>
        </w:rPr>
        <w:t xml:space="preserve">) למסעדת לבונה, וג'קסון הניח את המטען סמוך לדלת המסעדה, על פי הוראת הנאשם 2, אולם ג'קסון לא הפעיל את המטען. כשעה לאחר מכן, חזר ג'קסון למסעדה, לקח בחזרה את המטען ואמר לנאשם 2 שהמטען אינו עובד. או בדומה לכך. </w:t>
      </w:r>
    </w:p>
    <w:p w14:paraId="6B987FA3" w14:textId="77777777" w:rsidR="00E83F50" w:rsidRDefault="00E83F50" w:rsidP="00E83F50">
      <w:pPr>
        <w:spacing w:line="360" w:lineRule="auto"/>
        <w:ind w:left="720"/>
        <w:jc w:val="both"/>
        <w:rPr>
          <w:rFonts w:ascii="David" w:hAnsi="David"/>
          <w:rtl/>
        </w:rPr>
      </w:pPr>
      <w:r>
        <w:rPr>
          <w:rFonts w:ascii="David" w:hAnsi="David"/>
          <w:rtl/>
        </w:rPr>
        <w:t xml:space="preserve">בתאריך 27.4.22 סמוך לשעה 22:00, בביתו של נאשם 1 בו שהה גם נאשם 2, מסר נאשם 1 לג'קסון אקדח עם מחסנית וכדורי תחמושת תואמים (להלן: </w:t>
      </w:r>
      <w:r>
        <w:rPr>
          <w:rFonts w:ascii="David" w:hAnsi="David"/>
          <w:b/>
          <w:bCs/>
          <w:rtl/>
        </w:rPr>
        <w:t>"האקדח"</w:t>
      </w:r>
      <w:r>
        <w:rPr>
          <w:rFonts w:ascii="David" w:hAnsi="David"/>
          <w:rtl/>
        </w:rPr>
        <w:t>) לשם ביצוע ירי לכיוון המסעדה.</w:t>
      </w:r>
    </w:p>
    <w:p w14:paraId="546584BA" w14:textId="77777777" w:rsidR="00E83F50" w:rsidRDefault="00E83F50" w:rsidP="00E83F50">
      <w:pPr>
        <w:spacing w:line="360" w:lineRule="auto"/>
        <w:ind w:left="720"/>
        <w:jc w:val="both"/>
        <w:rPr>
          <w:rFonts w:ascii="David" w:hAnsi="David"/>
          <w:rtl/>
        </w:rPr>
      </w:pPr>
    </w:p>
    <w:p w14:paraId="55A1BECB" w14:textId="77777777" w:rsidR="00E83F50" w:rsidRDefault="00E83F50" w:rsidP="00E83F50">
      <w:pPr>
        <w:spacing w:line="360" w:lineRule="auto"/>
        <w:ind w:left="720"/>
        <w:jc w:val="both"/>
        <w:rPr>
          <w:rFonts w:ascii="David" w:hAnsi="David"/>
          <w:rtl/>
        </w:rPr>
      </w:pPr>
      <w:r>
        <w:rPr>
          <w:rFonts w:ascii="David" w:hAnsi="David"/>
          <w:rtl/>
        </w:rPr>
        <w:lastRenderedPageBreak/>
        <w:t xml:space="preserve">בהמשך למתואר לעיל בסמוך לשעה 4:45, יצאו ג'קסון והאחר מביתו של נאשם 2 כשהם נושאים עימם את האקדח. </w:t>
      </w:r>
    </w:p>
    <w:p w14:paraId="392148D0" w14:textId="77777777" w:rsidR="00E83F50" w:rsidRDefault="00E83F50" w:rsidP="00E83F50">
      <w:pPr>
        <w:spacing w:line="360" w:lineRule="auto"/>
        <w:ind w:left="720"/>
        <w:jc w:val="both"/>
        <w:rPr>
          <w:rFonts w:ascii="David" w:hAnsi="David"/>
          <w:rtl/>
        </w:rPr>
      </w:pPr>
    </w:p>
    <w:p w14:paraId="4CF32FF3" w14:textId="77777777" w:rsidR="00E83F50" w:rsidRDefault="00E83F50" w:rsidP="00E83F50">
      <w:pPr>
        <w:spacing w:line="360" w:lineRule="auto"/>
        <w:ind w:left="720"/>
        <w:jc w:val="both"/>
        <w:rPr>
          <w:rFonts w:ascii="David" w:hAnsi="David"/>
          <w:rtl/>
        </w:rPr>
      </w:pPr>
      <w:r>
        <w:rPr>
          <w:rFonts w:ascii="David" w:hAnsi="David"/>
          <w:rtl/>
        </w:rPr>
        <w:t xml:space="preserve">בסמוך לשעה 5:50, הגיעו ג'קסון והאחר לחניה הסמוכה למסעדת לבונה כשהאחר נוהג באופנוע וג'קסון יושב מאחוריו. תוך כדי נסיעה, אחז ג'קסון בנשק וירה באמצעותו 10 כדורים לעבר מסעדת לבונה. הכדורים פגעו וגרמו לנזק במבנה המסעדה, בחלון הראווה ובכיסאות ושלחנות שהיו מחוץ למסעדה. לאחר מכן השניים עזבו את המקום. </w:t>
      </w:r>
    </w:p>
    <w:p w14:paraId="288355B2" w14:textId="77777777" w:rsidR="00E83F50" w:rsidRDefault="00E83F50" w:rsidP="00E83F50">
      <w:pPr>
        <w:spacing w:line="360" w:lineRule="auto"/>
        <w:ind w:firstLine="720"/>
        <w:jc w:val="both"/>
        <w:rPr>
          <w:rFonts w:ascii="David" w:hAnsi="David"/>
          <w:rtl/>
        </w:rPr>
      </w:pPr>
    </w:p>
    <w:p w14:paraId="517B4E07" w14:textId="77777777" w:rsidR="00E83F50" w:rsidRDefault="00E83F50" w:rsidP="00E83F50">
      <w:pPr>
        <w:spacing w:line="360" w:lineRule="auto"/>
        <w:ind w:firstLine="720"/>
        <w:jc w:val="both"/>
        <w:rPr>
          <w:rFonts w:ascii="David" w:hAnsi="David"/>
          <w:rtl/>
        </w:rPr>
      </w:pPr>
      <w:r>
        <w:rPr>
          <w:rFonts w:ascii="David" w:hAnsi="David"/>
          <w:rtl/>
        </w:rPr>
        <w:t xml:space="preserve">כתוצאה מהירי על מסעדת לבונה, נגרם למסעדה נזק המוערך בשווי של 1,440 ₪. </w:t>
      </w:r>
    </w:p>
    <w:p w14:paraId="026D3D83" w14:textId="77777777" w:rsidR="00E83F50" w:rsidRDefault="00E83F50" w:rsidP="00E83F50">
      <w:pPr>
        <w:spacing w:line="360" w:lineRule="auto"/>
        <w:ind w:firstLine="720"/>
        <w:jc w:val="both"/>
        <w:rPr>
          <w:rFonts w:ascii="David" w:hAnsi="David"/>
          <w:rtl/>
        </w:rPr>
      </w:pPr>
    </w:p>
    <w:p w14:paraId="33DD6B56" w14:textId="77777777" w:rsidR="00E83F50" w:rsidRDefault="00E83F50" w:rsidP="00E83F50">
      <w:pPr>
        <w:spacing w:line="360" w:lineRule="auto"/>
        <w:ind w:left="720" w:hanging="720"/>
        <w:rPr>
          <w:rFonts w:ascii="David" w:hAnsi="David"/>
          <w:rtl/>
        </w:rPr>
      </w:pPr>
      <w:r>
        <w:rPr>
          <w:rFonts w:ascii="David" w:hAnsi="David"/>
          <w:rtl/>
        </w:rPr>
        <w:t>3.</w:t>
      </w:r>
      <w:r>
        <w:rPr>
          <w:rFonts w:ascii="David" w:hAnsi="David"/>
          <w:rtl/>
        </w:rPr>
        <w:tab/>
        <w:t>הנאשם 2  הורשע במסגרת הסדר טיעון לאחר קיום מספר דיוני הוכחות ושמיעתם של שניים מעדי התביעה, והצדדים עתרו במשותף להטיל עליו העונשים המפורטים להלן:</w:t>
      </w:r>
    </w:p>
    <w:p w14:paraId="506B842E" w14:textId="77777777" w:rsidR="00E83F50" w:rsidRDefault="00E83F50" w:rsidP="00E83F50">
      <w:pPr>
        <w:spacing w:line="360" w:lineRule="auto"/>
        <w:ind w:left="720" w:hanging="720"/>
        <w:rPr>
          <w:rFonts w:ascii="David" w:hAnsi="David"/>
          <w:rtl/>
        </w:rPr>
      </w:pPr>
    </w:p>
    <w:p w14:paraId="47BAC38F" w14:textId="77777777" w:rsidR="00E83F50" w:rsidRDefault="00E83F50" w:rsidP="00E83F50">
      <w:pPr>
        <w:spacing w:line="360" w:lineRule="auto"/>
        <w:ind w:left="720" w:hanging="720"/>
        <w:jc w:val="both"/>
        <w:rPr>
          <w:rFonts w:ascii="David" w:hAnsi="David"/>
          <w:rtl/>
        </w:rPr>
      </w:pPr>
      <w:r>
        <w:rPr>
          <w:rFonts w:ascii="David" w:hAnsi="David"/>
          <w:rtl/>
        </w:rPr>
        <w:tab/>
        <w:t xml:space="preserve"> א.</w:t>
      </w:r>
      <w:r>
        <w:rPr>
          <w:rFonts w:ascii="David" w:hAnsi="David"/>
          <w:rtl/>
        </w:rPr>
        <w:tab/>
        <w:t>6 שנים מאסר בפועל, בניכוי ימי מעצרו בתיק שבכותרת בלבד.</w:t>
      </w:r>
    </w:p>
    <w:p w14:paraId="62ED1F89" w14:textId="77777777" w:rsidR="00E83F50" w:rsidRDefault="00E83F50" w:rsidP="00E83F50">
      <w:pPr>
        <w:spacing w:line="360" w:lineRule="auto"/>
        <w:ind w:left="1440"/>
        <w:jc w:val="both"/>
        <w:rPr>
          <w:rFonts w:ascii="David" w:hAnsi="David"/>
          <w:rtl/>
        </w:rPr>
      </w:pPr>
      <w:r>
        <w:rPr>
          <w:rFonts w:ascii="David" w:hAnsi="David"/>
          <w:rtl/>
        </w:rPr>
        <w:t xml:space="preserve">באשר לתקופות מאסר בהליכים אחרים אותן ריצה או מרצה הנאשם במקביל למעצרו בתיק שבכותרת, המאשימה עתרה שלא לנכות כלל תקופות אלו מתקופת המאסר שתיגזר עליו וסוכם כי ההגנה תטען כהבנתה. </w:t>
      </w:r>
    </w:p>
    <w:p w14:paraId="3DDFBBC3" w14:textId="77777777" w:rsidR="00E83F50" w:rsidRDefault="00E83F50" w:rsidP="00E83F50">
      <w:pPr>
        <w:spacing w:line="360" w:lineRule="auto"/>
        <w:ind w:left="1440"/>
        <w:jc w:val="both"/>
        <w:rPr>
          <w:rFonts w:ascii="David" w:hAnsi="David"/>
          <w:rtl/>
        </w:rPr>
      </w:pPr>
    </w:p>
    <w:p w14:paraId="4B32FE62" w14:textId="77777777" w:rsidR="00E83F50" w:rsidRDefault="00E83F50" w:rsidP="00E83F50">
      <w:pPr>
        <w:spacing w:line="360" w:lineRule="auto"/>
        <w:ind w:left="1440" w:hanging="720"/>
        <w:jc w:val="both"/>
        <w:rPr>
          <w:rFonts w:ascii="David" w:hAnsi="David"/>
          <w:rtl/>
        </w:rPr>
      </w:pPr>
      <w:r>
        <w:rPr>
          <w:rFonts w:ascii="David" w:hAnsi="David"/>
          <w:rtl/>
        </w:rPr>
        <w:t>ב.</w:t>
      </w:r>
      <w:r>
        <w:rPr>
          <w:rFonts w:ascii="David" w:hAnsi="David"/>
          <w:rtl/>
        </w:rPr>
        <w:tab/>
        <w:t>מאסר על תנאי שתחולתו, משכו ויתר תנאיו יקבעו על ידי ביהמ"ש על פי שיקול דעתו.</w:t>
      </w:r>
    </w:p>
    <w:p w14:paraId="7E55C792" w14:textId="77777777" w:rsidR="00E83F50" w:rsidRDefault="00E83F50" w:rsidP="00E83F50">
      <w:pPr>
        <w:spacing w:line="360" w:lineRule="auto"/>
        <w:ind w:left="1440" w:hanging="720"/>
        <w:jc w:val="both"/>
        <w:rPr>
          <w:rFonts w:ascii="David" w:hAnsi="David"/>
          <w:rtl/>
        </w:rPr>
      </w:pPr>
    </w:p>
    <w:p w14:paraId="3BD6214D" w14:textId="77777777" w:rsidR="00E83F50" w:rsidRDefault="00E83F50" w:rsidP="00E83F50">
      <w:pPr>
        <w:spacing w:line="360" w:lineRule="auto"/>
        <w:jc w:val="both"/>
        <w:rPr>
          <w:rFonts w:ascii="David" w:hAnsi="David"/>
          <w:rtl/>
        </w:rPr>
      </w:pPr>
      <w:r>
        <w:rPr>
          <w:rFonts w:ascii="David" w:hAnsi="David"/>
          <w:rtl/>
        </w:rPr>
        <w:tab/>
        <w:t>ג.</w:t>
      </w:r>
      <w:r>
        <w:rPr>
          <w:rFonts w:ascii="David" w:hAnsi="David"/>
          <w:rtl/>
        </w:rPr>
        <w:tab/>
        <w:t>קנס.</w:t>
      </w:r>
    </w:p>
    <w:p w14:paraId="20C86B27" w14:textId="77777777" w:rsidR="00E83F50" w:rsidRDefault="00E83F50" w:rsidP="00E83F50">
      <w:pPr>
        <w:spacing w:line="360" w:lineRule="auto"/>
        <w:jc w:val="both"/>
        <w:rPr>
          <w:rFonts w:ascii="David" w:hAnsi="David"/>
          <w:rtl/>
        </w:rPr>
      </w:pPr>
    </w:p>
    <w:p w14:paraId="43C38B63" w14:textId="77777777" w:rsidR="00E83F50" w:rsidRDefault="00E83F50" w:rsidP="00E83F50">
      <w:pPr>
        <w:spacing w:line="360" w:lineRule="auto"/>
        <w:jc w:val="both"/>
        <w:rPr>
          <w:rFonts w:ascii="David" w:hAnsi="David"/>
          <w:rtl/>
        </w:rPr>
      </w:pPr>
      <w:r>
        <w:rPr>
          <w:rFonts w:ascii="David" w:hAnsi="David"/>
          <w:rtl/>
        </w:rPr>
        <w:tab/>
        <w:t>ד.</w:t>
      </w:r>
      <w:r>
        <w:rPr>
          <w:rFonts w:ascii="David" w:hAnsi="David"/>
          <w:rtl/>
        </w:rPr>
        <w:tab/>
        <w:t>פיצוי לנפגע העבירה.</w:t>
      </w:r>
    </w:p>
    <w:p w14:paraId="3FC73519" w14:textId="77777777" w:rsidR="00E83F50" w:rsidRDefault="00E83F50" w:rsidP="00E83F50">
      <w:pPr>
        <w:spacing w:line="360" w:lineRule="auto"/>
        <w:jc w:val="both"/>
        <w:rPr>
          <w:rFonts w:ascii="David" w:hAnsi="David"/>
          <w:rtl/>
        </w:rPr>
      </w:pPr>
    </w:p>
    <w:p w14:paraId="584CDBA5" w14:textId="77777777" w:rsidR="00E83F50" w:rsidRDefault="00E83F50" w:rsidP="00E83F50">
      <w:pPr>
        <w:spacing w:line="360" w:lineRule="auto"/>
        <w:jc w:val="both"/>
        <w:rPr>
          <w:rFonts w:ascii="David" w:hAnsi="David"/>
          <w:b/>
          <w:bCs/>
          <w:rtl/>
        </w:rPr>
      </w:pPr>
      <w:r>
        <w:rPr>
          <w:rFonts w:ascii="David" w:hAnsi="David"/>
          <w:b/>
          <w:bCs/>
          <w:rtl/>
        </w:rPr>
        <w:t>טענות באי כוח הצדדים:</w:t>
      </w:r>
    </w:p>
    <w:p w14:paraId="1793216F" w14:textId="77777777" w:rsidR="00E83F50" w:rsidRDefault="00E83F50" w:rsidP="00E83F50">
      <w:pPr>
        <w:spacing w:line="360" w:lineRule="auto"/>
        <w:jc w:val="both"/>
        <w:rPr>
          <w:rFonts w:ascii="David" w:hAnsi="David"/>
          <w:b/>
          <w:bCs/>
          <w:rtl/>
        </w:rPr>
      </w:pPr>
    </w:p>
    <w:p w14:paraId="027666A9" w14:textId="77777777" w:rsidR="00E83F50" w:rsidRDefault="00E83F50" w:rsidP="00E83F50">
      <w:pPr>
        <w:spacing w:line="360" w:lineRule="auto"/>
        <w:ind w:left="720" w:hanging="720"/>
        <w:jc w:val="both"/>
        <w:rPr>
          <w:rFonts w:ascii="David" w:hAnsi="David"/>
          <w:rtl/>
        </w:rPr>
      </w:pPr>
      <w:r>
        <w:rPr>
          <w:rFonts w:ascii="David" w:hAnsi="David"/>
          <w:rtl/>
        </w:rPr>
        <w:t>4.</w:t>
      </w:r>
      <w:r>
        <w:rPr>
          <w:rFonts w:ascii="David" w:hAnsi="David"/>
          <w:rtl/>
        </w:rPr>
        <w:tab/>
        <w:t>במסגרת הראיות לעונש הגיש ב"כ המאשימה תדפיס מידע פלילי של הנאשם 2 (ת/54) וההגנה לא הגישה ראיות לעונש.</w:t>
      </w:r>
    </w:p>
    <w:p w14:paraId="134D11E0" w14:textId="77777777" w:rsidR="00E83F50" w:rsidRDefault="00E83F50" w:rsidP="00E83F50">
      <w:pPr>
        <w:spacing w:line="360" w:lineRule="auto"/>
        <w:ind w:left="720" w:hanging="720"/>
        <w:jc w:val="both"/>
        <w:rPr>
          <w:rFonts w:ascii="David" w:hAnsi="David"/>
          <w:rtl/>
        </w:rPr>
      </w:pPr>
    </w:p>
    <w:p w14:paraId="0EB385DD" w14:textId="77777777" w:rsidR="00E83F50" w:rsidRDefault="00E83F50" w:rsidP="00E83F50">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ב"כ המאשימה</w:t>
      </w:r>
      <w:r>
        <w:rPr>
          <w:rFonts w:ascii="David" w:hAnsi="David"/>
          <w:rtl/>
        </w:rPr>
        <w:t xml:space="preserve"> טען כי כתב האישום המתוקן בעניינו של הנאשם 2 חמור ביותר והסדר הטיעון מקל עמו, בוודאי נוכח עברו הפלילי. לדבריו, הסדר הטיעון המקל הוא תולדה של מורכבותו הראייתית של התיק, ולמרות שהוצג לאחר שמיעת חלק מהראיות הוא לוקח בחשבון גם את החיסכון המשמעותי בזמן שיפוטי. </w:t>
      </w:r>
    </w:p>
    <w:p w14:paraId="18231E58" w14:textId="77777777" w:rsidR="00E83F50" w:rsidRDefault="00E83F50" w:rsidP="00E83F50">
      <w:pPr>
        <w:spacing w:line="360" w:lineRule="auto"/>
        <w:ind w:left="720" w:hanging="720"/>
        <w:jc w:val="both"/>
        <w:rPr>
          <w:rFonts w:ascii="David" w:hAnsi="David"/>
          <w:rtl/>
        </w:rPr>
      </w:pPr>
    </w:p>
    <w:p w14:paraId="164FCC25" w14:textId="77777777" w:rsidR="00E83F50" w:rsidRDefault="00E83F50" w:rsidP="00E83F50">
      <w:pPr>
        <w:spacing w:line="360" w:lineRule="auto"/>
        <w:ind w:left="720" w:hanging="720"/>
        <w:jc w:val="both"/>
        <w:rPr>
          <w:rFonts w:ascii="David" w:hAnsi="David"/>
          <w:rtl/>
        </w:rPr>
      </w:pPr>
      <w:r>
        <w:rPr>
          <w:rFonts w:ascii="David" w:hAnsi="David"/>
          <w:rtl/>
        </w:rPr>
        <w:tab/>
        <w:t xml:space="preserve">באשר לרכיב שבמחלוקת – עתרה המאשימה לריצוי עונש המאסר שיוטל על הנאשם במצטבר לכל עונש אחר אותו ריצה או עודנו מרצה בתיקים אחרים במהלך מעצרו בתיק שבענייננו ולשם כך הגיש והפנה לת/55 ול-ת/56 (להלן: </w:t>
      </w:r>
      <w:r>
        <w:rPr>
          <w:rFonts w:ascii="David" w:hAnsi="David"/>
          <w:b/>
          <w:bCs/>
          <w:rtl/>
        </w:rPr>
        <w:t>"שני התיקים האחרים"</w:t>
      </w:r>
      <w:r>
        <w:rPr>
          <w:rFonts w:ascii="David" w:hAnsi="David"/>
          <w:rtl/>
        </w:rPr>
        <w:t>).</w:t>
      </w:r>
    </w:p>
    <w:p w14:paraId="0E57676F" w14:textId="77777777" w:rsidR="00E83F50" w:rsidRDefault="00E83F50" w:rsidP="00E83F50">
      <w:pPr>
        <w:spacing w:line="360" w:lineRule="auto"/>
        <w:ind w:left="720"/>
        <w:jc w:val="both"/>
        <w:rPr>
          <w:rFonts w:ascii="David" w:hAnsi="David"/>
          <w:rtl/>
        </w:rPr>
      </w:pPr>
    </w:p>
    <w:p w14:paraId="4A27C572" w14:textId="77777777" w:rsidR="00E83F50" w:rsidRDefault="00E83F50" w:rsidP="00E83F50">
      <w:pPr>
        <w:spacing w:line="360" w:lineRule="auto"/>
        <w:ind w:left="720"/>
        <w:jc w:val="both"/>
        <w:rPr>
          <w:rFonts w:ascii="David" w:hAnsi="David"/>
          <w:rtl/>
        </w:rPr>
      </w:pPr>
      <w:r>
        <w:rPr>
          <w:rFonts w:ascii="David" w:hAnsi="David"/>
          <w:rtl/>
        </w:rPr>
        <w:t xml:space="preserve">במסגרת </w:t>
      </w:r>
      <w:hyperlink r:id="rId26" w:history="1">
        <w:r w:rsidR="00E1625E" w:rsidRPr="00E1625E">
          <w:rPr>
            <w:rFonts w:ascii="David" w:hAnsi="David"/>
            <w:color w:val="0000FF"/>
            <w:u w:val="single"/>
            <w:rtl/>
          </w:rPr>
          <w:t>ת.פ (מחוזי ב"ש) 23546-12-22</w:t>
        </w:r>
      </w:hyperlink>
      <w:r>
        <w:rPr>
          <w:rFonts w:ascii="David" w:hAnsi="David"/>
          <w:rtl/>
        </w:rPr>
        <w:t xml:space="preserve"> (ת/55) הורשע הנאשם בעושק - עבירה לפי </w:t>
      </w:r>
      <w:hyperlink r:id="rId27" w:history="1">
        <w:r w:rsidR="00D9355E" w:rsidRPr="00D9355E">
          <w:rPr>
            <w:rStyle w:val="Hyperlink"/>
            <w:rFonts w:ascii="David" w:hAnsi="David"/>
            <w:color w:val="0000FF"/>
            <w:rtl/>
          </w:rPr>
          <w:t>סעיף 431(1)</w:t>
        </w:r>
      </w:hyperlink>
      <w:r>
        <w:rPr>
          <w:rFonts w:ascii="David" w:hAnsi="David"/>
          <w:rtl/>
        </w:rPr>
        <w:t xml:space="preserve"> ל</w:t>
      </w:r>
      <w:hyperlink r:id="rId28" w:history="1">
        <w:r w:rsidR="00E1625E" w:rsidRPr="00E1625E">
          <w:rPr>
            <w:rFonts w:ascii="David" w:hAnsi="David"/>
            <w:color w:val="0000FF"/>
            <w:u w:val="single"/>
            <w:rtl/>
          </w:rPr>
          <w:t>חוק העונשין</w:t>
        </w:r>
      </w:hyperlink>
      <w:r>
        <w:rPr>
          <w:rFonts w:ascii="David" w:hAnsi="David"/>
          <w:rtl/>
        </w:rPr>
        <w:t xml:space="preserve">, בגין מעשה שביצע ביום 04.04.22, וביום 08.06.23 נגזרו עליו 6 חודשי מאסר בפועל, בניכוי ימי מעצרו מיום 01.12.22. </w:t>
      </w:r>
    </w:p>
    <w:p w14:paraId="72CE8220" w14:textId="77777777" w:rsidR="00E83F50" w:rsidRDefault="00E83F50" w:rsidP="00E83F50">
      <w:pPr>
        <w:spacing w:line="360" w:lineRule="auto"/>
        <w:ind w:left="720" w:hanging="720"/>
        <w:jc w:val="both"/>
        <w:rPr>
          <w:rFonts w:ascii="David" w:hAnsi="David"/>
          <w:rtl/>
        </w:rPr>
      </w:pPr>
      <w:r>
        <w:rPr>
          <w:rFonts w:ascii="David" w:hAnsi="David"/>
          <w:rtl/>
        </w:rPr>
        <w:tab/>
      </w:r>
    </w:p>
    <w:p w14:paraId="7762EC0D" w14:textId="77777777" w:rsidR="00E83F50" w:rsidRDefault="00E83F50" w:rsidP="00E83F50">
      <w:pPr>
        <w:spacing w:line="360" w:lineRule="auto"/>
        <w:ind w:left="720"/>
        <w:jc w:val="both"/>
        <w:rPr>
          <w:rFonts w:ascii="David" w:hAnsi="David"/>
          <w:rtl/>
        </w:rPr>
      </w:pPr>
      <w:r>
        <w:rPr>
          <w:rFonts w:ascii="David" w:hAnsi="David"/>
          <w:rtl/>
        </w:rPr>
        <w:t xml:space="preserve">במסגרת </w:t>
      </w:r>
      <w:hyperlink r:id="rId29" w:history="1">
        <w:r w:rsidR="00E1625E" w:rsidRPr="00E1625E">
          <w:rPr>
            <w:rFonts w:ascii="David" w:hAnsi="David"/>
            <w:color w:val="0000FF"/>
            <w:u w:val="single"/>
            <w:rtl/>
          </w:rPr>
          <w:t>ת.פ (שלום רמלה) 1097-09-23</w:t>
        </w:r>
      </w:hyperlink>
      <w:r>
        <w:rPr>
          <w:rFonts w:ascii="David" w:hAnsi="David"/>
          <w:rtl/>
        </w:rPr>
        <w:t xml:space="preserve"> (ת/56) הורשע הנאשם במתן שוחד - עבירה לפי </w:t>
      </w:r>
      <w:hyperlink r:id="rId30" w:history="1">
        <w:r w:rsidR="00D9355E" w:rsidRPr="00D9355E">
          <w:rPr>
            <w:rStyle w:val="Hyperlink"/>
            <w:rFonts w:ascii="David" w:hAnsi="David"/>
            <w:color w:val="0000FF"/>
            <w:rtl/>
          </w:rPr>
          <w:t>סעיף 291</w:t>
        </w:r>
      </w:hyperlink>
      <w:r>
        <w:rPr>
          <w:rFonts w:ascii="David" w:hAnsi="David"/>
          <w:rtl/>
        </w:rPr>
        <w:t xml:space="preserve"> ל</w:t>
      </w:r>
      <w:hyperlink r:id="rId31" w:history="1">
        <w:r w:rsidR="00E1625E" w:rsidRPr="00E1625E">
          <w:rPr>
            <w:rFonts w:ascii="David" w:hAnsi="David"/>
            <w:color w:val="0000FF"/>
            <w:u w:val="single"/>
            <w:rtl/>
          </w:rPr>
          <w:t>חוק העונשין</w:t>
        </w:r>
      </w:hyperlink>
      <w:r>
        <w:rPr>
          <w:rFonts w:ascii="David" w:hAnsi="David"/>
          <w:rtl/>
        </w:rPr>
        <w:t xml:space="preserve">, החזקת סם שלא לצריכה עצמית - עבירה לפי </w:t>
      </w:r>
      <w:hyperlink r:id="rId32" w:history="1">
        <w:r w:rsidR="00D9355E" w:rsidRPr="00D9355E">
          <w:rPr>
            <w:rStyle w:val="Hyperlink"/>
            <w:rFonts w:ascii="David" w:hAnsi="David"/>
            <w:color w:val="0000FF"/>
            <w:rtl/>
          </w:rPr>
          <w:t>סעיפים 7(א) ו(ג)</w:t>
        </w:r>
      </w:hyperlink>
      <w:r>
        <w:rPr>
          <w:rFonts w:ascii="David" w:hAnsi="David"/>
          <w:rtl/>
        </w:rPr>
        <w:t xml:space="preserve"> רישא ל</w:t>
      </w:r>
      <w:hyperlink r:id="rId33" w:history="1">
        <w:r w:rsidR="00E1625E" w:rsidRPr="00E1625E">
          <w:rPr>
            <w:rFonts w:ascii="David" w:hAnsi="David"/>
            <w:color w:val="0000FF"/>
            <w:u w:val="single"/>
            <w:rtl/>
          </w:rPr>
          <w:t>פקודת הסמים המסוכנים</w:t>
        </w:r>
      </w:hyperlink>
      <w:r>
        <w:rPr>
          <w:rFonts w:ascii="David" w:hAnsi="David"/>
          <w:rtl/>
        </w:rPr>
        <w:t xml:space="preserve"> [נוסח חדש], התשל"ג - 1973 וניסיון להכנסת ציוד קצה רט"ן אל תוך בית הסוהר - עבירה לפי </w:t>
      </w:r>
      <w:hyperlink r:id="rId34" w:history="1">
        <w:r w:rsidR="00D9355E" w:rsidRPr="00D9355E">
          <w:rPr>
            <w:rStyle w:val="Hyperlink"/>
            <w:rFonts w:ascii="David" w:hAnsi="David"/>
            <w:color w:val="0000FF"/>
            <w:rtl/>
          </w:rPr>
          <w:t>סעיף 52(ב)(2)(א)</w:t>
        </w:r>
      </w:hyperlink>
      <w:r>
        <w:rPr>
          <w:rFonts w:ascii="David" w:hAnsi="David"/>
          <w:rtl/>
        </w:rPr>
        <w:t xml:space="preserve"> ל</w:t>
      </w:r>
      <w:hyperlink r:id="rId35" w:history="1">
        <w:r w:rsidR="00E1625E" w:rsidRPr="00E1625E">
          <w:rPr>
            <w:rFonts w:ascii="David" w:hAnsi="David"/>
            <w:color w:val="0000FF"/>
            <w:u w:val="single"/>
            <w:rtl/>
          </w:rPr>
          <w:t>פקודת בתי הסוהר</w:t>
        </w:r>
      </w:hyperlink>
      <w:r>
        <w:rPr>
          <w:rFonts w:ascii="David" w:hAnsi="David"/>
          <w:rtl/>
        </w:rPr>
        <w:t xml:space="preserve"> [נוסח חדש], התשל"ב - 1971 יחד עם </w:t>
      </w:r>
      <w:hyperlink r:id="rId36" w:history="1">
        <w:r w:rsidR="00D9355E" w:rsidRPr="00D9355E">
          <w:rPr>
            <w:rStyle w:val="Hyperlink"/>
            <w:rFonts w:ascii="David" w:hAnsi="David"/>
            <w:color w:val="0000FF"/>
            <w:rtl/>
          </w:rPr>
          <w:t>סעיף 25</w:t>
        </w:r>
      </w:hyperlink>
      <w:r>
        <w:rPr>
          <w:rFonts w:ascii="David" w:hAnsi="David"/>
          <w:rtl/>
        </w:rPr>
        <w:t xml:space="preserve"> לחוק העונשין. הנאשם הורשע בגין מעשים שביצע באוגוסט 2023 וביום 09.05.24 נגזרו עליו 17 חודשי מאסר בפועל, בניכוי ימי מעצרו מיום 23.08.23. </w:t>
      </w:r>
    </w:p>
    <w:p w14:paraId="29069441" w14:textId="77777777" w:rsidR="00E83F50" w:rsidRDefault="00E83F50" w:rsidP="00E83F50">
      <w:pPr>
        <w:spacing w:line="360" w:lineRule="auto"/>
        <w:ind w:left="720" w:hanging="720"/>
        <w:jc w:val="both"/>
        <w:rPr>
          <w:rFonts w:ascii="David" w:hAnsi="David"/>
          <w:rtl/>
        </w:rPr>
      </w:pPr>
      <w:r>
        <w:rPr>
          <w:rFonts w:ascii="David" w:hAnsi="David"/>
          <w:b/>
          <w:bCs/>
          <w:rtl/>
        </w:rPr>
        <w:tab/>
      </w:r>
    </w:p>
    <w:p w14:paraId="7C7239E2" w14:textId="77777777" w:rsidR="00E83F50" w:rsidRDefault="00E83F50" w:rsidP="00E83F50">
      <w:pPr>
        <w:spacing w:line="360" w:lineRule="auto"/>
        <w:ind w:left="720"/>
        <w:jc w:val="both"/>
        <w:rPr>
          <w:rFonts w:ascii="David" w:hAnsi="David"/>
          <w:b/>
          <w:bCs/>
          <w:rtl/>
        </w:rPr>
      </w:pPr>
      <w:r>
        <w:rPr>
          <w:rFonts w:ascii="David" w:hAnsi="David"/>
          <w:rtl/>
        </w:rPr>
        <w:t>נטען כי מאחר שבתיק שבענייננו נעצר הנאשם עד תום ההליכים המשפטיים ביום 11.05.22, הרי שאת העבירה שב</w:t>
      </w:r>
      <w:hyperlink r:id="rId37" w:history="1">
        <w:r w:rsidR="00E1625E" w:rsidRPr="00E1625E">
          <w:rPr>
            <w:rFonts w:ascii="David" w:hAnsi="David"/>
            <w:color w:val="0000FF"/>
            <w:u w:val="single"/>
            <w:rtl/>
          </w:rPr>
          <w:t>ת.פ (מחוזי ב"ש) 23546-12-22</w:t>
        </w:r>
      </w:hyperlink>
      <w:r>
        <w:rPr>
          <w:rFonts w:ascii="David" w:hAnsi="David"/>
          <w:rtl/>
        </w:rPr>
        <w:t xml:space="preserve"> ביצע זמן קצר לפני מעצרו בתיק שבכותרת, ואת העבירות שב</w:t>
      </w:r>
      <w:hyperlink r:id="rId38" w:history="1">
        <w:r w:rsidR="00E1625E" w:rsidRPr="00E1625E">
          <w:rPr>
            <w:rFonts w:ascii="David" w:hAnsi="David"/>
            <w:color w:val="0000FF"/>
            <w:u w:val="single"/>
            <w:rtl/>
          </w:rPr>
          <w:t>ת.פ (שלום רמלה) 1097-09-23</w:t>
        </w:r>
      </w:hyperlink>
      <w:r>
        <w:rPr>
          <w:rFonts w:ascii="David" w:hAnsi="David"/>
          <w:rtl/>
        </w:rPr>
        <w:t xml:space="preserve"> ביצע בעודו במעצר בתיק שבכותרת. </w:t>
      </w:r>
    </w:p>
    <w:p w14:paraId="45237CC0" w14:textId="77777777" w:rsidR="00E83F50" w:rsidRDefault="00E83F50" w:rsidP="00E83F50">
      <w:pPr>
        <w:spacing w:line="360" w:lineRule="auto"/>
        <w:ind w:left="720"/>
        <w:jc w:val="both"/>
        <w:rPr>
          <w:rFonts w:ascii="David" w:hAnsi="David"/>
          <w:rtl/>
        </w:rPr>
      </w:pPr>
    </w:p>
    <w:p w14:paraId="7D75B015" w14:textId="77777777" w:rsidR="00E83F50" w:rsidRDefault="00E83F50" w:rsidP="00E83F50">
      <w:pPr>
        <w:spacing w:line="360" w:lineRule="auto"/>
        <w:ind w:left="720"/>
        <w:jc w:val="both"/>
        <w:rPr>
          <w:rFonts w:ascii="David" w:hAnsi="David"/>
          <w:rtl/>
        </w:rPr>
      </w:pPr>
      <w:r>
        <w:rPr>
          <w:rFonts w:ascii="David" w:hAnsi="David"/>
          <w:rtl/>
        </w:rPr>
        <w:t>ב"כ המאשימה הוסיף כי מאחר ותקופות המאסר בשני התיקים האחרים רוצו בנפרד ובמקביל למעצרו בתיק שבכותרת, מדובר בסה"כ ב- 23 חודשים (17 חודשים + 6 חודשים), ועל כן על הנאשם לרצות בתיק שבענייננו מאסר במצטבר למאסרים שנגזרו עליו בשני התיקים האחרים.</w:t>
      </w:r>
    </w:p>
    <w:p w14:paraId="26F109C5" w14:textId="77777777" w:rsidR="00E83F50" w:rsidRDefault="00E83F50" w:rsidP="00E83F50">
      <w:pPr>
        <w:spacing w:line="360" w:lineRule="auto"/>
        <w:ind w:left="720"/>
        <w:jc w:val="both"/>
        <w:rPr>
          <w:rFonts w:ascii="David" w:hAnsi="David"/>
          <w:rtl/>
        </w:rPr>
      </w:pPr>
    </w:p>
    <w:p w14:paraId="08109307" w14:textId="77777777" w:rsidR="00E83F50" w:rsidRDefault="00E83F50" w:rsidP="00E83F50">
      <w:pPr>
        <w:spacing w:line="360" w:lineRule="auto"/>
        <w:ind w:left="720"/>
        <w:jc w:val="both"/>
        <w:rPr>
          <w:rFonts w:ascii="David" w:hAnsi="David"/>
          <w:rtl/>
        </w:rPr>
      </w:pPr>
      <w:r>
        <w:rPr>
          <w:rFonts w:ascii="David" w:hAnsi="David"/>
          <w:rtl/>
        </w:rPr>
        <w:t>ב"כ המאשימה הדגיש כי העבירות החמורות שביצע הנאשם ב</w:t>
      </w:r>
      <w:hyperlink r:id="rId39" w:history="1">
        <w:r w:rsidR="00E1625E" w:rsidRPr="00E1625E">
          <w:rPr>
            <w:rFonts w:ascii="David" w:hAnsi="David"/>
            <w:color w:val="0000FF"/>
            <w:u w:val="single"/>
            <w:rtl/>
          </w:rPr>
          <w:t>ת.פ (שלום רמלה) 1097-09-23</w:t>
        </w:r>
      </w:hyperlink>
      <w:r>
        <w:rPr>
          <w:rFonts w:ascii="David" w:hAnsi="David"/>
          <w:rtl/>
        </w:rPr>
        <w:t xml:space="preserve"> בוצעו במהלך מעצרו ומתוך בית הסוהר, דבר המלמד על חוסר מעצורים מוחלט ומחזק את עמדת המאשימה שאין מקום לחפוף, ולו במקצת, את המאסר שיוטל עליו בתיק שבכותרת עם מאסרים קודמים. </w:t>
      </w:r>
    </w:p>
    <w:p w14:paraId="7EE51974" w14:textId="77777777" w:rsidR="00E83F50" w:rsidRDefault="00E83F50" w:rsidP="00E83F50">
      <w:pPr>
        <w:spacing w:line="360" w:lineRule="auto"/>
        <w:ind w:left="720"/>
        <w:jc w:val="both"/>
        <w:rPr>
          <w:rFonts w:ascii="David" w:hAnsi="David"/>
          <w:rtl/>
        </w:rPr>
      </w:pPr>
    </w:p>
    <w:p w14:paraId="360E73E6" w14:textId="77777777" w:rsidR="00E83F50" w:rsidRDefault="00E83F50" w:rsidP="00E83F50">
      <w:pPr>
        <w:spacing w:line="360" w:lineRule="auto"/>
        <w:ind w:left="720"/>
        <w:jc w:val="both"/>
        <w:rPr>
          <w:rFonts w:ascii="David" w:hAnsi="David"/>
          <w:rtl/>
        </w:rPr>
      </w:pPr>
      <w:r>
        <w:rPr>
          <w:rFonts w:ascii="David" w:hAnsi="David"/>
          <w:rtl/>
        </w:rPr>
        <w:t xml:space="preserve">נטען כי חומרת העבירות שביצע הנאשם בתיק שבענייננו ובדגש על עברו הפלילי המכביד, תומכת במאסר מצטבר למאסרים קודמים ודוחה כל ניסיון להקלה נוספת לנאשם בדמות חפיפת מאסרים. </w:t>
      </w:r>
    </w:p>
    <w:p w14:paraId="638102AA" w14:textId="77777777" w:rsidR="00E83F50" w:rsidRDefault="00E83F50" w:rsidP="00E83F50">
      <w:pPr>
        <w:spacing w:line="360" w:lineRule="auto"/>
        <w:ind w:left="720"/>
        <w:jc w:val="both"/>
        <w:rPr>
          <w:rFonts w:ascii="David" w:hAnsi="David"/>
          <w:rtl/>
        </w:rPr>
      </w:pPr>
    </w:p>
    <w:p w14:paraId="675011DE" w14:textId="77777777" w:rsidR="00E83F50" w:rsidRDefault="00E83F50" w:rsidP="00E83F50">
      <w:pPr>
        <w:spacing w:line="360" w:lineRule="auto"/>
        <w:ind w:left="720"/>
        <w:jc w:val="both"/>
        <w:rPr>
          <w:rFonts w:ascii="David" w:hAnsi="David"/>
          <w:rtl/>
        </w:rPr>
      </w:pPr>
      <w:r>
        <w:rPr>
          <w:rFonts w:ascii="David" w:hAnsi="David"/>
          <w:rtl/>
        </w:rPr>
        <w:t xml:space="preserve">כשנשאל ב"כ המאשימה האם על בית המשפט להתחשב בעובדה שהנאשם שוהה בתקופת מעצרו בהפרדה, השיב כי הנאשם הביא על עצמו את תנאי המעצר וההחלטה להשים עציר בהפרדה לא מתקבלת בכדי. </w:t>
      </w:r>
    </w:p>
    <w:p w14:paraId="05CA50E3" w14:textId="77777777" w:rsidR="00E83F50" w:rsidRDefault="00E83F50" w:rsidP="00E83F50">
      <w:pPr>
        <w:spacing w:line="360" w:lineRule="auto"/>
        <w:ind w:left="720"/>
        <w:jc w:val="both"/>
        <w:rPr>
          <w:rFonts w:ascii="David" w:hAnsi="David"/>
          <w:rtl/>
        </w:rPr>
      </w:pPr>
    </w:p>
    <w:p w14:paraId="3D8DC2C5" w14:textId="77777777" w:rsidR="00E83F50" w:rsidRDefault="00E83F50" w:rsidP="00E83F50">
      <w:pPr>
        <w:spacing w:line="360" w:lineRule="auto"/>
        <w:ind w:left="720"/>
        <w:jc w:val="both"/>
        <w:rPr>
          <w:rFonts w:ascii="David" w:hAnsi="David"/>
          <w:rtl/>
        </w:rPr>
      </w:pPr>
      <w:r>
        <w:rPr>
          <w:rFonts w:ascii="David" w:hAnsi="David"/>
          <w:rtl/>
        </w:rPr>
        <w:t xml:space="preserve">ב"כ המאשימה הפנה לפסיקה (ת/57) וטען כי עקרון ההלימה לצד שיקולי הרתעה וגמול תומכים בעניינו של הנאשם במאסר מצטבר למאסרים קודמים. </w:t>
      </w:r>
    </w:p>
    <w:p w14:paraId="0275E326" w14:textId="77777777" w:rsidR="00E83F50" w:rsidRDefault="00E83F50" w:rsidP="00E83F50">
      <w:pPr>
        <w:spacing w:line="360" w:lineRule="auto"/>
        <w:ind w:left="720"/>
        <w:jc w:val="both"/>
        <w:rPr>
          <w:rFonts w:ascii="David" w:hAnsi="David"/>
          <w:rtl/>
        </w:rPr>
      </w:pPr>
    </w:p>
    <w:p w14:paraId="7F97EBA3" w14:textId="77777777" w:rsidR="00E83F50" w:rsidRDefault="00E83F50" w:rsidP="00E83F50">
      <w:pPr>
        <w:spacing w:line="360" w:lineRule="auto"/>
        <w:ind w:left="720"/>
        <w:jc w:val="both"/>
        <w:rPr>
          <w:rFonts w:ascii="David" w:hAnsi="David"/>
          <w:rtl/>
        </w:rPr>
      </w:pPr>
      <w:r>
        <w:rPr>
          <w:rFonts w:ascii="David" w:hAnsi="David"/>
          <w:rtl/>
        </w:rPr>
        <w:t>באשר לרכיב הפיצוי שבהסדר הטיעון</w:t>
      </w:r>
      <w:r>
        <w:rPr>
          <w:rFonts w:ascii="David" w:hAnsi="David" w:hint="cs"/>
          <w:rtl/>
        </w:rPr>
        <w:t xml:space="preserve"> - </w:t>
      </w:r>
      <w:r>
        <w:rPr>
          <w:rFonts w:ascii="David" w:hAnsi="David"/>
          <w:rtl/>
        </w:rPr>
        <w:t>הפנתה המאשימה לנזק המתואר בעובדות כתב האישום ולנזק שאינו כמותי שנגרם לבעל המסעדה (ע.ת.2).</w:t>
      </w:r>
    </w:p>
    <w:p w14:paraId="0237CD53" w14:textId="77777777" w:rsidR="00E83F50" w:rsidRDefault="00E83F50" w:rsidP="00E83F50">
      <w:pPr>
        <w:spacing w:line="360" w:lineRule="auto"/>
        <w:ind w:left="720"/>
        <w:jc w:val="both"/>
        <w:rPr>
          <w:rFonts w:ascii="David" w:hAnsi="David"/>
          <w:rtl/>
        </w:rPr>
      </w:pPr>
    </w:p>
    <w:p w14:paraId="31CC8BFF" w14:textId="77777777" w:rsidR="00E83F50" w:rsidRDefault="00E83F50" w:rsidP="00E83F50">
      <w:pPr>
        <w:spacing w:line="360" w:lineRule="auto"/>
        <w:ind w:left="720"/>
        <w:jc w:val="both"/>
        <w:rPr>
          <w:rFonts w:ascii="David" w:hAnsi="David"/>
          <w:rtl/>
        </w:rPr>
      </w:pPr>
      <w:r>
        <w:rPr>
          <w:rFonts w:ascii="David" w:hAnsi="David"/>
          <w:rtl/>
        </w:rPr>
        <w:t xml:space="preserve">לעניין רכיב הקנס - ב"כ המאשימה טען כי הקנס נדרש כדי לגלם את הפגיעה שנגרמה לציבור בכללותו ממעשיו החמורים של הנאשם. </w:t>
      </w:r>
    </w:p>
    <w:p w14:paraId="0F237AE0" w14:textId="77777777" w:rsidR="00E83F50" w:rsidRDefault="00E83F50" w:rsidP="00E83F50">
      <w:pPr>
        <w:spacing w:line="360" w:lineRule="auto"/>
        <w:ind w:left="720"/>
        <w:jc w:val="both"/>
        <w:rPr>
          <w:rFonts w:ascii="David" w:hAnsi="David"/>
          <w:rtl/>
        </w:rPr>
      </w:pPr>
    </w:p>
    <w:p w14:paraId="5F2DA78F" w14:textId="77777777" w:rsidR="00E83F50" w:rsidRDefault="00E83F50" w:rsidP="00E83F50">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ב"כ הנאשם</w:t>
      </w:r>
      <w:r>
        <w:rPr>
          <w:rFonts w:ascii="David" w:hAnsi="David"/>
          <w:rtl/>
        </w:rPr>
        <w:t xml:space="preserve"> הגיש טיעוניו בכתב (נ/8) והוסיף טיעוניו בעל פה. הסניגור טען כי הגם שכתב האישום אינו פשוט, הוא תוקן בעקבות קשיים ראייתיים ובהודאתו חסך הנאשם זמן שיפוטי יקר. הסדר הטיעון אליו הגיעו הצדדים לקח בחשבון את הקשיים הראייתיים והניהוליים ועל בית המשפט לכבדו, בין היתר, כדי לעודד הסדרים בתיקים מורכבים וקשים. </w:t>
      </w:r>
    </w:p>
    <w:p w14:paraId="7581FE06" w14:textId="77777777" w:rsidR="00E83F50" w:rsidRDefault="00E83F50" w:rsidP="00E83F50">
      <w:pPr>
        <w:spacing w:line="360" w:lineRule="auto"/>
        <w:ind w:left="720" w:hanging="720"/>
        <w:jc w:val="both"/>
        <w:rPr>
          <w:rFonts w:ascii="David" w:hAnsi="David"/>
          <w:rtl/>
        </w:rPr>
      </w:pPr>
      <w:r>
        <w:rPr>
          <w:rFonts w:ascii="David" w:hAnsi="David"/>
          <w:rtl/>
        </w:rPr>
        <w:tab/>
      </w:r>
    </w:p>
    <w:p w14:paraId="16FB2DA9" w14:textId="77777777" w:rsidR="00E83F50" w:rsidRDefault="00E83F50" w:rsidP="00E83F50">
      <w:pPr>
        <w:spacing w:line="360" w:lineRule="auto"/>
        <w:ind w:left="720"/>
        <w:jc w:val="both"/>
        <w:rPr>
          <w:rFonts w:ascii="David" w:hAnsi="David"/>
          <w:rtl/>
        </w:rPr>
      </w:pPr>
      <w:r>
        <w:rPr>
          <w:rFonts w:ascii="David" w:hAnsi="David"/>
          <w:rtl/>
        </w:rPr>
        <w:t xml:space="preserve">באשר לרכיב שבמחלוקת - עתר הסניגור לחפוף את המאסר שיוטל על הנאשם בתיק שבענייננו עם המאסרים שנגזרו עליו בשני התיקים האחרים. ב"כ הנאשם הפנה לפסיקה רלוונטית (נ/9) והוסיף כי מבחינת </w:t>
      </w:r>
      <w:hyperlink r:id="rId40" w:history="1">
        <w:r w:rsidR="00E1625E" w:rsidRPr="00E1625E">
          <w:rPr>
            <w:rFonts w:ascii="David" w:hAnsi="David"/>
            <w:color w:val="0000FF"/>
            <w:u w:val="single"/>
            <w:rtl/>
          </w:rPr>
          <w:t>חוק העונשין</w:t>
        </w:r>
      </w:hyperlink>
      <w:r>
        <w:rPr>
          <w:rFonts w:ascii="David" w:hAnsi="David"/>
          <w:rtl/>
        </w:rPr>
        <w:t xml:space="preserve"> והפסיקה הכלל הוא "העונש הגדול בולע את העונש הקטן". לדבריו ומבלי להמעיט בחומרת מעשיו של הנאשם, העבירות בהן הורשע בענייננו אינן עולות בכדי אותן עבירות שהן בחזקת העבירות החמורות במיוחד והמצדיקות ענישה מצטברת.</w:t>
      </w:r>
    </w:p>
    <w:p w14:paraId="3D135B13" w14:textId="77777777" w:rsidR="00E83F50" w:rsidRDefault="00E83F50" w:rsidP="00E83F50">
      <w:pPr>
        <w:spacing w:line="360" w:lineRule="auto"/>
        <w:ind w:left="720" w:hanging="720"/>
        <w:jc w:val="both"/>
        <w:rPr>
          <w:rFonts w:ascii="David" w:hAnsi="David"/>
          <w:rtl/>
        </w:rPr>
      </w:pPr>
      <w:r>
        <w:rPr>
          <w:rFonts w:ascii="David" w:hAnsi="David"/>
          <w:rtl/>
        </w:rPr>
        <w:tab/>
      </w:r>
    </w:p>
    <w:p w14:paraId="2A99C7F6" w14:textId="77777777" w:rsidR="00E83F50" w:rsidRDefault="00E83F50" w:rsidP="00E83F50">
      <w:pPr>
        <w:spacing w:line="360" w:lineRule="auto"/>
        <w:ind w:left="720"/>
        <w:jc w:val="both"/>
        <w:rPr>
          <w:rFonts w:ascii="David" w:hAnsi="David"/>
          <w:rtl/>
        </w:rPr>
      </w:pPr>
      <w:r>
        <w:rPr>
          <w:rFonts w:ascii="David" w:hAnsi="David"/>
          <w:rtl/>
        </w:rPr>
        <w:t xml:space="preserve">נטען כי ההסדר אליו הגיע הנאשם, למרות הקשיים הראייתיים והמשפטיים שבתיק, מחייב התחשבות בנאשם באופן שמלוא תקופת המעצר ומיום מעצרו תנוכה. לדברי הסניגור המלומד על בית המשפט לקחת בחשבון גם את העובדה כי במהלך מעצרו בתיק שבכותרת שהה הנאשם בהפרדה בתנאים קשים ובאופן התומך בחפיפת המאסרים.  ב"כ הנאשם הפנה גם לתקופת מעצרו הממושכת של הנאשם ולהמשך המאסר הממושך הצפוי לנאשם מכוח הסדר הטיעון. </w:t>
      </w:r>
    </w:p>
    <w:p w14:paraId="6898FCF6" w14:textId="77777777" w:rsidR="00E83F50" w:rsidRDefault="00E83F50" w:rsidP="00E83F50">
      <w:pPr>
        <w:spacing w:line="360" w:lineRule="auto"/>
        <w:ind w:left="720" w:hanging="720"/>
        <w:jc w:val="both"/>
        <w:rPr>
          <w:rFonts w:ascii="David" w:hAnsi="David"/>
          <w:rtl/>
        </w:rPr>
      </w:pPr>
      <w:r>
        <w:rPr>
          <w:rFonts w:ascii="David" w:hAnsi="David"/>
          <w:rtl/>
        </w:rPr>
        <w:tab/>
      </w:r>
    </w:p>
    <w:p w14:paraId="502D45FA" w14:textId="77777777" w:rsidR="00E83F50" w:rsidRDefault="00E83F50" w:rsidP="00E83F50">
      <w:pPr>
        <w:spacing w:line="360" w:lineRule="auto"/>
        <w:ind w:left="720"/>
        <w:jc w:val="both"/>
        <w:rPr>
          <w:rFonts w:ascii="David" w:hAnsi="David"/>
          <w:rtl/>
        </w:rPr>
      </w:pPr>
      <w:r>
        <w:rPr>
          <w:rFonts w:ascii="David" w:hAnsi="David"/>
          <w:rtl/>
        </w:rPr>
        <w:t xml:space="preserve">באשר לרכיב הפיצוי שבהסדר הטיעון - טען ב"כ הנאשם כי בקביעת גובה הפיצוי על בית המשפט להתחשב בעובדה כי בפרשייה נאשמים נוספים, ומאחר וקיים סיכוי שגם הם יחויבו בפיצוי לטובת המתלונן יש להימנע מ"כפל פיצוי". </w:t>
      </w:r>
    </w:p>
    <w:p w14:paraId="73E27523" w14:textId="77777777" w:rsidR="00E83F50" w:rsidRDefault="00E83F50" w:rsidP="00E83F50">
      <w:pPr>
        <w:spacing w:line="360" w:lineRule="auto"/>
        <w:ind w:left="720" w:hanging="720"/>
        <w:jc w:val="both"/>
        <w:rPr>
          <w:rFonts w:ascii="David" w:hAnsi="David"/>
          <w:rtl/>
        </w:rPr>
      </w:pPr>
    </w:p>
    <w:p w14:paraId="51B4C071" w14:textId="77777777" w:rsidR="00E83F50" w:rsidRDefault="00E83F50" w:rsidP="00E83F50">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הנאשם</w:t>
      </w:r>
      <w:r>
        <w:rPr>
          <w:rFonts w:ascii="David" w:hAnsi="David"/>
          <w:rtl/>
        </w:rPr>
        <w:t xml:space="preserve"> אמר כי הוא נכנס לעשור השלישי של חייו, יש לו שתי בנות, האחת בת 4 שנים והשנייה בת 9.5 שנים. לדבריו עייף מבתי סוהר ומהחיים הכרוכים בכך. הנאשם הוסיף כי בילה שנים רבות בכלא אבל התבגר וכלשונו הבין כעת שלא שווה להפסיד שישי שבת בבית עם האישה ועם המשפחה. לבתו יש בת מצווה בעוד כשנתיים וחצי אך כבר היום היא מדברת על בת המצווה ומבקש לחגוג עמה. הנאשם הוסיף כי רוצה להיות עם משפחתו, לעזוב את הארץ ולחזור לארה"ב כדי להימנע מהפיתויים שיש בסביבתו.</w:t>
      </w:r>
    </w:p>
    <w:p w14:paraId="1E478B4A" w14:textId="77777777" w:rsidR="00E83F50" w:rsidRDefault="00E83F50" w:rsidP="00E83F50">
      <w:pPr>
        <w:spacing w:line="360" w:lineRule="auto"/>
        <w:ind w:left="720" w:hanging="720"/>
        <w:jc w:val="both"/>
        <w:rPr>
          <w:rFonts w:ascii="David" w:hAnsi="David"/>
          <w:rtl/>
        </w:rPr>
      </w:pPr>
      <w:r>
        <w:rPr>
          <w:rFonts w:ascii="David" w:hAnsi="David"/>
          <w:rtl/>
        </w:rPr>
        <w:tab/>
      </w:r>
    </w:p>
    <w:p w14:paraId="39B7605D" w14:textId="77777777" w:rsidR="00E83F50" w:rsidRDefault="00E83F50" w:rsidP="00E83F50">
      <w:pPr>
        <w:spacing w:line="360" w:lineRule="auto"/>
        <w:ind w:left="720"/>
        <w:jc w:val="both"/>
        <w:rPr>
          <w:rFonts w:ascii="David" w:hAnsi="David"/>
          <w:rtl/>
        </w:rPr>
      </w:pPr>
      <w:r>
        <w:rPr>
          <w:rFonts w:ascii="David" w:hAnsi="David"/>
          <w:rtl/>
        </w:rPr>
        <w:t xml:space="preserve">הנאשם ביקש כי מאסרו בתיק שבענייננו יהא בחופף למאסרים שנגזרו עליו בשני התיקים האחרים, וטען כי אם היה יודע כי המאשימה תעתור למאסר במצטבר היה מנהל את שני התיקים האחרים בצורה אחרת. </w:t>
      </w:r>
    </w:p>
    <w:p w14:paraId="4AF89864" w14:textId="77777777" w:rsidR="00E83F50" w:rsidRDefault="00E83F50" w:rsidP="00E83F50">
      <w:pPr>
        <w:spacing w:line="360" w:lineRule="auto"/>
        <w:ind w:left="720" w:hanging="720"/>
        <w:jc w:val="both"/>
        <w:rPr>
          <w:rFonts w:ascii="David" w:hAnsi="David"/>
          <w:rtl/>
        </w:rPr>
      </w:pPr>
      <w:r>
        <w:rPr>
          <w:rFonts w:ascii="David" w:hAnsi="David"/>
          <w:rtl/>
        </w:rPr>
        <w:tab/>
      </w:r>
    </w:p>
    <w:p w14:paraId="3DFB0E8B" w14:textId="77777777" w:rsidR="00E83F50" w:rsidRDefault="00E83F50" w:rsidP="00E83F50">
      <w:pPr>
        <w:spacing w:line="360" w:lineRule="auto"/>
        <w:ind w:left="720"/>
        <w:jc w:val="both"/>
        <w:rPr>
          <w:rFonts w:ascii="David" w:hAnsi="David"/>
          <w:rtl/>
        </w:rPr>
      </w:pPr>
      <w:r>
        <w:rPr>
          <w:rFonts w:ascii="David" w:hAnsi="David"/>
          <w:rtl/>
        </w:rPr>
        <w:t xml:space="preserve">לדבריו, התחיל בהליך טיפולי במעצר במסגרת קבוצות פרטניות במטרה ללמוד לחזור לחיים נורמטיביים. הנאשם שיתף כי את מאסריו האחרונים, כמו גם המעצר הנוכחי, מרצה בהפרדה על כל הקשיים הכרוכים בכך. </w:t>
      </w:r>
    </w:p>
    <w:p w14:paraId="6369B8A5" w14:textId="77777777" w:rsidR="00E83F50" w:rsidRDefault="00E83F50" w:rsidP="00E83F50">
      <w:pPr>
        <w:spacing w:line="360" w:lineRule="auto"/>
        <w:ind w:left="720" w:hanging="720"/>
        <w:jc w:val="both"/>
        <w:rPr>
          <w:rFonts w:ascii="David" w:hAnsi="David"/>
          <w:rtl/>
        </w:rPr>
      </w:pPr>
    </w:p>
    <w:p w14:paraId="69DD7D16" w14:textId="77777777" w:rsidR="00E83F50" w:rsidRDefault="00E83F50" w:rsidP="00E83F50">
      <w:pPr>
        <w:spacing w:line="360" w:lineRule="auto"/>
        <w:jc w:val="both"/>
        <w:rPr>
          <w:rFonts w:ascii="David" w:hAnsi="David"/>
          <w:b/>
          <w:bCs/>
          <w:rtl/>
        </w:rPr>
      </w:pPr>
      <w:r>
        <w:rPr>
          <w:rFonts w:ascii="David" w:hAnsi="David"/>
          <w:b/>
          <w:bCs/>
          <w:rtl/>
        </w:rPr>
        <w:t>דיון והכרעה:</w:t>
      </w:r>
    </w:p>
    <w:p w14:paraId="7114AB73" w14:textId="77777777" w:rsidR="00E83F50" w:rsidRDefault="00E83F50" w:rsidP="00E83F50">
      <w:pPr>
        <w:spacing w:line="360" w:lineRule="auto"/>
        <w:jc w:val="both"/>
        <w:rPr>
          <w:rFonts w:ascii="David" w:hAnsi="David"/>
          <w:b/>
          <w:bCs/>
          <w:rtl/>
        </w:rPr>
      </w:pPr>
    </w:p>
    <w:p w14:paraId="410261A6" w14:textId="77777777" w:rsidR="00E83F50" w:rsidRDefault="00E83F50" w:rsidP="00E83F50">
      <w:pPr>
        <w:spacing w:line="360" w:lineRule="auto"/>
        <w:ind w:left="720" w:hanging="720"/>
        <w:jc w:val="both"/>
        <w:rPr>
          <w:rFonts w:ascii="David" w:hAnsi="David"/>
          <w:rtl/>
        </w:rPr>
      </w:pPr>
      <w:r>
        <w:rPr>
          <w:rFonts w:ascii="David" w:hAnsi="David"/>
          <w:rtl/>
        </w:rPr>
        <w:t>8.</w:t>
      </w:r>
      <w:r>
        <w:rPr>
          <w:rFonts w:ascii="David" w:hAnsi="David"/>
          <w:rtl/>
        </w:rPr>
        <w:tab/>
        <w:t xml:space="preserve">בביצוע העבירות בהן הורשע פגע הנאשם 2 בערכים החברתיים של שלומם, ביטחונם, שלמות גופם ורכושם של נפגעי העבירה, באי המסעדה ועוברי אורח. כמו כן, פגע הנאשם בתחושת הביטחון האישי תוך שביקש, יחד עם אחרים, להטיל פחד ואימה. </w:t>
      </w:r>
    </w:p>
    <w:p w14:paraId="1368F559" w14:textId="77777777" w:rsidR="00E83F50" w:rsidRDefault="00E83F50" w:rsidP="00E83F50">
      <w:pPr>
        <w:spacing w:line="360" w:lineRule="auto"/>
        <w:ind w:left="720" w:hanging="720"/>
        <w:jc w:val="both"/>
        <w:rPr>
          <w:rFonts w:ascii="David" w:hAnsi="David"/>
          <w:rtl/>
        </w:rPr>
      </w:pPr>
      <w:r>
        <w:rPr>
          <w:rFonts w:ascii="David" w:hAnsi="David"/>
          <w:rtl/>
        </w:rPr>
        <w:tab/>
        <w:t xml:space="preserve">בשים לב לחומרת נסיבות ביצוע העבירות, הרי שמידת הפגיעה בערכים המוגנים היא גבוהה וזאת, בין היתר, נוכח התכנון המוקדם, התעוזה והתחכום שאפיינו את מעשיו של הנאשם. </w:t>
      </w:r>
    </w:p>
    <w:p w14:paraId="3C991B38" w14:textId="77777777" w:rsidR="00E83F50" w:rsidRDefault="00E83F50" w:rsidP="00E83F50">
      <w:pPr>
        <w:spacing w:line="360" w:lineRule="auto"/>
        <w:ind w:left="720"/>
        <w:jc w:val="both"/>
        <w:rPr>
          <w:rFonts w:ascii="David" w:hAnsi="David"/>
          <w:rtl/>
        </w:rPr>
      </w:pPr>
    </w:p>
    <w:p w14:paraId="58B5FC8C" w14:textId="77777777" w:rsidR="00E83F50" w:rsidRDefault="00E83F50" w:rsidP="00E83F50">
      <w:pPr>
        <w:spacing w:line="360" w:lineRule="auto"/>
        <w:ind w:left="720"/>
        <w:jc w:val="both"/>
        <w:rPr>
          <w:rFonts w:ascii="David" w:hAnsi="David"/>
          <w:rtl/>
        </w:rPr>
      </w:pPr>
      <w:r>
        <w:rPr>
          <w:rFonts w:ascii="David" w:hAnsi="David"/>
          <w:rtl/>
        </w:rPr>
        <w:t>חומרת המעשים נלמדת בעיקר מפוטנציאל הנזק וממידת הסכנה שנשקפה ליושבי המסעדה ולעוברי אורח תמימים בשל הטמנת המטען וירי של 10 כדורים לעבר המסעדה, ודומה כי רק בנס הסתיים האירוע בנזק ברכוש בלבד וללא פגיעה ואובדן בחיי אדם.</w:t>
      </w:r>
    </w:p>
    <w:p w14:paraId="58A67275" w14:textId="77777777" w:rsidR="00E83F50" w:rsidRDefault="00E83F50" w:rsidP="00E83F50">
      <w:pPr>
        <w:spacing w:line="360" w:lineRule="auto"/>
        <w:ind w:left="720"/>
        <w:jc w:val="both"/>
        <w:rPr>
          <w:rFonts w:ascii="David" w:hAnsi="David"/>
          <w:rtl/>
        </w:rPr>
      </w:pPr>
    </w:p>
    <w:p w14:paraId="0481C60E" w14:textId="77777777" w:rsidR="00E83F50" w:rsidRDefault="00E83F50" w:rsidP="00E83F50">
      <w:pPr>
        <w:spacing w:line="360" w:lineRule="auto"/>
        <w:ind w:left="720" w:hanging="720"/>
        <w:jc w:val="both"/>
        <w:rPr>
          <w:rFonts w:ascii="David" w:hAnsi="David"/>
          <w:rtl/>
        </w:rPr>
      </w:pPr>
      <w:r>
        <w:rPr>
          <w:rFonts w:ascii="David" w:hAnsi="David"/>
          <w:rtl/>
        </w:rPr>
        <w:t>9.</w:t>
      </w:r>
      <w:r>
        <w:rPr>
          <w:rFonts w:ascii="David" w:hAnsi="David"/>
          <w:rtl/>
        </w:rPr>
        <w:tab/>
        <w:t>חומרת העבירות בענייננו נלמדת גם מהעונשים המרביים שקבע המחוקק לצדן- 15 שנים לכל עבירה. לעניין  הקשר שבין העונשים המירביים לרמת הענישה ראה דברי בית המשפט העליון ב</w:t>
      </w:r>
      <w:hyperlink r:id="rId41" w:history="1">
        <w:r w:rsidR="00E1625E" w:rsidRPr="00E1625E">
          <w:rPr>
            <w:rFonts w:ascii="David" w:hAnsi="David"/>
            <w:b/>
            <w:bCs/>
            <w:color w:val="0000FF"/>
            <w:u w:val="single"/>
            <w:rtl/>
          </w:rPr>
          <w:t>ע"פ 2352/19</w:t>
        </w:r>
      </w:hyperlink>
      <w:r>
        <w:rPr>
          <w:rFonts w:ascii="David" w:hAnsi="David"/>
          <w:b/>
          <w:bCs/>
          <w:rtl/>
        </w:rPr>
        <w:t xml:space="preserve"> דנילוב נ' מדינת ישראל </w:t>
      </w:r>
      <w:r>
        <w:rPr>
          <w:rFonts w:ascii="David" w:hAnsi="David"/>
          <w:rtl/>
        </w:rPr>
        <w:t>(15.10.2019):</w:t>
      </w:r>
    </w:p>
    <w:p w14:paraId="0197A882" w14:textId="77777777" w:rsidR="00E83F50" w:rsidRDefault="00E83F50" w:rsidP="00E83F50">
      <w:pPr>
        <w:spacing w:line="360" w:lineRule="auto"/>
        <w:ind w:left="720" w:hanging="720"/>
        <w:jc w:val="both"/>
        <w:rPr>
          <w:rFonts w:ascii="David" w:hAnsi="David"/>
          <w:rtl/>
        </w:rPr>
      </w:pPr>
    </w:p>
    <w:p w14:paraId="32283727" w14:textId="77777777" w:rsidR="00E83F50" w:rsidRDefault="00E83F50" w:rsidP="00E83F50">
      <w:pPr>
        <w:spacing w:line="360" w:lineRule="auto"/>
        <w:ind w:left="1785" w:right="1560" w:hanging="720"/>
        <w:jc w:val="both"/>
        <w:rPr>
          <w:rFonts w:ascii="David" w:hAnsi="David"/>
          <w:b/>
          <w:bCs/>
          <w:rtl/>
        </w:rPr>
      </w:pPr>
      <w:r>
        <w:rPr>
          <w:rFonts w:ascii="David" w:hAnsi="David"/>
          <w:b/>
          <w:bCs/>
          <w:rtl/>
        </w:rPr>
        <w:tab/>
        <w:t xml:space="preserve">"... עונשי המקסימום הקבועים בצד עבירות אינם רק מגדירים את גבולה העליון של סמכות הענישה שבידי בתי המשפט, אלא גם מבטאים את עמדת המחוקק ביחס לחומרת העבירות. כפי שציינתי שם, בקבעו את עונשי המקסימום אלו המחוקק לא דיבר לריק – שומה עלינו להתאים את הענישה הנוהגת לעמדתו זו". </w:t>
      </w:r>
    </w:p>
    <w:p w14:paraId="4BD8A84A" w14:textId="77777777" w:rsidR="00E83F50" w:rsidRDefault="00E83F50" w:rsidP="00E83F50">
      <w:pPr>
        <w:spacing w:line="360" w:lineRule="auto"/>
        <w:ind w:left="1785" w:right="1560" w:hanging="720"/>
        <w:jc w:val="both"/>
        <w:rPr>
          <w:rFonts w:ascii="David" w:hAnsi="David"/>
          <w:b/>
          <w:bCs/>
          <w:rtl/>
        </w:rPr>
      </w:pPr>
    </w:p>
    <w:p w14:paraId="51BCEB0C" w14:textId="77777777" w:rsidR="00E83F50" w:rsidRDefault="00E83F50" w:rsidP="00E83F50">
      <w:pPr>
        <w:spacing w:line="360" w:lineRule="auto"/>
        <w:ind w:left="720" w:hanging="720"/>
        <w:jc w:val="both"/>
        <w:rPr>
          <w:rFonts w:ascii="David" w:hAnsi="David"/>
          <w:b/>
          <w:bCs/>
          <w:rtl/>
        </w:rPr>
      </w:pPr>
      <w:r>
        <w:rPr>
          <w:rFonts w:ascii="David" w:hAnsi="David"/>
          <w:rtl/>
        </w:rPr>
        <w:t>10.</w:t>
      </w:r>
      <w:r>
        <w:rPr>
          <w:rFonts w:ascii="David" w:hAnsi="David"/>
          <w:rtl/>
        </w:rPr>
        <w:tab/>
        <w:t>בית המשפט העליון הדגיש את הצורך בהחמרת הענישה למיגור תופעת השימוש בנשק שהפכה למכת מדינה. ולעניין זה ראה דברי בית המשפט ב</w:t>
      </w:r>
      <w:hyperlink r:id="rId42" w:history="1">
        <w:r w:rsidR="00E1625E" w:rsidRPr="00E1625E">
          <w:rPr>
            <w:rFonts w:ascii="David" w:hAnsi="David"/>
            <w:b/>
            <w:bCs/>
            <w:color w:val="0000FF"/>
            <w:u w:val="single"/>
            <w:rtl/>
          </w:rPr>
          <w:t>ע"פ 27/17</w:t>
        </w:r>
      </w:hyperlink>
      <w:r>
        <w:rPr>
          <w:rFonts w:ascii="David" w:hAnsi="David"/>
          <w:b/>
          <w:bCs/>
          <w:rtl/>
        </w:rPr>
        <w:t xml:space="preserve"> בסאל נ' מדינת ישראל</w:t>
      </w:r>
      <w:r>
        <w:rPr>
          <w:rFonts w:ascii="David" w:hAnsi="David"/>
          <w:rtl/>
        </w:rPr>
        <w:t xml:space="preserve"> (12.12.17)</w:t>
      </w:r>
      <w:r>
        <w:rPr>
          <w:rFonts w:ascii="David" w:hAnsi="David"/>
          <w:b/>
          <w:bCs/>
          <w:rtl/>
        </w:rPr>
        <w:t>:</w:t>
      </w:r>
    </w:p>
    <w:p w14:paraId="57920A84" w14:textId="77777777" w:rsidR="00E83F50" w:rsidRDefault="00E83F50" w:rsidP="00E83F50">
      <w:pPr>
        <w:spacing w:line="360" w:lineRule="auto"/>
        <w:ind w:left="720" w:hanging="720"/>
        <w:jc w:val="both"/>
        <w:rPr>
          <w:rFonts w:ascii="David" w:hAnsi="David"/>
          <w:b/>
          <w:bCs/>
          <w:rtl/>
        </w:rPr>
      </w:pPr>
    </w:p>
    <w:p w14:paraId="18AA5E05" w14:textId="77777777" w:rsidR="00E83F50" w:rsidRDefault="00E83F50" w:rsidP="00E83F50">
      <w:pPr>
        <w:spacing w:line="360" w:lineRule="auto"/>
        <w:ind w:left="1643" w:right="1560" w:hanging="720"/>
        <w:jc w:val="both"/>
        <w:rPr>
          <w:rFonts w:ascii="David" w:hAnsi="David"/>
          <w:b/>
          <w:bCs/>
          <w:rtl/>
        </w:rPr>
      </w:pPr>
      <w:r>
        <w:rPr>
          <w:rFonts w:ascii="David" w:hAnsi="David"/>
          <w:b/>
          <w:bCs/>
          <w:rtl/>
        </w:rPr>
        <w:tab/>
        <w:t xml:space="preserve">"בית משפט פסק בעבר כי לא ניתן להשלים עם עבירות בכלי נשק, והדגיש את חומרתן הרבה של עבירות אלו, על הסכנות הטמונות בהחזקת נשק שלא כדין... אשר לעיתים משמש לא רק לפעילות לא עבריינית אלא גם לפעילות חבלנית עויינת על רקע ביטחוני. ואכן, המגמה בשנים האחרונות ביחס לעבירות נשק היא של החמרה ברמת ענישתם של המעורבים בהם, תוך ביצוע עונשי הולם והסכנה הנשקפת מהם". </w:t>
      </w:r>
    </w:p>
    <w:p w14:paraId="5AE5A727" w14:textId="77777777" w:rsidR="00E83F50" w:rsidRDefault="00E83F50" w:rsidP="00E83F50">
      <w:pPr>
        <w:spacing w:line="360" w:lineRule="auto"/>
        <w:ind w:left="720" w:hanging="720"/>
        <w:jc w:val="both"/>
        <w:rPr>
          <w:rFonts w:ascii="David" w:hAnsi="David"/>
          <w:rtl/>
        </w:rPr>
      </w:pPr>
    </w:p>
    <w:p w14:paraId="374A6BFE" w14:textId="77777777" w:rsidR="00E83F50" w:rsidRDefault="00E83F50" w:rsidP="00E83F50">
      <w:pPr>
        <w:spacing w:line="360" w:lineRule="auto"/>
        <w:ind w:left="720" w:hanging="720"/>
        <w:jc w:val="both"/>
        <w:rPr>
          <w:rFonts w:ascii="David" w:hAnsi="David"/>
          <w:rtl/>
        </w:rPr>
      </w:pPr>
      <w:r>
        <w:rPr>
          <w:rFonts w:ascii="David" w:hAnsi="David"/>
          <w:rtl/>
        </w:rPr>
        <w:tab/>
        <w:t>ולעניין השימוש במטעני חבלה ראה גם דברי בית המשפט ב</w:t>
      </w:r>
      <w:hyperlink r:id="rId43" w:history="1">
        <w:r w:rsidR="00E1625E" w:rsidRPr="00E1625E">
          <w:rPr>
            <w:rFonts w:ascii="David" w:hAnsi="David"/>
            <w:b/>
            <w:bCs/>
            <w:color w:val="0000FF"/>
            <w:u w:val="single"/>
            <w:rtl/>
          </w:rPr>
          <w:t>ע"פ 5779/14</w:t>
        </w:r>
      </w:hyperlink>
      <w:r>
        <w:rPr>
          <w:rFonts w:ascii="David" w:hAnsi="David"/>
          <w:b/>
          <w:bCs/>
          <w:rtl/>
        </w:rPr>
        <w:t xml:space="preserve"> אלגזי נ' מדינת ישראל </w:t>
      </w:r>
      <w:r>
        <w:rPr>
          <w:rFonts w:ascii="David" w:hAnsi="David"/>
          <w:rtl/>
        </w:rPr>
        <w:t>(5.2.2015):</w:t>
      </w:r>
    </w:p>
    <w:p w14:paraId="3D1DCD89" w14:textId="77777777" w:rsidR="00E83F50" w:rsidRDefault="00E83F50" w:rsidP="00E83F50">
      <w:pPr>
        <w:spacing w:line="360" w:lineRule="auto"/>
        <w:ind w:left="720" w:hanging="720"/>
        <w:jc w:val="both"/>
        <w:rPr>
          <w:rFonts w:ascii="David" w:hAnsi="David"/>
          <w:rtl/>
        </w:rPr>
      </w:pPr>
    </w:p>
    <w:p w14:paraId="3B62C794" w14:textId="77777777" w:rsidR="00E83F50" w:rsidRDefault="00E83F50" w:rsidP="00E83F50">
      <w:pPr>
        <w:spacing w:line="360" w:lineRule="auto"/>
        <w:ind w:left="1785" w:right="1560" w:hanging="720"/>
        <w:jc w:val="both"/>
        <w:rPr>
          <w:rFonts w:ascii="David" w:hAnsi="David"/>
          <w:b/>
          <w:bCs/>
          <w:rtl/>
        </w:rPr>
      </w:pPr>
      <w:r>
        <w:rPr>
          <w:rFonts w:ascii="David" w:hAnsi="David"/>
          <w:b/>
          <w:bCs/>
          <w:rtl/>
        </w:rPr>
        <w:tab/>
        <w:t xml:space="preserve">"הפסיקה בעבירות נשק היא מחמירה, תוך מתן משקל לשיקולי הרתעה וגמול, וזאת בשל פוטנציאל הפגיעה הרב הגלום בעבירות אלה. </w:t>
      </w:r>
    </w:p>
    <w:p w14:paraId="578F4531" w14:textId="77777777" w:rsidR="00E83F50" w:rsidRDefault="00E83F50" w:rsidP="00E83F50">
      <w:pPr>
        <w:spacing w:line="360" w:lineRule="auto"/>
        <w:ind w:left="1785" w:right="1560" w:hanging="720"/>
        <w:jc w:val="both"/>
        <w:rPr>
          <w:rFonts w:ascii="David" w:hAnsi="David"/>
          <w:b/>
          <w:bCs/>
          <w:rtl/>
        </w:rPr>
      </w:pPr>
      <w:r>
        <w:rPr>
          <w:rFonts w:ascii="David" w:hAnsi="David"/>
          <w:b/>
          <w:bCs/>
          <w:rtl/>
        </w:rPr>
        <w:tab/>
        <w:t>:</w:t>
      </w:r>
    </w:p>
    <w:p w14:paraId="2E5E4D22" w14:textId="77777777" w:rsidR="00E83F50" w:rsidRDefault="00E83F50" w:rsidP="00E83F50">
      <w:pPr>
        <w:spacing w:line="360" w:lineRule="auto"/>
        <w:ind w:left="1785" w:right="1560" w:hanging="720"/>
        <w:jc w:val="both"/>
        <w:rPr>
          <w:rFonts w:ascii="David" w:hAnsi="David"/>
          <w:b/>
          <w:bCs/>
          <w:rtl/>
        </w:rPr>
      </w:pPr>
      <w:r>
        <w:rPr>
          <w:rFonts w:ascii="David" w:hAnsi="David"/>
          <w:b/>
          <w:bCs/>
          <w:rtl/>
        </w:rPr>
        <w:tab/>
        <w:t xml:space="preserve">ענייננו במטען חבלה... מטעני חבלה מתפוצצים ומסכנים עוברי אורח תמימים ברחובותינו, פגיעתם ברכוש ובנפש קשה והם מביאים להסלמת הפעילות העבריינית. גם אם העונש שהושת על המערער אינו מן הקלים, הרי שכחלק ממלחמת החורמה שמנהלים גורמי אכיפת החוק בכל חוליה וחוליה בשרשרת רכישת המטען – הכנתו, הטמנתו, על בית המשפט לתרום תרומתו בענישה מכאיבה בעבירות כגון דא". </w:t>
      </w:r>
    </w:p>
    <w:p w14:paraId="72C1CD24" w14:textId="77777777" w:rsidR="00E83F50" w:rsidRDefault="00E83F50" w:rsidP="00E83F50">
      <w:pPr>
        <w:spacing w:line="360" w:lineRule="auto"/>
        <w:ind w:left="720" w:hanging="720"/>
        <w:jc w:val="both"/>
        <w:rPr>
          <w:rFonts w:ascii="David" w:hAnsi="David"/>
          <w:rtl/>
        </w:rPr>
      </w:pPr>
    </w:p>
    <w:p w14:paraId="0FE7DC56" w14:textId="77777777" w:rsidR="00E83F50" w:rsidRDefault="00E83F50" w:rsidP="00E83F50">
      <w:pPr>
        <w:spacing w:line="360" w:lineRule="auto"/>
        <w:ind w:left="720" w:hanging="720"/>
        <w:jc w:val="both"/>
        <w:rPr>
          <w:rFonts w:ascii="David" w:hAnsi="David"/>
          <w:rtl/>
        </w:rPr>
      </w:pPr>
      <w:r>
        <w:rPr>
          <w:rFonts w:ascii="David" w:hAnsi="David"/>
          <w:rtl/>
        </w:rPr>
        <w:t>11.</w:t>
      </w:r>
      <w:r>
        <w:rPr>
          <w:rFonts w:ascii="David" w:hAnsi="David"/>
          <w:rtl/>
        </w:rPr>
        <w:tab/>
        <w:t xml:space="preserve">לצד האמור ולקולת עונשו של הנאשם, נתתי דעתי להודאתו, לחסכון היחסי במשאב ציבורי בדמות זמן שיפוטי ולדברי הנאשם כי עייף מחיי העבריינות ובכוונתו לעזוב את הארץ, לפתוח דף חדש ולנהל חיי משפחה נורמטיביים. הנאשם אף אמר כי החל לאחרונה בהליך טיפולי במסגרת מעצרו וקיים עד כה מספר מפגשים. </w:t>
      </w:r>
    </w:p>
    <w:p w14:paraId="4CFC8544" w14:textId="77777777" w:rsidR="00E83F50" w:rsidRDefault="00E83F50" w:rsidP="00E83F50">
      <w:pPr>
        <w:spacing w:line="360" w:lineRule="auto"/>
        <w:ind w:left="720"/>
        <w:jc w:val="both"/>
        <w:rPr>
          <w:rFonts w:ascii="David" w:hAnsi="David"/>
          <w:rtl/>
        </w:rPr>
      </w:pPr>
    </w:p>
    <w:p w14:paraId="0E915A1F" w14:textId="77777777" w:rsidR="00E83F50" w:rsidRDefault="00E83F50" w:rsidP="00E83F50">
      <w:pPr>
        <w:spacing w:line="360" w:lineRule="auto"/>
        <w:ind w:left="720"/>
        <w:jc w:val="both"/>
        <w:rPr>
          <w:rFonts w:ascii="David" w:hAnsi="David"/>
          <w:rtl/>
        </w:rPr>
      </w:pPr>
      <w:r>
        <w:rPr>
          <w:rFonts w:ascii="David" w:hAnsi="David"/>
          <w:rtl/>
        </w:rPr>
        <w:t xml:space="preserve">אני ער לעברו הפלילי הקודם של הנאשם (ת/54) וכי דבריו לעיל נאמרו מבלי שנתמכו בתכנית טיפולית-שקומית מטעם שירות המבחן או גורם מקצועי אחר, אך אני תקווה כי הנאשם אכן ישכיל וייקח גורלו בידו ויעשה שינוי לטובה בחייו. </w:t>
      </w:r>
    </w:p>
    <w:p w14:paraId="793B179F" w14:textId="77777777" w:rsidR="00E83F50" w:rsidRDefault="00E83F50" w:rsidP="00E83F50">
      <w:pPr>
        <w:spacing w:line="360" w:lineRule="auto"/>
        <w:ind w:left="720" w:hanging="720"/>
        <w:jc w:val="both"/>
        <w:rPr>
          <w:rFonts w:ascii="David" w:hAnsi="David"/>
          <w:rtl/>
        </w:rPr>
      </w:pPr>
      <w:r>
        <w:rPr>
          <w:rFonts w:ascii="David" w:hAnsi="David"/>
          <w:rtl/>
        </w:rPr>
        <w:tab/>
      </w:r>
    </w:p>
    <w:p w14:paraId="6B063016" w14:textId="77777777" w:rsidR="00E83F50" w:rsidRDefault="00E83F50" w:rsidP="00E83F50">
      <w:pPr>
        <w:spacing w:line="360" w:lineRule="auto"/>
        <w:ind w:left="720"/>
        <w:jc w:val="both"/>
        <w:rPr>
          <w:rFonts w:ascii="David" w:hAnsi="David"/>
          <w:rtl/>
        </w:rPr>
      </w:pPr>
      <w:r>
        <w:rPr>
          <w:rFonts w:ascii="David" w:hAnsi="David"/>
          <w:rtl/>
        </w:rPr>
        <w:t xml:space="preserve">כמו כן ולקולת העונש התחשבתי בתקופת מעצרו הממושכת ובתנאי הפרדה. </w:t>
      </w:r>
    </w:p>
    <w:p w14:paraId="676FA99C" w14:textId="77777777" w:rsidR="00E83F50" w:rsidRDefault="00E83F50" w:rsidP="00E83F50">
      <w:pPr>
        <w:spacing w:line="360" w:lineRule="auto"/>
        <w:ind w:left="720" w:hanging="720"/>
        <w:jc w:val="both"/>
        <w:rPr>
          <w:rFonts w:ascii="David" w:hAnsi="David"/>
          <w:rtl/>
        </w:rPr>
      </w:pPr>
    </w:p>
    <w:p w14:paraId="41CABBFC" w14:textId="77777777" w:rsidR="00E83F50" w:rsidRDefault="00E83F50" w:rsidP="00E83F50">
      <w:pPr>
        <w:spacing w:line="360" w:lineRule="auto"/>
        <w:ind w:left="720" w:hanging="720"/>
        <w:jc w:val="both"/>
        <w:rPr>
          <w:rFonts w:ascii="David" w:hAnsi="David"/>
          <w:rtl/>
        </w:rPr>
      </w:pPr>
      <w:r>
        <w:rPr>
          <w:rFonts w:ascii="David" w:hAnsi="David"/>
          <w:rtl/>
        </w:rPr>
        <w:t>12.</w:t>
      </w:r>
      <w:r>
        <w:rPr>
          <w:rFonts w:ascii="David" w:hAnsi="David"/>
          <w:rtl/>
        </w:rPr>
        <w:tab/>
        <w:t xml:space="preserve">לאחר ששמעתי טיעוני הצדדים, ואיזנתי בין השיקולים השונים, והגם קולתו היחסית של הסדר הטיעון (שאלמלא ההסדר היה מקום לגזור על הנאשם תקופת מאסר ארוכה יותר), לא </w:t>
      </w:r>
    </w:p>
    <w:p w14:paraId="199A851F" w14:textId="77777777" w:rsidR="00E83F50" w:rsidRDefault="00E83F50" w:rsidP="00E83F50">
      <w:pPr>
        <w:spacing w:line="360" w:lineRule="auto"/>
        <w:ind w:left="720"/>
        <w:jc w:val="both"/>
        <w:rPr>
          <w:rFonts w:ascii="David" w:hAnsi="David"/>
          <w:rtl/>
        </w:rPr>
      </w:pPr>
      <w:r>
        <w:rPr>
          <w:rFonts w:ascii="David" w:hAnsi="David"/>
          <w:rtl/>
        </w:rPr>
        <w:t>אחרוג מרכיב המאסר המוסכם שבו בהינתן מדיניות בתי המשפט הנוגעת לכיבוד הסדרי טיעון.</w:t>
      </w:r>
    </w:p>
    <w:p w14:paraId="57F1B02E" w14:textId="77777777" w:rsidR="00E83F50" w:rsidRDefault="00E83F50" w:rsidP="00E83F50">
      <w:pPr>
        <w:spacing w:line="360" w:lineRule="auto"/>
        <w:ind w:left="720"/>
        <w:jc w:val="both"/>
        <w:rPr>
          <w:rFonts w:ascii="David" w:hAnsi="David"/>
          <w:rtl/>
        </w:rPr>
      </w:pPr>
    </w:p>
    <w:p w14:paraId="6E00BE35" w14:textId="77777777" w:rsidR="00E83F50" w:rsidRDefault="00E83F50" w:rsidP="00E83F50">
      <w:pPr>
        <w:spacing w:line="360" w:lineRule="auto"/>
        <w:ind w:left="720"/>
        <w:jc w:val="both"/>
        <w:rPr>
          <w:rFonts w:ascii="David" w:hAnsi="David"/>
          <w:rtl/>
        </w:rPr>
      </w:pPr>
      <w:r>
        <w:rPr>
          <w:rFonts w:ascii="David" w:hAnsi="David"/>
          <w:rtl/>
        </w:rPr>
        <w:t>בהקשר לכך אוסיף כי מאחר ואליבא באי כוח הצדדים הסדר הטיעון הוא תולדה של מורכבותו הראייתית של התיק, על בית המשפט לתן משקל משמעותי לעקרון ההסתמכות של הנאשם</w:t>
      </w:r>
      <w:r>
        <w:rPr>
          <w:rFonts w:ascii="David" w:hAnsi="David"/>
          <w:b/>
          <w:bCs/>
          <w:rtl/>
        </w:rPr>
        <w:t xml:space="preserve">. </w:t>
      </w:r>
      <w:r>
        <w:rPr>
          <w:rFonts w:ascii="David" w:hAnsi="David"/>
          <w:rtl/>
        </w:rPr>
        <w:t>ראה לעניין זה</w:t>
      </w:r>
      <w:r>
        <w:rPr>
          <w:rFonts w:ascii="David" w:hAnsi="David"/>
          <w:b/>
          <w:bCs/>
          <w:rtl/>
        </w:rPr>
        <w:t xml:space="preserve"> </w:t>
      </w:r>
      <w:hyperlink r:id="rId44" w:history="1">
        <w:r w:rsidR="00E1625E" w:rsidRPr="00E1625E">
          <w:rPr>
            <w:rFonts w:ascii="David" w:hAnsi="David"/>
            <w:b/>
            <w:bCs/>
            <w:color w:val="0000FF"/>
            <w:u w:val="single"/>
            <w:rtl/>
          </w:rPr>
          <w:t>ע"פ 1958/98</w:t>
        </w:r>
      </w:hyperlink>
      <w:r>
        <w:rPr>
          <w:rFonts w:ascii="David" w:hAnsi="David"/>
          <w:b/>
          <w:bCs/>
          <w:rtl/>
        </w:rPr>
        <w:t xml:space="preserve"> פלוני נ' מ"י</w:t>
      </w:r>
      <w:r>
        <w:rPr>
          <w:rFonts w:ascii="David" w:hAnsi="David"/>
          <w:rtl/>
        </w:rPr>
        <w:t xml:space="preserve"> (25.12.2002).</w:t>
      </w:r>
    </w:p>
    <w:p w14:paraId="2D8DEDDE" w14:textId="77777777" w:rsidR="00E83F50" w:rsidRDefault="00E83F50" w:rsidP="00E83F50">
      <w:pPr>
        <w:spacing w:line="360" w:lineRule="auto"/>
        <w:jc w:val="both"/>
        <w:rPr>
          <w:rFonts w:ascii="David" w:hAnsi="David"/>
          <w:b/>
          <w:bCs/>
          <w:rtl/>
        </w:rPr>
      </w:pPr>
    </w:p>
    <w:p w14:paraId="38EB25CE" w14:textId="77777777" w:rsidR="00E83F50" w:rsidRDefault="00E83F50" w:rsidP="00E83F50">
      <w:pPr>
        <w:spacing w:line="360" w:lineRule="auto"/>
        <w:ind w:left="720" w:hanging="720"/>
        <w:jc w:val="both"/>
        <w:rPr>
          <w:rFonts w:ascii="David" w:hAnsi="David"/>
          <w:rtl/>
        </w:rPr>
      </w:pPr>
      <w:r>
        <w:rPr>
          <w:rFonts w:ascii="David" w:hAnsi="David"/>
          <w:rtl/>
        </w:rPr>
        <w:t>13.</w:t>
      </w:r>
      <w:r>
        <w:rPr>
          <w:rFonts w:ascii="David" w:hAnsi="David"/>
          <w:b/>
          <w:bCs/>
          <w:rtl/>
        </w:rPr>
        <w:tab/>
        <w:t xml:space="preserve">באשר לרכיב הפיצוי שבהסדר </w:t>
      </w:r>
      <w:r>
        <w:rPr>
          <w:rFonts w:ascii="David" w:hAnsi="David"/>
          <w:rtl/>
        </w:rPr>
        <w:t xml:space="preserve"> -  בהתאם לאמור בכתב האישום המתוקן נגרם למסעדה נזק בסך של 1,440 ₪ אך ברי כי נזקיו של ע.ת</w:t>
      </w:r>
      <w:r>
        <w:rPr>
          <w:rFonts w:ascii="David" w:hAnsi="David" w:hint="cs"/>
          <w:rtl/>
        </w:rPr>
        <w:t>2</w:t>
      </w:r>
      <w:r>
        <w:rPr>
          <w:rFonts w:ascii="David" w:hAnsi="David"/>
          <w:rtl/>
        </w:rPr>
        <w:t xml:space="preserve"> גבוהים יותר וכוללים, בין היתר, פגיעה ממושכת בפרנסה ובתפעול השוטף של המסעדה. נתתי דעתי לטענת הסניגור כי קיימת האפשרות כי ע.ת</w:t>
      </w:r>
      <w:r>
        <w:rPr>
          <w:rFonts w:ascii="David" w:hAnsi="David" w:hint="cs"/>
          <w:rtl/>
        </w:rPr>
        <w:t>.2</w:t>
      </w:r>
      <w:r>
        <w:rPr>
          <w:rFonts w:ascii="David" w:hAnsi="David"/>
          <w:rtl/>
        </w:rPr>
        <w:t xml:space="preserve"> יפוצה על ידי נאשמים אחרים שעניינם נדון, ומשכך מצאתי להעמיד הפיצוי בענייננו על סך 6,000 ₪. </w:t>
      </w:r>
    </w:p>
    <w:p w14:paraId="3016269B" w14:textId="77777777" w:rsidR="00E83F50" w:rsidRDefault="00E83F50" w:rsidP="00E83F50">
      <w:pPr>
        <w:spacing w:line="360" w:lineRule="auto"/>
        <w:ind w:left="720" w:hanging="720"/>
        <w:jc w:val="both"/>
        <w:rPr>
          <w:rFonts w:ascii="David" w:hAnsi="David"/>
          <w:rtl/>
        </w:rPr>
      </w:pPr>
    </w:p>
    <w:p w14:paraId="5CD3C8D2" w14:textId="77777777" w:rsidR="00E83F50" w:rsidRDefault="00E83F50" w:rsidP="00E83F50">
      <w:pPr>
        <w:spacing w:line="360" w:lineRule="auto"/>
        <w:ind w:left="720"/>
        <w:jc w:val="both"/>
        <w:rPr>
          <w:rFonts w:ascii="David" w:hAnsi="David"/>
          <w:rtl/>
        </w:rPr>
      </w:pPr>
      <w:r>
        <w:rPr>
          <w:rFonts w:ascii="David" w:hAnsi="David"/>
          <w:b/>
          <w:bCs/>
          <w:rtl/>
        </w:rPr>
        <w:t xml:space="preserve">לעניין רכיב הקנס </w:t>
      </w:r>
      <w:r>
        <w:rPr>
          <w:rFonts w:ascii="David" w:hAnsi="David"/>
          <w:rtl/>
        </w:rPr>
        <w:t>– צודק ב"כ המאשימה כי גובה הקנס צריך לגלם את עומק הפגיעה באינטרס הציבורי, בהקשר זה אוסיף כי משהמניע למעשיו של הנאשם הוא סכסוך כספי,  על הקנס להעביר מסר ברור כי אין לאפשר פתרון סכסוכים באלימות וכי הפשע אינו משתלם גם כלכלית.</w:t>
      </w:r>
    </w:p>
    <w:p w14:paraId="43CC0930" w14:textId="77777777" w:rsidR="00E83F50" w:rsidRDefault="00E83F50" w:rsidP="00E83F50">
      <w:pPr>
        <w:spacing w:line="360" w:lineRule="auto"/>
        <w:ind w:left="720"/>
        <w:jc w:val="both"/>
        <w:rPr>
          <w:rFonts w:ascii="David" w:hAnsi="David"/>
          <w:rtl/>
        </w:rPr>
      </w:pPr>
    </w:p>
    <w:p w14:paraId="05895BAB" w14:textId="77777777" w:rsidR="00E83F50" w:rsidRDefault="00E83F50" w:rsidP="00E83F50">
      <w:pPr>
        <w:spacing w:line="360" w:lineRule="auto"/>
        <w:ind w:left="720"/>
        <w:jc w:val="both"/>
        <w:rPr>
          <w:rFonts w:ascii="David" w:hAnsi="David"/>
          <w:rtl/>
        </w:rPr>
      </w:pPr>
      <w:r>
        <w:rPr>
          <w:rFonts w:ascii="David" w:hAnsi="David"/>
          <w:rtl/>
        </w:rPr>
        <w:t xml:space="preserve">כידוע מצבו כלכלי של נאשם הוא אחד השיקולים אך לא היחיד בקביעת מתחם הקנס ההולם, ושיקולי הרתעת הרבים, כמו גם הרתעת הנאשם תומכים בענישה כלכלית המצטרפת לענישה מאחורי סורג ובריח. </w:t>
      </w:r>
    </w:p>
    <w:p w14:paraId="018E71D0" w14:textId="77777777" w:rsidR="00E83F50" w:rsidRDefault="00E83F50" w:rsidP="00E83F50">
      <w:pPr>
        <w:spacing w:line="360" w:lineRule="auto"/>
        <w:ind w:left="720"/>
        <w:jc w:val="both"/>
        <w:rPr>
          <w:rFonts w:ascii="David" w:hAnsi="David"/>
          <w:rtl/>
        </w:rPr>
      </w:pPr>
    </w:p>
    <w:p w14:paraId="50B0DF00" w14:textId="77777777" w:rsidR="00E83F50" w:rsidRDefault="00E83F50" w:rsidP="00E83F50">
      <w:pPr>
        <w:spacing w:line="360" w:lineRule="auto"/>
        <w:ind w:left="720"/>
        <w:jc w:val="both"/>
        <w:rPr>
          <w:rFonts w:ascii="David" w:hAnsi="David"/>
          <w:rtl/>
        </w:rPr>
      </w:pPr>
      <w:r>
        <w:rPr>
          <w:rFonts w:ascii="David" w:hAnsi="David"/>
          <w:rtl/>
        </w:rPr>
        <w:t>לאור האמור הנני קובע כי מתחם הקנס ההולם בעניינו נע בין 25,000 ₪ ל- 50,000 ₪, ומצאתי לחייב הנאשם בקנס בסך 30,000 ₪.</w:t>
      </w:r>
    </w:p>
    <w:p w14:paraId="2C67E3CF" w14:textId="77777777" w:rsidR="00E83F50" w:rsidRDefault="00E83F50" w:rsidP="00E83F50">
      <w:pPr>
        <w:rPr>
          <w:rFonts w:ascii="David" w:hAnsi="David"/>
          <w:b/>
          <w:bCs/>
          <w:rtl/>
        </w:rPr>
      </w:pPr>
    </w:p>
    <w:p w14:paraId="289B5537" w14:textId="77777777" w:rsidR="00E83F50" w:rsidRDefault="00E83F50" w:rsidP="00E83F50">
      <w:pPr>
        <w:rPr>
          <w:rFonts w:ascii="David" w:hAnsi="David"/>
          <w:b/>
          <w:bCs/>
          <w:rtl/>
        </w:rPr>
      </w:pPr>
    </w:p>
    <w:p w14:paraId="6A20F0BA" w14:textId="77777777" w:rsidR="00E83F50" w:rsidRDefault="00E83F50" w:rsidP="00E83F50">
      <w:pPr>
        <w:rPr>
          <w:rFonts w:ascii="David" w:hAnsi="David"/>
          <w:b/>
          <w:bCs/>
          <w:rtl/>
        </w:rPr>
      </w:pPr>
    </w:p>
    <w:p w14:paraId="0CBFEFEE" w14:textId="77777777" w:rsidR="00E83F50" w:rsidRDefault="00E83F50" w:rsidP="00E83F50">
      <w:pPr>
        <w:rPr>
          <w:rFonts w:ascii="David" w:hAnsi="David"/>
          <w:b/>
          <w:bCs/>
          <w:rtl/>
        </w:rPr>
      </w:pPr>
    </w:p>
    <w:p w14:paraId="3A644791" w14:textId="77777777" w:rsidR="00E83F50" w:rsidRDefault="00E83F50" w:rsidP="00E83F50">
      <w:pPr>
        <w:rPr>
          <w:rFonts w:ascii="David" w:hAnsi="David"/>
          <w:b/>
          <w:bCs/>
          <w:rtl/>
        </w:rPr>
      </w:pPr>
      <w:r>
        <w:rPr>
          <w:rFonts w:ascii="David" w:hAnsi="David"/>
          <w:b/>
          <w:bCs/>
          <w:rtl/>
        </w:rPr>
        <w:t>הרכיב</w:t>
      </w:r>
      <w:r>
        <w:rPr>
          <w:rFonts w:ascii="David" w:hAnsi="David"/>
          <w:rtl/>
        </w:rPr>
        <w:t xml:space="preserve"> </w:t>
      </w:r>
      <w:r>
        <w:rPr>
          <w:rFonts w:ascii="David" w:hAnsi="David"/>
          <w:b/>
          <w:bCs/>
          <w:rtl/>
        </w:rPr>
        <w:t>שבמחלוקת</w:t>
      </w:r>
      <w:r>
        <w:rPr>
          <w:rFonts w:ascii="David" w:hAnsi="David"/>
          <w:rtl/>
        </w:rPr>
        <w:t xml:space="preserve"> – </w:t>
      </w:r>
      <w:r>
        <w:rPr>
          <w:rFonts w:ascii="David" w:hAnsi="David"/>
          <w:b/>
          <w:bCs/>
          <w:rtl/>
        </w:rPr>
        <w:t>מאסר</w:t>
      </w:r>
      <w:r>
        <w:rPr>
          <w:rFonts w:ascii="David" w:hAnsi="David"/>
          <w:rtl/>
        </w:rPr>
        <w:t xml:space="preserve"> </w:t>
      </w:r>
      <w:r>
        <w:rPr>
          <w:rFonts w:ascii="David" w:hAnsi="David"/>
          <w:b/>
          <w:bCs/>
          <w:rtl/>
        </w:rPr>
        <w:t>במצטבר או בחופף למאסרים קודמים:</w:t>
      </w:r>
    </w:p>
    <w:p w14:paraId="341A51CE" w14:textId="77777777" w:rsidR="00E83F50" w:rsidRDefault="00E83F50" w:rsidP="00E83F50">
      <w:pPr>
        <w:rPr>
          <w:rFonts w:ascii="David" w:hAnsi="David"/>
          <w:rtl/>
        </w:rPr>
      </w:pPr>
    </w:p>
    <w:p w14:paraId="70C1144A" w14:textId="77777777" w:rsidR="00E83F50" w:rsidRDefault="00E83F50" w:rsidP="00E83F50">
      <w:pPr>
        <w:rPr>
          <w:rFonts w:ascii="David" w:hAnsi="David"/>
          <w:rtl/>
        </w:rPr>
      </w:pPr>
      <w:r>
        <w:rPr>
          <w:rFonts w:ascii="David" w:hAnsi="David"/>
          <w:rtl/>
        </w:rPr>
        <w:t>14.</w:t>
      </w:r>
      <w:r>
        <w:rPr>
          <w:rFonts w:ascii="David" w:hAnsi="David"/>
          <w:rtl/>
        </w:rPr>
        <w:tab/>
        <w:t>ב</w:t>
      </w:r>
      <w:hyperlink r:id="rId45" w:history="1">
        <w:r w:rsidR="00E1625E" w:rsidRPr="00E1625E">
          <w:rPr>
            <w:rFonts w:ascii="David" w:hAnsi="David"/>
            <w:b/>
            <w:bCs/>
            <w:color w:val="0000FF"/>
            <w:u w:val="single"/>
            <w:rtl/>
          </w:rPr>
          <w:t>ע"פ 670/80</w:t>
        </w:r>
      </w:hyperlink>
      <w:r>
        <w:rPr>
          <w:rFonts w:ascii="David" w:hAnsi="David"/>
          <w:b/>
          <w:bCs/>
          <w:rtl/>
        </w:rPr>
        <w:t xml:space="preserve"> אבוחצירא נ' מ"י</w:t>
      </w:r>
      <w:r>
        <w:rPr>
          <w:rFonts w:ascii="David" w:hAnsi="David"/>
          <w:rtl/>
        </w:rPr>
        <w:t xml:space="preserve">  (29.6.81) קבע ביהמ"ש כי: </w:t>
      </w:r>
    </w:p>
    <w:p w14:paraId="3A344D86" w14:textId="77777777" w:rsidR="00E83F50" w:rsidRDefault="00E83F50" w:rsidP="00E83F50">
      <w:pPr>
        <w:spacing w:line="360" w:lineRule="auto"/>
        <w:ind w:left="1502" w:right="1418"/>
        <w:rPr>
          <w:rFonts w:ascii="David" w:hAnsi="David"/>
          <w:b/>
          <w:bCs/>
          <w:rtl/>
        </w:rPr>
      </w:pPr>
    </w:p>
    <w:p w14:paraId="038EE43A" w14:textId="77777777" w:rsidR="00E83F50" w:rsidRDefault="00E83F50" w:rsidP="00E83F50">
      <w:pPr>
        <w:spacing w:line="360" w:lineRule="auto"/>
        <w:ind w:left="1502" w:right="1985"/>
        <w:jc w:val="both"/>
        <w:rPr>
          <w:rFonts w:ascii="David" w:hAnsi="David"/>
          <w:b/>
          <w:bCs/>
          <w:rtl/>
        </w:rPr>
      </w:pPr>
      <w:r>
        <w:rPr>
          <w:rFonts w:ascii="David" w:hAnsi="David"/>
          <w:b/>
          <w:bCs/>
          <w:rtl/>
        </w:rPr>
        <w:t>"החלטת בית המשפט על הצטברות או חפיפה תלויה בנסיבות כל מקרה ומקרה".</w:t>
      </w:r>
    </w:p>
    <w:p w14:paraId="1BD630AE" w14:textId="77777777" w:rsidR="00E83F50" w:rsidRDefault="00E83F50" w:rsidP="00E83F50">
      <w:pPr>
        <w:spacing w:line="360" w:lineRule="auto"/>
        <w:ind w:right="1560"/>
        <w:rPr>
          <w:rFonts w:ascii="David" w:hAnsi="David"/>
          <w:rtl/>
        </w:rPr>
      </w:pPr>
    </w:p>
    <w:p w14:paraId="0316521D" w14:textId="77777777" w:rsidR="00E83F50" w:rsidRDefault="00E83F50" w:rsidP="00E83F50">
      <w:pPr>
        <w:spacing w:line="360" w:lineRule="auto"/>
        <w:ind w:right="1560"/>
        <w:rPr>
          <w:rFonts w:ascii="David" w:hAnsi="David"/>
          <w:rtl/>
        </w:rPr>
      </w:pPr>
      <w:r>
        <w:rPr>
          <w:rFonts w:ascii="David" w:hAnsi="David"/>
          <w:rtl/>
        </w:rPr>
        <w:tab/>
        <w:t>ו</w:t>
      </w:r>
      <w:r>
        <w:rPr>
          <w:rFonts w:ascii="David" w:hAnsi="David"/>
          <w:b/>
          <w:bCs/>
          <w:rtl/>
        </w:rPr>
        <w:t>ב</w:t>
      </w:r>
      <w:hyperlink r:id="rId46" w:history="1">
        <w:r w:rsidR="00E1625E" w:rsidRPr="00E1625E">
          <w:rPr>
            <w:rFonts w:ascii="David" w:hAnsi="David"/>
            <w:b/>
            <w:bCs/>
            <w:color w:val="0000FF"/>
            <w:u w:val="single"/>
            <w:rtl/>
          </w:rPr>
          <w:t>ע"פ 6535/01</w:t>
        </w:r>
      </w:hyperlink>
      <w:r>
        <w:rPr>
          <w:rFonts w:ascii="David" w:hAnsi="David"/>
          <w:b/>
          <w:bCs/>
          <w:rtl/>
        </w:rPr>
        <w:t xml:space="preserve"> קוזירוב נ' מ"י </w:t>
      </w:r>
      <w:r>
        <w:rPr>
          <w:rFonts w:ascii="David" w:hAnsi="David"/>
          <w:rtl/>
        </w:rPr>
        <w:t>(05.05.2003)  נאמר כי:</w:t>
      </w:r>
    </w:p>
    <w:p w14:paraId="0A58E048" w14:textId="77777777" w:rsidR="00E83F50" w:rsidRDefault="00E83F50" w:rsidP="00E83F50">
      <w:pPr>
        <w:spacing w:line="360" w:lineRule="auto"/>
        <w:ind w:right="1560"/>
        <w:rPr>
          <w:rFonts w:ascii="David" w:hAnsi="David"/>
          <w:rtl/>
        </w:rPr>
      </w:pPr>
    </w:p>
    <w:p w14:paraId="0EA0D10D" w14:textId="77777777" w:rsidR="00E83F50" w:rsidRDefault="00E83F50" w:rsidP="00E83F50">
      <w:pPr>
        <w:spacing w:line="360" w:lineRule="auto"/>
        <w:ind w:left="1502" w:right="1843" w:hanging="62"/>
        <w:jc w:val="both"/>
        <w:rPr>
          <w:rFonts w:ascii="David" w:hAnsi="David"/>
          <w:b/>
          <w:bCs/>
          <w:rtl/>
        </w:rPr>
      </w:pPr>
      <w:r>
        <w:rPr>
          <w:rFonts w:ascii="David" w:hAnsi="David"/>
          <w:b/>
          <w:bCs/>
          <w:rtl/>
        </w:rPr>
        <w:t xml:space="preserve">"על דרך הכלל ייאמר שבמקום שבו סבור בית המשפט –בנסיבותיו הספציפיות של עניין פלוני- כי שיקולי הגמול וההרתעה גוברים על שיקולים אחרים, תגבר הנטייה לצבור עונשי מאסר אלה-אל-אלה, במלואם או בחלקם. הגורמים המהותיים המזינים שיקול זה רבים ומגוונים הם... </w:t>
      </w:r>
      <w:r>
        <w:rPr>
          <w:rFonts w:ascii="David" w:hAnsi="David"/>
          <w:b/>
          <w:bCs/>
          <w:rtl/>
        </w:rPr>
        <w:br/>
        <w:t>:</w:t>
      </w:r>
    </w:p>
    <w:p w14:paraId="4A808E3E" w14:textId="77777777" w:rsidR="00E83F50" w:rsidRDefault="00E83F50" w:rsidP="00E83F50">
      <w:pPr>
        <w:spacing w:line="360" w:lineRule="auto"/>
        <w:ind w:left="1502" w:right="1701"/>
        <w:jc w:val="both"/>
        <w:rPr>
          <w:rFonts w:ascii="David" w:hAnsi="David"/>
          <w:b/>
          <w:bCs/>
          <w:rtl/>
        </w:rPr>
      </w:pPr>
      <w:r>
        <w:rPr>
          <w:rFonts w:ascii="David" w:hAnsi="David"/>
          <w:b/>
          <w:bCs/>
          <w:rtl/>
        </w:rPr>
        <w:t>ולענייננו-שלנו ייאמר במיוחד כי אופי העבירות, באשר הן, יכול שייצור צורך בענישה מצטברת. כך הוא למשל בביצוע כמה מעשי רצח ולו בהמשך אחד...</w:t>
      </w:r>
    </w:p>
    <w:p w14:paraId="40DDC9C3" w14:textId="77777777" w:rsidR="00E83F50" w:rsidRDefault="00E83F50" w:rsidP="00E83F50">
      <w:pPr>
        <w:spacing w:line="360" w:lineRule="auto"/>
        <w:ind w:left="1440" w:right="1843"/>
        <w:jc w:val="both"/>
        <w:rPr>
          <w:rFonts w:ascii="David" w:hAnsi="David"/>
          <w:b/>
          <w:bCs/>
          <w:rtl/>
        </w:rPr>
      </w:pPr>
      <w:r>
        <w:rPr>
          <w:rFonts w:ascii="David" w:hAnsi="David"/>
          <w:b/>
          <w:bCs/>
          <w:rtl/>
        </w:rPr>
        <w:t>:</w:t>
      </w:r>
    </w:p>
    <w:p w14:paraId="179208EC" w14:textId="77777777" w:rsidR="00E83F50" w:rsidRDefault="00E83F50" w:rsidP="00E83F50">
      <w:pPr>
        <w:spacing w:line="360" w:lineRule="auto"/>
        <w:ind w:left="1502" w:right="1843"/>
        <w:jc w:val="both"/>
        <w:rPr>
          <w:rFonts w:ascii="David" w:hAnsi="David"/>
          <w:b/>
          <w:bCs/>
          <w:rtl/>
        </w:rPr>
      </w:pPr>
      <w:r>
        <w:rPr>
          <w:rFonts w:ascii="David" w:hAnsi="David"/>
          <w:b/>
          <w:bCs/>
          <w:rtl/>
        </w:rPr>
        <w:t xml:space="preserve">... ואולם ההלכות שנקבעו תלמדנה אותנו כי עבירות חמורות, עבירות שבוצעו בנסיבות קשות, עבירות שבוצעו בברוטליות, עבירות הפוגעות באינטרסים יקרים לחברה-אלה עשויות-באשר הן-להצדיק ענישה מצטברת על מי שהורשע בדינו. והכל כמובן בנסיבותיו של כל מקרה ומקרה".  </w:t>
      </w:r>
    </w:p>
    <w:p w14:paraId="586CF95C" w14:textId="77777777" w:rsidR="00E83F50" w:rsidRDefault="00E83F50" w:rsidP="00E83F50">
      <w:pPr>
        <w:ind w:left="1502" w:right="1843"/>
        <w:jc w:val="both"/>
        <w:rPr>
          <w:rFonts w:ascii="David" w:hAnsi="David"/>
          <w:b/>
          <w:bCs/>
          <w:rtl/>
        </w:rPr>
      </w:pPr>
    </w:p>
    <w:p w14:paraId="67A71E07" w14:textId="77777777" w:rsidR="00E83F50" w:rsidRDefault="00E83F50" w:rsidP="00E83F50">
      <w:pPr>
        <w:spacing w:line="360" w:lineRule="auto"/>
        <w:ind w:left="720" w:hanging="720"/>
        <w:jc w:val="both"/>
        <w:rPr>
          <w:rFonts w:ascii="David" w:hAnsi="David"/>
          <w:rtl/>
        </w:rPr>
      </w:pPr>
      <w:r>
        <w:rPr>
          <w:rFonts w:ascii="David" w:hAnsi="David"/>
          <w:rtl/>
        </w:rPr>
        <w:t>15.</w:t>
      </w:r>
      <w:r>
        <w:rPr>
          <w:rFonts w:ascii="David" w:hAnsi="David"/>
          <w:rtl/>
        </w:rPr>
        <w:tab/>
        <w:t>צודק ב"כ המאשימה כי העבירות בהן הורשע הנאשם חמורות ונסיבות ביצוען מלמדות על תכנון, תחכום ותעוזה יוצאי דופן. כאמור האירוע יכול היה להסתיים בקיפוח חיי אדם ומכאן הצורך הגובר בענישה מרתיעה. טעמים אלו בנוסף לעברו הפלילי המכביד של הנאשם (בוודאי ביחס לגילו) ומועד ביצוע העבירות בשני התיקים האחרים, תומכים בענייננו בענישה במצטבר לעונשי המאסר בשני התיקים האחרים.</w:t>
      </w:r>
    </w:p>
    <w:p w14:paraId="1137EA0F" w14:textId="77777777" w:rsidR="00E83F50" w:rsidRDefault="00E83F50" w:rsidP="00E83F50">
      <w:pPr>
        <w:spacing w:line="360" w:lineRule="auto"/>
        <w:ind w:left="720" w:hanging="720"/>
        <w:jc w:val="both"/>
        <w:rPr>
          <w:rFonts w:ascii="David" w:hAnsi="David"/>
        </w:rPr>
      </w:pPr>
    </w:p>
    <w:p w14:paraId="291AEA10" w14:textId="77777777" w:rsidR="00E83F50" w:rsidRDefault="00E83F50" w:rsidP="00E83F50">
      <w:pPr>
        <w:spacing w:line="360" w:lineRule="auto"/>
        <w:ind w:left="720" w:hanging="720"/>
        <w:jc w:val="both"/>
        <w:rPr>
          <w:rFonts w:ascii="David" w:hAnsi="David"/>
          <w:rtl/>
        </w:rPr>
      </w:pPr>
      <w:r>
        <w:rPr>
          <w:rFonts w:ascii="David" w:hAnsi="David"/>
          <w:rtl/>
        </w:rPr>
        <w:tab/>
        <w:t>מנגד, יש לתן משקל גם לטענתו של הסנגור כי עסקינן בהסדר טיעון שהוא תולדה של קשיים ראייתיים ואחרים. נימוק זה, בנוסף למעצרו הממושך של הנאשם בתנאי הפרדה על כל המשתמע מכך, מצדיקים ענישה החופפת בחלקה למאסר קודם.</w:t>
      </w:r>
    </w:p>
    <w:p w14:paraId="08922C87" w14:textId="77777777" w:rsidR="00E83F50" w:rsidRDefault="00E83F50" w:rsidP="00E83F50">
      <w:pPr>
        <w:spacing w:line="360" w:lineRule="auto"/>
        <w:ind w:left="720" w:hanging="720"/>
        <w:jc w:val="both"/>
        <w:rPr>
          <w:rFonts w:ascii="David" w:hAnsi="David"/>
          <w:rtl/>
        </w:rPr>
      </w:pPr>
    </w:p>
    <w:p w14:paraId="6AC2D9CF" w14:textId="77777777" w:rsidR="00E83F50" w:rsidRDefault="00E83F50" w:rsidP="00E83F50">
      <w:pPr>
        <w:spacing w:line="360" w:lineRule="auto"/>
        <w:ind w:left="720" w:hanging="720"/>
        <w:jc w:val="both"/>
        <w:rPr>
          <w:rFonts w:ascii="David" w:hAnsi="David"/>
          <w:rtl/>
        </w:rPr>
      </w:pPr>
      <w:r>
        <w:rPr>
          <w:rFonts w:ascii="David" w:hAnsi="David"/>
          <w:rtl/>
        </w:rPr>
        <w:t>16.</w:t>
      </w:r>
      <w:r>
        <w:rPr>
          <w:rFonts w:ascii="David" w:hAnsi="David"/>
          <w:rtl/>
        </w:rPr>
        <w:tab/>
        <w:t>לאחר ששמעתי טיעוני הצדדים, עיינתי בפסיקה אליה הפנו, מצאתי כי בנסיבותיו של  המקרה שבפניי קיימת הצדקה לחפיפה חלקית של עונש המאסר כך ש-  5 שנים ירוצו במצטבר למאסר אותו ריצה ומרצה הנאשם ב</w:t>
      </w:r>
      <w:hyperlink r:id="rId47" w:history="1">
        <w:r w:rsidR="00E1625E" w:rsidRPr="00E1625E">
          <w:rPr>
            <w:rFonts w:ascii="David" w:hAnsi="David"/>
            <w:color w:val="0000FF"/>
            <w:u w:val="single"/>
            <w:rtl/>
          </w:rPr>
          <w:t>ת.פ (שלום רמלה) 1097-09-23</w:t>
        </w:r>
      </w:hyperlink>
      <w:r>
        <w:rPr>
          <w:rFonts w:ascii="David" w:hAnsi="David"/>
          <w:rtl/>
        </w:rPr>
        <w:t xml:space="preserve"> והיתרה (12 חודשים) בחופף לו.</w:t>
      </w:r>
    </w:p>
    <w:p w14:paraId="502ABED4" w14:textId="77777777" w:rsidR="00E83F50" w:rsidRDefault="00E83F50" w:rsidP="00E83F50">
      <w:pPr>
        <w:spacing w:line="360" w:lineRule="auto"/>
        <w:ind w:left="720" w:hanging="720"/>
        <w:jc w:val="both"/>
        <w:rPr>
          <w:rFonts w:ascii="David" w:hAnsi="David"/>
          <w:rtl/>
        </w:rPr>
      </w:pPr>
    </w:p>
    <w:p w14:paraId="12E7A2AF" w14:textId="77777777" w:rsidR="00E83F50" w:rsidRDefault="00E83F50" w:rsidP="00E83F50">
      <w:pPr>
        <w:spacing w:line="360" w:lineRule="auto"/>
        <w:ind w:left="720" w:hanging="720"/>
        <w:jc w:val="both"/>
        <w:rPr>
          <w:rFonts w:ascii="David" w:hAnsi="David"/>
          <w:rtl/>
        </w:rPr>
      </w:pPr>
      <w:r>
        <w:rPr>
          <w:rFonts w:ascii="David" w:hAnsi="David"/>
          <w:rtl/>
        </w:rPr>
        <w:tab/>
        <w:t xml:space="preserve">דומה כי יש באמור כדי לתן מקום מחד, לחומרת העבירות שביצע הנאשם בתיק שבענייננו ולשיקולי הגמול וההרתעה, ומאידך לתנאי מעצרו של הנאשם ולאינטרס הציבורי בעידוד הסדרי טיעון בתיקים עם מורכבות ראייתית. </w:t>
      </w:r>
    </w:p>
    <w:p w14:paraId="5B58DAFB" w14:textId="77777777" w:rsidR="00E83F50" w:rsidRDefault="00E83F50" w:rsidP="00E83F50">
      <w:pPr>
        <w:spacing w:line="360" w:lineRule="auto"/>
        <w:ind w:left="720" w:hanging="720"/>
        <w:jc w:val="both"/>
        <w:rPr>
          <w:rFonts w:ascii="David" w:hAnsi="David"/>
          <w:rtl/>
        </w:rPr>
      </w:pPr>
    </w:p>
    <w:p w14:paraId="7AD5ACFE" w14:textId="77777777" w:rsidR="00E83F50" w:rsidRDefault="00E83F50" w:rsidP="00E83F50">
      <w:pPr>
        <w:spacing w:line="360" w:lineRule="auto"/>
        <w:ind w:left="720" w:hanging="720"/>
        <w:jc w:val="both"/>
        <w:rPr>
          <w:rFonts w:ascii="David" w:hAnsi="David"/>
          <w:b/>
          <w:bCs/>
          <w:rtl/>
        </w:rPr>
      </w:pPr>
      <w:r>
        <w:rPr>
          <w:rFonts w:ascii="David" w:hAnsi="David"/>
          <w:rtl/>
        </w:rPr>
        <w:tab/>
        <w:t>לעניין קשיי מעצר בהפרדה ראה דברי בית המשפט ב</w:t>
      </w:r>
      <w:hyperlink r:id="rId48" w:history="1">
        <w:r w:rsidR="00E1625E" w:rsidRPr="00E1625E">
          <w:rPr>
            <w:rFonts w:ascii="David" w:hAnsi="David"/>
            <w:b/>
            <w:bCs/>
            <w:color w:val="0000FF"/>
            <w:u w:val="single"/>
            <w:rtl/>
          </w:rPr>
          <w:t>רע"ב 2635/13</w:t>
        </w:r>
      </w:hyperlink>
      <w:r>
        <w:rPr>
          <w:rFonts w:ascii="David" w:hAnsi="David"/>
          <w:rtl/>
        </w:rPr>
        <w:t xml:space="preserve"> </w:t>
      </w:r>
      <w:r>
        <w:rPr>
          <w:rFonts w:ascii="David" w:hAnsi="David"/>
          <w:b/>
          <w:bCs/>
          <w:rtl/>
        </w:rPr>
        <w:t>אסי אבוטבול נגד מדינת ישראל</w:t>
      </w:r>
      <w:r>
        <w:rPr>
          <w:rFonts w:ascii="David" w:hAnsi="David"/>
          <w:rtl/>
        </w:rPr>
        <w:t xml:space="preserve"> (5.6.13):</w:t>
      </w:r>
    </w:p>
    <w:p w14:paraId="725A75FF" w14:textId="77777777" w:rsidR="00E83F50" w:rsidRDefault="00E83F50" w:rsidP="00E83F50">
      <w:pPr>
        <w:spacing w:line="360" w:lineRule="auto"/>
        <w:ind w:left="720" w:hanging="720"/>
        <w:jc w:val="both"/>
        <w:rPr>
          <w:rFonts w:ascii="David" w:hAnsi="David"/>
          <w:b/>
          <w:bCs/>
          <w:rtl/>
        </w:rPr>
      </w:pPr>
    </w:p>
    <w:p w14:paraId="136D9CDE" w14:textId="77777777" w:rsidR="00E83F50" w:rsidRDefault="00E83F50" w:rsidP="00E83F50">
      <w:pPr>
        <w:spacing w:line="360" w:lineRule="auto"/>
        <w:ind w:left="1785" w:right="1843" w:hanging="720"/>
        <w:jc w:val="both"/>
        <w:rPr>
          <w:rFonts w:ascii="David" w:hAnsi="David"/>
          <w:b/>
          <w:bCs/>
          <w:rtl/>
        </w:rPr>
      </w:pPr>
      <w:r>
        <w:rPr>
          <w:rFonts w:ascii="David" w:hAnsi="David"/>
          <w:b/>
          <w:bCs/>
          <w:rtl/>
        </w:rPr>
        <w:tab/>
        <w:t xml:space="preserve">"אכן, ההחזקה בהפרדת יחיד מבודדת את האסיר ומקשה עליו נוכח פגיעתה בצורך החיוני בסביבה אנושית". </w:t>
      </w:r>
    </w:p>
    <w:p w14:paraId="6F27B368" w14:textId="77777777" w:rsidR="00E83F50" w:rsidRDefault="00E83F50" w:rsidP="00E83F50">
      <w:pPr>
        <w:spacing w:line="360" w:lineRule="auto"/>
        <w:ind w:left="1785" w:right="1843" w:hanging="720"/>
        <w:jc w:val="both"/>
        <w:rPr>
          <w:rFonts w:ascii="David" w:hAnsi="David"/>
          <w:b/>
          <w:bCs/>
          <w:rtl/>
        </w:rPr>
      </w:pPr>
    </w:p>
    <w:p w14:paraId="611A96EA" w14:textId="77777777" w:rsidR="00E83F50" w:rsidRDefault="00E83F50" w:rsidP="00E83F50">
      <w:pPr>
        <w:spacing w:line="360" w:lineRule="auto"/>
        <w:ind w:left="720" w:hanging="720"/>
        <w:jc w:val="both"/>
        <w:rPr>
          <w:rFonts w:ascii="David" w:hAnsi="David"/>
          <w:rtl/>
        </w:rPr>
      </w:pPr>
      <w:r>
        <w:rPr>
          <w:rFonts w:ascii="David" w:hAnsi="David"/>
          <w:rtl/>
        </w:rPr>
        <w:tab/>
        <w:t xml:space="preserve">וראה גם </w:t>
      </w:r>
      <w:r>
        <w:rPr>
          <w:rFonts w:ascii="David" w:hAnsi="David"/>
          <w:b/>
          <w:bCs/>
          <w:rtl/>
        </w:rPr>
        <w:t xml:space="preserve"> </w:t>
      </w:r>
      <w:hyperlink r:id="rId49" w:history="1">
        <w:r w:rsidR="00E1625E" w:rsidRPr="00E1625E">
          <w:rPr>
            <w:rFonts w:ascii="David" w:hAnsi="David"/>
            <w:b/>
            <w:bCs/>
            <w:color w:val="0000FF"/>
            <w:u w:val="single"/>
            <w:rtl/>
          </w:rPr>
          <w:t>רע"ב 4393/11</w:t>
        </w:r>
      </w:hyperlink>
      <w:r>
        <w:rPr>
          <w:rFonts w:ascii="David" w:hAnsi="David"/>
          <w:b/>
          <w:bCs/>
          <w:rtl/>
        </w:rPr>
        <w:t xml:space="preserve"> יוסי מוסלי נ' מדינת ישראל </w:t>
      </w:r>
      <w:r>
        <w:rPr>
          <w:rFonts w:ascii="David" w:hAnsi="David"/>
          <w:rtl/>
        </w:rPr>
        <w:t>(8.11.11):</w:t>
      </w:r>
    </w:p>
    <w:p w14:paraId="541C6BD8" w14:textId="77777777" w:rsidR="00E83F50" w:rsidRDefault="00E83F50" w:rsidP="00E83F50">
      <w:pPr>
        <w:spacing w:line="360" w:lineRule="auto"/>
        <w:ind w:left="720" w:hanging="720"/>
        <w:jc w:val="both"/>
        <w:rPr>
          <w:rFonts w:ascii="David" w:hAnsi="David"/>
          <w:rtl/>
        </w:rPr>
      </w:pPr>
    </w:p>
    <w:p w14:paraId="61621954" w14:textId="77777777" w:rsidR="00E83F50" w:rsidRDefault="00E83F50" w:rsidP="00E83F50">
      <w:pPr>
        <w:spacing w:line="360" w:lineRule="auto"/>
        <w:ind w:left="1502" w:right="1985" w:hanging="720"/>
        <w:jc w:val="both"/>
        <w:rPr>
          <w:rFonts w:ascii="David" w:hAnsi="David"/>
          <w:b/>
          <w:bCs/>
          <w:rtl/>
        </w:rPr>
      </w:pPr>
      <w:r>
        <w:rPr>
          <w:rFonts w:ascii="David" w:hAnsi="David"/>
          <w:b/>
          <w:bCs/>
          <w:rtl/>
        </w:rPr>
        <w:tab/>
        <w:t>"אין חולק כי להחזקת אסיר בהפרדת יחיד בפרק זמן ארוך כמו זה בענייננו, קיימות השלכות קשות על מצבו".</w:t>
      </w:r>
    </w:p>
    <w:p w14:paraId="0B729FE2" w14:textId="77777777" w:rsidR="00E83F50" w:rsidRDefault="00E83F50" w:rsidP="00E83F50">
      <w:pPr>
        <w:spacing w:line="360" w:lineRule="auto"/>
        <w:ind w:left="720" w:hanging="720"/>
        <w:jc w:val="both"/>
        <w:rPr>
          <w:rFonts w:ascii="David" w:hAnsi="David"/>
          <w:rtl/>
        </w:rPr>
      </w:pPr>
    </w:p>
    <w:p w14:paraId="476C57F3" w14:textId="77777777" w:rsidR="00E83F50" w:rsidRDefault="00E83F50" w:rsidP="00E83F50">
      <w:pPr>
        <w:spacing w:line="360" w:lineRule="auto"/>
        <w:ind w:left="720" w:hanging="720"/>
        <w:jc w:val="both"/>
        <w:rPr>
          <w:rFonts w:ascii="David" w:hAnsi="David"/>
          <w:rtl/>
        </w:rPr>
      </w:pPr>
      <w:r>
        <w:rPr>
          <w:rFonts w:ascii="David" w:hAnsi="David"/>
          <w:rtl/>
        </w:rPr>
        <w:t>17.</w:t>
      </w:r>
      <w:r>
        <w:rPr>
          <w:rFonts w:ascii="David" w:hAnsi="David"/>
          <w:rtl/>
        </w:rPr>
        <w:tab/>
        <w:t>אשר על כן, ולאור האמור לעיל, אני גוזר על הנאשם את העונשים הבאים:</w:t>
      </w:r>
    </w:p>
    <w:p w14:paraId="2276DD9F" w14:textId="77777777" w:rsidR="00E83F50" w:rsidRDefault="00E83F50" w:rsidP="00E83F50">
      <w:pPr>
        <w:spacing w:line="360" w:lineRule="auto"/>
        <w:ind w:left="720" w:hanging="720"/>
        <w:jc w:val="both"/>
        <w:rPr>
          <w:rFonts w:ascii="David" w:hAnsi="David"/>
          <w:rtl/>
        </w:rPr>
      </w:pPr>
    </w:p>
    <w:p w14:paraId="4520D628" w14:textId="77777777" w:rsidR="00E83F50" w:rsidRDefault="00E83F50" w:rsidP="00E83F50">
      <w:pPr>
        <w:spacing w:line="360" w:lineRule="auto"/>
        <w:ind w:left="1440" w:hanging="720"/>
        <w:jc w:val="both"/>
        <w:rPr>
          <w:rFonts w:ascii="David" w:hAnsi="David"/>
          <w:rtl/>
        </w:rPr>
      </w:pPr>
      <w:r>
        <w:rPr>
          <w:rFonts w:ascii="David" w:hAnsi="David"/>
          <w:rtl/>
        </w:rPr>
        <w:t>א.</w:t>
      </w:r>
      <w:r>
        <w:rPr>
          <w:rFonts w:ascii="David" w:hAnsi="David"/>
          <w:rtl/>
        </w:rPr>
        <w:tab/>
        <w:t xml:space="preserve">מאסר בפועל למשך 6 שנים, בניכוי התקופה בה שהה הנאשם במעצר </w:t>
      </w:r>
      <w:r>
        <w:rPr>
          <w:rFonts w:ascii="David" w:hAnsi="David"/>
          <w:b/>
          <w:bCs/>
          <w:u w:val="single"/>
          <w:rtl/>
        </w:rPr>
        <w:t xml:space="preserve">רק </w:t>
      </w:r>
      <w:r>
        <w:rPr>
          <w:rFonts w:ascii="David" w:hAnsi="David"/>
          <w:rtl/>
        </w:rPr>
        <w:t>בתיק זה. למען הסר ספק מתקופת המעצר שתנוכה, לא ימנו ימי מאסרו מ</w:t>
      </w:r>
      <w:hyperlink r:id="rId50" w:history="1">
        <w:r w:rsidR="00E1625E" w:rsidRPr="00E1625E">
          <w:rPr>
            <w:rFonts w:ascii="David" w:hAnsi="David"/>
            <w:color w:val="0000FF"/>
            <w:u w:val="single"/>
            <w:rtl/>
          </w:rPr>
          <w:t>ת.פ (מחוזי ב"ש) 23546-12-22</w:t>
        </w:r>
      </w:hyperlink>
      <w:r>
        <w:rPr>
          <w:rFonts w:ascii="David" w:hAnsi="David"/>
          <w:rtl/>
        </w:rPr>
        <w:t xml:space="preserve">. </w:t>
      </w:r>
    </w:p>
    <w:p w14:paraId="17C49B9E" w14:textId="77777777" w:rsidR="00E83F50" w:rsidRDefault="00E83F50" w:rsidP="00E83F50">
      <w:pPr>
        <w:spacing w:line="360" w:lineRule="auto"/>
        <w:ind w:left="1440" w:hanging="720"/>
        <w:jc w:val="both"/>
        <w:rPr>
          <w:rFonts w:ascii="David" w:hAnsi="David"/>
          <w:rtl/>
        </w:rPr>
      </w:pPr>
    </w:p>
    <w:p w14:paraId="6C92C321" w14:textId="77777777" w:rsidR="00E83F50" w:rsidRDefault="00E83F50" w:rsidP="00E83F50">
      <w:pPr>
        <w:spacing w:line="360" w:lineRule="auto"/>
        <w:ind w:left="1440"/>
        <w:jc w:val="both"/>
        <w:rPr>
          <w:rFonts w:ascii="David" w:hAnsi="David"/>
          <w:rtl/>
        </w:rPr>
      </w:pPr>
      <w:r>
        <w:rPr>
          <w:rFonts w:ascii="David" w:hAnsi="David"/>
          <w:rtl/>
        </w:rPr>
        <w:t xml:space="preserve">המאסר ירוצה באופן ש- 5 שנים מתוכו (בניכוי תקופת המעצר כאמור לעיל) יצטברו לעונש המאסר שאותו ריצה ומרצה הנאשם במסגרת </w:t>
      </w:r>
      <w:hyperlink r:id="rId51" w:history="1">
        <w:r w:rsidR="00E1625E" w:rsidRPr="00E1625E">
          <w:rPr>
            <w:rFonts w:ascii="David" w:hAnsi="David"/>
            <w:color w:val="0000FF"/>
            <w:u w:val="single"/>
            <w:rtl/>
          </w:rPr>
          <w:t>ת.פ (שלום רמלה) 1097-09-23</w:t>
        </w:r>
      </w:hyperlink>
      <w:r>
        <w:rPr>
          <w:rFonts w:ascii="David" w:hAnsi="David"/>
          <w:rtl/>
        </w:rPr>
        <w:t xml:space="preserve">  והיתרה (12 חודשים) תרוצה בחופף לו. </w:t>
      </w:r>
    </w:p>
    <w:p w14:paraId="5554B4CF" w14:textId="77777777" w:rsidR="00E83F50" w:rsidRDefault="00E83F50" w:rsidP="00E83F50">
      <w:pPr>
        <w:spacing w:line="360" w:lineRule="auto"/>
        <w:ind w:left="1440"/>
        <w:jc w:val="both"/>
        <w:rPr>
          <w:rFonts w:ascii="David" w:hAnsi="David"/>
          <w:rtl/>
        </w:rPr>
      </w:pPr>
    </w:p>
    <w:p w14:paraId="2DA951BA" w14:textId="77777777" w:rsidR="00E83F50" w:rsidRDefault="00E83F50" w:rsidP="00E83F50">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3 שנים מיום שחרורו, שלא יעבור עבירה לפי </w:t>
      </w:r>
      <w:hyperlink r:id="rId52" w:history="1">
        <w:r w:rsidR="00D9355E" w:rsidRPr="00D9355E">
          <w:rPr>
            <w:rStyle w:val="Hyperlink"/>
            <w:rFonts w:ascii="David" w:hAnsi="David"/>
            <w:color w:val="0000FF"/>
            <w:rtl/>
          </w:rPr>
          <w:t>סעיף 144</w:t>
        </w:r>
      </w:hyperlink>
      <w:r>
        <w:rPr>
          <w:rFonts w:ascii="David" w:hAnsi="David"/>
          <w:rtl/>
        </w:rPr>
        <w:t xml:space="preserve"> ל</w:t>
      </w:r>
      <w:hyperlink r:id="rId53" w:history="1">
        <w:r w:rsidR="00E1625E" w:rsidRPr="00E1625E">
          <w:rPr>
            <w:rFonts w:ascii="David" w:hAnsi="David"/>
            <w:color w:val="0000FF"/>
            <w:u w:val="single"/>
            <w:rtl/>
          </w:rPr>
          <w:t>חוק העונשין</w:t>
        </w:r>
      </w:hyperlink>
      <w:r>
        <w:rPr>
          <w:rFonts w:ascii="David" w:hAnsi="David"/>
          <w:rtl/>
        </w:rPr>
        <w:t xml:space="preserve"> על חלופותיו השונות או עבירה לפי </w:t>
      </w:r>
      <w:hyperlink r:id="rId54" w:history="1">
        <w:r w:rsidR="00D9355E" w:rsidRPr="00D9355E">
          <w:rPr>
            <w:rStyle w:val="Hyperlink"/>
            <w:rFonts w:ascii="David" w:hAnsi="David"/>
            <w:color w:val="0000FF"/>
            <w:rtl/>
          </w:rPr>
          <w:t>סעיף 454</w:t>
        </w:r>
      </w:hyperlink>
      <w:r>
        <w:rPr>
          <w:rFonts w:ascii="David" w:hAnsi="David"/>
          <w:rtl/>
        </w:rPr>
        <w:t xml:space="preserve"> לחוק העונשין או </w:t>
      </w:r>
      <w:hyperlink r:id="rId55" w:history="1">
        <w:r w:rsidR="00D9355E" w:rsidRPr="00D9355E">
          <w:rPr>
            <w:rStyle w:val="Hyperlink"/>
            <w:rFonts w:ascii="David" w:hAnsi="David"/>
            <w:color w:val="0000FF"/>
            <w:rtl/>
          </w:rPr>
          <w:t>456</w:t>
        </w:r>
      </w:hyperlink>
      <w:r>
        <w:rPr>
          <w:rFonts w:ascii="David" w:hAnsi="David"/>
          <w:rtl/>
        </w:rPr>
        <w:t xml:space="preserve"> לחוק העונשין. </w:t>
      </w:r>
    </w:p>
    <w:p w14:paraId="53B10EF5" w14:textId="77777777" w:rsidR="00E83F50" w:rsidRDefault="00E83F50" w:rsidP="00E83F50">
      <w:pPr>
        <w:spacing w:line="360" w:lineRule="auto"/>
        <w:ind w:left="1440" w:hanging="720"/>
        <w:jc w:val="both"/>
        <w:rPr>
          <w:rFonts w:ascii="David" w:hAnsi="David"/>
          <w:rtl/>
        </w:rPr>
      </w:pPr>
    </w:p>
    <w:p w14:paraId="4A97A44C" w14:textId="77777777" w:rsidR="00E83F50" w:rsidRDefault="00E83F50" w:rsidP="00E83F50">
      <w:pPr>
        <w:spacing w:line="360" w:lineRule="auto"/>
        <w:ind w:left="1440" w:hanging="720"/>
        <w:jc w:val="both"/>
        <w:rPr>
          <w:rFonts w:ascii="David" w:hAnsi="David"/>
          <w:rtl/>
        </w:rPr>
      </w:pPr>
      <w:r>
        <w:rPr>
          <w:rFonts w:ascii="David" w:hAnsi="David"/>
          <w:rtl/>
        </w:rPr>
        <w:t>ג.</w:t>
      </w:r>
      <w:r>
        <w:rPr>
          <w:rFonts w:ascii="David" w:hAnsi="David"/>
          <w:rtl/>
        </w:rPr>
        <w:tab/>
        <w:t xml:space="preserve">8 חודשי מאסר על תנאי למשך שנתיים מיום שחרורו, שלא יעבור עבירת אלימות מסוג פשע. </w:t>
      </w:r>
    </w:p>
    <w:p w14:paraId="3686C28A" w14:textId="77777777" w:rsidR="00E83F50" w:rsidRDefault="00E83F50" w:rsidP="00E83F50">
      <w:pPr>
        <w:spacing w:line="360" w:lineRule="auto"/>
        <w:ind w:left="1440" w:hanging="720"/>
        <w:jc w:val="both"/>
        <w:rPr>
          <w:rFonts w:ascii="David" w:hAnsi="David"/>
          <w:rtl/>
        </w:rPr>
      </w:pPr>
    </w:p>
    <w:p w14:paraId="6AE1F42F" w14:textId="77777777" w:rsidR="00E83F50" w:rsidRDefault="00E83F50" w:rsidP="00E83F50">
      <w:pPr>
        <w:spacing w:line="360" w:lineRule="auto"/>
        <w:ind w:left="1440" w:hanging="720"/>
        <w:jc w:val="both"/>
        <w:rPr>
          <w:rFonts w:ascii="David" w:hAnsi="David"/>
          <w:rtl/>
        </w:rPr>
      </w:pPr>
      <w:r>
        <w:rPr>
          <w:rFonts w:ascii="David" w:hAnsi="David"/>
          <w:rtl/>
        </w:rPr>
        <w:t>ד.</w:t>
      </w:r>
      <w:r>
        <w:rPr>
          <w:rFonts w:ascii="David" w:hAnsi="David"/>
          <w:rtl/>
        </w:rPr>
        <w:tab/>
        <w:t>פיצוי בסך 6,000 ₪ אשר ישולם לא יאוחר מיום 01.06.25.</w:t>
      </w:r>
    </w:p>
    <w:p w14:paraId="796196EC" w14:textId="77777777" w:rsidR="00E83F50" w:rsidRDefault="00E83F50" w:rsidP="00E83F50">
      <w:pPr>
        <w:spacing w:line="360" w:lineRule="auto"/>
        <w:ind w:left="1440" w:hanging="720"/>
        <w:jc w:val="both"/>
        <w:rPr>
          <w:rFonts w:ascii="David" w:hAnsi="David"/>
          <w:rtl/>
        </w:rPr>
      </w:pPr>
    </w:p>
    <w:p w14:paraId="2FE7D2A6" w14:textId="77777777" w:rsidR="00E83F50" w:rsidRDefault="00E83F50" w:rsidP="00E83F50">
      <w:pPr>
        <w:spacing w:line="360" w:lineRule="auto"/>
        <w:ind w:left="1440" w:hanging="720"/>
        <w:jc w:val="both"/>
        <w:rPr>
          <w:rFonts w:ascii="David" w:hAnsi="David"/>
          <w:rtl/>
        </w:rPr>
      </w:pPr>
    </w:p>
    <w:p w14:paraId="6B88E7F8" w14:textId="77777777" w:rsidR="00E83F50" w:rsidRDefault="00E83F50" w:rsidP="00E83F50">
      <w:pPr>
        <w:spacing w:line="360" w:lineRule="auto"/>
        <w:ind w:left="1440" w:hanging="720"/>
        <w:jc w:val="both"/>
        <w:rPr>
          <w:rFonts w:ascii="David" w:hAnsi="David"/>
          <w:rtl/>
        </w:rPr>
      </w:pPr>
      <w:r>
        <w:rPr>
          <w:rFonts w:ascii="David" w:hAnsi="David"/>
          <w:rtl/>
        </w:rPr>
        <w:t>ה.</w:t>
      </w:r>
      <w:r>
        <w:rPr>
          <w:rFonts w:ascii="David" w:hAnsi="David"/>
          <w:rtl/>
        </w:rPr>
        <w:tab/>
        <w:t>קנס בסך 30,000 ש"ח או 5 חודשי מאסר תמורתו. הקנס ישולם ב- 10 תשלומים חודשיים שווים ורצופים בסך 3,000 ₪ כל אחד החל מיום 01.01.26 ומידי 01 בכל חודש שלאחריו.</w:t>
      </w:r>
    </w:p>
    <w:p w14:paraId="7E3801BC" w14:textId="77777777" w:rsidR="00E83F50" w:rsidRDefault="00E83F50" w:rsidP="00E83F50">
      <w:pPr>
        <w:spacing w:line="360" w:lineRule="auto"/>
        <w:ind w:left="1440" w:hanging="720"/>
        <w:jc w:val="both"/>
        <w:rPr>
          <w:rFonts w:ascii="David" w:hAnsi="David"/>
          <w:rtl/>
        </w:rPr>
      </w:pPr>
    </w:p>
    <w:p w14:paraId="45A7982F" w14:textId="77777777" w:rsidR="00E83F50" w:rsidRDefault="00E83F50" w:rsidP="00E83F50">
      <w:pPr>
        <w:spacing w:line="360" w:lineRule="auto"/>
        <w:ind w:left="720"/>
      </w:pPr>
      <w:r>
        <w:rPr>
          <w:rtl/>
        </w:rPr>
        <w:t xml:space="preserve">לידיעת הנאשם, ניתן יהיה לשלם את </w:t>
      </w:r>
      <w:r>
        <w:rPr>
          <w:rFonts w:hint="cs"/>
          <w:rtl/>
        </w:rPr>
        <w:t>הפיצוי והקנס</w:t>
      </w:r>
      <w:r>
        <w:rPr>
          <w:rtl/>
        </w:rPr>
        <w:t xml:space="preserve"> לחשבון המרכז לגביית קנסות, אגרות והוצאות ברשות האכיפה והגבייה באחת מהדרכים הבאות:</w:t>
      </w:r>
    </w:p>
    <w:p w14:paraId="49862BE6" w14:textId="77777777" w:rsidR="00E83F50" w:rsidRDefault="00E83F50" w:rsidP="00E83F50"/>
    <w:p w14:paraId="3B4EF4D1" w14:textId="77777777" w:rsidR="00E83F50" w:rsidRDefault="00E83F50" w:rsidP="00E83F50">
      <w:pPr>
        <w:pStyle w:val="aa"/>
        <w:numPr>
          <w:ilvl w:val="0"/>
          <w:numId w:val="1"/>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56" w:history="1">
        <w:r>
          <w:rPr>
            <w:rStyle w:val="Hyperlink"/>
            <w:rFonts w:ascii="David" w:hAnsi="David"/>
          </w:rPr>
          <w:t>www.eca.gov.il</w:t>
        </w:r>
      </w:hyperlink>
      <w:r>
        <w:rPr>
          <w:rFonts w:ascii="David" w:hAnsi="David"/>
        </w:rPr>
        <w:t xml:space="preserve"> </w:t>
      </w:r>
      <w:r w:rsidR="00E1625E">
        <w:rPr>
          <w:rFonts w:ascii="David" w:hAnsi="David" w:cs="Times New Roman"/>
          <w:rtl/>
        </w:rPr>
        <w:t xml:space="preserve"> </w:t>
      </w:r>
    </w:p>
    <w:p w14:paraId="5F12BCBB" w14:textId="77777777" w:rsidR="00E83F50" w:rsidRDefault="00E83F50" w:rsidP="00E83F50">
      <w:pPr>
        <w:pStyle w:val="aa"/>
        <w:numPr>
          <w:ilvl w:val="0"/>
          <w:numId w:val="1"/>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E1625E">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6CDF44B9" w14:textId="77777777" w:rsidR="00E83F50" w:rsidRDefault="00E83F50" w:rsidP="00E83F50">
      <w:pPr>
        <w:pStyle w:val="aa"/>
        <w:numPr>
          <w:ilvl w:val="0"/>
          <w:numId w:val="1"/>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4C5C5189" w14:textId="77777777" w:rsidR="00E83F50" w:rsidRPr="004B03E2" w:rsidRDefault="00E83F50" w:rsidP="00E83F50"/>
    <w:p w14:paraId="0CB0D701" w14:textId="77777777" w:rsidR="00E83F50" w:rsidRPr="00E1625E" w:rsidRDefault="00E1625E" w:rsidP="00E83F50">
      <w:pPr>
        <w:spacing w:line="360" w:lineRule="auto"/>
        <w:ind w:left="1440" w:hanging="720"/>
        <w:jc w:val="both"/>
        <w:rPr>
          <w:rFonts w:ascii="David" w:hAnsi="David"/>
          <w:color w:val="FFFFFF"/>
          <w:sz w:val="2"/>
          <w:szCs w:val="2"/>
          <w:rtl/>
        </w:rPr>
      </w:pPr>
      <w:r w:rsidRPr="00E1625E">
        <w:rPr>
          <w:rFonts w:ascii="David" w:hAnsi="David"/>
          <w:color w:val="FFFFFF"/>
          <w:sz w:val="2"/>
          <w:szCs w:val="2"/>
          <w:rtl/>
        </w:rPr>
        <w:t>5129371</w:t>
      </w:r>
    </w:p>
    <w:p w14:paraId="7734F9DB" w14:textId="77777777" w:rsidR="00E83F50" w:rsidRDefault="00E1625E" w:rsidP="00E83F50">
      <w:pPr>
        <w:spacing w:line="360" w:lineRule="auto"/>
        <w:jc w:val="both"/>
        <w:rPr>
          <w:rFonts w:ascii="David" w:hAnsi="David"/>
          <w:b/>
          <w:bCs/>
          <w:rtl/>
        </w:rPr>
      </w:pPr>
      <w:r w:rsidRPr="00E1625E">
        <w:rPr>
          <w:rFonts w:ascii="David" w:hAnsi="David"/>
          <w:b/>
          <w:bCs/>
          <w:color w:val="FFFFFF"/>
          <w:sz w:val="2"/>
          <w:szCs w:val="2"/>
          <w:rtl/>
        </w:rPr>
        <w:t>54678313</w:t>
      </w:r>
      <w:r w:rsidR="00E83F50">
        <w:rPr>
          <w:rFonts w:ascii="David" w:hAnsi="David"/>
          <w:b/>
          <w:bCs/>
          <w:rtl/>
        </w:rPr>
        <w:t>זכות ערעור תוך 45 ימים לבית המשפט העליון.</w:t>
      </w:r>
    </w:p>
    <w:p w14:paraId="4662451D" w14:textId="77777777" w:rsidR="00E83F50" w:rsidRPr="000F2247" w:rsidRDefault="00E83F50" w:rsidP="00E83F50">
      <w:pPr>
        <w:rPr>
          <w:rFonts w:ascii="Arial" w:hAnsi="Arial"/>
          <w:b/>
          <w:bCs/>
          <w:sz w:val="26"/>
          <w:szCs w:val="26"/>
          <w:rtl/>
        </w:rPr>
      </w:pPr>
    </w:p>
    <w:p w14:paraId="43023B6F" w14:textId="77777777" w:rsidR="00E83F50" w:rsidRPr="000F2247" w:rsidRDefault="00E1625E" w:rsidP="00E83F5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חשוון תשפ"ה, 28 נובמבר 2024, במעמד הצדדים. </w:t>
      </w:r>
      <w:bookmarkEnd w:id="8"/>
      <w:r w:rsidR="00E83F50">
        <w:rPr>
          <w:rFonts w:ascii="Arial" w:hAnsi="Arial"/>
          <w:b/>
          <w:bCs/>
          <w:sz w:val="26"/>
          <w:szCs w:val="26"/>
          <w:rtl/>
        </w:rPr>
        <w:tab/>
      </w:r>
      <w:r w:rsidR="00E83F50">
        <w:rPr>
          <w:rFonts w:ascii="Arial" w:hAnsi="Arial"/>
          <w:b/>
          <w:bCs/>
          <w:sz w:val="26"/>
          <w:szCs w:val="26"/>
          <w:rtl/>
        </w:rPr>
        <w:tab/>
      </w:r>
      <w:r w:rsidR="00E83F50">
        <w:rPr>
          <w:rFonts w:ascii="Arial" w:hAnsi="Arial"/>
          <w:b/>
          <w:bCs/>
          <w:sz w:val="26"/>
          <w:szCs w:val="26"/>
          <w:rtl/>
        </w:rPr>
        <w:tab/>
      </w:r>
      <w:r w:rsidR="00E83F50">
        <w:rPr>
          <w:rFonts w:ascii="Arial" w:hAnsi="Arial"/>
          <w:b/>
          <w:bCs/>
          <w:sz w:val="26"/>
          <w:szCs w:val="26"/>
          <w:rtl/>
        </w:rPr>
        <w:tab/>
      </w:r>
      <w:r w:rsidR="00E83F50">
        <w:rPr>
          <w:rFonts w:ascii="Arial" w:hAnsi="Arial"/>
          <w:b/>
          <w:bCs/>
          <w:sz w:val="26"/>
          <w:szCs w:val="26"/>
          <w:rtl/>
        </w:rPr>
        <w:tab/>
      </w:r>
      <w:r w:rsidR="00E83F50">
        <w:rPr>
          <w:rFonts w:ascii="Arial" w:hAnsi="Arial"/>
          <w:b/>
          <w:bCs/>
          <w:sz w:val="26"/>
          <w:szCs w:val="26"/>
          <w:rtl/>
        </w:rPr>
        <w:tab/>
      </w:r>
      <w:r w:rsidR="00E83F50">
        <w:rPr>
          <w:rFonts w:ascii="Arial" w:hAnsi="Arial"/>
          <w:b/>
          <w:bCs/>
          <w:sz w:val="26"/>
          <w:szCs w:val="26"/>
          <w:rtl/>
        </w:rPr>
        <w:tab/>
      </w:r>
      <w:r w:rsidR="00E83F50">
        <w:rPr>
          <w:rFonts w:ascii="Arial" w:hAnsi="Arial" w:hint="cs"/>
          <w:b/>
          <w:bCs/>
          <w:sz w:val="26"/>
          <w:szCs w:val="26"/>
          <w:rtl/>
        </w:rPr>
        <w:t xml:space="preserve">         </w:t>
      </w:r>
    </w:p>
    <w:p w14:paraId="47AED941" w14:textId="77777777" w:rsidR="00E83F50" w:rsidRPr="000F2247" w:rsidRDefault="00E83F50" w:rsidP="00E162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9D17AD7" w14:textId="77777777" w:rsidR="00E83F50" w:rsidRPr="00D9355E" w:rsidRDefault="00D9355E" w:rsidP="00E83F50">
      <w:pPr>
        <w:jc w:val="center"/>
        <w:rPr>
          <w:rFonts w:ascii="Arial" w:hAnsi="Arial"/>
          <w:b/>
          <w:bCs/>
          <w:color w:val="FFFFFF"/>
          <w:sz w:val="2"/>
          <w:szCs w:val="2"/>
          <w:rtl/>
        </w:rPr>
      </w:pPr>
      <w:r w:rsidRPr="00D9355E">
        <w:rPr>
          <w:rFonts w:ascii="Arial" w:hAnsi="Arial"/>
          <w:b/>
          <w:bCs/>
          <w:color w:val="FFFFFF"/>
          <w:sz w:val="2"/>
          <w:szCs w:val="2"/>
          <w:rtl/>
        </w:rPr>
        <w:t>5129371</w:t>
      </w:r>
    </w:p>
    <w:p w14:paraId="146256FC" w14:textId="77777777" w:rsidR="00A61DF4" w:rsidRPr="00D9355E" w:rsidRDefault="00D9355E" w:rsidP="00E1625E">
      <w:pPr>
        <w:keepNext/>
        <w:rPr>
          <w:rFonts w:ascii="David" w:hAnsi="David"/>
          <w:color w:val="FFFFFF"/>
          <w:sz w:val="2"/>
          <w:szCs w:val="2"/>
          <w:rtl/>
        </w:rPr>
      </w:pPr>
      <w:r w:rsidRPr="00D9355E">
        <w:rPr>
          <w:rFonts w:ascii="David" w:hAnsi="David"/>
          <w:color w:val="FFFFFF"/>
          <w:sz w:val="2"/>
          <w:szCs w:val="2"/>
          <w:rtl/>
        </w:rPr>
        <w:t>54678313</w:t>
      </w:r>
    </w:p>
    <w:p w14:paraId="1BAFC2F6" w14:textId="77777777" w:rsidR="00E1625E" w:rsidRPr="00E1625E" w:rsidRDefault="00E1625E" w:rsidP="00E1625E">
      <w:pPr>
        <w:keepNext/>
        <w:rPr>
          <w:rFonts w:ascii="David" w:hAnsi="David"/>
          <w:color w:val="000000"/>
          <w:sz w:val="22"/>
          <w:szCs w:val="22"/>
          <w:rtl/>
        </w:rPr>
      </w:pPr>
      <w:r w:rsidRPr="00E1625E">
        <w:rPr>
          <w:rFonts w:ascii="David" w:hAnsi="David"/>
          <w:color w:val="000000"/>
          <w:sz w:val="22"/>
          <w:szCs w:val="22"/>
          <w:rtl/>
        </w:rPr>
        <w:t>אלון גביזון 54678313</w:t>
      </w:r>
    </w:p>
    <w:p w14:paraId="40D720CC" w14:textId="77777777" w:rsidR="00E1625E" w:rsidRDefault="00E1625E" w:rsidP="00E1625E">
      <w:r w:rsidRPr="00E1625E">
        <w:rPr>
          <w:color w:val="000000"/>
          <w:rtl/>
        </w:rPr>
        <w:t>נוסח מסמך זה כפוף לשינויי ניסוח ועריכה</w:t>
      </w:r>
    </w:p>
    <w:p w14:paraId="18120C40" w14:textId="77777777" w:rsidR="00E1625E" w:rsidRDefault="00E1625E" w:rsidP="00E1625E">
      <w:pPr>
        <w:rPr>
          <w:rtl/>
        </w:rPr>
      </w:pPr>
    </w:p>
    <w:p w14:paraId="076CBA70" w14:textId="77777777" w:rsidR="00E1625E" w:rsidRDefault="00E1625E" w:rsidP="00E1625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sectPr w:rsidR="00E1625E" w:rsidSect="00D9355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9D907" w14:textId="77777777" w:rsidR="007B62CE" w:rsidRDefault="007B62CE" w:rsidP="009F1D87">
      <w:r>
        <w:separator/>
      </w:r>
    </w:p>
  </w:endnote>
  <w:endnote w:type="continuationSeparator" w:id="0">
    <w:p w14:paraId="4A26A44E" w14:textId="77777777" w:rsidR="007B62CE" w:rsidRDefault="007B62CE" w:rsidP="009F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BB963" w14:textId="77777777" w:rsidR="00D9355E" w:rsidRDefault="00D9355E" w:rsidP="00D93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E3CB1A" w14:textId="77777777" w:rsidR="00F72F49" w:rsidRPr="00D9355E" w:rsidRDefault="00D9355E" w:rsidP="00D9355E">
    <w:pPr>
      <w:pStyle w:val="a5"/>
      <w:pBdr>
        <w:top w:val="single" w:sz="4" w:space="1" w:color="auto"/>
        <w:between w:val="single" w:sz="4" w:space="0" w:color="auto"/>
      </w:pBdr>
      <w:spacing w:after="60"/>
      <w:jc w:val="center"/>
      <w:rPr>
        <w:rFonts w:ascii="FrankRuehl" w:hAnsi="FrankRuehl" w:cs="FrankRuehl"/>
        <w:color w:val="000000"/>
      </w:rPr>
    </w:pPr>
    <w:r w:rsidRPr="00D935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97682" w14:textId="77777777" w:rsidR="00D9355E" w:rsidRDefault="00D9355E" w:rsidP="00D935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1026">
      <w:rPr>
        <w:rFonts w:ascii="FrankRuehl" w:hAnsi="FrankRuehl" w:cs="FrankRuehl"/>
        <w:noProof/>
        <w:rtl/>
      </w:rPr>
      <w:t>1</w:t>
    </w:r>
    <w:r>
      <w:rPr>
        <w:rFonts w:ascii="FrankRuehl" w:hAnsi="FrankRuehl" w:cs="FrankRuehl"/>
        <w:rtl/>
      </w:rPr>
      <w:fldChar w:fldCharType="end"/>
    </w:r>
  </w:p>
  <w:p w14:paraId="7714153E" w14:textId="77777777" w:rsidR="00F72F49" w:rsidRPr="00D9355E" w:rsidRDefault="00D9355E" w:rsidP="00D9355E">
    <w:pPr>
      <w:pStyle w:val="a5"/>
      <w:pBdr>
        <w:top w:val="single" w:sz="4" w:space="1" w:color="auto"/>
        <w:between w:val="single" w:sz="4" w:space="0" w:color="auto"/>
      </w:pBdr>
      <w:spacing w:after="60"/>
      <w:jc w:val="center"/>
      <w:rPr>
        <w:rFonts w:ascii="FrankRuehl" w:hAnsi="FrankRuehl" w:cs="FrankRuehl"/>
        <w:color w:val="000000"/>
      </w:rPr>
    </w:pPr>
    <w:r w:rsidRPr="00D9355E">
      <w:rPr>
        <w:rFonts w:ascii="FrankRuehl" w:hAnsi="FrankRuehl" w:cs="FrankRuehl"/>
        <w:color w:val="000000"/>
      </w:rPr>
      <w:pict w14:anchorId="33D5D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79029" w14:textId="77777777" w:rsidR="007B62CE" w:rsidRDefault="007B62CE" w:rsidP="009F1D87">
      <w:r>
        <w:separator/>
      </w:r>
    </w:p>
  </w:footnote>
  <w:footnote w:type="continuationSeparator" w:id="0">
    <w:p w14:paraId="5A9A8498" w14:textId="77777777" w:rsidR="007B62CE" w:rsidRDefault="007B62CE" w:rsidP="009F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D15A2" w14:textId="77777777" w:rsidR="00E1625E" w:rsidRPr="00D9355E" w:rsidRDefault="00D9355E" w:rsidP="00D935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57219-05-22</w:t>
    </w:r>
    <w:r>
      <w:rPr>
        <w:rFonts w:ascii="David" w:hAnsi="David"/>
        <w:color w:val="000000"/>
        <w:sz w:val="22"/>
        <w:szCs w:val="22"/>
        <w:rtl/>
      </w:rPr>
      <w:tab/>
      <w:t xml:space="preserve"> מדינת ישראל נ' נתן שלמה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EEB17" w14:textId="77777777" w:rsidR="00E1625E" w:rsidRPr="00D9355E" w:rsidRDefault="00D9355E" w:rsidP="00D935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57219-05-22</w:t>
    </w:r>
    <w:r>
      <w:rPr>
        <w:rFonts w:ascii="David" w:hAnsi="David"/>
        <w:color w:val="000000"/>
        <w:sz w:val="22"/>
        <w:szCs w:val="22"/>
        <w:rtl/>
      </w:rPr>
      <w:tab/>
      <w:t xml:space="preserve"> מדינת ישראל נ' נתן שלמה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113563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F50"/>
    <w:rsid w:val="001D11C4"/>
    <w:rsid w:val="003F16EA"/>
    <w:rsid w:val="007B62CE"/>
    <w:rsid w:val="009F1D87"/>
    <w:rsid w:val="00A245DF"/>
    <w:rsid w:val="00A61DF4"/>
    <w:rsid w:val="00D9355E"/>
    <w:rsid w:val="00E1625E"/>
    <w:rsid w:val="00E83F50"/>
    <w:rsid w:val="00F51026"/>
    <w:rsid w:val="00F72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21B2FA"/>
  <w15:chartTrackingRefBased/>
  <w15:docId w15:val="{78EDE19F-7B0A-4269-9B6C-B7089EC8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3F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3F50"/>
    <w:pPr>
      <w:tabs>
        <w:tab w:val="center" w:pos="4153"/>
        <w:tab w:val="right" w:pos="8306"/>
      </w:tabs>
    </w:pPr>
  </w:style>
  <w:style w:type="character" w:customStyle="1" w:styleId="a4">
    <w:name w:val="כותרת עליונה תו"/>
    <w:link w:val="a3"/>
    <w:rsid w:val="00E83F50"/>
    <w:rPr>
      <w:rFonts w:ascii="Times New Roman" w:eastAsia="Times New Roman" w:hAnsi="Times New Roman" w:cs="David"/>
      <w:sz w:val="24"/>
      <w:szCs w:val="24"/>
    </w:rPr>
  </w:style>
  <w:style w:type="paragraph" w:styleId="a5">
    <w:name w:val="footer"/>
    <w:basedOn w:val="a"/>
    <w:link w:val="a6"/>
    <w:rsid w:val="00E83F50"/>
    <w:pPr>
      <w:tabs>
        <w:tab w:val="center" w:pos="4153"/>
        <w:tab w:val="right" w:pos="8306"/>
      </w:tabs>
    </w:pPr>
  </w:style>
  <w:style w:type="character" w:customStyle="1" w:styleId="a6">
    <w:name w:val="כותרת תחתונה תו"/>
    <w:link w:val="a5"/>
    <w:rsid w:val="00E83F50"/>
    <w:rPr>
      <w:rFonts w:ascii="Times New Roman" w:eastAsia="Times New Roman" w:hAnsi="Times New Roman" w:cs="David"/>
      <w:sz w:val="24"/>
      <w:szCs w:val="24"/>
    </w:rPr>
  </w:style>
  <w:style w:type="table" w:styleId="a7">
    <w:name w:val="Table Grid"/>
    <w:basedOn w:val="a1"/>
    <w:rsid w:val="00E83F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3F50"/>
  </w:style>
  <w:style w:type="character" w:styleId="Hyperlink">
    <w:name w:val="Hyperlink"/>
    <w:rsid w:val="00E83F50"/>
    <w:rPr>
      <w:color w:val="0563C1"/>
      <w:u w:val="single"/>
    </w:rPr>
  </w:style>
  <w:style w:type="character" w:customStyle="1" w:styleId="a9">
    <w:name w:val="פיסקת רשימה תו"/>
    <w:link w:val="aa"/>
    <w:locked/>
    <w:rsid w:val="00E83F50"/>
    <w:rPr>
      <w:rFonts w:ascii="Calibri" w:hAnsi="Calibri" w:cs="Calibri"/>
    </w:rPr>
  </w:style>
  <w:style w:type="paragraph" w:styleId="aa">
    <w:name w:val="List Paragraph"/>
    <w:basedOn w:val="a"/>
    <w:link w:val="a9"/>
    <w:qFormat/>
    <w:rsid w:val="00E83F50"/>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31.1"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9210123" TargetMode="External"/><Relationship Id="rId39" Type="http://schemas.openxmlformats.org/officeDocument/2006/relationships/hyperlink" Target="http://www.nevo.co.il/case/30000599" TargetMode="External"/><Relationship Id="rId21" Type="http://schemas.openxmlformats.org/officeDocument/2006/relationships/hyperlink" Target="http://www.nevo.co.il/law/70301/456" TargetMode="External"/><Relationship Id="rId34" Type="http://schemas.openxmlformats.org/officeDocument/2006/relationships/hyperlink" Target="http://www.nevo.co.il/law/75015/52.b.2.a" TargetMode="External"/><Relationship Id="rId42" Type="http://schemas.openxmlformats.org/officeDocument/2006/relationships/hyperlink" Target="http://www.nevo.co.il/case/21946424" TargetMode="External"/><Relationship Id="rId47" Type="http://schemas.openxmlformats.org/officeDocument/2006/relationships/hyperlink" Target="http://www.nevo.co.il/case/30000599" TargetMode="External"/><Relationship Id="rId50" Type="http://schemas.openxmlformats.org/officeDocument/2006/relationships/hyperlink" Target="http://www.nevo.co.il/case/29210123" TargetMode="External"/><Relationship Id="rId55" Type="http://schemas.openxmlformats.org/officeDocument/2006/relationships/hyperlink" Target="http://www.nevo.co.il/law/70301/456"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3000059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4216/7.a.;7.c" TargetMode="External"/><Relationship Id="rId37" Type="http://schemas.openxmlformats.org/officeDocument/2006/relationships/hyperlink" Target="http://www.nevo.co.il/case/2921012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7929919"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5015" TargetMode="External"/><Relationship Id="rId14" Type="http://schemas.openxmlformats.org/officeDocument/2006/relationships/hyperlink" Target="http://www.nevo.co.il/law/70301/45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31.1" TargetMode="External"/><Relationship Id="rId30" Type="http://schemas.openxmlformats.org/officeDocument/2006/relationships/hyperlink" Target="http://www.nevo.co.il/law/70301/291" TargetMode="External"/><Relationship Id="rId35" Type="http://schemas.openxmlformats.org/officeDocument/2006/relationships/hyperlink" Target="http://www.nevo.co.il/law/75015" TargetMode="External"/><Relationship Id="rId43" Type="http://schemas.openxmlformats.org/officeDocument/2006/relationships/hyperlink" Target="http://www.nevo.co.il/case/17948154" TargetMode="External"/><Relationship Id="rId48" Type="http://schemas.openxmlformats.org/officeDocument/2006/relationships/hyperlink" Target="http://www.nevo.co.il/case/6887383" TargetMode="External"/><Relationship Id="rId56" Type="http://schemas.openxmlformats.org/officeDocument/2006/relationships/hyperlink" Target="http://www.eca.gov.il"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30000599" TargetMode="External"/><Relationship Id="rId3" Type="http://schemas.openxmlformats.org/officeDocument/2006/relationships/settings" Target="settings.xml"/><Relationship Id="rId12" Type="http://schemas.openxmlformats.org/officeDocument/2006/relationships/hyperlink" Target="http://www.nevo.co.il/law/70301/29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case/30000599" TargetMode="External"/><Relationship Id="rId46" Type="http://schemas.openxmlformats.org/officeDocument/2006/relationships/hyperlink" Target="http://www.nevo.co.il/case/6070684" TargetMode="External"/><Relationship Id="rId59" Type="http://schemas.openxmlformats.org/officeDocument/2006/relationships/header" Target="header2.xml"/><Relationship Id="rId20" Type="http://schemas.openxmlformats.org/officeDocument/2006/relationships/hyperlink" Target="http://www.nevo.co.il/law/75015/52.b.2.a" TargetMode="External"/><Relationship Id="rId41" Type="http://schemas.openxmlformats.org/officeDocument/2006/relationships/hyperlink" Target="http://www.nevo.co.il/case/25585562" TargetMode="External"/><Relationship Id="rId54" Type="http://schemas.openxmlformats.org/officeDocument/2006/relationships/hyperlink" Target="http://www.nevo.co.il/law/70301/45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56"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595508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61892" TargetMode="External"/><Relationship Id="rId52" Type="http://schemas.openxmlformats.org/officeDocument/2006/relationships/hyperlink" Target="http://www.nevo.co.il/law/70301/14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3180</Words>
  <Characters>15903</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19045</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7864368</vt:i4>
      </vt:variant>
      <vt:variant>
        <vt:i4>147</vt:i4>
      </vt:variant>
      <vt:variant>
        <vt:i4>0</vt:i4>
      </vt:variant>
      <vt:variant>
        <vt:i4>5</vt:i4>
      </vt:variant>
      <vt:variant>
        <vt:lpwstr>http://www.eca.gov.il/</vt:lpwstr>
      </vt:variant>
      <vt:variant>
        <vt:lpwstr/>
      </vt:variant>
      <vt:variant>
        <vt:i4>6291553</vt:i4>
      </vt:variant>
      <vt:variant>
        <vt:i4>144</vt:i4>
      </vt:variant>
      <vt:variant>
        <vt:i4>0</vt:i4>
      </vt:variant>
      <vt:variant>
        <vt:i4>5</vt:i4>
      </vt:variant>
      <vt:variant>
        <vt:lpwstr>http://www.nevo.co.il/law/70301/456</vt:lpwstr>
      </vt:variant>
      <vt:variant>
        <vt:lpwstr/>
      </vt:variant>
      <vt:variant>
        <vt:i4>6291553</vt:i4>
      </vt:variant>
      <vt:variant>
        <vt:i4>141</vt:i4>
      </vt:variant>
      <vt:variant>
        <vt:i4>0</vt:i4>
      </vt:variant>
      <vt:variant>
        <vt:i4>5</vt:i4>
      </vt:variant>
      <vt:variant>
        <vt:lpwstr>http://www.nevo.co.il/law/70301/454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3801201</vt:i4>
      </vt:variant>
      <vt:variant>
        <vt:i4>132</vt:i4>
      </vt:variant>
      <vt:variant>
        <vt:i4>0</vt:i4>
      </vt:variant>
      <vt:variant>
        <vt:i4>5</vt:i4>
      </vt:variant>
      <vt:variant>
        <vt:lpwstr>http://www.nevo.co.il/case/30000599</vt:lpwstr>
      </vt:variant>
      <vt:variant>
        <vt:lpwstr/>
      </vt:variant>
      <vt:variant>
        <vt:i4>3276925</vt:i4>
      </vt:variant>
      <vt:variant>
        <vt:i4>129</vt:i4>
      </vt:variant>
      <vt:variant>
        <vt:i4>0</vt:i4>
      </vt:variant>
      <vt:variant>
        <vt:i4>5</vt:i4>
      </vt:variant>
      <vt:variant>
        <vt:lpwstr>http://www.nevo.co.il/case/29210123</vt:lpwstr>
      </vt:variant>
      <vt:variant>
        <vt:lpwstr/>
      </vt:variant>
      <vt:variant>
        <vt:i4>3735664</vt:i4>
      </vt:variant>
      <vt:variant>
        <vt:i4>126</vt:i4>
      </vt:variant>
      <vt:variant>
        <vt:i4>0</vt:i4>
      </vt:variant>
      <vt:variant>
        <vt:i4>5</vt:i4>
      </vt:variant>
      <vt:variant>
        <vt:lpwstr>http://www.nevo.co.il/case/5955089</vt:lpwstr>
      </vt:variant>
      <vt:variant>
        <vt:lpwstr/>
      </vt:variant>
      <vt:variant>
        <vt:i4>4063347</vt:i4>
      </vt:variant>
      <vt:variant>
        <vt:i4>123</vt:i4>
      </vt:variant>
      <vt:variant>
        <vt:i4>0</vt:i4>
      </vt:variant>
      <vt:variant>
        <vt:i4>5</vt:i4>
      </vt:variant>
      <vt:variant>
        <vt:lpwstr>http://www.nevo.co.il/case/6887383</vt:lpwstr>
      </vt:variant>
      <vt:variant>
        <vt:lpwstr/>
      </vt:variant>
      <vt:variant>
        <vt:i4>3801201</vt:i4>
      </vt:variant>
      <vt:variant>
        <vt:i4>120</vt:i4>
      </vt:variant>
      <vt:variant>
        <vt:i4>0</vt:i4>
      </vt:variant>
      <vt:variant>
        <vt:i4>5</vt:i4>
      </vt:variant>
      <vt:variant>
        <vt:lpwstr>http://www.nevo.co.il/case/30000599</vt:lpwstr>
      </vt:variant>
      <vt:variant>
        <vt:lpwstr/>
      </vt:variant>
      <vt:variant>
        <vt:i4>3342460</vt:i4>
      </vt:variant>
      <vt:variant>
        <vt:i4>117</vt:i4>
      </vt:variant>
      <vt:variant>
        <vt:i4>0</vt:i4>
      </vt:variant>
      <vt:variant>
        <vt:i4>5</vt:i4>
      </vt:variant>
      <vt:variant>
        <vt:lpwstr>http://www.nevo.co.il/case/6070684</vt:lpwstr>
      </vt:variant>
      <vt:variant>
        <vt:lpwstr/>
      </vt:variant>
      <vt:variant>
        <vt:i4>3145848</vt:i4>
      </vt:variant>
      <vt:variant>
        <vt:i4>114</vt:i4>
      </vt:variant>
      <vt:variant>
        <vt:i4>0</vt:i4>
      </vt:variant>
      <vt:variant>
        <vt:i4>5</vt:i4>
      </vt:variant>
      <vt:variant>
        <vt:lpwstr>http://www.nevo.co.il/case/17929919</vt:lpwstr>
      </vt:variant>
      <vt:variant>
        <vt:lpwstr/>
      </vt:variant>
      <vt:variant>
        <vt:i4>589898</vt:i4>
      </vt:variant>
      <vt:variant>
        <vt:i4>111</vt:i4>
      </vt:variant>
      <vt:variant>
        <vt:i4>0</vt:i4>
      </vt:variant>
      <vt:variant>
        <vt:i4>5</vt:i4>
      </vt:variant>
      <vt:variant>
        <vt:lpwstr>http://www.nevo.co.il/case/161892</vt:lpwstr>
      </vt:variant>
      <vt:variant>
        <vt:lpwstr/>
      </vt:variant>
      <vt:variant>
        <vt:i4>3473526</vt:i4>
      </vt:variant>
      <vt:variant>
        <vt:i4>108</vt:i4>
      </vt:variant>
      <vt:variant>
        <vt:i4>0</vt:i4>
      </vt:variant>
      <vt:variant>
        <vt:i4>5</vt:i4>
      </vt:variant>
      <vt:variant>
        <vt:lpwstr>http://www.nevo.co.il/case/17948154</vt:lpwstr>
      </vt:variant>
      <vt:variant>
        <vt:lpwstr/>
      </vt:variant>
      <vt:variant>
        <vt:i4>4128885</vt:i4>
      </vt:variant>
      <vt:variant>
        <vt:i4>105</vt:i4>
      </vt:variant>
      <vt:variant>
        <vt:i4>0</vt:i4>
      </vt:variant>
      <vt:variant>
        <vt:i4>5</vt:i4>
      </vt:variant>
      <vt:variant>
        <vt:lpwstr>http://www.nevo.co.il/case/21946424</vt:lpwstr>
      </vt:variant>
      <vt:variant>
        <vt:lpwstr/>
      </vt:variant>
      <vt:variant>
        <vt:i4>3407996</vt:i4>
      </vt:variant>
      <vt:variant>
        <vt:i4>102</vt:i4>
      </vt:variant>
      <vt:variant>
        <vt:i4>0</vt:i4>
      </vt:variant>
      <vt:variant>
        <vt:i4>5</vt:i4>
      </vt:variant>
      <vt:variant>
        <vt:lpwstr>http://www.nevo.co.il/case/25585562</vt:lpwstr>
      </vt:variant>
      <vt:variant>
        <vt:lpwstr/>
      </vt:variant>
      <vt:variant>
        <vt:i4>7995492</vt:i4>
      </vt:variant>
      <vt:variant>
        <vt:i4>99</vt:i4>
      </vt:variant>
      <vt:variant>
        <vt:i4>0</vt:i4>
      </vt:variant>
      <vt:variant>
        <vt:i4>5</vt:i4>
      </vt:variant>
      <vt:variant>
        <vt:lpwstr>http://www.nevo.co.il/law/70301</vt:lpwstr>
      </vt:variant>
      <vt:variant>
        <vt:lpwstr/>
      </vt:variant>
      <vt:variant>
        <vt:i4>3801201</vt:i4>
      </vt:variant>
      <vt:variant>
        <vt:i4>96</vt:i4>
      </vt:variant>
      <vt:variant>
        <vt:i4>0</vt:i4>
      </vt:variant>
      <vt:variant>
        <vt:i4>5</vt:i4>
      </vt:variant>
      <vt:variant>
        <vt:lpwstr>http://www.nevo.co.il/case/30000599</vt:lpwstr>
      </vt:variant>
      <vt:variant>
        <vt:lpwstr/>
      </vt:variant>
      <vt:variant>
        <vt:i4>3801201</vt:i4>
      </vt:variant>
      <vt:variant>
        <vt:i4>93</vt:i4>
      </vt:variant>
      <vt:variant>
        <vt:i4>0</vt:i4>
      </vt:variant>
      <vt:variant>
        <vt:i4>5</vt:i4>
      </vt:variant>
      <vt:variant>
        <vt:lpwstr>http://www.nevo.co.il/case/30000599</vt:lpwstr>
      </vt:variant>
      <vt:variant>
        <vt:lpwstr/>
      </vt:variant>
      <vt:variant>
        <vt:i4>3276925</vt:i4>
      </vt:variant>
      <vt:variant>
        <vt:i4>90</vt:i4>
      </vt:variant>
      <vt:variant>
        <vt:i4>0</vt:i4>
      </vt:variant>
      <vt:variant>
        <vt:i4>5</vt:i4>
      </vt:variant>
      <vt:variant>
        <vt:lpwstr>http://www.nevo.co.il/case/29210123</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8257639</vt:i4>
      </vt:variant>
      <vt:variant>
        <vt:i4>84</vt:i4>
      </vt:variant>
      <vt:variant>
        <vt:i4>0</vt:i4>
      </vt:variant>
      <vt:variant>
        <vt:i4>5</vt:i4>
      </vt:variant>
      <vt:variant>
        <vt:lpwstr>http://www.nevo.co.il/law/75015</vt:lpwstr>
      </vt:variant>
      <vt:variant>
        <vt:lpwstr/>
      </vt:variant>
      <vt:variant>
        <vt:i4>5374025</vt:i4>
      </vt:variant>
      <vt:variant>
        <vt:i4>81</vt:i4>
      </vt:variant>
      <vt:variant>
        <vt:i4>0</vt:i4>
      </vt:variant>
      <vt:variant>
        <vt:i4>5</vt:i4>
      </vt:variant>
      <vt:variant>
        <vt:lpwstr>http://www.nevo.co.il/law/75015/52.b.2.a</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http://www.nevo.co.il/law/70301/291</vt:lpwstr>
      </vt:variant>
      <vt:variant>
        <vt:lpwstr/>
      </vt:variant>
      <vt:variant>
        <vt:i4>3801201</vt:i4>
      </vt:variant>
      <vt:variant>
        <vt:i4>66</vt:i4>
      </vt:variant>
      <vt:variant>
        <vt:i4>0</vt:i4>
      </vt:variant>
      <vt:variant>
        <vt:i4>5</vt:i4>
      </vt:variant>
      <vt:variant>
        <vt:lpwstr>http://www.nevo.co.il/case/30000599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4718672</vt:i4>
      </vt:variant>
      <vt:variant>
        <vt:i4>60</vt:i4>
      </vt:variant>
      <vt:variant>
        <vt:i4>0</vt:i4>
      </vt:variant>
      <vt:variant>
        <vt:i4>5</vt:i4>
      </vt:variant>
      <vt:variant>
        <vt:lpwstr>http://www.nevo.co.il/law/70301/431.1</vt:lpwstr>
      </vt:variant>
      <vt:variant>
        <vt:lpwstr/>
      </vt:variant>
      <vt:variant>
        <vt:i4>3276925</vt:i4>
      </vt:variant>
      <vt:variant>
        <vt:i4>57</vt:i4>
      </vt:variant>
      <vt:variant>
        <vt:i4>0</vt:i4>
      </vt:variant>
      <vt:variant>
        <vt:i4>5</vt:i4>
      </vt:variant>
      <vt:variant>
        <vt:lpwstr>http://www.nevo.co.il/case/29210123</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6291553</vt:i4>
      </vt:variant>
      <vt:variant>
        <vt:i4>42</vt:i4>
      </vt:variant>
      <vt:variant>
        <vt:i4>0</vt:i4>
      </vt:variant>
      <vt:variant>
        <vt:i4>5</vt:i4>
      </vt:variant>
      <vt:variant>
        <vt:lpwstr>http://www.nevo.co.il/law/70301/456</vt:lpwstr>
      </vt:variant>
      <vt:variant>
        <vt:lpwstr/>
      </vt:variant>
      <vt:variant>
        <vt:i4>5374025</vt:i4>
      </vt:variant>
      <vt:variant>
        <vt:i4>39</vt:i4>
      </vt:variant>
      <vt:variant>
        <vt:i4>0</vt:i4>
      </vt:variant>
      <vt:variant>
        <vt:i4>5</vt:i4>
      </vt:variant>
      <vt:variant>
        <vt:lpwstr>http://www.nevo.co.il/law/75015/52.b.2.a</vt:lpwstr>
      </vt:variant>
      <vt:variant>
        <vt:lpwstr/>
      </vt:variant>
      <vt:variant>
        <vt:i4>8257639</vt:i4>
      </vt:variant>
      <vt:variant>
        <vt:i4>36</vt:i4>
      </vt:variant>
      <vt:variant>
        <vt:i4>0</vt:i4>
      </vt:variant>
      <vt:variant>
        <vt:i4>5</vt:i4>
      </vt:variant>
      <vt:variant>
        <vt:lpwstr>http://www.nevo.co.il/law/75015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6291553</vt:i4>
      </vt:variant>
      <vt:variant>
        <vt:i4>24</vt:i4>
      </vt:variant>
      <vt:variant>
        <vt:i4>0</vt:i4>
      </vt:variant>
      <vt:variant>
        <vt:i4>5</vt:i4>
      </vt:variant>
      <vt:variant>
        <vt:lpwstr>http://www.nevo.co.il/law/70301/456</vt:lpwstr>
      </vt:variant>
      <vt:variant>
        <vt:lpwstr/>
      </vt:variant>
      <vt:variant>
        <vt:i4>6291553</vt:i4>
      </vt:variant>
      <vt:variant>
        <vt:i4>21</vt:i4>
      </vt:variant>
      <vt:variant>
        <vt:i4>0</vt:i4>
      </vt:variant>
      <vt:variant>
        <vt:i4>5</vt:i4>
      </vt:variant>
      <vt:variant>
        <vt:lpwstr>http://www.nevo.co.il/law/70301/454</vt:lpwstr>
      </vt:variant>
      <vt:variant>
        <vt:lpwstr/>
      </vt:variant>
      <vt:variant>
        <vt:i4>4718672</vt:i4>
      </vt:variant>
      <vt:variant>
        <vt:i4>18</vt:i4>
      </vt:variant>
      <vt:variant>
        <vt:i4>0</vt:i4>
      </vt:variant>
      <vt:variant>
        <vt:i4>5</vt:i4>
      </vt:variant>
      <vt:variant>
        <vt:lpwstr>http://www.nevo.co.il/law/70301/431.1</vt:lpwstr>
      </vt:variant>
      <vt:variant>
        <vt:lpwstr/>
      </vt:variant>
      <vt:variant>
        <vt:i4>7077991</vt:i4>
      </vt:variant>
      <vt:variant>
        <vt:i4>15</vt:i4>
      </vt:variant>
      <vt:variant>
        <vt:i4>0</vt:i4>
      </vt:variant>
      <vt:variant>
        <vt:i4>5</vt:i4>
      </vt:variant>
      <vt:variant>
        <vt:lpwstr>http://www.nevo.co.il/law/70301/291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57219</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נתן שלמה ;יבנאל קרטר </vt:lpwstr>
  </property>
  <property fmtid="{D5CDD505-2E9C-101B-9397-08002B2CF9AE}" pid="10" name="LAWYER">
    <vt:lpwstr>גיורא חזן;אלכס גאוסקין</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20241128</vt:lpwstr>
  </property>
  <property fmtid="{D5CDD505-2E9C-101B-9397-08002B2CF9AE}" pid="14" name="TYPE_N_DATE">
    <vt:lpwstr>39020241128</vt:lpwstr>
  </property>
  <property fmtid="{D5CDD505-2E9C-101B-9397-08002B2CF9AE}" pid="15" name="CASESLISTTMP1">
    <vt:lpwstr>29210123:3;30000599:5;25585562;21946424;17948154;161892;17929919;6070684;6887383;5955089</vt:lpwstr>
  </property>
  <property fmtid="{D5CDD505-2E9C-101B-9397-08002B2CF9AE}" pid="16" name="WORDNUMPAGES">
    <vt:lpwstr>11</vt:lpwstr>
  </property>
  <property fmtid="{D5CDD505-2E9C-101B-9397-08002B2CF9AE}" pid="17" name="TYPE_ABS_DATE">
    <vt:lpwstr>390020241128</vt:lpwstr>
  </property>
  <property fmtid="{D5CDD505-2E9C-101B-9397-08002B2CF9AE}" pid="18" name="ISABSTRACT">
    <vt:lpwstr>Y</vt:lpwstr>
  </property>
  <property fmtid="{D5CDD505-2E9C-101B-9397-08002B2CF9AE}" pid="19" name="LAWLISTTMP1">
    <vt:lpwstr>70301/456:2;144.b;144.a;431.1;291;025;144;454</vt:lpwstr>
  </property>
  <property fmtid="{D5CDD505-2E9C-101B-9397-08002B2CF9AE}" pid="20" name="LAWLISTTMP2">
    <vt:lpwstr>4216/007.a;007.c</vt:lpwstr>
  </property>
  <property fmtid="{D5CDD505-2E9C-101B-9397-08002B2CF9AE}" pid="21" name="LAWLISTTMP3">
    <vt:lpwstr>75015/052.b.2.a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