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B15416" w:rsidRPr="00D97486" w14:paraId="4B4AF082" w14:textId="77777777" w:rsidTr="00CD5BC3">
        <w:trPr>
          <w:gridAfter w:val="1"/>
          <w:wAfter w:w="99" w:type="dxa"/>
          <w:trHeight w:hRule="exact" w:val="418"/>
          <w:jc w:val="center"/>
        </w:trPr>
        <w:tc>
          <w:tcPr>
            <w:tcW w:w="8721" w:type="dxa"/>
            <w:gridSpan w:val="4"/>
          </w:tcPr>
          <w:p w14:paraId="686D7C6B" w14:textId="77777777" w:rsidR="00B15416" w:rsidRPr="00D97486" w:rsidRDefault="00B15416" w:rsidP="00401D42">
            <w:pPr>
              <w:pStyle w:val="a3"/>
              <w:jc w:val="center"/>
              <w:rPr>
                <w:rFonts w:ascii="Tahoma" w:hAnsi="Tahoma" w:cs="Tahoma"/>
                <w:color w:val="000080"/>
                <w:rtl/>
              </w:rPr>
            </w:pPr>
            <w:bookmarkStart w:id="0" w:name="LastJudge"/>
            <w:r w:rsidRPr="00D97486">
              <w:rPr>
                <w:rFonts w:ascii="Tahoma" w:hAnsi="Tahoma" w:cs="Tahoma"/>
                <w:b/>
                <w:bCs/>
                <w:color w:val="000080"/>
                <w:rtl/>
              </w:rPr>
              <w:t>בית המשפט המחוזי בירושלים</w:t>
            </w:r>
          </w:p>
        </w:tc>
      </w:tr>
      <w:tr w:rsidR="00B15416" w:rsidRPr="00D97486" w14:paraId="1F609C24" w14:textId="77777777" w:rsidTr="00CD5BC3">
        <w:trPr>
          <w:gridAfter w:val="1"/>
          <w:wAfter w:w="99" w:type="dxa"/>
          <w:trHeight w:val="337"/>
          <w:jc w:val="center"/>
        </w:trPr>
        <w:tc>
          <w:tcPr>
            <w:tcW w:w="5056" w:type="dxa"/>
            <w:gridSpan w:val="3"/>
          </w:tcPr>
          <w:p w14:paraId="14F98AB0" w14:textId="77777777" w:rsidR="00B15416" w:rsidRPr="00D97486" w:rsidRDefault="00B15416" w:rsidP="00401D42">
            <w:pPr>
              <w:rPr>
                <w:rFonts w:cs="FrankRuehl"/>
                <w:sz w:val="28"/>
                <w:szCs w:val="28"/>
                <w:rtl/>
              </w:rPr>
            </w:pPr>
            <w:r w:rsidRPr="00D97486">
              <w:rPr>
                <w:rFonts w:cs="FrankRuehl"/>
                <w:sz w:val="28"/>
                <w:szCs w:val="28"/>
                <w:rtl/>
              </w:rPr>
              <w:t>ת"פ</w:t>
            </w:r>
            <w:r w:rsidRPr="00D97486">
              <w:rPr>
                <w:rFonts w:cs="FrankRuehl" w:hint="cs"/>
                <w:sz w:val="28"/>
                <w:szCs w:val="28"/>
                <w:rtl/>
              </w:rPr>
              <w:t xml:space="preserve"> </w:t>
            </w:r>
            <w:r w:rsidRPr="00D97486">
              <w:rPr>
                <w:rFonts w:cs="FrankRuehl"/>
                <w:sz w:val="28"/>
                <w:szCs w:val="28"/>
                <w:rtl/>
              </w:rPr>
              <w:t>11734-06-22</w:t>
            </w:r>
            <w:r w:rsidRPr="00D97486">
              <w:rPr>
                <w:rFonts w:cs="FrankRuehl" w:hint="cs"/>
                <w:sz w:val="28"/>
                <w:szCs w:val="28"/>
                <w:rtl/>
              </w:rPr>
              <w:t xml:space="preserve"> </w:t>
            </w:r>
            <w:r w:rsidRPr="00D97486">
              <w:rPr>
                <w:rFonts w:cs="FrankRuehl"/>
                <w:sz w:val="28"/>
                <w:szCs w:val="28"/>
                <w:rtl/>
              </w:rPr>
              <w:t>מדינת ישראל נ' אבו נאב(עציר)</w:t>
            </w:r>
          </w:p>
          <w:p w14:paraId="444A4526" w14:textId="77777777" w:rsidR="00B15416" w:rsidRPr="00D97486" w:rsidRDefault="00B15416" w:rsidP="00401D42">
            <w:pPr>
              <w:pStyle w:val="a3"/>
              <w:rPr>
                <w:rFonts w:cs="FrankRuehl"/>
                <w:sz w:val="28"/>
                <w:szCs w:val="28"/>
                <w:rtl/>
              </w:rPr>
            </w:pPr>
          </w:p>
        </w:tc>
        <w:tc>
          <w:tcPr>
            <w:tcW w:w="3665" w:type="dxa"/>
          </w:tcPr>
          <w:p w14:paraId="704B9A05" w14:textId="77777777" w:rsidR="00B15416" w:rsidRPr="00D97486" w:rsidRDefault="00B15416" w:rsidP="00401D42">
            <w:pPr>
              <w:pStyle w:val="a3"/>
              <w:jc w:val="right"/>
              <w:rPr>
                <w:rFonts w:cs="FrankRuehl"/>
                <w:sz w:val="28"/>
                <w:szCs w:val="28"/>
                <w:rtl/>
              </w:rPr>
            </w:pPr>
          </w:p>
        </w:tc>
      </w:tr>
      <w:tr w:rsidR="00B15416" w:rsidRPr="00D97486" w14:paraId="2301D632" w14:textId="77777777" w:rsidTr="00CD5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852E153" w14:textId="77777777" w:rsidR="00B15416" w:rsidRPr="00D97486" w:rsidRDefault="00B15416" w:rsidP="00B15416">
            <w:pPr>
              <w:jc w:val="both"/>
              <w:rPr>
                <w:rFonts w:ascii="David" w:hAnsi="David"/>
                <w:sz w:val="26"/>
                <w:szCs w:val="26"/>
              </w:rPr>
            </w:pPr>
            <w:r w:rsidRPr="00D97486">
              <w:rPr>
                <w:rFonts w:hint="cs"/>
                <w:rtl/>
              </w:rPr>
              <w:t xml:space="preserve"> </w:t>
            </w:r>
            <w:r w:rsidRPr="00D9748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E9B1B98" w14:textId="77777777" w:rsidR="00B15416" w:rsidRPr="00D97486" w:rsidRDefault="00B15416" w:rsidP="00401D42">
            <w:pPr>
              <w:rPr>
                <w:rFonts w:ascii="David" w:hAnsi="David"/>
                <w:b/>
                <w:bCs/>
                <w:sz w:val="26"/>
                <w:szCs w:val="26"/>
                <w:rtl/>
              </w:rPr>
            </w:pPr>
            <w:r w:rsidRPr="00D97486">
              <w:rPr>
                <w:rFonts w:ascii="David" w:hAnsi="David"/>
                <w:b/>
                <w:bCs/>
                <w:sz w:val="26"/>
                <w:szCs w:val="26"/>
                <w:rtl/>
              </w:rPr>
              <w:t>כבוד השופט  אוהד גורדון</w:t>
            </w:r>
          </w:p>
          <w:p w14:paraId="1F7E8C62" w14:textId="77777777" w:rsidR="00B15416" w:rsidRPr="00D97486" w:rsidRDefault="00B15416" w:rsidP="00401D42">
            <w:pPr>
              <w:rPr>
                <w:rFonts w:ascii="David" w:hAnsi="David"/>
                <w:sz w:val="26"/>
                <w:szCs w:val="26"/>
                <w:rtl/>
              </w:rPr>
            </w:pPr>
          </w:p>
          <w:p w14:paraId="54DC504F" w14:textId="77777777" w:rsidR="00B15416" w:rsidRPr="00D97486" w:rsidRDefault="00B15416" w:rsidP="00B15416">
            <w:pPr>
              <w:jc w:val="both"/>
              <w:rPr>
                <w:rFonts w:ascii="David" w:hAnsi="David"/>
                <w:sz w:val="26"/>
                <w:szCs w:val="26"/>
              </w:rPr>
            </w:pPr>
          </w:p>
        </w:tc>
      </w:tr>
      <w:tr w:rsidR="00B15416" w:rsidRPr="00D97486" w14:paraId="627E15B4" w14:textId="77777777" w:rsidTr="00CD5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82FA6F" w14:textId="77777777" w:rsidR="00B15416" w:rsidRPr="00D97486" w:rsidRDefault="00B15416" w:rsidP="00B15416">
            <w:pPr>
              <w:jc w:val="both"/>
              <w:rPr>
                <w:rFonts w:ascii="David" w:hAnsi="David"/>
                <w:sz w:val="26"/>
                <w:szCs w:val="26"/>
              </w:rPr>
            </w:pPr>
            <w:bookmarkStart w:id="1" w:name="FirstAppellant"/>
            <w:r w:rsidRPr="00D97486">
              <w:rPr>
                <w:rFonts w:ascii="David" w:hAnsi="David"/>
                <w:sz w:val="26"/>
                <w:szCs w:val="26"/>
                <w:rtl/>
              </w:rPr>
              <w:t>בעניין:</w:t>
            </w:r>
          </w:p>
        </w:tc>
        <w:tc>
          <w:tcPr>
            <w:tcW w:w="3219" w:type="dxa"/>
            <w:tcBorders>
              <w:top w:val="nil"/>
              <w:left w:val="nil"/>
              <w:bottom w:val="nil"/>
              <w:right w:val="nil"/>
            </w:tcBorders>
            <w:shd w:val="clear" w:color="auto" w:fill="auto"/>
          </w:tcPr>
          <w:p w14:paraId="73CE25A0" w14:textId="77777777" w:rsidR="00B15416" w:rsidRPr="00D97486" w:rsidRDefault="00B15416" w:rsidP="00B15416">
            <w:pPr>
              <w:suppressLineNumbers/>
            </w:pPr>
            <w:r w:rsidRPr="00D97486">
              <w:rPr>
                <w:rFonts w:ascii="Arial" w:hAnsi="Arial" w:hint="cs"/>
                <w:b/>
                <w:bCs/>
                <w:sz w:val="26"/>
                <w:szCs w:val="26"/>
                <w:rtl/>
              </w:rPr>
              <w:t>ה</w:t>
            </w:r>
            <w:r w:rsidRPr="00D97486">
              <w:rPr>
                <w:rFonts w:ascii="Arial" w:hAnsi="Arial"/>
                <w:b/>
                <w:bCs/>
                <w:sz w:val="26"/>
                <w:szCs w:val="26"/>
                <w:rtl/>
              </w:rPr>
              <w:t>מאשימה</w:t>
            </w:r>
          </w:p>
          <w:p w14:paraId="468658E5" w14:textId="77777777" w:rsidR="00B15416" w:rsidRPr="00D97486" w:rsidRDefault="00B15416" w:rsidP="00401D4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B0D2714" w14:textId="77777777" w:rsidR="00B15416" w:rsidRPr="00D97486" w:rsidRDefault="00B15416" w:rsidP="00B15416">
            <w:pPr>
              <w:suppressLineNumbers/>
              <w:rPr>
                <w:rFonts w:ascii="Arial" w:hAnsi="Arial"/>
                <w:b/>
                <w:bCs/>
                <w:sz w:val="26"/>
                <w:szCs w:val="26"/>
                <w:rtl/>
              </w:rPr>
            </w:pPr>
            <w:r w:rsidRPr="00D97486">
              <w:rPr>
                <w:rFonts w:ascii="Arial" w:hAnsi="Arial"/>
                <w:b/>
                <w:bCs/>
                <w:sz w:val="26"/>
                <w:szCs w:val="26"/>
                <w:rtl/>
              </w:rPr>
              <w:t>מדינת ישראל</w:t>
            </w:r>
            <w:r w:rsidRPr="00D97486">
              <w:rPr>
                <w:rFonts w:ascii="Arial" w:hAnsi="Arial" w:hint="cs"/>
                <w:b/>
                <w:bCs/>
                <w:sz w:val="26"/>
                <w:szCs w:val="26"/>
                <w:rtl/>
              </w:rPr>
              <w:t xml:space="preserve"> </w:t>
            </w:r>
          </w:p>
          <w:p w14:paraId="32A0F498" w14:textId="77777777" w:rsidR="00B15416" w:rsidRPr="00D97486" w:rsidRDefault="00B15416" w:rsidP="00B15416">
            <w:pPr>
              <w:suppressLineNumbers/>
              <w:rPr>
                <w:b/>
                <w:bCs/>
              </w:rPr>
            </w:pPr>
            <w:r w:rsidRPr="00D97486">
              <w:rPr>
                <w:rFonts w:ascii="Arial" w:hAnsi="Arial"/>
                <w:b/>
                <w:bCs/>
                <w:rtl/>
              </w:rPr>
              <w:t xml:space="preserve">ע"י </w:t>
            </w:r>
            <w:r w:rsidRPr="00D97486">
              <w:rPr>
                <w:rFonts w:ascii="Arial" w:hAnsi="Arial" w:hint="cs"/>
                <w:b/>
                <w:bCs/>
                <w:rtl/>
              </w:rPr>
              <w:t xml:space="preserve">פרקליטות מחוז ירושלים - </w:t>
            </w:r>
            <w:r w:rsidRPr="00D97486">
              <w:rPr>
                <w:rFonts w:ascii="Arial" w:hAnsi="Arial"/>
                <w:b/>
                <w:bCs/>
                <w:rtl/>
              </w:rPr>
              <w:t>עו"ד</w:t>
            </w:r>
            <w:r w:rsidRPr="00D97486">
              <w:rPr>
                <w:rFonts w:hint="cs"/>
                <w:b/>
                <w:bCs/>
                <w:rtl/>
              </w:rPr>
              <w:t xml:space="preserve"> ס' מרדכי</w:t>
            </w:r>
          </w:p>
          <w:p w14:paraId="63D44C40" w14:textId="77777777" w:rsidR="00B15416" w:rsidRPr="00D97486" w:rsidRDefault="00B15416" w:rsidP="00401D42">
            <w:pPr>
              <w:rPr>
                <w:rFonts w:ascii="David" w:hAnsi="David"/>
                <w:sz w:val="26"/>
                <w:szCs w:val="26"/>
              </w:rPr>
            </w:pPr>
          </w:p>
        </w:tc>
      </w:tr>
      <w:bookmarkEnd w:id="1"/>
      <w:tr w:rsidR="00B15416" w:rsidRPr="00D97486" w14:paraId="603FE568" w14:textId="77777777" w:rsidTr="00CD5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138E28" w14:textId="77777777" w:rsidR="00B15416" w:rsidRPr="00D97486" w:rsidRDefault="00B15416" w:rsidP="00B1541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B41605B" w14:textId="77777777" w:rsidR="00B15416" w:rsidRPr="00D97486" w:rsidRDefault="00B15416" w:rsidP="00B15416">
            <w:pPr>
              <w:jc w:val="center"/>
              <w:rPr>
                <w:rFonts w:ascii="David" w:hAnsi="David"/>
                <w:b/>
                <w:bCs/>
                <w:sz w:val="26"/>
                <w:szCs w:val="26"/>
                <w:rtl/>
              </w:rPr>
            </w:pPr>
          </w:p>
          <w:p w14:paraId="161A7C5F" w14:textId="77777777" w:rsidR="00B15416" w:rsidRPr="00D97486" w:rsidRDefault="00B15416" w:rsidP="00B15416">
            <w:pPr>
              <w:jc w:val="center"/>
              <w:rPr>
                <w:rFonts w:ascii="David" w:hAnsi="David"/>
                <w:b/>
                <w:bCs/>
                <w:sz w:val="26"/>
                <w:szCs w:val="26"/>
                <w:rtl/>
              </w:rPr>
            </w:pPr>
            <w:r w:rsidRPr="00D97486">
              <w:rPr>
                <w:rFonts w:ascii="David" w:hAnsi="David"/>
                <w:b/>
                <w:bCs/>
                <w:sz w:val="26"/>
                <w:szCs w:val="26"/>
                <w:rtl/>
              </w:rPr>
              <w:t>נגד</w:t>
            </w:r>
          </w:p>
          <w:p w14:paraId="1121FEFD" w14:textId="77777777" w:rsidR="00B15416" w:rsidRPr="00D97486" w:rsidRDefault="00B15416" w:rsidP="00B15416">
            <w:pPr>
              <w:jc w:val="both"/>
              <w:rPr>
                <w:rFonts w:ascii="David" w:hAnsi="David"/>
                <w:sz w:val="26"/>
                <w:szCs w:val="26"/>
              </w:rPr>
            </w:pPr>
          </w:p>
        </w:tc>
      </w:tr>
      <w:tr w:rsidR="00B15416" w:rsidRPr="00D97486" w14:paraId="7C6FF115" w14:textId="77777777" w:rsidTr="00CD5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50BB26" w14:textId="77777777" w:rsidR="00B15416" w:rsidRPr="00D97486" w:rsidRDefault="00B15416" w:rsidP="00401D42">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A2857A7" w14:textId="77777777" w:rsidR="00B15416" w:rsidRPr="00D97486" w:rsidRDefault="00B15416" w:rsidP="00401D42">
            <w:pPr>
              <w:rPr>
                <w:rFonts w:ascii="Arial" w:hAnsi="Arial"/>
                <w:b/>
                <w:bCs/>
                <w:sz w:val="26"/>
                <w:szCs w:val="26"/>
                <w:rtl/>
              </w:rPr>
            </w:pPr>
            <w:r w:rsidRPr="00D9748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8B77A03" w14:textId="77777777" w:rsidR="00B15416" w:rsidRPr="00D97486" w:rsidRDefault="00B15416" w:rsidP="00B15416">
            <w:pPr>
              <w:suppressLineNumbers/>
              <w:rPr>
                <w:rFonts w:ascii="Arial" w:hAnsi="Arial"/>
                <w:b/>
                <w:bCs/>
                <w:sz w:val="26"/>
                <w:szCs w:val="26"/>
                <w:rtl/>
              </w:rPr>
            </w:pPr>
            <w:r w:rsidRPr="00D97486">
              <w:rPr>
                <w:rFonts w:ascii="Arial" w:hAnsi="Arial"/>
                <w:b/>
                <w:bCs/>
                <w:sz w:val="26"/>
                <w:szCs w:val="26"/>
                <w:rtl/>
              </w:rPr>
              <w:t>מחמוד אבו נאב (עציר)</w:t>
            </w:r>
            <w:r w:rsidRPr="00D97486">
              <w:rPr>
                <w:rFonts w:ascii="Arial" w:hAnsi="Arial" w:hint="cs"/>
                <w:b/>
                <w:bCs/>
                <w:sz w:val="26"/>
                <w:szCs w:val="26"/>
                <w:rtl/>
              </w:rPr>
              <w:t xml:space="preserve"> </w:t>
            </w:r>
          </w:p>
          <w:p w14:paraId="01D07E7D" w14:textId="77777777" w:rsidR="00B15416" w:rsidRPr="00D97486" w:rsidRDefault="00B15416" w:rsidP="00B15416">
            <w:pPr>
              <w:suppressLineNumbers/>
            </w:pPr>
            <w:r w:rsidRPr="00D97486">
              <w:rPr>
                <w:rFonts w:ascii="Arial" w:hAnsi="Arial"/>
                <w:b/>
                <w:bCs/>
                <w:rtl/>
              </w:rPr>
              <w:t>ע"י ב"כ עו"ד</w:t>
            </w:r>
            <w:r w:rsidRPr="00D97486">
              <w:rPr>
                <w:rFonts w:ascii="Arial" w:hAnsi="Arial" w:hint="cs"/>
                <w:b/>
                <w:bCs/>
                <w:rtl/>
              </w:rPr>
              <w:t xml:space="preserve"> מ' מחמוד</w:t>
            </w:r>
          </w:p>
          <w:p w14:paraId="36913A22" w14:textId="77777777" w:rsidR="00B15416" w:rsidRPr="00D97486" w:rsidRDefault="00B15416" w:rsidP="00401D42">
            <w:pPr>
              <w:rPr>
                <w:rFonts w:ascii="David" w:hAnsi="David"/>
                <w:sz w:val="26"/>
                <w:szCs w:val="26"/>
              </w:rPr>
            </w:pPr>
          </w:p>
        </w:tc>
      </w:tr>
      <w:bookmarkEnd w:id="2"/>
    </w:tbl>
    <w:p w14:paraId="6D80B574" w14:textId="77777777" w:rsidR="00CD5BC3" w:rsidRDefault="00CD5BC3" w:rsidP="00D97486">
      <w:pPr>
        <w:rPr>
          <w:sz w:val="26"/>
          <w:szCs w:val="26"/>
          <w:rtl/>
        </w:rPr>
      </w:pPr>
    </w:p>
    <w:p w14:paraId="7DBE02AC" w14:textId="77777777" w:rsidR="00CD5BC3" w:rsidRPr="00CD5BC3" w:rsidRDefault="00CD5BC3" w:rsidP="00CD5BC3">
      <w:pPr>
        <w:spacing w:after="120" w:line="240" w:lineRule="exact"/>
        <w:ind w:left="283" w:hanging="283"/>
        <w:jc w:val="both"/>
        <w:rPr>
          <w:rFonts w:ascii="FrankRuehl" w:hAnsi="FrankRuehl" w:cs="FrankRuehl"/>
          <w:rtl/>
        </w:rPr>
      </w:pPr>
    </w:p>
    <w:p w14:paraId="7D797119" w14:textId="77777777" w:rsidR="009E4BB3" w:rsidRPr="009E4BB3" w:rsidRDefault="009E4BB3" w:rsidP="009E4BB3">
      <w:pPr>
        <w:spacing w:before="120" w:after="120" w:line="240" w:lineRule="exact"/>
        <w:ind w:left="283" w:hanging="283"/>
        <w:jc w:val="both"/>
        <w:rPr>
          <w:rFonts w:ascii="FrankRuehl" w:hAnsi="FrankRuehl" w:cs="FrankRuehl"/>
          <w:rtl/>
        </w:rPr>
      </w:pPr>
    </w:p>
    <w:p w14:paraId="36F4CC96" w14:textId="77777777" w:rsidR="009D4DF1" w:rsidRDefault="009D4DF1" w:rsidP="009D4DF1">
      <w:pPr>
        <w:rPr>
          <w:sz w:val="26"/>
          <w:szCs w:val="26"/>
          <w:rtl/>
        </w:rPr>
      </w:pPr>
      <w:bookmarkStart w:id="3" w:name="LawTable"/>
      <w:bookmarkEnd w:id="3"/>
    </w:p>
    <w:p w14:paraId="68595DBF" w14:textId="77777777" w:rsidR="009D4DF1" w:rsidRPr="009D4DF1" w:rsidRDefault="009D4DF1" w:rsidP="009D4DF1">
      <w:pPr>
        <w:spacing w:before="120" w:after="120" w:line="240" w:lineRule="exact"/>
        <w:ind w:left="283" w:hanging="283"/>
        <w:jc w:val="both"/>
        <w:rPr>
          <w:rFonts w:ascii="FrankRuehl" w:hAnsi="FrankRuehl" w:cs="FrankRuehl"/>
          <w:rtl/>
        </w:rPr>
      </w:pPr>
    </w:p>
    <w:p w14:paraId="476E5EA0" w14:textId="77777777" w:rsidR="009D4DF1" w:rsidRPr="009D4DF1" w:rsidRDefault="009D4DF1" w:rsidP="009D4DF1">
      <w:pPr>
        <w:spacing w:before="120" w:after="120" w:line="240" w:lineRule="exact"/>
        <w:ind w:left="283" w:hanging="283"/>
        <w:jc w:val="both"/>
        <w:rPr>
          <w:rFonts w:ascii="FrankRuehl" w:hAnsi="FrankRuehl" w:cs="FrankRuehl"/>
          <w:rtl/>
        </w:rPr>
      </w:pPr>
    </w:p>
    <w:p w14:paraId="7030EBBA" w14:textId="77777777" w:rsidR="009D4DF1" w:rsidRPr="009D4DF1" w:rsidRDefault="009D4DF1" w:rsidP="009D4DF1">
      <w:pPr>
        <w:spacing w:before="120" w:after="120" w:line="240" w:lineRule="exact"/>
        <w:ind w:left="283" w:hanging="283"/>
        <w:jc w:val="both"/>
        <w:rPr>
          <w:rFonts w:ascii="FrankRuehl" w:hAnsi="FrankRuehl" w:cs="FrankRuehl"/>
          <w:rtl/>
        </w:rPr>
      </w:pPr>
      <w:r w:rsidRPr="009D4DF1">
        <w:rPr>
          <w:rFonts w:ascii="FrankRuehl" w:hAnsi="FrankRuehl" w:cs="FrankRuehl"/>
          <w:rtl/>
        </w:rPr>
        <w:t xml:space="preserve">חקיקה שאוזכרה: </w:t>
      </w:r>
    </w:p>
    <w:p w14:paraId="1FD022FA" w14:textId="77777777" w:rsidR="009D4DF1" w:rsidRPr="009D4DF1" w:rsidRDefault="009D4DF1" w:rsidP="009D4DF1">
      <w:pPr>
        <w:spacing w:before="120" w:after="120" w:line="240" w:lineRule="exact"/>
        <w:ind w:left="283" w:hanging="283"/>
        <w:jc w:val="both"/>
        <w:rPr>
          <w:rFonts w:ascii="FrankRuehl" w:hAnsi="FrankRuehl" w:cs="FrankRuehl"/>
          <w:rtl/>
        </w:rPr>
      </w:pPr>
      <w:hyperlink r:id="rId7" w:history="1">
        <w:r w:rsidRPr="009D4DF1">
          <w:rPr>
            <w:rFonts w:ascii="FrankRuehl" w:hAnsi="FrankRuehl" w:cs="FrankRuehl"/>
            <w:color w:val="0000FF"/>
            <w:rtl/>
          </w:rPr>
          <w:t>חוק העונשין, תשל"ז-1977</w:t>
        </w:r>
      </w:hyperlink>
      <w:r w:rsidRPr="009D4DF1">
        <w:rPr>
          <w:rFonts w:ascii="FrankRuehl" w:hAnsi="FrankRuehl" w:cs="FrankRuehl"/>
          <w:rtl/>
        </w:rPr>
        <w:t xml:space="preserve">: סע'  </w:t>
      </w:r>
      <w:hyperlink r:id="rId8" w:history="1">
        <w:r w:rsidRPr="009D4DF1">
          <w:rPr>
            <w:rFonts w:ascii="FrankRuehl" w:hAnsi="FrankRuehl" w:cs="FrankRuehl"/>
            <w:color w:val="0000FF"/>
            <w:rtl/>
          </w:rPr>
          <w:t>25</w:t>
        </w:r>
      </w:hyperlink>
      <w:r w:rsidRPr="009D4DF1">
        <w:rPr>
          <w:rFonts w:ascii="FrankRuehl" w:hAnsi="FrankRuehl" w:cs="FrankRuehl"/>
          <w:rtl/>
        </w:rPr>
        <w:t xml:space="preserve">, </w:t>
      </w:r>
      <w:hyperlink r:id="rId9" w:history="1">
        <w:r w:rsidRPr="009D4DF1">
          <w:rPr>
            <w:rFonts w:ascii="FrankRuehl" w:hAnsi="FrankRuehl" w:cs="FrankRuehl"/>
            <w:color w:val="0000FF"/>
            <w:rtl/>
          </w:rPr>
          <w:t>144(ב)</w:t>
        </w:r>
      </w:hyperlink>
      <w:r w:rsidRPr="009D4DF1">
        <w:rPr>
          <w:rFonts w:ascii="FrankRuehl" w:hAnsi="FrankRuehl" w:cs="FrankRuehl"/>
          <w:rtl/>
        </w:rPr>
        <w:t xml:space="preserve">, </w:t>
      </w:r>
      <w:hyperlink r:id="rId10" w:history="1">
        <w:r w:rsidRPr="009D4DF1">
          <w:rPr>
            <w:rFonts w:ascii="FrankRuehl" w:hAnsi="FrankRuehl" w:cs="FrankRuehl"/>
            <w:color w:val="0000FF"/>
            <w:rtl/>
          </w:rPr>
          <w:t>152</w:t>
        </w:r>
      </w:hyperlink>
      <w:r w:rsidRPr="009D4DF1">
        <w:rPr>
          <w:rFonts w:ascii="FrankRuehl" w:hAnsi="FrankRuehl" w:cs="FrankRuehl"/>
          <w:rtl/>
        </w:rPr>
        <w:t xml:space="preserve">, </w:t>
      </w:r>
      <w:hyperlink r:id="rId11" w:history="1">
        <w:r w:rsidRPr="009D4DF1">
          <w:rPr>
            <w:rFonts w:ascii="FrankRuehl" w:hAnsi="FrankRuehl" w:cs="FrankRuehl"/>
            <w:color w:val="0000FF"/>
            <w:rtl/>
          </w:rPr>
          <w:t>186(א)</w:t>
        </w:r>
      </w:hyperlink>
      <w:r w:rsidRPr="009D4DF1">
        <w:rPr>
          <w:rFonts w:ascii="FrankRuehl" w:hAnsi="FrankRuehl" w:cs="FrankRuehl"/>
          <w:rtl/>
        </w:rPr>
        <w:t xml:space="preserve">, </w:t>
      </w:r>
      <w:hyperlink r:id="rId12" w:history="1">
        <w:r w:rsidRPr="009D4DF1">
          <w:rPr>
            <w:rFonts w:ascii="FrankRuehl" w:hAnsi="FrankRuehl" w:cs="FrankRuehl"/>
            <w:color w:val="0000FF"/>
            <w:rtl/>
          </w:rPr>
          <w:t>274.1.</w:t>
        </w:r>
      </w:hyperlink>
      <w:r w:rsidRPr="009D4DF1">
        <w:rPr>
          <w:rFonts w:ascii="FrankRuehl" w:hAnsi="FrankRuehl" w:cs="FrankRuehl"/>
          <w:rtl/>
        </w:rPr>
        <w:t xml:space="preserve">, </w:t>
      </w:r>
      <w:hyperlink r:id="rId13" w:history="1">
        <w:r w:rsidRPr="009D4DF1">
          <w:rPr>
            <w:rFonts w:ascii="FrankRuehl" w:hAnsi="FrankRuehl" w:cs="FrankRuehl"/>
            <w:color w:val="0000FF"/>
            <w:rtl/>
          </w:rPr>
          <w:t>274.2.</w:t>
        </w:r>
      </w:hyperlink>
      <w:r w:rsidRPr="009D4DF1">
        <w:rPr>
          <w:rFonts w:ascii="FrankRuehl" w:hAnsi="FrankRuehl" w:cs="FrankRuehl"/>
          <w:rtl/>
        </w:rPr>
        <w:t xml:space="preserve">, </w:t>
      </w:r>
      <w:hyperlink r:id="rId14" w:history="1">
        <w:r w:rsidRPr="009D4DF1">
          <w:rPr>
            <w:rFonts w:ascii="FrankRuehl" w:hAnsi="FrankRuehl" w:cs="FrankRuehl"/>
            <w:color w:val="0000FF"/>
            <w:rtl/>
          </w:rPr>
          <w:t>274.3</w:t>
        </w:r>
      </w:hyperlink>
      <w:r w:rsidRPr="009D4DF1">
        <w:rPr>
          <w:rFonts w:ascii="FrankRuehl" w:hAnsi="FrankRuehl" w:cs="FrankRuehl"/>
          <w:rtl/>
        </w:rPr>
        <w:t xml:space="preserve">, </w:t>
      </w:r>
      <w:hyperlink r:id="rId15" w:history="1">
        <w:r w:rsidRPr="009D4DF1">
          <w:rPr>
            <w:rFonts w:ascii="FrankRuehl" w:hAnsi="FrankRuehl" w:cs="FrankRuehl"/>
            <w:color w:val="0000FF"/>
            <w:rtl/>
          </w:rPr>
          <w:t>275א</w:t>
        </w:r>
      </w:hyperlink>
      <w:r w:rsidRPr="009D4DF1">
        <w:rPr>
          <w:rFonts w:ascii="FrankRuehl" w:hAnsi="FrankRuehl" w:cs="FrankRuehl"/>
          <w:rtl/>
        </w:rPr>
        <w:t xml:space="preserve">, </w:t>
      </w:r>
      <w:hyperlink r:id="rId16" w:history="1">
        <w:r w:rsidRPr="009D4DF1">
          <w:rPr>
            <w:rFonts w:ascii="FrankRuehl" w:hAnsi="FrankRuehl" w:cs="FrankRuehl"/>
            <w:color w:val="0000FF"/>
            <w:rtl/>
          </w:rPr>
          <w:t>40יג(א)</w:t>
        </w:r>
      </w:hyperlink>
      <w:r w:rsidRPr="009D4DF1">
        <w:rPr>
          <w:rFonts w:ascii="FrankRuehl" w:hAnsi="FrankRuehl" w:cs="FrankRuehl"/>
          <w:rtl/>
        </w:rPr>
        <w:t xml:space="preserve">, </w:t>
      </w:r>
      <w:hyperlink r:id="rId17" w:history="1">
        <w:r w:rsidRPr="009D4DF1">
          <w:rPr>
            <w:rFonts w:ascii="FrankRuehl" w:hAnsi="FrankRuehl" w:cs="FrankRuehl"/>
            <w:color w:val="0000FF"/>
            <w:rtl/>
          </w:rPr>
          <w:t>448(א)</w:t>
        </w:r>
      </w:hyperlink>
    </w:p>
    <w:p w14:paraId="0EDA9396" w14:textId="77777777" w:rsidR="009D4DF1" w:rsidRPr="009D4DF1" w:rsidRDefault="009D4DF1" w:rsidP="009D4DF1">
      <w:pPr>
        <w:spacing w:before="120" w:after="120" w:line="240" w:lineRule="exact"/>
        <w:ind w:left="283" w:hanging="283"/>
        <w:jc w:val="both"/>
        <w:rPr>
          <w:rFonts w:ascii="FrankRuehl" w:hAnsi="FrankRuehl" w:cs="FrankRuehl"/>
          <w:rtl/>
        </w:rPr>
      </w:pPr>
      <w:hyperlink r:id="rId18" w:history="1">
        <w:r w:rsidRPr="009D4DF1">
          <w:rPr>
            <w:rFonts w:ascii="FrankRuehl" w:hAnsi="FrankRuehl" w:cs="FrankRuehl"/>
            <w:color w:val="0000FF"/>
            <w:rtl/>
          </w:rPr>
          <w:t>חוק למניעת הסתננות (עבירות ושיפוט), תשי"ד-1954</w:t>
        </w:r>
      </w:hyperlink>
      <w:r w:rsidRPr="009D4DF1">
        <w:rPr>
          <w:rFonts w:ascii="FrankRuehl" w:hAnsi="FrankRuehl" w:cs="FrankRuehl"/>
          <w:rtl/>
        </w:rPr>
        <w:t xml:space="preserve">: סע'  </w:t>
      </w:r>
      <w:hyperlink r:id="rId19" w:history="1">
        <w:r w:rsidRPr="009D4DF1">
          <w:rPr>
            <w:rFonts w:ascii="FrankRuehl" w:hAnsi="FrankRuehl" w:cs="FrankRuehl"/>
            <w:color w:val="0000FF"/>
            <w:rtl/>
          </w:rPr>
          <w:t>2א</w:t>
        </w:r>
      </w:hyperlink>
    </w:p>
    <w:p w14:paraId="725C8EE5" w14:textId="77777777" w:rsidR="009D4DF1" w:rsidRPr="009D4DF1" w:rsidRDefault="009D4DF1" w:rsidP="009D4DF1">
      <w:pPr>
        <w:rPr>
          <w:sz w:val="26"/>
          <w:szCs w:val="26"/>
          <w:rtl/>
        </w:rPr>
      </w:pPr>
      <w:bookmarkStart w:id="4" w:name="LawTable_End"/>
      <w:bookmarkEnd w:id="4"/>
    </w:p>
    <w:p w14:paraId="63E2EA3D" w14:textId="77777777" w:rsidR="00B15416" w:rsidRPr="009E4BB3" w:rsidRDefault="00B15416" w:rsidP="009E4BB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5416" w14:paraId="6E3BFA2B" w14:textId="77777777" w:rsidTr="00B15416">
        <w:trPr>
          <w:trHeight w:val="355"/>
          <w:jc w:val="center"/>
        </w:trPr>
        <w:tc>
          <w:tcPr>
            <w:tcW w:w="8820" w:type="dxa"/>
            <w:tcBorders>
              <w:top w:val="nil"/>
              <w:left w:val="nil"/>
              <w:bottom w:val="nil"/>
              <w:right w:val="nil"/>
            </w:tcBorders>
            <w:shd w:val="clear" w:color="auto" w:fill="auto"/>
          </w:tcPr>
          <w:p w14:paraId="13411A87" w14:textId="77777777" w:rsidR="00D97486" w:rsidRPr="00D97486" w:rsidRDefault="00D97486" w:rsidP="00D97486">
            <w:pPr>
              <w:jc w:val="center"/>
              <w:rPr>
                <w:rFonts w:ascii="David" w:hAnsi="David"/>
                <w:b/>
                <w:bCs/>
                <w:sz w:val="32"/>
                <w:szCs w:val="32"/>
                <w:u w:val="single"/>
                <w:rtl/>
              </w:rPr>
            </w:pPr>
            <w:bookmarkStart w:id="5" w:name="PsakDin" w:colFirst="0" w:colLast="0"/>
            <w:bookmarkEnd w:id="0"/>
            <w:r w:rsidRPr="00D97486">
              <w:rPr>
                <w:rFonts w:ascii="David" w:hAnsi="David"/>
                <w:b/>
                <w:bCs/>
                <w:sz w:val="32"/>
                <w:szCs w:val="32"/>
                <w:u w:val="single"/>
                <w:rtl/>
              </w:rPr>
              <w:t>גזר דין</w:t>
            </w:r>
          </w:p>
          <w:p w14:paraId="43A363E4" w14:textId="77777777" w:rsidR="00B15416" w:rsidRPr="00D97486" w:rsidRDefault="00B15416" w:rsidP="00D97486">
            <w:pPr>
              <w:jc w:val="center"/>
              <w:rPr>
                <w:rFonts w:ascii="David" w:hAnsi="David"/>
                <w:bCs/>
                <w:sz w:val="32"/>
                <w:szCs w:val="32"/>
                <w:u w:val="single"/>
                <w:rtl/>
              </w:rPr>
            </w:pPr>
          </w:p>
        </w:tc>
      </w:tr>
      <w:bookmarkEnd w:id="5"/>
    </w:tbl>
    <w:p w14:paraId="0DF92362" w14:textId="77777777" w:rsidR="00B15416" w:rsidRPr="000F2247" w:rsidRDefault="00B15416" w:rsidP="00B15416">
      <w:pPr>
        <w:rPr>
          <w:rFonts w:ascii="Arial" w:hAnsi="Arial"/>
          <w:b/>
          <w:bCs/>
          <w:sz w:val="26"/>
          <w:szCs w:val="26"/>
          <w:rtl/>
        </w:rPr>
      </w:pPr>
    </w:p>
    <w:p w14:paraId="29CF1F79" w14:textId="77777777" w:rsidR="00B15416" w:rsidRPr="00F84982" w:rsidRDefault="00B15416" w:rsidP="00B15416">
      <w:pPr>
        <w:spacing w:before="120" w:after="120" w:line="360" w:lineRule="auto"/>
        <w:jc w:val="both"/>
        <w:rPr>
          <w:rFonts w:ascii="David" w:hAnsi="David"/>
          <w:b/>
          <w:bCs/>
        </w:rPr>
      </w:pPr>
      <w:r w:rsidRPr="00F84982">
        <w:rPr>
          <w:rFonts w:ascii="David" w:hAnsi="David"/>
          <w:b/>
          <w:bCs/>
          <w:rtl/>
        </w:rPr>
        <w:t>רקע</w:t>
      </w:r>
    </w:p>
    <w:p w14:paraId="09F739A1"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bookmarkStart w:id="6" w:name="ABSTRACT_START"/>
      <w:bookmarkEnd w:id="6"/>
      <w:r w:rsidRPr="00F84982">
        <w:rPr>
          <w:rFonts w:ascii="David" w:hAnsi="David" w:cs="David"/>
          <w:sz w:val="24"/>
          <w:szCs w:val="24"/>
          <w:rtl/>
        </w:rPr>
        <w:t>ביום 14.12.22 הורשע הנאשם, על פי הודאתו</w:t>
      </w:r>
      <w:r>
        <w:rPr>
          <w:rFonts w:ascii="David" w:hAnsi="David" w:cs="David" w:hint="cs"/>
          <w:sz w:val="24"/>
          <w:szCs w:val="24"/>
          <w:rtl/>
        </w:rPr>
        <w:t>,</w:t>
      </w:r>
      <w:r w:rsidRPr="00F84982">
        <w:rPr>
          <w:rFonts w:ascii="David" w:hAnsi="David" w:cs="David"/>
          <w:sz w:val="24"/>
          <w:szCs w:val="24"/>
          <w:rtl/>
        </w:rPr>
        <w:t xml:space="preserve"> בכתב אישום שתוקן במסגרת הסדר טיעון. כתב האישום כולל חמישה אישומים.</w:t>
      </w:r>
    </w:p>
    <w:p w14:paraId="6C6A92B4"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לפי העובדות בהן הורשע הנאשם, החל מיום 2.4.22, במהלך חודש הרמדאן 2022, התרחשו באזור הר הבית והעיר העתיקה בירושלים אירועי הפרות סדר, התפרעויות ותקיפות שכללו פגיעה בכוחות הביטחון ובאזרחים וזאת על רקע לאומי וגזעני.  </w:t>
      </w:r>
    </w:p>
    <w:p w14:paraId="4F8AEC97" w14:textId="77777777" w:rsidR="00B15416"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bookmarkStart w:id="7" w:name="ABSTRACT_END"/>
      <w:bookmarkEnd w:id="7"/>
      <w:r w:rsidRPr="00F84982">
        <w:rPr>
          <w:rFonts w:ascii="Miriam" w:hAnsi="Miriam" w:cs="Miriam"/>
          <w:sz w:val="24"/>
          <w:szCs w:val="24"/>
          <w:rtl/>
        </w:rPr>
        <w:t>לפי האישום הראשון</w:t>
      </w:r>
      <w:r w:rsidRPr="00F84982">
        <w:rPr>
          <w:rFonts w:ascii="David" w:hAnsi="David" w:cs="David"/>
          <w:sz w:val="24"/>
          <w:szCs w:val="24"/>
          <w:rtl/>
        </w:rPr>
        <w:t>, ביום 5.5.22, בו חל יום העצמאות והסתיי</w:t>
      </w:r>
      <w:r>
        <w:rPr>
          <w:rFonts w:ascii="David" w:hAnsi="David" w:cs="David" w:hint="cs"/>
          <w:sz w:val="24"/>
          <w:szCs w:val="24"/>
          <w:rtl/>
        </w:rPr>
        <w:t xml:space="preserve">ם </w:t>
      </w:r>
      <w:r w:rsidRPr="00F84982">
        <w:rPr>
          <w:rFonts w:ascii="David" w:hAnsi="David" w:cs="David"/>
          <w:sz w:val="24"/>
          <w:szCs w:val="24"/>
          <w:rtl/>
        </w:rPr>
        <w:t>עיד אל פיטר, אישרה המשטרה ליהודים לבקר בהר הבית</w:t>
      </w:r>
      <w:r>
        <w:rPr>
          <w:rFonts w:ascii="David" w:hAnsi="David" w:cs="David" w:hint="cs"/>
          <w:sz w:val="24"/>
          <w:szCs w:val="24"/>
          <w:rtl/>
        </w:rPr>
        <w:t>,</w:t>
      </w:r>
      <w:r w:rsidRPr="00F84982">
        <w:rPr>
          <w:rFonts w:ascii="David" w:hAnsi="David" w:cs="David"/>
          <w:sz w:val="24"/>
          <w:szCs w:val="24"/>
          <w:rtl/>
        </w:rPr>
        <w:t xml:space="preserve"> בין </w:t>
      </w:r>
      <w:r>
        <w:rPr>
          <w:rFonts w:ascii="David" w:hAnsi="David" w:cs="David" w:hint="cs"/>
          <w:sz w:val="24"/>
          <w:szCs w:val="24"/>
          <w:rtl/>
        </w:rPr>
        <w:t xml:space="preserve">היתר </w:t>
      </w:r>
      <w:r w:rsidRPr="00F84982">
        <w:rPr>
          <w:rFonts w:ascii="David" w:hAnsi="David" w:cs="David"/>
          <w:sz w:val="24"/>
          <w:szCs w:val="24"/>
          <w:rtl/>
        </w:rPr>
        <w:t xml:space="preserve">בין השעות 07:00-11:00. מסלול הביקורים כלל מעבר ברחבה אשר לפני מסגד אל-אקצא. בשל ביקורים, ובהמשך לאמור </w:t>
      </w:r>
      <w:r>
        <w:rPr>
          <w:rFonts w:ascii="David" w:hAnsi="David" w:cs="David" w:hint="cs"/>
          <w:sz w:val="24"/>
          <w:szCs w:val="24"/>
          <w:rtl/>
        </w:rPr>
        <w:t>בפסקה הקודמת</w:t>
      </w:r>
      <w:r w:rsidRPr="00F84982">
        <w:rPr>
          <w:rFonts w:ascii="David" w:hAnsi="David" w:cs="David"/>
          <w:sz w:val="24"/>
          <w:szCs w:val="24"/>
          <w:rtl/>
        </w:rPr>
        <w:t xml:space="preserve">, החל מהשעה 06:30 ועד השעה 12:00 לערך, החלה התפרעות המונית מתוכננת בהשתתפות מאות </w:t>
      </w:r>
      <w:r w:rsidRPr="00F84982">
        <w:rPr>
          <w:rFonts w:ascii="David" w:hAnsi="David" w:cs="David"/>
          <w:sz w:val="24"/>
          <w:szCs w:val="24"/>
          <w:rtl/>
        </w:rPr>
        <w:lastRenderedPageBreak/>
        <w:t>ובהם הנאשם, בתוך שטח הר הבית. בין השאר הכינו המתפרעים מראש ערימות של אבנים בתוך המסגד, כדי ליידותן לעבר יהודים ו</w:t>
      </w:r>
      <w:r>
        <w:rPr>
          <w:rFonts w:ascii="David" w:hAnsi="David" w:cs="David" w:hint="cs"/>
          <w:sz w:val="24"/>
          <w:szCs w:val="24"/>
          <w:rtl/>
        </w:rPr>
        <w:t xml:space="preserve">לעבר </w:t>
      </w:r>
      <w:r w:rsidRPr="00F84982">
        <w:rPr>
          <w:rFonts w:ascii="David" w:hAnsi="David" w:cs="David"/>
          <w:sz w:val="24"/>
          <w:szCs w:val="24"/>
          <w:rtl/>
        </w:rPr>
        <w:t xml:space="preserve">כוחות הביטחון. </w:t>
      </w:r>
    </w:p>
    <w:p w14:paraId="1FA33799" w14:textId="77777777" w:rsidR="00B15416" w:rsidRDefault="00B15416" w:rsidP="00B15416">
      <w:pPr>
        <w:pStyle w:val="a9"/>
        <w:spacing w:before="120" w:after="120" w:line="360" w:lineRule="auto"/>
        <w:ind w:left="360"/>
        <w:contextualSpacing w:val="0"/>
        <w:jc w:val="both"/>
        <w:rPr>
          <w:rFonts w:ascii="David" w:hAnsi="David" w:cs="David"/>
          <w:sz w:val="24"/>
          <w:szCs w:val="24"/>
          <w:rtl/>
        </w:rPr>
      </w:pPr>
      <w:r w:rsidRPr="006557E9">
        <w:rPr>
          <w:rFonts w:ascii="David" w:hAnsi="David" w:cs="David"/>
          <w:sz w:val="24"/>
          <w:szCs w:val="24"/>
          <w:rtl/>
        </w:rPr>
        <w:t xml:space="preserve">מתחילת הביקורים, סמוך לשעה 07:00, התאספו </w:t>
      </w:r>
      <w:r>
        <w:rPr>
          <w:rFonts w:ascii="David" w:hAnsi="David" w:cs="David"/>
          <w:sz w:val="24"/>
          <w:szCs w:val="24"/>
          <w:rtl/>
        </w:rPr>
        <w:t xml:space="preserve">מאות מתפרעים ובהם הנאשם ברחבה, </w:t>
      </w:r>
      <w:r w:rsidRPr="006557E9">
        <w:rPr>
          <w:rFonts w:ascii="David" w:hAnsi="David" w:cs="David"/>
          <w:sz w:val="24"/>
          <w:szCs w:val="24"/>
          <w:rtl/>
        </w:rPr>
        <w:t xml:space="preserve">סמוך למסלול המבקרים היהודים והחלו לקללם ולקלל את כוחות הביטחון שליוו אותם. בין השאר צעקו המתפרעים והנאשם "אללה אכבר", "ברוח ובדם נפדה אלא-אקצה" ו-"ח'יבר ח'יבר יא יהוד צבאו של מוחמד עוד יחזור", כדי להפחידם ולהפריע להם. </w:t>
      </w:r>
    </w:p>
    <w:p w14:paraId="53989AC8"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בסמוך לשעה 07:50, במקביל לניסיונות פיזור של כוחות הביטחון, החלו עשרות מתפרעים, חלקם רעולי פנים, ליידות לעבר </w:t>
      </w:r>
      <w:r>
        <w:rPr>
          <w:rFonts w:ascii="David" w:hAnsi="David" w:cs="David" w:hint="cs"/>
          <w:sz w:val="24"/>
          <w:szCs w:val="24"/>
          <w:rtl/>
        </w:rPr>
        <w:t xml:space="preserve">המבקרים </w:t>
      </w:r>
      <w:r w:rsidRPr="00F84982">
        <w:rPr>
          <w:rFonts w:ascii="David" w:hAnsi="David" w:cs="David"/>
          <w:sz w:val="24"/>
          <w:szCs w:val="24"/>
          <w:rtl/>
        </w:rPr>
        <w:t xml:space="preserve">וכוחות הביטחון אבנים, כיסאות ומטעני צינור ואף גרמו לפציעת מספר שוטרים שנדרשו לטיפול רפואי. בתגובה, הדפו כוחות הביטחון את המתפרעים והנאשם לתוך המסגד ונעלו את שעריו. אז החלו המתפרעים והנאשם ליידות מתוך המסגד אבנים וכיסאות אל עבר השוטרים, דרך חלון שבור מעל אחד לשערי המסגד. </w:t>
      </w:r>
    </w:p>
    <w:p w14:paraId="2076DF52"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הנאשם נטל חלק בהתפרעות </w:t>
      </w:r>
      <w:r>
        <w:rPr>
          <w:rFonts w:ascii="David" w:hAnsi="David" w:cs="David" w:hint="cs"/>
          <w:sz w:val="24"/>
          <w:szCs w:val="24"/>
          <w:rtl/>
        </w:rPr>
        <w:t xml:space="preserve">לאחר שהצטייד </w:t>
      </w:r>
      <w:r w:rsidRPr="00F84982">
        <w:rPr>
          <w:rFonts w:ascii="David" w:hAnsi="David" w:cs="David"/>
          <w:sz w:val="24"/>
          <w:szCs w:val="24"/>
          <w:rtl/>
        </w:rPr>
        <w:t xml:space="preserve">בחולצה שחורה בה השתמש כרעלת פנים, ותוך שהתעטף בדגל ארגון הטרור חמאס. הוא השליך מספר אבנים בגודל מחצית כף יד, דרך החלון לעבר השוטרים שבחוץ. כן יידה כיסא דרך החלון לעבר השוטרים. </w:t>
      </w:r>
    </w:p>
    <w:p w14:paraId="0B621F83"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בגין מעשים אלה, הורשע הנאשם בעבירות של התפרעות, לפי </w:t>
      </w:r>
      <w:hyperlink r:id="rId20" w:history="1">
        <w:r w:rsidR="00CD5BC3" w:rsidRPr="00CD5BC3">
          <w:rPr>
            <w:rStyle w:val="Hyperlink"/>
            <w:rFonts w:ascii="David" w:hAnsi="David" w:cs="David"/>
            <w:sz w:val="24"/>
            <w:szCs w:val="24"/>
            <w:rtl/>
          </w:rPr>
          <w:t>סעיף 152</w:t>
        </w:r>
      </w:hyperlink>
      <w:r w:rsidRPr="00F84982">
        <w:rPr>
          <w:rFonts w:ascii="David" w:hAnsi="David" w:cs="David"/>
          <w:sz w:val="24"/>
          <w:szCs w:val="24"/>
          <w:rtl/>
        </w:rPr>
        <w:t xml:space="preserve"> ל</w:t>
      </w:r>
      <w:hyperlink r:id="rId21" w:history="1">
        <w:r w:rsidR="00D97486" w:rsidRPr="00D97486">
          <w:rPr>
            <w:rFonts w:ascii="David" w:hAnsi="David" w:cs="David"/>
            <w:color w:val="0000FF"/>
            <w:sz w:val="24"/>
            <w:szCs w:val="24"/>
            <w:u w:val="single"/>
            <w:rtl/>
          </w:rPr>
          <w:t>חוק העונשין</w:t>
        </w:r>
      </w:hyperlink>
      <w:r w:rsidRPr="00F84982">
        <w:rPr>
          <w:rFonts w:ascii="David" w:hAnsi="David" w:cs="David"/>
          <w:sz w:val="24"/>
          <w:szCs w:val="24"/>
          <w:rtl/>
        </w:rPr>
        <w:t xml:space="preserve">, התשל"ז-1977 (להלן: "חוק העונשין") וניסיון תקיפת שוטרים בנסיבות מחמירות לפי סעיפים </w:t>
      </w:r>
      <w:hyperlink r:id="rId22" w:history="1">
        <w:r w:rsidR="00CD5BC3" w:rsidRPr="00CD5BC3">
          <w:rPr>
            <w:rStyle w:val="Hyperlink"/>
            <w:rFonts w:ascii="David" w:hAnsi="David" w:cs="David"/>
            <w:sz w:val="24"/>
            <w:szCs w:val="24"/>
            <w:rtl/>
          </w:rPr>
          <w:t>274(1), (2) ו-(3)</w:t>
        </w:r>
      </w:hyperlink>
      <w:r w:rsidRPr="00F84982">
        <w:rPr>
          <w:rFonts w:ascii="David" w:hAnsi="David" w:cs="David"/>
          <w:sz w:val="24"/>
          <w:szCs w:val="24"/>
          <w:rtl/>
        </w:rPr>
        <w:t xml:space="preserve"> בצירוף סעיף </w:t>
      </w:r>
      <w:hyperlink r:id="rId23" w:history="1">
        <w:r w:rsidR="00CD5BC3" w:rsidRPr="00CD5BC3">
          <w:rPr>
            <w:rStyle w:val="Hyperlink"/>
            <w:rFonts w:ascii="David" w:hAnsi="David" w:cs="David"/>
            <w:sz w:val="24"/>
            <w:szCs w:val="24"/>
            <w:rtl/>
          </w:rPr>
          <w:t>25</w:t>
        </w:r>
      </w:hyperlink>
      <w:r w:rsidRPr="00F84982">
        <w:rPr>
          <w:rFonts w:ascii="David" w:hAnsi="David" w:cs="David"/>
          <w:sz w:val="24"/>
          <w:szCs w:val="24"/>
          <w:rtl/>
        </w:rPr>
        <w:t xml:space="preserve"> לחוק העונשין. </w:t>
      </w:r>
    </w:p>
    <w:p w14:paraId="4E5FAC72"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Miriam" w:hAnsi="Miriam" w:cs="Miriam"/>
          <w:sz w:val="24"/>
          <w:szCs w:val="24"/>
          <w:rtl/>
        </w:rPr>
        <w:t>לפי האישום השני</w:t>
      </w:r>
      <w:r w:rsidRPr="00F84982">
        <w:rPr>
          <w:rFonts w:ascii="David" w:hAnsi="David" w:cs="David"/>
          <w:sz w:val="24"/>
          <w:szCs w:val="24"/>
          <w:rtl/>
        </w:rPr>
        <w:t xml:space="preserve">, במועד שאינו ידוע החליט הנאשם להכניס זיקוקים שרכש בעבר למתחם הר הבית, כדי לירות אותם לעבר כוחות הביטחון במהלך התפרעויות. הוא הגיע להר הבית בשעות הבוקר המוקדמות כשהזיקוקים בידיו, בתוך שקית. כשנוכח כי יתקשה להכניס את הזיקוקים בשל הבדיקה הביטחונית בכניסה, פנה לאישה שזהותה אינה ידועה בבקשה כי תכניס את השקית. היא הסכימה, מבלי שידעה מהו תוכן השקית, הכניסה אותה להר הבית והעבירה אותה לנאשם ברחבת המסגד. הנאשם החביא את הזיקוקים בין אבנים במתחם הר הבית. </w:t>
      </w:r>
    </w:p>
    <w:p w14:paraId="476772AC"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ביום 29.4.22</w:t>
      </w:r>
      <w:r>
        <w:rPr>
          <w:rFonts w:ascii="David" w:hAnsi="David" w:cs="David" w:hint="cs"/>
          <w:sz w:val="24"/>
          <w:szCs w:val="24"/>
          <w:rtl/>
        </w:rPr>
        <w:t>,</w:t>
      </w:r>
      <w:r w:rsidRPr="00F84982">
        <w:rPr>
          <w:rFonts w:ascii="David" w:hAnsi="David" w:cs="David"/>
          <w:sz w:val="24"/>
          <w:szCs w:val="24"/>
          <w:rtl/>
        </w:rPr>
        <w:t xml:space="preserve"> על רקע התקופה המתוחה שתוארה לעיל, הגיע הנאשם להר הבית כדי להתפלל ולהשתתף בעימותים. לאחר התפילה החליט להתחיל בהתפרעות כנגד כוחות הביטחון. הוא פנה לאחר שזהותו אינה ידועה וביקשו להביא את הזיקוקים. האחר עשה כן ומסר את הזיקוקים לנאשם. אז חילק הנאשם זיקוק אחד לכל אחד מששת חבריו אשר היו עמו, על מנת שירו אותם באוויר, כדי למשוך שוטרים למקום ולתקוף אותם. כך עשו, ואף </w:t>
      </w:r>
      <w:r>
        <w:rPr>
          <w:rFonts w:ascii="David" w:hAnsi="David" w:cs="David" w:hint="cs"/>
          <w:sz w:val="24"/>
          <w:szCs w:val="24"/>
          <w:rtl/>
        </w:rPr>
        <w:t xml:space="preserve">הנאשם </w:t>
      </w:r>
      <w:r w:rsidRPr="00F84982">
        <w:rPr>
          <w:rFonts w:ascii="David" w:hAnsi="David" w:cs="David"/>
          <w:sz w:val="24"/>
          <w:szCs w:val="24"/>
          <w:rtl/>
        </w:rPr>
        <w:t xml:space="preserve">ירה מספר זיקוקים לאוויר. כששוטרים התקרבו לעברם, יידו הנאשם וחבריו אבנים אל השוטרים. הנאשם יידה מספר אבנים בגודל חצי כף יד לעבר השוטרים, ממרחק של כ-100 מטרים, כשהוא רעול פנים. </w:t>
      </w:r>
    </w:p>
    <w:p w14:paraId="66A7017B"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בגין מעשים אלה, הורשע הנאשם בעבירות של התפרעות לפי </w:t>
      </w:r>
      <w:hyperlink r:id="rId24" w:history="1">
        <w:r w:rsidR="00CD5BC3" w:rsidRPr="00CD5BC3">
          <w:rPr>
            <w:rStyle w:val="Hyperlink"/>
            <w:rFonts w:ascii="David" w:hAnsi="David" w:cs="David"/>
            <w:sz w:val="24"/>
            <w:szCs w:val="24"/>
            <w:rtl/>
          </w:rPr>
          <w:t>סעיף 152</w:t>
        </w:r>
      </w:hyperlink>
      <w:r w:rsidRPr="00F84982">
        <w:rPr>
          <w:rFonts w:ascii="David" w:hAnsi="David" w:cs="David"/>
          <w:sz w:val="24"/>
          <w:szCs w:val="24"/>
          <w:rtl/>
        </w:rPr>
        <w:t xml:space="preserve"> ל</w:t>
      </w:r>
      <w:hyperlink r:id="rId25" w:history="1">
        <w:r w:rsidR="00D97486" w:rsidRPr="00D97486">
          <w:rPr>
            <w:rFonts w:ascii="David" w:hAnsi="David" w:cs="David"/>
            <w:color w:val="0000FF"/>
            <w:sz w:val="24"/>
            <w:szCs w:val="24"/>
            <w:u w:val="single"/>
            <w:rtl/>
          </w:rPr>
          <w:t>חוק העונשין</w:t>
        </w:r>
      </w:hyperlink>
      <w:r w:rsidRPr="00F84982">
        <w:rPr>
          <w:rFonts w:ascii="David" w:hAnsi="David" w:cs="David"/>
          <w:sz w:val="24"/>
          <w:szCs w:val="24"/>
          <w:rtl/>
        </w:rPr>
        <w:t xml:space="preserve">, והפרעה לשוטר בנסיבות מחמירות לפי </w:t>
      </w:r>
      <w:hyperlink r:id="rId26" w:history="1">
        <w:r w:rsidR="00CD5BC3" w:rsidRPr="00CD5BC3">
          <w:rPr>
            <w:rStyle w:val="Hyperlink"/>
            <w:rFonts w:ascii="David" w:hAnsi="David" w:cs="David"/>
            <w:sz w:val="24"/>
            <w:szCs w:val="24"/>
            <w:rtl/>
          </w:rPr>
          <w:t>סעיף 275א</w:t>
        </w:r>
      </w:hyperlink>
      <w:r w:rsidRPr="00F84982">
        <w:rPr>
          <w:rFonts w:ascii="David" w:hAnsi="David" w:cs="David"/>
          <w:sz w:val="24"/>
          <w:szCs w:val="24"/>
          <w:rtl/>
        </w:rPr>
        <w:t xml:space="preserve"> לחוק העונשין. </w:t>
      </w:r>
    </w:p>
    <w:p w14:paraId="2FF0B316"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Miriam" w:hAnsi="Miriam" w:cs="Miriam"/>
          <w:sz w:val="24"/>
          <w:szCs w:val="24"/>
          <w:rtl/>
        </w:rPr>
        <w:lastRenderedPageBreak/>
        <w:t>לפי האישום השלישי</w:t>
      </w:r>
      <w:r w:rsidRPr="00F84982">
        <w:rPr>
          <w:rFonts w:ascii="David" w:hAnsi="David" w:cs="David"/>
          <w:sz w:val="24"/>
          <w:szCs w:val="24"/>
          <w:rtl/>
        </w:rPr>
        <w:t>, בתאריך שאינו ידוע במדויק אך במהלך חודש הרמדאן 2022, החליט הנאשם להגיע להר הבית על מנת להשתתף בעימותים, כשהוא מסתיר סכין במכנסיו ומצטייד בחולצה שחורה ובבד "כאפייה" שחור כרעלת פנים. הנאשם הגיע להר הבית סמוך לשעה 4:00, לתפילת הבוקר. לאחריה</w:t>
      </w:r>
      <w:r>
        <w:rPr>
          <w:rFonts w:ascii="David" w:hAnsi="David" w:cs="David" w:hint="cs"/>
          <w:sz w:val="24"/>
          <w:szCs w:val="24"/>
          <w:rtl/>
        </w:rPr>
        <w:t>,</w:t>
      </w:r>
      <w:r w:rsidRPr="00F84982">
        <w:rPr>
          <w:rFonts w:ascii="David" w:hAnsi="David" w:cs="David"/>
          <w:sz w:val="24"/>
          <w:szCs w:val="24"/>
          <w:rtl/>
        </w:rPr>
        <w:t xml:space="preserve"> החלו עימותים במקום, </w:t>
      </w:r>
      <w:r>
        <w:rPr>
          <w:rFonts w:ascii="David" w:hAnsi="David" w:cs="David" w:hint="cs"/>
          <w:sz w:val="24"/>
          <w:szCs w:val="24"/>
          <w:rtl/>
        </w:rPr>
        <w:t>ו</w:t>
      </w:r>
      <w:r w:rsidRPr="00F84982">
        <w:rPr>
          <w:rFonts w:ascii="David" w:hAnsi="David" w:cs="David"/>
          <w:sz w:val="24"/>
          <w:szCs w:val="24"/>
          <w:rtl/>
        </w:rPr>
        <w:t xml:space="preserve">עשרות צעירים יידו אבנים, כסאות וזיקוקים לעבר כוחות הביטחון. הנאשם השתתף </w:t>
      </w:r>
      <w:r>
        <w:rPr>
          <w:rFonts w:ascii="David" w:hAnsi="David" w:cs="David" w:hint="cs"/>
          <w:sz w:val="24"/>
          <w:szCs w:val="24"/>
          <w:rtl/>
        </w:rPr>
        <w:t xml:space="preserve">בכך </w:t>
      </w:r>
      <w:r w:rsidRPr="00F84982">
        <w:rPr>
          <w:rFonts w:ascii="David" w:hAnsi="David" w:cs="David"/>
          <w:sz w:val="24"/>
          <w:szCs w:val="24"/>
          <w:rtl/>
        </w:rPr>
        <w:t>ו</w:t>
      </w:r>
      <w:r>
        <w:rPr>
          <w:rFonts w:ascii="David" w:hAnsi="David" w:cs="David" w:hint="cs"/>
          <w:sz w:val="24"/>
          <w:szCs w:val="24"/>
          <w:rtl/>
        </w:rPr>
        <w:t>י</w:t>
      </w:r>
      <w:r w:rsidRPr="00F84982">
        <w:rPr>
          <w:rFonts w:ascii="David" w:hAnsi="David" w:cs="David"/>
          <w:sz w:val="24"/>
          <w:szCs w:val="24"/>
          <w:rtl/>
        </w:rPr>
        <w:t xml:space="preserve">ידה לעבר שוטרים שלוש אבנים בגודל כף יד ממרחק של כמאה מטרים. </w:t>
      </w:r>
    </w:p>
    <w:p w14:paraId="40131FF2"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לאחר שהשוטרים החלו להתקרב לעבר המתפרעים, ברח הנאשם לעבר המסגד שם התעטף בדגל חמאס, לקח קוראן, העביר את הסכין לכיסו והחל לחפש שוטר המכה נשים על מנת </w:t>
      </w:r>
      <w:r>
        <w:rPr>
          <w:rFonts w:ascii="David" w:hAnsi="David" w:cs="David" w:hint="cs"/>
          <w:sz w:val="24"/>
          <w:szCs w:val="24"/>
          <w:rtl/>
        </w:rPr>
        <w:t xml:space="preserve">לדקרו </w:t>
      </w:r>
      <w:r w:rsidRPr="00F84982">
        <w:rPr>
          <w:rFonts w:ascii="David" w:hAnsi="David" w:cs="David"/>
          <w:sz w:val="24"/>
          <w:szCs w:val="24"/>
          <w:rtl/>
        </w:rPr>
        <w:t xml:space="preserve">ולרצחו. זאת, תוך שקרא בקול "לימד אותנו אחמד יאסין להניף את הקוראן יחד עם הסכין". הנאשם הבחין בשוטרים שהיכו נשים, אך בחר שלא לבצע את הפיגוע נוכח פחדו על עצמו ועל משפחתו. הוא שב עם הסכין לביתו. </w:t>
      </w:r>
    </w:p>
    <w:p w14:paraId="38BD4F4C" w14:textId="77777777" w:rsidR="00B15416" w:rsidRPr="00F84982" w:rsidRDefault="00B15416" w:rsidP="00CD5BC3">
      <w:pPr>
        <w:pStyle w:val="a9"/>
        <w:tabs>
          <w:tab w:val="left" w:pos="4065"/>
        </w:tabs>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בגין מעשים אלה, הורשע הנאשם בעבירות של התפרעות, לפי </w:t>
      </w:r>
      <w:hyperlink r:id="rId27" w:history="1">
        <w:r w:rsidR="00CD5BC3" w:rsidRPr="00CD5BC3">
          <w:rPr>
            <w:rStyle w:val="Hyperlink"/>
            <w:rFonts w:ascii="David" w:hAnsi="David" w:cs="David"/>
            <w:sz w:val="24"/>
            <w:szCs w:val="24"/>
            <w:rtl/>
          </w:rPr>
          <w:t>סעיף 152</w:t>
        </w:r>
      </w:hyperlink>
      <w:r w:rsidRPr="00F84982">
        <w:rPr>
          <w:rFonts w:ascii="David" w:hAnsi="David" w:cs="David"/>
          <w:sz w:val="24"/>
          <w:szCs w:val="24"/>
          <w:rtl/>
        </w:rPr>
        <w:t xml:space="preserve"> ל</w:t>
      </w:r>
      <w:hyperlink r:id="rId28" w:history="1">
        <w:r w:rsidR="00D97486" w:rsidRPr="00D97486">
          <w:rPr>
            <w:rFonts w:ascii="David" w:hAnsi="David" w:cs="David"/>
            <w:color w:val="0000FF"/>
            <w:sz w:val="24"/>
            <w:szCs w:val="24"/>
            <w:u w:val="single"/>
            <w:rtl/>
          </w:rPr>
          <w:t>חוק העונשין</w:t>
        </w:r>
      </w:hyperlink>
      <w:r w:rsidRPr="00F84982">
        <w:rPr>
          <w:rFonts w:ascii="David" w:hAnsi="David" w:cs="David"/>
          <w:sz w:val="24"/>
          <w:szCs w:val="24"/>
          <w:rtl/>
        </w:rPr>
        <w:t xml:space="preserve">, הפרעה לשוטר בנסיבות מחמירות, לפי </w:t>
      </w:r>
      <w:hyperlink r:id="rId29" w:history="1">
        <w:r w:rsidR="00CD5BC3" w:rsidRPr="00CD5BC3">
          <w:rPr>
            <w:rStyle w:val="Hyperlink"/>
            <w:rFonts w:ascii="David" w:hAnsi="David" w:cs="David"/>
            <w:sz w:val="24"/>
            <w:szCs w:val="24"/>
            <w:rtl/>
          </w:rPr>
          <w:t>סעיף 275א</w:t>
        </w:r>
      </w:hyperlink>
      <w:r w:rsidRPr="00F84982">
        <w:rPr>
          <w:rFonts w:ascii="David" w:hAnsi="David" w:cs="David"/>
          <w:sz w:val="24"/>
          <w:szCs w:val="24"/>
          <w:rtl/>
        </w:rPr>
        <w:t xml:space="preserve"> לחוק העונשין והחזקת סכין שלא כדין, לפי </w:t>
      </w:r>
      <w:hyperlink r:id="rId30" w:history="1">
        <w:r w:rsidR="00CD5BC3" w:rsidRPr="00CD5BC3">
          <w:rPr>
            <w:rStyle w:val="Hyperlink"/>
            <w:rFonts w:ascii="David" w:hAnsi="David" w:cs="David"/>
            <w:sz w:val="24"/>
            <w:szCs w:val="24"/>
            <w:rtl/>
          </w:rPr>
          <w:t>סעיף 186(א)</w:t>
        </w:r>
      </w:hyperlink>
      <w:r w:rsidRPr="00F84982">
        <w:rPr>
          <w:rFonts w:ascii="David" w:hAnsi="David" w:cs="David"/>
          <w:sz w:val="24"/>
          <w:szCs w:val="24"/>
          <w:rtl/>
        </w:rPr>
        <w:t xml:space="preserve"> לחוק העונשין. </w:t>
      </w:r>
    </w:p>
    <w:p w14:paraId="5197DBEB"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Miriam" w:hAnsi="Miriam" w:cs="Miriam"/>
          <w:sz w:val="24"/>
          <w:szCs w:val="24"/>
          <w:rtl/>
        </w:rPr>
        <w:t>לפי האישום הרביעי</w:t>
      </w:r>
      <w:r w:rsidRPr="00F84982">
        <w:rPr>
          <w:rFonts w:ascii="David" w:hAnsi="David" w:cs="David"/>
          <w:sz w:val="24"/>
          <w:szCs w:val="24"/>
          <w:rtl/>
        </w:rPr>
        <w:t xml:space="preserve">, ביום 22.4.22 הגיע הנאשם להר הבית כדי להתפלל ולהשתתף בעימותים. לאחר התפילה החלה התפרעות סמוך למסגד, בהשתתפות מאות, במהלכה יידו המתפרעים אבנים, כיסאות וזיקוקים לעבר כוחות הביטחון. הנאשם נטל חלק בהתפרעות כשהוא רעול פנים, ויידה מספר אבנים בגודל חצי כף יד לעבר שוטרים ממרחק של כמאה מטרים. </w:t>
      </w:r>
    </w:p>
    <w:p w14:paraId="49DCA0E2"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בגין מעשיו אלה הורשע הנאשם בעבירות של התפרעות, לפי </w:t>
      </w:r>
      <w:hyperlink r:id="rId31" w:history="1">
        <w:r w:rsidR="00CD5BC3" w:rsidRPr="00CD5BC3">
          <w:rPr>
            <w:rStyle w:val="Hyperlink"/>
            <w:rFonts w:ascii="David" w:hAnsi="David" w:cs="David"/>
            <w:sz w:val="24"/>
            <w:szCs w:val="24"/>
            <w:rtl/>
          </w:rPr>
          <w:t>סעיף 152</w:t>
        </w:r>
      </w:hyperlink>
      <w:r w:rsidRPr="00F84982">
        <w:rPr>
          <w:rFonts w:ascii="David" w:hAnsi="David" w:cs="David"/>
          <w:sz w:val="24"/>
          <w:szCs w:val="24"/>
          <w:rtl/>
        </w:rPr>
        <w:t xml:space="preserve"> ל</w:t>
      </w:r>
      <w:hyperlink r:id="rId32" w:history="1">
        <w:r w:rsidR="00D97486" w:rsidRPr="00D97486">
          <w:rPr>
            <w:rFonts w:ascii="David" w:hAnsi="David" w:cs="David"/>
            <w:color w:val="0000FF"/>
            <w:sz w:val="24"/>
            <w:szCs w:val="24"/>
            <w:u w:val="single"/>
            <w:rtl/>
          </w:rPr>
          <w:t>חוק העונשין</w:t>
        </w:r>
      </w:hyperlink>
      <w:r w:rsidRPr="00F84982">
        <w:rPr>
          <w:rFonts w:ascii="David" w:hAnsi="David" w:cs="David"/>
          <w:sz w:val="24"/>
          <w:szCs w:val="24"/>
          <w:rtl/>
        </w:rPr>
        <w:t xml:space="preserve"> והפרעה לשוטר בנסיבות מחמירות, לפי </w:t>
      </w:r>
      <w:hyperlink r:id="rId33" w:history="1">
        <w:r w:rsidR="00CD5BC3" w:rsidRPr="00CD5BC3">
          <w:rPr>
            <w:rStyle w:val="Hyperlink"/>
            <w:rFonts w:ascii="David" w:hAnsi="David" w:cs="David"/>
            <w:sz w:val="24"/>
            <w:szCs w:val="24"/>
            <w:rtl/>
          </w:rPr>
          <w:t>סעיף 275א</w:t>
        </w:r>
      </w:hyperlink>
      <w:r w:rsidRPr="00F84982">
        <w:rPr>
          <w:rFonts w:ascii="David" w:hAnsi="David" w:cs="David"/>
          <w:sz w:val="24"/>
          <w:szCs w:val="24"/>
          <w:rtl/>
        </w:rPr>
        <w:t xml:space="preserve"> לחוק העונשין. </w:t>
      </w:r>
    </w:p>
    <w:p w14:paraId="3014E820"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לפי</w:t>
      </w:r>
      <w:r w:rsidRPr="00F84982">
        <w:rPr>
          <w:rFonts w:ascii="Miriam" w:hAnsi="Miriam" w:cs="Miriam"/>
          <w:sz w:val="24"/>
          <w:szCs w:val="24"/>
          <w:rtl/>
        </w:rPr>
        <w:t xml:space="preserve"> האישום החמישי</w:t>
      </w:r>
      <w:r w:rsidRPr="00F84982">
        <w:rPr>
          <w:rFonts w:ascii="David" w:hAnsi="David" w:cs="David"/>
          <w:sz w:val="24"/>
          <w:szCs w:val="24"/>
          <w:rtl/>
        </w:rPr>
        <w:t>, בתאריך שאינו ידוע במדויק במהלך חודש הרמדאן 2022 וכן במהלך פסח 2022, התרחשה בהר הבית, לאחר תפילת הבוקר, התפרעות סמוך למסגד. במהלכה</w:t>
      </w:r>
      <w:r>
        <w:rPr>
          <w:rFonts w:ascii="David" w:hAnsi="David" w:cs="David" w:hint="cs"/>
          <w:sz w:val="24"/>
          <w:szCs w:val="24"/>
          <w:rtl/>
        </w:rPr>
        <w:t>,</w:t>
      </w:r>
      <w:r w:rsidRPr="00F84982">
        <w:rPr>
          <w:rFonts w:ascii="David" w:hAnsi="David" w:cs="David"/>
          <w:sz w:val="24"/>
          <w:szCs w:val="24"/>
          <w:rtl/>
        </w:rPr>
        <w:t xml:space="preserve"> יידו המתפרעים אבנים, כיסאות, זיקוקים ובקבוקי תבערה לעבר כוחות הביטחון. </w:t>
      </w:r>
      <w:r>
        <w:rPr>
          <w:rFonts w:ascii="David" w:hAnsi="David" w:cs="David" w:hint="cs"/>
          <w:sz w:val="24"/>
          <w:szCs w:val="24"/>
          <w:rtl/>
        </w:rPr>
        <w:t xml:space="preserve">האחרונים </w:t>
      </w:r>
      <w:r w:rsidRPr="00F84982">
        <w:rPr>
          <w:rFonts w:ascii="David" w:hAnsi="David" w:cs="David"/>
          <w:sz w:val="24"/>
          <w:szCs w:val="24"/>
          <w:rtl/>
        </w:rPr>
        <w:t xml:space="preserve">הדפו את המתפרעים ובהם הנאשם לתוך המסגד ונעלו את שעריו. אז </w:t>
      </w:r>
      <w:r>
        <w:rPr>
          <w:rFonts w:ascii="David" w:hAnsi="David" w:cs="David" w:hint="cs"/>
          <w:sz w:val="24"/>
          <w:szCs w:val="24"/>
          <w:rtl/>
        </w:rPr>
        <w:t xml:space="preserve">יידו </w:t>
      </w:r>
      <w:r w:rsidRPr="00F84982">
        <w:rPr>
          <w:rFonts w:ascii="David" w:hAnsi="David" w:cs="David"/>
          <w:sz w:val="24"/>
          <w:szCs w:val="24"/>
          <w:rtl/>
        </w:rPr>
        <w:t xml:space="preserve">המתפרעים והנאשם מתוך המסגד אבנים וכיסאות לעבר שוטרים שעמדו מחוץ למסגד, דרך החלון השבור הנזכר לעיל. השוטרים הסתכנו בכך שנדרשו מפעם לפעם לעמוד בסמוך לשער, כדי למנוע את פריצתו. </w:t>
      </w:r>
    </w:p>
    <w:p w14:paraId="2D19EE4A"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הנאשם, שהגיע להר הבית על מנת להשתתף בהתפרעות, נטל בה </w:t>
      </w:r>
      <w:r>
        <w:rPr>
          <w:rFonts w:ascii="David" w:hAnsi="David" w:cs="David" w:hint="cs"/>
          <w:sz w:val="24"/>
          <w:szCs w:val="24"/>
          <w:rtl/>
        </w:rPr>
        <w:t xml:space="preserve">חלק </w:t>
      </w:r>
      <w:r w:rsidRPr="00F84982">
        <w:rPr>
          <w:rFonts w:ascii="David" w:hAnsi="David" w:cs="David"/>
          <w:sz w:val="24"/>
          <w:szCs w:val="24"/>
          <w:rtl/>
        </w:rPr>
        <w:t>לאחר שהצטייד מראש ברעלת פנים שחורה. הוא לקח בקבוק תבערה מאחר שזהותו אינה ידועה</w:t>
      </w:r>
      <w:r>
        <w:rPr>
          <w:rFonts w:ascii="David" w:hAnsi="David" w:cs="David" w:hint="cs"/>
          <w:sz w:val="24"/>
          <w:szCs w:val="24"/>
          <w:rtl/>
        </w:rPr>
        <w:t>,</w:t>
      </w:r>
      <w:r w:rsidRPr="00F84982">
        <w:rPr>
          <w:rFonts w:ascii="David" w:hAnsi="David" w:cs="David"/>
          <w:sz w:val="24"/>
          <w:szCs w:val="24"/>
          <w:rtl/>
        </w:rPr>
        <w:t xml:space="preserve"> והשליכו דרך החלון לעבר השוטרים. הבקבוק פגע בחלון המסגד, החל להתלקח והיה עלול לשרוף את המסגד. הנאשם טיפס על סולם, אחז בבקבוק התבערה ויידה אותו אל מחוץ לחלון, לעבר השוטרים. </w:t>
      </w:r>
    </w:p>
    <w:p w14:paraId="56D75E7B"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בגין מעשים אלה, הורשע הנאשם בעבירות של נשיאת נשק, לפי </w:t>
      </w:r>
      <w:hyperlink r:id="rId34" w:history="1">
        <w:r w:rsidR="00CD5BC3" w:rsidRPr="00CD5BC3">
          <w:rPr>
            <w:rStyle w:val="Hyperlink"/>
            <w:rFonts w:ascii="David" w:hAnsi="David" w:cs="David"/>
            <w:sz w:val="24"/>
            <w:szCs w:val="24"/>
            <w:rtl/>
          </w:rPr>
          <w:t>סעיף 144(ב)</w:t>
        </w:r>
      </w:hyperlink>
      <w:r w:rsidRPr="00F84982">
        <w:rPr>
          <w:rFonts w:ascii="David" w:hAnsi="David" w:cs="David"/>
          <w:sz w:val="24"/>
          <w:szCs w:val="24"/>
          <w:rtl/>
        </w:rPr>
        <w:t xml:space="preserve"> ל</w:t>
      </w:r>
      <w:hyperlink r:id="rId35" w:history="1">
        <w:r w:rsidR="00D97486" w:rsidRPr="00D97486">
          <w:rPr>
            <w:rFonts w:ascii="David" w:hAnsi="David" w:cs="David"/>
            <w:color w:val="0000FF"/>
            <w:sz w:val="24"/>
            <w:szCs w:val="24"/>
            <w:u w:val="single"/>
            <w:rtl/>
          </w:rPr>
          <w:t>חוק העונשין</w:t>
        </w:r>
      </w:hyperlink>
      <w:r w:rsidRPr="00F84982">
        <w:rPr>
          <w:rFonts w:ascii="David" w:hAnsi="David" w:cs="David"/>
          <w:sz w:val="24"/>
          <w:szCs w:val="24"/>
          <w:rtl/>
        </w:rPr>
        <w:t xml:space="preserve">, הצתה לפי </w:t>
      </w:r>
      <w:hyperlink r:id="rId36" w:history="1">
        <w:r w:rsidR="00CD5BC3" w:rsidRPr="00CD5BC3">
          <w:rPr>
            <w:rStyle w:val="Hyperlink"/>
            <w:rFonts w:ascii="David" w:hAnsi="David" w:cs="David"/>
            <w:sz w:val="24"/>
            <w:szCs w:val="24"/>
            <w:rtl/>
          </w:rPr>
          <w:t>סעיף 448(א)</w:t>
        </w:r>
      </w:hyperlink>
      <w:r w:rsidRPr="00F84982">
        <w:rPr>
          <w:rFonts w:ascii="David" w:hAnsi="David" w:cs="David"/>
          <w:sz w:val="24"/>
          <w:szCs w:val="24"/>
          <w:rtl/>
        </w:rPr>
        <w:t xml:space="preserve"> סיפא לחוק העונשין, והפרעה לשוטר בנסיבות מחמירות לפי </w:t>
      </w:r>
      <w:hyperlink r:id="rId37" w:history="1">
        <w:r w:rsidR="00CD5BC3" w:rsidRPr="00CD5BC3">
          <w:rPr>
            <w:rStyle w:val="Hyperlink"/>
            <w:rFonts w:ascii="David" w:hAnsi="David" w:cs="David"/>
            <w:sz w:val="24"/>
            <w:szCs w:val="24"/>
            <w:rtl/>
          </w:rPr>
          <w:t>סעיף 275א</w:t>
        </w:r>
      </w:hyperlink>
      <w:r w:rsidRPr="00F84982">
        <w:rPr>
          <w:rFonts w:ascii="David" w:hAnsi="David" w:cs="David"/>
          <w:sz w:val="24"/>
          <w:szCs w:val="24"/>
          <w:rtl/>
        </w:rPr>
        <w:t xml:space="preserve"> לחוק העונשין. </w:t>
      </w:r>
    </w:p>
    <w:p w14:paraId="1F50671B" w14:textId="77777777" w:rsidR="00B15416" w:rsidRPr="00F84982" w:rsidRDefault="00B15416" w:rsidP="00B15416">
      <w:pPr>
        <w:spacing w:before="120" w:after="120" w:line="360" w:lineRule="auto"/>
        <w:jc w:val="both"/>
        <w:rPr>
          <w:rFonts w:ascii="David" w:hAnsi="David"/>
          <w:b/>
          <w:bCs/>
          <w:rtl/>
        </w:rPr>
      </w:pPr>
    </w:p>
    <w:p w14:paraId="6A904927" w14:textId="77777777" w:rsidR="00B15416" w:rsidRPr="00F84982" w:rsidRDefault="00B15416" w:rsidP="00B15416">
      <w:pPr>
        <w:spacing w:before="120" w:after="120" w:line="360" w:lineRule="auto"/>
        <w:jc w:val="both"/>
        <w:rPr>
          <w:rFonts w:ascii="David" w:hAnsi="David"/>
          <w:b/>
          <w:bCs/>
          <w:rtl/>
        </w:rPr>
      </w:pPr>
      <w:r w:rsidRPr="00F84982">
        <w:rPr>
          <w:rFonts w:ascii="David" w:hAnsi="David"/>
          <w:b/>
          <w:bCs/>
          <w:rtl/>
        </w:rPr>
        <w:t>נתונים לעונש ותסקיר שירות המבחן</w:t>
      </w:r>
    </w:p>
    <w:p w14:paraId="3C534EE9"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לנאשם הרשעה קודמת </w:t>
      </w:r>
      <w:r>
        <w:rPr>
          <w:rFonts w:ascii="David" w:hAnsi="David" w:cs="David" w:hint="cs"/>
          <w:sz w:val="24"/>
          <w:szCs w:val="24"/>
          <w:rtl/>
        </w:rPr>
        <w:t xml:space="preserve">משנת 2018 </w:t>
      </w:r>
      <w:r w:rsidRPr="00F84982">
        <w:rPr>
          <w:rFonts w:ascii="David" w:hAnsi="David" w:cs="David"/>
          <w:sz w:val="24"/>
          <w:szCs w:val="24"/>
          <w:rtl/>
        </w:rPr>
        <w:t>בהליך</w:t>
      </w:r>
      <w:r>
        <w:rPr>
          <w:rFonts w:ascii="David" w:hAnsi="David" w:cs="David" w:hint="cs"/>
          <w:sz w:val="24"/>
          <w:szCs w:val="24"/>
          <w:rtl/>
        </w:rPr>
        <w:t>,</w:t>
      </w:r>
      <w:r w:rsidRPr="00F84982">
        <w:rPr>
          <w:rFonts w:ascii="David" w:hAnsi="David" w:cs="David"/>
          <w:sz w:val="24"/>
          <w:szCs w:val="24"/>
          <w:rtl/>
        </w:rPr>
        <w:t xml:space="preserve"> שהתנהל בבית המשפט לנוער. דובר בעבירות של פציעה, ניסיון לתקיפת שוטר כשהוא מזוין בנשק, ניסיון לתקיפת שוטר כדי להכשילו בתפקידו, ניסיון לתקיפת שוטר בידי שלושה או יותר, ניסיון לחבלה כשהעבריין מזוין וכן ארבע עבירות סיוע, שבוצעו ב</w:t>
      </w:r>
      <w:r>
        <w:rPr>
          <w:rFonts w:ascii="David" w:hAnsi="David" w:cs="David" w:hint="cs"/>
          <w:sz w:val="24"/>
          <w:szCs w:val="24"/>
          <w:rtl/>
        </w:rPr>
        <w:t xml:space="preserve">אירוע משנת </w:t>
      </w:r>
      <w:r w:rsidRPr="00F84982">
        <w:rPr>
          <w:rFonts w:ascii="David" w:hAnsi="David" w:cs="David"/>
          <w:sz w:val="24"/>
          <w:szCs w:val="24"/>
          <w:rtl/>
        </w:rPr>
        <w:t xml:space="preserve">2017. בגינן, נדון הנאשם לשישה חודשי מאסר לריצוי בעבודות שירות, מאסר מותנה, קנס ומבחן. </w:t>
      </w:r>
    </w:p>
    <w:p w14:paraId="63071024"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ביום 26.3.23 הוגש תסקיר שירות המבחן, שהציג את נסיבותיו של הנאשם. הוא צעיר כבן 20, רווק, טרם מעצרו עבד בניקיון, עבודה בה החל לאחר שעזב את ספסל הלימודים בגיל 16. הוא דיווח על מצב כלכלי מורכב של משפחתו, שהחריף עם מעצרו ועם פציעת אחיו הגדול בתאונה. </w:t>
      </w:r>
    </w:p>
    <w:p w14:paraId="21032A91"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הנאשם התייחס להרשעתו הקודמת וכפר באחריותו לה. גם בנוגע לעבירות מושא הליך זה התקשה ליטול אחריות, נטה </w:t>
      </w:r>
      <w:r w:rsidRPr="00943E72">
        <w:rPr>
          <w:rFonts w:ascii="David" w:hAnsi="David" w:cs="David"/>
          <w:sz w:val="24"/>
          <w:szCs w:val="24"/>
          <w:rtl/>
        </w:rPr>
        <w:t>למזער את מעורבותו והכחיש חלק מהעובדות</w:t>
      </w:r>
      <w:r w:rsidRPr="00F84982">
        <w:rPr>
          <w:rFonts w:ascii="David" w:hAnsi="David" w:cs="David"/>
          <w:sz w:val="24"/>
          <w:szCs w:val="24"/>
          <w:rtl/>
        </w:rPr>
        <w:t>. הוא טען שנגרר אחר חברה שולית, שלל קשר לארגוני טרור והתקשה לשתף פעולה עם שירות המבחן או להתייחס למניעיו לביצוע המעשים.</w:t>
      </w:r>
    </w:p>
    <w:p w14:paraId="1184CF53"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שירות המבחן ציין גורמי סיכון, ובהם התרשמות מבחור המתקשה לגלות יציבות תפקודית, מעורב בעבריינות טרור ולא הורתע מן ההליך הקודם שהתנהל בעניינו. שירות המבחן נמנע מהמלצה על חלופת ענישה או שיקום בקהילה, והמליץ כי יוטל על הנאשם מאסר וכן מאסר מותנה. </w:t>
      </w:r>
    </w:p>
    <w:p w14:paraId="2F12640B" w14:textId="77777777" w:rsidR="00B15416"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כראיה לעונש מטעם ה</w:t>
      </w:r>
      <w:r>
        <w:rPr>
          <w:rFonts w:ascii="David" w:hAnsi="David" w:cs="David"/>
          <w:sz w:val="24"/>
          <w:szCs w:val="24"/>
          <w:rtl/>
        </w:rPr>
        <w:t>הגנה, הוצגה תעודה רפואית המעלה</w:t>
      </w:r>
      <w:r>
        <w:rPr>
          <w:rFonts w:ascii="David" w:hAnsi="David" w:cs="David" w:hint="cs"/>
          <w:sz w:val="24"/>
          <w:szCs w:val="24"/>
          <w:rtl/>
        </w:rPr>
        <w:t xml:space="preserve"> - </w:t>
      </w:r>
      <w:r w:rsidRPr="00F84982">
        <w:rPr>
          <w:rFonts w:ascii="David" w:hAnsi="David" w:cs="David"/>
          <w:sz w:val="24"/>
          <w:szCs w:val="24"/>
          <w:rtl/>
        </w:rPr>
        <w:t>נכון לשנת 2017 ובעקבות המקרה מושא הרשעתו הקודמת</w:t>
      </w:r>
      <w:r>
        <w:rPr>
          <w:rFonts w:ascii="David" w:hAnsi="David" w:cs="David" w:hint="cs"/>
          <w:sz w:val="24"/>
          <w:szCs w:val="24"/>
          <w:rtl/>
        </w:rPr>
        <w:t xml:space="preserve"> - </w:t>
      </w:r>
      <w:r w:rsidRPr="00F84982">
        <w:rPr>
          <w:rFonts w:ascii="David" w:hAnsi="David" w:cs="David"/>
          <w:sz w:val="24"/>
          <w:szCs w:val="24"/>
          <w:rtl/>
        </w:rPr>
        <w:t xml:space="preserve">הפרעות הסתגלות והתנהגות של הנאשם, עם אפקטים חרדתיים ונוספים. </w:t>
      </w:r>
    </w:p>
    <w:p w14:paraId="6F94B902"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p>
    <w:p w14:paraId="378A78B7" w14:textId="77777777" w:rsidR="00B15416" w:rsidRPr="00F84982" w:rsidRDefault="00B15416" w:rsidP="00B15416">
      <w:pPr>
        <w:spacing w:before="120" w:after="120" w:line="360" w:lineRule="auto"/>
        <w:jc w:val="both"/>
        <w:rPr>
          <w:rFonts w:ascii="David" w:hAnsi="David"/>
          <w:b/>
          <w:bCs/>
          <w:rtl/>
        </w:rPr>
      </w:pPr>
      <w:r w:rsidRPr="00F84982">
        <w:rPr>
          <w:rFonts w:ascii="David" w:hAnsi="David"/>
          <w:b/>
          <w:bCs/>
          <w:rtl/>
        </w:rPr>
        <w:t>הטיעון לעונש</w:t>
      </w:r>
    </w:p>
    <w:p w14:paraId="5645C90A"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המאשימה עמדה בטיעוניה על חומרת המעשים ועל פגיעתם בערכים המוגנים. הודגשו התקופה בה בוצעו העבירות, ואלמנטים מחמירים מתוך האישומים השונים. נטען שהמעשים יצרו סיכון רב ופוטנציאל נזק גבוה. צוינו הרקע האידאולוגי-לאומני למעשים, הרצון לפגוע בכוחות הביטחון, נפיצות המיקום, ריבוי המעשים והשימוש המסוכן בבקבוק תבערה. נטען שיש לקבוע מתחם עונש נפרד לכל אישום. </w:t>
      </w:r>
    </w:p>
    <w:p w14:paraId="4E3E6630"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המאשימה הפנתה לפסיקה, שחלקה ע</w:t>
      </w:r>
      <w:r>
        <w:rPr>
          <w:rFonts w:ascii="David" w:hAnsi="David" w:cs="David" w:hint="cs"/>
          <w:sz w:val="24"/>
          <w:szCs w:val="24"/>
          <w:rtl/>
        </w:rPr>
        <w:t>ו</w:t>
      </w:r>
      <w:r w:rsidRPr="00F84982">
        <w:rPr>
          <w:rFonts w:ascii="David" w:hAnsi="David" w:cs="David"/>
          <w:sz w:val="24"/>
          <w:szCs w:val="24"/>
          <w:rtl/>
        </w:rPr>
        <w:t xml:space="preserve">סק בנאשמים קטינים, לתמיכה בטיעוניה וטענה שבענייננו יש לאמץ קנה מידה מחמיר יותר </w:t>
      </w:r>
      <w:r>
        <w:rPr>
          <w:rFonts w:ascii="David" w:hAnsi="David" w:cs="David" w:hint="cs"/>
          <w:sz w:val="24"/>
          <w:szCs w:val="24"/>
          <w:rtl/>
        </w:rPr>
        <w:t xml:space="preserve">היות </w:t>
      </w:r>
      <w:r w:rsidRPr="00F84982">
        <w:rPr>
          <w:rFonts w:ascii="David" w:hAnsi="David" w:cs="David"/>
          <w:sz w:val="24"/>
          <w:szCs w:val="24"/>
          <w:rtl/>
        </w:rPr>
        <w:t>שמדובר בבגיר. נטען</w:t>
      </w:r>
      <w:r>
        <w:rPr>
          <w:rFonts w:ascii="David" w:hAnsi="David" w:cs="David" w:hint="cs"/>
          <w:sz w:val="24"/>
          <w:szCs w:val="24"/>
          <w:rtl/>
        </w:rPr>
        <w:t>,</w:t>
      </w:r>
      <w:r w:rsidRPr="00F84982">
        <w:rPr>
          <w:rFonts w:ascii="David" w:hAnsi="David" w:cs="David"/>
          <w:sz w:val="24"/>
          <w:szCs w:val="24"/>
          <w:rtl/>
        </w:rPr>
        <w:t xml:space="preserve"> שלאישום הראשון יש לקבוע מתחם שנע בין 12-24 חודשי מאסר, לאישומים השני והשלישי 10-20 חודשים, לרביעי 8-20 חודשים, ולאישום החמישי 40-60 חודשים. כך לצד עונשים נלווים. בשים לב להרשעתו הקודמת של הנאשם, לצורך בהרתעה ולתסקיר שתואר כשלילי, התבקש לגזור לנאשם עונש של 66 חודשי מאסר, מאסר מותנה וקנס. </w:t>
      </w:r>
    </w:p>
    <w:p w14:paraId="4AE32C4F"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ההגנה טענה שיש לקבוע מתחם עונש אחד לכל המעשים. נטען שרוב האישומים מצוי בסמכות בית משפט השלום משדובר ביידוי אבנים. צוין שהנאשם לא הורשע בעבירות לפי חוק המאבק בטרור. </w:t>
      </w:r>
    </w:p>
    <w:p w14:paraId="0827A99F"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גם ההגנה הפנתה לפסיקה, לתמיכה בטיעוניה וטענה כי הענישה המקובלת נמוכה מזו שנטענה בידי המאשימה, וכי עמדתה </w:t>
      </w:r>
      <w:r>
        <w:rPr>
          <w:rFonts w:ascii="David" w:hAnsi="David" w:cs="David" w:hint="cs"/>
          <w:sz w:val="24"/>
          <w:szCs w:val="24"/>
          <w:rtl/>
        </w:rPr>
        <w:t xml:space="preserve">של </w:t>
      </w:r>
      <w:r w:rsidRPr="00F84982">
        <w:rPr>
          <w:rFonts w:ascii="David" w:hAnsi="David" w:cs="David"/>
          <w:sz w:val="24"/>
          <w:szCs w:val="24"/>
          <w:rtl/>
        </w:rPr>
        <w:t xml:space="preserve">האחרונה </w:t>
      </w:r>
      <w:r>
        <w:rPr>
          <w:rFonts w:ascii="David" w:hAnsi="David" w:cs="David" w:hint="cs"/>
          <w:sz w:val="24"/>
          <w:szCs w:val="24"/>
          <w:rtl/>
        </w:rPr>
        <w:t>מופרזת</w:t>
      </w:r>
      <w:r w:rsidRPr="00F84982">
        <w:rPr>
          <w:rFonts w:ascii="David" w:hAnsi="David" w:cs="David"/>
          <w:sz w:val="24"/>
          <w:szCs w:val="24"/>
          <w:rtl/>
        </w:rPr>
        <w:t>. צוינו הגיל הצעיר</w:t>
      </w:r>
      <w:r>
        <w:rPr>
          <w:rFonts w:ascii="David" w:hAnsi="David" w:cs="David" w:hint="cs"/>
          <w:sz w:val="24"/>
          <w:szCs w:val="24"/>
          <w:rtl/>
        </w:rPr>
        <w:t xml:space="preserve"> של הנאשם</w:t>
      </w:r>
      <w:r w:rsidRPr="00F84982">
        <w:rPr>
          <w:rFonts w:ascii="David" w:hAnsi="David" w:cs="David"/>
          <w:sz w:val="24"/>
          <w:szCs w:val="24"/>
          <w:rtl/>
        </w:rPr>
        <w:t>, העדר נזק בפועל</w:t>
      </w:r>
      <w:r>
        <w:rPr>
          <w:rFonts w:ascii="David" w:hAnsi="David" w:cs="David" w:hint="cs"/>
          <w:sz w:val="24"/>
          <w:szCs w:val="24"/>
          <w:rtl/>
        </w:rPr>
        <w:t xml:space="preserve"> ממעשיו</w:t>
      </w:r>
      <w:r w:rsidRPr="00F84982">
        <w:rPr>
          <w:rFonts w:ascii="David" w:hAnsi="David" w:cs="David"/>
          <w:sz w:val="24"/>
          <w:szCs w:val="24"/>
          <w:rtl/>
        </w:rPr>
        <w:t xml:space="preserve">, </w:t>
      </w:r>
      <w:r>
        <w:rPr>
          <w:rFonts w:ascii="David" w:hAnsi="David" w:cs="David" w:hint="cs"/>
          <w:sz w:val="24"/>
          <w:szCs w:val="24"/>
          <w:rtl/>
        </w:rPr>
        <w:t>ו</w:t>
      </w:r>
      <w:r w:rsidRPr="00F84982">
        <w:rPr>
          <w:rFonts w:ascii="David" w:hAnsi="David" w:cs="David"/>
          <w:sz w:val="24"/>
          <w:szCs w:val="24"/>
          <w:rtl/>
        </w:rPr>
        <w:t xml:space="preserve">נטילת האחריות </w:t>
      </w:r>
      <w:r>
        <w:rPr>
          <w:rFonts w:ascii="David" w:hAnsi="David" w:cs="David" w:hint="cs"/>
          <w:sz w:val="24"/>
          <w:szCs w:val="24"/>
          <w:rtl/>
        </w:rPr>
        <w:t xml:space="preserve">שלו. </w:t>
      </w:r>
      <w:r w:rsidRPr="00F84982">
        <w:rPr>
          <w:rFonts w:ascii="David" w:hAnsi="David" w:cs="David"/>
          <w:sz w:val="24"/>
          <w:szCs w:val="24"/>
          <w:rtl/>
        </w:rPr>
        <w:t xml:space="preserve">נטען כי מתחם העונש ההולם נע בין 8-36 חודשי מאסר בפועל, וכי יש לגזור עונש שלא עולה על 20 חודשי מאסר בפועל. </w:t>
      </w:r>
    </w:p>
    <w:p w14:paraId="74A2E0D8" w14:textId="77777777" w:rsidR="00B15416"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הנאשם לא חפץ להוסיף דברים. </w:t>
      </w:r>
    </w:p>
    <w:p w14:paraId="2798C57E" w14:textId="77777777" w:rsidR="00B15416" w:rsidRPr="00F84982" w:rsidRDefault="00B15416" w:rsidP="00B15416">
      <w:pPr>
        <w:bidi w:val="0"/>
        <w:spacing w:before="120" w:after="120" w:line="360" w:lineRule="auto"/>
        <w:rPr>
          <w:rFonts w:ascii="David" w:hAnsi="David"/>
          <w:b/>
          <w:bCs/>
        </w:rPr>
      </w:pPr>
    </w:p>
    <w:p w14:paraId="2ADD328A" w14:textId="77777777" w:rsidR="00B15416" w:rsidRPr="00F84982" w:rsidRDefault="00B15416" w:rsidP="00B15416">
      <w:pPr>
        <w:spacing w:before="120" w:after="120" w:line="360" w:lineRule="auto"/>
        <w:jc w:val="both"/>
        <w:rPr>
          <w:rFonts w:ascii="David" w:hAnsi="David"/>
          <w:b/>
          <w:bCs/>
          <w:rtl/>
        </w:rPr>
      </w:pPr>
      <w:r w:rsidRPr="00F84982">
        <w:rPr>
          <w:rFonts w:ascii="David" w:hAnsi="David"/>
          <w:b/>
          <w:bCs/>
          <w:rtl/>
        </w:rPr>
        <w:t>דיון</w:t>
      </w:r>
    </w:p>
    <w:p w14:paraId="02E8A1B7" w14:textId="77777777" w:rsidR="00B15416" w:rsidRPr="00F84982" w:rsidRDefault="00B15416" w:rsidP="00B15416">
      <w:pPr>
        <w:spacing w:before="120" w:after="120" w:line="360" w:lineRule="auto"/>
        <w:jc w:val="both"/>
        <w:rPr>
          <w:rFonts w:ascii="David" w:hAnsi="David"/>
          <w:b/>
          <w:bCs/>
          <w:rtl/>
        </w:rPr>
      </w:pPr>
      <w:r w:rsidRPr="00F84982">
        <w:rPr>
          <w:rFonts w:ascii="David" w:hAnsi="David"/>
          <w:b/>
          <w:bCs/>
          <w:rtl/>
        </w:rPr>
        <w:t>מתחם העונש ההולם</w:t>
      </w:r>
    </w:p>
    <w:p w14:paraId="3190AB32"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הגם שהנאשם נותן את הדין בגין חמישה אישומים, העוסקים במקרים שונים, הרי שמדובר במקרים שיש ביניהם קשר ענייני הדוק, המלמד כי מדובר ב"אירוע" אחד לצורך קביעת מתחם העונש (לאפיון ה"אירוע" העוסק במספר עבירות לצרכי </w:t>
      </w:r>
      <w:hyperlink r:id="rId38" w:history="1">
        <w:r w:rsidR="00CD5BC3" w:rsidRPr="00CD5BC3">
          <w:rPr>
            <w:rStyle w:val="Hyperlink"/>
            <w:rFonts w:ascii="David" w:hAnsi="David" w:cs="David"/>
            <w:sz w:val="24"/>
            <w:szCs w:val="24"/>
            <w:rtl/>
          </w:rPr>
          <w:t>סעיף 40יג(א)</w:t>
        </w:r>
      </w:hyperlink>
      <w:r w:rsidRPr="00F84982">
        <w:rPr>
          <w:rFonts w:ascii="David" w:hAnsi="David" w:cs="David"/>
          <w:sz w:val="24"/>
          <w:szCs w:val="24"/>
          <w:rtl/>
        </w:rPr>
        <w:t xml:space="preserve"> ל</w:t>
      </w:r>
      <w:hyperlink r:id="rId39" w:history="1">
        <w:r w:rsidR="00D97486" w:rsidRPr="00D97486">
          <w:rPr>
            <w:rFonts w:ascii="David" w:hAnsi="David" w:cs="David"/>
            <w:color w:val="0000FF"/>
            <w:sz w:val="24"/>
            <w:szCs w:val="24"/>
            <w:u w:val="single"/>
            <w:rtl/>
          </w:rPr>
          <w:t>חוק העונשין</w:t>
        </w:r>
      </w:hyperlink>
      <w:r w:rsidRPr="00F84982">
        <w:rPr>
          <w:rFonts w:ascii="David" w:hAnsi="David" w:cs="David"/>
          <w:sz w:val="24"/>
          <w:szCs w:val="24"/>
          <w:rtl/>
        </w:rPr>
        <w:t xml:space="preserve"> בהתאם למבחן "הקשר ההדוק" ראו</w:t>
      </w:r>
      <w:r>
        <w:rPr>
          <w:rFonts w:ascii="David" w:hAnsi="David" w:cs="David" w:hint="cs"/>
          <w:sz w:val="24"/>
          <w:szCs w:val="24"/>
          <w:rtl/>
        </w:rPr>
        <w:t>,</w:t>
      </w:r>
      <w:r w:rsidRPr="00F84982">
        <w:rPr>
          <w:rFonts w:ascii="David" w:hAnsi="David" w:cs="David"/>
          <w:sz w:val="24"/>
          <w:szCs w:val="24"/>
          <w:rtl/>
        </w:rPr>
        <w:t xml:space="preserve"> למשל</w:t>
      </w:r>
      <w:r>
        <w:rPr>
          <w:rFonts w:ascii="David" w:hAnsi="David" w:cs="David" w:hint="cs"/>
          <w:sz w:val="24"/>
          <w:szCs w:val="24"/>
          <w:rtl/>
        </w:rPr>
        <w:t>,</w:t>
      </w:r>
      <w:r w:rsidRPr="00F84982">
        <w:rPr>
          <w:rFonts w:ascii="David" w:hAnsi="David" w:cs="David"/>
          <w:sz w:val="24"/>
          <w:szCs w:val="24"/>
          <w:rtl/>
        </w:rPr>
        <w:t xml:space="preserve"> </w:t>
      </w:r>
      <w:hyperlink r:id="rId40" w:history="1">
        <w:r w:rsidR="00D97486" w:rsidRPr="00D97486">
          <w:rPr>
            <w:rFonts w:ascii="David" w:hAnsi="David" w:cs="David"/>
            <w:color w:val="0000FF"/>
            <w:sz w:val="24"/>
            <w:szCs w:val="24"/>
            <w:u w:val="single"/>
            <w:rtl/>
          </w:rPr>
          <w:t>ע"פ 5668/13</w:t>
        </w:r>
      </w:hyperlink>
      <w:r w:rsidRPr="00F84982">
        <w:rPr>
          <w:rFonts w:ascii="David" w:hAnsi="David" w:cs="David"/>
          <w:sz w:val="24"/>
          <w:szCs w:val="24"/>
          <w:rtl/>
        </w:rPr>
        <w:t xml:space="preserve"> </w:t>
      </w:r>
      <w:r w:rsidRPr="00F84982">
        <w:rPr>
          <w:rFonts w:ascii="David" w:hAnsi="David" w:cs="David" w:hint="cs"/>
          <w:b/>
          <w:bCs/>
          <w:sz w:val="24"/>
          <w:szCs w:val="24"/>
          <w:rtl/>
        </w:rPr>
        <w:t xml:space="preserve">מזרחי נ' מדינת ישראל </w:t>
      </w:r>
      <w:r w:rsidRPr="00F84982">
        <w:rPr>
          <w:rFonts w:ascii="David" w:hAnsi="David" w:cs="David" w:hint="cs"/>
          <w:sz w:val="24"/>
          <w:szCs w:val="24"/>
          <w:rtl/>
        </w:rPr>
        <w:t xml:space="preserve">(17.3.16), </w:t>
      </w:r>
      <w:hyperlink r:id="rId41" w:history="1">
        <w:r w:rsidR="00D97486" w:rsidRPr="00D97486">
          <w:rPr>
            <w:rFonts w:ascii="David" w:hAnsi="David" w:cs="David"/>
            <w:color w:val="0000FF"/>
            <w:sz w:val="24"/>
            <w:szCs w:val="24"/>
            <w:u w:val="single"/>
            <w:rtl/>
          </w:rPr>
          <w:t>ע"פ 1261/15</w:t>
        </w:r>
      </w:hyperlink>
      <w:r w:rsidRPr="00F84982">
        <w:rPr>
          <w:rFonts w:ascii="David" w:hAnsi="David" w:cs="David"/>
          <w:spacing w:val="6"/>
          <w:sz w:val="24"/>
          <w:szCs w:val="24"/>
          <w:rtl/>
        </w:rPr>
        <w:t xml:space="preserve"> </w:t>
      </w:r>
      <w:r w:rsidRPr="00F84982">
        <w:rPr>
          <w:rFonts w:ascii="David" w:hAnsi="David" w:cs="David"/>
          <w:b/>
          <w:bCs/>
          <w:sz w:val="24"/>
          <w:szCs w:val="24"/>
          <w:rtl/>
        </w:rPr>
        <w:t>מדינת ישראל נ' דלאל</w:t>
      </w:r>
      <w:r w:rsidRPr="00F84982">
        <w:rPr>
          <w:rFonts w:ascii="David" w:hAnsi="David" w:cs="David"/>
          <w:spacing w:val="6"/>
          <w:sz w:val="24"/>
          <w:szCs w:val="24"/>
          <w:rtl/>
        </w:rPr>
        <w:t xml:space="preserve"> </w:t>
      </w:r>
      <w:r w:rsidRPr="00F84982">
        <w:rPr>
          <w:rFonts w:ascii="David" w:hAnsi="David" w:cs="David"/>
          <w:sz w:val="24"/>
          <w:szCs w:val="24"/>
          <w:rtl/>
        </w:rPr>
        <w:t xml:space="preserve">(3.9.2015), </w:t>
      </w:r>
      <w:hyperlink r:id="rId42" w:history="1">
        <w:r w:rsidR="00D97486" w:rsidRPr="00D97486">
          <w:rPr>
            <w:rFonts w:ascii="David" w:hAnsi="David" w:cs="David"/>
            <w:color w:val="0000FF"/>
            <w:sz w:val="24"/>
            <w:szCs w:val="24"/>
            <w:u w:val="single"/>
            <w:rtl/>
          </w:rPr>
          <w:t>ע"פ 4910/13</w:t>
        </w:r>
      </w:hyperlink>
      <w:r w:rsidRPr="00F84982">
        <w:rPr>
          <w:rFonts w:ascii="David" w:hAnsi="David" w:cs="David"/>
          <w:sz w:val="24"/>
          <w:szCs w:val="24"/>
          <w:rtl/>
        </w:rPr>
        <w:t xml:space="preserve"> </w:t>
      </w:r>
      <w:r w:rsidRPr="00F84982">
        <w:rPr>
          <w:rFonts w:ascii="David" w:hAnsi="David" w:cs="David" w:hint="cs"/>
          <w:b/>
          <w:bCs/>
          <w:sz w:val="24"/>
          <w:szCs w:val="24"/>
          <w:rtl/>
        </w:rPr>
        <w:t xml:space="preserve">ג'אבר נ' מדינת ישראל </w:t>
      </w:r>
      <w:r w:rsidRPr="00F84982">
        <w:rPr>
          <w:rFonts w:ascii="David" w:hAnsi="David" w:cs="David" w:hint="cs"/>
          <w:sz w:val="24"/>
          <w:szCs w:val="24"/>
          <w:rtl/>
        </w:rPr>
        <w:t xml:space="preserve">(29.10.14), </w:t>
      </w:r>
      <w:hyperlink r:id="rId43" w:history="1">
        <w:r w:rsidR="00D97486" w:rsidRPr="00D97486">
          <w:rPr>
            <w:rFonts w:ascii="David" w:hAnsi="David" w:cs="David"/>
            <w:color w:val="0000FF"/>
            <w:sz w:val="24"/>
            <w:szCs w:val="24"/>
            <w:u w:val="single"/>
            <w:rtl/>
          </w:rPr>
          <w:t>ע"פ 2240/21</w:t>
        </w:r>
      </w:hyperlink>
      <w:r w:rsidRPr="00F84982">
        <w:rPr>
          <w:rFonts w:ascii="David" w:hAnsi="David" w:cs="David"/>
          <w:sz w:val="24"/>
          <w:szCs w:val="24"/>
          <w:rtl/>
        </w:rPr>
        <w:t xml:space="preserve"> </w:t>
      </w:r>
      <w:r w:rsidRPr="00F84982">
        <w:rPr>
          <w:rFonts w:ascii="David" w:hAnsi="David" w:cs="David" w:hint="cs"/>
          <w:b/>
          <w:bCs/>
          <w:sz w:val="24"/>
          <w:szCs w:val="24"/>
          <w:rtl/>
        </w:rPr>
        <w:t xml:space="preserve">מדינת ישראל נ' שחר </w:t>
      </w:r>
      <w:r w:rsidRPr="00F84982">
        <w:rPr>
          <w:rFonts w:ascii="David" w:hAnsi="David" w:cs="David" w:hint="cs"/>
          <w:sz w:val="24"/>
          <w:szCs w:val="24"/>
          <w:rtl/>
        </w:rPr>
        <w:t xml:space="preserve">(8.11.21)). </w:t>
      </w:r>
    </w:p>
    <w:p w14:paraId="16045C1C" w14:textId="77777777" w:rsidR="00B15416"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כלל המקרים התרחשו בסביבת חודש הרמדאן 2022, על רקע המתיחות </w:t>
      </w:r>
      <w:r>
        <w:rPr>
          <w:rFonts w:ascii="David" w:hAnsi="David" w:cs="David" w:hint="cs"/>
          <w:sz w:val="24"/>
          <w:szCs w:val="24"/>
          <w:rtl/>
        </w:rPr>
        <w:t>שחלה ב</w:t>
      </w:r>
      <w:r w:rsidRPr="00F84982">
        <w:rPr>
          <w:rFonts w:ascii="David" w:hAnsi="David" w:cs="David"/>
          <w:sz w:val="24"/>
          <w:szCs w:val="24"/>
          <w:rtl/>
        </w:rPr>
        <w:t>אותה עת ובמסגרת התפרעויות</w:t>
      </w:r>
      <w:r>
        <w:rPr>
          <w:rFonts w:ascii="David" w:hAnsi="David" w:cs="David" w:hint="cs"/>
          <w:sz w:val="24"/>
          <w:szCs w:val="24"/>
          <w:rtl/>
        </w:rPr>
        <w:t>,</w:t>
      </w:r>
      <w:r w:rsidRPr="00F84982">
        <w:rPr>
          <w:rFonts w:ascii="David" w:hAnsi="David" w:cs="David"/>
          <w:sz w:val="24"/>
          <w:szCs w:val="24"/>
          <w:rtl/>
        </w:rPr>
        <w:t xml:space="preserve"> שהתרחשו ב</w:t>
      </w:r>
      <w:r>
        <w:rPr>
          <w:rFonts w:ascii="David" w:hAnsi="David" w:cs="David" w:hint="cs"/>
          <w:sz w:val="24"/>
          <w:szCs w:val="24"/>
          <w:rtl/>
        </w:rPr>
        <w:t xml:space="preserve">אותו מקום - </w:t>
      </w:r>
      <w:r w:rsidRPr="00F84982">
        <w:rPr>
          <w:rFonts w:ascii="David" w:hAnsi="David" w:cs="David"/>
          <w:sz w:val="24"/>
          <w:szCs w:val="24"/>
          <w:rtl/>
        </w:rPr>
        <w:t>הר הבית. בנוסף, הגם שהאקטים הספציפיים שביצע הנאשם אינם זהים בכל מקרה ומקרה, הרי שקיים מכנה משותף רחב בין המקרים שעניינו ב</w:t>
      </w:r>
      <w:r>
        <w:rPr>
          <w:rFonts w:ascii="David" w:hAnsi="David" w:cs="David" w:hint="cs"/>
          <w:sz w:val="24"/>
          <w:szCs w:val="24"/>
          <w:rtl/>
        </w:rPr>
        <w:t xml:space="preserve">מניע הזהה למעשים, ובהיותם </w:t>
      </w:r>
      <w:r w:rsidRPr="00F84982">
        <w:rPr>
          <w:rFonts w:ascii="David" w:hAnsi="David" w:cs="David"/>
          <w:sz w:val="24"/>
          <w:szCs w:val="24"/>
          <w:rtl/>
        </w:rPr>
        <w:t xml:space="preserve">מעשים של פגיעה באחרים או שנועדו לאפשר פגיעה באחרים, בין אם מבקרים או כוחות </w:t>
      </w:r>
      <w:r w:rsidRPr="00F84982">
        <w:rPr>
          <w:rFonts w:ascii="David" w:hAnsi="David" w:cs="David" w:hint="cs"/>
          <w:sz w:val="24"/>
          <w:szCs w:val="24"/>
          <w:rtl/>
        </w:rPr>
        <w:t>הביטחו</w:t>
      </w:r>
      <w:r w:rsidRPr="00F84982">
        <w:rPr>
          <w:rFonts w:ascii="David" w:hAnsi="David" w:cs="David" w:hint="eastAsia"/>
          <w:sz w:val="24"/>
          <w:szCs w:val="24"/>
          <w:rtl/>
        </w:rPr>
        <w:t>ן</w:t>
      </w:r>
      <w:r w:rsidRPr="00F84982">
        <w:rPr>
          <w:rFonts w:ascii="David" w:hAnsi="David" w:cs="David"/>
          <w:sz w:val="24"/>
          <w:szCs w:val="24"/>
          <w:rtl/>
        </w:rPr>
        <w:t xml:space="preserve">, מחוץ למסגד אל-אקצא ומתוכו. קווים משותפים נוספים בין חלק מן המקרים מצויים באקטים כגון יידוי אבנים וחפצים לעבר שוטרים, ניצול החלון השבור לצורך זה, או היות הנאשם רעול פנים. </w:t>
      </w:r>
    </w:p>
    <w:p w14:paraId="404E5877"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בנסיבות אלה, יש לקבוע מתחם עונש לכלל העבירות שביצע הנאשם, אך אין בכך לגרוע ממשקלן של העבירות והאקטים הספציפיים, כמו גם מריבוי המעשים וחזרתם על עצמם, ואלה יישקלו בעיצוב המתחם.</w:t>
      </w:r>
    </w:p>
    <w:p w14:paraId="18A4B336"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הנאשם חטא במעשים חמורים. התפרעויות אלימות של רבים על רקע לאומני, והשימוש במסגרתן באמצעי חבלה כאבנים, בקבוקי תבערה, זיקוקים או חפצים המושלכים לעבר גופם של אנשי כוחות </w:t>
      </w:r>
      <w:r w:rsidRPr="00F84982">
        <w:rPr>
          <w:rFonts w:ascii="David" w:hAnsi="David" w:cs="David" w:hint="cs"/>
          <w:sz w:val="24"/>
          <w:szCs w:val="24"/>
          <w:rtl/>
        </w:rPr>
        <w:t>הביטחו</w:t>
      </w:r>
      <w:r w:rsidRPr="00F84982">
        <w:rPr>
          <w:rFonts w:ascii="David" w:hAnsi="David" w:cs="David" w:hint="eastAsia"/>
          <w:sz w:val="24"/>
          <w:szCs w:val="24"/>
          <w:rtl/>
        </w:rPr>
        <w:t>ן</w:t>
      </w:r>
      <w:r w:rsidRPr="00F84982">
        <w:rPr>
          <w:rFonts w:ascii="David" w:hAnsi="David" w:cs="David"/>
          <w:sz w:val="24"/>
          <w:szCs w:val="24"/>
          <w:rtl/>
        </w:rPr>
        <w:t xml:space="preserve"> או אחרים, מסכנים את הערכים המוגנים שעניינם בשמירה על הסדר הציבורי, על ביטחון הציבור ועל שלמות הגוף והרכוש. בפסיקה הודגש, כי:- </w:t>
      </w:r>
    </w:p>
    <w:p w14:paraId="017BDA44" w14:textId="77777777" w:rsidR="00B15416" w:rsidRPr="00F84982" w:rsidRDefault="00B15416" w:rsidP="00B15416">
      <w:pPr>
        <w:pStyle w:val="a9"/>
        <w:spacing w:before="120" w:after="120" w:line="276" w:lineRule="auto"/>
        <w:ind w:left="360"/>
        <w:contextualSpacing w:val="0"/>
        <w:jc w:val="both"/>
        <w:rPr>
          <w:rFonts w:ascii="FrankRuehl" w:hAnsi="FrankRuehl" w:cs="FrankRuehl"/>
          <w:sz w:val="24"/>
          <w:szCs w:val="24"/>
        </w:rPr>
      </w:pPr>
      <w:r w:rsidRPr="00F84982">
        <w:rPr>
          <w:rFonts w:ascii="FrankRuehl" w:hAnsi="FrankRuehl" w:cs="FrankRuehl"/>
          <w:sz w:val="24"/>
          <w:szCs w:val="24"/>
          <w:rtl/>
        </w:rPr>
        <w:t>"[...] התפרעויות של המונים בכלל, ועל רקע לאומני בפרט, צריכות לזכות בתגובה עונשית קשה וכואבת, ויהיה מוצאם של המתפרעים אשר יהיה. כך נוהגת מדינת חוק. כך זכאים לצפות כל הבאים בשעריו של בית המשפט</w:t>
      </w:r>
      <w:hyperlink r:id="rId44" w:history="1">
        <w:r w:rsidRPr="00F84982">
          <w:rPr>
            <w:rStyle w:val="Hyperlink"/>
            <w:rFonts w:ascii="David" w:hAnsi="David" w:cs="David"/>
            <w:sz w:val="24"/>
            <w:szCs w:val="24"/>
            <w:rtl/>
          </w:rPr>
          <w:t xml:space="preserve"> (ע"פ 2285/05</w:t>
        </w:r>
        <w:r w:rsidR="00D97486">
          <w:rPr>
            <w:rStyle w:val="Hyperlink"/>
            <w:rFonts w:ascii="David" w:hAnsi="David" w:cs="David"/>
            <w:sz w:val="24"/>
            <w:szCs w:val="24"/>
            <w:rtl/>
          </w:rPr>
          <w:t xml:space="preserve"> </w:t>
        </w:r>
        <w:r w:rsidRPr="00F84982">
          <w:rPr>
            <w:rStyle w:val="Hyperlink"/>
            <w:rFonts w:ascii="David" w:hAnsi="David" w:cs="David"/>
            <w:b/>
            <w:bCs/>
            <w:sz w:val="24"/>
            <w:szCs w:val="24"/>
            <w:rtl/>
          </w:rPr>
          <w:t>מדינת ישראל נ' חמד</w:t>
        </w:r>
        <w:r w:rsidR="00D97486">
          <w:rPr>
            <w:rStyle w:val="Hyperlink"/>
            <w:rFonts w:ascii="David" w:hAnsi="David" w:cs="David"/>
            <w:sz w:val="24"/>
            <w:szCs w:val="24"/>
            <w:rtl/>
          </w:rPr>
          <w:t xml:space="preserve"> </w:t>
        </w:r>
        <w:r w:rsidRPr="00F84982">
          <w:rPr>
            <w:rStyle w:val="Hyperlink"/>
            <w:rFonts w:ascii="David" w:hAnsi="David" w:cs="David"/>
            <w:sz w:val="24"/>
            <w:szCs w:val="24"/>
            <w:rtl/>
          </w:rPr>
          <w:t>(5.12.2005)‏</w:t>
        </w:r>
      </w:hyperlink>
      <w:r w:rsidRPr="00F84982">
        <w:rPr>
          <w:rFonts w:ascii="David" w:hAnsi="David" w:cs="David"/>
          <w:sz w:val="24"/>
          <w:szCs w:val="24"/>
          <w:rtl/>
        </w:rPr>
        <w:t>‏)</w:t>
      </w:r>
    </w:p>
    <w:p w14:paraId="0771064C" w14:textId="77777777" w:rsidR="00B15416" w:rsidRPr="00F84982" w:rsidRDefault="00B15416" w:rsidP="00B15416">
      <w:pPr>
        <w:pStyle w:val="a9"/>
        <w:spacing w:before="120" w:after="120" w:line="276" w:lineRule="auto"/>
        <w:ind w:left="360"/>
        <w:contextualSpacing w:val="0"/>
        <w:jc w:val="both"/>
        <w:rPr>
          <w:rFonts w:ascii="FrankRuehl" w:hAnsi="FrankRuehl" w:cs="FrankRuehl"/>
          <w:sz w:val="24"/>
          <w:szCs w:val="24"/>
          <w:rtl/>
        </w:rPr>
      </w:pPr>
      <w:r w:rsidRPr="00F84982">
        <w:rPr>
          <w:rFonts w:ascii="FrankRuehl" w:hAnsi="FrankRuehl" w:cs="FrankRuehl"/>
          <w:sz w:val="24"/>
          <w:szCs w:val="24"/>
          <w:rtl/>
        </w:rPr>
        <w:t>"בית משפט זה עמד לא אחת על החומרה הגלומה בעבירות התפרעויות המונים, אשר מציבות סכנה ישירה וממשית לחיי אדם, ואף עלולות להוביל לפגיעות רציניות בגוף ורכוש. לפיכך, נקבע כי יש לנקוט במדיניות ענישה אשר תרתיע ותרסן התפרעויות העלולות לסחוף המון רב ולצאת מגדר שליטה" (</w:t>
      </w:r>
      <w:hyperlink r:id="rId45" w:history="1">
        <w:r w:rsidRPr="00F84982">
          <w:rPr>
            <w:rStyle w:val="Hyperlink"/>
            <w:rFonts w:ascii="David" w:hAnsi="David" w:cs="David"/>
            <w:sz w:val="24"/>
            <w:szCs w:val="24"/>
            <w:rtl/>
          </w:rPr>
          <w:t>ע"פ 901/22</w:t>
        </w:r>
        <w:r w:rsidR="00D97486">
          <w:rPr>
            <w:rStyle w:val="Hyperlink"/>
            <w:rFonts w:ascii="David" w:hAnsi="David" w:cs="David"/>
            <w:sz w:val="24"/>
            <w:szCs w:val="24"/>
            <w:rtl/>
          </w:rPr>
          <w:t xml:space="preserve"> </w:t>
        </w:r>
        <w:r w:rsidRPr="00F84982">
          <w:rPr>
            <w:rStyle w:val="Hyperlink"/>
            <w:rFonts w:ascii="David" w:hAnsi="David" w:cs="David"/>
            <w:b/>
            <w:bCs/>
            <w:sz w:val="24"/>
            <w:szCs w:val="24"/>
            <w:rtl/>
          </w:rPr>
          <w:t>מדינת ישראל נ' אסווד</w:t>
        </w:r>
        <w:r w:rsidR="00D97486">
          <w:rPr>
            <w:rStyle w:val="Hyperlink"/>
            <w:rFonts w:ascii="David" w:hAnsi="David" w:cs="David"/>
            <w:sz w:val="24"/>
            <w:szCs w:val="24"/>
            <w:rtl/>
          </w:rPr>
          <w:t xml:space="preserve"> </w:t>
        </w:r>
        <w:r w:rsidRPr="00F84982">
          <w:rPr>
            <w:rStyle w:val="Hyperlink"/>
            <w:rFonts w:ascii="David" w:hAnsi="David" w:cs="David"/>
            <w:sz w:val="24"/>
            <w:szCs w:val="24"/>
            <w:rtl/>
          </w:rPr>
          <w:t xml:space="preserve">(24.2.22). ראו גם </w:t>
        </w:r>
        <w:hyperlink r:id="rId46" w:history="1">
          <w:r w:rsidRPr="00F84982">
            <w:rPr>
              <w:rStyle w:val="Hyperlink"/>
              <w:rFonts w:ascii="David" w:hAnsi="David" w:cs="David"/>
              <w:sz w:val="24"/>
              <w:szCs w:val="24"/>
              <w:rtl/>
            </w:rPr>
            <w:t>ע"פ 2313/22</w:t>
          </w:r>
          <w:r w:rsidRPr="00F84982">
            <w:rPr>
              <w:rStyle w:val="Hyperlink"/>
              <w:rFonts w:ascii="David" w:hAnsi="David" w:cs="David"/>
              <w:b/>
              <w:bCs/>
              <w:sz w:val="24"/>
              <w:szCs w:val="24"/>
              <w:rtl/>
            </w:rPr>
            <w:t xml:space="preserve"> סרור נ' מדינת ישראל</w:t>
          </w:r>
          <w:r w:rsidR="00D97486">
            <w:rPr>
              <w:rStyle w:val="Hyperlink"/>
              <w:rFonts w:ascii="David" w:hAnsi="David" w:cs="David"/>
              <w:sz w:val="24"/>
              <w:szCs w:val="24"/>
              <w:rtl/>
            </w:rPr>
            <w:t xml:space="preserve"> </w:t>
          </w:r>
          <w:r w:rsidRPr="00F84982">
            <w:rPr>
              <w:rStyle w:val="Hyperlink"/>
              <w:rFonts w:ascii="David" w:hAnsi="David" w:cs="David"/>
              <w:sz w:val="24"/>
              <w:szCs w:val="24"/>
              <w:rtl/>
            </w:rPr>
            <w:t>(7.11.22)‏</w:t>
          </w:r>
        </w:hyperlink>
        <w:r w:rsidRPr="00F84982">
          <w:rPr>
            <w:rStyle w:val="Hyperlink"/>
            <w:rFonts w:ascii="David" w:hAnsi="David" w:cs="David"/>
            <w:sz w:val="24"/>
            <w:szCs w:val="24"/>
            <w:rtl/>
          </w:rPr>
          <w:t>‏‏</w:t>
        </w:r>
      </w:hyperlink>
      <w:r w:rsidRPr="00F84982">
        <w:rPr>
          <w:rFonts w:ascii="David" w:hAnsi="David" w:cs="David"/>
          <w:sz w:val="24"/>
          <w:szCs w:val="24"/>
          <w:rtl/>
        </w:rPr>
        <w:t>‏).</w:t>
      </w:r>
    </w:p>
    <w:p w14:paraId="160B4FCE" w14:textId="77777777" w:rsidR="00B15416" w:rsidRPr="00F84982" w:rsidRDefault="00B15416" w:rsidP="00B15416">
      <w:pPr>
        <w:pStyle w:val="a9"/>
        <w:numPr>
          <w:ilvl w:val="0"/>
          <w:numId w:val="1"/>
        </w:numPr>
        <w:spacing w:before="240" w:after="120" w:line="360" w:lineRule="auto"/>
        <w:ind w:left="357" w:hanging="357"/>
        <w:contextualSpacing w:val="0"/>
        <w:jc w:val="both"/>
        <w:rPr>
          <w:rFonts w:ascii="David" w:hAnsi="David" w:cs="David"/>
          <w:sz w:val="24"/>
          <w:szCs w:val="24"/>
          <w:rtl/>
        </w:rPr>
      </w:pPr>
      <w:r w:rsidRPr="00F84982">
        <w:rPr>
          <w:rFonts w:ascii="David" w:hAnsi="David" w:cs="David"/>
          <w:sz w:val="24"/>
          <w:szCs w:val="24"/>
          <w:rtl/>
        </w:rPr>
        <w:t>מספר אלמנטים מדגישים את חומרת מעשי הנאשם. כך רגישות המקום בו בחר לבצע את מעשיו: מסגד אל אקצא שעל הר הבית, שעיניים רבות נשואות אליו וש</w:t>
      </w:r>
      <w:r>
        <w:rPr>
          <w:rFonts w:ascii="David" w:hAnsi="David" w:cs="David" w:hint="cs"/>
          <w:sz w:val="24"/>
          <w:szCs w:val="24"/>
          <w:rtl/>
        </w:rPr>
        <w:t xml:space="preserve">בשל משמעותו לרבים, </w:t>
      </w:r>
      <w:r w:rsidRPr="00F84982">
        <w:rPr>
          <w:rFonts w:ascii="David" w:hAnsi="David" w:cs="David"/>
          <w:sz w:val="24"/>
          <w:szCs w:val="24"/>
          <w:rtl/>
        </w:rPr>
        <w:t xml:space="preserve">ההתפרעויות בו עלולות </w:t>
      </w:r>
      <w:r>
        <w:rPr>
          <w:rFonts w:ascii="David" w:hAnsi="David" w:cs="David" w:hint="cs"/>
          <w:sz w:val="24"/>
          <w:szCs w:val="24"/>
          <w:rtl/>
        </w:rPr>
        <w:t>לגלוש ו</w:t>
      </w:r>
      <w:r w:rsidRPr="00F84982">
        <w:rPr>
          <w:rFonts w:ascii="David" w:hAnsi="David" w:cs="David"/>
          <w:sz w:val="24"/>
          <w:szCs w:val="24"/>
          <w:rtl/>
        </w:rPr>
        <w:t>להצית אלימות רחבת-היקף (</w:t>
      </w:r>
      <w:r>
        <w:rPr>
          <w:rFonts w:ascii="David" w:hAnsi="David" w:cs="David" w:hint="cs"/>
          <w:sz w:val="24"/>
          <w:szCs w:val="24"/>
          <w:rtl/>
        </w:rPr>
        <w:t xml:space="preserve">לעניין זה ראו </w:t>
      </w:r>
      <w:hyperlink r:id="rId47" w:history="1">
        <w:r w:rsidR="00D97486" w:rsidRPr="00D97486">
          <w:rPr>
            <w:rFonts w:ascii="David" w:hAnsi="David" w:cs="David"/>
            <w:color w:val="0000FF"/>
            <w:sz w:val="24"/>
            <w:szCs w:val="24"/>
            <w:u w:val="single"/>
            <w:rtl/>
          </w:rPr>
          <w:t>ע"פ 9821/16</w:t>
        </w:r>
      </w:hyperlink>
      <w:r w:rsidRPr="00F84982">
        <w:rPr>
          <w:rFonts w:ascii="David" w:hAnsi="David" w:cs="David"/>
          <w:sz w:val="24"/>
          <w:szCs w:val="24"/>
          <w:rtl/>
        </w:rPr>
        <w:t xml:space="preserve"> </w:t>
      </w:r>
      <w:r w:rsidRPr="00F84982">
        <w:rPr>
          <w:rFonts w:ascii="David" w:hAnsi="David" w:cs="David" w:hint="cs"/>
          <w:b/>
          <w:bCs/>
          <w:sz w:val="24"/>
          <w:szCs w:val="24"/>
          <w:rtl/>
        </w:rPr>
        <w:t xml:space="preserve">פלוני נ' מדינת ישראל </w:t>
      </w:r>
      <w:r w:rsidRPr="00F84982">
        <w:rPr>
          <w:rFonts w:ascii="David" w:hAnsi="David" w:cs="David" w:hint="cs"/>
          <w:sz w:val="24"/>
          <w:szCs w:val="24"/>
          <w:rtl/>
        </w:rPr>
        <w:t xml:space="preserve">(30.11.17), </w:t>
      </w:r>
      <w:hyperlink r:id="rId48" w:history="1">
        <w:r w:rsidR="00D97486" w:rsidRPr="00D97486">
          <w:rPr>
            <w:rFonts w:ascii="David" w:hAnsi="David" w:cs="David"/>
            <w:color w:val="0000FF"/>
            <w:sz w:val="24"/>
            <w:szCs w:val="24"/>
            <w:u w:val="single"/>
            <w:rtl/>
          </w:rPr>
          <w:t>ע"פ 2579/14</w:t>
        </w:r>
      </w:hyperlink>
      <w:r w:rsidRPr="00F84982">
        <w:rPr>
          <w:rFonts w:ascii="David" w:hAnsi="David" w:cs="David" w:hint="cs"/>
          <w:sz w:val="24"/>
          <w:szCs w:val="24"/>
          <w:rtl/>
        </w:rPr>
        <w:t xml:space="preserve"> </w:t>
      </w:r>
      <w:r w:rsidRPr="00F84982">
        <w:rPr>
          <w:rFonts w:ascii="David" w:hAnsi="David" w:cs="David" w:hint="cs"/>
          <w:b/>
          <w:bCs/>
          <w:sz w:val="24"/>
          <w:szCs w:val="24"/>
          <w:rtl/>
        </w:rPr>
        <w:t xml:space="preserve">פרחאן נ' מדינת ישראל </w:t>
      </w:r>
      <w:r w:rsidRPr="00F84982">
        <w:rPr>
          <w:rFonts w:ascii="David" w:hAnsi="David" w:cs="David" w:hint="cs"/>
          <w:sz w:val="24"/>
          <w:szCs w:val="24"/>
          <w:rtl/>
        </w:rPr>
        <w:t xml:space="preserve">(25.5.15), </w:t>
      </w:r>
      <w:hyperlink r:id="rId49" w:history="1">
        <w:r w:rsidR="00D97486" w:rsidRPr="00D97486">
          <w:rPr>
            <w:rFonts w:ascii="David" w:hAnsi="David" w:cs="David"/>
            <w:color w:val="0000FF"/>
            <w:sz w:val="24"/>
            <w:szCs w:val="24"/>
            <w:u w:val="single"/>
            <w:rtl/>
          </w:rPr>
          <w:t>ע"פ 9821/16</w:t>
        </w:r>
      </w:hyperlink>
      <w:r w:rsidRPr="00F84982">
        <w:rPr>
          <w:rFonts w:ascii="David" w:hAnsi="David" w:cs="David" w:hint="cs"/>
          <w:sz w:val="24"/>
          <w:szCs w:val="24"/>
          <w:rtl/>
        </w:rPr>
        <w:t xml:space="preserve"> </w:t>
      </w:r>
      <w:r w:rsidRPr="00F84982">
        <w:rPr>
          <w:rFonts w:ascii="David" w:hAnsi="David" w:cs="David" w:hint="cs"/>
          <w:b/>
          <w:bCs/>
          <w:sz w:val="24"/>
          <w:szCs w:val="24"/>
          <w:rtl/>
        </w:rPr>
        <w:t xml:space="preserve">פלוני נ' מדינת ישראל </w:t>
      </w:r>
      <w:r w:rsidRPr="00F84982">
        <w:rPr>
          <w:rFonts w:ascii="David" w:hAnsi="David" w:cs="David" w:hint="cs"/>
          <w:sz w:val="24"/>
          <w:szCs w:val="24"/>
          <w:rtl/>
        </w:rPr>
        <w:t>(30.11.17)). כך גם רגישות התקופה</w:t>
      </w:r>
      <w:r>
        <w:rPr>
          <w:rFonts w:ascii="David" w:hAnsi="David" w:cs="David" w:hint="cs"/>
          <w:sz w:val="24"/>
          <w:szCs w:val="24"/>
          <w:rtl/>
        </w:rPr>
        <w:t xml:space="preserve"> בה בוצעו המעשים</w:t>
      </w:r>
      <w:r w:rsidRPr="00F84982">
        <w:rPr>
          <w:rFonts w:ascii="David" w:hAnsi="David" w:cs="David" w:hint="cs"/>
          <w:sz w:val="24"/>
          <w:szCs w:val="24"/>
          <w:rtl/>
        </w:rPr>
        <w:t>, של חודש הרמדאן</w:t>
      </w:r>
      <w:r>
        <w:rPr>
          <w:rFonts w:ascii="David" w:hAnsi="David" w:cs="David" w:hint="cs"/>
          <w:sz w:val="24"/>
          <w:szCs w:val="24"/>
          <w:rtl/>
        </w:rPr>
        <w:t>, המעצימה את החשש האמור ואת האתגר המערכתי שבהתמודדות עם התפרעויות בתקופה זו</w:t>
      </w:r>
      <w:r w:rsidRPr="00F84982">
        <w:rPr>
          <w:rFonts w:ascii="David" w:hAnsi="David" w:cs="David" w:hint="cs"/>
          <w:sz w:val="24"/>
          <w:szCs w:val="24"/>
          <w:rtl/>
        </w:rPr>
        <w:t xml:space="preserve">. </w:t>
      </w:r>
    </w:p>
    <w:p w14:paraId="4B0147AC"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עוד </w:t>
      </w:r>
      <w:r>
        <w:rPr>
          <w:rFonts w:ascii="David" w:hAnsi="David" w:cs="David" w:hint="cs"/>
          <w:sz w:val="24"/>
          <w:szCs w:val="24"/>
          <w:rtl/>
        </w:rPr>
        <w:t>יצוינו</w:t>
      </w:r>
      <w:r w:rsidRPr="00F84982">
        <w:rPr>
          <w:rFonts w:ascii="David" w:hAnsi="David" w:cs="David"/>
          <w:sz w:val="24"/>
          <w:szCs w:val="24"/>
          <w:rtl/>
        </w:rPr>
        <w:t xml:space="preserve"> הישנות המעשים ותדירותם. בפרק זמן שאינו ממושך, חזר הנאשם וחטא במעורבות בחמישה מקרים שונים. הדבר מאפיין את חלקו של הנאשם, ככזה שאינו בגדר היסחפות אחר אחרים או מעורבות מזדמנת, כי אם החלטה מודעת לחזור ולשלב את הגעתו </w:t>
      </w:r>
      <w:r>
        <w:rPr>
          <w:rFonts w:ascii="David" w:hAnsi="David" w:cs="David" w:hint="cs"/>
          <w:sz w:val="24"/>
          <w:szCs w:val="24"/>
          <w:rtl/>
        </w:rPr>
        <w:t xml:space="preserve">למסגד </w:t>
      </w:r>
      <w:r w:rsidRPr="00F84982">
        <w:rPr>
          <w:rFonts w:ascii="David" w:hAnsi="David" w:cs="David"/>
          <w:sz w:val="24"/>
          <w:szCs w:val="24"/>
          <w:rtl/>
        </w:rPr>
        <w:t xml:space="preserve">לצרכי תפילה, עם עימותים אלימים. זאת, על רקע אידאולוגי-לאומני שבא לידי ביטוי בטיב המעשים ובאלמנטים כגון הקריאות שצוטטו לעיל, בהן נטל הנאשם חלק, התעטפות בדגל ארגון הטרור חמאס, או ההחלטה לבצע פיגוע דקירה שקודמה עד לשלב מסוים, לרבות בהצטיידות בסכין, אך לא מומשה. </w:t>
      </w:r>
    </w:p>
    <w:p w14:paraId="0B276BAA"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במסגרת המעשים, חטא הנאשם ביידוי חוזר ונשנה של אבנים גדולות וחפצים לעבר שוטרים ומבקרים, כשהוא רעול פנים למניעת זיהוי ותפיסה. גישתו הפסולה מודגמת בהסלמת השימוש באמצעי פגיעה, לכדי יידוי של בקבוק תבערה – אמצעי, שפגיעתו הפוטנציאלית קשה; או בהחלטה ליזום עימותים </w:t>
      </w:r>
      <w:r>
        <w:rPr>
          <w:rFonts w:ascii="David" w:hAnsi="David" w:cs="David" w:hint="cs"/>
          <w:sz w:val="24"/>
          <w:szCs w:val="24"/>
          <w:rtl/>
        </w:rPr>
        <w:t xml:space="preserve">ולהבריח </w:t>
      </w:r>
      <w:r w:rsidRPr="00F84982">
        <w:rPr>
          <w:rFonts w:ascii="David" w:hAnsi="David" w:cs="David"/>
          <w:sz w:val="24"/>
          <w:szCs w:val="24"/>
          <w:rtl/>
        </w:rPr>
        <w:t>לצורך זה זיקוקים למתחם ההר, בהם עשה שימוש כדי ליזום תקיפה של שוטרים, כמפורט בעובדות האישום השני. המכלול מציג את הנאשם כדמות דומיננטית בהפרות הסדר האמורות, דבר שיש בו להדגיש את חומרת מעשיו.</w:t>
      </w:r>
    </w:p>
    <w:p w14:paraId="025A1035"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יש להוסיף ולתת את הדעת לנזק שנגרם, לרבות הצורך של כוחות הביטחון לנהל "קרבות" עם המתפרעים תוך סיכון עצמי, והפציעה של מספר שוטרים (הנזכרת באישום הראשון הגם שלא יוחסה למעשה ישיר של הנאשם). מנגד, יישקל </w:t>
      </w:r>
      <w:r>
        <w:rPr>
          <w:rFonts w:ascii="David" w:hAnsi="David" w:cs="David" w:hint="cs"/>
          <w:sz w:val="24"/>
          <w:szCs w:val="24"/>
          <w:rtl/>
        </w:rPr>
        <w:t xml:space="preserve">לקולה </w:t>
      </w:r>
      <w:r w:rsidRPr="00F84982">
        <w:rPr>
          <w:rFonts w:ascii="David" w:hAnsi="David" w:cs="David"/>
          <w:sz w:val="24"/>
          <w:szCs w:val="24"/>
          <w:rtl/>
        </w:rPr>
        <w:t xml:space="preserve">כי לא נטען לנזק שנגרם בידי הנאשם עצמו. </w:t>
      </w:r>
    </w:p>
    <w:p w14:paraId="542C849D"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לצד הנזק בפועל</w:t>
      </w:r>
      <w:r>
        <w:rPr>
          <w:rFonts w:ascii="David" w:hAnsi="David" w:cs="David" w:hint="cs"/>
          <w:sz w:val="24"/>
          <w:szCs w:val="24"/>
          <w:rtl/>
        </w:rPr>
        <w:t xml:space="preserve">, יש לשקול את פוטנציאל הנזק. </w:t>
      </w:r>
      <w:r w:rsidRPr="00F84982">
        <w:rPr>
          <w:rFonts w:ascii="David" w:hAnsi="David" w:cs="David"/>
          <w:sz w:val="24"/>
          <w:szCs w:val="24"/>
          <w:rtl/>
        </w:rPr>
        <w:t xml:space="preserve">נוכח האמצעים ששימשו </w:t>
      </w:r>
      <w:r>
        <w:rPr>
          <w:rFonts w:ascii="David" w:hAnsi="David" w:cs="David" w:hint="cs"/>
          <w:sz w:val="24"/>
          <w:szCs w:val="24"/>
          <w:rtl/>
        </w:rPr>
        <w:t xml:space="preserve">את הנאשם בניסיון לפגוע באחרים </w:t>
      </w:r>
      <w:r w:rsidRPr="00F84982">
        <w:rPr>
          <w:rFonts w:ascii="David" w:hAnsi="David" w:cs="David"/>
          <w:sz w:val="24"/>
          <w:szCs w:val="24"/>
          <w:rtl/>
        </w:rPr>
        <w:t>ועצמת האירועים</w:t>
      </w:r>
      <w:r>
        <w:rPr>
          <w:rFonts w:ascii="David" w:hAnsi="David" w:cs="David" w:hint="cs"/>
          <w:sz w:val="24"/>
          <w:szCs w:val="24"/>
          <w:rtl/>
        </w:rPr>
        <w:t xml:space="preserve"> בהם השתתף</w:t>
      </w:r>
      <w:r w:rsidRPr="00F84982">
        <w:rPr>
          <w:rFonts w:ascii="David" w:hAnsi="David" w:cs="David"/>
          <w:sz w:val="24"/>
          <w:szCs w:val="24"/>
          <w:rtl/>
        </w:rPr>
        <w:t xml:space="preserve">, </w:t>
      </w:r>
      <w:r>
        <w:rPr>
          <w:rFonts w:ascii="David" w:hAnsi="David" w:cs="David" w:hint="cs"/>
          <w:sz w:val="24"/>
          <w:szCs w:val="24"/>
          <w:rtl/>
        </w:rPr>
        <w:t xml:space="preserve">המדובר בפוטנציאל לא מבוטל לפגיעה בגוף, וכאמור </w:t>
      </w:r>
      <w:r w:rsidRPr="00F84982">
        <w:rPr>
          <w:rFonts w:ascii="David" w:hAnsi="David" w:cs="David"/>
          <w:sz w:val="24"/>
          <w:szCs w:val="24"/>
          <w:rtl/>
        </w:rPr>
        <w:t xml:space="preserve">גם </w:t>
      </w:r>
      <w:r>
        <w:rPr>
          <w:rFonts w:ascii="David" w:hAnsi="David" w:cs="David" w:hint="cs"/>
          <w:sz w:val="24"/>
          <w:szCs w:val="24"/>
          <w:rtl/>
        </w:rPr>
        <w:t xml:space="preserve">סיכון </w:t>
      </w:r>
      <w:r w:rsidRPr="00F84982">
        <w:rPr>
          <w:rFonts w:ascii="David" w:hAnsi="David" w:cs="David"/>
          <w:sz w:val="24"/>
          <w:szCs w:val="24"/>
          <w:rtl/>
        </w:rPr>
        <w:t>להתרחבות המהומות.</w:t>
      </w:r>
    </w:p>
    <w:p w14:paraId="4AE86031"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3E69C8">
        <w:rPr>
          <w:rFonts w:ascii="Miriam" w:hAnsi="Miriam" w:cs="Miriam"/>
          <w:sz w:val="24"/>
          <w:szCs w:val="24"/>
          <w:rtl/>
        </w:rPr>
        <w:t>מבט אל הענישה הנוהגת</w:t>
      </w:r>
      <w:r w:rsidRPr="00F84982">
        <w:rPr>
          <w:rFonts w:ascii="David" w:hAnsi="David" w:cs="David"/>
          <w:sz w:val="24"/>
          <w:szCs w:val="24"/>
          <w:rtl/>
        </w:rPr>
        <w:t xml:space="preserve"> מציג יישום של מדיניות הענישה </w:t>
      </w:r>
      <w:r>
        <w:rPr>
          <w:rFonts w:ascii="David" w:hAnsi="David" w:cs="David" w:hint="cs"/>
          <w:sz w:val="24"/>
          <w:szCs w:val="24"/>
          <w:rtl/>
        </w:rPr>
        <w:t>עליה עמדתי לעיל, העוסקת ב</w:t>
      </w:r>
      <w:r>
        <w:rPr>
          <w:rFonts w:ascii="David" w:hAnsi="David" w:cs="David"/>
          <w:sz w:val="24"/>
          <w:szCs w:val="24"/>
          <w:rtl/>
        </w:rPr>
        <w:t>מקרי התפרעות ואלימות</w:t>
      </w:r>
      <w:r w:rsidRPr="00F84982">
        <w:rPr>
          <w:rFonts w:ascii="David" w:hAnsi="David" w:cs="David"/>
          <w:sz w:val="24"/>
          <w:szCs w:val="24"/>
          <w:rtl/>
        </w:rPr>
        <w:t xml:space="preserve">, בדרך של גזירת עונשי מאסר לתקופות של עשרות חודשים. כך גם בעניינם של צעירים, ואף נטולי עבר פלילי. </w:t>
      </w:r>
    </w:p>
    <w:p w14:paraId="4FBF0A85"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למשל, </w:t>
      </w:r>
      <w:hyperlink r:id="rId50" w:history="1">
        <w:r w:rsidRPr="00F84982">
          <w:rPr>
            <w:rStyle w:val="Hyperlink"/>
            <w:rFonts w:ascii="David" w:hAnsi="David" w:cs="David"/>
            <w:sz w:val="24"/>
            <w:szCs w:val="24"/>
            <w:rtl/>
          </w:rPr>
          <w:t>בת"פ (מחוזי י-ם) 49353-07-21</w:t>
        </w:r>
        <w:r w:rsidR="00D97486">
          <w:rPr>
            <w:rStyle w:val="Hyperlink"/>
            <w:rFonts w:ascii="David" w:hAnsi="David" w:cs="David"/>
            <w:sz w:val="24"/>
            <w:szCs w:val="24"/>
            <w:rtl/>
          </w:rPr>
          <w:t xml:space="preserve"> </w:t>
        </w:r>
        <w:r w:rsidRPr="00F84982">
          <w:rPr>
            <w:rStyle w:val="Hyperlink"/>
            <w:rFonts w:ascii="David" w:hAnsi="David" w:cs="David"/>
            <w:b/>
            <w:bCs/>
            <w:sz w:val="24"/>
            <w:szCs w:val="24"/>
            <w:rtl/>
          </w:rPr>
          <w:t>מדינת ישראל נ' גית</w:t>
        </w:r>
        <w:r w:rsidR="00D97486">
          <w:rPr>
            <w:rStyle w:val="Hyperlink"/>
            <w:rFonts w:ascii="David" w:hAnsi="David" w:cs="David"/>
            <w:sz w:val="24"/>
            <w:szCs w:val="24"/>
            <w:rtl/>
          </w:rPr>
          <w:t xml:space="preserve"> </w:t>
        </w:r>
        <w:r w:rsidRPr="00F84982">
          <w:rPr>
            <w:rStyle w:val="Hyperlink"/>
            <w:rFonts w:ascii="David" w:hAnsi="David" w:cs="David"/>
            <w:sz w:val="24"/>
            <w:szCs w:val="24"/>
            <w:rtl/>
          </w:rPr>
          <w:t>(17.11.2022)‏</w:t>
        </w:r>
      </w:hyperlink>
      <w:r w:rsidRPr="00F84982">
        <w:rPr>
          <w:rFonts w:ascii="David" w:hAnsi="David" w:cs="David"/>
          <w:sz w:val="24"/>
          <w:szCs w:val="24"/>
          <w:rtl/>
        </w:rPr>
        <w:t>‏ נדון מי שבגיל 19 וחצי השתתף בארבעה מקרי התפרעות, אחד מהם בהר הבית, בהם יידה אבנים וירה זיקוקים כלפי בתי יהודים וכלפי שוטרים. הוא הודה במעשים, ושירות המבחן המליץ לגזור לו עונש מרתיע אך בשים לב לשיקולי שיקומו. נפסק, כי מתחם העונש ההולם בעניינו כולל מאסר לתקופה שבין 32-48 חודשים. בהעדר הרשעות, נוכח נטילת אחריות והבעת חרטה, ומשההליך</w:t>
      </w:r>
      <w:r>
        <w:rPr>
          <w:rFonts w:ascii="David" w:hAnsi="David" w:cs="David" w:hint="cs"/>
          <w:sz w:val="24"/>
          <w:szCs w:val="24"/>
          <w:rtl/>
        </w:rPr>
        <w:t xml:space="preserve"> </w:t>
      </w:r>
      <w:r w:rsidRPr="00F84982">
        <w:rPr>
          <w:rFonts w:ascii="David" w:hAnsi="David" w:cs="David"/>
          <w:sz w:val="24"/>
          <w:szCs w:val="24"/>
          <w:rtl/>
        </w:rPr>
        <w:t xml:space="preserve">שימש עבורו גורם מרתיע, נגזרו עליו 32 חודשי מאסר ומאסר על תנאי. </w:t>
      </w:r>
    </w:p>
    <w:p w14:paraId="6F037E89"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ב</w:t>
      </w:r>
      <w:hyperlink r:id="rId51" w:history="1">
        <w:r w:rsidRPr="00F84982">
          <w:rPr>
            <w:rStyle w:val="Hyperlink"/>
            <w:rFonts w:ascii="David" w:hAnsi="David" w:cs="David"/>
            <w:sz w:val="24"/>
            <w:szCs w:val="24"/>
            <w:rtl/>
          </w:rPr>
          <w:t>ת"פ (מחוזי י-ם) 40118-06-21</w:t>
        </w:r>
        <w:r w:rsidR="00D97486">
          <w:rPr>
            <w:rStyle w:val="Hyperlink"/>
            <w:rFonts w:ascii="David" w:hAnsi="David" w:cs="David"/>
            <w:sz w:val="24"/>
            <w:szCs w:val="24"/>
            <w:rtl/>
          </w:rPr>
          <w:t xml:space="preserve"> </w:t>
        </w:r>
        <w:r w:rsidRPr="00F84982">
          <w:rPr>
            <w:rStyle w:val="Hyperlink"/>
            <w:rFonts w:ascii="David" w:hAnsi="David" w:cs="David"/>
            <w:b/>
            <w:bCs/>
            <w:sz w:val="24"/>
            <w:szCs w:val="24"/>
            <w:rtl/>
          </w:rPr>
          <w:t>מדינת ישראל נ' ראזם</w:t>
        </w:r>
        <w:r w:rsidR="00D97486">
          <w:rPr>
            <w:rStyle w:val="Hyperlink"/>
            <w:rFonts w:ascii="David" w:hAnsi="David" w:cs="David"/>
            <w:sz w:val="24"/>
            <w:szCs w:val="24"/>
            <w:rtl/>
          </w:rPr>
          <w:t xml:space="preserve"> </w:t>
        </w:r>
        <w:r w:rsidRPr="00F84982">
          <w:rPr>
            <w:rStyle w:val="Hyperlink"/>
            <w:rFonts w:ascii="David" w:hAnsi="David" w:cs="David"/>
            <w:sz w:val="24"/>
            <w:szCs w:val="24"/>
            <w:rtl/>
          </w:rPr>
          <w:t>(5.1.2022)‏</w:t>
        </w:r>
      </w:hyperlink>
      <w:r w:rsidRPr="00F84982">
        <w:rPr>
          <w:rFonts w:ascii="David" w:hAnsi="David" w:cs="David"/>
          <w:sz w:val="24"/>
          <w:szCs w:val="24"/>
          <w:rtl/>
        </w:rPr>
        <w:t xml:space="preserve">‏ נדונו עבירות שבוצעו על רקע התקופה הטעונה שקדמה למבצע "שומר החומות". הנאשם שם, צעיר כבן 19 ללא הרשעות קודמות, הורשע לפי הודאתו בכך שהשתתף בהתפרעות ברחבת הר הבית בתום תפילות יום השישי, ויידה לעבר כוחות הביטחון מספר אבנים גדולות ממרחק קצר. בנוסף, הצית בקבוק תבערה ויידה אותו לעבר הכוחות ממרחק דומה. במקרה נוסף השתתף בהתפרעות בשכונת בית חנינה בירושלים שכללה הצתת פחים וחסימת צירים, ויידה אבנים לעבר כוחות הביטחון ממרחק קצר. נקבע כי מתחם העונש ההולם למעשים נע בין 20 ל-40 חודשי מאסר בפועל, בתוספת מאסר על תנאי וקנס. בשל נסיבות הנאשם ומאידך פערים בנטילת האחריות והמלצת שירות המבחן על מאסר לא ארוך, נגזרו לאותו נאשם 25 חודשי מאסר, מאסר על תנאי וקנס. </w:t>
      </w:r>
    </w:p>
    <w:p w14:paraId="741A2F06" w14:textId="77777777" w:rsidR="00B15416" w:rsidRPr="00F84982" w:rsidRDefault="00FC12E1" w:rsidP="00B15416">
      <w:pPr>
        <w:pStyle w:val="a9"/>
        <w:spacing w:before="120" w:after="120" w:line="360" w:lineRule="auto"/>
        <w:ind w:left="360"/>
        <w:contextualSpacing w:val="0"/>
        <w:jc w:val="both"/>
        <w:rPr>
          <w:rFonts w:ascii="David" w:hAnsi="David" w:cs="David"/>
          <w:sz w:val="24"/>
          <w:szCs w:val="24"/>
          <w:rtl/>
        </w:rPr>
      </w:pPr>
      <w:hyperlink r:id="rId52" w:history="1">
        <w:r w:rsidR="00B15416" w:rsidRPr="00F84982">
          <w:rPr>
            <w:rStyle w:val="Hyperlink"/>
            <w:rFonts w:ascii="David" w:hAnsi="David" w:cs="David"/>
            <w:sz w:val="24"/>
            <w:szCs w:val="24"/>
            <w:rtl/>
          </w:rPr>
          <w:t>בע"פ 2390/17</w:t>
        </w:r>
        <w:r w:rsidR="00B15416" w:rsidRPr="00F84982">
          <w:rPr>
            <w:rStyle w:val="Hyperlink"/>
            <w:rFonts w:ascii="David" w:hAnsi="David" w:cs="David"/>
            <w:b/>
            <w:bCs/>
            <w:sz w:val="24"/>
            <w:szCs w:val="24"/>
            <w:rtl/>
          </w:rPr>
          <w:t xml:space="preserve"> מרזיק נ' מדינת ישראל</w:t>
        </w:r>
        <w:r w:rsidR="00D97486">
          <w:rPr>
            <w:rStyle w:val="Hyperlink"/>
            <w:rFonts w:ascii="David" w:hAnsi="David" w:cs="David"/>
            <w:sz w:val="24"/>
            <w:szCs w:val="24"/>
            <w:rtl/>
          </w:rPr>
          <w:t xml:space="preserve"> </w:t>
        </w:r>
        <w:r w:rsidR="00B15416" w:rsidRPr="00F84982">
          <w:rPr>
            <w:rStyle w:val="Hyperlink"/>
            <w:rFonts w:ascii="David" w:hAnsi="David" w:cs="David"/>
            <w:sz w:val="24"/>
            <w:szCs w:val="24"/>
            <w:rtl/>
          </w:rPr>
          <w:t>(28.12.2017)‏</w:t>
        </w:r>
      </w:hyperlink>
      <w:r w:rsidR="00B15416" w:rsidRPr="00F84982">
        <w:rPr>
          <w:rFonts w:ascii="David" w:hAnsi="David" w:cs="David"/>
          <w:sz w:val="24"/>
          <w:szCs w:val="24"/>
          <w:rtl/>
        </w:rPr>
        <w:t xml:space="preserve">‏ נדונה השתתפות במספר התפרעויות כנגד כוחות </w:t>
      </w:r>
      <w:r w:rsidR="00B15416" w:rsidRPr="00F84982">
        <w:rPr>
          <w:rFonts w:ascii="David" w:hAnsi="David" w:cs="David" w:hint="cs"/>
          <w:sz w:val="24"/>
          <w:szCs w:val="24"/>
          <w:rtl/>
        </w:rPr>
        <w:t>הביטחו</w:t>
      </w:r>
      <w:r w:rsidR="00B15416" w:rsidRPr="00F84982">
        <w:rPr>
          <w:rFonts w:ascii="David" w:hAnsi="David" w:cs="David" w:hint="eastAsia"/>
          <w:sz w:val="24"/>
          <w:szCs w:val="24"/>
          <w:rtl/>
        </w:rPr>
        <w:t>ן</w:t>
      </w:r>
      <w:r w:rsidR="00B15416" w:rsidRPr="00F84982">
        <w:rPr>
          <w:rFonts w:ascii="David" w:hAnsi="David" w:cs="David"/>
          <w:sz w:val="24"/>
          <w:szCs w:val="24"/>
          <w:rtl/>
        </w:rPr>
        <w:t xml:space="preserve">, שתיים מהן בשועפאט (תוך יידוי בקבוק תבערה לעבר כוחות </w:t>
      </w:r>
      <w:r w:rsidR="00B15416" w:rsidRPr="00F84982">
        <w:rPr>
          <w:rFonts w:ascii="David" w:hAnsi="David" w:cs="David" w:hint="cs"/>
          <w:sz w:val="24"/>
          <w:szCs w:val="24"/>
          <w:rtl/>
        </w:rPr>
        <w:t>הביטחו</w:t>
      </w:r>
      <w:r w:rsidR="00B15416" w:rsidRPr="00F84982">
        <w:rPr>
          <w:rFonts w:ascii="David" w:hAnsi="David" w:cs="David" w:hint="eastAsia"/>
          <w:sz w:val="24"/>
          <w:szCs w:val="24"/>
          <w:rtl/>
        </w:rPr>
        <w:t>ן</w:t>
      </w:r>
      <w:r w:rsidR="00B15416" w:rsidRPr="00F84982">
        <w:rPr>
          <w:rFonts w:ascii="David" w:hAnsi="David" w:cs="David"/>
          <w:sz w:val="24"/>
          <w:szCs w:val="24"/>
          <w:rtl/>
        </w:rPr>
        <w:t xml:space="preserve">, יידוי אבנים וירי זיקוקים), האחת בהר הבית במסגרתה גנב מגן מתחנת משטרה שנפרצה, והתפרעות נוספת בג'בל מוכבר. לצד אלה, הורשע המערער שם ביציאה שלא כדין לפי </w:t>
      </w:r>
      <w:hyperlink r:id="rId53" w:history="1">
        <w:r w:rsidR="00CD5BC3" w:rsidRPr="00CD5BC3">
          <w:rPr>
            <w:rStyle w:val="Hyperlink"/>
            <w:rFonts w:ascii="David" w:hAnsi="David" w:cs="David"/>
            <w:sz w:val="24"/>
            <w:szCs w:val="24"/>
            <w:rtl/>
          </w:rPr>
          <w:t>סעיף 2א</w:t>
        </w:r>
      </w:hyperlink>
      <w:r w:rsidR="00B15416" w:rsidRPr="00F84982">
        <w:rPr>
          <w:rFonts w:ascii="David" w:hAnsi="David" w:cs="David"/>
          <w:sz w:val="24"/>
          <w:szCs w:val="24"/>
          <w:rtl/>
        </w:rPr>
        <w:t xml:space="preserve"> ל</w:t>
      </w:r>
      <w:hyperlink r:id="rId54" w:history="1">
        <w:r w:rsidR="00D97486" w:rsidRPr="00D97486">
          <w:rPr>
            <w:rFonts w:ascii="David" w:hAnsi="David" w:cs="David"/>
            <w:color w:val="0000FF"/>
            <w:sz w:val="24"/>
            <w:szCs w:val="24"/>
            <w:u w:val="single"/>
            <w:rtl/>
          </w:rPr>
          <w:t>חוק למניעת הסתננות (עבירות ושיפוט)</w:t>
        </w:r>
      </w:hyperlink>
      <w:r w:rsidR="00B15416" w:rsidRPr="00F84982">
        <w:rPr>
          <w:rFonts w:ascii="David" w:hAnsi="David" w:cs="David"/>
          <w:sz w:val="24"/>
          <w:szCs w:val="24"/>
          <w:rtl/>
        </w:rPr>
        <w:t xml:space="preserve">, התשי"ד-1954, בשל השתתפות במחנה בלבנון ונטילת חלק בפעילות הסברה בנוגע לפעולות חיזבאללה. בבית משפט זה נגזר עונש של 48 חודשי מאסר בפועל, ומאסרים על תנאי. בית המשפט העליון עמד על ההכרח בענישה הולמת ועל מגמת ההחמרה בענישה בעבירות מהסוג האמור, אך בשל נטילת האחריות, התנהגות נורמטיבית ותרומה לחברה, וכדי לעודד את המערער, החליט שחמישה חודשי מאסר, שנגזרו בשל עבירת היציאה שלא כדין, ירוצו בחופף ליתרת העונש כך שבסך הכל נגזר על המערער לרצות 43 חודשי מאסר. </w:t>
      </w:r>
    </w:p>
    <w:p w14:paraId="2B8AF0B1" w14:textId="77777777" w:rsidR="00B15416" w:rsidRPr="00F84982"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ב</w:t>
      </w:r>
      <w:hyperlink r:id="rId55" w:history="1">
        <w:r w:rsidRPr="00F84982">
          <w:rPr>
            <w:rStyle w:val="Hyperlink"/>
            <w:rFonts w:ascii="David" w:hAnsi="David" w:cs="David"/>
            <w:sz w:val="24"/>
            <w:szCs w:val="24"/>
            <w:rtl/>
          </w:rPr>
          <w:t>ע"פ 9723/16</w:t>
        </w:r>
        <w:r w:rsidR="00D97486">
          <w:rPr>
            <w:rStyle w:val="Hyperlink"/>
            <w:rFonts w:ascii="David" w:hAnsi="David" w:cs="David"/>
            <w:sz w:val="24"/>
            <w:szCs w:val="24"/>
            <w:rtl/>
          </w:rPr>
          <w:t xml:space="preserve"> </w:t>
        </w:r>
        <w:r w:rsidRPr="00F84982">
          <w:rPr>
            <w:rStyle w:val="Hyperlink"/>
            <w:rFonts w:ascii="David" w:hAnsi="David" w:cs="David"/>
            <w:b/>
            <w:bCs/>
            <w:sz w:val="24"/>
            <w:szCs w:val="24"/>
            <w:rtl/>
          </w:rPr>
          <w:t>נאצר נ' מדינת ישראל</w:t>
        </w:r>
        <w:r w:rsidR="00D97486">
          <w:rPr>
            <w:rStyle w:val="Hyperlink"/>
            <w:rFonts w:ascii="David" w:hAnsi="David" w:cs="David"/>
            <w:sz w:val="24"/>
            <w:szCs w:val="24"/>
            <w:rtl/>
          </w:rPr>
          <w:t xml:space="preserve"> </w:t>
        </w:r>
        <w:r w:rsidRPr="00F84982">
          <w:rPr>
            <w:rStyle w:val="Hyperlink"/>
            <w:rFonts w:ascii="David" w:hAnsi="David" w:cs="David"/>
            <w:sz w:val="24"/>
            <w:szCs w:val="24"/>
            <w:rtl/>
          </w:rPr>
          <w:t>(26.10.2017)‏</w:t>
        </w:r>
      </w:hyperlink>
      <w:r w:rsidRPr="00F84982">
        <w:rPr>
          <w:rFonts w:ascii="David" w:hAnsi="David" w:cs="David"/>
          <w:sz w:val="24"/>
          <w:szCs w:val="24"/>
          <w:rtl/>
        </w:rPr>
        <w:t xml:space="preserve">‏ נדון מי שבמקרה ראשון סייע לאחרים לרכוש בנזין ולייצר בקבוקי תבערה, ובהמשך חסם כביש ובכך עזר לצעירים אשר יידו אבנים ואת בקבוקי התבערה לעבר כלי רכב של כוחות הביטחון, בעודם רעולי פנים. במקרה נוסף השתתף בהפרת סדר במזרח ירושלים ויידה אבנים לעבר כלי רכב של משמר הגבול, בעודו רעול פנים. גם במקרה שלישי הצטרף להתפרעות ויידה אבנים לעבר כוחות הביטחון ממרחק קצר. </w:t>
      </w:r>
    </w:p>
    <w:p w14:paraId="0C40855B" w14:textId="77777777" w:rsidR="00B15416" w:rsidRPr="00F84982" w:rsidRDefault="00B15416" w:rsidP="00B15416">
      <w:pPr>
        <w:pStyle w:val="a9"/>
        <w:spacing w:before="120" w:after="120" w:line="360" w:lineRule="auto"/>
        <w:ind w:left="360"/>
        <w:contextualSpacing w:val="0"/>
        <w:jc w:val="both"/>
        <w:rPr>
          <w:rFonts w:ascii="FrankRuehl" w:hAnsi="FrankRuehl" w:cs="FrankRuehl"/>
          <w:sz w:val="24"/>
          <w:szCs w:val="24"/>
          <w:rtl/>
        </w:rPr>
      </w:pPr>
      <w:r w:rsidRPr="00F84982">
        <w:rPr>
          <w:rFonts w:ascii="David" w:hAnsi="David" w:cs="David"/>
          <w:sz w:val="24"/>
          <w:szCs w:val="24"/>
          <w:rtl/>
        </w:rPr>
        <w:t xml:space="preserve">נגזרו עליו 45 חודשי מאסר ומאסר על תנאי. ערעורו לבית המשפט העליון נדחה, כשבין היתר נקבע כי </w:t>
      </w:r>
      <w:r w:rsidRPr="00F84982">
        <w:rPr>
          <w:rFonts w:ascii="FrankRuehl" w:hAnsi="FrankRuehl" w:cs="FrankRuehl"/>
          <w:sz w:val="24"/>
          <w:szCs w:val="24"/>
          <w:rtl/>
        </w:rPr>
        <w:t xml:space="preserve">"אנו סבורים שיש לתת משקל אף למעורבותו של המערער במספר עבירות שבוצעו וזאת במשך תקופת זמן קצרה יחסית". </w:t>
      </w:r>
    </w:p>
    <w:p w14:paraId="22489960" w14:textId="77777777" w:rsidR="00B15416" w:rsidRDefault="00B15416" w:rsidP="00B15416">
      <w:pPr>
        <w:pStyle w:val="a9"/>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בת"פ 4369-05-21 (מחוזי י-ם) </w:t>
      </w:r>
      <w:r w:rsidRPr="00F84982">
        <w:rPr>
          <w:rFonts w:ascii="David" w:hAnsi="David" w:cs="David"/>
          <w:b/>
          <w:bCs/>
          <w:sz w:val="24"/>
          <w:szCs w:val="24"/>
          <w:rtl/>
        </w:rPr>
        <w:t>מדינת ישראל נ' עביד</w:t>
      </w:r>
      <w:r w:rsidRPr="00F84982">
        <w:rPr>
          <w:rFonts w:ascii="David" w:hAnsi="David" w:cs="David"/>
          <w:sz w:val="24"/>
          <w:szCs w:val="24"/>
          <w:rtl/>
        </w:rPr>
        <w:t xml:space="preserve"> (17.1.22) נדון מי שהורשע לפי הודאתו בארבעה מקרים. בשלושה מהם נטל חלק בעימותים בעיסאוויה, שחלקם כלל גם שימוש (לא של הנאשם) בבקבוקי תבערה ובזיקוקים, ויידה אבנים לעבר כוחות הביטחון. במקרה רביעי יידה אבן לעבר ניידת משטרה ופגע בה, וזאת במהלך חזרתו מן העבודה לביתו. נפסק, כי מתחם העונש ההולם בעניינו נע בין 24 ל-48 חודשי מאסר בפועל. בהיותו אדם נשוי ואב לילד, שנטל אחריות ונעדר עבר פלילי, נגזרו עליו 24 חודשי מאסר בפועל, ומאסר על תנאי. </w:t>
      </w:r>
    </w:p>
    <w:p w14:paraId="5630BCE2" w14:textId="77777777" w:rsidR="00B15416" w:rsidRPr="00037992" w:rsidRDefault="00B15416" w:rsidP="00B1541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ראו בנוסף את פסקי הדין הבאים, מתוך הפסיקה אליה הפנו הצדדים: </w:t>
      </w:r>
      <w:hyperlink r:id="rId56" w:history="1">
        <w:r w:rsidR="00D97486" w:rsidRPr="00D97486">
          <w:rPr>
            <w:rFonts w:ascii="David" w:hAnsi="David" w:cs="David"/>
            <w:color w:val="0000FF"/>
            <w:sz w:val="24"/>
            <w:szCs w:val="24"/>
            <w:u w:val="single"/>
            <w:rtl/>
          </w:rPr>
          <w:t>ת"פ 27544-05-22</w:t>
        </w:r>
      </w:hyperlink>
      <w:r>
        <w:rPr>
          <w:rFonts w:ascii="David" w:hAnsi="David" w:cs="David" w:hint="cs"/>
          <w:sz w:val="24"/>
          <w:szCs w:val="24"/>
          <w:rtl/>
        </w:rPr>
        <w:t xml:space="preserve"> (מחוזי י-ם) </w:t>
      </w:r>
      <w:r>
        <w:rPr>
          <w:rFonts w:ascii="David" w:hAnsi="David" w:cs="David" w:hint="cs"/>
          <w:b/>
          <w:bCs/>
          <w:sz w:val="24"/>
          <w:szCs w:val="24"/>
          <w:rtl/>
        </w:rPr>
        <w:t xml:space="preserve">מדינת ישראל נ' אבו ג'נאם </w:t>
      </w:r>
      <w:r>
        <w:rPr>
          <w:rFonts w:ascii="David" w:hAnsi="David" w:cs="David" w:hint="cs"/>
          <w:sz w:val="24"/>
          <w:szCs w:val="24"/>
          <w:rtl/>
        </w:rPr>
        <w:t xml:space="preserve">(9.5.23), </w:t>
      </w:r>
      <w:hyperlink r:id="rId57" w:history="1">
        <w:r w:rsidR="00D97486" w:rsidRPr="00D97486">
          <w:rPr>
            <w:rFonts w:ascii="David" w:hAnsi="David" w:cs="David"/>
            <w:color w:val="0000FF"/>
            <w:sz w:val="24"/>
            <w:szCs w:val="24"/>
            <w:u w:val="single"/>
            <w:rtl/>
          </w:rPr>
          <w:t>ת"פ 56327-08-21</w:t>
        </w:r>
      </w:hyperlink>
      <w:r>
        <w:rPr>
          <w:rFonts w:ascii="David" w:hAnsi="David" w:cs="David" w:hint="cs"/>
          <w:sz w:val="24"/>
          <w:szCs w:val="24"/>
          <w:rtl/>
        </w:rPr>
        <w:t xml:space="preserve"> (מחוזי י-ם) </w:t>
      </w:r>
      <w:r>
        <w:rPr>
          <w:rFonts w:ascii="David" w:hAnsi="David" w:cs="David" w:hint="cs"/>
          <w:b/>
          <w:bCs/>
          <w:sz w:val="24"/>
          <w:szCs w:val="24"/>
          <w:rtl/>
        </w:rPr>
        <w:t xml:space="preserve">מדינת ישראל נ' סלאח </w:t>
      </w:r>
      <w:r>
        <w:rPr>
          <w:rFonts w:ascii="David" w:hAnsi="David" w:cs="David" w:hint="cs"/>
          <w:sz w:val="24"/>
          <w:szCs w:val="24"/>
          <w:rtl/>
        </w:rPr>
        <w:t xml:space="preserve">(7.3.22), </w:t>
      </w:r>
      <w:hyperlink r:id="rId58" w:history="1">
        <w:r w:rsidR="00D97486" w:rsidRPr="00D97486">
          <w:rPr>
            <w:rFonts w:ascii="David" w:hAnsi="David" w:cs="David"/>
            <w:color w:val="0000FF"/>
            <w:sz w:val="24"/>
            <w:szCs w:val="24"/>
            <w:u w:val="single"/>
            <w:rtl/>
          </w:rPr>
          <w:t>ת"פ 21278-09-21</w:t>
        </w:r>
      </w:hyperlink>
      <w:r>
        <w:rPr>
          <w:rFonts w:ascii="David" w:hAnsi="David" w:cs="David" w:hint="cs"/>
          <w:sz w:val="24"/>
          <w:szCs w:val="24"/>
          <w:rtl/>
        </w:rPr>
        <w:t xml:space="preserve"> (מחוזי י-ם) </w:t>
      </w:r>
      <w:r>
        <w:rPr>
          <w:rFonts w:ascii="David" w:hAnsi="David" w:cs="David" w:hint="cs"/>
          <w:b/>
          <w:bCs/>
          <w:sz w:val="24"/>
          <w:szCs w:val="24"/>
          <w:rtl/>
        </w:rPr>
        <w:t xml:space="preserve">מדינת ישראל נ' נאסר </w:t>
      </w:r>
      <w:r>
        <w:rPr>
          <w:rFonts w:ascii="David" w:hAnsi="David" w:cs="David" w:hint="cs"/>
          <w:sz w:val="24"/>
          <w:szCs w:val="24"/>
          <w:rtl/>
        </w:rPr>
        <w:t>(7.6.22).</w:t>
      </w:r>
    </w:p>
    <w:p w14:paraId="26CB0F1B"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tl/>
        </w:rPr>
      </w:pPr>
      <w:r w:rsidRPr="00F84982">
        <w:rPr>
          <w:rFonts w:ascii="David" w:hAnsi="David" w:cs="David"/>
          <w:sz w:val="24"/>
          <w:szCs w:val="24"/>
          <w:rtl/>
        </w:rPr>
        <w:t xml:space="preserve">על רקע </w:t>
      </w:r>
      <w:r>
        <w:rPr>
          <w:rFonts w:ascii="David" w:hAnsi="David" w:cs="David" w:hint="cs"/>
          <w:sz w:val="24"/>
          <w:szCs w:val="24"/>
          <w:rtl/>
        </w:rPr>
        <w:t>הענישה הנוהגת</w:t>
      </w:r>
      <w:r w:rsidRPr="00F84982">
        <w:rPr>
          <w:rFonts w:ascii="David" w:hAnsi="David" w:cs="David"/>
          <w:sz w:val="24"/>
          <w:szCs w:val="24"/>
          <w:rtl/>
        </w:rPr>
        <w:t xml:space="preserve">, ובשים לב לשיקולים שפורטו לעיל לרבות מספר המקרים בהם השתתף הנאשם, השימוש באמצעים פוגעניים </w:t>
      </w:r>
      <w:r>
        <w:rPr>
          <w:rFonts w:ascii="David" w:hAnsi="David" w:cs="David" w:hint="cs"/>
          <w:sz w:val="24"/>
          <w:szCs w:val="24"/>
          <w:rtl/>
        </w:rPr>
        <w:t xml:space="preserve">ופוטנציאל הנזק, </w:t>
      </w:r>
      <w:r w:rsidRPr="00F84982">
        <w:rPr>
          <w:rFonts w:ascii="David" w:hAnsi="David" w:cs="David" w:hint="cs"/>
          <w:sz w:val="24"/>
          <w:szCs w:val="24"/>
          <w:rtl/>
        </w:rPr>
        <w:t>ואפיונו</w:t>
      </w:r>
      <w:r w:rsidRPr="00F84982">
        <w:rPr>
          <w:rFonts w:ascii="David" w:hAnsi="David" w:cs="David"/>
          <w:sz w:val="24"/>
          <w:szCs w:val="24"/>
          <w:rtl/>
        </w:rPr>
        <w:t xml:space="preserve"> כדמות דומיננטית ויוזמת בהפרות הסדר, </w:t>
      </w:r>
      <w:r>
        <w:rPr>
          <w:rFonts w:ascii="David" w:hAnsi="David" w:cs="David" w:hint="cs"/>
          <w:sz w:val="24"/>
          <w:szCs w:val="24"/>
          <w:rtl/>
        </w:rPr>
        <w:t xml:space="preserve">ומנגד העדרו של נזק ישיר, </w:t>
      </w:r>
      <w:r w:rsidRPr="00F84982">
        <w:rPr>
          <w:rFonts w:ascii="David" w:hAnsi="David" w:cs="David"/>
          <w:sz w:val="24"/>
          <w:szCs w:val="24"/>
          <w:rtl/>
        </w:rPr>
        <w:t>אני קובע כי מתחם העונש ההולם לעבירות בהן הורשע, בנסיבות ביצוען, כולל מאסר לתקופה שבין 25-50 חודשים, ומאסר על תנאי. בהעדר מניע כלכלי או רווח מן העבירות, לא מצאתי לשלב קנס במתחם העונש.</w:t>
      </w:r>
    </w:p>
    <w:p w14:paraId="570F52F4" w14:textId="77777777" w:rsidR="00B15416" w:rsidRPr="00F84982" w:rsidRDefault="00B15416" w:rsidP="00B15416">
      <w:pPr>
        <w:spacing w:before="120" w:after="120" w:line="360" w:lineRule="auto"/>
        <w:jc w:val="both"/>
        <w:rPr>
          <w:rFonts w:ascii="David" w:hAnsi="David"/>
          <w:b/>
          <w:bCs/>
        </w:rPr>
      </w:pPr>
    </w:p>
    <w:p w14:paraId="01EE33CF" w14:textId="77777777" w:rsidR="00B15416" w:rsidRPr="00F84982" w:rsidRDefault="00B15416" w:rsidP="00B15416">
      <w:pPr>
        <w:spacing w:before="120" w:after="120" w:line="360" w:lineRule="auto"/>
        <w:jc w:val="both"/>
        <w:rPr>
          <w:rFonts w:ascii="David" w:hAnsi="David"/>
          <w:b/>
          <w:bCs/>
          <w:rtl/>
        </w:rPr>
      </w:pPr>
      <w:r w:rsidRPr="00F84982">
        <w:rPr>
          <w:rFonts w:ascii="David" w:hAnsi="David"/>
          <w:b/>
          <w:bCs/>
          <w:rtl/>
        </w:rPr>
        <w:t xml:space="preserve">קביעת העונש </w:t>
      </w:r>
    </w:p>
    <w:p w14:paraId="2A464585"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הנאשם בחור צעיר, שגדל בסביבה </w:t>
      </w:r>
      <w:r>
        <w:rPr>
          <w:rFonts w:ascii="David" w:hAnsi="David" w:cs="David" w:hint="cs"/>
          <w:sz w:val="24"/>
          <w:szCs w:val="24"/>
          <w:rtl/>
        </w:rPr>
        <w:t>מורכבת</w:t>
      </w:r>
      <w:r w:rsidRPr="00F84982">
        <w:rPr>
          <w:rFonts w:ascii="David" w:hAnsi="David" w:cs="David"/>
          <w:sz w:val="24"/>
          <w:szCs w:val="24"/>
          <w:rtl/>
        </w:rPr>
        <w:t>. לזכותו תי</w:t>
      </w:r>
      <w:r>
        <w:rPr>
          <w:rFonts w:ascii="David" w:hAnsi="David" w:cs="David" w:hint="cs"/>
          <w:sz w:val="24"/>
          <w:szCs w:val="24"/>
          <w:rtl/>
        </w:rPr>
        <w:t>ז</w:t>
      </w:r>
      <w:r w:rsidRPr="00F84982">
        <w:rPr>
          <w:rFonts w:ascii="David" w:hAnsi="David" w:cs="David"/>
          <w:sz w:val="24"/>
          <w:szCs w:val="24"/>
          <w:rtl/>
        </w:rPr>
        <w:t>קף הודאתו במעשים, שייעלה את ההליך והמהווה גם ביטוי בפועל לנטילת אחריות. תישקלנה גם תקופת מעצרו הממושכת, והפגיעה בו ובבני משפחתו כתוצאה מן הצורך לרצות תקופה נוספת, משמעותית, מאחורי סורג ובריח. משקל מסוים יינתן גם לעולה מן התעודה הרפואית שנדונה לעיל, הגם שאינה עדכנית ולא הוצג מידע אודות מצבו הנפשי של הנאשם כיום.</w:t>
      </w:r>
    </w:p>
    <w:p w14:paraId="64E5D76F"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מנגד, נטילת האחריות של הנאשם לא הייתה שלמה – כמובא לעיל בסקירת תסקיר שירות המבחן. לכך מצטרפת הרשעה קודמת בעבירות ממין העניין, כשחזרתו של הנאשם לסורו למרות הרשעה זו ולמרות העונש שריצה בגינה, בביצוע</w:t>
      </w:r>
      <w:r>
        <w:rPr>
          <w:rFonts w:ascii="David" w:hAnsi="David" w:cs="David" w:hint="cs"/>
          <w:sz w:val="24"/>
          <w:szCs w:val="24"/>
          <w:rtl/>
        </w:rPr>
        <w:t>ה</w:t>
      </w:r>
      <w:r w:rsidRPr="00F84982">
        <w:rPr>
          <w:rFonts w:ascii="David" w:hAnsi="David" w:cs="David"/>
          <w:sz w:val="24"/>
          <w:szCs w:val="24"/>
          <w:rtl/>
        </w:rPr>
        <w:t xml:space="preserve"> של שורת עבירות על רקע אידאולוגי, מציגה נטייה מטרידה וסיכון להישנות עבירות. בכך מתחדדים שיקולי ההוקעה וההרתעה האישית אשר, לצד עונש מוחשי, מחייבים גם ענישה מותנית. המלצות שירות המבחן בכיוונים אלה מדגישות את משקלם.</w:t>
      </w:r>
    </w:p>
    <w:p w14:paraId="60869F2E"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עוד יינתן משקל לשיקולי ההרתעה הכללית. לא אחת מתרחשות במקומותינו הפרות סדר והתפרעויות אלימות הדומות לאלה שביצע הנאשם, והדבר מחייב עיצובו של מסר עונשי שישאף להרתיע אחרים מכישלונות דומים, ולגונן על כוחות הביטחון והציבור מפני פגיעה באירועים שכאלה</w:t>
      </w:r>
      <w:r>
        <w:rPr>
          <w:rFonts w:ascii="David" w:hAnsi="David" w:cs="David" w:hint="cs"/>
          <w:sz w:val="24"/>
          <w:szCs w:val="24"/>
          <w:rtl/>
        </w:rPr>
        <w:t>, בפרט בתקופות מתוחות</w:t>
      </w:r>
      <w:r w:rsidRPr="00F84982">
        <w:rPr>
          <w:rFonts w:ascii="David" w:hAnsi="David" w:cs="David"/>
          <w:sz w:val="24"/>
          <w:szCs w:val="24"/>
          <w:rtl/>
        </w:rPr>
        <w:t>.</w:t>
      </w:r>
    </w:p>
    <w:p w14:paraId="27958A18"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 xml:space="preserve">כל אלה מחייבים לגזור לנאשם מאסר משמעותי. מנגד, משום השיקולים לקולה, בדגש על משקלה של ההודאה, גילו הצעיר של הנאשם והרצון להותיר לו פתח של תקווה לשיקום, החלטתי להימנע מגזירת עונש המתקרב לרף העליון של המתחם. </w:t>
      </w:r>
      <w:r>
        <w:rPr>
          <w:rFonts w:ascii="David" w:hAnsi="David" w:cs="David" w:hint="cs"/>
          <w:sz w:val="24"/>
          <w:szCs w:val="24"/>
          <w:rtl/>
        </w:rPr>
        <w:t xml:space="preserve"> </w:t>
      </w:r>
    </w:p>
    <w:p w14:paraId="2EDF8127" w14:textId="77777777" w:rsidR="00B15416" w:rsidRPr="00F84982" w:rsidRDefault="00B15416" w:rsidP="00B15416">
      <w:pPr>
        <w:pStyle w:val="a9"/>
        <w:numPr>
          <w:ilvl w:val="0"/>
          <w:numId w:val="1"/>
        </w:numPr>
        <w:spacing w:before="120" w:after="120" w:line="360" w:lineRule="auto"/>
        <w:ind w:left="360"/>
        <w:contextualSpacing w:val="0"/>
        <w:jc w:val="both"/>
        <w:rPr>
          <w:rFonts w:ascii="David" w:hAnsi="David" w:cs="David"/>
          <w:sz w:val="24"/>
          <w:szCs w:val="24"/>
        </w:rPr>
      </w:pPr>
      <w:r w:rsidRPr="00F84982">
        <w:rPr>
          <w:rFonts w:ascii="David" w:hAnsi="David" w:cs="David"/>
          <w:sz w:val="24"/>
          <w:szCs w:val="24"/>
          <w:rtl/>
        </w:rPr>
        <w:t>במכלול השיקולים, נגזרים על הנאשם העונשים הבאים:</w:t>
      </w:r>
    </w:p>
    <w:p w14:paraId="4F6A851E" w14:textId="77777777" w:rsidR="00B15416" w:rsidRPr="00F84982" w:rsidRDefault="00B15416" w:rsidP="00B15416">
      <w:pPr>
        <w:pStyle w:val="a9"/>
        <w:numPr>
          <w:ilvl w:val="0"/>
          <w:numId w:val="2"/>
        </w:numPr>
        <w:spacing w:before="120" w:after="120" w:line="360" w:lineRule="auto"/>
        <w:contextualSpacing w:val="0"/>
        <w:jc w:val="both"/>
        <w:rPr>
          <w:rFonts w:ascii="David" w:hAnsi="David" w:cs="David"/>
          <w:sz w:val="24"/>
          <w:szCs w:val="24"/>
        </w:rPr>
      </w:pPr>
      <w:r w:rsidRPr="00F84982">
        <w:rPr>
          <w:rFonts w:ascii="David" w:hAnsi="David" w:cs="David"/>
          <w:sz w:val="24"/>
          <w:szCs w:val="24"/>
          <w:rtl/>
        </w:rPr>
        <w:t>36 חודשי מאסר, שיימנו מיום מעצרו – 5.5.22.</w:t>
      </w:r>
    </w:p>
    <w:p w14:paraId="4481A278" w14:textId="77777777" w:rsidR="00B15416" w:rsidRPr="00F84982" w:rsidRDefault="00B15416" w:rsidP="00B15416">
      <w:pPr>
        <w:pStyle w:val="a9"/>
        <w:numPr>
          <w:ilvl w:val="0"/>
          <w:numId w:val="2"/>
        </w:numPr>
        <w:spacing w:before="120" w:after="120" w:line="360" w:lineRule="auto"/>
        <w:contextualSpacing w:val="0"/>
        <w:jc w:val="both"/>
        <w:rPr>
          <w:rFonts w:ascii="David" w:hAnsi="David" w:cs="David"/>
          <w:sz w:val="24"/>
          <w:szCs w:val="24"/>
        </w:rPr>
      </w:pPr>
      <w:r w:rsidRPr="00F84982">
        <w:rPr>
          <w:rFonts w:ascii="David" w:hAnsi="David" w:cs="David"/>
          <w:sz w:val="24"/>
          <w:szCs w:val="24"/>
          <w:rtl/>
        </w:rPr>
        <w:t xml:space="preserve">10 חודשי מאסר, אותם ירצה הנאשם אם יעבור עבירה מן העבירות בהן הורשע בהליך זה, למעט עבירה של הפרעה לשוטר או החזקת סכין שלא כדין, בתוך שלוש שנים מיום שחרורו ממאסר. </w:t>
      </w:r>
    </w:p>
    <w:p w14:paraId="3C42B5E1" w14:textId="77777777" w:rsidR="00B15416" w:rsidRPr="00F84982" w:rsidRDefault="00D97486" w:rsidP="00B15416">
      <w:pPr>
        <w:pStyle w:val="a9"/>
        <w:numPr>
          <w:ilvl w:val="0"/>
          <w:numId w:val="2"/>
        </w:numPr>
        <w:spacing w:before="120" w:after="120" w:line="360" w:lineRule="auto"/>
        <w:contextualSpacing w:val="0"/>
        <w:jc w:val="both"/>
        <w:rPr>
          <w:rFonts w:ascii="David" w:hAnsi="David" w:cs="David"/>
          <w:sz w:val="24"/>
          <w:szCs w:val="24"/>
        </w:rPr>
      </w:pPr>
      <w:r w:rsidRPr="00D97486">
        <w:rPr>
          <w:rFonts w:ascii="David" w:hAnsi="David" w:cs="David"/>
          <w:color w:val="FFFFFF"/>
          <w:sz w:val="2"/>
          <w:szCs w:val="2"/>
          <w:rtl/>
        </w:rPr>
        <w:t>5129371</w:t>
      </w:r>
      <w:r w:rsidR="00B15416" w:rsidRPr="00F84982">
        <w:rPr>
          <w:rFonts w:ascii="David" w:hAnsi="David" w:cs="David"/>
          <w:sz w:val="24"/>
          <w:szCs w:val="24"/>
          <w:rtl/>
        </w:rPr>
        <w:t>3 חודשי מאסר, אותם ירצה הנאשם אם יעבור עבירה של הפרעה לשוטר או החזקת סכין שלא כדין, בתוך שלוש שנים מיום שחרורו ממאסר.</w:t>
      </w:r>
    </w:p>
    <w:p w14:paraId="66483BDF" w14:textId="77777777" w:rsidR="00B15416" w:rsidRPr="00F84982" w:rsidRDefault="00D97486" w:rsidP="00B15416">
      <w:pPr>
        <w:spacing w:before="120" w:after="120" w:line="360" w:lineRule="auto"/>
        <w:jc w:val="both"/>
        <w:rPr>
          <w:rFonts w:ascii="David" w:hAnsi="David"/>
        </w:rPr>
      </w:pPr>
      <w:r w:rsidRPr="00D97486">
        <w:rPr>
          <w:rFonts w:ascii="David" w:hAnsi="David"/>
          <w:color w:val="FFFFFF"/>
          <w:sz w:val="2"/>
          <w:szCs w:val="2"/>
          <w:rtl/>
        </w:rPr>
        <w:t>54678313</w:t>
      </w:r>
      <w:r w:rsidR="00B15416" w:rsidRPr="00F84982">
        <w:rPr>
          <w:rFonts w:ascii="David" w:hAnsi="David"/>
          <w:rtl/>
        </w:rPr>
        <w:t>זכות ערעור לבית המשפט העליון בתוך 45 ימים.</w:t>
      </w:r>
    </w:p>
    <w:p w14:paraId="7C2DD09F" w14:textId="77777777" w:rsidR="00B15416" w:rsidRPr="00F84982" w:rsidRDefault="00B15416" w:rsidP="00B15416">
      <w:pPr>
        <w:rPr>
          <w:rFonts w:ascii="Arial" w:hAnsi="Arial"/>
          <w:b/>
          <w:bCs/>
          <w:sz w:val="26"/>
          <w:szCs w:val="26"/>
          <w:rtl/>
        </w:rPr>
      </w:pPr>
    </w:p>
    <w:p w14:paraId="04A95236" w14:textId="77777777" w:rsidR="00B15416" w:rsidRPr="000F2247" w:rsidRDefault="00D97486" w:rsidP="00B1541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אייר תשפ"ג, 17 מאי 2023, במעמד הצדדים. </w:t>
      </w:r>
      <w:bookmarkEnd w:id="8"/>
      <w:r w:rsidR="00B15416">
        <w:rPr>
          <w:rFonts w:ascii="Arial" w:hAnsi="Arial"/>
          <w:b/>
          <w:bCs/>
          <w:sz w:val="26"/>
          <w:szCs w:val="26"/>
          <w:rtl/>
        </w:rPr>
        <w:tab/>
      </w:r>
      <w:r w:rsidR="00B15416">
        <w:rPr>
          <w:rFonts w:ascii="Arial" w:hAnsi="Arial"/>
          <w:b/>
          <w:bCs/>
          <w:sz w:val="26"/>
          <w:szCs w:val="26"/>
          <w:rtl/>
        </w:rPr>
        <w:tab/>
      </w:r>
      <w:r w:rsidR="00B15416">
        <w:rPr>
          <w:rFonts w:ascii="Arial" w:hAnsi="Arial"/>
          <w:b/>
          <w:bCs/>
          <w:sz w:val="26"/>
          <w:szCs w:val="26"/>
          <w:rtl/>
        </w:rPr>
        <w:tab/>
      </w:r>
      <w:r w:rsidR="00B15416">
        <w:rPr>
          <w:rFonts w:ascii="Arial" w:hAnsi="Arial"/>
          <w:b/>
          <w:bCs/>
          <w:sz w:val="26"/>
          <w:szCs w:val="26"/>
          <w:rtl/>
        </w:rPr>
        <w:tab/>
      </w:r>
      <w:r w:rsidR="00B15416">
        <w:rPr>
          <w:rFonts w:ascii="Arial" w:hAnsi="Arial"/>
          <w:b/>
          <w:bCs/>
          <w:sz w:val="26"/>
          <w:szCs w:val="26"/>
          <w:rtl/>
        </w:rPr>
        <w:tab/>
      </w:r>
      <w:r w:rsidR="00B15416">
        <w:rPr>
          <w:rFonts w:ascii="Arial" w:hAnsi="Arial"/>
          <w:b/>
          <w:bCs/>
          <w:sz w:val="26"/>
          <w:szCs w:val="26"/>
          <w:rtl/>
        </w:rPr>
        <w:tab/>
      </w:r>
      <w:r w:rsidR="00B15416">
        <w:rPr>
          <w:rFonts w:ascii="Arial" w:hAnsi="Arial"/>
          <w:b/>
          <w:bCs/>
          <w:sz w:val="26"/>
          <w:szCs w:val="26"/>
          <w:rtl/>
        </w:rPr>
        <w:tab/>
      </w:r>
      <w:r w:rsidR="00B15416">
        <w:rPr>
          <w:rFonts w:ascii="Arial" w:hAnsi="Arial" w:hint="cs"/>
          <w:b/>
          <w:bCs/>
          <w:sz w:val="26"/>
          <w:szCs w:val="26"/>
          <w:rtl/>
        </w:rPr>
        <w:t xml:space="preserve">         </w:t>
      </w:r>
    </w:p>
    <w:p w14:paraId="6EC38B33" w14:textId="77777777" w:rsidR="00B15416" w:rsidRPr="000F2247" w:rsidRDefault="00B15416" w:rsidP="00D974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EC01C76" w14:textId="77777777" w:rsidR="00B15416" w:rsidRPr="00CD5BC3" w:rsidRDefault="00CD5BC3" w:rsidP="00B15416">
      <w:pPr>
        <w:jc w:val="center"/>
        <w:rPr>
          <w:rFonts w:ascii="Arial" w:hAnsi="Arial"/>
          <w:b/>
          <w:bCs/>
          <w:color w:val="FFFFFF"/>
          <w:sz w:val="2"/>
          <w:szCs w:val="2"/>
          <w:rtl/>
        </w:rPr>
      </w:pPr>
      <w:r w:rsidRPr="00CD5BC3">
        <w:rPr>
          <w:rFonts w:ascii="Arial" w:hAnsi="Arial"/>
          <w:b/>
          <w:bCs/>
          <w:color w:val="FFFFFF"/>
          <w:sz w:val="2"/>
          <w:szCs w:val="2"/>
          <w:rtl/>
        </w:rPr>
        <w:t>5129371</w:t>
      </w:r>
    </w:p>
    <w:p w14:paraId="0B10BB4E" w14:textId="77777777" w:rsidR="00835528" w:rsidRPr="00CD5BC3" w:rsidRDefault="00CD5BC3" w:rsidP="00D97486">
      <w:pPr>
        <w:keepNext/>
        <w:rPr>
          <w:rFonts w:ascii="David" w:hAnsi="David"/>
          <w:color w:val="FFFFFF"/>
          <w:sz w:val="2"/>
          <w:szCs w:val="2"/>
          <w:rtl/>
        </w:rPr>
      </w:pPr>
      <w:r w:rsidRPr="00CD5BC3">
        <w:rPr>
          <w:rFonts w:ascii="David" w:hAnsi="David"/>
          <w:color w:val="FFFFFF"/>
          <w:sz w:val="2"/>
          <w:szCs w:val="2"/>
          <w:rtl/>
        </w:rPr>
        <w:t>54678313</w:t>
      </w:r>
    </w:p>
    <w:p w14:paraId="1BEE4A0C" w14:textId="77777777" w:rsidR="00D97486" w:rsidRDefault="00D97486" w:rsidP="00D97486">
      <w:pPr>
        <w:rPr>
          <w:rtl/>
        </w:rPr>
      </w:pPr>
    </w:p>
    <w:p w14:paraId="1F9B765E" w14:textId="77777777" w:rsidR="00D97486" w:rsidRDefault="00D97486" w:rsidP="00D97486">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2A18BCFB" w14:textId="77777777" w:rsidR="00CD5BC3" w:rsidRPr="00CD5BC3" w:rsidRDefault="00CD5BC3" w:rsidP="00CD5BC3">
      <w:pPr>
        <w:keepNext/>
        <w:rPr>
          <w:rFonts w:ascii="David" w:hAnsi="David"/>
          <w:color w:val="000000"/>
          <w:sz w:val="22"/>
          <w:szCs w:val="22"/>
          <w:rtl/>
        </w:rPr>
      </w:pPr>
    </w:p>
    <w:p w14:paraId="1216B1F1" w14:textId="77777777" w:rsidR="00CD5BC3" w:rsidRPr="00CD5BC3" w:rsidRDefault="00CD5BC3" w:rsidP="00CD5BC3">
      <w:pPr>
        <w:keepNext/>
        <w:rPr>
          <w:rFonts w:ascii="David" w:hAnsi="David"/>
          <w:color w:val="000000"/>
          <w:sz w:val="22"/>
          <w:szCs w:val="22"/>
          <w:rtl/>
        </w:rPr>
      </w:pPr>
      <w:r w:rsidRPr="00CD5BC3">
        <w:rPr>
          <w:rFonts w:ascii="David" w:hAnsi="David"/>
          <w:color w:val="000000"/>
          <w:sz w:val="22"/>
          <w:szCs w:val="22"/>
          <w:rtl/>
        </w:rPr>
        <w:t>אוהד גורדון 54678313-/</w:t>
      </w:r>
    </w:p>
    <w:p w14:paraId="0BB52C57" w14:textId="77777777" w:rsidR="00D97486" w:rsidRPr="00D97486" w:rsidRDefault="00CD5BC3" w:rsidP="00CD5BC3">
      <w:pPr>
        <w:rPr>
          <w:color w:val="0000FF"/>
          <w:u w:val="single"/>
        </w:rPr>
      </w:pPr>
      <w:r w:rsidRPr="00CD5BC3">
        <w:rPr>
          <w:color w:val="000000"/>
          <w:u w:val="single"/>
          <w:rtl/>
        </w:rPr>
        <w:t>נוסח מסמך זה כפוף לשינויי ניסוח ועריכה</w:t>
      </w:r>
    </w:p>
    <w:sectPr w:rsidR="00D97486" w:rsidRPr="00D97486" w:rsidSect="00CD5BC3">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70481" w14:textId="77777777" w:rsidR="00110E23" w:rsidRDefault="00110E23" w:rsidP="00FC12E1">
      <w:r>
        <w:separator/>
      </w:r>
    </w:p>
  </w:endnote>
  <w:endnote w:type="continuationSeparator" w:id="0">
    <w:p w14:paraId="014D6C1B" w14:textId="77777777" w:rsidR="00110E23" w:rsidRDefault="00110E23" w:rsidP="00FC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A877E" w14:textId="77777777" w:rsidR="00CD5BC3" w:rsidRDefault="00CD5BC3" w:rsidP="00CD5B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8CC9AF" w14:textId="77777777" w:rsidR="00401D42" w:rsidRPr="00CD5BC3" w:rsidRDefault="00CD5BC3" w:rsidP="00CD5BC3">
    <w:pPr>
      <w:pStyle w:val="a5"/>
      <w:pBdr>
        <w:top w:val="single" w:sz="4" w:space="1" w:color="auto"/>
        <w:between w:val="single" w:sz="4" w:space="0" w:color="auto"/>
      </w:pBdr>
      <w:spacing w:after="60"/>
      <w:jc w:val="center"/>
      <w:rPr>
        <w:rFonts w:ascii="FrankRuehl" w:hAnsi="FrankRuehl" w:cs="FrankRuehl"/>
        <w:color w:val="000000"/>
      </w:rPr>
    </w:pPr>
    <w:r w:rsidRPr="00CD5B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85CBD" w14:textId="77777777" w:rsidR="00CD5BC3" w:rsidRDefault="00CD5BC3" w:rsidP="00CD5B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3B89">
      <w:rPr>
        <w:rFonts w:ascii="FrankRuehl" w:hAnsi="FrankRuehl" w:cs="FrankRuehl"/>
        <w:noProof/>
        <w:rtl/>
      </w:rPr>
      <w:t>1</w:t>
    </w:r>
    <w:r>
      <w:rPr>
        <w:rFonts w:ascii="FrankRuehl" w:hAnsi="FrankRuehl" w:cs="FrankRuehl"/>
        <w:rtl/>
      </w:rPr>
      <w:fldChar w:fldCharType="end"/>
    </w:r>
  </w:p>
  <w:p w14:paraId="0BBA7CDB" w14:textId="77777777" w:rsidR="00401D42" w:rsidRPr="00CD5BC3" w:rsidRDefault="00CD5BC3" w:rsidP="00CD5BC3">
    <w:pPr>
      <w:pStyle w:val="a5"/>
      <w:pBdr>
        <w:top w:val="single" w:sz="4" w:space="1" w:color="auto"/>
        <w:between w:val="single" w:sz="4" w:space="0" w:color="auto"/>
      </w:pBdr>
      <w:spacing w:after="60"/>
      <w:jc w:val="center"/>
      <w:rPr>
        <w:rFonts w:ascii="FrankRuehl" w:hAnsi="FrankRuehl" w:cs="FrankRuehl"/>
        <w:color w:val="000000"/>
      </w:rPr>
    </w:pPr>
    <w:r w:rsidRPr="00CD5BC3">
      <w:rPr>
        <w:rFonts w:ascii="FrankRuehl" w:hAnsi="FrankRuehl" w:cs="FrankRuehl"/>
        <w:color w:val="000000"/>
      </w:rPr>
      <w:pict w14:anchorId="48769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64C7D" w14:textId="77777777" w:rsidR="00110E23" w:rsidRDefault="00110E23" w:rsidP="00FC12E1">
      <w:r>
        <w:separator/>
      </w:r>
    </w:p>
  </w:footnote>
  <w:footnote w:type="continuationSeparator" w:id="0">
    <w:p w14:paraId="6CA752E3" w14:textId="77777777" w:rsidR="00110E23" w:rsidRDefault="00110E23" w:rsidP="00FC1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58041" w14:textId="77777777" w:rsidR="00D97486" w:rsidRPr="00CD5BC3" w:rsidRDefault="00CD5BC3" w:rsidP="00CD5B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11734-06-22</w:t>
    </w:r>
    <w:r>
      <w:rPr>
        <w:rFonts w:ascii="David" w:hAnsi="David"/>
        <w:color w:val="000000"/>
        <w:sz w:val="22"/>
        <w:szCs w:val="22"/>
        <w:rtl/>
      </w:rPr>
      <w:tab/>
      <w:t xml:space="preserve"> מדינת ישראל נ' מחמוד אבו נאב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C72BC" w14:textId="77777777" w:rsidR="00D97486" w:rsidRPr="00CD5BC3" w:rsidRDefault="00CD5BC3" w:rsidP="00CD5B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11734-06-22</w:t>
    </w:r>
    <w:r>
      <w:rPr>
        <w:rFonts w:ascii="David" w:hAnsi="David"/>
        <w:color w:val="000000"/>
        <w:sz w:val="22"/>
        <w:szCs w:val="22"/>
        <w:rtl/>
      </w:rPr>
      <w:tab/>
      <w:t xml:space="preserve"> מדינת ישראל נ' מחמוד אבו נאב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A14F6"/>
    <w:multiLevelType w:val="hybridMultilevel"/>
    <w:tmpl w:val="B9941146"/>
    <w:lvl w:ilvl="0" w:tplc="DC44D8D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B93401"/>
    <w:multiLevelType w:val="hybridMultilevel"/>
    <w:tmpl w:val="B1FED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9016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9249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5416"/>
    <w:rsid w:val="00067A48"/>
    <w:rsid w:val="000C3B89"/>
    <w:rsid w:val="00110E23"/>
    <w:rsid w:val="001B5A3B"/>
    <w:rsid w:val="001C2074"/>
    <w:rsid w:val="00401D42"/>
    <w:rsid w:val="007D60FE"/>
    <w:rsid w:val="00835528"/>
    <w:rsid w:val="009D4DF1"/>
    <w:rsid w:val="009E4BB3"/>
    <w:rsid w:val="00B15416"/>
    <w:rsid w:val="00CD5BC3"/>
    <w:rsid w:val="00D468F1"/>
    <w:rsid w:val="00D97486"/>
    <w:rsid w:val="00E60242"/>
    <w:rsid w:val="00FC12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B2B308"/>
  <w15:chartTrackingRefBased/>
  <w15:docId w15:val="{D00A6F18-AE76-4028-8EDA-95FA4BDA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54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5416"/>
    <w:pPr>
      <w:tabs>
        <w:tab w:val="center" w:pos="4153"/>
        <w:tab w:val="right" w:pos="8306"/>
      </w:tabs>
    </w:pPr>
  </w:style>
  <w:style w:type="character" w:customStyle="1" w:styleId="a4">
    <w:name w:val="כותרת עליונה תו"/>
    <w:link w:val="a3"/>
    <w:rsid w:val="00B15416"/>
    <w:rPr>
      <w:rFonts w:ascii="Times New Roman" w:eastAsia="Times New Roman" w:hAnsi="Times New Roman" w:cs="David"/>
      <w:sz w:val="24"/>
      <w:szCs w:val="24"/>
    </w:rPr>
  </w:style>
  <w:style w:type="paragraph" w:styleId="a5">
    <w:name w:val="footer"/>
    <w:basedOn w:val="a"/>
    <w:link w:val="a6"/>
    <w:rsid w:val="00B15416"/>
    <w:pPr>
      <w:tabs>
        <w:tab w:val="center" w:pos="4153"/>
        <w:tab w:val="right" w:pos="8306"/>
      </w:tabs>
    </w:pPr>
  </w:style>
  <w:style w:type="character" w:customStyle="1" w:styleId="a6">
    <w:name w:val="כותרת תחתונה תו"/>
    <w:link w:val="a5"/>
    <w:rsid w:val="00B15416"/>
    <w:rPr>
      <w:rFonts w:ascii="Times New Roman" w:eastAsia="Times New Roman" w:hAnsi="Times New Roman" w:cs="David"/>
      <w:sz w:val="24"/>
      <w:szCs w:val="24"/>
    </w:rPr>
  </w:style>
  <w:style w:type="table" w:styleId="a7">
    <w:name w:val="Table Grid"/>
    <w:basedOn w:val="a1"/>
    <w:rsid w:val="00B154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5416"/>
  </w:style>
  <w:style w:type="character" w:styleId="Hyperlink">
    <w:name w:val="Hyperlink"/>
    <w:rsid w:val="00B15416"/>
    <w:rPr>
      <w:color w:val="0000FF"/>
      <w:u w:val="single"/>
    </w:rPr>
  </w:style>
  <w:style w:type="paragraph" w:styleId="a9">
    <w:name w:val="List Paragraph"/>
    <w:basedOn w:val="a"/>
    <w:qFormat/>
    <w:rsid w:val="00B15416"/>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75a"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case/13093721" TargetMode="External"/><Relationship Id="rId47" Type="http://schemas.openxmlformats.org/officeDocument/2006/relationships/hyperlink" Target="http://www.nevo.co.il/case/23506710" TargetMode="External"/><Relationship Id="rId50" Type="http://schemas.openxmlformats.org/officeDocument/2006/relationships/hyperlink" Target="https://www.nevo.co.il/psika_html/mechozi/ME-21-07-49353-305.htm" TargetMode="External"/><Relationship Id="rId55" Type="http://schemas.openxmlformats.org/officeDocument/2006/relationships/hyperlink" Target="https://www.nevo.co.il/psika_html/elyon/16097230-A02.htm"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law/70301/275a"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70301/15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75a" TargetMode="External"/><Relationship Id="rId40" Type="http://schemas.openxmlformats.org/officeDocument/2006/relationships/hyperlink" Target="http://www.nevo.co.il/case/7958246" TargetMode="External"/><Relationship Id="rId45" Type="http://schemas.openxmlformats.org/officeDocument/2006/relationships/hyperlink" Target="https://www.nevo.co.il/psika_html/elyon/22009010-M03.htm" TargetMode="External"/><Relationship Id="rId53" Type="http://schemas.openxmlformats.org/officeDocument/2006/relationships/hyperlink" Target="http://www.nevo.co.il/law/72510/2a" TargetMode="External"/><Relationship Id="rId58" Type="http://schemas.openxmlformats.org/officeDocument/2006/relationships/hyperlink" Target="http://www.nevo.co.il/case/28003105"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2510/2a" TargetMode="External"/><Relationship Id="rId14" Type="http://schemas.openxmlformats.org/officeDocument/2006/relationships/hyperlink" Target="http://www.nevo.co.il/law/70301/274.3" TargetMode="External"/><Relationship Id="rId22" Type="http://schemas.openxmlformats.org/officeDocument/2006/relationships/hyperlink" Target="http://www.nevo.co.il/law/70301/274.1.;274.2.;274.3" TargetMode="External"/><Relationship Id="rId27" Type="http://schemas.openxmlformats.org/officeDocument/2006/relationships/hyperlink" Target="http://www.nevo.co.il/law/70301/152" TargetMode="External"/><Relationship Id="rId30" Type="http://schemas.openxmlformats.org/officeDocument/2006/relationships/hyperlink" Target="http://www.nevo.co.il/law/70301/186.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513365" TargetMode="External"/><Relationship Id="rId48" Type="http://schemas.openxmlformats.org/officeDocument/2006/relationships/hyperlink" Target="http://www.nevo.co.il/case/13104258" TargetMode="External"/><Relationship Id="rId56" Type="http://schemas.openxmlformats.org/officeDocument/2006/relationships/hyperlink" Target="http://www.nevo.co.il/case/28601584" TargetMode="External"/><Relationship Id="rId64"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s://www.nevo.co.il/psika_html/mechozi/ME-21-06-40118-647.htm" TargetMode="External"/><Relationship Id="rId3" Type="http://schemas.openxmlformats.org/officeDocument/2006/relationships/settings" Target="settings.xml"/><Relationship Id="rId12" Type="http://schemas.openxmlformats.org/officeDocument/2006/relationships/hyperlink" Target="http://www.nevo.co.il/law/70301/274.1."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75a" TargetMode="External"/><Relationship Id="rId38" Type="http://schemas.openxmlformats.org/officeDocument/2006/relationships/hyperlink" Target="http://www.nevo.co.il/law/70301/40jc.a" TargetMode="External"/><Relationship Id="rId46" Type="http://schemas.openxmlformats.org/officeDocument/2006/relationships/hyperlink" Target="https://www.nevo.co.il/psika_html/elyon/22023130-J02.htm"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152" TargetMode="External"/><Relationship Id="rId41" Type="http://schemas.openxmlformats.org/officeDocument/2006/relationships/hyperlink" Target="http://www.nevo.co.il/case/20033641" TargetMode="External"/><Relationship Id="rId54" Type="http://schemas.openxmlformats.org/officeDocument/2006/relationships/hyperlink" Target="http://www.nevo.co.il/law/72510"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a"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48.a" TargetMode="External"/><Relationship Id="rId49" Type="http://schemas.openxmlformats.org/officeDocument/2006/relationships/hyperlink" Target="http://www.nevo.co.il/case/23506710" TargetMode="External"/><Relationship Id="rId57" Type="http://schemas.openxmlformats.org/officeDocument/2006/relationships/hyperlink" Target="http://www.nevo.co.il/case/27892670" TargetMode="External"/><Relationship Id="rId10" Type="http://schemas.openxmlformats.org/officeDocument/2006/relationships/hyperlink" Target="http://www.nevo.co.il/law/70301/152" TargetMode="External"/><Relationship Id="rId31" Type="http://schemas.openxmlformats.org/officeDocument/2006/relationships/hyperlink" Target="http://www.nevo.co.il/law/70301/152" TargetMode="External"/><Relationship Id="rId44" Type="http://schemas.openxmlformats.org/officeDocument/2006/relationships/hyperlink" Target="https://www.nevo.co.il/psika_html/elyon/05022850-o03-e.htm" TargetMode="External"/><Relationship Id="rId52" Type="http://schemas.openxmlformats.org/officeDocument/2006/relationships/hyperlink" Target="https://www.nevo.co.il/psika_html/elyon/17023900-M03.htm"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274.2." TargetMode="External"/><Relationship Id="rId18" Type="http://schemas.openxmlformats.org/officeDocument/2006/relationships/hyperlink" Target="http://www.nevo.co.il/law/72510"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20985</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3211389</vt:i4>
      </vt:variant>
      <vt:variant>
        <vt:i4>153</vt:i4>
      </vt:variant>
      <vt:variant>
        <vt:i4>0</vt:i4>
      </vt:variant>
      <vt:variant>
        <vt:i4>5</vt:i4>
      </vt:variant>
      <vt:variant>
        <vt:lpwstr>http://www.nevo.co.il/case/28003105</vt:lpwstr>
      </vt:variant>
      <vt:variant>
        <vt:lpwstr/>
      </vt:variant>
      <vt:variant>
        <vt:i4>4128892</vt:i4>
      </vt:variant>
      <vt:variant>
        <vt:i4>150</vt:i4>
      </vt:variant>
      <vt:variant>
        <vt:i4>0</vt:i4>
      </vt:variant>
      <vt:variant>
        <vt:i4>5</vt:i4>
      </vt:variant>
      <vt:variant>
        <vt:lpwstr>http://www.nevo.co.il/case/27892670</vt:lpwstr>
      </vt:variant>
      <vt:variant>
        <vt:lpwstr/>
      </vt:variant>
      <vt:variant>
        <vt:i4>3997817</vt:i4>
      </vt:variant>
      <vt:variant>
        <vt:i4>147</vt:i4>
      </vt:variant>
      <vt:variant>
        <vt:i4>0</vt:i4>
      </vt:variant>
      <vt:variant>
        <vt:i4>5</vt:i4>
      </vt:variant>
      <vt:variant>
        <vt:lpwstr>http://www.nevo.co.il/case/28601584</vt:lpwstr>
      </vt:variant>
      <vt:variant>
        <vt:lpwstr/>
      </vt:variant>
      <vt:variant>
        <vt:i4>4587568</vt:i4>
      </vt:variant>
      <vt:variant>
        <vt:i4>144</vt:i4>
      </vt:variant>
      <vt:variant>
        <vt:i4>0</vt:i4>
      </vt:variant>
      <vt:variant>
        <vt:i4>5</vt:i4>
      </vt:variant>
      <vt:variant>
        <vt:lpwstr>https://www.nevo.co.il/psika_html/elyon/16097230-A02.htm</vt:lpwstr>
      </vt:variant>
      <vt:variant>
        <vt:lpwstr/>
      </vt:variant>
      <vt:variant>
        <vt:i4>7929954</vt:i4>
      </vt:variant>
      <vt:variant>
        <vt:i4>141</vt:i4>
      </vt:variant>
      <vt:variant>
        <vt:i4>0</vt:i4>
      </vt:variant>
      <vt:variant>
        <vt:i4>5</vt:i4>
      </vt:variant>
      <vt:variant>
        <vt:lpwstr>http://www.nevo.co.il/law/72510</vt:lpwstr>
      </vt:variant>
      <vt:variant>
        <vt:lpwstr/>
      </vt:variant>
      <vt:variant>
        <vt:i4>3604576</vt:i4>
      </vt:variant>
      <vt:variant>
        <vt:i4>138</vt:i4>
      </vt:variant>
      <vt:variant>
        <vt:i4>0</vt:i4>
      </vt:variant>
      <vt:variant>
        <vt:i4>5</vt:i4>
      </vt:variant>
      <vt:variant>
        <vt:lpwstr>http://www.nevo.co.il/law/72510/2a</vt:lpwstr>
      </vt:variant>
      <vt:variant>
        <vt:lpwstr/>
      </vt:variant>
      <vt:variant>
        <vt:i4>4849719</vt:i4>
      </vt:variant>
      <vt:variant>
        <vt:i4>135</vt:i4>
      </vt:variant>
      <vt:variant>
        <vt:i4>0</vt:i4>
      </vt:variant>
      <vt:variant>
        <vt:i4>5</vt:i4>
      </vt:variant>
      <vt:variant>
        <vt:lpwstr>https://www.nevo.co.il/psika_html/elyon/17023900-M03.htm</vt:lpwstr>
      </vt:variant>
      <vt:variant>
        <vt:lpwstr/>
      </vt:variant>
      <vt:variant>
        <vt:i4>1835046</vt:i4>
      </vt:variant>
      <vt:variant>
        <vt:i4>132</vt:i4>
      </vt:variant>
      <vt:variant>
        <vt:i4>0</vt:i4>
      </vt:variant>
      <vt:variant>
        <vt:i4>5</vt:i4>
      </vt:variant>
      <vt:variant>
        <vt:lpwstr>https://www.nevo.co.il/psika_html/mechozi/ME-21-06-40118-647.htm</vt:lpwstr>
      </vt:variant>
      <vt:variant>
        <vt:lpwstr/>
      </vt:variant>
      <vt:variant>
        <vt:i4>1245231</vt:i4>
      </vt:variant>
      <vt:variant>
        <vt:i4>129</vt:i4>
      </vt:variant>
      <vt:variant>
        <vt:i4>0</vt:i4>
      </vt:variant>
      <vt:variant>
        <vt:i4>5</vt:i4>
      </vt:variant>
      <vt:variant>
        <vt:lpwstr>https://www.nevo.co.il/psika_html/mechozi/ME-21-07-49353-305.htm</vt:lpwstr>
      </vt:variant>
      <vt:variant>
        <vt:lpwstr/>
      </vt:variant>
      <vt:variant>
        <vt:i4>3145840</vt:i4>
      </vt:variant>
      <vt:variant>
        <vt:i4>126</vt:i4>
      </vt:variant>
      <vt:variant>
        <vt:i4>0</vt:i4>
      </vt:variant>
      <vt:variant>
        <vt:i4>5</vt:i4>
      </vt:variant>
      <vt:variant>
        <vt:lpwstr>http://www.nevo.co.il/case/23506710</vt:lpwstr>
      </vt:variant>
      <vt:variant>
        <vt:lpwstr/>
      </vt:variant>
      <vt:variant>
        <vt:i4>3211381</vt:i4>
      </vt:variant>
      <vt:variant>
        <vt:i4>123</vt:i4>
      </vt:variant>
      <vt:variant>
        <vt:i4>0</vt:i4>
      </vt:variant>
      <vt:variant>
        <vt:i4>5</vt:i4>
      </vt:variant>
      <vt:variant>
        <vt:lpwstr>http://www.nevo.co.il/case/13104258</vt:lpwstr>
      </vt:variant>
      <vt:variant>
        <vt:lpwstr/>
      </vt:variant>
      <vt:variant>
        <vt:i4>3145840</vt:i4>
      </vt:variant>
      <vt:variant>
        <vt:i4>120</vt:i4>
      </vt:variant>
      <vt:variant>
        <vt:i4>0</vt:i4>
      </vt:variant>
      <vt:variant>
        <vt:i4>5</vt:i4>
      </vt:variant>
      <vt:variant>
        <vt:lpwstr>http://www.nevo.co.il/case/23506710</vt:lpwstr>
      </vt:variant>
      <vt:variant>
        <vt:lpwstr/>
      </vt:variant>
      <vt:variant>
        <vt:i4>4259895</vt:i4>
      </vt:variant>
      <vt:variant>
        <vt:i4>116</vt:i4>
      </vt:variant>
      <vt:variant>
        <vt:i4>0</vt:i4>
      </vt:variant>
      <vt:variant>
        <vt:i4>5</vt:i4>
      </vt:variant>
      <vt:variant>
        <vt:lpwstr>https://www.nevo.co.il/psika_html/elyon/22023130-J02.htm</vt:lpwstr>
      </vt:variant>
      <vt:variant>
        <vt:lpwstr/>
      </vt:variant>
      <vt:variant>
        <vt:i4>4456511</vt:i4>
      </vt:variant>
      <vt:variant>
        <vt:i4>114</vt:i4>
      </vt:variant>
      <vt:variant>
        <vt:i4>0</vt:i4>
      </vt:variant>
      <vt:variant>
        <vt:i4>5</vt:i4>
      </vt:variant>
      <vt:variant>
        <vt:lpwstr>https://www.nevo.co.il/psika_html/elyon/22009010-M03.htm</vt:lpwstr>
      </vt:variant>
      <vt:variant>
        <vt:lpwstr/>
      </vt:variant>
      <vt:variant>
        <vt:i4>3014687</vt:i4>
      </vt:variant>
      <vt:variant>
        <vt:i4>111</vt:i4>
      </vt:variant>
      <vt:variant>
        <vt:i4>0</vt:i4>
      </vt:variant>
      <vt:variant>
        <vt:i4>5</vt:i4>
      </vt:variant>
      <vt:variant>
        <vt:lpwstr>https://www.nevo.co.il/psika_html/elyon/05022850-o03-e.htm</vt:lpwstr>
      </vt:variant>
      <vt:variant>
        <vt:lpwstr/>
      </vt:variant>
      <vt:variant>
        <vt:i4>3276913</vt:i4>
      </vt:variant>
      <vt:variant>
        <vt:i4>108</vt:i4>
      </vt:variant>
      <vt:variant>
        <vt:i4>0</vt:i4>
      </vt:variant>
      <vt:variant>
        <vt:i4>5</vt:i4>
      </vt:variant>
      <vt:variant>
        <vt:lpwstr>http://www.nevo.co.il/case/27513365</vt:lpwstr>
      </vt:variant>
      <vt:variant>
        <vt:lpwstr/>
      </vt:variant>
      <vt:variant>
        <vt:i4>3145849</vt:i4>
      </vt:variant>
      <vt:variant>
        <vt:i4>105</vt:i4>
      </vt:variant>
      <vt:variant>
        <vt:i4>0</vt:i4>
      </vt:variant>
      <vt:variant>
        <vt:i4>5</vt:i4>
      </vt:variant>
      <vt:variant>
        <vt:lpwstr>http://www.nevo.co.il/case/13093721</vt:lpwstr>
      </vt:variant>
      <vt:variant>
        <vt:lpwstr/>
      </vt:variant>
      <vt:variant>
        <vt:i4>3473521</vt:i4>
      </vt:variant>
      <vt:variant>
        <vt:i4>102</vt:i4>
      </vt:variant>
      <vt:variant>
        <vt:i4>0</vt:i4>
      </vt:variant>
      <vt:variant>
        <vt:i4>5</vt:i4>
      </vt:variant>
      <vt:variant>
        <vt:lpwstr>http://www.nevo.co.il/case/20033641</vt:lpwstr>
      </vt:variant>
      <vt:variant>
        <vt:lpwstr/>
      </vt:variant>
      <vt:variant>
        <vt:i4>3539057</vt:i4>
      </vt:variant>
      <vt:variant>
        <vt:i4>99</vt:i4>
      </vt:variant>
      <vt:variant>
        <vt:i4>0</vt:i4>
      </vt:variant>
      <vt:variant>
        <vt:i4>5</vt:i4>
      </vt:variant>
      <vt:variant>
        <vt:lpwstr>http://www.nevo.co.il/case/7958246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6750245</vt:i4>
      </vt:variant>
      <vt:variant>
        <vt:i4>93</vt:i4>
      </vt:variant>
      <vt:variant>
        <vt:i4>0</vt:i4>
      </vt:variant>
      <vt:variant>
        <vt:i4>5</vt:i4>
      </vt:variant>
      <vt:variant>
        <vt:lpwstr>http://www.nevo.co.il/law/70301/40jc.a</vt:lpwstr>
      </vt:variant>
      <vt:variant>
        <vt:lpwstr/>
      </vt:variant>
      <vt:variant>
        <vt:i4>196690</vt:i4>
      </vt:variant>
      <vt:variant>
        <vt:i4>90</vt:i4>
      </vt:variant>
      <vt:variant>
        <vt:i4>0</vt:i4>
      </vt:variant>
      <vt:variant>
        <vt:i4>5</vt:i4>
      </vt:variant>
      <vt:variant>
        <vt:lpwstr>http://www.nevo.co.il/law/70301/275a</vt:lpwstr>
      </vt:variant>
      <vt:variant>
        <vt:lpwstr/>
      </vt:variant>
      <vt:variant>
        <vt:i4>5177433</vt:i4>
      </vt:variant>
      <vt:variant>
        <vt:i4>87</vt:i4>
      </vt:variant>
      <vt:variant>
        <vt:i4>0</vt:i4>
      </vt:variant>
      <vt:variant>
        <vt:i4>5</vt:i4>
      </vt:variant>
      <vt:variant>
        <vt:lpwstr>http://www.nevo.co.il/law/70301/448.a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196690</vt:i4>
      </vt:variant>
      <vt:variant>
        <vt:i4>78</vt:i4>
      </vt:variant>
      <vt:variant>
        <vt:i4>0</vt:i4>
      </vt:variant>
      <vt:variant>
        <vt:i4>5</vt:i4>
      </vt:variant>
      <vt:variant>
        <vt:lpwstr>http://www.nevo.co.il/law/70301/275a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6291556</vt:i4>
      </vt:variant>
      <vt:variant>
        <vt:i4>72</vt:i4>
      </vt:variant>
      <vt:variant>
        <vt:i4>0</vt:i4>
      </vt:variant>
      <vt:variant>
        <vt:i4>5</vt:i4>
      </vt:variant>
      <vt:variant>
        <vt:lpwstr>http://www.nevo.co.il/law/70301/152</vt:lpwstr>
      </vt:variant>
      <vt:variant>
        <vt:lpwstr/>
      </vt:variant>
      <vt:variant>
        <vt:i4>4390994</vt:i4>
      </vt:variant>
      <vt:variant>
        <vt:i4>69</vt:i4>
      </vt:variant>
      <vt:variant>
        <vt:i4>0</vt:i4>
      </vt:variant>
      <vt:variant>
        <vt:i4>5</vt:i4>
      </vt:variant>
      <vt:variant>
        <vt:lpwstr>http://www.nevo.co.il/law/70301/186.a</vt:lpwstr>
      </vt:variant>
      <vt:variant>
        <vt:lpwstr/>
      </vt:variant>
      <vt:variant>
        <vt:i4>196690</vt:i4>
      </vt:variant>
      <vt:variant>
        <vt:i4>66</vt:i4>
      </vt:variant>
      <vt:variant>
        <vt:i4>0</vt:i4>
      </vt:variant>
      <vt:variant>
        <vt:i4>5</vt:i4>
      </vt:variant>
      <vt:variant>
        <vt:lpwstr>http://www.nevo.co.il/law/70301/275a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6291556</vt:i4>
      </vt:variant>
      <vt:variant>
        <vt:i4>60</vt:i4>
      </vt:variant>
      <vt:variant>
        <vt:i4>0</vt:i4>
      </vt:variant>
      <vt:variant>
        <vt:i4>5</vt:i4>
      </vt:variant>
      <vt:variant>
        <vt:lpwstr>http://www.nevo.co.il/law/70301/152</vt:lpwstr>
      </vt:variant>
      <vt:variant>
        <vt:lpwstr/>
      </vt:variant>
      <vt:variant>
        <vt:i4>196690</vt:i4>
      </vt:variant>
      <vt:variant>
        <vt:i4>57</vt:i4>
      </vt:variant>
      <vt:variant>
        <vt:i4>0</vt:i4>
      </vt:variant>
      <vt:variant>
        <vt:i4>5</vt:i4>
      </vt:variant>
      <vt:variant>
        <vt:lpwstr>http://www.nevo.co.il/law/70301/275a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6291556</vt:i4>
      </vt:variant>
      <vt:variant>
        <vt:i4>51</vt:i4>
      </vt:variant>
      <vt:variant>
        <vt:i4>0</vt:i4>
      </vt:variant>
      <vt:variant>
        <vt:i4>5</vt:i4>
      </vt:variant>
      <vt:variant>
        <vt:lpwstr>http://www.nevo.co.il/law/70301/152</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7602280</vt:i4>
      </vt:variant>
      <vt:variant>
        <vt:i4>45</vt:i4>
      </vt:variant>
      <vt:variant>
        <vt:i4>0</vt:i4>
      </vt:variant>
      <vt:variant>
        <vt:i4>5</vt:i4>
      </vt:variant>
      <vt:variant>
        <vt:lpwstr>http://www.nevo.co.il/law/70301/274.1.;274.2.;274.3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6291556</vt:i4>
      </vt:variant>
      <vt:variant>
        <vt:i4>39</vt:i4>
      </vt:variant>
      <vt:variant>
        <vt:i4>0</vt:i4>
      </vt:variant>
      <vt:variant>
        <vt:i4>5</vt:i4>
      </vt:variant>
      <vt:variant>
        <vt:lpwstr>http://www.nevo.co.il/law/70301/152</vt:lpwstr>
      </vt:variant>
      <vt:variant>
        <vt:lpwstr/>
      </vt:variant>
      <vt:variant>
        <vt:i4>3604576</vt:i4>
      </vt:variant>
      <vt:variant>
        <vt:i4>36</vt:i4>
      </vt:variant>
      <vt:variant>
        <vt:i4>0</vt:i4>
      </vt:variant>
      <vt:variant>
        <vt:i4>5</vt:i4>
      </vt:variant>
      <vt:variant>
        <vt:lpwstr>http://www.nevo.co.il/law/72510/2a</vt:lpwstr>
      </vt:variant>
      <vt:variant>
        <vt:lpwstr/>
      </vt:variant>
      <vt:variant>
        <vt:i4>7929954</vt:i4>
      </vt:variant>
      <vt:variant>
        <vt:i4>33</vt:i4>
      </vt:variant>
      <vt:variant>
        <vt:i4>0</vt:i4>
      </vt:variant>
      <vt:variant>
        <vt:i4>5</vt:i4>
      </vt:variant>
      <vt:variant>
        <vt:lpwstr>http://www.nevo.co.il/law/72510</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4980819</vt:i4>
      </vt:variant>
      <vt:variant>
        <vt:i4>21</vt:i4>
      </vt:variant>
      <vt:variant>
        <vt:i4>0</vt:i4>
      </vt:variant>
      <vt:variant>
        <vt:i4>5</vt:i4>
      </vt:variant>
      <vt:variant>
        <vt:lpwstr>http://www.nevo.co.il/law/70301/274.3</vt:lpwstr>
      </vt:variant>
      <vt:variant>
        <vt:lpwstr/>
      </vt:variant>
      <vt:variant>
        <vt:i4>6422625</vt:i4>
      </vt:variant>
      <vt:variant>
        <vt:i4>18</vt:i4>
      </vt:variant>
      <vt:variant>
        <vt:i4>0</vt:i4>
      </vt:variant>
      <vt:variant>
        <vt:i4>5</vt:i4>
      </vt:variant>
      <vt:variant>
        <vt:lpwstr>http://www.nevo.co.il/law/70301/274.2.</vt:lpwstr>
      </vt:variant>
      <vt:variant>
        <vt:lpwstr/>
      </vt:variant>
      <vt:variant>
        <vt:i4>6422626</vt:i4>
      </vt:variant>
      <vt:variant>
        <vt:i4>15</vt:i4>
      </vt:variant>
      <vt:variant>
        <vt:i4>0</vt:i4>
      </vt:variant>
      <vt:variant>
        <vt:i4>5</vt:i4>
      </vt:variant>
      <vt:variant>
        <vt:lpwstr>http://www.nevo.co.il/law/70301/274.1.</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11734</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אבו נאב</vt:lpwstr>
  </property>
  <property fmtid="{D5CDD505-2E9C-101B-9397-08002B2CF9AE}" pid="10" name="LAWYER">
    <vt:lpwstr>מ' מחמוד;ס' מרדכי</vt:lpwstr>
  </property>
  <property fmtid="{D5CDD505-2E9C-101B-9397-08002B2CF9AE}" pid="11" name="JUDGE">
    <vt:lpwstr>אוהד גורדון</vt:lpwstr>
  </property>
  <property fmtid="{D5CDD505-2E9C-101B-9397-08002B2CF9AE}" pid="12" name="CITY">
    <vt:lpwstr>י-ם</vt:lpwstr>
  </property>
  <property fmtid="{D5CDD505-2E9C-101B-9397-08002B2CF9AE}" pid="13" name="DATE">
    <vt:lpwstr>20230517</vt:lpwstr>
  </property>
  <property fmtid="{D5CDD505-2E9C-101B-9397-08002B2CF9AE}" pid="14" name="TYPE_N_DATE">
    <vt:lpwstr>39020230517</vt:lpwstr>
  </property>
  <property fmtid="{D5CDD505-2E9C-101B-9397-08002B2CF9AE}" pid="15" name="WORDNUMPAGES">
    <vt:lpwstr>9</vt:lpwstr>
  </property>
  <property fmtid="{D5CDD505-2E9C-101B-9397-08002B2CF9AE}" pid="16" name="TYPE_ABS_DATE">
    <vt:lpwstr>390020230517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7958246;20033641;13093721;27513365;23506710:2;13104258;28601584;27892670;28003105</vt:lpwstr>
  </property>
  <property fmtid="{D5CDD505-2E9C-101B-9397-08002B2CF9AE}" pid="36" name="LAWLISTTMP1">
    <vt:lpwstr>70301/152:4;274.1;274.2;274.3;025;275a:4;186.a;144.b;448.a;40jc.a</vt:lpwstr>
  </property>
  <property fmtid="{D5CDD505-2E9C-101B-9397-08002B2CF9AE}" pid="37" name="LAWLISTTMP2">
    <vt:lpwstr>72510/002a</vt:lpwstr>
  </property>
</Properties>
</file>