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2852"/>
        <w:gridCol w:w="2819"/>
        <w:gridCol w:w="2834"/>
        <w:gridCol w:w="185"/>
        <w:gridCol w:w="84"/>
      </w:tblGrid>
      <w:tr w:rsidR="00287003" w:rsidRPr="001E25C2" w14:paraId="7DC69951" w14:textId="77777777" w:rsidTr="005D4F26">
        <w:trPr>
          <w:gridBefore w:val="1"/>
          <w:gridAfter w:val="2"/>
          <w:wBefore w:w="28" w:type="dxa"/>
          <w:wAfter w:w="269" w:type="dxa"/>
          <w:trHeight w:hRule="exact" w:val="418"/>
          <w:jc w:val="center"/>
        </w:trPr>
        <w:tc>
          <w:tcPr>
            <w:tcW w:w="8505" w:type="dxa"/>
            <w:gridSpan w:val="3"/>
          </w:tcPr>
          <w:p w14:paraId="256DBBB3" w14:textId="77777777" w:rsidR="00287003" w:rsidRPr="001E25C2" w:rsidRDefault="00287003" w:rsidP="002F1532">
            <w:pPr>
              <w:pStyle w:val="a3"/>
              <w:jc w:val="center"/>
              <w:rPr>
                <w:rFonts w:ascii="Tahoma" w:hAnsi="Tahoma" w:cs="Tahoma"/>
                <w:color w:val="000080"/>
                <w:rtl/>
              </w:rPr>
            </w:pPr>
            <w:bookmarkStart w:id="0" w:name="LastJudge"/>
            <w:r w:rsidRPr="001E25C2">
              <w:rPr>
                <w:rFonts w:ascii="Tahoma" w:hAnsi="Tahoma" w:cs="Tahoma"/>
                <w:b/>
                <w:bCs/>
                <w:color w:val="000080"/>
                <w:rtl/>
              </w:rPr>
              <w:t>בית המשפט המחוזי בחיפה</w:t>
            </w:r>
          </w:p>
        </w:tc>
      </w:tr>
      <w:tr w:rsidR="00287003" w:rsidRPr="001E25C2" w14:paraId="11934666" w14:textId="77777777" w:rsidTr="005D4F26">
        <w:trPr>
          <w:gridBefore w:val="1"/>
          <w:gridAfter w:val="2"/>
          <w:wBefore w:w="28" w:type="dxa"/>
          <w:wAfter w:w="269" w:type="dxa"/>
          <w:trHeight w:val="337"/>
          <w:jc w:val="center"/>
        </w:trPr>
        <w:tc>
          <w:tcPr>
            <w:tcW w:w="5671" w:type="dxa"/>
            <w:gridSpan w:val="2"/>
          </w:tcPr>
          <w:p w14:paraId="46F4A9B8" w14:textId="77777777" w:rsidR="00287003" w:rsidRPr="001E25C2" w:rsidRDefault="00287003" w:rsidP="002F1532">
            <w:pPr>
              <w:spacing w:line="360" w:lineRule="auto"/>
              <w:rPr>
                <w:rFonts w:cs="FrankRuehl"/>
                <w:sz w:val="28"/>
                <w:szCs w:val="28"/>
                <w:rtl/>
              </w:rPr>
            </w:pPr>
            <w:r w:rsidRPr="001E25C2">
              <w:rPr>
                <w:rFonts w:cs="FrankRuehl"/>
                <w:sz w:val="28"/>
                <w:szCs w:val="28"/>
                <w:rtl/>
              </w:rPr>
              <w:t>ת"פ</w:t>
            </w:r>
            <w:r w:rsidRPr="001E25C2">
              <w:rPr>
                <w:rFonts w:cs="FrankRuehl" w:hint="cs"/>
                <w:sz w:val="28"/>
                <w:szCs w:val="28"/>
                <w:rtl/>
              </w:rPr>
              <w:t xml:space="preserve"> </w:t>
            </w:r>
            <w:r w:rsidRPr="001E25C2">
              <w:rPr>
                <w:rFonts w:cs="FrankRuehl"/>
                <w:sz w:val="28"/>
                <w:szCs w:val="28"/>
                <w:rtl/>
              </w:rPr>
              <w:t>56328-06-22</w:t>
            </w:r>
            <w:r w:rsidRPr="001E25C2">
              <w:rPr>
                <w:rFonts w:cs="FrankRuehl" w:hint="cs"/>
                <w:sz w:val="28"/>
                <w:szCs w:val="28"/>
                <w:rtl/>
              </w:rPr>
              <w:t xml:space="preserve"> </w:t>
            </w:r>
            <w:r w:rsidRPr="001E25C2">
              <w:rPr>
                <w:rFonts w:cs="FrankRuehl"/>
                <w:sz w:val="28"/>
                <w:szCs w:val="28"/>
                <w:rtl/>
              </w:rPr>
              <w:t>מדינת ישראל נ' בסל</w:t>
            </w:r>
            <w:r w:rsidRPr="001E25C2">
              <w:rPr>
                <w:rFonts w:cs="FrankRuehl" w:hint="cs"/>
                <w:sz w:val="28"/>
                <w:szCs w:val="28"/>
                <w:rtl/>
              </w:rPr>
              <w:t xml:space="preserve"> </w:t>
            </w:r>
            <w:r w:rsidRPr="001E25C2">
              <w:rPr>
                <w:rFonts w:cs="FrankRuehl"/>
                <w:sz w:val="28"/>
                <w:szCs w:val="28"/>
                <w:rtl/>
              </w:rPr>
              <w:t>(עציר) ואח'</w:t>
            </w:r>
          </w:p>
          <w:p w14:paraId="331FC3E6" w14:textId="77777777" w:rsidR="00287003" w:rsidRPr="001E25C2" w:rsidRDefault="00287003" w:rsidP="002F1532">
            <w:pPr>
              <w:pStyle w:val="a3"/>
              <w:rPr>
                <w:rFonts w:cs="FrankRuehl"/>
                <w:sz w:val="28"/>
                <w:szCs w:val="28"/>
                <w:rtl/>
              </w:rPr>
            </w:pPr>
          </w:p>
        </w:tc>
        <w:tc>
          <w:tcPr>
            <w:tcW w:w="2834" w:type="dxa"/>
          </w:tcPr>
          <w:p w14:paraId="64AB100A" w14:textId="77777777" w:rsidR="00287003" w:rsidRPr="001E25C2" w:rsidRDefault="003806AA" w:rsidP="002F1532">
            <w:pPr>
              <w:pStyle w:val="a3"/>
              <w:jc w:val="right"/>
              <w:rPr>
                <w:rFonts w:cs="FrankRuehl"/>
                <w:sz w:val="28"/>
                <w:szCs w:val="28"/>
                <w:rtl/>
              </w:rPr>
            </w:pPr>
            <w:r w:rsidRPr="001E25C2">
              <w:rPr>
                <w:rFonts w:cs="FrankRuehl"/>
                <w:sz w:val="28"/>
                <w:szCs w:val="28"/>
                <w:rtl/>
              </w:rPr>
              <w:fldChar w:fldCharType="begin"/>
            </w:r>
            <w:r w:rsidR="00287003" w:rsidRPr="001E25C2">
              <w:rPr>
                <w:rFonts w:cs="FrankRuehl"/>
                <w:sz w:val="28"/>
                <w:szCs w:val="28"/>
                <w:rtl/>
              </w:rPr>
              <w:instrText xml:space="preserve"> </w:instrText>
            </w:r>
            <w:r w:rsidR="00287003" w:rsidRPr="001E25C2">
              <w:rPr>
                <w:rFonts w:cs="FrankRuehl" w:hint="cs"/>
                <w:sz w:val="28"/>
                <w:szCs w:val="28"/>
              </w:rPr>
              <w:instrText>DATE</w:instrText>
            </w:r>
            <w:r w:rsidR="00287003" w:rsidRPr="001E25C2">
              <w:rPr>
                <w:rFonts w:cs="FrankRuehl" w:hint="cs"/>
                <w:sz w:val="28"/>
                <w:szCs w:val="28"/>
                <w:rtl/>
              </w:rPr>
              <w:instrText xml:space="preserve"> \@ "</w:instrText>
            </w:r>
            <w:r w:rsidR="00287003" w:rsidRPr="001E25C2">
              <w:rPr>
                <w:rFonts w:cs="FrankRuehl" w:hint="cs"/>
                <w:sz w:val="28"/>
                <w:szCs w:val="28"/>
              </w:rPr>
              <w:instrText>dd MMMM yyyy</w:instrText>
            </w:r>
            <w:r w:rsidR="00287003" w:rsidRPr="001E25C2">
              <w:rPr>
                <w:rFonts w:cs="FrankRuehl" w:hint="cs"/>
                <w:sz w:val="28"/>
                <w:szCs w:val="28"/>
                <w:rtl/>
              </w:rPr>
              <w:instrText>"</w:instrText>
            </w:r>
            <w:r w:rsidR="00287003" w:rsidRPr="001E25C2">
              <w:rPr>
                <w:rFonts w:cs="FrankRuehl"/>
                <w:sz w:val="28"/>
                <w:szCs w:val="28"/>
                <w:rtl/>
              </w:rPr>
              <w:instrText xml:space="preserve"> </w:instrText>
            </w:r>
            <w:r w:rsidRPr="001E25C2">
              <w:rPr>
                <w:rFonts w:cs="FrankRuehl"/>
                <w:sz w:val="28"/>
                <w:szCs w:val="28"/>
                <w:rtl/>
              </w:rPr>
              <w:fldChar w:fldCharType="separate"/>
            </w:r>
            <w:r w:rsidR="00FD33C3">
              <w:rPr>
                <w:rFonts w:cs="FrankRuehl"/>
                <w:noProof/>
                <w:sz w:val="28"/>
                <w:szCs w:val="28"/>
                <w:rtl/>
              </w:rPr>
              <w:t>‏25 אפריל 2025</w:t>
            </w:r>
            <w:r w:rsidRPr="001E25C2">
              <w:rPr>
                <w:rFonts w:cs="FrankRuehl"/>
                <w:sz w:val="28"/>
                <w:szCs w:val="28"/>
                <w:rtl/>
              </w:rPr>
              <w:fldChar w:fldCharType="end"/>
            </w:r>
          </w:p>
        </w:tc>
      </w:tr>
      <w:tr w:rsidR="00287003" w:rsidRPr="001E25C2" w14:paraId="5C711BAC" w14:textId="77777777" w:rsidTr="005D4F26">
        <w:tblPrEx>
          <w:jc w:val="left"/>
          <w:tblInd w:w="-28" w:type="dxa"/>
          <w:tblLook w:val="01E0" w:firstRow="1" w:lastRow="1" w:firstColumn="1" w:lastColumn="1" w:noHBand="0" w:noVBand="0"/>
        </w:tblPrEx>
        <w:trPr>
          <w:gridAfter w:val="1"/>
          <w:wAfter w:w="84" w:type="dxa"/>
        </w:trPr>
        <w:tc>
          <w:tcPr>
            <w:tcW w:w="8718" w:type="dxa"/>
            <w:gridSpan w:val="5"/>
            <w:shd w:val="clear" w:color="auto" w:fill="auto"/>
          </w:tcPr>
          <w:p w14:paraId="5A0066B5" w14:textId="77777777" w:rsidR="00287003" w:rsidRPr="001E25C2" w:rsidRDefault="00287003" w:rsidP="00287003">
            <w:pPr>
              <w:spacing w:line="480" w:lineRule="auto"/>
              <w:rPr>
                <w:rFonts w:ascii="David" w:hAnsi="David"/>
                <w:b/>
                <w:bCs/>
                <w:sz w:val="26"/>
                <w:szCs w:val="26"/>
                <w:rtl/>
              </w:rPr>
            </w:pPr>
            <w:r w:rsidRPr="001E25C2">
              <w:rPr>
                <w:rFonts w:hint="cs"/>
                <w:rtl/>
              </w:rPr>
              <w:t xml:space="preserve"> </w:t>
            </w:r>
            <w:r w:rsidRPr="001E25C2">
              <w:rPr>
                <w:rFonts w:ascii="David" w:hAnsi="David"/>
                <w:b/>
                <w:bCs/>
                <w:sz w:val="26"/>
                <w:szCs w:val="26"/>
                <w:rtl/>
              </w:rPr>
              <w:t>לפני:                                        כבוד השופט אינאס סלאמה</w:t>
            </w:r>
            <w:r w:rsidRPr="001E25C2">
              <w:rPr>
                <w:rStyle w:val="TimesNewRomanTimesNewRoman"/>
                <w:rFonts w:ascii="David" w:hAnsi="David"/>
                <w:rtl/>
              </w:rPr>
              <w:t xml:space="preserve"> </w:t>
            </w:r>
          </w:p>
        </w:tc>
      </w:tr>
      <w:tr w:rsidR="00287003" w:rsidRPr="001E25C2" w14:paraId="12E3FAD8" w14:textId="77777777" w:rsidTr="005D4F26">
        <w:tblPrEx>
          <w:jc w:val="left"/>
          <w:tblInd w:w="-28" w:type="dxa"/>
          <w:tblLook w:val="01E0" w:firstRow="1" w:lastRow="1" w:firstColumn="1" w:lastColumn="1" w:noHBand="0" w:noVBand="0"/>
        </w:tblPrEx>
        <w:trPr>
          <w:cantSplit/>
          <w:trHeight w:val="724"/>
        </w:trPr>
        <w:tc>
          <w:tcPr>
            <w:tcW w:w="2880" w:type="dxa"/>
            <w:gridSpan w:val="2"/>
            <w:shd w:val="clear" w:color="auto" w:fill="auto"/>
          </w:tcPr>
          <w:p w14:paraId="7A3F813A" w14:textId="77777777" w:rsidR="00287003" w:rsidRPr="001E25C2" w:rsidRDefault="00287003" w:rsidP="00287003">
            <w:pPr>
              <w:ind w:left="26"/>
              <w:rPr>
                <w:rFonts w:ascii="David" w:hAnsi="David"/>
                <w:b/>
                <w:bCs/>
                <w:sz w:val="26"/>
                <w:szCs w:val="26"/>
                <w:rtl/>
              </w:rPr>
            </w:pPr>
            <w:bookmarkStart w:id="1" w:name="FirstAppellant"/>
          </w:p>
          <w:p w14:paraId="714D95EA" w14:textId="77777777" w:rsidR="00287003" w:rsidRPr="001E25C2" w:rsidRDefault="00287003" w:rsidP="00287003">
            <w:pPr>
              <w:ind w:left="26"/>
              <w:rPr>
                <w:rFonts w:ascii="David" w:hAnsi="David"/>
                <w:b/>
                <w:bCs/>
                <w:sz w:val="26"/>
                <w:szCs w:val="26"/>
                <w:rtl/>
              </w:rPr>
            </w:pPr>
            <w:r w:rsidRPr="001E25C2">
              <w:rPr>
                <w:rFonts w:ascii="David" w:hAnsi="David"/>
                <w:b/>
                <w:bCs/>
                <w:sz w:val="26"/>
                <w:szCs w:val="26"/>
                <w:rtl/>
              </w:rPr>
              <w:t>המאשימה:</w:t>
            </w:r>
          </w:p>
        </w:tc>
        <w:tc>
          <w:tcPr>
            <w:tcW w:w="5922" w:type="dxa"/>
            <w:gridSpan w:val="4"/>
            <w:shd w:val="clear" w:color="auto" w:fill="auto"/>
          </w:tcPr>
          <w:p w14:paraId="487D17FC" w14:textId="77777777" w:rsidR="00287003" w:rsidRPr="001E25C2" w:rsidRDefault="00287003" w:rsidP="002F1532">
            <w:pPr>
              <w:rPr>
                <w:rFonts w:ascii="David" w:hAnsi="David"/>
                <w:rtl/>
              </w:rPr>
            </w:pPr>
          </w:p>
          <w:p w14:paraId="020E00A2" w14:textId="77777777" w:rsidR="00287003" w:rsidRPr="001E25C2" w:rsidRDefault="00287003" w:rsidP="00287003">
            <w:pPr>
              <w:spacing w:line="360" w:lineRule="auto"/>
              <w:rPr>
                <w:rFonts w:ascii="David" w:hAnsi="David"/>
                <w:b/>
                <w:bCs/>
                <w:sz w:val="26"/>
                <w:szCs w:val="26"/>
                <w:rtl/>
              </w:rPr>
            </w:pPr>
            <w:r w:rsidRPr="001E25C2">
              <w:rPr>
                <w:rFonts w:ascii="David" w:hAnsi="David"/>
                <w:b/>
                <w:bCs/>
                <w:sz w:val="26"/>
                <w:szCs w:val="26"/>
                <w:rtl/>
              </w:rPr>
              <w:t>מדינת ישראל</w:t>
            </w:r>
          </w:p>
          <w:p w14:paraId="6E3AF169" w14:textId="77777777" w:rsidR="00287003" w:rsidRPr="001E25C2" w:rsidRDefault="00287003" w:rsidP="00287003">
            <w:pPr>
              <w:spacing w:line="360" w:lineRule="auto"/>
              <w:rPr>
                <w:rFonts w:ascii="David" w:hAnsi="David"/>
                <w:sz w:val="22"/>
                <w:szCs w:val="22"/>
                <w:rtl/>
              </w:rPr>
            </w:pPr>
            <w:r w:rsidRPr="001E25C2">
              <w:rPr>
                <w:rFonts w:ascii="David" w:hAnsi="David" w:hint="cs"/>
                <w:sz w:val="22"/>
                <w:szCs w:val="22"/>
                <w:rtl/>
              </w:rPr>
              <w:t>ע"י פרקליטות מחוז חיפה</w:t>
            </w:r>
          </w:p>
          <w:p w14:paraId="664C2994" w14:textId="77777777" w:rsidR="00287003" w:rsidRPr="001E25C2" w:rsidRDefault="00287003" w:rsidP="00287003">
            <w:pPr>
              <w:spacing w:line="360" w:lineRule="auto"/>
              <w:rPr>
                <w:rFonts w:ascii="David" w:hAnsi="David"/>
                <w:b/>
                <w:bCs/>
                <w:sz w:val="26"/>
                <w:szCs w:val="26"/>
                <w:rtl/>
              </w:rPr>
            </w:pPr>
          </w:p>
        </w:tc>
      </w:tr>
      <w:bookmarkEnd w:id="1"/>
      <w:tr w:rsidR="00287003" w:rsidRPr="001E25C2" w14:paraId="7FDE7926" w14:textId="77777777" w:rsidTr="005D4F26">
        <w:tblPrEx>
          <w:jc w:val="left"/>
          <w:tblInd w:w="-28" w:type="dxa"/>
          <w:tblLook w:val="01E0" w:firstRow="1" w:lastRow="1" w:firstColumn="1" w:lastColumn="1" w:noHBand="0" w:noVBand="0"/>
        </w:tblPrEx>
        <w:tc>
          <w:tcPr>
            <w:tcW w:w="8802" w:type="dxa"/>
            <w:gridSpan w:val="6"/>
            <w:shd w:val="clear" w:color="auto" w:fill="auto"/>
            <w:vAlign w:val="center"/>
          </w:tcPr>
          <w:p w14:paraId="4F1AEF68" w14:textId="77777777" w:rsidR="00287003" w:rsidRPr="001E25C2" w:rsidRDefault="00287003" w:rsidP="00287003">
            <w:pPr>
              <w:jc w:val="center"/>
              <w:rPr>
                <w:rFonts w:ascii="David" w:hAnsi="David"/>
                <w:b/>
                <w:bCs/>
                <w:sz w:val="26"/>
                <w:szCs w:val="26"/>
                <w:rtl/>
              </w:rPr>
            </w:pPr>
            <w:r w:rsidRPr="001E25C2">
              <w:rPr>
                <w:rFonts w:ascii="David" w:hAnsi="David"/>
                <w:b/>
                <w:bCs/>
                <w:sz w:val="26"/>
                <w:szCs w:val="26"/>
                <w:rtl/>
              </w:rPr>
              <w:t>נגד</w:t>
            </w:r>
          </w:p>
          <w:p w14:paraId="575F58CC" w14:textId="77777777" w:rsidR="00287003" w:rsidRPr="001E25C2" w:rsidRDefault="00287003" w:rsidP="002F1532">
            <w:pPr>
              <w:rPr>
                <w:rFonts w:ascii="David" w:hAnsi="David"/>
                <w:b/>
                <w:bCs/>
                <w:sz w:val="26"/>
                <w:szCs w:val="26"/>
                <w:rtl/>
              </w:rPr>
            </w:pPr>
          </w:p>
        </w:tc>
      </w:tr>
      <w:tr w:rsidR="00287003" w:rsidRPr="001E25C2" w14:paraId="7CE42767" w14:textId="77777777" w:rsidTr="005D4F26">
        <w:tblPrEx>
          <w:jc w:val="left"/>
          <w:tblInd w:w="-28" w:type="dxa"/>
          <w:tblLook w:val="01E0" w:firstRow="1" w:lastRow="1" w:firstColumn="1" w:lastColumn="1" w:noHBand="0" w:noVBand="0"/>
        </w:tblPrEx>
        <w:tc>
          <w:tcPr>
            <w:tcW w:w="2880" w:type="dxa"/>
            <w:gridSpan w:val="2"/>
            <w:shd w:val="clear" w:color="auto" w:fill="auto"/>
          </w:tcPr>
          <w:p w14:paraId="14DAAE5A" w14:textId="77777777" w:rsidR="00287003" w:rsidRPr="001E25C2" w:rsidRDefault="00287003" w:rsidP="00287003">
            <w:pPr>
              <w:ind w:left="26"/>
              <w:rPr>
                <w:rFonts w:ascii="David" w:hAnsi="David"/>
                <w:b/>
                <w:bCs/>
                <w:sz w:val="26"/>
                <w:szCs w:val="26"/>
              </w:rPr>
            </w:pPr>
            <w:bookmarkStart w:id="2" w:name="FirstLawyer"/>
            <w:r w:rsidRPr="001E25C2">
              <w:rPr>
                <w:rFonts w:ascii="David" w:hAnsi="David"/>
                <w:b/>
                <w:bCs/>
                <w:sz w:val="26"/>
                <w:szCs w:val="26"/>
                <w:rtl/>
              </w:rPr>
              <w:t>הנאשמים:</w:t>
            </w:r>
          </w:p>
        </w:tc>
        <w:tc>
          <w:tcPr>
            <w:tcW w:w="5922" w:type="dxa"/>
            <w:gridSpan w:val="4"/>
            <w:shd w:val="clear" w:color="auto" w:fill="auto"/>
          </w:tcPr>
          <w:p w14:paraId="245F7CCD" w14:textId="77777777" w:rsidR="00287003" w:rsidRPr="001E25C2" w:rsidRDefault="00287003" w:rsidP="00287003">
            <w:pPr>
              <w:spacing w:line="360" w:lineRule="auto"/>
              <w:rPr>
                <w:rFonts w:ascii="David" w:hAnsi="David"/>
                <w:b/>
                <w:bCs/>
                <w:sz w:val="26"/>
                <w:szCs w:val="26"/>
                <w:rtl/>
              </w:rPr>
            </w:pPr>
            <w:r w:rsidRPr="001E25C2">
              <w:rPr>
                <w:rFonts w:ascii="David" w:hAnsi="David"/>
                <w:b/>
                <w:bCs/>
                <w:sz w:val="26"/>
                <w:szCs w:val="26"/>
                <w:rtl/>
              </w:rPr>
              <w:t>1. מוחמד בסל (עציר)</w:t>
            </w:r>
            <w:r w:rsidRPr="001E25C2">
              <w:rPr>
                <w:rFonts w:ascii="David" w:hAnsi="David"/>
                <w:rtl/>
              </w:rPr>
              <w:t xml:space="preserve"> </w:t>
            </w:r>
            <w:r w:rsidRPr="001E25C2">
              <w:rPr>
                <w:rFonts w:ascii="David" w:hAnsi="David"/>
                <w:b/>
                <w:bCs/>
                <w:sz w:val="22"/>
                <w:szCs w:val="22"/>
                <w:rtl/>
              </w:rPr>
              <w:t xml:space="preserve">ת"ז  </w:t>
            </w:r>
            <w:r w:rsidR="001E25C2">
              <w:rPr>
                <w:rFonts w:ascii="David" w:hAnsi="David"/>
                <w:b/>
                <w:bCs/>
                <w:sz w:val="22"/>
                <w:szCs w:val="22"/>
              </w:rPr>
              <w:t>xxxxxxxxxx</w:t>
            </w:r>
          </w:p>
          <w:p w14:paraId="7E439099" w14:textId="77777777" w:rsidR="00287003" w:rsidRPr="001E25C2" w:rsidRDefault="00287003" w:rsidP="00287003">
            <w:pPr>
              <w:spacing w:line="360" w:lineRule="auto"/>
              <w:rPr>
                <w:rFonts w:ascii="David" w:hAnsi="David"/>
                <w:sz w:val="22"/>
                <w:szCs w:val="22"/>
                <w:rtl/>
              </w:rPr>
            </w:pPr>
            <w:r w:rsidRPr="001E25C2">
              <w:rPr>
                <w:rFonts w:ascii="David" w:hAnsi="David" w:hint="cs"/>
                <w:sz w:val="22"/>
                <w:szCs w:val="22"/>
                <w:rtl/>
              </w:rPr>
              <w:t>ע"י ב"כ עוה"ד מיכאל כרמל</w:t>
            </w:r>
          </w:p>
          <w:p w14:paraId="010F2C68" w14:textId="77777777" w:rsidR="00287003" w:rsidRPr="001E25C2" w:rsidRDefault="00287003" w:rsidP="00287003">
            <w:pPr>
              <w:spacing w:line="360" w:lineRule="auto"/>
              <w:rPr>
                <w:rFonts w:ascii="David" w:hAnsi="David"/>
                <w:b/>
                <w:bCs/>
                <w:sz w:val="26"/>
                <w:szCs w:val="26"/>
                <w:rtl/>
              </w:rPr>
            </w:pPr>
            <w:r w:rsidRPr="001E25C2">
              <w:rPr>
                <w:rFonts w:ascii="David" w:hAnsi="David"/>
                <w:b/>
                <w:bCs/>
                <w:sz w:val="26"/>
                <w:szCs w:val="26"/>
                <w:rtl/>
              </w:rPr>
              <w:t>2. פואד סויטו (עציר)</w:t>
            </w:r>
            <w:r w:rsidRPr="001E25C2">
              <w:rPr>
                <w:rFonts w:ascii="David" w:hAnsi="David"/>
                <w:rtl/>
              </w:rPr>
              <w:t xml:space="preserve"> </w:t>
            </w:r>
            <w:r w:rsidRPr="001E25C2">
              <w:rPr>
                <w:rFonts w:ascii="David" w:hAnsi="David"/>
                <w:b/>
                <w:bCs/>
                <w:sz w:val="22"/>
                <w:szCs w:val="22"/>
                <w:rtl/>
              </w:rPr>
              <w:t xml:space="preserve">ת"ז  </w:t>
            </w:r>
            <w:r w:rsidR="001E25C2">
              <w:rPr>
                <w:rFonts w:ascii="David" w:hAnsi="David"/>
                <w:b/>
                <w:bCs/>
                <w:sz w:val="22"/>
                <w:szCs w:val="22"/>
              </w:rPr>
              <w:t>xxxxxxxxxx</w:t>
            </w:r>
          </w:p>
          <w:p w14:paraId="3E2737C5" w14:textId="77777777" w:rsidR="00287003" w:rsidRPr="001E25C2" w:rsidRDefault="00287003" w:rsidP="00287003">
            <w:pPr>
              <w:spacing w:line="360" w:lineRule="auto"/>
              <w:rPr>
                <w:rFonts w:ascii="David" w:hAnsi="David"/>
                <w:sz w:val="22"/>
                <w:szCs w:val="22"/>
                <w:rtl/>
              </w:rPr>
            </w:pPr>
            <w:r w:rsidRPr="001E25C2">
              <w:rPr>
                <w:rFonts w:ascii="David" w:hAnsi="David" w:hint="cs"/>
                <w:sz w:val="22"/>
                <w:szCs w:val="22"/>
                <w:rtl/>
              </w:rPr>
              <w:t>ע"י ב"כ עוה"ד משה אביטל</w:t>
            </w:r>
          </w:p>
          <w:p w14:paraId="01935DEF" w14:textId="77777777" w:rsidR="00287003" w:rsidRPr="001E25C2" w:rsidRDefault="00287003" w:rsidP="00287003">
            <w:pPr>
              <w:spacing w:line="360" w:lineRule="auto"/>
              <w:rPr>
                <w:rFonts w:ascii="David" w:hAnsi="David"/>
                <w:b/>
                <w:bCs/>
                <w:sz w:val="22"/>
                <w:szCs w:val="22"/>
                <w:rtl/>
              </w:rPr>
            </w:pPr>
            <w:r w:rsidRPr="001E25C2">
              <w:rPr>
                <w:rFonts w:ascii="David" w:hAnsi="David"/>
                <w:b/>
                <w:bCs/>
                <w:sz w:val="26"/>
                <w:szCs w:val="26"/>
                <w:rtl/>
              </w:rPr>
              <w:t>3. מוסטפא הנבוזי (עציר)</w:t>
            </w:r>
            <w:r w:rsidRPr="001E25C2">
              <w:rPr>
                <w:rFonts w:ascii="David" w:hAnsi="David"/>
                <w:rtl/>
              </w:rPr>
              <w:t xml:space="preserve"> </w:t>
            </w:r>
            <w:r w:rsidRPr="001E25C2">
              <w:rPr>
                <w:rFonts w:ascii="David" w:hAnsi="David"/>
                <w:b/>
                <w:bCs/>
                <w:sz w:val="22"/>
                <w:szCs w:val="22"/>
                <w:rtl/>
              </w:rPr>
              <w:t xml:space="preserve">ת"ז  </w:t>
            </w:r>
            <w:r w:rsidR="001E25C2">
              <w:rPr>
                <w:rFonts w:ascii="David" w:hAnsi="David"/>
                <w:b/>
                <w:bCs/>
                <w:sz w:val="22"/>
                <w:szCs w:val="22"/>
              </w:rPr>
              <w:t>xxxxxxxxxx</w:t>
            </w:r>
          </w:p>
          <w:p w14:paraId="0D873ED8" w14:textId="77777777" w:rsidR="00287003" w:rsidRPr="001E25C2" w:rsidRDefault="00287003" w:rsidP="00287003">
            <w:pPr>
              <w:spacing w:line="360" w:lineRule="auto"/>
              <w:rPr>
                <w:rFonts w:ascii="David" w:hAnsi="David"/>
                <w:sz w:val="22"/>
                <w:szCs w:val="22"/>
                <w:rtl/>
              </w:rPr>
            </w:pPr>
            <w:r w:rsidRPr="001E25C2">
              <w:rPr>
                <w:rFonts w:ascii="David" w:hAnsi="David" w:hint="cs"/>
                <w:sz w:val="22"/>
                <w:szCs w:val="22"/>
                <w:rtl/>
              </w:rPr>
              <w:t>ע"י ב"כ עוה"ד מג'יד חיג'אזי</w:t>
            </w:r>
          </w:p>
          <w:p w14:paraId="18828D9C" w14:textId="77777777" w:rsidR="00287003" w:rsidRPr="001E25C2" w:rsidRDefault="00287003" w:rsidP="00287003">
            <w:pPr>
              <w:spacing w:line="360" w:lineRule="auto"/>
              <w:rPr>
                <w:rFonts w:ascii="David" w:hAnsi="David"/>
                <w:b/>
                <w:bCs/>
                <w:sz w:val="26"/>
                <w:szCs w:val="26"/>
                <w:rtl/>
              </w:rPr>
            </w:pPr>
            <w:r w:rsidRPr="001E25C2">
              <w:rPr>
                <w:rFonts w:ascii="David" w:hAnsi="David"/>
                <w:b/>
                <w:bCs/>
                <w:sz w:val="26"/>
                <w:szCs w:val="26"/>
                <w:rtl/>
              </w:rPr>
              <w:t>4. עודאי טאהא (עציר)</w:t>
            </w:r>
            <w:r w:rsidRPr="001E25C2">
              <w:rPr>
                <w:rFonts w:ascii="David" w:hAnsi="David"/>
                <w:rtl/>
              </w:rPr>
              <w:t xml:space="preserve"> </w:t>
            </w:r>
            <w:r w:rsidRPr="001E25C2">
              <w:rPr>
                <w:rFonts w:ascii="David" w:hAnsi="David"/>
                <w:b/>
                <w:bCs/>
                <w:sz w:val="22"/>
                <w:szCs w:val="22"/>
                <w:rtl/>
              </w:rPr>
              <w:t xml:space="preserve">ת"ז  </w:t>
            </w:r>
            <w:r w:rsidR="001E25C2">
              <w:rPr>
                <w:rFonts w:ascii="David" w:hAnsi="David"/>
                <w:b/>
                <w:bCs/>
                <w:sz w:val="22"/>
                <w:szCs w:val="22"/>
              </w:rPr>
              <w:t>xxxxxxxxxx</w:t>
            </w:r>
          </w:p>
          <w:p w14:paraId="637F4DEF" w14:textId="77777777" w:rsidR="00287003" w:rsidRPr="001E25C2" w:rsidRDefault="00287003" w:rsidP="00287003">
            <w:pPr>
              <w:spacing w:line="360" w:lineRule="auto"/>
              <w:rPr>
                <w:rFonts w:ascii="David" w:hAnsi="David"/>
                <w:sz w:val="22"/>
                <w:szCs w:val="22"/>
                <w:rtl/>
              </w:rPr>
            </w:pPr>
            <w:r w:rsidRPr="001E25C2">
              <w:rPr>
                <w:rFonts w:ascii="David" w:hAnsi="David" w:hint="cs"/>
                <w:sz w:val="22"/>
                <w:szCs w:val="22"/>
                <w:rtl/>
              </w:rPr>
              <w:t>ע"י ב"כ עוה"ד ששון בר עוד ו/או עו"ד פהד נסיב חאג'</w:t>
            </w:r>
          </w:p>
          <w:p w14:paraId="25DDAB1F" w14:textId="77777777" w:rsidR="00287003" w:rsidRPr="001E25C2" w:rsidRDefault="00287003" w:rsidP="002F1532">
            <w:pPr>
              <w:rPr>
                <w:rFonts w:ascii="David" w:hAnsi="David"/>
                <w:b/>
                <w:bCs/>
                <w:sz w:val="26"/>
                <w:szCs w:val="26"/>
                <w:rtl/>
              </w:rPr>
            </w:pPr>
          </w:p>
          <w:p w14:paraId="43FA8599" w14:textId="77777777" w:rsidR="00287003" w:rsidRPr="001E25C2" w:rsidRDefault="00287003" w:rsidP="002F1532">
            <w:pPr>
              <w:rPr>
                <w:rFonts w:ascii="David" w:hAnsi="David"/>
                <w:b/>
                <w:bCs/>
                <w:sz w:val="26"/>
                <w:szCs w:val="26"/>
                <w:rtl/>
              </w:rPr>
            </w:pPr>
          </w:p>
        </w:tc>
      </w:tr>
      <w:bookmarkEnd w:id="2"/>
    </w:tbl>
    <w:p w14:paraId="57C89F0A" w14:textId="77777777" w:rsidR="005D4F26" w:rsidRDefault="005D4F26" w:rsidP="00287003">
      <w:pPr>
        <w:rPr>
          <w:rFonts w:ascii="David" w:hAnsi="David"/>
          <w:rtl/>
        </w:rPr>
      </w:pPr>
    </w:p>
    <w:p w14:paraId="468A2FF4" w14:textId="77777777" w:rsidR="005D4F26" w:rsidRPr="005D4F26" w:rsidRDefault="005D4F26" w:rsidP="005D4F26">
      <w:pPr>
        <w:spacing w:after="120" w:line="240" w:lineRule="exact"/>
        <w:ind w:left="283" w:hanging="283"/>
        <w:jc w:val="both"/>
        <w:rPr>
          <w:rFonts w:ascii="FrankRuehl" w:hAnsi="FrankRuehl" w:cs="FrankRuehl"/>
          <w:rtl/>
        </w:rPr>
      </w:pPr>
    </w:p>
    <w:p w14:paraId="3E5E7E01" w14:textId="77777777" w:rsidR="00B4550F" w:rsidRPr="00B4550F" w:rsidRDefault="00B4550F" w:rsidP="00B4550F">
      <w:pPr>
        <w:spacing w:before="120" w:after="120" w:line="240" w:lineRule="exact"/>
        <w:ind w:left="283" w:hanging="283"/>
        <w:jc w:val="both"/>
        <w:rPr>
          <w:rFonts w:ascii="FrankRuehl" w:hAnsi="FrankRuehl" w:cs="FrankRuehl"/>
          <w:rtl/>
        </w:rPr>
      </w:pPr>
    </w:p>
    <w:p w14:paraId="4A14C873" w14:textId="77777777" w:rsidR="006C4F6A" w:rsidRDefault="006C4F6A" w:rsidP="006C4F6A">
      <w:pPr>
        <w:jc w:val="center"/>
        <w:rPr>
          <w:rFonts w:ascii="David" w:hAnsi="David"/>
          <w:sz w:val="32"/>
          <w:szCs w:val="32"/>
          <w:rtl/>
        </w:rPr>
      </w:pPr>
      <w:bookmarkStart w:id="3" w:name="LawTable"/>
      <w:bookmarkEnd w:id="3"/>
    </w:p>
    <w:p w14:paraId="1A5AC6AF" w14:textId="77777777" w:rsidR="006C4F6A" w:rsidRPr="006C4F6A" w:rsidRDefault="006C4F6A" w:rsidP="006C4F6A">
      <w:pPr>
        <w:spacing w:before="120" w:after="120" w:line="240" w:lineRule="exact"/>
        <w:ind w:left="283" w:hanging="283"/>
        <w:jc w:val="both"/>
        <w:rPr>
          <w:rFonts w:ascii="FrankRuehl" w:hAnsi="FrankRuehl" w:cs="FrankRuehl"/>
          <w:rtl/>
        </w:rPr>
      </w:pPr>
    </w:p>
    <w:p w14:paraId="2784F86C" w14:textId="77777777" w:rsidR="006C4F6A" w:rsidRPr="006C4F6A" w:rsidRDefault="006C4F6A" w:rsidP="006C4F6A">
      <w:pPr>
        <w:spacing w:before="120" w:after="120" w:line="240" w:lineRule="exact"/>
        <w:ind w:left="283" w:hanging="283"/>
        <w:jc w:val="both"/>
        <w:rPr>
          <w:rFonts w:ascii="FrankRuehl" w:hAnsi="FrankRuehl" w:cs="FrankRuehl"/>
          <w:rtl/>
        </w:rPr>
      </w:pPr>
    </w:p>
    <w:p w14:paraId="333B20B3" w14:textId="77777777" w:rsidR="006C4F6A" w:rsidRPr="006C4F6A" w:rsidRDefault="006C4F6A" w:rsidP="006C4F6A">
      <w:pPr>
        <w:spacing w:before="120" w:after="120" w:line="240" w:lineRule="exact"/>
        <w:ind w:left="283" w:hanging="283"/>
        <w:jc w:val="both"/>
        <w:rPr>
          <w:rFonts w:ascii="FrankRuehl" w:hAnsi="FrankRuehl" w:cs="FrankRuehl"/>
          <w:rtl/>
        </w:rPr>
      </w:pPr>
      <w:r w:rsidRPr="006C4F6A">
        <w:rPr>
          <w:rFonts w:ascii="FrankRuehl" w:hAnsi="FrankRuehl" w:cs="FrankRuehl"/>
          <w:rtl/>
        </w:rPr>
        <w:t xml:space="preserve">חקיקה שאוזכרה: </w:t>
      </w:r>
    </w:p>
    <w:p w14:paraId="7E624838" w14:textId="77777777" w:rsidR="006C4F6A" w:rsidRPr="006C4F6A" w:rsidRDefault="006C4F6A" w:rsidP="006C4F6A">
      <w:pPr>
        <w:spacing w:before="120" w:after="120" w:line="240" w:lineRule="exact"/>
        <w:ind w:left="283" w:hanging="283"/>
        <w:jc w:val="both"/>
        <w:rPr>
          <w:rFonts w:ascii="FrankRuehl" w:hAnsi="FrankRuehl" w:cs="FrankRuehl"/>
          <w:rtl/>
        </w:rPr>
      </w:pPr>
      <w:hyperlink r:id="rId7" w:history="1">
        <w:r w:rsidRPr="006C4F6A">
          <w:rPr>
            <w:rFonts w:ascii="FrankRuehl" w:hAnsi="FrankRuehl" w:cs="FrankRuehl"/>
            <w:color w:val="0000FF"/>
            <w:rtl/>
          </w:rPr>
          <w:t>חוק העונשין, תשל"ז-1977</w:t>
        </w:r>
      </w:hyperlink>
      <w:r w:rsidRPr="006C4F6A">
        <w:rPr>
          <w:rFonts w:ascii="FrankRuehl" w:hAnsi="FrankRuehl" w:cs="FrankRuehl"/>
          <w:rtl/>
        </w:rPr>
        <w:t xml:space="preserve">: סע'  </w:t>
      </w:r>
      <w:hyperlink r:id="rId8" w:history="1">
        <w:r w:rsidRPr="006C4F6A">
          <w:rPr>
            <w:rFonts w:ascii="FrankRuehl" w:hAnsi="FrankRuehl" w:cs="FrankRuehl"/>
            <w:color w:val="0000FF"/>
            <w:rtl/>
          </w:rPr>
          <w:t>31</w:t>
        </w:r>
      </w:hyperlink>
      <w:r w:rsidRPr="006C4F6A">
        <w:rPr>
          <w:rFonts w:ascii="FrankRuehl" w:hAnsi="FrankRuehl" w:cs="FrankRuehl"/>
          <w:rtl/>
        </w:rPr>
        <w:t xml:space="preserve">, </w:t>
      </w:r>
      <w:hyperlink r:id="rId9" w:history="1">
        <w:r w:rsidRPr="006C4F6A">
          <w:rPr>
            <w:rFonts w:ascii="FrankRuehl" w:hAnsi="FrankRuehl" w:cs="FrankRuehl"/>
            <w:color w:val="0000FF"/>
            <w:rtl/>
          </w:rPr>
          <w:t>32</w:t>
        </w:r>
      </w:hyperlink>
      <w:r w:rsidRPr="006C4F6A">
        <w:rPr>
          <w:rFonts w:ascii="FrankRuehl" w:hAnsi="FrankRuehl" w:cs="FrankRuehl"/>
          <w:rtl/>
        </w:rPr>
        <w:t xml:space="preserve">, </w:t>
      </w:r>
      <w:hyperlink r:id="rId10" w:history="1">
        <w:r w:rsidRPr="006C4F6A">
          <w:rPr>
            <w:rFonts w:ascii="FrankRuehl" w:hAnsi="FrankRuehl" w:cs="FrankRuehl"/>
            <w:color w:val="0000FF"/>
            <w:rtl/>
          </w:rPr>
          <w:t>144(ב)</w:t>
        </w:r>
      </w:hyperlink>
      <w:r w:rsidRPr="006C4F6A">
        <w:rPr>
          <w:rFonts w:ascii="FrankRuehl" w:hAnsi="FrankRuehl" w:cs="FrankRuehl"/>
          <w:rtl/>
        </w:rPr>
        <w:t xml:space="preserve">, </w:t>
      </w:r>
      <w:hyperlink r:id="rId11" w:history="1">
        <w:r w:rsidRPr="006C4F6A">
          <w:rPr>
            <w:rFonts w:ascii="FrankRuehl" w:hAnsi="FrankRuehl" w:cs="FrankRuehl"/>
            <w:color w:val="0000FF"/>
            <w:rtl/>
          </w:rPr>
          <w:t>340א(א)</w:t>
        </w:r>
      </w:hyperlink>
      <w:r w:rsidRPr="006C4F6A">
        <w:rPr>
          <w:rFonts w:ascii="FrankRuehl" w:hAnsi="FrankRuehl" w:cs="FrankRuehl"/>
          <w:rtl/>
        </w:rPr>
        <w:t xml:space="preserve">, </w:t>
      </w:r>
      <w:hyperlink r:id="rId12" w:history="1">
        <w:r w:rsidRPr="006C4F6A">
          <w:rPr>
            <w:rFonts w:ascii="FrankRuehl" w:hAnsi="FrankRuehl" w:cs="FrankRuehl"/>
            <w:color w:val="0000FF"/>
            <w:rtl/>
          </w:rPr>
          <w:t>40יא</w:t>
        </w:r>
      </w:hyperlink>
    </w:p>
    <w:p w14:paraId="1B797A57" w14:textId="77777777" w:rsidR="006C4F6A" w:rsidRPr="006C4F6A" w:rsidRDefault="006C4F6A" w:rsidP="006C4F6A">
      <w:pPr>
        <w:jc w:val="center"/>
        <w:rPr>
          <w:rFonts w:ascii="David" w:hAnsi="David"/>
          <w:sz w:val="32"/>
          <w:szCs w:val="32"/>
          <w:rtl/>
        </w:rPr>
      </w:pPr>
      <w:bookmarkStart w:id="4" w:name="LawTable_End"/>
      <w:bookmarkEnd w:id="4"/>
    </w:p>
    <w:p w14:paraId="1E5727F6" w14:textId="77777777" w:rsidR="005D4F26" w:rsidRPr="00B4550F" w:rsidRDefault="005D4F26" w:rsidP="00B4550F">
      <w:pPr>
        <w:jc w:val="center"/>
        <w:rPr>
          <w:rFonts w:ascii="David" w:hAnsi="David"/>
          <w:sz w:val="32"/>
          <w:szCs w:val="32"/>
          <w:rtl/>
        </w:rPr>
      </w:pPr>
    </w:p>
    <w:p w14:paraId="10A4BF5E" w14:textId="77777777" w:rsidR="005D4F26" w:rsidRPr="001E25C2" w:rsidRDefault="005D4F26" w:rsidP="001E25C2">
      <w:pPr>
        <w:jc w:val="center"/>
        <w:rPr>
          <w:rFonts w:ascii="David" w:hAnsi="David"/>
          <w:b/>
          <w:bCs/>
          <w:sz w:val="32"/>
          <w:szCs w:val="32"/>
          <w:u w:val="single"/>
          <w:rtl/>
        </w:rPr>
      </w:pPr>
      <w:bookmarkStart w:id="5" w:name="PsakDin"/>
      <w:r w:rsidRPr="001E25C2">
        <w:rPr>
          <w:rFonts w:ascii="David" w:hAnsi="David"/>
          <w:b/>
          <w:bCs/>
          <w:sz w:val="32"/>
          <w:szCs w:val="32"/>
          <w:u w:val="single"/>
          <w:rtl/>
        </w:rPr>
        <w:t>גזר דין</w:t>
      </w:r>
    </w:p>
    <w:bookmarkEnd w:id="5"/>
    <w:p w14:paraId="1B4E3911" w14:textId="77777777" w:rsidR="005D4F26" w:rsidRPr="00287003" w:rsidRDefault="005D4F26" w:rsidP="00287003">
      <w:pPr>
        <w:jc w:val="center"/>
        <w:rPr>
          <w:rFonts w:ascii="David" w:hAnsi="David"/>
          <w:sz w:val="32"/>
          <w:szCs w:val="32"/>
          <w:u w:val="single"/>
          <w:rtl/>
        </w:rPr>
      </w:pPr>
    </w:p>
    <w:p w14:paraId="22EFF255" w14:textId="77777777" w:rsidR="005D4F26" w:rsidRPr="00287003" w:rsidRDefault="005D4F26" w:rsidP="00287003">
      <w:pPr>
        <w:jc w:val="center"/>
        <w:rPr>
          <w:rFonts w:ascii="David" w:hAnsi="David"/>
          <w:sz w:val="32"/>
          <w:szCs w:val="32"/>
          <w:u w:val="single"/>
          <w:rtl/>
        </w:rPr>
      </w:pPr>
    </w:p>
    <w:bookmarkEnd w:id="0"/>
    <w:p w14:paraId="6A306059" w14:textId="77777777" w:rsidR="00287003" w:rsidRPr="00B80EF8" w:rsidRDefault="00287003" w:rsidP="00287003">
      <w:pPr>
        <w:spacing w:line="360" w:lineRule="auto"/>
        <w:ind w:left="720" w:hanging="720"/>
        <w:jc w:val="both"/>
        <w:rPr>
          <w:noProof/>
          <w:rtl/>
        </w:rPr>
      </w:pPr>
      <w:r w:rsidRPr="00B80EF8">
        <w:rPr>
          <w:rFonts w:hint="cs"/>
          <w:noProof/>
          <w:rtl/>
        </w:rPr>
        <w:t>1.</w:t>
      </w:r>
      <w:r w:rsidRPr="00B80EF8">
        <w:rPr>
          <w:rFonts w:hint="cs"/>
          <w:noProof/>
          <w:rtl/>
        </w:rPr>
        <w:tab/>
      </w:r>
      <w:bookmarkStart w:id="6" w:name="ABSTRACT_START"/>
      <w:bookmarkEnd w:id="6"/>
      <w:r w:rsidRPr="00B80EF8">
        <w:rPr>
          <w:rFonts w:hint="cs"/>
          <w:noProof/>
          <w:rtl/>
        </w:rPr>
        <w:t xml:space="preserve">הנאשמים שלפניי הורשעו, על פי הודאתם במסגרת הסדר טיעון בעובדות כתב אישום מתוקן, בביצוע העבירות שלהלן: עבירות </w:t>
      </w:r>
      <w:r>
        <w:rPr>
          <w:rFonts w:hint="cs"/>
          <w:noProof/>
          <w:rtl/>
        </w:rPr>
        <w:t>ב</w:t>
      </w:r>
      <w:r w:rsidRPr="00B80EF8">
        <w:rPr>
          <w:rFonts w:hint="cs"/>
          <w:noProof/>
          <w:rtl/>
        </w:rPr>
        <w:t xml:space="preserve">נשק (נשיאה והובלה) - עבירה לפי </w:t>
      </w:r>
      <w:hyperlink r:id="rId13" w:history="1">
        <w:r w:rsidR="005D4F26" w:rsidRPr="005D4F26">
          <w:rPr>
            <w:rStyle w:val="Hyperlink"/>
            <w:rFonts w:hint="eastAsia"/>
            <w:noProof/>
            <w:rtl/>
          </w:rPr>
          <w:t>סעיף</w:t>
        </w:r>
        <w:r w:rsidR="005D4F26" w:rsidRPr="005D4F26">
          <w:rPr>
            <w:rStyle w:val="Hyperlink"/>
            <w:noProof/>
            <w:rtl/>
          </w:rPr>
          <w:t xml:space="preserve"> 144(ב)</w:t>
        </w:r>
      </w:hyperlink>
      <w:r w:rsidRPr="00B80EF8">
        <w:rPr>
          <w:rFonts w:hint="cs"/>
          <w:noProof/>
          <w:rtl/>
        </w:rPr>
        <w:t xml:space="preserve"> רישא + סיפא ל</w:t>
      </w:r>
      <w:hyperlink r:id="rId14" w:history="1">
        <w:r w:rsidR="001E25C2" w:rsidRPr="001E25C2">
          <w:rPr>
            <w:noProof/>
            <w:color w:val="0000FF"/>
            <w:u w:val="single"/>
            <w:rtl/>
          </w:rPr>
          <w:t>חוק העונשין</w:t>
        </w:r>
      </w:hyperlink>
      <w:r w:rsidRPr="00B80EF8">
        <w:rPr>
          <w:rFonts w:hint="cs"/>
          <w:noProof/>
          <w:rtl/>
        </w:rPr>
        <w:t>, התשל"ז-1977 (להלן: "</w:t>
      </w:r>
      <w:r w:rsidRPr="00B80EF8">
        <w:rPr>
          <w:rFonts w:hint="cs"/>
          <w:b/>
          <w:bCs/>
          <w:noProof/>
          <w:rtl/>
        </w:rPr>
        <w:t>החוק</w:t>
      </w:r>
      <w:r w:rsidRPr="00B80EF8">
        <w:rPr>
          <w:rFonts w:hint="cs"/>
          <w:noProof/>
          <w:rtl/>
        </w:rPr>
        <w:t>") - הנאשם מס' 1 (להלן: "</w:t>
      </w:r>
      <w:r w:rsidRPr="00B80EF8">
        <w:rPr>
          <w:rFonts w:hint="cs"/>
          <w:b/>
          <w:bCs/>
          <w:noProof/>
          <w:rtl/>
        </w:rPr>
        <w:t>הנאשם 1</w:t>
      </w:r>
      <w:r w:rsidRPr="00B80EF8">
        <w:rPr>
          <w:rFonts w:hint="cs"/>
          <w:noProof/>
          <w:rtl/>
        </w:rPr>
        <w:t xml:space="preserve">"); סיוע לעבירות </w:t>
      </w:r>
      <w:r>
        <w:rPr>
          <w:rFonts w:hint="cs"/>
          <w:noProof/>
          <w:rtl/>
        </w:rPr>
        <w:t>ב</w:t>
      </w:r>
      <w:r w:rsidRPr="00B80EF8">
        <w:rPr>
          <w:rFonts w:hint="cs"/>
          <w:noProof/>
          <w:rtl/>
        </w:rPr>
        <w:t xml:space="preserve">נשק (נשיאה והובלה) - עבירה לפי </w:t>
      </w:r>
      <w:hyperlink r:id="rId15" w:history="1">
        <w:r w:rsidR="005D4F26" w:rsidRPr="005D4F26">
          <w:rPr>
            <w:rStyle w:val="Hyperlink"/>
            <w:rFonts w:hint="eastAsia"/>
            <w:noProof/>
            <w:rtl/>
          </w:rPr>
          <w:t>סעיף</w:t>
        </w:r>
        <w:r w:rsidR="005D4F26" w:rsidRPr="005D4F26">
          <w:rPr>
            <w:rStyle w:val="Hyperlink"/>
            <w:noProof/>
            <w:rtl/>
          </w:rPr>
          <w:t xml:space="preserve"> 144(ב)</w:t>
        </w:r>
      </w:hyperlink>
      <w:r w:rsidRPr="00B80EF8">
        <w:rPr>
          <w:rFonts w:hint="cs"/>
          <w:noProof/>
          <w:rtl/>
        </w:rPr>
        <w:t xml:space="preserve"> רישא + סיפא + 31 לחוק - הנאש</w:t>
      </w:r>
      <w:r>
        <w:rPr>
          <w:rFonts w:hint="cs"/>
          <w:noProof/>
          <w:rtl/>
        </w:rPr>
        <w:t xml:space="preserve">מים מס' 4-2 </w:t>
      </w:r>
      <w:r w:rsidRPr="00B80EF8">
        <w:rPr>
          <w:rFonts w:hint="cs"/>
          <w:noProof/>
          <w:rtl/>
        </w:rPr>
        <w:t xml:space="preserve">(להלן: </w:t>
      </w:r>
      <w:r>
        <w:rPr>
          <w:rFonts w:hint="cs"/>
          <w:noProof/>
          <w:rtl/>
        </w:rPr>
        <w:t>"</w:t>
      </w:r>
      <w:r w:rsidRPr="00436E14">
        <w:rPr>
          <w:rFonts w:hint="cs"/>
          <w:b/>
          <w:bCs/>
          <w:noProof/>
          <w:rtl/>
        </w:rPr>
        <w:t>הנאשמים 4-2</w:t>
      </w:r>
      <w:r>
        <w:rPr>
          <w:rFonts w:hint="cs"/>
          <w:noProof/>
          <w:rtl/>
        </w:rPr>
        <w:t>").</w:t>
      </w:r>
    </w:p>
    <w:p w14:paraId="5CED1C62" w14:textId="77777777" w:rsidR="00287003" w:rsidRPr="00B80EF8" w:rsidRDefault="00287003" w:rsidP="00287003">
      <w:pPr>
        <w:spacing w:line="360" w:lineRule="auto"/>
        <w:ind w:left="720" w:hanging="720"/>
        <w:jc w:val="both"/>
        <w:rPr>
          <w:noProof/>
          <w:rtl/>
        </w:rPr>
      </w:pPr>
      <w:bookmarkStart w:id="7" w:name="ABSTRACT_END"/>
      <w:bookmarkEnd w:id="7"/>
    </w:p>
    <w:p w14:paraId="0F66C494" w14:textId="77777777" w:rsidR="00287003" w:rsidRPr="00B80EF8" w:rsidRDefault="00287003" w:rsidP="00287003">
      <w:pPr>
        <w:spacing w:line="360" w:lineRule="auto"/>
        <w:ind w:left="720" w:hanging="720"/>
        <w:jc w:val="both"/>
        <w:rPr>
          <w:noProof/>
          <w:rtl/>
        </w:rPr>
      </w:pPr>
      <w:r w:rsidRPr="00B80EF8">
        <w:rPr>
          <w:rFonts w:hint="cs"/>
          <w:noProof/>
          <w:rtl/>
        </w:rPr>
        <w:lastRenderedPageBreak/>
        <w:t>2.</w:t>
      </w:r>
      <w:r w:rsidRPr="00B80EF8">
        <w:rPr>
          <w:rFonts w:hint="cs"/>
          <w:noProof/>
          <w:rtl/>
        </w:rPr>
        <w:tab/>
        <w:t xml:space="preserve">הסדר הטיעון </w:t>
      </w:r>
      <w:r>
        <w:rPr>
          <w:rFonts w:hint="cs"/>
          <w:noProof/>
          <w:rtl/>
        </w:rPr>
        <w:t xml:space="preserve">בכל הנוגע לנאשם 1, </w:t>
      </w:r>
      <w:r w:rsidRPr="00B80EF8">
        <w:rPr>
          <w:rFonts w:hint="cs"/>
          <w:noProof/>
          <w:rtl/>
        </w:rPr>
        <w:t xml:space="preserve">כלל הסכמה </w:t>
      </w:r>
      <w:r>
        <w:rPr>
          <w:rFonts w:hint="cs"/>
          <w:noProof/>
          <w:rtl/>
        </w:rPr>
        <w:t xml:space="preserve">עונשית ולפיה, יושתו עליו 24 חודשי מאסר בפועל, החל מיום מעצרו, 4.6.2022, כאשר יתר רכיבי העונש הושארו לשיקול דעת בית המשפט. לגבי הנאשמים 4-2 הסדר הטיעון לא כלל הסכמה עונשית, והצדדים סיכמו כי "הטיעון יהיה פתוח". בעקבות ההסדר, ארבעת </w:t>
      </w:r>
      <w:r w:rsidRPr="00B80EF8">
        <w:rPr>
          <w:rFonts w:hint="cs"/>
          <w:noProof/>
          <w:rtl/>
        </w:rPr>
        <w:t xml:space="preserve">הנאשמים </w:t>
      </w:r>
      <w:r>
        <w:rPr>
          <w:rFonts w:hint="cs"/>
          <w:noProof/>
          <w:rtl/>
        </w:rPr>
        <w:t>(להלן: "</w:t>
      </w:r>
      <w:r w:rsidRPr="00736A68">
        <w:rPr>
          <w:rFonts w:hint="cs"/>
          <w:b/>
          <w:bCs/>
          <w:noProof/>
          <w:rtl/>
        </w:rPr>
        <w:t>הנאשמים</w:t>
      </w:r>
      <w:r>
        <w:rPr>
          <w:rFonts w:hint="cs"/>
          <w:noProof/>
          <w:rtl/>
        </w:rPr>
        <w:t xml:space="preserve">"), </w:t>
      </w:r>
      <w:r w:rsidRPr="00B80EF8">
        <w:rPr>
          <w:rFonts w:hint="cs"/>
          <w:noProof/>
          <w:rtl/>
        </w:rPr>
        <w:t>חזרו בהם מכפירתם והודו בעובדות כתב האישום המתוקן.</w:t>
      </w:r>
    </w:p>
    <w:p w14:paraId="74902799" w14:textId="77777777" w:rsidR="00287003" w:rsidRDefault="00287003" w:rsidP="00287003">
      <w:pPr>
        <w:spacing w:line="360" w:lineRule="auto"/>
        <w:ind w:left="720" w:hanging="720"/>
        <w:jc w:val="both"/>
        <w:rPr>
          <w:noProof/>
          <w:rtl/>
        </w:rPr>
      </w:pPr>
    </w:p>
    <w:p w14:paraId="594BFD82" w14:textId="77777777" w:rsidR="00287003" w:rsidRDefault="00287003" w:rsidP="00287003">
      <w:pPr>
        <w:spacing w:line="360" w:lineRule="auto"/>
        <w:ind w:left="720" w:hanging="720"/>
        <w:jc w:val="both"/>
        <w:rPr>
          <w:noProof/>
          <w:rtl/>
        </w:rPr>
      </w:pPr>
    </w:p>
    <w:p w14:paraId="534957D7" w14:textId="77777777" w:rsidR="00287003" w:rsidRPr="00B80EF8" w:rsidRDefault="00287003" w:rsidP="00287003">
      <w:pPr>
        <w:spacing w:line="360" w:lineRule="auto"/>
        <w:ind w:left="720" w:hanging="720"/>
        <w:jc w:val="both"/>
        <w:rPr>
          <w:noProof/>
          <w:rtl/>
        </w:rPr>
      </w:pPr>
    </w:p>
    <w:p w14:paraId="3FBBB75C" w14:textId="77777777" w:rsidR="00287003" w:rsidRPr="00B80EF8" w:rsidRDefault="00287003" w:rsidP="00287003">
      <w:pPr>
        <w:spacing w:line="360" w:lineRule="auto"/>
        <w:ind w:left="720" w:hanging="720"/>
        <w:jc w:val="both"/>
        <w:rPr>
          <w:noProof/>
          <w:u w:val="single"/>
          <w:rtl/>
        </w:rPr>
      </w:pPr>
      <w:r w:rsidRPr="00B80EF8">
        <w:rPr>
          <w:rFonts w:hint="cs"/>
          <w:noProof/>
          <w:u w:val="single"/>
          <w:rtl/>
        </w:rPr>
        <w:t>כתב האישום המתוקן</w:t>
      </w:r>
    </w:p>
    <w:p w14:paraId="1F761F9D" w14:textId="77777777" w:rsidR="00287003" w:rsidRDefault="00287003" w:rsidP="00287003">
      <w:pPr>
        <w:pStyle w:val="David"/>
        <w:rPr>
          <w:b/>
          <w:bCs/>
          <w:u w:val="single"/>
          <w:rtl/>
        </w:rPr>
      </w:pPr>
    </w:p>
    <w:p w14:paraId="11A77FB0" w14:textId="77777777" w:rsidR="00287003" w:rsidRDefault="00287003" w:rsidP="00287003">
      <w:pPr>
        <w:pStyle w:val="David"/>
        <w:ind w:left="720" w:hanging="720"/>
        <w:rPr>
          <w:rtl/>
        </w:rPr>
      </w:pPr>
      <w:r w:rsidRPr="00436E14">
        <w:rPr>
          <w:rFonts w:hint="cs"/>
          <w:rtl/>
        </w:rPr>
        <w:t>3.</w:t>
      </w:r>
      <w:r w:rsidRPr="00436E14">
        <w:rPr>
          <w:rFonts w:hint="cs"/>
          <w:rtl/>
        </w:rPr>
        <w:tab/>
      </w:r>
      <w:r>
        <w:rPr>
          <w:rFonts w:hint="cs"/>
          <w:rtl/>
        </w:rPr>
        <w:t>על פי הנטען בכתב האישום המתוקן, נאשם מס' 2 (להלן: "</w:t>
      </w:r>
      <w:r w:rsidRPr="005A110F">
        <w:rPr>
          <w:rFonts w:hint="cs"/>
          <w:b/>
          <w:bCs/>
          <w:rtl/>
        </w:rPr>
        <w:t>נאשם 2</w:t>
      </w:r>
      <w:r>
        <w:rPr>
          <w:rFonts w:hint="cs"/>
          <w:rtl/>
        </w:rPr>
        <w:t>") הוא אחיו של עימאד סויטו (להלן: "</w:t>
      </w:r>
      <w:r w:rsidRPr="00436E14">
        <w:rPr>
          <w:rFonts w:hint="cs"/>
          <w:b/>
          <w:bCs/>
          <w:rtl/>
        </w:rPr>
        <w:t>ע</w:t>
      </w:r>
      <w:r>
        <w:rPr>
          <w:rFonts w:hint="cs"/>
          <w:b/>
          <w:bCs/>
          <w:rtl/>
        </w:rPr>
        <w:t>י</w:t>
      </w:r>
      <w:r w:rsidRPr="00436E14">
        <w:rPr>
          <w:rFonts w:hint="cs"/>
          <w:b/>
          <w:bCs/>
          <w:rtl/>
        </w:rPr>
        <w:t>מאד</w:t>
      </w:r>
      <w:r>
        <w:rPr>
          <w:rFonts w:hint="cs"/>
          <w:rtl/>
        </w:rPr>
        <w:t>"). עימאד נשוי לסיראג' קיס (להלן: "</w:t>
      </w:r>
      <w:r w:rsidRPr="00436E14">
        <w:rPr>
          <w:rFonts w:hint="cs"/>
          <w:b/>
          <w:bCs/>
          <w:rtl/>
        </w:rPr>
        <w:t>סיראג'</w:t>
      </w:r>
      <w:r>
        <w:rPr>
          <w:rFonts w:hint="cs"/>
          <w:rtl/>
        </w:rPr>
        <w:t xml:space="preserve">"), והם מתגוררים ביישוב ג'דיידה מכר. </w:t>
      </w:r>
    </w:p>
    <w:p w14:paraId="61DA3882" w14:textId="77777777" w:rsidR="00287003" w:rsidRDefault="00287003" w:rsidP="00287003">
      <w:pPr>
        <w:pStyle w:val="David"/>
        <w:ind w:left="720" w:hanging="720"/>
        <w:rPr>
          <w:rtl/>
        </w:rPr>
      </w:pPr>
    </w:p>
    <w:p w14:paraId="0BB6CE90" w14:textId="77777777" w:rsidR="00287003" w:rsidRDefault="00287003" w:rsidP="00287003">
      <w:pPr>
        <w:pStyle w:val="David"/>
        <w:ind w:left="720"/>
        <w:rPr>
          <w:rtl/>
        </w:rPr>
      </w:pPr>
      <w:r>
        <w:rPr>
          <w:rFonts w:hint="cs"/>
          <w:rtl/>
        </w:rPr>
        <w:t>בתאריך 3.6.2022 התגלע ויכוח בין עימאד לבין סיראג', אשר בעקבותיו סיראג' עזבה את ביתם המשותף והלכה לישון בבית הוריה שביישוב ג'דידה מכר (להלן: "</w:t>
      </w:r>
      <w:r w:rsidRPr="00436E14">
        <w:rPr>
          <w:rFonts w:hint="cs"/>
          <w:b/>
          <w:bCs/>
          <w:rtl/>
        </w:rPr>
        <w:t>הבית</w:t>
      </w:r>
      <w:r>
        <w:rPr>
          <w:rFonts w:hint="cs"/>
          <w:rtl/>
        </w:rPr>
        <w:t xml:space="preserve">"). בהמשך לאמור, בתאריך 4.6.2022, בסמוך לשעה 00:00, הגיע עימאד אל חצר הבית, שם התפתח בינו לבין סיראג' ובני משפחתה עימות, בסיומו עזב עימאד את המקום. </w:t>
      </w:r>
    </w:p>
    <w:p w14:paraId="7F1F1D09" w14:textId="77777777" w:rsidR="00287003" w:rsidRDefault="00287003" w:rsidP="00287003">
      <w:pPr>
        <w:pStyle w:val="David"/>
        <w:ind w:left="720"/>
        <w:rPr>
          <w:rtl/>
        </w:rPr>
      </w:pPr>
    </w:p>
    <w:p w14:paraId="67A9E159" w14:textId="77777777" w:rsidR="00287003" w:rsidRPr="00436E14" w:rsidRDefault="00287003" w:rsidP="00287003">
      <w:pPr>
        <w:pStyle w:val="David"/>
        <w:ind w:left="720" w:hanging="720"/>
        <w:rPr>
          <w:rtl/>
        </w:rPr>
      </w:pPr>
      <w:r>
        <w:rPr>
          <w:rFonts w:hint="cs"/>
          <w:rtl/>
        </w:rPr>
        <w:t>4.</w:t>
      </w:r>
      <w:r>
        <w:rPr>
          <w:rFonts w:hint="cs"/>
          <w:rtl/>
        </w:rPr>
        <w:tab/>
        <w:t>בתאריך 4.6.2022, סמוך לשעה 03:11, הגיע אל סמוך לבית רכב מסוג טיוטה קורולה (להלן:"</w:t>
      </w:r>
      <w:r w:rsidRPr="00F41F4B">
        <w:rPr>
          <w:rFonts w:hint="cs"/>
          <w:b/>
          <w:bCs/>
          <w:rtl/>
        </w:rPr>
        <w:t>הרכב</w:t>
      </w:r>
      <w:r>
        <w:rPr>
          <w:rFonts w:hint="cs"/>
          <w:rtl/>
        </w:rPr>
        <w:t xml:space="preserve">"). כאשר הגיע הרכב אל סמוך לשביל הגישה לבית, יצא אחד מנוסעיו וירה לעבר הבית מספר יריות. לאחר מכן, חזר היורה אל הרכב, והרכב המשיך בנסיעה עד לכיכר הנמצאת בקרבת מקום, אז ירה אחד מנוסעיו מספר יריות באוויר. מיד לאחר מכן נמלט הרכב בנסיעה מהמקום. </w:t>
      </w:r>
    </w:p>
    <w:p w14:paraId="7B36EF91" w14:textId="77777777" w:rsidR="00287003" w:rsidRDefault="00287003" w:rsidP="00287003">
      <w:pPr>
        <w:pStyle w:val="David"/>
        <w:rPr>
          <w:b/>
          <w:bCs/>
          <w:u w:val="single"/>
          <w:rtl/>
        </w:rPr>
      </w:pPr>
    </w:p>
    <w:p w14:paraId="05917E86" w14:textId="77777777" w:rsidR="00287003" w:rsidRPr="00180F34" w:rsidRDefault="00287003" w:rsidP="00287003">
      <w:pPr>
        <w:pStyle w:val="David"/>
        <w:ind w:left="720" w:hanging="720"/>
        <w:rPr>
          <w:rtl/>
        </w:rPr>
      </w:pPr>
      <w:r w:rsidRPr="00180F34">
        <w:rPr>
          <w:rFonts w:hint="cs"/>
          <w:rtl/>
        </w:rPr>
        <w:t>5.</w:t>
      </w:r>
      <w:r w:rsidRPr="00180F34">
        <w:rPr>
          <w:rFonts w:hint="cs"/>
          <w:rtl/>
        </w:rPr>
        <w:tab/>
      </w:r>
      <w:r>
        <w:rPr>
          <w:rFonts w:hint="cs"/>
          <w:rtl/>
        </w:rPr>
        <w:t>מספר דקות לאחר מכן, הבחינו שוטרים אשר נסעו בניידת משטרה (להלן: "</w:t>
      </w:r>
      <w:r w:rsidRPr="00736A68">
        <w:rPr>
          <w:rFonts w:hint="cs"/>
          <w:b/>
          <w:bCs/>
          <w:rtl/>
        </w:rPr>
        <w:t>הניידת</w:t>
      </w:r>
      <w:r>
        <w:rPr>
          <w:rFonts w:hint="cs"/>
          <w:rtl/>
        </w:rPr>
        <w:t>") לכיוון הבית, בעקבות דיווח על אירוע הירי, ברכב מסוג טיוטה קורולה מס' רישוי 74-971-63, אשר בבעלותו של נאשם 2 (להלן: "</w:t>
      </w:r>
      <w:r w:rsidRPr="00A25F82">
        <w:rPr>
          <w:rFonts w:hint="cs"/>
          <w:b/>
          <w:bCs/>
          <w:rtl/>
        </w:rPr>
        <w:t>רכב הט</w:t>
      </w:r>
      <w:r>
        <w:rPr>
          <w:rFonts w:hint="cs"/>
          <w:b/>
          <w:bCs/>
          <w:rtl/>
        </w:rPr>
        <w:t>ו</w:t>
      </w:r>
      <w:r w:rsidRPr="00A25F82">
        <w:rPr>
          <w:rFonts w:hint="cs"/>
          <w:b/>
          <w:bCs/>
          <w:rtl/>
        </w:rPr>
        <w:t>יוטה</w:t>
      </w:r>
      <w:r>
        <w:rPr>
          <w:rFonts w:hint="cs"/>
          <w:rtl/>
        </w:rPr>
        <w:t>"), כשהוא נוסע לכיוונם.</w:t>
      </w:r>
    </w:p>
    <w:p w14:paraId="39AF7D13" w14:textId="77777777" w:rsidR="00287003" w:rsidRDefault="00287003" w:rsidP="00287003">
      <w:pPr>
        <w:pStyle w:val="David"/>
        <w:rPr>
          <w:b/>
          <w:bCs/>
          <w:u w:val="single"/>
          <w:rtl/>
        </w:rPr>
      </w:pPr>
    </w:p>
    <w:p w14:paraId="1C5E03B1" w14:textId="77777777" w:rsidR="00287003" w:rsidRDefault="00287003" w:rsidP="00287003">
      <w:pPr>
        <w:pStyle w:val="David"/>
        <w:ind w:left="720" w:hanging="720"/>
        <w:rPr>
          <w:rtl/>
        </w:rPr>
      </w:pPr>
      <w:r w:rsidRPr="00A25F82">
        <w:rPr>
          <w:rtl/>
        </w:rPr>
        <w:tab/>
      </w:r>
      <w:r w:rsidRPr="00A25F82">
        <w:rPr>
          <w:rFonts w:hint="cs"/>
          <w:rtl/>
        </w:rPr>
        <w:t>באותה העת</w:t>
      </w:r>
      <w:r>
        <w:rPr>
          <w:rFonts w:hint="cs"/>
          <w:rtl/>
        </w:rPr>
        <w:t>, במהלך נסיעתם ברכב הטויוטה, נאשם 1 נשא והוביל, בלא רשות, אקדח חצי אוטומטי מסוג סטאר, כשהוא טעון במחסנית ריקה (להלן: "</w:t>
      </w:r>
      <w:r w:rsidRPr="00A25F82">
        <w:rPr>
          <w:rFonts w:hint="cs"/>
          <w:b/>
          <w:bCs/>
          <w:rtl/>
        </w:rPr>
        <w:t>האקדח</w:t>
      </w:r>
      <w:r>
        <w:rPr>
          <w:rFonts w:hint="cs"/>
          <w:rtl/>
        </w:rPr>
        <w:t>" ו"</w:t>
      </w:r>
      <w:r w:rsidRPr="00A25F82">
        <w:rPr>
          <w:rFonts w:hint="cs"/>
          <w:b/>
          <w:bCs/>
          <w:rtl/>
        </w:rPr>
        <w:t>המחסנית</w:t>
      </w:r>
      <w:r>
        <w:rPr>
          <w:rFonts w:hint="cs"/>
          <w:rtl/>
        </w:rPr>
        <w:t>", בהתאמה), הכל בסיועם של נאשמים 4-2. נטען, כי "האקדח הוא כלי שסוגל לירות כדור ושבכוחו להמית אדם, והמחסנית והכדורים הינם אביזר ותחמושת של כלי זה (להלן: "</w:t>
      </w:r>
      <w:r w:rsidRPr="00A25F82">
        <w:rPr>
          <w:rFonts w:hint="cs"/>
          <w:b/>
          <w:bCs/>
          <w:rtl/>
        </w:rPr>
        <w:t>הנשק</w:t>
      </w:r>
      <w:r>
        <w:rPr>
          <w:rFonts w:hint="cs"/>
          <w:rtl/>
        </w:rPr>
        <w:t>")".</w:t>
      </w:r>
    </w:p>
    <w:p w14:paraId="5DC06335" w14:textId="77777777" w:rsidR="00287003" w:rsidRDefault="00287003" w:rsidP="00287003">
      <w:pPr>
        <w:pStyle w:val="David"/>
        <w:ind w:left="720" w:hanging="720"/>
        <w:rPr>
          <w:rtl/>
        </w:rPr>
      </w:pPr>
    </w:p>
    <w:p w14:paraId="38AAD427" w14:textId="77777777" w:rsidR="00287003" w:rsidRDefault="00287003" w:rsidP="00287003">
      <w:pPr>
        <w:pStyle w:val="David"/>
        <w:ind w:left="720" w:hanging="720"/>
        <w:rPr>
          <w:rtl/>
        </w:rPr>
      </w:pPr>
      <w:r>
        <w:rPr>
          <w:rtl/>
        </w:rPr>
        <w:tab/>
      </w:r>
      <w:r>
        <w:rPr>
          <w:rFonts w:hint="cs"/>
          <w:rtl/>
        </w:rPr>
        <w:t xml:space="preserve">כאן חשוב לציין, במאמר מוסגר, כי על אף שבכתב האישום מוזכרים "כדורים", לא נאמר בשום מקום אחר שם, כי האקדח או המחסנית היו טעונים בכדורים כלשהם, אלא צוין שהמחסנית הייתה ריקה. </w:t>
      </w:r>
    </w:p>
    <w:p w14:paraId="0C99A53A" w14:textId="77777777" w:rsidR="00287003" w:rsidRDefault="00287003" w:rsidP="00287003">
      <w:pPr>
        <w:pStyle w:val="David"/>
        <w:ind w:left="720" w:hanging="720"/>
        <w:rPr>
          <w:rtl/>
        </w:rPr>
      </w:pPr>
    </w:p>
    <w:p w14:paraId="7D64595D" w14:textId="77777777" w:rsidR="00287003" w:rsidRDefault="00287003" w:rsidP="00287003">
      <w:pPr>
        <w:pStyle w:val="David"/>
        <w:ind w:left="720" w:hanging="720"/>
        <w:rPr>
          <w:rtl/>
        </w:rPr>
      </w:pPr>
      <w:r>
        <w:rPr>
          <w:rFonts w:hint="cs"/>
          <w:rtl/>
        </w:rPr>
        <w:lastRenderedPageBreak/>
        <w:t>6.</w:t>
      </w:r>
      <w:r>
        <w:rPr>
          <w:rFonts w:hint="cs"/>
          <w:rtl/>
        </w:rPr>
        <w:tab/>
        <w:t>בהמשך לאמור, השוטרים סימנו לרכב הטויוטה באמצעות פנסי הניידת וביצעו חסימה של נתיב נסיעתו. בתגובה, הנאשמים סטו מהכביש, עלו על המדרכה ועצרו את הרכב ברחבת עפר הסמוכה לכביש, ליד משאית. הנאשמים יצאו מן הרכב,  כאשר נאשם 1 אוחז בידיו את האקדח כשהוא טעון במחסנית. נאשם 1 התכופף מתחת למשאית והשליך את האקדח תחתיה. מיד לאחר מכן, נעצרו הנאשמים על ידי שוטרי הניידת ושוטרים נוספים שהגיעו למקום.</w:t>
      </w:r>
    </w:p>
    <w:p w14:paraId="0DC546F0" w14:textId="77777777" w:rsidR="00287003" w:rsidRDefault="00287003" w:rsidP="00287003">
      <w:pPr>
        <w:pStyle w:val="David"/>
        <w:ind w:left="720" w:hanging="720"/>
        <w:rPr>
          <w:rtl/>
        </w:rPr>
      </w:pPr>
    </w:p>
    <w:p w14:paraId="643F2C4B" w14:textId="77777777" w:rsidR="00287003" w:rsidRPr="007F210A" w:rsidRDefault="00287003" w:rsidP="00287003">
      <w:pPr>
        <w:pStyle w:val="David"/>
        <w:ind w:left="720" w:hanging="720"/>
        <w:rPr>
          <w:u w:val="single"/>
          <w:rtl/>
        </w:rPr>
      </w:pPr>
      <w:r w:rsidRPr="007F210A">
        <w:rPr>
          <w:rFonts w:hint="cs"/>
          <w:u w:val="single"/>
          <w:rtl/>
        </w:rPr>
        <w:t>טיעוני הצדדים לעונש</w:t>
      </w:r>
    </w:p>
    <w:p w14:paraId="6693218B" w14:textId="77777777" w:rsidR="00287003" w:rsidRDefault="00287003" w:rsidP="00287003">
      <w:pPr>
        <w:pStyle w:val="David"/>
        <w:ind w:left="720" w:hanging="720"/>
        <w:rPr>
          <w:rtl/>
        </w:rPr>
      </w:pPr>
    </w:p>
    <w:p w14:paraId="357ACBB5" w14:textId="77777777" w:rsidR="00287003" w:rsidRDefault="00287003" w:rsidP="00287003">
      <w:pPr>
        <w:spacing w:line="360" w:lineRule="auto"/>
        <w:ind w:left="720" w:hanging="720"/>
        <w:jc w:val="both"/>
        <w:rPr>
          <w:rtl/>
        </w:rPr>
      </w:pPr>
      <w:r>
        <w:rPr>
          <w:rFonts w:hint="cs"/>
          <w:rtl/>
        </w:rPr>
        <w:t>7.</w:t>
      </w:r>
      <w:r>
        <w:rPr>
          <w:rFonts w:hint="cs"/>
          <w:rtl/>
        </w:rPr>
        <w:tab/>
        <w:t>במסגרת טיעוניה לעונש, הגישה המאשימה טיעונים בכתב, גיליון הרשעות קודמות בעניינו של נאשם 2 וכן גיליון הרשעות קודמות בעניינו של הנאשם מס' 3 (להלן: "</w:t>
      </w:r>
      <w:r w:rsidRPr="005A110F">
        <w:rPr>
          <w:rFonts w:hint="cs"/>
          <w:b/>
          <w:bCs/>
          <w:rtl/>
        </w:rPr>
        <w:t>הנאשם 3</w:t>
      </w:r>
      <w:r>
        <w:rPr>
          <w:rFonts w:hint="cs"/>
          <w:rtl/>
        </w:rPr>
        <w:t>"). המאשימה ציינה כי מדובר באירוע אחד שיש לקבוע לו מתחם עונש אחד, ופירטה את שיקולי הענישה בעבירות נשק. היא הפנתה לפסיקה אשר תומכת לדידה, בצורך בהחמרה בענישה, שעה שתופעת החזקת הנשק הבלתי חוקי הפכה למכת מדינה.</w:t>
      </w:r>
    </w:p>
    <w:p w14:paraId="42E59C0C" w14:textId="77777777" w:rsidR="00287003" w:rsidRDefault="00287003" w:rsidP="00287003">
      <w:pPr>
        <w:spacing w:line="360" w:lineRule="auto"/>
        <w:ind w:left="720" w:hanging="720"/>
        <w:jc w:val="both"/>
        <w:rPr>
          <w:rtl/>
        </w:rPr>
      </w:pPr>
    </w:p>
    <w:p w14:paraId="7DA04229" w14:textId="77777777" w:rsidR="00287003" w:rsidRDefault="00287003" w:rsidP="00287003">
      <w:pPr>
        <w:spacing w:line="360" w:lineRule="auto"/>
        <w:ind w:left="720" w:hanging="720"/>
        <w:jc w:val="both"/>
        <w:rPr>
          <w:rtl/>
        </w:rPr>
      </w:pPr>
      <w:r>
        <w:rPr>
          <w:rtl/>
        </w:rPr>
        <w:tab/>
      </w:r>
      <w:r>
        <w:rPr>
          <w:rFonts w:hint="cs"/>
          <w:rtl/>
        </w:rPr>
        <w:t>המאשימה ביקשה לאמץ את הסדר הטיעון בעניינו של נאשם 1, לא לפני שעתרה לקביעת מתחם עונש הולם בעניינו, שנע בין 24 לבין 48 חודשי מאסר בפועל. המאשימה הפנתה לשורה של פסקי דין מהם ביקשה ללמוד על מדיניות הענישה הנוהגת. ביחס לנאשמים 4-2, עתרה המאשימה לקבוע מתחם עונש הולם שנע בין 12 לבין 24 חודשי מאסר בפועל.</w:t>
      </w:r>
    </w:p>
    <w:p w14:paraId="08171BE1" w14:textId="77777777" w:rsidR="00287003" w:rsidRDefault="00287003" w:rsidP="00287003">
      <w:pPr>
        <w:spacing w:line="360" w:lineRule="auto"/>
        <w:ind w:left="720" w:hanging="720"/>
        <w:jc w:val="both"/>
        <w:rPr>
          <w:rtl/>
        </w:rPr>
      </w:pPr>
    </w:p>
    <w:p w14:paraId="79953950" w14:textId="77777777" w:rsidR="00287003" w:rsidRDefault="00287003" w:rsidP="00287003">
      <w:pPr>
        <w:spacing w:line="360" w:lineRule="auto"/>
        <w:ind w:left="720" w:hanging="720"/>
        <w:jc w:val="both"/>
        <w:rPr>
          <w:rtl/>
        </w:rPr>
      </w:pPr>
      <w:r>
        <w:rPr>
          <w:rFonts w:hint="cs"/>
          <w:rtl/>
        </w:rPr>
        <w:t>8.</w:t>
      </w:r>
      <w:r>
        <w:rPr>
          <w:rFonts w:hint="cs"/>
          <w:rtl/>
        </w:rPr>
        <w:tab/>
        <w:t>אשר לעונש שיש להשית על נאשמים 4-2, ביקשה המאשימה לאבחן בין נאשמים 2 ו- 3 שלחובתם עבר פלילי, לבין הנאשם מס' 4 (להלן: "</w:t>
      </w:r>
      <w:r w:rsidRPr="005A110F">
        <w:rPr>
          <w:rFonts w:hint="cs"/>
          <w:b/>
          <w:bCs/>
          <w:rtl/>
        </w:rPr>
        <w:t>הנאשם 4</w:t>
      </w:r>
      <w:r>
        <w:rPr>
          <w:rFonts w:hint="cs"/>
          <w:rtl/>
        </w:rPr>
        <w:t>"), שאין לחובתו עבר פלילי קודם. המאשימה עתרה כי על נאשמים 2 ו- 3 יוטל עונש ברף האמצעי של מתחם העונש ההולם המוצע על ידה. לגבי נאשם 4, עתרה המאשימה למקם את עונשו ברף התחתון של מתחם העונש ההולם המוצע על ידה.</w:t>
      </w:r>
    </w:p>
    <w:p w14:paraId="6CC4A334" w14:textId="77777777" w:rsidR="00287003" w:rsidRDefault="00287003" w:rsidP="00287003">
      <w:pPr>
        <w:spacing w:line="360" w:lineRule="auto"/>
        <w:ind w:left="720" w:hanging="720"/>
        <w:jc w:val="both"/>
        <w:rPr>
          <w:rtl/>
        </w:rPr>
      </w:pPr>
    </w:p>
    <w:p w14:paraId="4EB5E685" w14:textId="77777777" w:rsidR="00287003" w:rsidRDefault="00287003" w:rsidP="00287003">
      <w:pPr>
        <w:spacing w:line="360" w:lineRule="auto"/>
        <w:ind w:left="720" w:hanging="720"/>
        <w:jc w:val="both"/>
        <w:rPr>
          <w:rtl/>
        </w:rPr>
      </w:pPr>
      <w:r>
        <w:rPr>
          <w:rtl/>
        </w:rPr>
        <w:tab/>
      </w:r>
      <w:r>
        <w:rPr>
          <w:rFonts w:hint="cs"/>
          <w:rtl/>
        </w:rPr>
        <w:t xml:space="preserve">נוסף על כך, ביקשה המאשימה להשית על הנאשמים "מאסרים מותנים לתקופות משמעותיות ומרתיעות וכן קנס כספי". </w:t>
      </w:r>
    </w:p>
    <w:p w14:paraId="3359540F" w14:textId="77777777" w:rsidR="00287003" w:rsidRDefault="00287003" w:rsidP="00287003">
      <w:pPr>
        <w:pStyle w:val="David"/>
        <w:rPr>
          <w:b/>
          <w:bCs/>
          <w:u w:val="single"/>
          <w:rtl/>
        </w:rPr>
      </w:pPr>
    </w:p>
    <w:p w14:paraId="04FA91D4" w14:textId="77777777" w:rsidR="00287003" w:rsidRDefault="00287003" w:rsidP="00287003">
      <w:pPr>
        <w:spacing w:line="360" w:lineRule="auto"/>
        <w:ind w:left="720" w:hanging="720"/>
        <w:jc w:val="both"/>
        <w:rPr>
          <w:rtl/>
        </w:rPr>
      </w:pPr>
      <w:r>
        <w:rPr>
          <w:rFonts w:hint="cs"/>
          <w:rtl/>
        </w:rPr>
        <w:t>9.</w:t>
      </w:r>
      <w:r>
        <w:rPr>
          <w:rFonts w:hint="cs"/>
          <w:rtl/>
        </w:rPr>
        <w:tab/>
      </w:r>
      <w:r w:rsidRPr="00712692">
        <w:rPr>
          <w:rFonts w:hint="cs"/>
          <w:rtl/>
        </w:rPr>
        <w:t>ב"כ נאשם 1,</w:t>
      </w:r>
      <w:r>
        <w:rPr>
          <w:rFonts w:hint="cs"/>
          <w:rtl/>
        </w:rPr>
        <w:t xml:space="preserve"> ביקש אף הוא לאמץ את הסדר הטיעון. הוא ציין כי נאשם 1 עצור מיום 4.6.22. הוא סמוך על שולחן הוריו, מצבו הכלכלי איננו טוב. הסנגור הדגיש, כי ההובלה והנשיאה הייתה רגעית וקצרה וכי הסדר הטיעון משקף בעיות ראייתיות. הוא ביקש להימנע מהטלת קנס "ככל שניתן ולהסתפק במאסר בפועל ובמאסר מותנה". </w:t>
      </w:r>
    </w:p>
    <w:p w14:paraId="1BB92558" w14:textId="77777777" w:rsidR="00287003" w:rsidRDefault="00287003" w:rsidP="00287003">
      <w:pPr>
        <w:spacing w:line="360" w:lineRule="auto"/>
        <w:jc w:val="both"/>
        <w:rPr>
          <w:rtl/>
        </w:rPr>
      </w:pPr>
    </w:p>
    <w:p w14:paraId="28DA64B5" w14:textId="77777777" w:rsidR="00287003" w:rsidRDefault="00287003" w:rsidP="00287003">
      <w:pPr>
        <w:spacing w:line="360" w:lineRule="auto"/>
        <w:ind w:left="720" w:hanging="720"/>
        <w:jc w:val="both"/>
        <w:rPr>
          <w:rtl/>
        </w:rPr>
      </w:pPr>
      <w:r w:rsidRPr="00712692">
        <w:rPr>
          <w:rFonts w:hint="cs"/>
          <w:rtl/>
        </w:rPr>
        <w:t>10.</w:t>
      </w:r>
      <w:r w:rsidRPr="00712692">
        <w:rPr>
          <w:rtl/>
        </w:rPr>
        <w:tab/>
      </w:r>
      <w:r w:rsidRPr="00712692">
        <w:rPr>
          <w:rFonts w:hint="cs"/>
          <w:rtl/>
        </w:rPr>
        <w:t xml:space="preserve">ב"כ נאשם 2, </w:t>
      </w:r>
      <w:r>
        <w:rPr>
          <w:rFonts w:hint="cs"/>
          <w:rtl/>
        </w:rPr>
        <w:t xml:space="preserve">ביקש אף הוא לאמץ את הסדר הטיעון, שהגיע בעקבות קשיים ראייתיים. הוא הדגיש את העובדה שנאשם 2 "הודה בעבירה של סיוע ולא עבירה שלמה". לדידו, "הנגזרת של עבירת הסיוע היא למעשה מחצית מהעונש וזה המקסימום שהפרקליטות צריכה לבקש ביחס לכלל הנאשמים שהורשעו בעבירת הסיוע". הסנגור עתר למתחם שנע בין 6 ל- 10 חודשי מאסר בפועל, וביקש לזקוף לזכות נאשם 2 "שהודה בהזדמנות הראשונה בכתב אישום שחומרתו הופחתה משמעותית מכתה"א המקורי. הוא לא ניהל דיון הוכחות ולו אחד וחסך זמן שיפוטי". </w:t>
      </w:r>
    </w:p>
    <w:p w14:paraId="5D562F05" w14:textId="77777777" w:rsidR="00287003" w:rsidRDefault="00287003" w:rsidP="00287003">
      <w:pPr>
        <w:spacing w:line="360" w:lineRule="auto"/>
        <w:ind w:left="720" w:hanging="720"/>
        <w:jc w:val="both"/>
        <w:rPr>
          <w:rtl/>
        </w:rPr>
      </w:pPr>
    </w:p>
    <w:p w14:paraId="4E56C6A8" w14:textId="77777777" w:rsidR="00287003" w:rsidRDefault="00287003" w:rsidP="00287003">
      <w:pPr>
        <w:spacing w:line="360" w:lineRule="auto"/>
        <w:ind w:left="720"/>
        <w:jc w:val="both"/>
        <w:rPr>
          <w:rtl/>
        </w:rPr>
      </w:pPr>
      <w:r>
        <w:rPr>
          <w:rFonts w:hint="cs"/>
          <w:rtl/>
        </w:rPr>
        <w:t>לעניין עברו הפלילי של נאשם 2, ציין הסנגור, כי מדובר בהרשעה אחת, "הרשעה שאירעה עבירה משנת 2014 לדעתי, 9 שנים. שילם חובו לחברה בגין אותה עבירה. נכון שכעת הורשע בעבירה סיוע, אך מדובר בסיוע להחזקת נשק שהינה קצרה ורגעית". הוא הדגיש כי על פי כתב האישום המתוקן, המחסנית הייתה ריקה ללא "קליעים", כך ש"מדובר בעבירת סיוע לנשיאה והובלה של אקדח ללא קליעים". לפי הסנגור, המאשימה לא הייתה צריכה בטיעוניה לעתור למדרג שונה בין הנאשמים 4-2. לדידו, "מכח עיקרון אחידות הענישה אני סבור כי ענישה צריכה להיות תואמת וזאת למרות שלמרשי ישנו הרשעה אחת לפני 9 שנים".</w:t>
      </w:r>
    </w:p>
    <w:p w14:paraId="720FEDD3" w14:textId="77777777" w:rsidR="00287003" w:rsidRDefault="00287003" w:rsidP="00287003">
      <w:pPr>
        <w:spacing w:line="360" w:lineRule="auto"/>
        <w:ind w:left="720"/>
        <w:jc w:val="both"/>
        <w:rPr>
          <w:rtl/>
        </w:rPr>
      </w:pPr>
    </w:p>
    <w:p w14:paraId="6823ACD7" w14:textId="77777777" w:rsidR="00287003" w:rsidRDefault="00287003" w:rsidP="00287003">
      <w:pPr>
        <w:spacing w:line="360" w:lineRule="auto"/>
        <w:ind w:left="720" w:hanging="720"/>
        <w:jc w:val="both"/>
        <w:rPr>
          <w:rtl/>
        </w:rPr>
      </w:pPr>
      <w:r>
        <w:rPr>
          <w:rFonts w:hint="cs"/>
          <w:rtl/>
        </w:rPr>
        <w:t>11.</w:t>
      </w:r>
      <w:r>
        <w:rPr>
          <w:rtl/>
        </w:rPr>
        <w:tab/>
      </w:r>
      <w:r>
        <w:rPr>
          <w:rFonts w:hint="cs"/>
          <w:rtl/>
        </w:rPr>
        <w:t xml:space="preserve">לעניין נסיבותיו האישיות של נאשם 2 נטען, כי "במהלך מעצרו בגין תיק זה ולפני מספר חודשים, איבד את אמו", שנפטרה במפתיע, ממחלת הסרטן. הוא לא השתתף בלוויה "ולא זכה להתייחד יחד עם בני משפחתו". נטען, כי נאשם 2 במסגרת בית הסוהר "מתנהל ללא דופי". הוא הגיש תעודות לעניין השתתפותו בקבוצות אותן עבר בהצלחה רבה. כמו כן הוא משמש "אסיר תומך". הוא אף הציל את חייו של אסיר אחר שניסה להתאבד. הסנגור הפנה לפסיקה אותה הגיש, וביקש לקבוע מתחם עונש הולם שנע כאמור בין 6 לבין 10 חודשי מאסר בפועל. </w:t>
      </w:r>
    </w:p>
    <w:p w14:paraId="3BAA913E" w14:textId="77777777" w:rsidR="00287003" w:rsidRDefault="00287003" w:rsidP="00287003">
      <w:pPr>
        <w:spacing w:line="360" w:lineRule="auto"/>
        <w:jc w:val="both"/>
        <w:rPr>
          <w:rtl/>
        </w:rPr>
      </w:pPr>
    </w:p>
    <w:p w14:paraId="1992C8E6" w14:textId="77777777" w:rsidR="00287003" w:rsidRDefault="00287003" w:rsidP="00287003">
      <w:pPr>
        <w:spacing w:line="360" w:lineRule="auto"/>
        <w:ind w:left="720" w:hanging="720"/>
        <w:jc w:val="both"/>
        <w:rPr>
          <w:rtl/>
        </w:rPr>
      </w:pPr>
      <w:r>
        <w:rPr>
          <w:rFonts w:hint="cs"/>
          <w:rtl/>
        </w:rPr>
        <w:t>12.</w:t>
      </w:r>
      <w:r>
        <w:rPr>
          <w:rFonts w:hint="cs"/>
          <w:rtl/>
        </w:rPr>
        <w:tab/>
      </w:r>
      <w:r w:rsidRPr="00712692">
        <w:rPr>
          <w:rFonts w:hint="cs"/>
          <w:rtl/>
        </w:rPr>
        <w:t>ב"כ נאשם 3</w:t>
      </w:r>
      <w:r>
        <w:rPr>
          <w:rFonts w:hint="cs"/>
          <w:rtl/>
        </w:rPr>
        <w:t xml:space="preserve">, הצטרף לדברי ב"כ נאשם 2. הוא עתר להתחשב בנסיבות האישיות של מרשו ואף בנסיבות ביצוע העבירה, כאשר "המטרה של הסיוע בנשיאת הנשק במקרה זה, הייתה לתקופה קצרה ולא לביצוע עבירה ספציפית ולכן המקרה העומד לעינו של בית המשפט נמנה על הרף התחתון והנמוך של עבירות מסוג זה". הוא טען כי "מדובר באירוע אחד ובודד. המאשימה לא הצליחה להוכיח כי מאחורי המעשה הזה של הסיוע הנאשם הספציפי ניסה לסייע בביצוע עבירה אחרת, נלווית למקרה זה". </w:t>
      </w:r>
    </w:p>
    <w:p w14:paraId="2F31DD12" w14:textId="77777777" w:rsidR="00287003" w:rsidRDefault="00287003" w:rsidP="00287003">
      <w:pPr>
        <w:spacing w:line="360" w:lineRule="auto"/>
        <w:ind w:left="720" w:hanging="720"/>
        <w:jc w:val="both"/>
        <w:rPr>
          <w:rtl/>
        </w:rPr>
      </w:pPr>
    </w:p>
    <w:p w14:paraId="26FADA40" w14:textId="77777777" w:rsidR="00287003" w:rsidRDefault="00287003" w:rsidP="00287003">
      <w:pPr>
        <w:spacing w:line="360" w:lineRule="auto"/>
        <w:ind w:left="720"/>
        <w:jc w:val="both"/>
        <w:rPr>
          <w:rtl/>
        </w:rPr>
      </w:pPr>
      <w:r>
        <w:rPr>
          <w:rFonts w:hint="cs"/>
          <w:rtl/>
        </w:rPr>
        <w:t xml:space="preserve">בגזירת עונשו של נאשם 3, ביקש הסנגור כי בית המשפט ייקח בחשבון את הודאת הנאשם בהזדמנות הראשונה. "נאשם הודה בהזדמנות הראשונה, בהסדר טיעון בשל קושי ראייתי שהצלחנו לשכנע את המאשימה שהעבירה שצריכה הייתה להיות מיוחסת אליו מלכתחילה זה סיוע ולא העבירה העיקרית". הסנגור הסכים כי לנאשם 3 יש עבר פלילי אך ציין, כי "הרשעתו האחרונה הייתה ב- 2014 כשהיה קטין, ריצה עונש מאסר, למד לקח ולא עשה טעויות. חלפו למעלה מ- 9 שנים מאז ביצוע העבירה". הסנגור עתר למתחם עונש הנע בין 6 לבין 10 חודשי מאסר בפועל, שכן, לדידו, "המאשימה לא יכולה לעתור מעל העונש הקבוע </w:t>
      </w:r>
      <w:hyperlink r:id="rId16" w:history="1">
        <w:r w:rsidR="005D4F26" w:rsidRPr="005D4F26">
          <w:rPr>
            <w:rStyle w:val="Hyperlink"/>
            <w:rFonts w:hint="eastAsia"/>
            <w:rtl/>
          </w:rPr>
          <w:t>בסעיף</w:t>
        </w:r>
        <w:r w:rsidR="005D4F26" w:rsidRPr="005D4F26">
          <w:rPr>
            <w:rStyle w:val="Hyperlink"/>
            <w:rtl/>
          </w:rPr>
          <w:t xml:space="preserve"> 32</w:t>
        </w:r>
      </w:hyperlink>
      <w:r>
        <w:rPr>
          <w:rFonts w:hint="cs"/>
          <w:rtl/>
        </w:rPr>
        <w:t xml:space="preserve"> ל</w:t>
      </w:r>
      <w:hyperlink r:id="rId17" w:history="1">
        <w:r w:rsidR="001E25C2" w:rsidRPr="001E25C2">
          <w:rPr>
            <w:color w:val="0000FF"/>
            <w:u w:val="single"/>
            <w:rtl/>
          </w:rPr>
          <w:t>חוק העונשין</w:t>
        </w:r>
      </w:hyperlink>
      <w:r>
        <w:rPr>
          <w:rFonts w:hint="cs"/>
          <w:rtl/>
        </w:rPr>
        <w:t xml:space="preserve"> וזאת לאור העובדה שקבעה עונש למבצע העיקרי". הוא ביקש "למקם את הנאשם בתחתית סולם המתחם שהציגה ההגנה". הסנגור הפנה לפסק דין בו הוטל על מי שביצע עבירה של נשיאה והובלה של נשק, 9 חודשי מאסר בעבודות שירות והדגיש כי זה העונש שהוטל על העבירה העיקרית. הוא ביקש להסתפק בתקופת מעצרו של נאשם 3. </w:t>
      </w:r>
    </w:p>
    <w:p w14:paraId="00939382" w14:textId="77777777" w:rsidR="00287003" w:rsidRDefault="00287003" w:rsidP="00287003">
      <w:pPr>
        <w:spacing w:line="360" w:lineRule="auto"/>
        <w:jc w:val="both"/>
        <w:rPr>
          <w:rtl/>
        </w:rPr>
      </w:pPr>
    </w:p>
    <w:p w14:paraId="388E95EE" w14:textId="77777777" w:rsidR="00287003" w:rsidRDefault="00287003" w:rsidP="00287003">
      <w:pPr>
        <w:spacing w:line="360" w:lineRule="auto"/>
        <w:ind w:left="720" w:hanging="720"/>
        <w:jc w:val="both"/>
        <w:rPr>
          <w:rtl/>
        </w:rPr>
      </w:pPr>
      <w:r>
        <w:rPr>
          <w:rFonts w:hint="cs"/>
          <w:rtl/>
        </w:rPr>
        <w:t>13.</w:t>
      </w:r>
      <w:r>
        <w:rPr>
          <w:rFonts w:hint="cs"/>
          <w:rtl/>
        </w:rPr>
        <w:tab/>
      </w:r>
      <w:r w:rsidRPr="003943C4">
        <w:rPr>
          <w:rFonts w:hint="cs"/>
          <w:rtl/>
        </w:rPr>
        <w:t xml:space="preserve">ב"כ נאשם 4, </w:t>
      </w:r>
      <w:r>
        <w:rPr>
          <w:rFonts w:hint="cs"/>
          <w:rtl/>
        </w:rPr>
        <w:t>הפנה את בית המשפט לדרישה של המאשימה בנוגע למרשו, לפיה, "נאשם 4 בשים לב לנסיבות המאשימה עותרת לעונש של 12 חודשי מאסר. מכאן אני גוזר את הטיעונים שלי ומבקש כי בעניינו של נאשם 4 שהעונש המקסימלי הנטען על פיו הוא 12 חודשי מאסר". הסנגור ביקש שהעונש שיוטל עליו "הוא 8 חודשים וכמה ימים, שזו התקופה שהוא מרצה במעצרו. כלומר להסתפק בתקופת מעצרו. אני חושב שזה העונש הראוי, אין מקום להשית עליו את העונש המקסימלי לו עתרה המאשימה". נטען, כי הנאשם בן 23, נעדר עבר פלילי להבדיל מהאחרים, כך שבנסיבות אלה "הענישה לפיה יש להסתפק בתקופת המעצר היא מידתית".</w:t>
      </w:r>
    </w:p>
    <w:p w14:paraId="511A8BAD" w14:textId="77777777" w:rsidR="00287003" w:rsidRDefault="00287003" w:rsidP="00287003">
      <w:pPr>
        <w:spacing w:line="360" w:lineRule="auto"/>
        <w:ind w:left="720" w:hanging="720"/>
        <w:jc w:val="both"/>
        <w:rPr>
          <w:rtl/>
        </w:rPr>
      </w:pPr>
      <w:r>
        <w:rPr>
          <w:rFonts w:hint="cs"/>
          <w:rtl/>
        </w:rPr>
        <w:t xml:space="preserve"> </w:t>
      </w:r>
    </w:p>
    <w:p w14:paraId="026D4458" w14:textId="77777777" w:rsidR="00287003" w:rsidRDefault="00287003" w:rsidP="00287003">
      <w:pPr>
        <w:spacing w:line="360" w:lineRule="auto"/>
        <w:ind w:left="720"/>
        <w:jc w:val="both"/>
        <w:rPr>
          <w:rtl/>
        </w:rPr>
      </w:pPr>
      <w:r>
        <w:rPr>
          <w:rFonts w:hint="cs"/>
          <w:rtl/>
        </w:rPr>
        <w:t xml:space="preserve">לעניין העבירה שיוחסה לנאשם 4 נטען, כי "כמו נאשמים 2-4 מדובר בעבירת סיוע, שהתקין ביחס לכהת"א המקורי מאוד משמעותי גם מבחינת מס' העבירות וגם מבחינת אופיים. השינוי הוא דרמטי ביותר וגם לגבי הסיוע, הסיוע פה מתבטא באופן המהותי, בנוכחות בתוך הרכב. הא ותו לא". אי לכך, סבור הסנגור כאמור, "כי בנסיבות אלה, ונסיבותיו האישיות שתכף אתייחס אליהם, אבקש להסתפק בתקופת מעצרו". נטען, כי נאשם 4 בן למשפחה חד הורית, "אמו חולה במחלה אונקולוגית, מחלות כאלה ואחרות". הוגש דו"ח סוציאלי של המועצה המקומית בה הוא מתגורר. הסנגור הפנה "להודיה בהזדמנות הראשונה- נתון נוסף שמצטרף לנתונים", כך שיש "להסתפק בימי מעצרו. המנעד של הפסיקה רחב ביותר". </w:t>
      </w:r>
    </w:p>
    <w:p w14:paraId="34E384F0" w14:textId="77777777" w:rsidR="00287003" w:rsidRPr="00346A62" w:rsidRDefault="00287003" w:rsidP="00287003">
      <w:pPr>
        <w:spacing w:line="360" w:lineRule="auto"/>
        <w:ind w:left="720" w:hanging="720"/>
        <w:jc w:val="both"/>
        <w:rPr>
          <w:noProof/>
          <w:rtl/>
        </w:rPr>
      </w:pPr>
    </w:p>
    <w:p w14:paraId="176FC209" w14:textId="77777777" w:rsidR="00287003" w:rsidRPr="00346A62" w:rsidRDefault="00287003" w:rsidP="00287003">
      <w:pPr>
        <w:spacing w:line="360" w:lineRule="auto"/>
        <w:ind w:left="720" w:hanging="720"/>
        <w:jc w:val="both"/>
        <w:rPr>
          <w:b/>
          <w:bCs/>
          <w:noProof/>
          <w:u w:val="single"/>
          <w:rtl/>
        </w:rPr>
      </w:pPr>
      <w:r w:rsidRPr="00346A62">
        <w:rPr>
          <w:rFonts w:hint="cs"/>
          <w:b/>
          <w:bCs/>
          <w:noProof/>
          <w:u w:val="single"/>
          <w:rtl/>
        </w:rPr>
        <w:t>דיון והכרעה</w:t>
      </w:r>
    </w:p>
    <w:p w14:paraId="35738B64" w14:textId="77777777" w:rsidR="00287003" w:rsidRPr="00346A62" w:rsidRDefault="00287003" w:rsidP="00287003">
      <w:pPr>
        <w:spacing w:line="360" w:lineRule="auto"/>
        <w:jc w:val="both"/>
        <w:rPr>
          <w:noProof/>
          <w:rtl/>
        </w:rPr>
      </w:pPr>
    </w:p>
    <w:p w14:paraId="2CB7570B" w14:textId="77777777" w:rsidR="00287003" w:rsidRPr="00346A62" w:rsidRDefault="00287003" w:rsidP="00287003">
      <w:pPr>
        <w:spacing w:line="360" w:lineRule="auto"/>
        <w:ind w:left="720" w:hanging="720"/>
        <w:jc w:val="both"/>
        <w:rPr>
          <w:noProof/>
          <w:rtl/>
        </w:rPr>
      </w:pPr>
      <w:r>
        <w:rPr>
          <w:rFonts w:hint="cs"/>
          <w:noProof/>
          <w:rtl/>
        </w:rPr>
        <w:t>14</w:t>
      </w:r>
      <w:r w:rsidRPr="00346A62">
        <w:rPr>
          <w:rFonts w:hint="cs"/>
          <w:noProof/>
          <w:rtl/>
        </w:rPr>
        <w:t>.</w:t>
      </w:r>
      <w:r w:rsidRPr="00346A62">
        <w:rPr>
          <w:rFonts w:hint="cs"/>
          <w:noProof/>
          <w:rtl/>
        </w:rPr>
        <w:tab/>
      </w:r>
      <w:r w:rsidRPr="00346A62">
        <w:rPr>
          <w:noProof/>
          <w:rtl/>
        </w:rPr>
        <w:t>העיקרון המנחה בגזירת הדין הוא קיומו של יחס הולם בין חומרת העבירה בנסיבותיה ומידת אשמו של הנאשם העומד לדין, לבין סוג העונש שיוטל עליו ומידתו.</w:t>
      </w:r>
    </w:p>
    <w:p w14:paraId="10930110" w14:textId="77777777" w:rsidR="00287003" w:rsidRPr="00346A62" w:rsidRDefault="00287003" w:rsidP="00287003">
      <w:pPr>
        <w:spacing w:line="360" w:lineRule="auto"/>
        <w:ind w:left="720" w:hanging="720"/>
        <w:jc w:val="both"/>
        <w:rPr>
          <w:noProof/>
          <w:rtl/>
        </w:rPr>
      </w:pPr>
    </w:p>
    <w:p w14:paraId="729C81E6" w14:textId="77777777" w:rsidR="00287003" w:rsidRPr="00346A62" w:rsidRDefault="00287003" w:rsidP="00287003">
      <w:pPr>
        <w:spacing w:line="360" w:lineRule="auto"/>
        <w:ind w:left="720" w:hanging="720"/>
        <w:jc w:val="both"/>
        <w:rPr>
          <w:noProof/>
          <w:rtl/>
        </w:rPr>
      </w:pPr>
      <w:r w:rsidRPr="00346A62">
        <w:rPr>
          <w:noProof/>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79305282" w14:textId="77777777" w:rsidR="00287003" w:rsidRPr="00346A62" w:rsidRDefault="00287003" w:rsidP="00287003">
      <w:pPr>
        <w:spacing w:line="360" w:lineRule="auto"/>
        <w:ind w:left="720" w:hanging="720"/>
        <w:jc w:val="both"/>
        <w:rPr>
          <w:noProof/>
          <w:rtl/>
        </w:rPr>
      </w:pPr>
    </w:p>
    <w:p w14:paraId="4DDA2C1A" w14:textId="77777777" w:rsidR="00287003" w:rsidRPr="00346A62" w:rsidRDefault="00287003" w:rsidP="00287003">
      <w:pPr>
        <w:spacing w:line="360" w:lineRule="auto"/>
        <w:ind w:left="720"/>
        <w:jc w:val="both"/>
        <w:rPr>
          <w:noProof/>
          <w:rtl/>
        </w:rPr>
      </w:pPr>
      <w:r w:rsidRPr="00346A62">
        <w:rPr>
          <w:noProof/>
          <w:rtl/>
        </w:rPr>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w:t>
      </w:r>
      <w:r>
        <w:rPr>
          <w:rFonts w:hint="cs"/>
          <w:noProof/>
          <w:rtl/>
        </w:rPr>
        <w:t>,</w:t>
      </w:r>
      <w:r w:rsidRPr="00346A62">
        <w:rPr>
          <w:noProof/>
          <w:rtl/>
        </w:rPr>
        <w:t xml:space="preserve"> הן לקולא - משיקולי שיקום, והן לחומרה - משיקולי הגנה על שלום הציבור.</w:t>
      </w:r>
    </w:p>
    <w:p w14:paraId="45DACA6B" w14:textId="77777777" w:rsidR="00287003" w:rsidRPr="00346A62" w:rsidRDefault="00287003" w:rsidP="00287003">
      <w:pPr>
        <w:spacing w:line="360" w:lineRule="auto"/>
        <w:jc w:val="both"/>
        <w:rPr>
          <w:noProof/>
          <w:rtl/>
        </w:rPr>
      </w:pPr>
    </w:p>
    <w:p w14:paraId="75945711" w14:textId="77777777" w:rsidR="00287003" w:rsidRDefault="00287003" w:rsidP="00287003">
      <w:pPr>
        <w:spacing w:line="360" w:lineRule="auto"/>
        <w:jc w:val="both"/>
        <w:rPr>
          <w:u w:val="single"/>
        </w:rPr>
      </w:pPr>
      <w:r>
        <w:rPr>
          <w:rFonts w:hint="cs"/>
          <w:u w:val="single"/>
          <w:rtl/>
        </w:rPr>
        <w:t>מתחם העונש ההולם והסדר הטיעון</w:t>
      </w:r>
    </w:p>
    <w:p w14:paraId="56DD0C1A" w14:textId="77777777" w:rsidR="00287003" w:rsidRDefault="00287003" w:rsidP="00287003">
      <w:pPr>
        <w:spacing w:line="360" w:lineRule="auto"/>
        <w:jc w:val="both"/>
        <w:rPr>
          <w:rtl/>
        </w:rPr>
      </w:pPr>
    </w:p>
    <w:p w14:paraId="7926350E" w14:textId="77777777" w:rsidR="00287003" w:rsidRPr="00287003" w:rsidRDefault="00287003" w:rsidP="00287003">
      <w:pPr>
        <w:spacing w:line="360" w:lineRule="auto"/>
        <w:ind w:left="720" w:hanging="720"/>
        <w:jc w:val="both"/>
        <w:rPr>
          <w:rFonts w:eastAsia="Calibri"/>
          <w:sz w:val="12"/>
          <w:szCs w:val="12"/>
          <w:rtl/>
        </w:rPr>
      </w:pPr>
      <w:r>
        <w:rPr>
          <w:rFonts w:hint="cs"/>
          <w:rtl/>
        </w:rPr>
        <w:t>15.</w:t>
      </w:r>
      <w:r>
        <w:rPr>
          <w:rFonts w:hint="cs"/>
          <w:rtl/>
        </w:rPr>
        <w:tab/>
        <w:t xml:space="preserve">כאמור, הנאשם 1 הודה בעובדות כתב אישום מתוקן במסגרת הסדר טיעון שכלל הסכמה בדבר רכיב עיקרי בענישתו, הוא רכיב המאסר בפועל. אמת המידה לבחינת הסדר טיעון שונה מאמות המידה המנחות את בית המשפט בבואו לעסוק במלאכת הענישה כמצוין לעיל. המבחן שנקבע בפסיקה ביחס להסדרי טיעון הוא מבחן האיזון, בו נדרש כי יתקיים איזון בין טובת ההנאה שקיבל הנאשם בהסדר הטיעון לבין האינטרס הציבורי (ראו </w:t>
      </w:r>
      <w:hyperlink r:id="rId18" w:history="1">
        <w:r w:rsidR="001E25C2" w:rsidRPr="001E25C2">
          <w:rPr>
            <w:color w:val="0000FF"/>
            <w:u w:val="single"/>
            <w:rtl/>
          </w:rPr>
          <w:t>ע"פ 1958/98</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פ"ד נז(1) 577 (2002)). בכגון דא, קיומו של הסדר טיעון יהווה שיקול מרכזי בשיקוליו של בית המשפט שבא לגזור את עונשו של הנאשם. </w:t>
      </w:r>
    </w:p>
    <w:p w14:paraId="49CE64B4" w14:textId="77777777" w:rsidR="00287003" w:rsidRDefault="00287003" w:rsidP="00287003">
      <w:pPr>
        <w:spacing w:line="360" w:lineRule="auto"/>
        <w:jc w:val="both"/>
        <w:rPr>
          <w:rtl/>
        </w:rPr>
      </w:pPr>
    </w:p>
    <w:p w14:paraId="0DFA28BB" w14:textId="77777777" w:rsidR="00287003" w:rsidRDefault="00287003" w:rsidP="00287003">
      <w:pPr>
        <w:spacing w:line="360" w:lineRule="auto"/>
        <w:ind w:left="720"/>
        <w:jc w:val="both"/>
      </w:pPr>
      <w:r>
        <w:rPr>
          <w:rFonts w:hint="cs"/>
          <w:rtl/>
        </w:rPr>
        <w:t xml:space="preserve">ככלל, ראוי לכבד הסדר טיעון המובא לפתחו של בית המשפט. הדבר מתחייב מן האמון הניתן לתביעה אשר מלאכת ההגנה על אינטרס הציבור נמצאת בידיה, ומן הצורך לתת משקל של ממש לאינטרס ההסתמכות והציפייה של הנאשם. הנאשם 1 בענייננו ויתר במסגרת הסדר הטיעון על זכותו לדרוש שאשמתו תוכח, ועל זכותו להיאבק עד תום על חפותו. הנאשם 1 הודה באשמה, נטל אחריות, ונוצרה בקרבו ציפייה סבירה כי הסדר הטיעון יכובד. </w:t>
      </w:r>
    </w:p>
    <w:p w14:paraId="50F95185" w14:textId="77777777" w:rsidR="00287003" w:rsidRDefault="00287003" w:rsidP="00287003">
      <w:pPr>
        <w:spacing w:line="360" w:lineRule="auto"/>
        <w:jc w:val="both"/>
        <w:rPr>
          <w:sz w:val="14"/>
          <w:szCs w:val="14"/>
          <w:rtl/>
        </w:rPr>
      </w:pPr>
    </w:p>
    <w:p w14:paraId="07B92F04" w14:textId="77777777" w:rsidR="00287003" w:rsidRDefault="00287003" w:rsidP="00287003">
      <w:pPr>
        <w:spacing w:line="360" w:lineRule="auto"/>
        <w:ind w:left="720" w:hanging="720"/>
        <w:jc w:val="both"/>
        <w:rPr>
          <w:rtl/>
        </w:rPr>
      </w:pPr>
      <w:r>
        <w:rPr>
          <w:rFonts w:hint="cs"/>
          <w:rtl/>
        </w:rPr>
        <w:t>16.</w:t>
      </w:r>
      <w:r>
        <w:rPr>
          <w:rFonts w:hint="cs"/>
          <w:rtl/>
        </w:rPr>
        <w:tab/>
        <w:t xml:space="preserve">בשאלת היחס בין סוגיית הבניית שיקול הדעת השיפוטי בעת הענישה לסוגיית כיבוד הסדרי טיעון, נשמעו בהקשר זה מספר דעות (ראו לדוגמא: </w:t>
      </w:r>
      <w:hyperlink r:id="rId19" w:history="1">
        <w:r w:rsidR="001E25C2" w:rsidRPr="001E25C2">
          <w:rPr>
            <w:color w:val="0000FF"/>
            <w:u w:val="single"/>
            <w:rtl/>
          </w:rPr>
          <w:t>ע"פ 6943/16</w:t>
        </w:r>
      </w:hyperlink>
      <w:r>
        <w:rPr>
          <w:rFonts w:hint="cs"/>
          <w:rtl/>
        </w:rPr>
        <w:t xml:space="preserve"> </w:t>
      </w:r>
      <w:r>
        <w:rPr>
          <w:rFonts w:hint="cs"/>
          <w:b/>
          <w:bCs/>
          <w:rtl/>
        </w:rPr>
        <w:t>גלקין נ' מדינת ישראל</w:t>
      </w:r>
      <w:r>
        <w:rPr>
          <w:rFonts w:hint="cs"/>
          <w:rtl/>
        </w:rPr>
        <w:t xml:space="preserve"> (28.1.2018), לעומת </w:t>
      </w:r>
      <w:hyperlink r:id="rId20" w:history="1">
        <w:r w:rsidR="001E25C2" w:rsidRPr="001E25C2">
          <w:rPr>
            <w:color w:val="0000FF"/>
            <w:u w:val="single"/>
            <w:rtl/>
          </w:rPr>
          <w:t>ע"פ 2021/17</w:t>
        </w:r>
      </w:hyperlink>
      <w:r>
        <w:rPr>
          <w:rFonts w:hint="cs"/>
          <w:rtl/>
        </w:rPr>
        <w:t xml:space="preserve"> </w:t>
      </w:r>
      <w:r>
        <w:rPr>
          <w:rFonts w:hint="cs"/>
          <w:b/>
          <w:bCs/>
          <w:rtl/>
        </w:rPr>
        <w:t>מצגר נ' מדינת ישראל</w:t>
      </w:r>
      <w:r>
        <w:rPr>
          <w:rFonts w:hint="cs"/>
          <w:rtl/>
        </w:rPr>
        <w:t xml:space="preserve"> (30.4.2017)). </w:t>
      </w:r>
    </w:p>
    <w:p w14:paraId="664D5BCE" w14:textId="77777777" w:rsidR="00287003" w:rsidRDefault="00287003" w:rsidP="00287003">
      <w:pPr>
        <w:spacing w:line="360" w:lineRule="auto"/>
        <w:ind w:left="720"/>
        <w:jc w:val="both"/>
        <w:rPr>
          <w:sz w:val="18"/>
          <w:szCs w:val="18"/>
          <w:rtl/>
        </w:rPr>
      </w:pPr>
    </w:p>
    <w:p w14:paraId="40C7E63F" w14:textId="77777777" w:rsidR="00287003" w:rsidRDefault="00287003" w:rsidP="00287003">
      <w:pPr>
        <w:spacing w:line="360" w:lineRule="auto"/>
        <w:ind w:left="720"/>
        <w:jc w:val="both"/>
        <w:rPr>
          <w:rtl/>
        </w:rPr>
      </w:pPr>
      <w:r>
        <w:rPr>
          <w:rFonts w:hint="cs"/>
          <w:rtl/>
        </w:rPr>
        <w:t>בענייננו, הציגו הצדדים הסדר טיעון הכולל תקופת מאסר מוסכמת לריצוי בפועל. בנסיבות אלה, ונוכח משך תקופת המאסר המוסכמת אל מול העבירה בה הורשע נאשם 1, לא מצאתי לנכון לקבוע מתחם עונש הולם לאירוע. זאת, בפרט שהסדר הטיעון מבוסס, בין היתר, על מורכבות ראייתית. ודוק, קשיים ראייתיים לרוב אינם נשקלים בעת קביעת מתחם העונש ההולם.</w:t>
      </w:r>
    </w:p>
    <w:p w14:paraId="4FD8D4C1" w14:textId="77777777" w:rsidR="00287003" w:rsidRDefault="00287003" w:rsidP="00287003">
      <w:pPr>
        <w:spacing w:line="360" w:lineRule="auto"/>
        <w:jc w:val="both"/>
        <w:rPr>
          <w:sz w:val="14"/>
          <w:szCs w:val="14"/>
          <w:rtl/>
        </w:rPr>
      </w:pPr>
    </w:p>
    <w:p w14:paraId="4C66D019" w14:textId="77777777" w:rsidR="00287003" w:rsidRDefault="00287003" w:rsidP="00287003">
      <w:pPr>
        <w:spacing w:line="360" w:lineRule="auto"/>
        <w:ind w:left="720"/>
        <w:jc w:val="both"/>
        <w:rPr>
          <w:rtl/>
        </w:rPr>
      </w:pPr>
      <w:r>
        <w:rPr>
          <w:rFonts w:hint="cs"/>
          <w:rtl/>
        </w:rPr>
        <w:t xml:space="preserve">לזכות הנאשם 1 במקרה דנן עומדת כאמור הודאתו בכל המיוחס לו לאחר תיקון כתב האישום. הודאתו חסכה זמן שיפוטי. כן מגולמת בהודאה נטילת אחריות. </w:t>
      </w:r>
    </w:p>
    <w:p w14:paraId="1F4A1CB6" w14:textId="77777777" w:rsidR="00287003" w:rsidRDefault="00287003" w:rsidP="00287003">
      <w:pPr>
        <w:spacing w:line="360" w:lineRule="auto"/>
        <w:jc w:val="both"/>
        <w:rPr>
          <w:sz w:val="14"/>
          <w:szCs w:val="14"/>
          <w:rtl/>
        </w:rPr>
      </w:pPr>
    </w:p>
    <w:p w14:paraId="793C2C7C" w14:textId="77777777" w:rsidR="00287003" w:rsidRDefault="00287003" w:rsidP="00287003">
      <w:pPr>
        <w:spacing w:line="360" w:lineRule="auto"/>
        <w:ind w:left="720"/>
        <w:jc w:val="both"/>
        <w:rPr>
          <w:rtl/>
        </w:rPr>
      </w:pPr>
      <w:r>
        <w:rPr>
          <w:rFonts w:hint="cs"/>
          <w:rtl/>
        </w:rPr>
        <w:t xml:space="preserve">בהינתן כל האמור, הסדר הטיעון שהושג בין הצדדים הוא הולם </w:t>
      </w:r>
      <w:r w:rsidRPr="00736A68">
        <w:rPr>
          <w:rFonts w:hint="cs"/>
          <w:b/>
          <w:bCs/>
          <w:rtl/>
        </w:rPr>
        <w:t>ויש מקום לכבדו</w:t>
      </w:r>
      <w:r>
        <w:rPr>
          <w:rFonts w:hint="cs"/>
          <w:rtl/>
        </w:rPr>
        <w:t>. מצאתי כי במסגרת ההסדר נשקלו כראוי השיקולים הצריכים לעניין, נבחן האינטרס הציבורי שמצא ביטויו בתקופת מאסר לא מבוטלת לריצוי בפועל, ונבחנו נסיבותיו של המקרה דנן ושל הנאשם. ניתן גם משקל להודאה, לנטילת האחריות ולחיסכון בזמן השיפוטי.</w:t>
      </w:r>
      <w:r w:rsidR="001E25C2">
        <w:rPr>
          <w:rFonts w:hint="cs"/>
          <w:rtl/>
        </w:rPr>
        <w:t xml:space="preserve">  </w:t>
      </w:r>
      <w:r>
        <w:rPr>
          <w:rFonts w:hint="cs"/>
          <w:rtl/>
        </w:rPr>
        <w:t xml:space="preserve"> </w:t>
      </w:r>
    </w:p>
    <w:p w14:paraId="14837DFF" w14:textId="77777777" w:rsidR="00287003" w:rsidRPr="00346A62" w:rsidRDefault="00287003" w:rsidP="00287003">
      <w:pPr>
        <w:spacing w:line="360" w:lineRule="auto"/>
        <w:jc w:val="both"/>
        <w:rPr>
          <w:noProof/>
          <w:rtl/>
        </w:rPr>
      </w:pPr>
    </w:p>
    <w:p w14:paraId="13855750" w14:textId="77777777" w:rsidR="00287003" w:rsidRPr="00346A62" w:rsidRDefault="00287003" w:rsidP="00287003">
      <w:pPr>
        <w:spacing w:line="360" w:lineRule="auto"/>
        <w:jc w:val="both"/>
        <w:rPr>
          <w:noProof/>
          <w:u w:val="single"/>
          <w:rtl/>
        </w:rPr>
      </w:pPr>
      <w:r w:rsidRPr="00346A62">
        <w:rPr>
          <w:rFonts w:hint="cs"/>
          <w:noProof/>
          <w:u w:val="single"/>
          <w:rtl/>
        </w:rPr>
        <w:t>מתחם העונש ההולם</w:t>
      </w:r>
      <w:r>
        <w:rPr>
          <w:rFonts w:hint="cs"/>
          <w:noProof/>
          <w:u w:val="single"/>
          <w:rtl/>
        </w:rPr>
        <w:t xml:space="preserve"> לנאשמים 4-2</w:t>
      </w:r>
    </w:p>
    <w:p w14:paraId="7D7349F6" w14:textId="77777777" w:rsidR="00287003" w:rsidRPr="00346A62" w:rsidRDefault="00287003" w:rsidP="00287003">
      <w:pPr>
        <w:spacing w:line="360" w:lineRule="auto"/>
        <w:ind w:left="720" w:hanging="720"/>
        <w:jc w:val="both"/>
        <w:rPr>
          <w:noProof/>
          <w:rtl/>
        </w:rPr>
      </w:pPr>
    </w:p>
    <w:p w14:paraId="4AE96185" w14:textId="77777777" w:rsidR="00287003" w:rsidRPr="00346A62" w:rsidRDefault="00287003" w:rsidP="00287003">
      <w:pPr>
        <w:spacing w:line="360" w:lineRule="auto"/>
        <w:ind w:left="720" w:hanging="720"/>
        <w:jc w:val="both"/>
        <w:rPr>
          <w:noProof/>
          <w:rtl/>
        </w:rPr>
      </w:pPr>
      <w:r>
        <w:rPr>
          <w:rFonts w:hint="cs"/>
          <w:noProof/>
          <w:rtl/>
        </w:rPr>
        <w:t>17</w:t>
      </w:r>
      <w:r w:rsidRPr="00346A62">
        <w:rPr>
          <w:rFonts w:hint="cs"/>
          <w:noProof/>
          <w:rtl/>
        </w:rPr>
        <w:t>.</w:t>
      </w:r>
      <w:r w:rsidRPr="00346A62">
        <w:rPr>
          <w:rFonts w:hint="cs"/>
          <w:noProof/>
          <w:rtl/>
        </w:rPr>
        <w:tab/>
        <w:t>הנאש</w:t>
      </w:r>
      <w:r>
        <w:rPr>
          <w:rFonts w:hint="cs"/>
          <w:noProof/>
          <w:rtl/>
        </w:rPr>
        <w:t>מי</w:t>
      </w:r>
      <w:r w:rsidRPr="00346A62">
        <w:rPr>
          <w:rFonts w:hint="cs"/>
          <w:noProof/>
          <w:rtl/>
        </w:rPr>
        <w:t>ם</w:t>
      </w:r>
      <w:r>
        <w:rPr>
          <w:rFonts w:hint="cs"/>
          <w:noProof/>
          <w:rtl/>
        </w:rPr>
        <w:t xml:space="preserve"> 4-2 </w:t>
      </w:r>
      <w:r w:rsidRPr="00346A62">
        <w:rPr>
          <w:rFonts w:hint="cs"/>
          <w:noProof/>
          <w:rtl/>
        </w:rPr>
        <w:t>הורשע</w:t>
      </w:r>
      <w:r>
        <w:rPr>
          <w:rFonts w:hint="cs"/>
          <w:noProof/>
          <w:rtl/>
        </w:rPr>
        <w:t>ו בביצוע עבירה של סיוע</w:t>
      </w:r>
      <w:r w:rsidRPr="00346A62">
        <w:rPr>
          <w:rFonts w:hint="cs"/>
          <w:noProof/>
          <w:rtl/>
        </w:rPr>
        <w:t xml:space="preserve"> בנשיאתו ובהובלתו של הנשק</w:t>
      </w:r>
      <w:r>
        <w:rPr>
          <w:rFonts w:hint="cs"/>
          <w:noProof/>
          <w:rtl/>
        </w:rPr>
        <w:t>.</w:t>
      </w:r>
      <w:r w:rsidRPr="00346A62">
        <w:rPr>
          <w:rFonts w:hint="cs"/>
          <w:noProof/>
          <w:rtl/>
        </w:rPr>
        <w:t xml:space="preserve"> בעת קביעת מתחם העונש ההולם, יש לעמוד תחילה על הערכים החברתיים</w:t>
      </w:r>
      <w:r>
        <w:rPr>
          <w:rFonts w:hint="cs"/>
          <w:noProof/>
          <w:rtl/>
        </w:rPr>
        <w:t xml:space="preserve"> אשר נפגעו כתוצאה מביצוע העבירה</w:t>
      </w:r>
      <w:r w:rsidRPr="00346A62">
        <w:rPr>
          <w:rFonts w:hint="cs"/>
          <w:noProof/>
          <w:rtl/>
        </w:rPr>
        <w:t xml:space="preserve"> הנ"ל, וכן על מידת הפגיעה בערכים אלו.</w:t>
      </w:r>
    </w:p>
    <w:p w14:paraId="764F0E98" w14:textId="77777777" w:rsidR="00287003" w:rsidRPr="00346A62" w:rsidRDefault="00287003" w:rsidP="00287003">
      <w:pPr>
        <w:spacing w:line="360" w:lineRule="auto"/>
        <w:ind w:left="720" w:hanging="720"/>
        <w:jc w:val="both"/>
        <w:rPr>
          <w:noProof/>
          <w:rtl/>
        </w:rPr>
      </w:pPr>
    </w:p>
    <w:p w14:paraId="51EFD0E8" w14:textId="77777777" w:rsidR="00287003" w:rsidRPr="00346A62" w:rsidRDefault="00287003" w:rsidP="00287003">
      <w:pPr>
        <w:spacing w:line="360" w:lineRule="auto"/>
        <w:ind w:left="720" w:hanging="720"/>
        <w:jc w:val="both"/>
        <w:rPr>
          <w:noProof/>
          <w:rtl/>
        </w:rPr>
      </w:pPr>
      <w:r w:rsidRPr="00346A62">
        <w:rPr>
          <w:noProof/>
          <w:rtl/>
        </w:rPr>
        <w:tab/>
      </w:r>
      <w:r w:rsidRPr="00346A62">
        <w:rPr>
          <w:rFonts w:hint="cs"/>
          <w:noProof/>
          <w:rtl/>
        </w:rPr>
        <w:t xml:space="preserve">בעת ביצוע עבירות נשק גלומה פגיעה אשר אינה מבוטלת בשורה של ערכים חברתיים, </w:t>
      </w:r>
      <w:r>
        <w:rPr>
          <w:rFonts w:hint="cs"/>
          <w:noProof/>
          <w:rtl/>
        </w:rPr>
        <w:t xml:space="preserve">בראשם </w:t>
      </w:r>
      <w:r w:rsidRPr="00346A62">
        <w:rPr>
          <w:rFonts w:hint="cs"/>
          <w:noProof/>
          <w:rtl/>
        </w:rPr>
        <w:t xml:space="preserve">ניצבים ערך החיים, שלומו של הציבור וכן תחושת הביטחון השוררת בציבור להתהלך באין מפריע ובלא חשש במקום מושבו. </w:t>
      </w:r>
    </w:p>
    <w:p w14:paraId="782E3F80" w14:textId="77777777" w:rsidR="00287003" w:rsidRPr="00346A62" w:rsidRDefault="00287003" w:rsidP="00287003">
      <w:pPr>
        <w:spacing w:line="360" w:lineRule="auto"/>
        <w:ind w:left="720" w:hanging="720"/>
        <w:jc w:val="both"/>
        <w:rPr>
          <w:noProof/>
          <w:rtl/>
        </w:rPr>
      </w:pPr>
    </w:p>
    <w:p w14:paraId="21470EEF" w14:textId="77777777" w:rsidR="00287003" w:rsidRPr="00346A62" w:rsidRDefault="00287003" w:rsidP="00287003">
      <w:pPr>
        <w:spacing w:line="360" w:lineRule="auto"/>
        <w:ind w:left="720"/>
        <w:jc w:val="both"/>
        <w:rPr>
          <w:noProof/>
          <w:rtl/>
        </w:rPr>
      </w:pPr>
      <w:r w:rsidRPr="00346A62">
        <w:rPr>
          <w:rFonts w:hint="cs"/>
          <w:noProof/>
          <w:rtl/>
        </w:rPr>
        <w:t xml:space="preserve">במקרה דכאן, הנאשם </w:t>
      </w:r>
      <w:r>
        <w:rPr>
          <w:rFonts w:hint="cs"/>
          <w:noProof/>
          <w:rtl/>
        </w:rPr>
        <w:t xml:space="preserve">1 </w:t>
      </w:r>
      <w:r w:rsidRPr="00346A62">
        <w:rPr>
          <w:rFonts w:hint="cs"/>
          <w:noProof/>
          <w:rtl/>
        </w:rPr>
        <w:t xml:space="preserve">נשא והוביל את הנשק ברכבו כשהנשק טעון במחסנית </w:t>
      </w:r>
      <w:r>
        <w:rPr>
          <w:rFonts w:hint="cs"/>
          <w:noProof/>
          <w:rtl/>
        </w:rPr>
        <w:t>ריקה. נאשמים 4-2 סייעו לו בכך.</w:t>
      </w:r>
      <w:r w:rsidRPr="00346A62">
        <w:rPr>
          <w:rFonts w:hint="cs"/>
          <w:noProof/>
          <w:rtl/>
        </w:rPr>
        <w:t xml:space="preserve"> במעשים אלו כשלעצמם טבועה מסוכנות לקרות נזק </w:t>
      </w:r>
      <w:r>
        <w:rPr>
          <w:rFonts w:hint="cs"/>
          <w:noProof/>
          <w:rtl/>
        </w:rPr>
        <w:t>גדול יותר</w:t>
      </w:r>
      <w:r w:rsidRPr="00346A62">
        <w:rPr>
          <w:rFonts w:hint="cs"/>
          <w:noProof/>
          <w:rtl/>
        </w:rPr>
        <w:t>.</w:t>
      </w:r>
      <w:r>
        <w:rPr>
          <w:rFonts w:hint="cs"/>
          <w:noProof/>
          <w:rtl/>
        </w:rPr>
        <w:t xml:space="preserve"> </w:t>
      </w:r>
      <w:r w:rsidRPr="00346A62">
        <w:rPr>
          <w:rFonts w:hint="cs"/>
          <w:noProof/>
          <w:rtl/>
        </w:rPr>
        <w:t xml:space="preserve">בגזרי דין בפרשות אחרות נזדמן לי לכתוב, בהשאלה מעולם הספרות והמחזות, כי אקדח המופיע במערכה הראשונה, סופו לירות במערכה השלישית. </w:t>
      </w:r>
      <w:r>
        <w:rPr>
          <w:rFonts w:hint="cs"/>
          <w:noProof/>
          <w:rtl/>
        </w:rPr>
        <w:t xml:space="preserve">אמנם, וכפי המצוין בכתב האישום המתוקן, האקדח בענייננו לא היה טעון בכדורים, כך שלא נגרם נזק של ממש. אולם, אין להתעלם מהחשש הטבעי בדבר פוטנציאל הנזק אם היה נעשה בו שימוש, אשר </w:t>
      </w:r>
      <w:r w:rsidRPr="00346A62">
        <w:rPr>
          <w:rFonts w:hint="cs"/>
          <w:noProof/>
          <w:rtl/>
        </w:rPr>
        <w:t xml:space="preserve">עלול </w:t>
      </w:r>
      <w:r>
        <w:rPr>
          <w:rFonts w:hint="cs"/>
          <w:noProof/>
          <w:rtl/>
        </w:rPr>
        <w:t xml:space="preserve">היה </w:t>
      </w:r>
      <w:r w:rsidRPr="00346A62">
        <w:rPr>
          <w:rFonts w:hint="cs"/>
          <w:noProof/>
          <w:rtl/>
        </w:rPr>
        <w:t xml:space="preserve">לגרום לנזק </w:t>
      </w:r>
      <w:r>
        <w:rPr>
          <w:rFonts w:hint="cs"/>
          <w:noProof/>
          <w:rtl/>
        </w:rPr>
        <w:t xml:space="preserve">משמעותי </w:t>
      </w:r>
      <w:r w:rsidRPr="00346A62">
        <w:rPr>
          <w:rFonts w:hint="cs"/>
          <w:noProof/>
          <w:rtl/>
        </w:rPr>
        <w:t>עד כדי אובדן חיים,</w:t>
      </w:r>
      <w:r>
        <w:rPr>
          <w:rFonts w:hint="cs"/>
          <w:noProof/>
          <w:rtl/>
        </w:rPr>
        <w:t xml:space="preserve"> גם אם על ידי אדם אחר זולת הנאשמים</w:t>
      </w:r>
      <w:r w:rsidRPr="00346A62">
        <w:rPr>
          <w:rFonts w:hint="cs"/>
          <w:noProof/>
          <w:rtl/>
        </w:rPr>
        <w:t xml:space="preserve">, במקום אחר ובזמן אחר. </w:t>
      </w:r>
    </w:p>
    <w:p w14:paraId="3E149CFF" w14:textId="77777777" w:rsidR="00287003" w:rsidRPr="00346A62" w:rsidRDefault="00287003" w:rsidP="00287003">
      <w:pPr>
        <w:spacing w:line="360" w:lineRule="auto"/>
        <w:ind w:left="720" w:hanging="720"/>
        <w:jc w:val="both"/>
        <w:rPr>
          <w:noProof/>
          <w:rtl/>
        </w:rPr>
      </w:pPr>
    </w:p>
    <w:p w14:paraId="37D7C8FD" w14:textId="77777777" w:rsidR="00287003" w:rsidRPr="00346A62" w:rsidRDefault="00287003" w:rsidP="00287003">
      <w:pPr>
        <w:spacing w:line="360" w:lineRule="auto"/>
        <w:ind w:left="720" w:hanging="720"/>
        <w:jc w:val="both"/>
        <w:rPr>
          <w:noProof/>
          <w:rtl/>
        </w:rPr>
      </w:pPr>
      <w:r w:rsidRPr="00346A62">
        <w:rPr>
          <w:noProof/>
          <w:rtl/>
        </w:rPr>
        <w:tab/>
      </w:r>
      <w:r w:rsidRPr="00346A62">
        <w:rPr>
          <w:rFonts w:hint="cs"/>
          <w:noProof/>
          <w:rtl/>
        </w:rPr>
        <w:t xml:space="preserve">בצד אלו, וכפי </w:t>
      </w:r>
      <w:r>
        <w:rPr>
          <w:rFonts w:hint="cs"/>
          <w:noProof/>
          <w:rtl/>
        </w:rPr>
        <w:t>שנטען</w:t>
      </w:r>
      <w:r w:rsidRPr="00346A62">
        <w:rPr>
          <w:rFonts w:hint="cs"/>
          <w:noProof/>
          <w:rtl/>
        </w:rPr>
        <w:t>, מדובר באירוע קצר ונקודתי במהלכו הנשק היה מעורב</w:t>
      </w:r>
      <w:r>
        <w:rPr>
          <w:rFonts w:hint="cs"/>
          <w:noProof/>
          <w:rtl/>
        </w:rPr>
        <w:t>.</w:t>
      </w:r>
      <w:r w:rsidRPr="00346A62">
        <w:rPr>
          <w:rFonts w:hint="cs"/>
          <w:noProof/>
          <w:rtl/>
        </w:rPr>
        <w:t xml:space="preserve"> כמו כן, פוטנציאל הנזק, אף כי רב הוא, לא התממש בסופו של דבר ולא ארע נזק לגוף או לרכוש. בשים לב למכלול הנסיבות הללו, סבורני כי מידת הפגיעה בערכים החברתיים </w:t>
      </w:r>
      <w:r>
        <w:rPr>
          <w:rFonts w:hint="cs"/>
          <w:noProof/>
          <w:rtl/>
        </w:rPr>
        <w:t xml:space="preserve">אינה גבוהה. </w:t>
      </w:r>
    </w:p>
    <w:p w14:paraId="6C467064" w14:textId="77777777" w:rsidR="00287003" w:rsidRPr="00346A62" w:rsidRDefault="00287003" w:rsidP="00287003">
      <w:pPr>
        <w:spacing w:line="360" w:lineRule="auto"/>
        <w:ind w:left="720" w:hanging="720"/>
        <w:jc w:val="both"/>
        <w:rPr>
          <w:noProof/>
          <w:rtl/>
        </w:rPr>
      </w:pPr>
    </w:p>
    <w:p w14:paraId="6552AE67" w14:textId="77777777" w:rsidR="00287003" w:rsidRPr="00346A62" w:rsidRDefault="00287003" w:rsidP="00287003">
      <w:pPr>
        <w:spacing w:line="360" w:lineRule="auto"/>
        <w:ind w:left="720" w:hanging="720"/>
        <w:jc w:val="both"/>
        <w:rPr>
          <w:noProof/>
          <w:rtl/>
        </w:rPr>
      </w:pPr>
      <w:r>
        <w:rPr>
          <w:rFonts w:hint="cs"/>
          <w:noProof/>
          <w:rtl/>
        </w:rPr>
        <w:t>18</w:t>
      </w:r>
      <w:r w:rsidRPr="00346A62">
        <w:rPr>
          <w:rFonts w:hint="cs"/>
          <w:noProof/>
          <w:rtl/>
        </w:rPr>
        <w:t>.</w:t>
      </w:r>
      <w:r w:rsidRPr="00346A62">
        <w:rPr>
          <w:rFonts w:hint="cs"/>
          <w:noProof/>
          <w:rtl/>
        </w:rPr>
        <w:tab/>
      </w:r>
      <w:r w:rsidRPr="00346A62">
        <w:rPr>
          <w:noProof/>
          <w:rtl/>
        </w:rPr>
        <w:t>בית המשפט העליון עמד פעמים רבות על החומרה הגלומה בעבירות הנשק, וכן על הצורך בהחמרת הענישה כלפי מי אשר מבצע עבירות כגון דא. ראו על כך פסק דינו של בית המשפט העליון ב</w:t>
      </w:r>
      <w:hyperlink r:id="rId21" w:history="1">
        <w:r w:rsidR="001E25C2" w:rsidRPr="001E25C2">
          <w:rPr>
            <w:noProof/>
            <w:color w:val="0000FF"/>
            <w:u w:val="single"/>
            <w:rtl/>
          </w:rPr>
          <w:t>ע"פ 2482/22</w:t>
        </w:r>
      </w:hyperlink>
      <w:r w:rsidRPr="00346A62">
        <w:rPr>
          <w:noProof/>
          <w:rtl/>
        </w:rPr>
        <w:t xml:space="preserve"> </w:t>
      </w:r>
      <w:r w:rsidRPr="00346A62">
        <w:rPr>
          <w:b/>
          <w:bCs/>
          <w:noProof/>
          <w:rtl/>
        </w:rPr>
        <w:t>מדינת ישראל נ' קדורה</w:t>
      </w:r>
      <w:r w:rsidRPr="00346A62">
        <w:rPr>
          <w:noProof/>
          <w:rtl/>
        </w:rPr>
        <w:t>, פסקה 6 (14.4.2022), כ</w:t>
      </w:r>
      <w:r w:rsidRPr="00346A62">
        <w:rPr>
          <w:rFonts w:hint="cs"/>
          <w:noProof/>
          <w:rtl/>
        </w:rPr>
        <w:t>דלקמן</w:t>
      </w:r>
      <w:r w:rsidRPr="00346A62">
        <w:rPr>
          <w:noProof/>
          <w:rtl/>
        </w:rPr>
        <w:t>:</w:t>
      </w:r>
    </w:p>
    <w:p w14:paraId="2FF98BD9" w14:textId="77777777" w:rsidR="00287003" w:rsidRPr="00346A62" w:rsidRDefault="00287003" w:rsidP="00287003">
      <w:pPr>
        <w:spacing w:line="360" w:lineRule="auto"/>
        <w:ind w:left="720" w:hanging="720"/>
        <w:jc w:val="both"/>
        <w:rPr>
          <w:noProof/>
          <w:rtl/>
        </w:rPr>
      </w:pPr>
    </w:p>
    <w:p w14:paraId="1376C2ED" w14:textId="77777777" w:rsidR="00287003" w:rsidRPr="00346A62" w:rsidRDefault="00287003" w:rsidP="00287003">
      <w:pPr>
        <w:spacing w:line="360" w:lineRule="auto"/>
        <w:ind w:left="1218" w:right="426"/>
        <w:jc w:val="both"/>
        <w:rPr>
          <w:noProof/>
          <w:rtl/>
        </w:rPr>
      </w:pPr>
      <w:r w:rsidRPr="00346A62">
        <w:rPr>
          <w:noProof/>
          <w:rtl/>
        </w:rPr>
        <w:t>"</w:t>
      </w:r>
      <w:r w:rsidRPr="00346A62">
        <w:rPr>
          <w:b/>
          <w:bCs/>
          <w:noProof/>
          <w:rtl/>
        </w:rPr>
        <w:t xml:space="preserve">החזקת נשק שלא כדין מאיימת על שלום הציבור ובטחונו </w:t>
      </w:r>
      <w:r w:rsidRPr="00346A62">
        <w:rPr>
          <w:noProof/>
          <w:rtl/>
        </w:rPr>
        <w:t xml:space="preserve">... </w:t>
      </w:r>
      <w:r w:rsidRPr="00346A62">
        <w:rPr>
          <w:b/>
          <w:bCs/>
          <w:noProof/>
          <w:rtl/>
        </w:rPr>
        <w:t xml:space="preserve">.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sidRPr="00346A62">
        <w:rPr>
          <w:noProof/>
          <w:rtl/>
        </w:rPr>
        <w:t>...</w:t>
      </w:r>
      <w:r w:rsidRPr="00346A62">
        <w:rPr>
          <w:b/>
          <w:bCs/>
          <w:noProof/>
          <w:rtl/>
        </w:rPr>
        <w:t xml:space="preserve">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w:t>
      </w:r>
      <w:r w:rsidRPr="00346A62">
        <w:rPr>
          <w:noProof/>
          <w:rtl/>
        </w:rPr>
        <w:t xml:space="preserve">... </w:t>
      </w:r>
      <w:r w:rsidRPr="00346A62">
        <w:rPr>
          <w:b/>
          <w:bCs/>
          <w:noProof/>
          <w:rtl/>
        </w:rPr>
        <w:t xml:space="preserve">. ענייננו ב'מכת מדינה' שהצורך להילחם בה על מנת להגן על הציבור, מצריך מענה הולם והטלת עונשי מאסר משמעותיים </w:t>
      </w:r>
      <w:r w:rsidRPr="00346A62">
        <w:rPr>
          <w:noProof/>
          <w:rtl/>
        </w:rPr>
        <w:t>...</w:t>
      </w:r>
      <w:r w:rsidRPr="00346A62">
        <w:rPr>
          <w:b/>
          <w:bCs/>
          <w:noProof/>
          <w:rtl/>
        </w:rPr>
        <w:t xml:space="preserve"> . ידע כל מי שמחזיק בנשק בלתי חוקי כי צפוי הוא להיענש בחומרה, בבחינת 'אם מחזיקים – למאסר נשלחים'</w:t>
      </w:r>
      <w:r w:rsidRPr="00346A62">
        <w:rPr>
          <w:noProof/>
          <w:rtl/>
        </w:rPr>
        <w:t>"</w:t>
      </w:r>
      <w:r>
        <w:rPr>
          <w:rFonts w:hint="cs"/>
          <w:noProof/>
          <w:rtl/>
        </w:rPr>
        <w:t>.</w:t>
      </w:r>
    </w:p>
    <w:p w14:paraId="4E20AF53" w14:textId="77777777" w:rsidR="00287003" w:rsidRPr="00346A62" w:rsidRDefault="00287003" w:rsidP="00287003">
      <w:pPr>
        <w:spacing w:line="360" w:lineRule="auto"/>
        <w:jc w:val="both"/>
      </w:pPr>
    </w:p>
    <w:p w14:paraId="56F2E9F4" w14:textId="77777777" w:rsidR="00287003" w:rsidRPr="00346A62" w:rsidRDefault="00287003" w:rsidP="00287003">
      <w:pPr>
        <w:spacing w:line="360" w:lineRule="auto"/>
        <w:ind w:left="720" w:hanging="720"/>
        <w:jc w:val="both"/>
        <w:rPr>
          <w:noProof/>
          <w:rtl/>
        </w:rPr>
      </w:pPr>
      <w:r>
        <w:rPr>
          <w:rFonts w:hint="cs"/>
          <w:noProof/>
          <w:rtl/>
        </w:rPr>
        <w:t>19</w:t>
      </w:r>
      <w:r w:rsidRPr="00346A62">
        <w:rPr>
          <w:noProof/>
          <w:rtl/>
        </w:rPr>
        <w:t>.</w:t>
      </w:r>
      <w:r w:rsidRPr="00346A62">
        <w:rPr>
          <w:noProof/>
          <w:rtl/>
        </w:rPr>
        <w:tab/>
        <w:t>על הצורך במאבק עיקש בעבירות נשק, באמצעות ענישה מרתיעה, מחמירה ומשמעותית, ראו גם דבריו של כב' השופט י'</w:t>
      </w:r>
      <w:r w:rsidRPr="00346A62">
        <w:rPr>
          <w:rFonts w:hint="cs"/>
          <w:noProof/>
        </w:rPr>
        <w:t xml:space="preserve"> </w:t>
      </w:r>
      <w:r w:rsidRPr="00346A62">
        <w:rPr>
          <w:noProof/>
          <w:rtl/>
        </w:rPr>
        <w:t>אלרון ב</w:t>
      </w:r>
      <w:hyperlink r:id="rId22" w:history="1">
        <w:r w:rsidR="001E25C2" w:rsidRPr="001E25C2">
          <w:rPr>
            <w:noProof/>
            <w:color w:val="0000FF"/>
            <w:u w:val="single"/>
            <w:rtl/>
          </w:rPr>
          <w:t>ע"פ 4439/19</w:t>
        </w:r>
      </w:hyperlink>
      <w:r w:rsidRPr="00346A62">
        <w:rPr>
          <w:noProof/>
          <w:rtl/>
        </w:rPr>
        <w:t xml:space="preserve"> </w:t>
      </w:r>
      <w:r w:rsidRPr="00346A62">
        <w:rPr>
          <w:b/>
          <w:bCs/>
          <w:noProof/>
          <w:rtl/>
        </w:rPr>
        <w:t>מדינת ישראל נ' סובח</w:t>
      </w:r>
      <w:r w:rsidRPr="00346A62">
        <w:rPr>
          <w:noProof/>
          <w:rtl/>
        </w:rPr>
        <w:t>, פסקאות 17-16</w:t>
      </w:r>
      <w:r w:rsidRPr="00346A62">
        <w:rPr>
          <w:b/>
          <w:bCs/>
          <w:noProof/>
          <w:rtl/>
        </w:rPr>
        <w:t xml:space="preserve"> </w:t>
      </w:r>
      <w:r w:rsidRPr="00346A62">
        <w:rPr>
          <w:noProof/>
          <w:rtl/>
        </w:rPr>
        <w:t>(5.11.2019), שם נאמר:</w:t>
      </w:r>
    </w:p>
    <w:p w14:paraId="40061792" w14:textId="77777777" w:rsidR="00287003" w:rsidRPr="00346A62" w:rsidRDefault="00287003" w:rsidP="00287003">
      <w:pPr>
        <w:spacing w:line="360" w:lineRule="auto"/>
        <w:ind w:left="720"/>
        <w:jc w:val="both"/>
        <w:rPr>
          <w:noProof/>
          <w:rtl/>
        </w:rPr>
      </w:pPr>
    </w:p>
    <w:p w14:paraId="44C32563" w14:textId="77777777" w:rsidR="00287003" w:rsidRPr="00346A62" w:rsidRDefault="00287003" w:rsidP="00287003">
      <w:pPr>
        <w:spacing w:line="360" w:lineRule="auto"/>
        <w:ind w:left="1076" w:right="426"/>
        <w:jc w:val="both"/>
        <w:rPr>
          <w:b/>
          <w:bCs/>
          <w:noProof/>
          <w:rtl/>
        </w:rPr>
      </w:pPr>
      <w:r w:rsidRPr="00346A62">
        <w:rPr>
          <w:noProof/>
          <w:rtl/>
        </w:rPr>
        <w:t>"</w:t>
      </w:r>
      <w:r w:rsidRPr="00346A62">
        <w:rPr>
          <w:b/>
          <w:bCs/>
          <w:noProof/>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0D7E2FA5" w14:textId="77777777" w:rsidR="00287003" w:rsidRPr="00346A62" w:rsidRDefault="00287003" w:rsidP="00287003">
      <w:pPr>
        <w:spacing w:line="360" w:lineRule="auto"/>
        <w:ind w:left="1076" w:right="426"/>
        <w:jc w:val="both"/>
        <w:rPr>
          <w:b/>
          <w:bCs/>
          <w:noProof/>
          <w:rtl/>
        </w:rPr>
      </w:pPr>
    </w:p>
    <w:p w14:paraId="3CF676E7" w14:textId="77777777" w:rsidR="00287003" w:rsidRPr="00346A62" w:rsidRDefault="00287003" w:rsidP="00287003">
      <w:pPr>
        <w:spacing w:line="360" w:lineRule="auto"/>
        <w:ind w:left="1076" w:right="426"/>
        <w:jc w:val="both"/>
        <w:rPr>
          <w:b/>
          <w:bCs/>
          <w:noProof/>
          <w:rtl/>
        </w:rPr>
      </w:pPr>
      <w:r w:rsidRPr="00346A62">
        <w:rPr>
          <w:b/>
          <w:bCs/>
          <w:noProof/>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563C4AF7" w14:textId="77777777" w:rsidR="00287003" w:rsidRPr="00346A62" w:rsidRDefault="00287003" w:rsidP="00287003">
      <w:pPr>
        <w:spacing w:line="360" w:lineRule="auto"/>
        <w:ind w:left="1076" w:right="426"/>
        <w:jc w:val="both"/>
        <w:rPr>
          <w:noProof/>
          <w:rtl/>
        </w:rPr>
      </w:pPr>
    </w:p>
    <w:p w14:paraId="6214D7C5" w14:textId="77777777" w:rsidR="00287003" w:rsidRPr="00346A62" w:rsidRDefault="00287003" w:rsidP="00287003">
      <w:pPr>
        <w:spacing w:line="360" w:lineRule="auto"/>
        <w:ind w:left="1076" w:right="426"/>
        <w:jc w:val="both"/>
        <w:rPr>
          <w:noProof/>
          <w:rtl/>
        </w:rPr>
      </w:pPr>
      <w:r w:rsidRPr="00346A62">
        <w:rPr>
          <w:noProof/>
          <w:rtl/>
        </w:rPr>
        <w:t>...</w:t>
      </w:r>
    </w:p>
    <w:p w14:paraId="54A68BF0" w14:textId="77777777" w:rsidR="00287003" w:rsidRPr="00346A62" w:rsidRDefault="00287003" w:rsidP="00287003">
      <w:pPr>
        <w:spacing w:line="360" w:lineRule="auto"/>
        <w:ind w:left="1076" w:right="426"/>
        <w:jc w:val="both"/>
        <w:rPr>
          <w:noProof/>
          <w:rtl/>
        </w:rPr>
      </w:pPr>
    </w:p>
    <w:p w14:paraId="14535B32" w14:textId="77777777" w:rsidR="00287003" w:rsidRPr="00346A62" w:rsidRDefault="00287003" w:rsidP="00287003">
      <w:pPr>
        <w:spacing w:line="360" w:lineRule="auto"/>
        <w:ind w:left="1076" w:right="426"/>
        <w:jc w:val="both"/>
        <w:rPr>
          <w:b/>
          <w:bCs/>
          <w:noProof/>
          <w:rtl/>
        </w:rPr>
      </w:pPr>
      <w:r w:rsidRPr="00346A62">
        <w:rPr>
          <w:b/>
          <w:bCs/>
          <w:noProof/>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5CDE3AF2" w14:textId="77777777" w:rsidR="00287003" w:rsidRPr="00346A62" w:rsidRDefault="00287003" w:rsidP="00287003">
      <w:pPr>
        <w:spacing w:line="360" w:lineRule="auto"/>
        <w:ind w:left="1076" w:right="426"/>
        <w:jc w:val="both"/>
        <w:rPr>
          <w:b/>
          <w:bCs/>
          <w:noProof/>
          <w:rtl/>
        </w:rPr>
      </w:pPr>
    </w:p>
    <w:p w14:paraId="54882F14" w14:textId="77777777" w:rsidR="00287003" w:rsidRPr="00346A62" w:rsidRDefault="00287003" w:rsidP="00287003">
      <w:pPr>
        <w:spacing w:line="360" w:lineRule="auto"/>
        <w:ind w:left="1076" w:right="426"/>
        <w:jc w:val="both"/>
        <w:rPr>
          <w:b/>
          <w:bCs/>
          <w:noProof/>
          <w:rtl/>
        </w:rPr>
      </w:pPr>
      <w:r w:rsidRPr="00346A62">
        <w:rPr>
          <w:b/>
          <w:bCs/>
          <w:noProof/>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0782F1F4" w14:textId="77777777" w:rsidR="00287003" w:rsidRPr="00346A62" w:rsidRDefault="00287003" w:rsidP="00287003">
      <w:pPr>
        <w:spacing w:line="360" w:lineRule="auto"/>
        <w:ind w:left="1076" w:right="426"/>
        <w:jc w:val="both"/>
        <w:rPr>
          <w:b/>
          <w:bCs/>
          <w:noProof/>
          <w:rtl/>
        </w:rPr>
      </w:pPr>
    </w:p>
    <w:p w14:paraId="4588CF65" w14:textId="77777777" w:rsidR="00287003" w:rsidRPr="00346A62" w:rsidRDefault="00287003" w:rsidP="00287003">
      <w:pPr>
        <w:spacing w:line="360" w:lineRule="auto"/>
        <w:ind w:left="1076" w:right="426"/>
        <w:jc w:val="both"/>
        <w:rPr>
          <w:b/>
          <w:bCs/>
          <w:noProof/>
          <w:rtl/>
        </w:rPr>
      </w:pPr>
      <w:r w:rsidRPr="00346A62">
        <w:rPr>
          <w:b/>
          <w:bCs/>
          <w:noProof/>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346A62">
        <w:rPr>
          <w:noProof/>
          <w:rtl/>
        </w:rPr>
        <w:t>".</w:t>
      </w:r>
    </w:p>
    <w:p w14:paraId="2C89208C" w14:textId="77777777" w:rsidR="00287003" w:rsidRPr="00346A62" w:rsidRDefault="00287003" w:rsidP="00287003">
      <w:pPr>
        <w:spacing w:line="360" w:lineRule="auto"/>
        <w:ind w:left="720" w:hanging="720"/>
        <w:jc w:val="both"/>
        <w:rPr>
          <w:noProof/>
          <w:rtl/>
        </w:rPr>
      </w:pPr>
    </w:p>
    <w:p w14:paraId="23B25FF2" w14:textId="77777777" w:rsidR="00287003" w:rsidRPr="00346A62" w:rsidRDefault="00287003" w:rsidP="00287003">
      <w:pPr>
        <w:spacing w:line="360" w:lineRule="auto"/>
        <w:ind w:left="720" w:hanging="720"/>
        <w:jc w:val="both"/>
        <w:rPr>
          <w:noProof/>
          <w:rtl/>
        </w:rPr>
      </w:pPr>
      <w:r>
        <w:rPr>
          <w:rFonts w:hint="cs"/>
          <w:noProof/>
          <w:rtl/>
        </w:rPr>
        <w:t>20</w:t>
      </w:r>
      <w:r w:rsidRPr="00346A62">
        <w:rPr>
          <w:rFonts w:hint="cs"/>
          <w:noProof/>
          <w:rtl/>
        </w:rPr>
        <w:t>.</w:t>
      </w:r>
      <w:r w:rsidRPr="00346A62">
        <w:rPr>
          <w:rFonts w:hint="cs"/>
          <w:noProof/>
          <w:rtl/>
        </w:rPr>
        <w:tab/>
        <w:t xml:space="preserve">בהיבט של הרתעת הציבור, נזכיר גם את </w:t>
      </w:r>
      <w:hyperlink r:id="rId23" w:history="1">
        <w:r w:rsidR="001E25C2" w:rsidRPr="001E25C2">
          <w:rPr>
            <w:noProof/>
            <w:color w:val="0000FF"/>
            <w:u w:val="single"/>
            <w:rtl/>
          </w:rPr>
          <w:t>ע"פ 8641/12</w:t>
        </w:r>
      </w:hyperlink>
      <w:r w:rsidRPr="00346A62">
        <w:rPr>
          <w:noProof/>
          <w:rtl/>
        </w:rPr>
        <w:t xml:space="preserve"> </w:t>
      </w:r>
      <w:r w:rsidRPr="00346A62">
        <w:rPr>
          <w:b/>
          <w:bCs/>
          <w:noProof/>
          <w:rtl/>
        </w:rPr>
        <w:t>סעד נ' מדינת ישראל</w:t>
      </w:r>
      <w:r w:rsidRPr="00346A62">
        <w:rPr>
          <w:noProof/>
          <w:rtl/>
        </w:rPr>
        <w:t>, פסקה 36</w:t>
      </w:r>
      <w:r w:rsidRPr="00346A62">
        <w:rPr>
          <w:b/>
          <w:bCs/>
          <w:noProof/>
          <w:rtl/>
        </w:rPr>
        <w:t xml:space="preserve"> </w:t>
      </w:r>
      <w:r w:rsidRPr="00346A62">
        <w:rPr>
          <w:noProof/>
          <w:rtl/>
        </w:rPr>
        <w:t xml:space="preserve">(5.8.2013), </w:t>
      </w:r>
      <w:r w:rsidRPr="00346A62">
        <w:rPr>
          <w:rFonts w:hint="cs"/>
          <w:noProof/>
          <w:rtl/>
        </w:rPr>
        <w:t>כי</w:t>
      </w:r>
      <w:r w:rsidRPr="00346A62">
        <w:rPr>
          <w:noProof/>
          <w:rtl/>
        </w:rPr>
        <w:t>:</w:t>
      </w:r>
    </w:p>
    <w:p w14:paraId="0D178C87" w14:textId="77777777" w:rsidR="00287003" w:rsidRPr="00346A62" w:rsidRDefault="00287003" w:rsidP="00287003">
      <w:pPr>
        <w:spacing w:line="360" w:lineRule="auto"/>
        <w:ind w:left="720" w:hanging="720"/>
        <w:jc w:val="both"/>
        <w:rPr>
          <w:noProof/>
        </w:rPr>
      </w:pPr>
    </w:p>
    <w:p w14:paraId="5B76C0B4" w14:textId="77777777" w:rsidR="00287003" w:rsidRPr="00346A62" w:rsidRDefault="00287003" w:rsidP="00287003">
      <w:pPr>
        <w:spacing w:line="360" w:lineRule="auto"/>
        <w:ind w:left="1076" w:right="426"/>
        <w:jc w:val="both"/>
        <w:rPr>
          <w:noProof/>
          <w:rtl/>
        </w:rPr>
      </w:pPr>
      <w:r w:rsidRPr="00346A62">
        <w:rPr>
          <w:noProof/>
          <w:rtl/>
        </w:rPr>
        <w:t>"</w:t>
      </w:r>
      <w:r w:rsidRPr="00346A62">
        <w:rPr>
          <w:b/>
          <w:bCs/>
          <w:noProof/>
          <w:rtl/>
        </w:rPr>
        <w:t xml:space="preserve">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w:t>
      </w:r>
      <w:r w:rsidRPr="00346A62">
        <w:rPr>
          <w:rFonts w:hint="cs"/>
          <w:b/>
          <w:bCs/>
          <w:noProof/>
          <w:rtl/>
        </w:rPr>
        <w:t>-</w:t>
      </w:r>
      <w:r w:rsidRPr="00346A62">
        <w:rPr>
          <w:b/>
          <w:bCs/>
          <w:noProof/>
          <w:rtl/>
        </w:rPr>
        <w:t xml:space="preserve"> הסבת יראת האנשים התמימים לאימת אנשי-המדון </w:t>
      </w:r>
      <w:r w:rsidRPr="00346A62">
        <w:rPr>
          <w:rFonts w:hint="cs"/>
          <w:b/>
          <w:bCs/>
          <w:noProof/>
          <w:rtl/>
        </w:rPr>
        <w:t>-</w:t>
      </w:r>
      <w:r w:rsidRPr="00346A62">
        <w:rPr>
          <w:b/>
          <w:bCs/>
          <w:noProof/>
          <w:rtl/>
        </w:rPr>
        <w:t xml:space="preserve"> צריך להעשות גם באכיפה ובענישה קשה</w:t>
      </w:r>
      <w:r w:rsidRPr="00346A62">
        <w:rPr>
          <w:noProof/>
          <w:rtl/>
        </w:rPr>
        <w:t>".</w:t>
      </w:r>
    </w:p>
    <w:p w14:paraId="75CB92ED" w14:textId="77777777" w:rsidR="00287003" w:rsidRPr="00346A62" w:rsidRDefault="00287003" w:rsidP="00287003">
      <w:pPr>
        <w:spacing w:line="360" w:lineRule="auto"/>
        <w:ind w:left="720" w:hanging="720"/>
        <w:jc w:val="both"/>
        <w:rPr>
          <w:noProof/>
          <w:rtl/>
        </w:rPr>
      </w:pPr>
    </w:p>
    <w:p w14:paraId="1DD090A0" w14:textId="77777777" w:rsidR="00287003" w:rsidRPr="00346A62" w:rsidRDefault="00287003" w:rsidP="00287003">
      <w:pPr>
        <w:spacing w:line="360" w:lineRule="auto"/>
        <w:ind w:left="720" w:hanging="720"/>
        <w:jc w:val="both"/>
        <w:rPr>
          <w:noProof/>
          <w:rtl/>
        </w:rPr>
      </w:pPr>
      <w:r>
        <w:rPr>
          <w:rFonts w:hint="cs"/>
          <w:noProof/>
          <w:rtl/>
        </w:rPr>
        <w:t>21</w:t>
      </w:r>
      <w:r w:rsidRPr="00346A62">
        <w:rPr>
          <w:rFonts w:hint="cs"/>
          <w:noProof/>
          <w:rtl/>
        </w:rPr>
        <w:t>.</w:t>
      </w:r>
      <w:r w:rsidRPr="00346A62">
        <w:rPr>
          <w:rFonts w:hint="cs"/>
          <w:noProof/>
          <w:rtl/>
        </w:rPr>
        <w:tab/>
        <w:t>בעת קביעת מתחם העונש ההולם, על בית המשפט ליתן דעתו</w:t>
      </w:r>
      <w:r>
        <w:rPr>
          <w:rFonts w:hint="cs"/>
          <w:noProof/>
          <w:rtl/>
        </w:rPr>
        <w:t>, בין היתר,</w:t>
      </w:r>
      <w:r w:rsidRPr="00346A62">
        <w:rPr>
          <w:rFonts w:hint="cs"/>
          <w:noProof/>
          <w:rtl/>
        </w:rPr>
        <w:t xml:space="preserve"> </w:t>
      </w:r>
      <w:r w:rsidRPr="00346A62">
        <w:rPr>
          <w:rFonts w:hint="cs"/>
          <w:b/>
          <w:bCs/>
          <w:noProof/>
          <w:rtl/>
        </w:rPr>
        <w:t>למדיניות הענישה הנוהגת</w:t>
      </w:r>
      <w:r w:rsidRPr="00346A62">
        <w:rPr>
          <w:rFonts w:hint="cs"/>
          <w:noProof/>
          <w:rtl/>
        </w:rPr>
        <w:t xml:space="preserve">. זו, כאמור לעיל, הדגישה חזור ושנה את הצורך בענישה מחמירה ומרתיעה כלפי אלה המבצעים עבירות נשק, תוך שמנעד הענישה רחב. </w:t>
      </w:r>
    </w:p>
    <w:p w14:paraId="65490DC9" w14:textId="77777777" w:rsidR="00287003" w:rsidRPr="00346A62" w:rsidRDefault="00287003" w:rsidP="00287003">
      <w:pPr>
        <w:spacing w:line="360" w:lineRule="auto"/>
        <w:ind w:left="720" w:hanging="720"/>
        <w:jc w:val="both"/>
        <w:rPr>
          <w:noProof/>
          <w:rtl/>
        </w:rPr>
      </w:pPr>
    </w:p>
    <w:p w14:paraId="3EA2B2AF" w14:textId="77777777" w:rsidR="00287003" w:rsidRPr="00346A62" w:rsidRDefault="00287003" w:rsidP="00287003">
      <w:pPr>
        <w:spacing w:line="360" w:lineRule="auto"/>
        <w:ind w:left="720" w:hanging="720"/>
        <w:jc w:val="both"/>
        <w:rPr>
          <w:noProof/>
          <w:rtl/>
        </w:rPr>
      </w:pPr>
      <w:r w:rsidRPr="00346A62">
        <w:rPr>
          <w:noProof/>
          <w:rtl/>
        </w:rPr>
        <w:tab/>
      </w:r>
      <w:r w:rsidRPr="00346A62">
        <w:rPr>
          <w:rFonts w:hint="cs"/>
          <w:noProof/>
          <w:rtl/>
        </w:rPr>
        <w:t xml:space="preserve">אפנה להלן לסקירה הכוללת גם פסיקה מהעת האחרונה, המבטאת את מדיניות הענישה הנוהגת, ממנה יש להקיש לענייננו, ואשר בין היתר על יסודה, ייקבע מתחם העונש ההולם </w:t>
      </w:r>
      <w:r>
        <w:rPr>
          <w:rFonts w:hint="cs"/>
          <w:noProof/>
          <w:rtl/>
        </w:rPr>
        <w:t>בנוגע לנאשמים 4-2</w:t>
      </w:r>
      <w:r w:rsidRPr="00346A62">
        <w:rPr>
          <w:rFonts w:hint="cs"/>
          <w:noProof/>
          <w:rtl/>
        </w:rPr>
        <w:t>. בסקירה זו אכלול גם התייחסות לחלק מפסקי הדין אליהם הפנו הצדדים להליך;</w:t>
      </w:r>
    </w:p>
    <w:p w14:paraId="02ADB52D" w14:textId="77777777" w:rsidR="00287003" w:rsidRPr="00346A62" w:rsidRDefault="00287003" w:rsidP="00287003">
      <w:pPr>
        <w:spacing w:line="360" w:lineRule="auto"/>
        <w:ind w:left="720" w:hanging="720"/>
        <w:jc w:val="both"/>
        <w:rPr>
          <w:noProof/>
          <w:rtl/>
        </w:rPr>
      </w:pPr>
    </w:p>
    <w:p w14:paraId="5D0C2B67" w14:textId="77777777" w:rsidR="00287003" w:rsidRPr="00346A62" w:rsidRDefault="00287003" w:rsidP="00287003">
      <w:pPr>
        <w:spacing w:line="360" w:lineRule="auto"/>
        <w:ind w:left="720" w:hanging="720"/>
        <w:jc w:val="both"/>
        <w:rPr>
          <w:noProof/>
          <w:rtl/>
        </w:rPr>
      </w:pPr>
      <w:r w:rsidRPr="00346A62">
        <w:rPr>
          <w:noProof/>
          <w:rtl/>
        </w:rPr>
        <w:tab/>
      </w:r>
      <w:hyperlink r:id="rId24" w:history="1">
        <w:r w:rsidR="001E25C2" w:rsidRPr="001E25C2">
          <w:rPr>
            <w:noProof/>
            <w:color w:val="0000FF"/>
            <w:u w:val="single"/>
            <w:rtl/>
          </w:rPr>
          <w:t>ע"פ 5602/22</w:t>
        </w:r>
      </w:hyperlink>
      <w:r w:rsidRPr="00346A62">
        <w:rPr>
          <w:rFonts w:hint="cs"/>
          <w:noProof/>
          <w:rtl/>
        </w:rPr>
        <w:t xml:space="preserve"> </w:t>
      </w:r>
      <w:r w:rsidRPr="00346A62">
        <w:rPr>
          <w:rFonts w:hint="cs"/>
          <w:b/>
          <w:bCs/>
          <w:noProof/>
          <w:rtl/>
        </w:rPr>
        <w:t>מדינת ישראל נ' פלוני</w:t>
      </w:r>
      <w:r w:rsidRPr="00346A62">
        <w:rPr>
          <w:rFonts w:hint="cs"/>
          <w:noProof/>
          <w:rtl/>
        </w:rPr>
        <w:t xml:space="preserve"> (14.9.2022) (להלן: "</w:t>
      </w:r>
      <w:r w:rsidRPr="00346A62">
        <w:rPr>
          <w:rFonts w:hint="cs"/>
          <w:b/>
          <w:bCs/>
          <w:noProof/>
          <w:rtl/>
        </w:rPr>
        <w:t>עניין פלוני</w:t>
      </w:r>
      <w:r w:rsidRPr="00346A62">
        <w:rPr>
          <w:rFonts w:hint="cs"/>
          <w:noProof/>
          <w:rtl/>
        </w:rPr>
        <w:t xml:space="preserve">") </w:t>
      </w:r>
      <w:r>
        <w:rPr>
          <w:rFonts w:hint="cs"/>
          <w:noProof/>
          <w:rtl/>
        </w:rPr>
        <w:t>-</w:t>
      </w:r>
      <w:r w:rsidRPr="00346A62">
        <w:rPr>
          <w:rFonts w:hint="cs"/>
          <w:noProof/>
          <w:rtl/>
        </w:rPr>
        <w:t xml:space="preserve"> </w:t>
      </w:r>
      <w:r>
        <w:rPr>
          <w:rFonts w:hint="cs"/>
          <w:noProof/>
          <w:rtl/>
        </w:rPr>
        <w:t xml:space="preserve">פסק דין אליו הפנתה המאשימה. </w:t>
      </w:r>
      <w:r w:rsidRPr="00346A62">
        <w:rPr>
          <w:rFonts w:hint="cs"/>
          <w:noProof/>
          <w:rtl/>
        </w:rPr>
        <w:t xml:space="preserve">המשיב הורשע על פי הודאתו במסגרת הסדר טיעון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בבית המשפט המחוזי (גזר דין של הח"מ) נקבע מתחם הנע בין 16 ל- 40 חודשי מאסר בפועל, ועל המשיב הושתו 18 חודשי מאסר בפועל, לצד עונשים נלווים. בית המשפט העליון בקבלו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w:t>
      </w:r>
      <w:r w:rsidRPr="00346A62">
        <w:rPr>
          <w:noProof/>
          <w:rtl/>
        </w:rPr>
        <w:t>(לצד עונשים נלווים בדמותם של מאסר-על-תנאי וקנס)</w:t>
      </w:r>
      <w:r w:rsidRPr="00346A62">
        <w:rPr>
          <w:rFonts w:hint="cs"/>
          <w:noProof/>
          <w:rtl/>
        </w:rPr>
        <w:t xml:space="preserve"> ...". בסופו של יום, ומשערכאת הערעור אינה ממצה את הדין עם הנאשם, הועמד עונש מאסרו בפועל של המשיב על 28 חודשים.</w:t>
      </w:r>
    </w:p>
    <w:p w14:paraId="36EA0721" w14:textId="77777777" w:rsidR="00287003" w:rsidRPr="00346A62" w:rsidRDefault="00287003" w:rsidP="00287003">
      <w:pPr>
        <w:spacing w:line="360" w:lineRule="auto"/>
        <w:ind w:left="720" w:hanging="720"/>
        <w:jc w:val="both"/>
        <w:rPr>
          <w:noProof/>
          <w:rtl/>
        </w:rPr>
      </w:pPr>
    </w:p>
    <w:p w14:paraId="4B205F5E" w14:textId="77777777" w:rsidR="00287003" w:rsidRDefault="00287003" w:rsidP="00287003">
      <w:pPr>
        <w:spacing w:line="360" w:lineRule="auto"/>
        <w:ind w:left="720" w:hanging="720"/>
        <w:jc w:val="both"/>
        <w:rPr>
          <w:noProof/>
          <w:rtl/>
        </w:rPr>
      </w:pPr>
      <w:r w:rsidRPr="00346A62">
        <w:rPr>
          <w:noProof/>
          <w:rtl/>
        </w:rPr>
        <w:tab/>
      </w:r>
      <w:hyperlink r:id="rId25" w:history="1">
        <w:r w:rsidR="001E25C2" w:rsidRPr="001E25C2">
          <w:rPr>
            <w:noProof/>
            <w:color w:val="0000FF"/>
            <w:u w:val="single"/>
            <w:rtl/>
          </w:rPr>
          <w:t>ע"פ 3728/22</w:t>
        </w:r>
      </w:hyperlink>
      <w:r w:rsidRPr="00346A62">
        <w:rPr>
          <w:rFonts w:hint="cs"/>
          <w:noProof/>
          <w:rtl/>
        </w:rPr>
        <w:t xml:space="preserve"> </w:t>
      </w:r>
      <w:r w:rsidRPr="00346A62">
        <w:rPr>
          <w:rFonts w:hint="cs"/>
          <w:b/>
          <w:bCs/>
          <w:noProof/>
          <w:rtl/>
        </w:rPr>
        <w:t>מסאלחה נ' מדינת ישראל</w:t>
      </w:r>
      <w:r w:rsidRPr="00346A62">
        <w:rPr>
          <w:rFonts w:hint="cs"/>
          <w:noProof/>
          <w:rtl/>
        </w:rPr>
        <w:t xml:space="preserve"> (9.8.2022) - המערער הורשע על פי הודאתו במסגרת הסדר טיעון, בביצוע עבירות של סיוע לנשיאה והובלה של כלי נשק - עבירה לפי </w:t>
      </w:r>
      <w:hyperlink r:id="rId26" w:history="1">
        <w:r w:rsidR="005D4F26" w:rsidRPr="005D4F26">
          <w:rPr>
            <w:rStyle w:val="Hyperlink"/>
            <w:rFonts w:hint="eastAsia"/>
            <w:noProof/>
            <w:rtl/>
          </w:rPr>
          <w:t>סעיף</w:t>
        </w:r>
        <w:r w:rsidR="005D4F26" w:rsidRPr="005D4F26">
          <w:rPr>
            <w:rStyle w:val="Hyperlink"/>
            <w:noProof/>
            <w:rtl/>
          </w:rPr>
          <w:t xml:space="preserve"> 144(ב)</w:t>
        </w:r>
      </w:hyperlink>
      <w:r w:rsidRPr="00346A62">
        <w:rPr>
          <w:rFonts w:hint="cs"/>
          <w:noProof/>
          <w:rtl/>
        </w:rPr>
        <w:t xml:space="preserve"> רישא + </w:t>
      </w:r>
      <w:hyperlink r:id="rId27" w:history="1">
        <w:r w:rsidR="005D4F26" w:rsidRPr="005D4F26">
          <w:rPr>
            <w:rStyle w:val="Hyperlink"/>
            <w:rFonts w:hint="eastAsia"/>
            <w:noProof/>
            <w:rtl/>
          </w:rPr>
          <w:t>סעיף</w:t>
        </w:r>
        <w:r w:rsidR="005D4F26" w:rsidRPr="005D4F26">
          <w:rPr>
            <w:rStyle w:val="Hyperlink"/>
            <w:noProof/>
            <w:rtl/>
          </w:rPr>
          <w:t xml:space="preserve"> 31</w:t>
        </w:r>
      </w:hyperlink>
      <w:r w:rsidRPr="00346A62">
        <w:rPr>
          <w:rFonts w:hint="cs"/>
          <w:noProof/>
          <w:rtl/>
        </w:rPr>
        <w:t xml:space="preserve"> לחוק; נשיאה והובלה של כלי נשק - עבירה לפי </w:t>
      </w:r>
      <w:hyperlink r:id="rId28" w:history="1">
        <w:r w:rsidR="005D4F26" w:rsidRPr="005D4F26">
          <w:rPr>
            <w:rStyle w:val="Hyperlink"/>
            <w:rFonts w:hint="eastAsia"/>
            <w:noProof/>
            <w:rtl/>
          </w:rPr>
          <w:t>סעיף</w:t>
        </w:r>
        <w:r w:rsidR="005D4F26" w:rsidRPr="005D4F26">
          <w:rPr>
            <w:rStyle w:val="Hyperlink"/>
            <w:noProof/>
            <w:rtl/>
          </w:rPr>
          <w:t xml:space="preserve"> 144(ב)</w:t>
        </w:r>
      </w:hyperlink>
      <w:r w:rsidRPr="00346A62">
        <w:rPr>
          <w:rFonts w:hint="cs"/>
          <w:noProof/>
          <w:rtl/>
        </w:rPr>
        <w:t xml:space="preserve"> סיפא לחוק, וכן סיוע לירי מנשק חם - עבירה לפי </w:t>
      </w:r>
      <w:hyperlink r:id="rId29" w:history="1">
        <w:r w:rsidR="005D4F26" w:rsidRPr="005D4F26">
          <w:rPr>
            <w:rStyle w:val="Hyperlink"/>
            <w:rFonts w:hint="eastAsia"/>
            <w:noProof/>
            <w:rtl/>
          </w:rPr>
          <w:t>סעיף</w:t>
        </w:r>
        <w:r w:rsidR="005D4F26" w:rsidRPr="005D4F26">
          <w:rPr>
            <w:rStyle w:val="Hyperlink"/>
            <w:noProof/>
            <w:rtl/>
          </w:rPr>
          <w:t xml:space="preserve"> 340א(א)</w:t>
        </w:r>
      </w:hyperlink>
      <w:r w:rsidRPr="00346A62">
        <w:rPr>
          <w:rFonts w:hint="cs"/>
          <w:noProof/>
          <w:rtl/>
        </w:rPr>
        <w:t xml:space="preserve"> + </w:t>
      </w:r>
      <w:hyperlink r:id="rId30" w:history="1">
        <w:r w:rsidR="005D4F26" w:rsidRPr="005D4F26">
          <w:rPr>
            <w:rStyle w:val="Hyperlink"/>
            <w:rFonts w:hint="eastAsia"/>
            <w:noProof/>
            <w:rtl/>
          </w:rPr>
          <w:t>סעיף</w:t>
        </w:r>
        <w:r w:rsidR="005D4F26" w:rsidRPr="005D4F26">
          <w:rPr>
            <w:rStyle w:val="Hyperlink"/>
            <w:noProof/>
            <w:rtl/>
          </w:rPr>
          <w:t xml:space="preserve"> 31</w:t>
        </w:r>
      </w:hyperlink>
      <w:r w:rsidRPr="00346A62">
        <w:rPr>
          <w:rFonts w:hint="cs"/>
          <w:noProof/>
          <w:rtl/>
        </w:rPr>
        <w:t xml:space="preserve"> לחוק. הצדדים הסכימו שהמשיבה תטען לעונש ראוי של 20 חודשי מאסר בפועל, וההגנה תהא חופשית בטיעוניה. על פי המתואר, המערער נהג ברכב ואדם אחר, אדם אבו סבייה, ישב במושב שלידו. אחריהם נסע צוות בילוש, כשלפתע אבו סבייה הוציא את היד מהחלון וירה ירייה אחת מאקדח מסוג </w:t>
      </w:r>
      <w:r w:rsidRPr="00346A62">
        <w:rPr>
          <w:rFonts w:hint="cs"/>
          <w:noProof/>
        </w:rPr>
        <w:t>FN</w:t>
      </w:r>
      <w:r w:rsidRPr="00346A62">
        <w:rPr>
          <w:rFonts w:hint="cs"/>
          <w:noProof/>
          <w:rtl/>
        </w:rPr>
        <w:t xml:space="preserve">. בהמשך, המערער עצר את הרכב בצד הדרך, הבלשים חסמו את הרכב וביצעו חיפוש, במהלכו נתפסו 15 כדורים מסוג 9 מ"מ בכיס מכנסי המערער והאקדח נתפס ברכב. בית המשפט המחוזי קבע מתחם הנע בין 18 ל- 36 חודשי מאסר בפועל, והשית על המערער 18 חודשי מאסר בפועל לצד עונשים נלווים. הערעור נדחה. יוער כי על אבו סבייה, נגזרו 35 חודשי מאסר בפועל והפעלה של 8 חודשי מאסר מותנה במצטבר. </w:t>
      </w:r>
    </w:p>
    <w:p w14:paraId="33F785F2" w14:textId="77777777" w:rsidR="00287003" w:rsidRPr="00346A62" w:rsidRDefault="00287003" w:rsidP="00287003">
      <w:pPr>
        <w:spacing w:line="360" w:lineRule="auto"/>
        <w:ind w:left="720" w:hanging="720"/>
        <w:jc w:val="both"/>
        <w:rPr>
          <w:noProof/>
        </w:rPr>
      </w:pPr>
    </w:p>
    <w:p w14:paraId="39DA64DD" w14:textId="77777777" w:rsidR="00287003" w:rsidRPr="00346A62" w:rsidRDefault="00287003" w:rsidP="00287003">
      <w:pPr>
        <w:spacing w:line="360" w:lineRule="auto"/>
        <w:ind w:left="720" w:hanging="720"/>
        <w:jc w:val="both"/>
      </w:pPr>
      <w:r w:rsidRPr="00346A62">
        <w:rPr>
          <w:noProof/>
          <w:rtl/>
        </w:rPr>
        <w:tab/>
      </w:r>
      <w:hyperlink r:id="rId31" w:history="1">
        <w:r w:rsidR="001E25C2" w:rsidRPr="001E25C2">
          <w:rPr>
            <w:noProof/>
            <w:color w:val="0000FF"/>
            <w:u w:val="single"/>
            <w:rtl/>
          </w:rPr>
          <w:t>ע"פ 4290/21</w:t>
        </w:r>
      </w:hyperlink>
      <w:r w:rsidRPr="00346A62">
        <w:rPr>
          <w:noProof/>
          <w:rtl/>
        </w:rPr>
        <w:t xml:space="preserve"> </w:t>
      </w:r>
      <w:r w:rsidRPr="00346A62">
        <w:rPr>
          <w:b/>
          <w:bCs/>
          <w:noProof/>
          <w:rtl/>
        </w:rPr>
        <w:t xml:space="preserve">זרבאילוב נ' מדינת ישראל </w:t>
      </w:r>
      <w:r w:rsidRPr="00346A62">
        <w:rPr>
          <w:noProof/>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0A5C44DC" w14:textId="77777777" w:rsidR="00287003" w:rsidRPr="00346A62" w:rsidRDefault="00287003" w:rsidP="00287003">
      <w:pPr>
        <w:spacing w:line="360" w:lineRule="auto"/>
        <w:ind w:left="720"/>
        <w:jc w:val="both"/>
        <w:rPr>
          <w:rtl/>
        </w:rPr>
      </w:pPr>
    </w:p>
    <w:p w14:paraId="10CA65D8" w14:textId="77777777" w:rsidR="00287003" w:rsidRPr="00346A62" w:rsidRDefault="001E25C2" w:rsidP="00287003">
      <w:pPr>
        <w:spacing w:line="360" w:lineRule="auto"/>
        <w:ind w:left="720"/>
        <w:jc w:val="both"/>
      </w:pPr>
      <w:hyperlink r:id="rId32" w:history="1">
        <w:r w:rsidRPr="001E25C2">
          <w:rPr>
            <w:color w:val="0000FF"/>
            <w:u w:val="single"/>
            <w:rtl/>
          </w:rPr>
          <w:t>ע"פ 545/20</w:t>
        </w:r>
      </w:hyperlink>
      <w:r w:rsidR="00287003">
        <w:rPr>
          <w:rtl/>
        </w:rPr>
        <w:t xml:space="preserve"> </w:t>
      </w:r>
      <w:r w:rsidR="00287003">
        <w:rPr>
          <w:b/>
          <w:bCs/>
          <w:rtl/>
        </w:rPr>
        <w:t>פלוני נ' מדינת ישראל</w:t>
      </w:r>
      <w:r w:rsidR="00287003">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על פי הודאתו, בעבירות נשק (במעמד הכרעת הדין, הוסכם שהאקדח לא היה תקין וכי לא ניתן היה לבצע בו ירי במועד תפיסתו). בית המשפט המחוזי קבע מתחם הנע בין 10 ל- 24 חודשי מאסר בפועל, והשית על המערער 12 חודשי מאסר בפועל, לצד עונשים נלווים. הערעור נדחה.</w:t>
      </w:r>
    </w:p>
    <w:p w14:paraId="3FB1D29B" w14:textId="77777777" w:rsidR="00287003" w:rsidRDefault="00287003" w:rsidP="00287003">
      <w:pPr>
        <w:spacing w:line="360" w:lineRule="auto"/>
        <w:ind w:left="720" w:hanging="720"/>
        <w:jc w:val="both"/>
        <w:rPr>
          <w:noProof/>
          <w:rtl/>
        </w:rPr>
      </w:pPr>
    </w:p>
    <w:p w14:paraId="23E9548F" w14:textId="77777777" w:rsidR="00287003" w:rsidRPr="00736A68" w:rsidRDefault="00287003" w:rsidP="00287003">
      <w:pPr>
        <w:spacing w:line="360" w:lineRule="auto"/>
        <w:ind w:left="720" w:hanging="720"/>
        <w:jc w:val="both"/>
        <w:rPr>
          <w:noProof/>
          <w:rtl/>
        </w:rPr>
      </w:pPr>
      <w:r>
        <w:rPr>
          <w:noProof/>
          <w:rtl/>
        </w:rPr>
        <w:tab/>
      </w:r>
      <w:hyperlink r:id="rId33" w:history="1">
        <w:r w:rsidR="001E25C2" w:rsidRPr="001E25C2">
          <w:rPr>
            <w:noProof/>
            <w:color w:val="0000FF"/>
            <w:u w:val="single"/>
            <w:rtl/>
          </w:rPr>
          <w:t>ע"פ 7177/20</w:t>
        </w:r>
      </w:hyperlink>
      <w:r>
        <w:rPr>
          <w:rFonts w:hint="cs"/>
          <w:noProof/>
          <w:rtl/>
        </w:rPr>
        <w:t xml:space="preserve"> </w:t>
      </w:r>
      <w:r>
        <w:rPr>
          <w:rFonts w:hint="cs"/>
          <w:b/>
          <w:bCs/>
          <w:noProof/>
          <w:rtl/>
        </w:rPr>
        <w:t>כנעאן נ' מדינת ישראל</w:t>
      </w:r>
      <w:r>
        <w:rPr>
          <w:rFonts w:hint="cs"/>
          <w:noProof/>
          <w:rtl/>
        </w:rPr>
        <w:t xml:space="preserve"> (27.1.2021) - פסק דין אליו הפנתה המאשימה. המערער הורשע, על פי הודאתו במסגרת הסדר טיעון, בעבירה של נשיאה והובלת נשק. המערער יצא מפתח ביתו של שכנו, הוציא אקדח, הכניס לתוכו מחסנית טעונה, דרך את האקדח, וכעבור מספר דקות פרק את האקדח והעביר אותו לנאשם 2 בכתב האישום. בית המשפט המחוזי השית על המערער עונש של 24 חודשי מאסר בפועל. ערעור על חומרת העונש נדחה. </w:t>
      </w:r>
    </w:p>
    <w:p w14:paraId="495DBA08" w14:textId="77777777" w:rsidR="00287003" w:rsidRPr="00346A62" w:rsidRDefault="00287003" w:rsidP="00287003">
      <w:pPr>
        <w:spacing w:line="360" w:lineRule="auto"/>
        <w:ind w:left="720" w:hanging="720"/>
        <w:jc w:val="both"/>
        <w:rPr>
          <w:noProof/>
          <w:rtl/>
        </w:rPr>
      </w:pPr>
    </w:p>
    <w:p w14:paraId="2BB694B5" w14:textId="77777777" w:rsidR="00287003" w:rsidRPr="00B80EF8" w:rsidRDefault="001E25C2" w:rsidP="00287003">
      <w:pPr>
        <w:spacing w:line="360" w:lineRule="auto"/>
        <w:ind w:left="720"/>
        <w:jc w:val="both"/>
        <w:rPr>
          <w:noProof/>
          <w:rtl/>
        </w:rPr>
      </w:pPr>
      <w:hyperlink r:id="rId34" w:history="1">
        <w:r w:rsidRPr="001E25C2">
          <w:rPr>
            <w:noProof/>
            <w:color w:val="0000FF"/>
            <w:u w:val="single"/>
            <w:rtl/>
          </w:rPr>
          <w:t>ת"פ (מחוזי חיפה) 18539-10-21</w:t>
        </w:r>
      </w:hyperlink>
      <w:r w:rsidR="00287003">
        <w:rPr>
          <w:rFonts w:hint="cs"/>
          <w:noProof/>
          <w:rtl/>
        </w:rPr>
        <w:t xml:space="preserve"> </w:t>
      </w:r>
      <w:r w:rsidR="00287003" w:rsidRPr="00736A68">
        <w:rPr>
          <w:rFonts w:hint="cs"/>
          <w:b/>
          <w:bCs/>
          <w:noProof/>
          <w:rtl/>
        </w:rPr>
        <w:t>מדינת ישראל נ' סואעד</w:t>
      </w:r>
      <w:r w:rsidR="00287003">
        <w:rPr>
          <w:rFonts w:hint="cs"/>
          <w:noProof/>
          <w:rtl/>
        </w:rPr>
        <w:t xml:space="preserve"> (12.7.2022) - הנאשם </w:t>
      </w:r>
      <w:r w:rsidR="00287003" w:rsidRPr="00B80EF8">
        <w:rPr>
          <w:rFonts w:hint="cs"/>
          <w:noProof/>
          <w:rtl/>
        </w:rPr>
        <w:t xml:space="preserve">הודה במסגרת הסדר טיעון בעובדות כתב אישום מתוקן </w:t>
      </w:r>
      <w:r w:rsidR="00287003">
        <w:rPr>
          <w:rFonts w:hint="cs"/>
          <w:noProof/>
          <w:rtl/>
        </w:rPr>
        <w:t>ו</w:t>
      </w:r>
      <w:r w:rsidR="00287003" w:rsidRPr="00B80EF8">
        <w:rPr>
          <w:rFonts w:hint="cs"/>
          <w:noProof/>
          <w:rtl/>
        </w:rPr>
        <w:t xml:space="preserve">הורשע </w:t>
      </w:r>
      <w:r w:rsidR="00287003" w:rsidRPr="00736A68">
        <w:rPr>
          <w:rFonts w:hint="cs"/>
          <w:noProof/>
          <w:rtl/>
        </w:rPr>
        <w:t>בסיוע</w:t>
      </w:r>
      <w:r w:rsidR="00287003" w:rsidRPr="00B80EF8">
        <w:rPr>
          <w:rFonts w:hint="cs"/>
          <w:noProof/>
          <w:rtl/>
        </w:rPr>
        <w:t xml:space="preserve"> לעבירות בנשק (החזקה, הובלה ונשיאה). בית המשפט המחוזי קבע מתחם הנע בין 9 חודשים שאפשר וירוצו בעבודות שירות לבין 24 חודשי מאסר לריצוי בפועל, והשית על </w:t>
      </w:r>
      <w:r w:rsidR="00287003">
        <w:rPr>
          <w:rFonts w:hint="cs"/>
          <w:noProof/>
          <w:rtl/>
        </w:rPr>
        <w:t xml:space="preserve">הנאשם </w:t>
      </w:r>
      <w:r w:rsidR="00287003" w:rsidRPr="00B80EF8">
        <w:rPr>
          <w:rFonts w:hint="cs"/>
          <w:noProof/>
          <w:rtl/>
        </w:rPr>
        <w:t>9 חודשי מאסר לריצוי בעבודות שירות, מאסר על תנאי, קנס וצו מבחן</w:t>
      </w:r>
      <w:r w:rsidR="00287003">
        <w:rPr>
          <w:rFonts w:hint="cs"/>
          <w:noProof/>
          <w:rtl/>
        </w:rPr>
        <w:t xml:space="preserve">. לציין, כי באותו עניין הנאשם ריצה מעצר עד תום ההליכים לתקופה של כחודשיים. תקופה זו לא נוכתה מגזר הדין. </w:t>
      </w:r>
    </w:p>
    <w:p w14:paraId="1673A864" w14:textId="77777777" w:rsidR="00287003" w:rsidRDefault="00287003" w:rsidP="00287003">
      <w:pPr>
        <w:spacing w:line="360" w:lineRule="auto"/>
        <w:ind w:left="720"/>
        <w:jc w:val="both"/>
        <w:rPr>
          <w:noProof/>
          <w:rtl/>
        </w:rPr>
      </w:pPr>
    </w:p>
    <w:p w14:paraId="6E0FC67D" w14:textId="77777777" w:rsidR="00287003" w:rsidRDefault="001E25C2" w:rsidP="00287003">
      <w:pPr>
        <w:spacing w:line="360" w:lineRule="auto"/>
        <w:ind w:left="720"/>
        <w:jc w:val="both"/>
      </w:pPr>
      <w:hyperlink r:id="rId35" w:history="1">
        <w:r w:rsidRPr="001E25C2">
          <w:rPr>
            <w:color w:val="0000FF"/>
            <w:u w:val="single"/>
            <w:rtl/>
          </w:rPr>
          <w:t>ת"פ (מחוזי חיפה) 45561-07-21</w:t>
        </w:r>
      </w:hyperlink>
      <w:r w:rsidR="00287003">
        <w:rPr>
          <w:rtl/>
        </w:rPr>
        <w:t xml:space="preserve"> </w:t>
      </w:r>
      <w:r w:rsidR="00287003">
        <w:rPr>
          <w:b/>
          <w:bCs/>
          <w:rtl/>
        </w:rPr>
        <w:t>מדינת ישראל נ' טחימר</w:t>
      </w:r>
      <w:r w:rsidR="00287003">
        <w:rPr>
          <w:rtl/>
        </w:rPr>
        <w:t xml:space="preserve"> (17.3.2022) - הנאשמים הורשעו לאחר הודאתם במסגרת הסדר טיעון, בביצוע עבירות נשק (נשיאה והובלה) - הנאשם 1; סיוע לעבירות נשק (נשיאה והובלה) - הנאשם 2, וכן הפרעה לשוטר במילוי תפקידו - שני הנאשמים (דובר באקדח חצי אוטומט </w:t>
      </w:r>
      <w:r w:rsidR="00287003">
        <w:t>D.D.G</w:t>
      </w:r>
      <w:r w:rsidR="00287003">
        <w:rPr>
          <w:rtl/>
        </w:rPr>
        <w:t xml:space="preserve"> ומחסנית ריקה המתאימה לאקדח). בגזר הדין של הח"מ ובכל הנוגע לנאשם 1, נקבע מתחם הנע בין 14 ל- 38 חודשי מאסר בפועל, לצד עונשים נלווים, ובכל הנוגע לנאשם 2, נקבע מתחם הנע בין 8 ל- 20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6E3E9228" w14:textId="77777777" w:rsidR="00287003" w:rsidRPr="00346A62" w:rsidRDefault="00287003" w:rsidP="00287003">
      <w:pPr>
        <w:spacing w:line="360" w:lineRule="auto"/>
        <w:ind w:left="720" w:hanging="720"/>
        <w:jc w:val="both"/>
        <w:rPr>
          <w:noProof/>
          <w:rtl/>
        </w:rPr>
      </w:pPr>
    </w:p>
    <w:p w14:paraId="717A0655" w14:textId="77777777" w:rsidR="00287003" w:rsidRDefault="00287003" w:rsidP="00287003">
      <w:pPr>
        <w:spacing w:line="360" w:lineRule="auto"/>
        <w:ind w:left="720" w:hanging="720"/>
        <w:jc w:val="both"/>
        <w:rPr>
          <w:noProof/>
          <w:rtl/>
        </w:rPr>
      </w:pPr>
      <w:r w:rsidRPr="00346A62">
        <w:rPr>
          <w:noProof/>
          <w:rtl/>
        </w:rPr>
        <w:tab/>
      </w:r>
      <w:hyperlink r:id="rId36" w:history="1">
        <w:r w:rsidR="001E25C2" w:rsidRPr="001E25C2">
          <w:rPr>
            <w:noProof/>
            <w:color w:val="0000FF"/>
            <w:u w:val="single"/>
            <w:rtl/>
          </w:rPr>
          <w:t>ת"פ (מחוזי חיפה) 22029-03-21</w:t>
        </w:r>
      </w:hyperlink>
      <w:r w:rsidRPr="00346A62">
        <w:rPr>
          <w:rFonts w:hint="cs"/>
          <w:noProof/>
          <w:rtl/>
        </w:rPr>
        <w:t xml:space="preserve"> </w:t>
      </w:r>
      <w:r w:rsidRPr="00346A62">
        <w:rPr>
          <w:rFonts w:hint="cs"/>
          <w:b/>
          <w:bCs/>
          <w:noProof/>
          <w:rtl/>
        </w:rPr>
        <w:t>מדינת ישראל נ' אבו שאח</w:t>
      </w:r>
      <w:r w:rsidRPr="00346A62">
        <w:rPr>
          <w:rFonts w:hint="cs"/>
          <w:noProof/>
          <w:rtl/>
        </w:rPr>
        <w:t xml:space="preserve"> (</w:t>
      </w:r>
      <w:r>
        <w:rPr>
          <w:rFonts w:hint="cs"/>
          <w:noProof/>
          <w:rtl/>
        </w:rPr>
        <w:t>6.3</w:t>
      </w:r>
      <w:r w:rsidRPr="00346A62">
        <w:rPr>
          <w:rFonts w:hint="cs"/>
          <w:noProof/>
          <w:rtl/>
        </w:rPr>
        <w:t xml:space="preserve">.2022) </w:t>
      </w:r>
      <w:r>
        <w:rPr>
          <w:rFonts w:hint="cs"/>
          <w:noProof/>
          <w:rtl/>
        </w:rPr>
        <w:t>-</w:t>
      </w:r>
      <w:r w:rsidRPr="00346A62">
        <w:rPr>
          <w:rFonts w:hint="cs"/>
          <w:noProof/>
          <w:rtl/>
        </w:rPr>
        <w:t xml:space="preserve"> </w:t>
      </w:r>
      <w:r>
        <w:rPr>
          <w:rFonts w:hint="cs"/>
          <w:noProof/>
          <w:rtl/>
        </w:rPr>
        <w:t>פסק דין אליו הפנתה ההגנה.</w:t>
      </w:r>
      <w:r w:rsidRPr="00346A62">
        <w:rPr>
          <w:rFonts w:hint="cs"/>
          <w:noProof/>
          <w:rtl/>
        </w:rPr>
        <w:t xml:space="preserve"> נאשם מס' </w:t>
      </w:r>
      <w:r>
        <w:rPr>
          <w:rFonts w:hint="cs"/>
          <w:noProof/>
          <w:rtl/>
        </w:rPr>
        <w:t xml:space="preserve">1 </w:t>
      </w:r>
      <w:r w:rsidRPr="00346A62">
        <w:rPr>
          <w:rFonts w:hint="cs"/>
          <w:noProof/>
          <w:rtl/>
        </w:rPr>
        <w:t>באותה פרשה הודה והורשע יחד עם הנאשם האחר, בביצוע עבירות נשק (</w:t>
      </w:r>
      <w:r>
        <w:rPr>
          <w:rFonts w:hint="cs"/>
          <w:noProof/>
          <w:rtl/>
        </w:rPr>
        <w:t xml:space="preserve">החזקה </w:t>
      </w:r>
      <w:r w:rsidRPr="00346A62">
        <w:rPr>
          <w:rFonts w:hint="cs"/>
          <w:noProof/>
          <w:rtl/>
        </w:rPr>
        <w:t xml:space="preserve">ונשיאה), וכן ירי מנשק חם. על פי המתואר, </w:t>
      </w:r>
      <w:r>
        <w:rPr>
          <w:rFonts w:hint="cs"/>
          <w:noProof/>
          <w:rtl/>
        </w:rPr>
        <w:t xml:space="preserve">לנאשם האחר עסק </w:t>
      </w:r>
      <w:r w:rsidRPr="00346A62">
        <w:rPr>
          <w:rFonts w:hint="cs"/>
          <w:noProof/>
          <w:rtl/>
        </w:rPr>
        <w:t xml:space="preserve">למכירת אלכוהול, הממוקם סמוך לחצר ביתו. נאשם מס' 1 אשר החזיק ברישיון באקדח חצי אוטומטי, הגיע לעסק והעביר את הנשק </w:t>
      </w:r>
      <w:r>
        <w:rPr>
          <w:rFonts w:hint="cs"/>
          <w:noProof/>
          <w:rtl/>
        </w:rPr>
        <w:t xml:space="preserve">לנאשם האחר. זה </w:t>
      </w:r>
      <w:r w:rsidRPr="00346A62">
        <w:rPr>
          <w:rFonts w:hint="cs"/>
          <w:noProof/>
          <w:rtl/>
        </w:rPr>
        <w:t xml:space="preserve">יצא מהעסק כשהוא מחזיק ונושא את הנשק טעון במחסנית ובכדורים, דרך את הנשק, כיוון כלפי מעלה וירה מספר יריות באוויר. בהמשך עשה כן שוב. בית המשפט המחוזי קבע מתחם הנע בין 9 ל- 36 חודשי מאסר בפועל, והשית על </w:t>
      </w:r>
      <w:r>
        <w:rPr>
          <w:rFonts w:hint="cs"/>
          <w:noProof/>
          <w:rtl/>
        </w:rPr>
        <w:t xml:space="preserve">נאשם 1,  9 </w:t>
      </w:r>
      <w:r w:rsidRPr="00346A62">
        <w:rPr>
          <w:rFonts w:hint="cs"/>
          <w:noProof/>
          <w:rtl/>
        </w:rPr>
        <w:t>חודשי מאסר בפועל</w:t>
      </w:r>
      <w:r>
        <w:rPr>
          <w:rFonts w:hint="cs"/>
          <w:noProof/>
          <w:rtl/>
        </w:rPr>
        <w:t xml:space="preserve"> לריצוי בעבודות שירות </w:t>
      </w:r>
      <w:r w:rsidRPr="00346A62">
        <w:rPr>
          <w:rFonts w:hint="cs"/>
          <w:noProof/>
          <w:rtl/>
        </w:rPr>
        <w:t xml:space="preserve"> לצד עונשים נלווים.</w:t>
      </w:r>
    </w:p>
    <w:p w14:paraId="7151EA2E" w14:textId="77777777" w:rsidR="00287003" w:rsidRDefault="00287003" w:rsidP="00287003">
      <w:pPr>
        <w:spacing w:line="360" w:lineRule="auto"/>
        <w:ind w:left="720" w:hanging="720"/>
        <w:jc w:val="both"/>
        <w:rPr>
          <w:noProof/>
          <w:rtl/>
        </w:rPr>
      </w:pPr>
    </w:p>
    <w:p w14:paraId="6E91D7ED" w14:textId="77777777" w:rsidR="00287003" w:rsidRPr="00346A62" w:rsidRDefault="001E25C2" w:rsidP="00287003">
      <w:pPr>
        <w:spacing w:line="360" w:lineRule="auto"/>
        <w:ind w:left="720"/>
        <w:jc w:val="both"/>
        <w:rPr>
          <w:noProof/>
          <w:rtl/>
        </w:rPr>
      </w:pPr>
      <w:hyperlink r:id="rId37" w:history="1">
        <w:r w:rsidRPr="001E25C2">
          <w:rPr>
            <w:color w:val="0000FF"/>
            <w:u w:val="single"/>
            <w:rtl/>
          </w:rPr>
          <w:t>ת"פ (מחוזי חיפה) 7626-04-20</w:t>
        </w:r>
      </w:hyperlink>
      <w:r w:rsidR="00287003" w:rsidRPr="00BF0F9E">
        <w:rPr>
          <w:rFonts w:hint="cs"/>
          <w:rtl/>
        </w:rPr>
        <w:t xml:space="preserve"> </w:t>
      </w:r>
      <w:r w:rsidR="00287003" w:rsidRPr="00BF0F9E">
        <w:rPr>
          <w:rFonts w:hint="cs"/>
          <w:b/>
          <w:bCs/>
          <w:rtl/>
        </w:rPr>
        <w:t>מדינת ישראל נ' ארשיד</w:t>
      </w:r>
      <w:r w:rsidR="00287003" w:rsidRPr="00BF0F9E">
        <w:rPr>
          <w:rFonts w:hint="cs"/>
          <w:rtl/>
        </w:rPr>
        <w:t xml:space="preserve"> (16.6.2021) - הנאשם 2</w:t>
      </w:r>
      <w:r w:rsidR="00287003">
        <w:rPr>
          <w:rFonts w:hint="cs"/>
          <w:rtl/>
        </w:rPr>
        <w:t>,</w:t>
      </w:r>
      <w:r w:rsidR="00287003" w:rsidRPr="00BF0F9E">
        <w:rPr>
          <w:rFonts w:hint="cs"/>
          <w:rtl/>
        </w:rPr>
        <w:t xml:space="preserve"> </w:t>
      </w:r>
      <w:r w:rsidR="00287003" w:rsidRPr="003B3C2A">
        <w:rPr>
          <w:rFonts w:hint="cs"/>
          <w:rtl/>
        </w:rPr>
        <w:t>ארשיד</w:t>
      </w:r>
      <w:r w:rsidR="00287003">
        <w:rPr>
          <w:rFonts w:hint="cs"/>
          <w:rtl/>
        </w:rPr>
        <w:t>,</w:t>
      </w:r>
      <w:r w:rsidR="00287003" w:rsidRPr="00BF0F9E">
        <w:rPr>
          <w:rFonts w:hint="cs"/>
          <w:rtl/>
        </w:rPr>
        <w:t xml:space="preserve"> הורשע בסיוע לעבירות נשק. על פי המתואר, הנאשמים נסעו</w:t>
      </w:r>
      <w:r w:rsidR="00287003">
        <w:rPr>
          <w:rFonts w:hint="cs"/>
          <w:rtl/>
        </w:rPr>
        <w:t xml:space="preserve"> ברכבו של ארשיד, כשהוא נוהג. נאשם 1 בסיוע ארשיד, החזיק נשא והוביל ברכב אקדח מסוג </w:t>
      </w:r>
      <w:r w:rsidR="00287003">
        <w:rPr>
          <w:rFonts w:hint="cs"/>
        </w:rPr>
        <w:t>FN</w:t>
      </w:r>
      <w:r w:rsidR="00287003">
        <w:rPr>
          <w:rFonts w:hint="cs"/>
          <w:rtl/>
        </w:rPr>
        <w:t xml:space="preserve"> ובתוכו מחסנית תואמת טעונה ב- 14 כדורים, וכן 86 כדורים תואמים לאקדח ארוזים בשקית. בית המשפט המחוזי קבע מתחם עונש הנע בין 9 ל- 24 חודשי מאסר, והשית על הנאשם 2, 9 חודשי מאסר שירוצו בעבודות שירות, וכן עונשים נלווים.</w:t>
      </w:r>
    </w:p>
    <w:p w14:paraId="6C158A9E" w14:textId="77777777" w:rsidR="00287003" w:rsidRDefault="00287003" w:rsidP="00287003">
      <w:pPr>
        <w:spacing w:line="360" w:lineRule="auto"/>
        <w:ind w:left="720" w:hanging="720"/>
        <w:jc w:val="both"/>
        <w:rPr>
          <w:noProof/>
          <w:rtl/>
        </w:rPr>
      </w:pPr>
    </w:p>
    <w:p w14:paraId="1173C26B" w14:textId="77777777" w:rsidR="00287003" w:rsidRDefault="00287003" w:rsidP="00287003">
      <w:pPr>
        <w:spacing w:line="360" w:lineRule="auto"/>
        <w:ind w:left="720" w:hanging="720"/>
        <w:jc w:val="both"/>
        <w:rPr>
          <w:noProof/>
          <w:rtl/>
        </w:rPr>
      </w:pPr>
      <w:r>
        <w:rPr>
          <w:noProof/>
          <w:rtl/>
        </w:rPr>
        <w:tab/>
      </w:r>
      <w:hyperlink r:id="rId38" w:history="1">
        <w:r w:rsidR="001E25C2" w:rsidRPr="001E25C2">
          <w:rPr>
            <w:noProof/>
            <w:color w:val="0000FF"/>
            <w:u w:val="single"/>
            <w:rtl/>
          </w:rPr>
          <w:t>ת"פ (מחוזי נצרת) 23413-11-17</w:t>
        </w:r>
      </w:hyperlink>
      <w:r>
        <w:rPr>
          <w:rFonts w:hint="cs"/>
          <w:noProof/>
          <w:rtl/>
        </w:rPr>
        <w:t xml:space="preserve"> </w:t>
      </w:r>
      <w:r w:rsidRPr="00736A68">
        <w:rPr>
          <w:rFonts w:hint="cs"/>
          <w:b/>
          <w:bCs/>
          <w:noProof/>
          <w:rtl/>
        </w:rPr>
        <w:t>מדינת נ' עובייד</w:t>
      </w:r>
      <w:r>
        <w:rPr>
          <w:rFonts w:hint="cs"/>
          <w:noProof/>
          <w:rtl/>
        </w:rPr>
        <w:t xml:space="preserve"> (27.2.2020) - פסק דין אליו הפנתה ההגנה. הנאשם 2 הורשע לאחר ניהול הוכחות במסגרת 3 אישומים בביצוע עבירה של סיוע לעבירות בנשק (נשיאה והובלה). מדובר על שלושה מקרים לגביהם נקבע כי מדובר באירוע אחד. בית המשפט קבע מתחם עונש הולם אשר נע בין 6 חודשי מאסר בפועל לבין 30 חודשי מאסר בפועל, לצד עונשים נלווים. עונשו של נאשם 2 הועמד על 6 חודשי מאסר לריצוי בעבודות שירות, לצד מאסר מותנה. </w:t>
      </w:r>
    </w:p>
    <w:p w14:paraId="20F62F75" w14:textId="77777777" w:rsidR="00287003" w:rsidRPr="00346A62" w:rsidRDefault="00287003" w:rsidP="00287003">
      <w:pPr>
        <w:spacing w:line="360" w:lineRule="auto"/>
        <w:ind w:left="720" w:hanging="720"/>
        <w:jc w:val="both"/>
        <w:rPr>
          <w:noProof/>
          <w:rtl/>
        </w:rPr>
      </w:pPr>
    </w:p>
    <w:p w14:paraId="1F8751E7" w14:textId="77777777" w:rsidR="00287003" w:rsidRPr="00B80EF8" w:rsidRDefault="00287003" w:rsidP="00287003">
      <w:pPr>
        <w:spacing w:line="360" w:lineRule="auto"/>
        <w:ind w:left="720" w:hanging="720"/>
        <w:jc w:val="both"/>
        <w:rPr>
          <w:noProof/>
          <w:rtl/>
        </w:rPr>
      </w:pPr>
      <w:r>
        <w:rPr>
          <w:rFonts w:hint="cs"/>
          <w:noProof/>
          <w:rtl/>
        </w:rPr>
        <w:t>22</w:t>
      </w:r>
      <w:r w:rsidRPr="00B80EF8">
        <w:rPr>
          <w:rFonts w:hint="cs"/>
          <w:noProof/>
          <w:rtl/>
        </w:rPr>
        <w:t>.</w:t>
      </w:r>
      <w:r w:rsidRPr="00B80EF8">
        <w:rPr>
          <w:rFonts w:hint="cs"/>
          <w:noProof/>
          <w:rtl/>
        </w:rPr>
        <w:tab/>
        <w:t xml:space="preserve">בבחינת </w:t>
      </w:r>
      <w:r w:rsidRPr="00B80EF8">
        <w:rPr>
          <w:rFonts w:hint="cs"/>
          <w:b/>
          <w:bCs/>
          <w:noProof/>
          <w:rtl/>
        </w:rPr>
        <w:t>הנסיבות הקשורות בביצוע העבירה</w:t>
      </w:r>
      <w:r w:rsidRPr="00B80EF8">
        <w:rPr>
          <w:rFonts w:hint="cs"/>
          <w:noProof/>
          <w:rtl/>
        </w:rPr>
        <w:t>, יש ליתן את הדעת על כי הנאש</w:t>
      </w:r>
      <w:r>
        <w:rPr>
          <w:rFonts w:hint="cs"/>
          <w:noProof/>
          <w:rtl/>
        </w:rPr>
        <w:t xml:space="preserve">מים הורשעו בעבירה של סיוע לנאשם 1. נאשם זה </w:t>
      </w:r>
      <w:r w:rsidRPr="00B80EF8">
        <w:rPr>
          <w:rFonts w:hint="cs"/>
          <w:noProof/>
          <w:rtl/>
        </w:rPr>
        <w:t xml:space="preserve">נשא והוביל את הנשק ברכבו כשהנשק טעון במחסנית </w:t>
      </w:r>
      <w:r>
        <w:rPr>
          <w:rFonts w:hint="cs"/>
          <w:noProof/>
          <w:rtl/>
        </w:rPr>
        <w:t xml:space="preserve">ללא </w:t>
      </w:r>
      <w:r w:rsidRPr="00B80EF8">
        <w:rPr>
          <w:rFonts w:hint="cs"/>
          <w:noProof/>
          <w:rtl/>
        </w:rPr>
        <w:t xml:space="preserve">כדורים. </w:t>
      </w:r>
      <w:r>
        <w:rPr>
          <w:rFonts w:hint="cs"/>
          <w:noProof/>
          <w:rtl/>
        </w:rPr>
        <w:t xml:space="preserve">לא הוכח כי הסיוע אכן לא היה לפרק זמן קצר ומוגדר. אין חולק גם כי בכתב האישום המתוקן לא נטען כי בוצע בנשק שימוש. </w:t>
      </w:r>
      <w:r w:rsidRPr="00B80EF8">
        <w:rPr>
          <w:rFonts w:hint="cs"/>
          <w:noProof/>
          <w:rtl/>
        </w:rPr>
        <w:t xml:space="preserve">למרבה המזל הסתיים </w:t>
      </w:r>
      <w:r>
        <w:rPr>
          <w:rFonts w:hint="cs"/>
          <w:noProof/>
          <w:rtl/>
        </w:rPr>
        <w:t>האירוע בלא נפגעים ברכוש או בגוף, כך ש</w:t>
      </w:r>
      <w:r w:rsidRPr="00B80EF8">
        <w:rPr>
          <w:rFonts w:hint="cs"/>
          <w:noProof/>
          <w:rtl/>
        </w:rPr>
        <w:t xml:space="preserve">פוטנציאל הנזק לא התממש בסופו של דבר. נסיבה זו הינה בעלת משקל לא מבוטל. </w:t>
      </w:r>
    </w:p>
    <w:p w14:paraId="255DDFD0" w14:textId="77777777" w:rsidR="00287003" w:rsidRPr="00B80EF8" w:rsidRDefault="00287003" w:rsidP="00287003">
      <w:pPr>
        <w:spacing w:line="360" w:lineRule="auto"/>
        <w:ind w:left="720" w:hanging="720"/>
        <w:jc w:val="both"/>
        <w:rPr>
          <w:noProof/>
          <w:rtl/>
        </w:rPr>
      </w:pPr>
    </w:p>
    <w:p w14:paraId="1D6000B0" w14:textId="77777777" w:rsidR="00287003" w:rsidRPr="00B80EF8" w:rsidRDefault="00287003" w:rsidP="00287003">
      <w:pPr>
        <w:spacing w:line="360" w:lineRule="auto"/>
        <w:ind w:left="720" w:hanging="720"/>
        <w:jc w:val="both"/>
        <w:rPr>
          <w:noProof/>
          <w:rtl/>
        </w:rPr>
      </w:pPr>
      <w:r>
        <w:rPr>
          <w:rFonts w:hint="cs"/>
          <w:noProof/>
          <w:rtl/>
        </w:rPr>
        <w:t>23</w:t>
      </w:r>
      <w:r w:rsidRPr="00B80EF8">
        <w:rPr>
          <w:rFonts w:hint="cs"/>
          <w:noProof/>
          <w:rtl/>
        </w:rPr>
        <w:t>.</w:t>
      </w:r>
      <w:r w:rsidRPr="00B80EF8">
        <w:rPr>
          <w:rFonts w:hint="cs"/>
          <w:noProof/>
          <w:rtl/>
        </w:rPr>
        <w:tab/>
        <w:t xml:space="preserve">טרם אקבע את מתחם העונש ההולם בענייננו, אעמוד על עיקרון אחידות הענישה. רבות נכתב על אודות עיקרון אחידות הענישה. ראו </w:t>
      </w:r>
      <w:hyperlink r:id="rId39" w:history="1">
        <w:r w:rsidR="001E25C2" w:rsidRPr="001E25C2">
          <w:rPr>
            <w:noProof/>
            <w:color w:val="0000FF"/>
            <w:u w:val="single"/>
            <w:rtl/>
          </w:rPr>
          <w:t>ע"פ 2836/22</w:t>
        </w:r>
      </w:hyperlink>
      <w:r w:rsidRPr="00B80EF8">
        <w:rPr>
          <w:rFonts w:hint="cs"/>
          <w:noProof/>
          <w:rtl/>
        </w:rPr>
        <w:t xml:space="preserve"> </w:t>
      </w:r>
      <w:r w:rsidRPr="00B80EF8">
        <w:rPr>
          <w:rFonts w:hint="cs"/>
          <w:b/>
          <w:bCs/>
          <w:noProof/>
          <w:rtl/>
        </w:rPr>
        <w:t>מדינת ישראל נ' אמארה</w:t>
      </w:r>
      <w:r w:rsidRPr="00B80EF8">
        <w:rPr>
          <w:rFonts w:hint="cs"/>
          <w:noProof/>
          <w:rtl/>
        </w:rPr>
        <w:t xml:space="preserve">, פסקה 18 (7.6.2022): </w:t>
      </w:r>
    </w:p>
    <w:p w14:paraId="0707166A" w14:textId="77777777" w:rsidR="00287003" w:rsidRPr="00B80EF8" w:rsidRDefault="00287003" w:rsidP="00287003">
      <w:pPr>
        <w:spacing w:line="360" w:lineRule="auto"/>
        <w:ind w:left="720" w:hanging="720"/>
        <w:jc w:val="both"/>
        <w:rPr>
          <w:noProof/>
          <w:rtl/>
        </w:rPr>
      </w:pPr>
    </w:p>
    <w:p w14:paraId="35F39602" w14:textId="77777777" w:rsidR="00287003" w:rsidRPr="00B80EF8" w:rsidRDefault="00287003" w:rsidP="00287003">
      <w:pPr>
        <w:spacing w:line="360" w:lineRule="auto"/>
        <w:ind w:left="1360" w:right="851"/>
        <w:jc w:val="both"/>
        <w:rPr>
          <w:noProof/>
          <w:rtl/>
        </w:rPr>
      </w:pPr>
      <w:r w:rsidRPr="00B80EF8">
        <w:rPr>
          <w:rFonts w:hint="cs"/>
          <w:noProof/>
          <w:rtl/>
        </w:rPr>
        <w:t>"</w:t>
      </w:r>
      <w:r w:rsidRPr="00B80EF8">
        <w:rPr>
          <w:noProof/>
          <w:rtl/>
        </w:rPr>
        <w:t xml:space="preserve">ככלל, יש להחיל שיקולי ענישה דומים על מי שביצעו עבירות דומות במהותן, בנסיבות דומות, ושהינם בעלי נסיבות אישיות דומות. כאשר מדובר בנאשמים שונים המורשעים במסגרת אותה פרשה, עקרון אחידות הענישה מקבל משנה תוקף. במצב דברים זה מושך עקרון אחידות הענישה לעבר הטלת עונשים דומים על מי שביצעו מעשים דומים, וכן בשמירה על יחס של שקילות בין מבצעיהם של מעשים הנבדלים זה מזה בחומרתם (ראו למשל: </w:t>
      </w:r>
      <w:hyperlink r:id="rId40" w:history="1">
        <w:r w:rsidR="001E25C2" w:rsidRPr="001E25C2">
          <w:rPr>
            <w:noProof/>
            <w:color w:val="0000FF"/>
            <w:u w:val="single"/>
            <w:rtl/>
          </w:rPr>
          <w:t>ע"פ 7350/12</w:t>
        </w:r>
      </w:hyperlink>
      <w:r w:rsidRPr="00B80EF8">
        <w:rPr>
          <w:noProof/>
          <w:rtl/>
        </w:rPr>
        <w:t xml:space="preserve"> </w:t>
      </w:r>
      <w:r w:rsidRPr="00B80EF8">
        <w:rPr>
          <w:b/>
          <w:bCs/>
          <w:noProof/>
          <w:rtl/>
        </w:rPr>
        <w:t>פלוני נ' מדינת ישראל</w:t>
      </w:r>
      <w:r w:rsidRPr="00B80EF8">
        <w:rPr>
          <w:noProof/>
          <w:rtl/>
        </w:rPr>
        <w:t xml:space="preserve">, פסקה 10 (14.1.2013); </w:t>
      </w:r>
      <w:hyperlink r:id="rId41" w:history="1">
        <w:r w:rsidR="001E25C2" w:rsidRPr="001E25C2">
          <w:rPr>
            <w:noProof/>
            <w:color w:val="0000FF"/>
            <w:u w:val="single"/>
            <w:rtl/>
          </w:rPr>
          <w:t>ע"פ 2274/12</w:t>
        </w:r>
      </w:hyperlink>
      <w:r w:rsidRPr="00B80EF8">
        <w:rPr>
          <w:noProof/>
          <w:rtl/>
        </w:rPr>
        <w:t xml:space="preserve"> </w:t>
      </w:r>
      <w:r w:rsidRPr="00B80EF8">
        <w:rPr>
          <w:b/>
          <w:bCs/>
          <w:noProof/>
          <w:rtl/>
        </w:rPr>
        <w:t>אבו מאדי נ' מדינת ישראל</w:t>
      </w:r>
      <w:r w:rsidRPr="00B80EF8">
        <w:rPr>
          <w:noProof/>
          <w:rtl/>
        </w:rPr>
        <w:t>, פסקה 16 (27.2.2013))</w:t>
      </w:r>
      <w:r w:rsidRPr="00B80EF8">
        <w:rPr>
          <w:rFonts w:hint="cs"/>
          <w:noProof/>
          <w:rtl/>
        </w:rPr>
        <w:t>"</w:t>
      </w:r>
      <w:r>
        <w:rPr>
          <w:rFonts w:hint="cs"/>
          <w:noProof/>
          <w:rtl/>
        </w:rPr>
        <w:t>.</w:t>
      </w:r>
    </w:p>
    <w:p w14:paraId="5CCE98BA" w14:textId="77777777" w:rsidR="00287003" w:rsidRPr="00B80EF8" w:rsidRDefault="00287003" w:rsidP="00287003">
      <w:pPr>
        <w:spacing w:line="360" w:lineRule="auto"/>
        <w:ind w:left="720" w:hanging="720"/>
        <w:jc w:val="both"/>
        <w:rPr>
          <w:noProof/>
          <w:rtl/>
        </w:rPr>
      </w:pPr>
    </w:p>
    <w:p w14:paraId="7CC5F4C7" w14:textId="77777777" w:rsidR="00287003" w:rsidRPr="00B80EF8" w:rsidRDefault="00287003" w:rsidP="00287003">
      <w:pPr>
        <w:spacing w:line="360" w:lineRule="auto"/>
        <w:ind w:left="720" w:hanging="720"/>
        <w:jc w:val="both"/>
        <w:rPr>
          <w:noProof/>
          <w:rtl/>
        </w:rPr>
      </w:pPr>
      <w:r w:rsidRPr="00B80EF8">
        <w:rPr>
          <w:noProof/>
          <w:rtl/>
        </w:rPr>
        <w:tab/>
      </w:r>
      <w:r w:rsidRPr="00B80EF8">
        <w:rPr>
          <w:rFonts w:hint="cs"/>
          <w:noProof/>
          <w:rtl/>
        </w:rPr>
        <w:t xml:space="preserve">כוחו של עיקרון אחידות הענישה יפה גם מקום בו אחד מן הנאשמים הורשע בביצוע עבירה מושלמת, והאחר בסיוע, תוך שמירה על "יחס של שקילות" בין העונשים. ראו למשל </w:t>
      </w:r>
      <w:hyperlink r:id="rId42" w:history="1">
        <w:r w:rsidR="001E25C2" w:rsidRPr="001E25C2">
          <w:rPr>
            <w:noProof/>
            <w:color w:val="0000FF"/>
            <w:u w:val="single"/>
            <w:rtl/>
          </w:rPr>
          <w:t>ע"פ 4959/19</w:t>
        </w:r>
      </w:hyperlink>
      <w:r w:rsidRPr="00B80EF8">
        <w:rPr>
          <w:rFonts w:hint="cs"/>
          <w:noProof/>
          <w:rtl/>
        </w:rPr>
        <w:t xml:space="preserve"> </w:t>
      </w:r>
      <w:r w:rsidRPr="00B80EF8">
        <w:rPr>
          <w:rFonts w:hint="cs"/>
          <w:b/>
          <w:bCs/>
          <w:noProof/>
          <w:rtl/>
        </w:rPr>
        <w:t>פלוני נ' מדינת ישראל</w:t>
      </w:r>
      <w:r w:rsidRPr="00B80EF8">
        <w:rPr>
          <w:rFonts w:hint="cs"/>
          <w:noProof/>
          <w:rtl/>
        </w:rPr>
        <w:t xml:space="preserve"> (12.6.2022), שם מצא בית המשפט העליון להקל בעונשו של פלוני שהורשע בביצוע מספר עבירות, לרבות בהריגה, הגם שעונש זה הוא פרי הסדר טיעון "סגור" והיה נכון בשעתו, וזאת מחמת שהוא "פוגע בעיקרון אחידות הענישה", באופן שהצדיק התערבות. זאת, בשים לב לעונשים שהושתו על שני שותפיו לעבירה, אשר הורשעו בסיוע לכל אותן העבירות בהן הורשע פלוני.</w:t>
      </w:r>
    </w:p>
    <w:p w14:paraId="514C74FF" w14:textId="77777777" w:rsidR="00287003" w:rsidRPr="00B80EF8" w:rsidRDefault="00287003" w:rsidP="00287003">
      <w:pPr>
        <w:spacing w:line="360" w:lineRule="auto"/>
        <w:ind w:left="720" w:hanging="720"/>
        <w:jc w:val="both"/>
        <w:rPr>
          <w:noProof/>
          <w:rtl/>
        </w:rPr>
      </w:pPr>
    </w:p>
    <w:p w14:paraId="7D313A77" w14:textId="77777777" w:rsidR="00287003" w:rsidRPr="00B80EF8" w:rsidRDefault="00287003" w:rsidP="00287003">
      <w:pPr>
        <w:spacing w:line="360" w:lineRule="auto"/>
        <w:ind w:left="720" w:hanging="720"/>
        <w:jc w:val="both"/>
        <w:rPr>
          <w:noProof/>
          <w:rtl/>
        </w:rPr>
      </w:pPr>
      <w:r>
        <w:rPr>
          <w:rFonts w:hint="cs"/>
          <w:noProof/>
          <w:rtl/>
        </w:rPr>
        <w:t>24</w:t>
      </w:r>
      <w:r w:rsidRPr="00B80EF8">
        <w:rPr>
          <w:rFonts w:hint="cs"/>
          <w:noProof/>
          <w:rtl/>
        </w:rPr>
        <w:t>.</w:t>
      </w:r>
      <w:r w:rsidRPr="00B80EF8">
        <w:rPr>
          <w:rFonts w:hint="cs"/>
          <w:noProof/>
          <w:rtl/>
        </w:rPr>
        <w:tab/>
        <w:t xml:space="preserve">בפרשה שלפנינו </w:t>
      </w:r>
      <w:r>
        <w:rPr>
          <w:rFonts w:hint="cs"/>
          <w:noProof/>
          <w:rtl/>
        </w:rPr>
        <w:t xml:space="preserve">ארבעה מעורבים. הנאשם 1 עימו נעשה הסדר "סגור" לעניין עונש המאסר בפועל, והנאשמים 4-2.  חלקם של שלושת הנאשמים </w:t>
      </w:r>
      <w:r w:rsidRPr="00B80EF8">
        <w:rPr>
          <w:rFonts w:hint="cs"/>
          <w:noProof/>
          <w:rtl/>
        </w:rPr>
        <w:t>קטן באופן משמעותי מזה של הנאשם</w:t>
      </w:r>
      <w:r>
        <w:rPr>
          <w:rFonts w:hint="cs"/>
          <w:noProof/>
          <w:rtl/>
        </w:rPr>
        <w:t xml:space="preserve"> 1</w:t>
      </w:r>
      <w:r w:rsidRPr="00B80EF8">
        <w:rPr>
          <w:rFonts w:hint="cs"/>
          <w:noProof/>
          <w:rtl/>
        </w:rPr>
        <w:t>.</w:t>
      </w:r>
      <w:r>
        <w:rPr>
          <w:rFonts w:hint="cs"/>
          <w:noProof/>
          <w:rtl/>
        </w:rPr>
        <w:t xml:space="preserve"> </w:t>
      </w:r>
      <w:r w:rsidRPr="00B80EF8">
        <w:rPr>
          <w:rFonts w:hint="cs"/>
          <w:noProof/>
          <w:rtl/>
        </w:rPr>
        <w:t>בשים לב לסעיפי העבירה, וכן לאופי ולחומרת המעשים של כל אחד מהמעורבים בפרשה, ברי כי עונש</w:t>
      </w:r>
      <w:r>
        <w:rPr>
          <w:rFonts w:hint="cs"/>
          <w:noProof/>
          <w:rtl/>
        </w:rPr>
        <w:t xml:space="preserve">ם של נאשמים 4-2 צריך </w:t>
      </w:r>
      <w:r w:rsidRPr="00B80EF8">
        <w:rPr>
          <w:rFonts w:hint="cs"/>
          <w:noProof/>
          <w:rtl/>
        </w:rPr>
        <w:t xml:space="preserve">להיות </w:t>
      </w:r>
      <w:r>
        <w:rPr>
          <w:rFonts w:hint="cs"/>
          <w:noProof/>
          <w:rtl/>
        </w:rPr>
        <w:t xml:space="preserve">נמוך </w:t>
      </w:r>
      <w:r w:rsidRPr="00B80EF8">
        <w:rPr>
          <w:rFonts w:hint="cs"/>
          <w:noProof/>
          <w:rtl/>
        </w:rPr>
        <w:t>משמעותי</w:t>
      </w:r>
      <w:r>
        <w:rPr>
          <w:rFonts w:hint="cs"/>
          <w:noProof/>
          <w:rtl/>
        </w:rPr>
        <w:t>ת</w:t>
      </w:r>
      <w:r w:rsidRPr="00B80EF8">
        <w:rPr>
          <w:rFonts w:hint="cs"/>
          <w:noProof/>
          <w:rtl/>
        </w:rPr>
        <w:t xml:space="preserve"> מזה של </w:t>
      </w:r>
      <w:r>
        <w:rPr>
          <w:rFonts w:hint="cs"/>
          <w:noProof/>
          <w:rtl/>
        </w:rPr>
        <w:t>נאשם 1</w:t>
      </w:r>
      <w:r w:rsidRPr="00B80EF8">
        <w:rPr>
          <w:rFonts w:hint="cs"/>
          <w:noProof/>
          <w:rtl/>
        </w:rPr>
        <w:t xml:space="preserve">. בצד זאת, יש לשמור על יחס של מידתיות בין </w:t>
      </w:r>
      <w:r>
        <w:rPr>
          <w:rFonts w:hint="cs"/>
          <w:noProof/>
          <w:rtl/>
        </w:rPr>
        <w:t>ה</w:t>
      </w:r>
      <w:r w:rsidRPr="00B80EF8">
        <w:rPr>
          <w:rFonts w:hint="cs"/>
          <w:noProof/>
          <w:rtl/>
        </w:rPr>
        <w:t>מעורבים, אשר יעלה בקנה אחד עם עיקרון אחידות הענישה. יחס זה ראוי לו כי יישמר הן בראי מתחם העונש ההולם, והן בראי הענישה אשר תיגזר על הנאש</w:t>
      </w:r>
      <w:r>
        <w:rPr>
          <w:rFonts w:hint="cs"/>
          <w:noProof/>
          <w:rtl/>
        </w:rPr>
        <w:t>מים</w:t>
      </w:r>
      <w:r w:rsidRPr="00B80EF8">
        <w:rPr>
          <w:rFonts w:hint="cs"/>
          <w:noProof/>
          <w:rtl/>
        </w:rPr>
        <w:t>.</w:t>
      </w:r>
      <w:r>
        <w:rPr>
          <w:rFonts w:hint="cs"/>
          <w:noProof/>
          <w:rtl/>
        </w:rPr>
        <w:t xml:space="preserve"> מאחר ולא ראיתי לקבוע מתחם עונש הולם לנאשם 1 נוכח ההסדר, ובשים לב לעונש שהוסכם כי יוטל עליו בסופו של יום (כאשר לפי המאשימה מדובר ברף התחתון של המתחם לו עתרה לגבי מעשיו של זה), יש לתת את הדעת לעתירות הצדדים לעניין המתחמים, לעונש המזערי בעקבות תיקון 140 לחוק ולמכלול הנסיבות הקשורות בביצוע העבירה כמפורט. זאת כמובן לצד מדיניות הענישה הנוהגת, עיקרון אחידות הענישה והערכים החברתיים המוגנים. </w:t>
      </w:r>
    </w:p>
    <w:p w14:paraId="649CF3A5" w14:textId="77777777" w:rsidR="00287003" w:rsidRPr="00B80EF8" w:rsidRDefault="00287003" w:rsidP="00287003">
      <w:pPr>
        <w:spacing w:line="360" w:lineRule="auto"/>
        <w:ind w:left="720" w:hanging="720"/>
        <w:jc w:val="both"/>
        <w:rPr>
          <w:noProof/>
          <w:rtl/>
        </w:rPr>
      </w:pPr>
    </w:p>
    <w:p w14:paraId="743BEA10" w14:textId="77777777" w:rsidR="00287003" w:rsidRPr="00B80EF8" w:rsidRDefault="00287003" w:rsidP="00287003">
      <w:pPr>
        <w:spacing w:line="360" w:lineRule="auto"/>
        <w:ind w:left="720" w:hanging="720"/>
        <w:jc w:val="both"/>
        <w:rPr>
          <w:noProof/>
          <w:rtl/>
        </w:rPr>
      </w:pPr>
      <w:r>
        <w:rPr>
          <w:rFonts w:hint="cs"/>
          <w:noProof/>
          <w:rtl/>
        </w:rPr>
        <w:t>25</w:t>
      </w:r>
      <w:r w:rsidRPr="00B80EF8">
        <w:rPr>
          <w:rFonts w:hint="cs"/>
          <w:noProof/>
          <w:rtl/>
        </w:rPr>
        <w:t>.</w:t>
      </w:r>
      <w:r w:rsidRPr="00B80EF8">
        <w:rPr>
          <w:rFonts w:hint="cs"/>
          <w:noProof/>
          <w:rtl/>
        </w:rPr>
        <w:tab/>
        <w:t>אני ער כמובן למגמת ההחמרה בענישה בעבירות כגון דא, העולה מפורשות מפסיקת בית המשפט העליון, ובמיוחד בעת האחרונה (ראו למשל האמור בעניין פלוני). על מנת שהעונש יהלום מגמה זו ובה בעת לא יחטא לעיקרון אחידות הענישה, סבורני כי הרף התחתון של המתחם</w:t>
      </w:r>
      <w:r>
        <w:rPr>
          <w:rFonts w:hint="cs"/>
          <w:noProof/>
          <w:rtl/>
        </w:rPr>
        <w:t xml:space="preserve"> בנוגע לנאשמים 4-2</w:t>
      </w:r>
      <w:r w:rsidRPr="00B80EF8">
        <w:rPr>
          <w:rFonts w:hint="cs"/>
          <w:noProof/>
          <w:rtl/>
        </w:rPr>
        <w:t xml:space="preserve"> ראוי שיעמוד על </w:t>
      </w:r>
      <w:r>
        <w:rPr>
          <w:rFonts w:hint="cs"/>
          <w:noProof/>
          <w:rtl/>
        </w:rPr>
        <w:t>9</w:t>
      </w:r>
      <w:r w:rsidRPr="00B80EF8">
        <w:rPr>
          <w:rFonts w:hint="cs"/>
          <w:noProof/>
          <w:rtl/>
        </w:rPr>
        <w:t xml:space="preserve"> חודשי</w:t>
      </w:r>
      <w:r>
        <w:rPr>
          <w:rFonts w:hint="cs"/>
          <w:noProof/>
          <w:rtl/>
        </w:rPr>
        <w:t xml:space="preserve"> מאסר בפועל</w:t>
      </w:r>
      <w:r w:rsidRPr="00B80EF8">
        <w:rPr>
          <w:rFonts w:hint="cs"/>
          <w:noProof/>
          <w:rtl/>
        </w:rPr>
        <w:t xml:space="preserve">. יחס זה של מידתיות צריך להישמר גם לגבי הענישה אשר תיגזר </w:t>
      </w:r>
      <w:r>
        <w:rPr>
          <w:rFonts w:hint="cs"/>
          <w:noProof/>
          <w:rtl/>
        </w:rPr>
        <w:t xml:space="preserve">בתוך המתחם </w:t>
      </w:r>
      <w:r w:rsidRPr="00B80EF8">
        <w:rPr>
          <w:rFonts w:hint="cs"/>
          <w:noProof/>
          <w:rtl/>
        </w:rPr>
        <w:t>(בהינתן שינויים כאלו ואחרים בנסיבות אשר אינן קשורות בביצוע העבירה</w:t>
      </w:r>
      <w:r>
        <w:rPr>
          <w:rFonts w:hint="cs"/>
          <w:noProof/>
          <w:rtl/>
        </w:rPr>
        <w:t>, במיוחד העבר הפלילי כפי שיפורט בהמשך</w:t>
      </w:r>
      <w:r w:rsidRPr="00B80EF8">
        <w:rPr>
          <w:rFonts w:hint="cs"/>
          <w:noProof/>
          <w:rtl/>
        </w:rPr>
        <w:t xml:space="preserve">). משכך, על רקע נסיבות ביצוע העבירה, הערכים החברתיים המוגנים אשר נפגעו כתוצאה מביצוע העבירה ומידת הפגיעה בהם, וכן בשים לב למדיניות הענישה הנהוגה, </w:t>
      </w:r>
      <w:r>
        <w:rPr>
          <w:rFonts w:hint="cs"/>
          <w:noProof/>
          <w:rtl/>
        </w:rPr>
        <w:t xml:space="preserve">ואל מול הענישה שהוטלה על נאשם 1, </w:t>
      </w:r>
      <w:r w:rsidRPr="00B80EF8">
        <w:rPr>
          <w:rFonts w:hint="cs"/>
          <w:noProof/>
          <w:rtl/>
        </w:rPr>
        <w:t>סבורני כי מתחם העונש ההולם את מעשי</w:t>
      </w:r>
      <w:r>
        <w:rPr>
          <w:rFonts w:hint="cs"/>
          <w:noProof/>
          <w:rtl/>
        </w:rPr>
        <w:t xml:space="preserve">הם </w:t>
      </w:r>
      <w:r w:rsidRPr="00B80EF8">
        <w:rPr>
          <w:rFonts w:hint="cs"/>
          <w:noProof/>
          <w:rtl/>
        </w:rPr>
        <w:t>של הנאש</w:t>
      </w:r>
      <w:r>
        <w:rPr>
          <w:rFonts w:hint="cs"/>
          <w:noProof/>
          <w:rtl/>
        </w:rPr>
        <w:t>מי</w:t>
      </w:r>
      <w:r w:rsidRPr="00B80EF8">
        <w:rPr>
          <w:rFonts w:hint="cs"/>
          <w:noProof/>
          <w:rtl/>
        </w:rPr>
        <w:t xml:space="preserve">ם </w:t>
      </w:r>
      <w:r>
        <w:rPr>
          <w:rFonts w:hint="cs"/>
          <w:noProof/>
          <w:rtl/>
        </w:rPr>
        <w:t xml:space="preserve">4-2 </w:t>
      </w:r>
      <w:r w:rsidRPr="00B80EF8">
        <w:rPr>
          <w:rFonts w:hint="cs"/>
          <w:noProof/>
          <w:rtl/>
        </w:rPr>
        <w:t xml:space="preserve">מצוי </w:t>
      </w:r>
      <w:r w:rsidRPr="00B80EF8">
        <w:rPr>
          <w:rFonts w:hint="cs"/>
          <w:b/>
          <w:bCs/>
          <w:noProof/>
          <w:rtl/>
        </w:rPr>
        <w:t xml:space="preserve">בטווח </w:t>
      </w:r>
      <w:r>
        <w:rPr>
          <w:rFonts w:hint="cs"/>
          <w:b/>
          <w:bCs/>
          <w:noProof/>
          <w:rtl/>
        </w:rPr>
        <w:t xml:space="preserve">שנע </w:t>
      </w:r>
      <w:r w:rsidRPr="00B80EF8">
        <w:rPr>
          <w:rFonts w:hint="cs"/>
          <w:b/>
          <w:bCs/>
          <w:noProof/>
          <w:rtl/>
        </w:rPr>
        <w:t xml:space="preserve">בין </w:t>
      </w:r>
      <w:r>
        <w:rPr>
          <w:rFonts w:hint="cs"/>
          <w:b/>
          <w:bCs/>
          <w:noProof/>
          <w:rtl/>
        </w:rPr>
        <w:t xml:space="preserve">9 </w:t>
      </w:r>
      <w:r w:rsidRPr="00B80EF8">
        <w:rPr>
          <w:rFonts w:hint="cs"/>
          <w:b/>
          <w:bCs/>
          <w:noProof/>
          <w:rtl/>
        </w:rPr>
        <w:t>ל</w:t>
      </w:r>
      <w:r>
        <w:rPr>
          <w:rFonts w:hint="cs"/>
          <w:b/>
          <w:bCs/>
          <w:noProof/>
          <w:rtl/>
        </w:rPr>
        <w:t>-</w:t>
      </w:r>
      <w:r w:rsidRPr="00B80EF8">
        <w:rPr>
          <w:rFonts w:hint="cs"/>
          <w:b/>
          <w:bCs/>
          <w:noProof/>
          <w:rtl/>
        </w:rPr>
        <w:t xml:space="preserve"> </w:t>
      </w:r>
      <w:r>
        <w:rPr>
          <w:rFonts w:hint="cs"/>
          <w:b/>
          <w:bCs/>
          <w:noProof/>
          <w:rtl/>
        </w:rPr>
        <w:t>24</w:t>
      </w:r>
      <w:r w:rsidRPr="00B80EF8">
        <w:rPr>
          <w:rFonts w:hint="cs"/>
          <w:b/>
          <w:bCs/>
          <w:noProof/>
          <w:rtl/>
        </w:rPr>
        <w:t xml:space="preserve"> חודשי מאסר בפועל</w:t>
      </w:r>
      <w:r w:rsidRPr="00B80EF8">
        <w:rPr>
          <w:rFonts w:hint="cs"/>
          <w:noProof/>
          <w:rtl/>
        </w:rPr>
        <w:t>, לצד עונשים נלווים.</w:t>
      </w:r>
    </w:p>
    <w:p w14:paraId="398F61F2" w14:textId="77777777" w:rsidR="00287003" w:rsidRPr="00B80EF8" w:rsidRDefault="00287003" w:rsidP="00287003">
      <w:pPr>
        <w:spacing w:line="360" w:lineRule="auto"/>
        <w:ind w:left="720" w:hanging="720"/>
        <w:jc w:val="both"/>
        <w:rPr>
          <w:noProof/>
          <w:rtl/>
        </w:rPr>
      </w:pPr>
    </w:p>
    <w:p w14:paraId="4CAD5DC0" w14:textId="77777777" w:rsidR="00287003" w:rsidRPr="00B80EF8" w:rsidRDefault="00287003" w:rsidP="00287003">
      <w:pPr>
        <w:spacing w:line="360" w:lineRule="auto"/>
        <w:ind w:left="720" w:hanging="720"/>
        <w:jc w:val="both"/>
        <w:rPr>
          <w:noProof/>
          <w:rtl/>
        </w:rPr>
      </w:pPr>
      <w:r>
        <w:rPr>
          <w:rFonts w:hint="cs"/>
          <w:noProof/>
          <w:rtl/>
        </w:rPr>
        <w:t>26</w:t>
      </w:r>
      <w:r w:rsidRPr="00B80EF8">
        <w:rPr>
          <w:rFonts w:hint="cs"/>
          <w:noProof/>
          <w:rtl/>
        </w:rPr>
        <w:t>.</w:t>
      </w:r>
      <w:r w:rsidRPr="00B80EF8">
        <w:rPr>
          <w:rFonts w:hint="cs"/>
          <w:noProof/>
          <w:rtl/>
        </w:rPr>
        <w:tab/>
        <w:t>לא מצאתי בענייננו קיומם של שיקולים אשר יצדיקו לסטות ממתחם העונש שזה עתה נקבע, בין אם לחומרה ובין אם לקולא.</w:t>
      </w:r>
      <w:r w:rsidRPr="00B80EF8">
        <w:rPr>
          <w:noProof/>
          <w:rtl/>
        </w:rPr>
        <w:t xml:space="preserve"> שיקול ההגנה על שלום הציבור, הגם שמתקיים מעצם הערכים המוגנים שנפגעו, אינו מצדיק חריגה מהמתחם. שיקול השיקום, בשים לב לנסיבות, אינו מתקיים ו</w:t>
      </w:r>
      <w:r w:rsidRPr="00B80EF8">
        <w:rPr>
          <w:rFonts w:hint="cs"/>
          <w:noProof/>
          <w:rtl/>
        </w:rPr>
        <w:t xml:space="preserve">ממילא </w:t>
      </w:r>
      <w:r w:rsidRPr="00B80EF8">
        <w:rPr>
          <w:noProof/>
          <w:rtl/>
        </w:rPr>
        <w:t>אינו מצדיק אף הוא סטייה מהמתחם.</w:t>
      </w:r>
    </w:p>
    <w:p w14:paraId="31F26A9D" w14:textId="77777777" w:rsidR="00287003" w:rsidRPr="00B80EF8" w:rsidRDefault="00287003" w:rsidP="00287003">
      <w:pPr>
        <w:spacing w:line="360" w:lineRule="auto"/>
        <w:ind w:left="720" w:hanging="720"/>
        <w:jc w:val="both"/>
        <w:rPr>
          <w:noProof/>
          <w:rtl/>
        </w:rPr>
      </w:pPr>
    </w:p>
    <w:p w14:paraId="3BF0D709" w14:textId="77777777" w:rsidR="00287003" w:rsidRPr="00B80EF8" w:rsidRDefault="00287003" w:rsidP="00287003">
      <w:pPr>
        <w:spacing w:line="360" w:lineRule="auto"/>
        <w:ind w:left="720" w:hanging="720"/>
        <w:jc w:val="both"/>
        <w:rPr>
          <w:noProof/>
          <w:rtl/>
        </w:rPr>
      </w:pPr>
      <w:r w:rsidRPr="00B80EF8">
        <w:rPr>
          <w:noProof/>
          <w:rtl/>
        </w:rPr>
        <w:tab/>
        <w:t>אפנה להלן לקבוע את העונש המתאים לנאש</w:t>
      </w:r>
      <w:r>
        <w:rPr>
          <w:rFonts w:hint="cs"/>
          <w:noProof/>
          <w:rtl/>
        </w:rPr>
        <w:t>מי</w:t>
      </w:r>
      <w:r w:rsidRPr="00B80EF8">
        <w:rPr>
          <w:noProof/>
          <w:rtl/>
        </w:rPr>
        <w:t xml:space="preserve">ם </w:t>
      </w:r>
      <w:r>
        <w:rPr>
          <w:rFonts w:hint="cs"/>
          <w:noProof/>
          <w:rtl/>
        </w:rPr>
        <w:t xml:space="preserve">4-2 </w:t>
      </w:r>
      <w:r w:rsidRPr="00B80EF8">
        <w:rPr>
          <w:noProof/>
          <w:rtl/>
        </w:rPr>
        <w:t xml:space="preserve">בגבולות מתחם העונש ההולם. בכגון דא, יש להתחשב </w:t>
      </w:r>
      <w:r w:rsidRPr="003B3C2A">
        <w:rPr>
          <w:b/>
          <w:bCs/>
          <w:noProof/>
          <w:rtl/>
        </w:rPr>
        <w:t>בנסיבות אשר אינן קשורות בביצוע העבירה</w:t>
      </w:r>
      <w:r w:rsidRPr="00B80EF8">
        <w:rPr>
          <w:noProof/>
          <w:rtl/>
        </w:rPr>
        <w:t xml:space="preserve">, כמפורט </w:t>
      </w:r>
      <w:hyperlink r:id="rId43" w:history="1">
        <w:r w:rsidR="005D4F26" w:rsidRPr="005D4F26">
          <w:rPr>
            <w:rStyle w:val="Hyperlink"/>
            <w:noProof/>
            <w:rtl/>
          </w:rPr>
          <w:t>בסעיף 40יא</w:t>
        </w:r>
      </w:hyperlink>
      <w:r w:rsidRPr="00B80EF8">
        <w:rPr>
          <w:noProof/>
          <w:rtl/>
        </w:rPr>
        <w:t xml:space="preserve"> לחוק. </w:t>
      </w:r>
    </w:p>
    <w:p w14:paraId="2176517C" w14:textId="77777777" w:rsidR="00287003" w:rsidRPr="00B80EF8" w:rsidRDefault="00287003" w:rsidP="00287003">
      <w:pPr>
        <w:spacing w:line="360" w:lineRule="auto"/>
        <w:ind w:left="720" w:hanging="720"/>
        <w:jc w:val="both"/>
        <w:rPr>
          <w:noProof/>
          <w:rtl/>
        </w:rPr>
      </w:pPr>
    </w:p>
    <w:p w14:paraId="5320B406" w14:textId="77777777" w:rsidR="00287003" w:rsidRPr="00B80EF8" w:rsidRDefault="00287003" w:rsidP="00287003">
      <w:pPr>
        <w:spacing w:line="360" w:lineRule="auto"/>
        <w:ind w:left="720" w:hanging="720"/>
        <w:jc w:val="both"/>
        <w:rPr>
          <w:noProof/>
          <w:u w:val="single"/>
          <w:rtl/>
        </w:rPr>
      </w:pPr>
      <w:r w:rsidRPr="00B80EF8">
        <w:rPr>
          <w:rFonts w:hint="cs"/>
          <w:noProof/>
          <w:u w:val="single"/>
          <w:rtl/>
        </w:rPr>
        <w:t>העונש המתאים לנאש</w:t>
      </w:r>
      <w:r>
        <w:rPr>
          <w:rFonts w:hint="cs"/>
          <w:noProof/>
          <w:u w:val="single"/>
          <w:rtl/>
        </w:rPr>
        <w:t>מי</w:t>
      </w:r>
      <w:r w:rsidRPr="00B80EF8">
        <w:rPr>
          <w:rFonts w:hint="cs"/>
          <w:noProof/>
          <w:u w:val="single"/>
          <w:rtl/>
        </w:rPr>
        <w:t>ם</w:t>
      </w:r>
      <w:r>
        <w:rPr>
          <w:rFonts w:hint="cs"/>
          <w:noProof/>
          <w:u w:val="single"/>
          <w:rtl/>
        </w:rPr>
        <w:t xml:space="preserve"> 4-2</w:t>
      </w:r>
    </w:p>
    <w:p w14:paraId="28A729F1" w14:textId="77777777" w:rsidR="00287003" w:rsidRPr="00B80EF8" w:rsidRDefault="00287003" w:rsidP="00287003">
      <w:pPr>
        <w:spacing w:line="360" w:lineRule="auto"/>
        <w:ind w:left="720" w:hanging="720"/>
        <w:jc w:val="both"/>
        <w:rPr>
          <w:noProof/>
          <w:u w:val="single"/>
          <w:rtl/>
        </w:rPr>
      </w:pPr>
    </w:p>
    <w:p w14:paraId="3000BB46" w14:textId="77777777" w:rsidR="00287003" w:rsidRPr="00B80EF8" w:rsidRDefault="00287003" w:rsidP="00287003">
      <w:pPr>
        <w:spacing w:line="360" w:lineRule="auto"/>
        <w:ind w:left="720" w:hanging="720"/>
        <w:jc w:val="both"/>
        <w:rPr>
          <w:noProof/>
          <w:rtl/>
        </w:rPr>
      </w:pPr>
      <w:r>
        <w:rPr>
          <w:rFonts w:hint="cs"/>
          <w:noProof/>
          <w:rtl/>
        </w:rPr>
        <w:t>27</w:t>
      </w:r>
      <w:r w:rsidRPr="00B80EF8">
        <w:rPr>
          <w:rFonts w:hint="cs"/>
          <w:noProof/>
          <w:rtl/>
        </w:rPr>
        <w:t>.</w:t>
      </w:r>
      <w:r w:rsidRPr="00B80EF8">
        <w:rPr>
          <w:rFonts w:hint="cs"/>
          <w:noProof/>
          <w:rtl/>
        </w:rPr>
        <w:tab/>
        <w:t>בהקשר זה, יש ליתן הדעת להודאת</w:t>
      </w:r>
      <w:r>
        <w:rPr>
          <w:rFonts w:hint="cs"/>
          <w:noProof/>
          <w:rtl/>
        </w:rPr>
        <w:t>ם</w:t>
      </w:r>
      <w:r w:rsidRPr="00B80EF8">
        <w:rPr>
          <w:rFonts w:hint="cs"/>
          <w:noProof/>
          <w:rtl/>
        </w:rPr>
        <w:t xml:space="preserve"> של נאש</w:t>
      </w:r>
      <w:r>
        <w:rPr>
          <w:rFonts w:hint="cs"/>
          <w:noProof/>
          <w:rtl/>
        </w:rPr>
        <w:t>מי</w:t>
      </w:r>
      <w:r w:rsidRPr="00B80EF8">
        <w:rPr>
          <w:rFonts w:hint="cs"/>
          <w:noProof/>
          <w:rtl/>
        </w:rPr>
        <w:t>ם</w:t>
      </w:r>
      <w:r>
        <w:rPr>
          <w:rFonts w:hint="cs"/>
          <w:noProof/>
          <w:rtl/>
        </w:rPr>
        <w:t xml:space="preserve"> אלה</w:t>
      </w:r>
      <w:r w:rsidRPr="00B80EF8">
        <w:rPr>
          <w:rFonts w:hint="cs"/>
          <w:noProof/>
          <w:rtl/>
        </w:rPr>
        <w:t xml:space="preserve"> בעובדות כתב האישום המתוקן. </w:t>
      </w:r>
      <w:r>
        <w:rPr>
          <w:rFonts w:hint="cs"/>
          <w:noProof/>
          <w:rtl/>
        </w:rPr>
        <w:t xml:space="preserve">הודאה זו הביאה לחיסכון בזמן שיפוטי, ויש בה משום נטילת אחריות מצד הנאשמים על המעשים שבוצעו על ידם. </w:t>
      </w:r>
    </w:p>
    <w:p w14:paraId="271D332A" w14:textId="77777777" w:rsidR="00287003" w:rsidRPr="00B80EF8" w:rsidRDefault="00287003" w:rsidP="00287003">
      <w:pPr>
        <w:spacing w:line="360" w:lineRule="auto"/>
        <w:ind w:left="720" w:hanging="720"/>
        <w:jc w:val="both"/>
        <w:rPr>
          <w:noProof/>
          <w:rtl/>
        </w:rPr>
      </w:pPr>
    </w:p>
    <w:p w14:paraId="264097B8" w14:textId="77777777" w:rsidR="00287003" w:rsidRDefault="00287003" w:rsidP="00287003">
      <w:pPr>
        <w:spacing w:line="360" w:lineRule="auto"/>
        <w:ind w:left="720" w:hanging="720"/>
        <w:jc w:val="both"/>
        <w:rPr>
          <w:noProof/>
          <w:rtl/>
        </w:rPr>
      </w:pPr>
      <w:r w:rsidRPr="00B80EF8">
        <w:rPr>
          <w:noProof/>
          <w:rtl/>
        </w:rPr>
        <w:tab/>
      </w:r>
      <w:r w:rsidRPr="00B80EF8">
        <w:rPr>
          <w:rFonts w:hint="cs"/>
          <w:noProof/>
          <w:rtl/>
        </w:rPr>
        <w:t>נתון נוסף בעל משקל משמעותי, אשר יש בו לפעול לקולא, הוא גיל</w:t>
      </w:r>
      <w:r>
        <w:rPr>
          <w:rFonts w:hint="cs"/>
          <w:noProof/>
          <w:rtl/>
        </w:rPr>
        <w:t>ם</w:t>
      </w:r>
      <w:r w:rsidRPr="00B80EF8">
        <w:rPr>
          <w:rFonts w:hint="cs"/>
          <w:noProof/>
          <w:rtl/>
        </w:rPr>
        <w:t xml:space="preserve"> הצעיר </w:t>
      </w:r>
      <w:r>
        <w:rPr>
          <w:rFonts w:hint="cs"/>
          <w:noProof/>
          <w:rtl/>
        </w:rPr>
        <w:t xml:space="preserve">יחסית </w:t>
      </w:r>
      <w:r w:rsidRPr="00B80EF8">
        <w:rPr>
          <w:rFonts w:hint="cs"/>
          <w:noProof/>
          <w:rtl/>
        </w:rPr>
        <w:t>של הנאש</w:t>
      </w:r>
      <w:r>
        <w:rPr>
          <w:rFonts w:hint="cs"/>
          <w:noProof/>
          <w:rtl/>
        </w:rPr>
        <w:t xml:space="preserve">מים, במיוחד נאשם 4. </w:t>
      </w:r>
      <w:r w:rsidRPr="00B80EF8">
        <w:rPr>
          <w:rFonts w:hint="cs"/>
          <w:noProof/>
          <w:rtl/>
        </w:rPr>
        <w:t xml:space="preserve"> כמו כן, לא נרשמו לחובת</w:t>
      </w:r>
      <w:r>
        <w:rPr>
          <w:rFonts w:hint="cs"/>
          <w:noProof/>
          <w:rtl/>
        </w:rPr>
        <w:t>ו</w:t>
      </w:r>
      <w:r w:rsidRPr="00B80EF8">
        <w:rPr>
          <w:rFonts w:hint="cs"/>
          <w:noProof/>
          <w:rtl/>
        </w:rPr>
        <w:t xml:space="preserve"> </w:t>
      </w:r>
      <w:r>
        <w:rPr>
          <w:rFonts w:hint="cs"/>
          <w:noProof/>
          <w:rtl/>
        </w:rPr>
        <w:t>של זה (</w:t>
      </w:r>
      <w:r w:rsidRPr="00B80EF8">
        <w:rPr>
          <w:rFonts w:hint="cs"/>
          <w:noProof/>
          <w:rtl/>
        </w:rPr>
        <w:t>נאשם</w:t>
      </w:r>
      <w:r>
        <w:rPr>
          <w:rFonts w:hint="cs"/>
          <w:noProof/>
          <w:rtl/>
        </w:rPr>
        <w:t xml:space="preserve"> 4)</w:t>
      </w:r>
      <w:r w:rsidRPr="00B80EF8">
        <w:rPr>
          <w:rFonts w:hint="cs"/>
          <w:noProof/>
          <w:rtl/>
        </w:rPr>
        <w:t xml:space="preserve"> הרשעות בפלילים קודם ביצוע המעשים מושא ענייננו. </w:t>
      </w:r>
    </w:p>
    <w:p w14:paraId="17092FEF" w14:textId="77777777" w:rsidR="00287003" w:rsidRDefault="00287003" w:rsidP="00287003">
      <w:pPr>
        <w:spacing w:line="360" w:lineRule="auto"/>
        <w:ind w:left="720" w:hanging="720"/>
        <w:jc w:val="both"/>
        <w:rPr>
          <w:noProof/>
          <w:rtl/>
        </w:rPr>
      </w:pPr>
    </w:p>
    <w:p w14:paraId="56809F3E" w14:textId="77777777" w:rsidR="00287003" w:rsidRDefault="00287003" w:rsidP="00287003">
      <w:pPr>
        <w:spacing w:line="360" w:lineRule="auto"/>
        <w:ind w:left="720"/>
        <w:jc w:val="both"/>
        <w:rPr>
          <w:noProof/>
          <w:rtl/>
        </w:rPr>
      </w:pPr>
      <w:r>
        <w:rPr>
          <w:rFonts w:hint="cs"/>
          <w:noProof/>
          <w:rtl/>
        </w:rPr>
        <w:t xml:space="preserve">לעומת זאת, לנאשמים 2 ו- 3 עבר פלילי; לנאשם 2 הרשעה אחת בעבירות של שוד מזוין ונשק, בגינה ריצה 23 חודשי מאסר בפועל. לנאשם 3 הרשעה בעבירות נשק וסיכון חיי אדם, בגינה ריצה 14 חודשי מאסר בפועל. </w:t>
      </w:r>
    </w:p>
    <w:p w14:paraId="1F69E8F0" w14:textId="77777777" w:rsidR="00287003" w:rsidRDefault="00287003" w:rsidP="00287003">
      <w:pPr>
        <w:spacing w:line="360" w:lineRule="auto"/>
        <w:ind w:left="720"/>
        <w:jc w:val="both"/>
        <w:rPr>
          <w:noProof/>
          <w:rtl/>
        </w:rPr>
      </w:pPr>
    </w:p>
    <w:p w14:paraId="3D1A09BE" w14:textId="77777777" w:rsidR="00287003" w:rsidRDefault="00287003" w:rsidP="00287003">
      <w:pPr>
        <w:spacing w:line="360" w:lineRule="auto"/>
        <w:ind w:left="720" w:hanging="720"/>
        <w:jc w:val="both"/>
        <w:rPr>
          <w:noProof/>
          <w:rtl/>
        </w:rPr>
      </w:pPr>
      <w:r>
        <w:rPr>
          <w:rFonts w:hint="cs"/>
          <w:noProof/>
          <w:rtl/>
        </w:rPr>
        <w:t>28.</w:t>
      </w:r>
      <w:r>
        <w:rPr>
          <w:rFonts w:hint="cs"/>
          <w:noProof/>
          <w:rtl/>
        </w:rPr>
        <w:tab/>
        <w:t xml:space="preserve">נתתי דעתי גם לנסיבות האישיות של הנאשמים 4-2 כפי שאלה פורטו בהרחבה על ידי באי כוחם. כך, יש לזקוף לזכותו של נאשם 2 את התנהלותו החיובית בין כותלי בית הסוהר ואת השתתפותו בהשתלמויות ובקורסים של טבחות ועזרה ראשונה (ראו טנ/1). נאשם זה אף איבד את אמו, שנפטרה במפתיע במהלך מעצרו. לעניין עברו, לא נעלמה מעיניי העובדה כי מדובר בהרשעה אחת משנת 2015 בגין עבירה משנת 2014. אף לגבי נאשם 3, לא נעלמה מעיניי העובדה כי העבירה הרשומה לחובתו הינה משנת 2013 (בגינה הורשע בשנת 2014). מאז לא נרשמו לחובת נאשמים אלו הרשעות משך שנים מספר. </w:t>
      </w:r>
    </w:p>
    <w:p w14:paraId="2AF48D99" w14:textId="77777777" w:rsidR="00287003" w:rsidRDefault="00287003" w:rsidP="00287003">
      <w:pPr>
        <w:spacing w:line="360" w:lineRule="auto"/>
        <w:ind w:left="720" w:hanging="720"/>
        <w:jc w:val="both"/>
        <w:rPr>
          <w:noProof/>
          <w:rtl/>
        </w:rPr>
      </w:pPr>
    </w:p>
    <w:p w14:paraId="02E8FCAE" w14:textId="77777777" w:rsidR="00287003" w:rsidRPr="00B80EF8" w:rsidRDefault="00287003" w:rsidP="00287003">
      <w:pPr>
        <w:spacing w:line="360" w:lineRule="auto"/>
        <w:ind w:left="720" w:hanging="720"/>
        <w:jc w:val="both"/>
        <w:rPr>
          <w:noProof/>
          <w:rtl/>
        </w:rPr>
      </w:pPr>
      <w:r>
        <w:rPr>
          <w:noProof/>
          <w:rtl/>
        </w:rPr>
        <w:tab/>
      </w:r>
      <w:r>
        <w:rPr>
          <w:rFonts w:hint="cs"/>
          <w:noProof/>
          <w:rtl/>
        </w:rPr>
        <w:t xml:space="preserve">אף לגבי נאשם 4 נתתי דעתי לנסיבות האישיות כפי שאלה משתקפות ממכתב המחלקה לשירותים חברתיים במועצה המקומית, כמו גם למצבה הרפואי של אמו כפי שעולה מסיכום המידע הרפואי שהוגש (ראו המסמכים טנ/3). נאשם 4 הוא הבן הבכור במשפחה חד הורית ושהייתו בבית הסוהר משליכה על יתר בני המשפחה. </w:t>
      </w:r>
    </w:p>
    <w:p w14:paraId="3F32475F" w14:textId="77777777" w:rsidR="00287003" w:rsidRPr="00B80EF8" w:rsidRDefault="00287003" w:rsidP="00287003">
      <w:pPr>
        <w:spacing w:line="360" w:lineRule="auto"/>
        <w:ind w:left="720" w:hanging="720"/>
        <w:jc w:val="both"/>
        <w:rPr>
          <w:noProof/>
          <w:rtl/>
        </w:rPr>
      </w:pPr>
    </w:p>
    <w:p w14:paraId="06E8EF25" w14:textId="77777777" w:rsidR="00287003" w:rsidRPr="00B80EF8" w:rsidRDefault="00287003" w:rsidP="00287003">
      <w:pPr>
        <w:spacing w:line="360" w:lineRule="auto"/>
        <w:ind w:left="720" w:hanging="720"/>
        <w:jc w:val="both"/>
        <w:rPr>
          <w:noProof/>
          <w:rtl/>
        </w:rPr>
      </w:pPr>
      <w:r>
        <w:rPr>
          <w:rFonts w:hint="cs"/>
          <w:noProof/>
          <w:rtl/>
        </w:rPr>
        <w:t>29</w:t>
      </w:r>
      <w:r w:rsidRPr="00B80EF8">
        <w:rPr>
          <w:rFonts w:hint="cs"/>
          <w:noProof/>
          <w:rtl/>
        </w:rPr>
        <w:t>.</w:t>
      </w:r>
      <w:r w:rsidRPr="00B80EF8">
        <w:rPr>
          <w:rFonts w:hint="cs"/>
          <w:noProof/>
          <w:rtl/>
        </w:rPr>
        <w:tab/>
        <w:t>על יסוד נסיבות אלו אשר אינן קשורות בביצוע העבירה, מצאתי למקם את עונש מאסרו של הנאשם</w:t>
      </w:r>
      <w:r>
        <w:rPr>
          <w:rFonts w:hint="cs"/>
          <w:noProof/>
          <w:rtl/>
        </w:rPr>
        <w:t xml:space="preserve"> 4 ברף התחתון של המתחם, ואת עונש המאסר של נאשמים 2 ו- 3 מעט מעל רף זה, לאור העבר הפלילי שתואר.</w:t>
      </w:r>
      <w:r w:rsidRPr="00B80EF8">
        <w:rPr>
          <w:rFonts w:hint="cs"/>
          <w:noProof/>
          <w:rtl/>
        </w:rPr>
        <w:t xml:space="preserve"> זאת</w:t>
      </w:r>
      <w:r>
        <w:rPr>
          <w:rFonts w:hint="cs"/>
          <w:noProof/>
          <w:rtl/>
        </w:rPr>
        <w:t>,</w:t>
      </w:r>
      <w:r w:rsidRPr="00B80EF8">
        <w:rPr>
          <w:rFonts w:hint="cs"/>
          <w:noProof/>
          <w:rtl/>
        </w:rPr>
        <w:t xml:space="preserve"> לצד ענישה משמעותית צופה פני עתיד וקנס. במכלול ענישה זה, יהא כדי להרתיע הן את הנאש</w:t>
      </w:r>
      <w:r>
        <w:rPr>
          <w:rFonts w:hint="cs"/>
          <w:noProof/>
          <w:rtl/>
        </w:rPr>
        <w:t>מי</w:t>
      </w:r>
      <w:r w:rsidRPr="00B80EF8">
        <w:rPr>
          <w:rFonts w:hint="cs"/>
          <w:noProof/>
          <w:rtl/>
        </w:rPr>
        <w:t xml:space="preserve">ם והן את עברייני הנשק הפוטנציאליים מפני ביצוע עבירות כגון דא, ואף יהא בו להגשים את עיקרון ההלימה לצד עיקרון אחידות הענישה. כולי תקווה כי </w:t>
      </w:r>
      <w:r>
        <w:rPr>
          <w:rFonts w:hint="cs"/>
          <w:noProof/>
          <w:rtl/>
        </w:rPr>
        <w:t>הנאשמים 4-2 אשר גילם</w:t>
      </w:r>
      <w:r w:rsidRPr="00B80EF8">
        <w:rPr>
          <w:rFonts w:hint="cs"/>
          <w:noProof/>
          <w:rtl/>
        </w:rPr>
        <w:t xml:space="preserve"> צעיר</w:t>
      </w:r>
      <w:r>
        <w:rPr>
          <w:rFonts w:hint="cs"/>
          <w:noProof/>
          <w:rtl/>
        </w:rPr>
        <w:t xml:space="preserve"> יחסית</w:t>
      </w:r>
      <w:r w:rsidRPr="00B80EF8">
        <w:rPr>
          <w:rFonts w:hint="cs"/>
          <w:noProof/>
          <w:rtl/>
        </w:rPr>
        <w:t>, ישוב</w:t>
      </w:r>
      <w:r>
        <w:rPr>
          <w:rFonts w:hint="cs"/>
          <w:noProof/>
          <w:rtl/>
        </w:rPr>
        <w:t>ו אל דרך הישר לאחר שירצו</w:t>
      </w:r>
      <w:r w:rsidRPr="00B80EF8">
        <w:rPr>
          <w:rFonts w:hint="cs"/>
          <w:noProof/>
          <w:rtl/>
        </w:rPr>
        <w:t xml:space="preserve"> עונש </w:t>
      </w:r>
      <w:r>
        <w:rPr>
          <w:rFonts w:hint="cs"/>
          <w:noProof/>
          <w:rtl/>
        </w:rPr>
        <w:t>ה</w:t>
      </w:r>
      <w:r w:rsidRPr="00B80EF8">
        <w:rPr>
          <w:rFonts w:hint="cs"/>
          <w:noProof/>
          <w:rtl/>
        </w:rPr>
        <w:t>מאסר מאחורי סורג ובריח.</w:t>
      </w:r>
    </w:p>
    <w:p w14:paraId="312B0A93" w14:textId="77777777" w:rsidR="00287003" w:rsidRPr="00346A62" w:rsidRDefault="00287003" w:rsidP="00287003">
      <w:pPr>
        <w:spacing w:line="360" w:lineRule="auto"/>
        <w:ind w:left="720"/>
        <w:jc w:val="both"/>
        <w:rPr>
          <w:noProof/>
          <w:rtl/>
        </w:rPr>
      </w:pPr>
    </w:p>
    <w:p w14:paraId="5B4182B7" w14:textId="77777777" w:rsidR="00287003" w:rsidRDefault="00287003" w:rsidP="00287003">
      <w:pPr>
        <w:spacing w:line="360" w:lineRule="auto"/>
        <w:jc w:val="both"/>
        <w:rPr>
          <w:b/>
          <w:bCs/>
          <w:u w:val="single"/>
          <w:rtl/>
        </w:rPr>
      </w:pPr>
      <w:r>
        <w:rPr>
          <w:rFonts w:hint="cs"/>
          <w:b/>
          <w:bCs/>
          <w:u w:val="single"/>
          <w:rtl/>
        </w:rPr>
        <w:t>סוף דבר</w:t>
      </w:r>
    </w:p>
    <w:p w14:paraId="7B409419" w14:textId="77777777" w:rsidR="00287003" w:rsidRDefault="00287003" w:rsidP="00287003">
      <w:pPr>
        <w:spacing w:line="360" w:lineRule="auto"/>
        <w:ind w:left="1080"/>
        <w:contextualSpacing/>
        <w:jc w:val="both"/>
        <w:rPr>
          <w:rtl/>
        </w:rPr>
      </w:pPr>
    </w:p>
    <w:p w14:paraId="777E7951" w14:textId="77777777" w:rsidR="00287003" w:rsidRDefault="00287003" w:rsidP="00287003">
      <w:pPr>
        <w:spacing w:line="360" w:lineRule="auto"/>
        <w:ind w:left="720" w:hanging="720"/>
        <w:jc w:val="both"/>
        <w:rPr>
          <w:rtl/>
        </w:rPr>
      </w:pPr>
      <w:r>
        <w:rPr>
          <w:rFonts w:hint="cs"/>
          <w:rtl/>
        </w:rPr>
        <w:t xml:space="preserve">30. </w:t>
      </w:r>
      <w:r>
        <w:rPr>
          <w:rFonts w:hint="cs"/>
          <w:rtl/>
        </w:rPr>
        <w:tab/>
        <w:t>אשר על כן, אני גוזר על הנאשמים את העונשים הבאים:</w:t>
      </w:r>
    </w:p>
    <w:p w14:paraId="4A010A8B" w14:textId="77777777" w:rsidR="00287003" w:rsidRDefault="00287003" w:rsidP="00287003">
      <w:pPr>
        <w:spacing w:line="360" w:lineRule="auto"/>
        <w:ind w:left="720" w:hanging="720"/>
        <w:jc w:val="both"/>
        <w:rPr>
          <w:rtl/>
        </w:rPr>
      </w:pPr>
    </w:p>
    <w:p w14:paraId="24FE428D" w14:textId="77777777" w:rsidR="00287003" w:rsidRPr="005A110F" w:rsidRDefault="00287003" w:rsidP="00287003">
      <w:pPr>
        <w:spacing w:line="360" w:lineRule="auto"/>
        <w:ind w:left="720" w:hanging="720"/>
        <w:jc w:val="both"/>
        <w:rPr>
          <w:b/>
          <w:bCs/>
          <w:u w:val="single"/>
          <w:rtl/>
        </w:rPr>
      </w:pPr>
      <w:r w:rsidRPr="005A110F">
        <w:rPr>
          <w:b/>
          <w:bCs/>
          <w:rtl/>
        </w:rPr>
        <w:tab/>
      </w:r>
      <w:r w:rsidRPr="005A110F">
        <w:rPr>
          <w:rFonts w:hint="cs"/>
          <w:b/>
          <w:bCs/>
          <w:u w:val="single"/>
          <w:rtl/>
        </w:rPr>
        <w:t>על נאשם 1:</w:t>
      </w:r>
    </w:p>
    <w:p w14:paraId="494BDCB6" w14:textId="77777777" w:rsidR="00287003" w:rsidRDefault="00287003" w:rsidP="00287003">
      <w:pPr>
        <w:spacing w:line="360" w:lineRule="auto"/>
        <w:ind w:left="720" w:hanging="720"/>
        <w:jc w:val="both"/>
        <w:rPr>
          <w:rtl/>
        </w:rPr>
      </w:pPr>
    </w:p>
    <w:p w14:paraId="7E5F0283" w14:textId="77777777" w:rsidR="00287003" w:rsidRPr="00736A68" w:rsidRDefault="00287003" w:rsidP="00287003">
      <w:pPr>
        <w:pStyle w:val="a9"/>
        <w:numPr>
          <w:ilvl w:val="0"/>
          <w:numId w:val="2"/>
        </w:numPr>
        <w:spacing w:line="360" w:lineRule="auto"/>
        <w:jc w:val="both"/>
        <w:rPr>
          <w:b/>
          <w:bCs/>
          <w:rtl/>
        </w:rPr>
      </w:pPr>
      <w:r w:rsidRPr="00736A68">
        <w:rPr>
          <w:rFonts w:hint="cs"/>
          <w:b/>
          <w:bCs/>
          <w:rtl/>
        </w:rPr>
        <w:t xml:space="preserve">עשרים וארבעה (24) חודשי מאסר בפועל. </w:t>
      </w:r>
    </w:p>
    <w:p w14:paraId="1DF057F9" w14:textId="77777777" w:rsidR="00287003" w:rsidRPr="00736A68" w:rsidRDefault="00287003" w:rsidP="00287003">
      <w:pPr>
        <w:spacing w:line="360" w:lineRule="auto"/>
        <w:ind w:left="716" w:firstLine="364"/>
        <w:jc w:val="both"/>
        <w:rPr>
          <w:rtl/>
        </w:rPr>
      </w:pPr>
      <w:r>
        <w:rPr>
          <w:rFonts w:hint="cs"/>
          <w:rtl/>
        </w:rPr>
        <w:t>תקופת</w:t>
      </w:r>
      <w:r w:rsidRPr="00736A68">
        <w:rPr>
          <w:rFonts w:hint="cs"/>
          <w:rtl/>
        </w:rPr>
        <w:t xml:space="preserve"> המאסר </w:t>
      </w:r>
      <w:r>
        <w:rPr>
          <w:rFonts w:hint="cs"/>
          <w:rtl/>
        </w:rPr>
        <w:t>ת</w:t>
      </w:r>
      <w:r w:rsidRPr="00736A68">
        <w:rPr>
          <w:rFonts w:hint="cs"/>
          <w:rtl/>
        </w:rPr>
        <w:t xml:space="preserve">ימנה החל ממעצרו ביום </w:t>
      </w:r>
      <w:r>
        <w:rPr>
          <w:rFonts w:hint="cs"/>
          <w:rtl/>
        </w:rPr>
        <w:t>4.6.2022</w:t>
      </w:r>
      <w:r w:rsidRPr="00736A68">
        <w:rPr>
          <w:rFonts w:hint="cs"/>
          <w:rtl/>
        </w:rPr>
        <w:t>.</w:t>
      </w:r>
    </w:p>
    <w:p w14:paraId="286BB304" w14:textId="77777777" w:rsidR="00287003" w:rsidRPr="00F52D40" w:rsidRDefault="00287003" w:rsidP="00287003">
      <w:pPr>
        <w:spacing w:after="160" w:line="360" w:lineRule="auto"/>
        <w:ind w:left="1080"/>
        <w:contextualSpacing/>
        <w:jc w:val="both"/>
        <w:rPr>
          <w:rFonts w:eastAsia="Calibri"/>
          <w:b/>
          <w:bCs/>
          <w:rtl/>
        </w:rPr>
      </w:pPr>
    </w:p>
    <w:p w14:paraId="46BF65D6" w14:textId="77777777" w:rsidR="00287003" w:rsidRPr="00F52D40" w:rsidRDefault="00287003" w:rsidP="00287003">
      <w:pPr>
        <w:numPr>
          <w:ilvl w:val="0"/>
          <w:numId w:val="1"/>
        </w:numPr>
        <w:spacing w:after="160" w:line="360" w:lineRule="auto"/>
        <w:contextualSpacing/>
        <w:jc w:val="both"/>
        <w:rPr>
          <w:rFonts w:eastAsia="Calibri"/>
          <w:b/>
          <w:bCs/>
        </w:rPr>
      </w:pPr>
      <w:r w:rsidRPr="00F52D40">
        <w:rPr>
          <w:rFonts w:eastAsia="Calibri"/>
          <w:b/>
          <w:bCs/>
          <w:rtl/>
        </w:rPr>
        <w:t>שניים עשר (12) חודשי מאסר על תנאי למשך שלוש שנים, שלא יעבור כל עבירת נשק מסוג פשע</w:t>
      </w:r>
      <w:r w:rsidRPr="00F52D40">
        <w:rPr>
          <w:rFonts w:eastAsia="Calibri" w:hint="cs"/>
          <w:b/>
          <w:bCs/>
          <w:rtl/>
        </w:rPr>
        <w:t>, לרבות עבירה של ירי מנשק חם</w:t>
      </w:r>
      <w:r>
        <w:rPr>
          <w:rFonts w:eastAsia="Calibri" w:hint="cs"/>
          <w:b/>
          <w:bCs/>
          <w:rtl/>
        </w:rPr>
        <w:t>, מסוג פשע</w:t>
      </w:r>
      <w:r w:rsidRPr="00F52D40">
        <w:rPr>
          <w:rFonts w:eastAsia="Calibri"/>
          <w:b/>
          <w:bCs/>
          <w:rtl/>
        </w:rPr>
        <w:t>.</w:t>
      </w:r>
    </w:p>
    <w:p w14:paraId="37B2A43A" w14:textId="77777777" w:rsidR="00287003" w:rsidRPr="003B3C2A" w:rsidRDefault="00287003" w:rsidP="00287003">
      <w:pPr>
        <w:spacing w:after="160" w:line="360" w:lineRule="auto"/>
        <w:ind w:left="1080"/>
        <w:contextualSpacing/>
        <w:jc w:val="both"/>
        <w:rPr>
          <w:rFonts w:eastAsia="Calibri"/>
          <w:b/>
          <w:bCs/>
        </w:rPr>
      </w:pPr>
    </w:p>
    <w:p w14:paraId="5B53049C" w14:textId="77777777" w:rsidR="00287003" w:rsidRPr="00F52D40" w:rsidRDefault="00287003" w:rsidP="00287003">
      <w:pPr>
        <w:numPr>
          <w:ilvl w:val="0"/>
          <w:numId w:val="1"/>
        </w:numPr>
        <w:spacing w:after="160" w:line="360" w:lineRule="auto"/>
        <w:contextualSpacing/>
        <w:jc w:val="both"/>
        <w:rPr>
          <w:rFonts w:eastAsia="Calibri"/>
          <w:b/>
          <w:bCs/>
        </w:rPr>
      </w:pPr>
      <w:r w:rsidRPr="00F52D40">
        <w:rPr>
          <w:rFonts w:eastAsia="Calibri"/>
          <w:b/>
          <w:bCs/>
          <w:rtl/>
        </w:rPr>
        <w:t>שמונה (8) חודשי מאסר על תנאי למשך שלוש שנים, שלא יעבור כל עבירת נשק מסוג עוון</w:t>
      </w:r>
      <w:r w:rsidRPr="00F52D40">
        <w:rPr>
          <w:rFonts w:eastAsia="Calibri" w:hint="cs"/>
          <w:b/>
          <w:bCs/>
          <w:rtl/>
        </w:rPr>
        <w:t>, לרבות ירי מנשק חם</w:t>
      </w:r>
      <w:r>
        <w:rPr>
          <w:rFonts w:eastAsia="Calibri" w:hint="cs"/>
          <w:b/>
          <w:bCs/>
          <w:rtl/>
        </w:rPr>
        <w:t>, מסוג עוון</w:t>
      </w:r>
      <w:r w:rsidRPr="00F52D40">
        <w:rPr>
          <w:rFonts w:eastAsia="Calibri"/>
          <w:b/>
          <w:bCs/>
          <w:rtl/>
        </w:rPr>
        <w:t>.</w:t>
      </w:r>
    </w:p>
    <w:p w14:paraId="1AE4AFB6" w14:textId="77777777" w:rsidR="00287003" w:rsidRPr="00F52D40" w:rsidRDefault="00287003" w:rsidP="00287003">
      <w:pPr>
        <w:spacing w:after="160" w:line="360" w:lineRule="auto"/>
        <w:ind w:left="1080"/>
        <w:contextualSpacing/>
        <w:jc w:val="both"/>
        <w:rPr>
          <w:rFonts w:eastAsia="Calibri"/>
          <w:b/>
          <w:bCs/>
        </w:rPr>
      </w:pPr>
    </w:p>
    <w:p w14:paraId="5235A731" w14:textId="77777777" w:rsidR="00287003" w:rsidRDefault="00287003" w:rsidP="00287003">
      <w:pPr>
        <w:numPr>
          <w:ilvl w:val="0"/>
          <w:numId w:val="1"/>
        </w:numPr>
        <w:spacing w:after="160" w:line="360" w:lineRule="auto"/>
        <w:contextualSpacing/>
        <w:jc w:val="both"/>
        <w:rPr>
          <w:rFonts w:eastAsia="Calibri"/>
          <w:b/>
          <w:bCs/>
        </w:rPr>
      </w:pPr>
      <w:r w:rsidRPr="00F52D40">
        <w:rPr>
          <w:rFonts w:eastAsia="Calibri"/>
          <w:b/>
          <w:bCs/>
          <w:rtl/>
        </w:rPr>
        <w:t xml:space="preserve">קנס בסך של </w:t>
      </w:r>
      <w:r w:rsidRPr="00F52D40">
        <w:rPr>
          <w:rFonts w:eastAsia="Calibri" w:hint="cs"/>
          <w:b/>
          <w:bCs/>
          <w:rtl/>
        </w:rPr>
        <w:t>3</w:t>
      </w:r>
      <w:r w:rsidRPr="00F52D40">
        <w:rPr>
          <w:rFonts w:eastAsia="Calibri"/>
          <w:b/>
          <w:bCs/>
          <w:rtl/>
        </w:rPr>
        <w:t xml:space="preserve">,000 ₪, אשר ישולם תוך </w:t>
      </w:r>
      <w:r w:rsidRPr="00F52D40">
        <w:rPr>
          <w:rFonts w:eastAsia="Calibri" w:hint="cs"/>
          <w:b/>
          <w:bCs/>
          <w:rtl/>
        </w:rPr>
        <w:t>9</w:t>
      </w:r>
      <w:r w:rsidRPr="00F52D40">
        <w:rPr>
          <w:rFonts w:eastAsia="Calibri"/>
          <w:b/>
          <w:bCs/>
          <w:rtl/>
        </w:rPr>
        <w:t>0 ימים מהיום.</w:t>
      </w:r>
    </w:p>
    <w:p w14:paraId="6F5BE6FA" w14:textId="77777777" w:rsidR="00287003" w:rsidRDefault="00287003" w:rsidP="00287003">
      <w:pPr>
        <w:pStyle w:val="a9"/>
        <w:rPr>
          <w:rFonts w:eastAsia="Calibri"/>
          <w:b/>
          <w:bCs/>
          <w:rtl/>
        </w:rPr>
      </w:pPr>
    </w:p>
    <w:p w14:paraId="33B8FF67" w14:textId="77777777" w:rsidR="00287003" w:rsidRPr="005A110F" w:rsidRDefault="00287003" w:rsidP="00287003">
      <w:pPr>
        <w:pStyle w:val="a9"/>
        <w:spacing w:line="360" w:lineRule="auto"/>
        <w:rPr>
          <w:rFonts w:eastAsia="Calibri"/>
          <w:b/>
          <w:bCs/>
          <w:u w:val="single"/>
          <w:rtl/>
        </w:rPr>
      </w:pPr>
      <w:r w:rsidRPr="005A110F">
        <w:rPr>
          <w:rFonts w:eastAsia="Calibri" w:hint="cs"/>
          <w:b/>
          <w:bCs/>
          <w:u w:val="single"/>
          <w:rtl/>
        </w:rPr>
        <w:t>על נאשם 2:</w:t>
      </w:r>
    </w:p>
    <w:p w14:paraId="5B2AF28D" w14:textId="77777777" w:rsidR="00287003" w:rsidRDefault="00287003" w:rsidP="00287003">
      <w:pPr>
        <w:pStyle w:val="a9"/>
        <w:spacing w:line="360" w:lineRule="auto"/>
        <w:rPr>
          <w:rFonts w:eastAsia="Calibri"/>
          <w:b/>
          <w:bCs/>
          <w:rtl/>
        </w:rPr>
      </w:pPr>
    </w:p>
    <w:p w14:paraId="19A7E6CA"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שנים עשר</w:t>
      </w:r>
      <w:r w:rsidRPr="00F52D40">
        <w:rPr>
          <w:rFonts w:eastAsia="Calibri" w:hint="cs"/>
          <w:b/>
          <w:bCs/>
          <w:rtl/>
        </w:rPr>
        <w:t xml:space="preserve"> </w:t>
      </w:r>
      <w:r w:rsidRPr="00F52D40">
        <w:rPr>
          <w:rFonts w:eastAsia="Calibri"/>
          <w:b/>
          <w:bCs/>
          <w:rtl/>
        </w:rPr>
        <w:t>(</w:t>
      </w:r>
      <w:r>
        <w:rPr>
          <w:rFonts w:eastAsia="Calibri" w:hint="cs"/>
          <w:b/>
          <w:bCs/>
          <w:rtl/>
        </w:rPr>
        <w:t>12</w:t>
      </w:r>
      <w:r w:rsidRPr="00F52D40">
        <w:rPr>
          <w:rFonts w:eastAsia="Calibri"/>
          <w:b/>
          <w:bCs/>
          <w:rtl/>
        </w:rPr>
        <w:t>) חודשי מאסר בפועל</w:t>
      </w:r>
      <w:r w:rsidRPr="00F52D40">
        <w:rPr>
          <w:rFonts w:eastAsia="Calibri" w:hint="cs"/>
          <w:b/>
          <w:bCs/>
          <w:rtl/>
        </w:rPr>
        <w:t>.</w:t>
      </w:r>
    </w:p>
    <w:p w14:paraId="594D8582" w14:textId="77777777" w:rsidR="00287003" w:rsidRPr="00736A68" w:rsidRDefault="00287003" w:rsidP="00287003">
      <w:pPr>
        <w:spacing w:after="160" w:line="360" w:lineRule="auto"/>
        <w:ind w:left="1080"/>
        <w:contextualSpacing/>
        <w:jc w:val="both"/>
        <w:rPr>
          <w:rFonts w:eastAsia="Calibri"/>
          <w:rtl/>
        </w:rPr>
      </w:pPr>
      <w:r w:rsidRPr="00736A68">
        <w:rPr>
          <w:rFonts w:eastAsia="Calibri" w:hint="cs"/>
          <w:rtl/>
        </w:rPr>
        <w:t>תקופה זו תימנה מיום מעצרו של הנאשם 2 בתאריך 4.6.2022.</w:t>
      </w:r>
    </w:p>
    <w:p w14:paraId="0E07B9ED" w14:textId="77777777" w:rsidR="00287003" w:rsidRPr="00F52D40" w:rsidRDefault="00287003" w:rsidP="00287003">
      <w:pPr>
        <w:spacing w:after="160" w:line="360" w:lineRule="auto"/>
        <w:ind w:left="1080"/>
        <w:contextualSpacing/>
        <w:jc w:val="both"/>
        <w:rPr>
          <w:rFonts w:eastAsia="Calibri"/>
          <w:b/>
          <w:bCs/>
          <w:rtl/>
        </w:rPr>
      </w:pPr>
      <w:r w:rsidRPr="00F52D40">
        <w:rPr>
          <w:rFonts w:eastAsia="Calibri"/>
          <w:b/>
          <w:bCs/>
          <w:rtl/>
        </w:rPr>
        <w:t xml:space="preserve"> </w:t>
      </w:r>
    </w:p>
    <w:p w14:paraId="59746993"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שבעה</w:t>
      </w:r>
      <w:r w:rsidRPr="00F52D40">
        <w:rPr>
          <w:rFonts w:eastAsia="Calibri"/>
          <w:b/>
          <w:bCs/>
          <w:rtl/>
        </w:rPr>
        <w:t xml:space="preserve"> (</w:t>
      </w:r>
      <w:r>
        <w:rPr>
          <w:rFonts w:eastAsia="Calibri" w:hint="cs"/>
          <w:b/>
          <w:bCs/>
          <w:rtl/>
        </w:rPr>
        <w:t>7</w:t>
      </w:r>
      <w:r w:rsidRPr="00F52D40">
        <w:rPr>
          <w:rFonts w:eastAsia="Calibri"/>
          <w:b/>
          <w:bCs/>
          <w:rtl/>
        </w:rPr>
        <w:t>) חודשי מאסר על תנאי למשך שלוש שנים, שלא יעבור כל עבירת נשק מסוג פשע</w:t>
      </w:r>
      <w:r w:rsidRPr="00F52D40">
        <w:rPr>
          <w:rFonts w:eastAsia="Calibri" w:hint="cs"/>
          <w:b/>
          <w:bCs/>
          <w:rtl/>
        </w:rPr>
        <w:t>, לרבות עבירה של ירי מנשק חם</w:t>
      </w:r>
      <w:r>
        <w:rPr>
          <w:rFonts w:eastAsia="Calibri" w:hint="cs"/>
          <w:b/>
          <w:bCs/>
          <w:rtl/>
        </w:rPr>
        <w:t>, מסוג פשע</w:t>
      </w:r>
      <w:r w:rsidRPr="00F52D40">
        <w:rPr>
          <w:rFonts w:eastAsia="Calibri"/>
          <w:b/>
          <w:bCs/>
          <w:rtl/>
        </w:rPr>
        <w:t>.</w:t>
      </w:r>
    </w:p>
    <w:p w14:paraId="62031A3F" w14:textId="77777777" w:rsidR="00287003" w:rsidRPr="00F52D40" w:rsidRDefault="00287003" w:rsidP="00287003">
      <w:pPr>
        <w:spacing w:after="160" w:line="360" w:lineRule="auto"/>
        <w:ind w:left="1080"/>
        <w:contextualSpacing/>
        <w:jc w:val="both"/>
        <w:rPr>
          <w:rFonts w:eastAsia="Calibri"/>
          <w:b/>
          <w:bCs/>
        </w:rPr>
      </w:pPr>
    </w:p>
    <w:p w14:paraId="2C12C7AB"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חמישה</w:t>
      </w:r>
      <w:r w:rsidRPr="00F52D40">
        <w:rPr>
          <w:rFonts w:eastAsia="Calibri"/>
          <w:b/>
          <w:bCs/>
          <w:rtl/>
        </w:rPr>
        <w:t xml:space="preserve"> (</w:t>
      </w:r>
      <w:r>
        <w:rPr>
          <w:rFonts w:eastAsia="Calibri" w:hint="cs"/>
          <w:b/>
          <w:bCs/>
          <w:rtl/>
        </w:rPr>
        <w:t>5</w:t>
      </w:r>
      <w:r w:rsidRPr="00F52D40">
        <w:rPr>
          <w:rFonts w:eastAsia="Calibri"/>
          <w:b/>
          <w:bCs/>
          <w:rtl/>
        </w:rPr>
        <w:t>) חודשי מאסר על תנאי למשך שלוש שנים, שלא יעבור כל עבירת נשק מסוג עוון</w:t>
      </w:r>
      <w:r w:rsidRPr="00F52D40">
        <w:rPr>
          <w:rFonts w:eastAsia="Calibri" w:hint="cs"/>
          <w:b/>
          <w:bCs/>
          <w:rtl/>
        </w:rPr>
        <w:t>, לרבות ירי מנשק חם</w:t>
      </w:r>
      <w:r>
        <w:rPr>
          <w:rFonts w:eastAsia="Calibri" w:hint="cs"/>
          <w:b/>
          <w:bCs/>
          <w:rtl/>
        </w:rPr>
        <w:t>, מסוג עוון</w:t>
      </w:r>
      <w:r w:rsidRPr="00F52D40">
        <w:rPr>
          <w:rFonts w:eastAsia="Calibri"/>
          <w:b/>
          <w:bCs/>
          <w:rtl/>
        </w:rPr>
        <w:t>.</w:t>
      </w:r>
    </w:p>
    <w:p w14:paraId="6782AA5C" w14:textId="77777777" w:rsidR="00287003" w:rsidRPr="00F52D40" w:rsidRDefault="00287003" w:rsidP="00287003">
      <w:pPr>
        <w:spacing w:after="160" w:line="360" w:lineRule="auto"/>
        <w:ind w:left="1080"/>
        <w:contextualSpacing/>
        <w:jc w:val="both"/>
        <w:rPr>
          <w:rFonts w:eastAsia="Calibri"/>
          <w:b/>
          <w:bCs/>
        </w:rPr>
      </w:pPr>
    </w:p>
    <w:p w14:paraId="1ACE70F4" w14:textId="77777777" w:rsidR="00287003" w:rsidRPr="00F52D40" w:rsidRDefault="00287003" w:rsidP="00287003">
      <w:pPr>
        <w:numPr>
          <w:ilvl w:val="0"/>
          <w:numId w:val="1"/>
        </w:numPr>
        <w:spacing w:after="160" w:line="360" w:lineRule="auto"/>
        <w:contextualSpacing/>
        <w:jc w:val="both"/>
        <w:rPr>
          <w:rFonts w:eastAsia="Calibri"/>
          <w:b/>
          <w:bCs/>
        </w:rPr>
      </w:pPr>
      <w:r w:rsidRPr="00F52D40">
        <w:rPr>
          <w:rFonts w:eastAsia="Calibri"/>
          <w:b/>
          <w:bCs/>
          <w:rtl/>
        </w:rPr>
        <w:t xml:space="preserve">קנס בסך של </w:t>
      </w:r>
      <w:r>
        <w:rPr>
          <w:rFonts w:eastAsia="Calibri" w:hint="cs"/>
          <w:b/>
          <w:bCs/>
          <w:rtl/>
        </w:rPr>
        <w:t>1,200</w:t>
      </w:r>
      <w:r w:rsidRPr="00F52D40">
        <w:rPr>
          <w:rFonts w:eastAsia="Calibri"/>
          <w:b/>
          <w:bCs/>
          <w:rtl/>
        </w:rPr>
        <w:t xml:space="preserve"> ₪, אשר ישולם תוך </w:t>
      </w:r>
      <w:r w:rsidRPr="00F52D40">
        <w:rPr>
          <w:rFonts w:eastAsia="Calibri" w:hint="cs"/>
          <w:b/>
          <w:bCs/>
          <w:rtl/>
        </w:rPr>
        <w:t>9</w:t>
      </w:r>
      <w:r w:rsidRPr="00F52D40">
        <w:rPr>
          <w:rFonts w:eastAsia="Calibri"/>
          <w:b/>
          <w:bCs/>
          <w:rtl/>
        </w:rPr>
        <w:t>0 ימים מהיום.</w:t>
      </w:r>
    </w:p>
    <w:p w14:paraId="7CCFF8D5" w14:textId="77777777" w:rsidR="00287003" w:rsidRDefault="00287003" w:rsidP="00287003">
      <w:pPr>
        <w:spacing w:line="360" w:lineRule="auto"/>
        <w:ind w:left="720"/>
        <w:jc w:val="both"/>
        <w:rPr>
          <w:noProof/>
          <w:rtl/>
        </w:rPr>
      </w:pPr>
    </w:p>
    <w:p w14:paraId="518A0C6C" w14:textId="77777777" w:rsidR="00287003" w:rsidRDefault="00287003" w:rsidP="00287003">
      <w:pPr>
        <w:spacing w:line="360" w:lineRule="auto"/>
        <w:ind w:left="720"/>
        <w:jc w:val="both"/>
        <w:rPr>
          <w:noProof/>
          <w:rtl/>
        </w:rPr>
      </w:pPr>
    </w:p>
    <w:p w14:paraId="380B6D9E" w14:textId="77777777" w:rsidR="00287003" w:rsidRDefault="00287003" w:rsidP="00287003">
      <w:pPr>
        <w:spacing w:line="360" w:lineRule="auto"/>
        <w:ind w:left="720"/>
        <w:jc w:val="both"/>
        <w:rPr>
          <w:noProof/>
          <w:rtl/>
        </w:rPr>
      </w:pPr>
    </w:p>
    <w:p w14:paraId="29790CD5" w14:textId="77777777" w:rsidR="00287003" w:rsidRDefault="00287003" w:rsidP="00287003">
      <w:pPr>
        <w:spacing w:line="360" w:lineRule="auto"/>
        <w:ind w:left="720"/>
        <w:jc w:val="both"/>
        <w:rPr>
          <w:noProof/>
          <w:rtl/>
        </w:rPr>
      </w:pPr>
    </w:p>
    <w:p w14:paraId="23EE1754" w14:textId="77777777" w:rsidR="00287003" w:rsidRDefault="00287003" w:rsidP="00287003">
      <w:pPr>
        <w:spacing w:line="360" w:lineRule="auto"/>
        <w:ind w:left="720"/>
        <w:jc w:val="both"/>
        <w:rPr>
          <w:noProof/>
          <w:rtl/>
        </w:rPr>
      </w:pPr>
    </w:p>
    <w:p w14:paraId="0001C417" w14:textId="77777777" w:rsidR="00287003" w:rsidRPr="005A110F" w:rsidRDefault="00287003" w:rsidP="00287003">
      <w:pPr>
        <w:spacing w:line="360" w:lineRule="auto"/>
        <w:ind w:left="720"/>
        <w:jc w:val="both"/>
        <w:rPr>
          <w:b/>
          <w:bCs/>
          <w:noProof/>
          <w:u w:val="single"/>
          <w:rtl/>
        </w:rPr>
      </w:pPr>
      <w:r w:rsidRPr="005A110F">
        <w:rPr>
          <w:rFonts w:hint="cs"/>
          <w:b/>
          <w:bCs/>
          <w:noProof/>
          <w:u w:val="single"/>
          <w:rtl/>
        </w:rPr>
        <w:t>על נאשם 3:</w:t>
      </w:r>
    </w:p>
    <w:p w14:paraId="5ECC6046" w14:textId="77777777" w:rsidR="00287003" w:rsidRPr="00736A68" w:rsidRDefault="00287003" w:rsidP="00287003">
      <w:pPr>
        <w:spacing w:line="360" w:lineRule="auto"/>
        <w:ind w:left="720"/>
        <w:jc w:val="both"/>
        <w:rPr>
          <w:noProof/>
          <w:rtl/>
        </w:rPr>
      </w:pPr>
    </w:p>
    <w:p w14:paraId="619646EE"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שנים עשר</w:t>
      </w:r>
      <w:r w:rsidRPr="00F52D40">
        <w:rPr>
          <w:rFonts w:eastAsia="Calibri"/>
          <w:b/>
          <w:bCs/>
          <w:rtl/>
        </w:rPr>
        <w:t xml:space="preserve"> (</w:t>
      </w:r>
      <w:r>
        <w:rPr>
          <w:rFonts w:eastAsia="Calibri" w:hint="cs"/>
          <w:b/>
          <w:bCs/>
          <w:rtl/>
        </w:rPr>
        <w:t>12</w:t>
      </w:r>
      <w:r w:rsidRPr="00F52D40">
        <w:rPr>
          <w:rFonts w:eastAsia="Calibri"/>
          <w:b/>
          <w:bCs/>
          <w:rtl/>
        </w:rPr>
        <w:t>) חודשי מאסר בפועל</w:t>
      </w:r>
      <w:r w:rsidRPr="00F52D40">
        <w:rPr>
          <w:rFonts w:eastAsia="Calibri" w:hint="cs"/>
          <w:b/>
          <w:bCs/>
          <w:rtl/>
        </w:rPr>
        <w:t>.</w:t>
      </w:r>
    </w:p>
    <w:p w14:paraId="5D2BF692" w14:textId="77777777" w:rsidR="00287003" w:rsidRDefault="00287003" w:rsidP="00287003">
      <w:pPr>
        <w:spacing w:after="160" w:line="360" w:lineRule="auto"/>
        <w:ind w:left="1080"/>
        <w:contextualSpacing/>
        <w:jc w:val="both"/>
        <w:rPr>
          <w:rFonts w:eastAsia="Calibri"/>
          <w:rtl/>
        </w:rPr>
      </w:pPr>
      <w:r w:rsidRPr="00736A68">
        <w:rPr>
          <w:rFonts w:eastAsia="Calibri" w:hint="cs"/>
          <w:rtl/>
        </w:rPr>
        <w:t>תקופה זו תימנה מיום מעצרו של הנאשם 3 בתאריך 4.6.2022.</w:t>
      </w:r>
      <w:r w:rsidRPr="00736A68">
        <w:rPr>
          <w:rFonts w:eastAsia="Calibri"/>
          <w:rtl/>
        </w:rPr>
        <w:t xml:space="preserve"> </w:t>
      </w:r>
    </w:p>
    <w:p w14:paraId="7A9F1E45" w14:textId="77777777" w:rsidR="00287003" w:rsidRPr="00736A68" w:rsidRDefault="00287003" w:rsidP="00287003">
      <w:pPr>
        <w:spacing w:after="160" w:line="360" w:lineRule="auto"/>
        <w:ind w:left="1080"/>
        <w:contextualSpacing/>
        <w:jc w:val="both"/>
        <w:rPr>
          <w:rFonts w:eastAsia="Calibri"/>
          <w:rtl/>
        </w:rPr>
      </w:pPr>
    </w:p>
    <w:p w14:paraId="45593819"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 xml:space="preserve">שבעה </w:t>
      </w:r>
      <w:r w:rsidRPr="00F52D40">
        <w:rPr>
          <w:rFonts w:eastAsia="Calibri"/>
          <w:b/>
          <w:bCs/>
          <w:rtl/>
        </w:rPr>
        <w:t>(</w:t>
      </w:r>
      <w:r>
        <w:rPr>
          <w:rFonts w:eastAsia="Calibri" w:hint="cs"/>
          <w:b/>
          <w:bCs/>
          <w:rtl/>
        </w:rPr>
        <w:t>7</w:t>
      </w:r>
      <w:r w:rsidRPr="00F52D40">
        <w:rPr>
          <w:rFonts w:eastAsia="Calibri"/>
          <w:b/>
          <w:bCs/>
          <w:rtl/>
        </w:rPr>
        <w:t>) חודשי מאסר על תנאי למשך שלוש שנים, שלא יעבור כל עבירת נשק מסוג פשע</w:t>
      </w:r>
      <w:r w:rsidRPr="00F52D40">
        <w:rPr>
          <w:rFonts w:eastAsia="Calibri" w:hint="cs"/>
          <w:b/>
          <w:bCs/>
          <w:rtl/>
        </w:rPr>
        <w:t>, לרבות עבירה של ירי מנשק חם</w:t>
      </w:r>
      <w:r>
        <w:rPr>
          <w:rFonts w:eastAsia="Calibri" w:hint="cs"/>
          <w:b/>
          <w:bCs/>
          <w:rtl/>
        </w:rPr>
        <w:t>, מסוג פשע</w:t>
      </w:r>
      <w:r w:rsidRPr="00F52D40">
        <w:rPr>
          <w:rFonts w:eastAsia="Calibri"/>
          <w:b/>
          <w:bCs/>
          <w:rtl/>
        </w:rPr>
        <w:t>.</w:t>
      </w:r>
    </w:p>
    <w:p w14:paraId="0AC9FAD1" w14:textId="77777777" w:rsidR="00287003" w:rsidRPr="003B3C2A" w:rsidRDefault="00287003" w:rsidP="00287003">
      <w:pPr>
        <w:spacing w:after="160" w:line="360" w:lineRule="auto"/>
        <w:ind w:left="1080"/>
        <w:contextualSpacing/>
        <w:jc w:val="both"/>
        <w:rPr>
          <w:rFonts w:eastAsia="Calibri"/>
          <w:b/>
          <w:bCs/>
        </w:rPr>
      </w:pPr>
    </w:p>
    <w:p w14:paraId="01A7CE57"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חמישה</w:t>
      </w:r>
      <w:r w:rsidRPr="00F52D40">
        <w:rPr>
          <w:rFonts w:eastAsia="Calibri"/>
          <w:b/>
          <w:bCs/>
          <w:rtl/>
        </w:rPr>
        <w:t xml:space="preserve"> (</w:t>
      </w:r>
      <w:r>
        <w:rPr>
          <w:rFonts w:eastAsia="Calibri" w:hint="cs"/>
          <w:b/>
          <w:bCs/>
          <w:rtl/>
        </w:rPr>
        <w:t>5</w:t>
      </w:r>
      <w:r w:rsidRPr="00F52D40">
        <w:rPr>
          <w:rFonts w:eastAsia="Calibri"/>
          <w:b/>
          <w:bCs/>
          <w:rtl/>
        </w:rPr>
        <w:t>) חודשי מאסר על תנאי למשך שלוש שנים, שלא יעבור כל עבירת נשק מסוג עוון</w:t>
      </w:r>
      <w:r w:rsidRPr="00F52D40">
        <w:rPr>
          <w:rFonts w:eastAsia="Calibri" w:hint="cs"/>
          <w:b/>
          <w:bCs/>
          <w:rtl/>
        </w:rPr>
        <w:t>, לרבות ירי מנשק חם</w:t>
      </w:r>
      <w:r>
        <w:rPr>
          <w:rFonts w:eastAsia="Calibri" w:hint="cs"/>
          <w:b/>
          <w:bCs/>
          <w:rtl/>
        </w:rPr>
        <w:t>, מסוג עוון</w:t>
      </w:r>
      <w:r w:rsidRPr="00F52D40">
        <w:rPr>
          <w:rFonts w:eastAsia="Calibri"/>
          <w:b/>
          <w:bCs/>
          <w:rtl/>
        </w:rPr>
        <w:t>.</w:t>
      </w:r>
    </w:p>
    <w:p w14:paraId="1DA38BBE" w14:textId="77777777" w:rsidR="00287003" w:rsidRPr="003B3C2A" w:rsidRDefault="00287003" w:rsidP="00287003">
      <w:pPr>
        <w:spacing w:after="160" w:line="360" w:lineRule="auto"/>
        <w:ind w:left="1080"/>
        <w:contextualSpacing/>
        <w:jc w:val="both"/>
        <w:rPr>
          <w:rFonts w:eastAsia="Calibri"/>
          <w:b/>
          <w:bCs/>
        </w:rPr>
      </w:pPr>
    </w:p>
    <w:p w14:paraId="2634AAFA" w14:textId="77777777" w:rsidR="00287003" w:rsidRPr="00F52D40" w:rsidRDefault="00287003" w:rsidP="00287003">
      <w:pPr>
        <w:numPr>
          <w:ilvl w:val="0"/>
          <w:numId w:val="1"/>
        </w:numPr>
        <w:spacing w:after="160" w:line="360" w:lineRule="auto"/>
        <w:contextualSpacing/>
        <w:jc w:val="both"/>
        <w:rPr>
          <w:rFonts w:eastAsia="Calibri"/>
          <w:b/>
          <w:bCs/>
        </w:rPr>
      </w:pPr>
      <w:r w:rsidRPr="00F52D40">
        <w:rPr>
          <w:rFonts w:eastAsia="Calibri"/>
          <w:b/>
          <w:bCs/>
          <w:rtl/>
        </w:rPr>
        <w:t xml:space="preserve">קנס בסך של </w:t>
      </w:r>
      <w:r>
        <w:rPr>
          <w:rFonts w:eastAsia="Calibri" w:hint="cs"/>
          <w:b/>
          <w:bCs/>
          <w:rtl/>
        </w:rPr>
        <w:t>1,200</w:t>
      </w:r>
      <w:r w:rsidRPr="00F52D40">
        <w:rPr>
          <w:rFonts w:eastAsia="Calibri"/>
          <w:b/>
          <w:bCs/>
          <w:rtl/>
        </w:rPr>
        <w:t xml:space="preserve"> ₪, אשר ישולם תוך </w:t>
      </w:r>
      <w:r w:rsidRPr="00F52D40">
        <w:rPr>
          <w:rFonts w:eastAsia="Calibri" w:hint="cs"/>
          <w:b/>
          <w:bCs/>
          <w:rtl/>
        </w:rPr>
        <w:t>9</w:t>
      </w:r>
      <w:r w:rsidRPr="00F52D40">
        <w:rPr>
          <w:rFonts w:eastAsia="Calibri"/>
          <w:b/>
          <w:bCs/>
          <w:rtl/>
        </w:rPr>
        <w:t>0 ימים מהיום.</w:t>
      </w:r>
    </w:p>
    <w:p w14:paraId="4D900B94" w14:textId="77777777" w:rsidR="00287003" w:rsidRDefault="00287003" w:rsidP="00287003">
      <w:pPr>
        <w:spacing w:line="360" w:lineRule="auto"/>
        <w:ind w:left="720"/>
        <w:jc w:val="both"/>
        <w:rPr>
          <w:noProof/>
          <w:rtl/>
        </w:rPr>
      </w:pPr>
    </w:p>
    <w:p w14:paraId="2A190B4A" w14:textId="77777777" w:rsidR="00287003" w:rsidRPr="005A110F" w:rsidRDefault="00287003" w:rsidP="00287003">
      <w:pPr>
        <w:spacing w:line="360" w:lineRule="auto"/>
        <w:ind w:left="720"/>
        <w:jc w:val="both"/>
        <w:rPr>
          <w:b/>
          <w:bCs/>
          <w:noProof/>
          <w:u w:val="single"/>
          <w:rtl/>
        </w:rPr>
      </w:pPr>
      <w:r w:rsidRPr="005A110F">
        <w:rPr>
          <w:rFonts w:hint="cs"/>
          <w:b/>
          <w:bCs/>
          <w:noProof/>
          <w:u w:val="single"/>
          <w:rtl/>
        </w:rPr>
        <w:t>על נאשם 4</w:t>
      </w:r>
    </w:p>
    <w:p w14:paraId="1DD2E1DD" w14:textId="77777777" w:rsidR="00287003" w:rsidRPr="00736A68" w:rsidRDefault="00287003" w:rsidP="00287003">
      <w:pPr>
        <w:spacing w:line="360" w:lineRule="auto"/>
        <w:ind w:left="720"/>
        <w:jc w:val="both"/>
        <w:rPr>
          <w:noProof/>
          <w:u w:val="single"/>
          <w:rtl/>
        </w:rPr>
      </w:pPr>
    </w:p>
    <w:p w14:paraId="3E2F95CE"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תשעה</w:t>
      </w:r>
      <w:r w:rsidRPr="00F52D40">
        <w:rPr>
          <w:rFonts w:eastAsia="Calibri" w:hint="cs"/>
          <w:b/>
          <w:bCs/>
          <w:rtl/>
        </w:rPr>
        <w:t xml:space="preserve"> </w:t>
      </w:r>
      <w:r w:rsidRPr="00F52D40">
        <w:rPr>
          <w:rFonts w:eastAsia="Calibri"/>
          <w:b/>
          <w:bCs/>
          <w:rtl/>
        </w:rPr>
        <w:t>(</w:t>
      </w:r>
      <w:r>
        <w:rPr>
          <w:rFonts w:eastAsia="Calibri" w:hint="cs"/>
          <w:b/>
          <w:bCs/>
          <w:rtl/>
        </w:rPr>
        <w:t>9</w:t>
      </w:r>
      <w:r w:rsidRPr="00F52D40">
        <w:rPr>
          <w:rFonts w:eastAsia="Calibri"/>
          <w:b/>
          <w:bCs/>
          <w:rtl/>
        </w:rPr>
        <w:t>) חודשי מאסר בפועל</w:t>
      </w:r>
      <w:r w:rsidRPr="00F52D40">
        <w:rPr>
          <w:rFonts w:eastAsia="Calibri" w:hint="cs"/>
          <w:b/>
          <w:bCs/>
          <w:rtl/>
        </w:rPr>
        <w:t>.</w:t>
      </w:r>
    </w:p>
    <w:p w14:paraId="4292D45B" w14:textId="77777777" w:rsidR="00287003" w:rsidRPr="00736A68" w:rsidRDefault="00287003" w:rsidP="00287003">
      <w:pPr>
        <w:spacing w:after="160" w:line="360" w:lineRule="auto"/>
        <w:ind w:left="1080"/>
        <w:contextualSpacing/>
        <w:jc w:val="both"/>
        <w:rPr>
          <w:rFonts w:eastAsia="Calibri"/>
          <w:rtl/>
        </w:rPr>
      </w:pPr>
      <w:r w:rsidRPr="00736A68">
        <w:rPr>
          <w:rFonts w:eastAsia="Calibri" w:hint="cs"/>
          <w:rtl/>
        </w:rPr>
        <w:t xml:space="preserve">תקופה זו תימנה מיום מעצרו של הנאשם בתאריך </w:t>
      </w:r>
      <w:r>
        <w:rPr>
          <w:rFonts w:eastAsia="Calibri" w:hint="cs"/>
          <w:rtl/>
        </w:rPr>
        <w:t>4.6.2022.</w:t>
      </w:r>
    </w:p>
    <w:p w14:paraId="15E97CB4" w14:textId="77777777" w:rsidR="00287003" w:rsidRPr="00F52D40" w:rsidRDefault="00287003" w:rsidP="00287003">
      <w:pPr>
        <w:spacing w:after="160" w:line="360" w:lineRule="auto"/>
        <w:ind w:left="1080"/>
        <w:contextualSpacing/>
        <w:jc w:val="both"/>
        <w:rPr>
          <w:rFonts w:eastAsia="Calibri"/>
          <w:b/>
          <w:bCs/>
          <w:rtl/>
        </w:rPr>
      </w:pPr>
      <w:r w:rsidRPr="00F52D40">
        <w:rPr>
          <w:rFonts w:eastAsia="Calibri"/>
          <w:b/>
          <w:bCs/>
          <w:rtl/>
        </w:rPr>
        <w:t xml:space="preserve"> </w:t>
      </w:r>
    </w:p>
    <w:p w14:paraId="3961D078"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שבעה</w:t>
      </w:r>
      <w:r w:rsidRPr="00F52D40">
        <w:rPr>
          <w:rFonts w:eastAsia="Calibri"/>
          <w:b/>
          <w:bCs/>
          <w:rtl/>
        </w:rPr>
        <w:t xml:space="preserve"> (</w:t>
      </w:r>
      <w:r>
        <w:rPr>
          <w:rFonts w:eastAsia="Calibri" w:hint="cs"/>
          <w:b/>
          <w:bCs/>
          <w:rtl/>
        </w:rPr>
        <w:t>7</w:t>
      </w:r>
      <w:r w:rsidRPr="00F52D40">
        <w:rPr>
          <w:rFonts w:eastAsia="Calibri"/>
          <w:b/>
          <w:bCs/>
          <w:rtl/>
        </w:rPr>
        <w:t>) חודשי מאסר על תנאי למשך שלוש שנים, שלא יעבור כל עבירת נשק מסוג פשע</w:t>
      </w:r>
      <w:r w:rsidRPr="00F52D40">
        <w:rPr>
          <w:rFonts w:eastAsia="Calibri" w:hint="cs"/>
          <w:b/>
          <w:bCs/>
          <w:rtl/>
        </w:rPr>
        <w:t>, לרבות עבירה של ירי מנשק חם</w:t>
      </w:r>
      <w:r>
        <w:rPr>
          <w:rFonts w:eastAsia="Calibri" w:hint="cs"/>
          <w:b/>
          <w:bCs/>
          <w:rtl/>
        </w:rPr>
        <w:t>, מסוג פשע</w:t>
      </w:r>
      <w:r w:rsidRPr="00F52D40">
        <w:rPr>
          <w:rFonts w:eastAsia="Calibri"/>
          <w:b/>
          <w:bCs/>
          <w:rtl/>
        </w:rPr>
        <w:t>.</w:t>
      </w:r>
    </w:p>
    <w:p w14:paraId="78876594" w14:textId="77777777" w:rsidR="00287003" w:rsidRPr="003B3C2A" w:rsidRDefault="00287003" w:rsidP="00287003">
      <w:pPr>
        <w:spacing w:after="160" w:line="360" w:lineRule="auto"/>
        <w:ind w:left="1080"/>
        <w:contextualSpacing/>
        <w:jc w:val="both"/>
        <w:rPr>
          <w:rFonts w:eastAsia="Calibri"/>
          <w:b/>
          <w:bCs/>
        </w:rPr>
      </w:pPr>
    </w:p>
    <w:p w14:paraId="7D50E4BC" w14:textId="77777777" w:rsidR="00287003" w:rsidRPr="00F52D40" w:rsidRDefault="00287003" w:rsidP="00287003">
      <w:pPr>
        <w:numPr>
          <w:ilvl w:val="0"/>
          <w:numId w:val="1"/>
        </w:numPr>
        <w:spacing w:after="160" w:line="360" w:lineRule="auto"/>
        <w:contextualSpacing/>
        <w:jc w:val="both"/>
        <w:rPr>
          <w:rFonts w:eastAsia="Calibri"/>
          <w:b/>
          <w:bCs/>
        </w:rPr>
      </w:pPr>
      <w:r>
        <w:rPr>
          <w:rFonts w:eastAsia="Calibri" w:hint="cs"/>
          <w:b/>
          <w:bCs/>
          <w:rtl/>
        </w:rPr>
        <w:t>חמישה</w:t>
      </w:r>
      <w:r w:rsidRPr="00F52D40">
        <w:rPr>
          <w:rFonts w:eastAsia="Calibri"/>
          <w:b/>
          <w:bCs/>
          <w:rtl/>
        </w:rPr>
        <w:t xml:space="preserve"> (</w:t>
      </w:r>
      <w:r>
        <w:rPr>
          <w:rFonts w:eastAsia="Calibri" w:hint="cs"/>
          <w:b/>
          <w:bCs/>
          <w:rtl/>
        </w:rPr>
        <w:t>5</w:t>
      </w:r>
      <w:r w:rsidRPr="00F52D40">
        <w:rPr>
          <w:rFonts w:eastAsia="Calibri"/>
          <w:b/>
          <w:bCs/>
          <w:rtl/>
        </w:rPr>
        <w:t>) חודשי מאסר על תנאי למשך שלוש שנים, שלא יעבור כל עבירת נשק מסוג עוון</w:t>
      </w:r>
      <w:r w:rsidRPr="00F52D40">
        <w:rPr>
          <w:rFonts w:eastAsia="Calibri" w:hint="cs"/>
          <w:b/>
          <w:bCs/>
          <w:rtl/>
        </w:rPr>
        <w:t>, לרבות ירי מנשק חם</w:t>
      </w:r>
      <w:r>
        <w:rPr>
          <w:rFonts w:eastAsia="Calibri" w:hint="cs"/>
          <w:b/>
          <w:bCs/>
          <w:rtl/>
        </w:rPr>
        <w:t>, מסוג עוון</w:t>
      </w:r>
      <w:r w:rsidRPr="00F52D40">
        <w:rPr>
          <w:rFonts w:eastAsia="Calibri"/>
          <w:b/>
          <w:bCs/>
          <w:rtl/>
        </w:rPr>
        <w:t>.</w:t>
      </w:r>
    </w:p>
    <w:p w14:paraId="2363F7CF" w14:textId="77777777" w:rsidR="00287003" w:rsidRPr="00FA3B26" w:rsidRDefault="00287003" w:rsidP="00287003">
      <w:pPr>
        <w:spacing w:after="160" w:line="360" w:lineRule="auto"/>
        <w:ind w:left="1080"/>
        <w:contextualSpacing/>
        <w:jc w:val="both"/>
        <w:rPr>
          <w:rFonts w:eastAsia="Calibri"/>
          <w:b/>
          <w:bCs/>
        </w:rPr>
      </w:pPr>
    </w:p>
    <w:p w14:paraId="4D268F40" w14:textId="77777777" w:rsidR="00287003" w:rsidRPr="00F52D40" w:rsidRDefault="00287003" w:rsidP="00287003">
      <w:pPr>
        <w:numPr>
          <w:ilvl w:val="0"/>
          <w:numId w:val="1"/>
        </w:numPr>
        <w:spacing w:after="160" w:line="360" w:lineRule="auto"/>
        <w:contextualSpacing/>
        <w:jc w:val="both"/>
        <w:rPr>
          <w:rFonts w:eastAsia="Calibri"/>
          <w:b/>
          <w:bCs/>
        </w:rPr>
      </w:pPr>
      <w:r w:rsidRPr="00F52D40">
        <w:rPr>
          <w:rFonts w:eastAsia="Calibri"/>
          <w:b/>
          <w:bCs/>
          <w:rtl/>
        </w:rPr>
        <w:t xml:space="preserve">קנס בסך של </w:t>
      </w:r>
      <w:r>
        <w:rPr>
          <w:rFonts w:eastAsia="Calibri" w:hint="cs"/>
          <w:b/>
          <w:bCs/>
          <w:rtl/>
        </w:rPr>
        <w:t>1,2</w:t>
      </w:r>
      <w:r w:rsidRPr="00F52D40">
        <w:rPr>
          <w:rFonts w:eastAsia="Calibri"/>
          <w:b/>
          <w:bCs/>
          <w:rtl/>
        </w:rPr>
        <w:t xml:space="preserve">00 ₪, אשר ישולם תוך </w:t>
      </w:r>
      <w:r w:rsidRPr="00F52D40">
        <w:rPr>
          <w:rFonts w:eastAsia="Calibri" w:hint="cs"/>
          <w:b/>
          <w:bCs/>
          <w:rtl/>
        </w:rPr>
        <w:t>9</w:t>
      </w:r>
      <w:r w:rsidRPr="00F52D40">
        <w:rPr>
          <w:rFonts w:eastAsia="Calibri"/>
          <w:b/>
          <w:bCs/>
          <w:rtl/>
        </w:rPr>
        <w:t>0 ימים מהיום.</w:t>
      </w:r>
    </w:p>
    <w:p w14:paraId="5B5255ED" w14:textId="77777777" w:rsidR="00287003" w:rsidRDefault="00287003" w:rsidP="00287003">
      <w:pPr>
        <w:spacing w:after="160" w:line="360" w:lineRule="auto"/>
        <w:ind w:left="360"/>
        <w:contextualSpacing/>
        <w:jc w:val="both"/>
        <w:rPr>
          <w:rFonts w:eastAsia="Calibri" w:cs="Arial"/>
          <w:b/>
          <w:bCs/>
          <w:sz w:val="22"/>
          <w:szCs w:val="22"/>
          <w:rtl/>
        </w:rPr>
      </w:pPr>
    </w:p>
    <w:p w14:paraId="00B75079" w14:textId="77777777" w:rsidR="00287003" w:rsidRPr="00107B83" w:rsidRDefault="00287003" w:rsidP="00287003">
      <w:pPr>
        <w:spacing w:line="360" w:lineRule="auto"/>
        <w:ind w:left="720"/>
        <w:jc w:val="both"/>
        <w:rPr>
          <w:sz w:val="22"/>
          <w:szCs w:val="22"/>
          <w:rtl/>
        </w:rPr>
      </w:pPr>
      <w:r>
        <w:rPr>
          <w:rtl/>
        </w:rPr>
        <w:t xml:space="preserve">אשר לאופן תשלום </w:t>
      </w:r>
      <w:r>
        <w:rPr>
          <w:rFonts w:hint="cs"/>
          <w:rtl/>
        </w:rPr>
        <w:t xml:space="preserve">הקנס </w:t>
      </w:r>
      <w:r>
        <w:rPr>
          <w:rtl/>
        </w:rPr>
        <w:t>שנפסק לחובת הנאשם, החוב מועבר למרכז לגביית קנסות, אגרות והוצאות ברשות האכיפה והגבייה, בהתאם למועד</w:t>
      </w:r>
      <w:r>
        <w:rPr>
          <w:rFonts w:hint="cs"/>
          <w:rtl/>
        </w:rPr>
        <w:t xml:space="preserve"> </w:t>
      </w:r>
      <w:r>
        <w:rPr>
          <w:rtl/>
        </w:rPr>
        <w:t>שנקבע לעיל.</w:t>
      </w:r>
      <w:r>
        <w:rPr>
          <w:rFonts w:hint="cs"/>
          <w:rtl/>
        </w:rPr>
        <w:t xml:space="preserve"> </w:t>
      </w:r>
      <w:r>
        <w:rPr>
          <w:rtl/>
        </w:rPr>
        <w:t xml:space="preserve">ניתן יהיה לשלם את </w:t>
      </w:r>
      <w:r>
        <w:rPr>
          <w:rFonts w:hint="cs"/>
          <w:rtl/>
        </w:rPr>
        <w:t xml:space="preserve">הקנס </w:t>
      </w:r>
      <w:r>
        <w:rPr>
          <w:rtl/>
        </w:rPr>
        <w:t>כעבור שלושה ימים מיום מתן</w:t>
      </w:r>
      <w:r w:rsidR="001E25C2">
        <w:rPr>
          <w:rtl/>
        </w:rPr>
        <w:t xml:space="preserve"> </w:t>
      </w:r>
      <w:r>
        <w:rPr>
          <w:rtl/>
        </w:rPr>
        <w:t>גזר הדין לחשבון המרכז לגביית קנסות, אגרות והוצאות ברשות האכיפה והגבייה באחת מהדרכים הבאות:</w:t>
      </w:r>
    </w:p>
    <w:p w14:paraId="1396F09A" w14:textId="77777777" w:rsidR="00287003" w:rsidRDefault="00287003" w:rsidP="00287003">
      <w:pPr>
        <w:numPr>
          <w:ilvl w:val="0"/>
          <w:numId w:val="3"/>
        </w:numPr>
        <w:spacing w:line="360" w:lineRule="auto"/>
        <w:jc w:val="both"/>
        <w:rPr>
          <w:b/>
          <w:bCs/>
          <w:sz w:val="22"/>
          <w:szCs w:val="22"/>
        </w:rPr>
      </w:pPr>
      <w:r>
        <w:rPr>
          <w:b/>
          <w:bCs/>
          <w:rtl/>
        </w:rPr>
        <w:t>בכרטיס אשראי</w:t>
      </w:r>
      <w:r>
        <w:rPr>
          <w:rtl/>
        </w:rPr>
        <w:t xml:space="preserve"> - באתר המקוון של רשות האכיפה והגבייה, </w:t>
      </w:r>
      <w:hyperlink r:id="rId44" w:history="1">
        <w:r>
          <w:rPr>
            <w:rStyle w:val="Hyperlink"/>
          </w:rPr>
          <w:t>www.eca.gov.il</w:t>
        </w:r>
      </w:hyperlink>
      <w:r>
        <w:t xml:space="preserve"> </w:t>
      </w:r>
      <w:r>
        <w:rPr>
          <w:rtl/>
        </w:rPr>
        <w:t>.</w:t>
      </w:r>
    </w:p>
    <w:p w14:paraId="2098F1BB" w14:textId="77777777" w:rsidR="00287003" w:rsidRDefault="00287003" w:rsidP="00287003">
      <w:pPr>
        <w:numPr>
          <w:ilvl w:val="0"/>
          <w:numId w:val="3"/>
        </w:numPr>
        <w:spacing w:line="360" w:lineRule="auto"/>
        <w:jc w:val="both"/>
        <w:rPr>
          <w:b/>
          <w:bCs/>
          <w:rtl/>
        </w:rPr>
      </w:pPr>
      <w:r>
        <w:rPr>
          <w:b/>
          <w:bCs/>
          <w:rtl/>
        </w:rPr>
        <w:t>מוקד שירות טלפוני בשרות עצמי (מרכז גבייה)</w:t>
      </w:r>
      <w:r w:rsidR="001E25C2">
        <w:rPr>
          <w:b/>
          <w:bCs/>
          <w:rtl/>
        </w:rPr>
        <w:t xml:space="preserve"> </w:t>
      </w:r>
      <w:r>
        <w:rPr>
          <w:b/>
          <w:bCs/>
          <w:rtl/>
        </w:rPr>
        <w:t>- בטלפון 35592* או בטלפון 073-2055000</w:t>
      </w:r>
      <w:r>
        <w:rPr>
          <w:rtl/>
        </w:rPr>
        <w:t>.</w:t>
      </w:r>
    </w:p>
    <w:p w14:paraId="267E513D" w14:textId="77777777" w:rsidR="00287003" w:rsidRDefault="00287003" w:rsidP="00287003">
      <w:pPr>
        <w:numPr>
          <w:ilvl w:val="0"/>
          <w:numId w:val="3"/>
        </w:numPr>
        <w:spacing w:line="360" w:lineRule="auto"/>
        <w:jc w:val="both"/>
        <w:rPr>
          <w:b/>
          <w:bCs/>
        </w:rPr>
      </w:pPr>
      <w:r>
        <w:rPr>
          <w:b/>
          <w:bCs/>
          <w:rtl/>
        </w:rPr>
        <w:t>במזומן בכל סניף של בנק הדואר</w:t>
      </w:r>
      <w:r>
        <w:rPr>
          <w:rtl/>
        </w:rPr>
        <w:t xml:space="preserve"> - בהצגת תעודת זהות בלבד (אין צורך בשוברי תשלום).</w:t>
      </w:r>
    </w:p>
    <w:p w14:paraId="56FF5921" w14:textId="77777777" w:rsidR="00287003" w:rsidRPr="001E25C2" w:rsidRDefault="001E25C2" w:rsidP="00287003">
      <w:pPr>
        <w:spacing w:line="360" w:lineRule="auto"/>
        <w:jc w:val="both"/>
        <w:rPr>
          <w:b/>
          <w:bCs/>
          <w:color w:val="FFFFFF"/>
          <w:sz w:val="2"/>
          <w:szCs w:val="2"/>
        </w:rPr>
      </w:pPr>
      <w:r w:rsidRPr="001E25C2">
        <w:rPr>
          <w:b/>
          <w:bCs/>
          <w:color w:val="FFFFFF"/>
          <w:sz w:val="2"/>
          <w:szCs w:val="2"/>
          <w:rtl/>
        </w:rPr>
        <w:t>5129371</w:t>
      </w:r>
    </w:p>
    <w:p w14:paraId="1D0B1F85" w14:textId="77777777" w:rsidR="00287003" w:rsidRPr="005A110F" w:rsidRDefault="001E25C2" w:rsidP="00287003">
      <w:pPr>
        <w:spacing w:line="360" w:lineRule="auto"/>
        <w:ind w:left="720" w:hanging="720"/>
        <w:jc w:val="both"/>
        <w:rPr>
          <w:b/>
          <w:bCs/>
          <w:u w:val="single"/>
          <w:rtl/>
        </w:rPr>
      </w:pPr>
      <w:r w:rsidRPr="001E25C2">
        <w:rPr>
          <w:b/>
          <w:bCs/>
          <w:color w:val="FFFFFF"/>
          <w:sz w:val="2"/>
          <w:szCs w:val="2"/>
          <w:u w:val="single"/>
          <w:rtl/>
        </w:rPr>
        <w:t>54678313</w:t>
      </w:r>
      <w:r w:rsidR="00287003">
        <w:rPr>
          <w:rFonts w:hint="cs"/>
          <w:b/>
          <w:bCs/>
          <w:u w:val="single"/>
          <w:rtl/>
        </w:rPr>
        <w:t>זכות ערעור תוך 45 יום לבית המשפט העליון</w:t>
      </w:r>
      <w:r w:rsidR="00287003">
        <w:rPr>
          <w:rFonts w:hint="cs"/>
          <w:b/>
          <w:bCs/>
          <w:rtl/>
        </w:rPr>
        <w:t>.</w:t>
      </w:r>
    </w:p>
    <w:p w14:paraId="4EC4E8EA" w14:textId="77777777" w:rsidR="00287003" w:rsidRPr="000F2247" w:rsidRDefault="00287003" w:rsidP="00287003">
      <w:pPr>
        <w:rPr>
          <w:rFonts w:ascii="Arial" w:hAnsi="Arial"/>
          <w:b/>
          <w:bCs/>
          <w:sz w:val="26"/>
          <w:szCs w:val="26"/>
          <w:rtl/>
        </w:rPr>
      </w:pPr>
    </w:p>
    <w:p w14:paraId="73282A4D" w14:textId="77777777" w:rsidR="00287003" w:rsidRPr="000F2247" w:rsidRDefault="001E25C2" w:rsidP="0028700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שבט תשפ"ג, 16 פברואר 2023, בנוכחות הצדדים. </w:t>
      </w:r>
      <w:bookmarkEnd w:id="8"/>
      <w:r w:rsidR="00287003">
        <w:rPr>
          <w:rFonts w:ascii="Arial" w:hAnsi="Arial"/>
          <w:b/>
          <w:bCs/>
          <w:sz w:val="26"/>
          <w:szCs w:val="26"/>
          <w:rtl/>
        </w:rPr>
        <w:tab/>
      </w:r>
      <w:r w:rsidR="00287003">
        <w:rPr>
          <w:rFonts w:ascii="Arial" w:hAnsi="Arial"/>
          <w:b/>
          <w:bCs/>
          <w:sz w:val="26"/>
          <w:szCs w:val="26"/>
          <w:rtl/>
        </w:rPr>
        <w:tab/>
      </w:r>
      <w:r w:rsidR="00287003">
        <w:rPr>
          <w:rFonts w:ascii="Arial" w:hAnsi="Arial"/>
          <w:b/>
          <w:bCs/>
          <w:sz w:val="26"/>
          <w:szCs w:val="26"/>
          <w:rtl/>
        </w:rPr>
        <w:tab/>
      </w:r>
      <w:r w:rsidR="00287003">
        <w:rPr>
          <w:rFonts w:ascii="Arial" w:hAnsi="Arial"/>
          <w:b/>
          <w:bCs/>
          <w:sz w:val="26"/>
          <w:szCs w:val="26"/>
          <w:rtl/>
        </w:rPr>
        <w:tab/>
      </w:r>
      <w:r w:rsidR="00287003">
        <w:rPr>
          <w:rFonts w:ascii="Arial" w:hAnsi="Arial"/>
          <w:b/>
          <w:bCs/>
          <w:sz w:val="26"/>
          <w:szCs w:val="26"/>
          <w:rtl/>
        </w:rPr>
        <w:tab/>
      </w:r>
      <w:r w:rsidR="00287003">
        <w:rPr>
          <w:rFonts w:ascii="Arial" w:hAnsi="Arial"/>
          <w:b/>
          <w:bCs/>
          <w:sz w:val="26"/>
          <w:szCs w:val="26"/>
          <w:rtl/>
        </w:rPr>
        <w:tab/>
      </w:r>
      <w:r w:rsidR="00287003">
        <w:rPr>
          <w:rFonts w:ascii="Arial" w:hAnsi="Arial"/>
          <w:b/>
          <w:bCs/>
          <w:sz w:val="26"/>
          <w:szCs w:val="26"/>
          <w:rtl/>
        </w:rPr>
        <w:tab/>
      </w:r>
      <w:r w:rsidR="00287003">
        <w:rPr>
          <w:rFonts w:ascii="Arial" w:hAnsi="Arial" w:hint="cs"/>
          <w:b/>
          <w:bCs/>
          <w:sz w:val="26"/>
          <w:szCs w:val="26"/>
          <w:rtl/>
        </w:rPr>
        <w:t xml:space="preserve">         </w:t>
      </w:r>
    </w:p>
    <w:p w14:paraId="66EBCF3F" w14:textId="77777777" w:rsidR="00287003" w:rsidRPr="000F2247" w:rsidRDefault="00287003" w:rsidP="001E25C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F7A86B7" w14:textId="77777777" w:rsidR="00287003" w:rsidRPr="005D4F26" w:rsidRDefault="005D4F26" w:rsidP="00287003">
      <w:pPr>
        <w:jc w:val="center"/>
        <w:rPr>
          <w:rFonts w:ascii="Arial" w:hAnsi="Arial"/>
          <w:b/>
          <w:bCs/>
          <w:color w:val="FFFFFF"/>
          <w:sz w:val="2"/>
          <w:szCs w:val="2"/>
          <w:rtl/>
        </w:rPr>
      </w:pPr>
      <w:r w:rsidRPr="005D4F26">
        <w:rPr>
          <w:rFonts w:ascii="Arial" w:hAnsi="Arial"/>
          <w:b/>
          <w:bCs/>
          <w:color w:val="FFFFFF"/>
          <w:sz w:val="2"/>
          <w:szCs w:val="2"/>
          <w:rtl/>
        </w:rPr>
        <w:t>5129371</w:t>
      </w:r>
    </w:p>
    <w:p w14:paraId="1A8F0ABA" w14:textId="77777777" w:rsidR="000E0E07" w:rsidRPr="005D4F26" w:rsidRDefault="005D4F26" w:rsidP="001E25C2">
      <w:pPr>
        <w:keepNext/>
        <w:rPr>
          <w:rFonts w:ascii="David" w:hAnsi="David"/>
          <w:color w:val="FFFFFF"/>
          <w:sz w:val="2"/>
          <w:szCs w:val="2"/>
          <w:rtl/>
        </w:rPr>
      </w:pPr>
      <w:r w:rsidRPr="005D4F26">
        <w:rPr>
          <w:rFonts w:ascii="David" w:hAnsi="David"/>
          <w:color w:val="FFFFFF"/>
          <w:sz w:val="2"/>
          <w:szCs w:val="2"/>
          <w:rtl/>
        </w:rPr>
        <w:t>54678313</w:t>
      </w:r>
    </w:p>
    <w:p w14:paraId="7C9B38F0" w14:textId="77777777" w:rsidR="001E25C2" w:rsidRDefault="001E25C2" w:rsidP="001E25C2">
      <w:pPr>
        <w:rPr>
          <w:rtl/>
        </w:rPr>
      </w:pPr>
    </w:p>
    <w:p w14:paraId="69E4584E" w14:textId="77777777" w:rsidR="001E25C2" w:rsidRDefault="001E25C2" w:rsidP="001E25C2">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781C91C2" w14:textId="77777777" w:rsidR="005D4F26" w:rsidRPr="005D4F26" w:rsidRDefault="005D4F26" w:rsidP="005D4F26">
      <w:pPr>
        <w:keepNext/>
        <w:rPr>
          <w:rFonts w:ascii="David" w:hAnsi="David"/>
          <w:color w:val="000000"/>
          <w:sz w:val="22"/>
          <w:szCs w:val="22"/>
          <w:rtl/>
        </w:rPr>
      </w:pPr>
    </w:p>
    <w:p w14:paraId="7B10AF1E" w14:textId="77777777" w:rsidR="005D4F26" w:rsidRPr="005D4F26" w:rsidRDefault="005D4F26" w:rsidP="005D4F26">
      <w:pPr>
        <w:keepNext/>
        <w:rPr>
          <w:rFonts w:ascii="David" w:hAnsi="David"/>
          <w:color w:val="000000"/>
          <w:sz w:val="22"/>
          <w:szCs w:val="22"/>
          <w:rtl/>
        </w:rPr>
      </w:pPr>
      <w:r w:rsidRPr="005D4F26">
        <w:rPr>
          <w:rFonts w:ascii="David" w:hAnsi="David"/>
          <w:color w:val="000000"/>
          <w:sz w:val="22"/>
          <w:szCs w:val="22"/>
          <w:rtl/>
        </w:rPr>
        <w:t>אינאס סלאמה 54678313-/</w:t>
      </w:r>
    </w:p>
    <w:p w14:paraId="4A1B049D" w14:textId="77777777" w:rsidR="001E25C2" w:rsidRPr="001E25C2" w:rsidRDefault="005D4F26" w:rsidP="005D4F26">
      <w:pPr>
        <w:rPr>
          <w:color w:val="0000FF"/>
          <w:u w:val="single"/>
        </w:rPr>
      </w:pPr>
      <w:r w:rsidRPr="005D4F26">
        <w:rPr>
          <w:color w:val="000000"/>
          <w:u w:val="single"/>
          <w:rtl/>
        </w:rPr>
        <w:t>נוסח מסמך זה כפוף לשינויי ניסוח ועריכה</w:t>
      </w:r>
    </w:p>
    <w:sectPr w:rsidR="001E25C2" w:rsidRPr="001E25C2" w:rsidSect="005D4F26">
      <w:headerReference w:type="even" r:id="rId46"/>
      <w:headerReference w:type="default" r:id="rId47"/>
      <w:footerReference w:type="even" r:id="rId48"/>
      <w:footerReference w:type="default" r:id="rId4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47DC8" w14:textId="77777777" w:rsidR="004A5386" w:rsidRDefault="004A5386" w:rsidP="003806AA">
      <w:r>
        <w:separator/>
      </w:r>
    </w:p>
  </w:endnote>
  <w:endnote w:type="continuationSeparator" w:id="0">
    <w:p w14:paraId="01C00777" w14:textId="77777777" w:rsidR="004A5386" w:rsidRDefault="004A5386" w:rsidP="0038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4574D" w14:textId="77777777" w:rsidR="005D4F26" w:rsidRDefault="005D4F26" w:rsidP="005D4F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C5DF7E" w14:textId="77777777" w:rsidR="002F1532" w:rsidRPr="005D4F26" w:rsidRDefault="005D4F26" w:rsidP="005D4F26">
    <w:pPr>
      <w:pStyle w:val="a5"/>
      <w:pBdr>
        <w:top w:val="single" w:sz="4" w:space="1" w:color="auto"/>
        <w:between w:val="single" w:sz="4" w:space="0" w:color="auto"/>
      </w:pBdr>
      <w:spacing w:after="60"/>
      <w:jc w:val="center"/>
      <w:rPr>
        <w:rFonts w:ascii="FrankRuehl" w:hAnsi="FrankRuehl" w:cs="FrankRuehl"/>
        <w:color w:val="000000"/>
      </w:rPr>
    </w:pPr>
    <w:r w:rsidRPr="005D4F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047E4" w14:textId="77777777" w:rsidR="005D4F26" w:rsidRDefault="005D4F26" w:rsidP="005D4F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5D28">
      <w:rPr>
        <w:rFonts w:ascii="FrankRuehl" w:hAnsi="FrankRuehl" w:cs="FrankRuehl"/>
        <w:noProof/>
        <w:rtl/>
      </w:rPr>
      <w:t>1</w:t>
    </w:r>
    <w:r>
      <w:rPr>
        <w:rFonts w:ascii="FrankRuehl" w:hAnsi="FrankRuehl" w:cs="FrankRuehl"/>
        <w:rtl/>
      </w:rPr>
      <w:fldChar w:fldCharType="end"/>
    </w:r>
  </w:p>
  <w:p w14:paraId="47F2C0E8" w14:textId="77777777" w:rsidR="002F1532" w:rsidRPr="005D4F26" w:rsidRDefault="005D4F26" w:rsidP="005D4F26">
    <w:pPr>
      <w:pStyle w:val="a5"/>
      <w:pBdr>
        <w:top w:val="single" w:sz="4" w:space="1" w:color="auto"/>
        <w:between w:val="single" w:sz="4" w:space="0" w:color="auto"/>
      </w:pBdr>
      <w:spacing w:after="60"/>
      <w:jc w:val="center"/>
      <w:rPr>
        <w:rFonts w:ascii="FrankRuehl" w:hAnsi="FrankRuehl" w:cs="FrankRuehl"/>
        <w:color w:val="000000"/>
      </w:rPr>
    </w:pPr>
    <w:r w:rsidRPr="005D4F26">
      <w:rPr>
        <w:rFonts w:ascii="FrankRuehl" w:hAnsi="FrankRuehl" w:cs="FrankRuehl"/>
        <w:color w:val="000000"/>
      </w:rPr>
      <w:pict w14:anchorId="14602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960D6" w14:textId="77777777" w:rsidR="004A5386" w:rsidRDefault="004A5386" w:rsidP="003806AA">
      <w:r>
        <w:separator/>
      </w:r>
    </w:p>
  </w:footnote>
  <w:footnote w:type="continuationSeparator" w:id="0">
    <w:p w14:paraId="1F2B6DC9" w14:textId="77777777" w:rsidR="004A5386" w:rsidRDefault="004A5386" w:rsidP="00380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25D07" w14:textId="77777777" w:rsidR="001E25C2" w:rsidRPr="005D4F26" w:rsidRDefault="005D4F26" w:rsidP="005D4F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56328-06-22</w:t>
    </w:r>
    <w:r>
      <w:rPr>
        <w:rFonts w:ascii="David" w:hAnsi="David"/>
        <w:color w:val="000000"/>
        <w:sz w:val="22"/>
        <w:szCs w:val="22"/>
        <w:rtl/>
      </w:rPr>
      <w:tab/>
      <w:t xml:space="preserve"> מדינת ישראל נ' מוחמד בסל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D50C" w14:textId="77777777" w:rsidR="001E25C2" w:rsidRPr="005D4F26" w:rsidRDefault="005D4F26" w:rsidP="005D4F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56328-06-22</w:t>
    </w:r>
    <w:r>
      <w:rPr>
        <w:rFonts w:ascii="David" w:hAnsi="David"/>
        <w:color w:val="000000"/>
        <w:sz w:val="22"/>
        <w:szCs w:val="22"/>
        <w:rtl/>
      </w:rPr>
      <w:tab/>
      <w:t xml:space="preserve"> מדינת ישראל נ' מוחמד בסל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13DD"/>
    <w:multiLevelType w:val="hybridMultilevel"/>
    <w:tmpl w:val="6B9CDD48"/>
    <w:lvl w:ilvl="0" w:tplc="5FD26B9A">
      <w:start w:val="30"/>
      <w:numFmt w:val="bullet"/>
      <w:lvlText w:val="-"/>
      <w:lvlJc w:val="left"/>
      <w:pPr>
        <w:ind w:left="1080" w:hanging="360"/>
      </w:pPr>
      <w:rPr>
        <w:rFonts w:ascii="David" w:eastAsia="David"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82168351">
    <w:abstractNumId w:val="2"/>
  </w:num>
  <w:num w:numId="2" w16cid:durableId="293104357">
    <w:abstractNumId w:val="0"/>
  </w:num>
  <w:num w:numId="3" w16cid:durableId="53912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7003"/>
    <w:rsid w:val="000E0E07"/>
    <w:rsid w:val="001B5A3B"/>
    <w:rsid w:val="001E25C2"/>
    <w:rsid w:val="00287003"/>
    <w:rsid w:val="002F1532"/>
    <w:rsid w:val="003806AA"/>
    <w:rsid w:val="004A5386"/>
    <w:rsid w:val="004C5F69"/>
    <w:rsid w:val="005D4F26"/>
    <w:rsid w:val="006C4F6A"/>
    <w:rsid w:val="00B4550F"/>
    <w:rsid w:val="00D85D28"/>
    <w:rsid w:val="00E014B9"/>
    <w:rsid w:val="00EB1D24"/>
    <w:rsid w:val="00F762B5"/>
    <w:rsid w:val="00FD3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3064C0"/>
  <w15:chartTrackingRefBased/>
  <w15:docId w15:val="{F24DD87E-9F16-439E-91E3-2D1D901C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700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7003"/>
    <w:pPr>
      <w:tabs>
        <w:tab w:val="center" w:pos="4153"/>
        <w:tab w:val="right" w:pos="8306"/>
      </w:tabs>
    </w:pPr>
  </w:style>
  <w:style w:type="character" w:customStyle="1" w:styleId="a4">
    <w:name w:val="כותרת עליונה תו"/>
    <w:link w:val="a3"/>
    <w:rsid w:val="00287003"/>
    <w:rPr>
      <w:rFonts w:ascii="Times New Roman" w:eastAsia="Times New Roman" w:hAnsi="Times New Roman" w:cs="David"/>
      <w:sz w:val="24"/>
      <w:szCs w:val="24"/>
    </w:rPr>
  </w:style>
  <w:style w:type="paragraph" w:styleId="a5">
    <w:name w:val="footer"/>
    <w:basedOn w:val="a"/>
    <w:link w:val="a6"/>
    <w:rsid w:val="00287003"/>
    <w:pPr>
      <w:tabs>
        <w:tab w:val="center" w:pos="4153"/>
        <w:tab w:val="right" w:pos="8306"/>
      </w:tabs>
    </w:pPr>
  </w:style>
  <w:style w:type="character" w:customStyle="1" w:styleId="a6">
    <w:name w:val="כותרת תחתונה תו"/>
    <w:link w:val="a5"/>
    <w:rsid w:val="00287003"/>
    <w:rPr>
      <w:rFonts w:ascii="Times New Roman" w:eastAsia="Times New Roman" w:hAnsi="Times New Roman" w:cs="David"/>
      <w:sz w:val="24"/>
      <w:szCs w:val="24"/>
    </w:rPr>
  </w:style>
  <w:style w:type="table" w:styleId="a7">
    <w:name w:val="Table Grid"/>
    <w:basedOn w:val="a1"/>
    <w:rsid w:val="0028700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7003"/>
  </w:style>
  <w:style w:type="character" w:customStyle="1" w:styleId="TimesNewRomanTimesNewRoman">
    <w:name w:val="סגנון (לטיני) Times New Roman (עברית ושפות אחרות) Times New Roman..."/>
    <w:rsid w:val="00287003"/>
    <w:rPr>
      <w:rFonts w:ascii="Times New Roman" w:hAnsi="Times New Roman" w:cs="David" w:hint="default"/>
      <w:b/>
      <w:bCs/>
      <w:sz w:val="26"/>
      <w:szCs w:val="26"/>
    </w:rPr>
  </w:style>
  <w:style w:type="paragraph" w:styleId="a9">
    <w:name w:val="List Paragraph"/>
    <w:basedOn w:val="a"/>
    <w:qFormat/>
    <w:rsid w:val="00287003"/>
    <w:pPr>
      <w:ind w:left="720"/>
      <w:contextualSpacing/>
    </w:pPr>
  </w:style>
  <w:style w:type="paragraph" w:customStyle="1" w:styleId="David">
    <w:name w:val="סגנון (עברית ושפות אחרות) David מיושר לשני הצדדים מרווח בין שורות..."/>
    <w:basedOn w:val="a"/>
    <w:rsid w:val="00287003"/>
    <w:pPr>
      <w:spacing w:line="360" w:lineRule="auto"/>
      <w:jc w:val="both"/>
    </w:pPr>
  </w:style>
  <w:style w:type="character" w:styleId="Hyperlink">
    <w:name w:val="Hyperlink"/>
    <w:rsid w:val="00287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161892"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28562645" TargetMode="External"/><Relationship Id="rId21" Type="http://schemas.openxmlformats.org/officeDocument/2006/relationships/hyperlink" Target="http://www.nevo.co.il/case/28513828" TargetMode="External"/><Relationship Id="rId34" Type="http://schemas.openxmlformats.org/officeDocument/2006/relationships/hyperlink" Target="http://www.nevo.co.il/case/27951273" TargetMode="External"/><Relationship Id="rId42" Type="http://schemas.openxmlformats.org/officeDocument/2006/relationships/hyperlink" Target="http://www.nevo.co.il/case/25888120"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 TargetMode="External"/><Relationship Id="rId29" Type="http://schemas.openxmlformats.org/officeDocument/2006/relationships/hyperlink" Target="http://www.nevo.co.il/law/70301/340a.a" TargetMode="External"/><Relationship Id="rId11" Type="http://schemas.openxmlformats.org/officeDocument/2006/relationships/hyperlink" Target="http://www.nevo.co.il/law/70301/340a.a" TargetMode="External"/><Relationship Id="rId24" Type="http://schemas.openxmlformats.org/officeDocument/2006/relationships/hyperlink" Target="http://www.nevo.co.il/case/28883087" TargetMode="External"/><Relationship Id="rId32" Type="http://schemas.openxmlformats.org/officeDocument/2006/relationships/hyperlink" Target="http://www.nevo.co.il/case/26383419" TargetMode="External"/><Relationship Id="rId37" Type="http://schemas.openxmlformats.org/officeDocument/2006/relationships/hyperlink" Target="http://www.nevo.co.il/case/26589532" TargetMode="External"/><Relationship Id="rId40" Type="http://schemas.openxmlformats.org/officeDocument/2006/relationships/hyperlink" Target="http://www.nevo.co.il/case/624775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5573417"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case/27462558" TargetMode="External"/><Relationship Id="rId49" Type="http://schemas.openxmlformats.org/officeDocument/2006/relationships/footer" Target="footer2.xml"/><Relationship Id="rId10" Type="http://schemas.openxmlformats.org/officeDocument/2006/relationships/hyperlink" Target="http://www.nevo.co.il/law/70301/144.b" TargetMode="External"/><Relationship Id="rId19" Type="http://schemas.openxmlformats.org/officeDocument/2006/relationships/hyperlink" Target="http://www.nevo.co.il/case/21479019" TargetMode="External"/><Relationship Id="rId31" Type="http://schemas.openxmlformats.org/officeDocument/2006/relationships/hyperlink" Target="http://www.nevo.co.il/case/27716369" TargetMode="External"/><Relationship Id="rId44"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70301/32"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5824897" TargetMode="External"/><Relationship Id="rId27" Type="http://schemas.openxmlformats.org/officeDocument/2006/relationships/hyperlink" Target="http://www.nevo.co.il/law/70301/31" TargetMode="External"/><Relationship Id="rId30" Type="http://schemas.openxmlformats.org/officeDocument/2006/relationships/hyperlink" Target="http://www.nevo.co.il/law/70301/31" TargetMode="External"/><Relationship Id="rId35" Type="http://schemas.openxmlformats.org/officeDocument/2006/relationships/hyperlink" Target="http://www.nevo.co.il/case/27802038" TargetMode="External"/><Relationship Id="rId43" Type="http://schemas.openxmlformats.org/officeDocument/2006/relationships/hyperlink" Target="http://www.nevo.co.il/law/70301/40ja" TargetMode="External"/><Relationship Id="rId48"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660017" TargetMode="External"/><Relationship Id="rId33" Type="http://schemas.openxmlformats.org/officeDocument/2006/relationships/hyperlink" Target="http://www.nevo.co.il/case/27087184" TargetMode="External"/><Relationship Id="rId38" Type="http://schemas.openxmlformats.org/officeDocument/2006/relationships/hyperlink" Target="http://www.nevo.co.il/case/23254876" TargetMode="External"/><Relationship Id="rId46" Type="http://schemas.openxmlformats.org/officeDocument/2006/relationships/header" Target="header1.xml"/><Relationship Id="rId20" Type="http://schemas.openxmlformats.org/officeDocument/2006/relationships/hyperlink" Target="http://www.nevo.co.il/case/22294063" TargetMode="External"/><Relationship Id="rId41" Type="http://schemas.openxmlformats.org/officeDocument/2006/relationships/hyperlink" Target="http://www.nevo.co.il/case/557844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5189</Words>
  <Characters>25947</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31074</CharactersWithSpaces>
  <SharedDoc>false</SharedDoc>
  <HLinks>
    <vt:vector size="234" baseType="variant">
      <vt:variant>
        <vt:i4>393283</vt:i4>
      </vt:variant>
      <vt:variant>
        <vt:i4>117</vt:i4>
      </vt:variant>
      <vt:variant>
        <vt:i4>0</vt:i4>
      </vt:variant>
      <vt:variant>
        <vt:i4>5</vt:i4>
      </vt:variant>
      <vt:variant>
        <vt:lpwstr>http://www.nevo.co.il/advertisements/nevo-100.doc</vt:lpwstr>
      </vt:variant>
      <vt:variant>
        <vt:lpwstr/>
      </vt:variant>
      <vt:variant>
        <vt:i4>7864368</vt:i4>
      </vt:variant>
      <vt:variant>
        <vt:i4>114</vt:i4>
      </vt:variant>
      <vt:variant>
        <vt:i4>0</vt:i4>
      </vt:variant>
      <vt:variant>
        <vt:i4>5</vt:i4>
      </vt:variant>
      <vt:variant>
        <vt:lpwstr>http://www.eca.gov.il/</vt:lpwstr>
      </vt:variant>
      <vt:variant>
        <vt:lpwstr/>
      </vt:variant>
      <vt:variant>
        <vt:i4>262155</vt:i4>
      </vt:variant>
      <vt:variant>
        <vt:i4>111</vt:i4>
      </vt:variant>
      <vt:variant>
        <vt:i4>0</vt:i4>
      </vt:variant>
      <vt:variant>
        <vt:i4>5</vt:i4>
      </vt:variant>
      <vt:variant>
        <vt:lpwstr>http://www.nevo.co.il/law/70301/40ja</vt:lpwstr>
      </vt:variant>
      <vt:variant>
        <vt:lpwstr/>
      </vt:variant>
      <vt:variant>
        <vt:i4>3145848</vt:i4>
      </vt:variant>
      <vt:variant>
        <vt:i4>108</vt:i4>
      </vt:variant>
      <vt:variant>
        <vt:i4>0</vt:i4>
      </vt:variant>
      <vt:variant>
        <vt:i4>5</vt:i4>
      </vt:variant>
      <vt:variant>
        <vt:lpwstr>http://www.nevo.co.il/case/25888120</vt:lpwstr>
      </vt:variant>
      <vt:variant>
        <vt:lpwstr/>
      </vt:variant>
      <vt:variant>
        <vt:i4>3211389</vt:i4>
      </vt:variant>
      <vt:variant>
        <vt:i4>105</vt:i4>
      </vt:variant>
      <vt:variant>
        <vt:i4>0</vt:i4>
      </vt:variant>
      <vt:variant>
        <vt:i4>5</vt:i4>
      </vt:variant>
      <vt:variant>
        <vt:lpwstr>http://www.nevo.co.il/case/5578447</vt:lpwstr>
      </vt:variant>
      <vt:variant>
        <vt:lpwstr/>
      </vt:variant>
      <vt:variant>
        <vt:i4>3604596</vt:i4>
      </vt:variant>
      <vt:variant>
        <vt:i4>102</vt:i4>
      </vt:variant>
      <vt:variant>
        <vt:i4>0</vt:i4>
      </vt:variant>
      <vt:variant>
        <vt:i4>5</vt:i4>
      </vt:variant>
      <vt:variant>
        <vt:lpwstr>http://www.nevo.co.il/case/6247752</vt:lpwstr>
      </vt:variant>
      <vt:variant>
        <vt:lpwstr/>
      </vt:variant>
      <vt:variant>
        <vt:i4>3211388</vt:i4>
      </vt:variant>
      <vt:variant>
        <vt:i4>99</vt:i4>
      </vt:variant>
      <vt:variant>
        <vt:i4>0</vt:i4>
      </vt:variant>
      <vt:variant>
        <vt:i4>5</vt:i4>
      </vt:variant>
      <vt:variant>
        <vt:lpwstr>http://www.nevo.co.il/case/28562645</vt:lpwstr>
      </vt:variant>
      <vt:variant>
        <vt:lpwstr/>
      </vt:variant>
      <vt:variant>
        <vt:i4>3342458</vt:i4>
      </vt:variant>
      <vt:variant>
        <vt:i4>96</vt:i4>
      </vt:variant>
      <vt:variant>
        <vt:i4>0</vt:i4>
      </vt:variant>
      <vt:variant>
        <vt:i4>5</vt:i4>
      </vt:variant>
      <vt:variant>
        <vt:lpwstr>http://www.nevo.co.il/case/23254876</vt:lpwstr>
      </vt:variant>
      <vt:variant>
        <vt:lpwstr/>
      </vt:variant>
      <vt:variant>
        <vt:i4>3997823</vt:i4>
      </vt:variant>
      <vt:variant>
        <vt:i4>93</vt:i4>
      </vt:variant>
      <vt:variant>
        <vt:i4>0</vt:i4>
      </vt:variant>
      <vt:variant>
        <vt:i4>5</vt:i4>
      </vt:variant>
      <vt:variant>
        <vt:lpwstr>http://www.nevo.co.il/case/26589532</vt:lpwstr>
      </vt:variant>
      <vt:variant>
        <vt:lpwstr/>
      </vt:variant>
      <vt:variant>
        <vt:i4>3211376</vt:i4>
      </vt:variant>
      <vt:variant>
        <vt:i4>90</vt:i4>
      </vt:variant>
      <vt:variant>
        <vt:i4>0</vt:i4>
      </vt:variant>
      <vt:variant>
        <vt:i4>5</vt:i4>
      </vt:variant>
      <vt:variant>
        <vt:lpwstr>http://www.nevo.co.il/case/27462558</vt:lpwstr>
      </vt:variant>
      <vt:variant>
        <vt:lpwstr/>
      </vt:variant>
      <vt:variant>
        <vt:i4>3866739</vt:i4>
      </vt:variant>
      <vt:variant>
        <vt:i4>87</vt:i4>
      </vt:variant>
      <vt:variant>
        <vt:i4>0</vt:i4>
      </vt:variant>
      <vt:variant>
        <vt:i4>5</vt:i4>
      </vt:variant>
      <vt:variant>
        <vt:lpwstr>http://www.nevo.co.il/case/27802038</vt:lpwstr>
      </vt:variant>
      <vt:variant>
        <vt:lpwstr/>
      </vt:variant>
      <vt:variant>
        <vt:i4>3997812</vt:i4>
      </vt:variant>
      <vt:variant>
        <vt:i4>84</vt:i4>
      </vt:variant>
      <vt:variant>
        <vt:i4>0</vt:i4>
      </vt:variant>
      <vt:variant>
        <vt:i4>5</vt:i4>
      </vt:variant>
      <vt:variant>
        <vt:lpwstr>http://www.nevo.co.il/case/27951273</vt:lpwstr>
      </vt:variant>
      <vt:variant>
        <vt:lpwstr/>
      </vt:variant>
      <vt:variant>
        <vt:i4>3997818</vt:i4>
      </vt:variant>
      <vt:variant>
        <vt:i4>81</vt:i4>
      </vt:variant>
      <vt:variant>
        <vt:i4>0</vt:i4>
      </vt:variant>
      <vt:variant>
        <vt:i4>5</vt:i4>
      </vt:variant>
      <vt:variant>
        <vt:lpwstr>http://www.nevo.co.il/case/27087184</vt:lpwstr>
      </vt:variant>
      <vt:variant>
        <vt:lpwstr/>
      </vt:variant>
      <vt:variant>
        <vt:i4>3342462</vt:i4>
      </vt:variant>
      <vt:variant>
        <vt:i4>78</vt:i4>
      </vt:variant>
      <vt:variant>
        <vt:i4>0</vt:i4>
      </vt:variant>
      <vt:variant>
        <vt:i4>5</vt:i4>
      </vt:variant>
      <vt:variant>
        <vt:lpwstr>http://www.nevo.co.il/case/26383419</vt:lpwstr>
      </vt:variant>
      <vt:variant>
        <vt:lpwstr/>
      </vt:variant>
      <vt:variant>
        <vt:i4>3473521</vt:i4>
      </vt:variant>
      <vt:variant>
        <vt:i4>75</vt:i4>
      </vt:variant>
      <vt:variant>
        <vt:i4>0</vt:i4>
      </vt:variant>
      <vt:variant>
        <vt:i4>5</vt:i4>
      </vt:variant>
      <vt:variant>
        <vt:lpwstr>http://www.nevo.co.il/case/27716369</vt:lpwstr>
      </vt:variant>
      <vt:variant>
        <vt:lpwstr/>
      </vt:variant>
      <vt:variant>
        <vt:i4>6553702</vt:i4>
      </vt:variant>
      <vt:variant>
        <vt:i4>72</vt:i4>
      </vt:variant>
      <vt:variant>
        <vt:i4>0</vt:i4>
      </vt:variant>
      <vt:variant>
        <vt:i4>5</vt:i4>
      </vt:variant>
      <vt:variant>
        <vt:lpwstr>http://www.nevo.co.il/law/70301/31</vt:lpwstr>
      </vt:variant>
      <vt:variant>
        <vt:lpwstr/>
      </vt:variant>
      <vt:variant>
        <vt:i4>6357112</vt:i4>
      </vt:variant>
      <vt:variant>
        <vt:i4>69</vt:i4>
      </vt:variant>
      <vt:variant>
        <vt:i4>0</vt:i4>
      </vt:variant>
      <vt:variant>
        <vt:i4>5</vt:i4>
      </vt:variant>
      <vt:variant>
        <vt:lpwstr>http://www.nevo.co.il/law/70301/340a.a</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3473530</vt:i4>
      </vt:variant>
      <vt:variant>
        <vt:i4>57</vt:i4>
      </vt:variant>
      <vt:variant>
        <vt:i4>0</vt:i4>
      </vt:variant>
      <vt:variant>
        <vt:i4>5</vt:i4>
      </vt:variant>
      <vt:variant>
        <vt:lpwstr>http://www.nevo.co.il/case/28660017</vt:lpwstr>
      </vt:variant>
      <vt:variant>
        <vt:lpwstr/>
      </vt:variant>
      <vt:variant>
        <vt:i4>3211380</vt:i4>
      </vt:variant>
      <vt:variant>
        <vt:i4>54</vt:i4>
      </vt:variant>
      <vt:variant>
        <vt:i4>0</vt:i4>
      </vt:variant>
      <vt:variant>
        <vt:i4>5</vt:i4>
      </vt:variant>
      <vt:variant>
        <vt:lpwstr>http://www.nevo.co.il/case/28883087</vt:lpwstr>
      </vt:variant>
      <vt:variant>
        <vt:lpwstr/>
      </vt:variant>
      <vt:variant>
        <vt:i4>3211379</vt:i4>
      </vt:variant>
      <vt:variant>
        <vt:i4>51</vt:i4>
      </vt:variant>
      <vt:variant>
        <vt:i4>0</vt:i4>
      </vt:variant>
      <vt:variant>
        <vt:i4>5</vt:i4>
      </vt:variant>
      <vt:variant>
        <vt:lpwstr>http://www.nevo.co.il/case/5573417</vt:lpwstr>
      </vt:variant>
      <vt:variant>
        <vt:lpwstr/>
      </vt:variant>
      <vt:variant>
        <vt:i4>3604603</vt:i4>
      </vt:variant>
      <vt:variant>
        <vt:i4>48</vt:i4>
      </vt:variant>
      <vt:variant>
        <vt:i4>0</vt:i4>
      </vt:variant>
      <vt:variant>
        <vt:i4>5</vt:i4>
      </vt:variant>
      <vt:variant>
        <vt:lpwstr>http://www.nevo.co.il/case/25824897</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3276927</vt:i4>
      </vt:variant>
      <vt:variant>
        <vt:i4>42</vt:i4>
      </vt:variant>
      <vt:variant>
        <vt:i4>0</vt:i4>
      </vt:variant>
      <vt:variant>
        <vt:i4>5</vt:i4>
      </vt:variant>
      <vt:variant>
        <vt:lpwstr>http://www.nevo.co.il/case/22294063</vt:lpwstr>
      </vt:variant>
      <vt:variant>
        <vt:lpwstr/>
      </vt:variant>
      <vt:variant>
        <vt:i4>4063346</vt:i4>
      </vt:variant>
      <vt:variant>
        <vt:i4>39</vt:i4>
      </vt:variant>
      <vt:variant>
        <vt:i4>0</vt:i4>
      </vt:variant>
      <vt:variant>
        <vt:i4>5</vt:i4>
      </vt:variant>
      <vt:variant>
        <vt:lpwstr>http://www.nevo.co.il/case/21479019</vt:lpwstr>
      </vt:variant>
      <vt:variant>
        <vt:lpwstr/>
      </vt:variant>
      <vt:variant>
        <vt:i4>589898</vt:i4>
      </vt:variant>
      <vt:variant>
        <vt:i4>36</vt:i4>
      </vt:variant>
      <vt:variant>
        <vt:i4>0</vt:i4>
      </vt:variant>
      <vt:variant>
        <vt:i4>5</vt:i4>
      </vt:variant>
      <vt:variant>
        <vt:lpwstr>http://www.nevo.co.il/case/161892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6750310</vt:i4>
      </vt:variant>
      <vt:variant>
        <vt:i4>30</vt:i4>
      </vt:variant>
      <vt:variant>
        <vt:i4>0</vt:i4>
      </vt:variant>
      <vt:variant>
        <vt:i4>5</vt:i4>
      </vt:variant>
      <vt:variant>
        <vt:lpwstr>http://www.nevo.co.il/law/70301/32</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6750310</vt:i4>
      </vt:variant>
      <vt:variant>
        <vt:i4>9</vt:i4>
      </vt:variant>
      <vt:variant>
        <vt:i4>0</vt:i4>
      </vt:variant>
      <vt:variant>
        <vt:i4>5</vt:i4>
      </vt:variant>
      <vt:variant>
        <vt:lpwstr>http://www.nevo.co.il/law/70301/32</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2025-04-25T10:55:00Z</dcterms:created>
  <dcterms:modified xsi:type="dcterms:W3CDTF">2025-04-25T10:55:00Z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56328</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בסל;פואד סויטו;מוסטפא הנבוזי;עודאי טאהא </vt:lpwstr>
  </property>
  <property fmtid="{D5CDD505-2E9C-101B-9397-08002B2CF9AE}" pid="10" name="LAWYER">
    <vt:lpwstr>מיכאל כרמל;משה אביטל;מג'יד חיג'אזי;ששון בר עוד;פהד נסיב חאג'</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20230216</vt:lpwstr>
  </property>
  <property fmtid="{D5CDD505-2E9C-101B-9397-08002B2CF9AE}" pid="14" name="TYPE_N_DATE">
    <vt:lpwstr>39020230216</vt:lpwstr>
  </property>
  <property fmtid="{D5CDD505-2E9C-101B-9397-08002B2CF9AE}" pid="15" name="WORDNUMPAGES">
    <vt:lpwstr>15</vt:lpwstr>
  </property>
  <property fmtid="{D5CDD505-2E9C-101B-9397-08002B2CF9AE}" pid="16" name="TYPE_ABS_DATE">
    <vt:lpwstr>390020230216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161892;21479019;22294063;28513828;25824897;5573417;28883087;28660017;27716369;26383419;27087184;27951273;27802038;27462558;26589532;23254876;28562645;6247752;5578447;25888120</vt:lpwstr>
  </property>
  <property fmtid="{D5CDD505-2E9C-101B-9397-08002B2CF9AE}" pid="36" name="LAWLISTTMP1">
    <vt:lpwstr>70301/144.b:4;032;031:2;340a.a;40ja</vt:lpwstr>
  </property>
</Properties>
</file>