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C39B1" w:rsidRPr="000E22A1" w14:paraId="72B08365" w14:textId="77777777" w:rsidTr="003845BE">
        <w:trPr>
          <w:trHeight w:hRule="exact" w:val="418"/>
          <w:jc w:val="center"/>
        </w:trPr>
        <w:tc>
          <w:tcPr>
            <w:tcW w:w="8721" w:type="dxa"/>
            <w:gridSpan w:val="2"/>
          </w:tcPr>
          <w:p w14:paraId="24A540B7" w14:textId="77777777" w:rsidR="00BC39B1" w:rsidRPr="000E22A1" w:rsidRDefault="00BC39B1" w:rsidP="0098587E">
            <w:pPr>
              <w:pStyle w:val="a3"/>
              <w:jc w:val="center"/>
              <w:rPr>
                <w:rFonts w:ascii="Tahoma" w:hAnsi="Tahoma" w:cs="Tahoma"/>
                <w:color w:val="000080"/>
                <w:rtl/>
              </w:rPr>
            </w:pPr>
            <w:bookmarkStart w:id="0" w:name="LastJudge"/>
            <w:r w:rsidRPr="000E22A1">
              <w:rPr>
                <w:rFonts w:ascii="Tahoma" w:hAnsi="Tahoma" w:cs="Tahoma"/>
                <w:b/>
                <w:bCs/>
                <w:color w:val="000080"/>
                <w:rtl/>
              </w:rPr>
              <w:t>בית המשפט המחוזי מרכז-לוד</w:t>
            </w:r>
          </w:p>
        </w:tc>
      </w:tr>
      <w:tr w:rsidR="00BC39B1" w:rsidRPr="000E22A1" w14:paraId="57857003" w14:textId="77777777" w:rsidTr="003845BE">
        <w:trPr>
          <w:trHeight w:val="337"/>
          <w:jc w:val="center"/>
        </w:trPr>
        <w:tc>
          <w:tcPr>
            <w:tcW w:w="5055" w:type="dxa"/>
          </w:tcPr>
          <w:p w14:paraId="78ADAE80" w14:textId="77777777" w:rsidR="00BC39B1" w:rsidRPr="000E22A1" w:rsidRDefault="00BC39B1" w:rsidP="0098587E">
            <w:pPr>
              <w:rPr>
                <w:rFonts w:cs="FrankRuehl"/>
                <w:sz w:val="28"/>
                <w:szCs w:val="28"/>
                <w:rtl/>
              </w:rPr>
            </w:pPr>
            <w:r w:rsidRPr="000E22A1">
              <w:rPr>
                <w:rFonts w:cs="FrankRuehl"/>
                <w:sz w:val="28"/>
                <w:szCs w:val="28"/>
                <w:rtl/>
              </w:rPr>
              <w:t>ת"פ</w:t>
            </w:r>
            <w:r w:rsidRPr="000E22A1">
              <w:rPr>
                <w:rFonts w:cs="FrankRuehl" w:hint="cs"/>
                <w:sz w:val="28"/>
                <w:szCs w:val="28"/>
                <w:rtl/>
              </w:rPr>
              <w:t xml:space="preserve"> </w:t>
            </w:r>
            <w:r w:rsidRPr="000E22A1">
              <w:rPr>
                <w:rFonts w:cs="FrankRuehl"/>
                <w:sz w:val="28"/>
                <w:szCs w:val="28"/>
                <w:rtl/>
              </w:rPr>
              <w:t>63303-06-22</w:t>
            </w:r>
            <w:r w:rsidRPr="000E22A1">
              <w:rPr>
                <w:rFonts w:cs="FrankRuehl" w:hint="cs"/>
                <w:sz w:val="28"/>
                <w:szCs w:val="28"/>
                <w:rtl/>
              </w:rPr>
              <w:t xml:space="preserve"> </w:t>
            </w:r>
            <w:r w:rsidRPr="000E22A1">
              <w:rPr>
                <w:rFonts w:cs="FrankRuehl"/>
                <w:sz w:val="28"/>
                <w:szCs w:val="28"/>
                <w:rtl/>
              </w:rPr>
              <w:t>מדינת ישראל נ' מסארוה</w:t>
            </w:r>
          </w:p>
          <w:p w14:paraId="3A0C6B99" w14:textId="77777777" w:rsidR="00BC39B1" w:rsidRPr="000E22A1" w:rsidRDefault="00BC39B1" w:rsidP="0098587E">
            <w:pPr>
              <w:pStyle w:val="a3"/>
              <w:rPr>
                <w:rFonts w:cs="FrankRuehl"/>
                <w:sz w:val="28"/>
                <w:szCs w:val="28"/>
                <w:rtl/>
              </w:rPr>
            </w:pPr>
          </w:p>
        </w:tc>
        <w:tc>
          <w:tcPr>
            <w:tcW w:w="3666" w:type="dxa"/>
          </w:tcPr>
          <w:p w14:paraId="0988933E" w14:textId="77777777" w:rsidR="00BC39B1" w:rsidRPr="000E22A1" w:rsidRDefault="00BC39B1" w:rsidP="0098587E">
            <w:pPr>
              <w:pStyle w:val="a3"/>
              <w:jc w:val="right"/>
              <w:rPr>
                <w:rFonts w:cs="FrankRuehl"/>
                <w:sz w:val="28"/>
                <w:szCs w:val="28"/>
                <w:rtl/>
              </w:rPr>
            </w:pPr>
          </w:p>
        </w:tc>
      </w:tr>
    </w:tbl>
    <w:p w14:paraId="35270FA9" w14:textId="77777777" w:rsidR="00BC39B1" w:rsidRPr="000E22A1" w:rsidRDefault="00BC39B1" w:rsidP="003845BE">
      <w:pPr>
        <w:pStyle w:val="a3"/>
        <w:rPr>
          <w:rtl/>
        </w:rPr>
      </w:pPr>
      <w:r w:rsidRPr="000E22A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C39B1" w:rsidRPr="000E22A1" w14:paraId="3FD43BF3" w14:textId="77777777" w:rsidTr="00BC39B1">
        <w:trPr>
          <w:trHeight w:val="295"/>
          <w:jc w:val="center"/>
        </w:trPr>
        <w:tc>
          <w:tcPr>
            <w:tcW w:w="923" w:type="dxa"/>
            <w:tcBorders>
              <w:top w:val="nil"/>
              <w:left w:val="nil"/>
              <w:bottom w:val="nil"/>
              <w:right w:val="nil"/>
            </w:tcBorders>
            <w:shd w:val="clear" w:color="auto" w:fill="auto"/>
          </w:tcPr>
          <w:p w14:paraId="3690A7CD" w14:textId="77777777" w:rsidR="00BC39B1" w:rsidRPr="000E22A1" w:rsidRDefault="00BC39B1" w:rsidP="00BC39B1">
            <w:pPr>
              <w:jc w:val="both"/>
              <w:rPr>
                <w:rFonts w:ascii="David" w:hAnsi="David"/>
                <w:sz w:val="26"/>
                <w:szCs w:val="26"/>
              </w:rPr>
            </w:pPr>
            <w:r w:rsidRPr="000E22A1">
              <w:rPr>
                <w:rFonts w:ascii="David" w:hAnsi="David" w:hint="cs"/>
                <w:sz w:val="26"/>
                <w:szCs w:val="26"/>
                <w:rtl/>
              </w:rPr>
              <w:t>ל</w:t>
            </w:r>
            <w:r w:rsidRPr="000E22A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6824268" w14:textId="77777777" w:rsidR="00BC39B1" w:rsidRPr="000E22A1" w:rsidRDefault="00BC39B1" w:rsidP="0098587E">
            <w:pPr>
              <w:rPr>
                <w:rFonts w:ascii="David" w:hAnsi="David"/>
                <w:b/>
                <w:bCs/>
                <w:sz w:val="26"/>
                <w:szCs w:val="26"/>
                <w:rtl/>
              </w:rPr>
            </w:pPr>
            <w:r w:rsidRPr="000E22A1">
              <w:rPr>
                <w:rFonts w:ascii="David" w:hAnsi="David"/>
                <w:b/>
                <w:bCs/>
                <w:sz w:val="26"/>
                <w:szCs w:val="26"/>
                <w:rtl/>
              </w:rPr>
              <w:t>כבוד השופטת  מרב גרינברג</w:t>
            </w:r>
          </w:p>
          <w:p w14:paraId="2E3A6EF1" w14:textId="77777777" w:rsidR="00BC39B1" w:rsidRPr="000E22A1" w:rsidRDefault="00BC39B1" w:rsidP="0098587E">
            <w:pPr>
              <w:rPr>
                <w:rFonts w:ascii="David" w:hAnsi="David"/>
                <w:sz w:val="26"/>
                <w:szCs w:val="26"/>
                <w:rtl/>
              </w:rPr>
            </w:pPr>
          </w:p>
          <w:p w14:paraId="12BEE141" w14:textId="77777777" w:rsidR="00BC39B1" w:rsidRPr="000E22A1" w:rsidRDefault="00BC39B1" w:rsidP="00BC39B1">
            <w:pPr>
              <w:jc w:val="both"/>
              <w:rPr>
                <w:rFonts w:ascii="David" w:hAnsi="David"/>
                <w:sz w:val="26"/>
                <w:szCs w:val="26"/>
              </w:rPr>
            </w:pPr>
          </w:p>
        </w:tc>
      </w:tr>
      <w:tr w:rsidR="00BC39B1" w:rsidRPr="000E22A1" w14:paraId="09650512" w14:textId="77777777" w:rsidTr="00BC39B1">
        <w:trPr>
          <w:trHeight w:val="355"/>
          <w:jc w:val="center"/>
        </w:trPr>
        <w:tc>
          <w:tcPr>
            <w:tcW w:w="923" w:type="dxa"/>
            <w:tcBorders>
              <w:top w:val="nil"/>
              <w:left w:val="nil"/>
              <w:bottom w:val="nil"/>
              <w:right w:val="nil"/>
            </w:tcBorders>
            <w:shd w:val="clear" w:color="auto" w:fill="auto"/>
          </w:tcPr>
          <w:p w14:paraId="4C0CC21A" w14:textId="77777777" w:rsidR="00BC39B1" w:rsidRPr="000E22A1" w:rsidRDefault="00BC39B1" w:rsidP="00BC39B1">
            <w:pPr>
              <w:jc w:val="both"/>
              <w:rPr>
                <w:rFonts w:ascii="David" w:hAnsi="David"/>
                <w:sz w:val="26"/>
                <w:szCs w:val="26"/>
              </w:rPr>
            </w:pPr>
            <w:bookmarkStart w:id="1" w:name="FirstAppellant"/>
            <w:bookmarkStart w:id="2" w:name="FirstLawyer"/>
            <w:r w:rsidRPr="000E22A1">
              <w:rPr>
                <w:rFonts w:ascii="David" w:hAnsi="David"/>
                <w:sz w:val="26"/>
                <w:szCs w:val="26"/>
                <w:rtl/>
              </w:rPr>
              <w:t>בעניין:</w:t>
            </w:r>
          </w:p>
        </w:tc>
        <w:tc>
          <w:tcPr>
            <w:tcW w:w="3219" w:type="dxa"/>
            <w:tcBorders>
              <w:top w:val="nil"/>
              <w:left w:val="nil"/>
              <w:bottom w:val="nil"/>
              <w:right w:val="nil"/>
            </w:tcBorders>
            <w:shd w:val="clear" w:color="auto" w:fill="auto"/>
          </w:tcPr>
          <w:p w14:paraId="207F3DB5" w14:textId="77777777" w:rsidR="00BC39B1" w:rsidRPr="000E22A1" w:rsidRDefault="00BC39B1" w:rsidP="00BC39B1">
            <w:pPr>
              <w:suppressLineNumbers/>
            </w:pPr>
            <w:r w:rsidRPr="000E22A1">
              <w:rPr>
                <w:rFonts w:ascii="Arial" w:hAnsi="Arial" w:hint="cs"/>
                <w:b/>
                <w:bCs/>
                <w:sz w:val="26"/>
                <w:szCs w:val="26"/>
                <w:rtl/>
              </w:rPr>
              <w:t>ה</w:t>
            </w:r>
            <w:r w:rsidRPr="000E22A1">
              <w:rPr>
                <w:rFonts w:ascii="Arial" w:hAnsi="Arial"/>
                <w:b/>
                <w:bCs/>
                <w:sz w:val="26"/>
                <w:szCs w:val="26"/>
                <w:rtl/>
              </w:rPr>
              <w:t>מאשימה</w:t>
            </w:r>
          </w:p>
          <w:p w14:paraId="4C6F0F90" w14:textId="77777777" w:rsidR="00BC39B1" w:rsidRPr="000E22A1" w:rsidRDefault="00BC39B1" w:rsidP="0098587E">
            <w:pPr>
              <w:rPr>
                <w:rFonts w:ascii="David" w:hAnsi="David"/>
                <w:sz w:val="26"/>
                <w:szCs w:val="26"/>
              </w:rPr>
            </w:pPr>
          </w:p>
        </w:tc>
        <w:tc>
          <w:tcPr>
            <w:tcW w:w="4678" w:type="dxa"/>
            <w:tcBorders>
              <w:top w:val="nil"/>
              <w:left w:val="nil"/>
              <w:bottom w:val="nil"/>
              <w:right w:val="nil"/>
            </w:tcBorders>
            <w:shd w:val="clear" w:color="auto" w:fill="auto"/>
            <w:vAlign w:val="center"/>
          </w:tcPr>
          <w:p w14:paraId="5BB4D3BD" w14:textId="77777777" w:rsidR="00BC39B1" w:rsidRPr="000E22A1" w:rsidRDefault="00BC39B1" w:rsidP="00BC39B1">
            <w:pPr>
              <w:suppressLineNumbers/>
              <w:rPr>
                <w:rFonts w:ascii="Arial" w:hAnsi="Arial"/>
                <w:b/>
                <w:bCs/>
                <w:sz w:val="26"/>
                <w:szCs w:val="26"/>
                <w:rtl/>
              </w:rPr>
            </w:pPr>
            <w:r w:rsidRPr="000E22A1">
              <w:rPr>
                <w:rFonts w:ascii="Arial" w:hAnsi="Arial"/>
                <w:b/>
                <w:bCs/>
                <w:sz w:val="26"/>
                <w:szCs w:val="26"/>
                <w:rtl/>
              </w:rPr>
              <w:t>מדינת ישראל</w:t>
            </w:r>
          </w:p>
          <w:p w14:paraId="432BDDFD" w14:textId="77777777" w:rsidR="00BC39B1" w:rsidRPr="000E22A1" w:rsidRDefault="00BC39B1" w:rsidP="00BC39B1">
            <w:pPr>
              <w:suppressLineNumbers/>
            </w:pPr>
            <w:r w:rsidRPr="000E22A1">
              <w:rPr>
                <w:rFonts w:ascii="Arial" w:hAnsi="Arial"/>
                <w:b/>
                <w:bCs/>
                <w:sz w:val="26"/>
                <w:szCs w:val="26"/>
                <w:rtl/>
              </w:rPr>
              <w:t>ע"י ב"כ עוה"ד</w:t>
            </w:r>
            <w:r w:rsidRPr="000E22A1">
              <w:rPr>
                <w:rFonts w:ascii="Arial" w:hAnsi="Arial" w:hint="cs"/>
                <w:b/>
                <w:bCs/>
                <w:sz w:val="26"/>
                <w:szCs w:val="26"/>
                <w:rtl/>
              </w:rPr>
              <w:t xml:space="preserve"> הינד נבולסי</w:t>
            </w:r>
          </w:p>
          <w:p w14:paraId="04F01512" w14:textId="77777777" w:rsidR="00BC39B1" w:rsidRPr="000E22A1" w:rsidRDefault="00BC39B1" w:rsidP="0098587E">
            <w:pPr>
              <w:rPr>
                <w:rFonts w:ascii="David" w:hAnsi="David"/>
                <w:sz w:val="26"/>
                <w:szCs w:val="26"/>
              </w:rPr>
            </w:pPr>
          </w:p>
        </w:tc>
      </w:tr>
      <w:bookmarkEnd w:id="1"/>
      <w:bookmarkEnd w:id="2"/>
      <w:tr w:rsidR="00BC39B1" w:rsidRPr="000E22A1" w14:paraId="2F5F9824" w14:textId="77777777" w:rsidTr="00BC39B1">
        <w:trPr>
          <w:trHeight w:val="355"/>
          <w:jc w:val="center"/>
        </w:trPr>
        <w:tc>
          <w:tcPr>
            <w:tcW w:w="923" w:type="dxa"/>
            <w:tcBorders>
              <w:top w:val="nil"/>
              <w:left w:val="nil"/>
              <w:bottom w:val="nil"/>
              <w:right w:val="nil"/>
            </w:tcBorders>
            <w:shd w:val="clear" w:color="auto" w:fill="auto"/>
          </w:tcPr>
          <w:p w14:paraId="0380397E" w14:textId="77777777" w:rsidR="00BC39B1" w:rsidRPr="000E22A1" w:rsidRDefault="00BC39B1" w:rsidP="00BC39B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92A41DB" w14:textId="77777777" w:rsidR="00BC39B1" w:rsidRPr="000E22A1" w:rsidRDefault="00BC39B1" w:rsidP="00BC39B1">
            <w:pPr>
              <w:jc w:val="center"/>
              <w:rPr>
                <w:rFonts w:ascii="David" w:hAnsi="David"/>
                <w:b/>
                <w:bCs/>
                <w:sz w:val="26"/>
                <w:szCs w:val="26"/>
                <w:rtl/>
              </w:rPr>
            </w:pPr>
          </w:p>
          <w:p w14:paraId="152D5969" w14:textId="77777777" w:rsidR="00BC39B1" w:rsidRPr="000E22A1" w:rsidRDefault="00BC39B1" w:rsidP="00BC39B1">
            <w:pPr>
              <w:jc w:val="center"/>
              <w:rPr>
                <w:rFonts w:ascii="David" w:hAnsi="David"/>
                <w:b/>
                <w:bCs/>
                <w:sz w:val="26"/>
                <w:szCs w:val="26"/>
                <w:rtl/>
              </w:rPr>
            </w:pPr>
            <w:r w:rsidRPr="000E22A1">
              <w:rPr>
                <w:rFonts w:ascii="David" w:hAnsi="David"/>
                <w:b/>
                <w:bCs/>
                <w:sz w:val="26"/>
                <w:szCs w:val="26"/>
                <w:rtl/>
              </w:rPr>
              <w:t>נגד</w:t>
            </w:r>
          </w:p>
          <w:p w14:paraId="07CBC560" w14:textId="77777777" w:rsidR="00BC39B1" w:rsidRPr="000E22A1" w:rsidRDefault="00BC39B1" w:rsidP="00BC39B1">
            <w:pPr>
              <w:jc w:val="both"/>
              <w:rPr>
                <w:rFonts w:ascii="David" w:hAnsi="David"/>
                <w:sz w:val="26"/>
                <w:szCs w:val="26"/>
              </w:rPr>
            </w:pPr>
          </w:p>
        </w:tc>
      </w:tr>
      <w:tr w:rsidR="00BC39B1" w:rsidRPr="000E22A1" w14:paraId="7C8669F3" w14:textId="77777777" w:rsidTr="00BC39B1">
        <w:trPr>
          <w:trHeight w:val="355"/>
          <w:jc w:val="center"/>
        </w:trPr>
        <w:tc>
          <w:tcPr>
            <w:tcW w:w="923" w:type="dxa"/>
            <w:tcBorders>
              <w:top w:val="nil"/>
              <w:left w:val="nil"/>
              <w:bottom w:val="nil"/>
              <w:right w:val="nil"/>
            </w:tcBorders>
            <w:shd w:val="clear" w:color="auto" w:fill="auto"/>
          </w:tcPr>
          <w:p w14:paraId="015C73A0" w14:textId="77777777" w:rsidR="00BC39B1" w:rsidRPr="000E22A1" w:rsidRDefault="00BC39B1" w:rsidP="0098587E">
            <w:pPr>
              <w:rPr>
                <w:rFonts w:ascii="David" w:hAnsi="David"/>
                <w:sz w:val="26"/>
                <w:szCs w:val="26"/>
                <w:rtl/>
              </w:rPr>
            </w:pPr>
          </w:p>
        </w:tc>
        <w:tc>
          <w:tcPr>
            <w:tcW w:w="3219" w:type="dxa"/>
            <w:tcBorders>
              <w:top w:val="nil"/>
              <w:left w:val="nil"/>
              <w:bottom w:val="nil"/>
              <w:right w:val="nil"/>
            </w:tcBorders>
            <w:shd w:val="clear" w:color="auto" w:fill="auto"/>
          </w:tcPr>
          <w:p w14:paraId="52CC6CBC" w14:textId="77777777" w:rsidR="00BC39B1" w:rsidRPr="000E22A1" w:rsidRDefault="00BC39B1" w:rsidP="0098587E">
            <w:pPr>
              <w:rPr>
                <w:rFonts w:ascii="Arial" w:hAnsi="Arial"/>
                <w:b/>
                <w:bCs/>
                <w:sz w:val="26"/>
                <w:szCs w:val="26"/>
                <w:rtl/>
              </w:rPr>
            </w:pPr>
            <w:r w:rsidRPr="000E22A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7743734" w14:textId="77777777" w:rsidR="00BC39B1" w:rsidRPr="000E22A1" w:rsidRDefault="00BC39B1" w:rsidP="00BC39B1">
            <w:pPr>
              <w:suppressLineNumbers/>
              <w:rPr>
                <w:rFonts w:ascii="Arial" w:hAnsi="Arial"/>
                <w:b/>
                <w:bCs/>
                <w:sz w:val="26"/>
                <w:szCs w:val="26"/>
                <w:rtl/>
              </w:rPr>
            </w:pPr>
            <w:r w:rsidRPr="000E22A1">
              <w:rPr>
                <w:rFonts w:ascii="Arial" w:hAnsi="Arial"/>
                <w:b/>
                <w:bCs/>
                <w:sz w:val="26"/>
                <w:szCs w:val="26"/>
                <w:rtl/>
              </w:rPr>
              <w:t>מוחמד מסארוה</w:t>
            </w:r>
            <w:r w:rsidRPr="000E22A1">
              <w:rPr>
                <w:rFonts w:ascii="Arial" w:hAnsi="Arial" w:hint="cs"/>
                <w:b/>
                <w:bCs/>
                <w:sz w:val="26"/>
                <w:szCs w:val="26"/>
                <w:rtl/>
              </w:rPr>
              <w:t xml:space="preserve"> </w:t>
            </w:r>
          </w:p>
          <w:p w14:paraId="107668BC" w14:textId="77777777" w:rsidR="00BC39B1" w:rsidRPr="000E22A1" w:rsidRDefault="00BC39B1" w:rsidP="00BC39B1">
            <w:pPr>
              <w:suppressLineNumbers/>
            </w:pPr>
            <w:r w:rsidRPr="000E22A1">
              <w:rPr>
                <w:rFonts w:ascii="Arial" w:hAnsi="Arial"/>
                <w:b/>
                <w:bCs/>
                <w:sz w:val="26"/>
                <w:szCs w:val="26"/>
                <w:rtl/>
              </w:rPr>
              <w:t>ע"י ב"כ עוה"ד</w:t>
            </w:r>
            <w:r w:rsidRPr="000E22A1">
              <w:rPr>
                <w:rFonts w:ascii="Arial" w:hAnsi="Arial" w:hint="cs"/>
                <w:b/>
                <w:bCs/>
                <w:sz w:val="26"/>
                <w:szCs w:val="26"/>
                <w:rtl/>
              </w:rPr>
              <w:t xml:space="preserve"> שאדי נאטור</w:t>
            </w:r>
          </w:p>
          <w:p w14:paraId="299CB988" w14:textId="77777777" w:rsidR="00BC39B1" w:rsidRPr="000E22A1" w:rsidRDefault="00BC39B1" w:rsidP="0098587E">
            <w:pPr>
              <w:rPr>
                <w:rFonts w:ascii="David" w:hAnsi="David"/>
                <w:sz w:val="26"/>
                <w:szCs w:val="26"/>
              </w:rPr>
            </w:pPr>
          </w:p>
        </w:tc>
      </w:tr>
    </w:tbl>
    <w:p w14:paraId="4B9B7D6C" w14:textId="77777777" w:rsidR="003845BE" w:rsidRPr="003845BE" w:rsidRDefault="003845BE" w:rsidP="003845BE">
      <w:pPr>
        <w:spacing w:before="120" w:after="120" w:line="240" w:lineRule="exact"/>
        <w:ind w:left="283" w:hanging="283"/>
        <w:jc w:val="both"/>
        <w:rPr>
          <w:rFonts w:ascii="FrankRuehl" w:hAnsi="FrankRuehl" w:cs="FrankRuehl"/>
          <w:rtl/>
        </w:rPr>
      </w:pPr>
    </w:p>
    <w:p w14:paraId="272772AD" w14:textId="77777777" w:rsidR="002526BF" w:rsidRPr="002526BF" w:rsidRDefault="002526BF" w:rsidP="002526BF">
      <w:pPr>
        <w:spacing w:before="120" w:after="120" w:line="240" w:lineRule="exact"/>
        <w:ind w:left="283" w:hanging="283"/>
        <w:jc w:val="both"/>
        <w:rPr>
          <w:rFonts w:ascii="FrankRuehl" w:hAnsi="FrankRuehl" w:cs="FrankRuehl"/>
          <w:rtl/>
        </w:rPr>
      </w:pPr>
    </w:p>
    <w:p w14:paraId="2F67138A" w14:textId="77777777" w:rsidR="00C678E2" w:rsidRDefault="00C678E2" w:rsidP="00C678E2">
      <w:pPr>
        <w:rPr>
          <w:sz w:val="26"/>
          <w:szCs w:val="26"/>
          <w:rtl/>
        </w:rPr>
      </w:pPr>
      <w:bookmarkStart w:id="3" w:name="LawTable"/>
      <w:bookmarkEnd w:id="3"/>
    </w:p>
    <w:p w14:paraId="206573EB" w14:textId="77777777" w:rsidR="00C678E2" w:rsidRPr="00C678E2" w:rsidRDefault="00C678E2" w:rsidP="00C678E2">
      <w:pPr>
        <w:spacing w:before="120" w:after="120" w:line="240" w:lineRule="exact"/>
        <w:ind w:left="283" w:hanging="283"/>
        <w:jc w:val="both"/>
        <w:rPr>
          <w:rFonts w:ascii="FrankRuehl" w:hAnsi="FrankRuehl" w:cs="FrankRuehl"/>
          <w:rtl/>
        </w:rPr>
      </w:pPr>
    </w:p>
    <w:p w14:paraId="6F1CCF97" w14:textId="77777777" w:rsidR="00C678E2" w:rsidRPr="00C678E2" w:rsidRDefault="00C678E2" w:rsidP="00C678E2">
      <w:pPr>
        <w:spacing w:before="120" w:after="120" w:line="240" w:lineRule="exact"/>
        <w:ind w:left="283" w:hanging="283"/>
        <w:jc w:val="both"/>
        <w:rPr>
          <w:rFonts w:ascii="FrankRuehl" w:hAnsi="FrankRuehl" w:cs="FrankRuehl"/>
          <w:rtl/>
        </w:rPr>
      </w:pPr>
    </w:p>
    <w:p w14:paraId="3F54D029" w14:textId="77777777" w:rsidR="00C678E2" w:rsidRPr="00C678E2" w:rsidRDefault="00C678E2" w:rsidP="00C678E2">
      <w:pPr>
        <w:spacing w:before="120" w:after="120" w:line="240" w:lineRule="exact"/>
        <w:ind w:left="283" w:hanging="283"/>
        <w:jc w:val="both"/>
        <w:rPr>
          <w:rFonts w:ascii="FrankRuehl" w:hAnsi="FrankRuehl" w:cs="FrankRuehl"/>
          <w:rtl/>
        </w:rPr>
      </w:pPr>
      <w:r w:rsidRPr="00C678E2">
        <w:rPr>
          <w:rFonts w:ascii="FrankRuehl" w:hAnsi="FrankRuehl" w:cs="FrankRuehl"/>
          <w:rtl/>
        </w:rPr>
        <w:t xml:space="preserve">חקיקה שאוזכרה: </w:t>
      </w:r>
    </w:p>
    <w:p w14:paraId="33C29BEC" w14:textId="77777777" w:rsidR="00C678E2" w:rsidRPr="00C678E2" w:rsidRDefault="00C678E2" w:rsidP="00C678E2">
      <w:pPr>
        <w:spacing w:before="120" w:after="120" w:line="240" w:lineRule="exact"/>
        <w:ind w:left="283" w:hanging="283"/>
        <w:jc w:val="both"/>
        <w:rPr>
          <w:rFonts w:ascii="FrankRuehl" w:hAnsi="FrankRuehl" w:cs="FrankRuehl"/>
          <w:rtl/>
        </w:rPr>
      </w:pPr>
      <w:hyperlink r:id="rId7" w:history="1">
        <w:r w:rsidRPr="00C678E2">
          <w:rPr>
            <w:rFonts w:ascii="FrankRuehl" w:hAnsi="FrankRuehl" w:cs="FrankRuehl"/>
            <w:color w:val="0000FF"/>
            <w:rtl/>
          </w:rPr>
          <w:t>חוק העונשין, תשל"ז-1977</w:t>
        </w:r>
      </w:hyperlink>
      <w:r w:rsidRPr="00C678E2">
        <w:rPr>
          <w:rFonts w:ascii="FrankRuehl" w:hAnsi="FrankRuehl" w:cs="FrankRuehl"/>
          <w:rtl/>
        </w:rPr>
        <w:t xml:space="preserve">: סע'  </w:t>
      </w:r>
      <w:hyperlink r:id="rId8" w:history="1">
        <w:r w:rsidRPr="00C678E2">
          <w:rPr>
            <w:rFonts w:ascii="FrankRuehl" w:hAnsi="FrankRuehl" w:cs="FrankRuehl"/>
            <w:color w:val="0000FF"/>
            <w:rtl/>
          </w:rPr>
          <w:t>144(א)</w:t>
        </w:r>
      </w:hyperlink>
    </w:p>
    <w:p w14:paraId="4BE47D35" w14:textId="77777777" w:rsidR="00C678E2" w:rsidRPr="00C678E2" w:rsidRDefault="00C678E2" w:rsidP="00C678E2">
      <w:pPr>
        <w:rPr>
          <w:sz w:val="26"/>
          <w:szCs w:val="26"/>
          <w:rtl/>
        </w:rPr>
      </w:pPr>
      <w:bookmarkStart w:id="4" w:name="LawTable_End"/>
      <w:bookmarkEnd w:id="4"/>
    </w:p>
    <w:p w14:paraId="17A4373E" w14:textId="77777777" w:rsidR="00BC39B1" w:rsidRPr="002526BF" w:rsidRDefault="00BC39B1" w:rsidP="002526B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39B1" w14:paraId="2F622896" w14:textId="77777777" w:rsidTr="00BC39B1">
        <w:trPr>
          <w:trHeight w:val="355"/>
          <w:jc w:val="center"/>
        </w:trPr>
        <w:tc>
          <w:tcPr>
            <w:tcW w:w="8820" w:type="dxa"/>
            <w:tcBorders>
              <w:top w:val="nil"/>
              <w:left w:val="nil"/>
              <w:bottom w:val="nil"/>
              <w:right w:val="nil"/>
            </w:tcBorders>
            <w:shd w:val="clear" w:color="auto" w:fill="auto"/>
          </w:tcPr>
          <w:p w14:paraId="11E808F6" w14:textId="77777777" w:rsidR="000E22A1" w:rsidRPr="000E22A1" w:rsidRDefault="000E22A1" w:rsidP="000E22A1">
            <w:pPr>
              <w:jc w:val="center"/>
              <w:rPr>
                <w:rFonts w:ascii="David" w:hAnsi="David"/>
                <w:b/>
                <w:bCs/>
                <w:sz w:val="32"/>
                <w:szCs w:val="32"/>
                <w:u w:val="single"/>
                <w:rtl/>
              </w:rPr>
            </w:pPr>
            <w:bookmarkStart w:id="5" w:name="PsakDin" w:colFirst="0" w:colLast="0"/>
            <w:bookmarkEnd w:id="0"/>
            <w:r w:rsidRPr="000E22A1">
              <w:rPr>
                <w:rFonts w:ascii="David" w:hAnsi="David"/>
                <w:b/>
                <w:bCs/>
                <w:sz w:val="32"/>
                <w:szCs w:val="32"/>
                <w:u w:val="single"/>
                <w:rtl/>
              </w:rPr>
              <w:t>גזר דין</w:t>
            </w:r>
          </w:p>
          <w:p w14:paraId="0DAC8B21" w14:textId="77777777" w:rsidR="00BC39B1" w:rsidRPr="000E22A1" w:rsidRDefault="00BC39B1" w:rsidP="000E22A1">
            <w:pPr>
              <w:jc w:val="center"/>
              <w:rPr>
                <w:rFonts w:ascii="David" w:hAnsi="David"/>
                <w:bCs/>
                <w:sz w:val="32"/>
                <w:szCs w:val="32"/>
                <w:u w:val="single"/>
                <w:rtl/>
              </w:rPr>
            </w:pPr>
          </w:p>
        </w:tc>
      </w:tr>
    </w:tbl>
    <w:p w14:paraId="63BBD3CA" w14:textId="77777777" w:rsidR="00BC39B1" w:rsidRPr="000F2247" w:rsidRDefault="00BC39B1" w:rsidP="00BC39B1">
      <w:pPr>
        <w:rPr>
          <w:rFonts w:ascii="Arial" w:hAnsi="Arial"/>
          <w:b/>
          <w:bCs/>
          <w:sz w:val="26"/>
          <w:szCs w:val="26"/>
          <w:rtl/>
        </w:rPr>
      </w:pPr>
      <w:bookmarkStart w:id="6" w:name="ABSTRACT_START"/>
      <w:bookmarkEnd w:id="5"/>
      <w:bookmarkEnd w:id="6"/>
    </w:p>
    <w:p w14:paraId="37B8C94B" w14:textId="77777777" w:rsidR="00BC39B1" w:rsidRDefault="00BC39B1" w:rsidP="00BC39B1">
      <w:pPr>
        <w:numPr>
          <w:ilvl w:val="0"/>
          <w:numId w:val="1"/>
        </w:numPr>
        <w:spacing w:after="160" w:line="360" w:lineRule="auto"/>
        <w:contextualSpacing/>
        <w:jc w:val="both"/>
        <w:rPr>
          <w:rtl/>
        </w:rPr>
      </w:pPr>
      <w:r>
        <w:rPr>
          <w:rFonts w:hint="cs"/>
          <w:rtl/>
        </w:rPr>
        <w:t xml:space="preserve">הנאשם הורשע, על יסוד הודאתו, במסגרת הסדר דיוני, בעובדות כתב אישום מתוקן בעבירת </w:t>
      </w:r>
      <w:r>
        <w:rPr>
          <w:rFonts w:hint="cs"/>
          <w:b/>
          <w:bCs/>
          <w:rtl/>
        </w:rPr>
        <w:t>החזקת נשק, אביזר ותחמושת שלא כדין</w:t>
      </w:r>
      <w:r>
        <w:rPr>
          <w:rFonts w:hint="cs"/>
          <w:rtl/>
        </w:rPr>
        <w:t xml:space="preserve">, לפי </w:t>
      </w:r>
      <w:hyperlink r:id="rId9" w:history="1">
        <w:r w:rsidR="003845BE" w:rsidRPr="003845BE">
          <w:rPr>
            <w:rStyle w:val="Hyperlink"/>
            <w:rFonts w:hint="eastAsia"/>
            <w:rtl/>
          </w:rPr>
          <w:t>סעיף</w:t>
        </w:r>
        <w:r w:rsidR="003845BE" w:rsidRPr="003845BE">
          <w:rPr>
            <w:rStyle w:val="Hyperlink"/>
            <w:rtl/>
          </w:rPr>
          <w:t xml:space="preserve"> 144(א)</w:t>
        </w:r>
      </w:hyperlink>
      <w:r>
        <w:rPr>
          <w:rFonts w:hint="cs"/>
          <w:rtl/>
        </w:rPr>
        <w:t xml:space="preserve"> רישא וסיפא ל</w:t>
      </w:r>
      <w:hyperlink r:id="rId10" w:history="1">
        <w:r w:rsidR="000E22A1" w:rsidRPr="000E22A1">
          <w:rPr>
            <w:color w:val="0000FF"/>
            <w:u w:val="single"/>
            <w:rtl/>
          </w:rPr>
          <w:t>חוק העונשין</w:t>
        </w:r>
      </w:hyperlink>
      <w:r>
        <w:rPr>
          <w:rFonts w:hint="cs"/>
          <w:rtl/>
        </w:rPr>
        <w:t xml:space="preserve">, תשל"ז-1977 (להלן: "החוק"). כמפורט בכתב האישום המתוקן, ביום 19.6.22 החזיק הנאשם בביתו, אקדח מסוג </w:t>
      </w:r>
      <w:r>
        <w:t xml:space="preserve">STAR </w:t>
      </w:r>
      <w:r>
        <w:rPr>
          <w:rFonts w:hint="cs"/>
          <w:rtl/>
        </w:rPr>
        <w:t xml:space="preserve"> טעון במחסנית מתאימה ושמונה כדורי תחמושת.</w:t>
      </w:r>
    </w:p>
    <w:p w14:paraId="470F2514" w14:textId="77777777" w:rsidR="00BC39B1" w:rsidRDefault="00BC39B1" w:rsidP="00BC39B1">
      <w:pPr>
        <w:spacing w:after="160" w:line="256" w:lineRule="auto"/>
        <w:ind w:left="720"/>
        <w:contextualSpacing/>
      </w:pPr>
      <w:bookmarkStart w:id="7" w:name="ABSTRACT_END"/>
      <w:bookmarkEnd w:id="7"/>
    </w:p>
    <w:p w14:paraId="2B0E3A26" w14:textId="77777777" w:rsidR="00BC39B1" w:rsidRDefault="00BC39B1" w:rsidP="00BC39B1">
      <w:pPr>
        <w:numPr>
          <w:ilvl w:val="0"/>
          <w:numId w:val="1"/>
        </w:numPr>
        <w:spacing w:after="160" w:line="360" w:lineRule="auto"/>
        <w:contextualSpacing/>
        <w:jc w:val="both"/>
        <w:rPr>
          <w:rtl/>
        </w:rPr>
      </w:pPr>
      <w:r>
        <w:rPr>
          <w:rFonts w:hint="cs"/>
          <w:rtl/>
        </w:rPr>
        <w:t>ביום 21.11.22, בהמשך להליך גישור, הודה הנאשם בעובדות כתב אישום מתוקן והופנה בהסכמה לתסקיר, ללא הסכמות עונשיות.</w:t>
      </w:r>
    </w:p>
    <w:p w14:paraId="5BD97B07" w14:textId="77777777" w:rsidR="00BC39B1" w:rsidRDefault="00BC39B1" w:rsidP="00BC39B1">
      <w:pPr>
        <w:pStyle w:val="a9"/>
      </w:pPr>
    </w:p>
    <w:p w14:paraId="4151905D" w14:textId="77777777" w:rsidR="00BC39B1" w:rsidRDefault="00BC39B1" w:rsidP="00BC39B1">
      <w:pPr>
        <w:spacing w:line="360" w:lineRule="auto"/>
        <w:ind w:left="360"/>
        <w:contextualSpacing/>
        <w:jc w:val="both"/>
        <w:rPr>
          <w:b/>
          <w:bCs/>
          <w:u w:val="single"/>
          <w:rtl/>
        </w:rPr>
      </w:pPr>
      <w:r>
        <w:rPr>
          <w:rFonts w:hint="cs"/>
          <w:b/>
          <w:bCs/>
          <w:u w:val="single"/>
          <w:rtl/>
        </w:rPr>
        <w:t xml:space="preserve">עיקרי ההליך הטיפולי שבו שולב הנאשם </w:t>
      </w:r>
    </w:p>
    <w:p w14:paraId="711C0AF0" w14:textId="77777777" w:rsidR="00BC39B1" w:rsidRDefault="00BC39B1" w:rsidP="00BC39B1">
      <w:pPr>
        <w:pStyle w:val="a9"/>
        <w:numPr>
          <w:ilvl w:val="0"/>
          <w:numId w:val="1"/>
        </w:numPr>
        <w:spacing w:after="160" w:line="360" w:lineRule="auto"/>
        <w:jc w:val="both"/>
        <w:rPr>
          <w:rtl/>
        </w:rPr>
      </w:pPr>
      <w:r>
        <w:rPr>
          <w:rFonts w:hint="cs"/>
          <w:rtl/>
        </w:rPr>
        <w:t xml:space="preserve">הנאשם בן 35, אב לשני ילדים, עובד כחשמלאי שכיר, סובל מבעיות בגבו ונוטל קנאביס רפואי. הנאשם ללא עבר פלילי, בחקירת המעצר בהליך זה גילה הבנה ויכולת להתבוננות </w:t>
      </w:r>
      <w:r>
        <w:rPr>
          <w:rFonts w:hint="cs"/>
          <w:rtl/>
        </w:rPr>
        <w:lastRenderedPageBreak/>
        <w:t xml:space="preserve">עצמית ביקורתית, שירות המבחן המליץ על שחרורו בתנאי מעצר בית וצו פיקוח מעצרים. בתקופת הפיקוח שולב בקבוצה לעצורי בית, שיתף פעולה והשתתפותו סייעה לו לבחון את הבעייתיות בהתנהלותו שהובילה להידרדרות במצבו. בנוסף השתלב בסדנה לימודית בנושאי חוק ומשפט במרכז הבינתחומי בהרצליה וסיימה בהצלחה. הנאשם מודה במיוחס לו אך הציג גישה מטשטשת והתקשה לקבלת אחריות מלאה על מעשיו ולהעמיק בנסיבות החזקת הנשק ומטרתה. לדבריו, נענה לבקשת אחר ונטל עימו את הנשק מתוך סקרנות.  שירות המבחן העריך כי ביצע את העבירה על רקע דפוסי אישיות חלשים, נטייה לקחת סיכונים והעדר שיקול דעת אודות השלכות מעשיו. בצד זאת, ציינו לחיוב את מאמציו לקיים אורח חיים נורמטיבי, ההרתעה ממעצרו בתיק זה ושיתוף הפעולה עם גורמי הטיפול. לפיכך המליצו לאמץ את הפן הטיפולי-שקומי, להמנע משליחתו למאסר ולהעמידו בצו מבחן.  </w:t>
      </w:r>
    </w:p>
    <w:p w14:paraId="5BDC7A25" w14:textId="77777777" w:rsidR="00BC39B1" w:rsidRDefault="00BC39B1" w:rsidP="00BC39B1">
      <w:pPr>
        <w:pStyle w:val="a9"/>
        <w:numPr>
          <w:ilvl w:val="0"/>
          <w:numId w:val="1"/>
        </w:numPr>
        <w:spacing w:after="160" w:line="360" w:lineRule="auto"/>
        <w:jc w:val="both"/>
      </w:pPr>
      <w:r>
        <w:rPr>
          <w:rFonts w:hint="cs"/>
          <w:rtl/>
        </w:rPr>
        <w:t xml:space="preserve">בהמשך לבקשת ההגנה, הופנה הנאשם לתסקיר משלים, כעולה ממנו סיים את סדנת "חוק ומשפט" בה נטל חלק וכן השתלב בקבוצה טיפולית המתמקדת בהתנהגות עבריינית לאנשים בגילו. ניכר כי מגלה נכונות לשתף פעולה ורכש מיומנויות וכלים טיפוליים. הנאשם הביע בפני שירות המבחן דאגה ולחץ רגשי מתוצאות ההליך המשפטי, כשלדבריו מודע כיום יותר לקשייו שעמדו ברקע ביצוע העבירה ולמוקדי הסיכון במצבו. שירות המבחן שב וחזר על המלצתו להסתפק בענישה בדרך של עבודות שירות לצד צו מבחן. </w:t>
      </w:r>
    </w:p>
    <w:p w14:paraId="3446B914" w14:textId="77777777" w:rsidR="00BC39B1" w:rsidRDefault="00BC39B1" w:rsidP="00BC39B1">
      <w:pPr>
        <w:spacing w:line="360" w:lineRule="auto"/>
        <w:ind w:left="720"/>
        <w:contextualSpacing/>
        <w:jc w:val="both"/>
        <w:rPr>
          <w:rtl/>
        </w:rPr>
      </w:pPr>
    </w:p>
    <w:p w14:paraId="183713BA" w14:textId="77777777" w:rsidR="00BC39B1" w:rsidRDefault="00BC39B1" w:rsidP="00BC39B1">
      <w:pPr>
        <w:spacing w:line="360" w:lineRule="auto"/>
        <w:ind w:firstLine="720"/>
        <w:jc w:val="both"/>
        <w:rPr>
          <w:b/>
          <w:bCs/>
          <w:u w:val="single"/>
          <w:rtl/>
        </w:rPr>
      </w:pPr>
      <w:r>
        <w:rPr>
          <w:rFonts w:hint="cs"/>
          <w:b/>
          <w:bCs/>
          <w:u w:val="single"/>
          <w:rtl/>
        </w:rPr>
        <w:t>תמצית הטיעונים לעונש</w:t>
      </w:r>
    </w:p>
    <w:p w14:paraId="13FC89C9" w14:textId="77777777" w:rsidR="00BC39B1" w:rsidRDefault="00BC39B1" w:rsidP="00BC39B1">
      <w:pPr>
        <w:numPr>
          <w:ilvl w:val="0"/>
          <w:numId w:val="1"/>
        </w:numPr>
        <w:spacing w:after="160" w:line="360" w:lineRule="auto"/>
        <w:contextualSpacing/>
        <w:jc w:val="both"/>
        <w:rPr>
          <w:rtl/>
        </w:rPr>
      </w:pPr>
      <w:r>
        <w:rPr>
          <w:rFonts w:hint="cs"/>
          <w:rtl/>
        </w:rPr>
        <w:t xml:space="preserve">ב"כ המאשימה, עו"ד ד.ענבר, עמד בטיעוניו על חומרת עבירות הנשק, הערכים המוגנים שנפגעו ופוטנציאל הנזק שעלול היה להיגרם מהחזקת נשק בלתי חוקי. באשר למדיניות הענישה הנוהגת, הצביע על מגמת ההחמרה בענישה בעבירות נשק, ועל הוראת השעה, החלה בענייננו, בה נקבעו עונשי מינימום לעבירות אלו, כביטוי לרצון המחוקק להיאבק בתופעה. המאשימה עתרה בעבירת הנשק למתחם הנע בין 20-40 חודשי מאסר. נוכח גילו הצעיר והתסקיר החיובי עתר למיקום עונשו בתחתית המתחם אך אינו סבור שעבר הליך שיקום יוצא דופן המאפשר חריגה לקולא מהמתחם. </w:t>
      </w:r>
    </w:p>
    <w:p w14:paraId="5A3E94DF" w14:textId="77777777" w:rsidR="00BC39B1" w:rsidRDefault="00BC39B1" w:rsidP="00BC39B1">
      <w:pPr>
        <w:spacing w:after="160" w:line="360" w:lineRule="auto"/>
        <w:ind w:left="720"/>
        <w:contextualSpacing/>
        <w:jc w:val="both"/>
      </w:pPr>
    </w:p>
    <w:p w14:paraId="2DE21956" w14:textId="77777777" w:rsidR="00BC39B1" w:rsidRDefault="00BC39B1" w:rsidP="00BC39B1">
      <w:pPr>
        <w:numPr>
          <w:ilvl w:val="0"/>
          <w:numId w:val="1"/>
        </w:numPr>
        <w:spacing w:after="160" w:line="360" w:lineRule="auto"/>
        <w:contextualSpacing/>
        <w:jc w:val="both"/>
        <w:rPr>
          <w:rtl/>
        </w:rPr>
      </w:pPr>
      <w:r>
        <w:rPr>
          <w:rFonts w:hint="cs"/>
          <w:rtl/>
        </w:rPr>
        <w:t xml:space="preserve">ב"כ הנאשם, עו"ד שאדי נאטור, עתר לאימוץ המלצת שירות המבחן. חרף חומרת מעשיו סבור שמדובר במקרה ייחודי, הנאשם שולב בטיפול זמן רב, שירות המבחן התרשם ממנו באופן חיובי וכן היה עצור בתיק שלושה חודשים. על כן עותר למתחם שמתחיל מ-12 חודשי מאסר ומבקש לחרוג לעונש של עבודות שירות או לחילופין למקם עונשו בתחתיתו. </w:t>
      </w:r>
    </w:p>
    <w:p w14:paraId="55F2C86A" w14:textId="77777777" w:rsidR="00BC39B1" w:rsidRDefault="00BC39B1" w:rsidP="00BC39B1">
      <w:pPr>
        <w:pStyle w:val="a9"/>
      </w:pPr>
    </w:p>
    <w:p w14:paraId="5DFF71FB" w14:textId="77777777" w:rsidR="00BC39B1" w:rsidRDefault="00BC39B1" w:rsidP="00BC39B1">
      <w:pPr>
        <w:numPr>
          <w:ilvl w:val="0"/>
          <w:numId w:val="1"/>
        </w:numPr>
        <w:spacing w:after="160" w:line="360" w:lineRule="auto"/>
        <w:contextualSpacing/>
        <w:jc w:val="both"/>
        <w:rPr>
          <w:rtl/>
        </w:rPr>
      </w:pPr>
      <w:r>
        <w:rPr>
          <w:rFonts w:hint="cs"/>
          <w:rtl/>
        </w:rPr>
        <w:t xml:space="preserve">הנאשם התנצל על מעשיו, לדבריו הטיפול בשירות המבחן עוזר לו. </w:t>
      </w:r>
    </w:p>
    <w:p w14:paraId="2BC4A478" w14:textId="77777777" w:rsidR="00BC39B1" w:rsidRDefault="00BC39B1" w:rsidP="00BC39B1">
      <w:pPr>
        <w:spacing w:line="360" w:lineRule="auto"/>
        <w:ind w:left="720"/>
        <w:contextualSpacing/>
        <w:jc w:val="both"/>
      </w:pPr>
    </w:p>
    <w:p w14:paraId="31E653DB" w14:textId="77777777" w:rsidR="00BC39B1" w:rsidRDefault="00BC39B1" w:rsidP="00BC39B1">
      <w:pPr>
        <w:spacing w:line="360" w:lineRule="auto"/>
        <w:ind w:left="720"/>
        <w:contextualSpacing/>
        <w:jc w:val="both"/>
        <w:rPr>
          <w:b/>
          <w:bCs/>
          <w:u w:val="single"/>
          <w:rtl/>
        </w:rPr>
      </w:pPr>
      <w:r>
        <w:rPr>
          <w:rFonts w:hint="cs"/>
          <w:b/>
          <w:bCs/>
          <w:u w:val="single"/>
          <w:rtl/>
        </w:rPr>
        <w:lastRenderedPageBreak/>
        <w:t>דיון והכרעה</w:t>
      </w:r>
    </w:p>
    <w:p w14:paraId="6C2BBE3D" w14:textId="77777777" w:rsidR="00BC39B1" w:rsidRPr="00BC39B1" w:rsidRDefault="00BC39B1" w:rsidP="00BC39B1">
      <w:pPr>
        <w:spacing w:line="360" w:lineRule="auto"/>
        <w:ind w:left="720"/>
        <w:contextualSpacing/>
        <w:jc w:val="both"/>
        <w:rPr>
          <w:rFonts w:ascii="Calibri" w:eastAsia="Calibri" w:hAnsi="Calibri"/>
          <w:rtl/>
        </w:rPr>
      </w:pPr>
      <w:r>
        <w:rPr>
          <w:rFonts w:hint="cs"/>
          <w:b/>
          <w:bCs/>
          <w:u w:val="single"/>
          <w:rtl/>
        </w:rPr>
        <w:t>מתחם העונש ההולם</w:t>
      </w:r>
    </w:p>
    <w:p w14:paraId="652E2783" w14:textId="77777777" w:rsidR="00BC39B1" w:rsidRDefault="00BC39B1" w:rsidP="00BC39B1">
      <w:pPr>
        <w:numPr>
          <w:ilvl w:val="0"/>
          <w:numId w:val="1"/>
        </w:numPr>
        <w:spacing w:after="120" w:line="360" w:lineRule="auto"/>
        <w:contextualSpacing/>
        <w:jc w:val="both"/>
        <w:rPr>
          <w:rFonts w:ascii="David" w:eastAsia="David" w:hAnsi="David"/>
          <w:rtl/>
        </w:rPr>
      </w:pPr>
      <w:r>
        <w:rPr>
          <w:rFonts w:hint="cs"/>
          <w:rtl/>
        </w:rPr>
        <w:t>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צעירים, נעדרי עבר פלילי ובעלי סיכויי שיקום (</w:t>
      </w:r>
      <w:hyperlink r:id="rId11" w:history="1">
        <w:r w:rsidR="000E22A1" w:rsidRPr="000E22A1">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2" w:history="1">
        <w:r w:rsidR="000E22A1" w:rsidRPr="000E22A1">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3" w:history="1">
        <w:r w:rsidR="000E22A1" w:rsidRPr="000E22A1">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4" w:history="1">
        <w:r w:rsidR="000E22A1" w:rsidRPr="000E22A1">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5" w:history="1">
        <w:r w:rsidR="000E22A1" w:rsidRPr="000E22A1">
          <w:rPr>
            <w:color w:val="0000FF"/>
            <w:u w:val="single"/>
            <w:rtl/>
          </w:rPr>
          <w:t>ע"פ 116/13</w:t>
        </w:r>
      </w:hyperlink>
      <w:r w:rsidR="000E22A1">
        <w:rPr>
          <w:rFonts w:hint="cs"/>
          <w:rtl/>
        </w:rPr>
        <w:t xml:space="preserve"> </w:t>
      </w:r>
      <w:r>
        <w:rPr>
          <w:rFonts w:hint="cs"/>
          <w:b/>
          <w:bCs/>
          <w:rtl/>
        </w:rPr>
        <w:t>וקנין נ' מדינת ישראל</w:t>
      </w:r>
      <w:r>
        <w:rPr>
          <w:rFonts w:hint="cs"/>
          <w:rtl/>
        </w:rPr>
        <w:t>,</w:t>
      </w:r>
      <w:r w:rsidR="000E22A1">
        <w:rPr>
          <w:rFonts w:hint="cs"/>
          <w:rtl/>
        </w:rPr>
        <w:t xml:space="preserve"> </w:t>
      </w:r>
      <w:r>
        <w:rPr>
          <w:rFonts w:hint="cs"/>
          <w:rtl/>
        </w:rPr>
        <w:t xml:space="preserve">פס' 7 (31.7.2013)). </w:t>
      </w:r>
    </w:p>
    <w:p w14:paraId="36AEC872" w14:textId="77777777" w:rsidR="00BC39B1" w:rsidRDefault="00BC39B1" w:rsidP="00BC39B1">
      <w:pPr>
        <w:spacing w:line="360" w:lineRule="auto"/>
        <w:ind w:left="720"/>
        <w:contextualSpacing/>
        <w:jc w:val="both"/>
        <w:rPr>
          <w:rFonts w:eastAsia="Calibri"/>
          <w:rtl/>
        </w:rPr>
      </w:pPr>
    </w:p>
    <w:p w14:paraId="6A4CA0EB" w14:textId="77777777" w:rsidR="00BC39B1" w:rsidRDefault="00BC39B1" w:rsidP="00BC39B1">
      <w:pPr>
        <w:numPr>
          <w:ilvl w:val="0"/>
          <w:numId w:val="1"/>
        </w:numPr>
        <w:spacing w:after="160" w:line="360" w:lineRule="auto"/>
        <w:contextualSpacing/>
        <w:jc w:val="both"/>
        <w:rPr>
          <w:rtl/>
        </w:rPr>
      </w:pPr>
      <w:r>
        <w:rPr>
          <w:rFonts w:hint="cs"/>
          <w:rtl/>
        </w:rPr>
        <w:t xml:space="preserve">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18C6399B" w14:textId="77777777" w:rsidR="00BC39B1" w:rsidRDefault="00BC39B1" w:rsidP="00BC39B1">
      <w:pPr>
        <w:ind w:left="720"/>
        <w:contextualSpacing/>
        <w:rPr>
          <w:rtl/>
        </w:rPr>
      </w:pPr>
    </w:p>
    <w:p w14:paraId="079CA7CF" w14:textId="77777777" w:rsidR="00BC39B1" w:rsidRDefault="00BC39B1" w:rsidP="00BC39B1">
      <w:pPr>
        <w:numPr>
          <w:ilvl w:val="0"/>
          <w:numId w:val="1"/>
        </w:numPr>
        <w:spacing w:after="120" w:line="360" w:lineRule="auto"/>
        <w:contextualSpacing/>
        <w:jc w:val="both"/>
        <w:textAlignment w:val="baseline"/>
        <w:rPr>
          <w:rtl/>
        </w:rPr>
      </w:pPr>
      <w:r>
        <w:rPr>
          <w:rFonts w:hint="cs"/>
          <w:rtl/>
        </w:rPr>
        <w:t xml:space="preserve">בענייננו, תיקון כתב האישום מקל עם הנאשם. הנאשם החזיק בביתו אקדח טעון, הסיבה להחזקת הנשק אינה ברורה, לדבריו החזיק את הנשק עבור אחר. יש לזקוף לחובתו החזקת נשק טעון במחסנית וב-8 כדורים ומוכן לפעולה. בחינת מידת פגיעת מעשי הנאשם בערכים המוגנים מובילה למסקנה כי הפגיעה היא </w:t>
      </w:r>
      <w:r>
        <w:rPr>
          <w:rFonts w:hint="cs"/>
          <w:b/>
          <w:bCs/>
          <w:rtl/>
        </w:rPr>
        <w:t>ברף  בינוני</w:t>
      </w:r>
      <w:r>
        <w:rPr>
          <w:rFonts w:hint="cs"/>
          <w:rtl/>
        </w:rPr>
        <w:t xml:space="preserve">. בהקשר זה נתתי דעתי לתיקוני כתב האישום, לכך שלא הובהר משך החזקת הנשק ולהעדר אינדיקציות לשימוש בנשק. </w:t>
      </w:r>
    </w:p>
    <w:p w14:paraId="1FDE6207" w14:textId="77777777" w:rsidR="00BC39B1" w:rsidRDefault="00BC39B1" w:rsidP="00BC39B1">
      <w:pPr>
        <w:spacing w:after="120" w:line="360" w:lineRule="auto"/>
        <w:ind w:left="720"/>
        <w:contextualSpacing/>
        <w:jc w:val="both"/>
        <w:textAlignment w:val="baseline"/>
      </w:pPr>
    </w:p>
    <w:p w14:paraId="3163785E" w14:textId="77777777" w:rsidR="00BC39B1" w:rsidRDefault="00BC39B1" w:rsidP="00BC39B1">
      <w:pPr>
        <w:spacing w:after="120" w:line="360" w:lineRule="auto"/>
        <w:contextualSpacing/>
        <w:jc w:val="both"/>
        <w:textAlignment w:val="baseline"/>
        <w:rPr>
          <w:b/>
          <w:bCs/>
          <w:u w:val="single"/>
          <w:rtl/>
        </w:rPr>
      </w:pPr>
      <w:r>
        <w:rPr>
          <w:rFonts w:hint="cs"/>
          <w:b/>
          <w:bCs/>
          <w:u w:val="single"/>
          <w:rtl/>
        </w:rPr>
        <w:t>מדיניות הענישה הנוהגת</w:t>
      </w:r>
    </w:p>
    <w:p w14:paraId="500D6F1C" w14:textId="77777777" w:rsidR="00BC39B1" w:rsidRDefault="00BC39B1" w:rsidP="00BC39B1">
      <w:pPr>
        <w:numPr>
          <w:ilvl w:val="0"/>
          <w:numId w:val="1"/>
        </w:numPr>
        <w:spacing w:after="120" w:line="360" w:lineRule="auto"/>
        <w:contextualSpacing/>
        <w:jc w:val="both"/>
        <w:rPr>
          <w:rtl/>
        </w:rPr>
      </w:pPr>
      <w:r>
        <w:rPr>
          <w:rFonts w:hint="cs"/>
          <w:rtl/>
        </w:rPr>
        <w:t>דינם של מחזיקי הנשק, למעט מקרים חריגים ויוצאי דופן, לעונש מאסר שאינו קצר ואינו ניתן לריצוי בעבודות שירות. עמד על כך כב' השופט קרא בהחלטתו ב</w:t>
      </w:r>
      <w:hyperlink r:id="rId16" w:history="1">
        <w:r w:rsidR="000E22A1" w:rsidRPr="000E22A1">
          <w:rPr>
            <w:color w:val="0000FF"/>
            <w:u w:val="single"/>
            <w:rtl/>
          </w:rPr>
          <w:t>רע"פ 6265/20</w:t>
        </w:r>
      </w:hyperlink>
      <w:r>
        <w:rPr>
          <w:rFonts w:hint="cs"/>
          <w:rtl/>
        </w:rPr>
        <w:t xml:space="preserve"> </w:t>
      </w:r>
      <w:r>
        <w:rPr>
          <w:rFonts w:hint="cs"/>
          <w:b/>
          <w:bCs/>
          <w:rtl/>
        </w:rPr>
        <w:t>אלקיעאן נ' מדינת ישראל</w:t>
      </w:r>
      <w:r>
        <w:rPr>
          <w:rFonts w:hint="cs"/>
          <w:rtl/>
        </w:rPr>
        <w:t xml:space="preserve"> (15.9.2020), </w:t>
      </w:r>
      <w:r>
        <w:rPr>
          <w:rFonts w:hint="cs"/>
          <w:b/>
          <w:bCs/>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hint="cs"/>
          <w:rtl/>
        </w:rPr>
        <w:t xml:space="preserve"> </w:t>
      </w:r>
      <w:r>
        <w:rPr>
          <w:rFonts w:hint="cs"/>
          <w:b/>
          <w:bCs/>
          <w:rtl/>
        </w:rPr>
        <w:t>בו".</w:t>
      </w:r>
      <w:r>
        <w:rPr>
          <w:rFonts w:hint="cs"/>
          <w:rtl/>
        </w:rPr>
        <w:t xml:space="preserve"> רמת הענישה בעבירות הנשק מצויה במגמת החמרה (</w:t>
      </w:r>
      <w:hyperlink r:id="rId17" w:history="1">
        <w:r w:rsidR="000E22A1" w:rsidRPr="000E22A1">
          <w:rPr>
            <w:color w:val="0000FF"/>
            <w:u w:val="single"/>
            <w:rtl/>
          </w:rPr>
          <w:t>ע"פ 2482/22</w:t>
        </w:r>
      </w:hyperlink>
      <w:r>
        <w:rPr>
          <w:rtl/>
        </w:rPr>
        <w:t xml:space="preserve"> </w:t>
      </w:r>
      <w:r>
        <w:rPr>
          <w:rFonts w:hint="cs"/>
          <w:b/>
          <w:bCs/>
          <w:rtl/>
        </w:rPr>
        <w:t xml:space="preserve">מדינת ישראל נ' קדורה </w:t>
      </w:r>
      <w:r>
        <w:rPr>
          <w:rFonts w:hint="cs"/>
          <w:rtl/>
        </w:rPr>
        <w:t xml:space="preserve">(14.4.2022), </w:t>
      </w:r>
      <w:hyperlink r:id="rId18" w:history="1">
        <w:r w:rsidR="000E22A1" w:rsidRPr="000E22A1">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וגזר דיני בת"פ </w:t>
      </w:r>
      <w:hyperlink r:id="rId19" w:history="1">
        <w:r w:rsidR="002526BF" w:rsidRPr="002526BF">
          <w:rPr>
            <w:color w:val="0000FF"/>
            <w:u w:val="single"/>
            <w:rtl/>
          </w:rPr>
          <w:t xml:space="preserve">10875-12-21 </w:t>
        </w:r>
      </w:hyperlink>
      <w:r>
        <w:rPr>
          <w:rFonts w:hint="cs"/>
          <w:rtl/>
        </w:rPr>
        <w:t xml:space="preserve"> </w:t>
      </w:r>
      <w:r>
        <w:rPr>
          <w:rFonts w:hint="cs"/>
          <w:b/>
          <w:bCs/>
          <w:rtl/>
        </w:rPr>
        <w:t>מדינת ישראל נ' אבו צאפי</w:t>
      </w:r>
      <w:r>
        <w:rPr>
          <w:rFonts w:hint="cs"/>
          <w:rtl/>
        </w:rPr>
        <w:t xml:space="preserve">, והאסמכתאות המפורטות שם). במקרים שבהם מדובר באקדח (ולא נשק אוטומטי) טעון (להבדיל מלא טעון וללא תחמושת ) שהוחזק בבית נע המתחם בין 15-30 חודשי מאסר. </w:t>
      </w:r>
    </w:p>
    <w:p w14:paraId="2E6C7185" w14:textId="77777777" w:rsidR="00BC39B1" w:rsidRDefault="00BC39B1" w:rsidP="00BC39B1">
      <w:pPr>
        <w:spacing w:after="120" w:line="360" w:lineRule="auto"/>
        <w:ind w:left="720"/>
        <w:contextualSpacing/>
        <w:jc w:val="both"/>
        <w:rPr>
          <w:rFonts w:ascii="David" w:eastAsia="David" w:hAnsi="David"/>
        </w:rPr>
      </w:pPr>
    </w:p>
    <w:p w14:paraId="114BC7D2" w14:textId="77777777" w:rsidR="00BC39B1" w:rsidRPr="00BC39B1" w:rsidRDefault="00BC39B1" w:rsidP="00BC39B1">
      <w:pPr>
        <w:numPr>
          <w:ilvl w:val="0"/>
          <w:numId w:val="1"/>
        </w:numPr>
        <w:spacing w:after="160" w:line="360" w:lineRule="auto"/>
        <w:contextualSpacing/>
        <w:jc w:val="both"/>
        <w:rPr>
          <w:rFonts w:eastAsia="Calibri"/>
          <w:rtl/>
        </w:rPr>
      </w:pPr>
      <w:r w:rsidRPr="00BC39B1">
        <w:rPr>
          <w:rFonts w:eastAsia="Calibri" w:hint="cs"/>
          <w:rtl/>
        </w:rPr>
        <w:t xml:space="preserve">לאחר שבחנתי את נסיבות מעשי הנאשם, נתתי משקל לתיקוני כתב האישום, לרף פגיעתו בערכים המוגנים ומדיניות הענישה הנוהגת, מצאתי לקבוע </w:t>
      </w:r>
      <w:r w:rsidRPr="00BC39B1">
        <w:rPr>
          <w:rFonts w:eastAsia="Calibri" w:hint="cs"/>
          <w:b/>
          <w:bCs/>
          <w:rtl/>
        </w:rPr>
        <w:t xml:space="preserve">מתחם ענישה כולל הנע בין 15-30 חודשי מאסר. </w:t>
      </w:r>
    </w:p>
    <w:p w14:paraId="233D883A" w14:textId="77777777" w:rsidR="00BC39B1" w:rsidRPr="00BC39B1" w:rsidRDefault="00BC39B1" w:rsidP="00BC39B1">
      <w:pPr>
        <w:spacing w:line="360" w:lineRule="auto"/>
        <w:jc w:val="both"/>
        <w:rPr>
          <w:rFonts w:eastAsia="Calibri"/>
        </w:rPr>
      </w:pPr>
    </w:p>
    <w:p w14:paraId="0A9FD0BF" w14:textId="77777777" w:rsidR="00BC39B1" w:rsidRDefault="00BC39B1" w:rsidP="00BC39B1">
      <w:pPr>
        <w:spacing w:line="360" w:lineRule="auto"/>
        <w:jc w:val="both"/>
        <w:rPr>
          <w:rFonts w:eastAsia="David"/>
          <w:b/>
          <w:bCs/>
          <w:u w:val="single"/>
        </w:rPr>
      </w:pPr>
      <w:r>
        <w:rPr>
          <w:rFonts w:hint="cs"/>
          <w:b/>
          <w:bCs/>
          <w:u w:val="single"/>
          <w:rtl/>
        </w:rPr>
        <w:t>גזירת העונש המתאים לנאשם</w:t>
      </w:r>
    </w:p>
    <w:p w14:paraId="3017E14A" w14:textId="77777777" w:rsidR="00BC39B1" w:rsidRDefault="00BC39B1" w:rsidP="00BC39B1">
      <w:pPr>
        <w:numPr>
          <w:ilvl w:val="0"/>
          <w:numId w:val="1"/>
        </w:numPr>
        <w:spacing w:after="160" w:line="360" w:lineRule="auto"/>
        <w:contextualSpacing/>
        <w:jc w:val="both"/>
      </w:pPr>
      <w:r>
        <w:rPr>
          <w:rFonts w:hint="cs"/>
          <w:rtl/>
        </w:rPr>
        <w:t xml:space="preserve">הנאשם ניהל אורח חיים נורמטיבי, נשוי ועובד, ללא עבר, מתסקיריו משתקפת תמונה חיובית שאינה שיקומית, הנאשם שיתף פעולה במשך תקופה ממושכת עם גורמי הטיפול וניכר שנתרם ורכש כלים להתמודדות עם מצבים דומים בעתיד. תסקירי שירות המבחן מלמדים על מי שהסיכון הנשקף ממנו להישנות עבריינות נשק פחת. הנאשם שהה מספר חודשים במעצר ולאחר מכן בתנאים מגבילים ולא הפרם. מנגד, הנאשם לא עבר הליך טיפולי משמעותי, התקשה לשתף בנסיבות שהובילו אותו להחזיק בנשק טעון ועניינו אינו שונה מזה של עברייני נשק רבים אחרים, רובם בני המגזר, ללא עבר פלילי ובנים למשפחות נורמטיביות שחוטאים בעבירות נשק ונדונים לעונשי מאסר ממש. </w:t>
      </w:r>
    </w:p>
    <w:p w14:paraId="1F2AACAD" w14:textId="77777777" w:rsidR="00BC39B1" w:rsidRDefault="00BC39B1" w:rsidP="00BC39B1">
      <w:pPr>
        <w:spacing w:after="160" w:line="360" w:lineRule="auto"/>
        <w:ind w:left="720"/>
        <w:contextualSpacing/>
        <w:jc w:val="both"/>
      </w:pPr>
    </w:p>
    <w:p w14:paraId="432F25B1" w14:textId="77777777" w:rsidR="00BC39B1" w:rsidRDefault="00BC39B1" w:rsidP="00BC39B1">
      <w:pPr>
        <w:pStyle w:val="a9"/>
        <w:numPr>
          <w:ilvl w:val="0"/>
          <w:numId w:val="1"/>
        </w:numPr>
        <w:spacing w:after="160" w:line="360" w:lineRule="auto"/>
        <w:jc w:val="both"/>
        <w:rPr>
          <w:rFonts w:ascii="Times New Roman" w:eastAsia="Times New Roman" w:hAnsi="Times New Roman"/>
        </w:rPr>
      </w:pPr>
      <w:r>
        <w:rPr>
          <w:rFonts w:hint="cs"/>
          <w:rtl/>
        </w:rPr>
        <w:t xml:space="preserve">לאחר שבחנתי את עתירת ההגנה החלופית להסתפק במאסר בדרך של עבודות שירות מצאתי שלא לקבלה. את המקרים שבהם הסתפקו בתי המשפט בתקופה האחרונה בענישה שאינה כוללת מאסר בגין עבירות נשק, ניתן לספור על אצבעות כף יד אחת. לרב מדובר במקרי שיקום יוצאי דופן או מקרים "מאד מיוחדים" (ראו </w:t>
      </w:r>
      <w:hyperlink r:id="rId20" w:history="1">
        <w:r w:rsidR="000E22A1" w:rsidRPr="000E22A1">
          <w:rPr>
            <w:rFonts w:ascii="Times New Roman" w:eastAsia="Times New Roman" w:hAnsi="Times New Roman"/>
            <w:color w:val="0000FF"/>
            <w:u w:val="single"/>
            <w:rtl/>
          </w:rPr>
          <w:t>ע"פ 6332/22</w:t>
        </w:r>
      </w:hyperlink>
      <w:r>
        <w:rPr>
          <w:rFonts w:ascii="Times New Roman" w:eastAsia="Times New Roman" w:hAnsi="Times New Roman" w:hint="cs"/>
          <w:rtl/>
        </w:rPr>
        <w:t xml:space="preserve"> </w:t>
      </w:r>
      <w:r>
        <w:rPr>
          <w:rFonts w:ascii="Times New Roman" w:eastAsia="Times New Roman" w:hAnsi="Times New Roman" w:hint="cs"/>
          <w:b/>
          <w:bCs/>
          <w:rtl/>
        </w:rPr>
        <w:t>פדידה נ' מדינת ישראל</w:t>
      </w:r>
      <w:r>
        <w:rPr>
          <w:rFonts w:ascii="Times New Roman" w:eastAsia="Times New Roman" w:hAnsi="Times New Roman" w:hint="cs"/>
          <w:rtl/>
        </w:rPr>
        <w:t xml:space="preserve"> (16.2.2023)). </w:t>
      </w:r>
      <w:r>
        <w:rPr>
          <w:rFonts w:hint="cs"/>
          <w:rtl/>
        </w:rPr>
        <w:t xml:space="preserve">המקרה שלפנינו אינו נמנה בין אלו. הנאשם כמו רבים אחרים שנדונו לעונש מאסר, בעל מידות טובות, נעדר דפוסים עברייניים, שמעד מעידה חד פעמית ויש לקוות שלמד את לקחו ולא יחזור על מעשיו.  </w:t>
      </w:r>
    </w:p>
    <w:p w14:paraId="02C5BDAA" w14:textId="77777777" w:rsidR="00BC39B1" w:rsidRDefault="00BC39B1" w:rsidP="00BC39B1">
      <w:pPr>
        <w:ind w:left="720"/>
        <w:contextualSpacing/>
        <w:rPr>
          <w:rFonts w:ascii="David" w:eastAsia="David" w:hAnsi="David"/>
          <w:rtl/>
        </w:rPr>
      </w:pPr>
    </w:p>
    <w:p w14:paraId="7709C55F" w14:textId="77777777" w:rsidR="00BC39B1" w:rsidRDefault="00BC39B1" w:rsidP="00BC39B1">
      <w:pPr>
        <w:numPr>
          <w:ilvl w:val="0"/>
          <w:numId w:val="1"/>
        </w:numPr>
        <w:spacing w:after="160" w:line="360" w:lineRule="auto"/>
        <w:contextualSpacing/>
        <w:jc w:val="both"/>
        <w:rPr>
          <w:rtl/>
        </w:rPr>
      </w:pPr>
      <w:r>
        <w:rPr>
          <w:rFonts w:hint="cs"/>
          <w:rtl/>
        </w:rPr>
        <w:t>לפיכך, מצאתי למקם עונשו בתחתית המתחם לצד הטלת קנס. בענייננו חלה, כאמור, הוראת השעה במסגרת תיקון 140 ל</w:t>
      </w:r>
      <w:hyperlink r:id="rId21" w:history="1">
        <w:r w:rsidR="000E22A1" w:rsidRPr="000E22A1">
          <w:rPr>
            <w:color w:val="0000FF"/>
            <w:u w:val="single"/>
            <w:rtl/>
          </w:rPr>
          <w:t>חוק העונשין</w:t>
        </w:r>
      </w:hyperlink>
      <w:r>
        <w:rPr>
          <w:rFonts w:hint="cs"/>
          <w:rtl/>
        </w:rPr>
        <w:t xml:space="preserve">. רבע מהעונש המרבי הקבוע בצדה של החזקת הנשק עומד על 21 חודשי מאסר, חלקו יוטל כענישה צופה פני עתיד. </w:t>
      </w:r>
    </w:p>
    <w:p w14:paraId="4CE5CA92" w14:textId="77777777" w:rsidR="00BC39B1" w:rsidRDefault="00BC39B1" w:rsidP="00BC39B1">
      <w:pPr>
        <w:spacing w:after="160" w:line="360" w:lineRule="auto"/>
        <w:ind w:left="720"/>
        <w:contextualSpacing/>
        <w:jc w:val="both"/>
      </w:pPr>
    </w:p>
    <w:p w14:paraId="26991397" w14:textId="77777777" w:rsidR="00BC39B1" w:rsidRDefault="00BC39B1" w:rsidP="00BC39B1">
      <w:pPr>
        <w:numPr>
          <w:ilvl w:val="0"/>
          <w:numId w:val="1"/>
        </w:numPr>
        <w:spacing w:after="160" w:line="360" w:lineRule="auto"/>
        <w:contextualSpacing/>
        <w:jc w:val="both"/>
        <w:rPr>
          <w:rtl/>
        </w:rPr>
      </w:pPr>
      <w:r>
        <w:rPr>
          <w:rFonts w:hint="cs"/>
          <w:b/>
          <w:bCs/>
          <w:rtl/>
        </w:rPr>
        <w:t xml:space="preserve">לאור האמור לעיל, אני גוזרת על הנאשם את העונשים הבאים: </w:t>
      </w:r>
    </w:p>
    <w:p w14:paraId="59914572" w14:textId="77777777" w:rsidR="00BC39B1" w:rsidRDefault="00BC39B1" w:rsidP="00BC39B1">
      <w:pPr>
        <w:ind w:left="720"/>
        <w:contextualSpacing/>
      </w:pPr>
    </w:p>
    <w:p w14:paraId="35220C18" w14:textId="77777777" w:rsidR="00BC39B1" w:rsidRDefault="00BC39B1" w:rsidP="00BC39B1">
      <w:pPr>
        <w:numPr>
          <w:ilvl w:val="0"/>
          <w:numId w:val="1"/>
        </w:numPr>
        <w:spacing w:after="160" w:line="360" w:lineRule="auto"/>
        <w:contextualSpacing/>
        <w:jc w:val="both"/>
        <w:rPr>
          <w:b/>
          <w:bCs/>
          <w:rtl/>
        </w:rPr>
      </w:pPr>
      <w:r>
        <w:rPr>
          <w:rFonts w:hint="cs"/>
          <w:b/>
          <w:bCs/>
          <w:rtl/>
        </w:rPr>
        <w:t xml:space="preserve">15 חודשי מאסר בפועל בניכוי ימי מעצרו 19.6.22-5.9.22. </w:t>
      </w:r>
      <w:r>
        <w:rPr>
          <w:rFonts w:hint="cs"/>
          <w:rtl/>
        </w:rPr>
        <w:t xml:space="preserve"> </w:t>
      </w:r>
    </w:p>
    <w:p w14:paraId="7636BAD9" w14:textId="77777777" w:rsidR="00BC39B1" w:rsidRDefault="00BC39B1" w:rsidP="00BC39B1">
      <w:pPr>
        <w:numPr>
          <w:ilvl w:val="0"/>
          <w:numId w:val="1"/>
        </w:numPr>
        <w:spacing w:after="160" w:line="360" w:lineRule="auto"/>
        <w:contextualSpacing/>
        <w:jc w:val="both"/>
      </w:pPr>
      <w:r>
        <w:rPr>
          <w:rFonts w:hint="cs"/>
          <w:rtl/>
        </w:rPr>
        <w:t xml:space="preserve">מאסר על תנאי בן 8 חודשים לבל יעבור הנאשם עבירת נשק מסוג פשע תוך 3 שנים מיום שחרורו ממאסר. </w:t>
      </w:r>
    </w:p>
    <w:p w14:paraId="2CAB17A3" w14:textId="77777777" w:rsidR="00BC39B1" w:rsidRDefault="00BC39B1" w:rsidP="00BC39B1">
      <w:pPr>
        <w:numPr>
          <w:ilvl w:val="0"/>
          <w:numId w:val="1"/>
        </w:numPr>
        <w:spacing w:after="160" w:line="360" w:lineRule="auto"/>
        <w:contextualSpacing/>
        <w:jc w:val="both"/>
      </w:pPr>
      <w:r>
        <w:rPr>
          <w:rFonts w:hint="cs"/>
          <w:rtl/>
        </w:rPr>
        <w:t xml:space="preserve">קנס בסך 4,000 ₪ או 30 ימי מאסר. הקנס ישולם בארבעה תשלומים שווים ורצופים החל מיום 1.1.24. </w:t>
      </w:r>
    </w:p>
    <w:p w14:paraId="3AB684FB" w14:textId="77777777" w:rsidR="00BC39B1" w:rsidRDefault="00BC39B1" w:rsidP="00BC39B1">
      <w:pPr>
        <w:numPr>
          <w:ilvl w:val="0"/>
          <w:numId w:val="1"/>
        </w:numPr>
        <w:spacing w:after="160" w:line="360" w:lineRule="auto"/>
        <w:contextualSpacing/>
        <w:jc w:val="both"/>
      </w:pPr>
      <w:r>
        <w:rPr>
          <w:rFonts w:hint="cs"/>
          <w:rtl/>
        </w:rPr>
        <w:t xml:space="preserve">הנאשם יתייצב לריצוי מאסרו ביום 15.1.24. במועד זה יתייצב עד השעה 10:00 בבימ"ר "הדרים". לצורך הבטחת התייצבותו תעמודנה הערבויות בהליך המעצר הנלווה, שיושבו למפקיד לאחר תחילת המאסר. </w:t>
      </w:r>
    </w:p>
    <w:p w14:paraId="071876F1" w14:textId="77777777" w:rsidR="00BC39B1" w:rsidRDefault="00BC39B1" w:rsidP="00BC39B1">
      <w:pPr>
        <w:spacing w:line="360" w:lineRule="auto"/>
        <w:ind w:left="1080"/>
        <w:contextualSpacing/>
        <w:jc w:val="both"/>
      </w:pPr>
    </w:p>
    <w:p w14:paraId="5097A24A" w14:textId="77777777" w:rsidR="00BC39B1" w:rsidRDefault="000E22A1" w:rsidP="00BC39B1">
      <w:pPr>
        <w:spacing w:line="360" w:lineRule="auto"/>
        <w:jc w:val="both"/>
        <w:rPr>
          <w:b/>
          <w:bCs/>
          <w:rtl/>
        </w:rPr>
      </w:pPr>
      <w:r w:rsidRPr="000E22A1">
        <w:rPr>
          <w:b/>
          <w:bCs/>
          <w:color w:val="FFFFFF"/>
          <w:sz w:val="2"/>
          <w:szCs w:val="2"/>
          <w:rtl/>
        </w:rPr>
        <w:t>5129371</w:t>
      </w:r>
      <w:r w:rsidR="00BC39B1">
        <w:rPr>
          <w:rFonts w:hint="cs"/>
          <w:b/>
          <w:bCs/>
          <w:rtl/>
        </w:rPr>
        <w:t>הנשק והתחמושת  יושמדו.</w:t>
      </w:r>
    </w:p>
    <w:p w14:paraId="6439C733" w14:textId="77777777" w:rsidR="00BC39B1" w:rsidRDefault="000E22A1" w:rsidP="00BC39B1">
      <w:pPr>
        <w:spacing w:line="360" w:lineRule="auto"/>
        <w:jc w:val="both"/>
        <w:rPr>
          <w:b/>
          <w:bCs/>
          <w:rtl/>
        </w:rPr>
      </w:pPr>
      <w:r w:rsidRPr="000E22A1">
        <w:rPr>
          <w:b/>
          <w:bCs/>
          <w:color w:val="FFFFFF"/>
          <w:sz w:val="2"/>
          <w:szCs w:val="2"/>
          <w:rtl/>
        </w:rPr>
        <w:t>54678313</w:t>
      </w:r>
      <w:r w:rsidR="00BC39B1">
        <w:rPr>
          <w:rFonts w:hint="cs"/>
          <w:b/>
          <w:bCs/>
          <w:rtl/>
        </w:rPr>
        <w:t>זכות ערעור לבית המשפט העליון תוך 45 יום.</w:t>
      </w:r>
    </w:p>
    <w:p w14:paraId="179BD2F6" w14:textId="77777777" w:rsidR="00BC39B1" w:rsidRDefault="00BC39B1" w:rsidP="00BC39B1">
      <w:pPr>
        <w:spacing w:line="360" w:lineRule="auto"/>
        <w:ind w:left="1080"/>
        <w:contextualSpacing/>
        <w:jc w:val="both"/>
      </w:pPr>
    </w:p>
    <w:p w14:paraId="4FF8DC44" w14:textId="77777777" w:rsidR="00BC39B1" w:rsidRPr="000F2247" w:rsidRDefault="000E22A1" w:rsidP="00BC39B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כסלו תשפ"ד, 04 דצמבר 2023, במעמד הצדדים. </w:t>
      </w:r>
      <w:bookmarkEnd w:id="8"/>
      <w:r w:rsidR="00BC39B1">
        <w:rPr>
          <w:rFonts w:ascii="Arial" w:hAnsi="Arial"/>
          <w:b/>
          <w:bCs/>
          <w:sz w:val="26"/>
          <w:szCs w:val="26"/>
          <w:rtl/>
        </w:rPr>
        <w:tab/>
      </w:r>
      <w:r w:rsidR="00BC39B1">
        <w:rPr>
          <w:rFonts w:ascii="Arial" w:hAnsi="Arial"/>
          <w:b/>
          <w:bCs/>
          <w:sz w:val="26"/>
          <w:szCs w:val="26"/>
          <w:rtl/>
        </w:rPr>
        <w:tab/>
      </w:r>
      <w:r w:rsidR="00BC39B1">
        <w:rPr>
          <w:rFonts w:ascii="Arial" w:hAnsi="Arial"/>
          <w:b/>
          <w:bCs/>
          <w:sz w:val="26"/>
          <w:szCs w:val="26"/>
          <w:rtl/>
        </w:rPr>
        <w:tab/>
      </w:r>
      <w:r w:rsidR="00BC39B1">
        <w:rPr>
          <w:rFonts w:ascii="Arial" w:hAnsi="Arial"/>
          <w:b/>
          <w:bCs/>
          <w:sz w:val="26"/>
          <w:szCs w:val="26"/>
          <w:rtl/>
        </w:rPr>
        <w:tab/>
      </w:r>
      <w:r w:rsidR="00BC39B1">
        <w:rPr>
          <w:rFonts w:ascii="Arial" w:hAnsi="Arial"/>
          <w:b/>
          <w:bCs/>
          <w:sz w:val="26"/>
          <w:szCs w:val="26"/>
          <w:rtl/>
        </w:rPr>
        <w:tab/>
      </w:r>
      <w:r w:rsidR="00BC39B1">
        <w:rPr>
          <w:rFonts w:ascii="Arial" w:hAnsi="Arial"/>
          <w:b/>
          <w:bCs/>
          <w:sz w:val="26"/>
          <w:szCs w:val="26"/>
          <w:rtl/>
        </w:rPr>
        <w:tab/>
      </w:r>
      <w:r w:rsidR="00BC39B1">
        <w:rPr>
          <w:rFonts w:ascii="Arial" w:hAnsi="Arial"/>
          <w:b/>
          <w:bCs/>
          <w:sz w:val="26"/>
          <w:szCs w:val="26"/>
          <w:rtl/>
        </w:rPr>
        <w:tab/>
      </w:r>
      <w:r w:rsidR="00BC39B1">
        <w:rPr>
          <w:rFonts w:ascii="Arial" w:hAnsi="Arial" w:hint="cs"/>
          <w:b/>
          <w:bCs/>
          <w:sz w:val="26"/>
          <w:szCs w:val="26"/>
          <w:rtl/>
        </w:rPr>
        <w:t xml:space="preserve">         </w:t>
      </w:r>
    </w:p>
    <w:p w14:paraId="1926FFB0" w14:textId="77777777" w:rsidR="000E22A1" w:rsidRDefault="000E22A1" w:rsidP="000E22A1">
      <w:pPr>
        <w:rPr>
          <w:rtl/>
        </w:rPr>
      </w:pPr>
    </w:p>
    <w:p w14:paraId="082BB465" w14:textId="77777777" w:rsidR="000E22A1" w:rsidRDefault="000E22A1" w:rsidP="000E22A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FB435AD" w14:textId="77777777" w:rsidR="003845BE" w:rsidRPr="003845BE" w:rsidRDefault="003845BE" w:rsidP="003845BE">
      <w:pPr>
        <w:keepNext/>
        <w:rPr>
          <w:rFonts w:ascii="David" w:hAnsi="David"/>
          <w:color w:val="000000"/>
          <w:sz w:val="22"/>
          <w:szCs w:val="22"/>
          <w:rtl/>
        </w:rPr>
      </w:pPr>
    </w:p>
    <w:p w14:paraId="0F7BDD0E" w14:textId="77777777" w:rsidR="003845BE" w:rsidRPr="003845BE" w:rsidRDefault="003845BE" w:rsidP="003845BE">
      <w:pPr>
        <w:keepNext/>
        <w:rPr>
          <w:rFonts w:ascii="David" w:hAnsi="David"/>
          <w:color w:val="000000"/>
          <w:sz w:val="22"/>
          <w:szCs w:val="22"/>
          <w:rtl/>
        </w:rPr>
      </w:pPr>
      <w:r w:rsidRPr="003845BE">
        <w:rPr>
          <w:rFonts w:ascii="David" w:hAnsi="David"/>
          <w:color w:val="000000"/>
          <w:sz w:val="22"/>
          <w:szCs w:val="22"/>
          <w:rtl/>
        </w:rPr>
        <w:t>מרב גרינברג 54678313-/</w:t>
      </w:r>
    </w:p>
    <w:p w14:paraId="1DDC2633" w14:textId="77777777" w:rsidR="000E22A1" w:rsidRPr="000E22A1" w:rsidRDefault="003845BE" w:rsidP="003845BE">
      <w:pPr>
        <w:rPr>
          <w:color w:val="0000FF"/>
          <w:u w:val="single"/>
        </w:rPr>
      </w:pPr>
      <w:r w:rsidRPr="003845BE">
        <w:rPr>
          <w:color w:val="000000"/>
          <w:u w:val="single"/>
          <w:rtl/>
        </w:rPr>
        <w:t>נוסח מסמך זה כפוף לשינויי ניסוח ועריכה</w:t>
      </w:r>
    </w:p>
    <w:sectPr w:rsidR="000E22A1" w:rsidRPr="000E22A1" w:rsidSect="003845BE">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C59A" w14:textId="77777777" w:rsidR="00F620A2" w:rsidRDefault="00F620A2" w:rsidP="00F6431D">
      <w:r>
        <w:separator/>
      </w:r>
    </w:p>
  </w:endnote>
  <w:endnote w:type="continuationSeparator" w:id="0">
    <w:p w14:paraId="77451B1A" w14:textId="77777777" w:rsidR="00F620A2" w:rsidRDefault="00F620A2" w:rsidP="00F6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74694" w14:textId="77777777" w:rsidR="003845BE" w:rsidRDefault="003845BE" w:rsidP="003845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9B3DC9" w14:textId="77777777" w:rsidR="0098587E" w:rsidRPr="003845BE" w:rsidRDefault="003845BE" w:rsidP="003845BE">
    <w:pPr>
      <w:pStyle w:val="a5"/>
      <w:pBdr>
        <w:top w:val="single" w:sz="4" w:space="1" w:color="auto"/>
        <w:between w:val="single" w:sz="4" w:space="0" w:color="auto"/>
      </w:pBdr>
      <w:spacing w:after="60"/>
      <w:jc w:val="center"/>
      <w:rPr>
        <w:rFonts w:ascii="FrankRuehl" w:hAnsi="FrankRuehl" w:cs="FrankRuehl"/>
        <w:color w:val="000000"/>
      </w:rPr>
    </w:pPr>
    <w:r w:rsidRPr="003845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22A07" w14:textId="77777777" w:rsidR="003845BE" w:rsidRDefault="003845BE" w:rsidP="003845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1EC6">
      <w:rPr>
        <w:rFonts w:ascii="FrankRuehl" w:hAnsi="FrankRuehl" w:cs="FrankRuehl"/>
        <w:noProof/>
        <w:rtl/>
      </w:rPr>
      <w:t>1</w:t>
    </w:r>
    <w:r>
      <w:rPr>
        <w:rFonts w:ascii="FrankRuehl" w:hAnsi="FrankRuehl" w:cs="FrankRuehl"/>
        <w:rtl/>
      </w:rPr>
      <w:fldChar w:fldCharType="end"/>
    </w:r>
  </w:p>
  <w:p w14:paraId="3BC33891" w14:textId="77777777" w:rsidR="0098587E" w:rsidRPr="003845BE" w:rsidRDefault="003845BE" w:rsidP="003845BE">
    <w:pPr>
      <w:pStyle w:val="a5"/>
      <w:pBdr>
        <w:top w:val="single" w:sz="4" w:space="1" w:color="auto"/>
        <w:between w:val="single" w:sz="4" w:space="0" w:color="auto"/>
      </w:pBdr>
      <w:spacing w:after="60"/>
      <w:jc w:val="center"/>
      <w:rPr>
        <w:rFonts w:ascii="FrankRuehl" w:hAnsi="FrankRuehl" w:cs="FrankRuehl"/>
        <w:color w:val="000000"/>
      </w:rPr>
    </w:pPr>
    <w:r w:rsidRPr="003845BE">
      <w:rPr>
        <w:rFonts w:ascii="FrankRuehl" w:hAnsi="FrankRuehl" w:cs="FrankRuehl"/>
        <w:color w:val="000000"/>
      </w:rPr>
      <w:pict w14:anchorId="21B34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C9EAA" w14:textId="77777777" w:rsidR="00F620A2" w:rsidRDefault="00F620A2" w:rsidP="00F6431D">
      <w:r>
        <w:separator/>
      </w:r>
    </w:p>
  </w:footnote>
  <w:footnote w:type="continuationSeparator" w:id="0">
    <w:p w14:paraId="47299D2D" w14:textId="77777777" w:rsidR="00F620A2" w:rsidRDefault="00F620A2" w:rsidP="00F64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70243" w14:textId="77777777" w:rsidR="000E22A1" w:rsidRPr="003845BE" w:rsidRDefault="003845BE" w:rsidP="003845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63303-06-22</w:t>
    </w:r>
    <w:r>
      <w:rPr>
        <w:rFonts w:ascii="David" w:hAnsi="David"/>
        <w:color w:val="000000"/>
        <w:sz w:val="22"/>
        <w:szCs w:val="22"/>
        <w:rtl/>
      </w:rPr>
      <w:tab/>
      <w:t xml:space="preserve"> מדינת ישראל נ' מוחמד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AF94" w14:textId="77777777" w:rsidR="000E22A1" w:rsidRPr="003845BE" w:rsidRDefault="003845BE" w:rsidP="003845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63303-06-22</w:t>
    </w:r>
    <w:r>
      <w:rPr>
        <w:rFonts w:ascii="David" w:hAnsi="David"/>
        <w:color w:val="000000"/>
        <w:sz w:val="22"/>
        <w:szCs w:val="22"/>
        <w:rtl/>
      </w:rPr>
      <w:tab/>
      <w:t xml:space="preserve"> מדינת ישראל נ' מוחמד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C356E9"/>
    <w:multiLevelType w:val="hybridMultilevel"/>
    <w:tmpl w:val="3974668C"/>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6528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39B1"/>
    <w:rsid w:val="0003527E"/>
    <w:rsid w:val="000E22A1"/>
    <w:rsid w:val="001B5A3B"/>
    <w:rsid w:val="002526BF"/>
    <w:rsid w:val="003845BE"/>
    <w:rsid w:val="004B3BB3"/>
    <w:rsid w:val="005C7536"/>
    <w:rsid w:val="00671EC6"/>
    <w:rsid w:val="00717E85"/>
    <w:rsid w:val="0098587E"/>
    <w:rsid w:val="00AE43A8"/>
    <w:rsid w:val="00BC39B1"/>
    <w:rsid w:val="00C678E2"/>
    <w:rsid w:val="00C83D7E"/>
    <w:rsid w:val="00F620A2"/>
    <w:rsid w:val="00F64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94C385"/>
  <w15:chartTrackingRefBased/>
  <w15:docId w15:val="{999752F5-1125-4007-899A-AD3C05AD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39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39B1"/>
    <w:pPr>
      <w:tabs>
        <w:tab w:val="center" w:pos="4153"/>
        <w:tab w:val="right" w:pos="8306"/>
      </w:tabs>
    </w:pPr>
  </w:style>
  <w:style w:type="character" w:customStyle="1" w:styleId="a4">
    <w:name w:val="כותרת עליונה תו"/>
    <w:link w:val="a3"/>
    <w:rsid w:val="00BC39B1"/>
    <w:rPr>
      <w:rFonts w:ascii="Times New Roman" w:eastAsia="Times New Roman" w:hAnsi="Times New Roman" w:cs="David"/>
      <w:sz w:val="24"/>
      <w:szCs w:val="24"/>
    </w:rPr>
  </w:style>
  <w:style w:type="paragraph" w:styleId="a5">
    <w:name w:val="footer"/>
    <w:basedOn w:val="a"/>
    <w:link w:val="a6"/>
    <w:rsid w:val="00BC39B1"/>
    <w:pPr>
      <w:tabs>
        <w:tab w:val="center" w:pos="4153"/>
        <w:tab w:val="right" w:pos="8306"/>
      </w:tabs>
    </w:pPr>
  </w:style>
  <w:style w:type="character" w:customStyle="1" w:styleId="a6">
    <w:name w:val="כותרת תחתונה תו"/>
    <w:link w:val="a5"/>
    <w:rsid w:val="00BC39B1"/>
    <w:rPr>
      <w:rFonts w:ascii="Times New Roman" w:eastAsia="Times New Roman" w:hAnsi="Times New Roman" w:cs="David"/>
      <w:sz w:val="24"/>
      <w:szCs w:val="24"/>
    </w:rPr>
  </w:style>
  <w:style w:type="table" w:styleId="a7">
    <w:name w:val="Table Grid"/>
    <w:basedOn w:val="a1"/>
    <w:rsid w:val="00BC39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39B1"/>
  </w:style>
  <w:style w:type="paragraph" w:styleId="a9">
    <w:name w:val="List Paragraph"/>
    <w:basedOn w:val="a"/>
    <w:qFormat/>
    <w:rsid w:val="00BC39B1"/>
    <w:pPr>
      <w:ind w:left="720"/>
      <w:contextualSpacing/>
    </w:pPr>
    <w:rPr>
      <w:rFonts w:ascii="David" w:eastAsia="David" w:hAnsi="David"/>
    </w:rPr>
  </w:style>
  <w:style w:type="character" w:styleId="Hyperlink">
    <w:name w:val="Hyperlink"/>
    <w:rsid w:val="000E2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152132" TargetMode="External"/><Relationship Id="rId18" Type="http://schemas.openxmlformats.org/officeDocument/2006/relationships/hyperlink" Target="http://www.nevo.co.il/case/2749115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851382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986974" TargetMode="External"/><Relationship Id="rId20" Type="http://schemas.openxmlformats.org/officeDocument/2006/relationships/hyperlink" Target="http://www.nevo.co.il/case/289635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30259818"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1357</Words>
  <Characters>6790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8131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3211391</vt:i4>
      </vt:variant>
      <vt:variant>
        <vt:i4>39</vt:i4>
      </vt:variant>
      <vt:variant>
        <vt:i4>0</vt:i4>
      </vt:variant>
      <vt:variant>
        <vt:i4>5</vt:i4>
      </vt:variant>
      <vt:variant>
        <vt:lpwstr>http://www.nevo.co.il/case/28963593</vt:lpwstr>
      </vt:variant>
      <vt:variant>
        <vt:lpwstr/>
      </vt:variant>
      <vt:variant>
        <vt:i4>3735673</vt:i4>
      </vt:variant>
      <vt:variant>
        <vt:i4>36</vt:i4>
      </vt:variant>
      <vt:variant>
        <vt:i4>0</vt:i4>
      </vt:variant>
      <vt:variant>
        <vt:i4>5</vt:i4>
      </vt:variant>
      <vt:variant>
        <vt:lpwstr>http://www.nevo.co.il/case/30259818</vt:lpwstr>
      </vt:variant>
      <vt:variant>
        <vt:lpwstr/>
      </vt:variant>
      <vt:variant>
        <vt:i4>3276923</vt:i4>
      </vt:variant>
      <vt:variant>
        <vt:i4>33</vt:i4>
      </vt:variant>
      <vt:variant>
        <vt:i4>0</vt:i4>
      </vt:variant>
      <vt:variant>
        <vt:i4>5</vt:i4>
      </vt:variant>
      <vt:variant>
        <vt:lpwstr>http://www.nevo.co.il/case/27491153</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3801203</vt:i4>
      </vt:variant>
      <vt:variant>
        <vt:i4>27</vt:i4>
      </vt:variant>
      <vt:variant>
        <vt:i4>0</vt:i4>
      </vt:variant>
      <vt:variant>
        <vt:i4>5</vt:i4>
      </vt:variant>
      <vt:variant>
        <vt:lpwstr>http://www.nevo.co.il/case/26986974</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63303</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מסארוה</vt:lpwstr>
  </property>
  <property fmtid="{D5CDD505-2E9C-101B-9397-08002B2CF9AE}" pid="10" name="LAWYER">
    <vt:lpwstr>הינד נבולסי;שאדי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20231204</vt:lpwstr>
  </property>
  <property fmtid="{D5CDD505-2E9C-101B-9397-08002B2CF9AE}" pid="14" name="TYPE_N_DATE">
    <vt:lpwstr>39020231204</vt:lpwstr>
  </property>
  <property fmtid="{D5CDD505-2E9C-101B-9397-08002B2CF9AE}" pid="15" name="WORDNUMPAGES">
    <vt:lpwstr>5</vt:lpwstr>
  </property>
  <property fmtid="{D5CDD505-2E9C-101B-9397-08002B2CF9AE}" pid="16" name="TYPE_ABS_DATE">
    <vt:lpwstr>390020231204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27894608;27911638;28152132;28452933;5568354;26986974;28513828;27491153;30259818;28963593</vt:lpwstr>
  </property>
  <property fmtid="{D5CDD505-2E9C-101B-9397-08002B2CF9AE}" pid="36" name="LAWLISTTMP1">
    <vt:lpwstr>70301/144.a</vt:lpwstr>
  </property>
</Properties>
</file>