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E9062C" w:rsidRPr="00A900D2" w14:paraId="12A254D4" w14:textId="77777777" w:rsidTr="00DE6258">
        <w:trPr>
          <w:gridAfter w:val="1"/>
          <w:wAfter w:w="99" w:type="dxa"/>
          <w:trHeight w:hRule="exact" w:val="418"/>
          <w:jc w:val="center"/>
        </w:trPr>
        <w:tc>
          <w:tcPr>
            <w:tcW w:w="8721" w:type="dxa"/>
            <w:gridSpan w:val="4"/>
          </w:tcPr>
          <w:p w14:paraId="107C7BB4" w14:textId="77777777" w:rsidR="00E9062C" w:rsidRPr="00A900D2" w:rsidRDefault="00E9062C" w:rsidP="003A6458">
            <w:pPr>
              <w:pStyle w:val="a3"/>
              <w:jc w:val="center"/>
              <w:rPr>
                <w:rFonts w:ascii="Tahoma" w:hAnsi="Tahoma" w:cs="Tahoma"/>
                <w:color w:val="000080"/>
                <w:rtl/>
              </w:rPr>
            </w:pPr>
            <w:bookmarkStart w:id="0" w:name="LastJudge"/>
            <w:r w:rsidRPr="00A900D2">
              <w:rPr>
                <w:rFonts w:ascii="Tahoma" w:hAnsi="Tahoma" w:cs="Tahoma"/>
                <w:b/>
                <w:bCs/>
                <w:color w:val="000080"/>
                <w:rtl/>
              </w:rPr>
              <w:t>בית המשפט המחוזי בבאר שבע</w:t>
            </w:r>
          </w:p>
        </w:tc>
      </w:tr>
      <w:tr w:rsidR="00E9062C" w:rsidRPr="00A900D2" w14:paraId="758B6C1F" w14:textId="77777777" w:rsidTr="00DE6258">
        <w:trPr>
          <w:gridAfter w:val="1"/>
          <w:wAfter w:w="99" w:type="dxa"/>
          <w:trHeight w:val="664"/>
          <w:jc w:val="center"/>
        </w:trPr>
        <w:tc>
          <w:tcPr>
            <w:tcW w:w="5055" w:type="dxa"/>
            <w:gridSpan w:val="3"/>
          </w:tcPr>
          <w:p w14:paraId="789CF179" w14:textId="77777777" w:rsidR="00E9062C" w:rsidRPr="00A900D2" w:rsidRDefault="00E9062C" w:rsidP="003A6458">
            <w:pPr>
              <w:rPr>
                <w:rFonts w:cs="FrankRuehl"/>
                <w:sz w:val="28"/>
                <w:szCs w:val="28"/>
                <w:rtl/>
              </w:rPr>
            </w:pPr>
            <w:r w:rsidRPr="00A900D2">
              <w:rPr>
                <w:rFonts w:cs="FrankRuehl"/>
                <w:sz w:val="28"/>
                <w:szCs w:val="28"/>
                <w:rtl/>
              </w:rPr>
              <w:t>ת"פ</w:t>
            </w:r>
            <w:r w:rsidRPr="00A900D2">
              <w:rPr>
                <w:rFonts w:cs="FrankRuehl" w:hint="cs"/>
                <w:sz w:val="28"/>
                <w:szCs w:val="28"/>
                <w:rtl/>
              </w:rPr>
              <w:t xml:space="preserve"> </w:t>
            </w:r>
            <w:r w:rsidRPr="00A900D2">
              <w:rPr>
                <w:rFonts w:cs="FrankRuehl"/>
                <w:sz w:val="28"/>
                <w:szCs w:val="28"/>
                <w:rtl/>
              </w:rPr>
              <w:t>10374-07-22</w:t>
            </w:r>
            <w:r w:rsidRPr="00A900D2">
              <w:rPr>
                <w:rFonts w:cs="FrankRuehl" w:hint="cs"/>
                <w:sz w:val="28"/>
                <w:szCs w:val="28"/>
                <w:rtl/>
              </w:rPr>
              <w:t xml:space="preserve"> </w:t>
            </w:r>
            <w:r w:rsidRPr="00A900D2">
              <w:rPr>
                <w:rFonts w:cs="FrankRuehl"/>
                <w:sz w:val="28"/>
                <w:szCs w:val="28"/>
                <w:rtl/>
              </w:rPr>
              <w:t>מדינת ישראל נ' אלקרעאן</w:t>
            </w:r>
          </w:p>
          <w:p w14:paraId="37E8B275" w14:textId="77777777" w:rsidR="00E9062C" w:rsidRPr="00A900D2" w:rsidRDefault="00E9062C" w:rsidP="003A6458">
            <w:pPr>
              <w:pStyle w:val="a3"/>
              <w:rPr>
                <w:rFonts w:cs="FrankRuehl"/>
                <w:sz w:val="28"/>
                <w:szCs w:val="28"/>
                <w:rtl/>
              </w:rPr>
            </w:pPr>
          </w:p>
        </w:tc>
        <w:tc>
          <w:tcPr>
            <w:tcW w:w="3666" w:type="dxa"/>
          </w:tcPr>
          <w:p w14:paraId="751303F3" w14:textId="77777777" w:rsidR="00E9062C" w:rsidRPr="00A900D2" w:rsidRDefault="00E9062C" w:rsidP="003A6458">
            <w:pPr>
              <w:pStyle w:val="a3"/>
              <w:jc w:val="right"/>
              <w:rPr>
                <w:rFonts w:cs="FrankRuehl"/>
                <w:sz w:val="28"/>
                <w:szCs w:val="28"/>
                <w:rtl/>
              </w:rPr>
            </w:pPr>
          </w:p>
        </w:tc>
      </w:tr>
      <w:tr w:rsidR="00E9062C" w:rsidRPr="00A900D2" w14:paraId="57A076B1" w14:textId="77777777" w:rsidTr="00DE62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0BFE25E" w14:textId="77777777" w:rsidR="00E9062C" w:rsidRPr="00A900D2" w:rsidRDefault="00E9062C" w:rsidP="00E9062C">
            <w:pPr>
              <w:jc w:val="both"/>
              <w:rPr>
                <w:rFonts w:ascii="David" w:hAnsi="David"/>
                <w:sz w:val="26"/>
                <w:szCs w:val="26"/>
              </w:rPr>
            </w:pPr>
            <w:r w:rsidRPr="00A900D2">
              <w:rPr>
                <w:rFonts w:hint="cs"/>
                <w:rtl/>
              </w:rPr>
              <w:t xml:space="preserve"> </w:t>
            </w:r>
            <w:r w:rsidRPr="00A900D2">
              <w:rPr>
                <w:rFonts w:ascii="David" w:hAnsi="David" w:hint="cs"/>
                <w:sz w:val="26"/>
                <w:szCs w:val="26"/>
                <w:rtl/>
              </w:rPr>
              <w:t>ל</w:t>
            </w:r>
            <w:r w:rsidRPr="00A900D2">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5C5BE26D" w14:textId="77777777" w:rsidR="00E9062C" w:rsidRPr="00A900D2" w:rsidRDefault="00E9062C" w:rsidP="003A6458">
            <w:pPr>
              <w:rPr>
                <w:rFonts w:ascii="David" w:hAnsi="David"/>
                <w:b/>
                <w:bCs/>
                <w:sz w:val="26"/>
                <w:szCs w:val="26"/>
                <w:rtl/>
              </w:rPr>
            </w:pPr>
            <w:r w:rsidRPr="00A900D2">
              <w:rPr>
                <w:rFonts w:ascii="David" w:hAnsi="David"/>
                <w:b/>
                <w:bCs/>
                <w:sz w:val="26"/>
                <w:szCs w:val="26"/>
                <w:rtl/>
              </w:rPr>
              <w:t>כבוד השופט  אלון גביזון</w:t>
            </w:r>
          </w:p>
          <w:p w14:paraId="4C0A44DE" w14:textId="77777777" w:rsidR="00E9062C" w:rsidRPr="00A900D2" w:rsidRDefault="00E9062C" w:rsidP="003A6458">
            <w:pPr>
              <w:rPr>
                <w:rFonts w:ascii="David" w:hAnsi="David"/>
                <w:sz w:val="26"/>
                <w:szCs w:val="26"/>
                <w:rtl/>
              </w:rPr>
            </w:pPr>
          </w:p>
          <w:p w14:paraId="4100D2B6" w14:textId="77777777" w:rsidR="00E9062C" w:rsidRPr="00A900D2" w:rsidRDefault="00E9062C" w:rsidP="00E9062C">
            <w:pPr>
              <w:jc w:val="both"/>
              <w:rPr>
                <w:rFonts w:ascii="David" w:hAnsi="David"/>
                <w:sz w:val="26"/>
                <w:szCs w:val="26"/>
              </w:rPr>
            </w:pPr>
          </w:p>
        </w:tc>
      </w:tr>
      <w:tr w:rsidR="00E9062C" w:rsidRPr="00A900D2" w14:paraId="1AB44E6F" w14:textId="77777777" w:rsidTr="00DE62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F657B1" w14:textId="77777777" w:rsidR="00E9062C" w:rsidRPr="00A900D2" w:rsidRDefault="00E9062C" w:rsidP="00E9062C">
            <w:pPr>
              <w:jc w:val="both"/>
              <w:rPr>
                <w:rFonts w:ascii="David" w:hAnsi="David"/>
                <w:sz w:val="26"/>
                <w:szCs w:val="26"/>
              </w:rPr>
            </w:pPr>
            <w:bookmarkStart w:id="1" w:name="FirstAppellant"/>
            <w:bookmarkStart w:id="2" w:name="FirstLawyer"/>
            <w:r w:rsidRPr="00A900D2">
              <w:rPr>
                <w:rFonts w:ascii="David" w:hAnsi="David"/>
                <w:sz w:val="26"/>
                <w:szCs w:val="26"/>
                <w:rtl/>
              </w:rPr>
              <w:t>בעניין:</w:t>
            </w:r>
          </w:p>
        </w:tc>
        <w:tc>
          <w:tcPr>
            <w:tcW w:w="3219" w:type="dxa"/>
            <w:tcBorders>
              <w:top w:val="nil"/>
              <w:left w:val="nil"/>
              <w:bottom w:val="nil"/>
              <w:right w:val="nil"/>
            </w:tcBorders>
            <w:shd w:val="clear" w:color="auto" w:fill="auto"/>
          </w:tcPr>
          <w:p w14:paraId="228EF0A7" w14:textId="77777777" w:rsidR="00E9062C" w:rsidRPr="00A900D2" w:rsidRDefault="00E9062C" w:rsidP="00E9062C">
            <w:pPr>
              <w:suppressLineNumbers/>
            </w:pPr>
            <w:r w:rsidRPr="00A900D2">
              <w:rPr>
                <w:rFonts w:ascii="Arial" w:hAnsi="Arial" w:hint="cs"/>
                <w:b/>
                <w:bCs/>
                <w:sz w:val="26"/>
                <w:szCs w:val="26"/>
                <w:rtl/>
              </w:rPr>
              <w:t>ה</w:t>
            </w:r>
            <w:r w:rsidRPr="00A900D2">
              <w:rPr>
                <w:rFonts w:ascii="Arial" w:hAnsi="Arial"/>
                <w:b/>
                <w:bCs/>
                <w:sz w:val="26"/>
                <w:szCs w:val="26"/>
                <w:rtl/>
              </w:rPr>
              <w:t>מאשימה</w:t>
            </w:r>
          </w:p>
          <w:p w14:paraId="60B2F7DB" w14:textId="77777777" w:rsidR="00E9062C" w:rsidRPr="00A900D2" w:rsidRDefault="00E9062C" w:rsidP="003A6458">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CDB6772" w14:textId="77777777" w:rsidR="00E9062C" w:rsidRPr="00A900D2" w:rsidRDefault="00E9062C" w:rsidP="00E9062C">
            <w:pPr>
              <w:suppressLineNumbers/>
              <w:rPr>
                <w:rFonts w:ascii="Arial" w:hAnsi="Arial"/>
                <w:b/>
                <w:bCs/>
                <w:sz w:val="26"/>
                <w:szCs w:val="26"/>
                <w:rtl/>
              </w:rPr>
            </w:pPr>
            <w:r w:rsidRPr="00A900D2">
              <w:rPr>
                <w:rFonts w:ascii="Arial" w:hAnsi="Arial"/>
                <w:b/>
                <w:bCs/>
                <w:sz w:val="26"/>
                <w:szCs w:val="26"/>
                <w:rtl/>
              </w:rPr>
              <w:t>מדינת ישראל</w:t>
            </w:r>
            <w:r w:rsidRPr="00A900D2">
              <w:rPr>
                <w:rFonts w:ascii="Arial" w:hAnsi="Arial" w:hint="cs"/>
                <w:b/>
                <w:bCs/>
                <w:sz w:val="26"/>
                <w:szCs w:val="26"/>
                <w:rtl/>
              </w:rPr>
              <w:t xml:space="preserve"> </w:t>
            </w:r>
          </w:p>
          <w:p w14:paraId="181C66EB" w14:textId="77777777" w:rsidR="00E9062C" w:rsidRPr="00A900D2" w:rsidRDefault="00E9062C" w:rsidP="00E9062C">
            <w:pPr>
              <w:suppressLineNumbers/>
            </w:pPr>
            <w:r w:rsidRPr="00A900D2">
              <w:rPr>
                <w:rFonts w:ascii="Arial" w:hAnsi="Arial" w:hint="cs"/>
                <w:b/>
                <w:bCs/>
                <w:sz w:val="26"/>
                <w:szCs w:val="26"/>
                <w:rtl/>
              </w:rPr>
              <w:t>ע</w:t>
            </w:r>
            <w:r w:rsidRPr="00A900D2">
              <w:rPr>
                <w:rFonts w:ascii="Arial" w:hAnsi="Arial"/>
                <w:b/>
                <w:bCs/>
                <w:sz w:val="26"/>
                <w:szCs w:val="26"/>
                <w:rtl/>
              </w:rPr>
              <w:t>"י ב"כ עוה"ד</w:t>
            </w:r>
            <w:r w:rsidRPr="00A900D2">
              <w:rPr>
                <w:rFonts w:ascii="Arial" w:hAnsi="Arial" w:hint="cs"/>
                <w:b/>
                <w:bCs/>
                <w:sz w:val="26"/>
                <w:szCs w:val="26"/>
                <w:rtl/>
              </w:rPr>
              <w:t xml:space="preserve"> אורלי פיתוסי </w:t>
            </w:r>
          </w:p>
          <w:p w14:paraId="14A50B6F" w14:textId="77777777" w:rsidR="00E9062C" w:rsidRPr="00A900D2" w:rsidRDefault="00E9062C" w:rsidP="003A6458">
            <w:pPr>
              <w:rPr>
                <w:rFonts w:ascii="David" w:hAnsi="David"/>
                <w:sz w:val="26"/>
                <w:szCs w:val="26"/>
              </w:rPr>
            </w:pPr>
          </w:p>
        </w:tc>
      </w:tr>
      <w:bookmarkEnd w:id="1"/>
      <w:bookmarkEnd w:id="2"/>
      <w:tr w:rsidR="00E9062C" w:rsidRPr="00A900D2" w14:paraId="2AF6CBBE" w14:textId="77777777" w:rsidTr="00DE62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231B924" w14:textId="77777777" w:rsidR="00E9062C" w:rsidRPr="00A900D2" w:rsidRDefault="00E9062C" w:rsidP="00E9062C">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8985221" w14:textId="77777777" w:rsidR="00E9062C" w:rsidRPr="00A900D2" w:rsidRDefault="00E9062C" w:rsidP="00E9062C">
            <w:pPr>
              <w:jc w:val="center"/>
              <w:rPr>
                <w:rFonts w:ascii="David" w:hAnsi="David"/>
                <w:b/>
                <w:bCs/>
                <w:sz w:val="26"/>
                <w:szCs w:val="26"/>
                <w:rtl/>
              </w:rPr>
            </w:pPr>
          </w:p>
          <w:p w14:paraId="26936A5F" w14:textId="77777777" w:rsidR="00E9062C" w:rsidRPr="00A900D2" w:rsidRDefault="00E9062C" w:rsidP="00E9062C">
            <w:pPr>
              <w:jc w:val="center"/>
              <w:rPr>
                <w:rFonts w:ascii="David" w:hAnsi="David"/>
                <w:b/>
                <w:bCs/>
                <w:sz w:val="26"/>
                <w:szCs w:val="26"/>
                <w:rtl/>
              </w:rPr>
            </w:pPr>
            <w:r w:rsidRPr="00A900D2">
              <w:rPr>
                <w:rFonts w:ascii="David" w:hAnsi="David"/>
                <w:b/>
                <w:bCs/>
                <w:sz w:val="26"/>
                <w:szCs w:val="26"/>
                <w:rtl/>
              </w:rPr>
              <w:t>נגד</w:t>
            </w:r>
          </w:p>
          <w:p w14:paraId="006482B3" w14:textId="77777777" w:rsidR="00E9062C" w:rsidRPr="00A900D2" w:rsidRDefault="00E9062C" w:rsidP="00E9062C">
            <w:pPr>
              <w:jc w:val="both"/>
              <w:rPr>
                <w:rFonts w:ascii="David" w:hAnsi="David"/>
                <w:sz w:val="26"/>
                <w:szCs w:val="26"/>
              </w:rPr>
            </w:pPr>
          </w:p>
        </w:tc>
      </w:tr>
      <w:tr w:rsidR="00E9062C" w:rsidRPr="00A900D2" w14:paraId="424AF228" w14:textId="77777777" w:rsidTr="00DE625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8F31323" w14:textId="77777777" w:rsidR="00E9062C" w:rsidRPr="00A900D2" w:rsidRDefault="00E9062C" w:rsidP="003A6458">
            <w:pPr>
              <w:rPr>
                <w:rFonts w:ascii="David" w:hAnsi="David"/>
                <w:sz w:val="26"/>
                <w:szCs w:val="26"/>
                <w:rtl/>
              </w:rPr>
            </w:pPr>
          </w:p>
        </w:tc>
        <w:tc>
          <w:tcPr>
            <w:tcW w:w="3219" w:type="dxa"/>
            <w:tcBorders>
              <w:top w:val="nil"/>
              <w:left w:val="nil"/>
              <w:bottom w:val="nil"/>
              <w:right w:val="nil"/>
            </w:tcBorders>
            <w:shd w:val="clear" w:color="auto" w:fill="auto"/>
          </w:tcPr>
          <w:p w14:paraId="00320926" w14:textId="77777777" w:rsidR="00E9062C" w:rsidRPr="00A900D2" w:rsidRDefault="00E9062C" w:rsidP="003A6458">
            <w:pPr>
              <w:rPr>
                <w:rFonts w:ascii="Arial" w:hAnsi="Arial"/>
                <w:b/>
                <w:bCs/>
                <w:sz w:val="26"/>
                <w:szCs w:val="26"/>
                <w:rtl/>
              </w:rPr>
            </w:pPr>
            <w:r w:rsidRPr="00A900D2">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1A95ABB5" w14:textId="77777777" w:rsidR="00E9062C" w:rsidRPr="00A900D2" w:rsidRDefault="00E9062C" w:rsidP="00E9062C">
            <w:pPr>
              <w:suppressLineNumbers/>
              <w:rPr>
                <w:rFonts w:ascii="Arial" w:hAnsi="Arial"/>
                <w:b/>
                <w:bCs/>
                <w:sz w:val="26"/>
                <w:szCs w:val="26"/>
                <w:rtl/>
              </w:rPr>
            </w:pPr>
            <w:r w:rsidRPr="00A900D2">
              <w:rPr>
                <w:rFonts w:ascii="Arial" w:hAnsi="Arial"/>
                <w:b/>
                <w:bCs/>
                <w:sz w:val="26"/>
                <w:szCs w:val="26"/>
                <w:rtl/>
              </w:rPr>
              <w:t>מהאר אלקרעאן</w:t>
            </w:r>
            <w:r w:rsidRPr="00A900D2">
              <w:rPr>
                <w:rFonts w:ascii="Arial" w:hAnsi="Arial" w:hint="cs"/>
                <w:b/>
                <w:bCs/>
                <w:sz w:val="26"/>
                <w:szCs w:val="26"/>
                <w:rtl/>
              </w:rPr>
              <w:t xml:space="preserve"> - בעצמו</w:t>
            </w:r>
          </w:p>
          <w:p w14:paraId="7AE8FB5E" w14:textId="77777777" w:rsidR="00E9062C" w:rsidRPr="00A900D2" w:rsidRDefault="00E9062C" w:rsidP="00E9062C">
            <w:pPr>
              <w:suppressLineNumbers/>
              <w:rPr>
                <w:b/>
                <w:bCs/>
              </w:rPr>
            </w:pPr>
            <w:r w:rsidRPr="00A900D2">
              <w:rPr>
                <w:rFonts w:ascii="Arial" w:hAnsi="Arial"/>
                <w:b/>
                <w:bCs/>
                <w:sz w:val="26"/>
                <w:szCs w:val="26"/>
                <w:rtl/>
              </w:rPr>
              <w:t>ע"י ב"כ עוה"</w:t>
            </w:r>
            <w:r w:rsidRPr="00A900D2">
              <w:rPr>
                <w:rFonts w:hint="cs"/>
                <w:b/>
                <w:bCs/>
                <w:rtl/>
              </w:rPr>
              <w:t xml:space="preserve">ד ויקטור אוזן </w:t>
            </w:r>
          </w:p>
          <w:p w14:paraId="570051B2" w14:textId="77777777" w:rsidR="00E9062C" w:rsidRPr="00A900D2" w:rsidRDefault="00E9062C" w:rsidP="003A6458">
            <w:pPr>
              <w:rPr>
                <w:rFonts w:ascii="David" w:hAnsi="David"/>
                <w:sz w:val="26"/>
                <w:szCs w:val="26"/>
              </w:rPr>
            </w:pPr>
          </w:p>
        </w:tc>
      </w:tr>
    </w:tbl>
    <w:p w14:paraId="5038AFDD" w14:textId="77777777" w:rsidR="00DE6258" w:rsidRPr="00DE6258" w:rsidRDefault="00DE6258" w:rsidP="00DE6258">
      <w:pPr>
        <w:spacing w:before="120" w:after="120" w:line="240" w:lineRule="exact"/>
        <w:ind w:left="283" w:hanging="283"/>
        <w:jc w:val="both"/>
        <w:rPr>
          <w:rFonts w:ascii="FrankRuehl" w:hAnsi="FrankRuehl" w:cs="FrankRuehl"/>
          <w:rtl/>
        </w:rPr>
      </w:pPr>
      <w:bookmarkStart w:id="3" w:name="LawTable"/>
      <w:bookmarkEnd w:id="3"/>
    </w:p>
    <w:p w14:paraId="29BF8821" w14:textId="77777777" w:rsidR="00DE6258" w:rsidRPr="00DE6258" w:rsidRDefault="00DE6258" w:rsidP="00DE6258">
      <w:pPr>
        <w:spacing w:before="120" w:after="120" w:line="240" w:lineRule="exact"/>
        <w:ind w:left="283" w:hanging="283"/>
        <w:jc w:val="both"/>
        <w:rPr>
          <w:rFonts w:ascii="FrankRuehl" w:hAnsi="FrankRuehl" w:cs="FrankRuehl"/>
          <w:rtl/>
        </w:rPr>
      </w:pPr>
      <w:r w:rsidRPr="00DE6258">
        <w:rPr>
          <w:rFonts w:ascii="FrankRuehl" w:hAnsi="FrankRuehl" w:cs="FrankRuehl"/>
          <w:rtl/>
        </w:rPr>
        <w:t xml:space="preserve">חקיקה שאוזכרה: </w:t>
      </w:r>
    </w:p>
    <w:p w14:paraId="33D62179" w14:textId="77777777" w:rsidR="00DE6258" w:rsidRPr="00DE6258" w:rsidRDefault="00DE6258" w:rsidP="00DE6258">
      <w:pPr>
        <w:spacing w:before="120" w:after="120" w:line="240" w:lineRule="exact"/>
        <w:ind w:left="283" w:hanging="283"/>
        <w:jc w:val="both"/>
        <w:rPr>
          <w:rFonts w:ascii="FrankRuehl" w:hAnsi="FrankRuehl" w:cs="FrankRuehl"/>
          <w:color w:val="0000FF"/>
          <w:rtl/>
        </w:rPr>
      </w:pPr>
      <w:hyperlink r:id="rId6" w:history="1">
        <w:r w:rsidRPr="00DE6258">
          <w:rPr>
            <w:rStyle w:val="Hyperlink"/>
            <w:rFonts w:ascii="FrankRuehl" w:hAnsi="FrankRuehl" w:cs="FrankRuehl"/>
            <w:u w:val="none"/>
            <w:rtl/>
          </w:rPr>
          <w:t>חוק העונשין, תשל"ז-1977</w:t>
        </w:r>
      </w:hyperlink>
      <w:r w:rsidRPr="00DE6258">
        <w:rPr>
          <w:rFonts w:ascii="FrankRuehl" w:hAnsi="FrankRuehl" w:cs="FrankRuehl"/>
          <w:color w:val="0000FF"/>
          <w:rtl/>
        </w:rPr>
        <w:t xml:space="preserve">: סע'  </w:t>
      </w:r>
      <w:hyperlink r:id="rId7" w:history="1">
        <w:r w:rsidRPr="00DE6258">
          <w:rPr>
            <w:rStyle w:val="Hyperlink"/>
            <w:rFonts w:ascii="FrankRuehl" w:hAnsi="FrankRuehl" w:cs="FrankRuehl"/>
            <w:u w:val="none"/>
          </w:rPr>
          <w:t>144</w:t>
        </w:r>
      </w:hyperlink>
      <w:r w:rsidRPr="00DE6258">
        <w:rPr>
          <w:rFonts w:ascii="FrankRuehl" w:hAnsi="FrankRuehl" w:cs="FrankRuehl"/>
          <w:color w:val="0000FF"/>
          <w:rtl/>
        </w:rPr>
        <w:t xml:space="preserve">, </w:t>
      </w:r>
      <w:hyperlink r:id="rId8" w:history="1">
        <w:r w:rsidRPr="00DE6258">
          <w:rPr>
            <w:rStyle w:val="Hyperlink"/>
            <w:rFonts w:ascii="FrankRuehl" w:hAnsi="FrankRuehl" w:cs="FrankRuehl"/>
            <w:u w:val="none"/>
          </w:rPr>
          <w:t xml:space="preserve">144 </w:t>
        </w:r>
      </w:hyperlink>
      <w:r w:rsidRPr="00DE6258">
        <w:rPr>
          <w:rFonts w:ascii="FrankRuehl" w:hAnsi="FrankRuehl" w:cs="FrankRuehl"/>
          <w:color w:val="0000FF"/>
          <w:rtl/>
        </w:rPr>
        <w:t>(ב)</w:t>
      </w:r>
    </w:p>
    <w:p w14:paraId="38CEDD60" w14:textId="77777777" w:rsidR="00DE6258" w:rsidRPr="00DE6258" w:rsidRDefault="00DE6258" w:rsidP="00DE6258">
      <w:pPr>
        <w:spacing w:before="120" w:after="120" w:line="240" w:lineRule="exact"/>
        <w:ind w:left="283" w:hanging="283"/>
        <w:jc w:val="both"/>
        <w:rPr>
          <w:rFonts w:ascii="FrankRuehl" w:hAnsi="FrankRuehl" w:cs="FrankRuehl"/>
          <w:color w:val="0000FF"/>
          <w:rtl/>
        </w:rPr>
      </w:pPr>
      <w:hyperlink r:id="rId9" w:history="1">
        <w:r w:rsidRPr="00DE6258">
          <w:rPr>
            <w:rStyle w:val="Hyperlink"/>
            <w:rFonts w:ascii="FrankRuehl" w:hAnsi="FrankRuehl" w:cs="FrankRuehl"/>
            <w:u w:val="none"/>
            <w:rtl/>
          </w:rPr>
          <w:t>פקודת התעבורה [נוסח חדש</w:t>
        </w:r>
        <w:r w:rsidRPr="00DE6258">
          <w:rPr>
            <w:rStyle w:val="Hyperlink"/>
            <w:rFonts w:ascii="FrankRuehl" w:hAnsi="FrankRuehl" w:cs="FrankRuehl"/>
            <w:u w:val="none"/>
          </w:rPr>
          <w:t>]</w:t>
        </w:r>
      </w:hyperlink>
      <w:r w:rsidRPr="00DE6258">
        <w:rPr>
          <w:rFonts w:ascii="FrankRuehl" w:hAnsi="FrankRuehl" w:cs="FrankRuehl"/>
          <w:color w:val="0000FF"/>
          <w:rtl/>
        </w:rPr>
        <w:t xml:space="preserve">: סע'  </w:t>
      </w:r>
      <w:hyperlink r:id="rId10" w:history="1">
        <w:r w:rsidRPr="00DE6258">
          <w:rPr>
            <w:rStyle w:val="Hyperlink"/>
            <w:rFonts w:ascii="FrankRuehl" w:hAnsi="FrankRuehl" w:cs="FrankRuehl"/>
            <w:u w:val="none"/>
          </w:rPr>
          <w:t>43</w:t>
        </w:r>
      </w:hyperlink>
    </w:p>
    <w:p w14:paraId="730F6B1D" w14:textId="77777777" w:rsidR="00E9062C" w:rsidRPr="00DE6258" w:rsidRDefault="00E9062C" w:rsidP="00DE6258">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9062C" w14:paraId="6CF6780F" w14:textId="77777777" w:rsidTr="00E9062C">
        <w:trPr>
          <w:trHeight w:val="355"/>
          <w:jc w:val="center"/>
        </w:trPr>
        <w:tc>
          <w:tcPr>
            <w:tcW w:w="8820" w:type="dxa"/>
            <w:tcBorders>
              <w:top w:val="nil"/>
              <w:left w:val="nil"/>
              <w:bottom w:val="nil"/>
              <w:right w:val="nil"/>
            </w:tcBorders>
            <w:shd w:val="clear" w:color="auto" w:fill="auto"/>
          </w:tcPr>
          <w:p w14:paraId="318D1D10" w14:textId="77777777" w:rsidR="00A900D2" w:rsidRPr="00A900D2" w:rsidRDefault="00A900D2" w:rsidP="00A900D2">
            <w:pPr>
              <w:jc w:val="center"/>
              <w:rPr>
                <w:rFonts w:ascii="David" w:hAnsi="David"/>
                <w:b/>
                <w:bCs/>
                <w:sz w:val="32"/>
                <w:szCs w:val="32"/>
                <w:u w:val="single"/>
                <w:rtl/>
              </w:rPr>
            </w:pPr>
            <w:bookmarkStart w:id="5" w:name="PsakDin" w:colFirst="0" w:colLast="0"/>
            <w:bookmarkEnd w:id="0"/>
            <w:r w:rsidRPr="00A900D2">
              <w:rPr>
                <w:rFonts w:ascii="David" w:hAnsi="David"/>
                <w:b/>
                <w:bCs/>
                <w:sz w:val="32"/>
                <w:szCs w:val="32"/>
                <w:u w:val="single"/>
                <w:rtl/>
              </w:rPr>
              <w:t>גזר דין</w:t>
            </w:r>
          </w:p>
          <w:p w14:paraId="0DA0CD73" w14:textId="77777777" w:rsidR="00E9062C" w:rsidRPr="00A900D2" w:rsidRDefault="00E9062C" w:rsidP="00A900D2">
            <w:pPr>
              <w:jc w:val="center"/>
              <w:rPr>
                <w:rFonts w:ascii="David" w:hAnsi="David"/>
                <w:bCs/>
                <w:sz w:val="32"/>
                <w:szCs w:val="32"/>
                <w:u w:val="single"/>
                <w:rtl/>
              </w:rPr>
            </w:pPr>
          </w:p>
        </w:tc>
      </w:tr>
      <w:bookmarkEnd w:id="5"/>
    </w:tbl>
    <w:p w14:paraId="4668DBFF" w14:textId="77777777" w:rsidR="00E9062C" w:rsidRPr="000F2247" w:rsidRDefault="00E9062C" w:rsidP="00E9062C">
      <w:pPr>
        <w:rPr>
          <w:rFonts w:ascii="Arial" w:hAnsi="Arial"/>
          <w:b/>
          <w:bCs/>
          <w:sz w:val="26"/>
          <w:szCs w:val="26"/>
          <w:rtl/>
        </w:rPr>
      </w:pPr>
    </w:p>
    <w:p w14:paraId="3FCCABEA" w14:textId="77777777" w:rsidR="00E9062C" w:rsidRPr="000F2247" w:rsidRDefault="00E9062C" w:rsidP="00E9062C">
      <w:pPr>
        <w:rPr>
          <w:rFonts w:ascii="Arial" w:hAnsi="Arial"/>
          <w:b/>
          <w:bCs/>
          <w:sz w:val="26"/>
          <w:szCs w:val="26"/>
          <w:rtl/>
        </w:rPr>
      </w:pPr>
    </w:p>
    <w:p w14:paraId="29EC0787" w14:textId="77777777" w:rsidR="00E9062C" w:rsidRDefault="00E9062C" w:rsidP="00E9062C">
      <w:pPr>
        <w:spacing w:line="360" w:lineRule="auto"/>
        <w:rPr>
          <w:rFonts w:ascii="David" w:hAnsi="David"/>
          <w:b/>
          <w:bCs/>
          <w:sz w:val="28"/>
          <w:szCs w:val="28"/>
          <w:u w:val="single"/>
          <w:rtl/>
        </w:rPr>
      </w:pPr>
      <w:bookmarkStart w:id="6" w:name="ABSTRACT_START"/>
      <w:bookmarkEnd w:id="6"/>
    </w:p>
    <w:p w14:paraId="5EE97F83" w14:textId="77777777" w:rsidR="00E9062C" w:rsidRDefault="00E9062C" w:rsidP="00E9062C">
      <w:pPr>
        <w:spacing w:line="360" w:lineRule="auto"/>
        <w:ind w:left="720" w:hanging="720"/>
        <w:jc w:val="both"/>
        <w:rPr>
          <w:rFonts w:ascii="David" w:hAnsi="David"/>
          <w:rtl/>
        </w:rPr>
      </w:pPr>
      <w:r>
        <w:rPr>
          <w:rFonts w:ascii="David" w:hAnsi="David"/>
          <w:rtl/>
        </w:rPr>
        <w:t>1.</w:t>
      </w:r>
      <w:r>
        <w:rPr>
          <w:rFonts w:ascii="David" w:hAnsi="David"/>
          <w:rtl/>
        </w:rPr>
        <w:tab/>
        <w:t>הנאשם הורשע,</w:t>
      </w:r>
      <w:r>
        <w:rPr>
          <w:rFonts w:ascii="David" w:hAnsi="David" w:hint="cs"/>
          <w:rtl/>
        </w:rPr>
        <w:t xml:space="preserve"> </w:t>
      </w:r>
      <w:r>
        <w:rPr>
          <w:rFonts w:ascii="David" w:hAnsi="David"/>
          <w:rtl/>
        </w:rPr>
        <w:t xml:space="preserve">על פי הודאתו בכתב אישום מתוקן, בעבירות בנשק (נשיאה והובלה ) – עבירה לפי סעיף </w:t>
      </w:r>
      <w:hyperlink r:id="rId11" w:history="1">
        <w:r w:rsidR="00DE6258" w:rsidRPr="00DE6258">
          <w:rPr>
            <w:rStyle w:val="Hyperlink"/>
            <w:rFonts w:ascii="David" w:hAnsi="David"/>
            <w:color w:val="0000FF"/>
            <w:rtl/>
          </w:rPr>
          <w:t>144 (ב)</w:t>
        </w:r>
      </w:hyperlink>
      <w:r>
        <w:rPr>
          <w:rFonts w:ascii="David" w:hAnsi="David"/>
          <w:rtl/>
        </w:rPr>
        <w:t xml:space="preserve"> רישא + סיפא ל</w:t>
      </w:r>
      <w:hyperlink r:id="rId12" w:history="1">
        <w:r w:rsidR="00A900D2" w:rsidRPr="00A900D2">
          <w:rPr>
            <w:rFonts w:ascii="David" w:hAnsi="David"/>
            <w:color w:val="0000FF"/>
            <w:u w:val="single"/>
            <w:rtl/>
          </w:rPr>
          <w:t>חוק העונשין</w:t>
        </w:r>
      </w:hyperlink>
      <w:r>
        <w:rPr>
          <w:rFonts w:ascii="David" w:hAnsi="David"/>
          <w:rtl/>
        </w:rPr>
        <w:t>, התשל"ז – 1977.</w:t>
      </w:r>
    </w:p>
    <w:p w14:paraId="3ECDAAA4" w14:textId="77777777" w:rsidR="00E9062C" w:rsidRDefault="00E9062C" w:rsidP="00E9062C">
      <w:pPr>
        <w:spacing w:line="360" w:lineRule="auto"/>
        <w:ind w:left="720" w:hanging="720"/>
        <w:jc w:val="both"/>
        <w:rPr>
          <w:rFonts w:ascii="David" w:hAnsi="David"/>
          <w:rtl/>
        </w:rPr>
      </w:pPr>
      <w:bookmarkStart w:id="7" w:name="ABSTRACT_END"/>
      <w:bookmarkEnd w:id="7"/>
    </w:p>
    <w:p w14:paraId="73183E8D" w14:textId="77777777" w:rsidR="00E9062C" w:rsidRDefault="00E9062C" w:rsidP="00E9062C">
      <w:pPr>
        <w:spacing w:line="360" w:lineRule="auto"/>
        <w:ind w:left="720" w:hanging="720"/>
        <w:jc w:val="both"/>
        <w:rPr>
          <w:rFonts w:ascii="David" w:hAnsi="David"/>
          <w:b/>
          <w:bCs/>
          <w:rtl/>
        </w:rPr>
      </w:pPr>
      <w:r>
        <w:rPr>
          <w:rFonts w:ascii="David" w:hAnsi="David"/>
          <w:b/>
          <w:bCs/>
          <w:rtl/>
        </w:rPr>
        <w:t>כתב האישום והסדר הטיעון:</w:t>
      </w:r>
    </w:p>
    <w:p w14:paraId="0424936C" w14:textId="77777777" w:rsidR="00E9062C" w:rsidRDefault="00E9062C" w:rsidP="00E9062C">
      <w:pPr>
        <w:spacing w:line="360" w:lineRule="auto"/>
        <w:ind w:left="720" w:hanging="720"/>
        <w:jc w:val="both"/>
        <w:rPr>
          <w:rFonts w:ascii="David" w:hAnsi="David"/>
          <w:rtl/>
        </w:rPr>
      </w:pPr>
      <w:r>
        <w:rPr>
          <w:rFonts w:ascii="David" w:hAnsi="David"/>
          <w:rtl/>
        </w:rPr>
        <w:t>2.</w:t>
      </w:r>
      <w:r>
        <w:rPr>
          <w:rFonts w:ascii="David" w:hAnsi="David"/>
          <w:rtl/>
        </w:rPr>
        <w:tab/>
        <w:t xml:space="preserve">על פי כתב האישום המתוקן, בתאריך 15.06.22, בשעה 21:00 לערך, </w:t>
      </w:r>
      <w:r>
        <w:rPr>
          <w:rFonts w:ascii="David" w:hAnsi="David" w:hint="cs"/>
          <w:rtl/>
        </w:rPr>
        <w:t>ב</w:t>
      </w:r>
      <w:r>
        <w:rPr>
          <w:rFonts w:ascii="David" w:hAnsi="David"/>
          <w:rtl/>
        </w:rPr>
        <w:t xml:space="preserve">מועד שאינו ידוע במדויק למאשימה, הנאשם, בלא רשות על פי דין, נשא והוביל נשק – רובה סער מסוג </w:t>
      </w:r>
      <w:r>
        <w:rPr>
          <w:rFonts w:ascii="David" w:hAnsi="David"/>
        </w:rPr>
        <w:t>M-16</w:t>
      </w:r>
      <w:r>
        <w:rPr>
          <w:rFonts w:ascii="David" w:hAnsi="David"/>
          <w:rtl/>
        </w:rPr>
        <w:t xml:space="preserve"> יחד עם מחסנית תואמת בתוכו, השייך לצה"ל (להלן:</w:t>
      </w:r>
      <w:r>
        <w:rPr>
          <w:rFonts w:ascii="David" w:hAnsi="David"/>
          <w:b/>
          <w:bCs/>
          <w:rtl/>
        </w:rPr>
        <w:t xml:space="preserve"> "הנשק"</w:t>
      </w:r>
      <w:r>
        <w:rPr>
          <w:rFonts w:ascii="David" w:hAnsi="David"/>
          <w:rtl/>
        </w:rPr>
        <w:t xml:space="preserve">), ברכב מסוג סקודה אוקטבה  (להלן: </w:t>
      </w:r>
      <w:r>
        <w:rPr>
          <w:rFonts w:ascii="David" w:hAnsi="David"/>
          <w:b/>
          <w:bCs/>
          <w:rtl/>
        </w:rPr>
        <w:t>"הרכב"</w:t>
      </w:r>
      <w:r>
        <w:rPr>
          <w:rFonts w:ascii="David" w:hAnsi="David"/>
          <w:rtl/>
        </w:rPr>
        <w:t>).</w:t>
      </w:r>
    </w:p>
    <w:p w14:paraId="0A3854CE" w14:textId="77777777" w:rsidR="00E9062C" w:rsidRDefault="00E9062C" w:rsidP="00E9062C">
      <w:pPr>
        <w:spacing w:line="360" w:lineRule="auto"/>
        <w:ind w:left="720" w:hanging="720"/>
        <w:jc w:val="both"/>
        <w:rPr>
          <w:rFonts w:ascii="David" w:hAnsi="David"/>
          <w:rtl/>
        </w:rPr>
      </w:pPr>
      <w:r>
        <w:rPr>
          <w:rFonts w:ascii="David" w:hAnsi="David"/>
          <w:rtl/>
        </w:rPr>
        <w:tab/>
        <w:t xml:space="preserve">עת הוביל הנאשם את הנשק ברכב בפזורת כסייפה, נחסם הנאשם על ידי ניידת משטרה. בשלב זה, החל הנאשם בבריחה עם רכבו. </w:t>
      </w:r>
    </w:p>
    <w:p w14:paraId="2E1A09A6" w14:textId="77777777" w:rsidR="00E9062C" w:rsidRDefault="00E9062C" w:rsidP="00E9062C">
      <w:pPr>
        <w:spacing w:line="360" w:lineRule="auto"/>
        <w:ind w:left="720" w:hanging="720"/>
        <w:jc w:val="both"/>
        <w:rPr>
          <w:rFonts w:ascii="David" w:hAnsi="David"/>
          <w:rtl/>
        </w:rPr>
      </w:pPr>
      <w:r>
        <w:rPr>
          <w:rFonts w:ascii="David" w:hAnsi="David"/>
          <w:rtl/>
        </w:rPr>
        <w:tab/>
        <w:t xml:space="preserve">בהמשך הנסיעה, ירד הנאשם עם רכבו לעבר עפר, עצר את הרכב, הוציא את הנשק וזרק אותו מחוץ לרכב. </w:t>
      </w:r>
    </w:p>
    <w:p w14:paraId="37F10297" w14:textId="77777777" w:rsidR="00E9062C" w:rsidRDefault="00E9062C" w:rsidP="00E9062C">
      <w:pPr>
        <w:spacing w:line="360" w:lineRule="auto"/>
        <w:ind w:left="720"/>
        <w:jc w:val="both"/>
        <w:rPr>
          <w:rFonts w:ascii="David" w:hAnsi="David"/>
          <w:rtl/>
        </w:rPr>
      </w:pPr>
      <w:r>
        <w:rPr>
          <w:rFonts w:ascii="David" w:hAnsi="David"/>
          <w:rtl/>
        </w:rPr>
        <w:lastRenderedPageBreak/>
        <w:t xml:space="preserve">מיד לאחר מכן, נכנס הנאשם חזרה לתוך הרכב וניסה להמשיך בבריחתו, אך ללא הצלחה. או אז יצא הנאשם מהרכב והחל במנוסה רגלית עד שנעצר על ידי השוטרים במקום אשר גם תפסו את הנשק. </w:t>
      </w:r>
    </w:p>
    <w:p w14:paraId="33FD3A2A" w14:textId="77777777" w:rsidR="00E9062C" w:rsidRDefault="00E9062C" w:rsidP="00E9062C">
      <w:pPr>
        <w:spacing w:line="360" w:lineRule="auto"/>
        <w:rPr>
          <w:rFonts w:ascii="David" w:hAnsi="David"/>
          <w:rtl/>
        </w:rPr>
      </w:pPr>
    </w:p>
    <w:p w14:paraId="14AD38E6" w14:textId="77777777" w:rsidR="00E9062C" w:rsidRDefault="00E9062C" w:rsidP="00E9062C">
      <w:pPr>
        <w:spacing w:line="360" w:lineRule="auto"/>
        <w:ind w:left="720" w:hanging="720"/>
        <w:jc w:val="both"/>
        <w:rPr>
          <w:rFonts w:ascii="David" w:hAnsi="David"/>
          <w:rtl/>
        </w:rPr>
      </w:pPr>
      <w:r>
        <w:rPr>
          <w:rFonts w:ascii="David" w:hAnsi="David"/>
          <w:rtl/>
        </w:rPr>
        <w:t>3.</w:t>
      </w:r>
      <w:r>
        <w:rPr>
          <w:rFonts w:ascii="David" w:hAnsi="David"/>
          <w:rtl/>
        </w:rPr>
        <w:tab/>
        <w:t>הנאשם הודה בכתב האישום המתוקן במסגרת הסדר טיעון אשר לא כלל הסכמה לעונש, ולבקשת ההגנה התבקש שירות המבחן להגיש תסקיר לעונש טרם גזירת עונשו .</w:t>
      </w:r>
    </w:p>
    <w:p w14:paraId="546C88A6" w14:textId="77777777" w:rsidR="00E9062C" w:rsidRDefault="00E9062C" w:rsidP="00E9062C">
      <w:pPr>
        <w:spacing w:line="360" w:lineRule="auto"/>
        <w:jc w:val="both"/>
        <w:rPr>
          <w:rFonts w:ascii="David" w:hAnsi="David"/>
          <w:rtl/>
        </w:rPr>
      </w:pPr>
    </w:p>
    <w:p w14:paraId="62C331E0" w14:textId="77777777" w:rsidR="00E9062C" w:rsidRDefault="00E9062C" w:rsidP="00E9062C">
      <w:pPr>
        <w:spacing w:line="360" w:lineRule="auto"/>
        <w:ind w:left="720" w:hanging="720"/>
        <w:jc w:val="both"/>
        <w:rPr>
          <w:rFonts w:ascii="David" w:hAnsi="David"/>
          <w:rtl/>
        </w:rPr>
      </w:pPr>
      <w:r>
        <w:rPr>
          <w:rFonts w:ascii="David" w:hAnsi="David"/>
          <w:rtl/>
        </w:rPr>
        <w:t>4.</w:t>
      </w:r>
      <w:r>
        <w:rPr>
          <w:rFonts w:ascii="David" w:hAnsi="David"/>
          <w:rtl/>
        </w:rPr>
        <w:tab/>
        <w:t xml:space="preserve">שירות המבחן בתסקירו מיום 12.11.23 פירט את הרקע האישי והמשפחתי של הנאשם, העריך את הסיכון לעבריינות חוזרת והסיכוי לשיקום, והמליץ בסופו של דבר על ענישה מוחשית בדמות מאסר. </w:t>
      </w:r>
    </w:p>
    <w:p w14:paraId="755D5BF4" w14:textId="77777777" w:rsidR="00E9062C" w:rsidRDefault="00E9062C" w:rsidP="00E9062C">
      <w:pPr>
        <w:spacing w:line="360" w:lineRule="auto"/>
        <w:jc w:val="both"/>
        <w:rPr>
          <w:rFonts w:ascii="David" w:hAnsi="David"/>
          <w:rtl/>
        </w:rPr>
      </w:pPr>
    </w:p>
    <w:p w14:paraId="199D89F7" w14:textId="77777777" w:rsidR="00E9062C" w:rsidRDefault="00E9062C" w:rsidP="00E9062C">
      <w:pPr>
        <w:spacing w:line="360" w:lineRule="auto"/>
        <w:ind w:left="720" w:hanging="720"/>
        <w:jc w:val="both"/>
        <w:rPr>
          <w:rFonts w:ascii="David" w:hAnsi="David"/>
          <w:rtl/>
        </w:rPr>
      </w:pPr>
      <w:r>
        <w:rPr>
          <w:rFonts w:ascii="David" w:hAnsi="David"/>
          <w:rtl/>
        </w:rPr>
        <w:t>5.</w:t>
      </w:r>
      <w:r>
        <w:rPr>
          <w:rFonts w:ascii="David" w:hAnsi="David"/>
          <w:rtl/>
        </w:rPr>
        <w:tab/>
        <w:t>בדיון שהתקיים ביום 21.01.24 ובהמשך להסדר הטיעון ולתסקיר שירות המבחן, הודיעו באי כוח הצדדים כי הגיעו להסכמה עונשית, במסגרתה עותרים כי בית המשפט יגזור על הנאשם את העונשים הבאים:</w:t>
      </w:r>
    </w:p>
    <w:p w14:paraId="4BC298FA" w14:textId="77777777" w:rsidR="00E9062C" w:rsidRDefault="00E9062C" w:rsidP="00E9062C">
      <w:pPr>
        <w:spacing w:line="360" w:lineRule="auto"/>
        <w:ind w:left="720" w:hanging="720"/>
        <w:jc w:val="both"/>
        <w:rPr>
          <w:rFonts w:ascii="David" w:hAnsi="David"/>
          <w:rtl/>
        </w:rPr>
      </w:pPr>
      <w:r>
        <w:rPr>
          <w:rFonts w:ascii="David" w:hAnsi="David"/>
          <w:rtl/>
        </w:rPr>
        <w:tab/>
        <w:t>א.</w:t>
      </w:r>
      <w:r>
        <w:rPr>
          <w:rFonts w:ascii="David" w:hAnsi="David"/>
          <w:rtl/>
        </w:rPr>
        <w:tab/>
        <w:t xml:space="preserve">35 חודשי מאסר בפועל בניכוי ימי מעצרו. </w:t>
      </w:r>
    </w:p>
    <w:p w14:paraId="03739D45" w14:textId="77777777" w:rsidR="00E9062C" w:rsidRDefault="00E9062C" w:rsidP="00E9062C">
      <w:pPr>
        <w:spacing w:line="360" w:lineRule="auto"/>
        <w:ind w:left="720"/>
        <w:jc w:val="both"/>
        <w:rPr>
          <w:rFonts w:ascii="David" w:hAnsi="David"/>
          <w:rtl/>
        </w:rPr>
      </w:pPr>
      <w:r>
        <w:rPr>
          <w:rFonts w:ascii="David" w:hAnsi="David"/>
          <w:rtl/>
        </w:rPr>
        <w:t>ב.</w:t>
      </w:r>
      <w:r>
        <w:rPr>
          <w:rFonts w:ascii="David" w:hAnsi="David"/>
          <w:rtl/>
        </w:rPr>
        <w:tab/>
        <w:t xml:space="preserve">מאסר על תנאי לשיקול דעת בית המשפט. </w:t>
      </w:r>
    </w:p>
    <w:p w14:paraId="05650981" w14:textId="77777777" w:rsidR="00E9062C" w:rsidRDefault="00E9062C" w:rsidP="00E9062C">
      <w:pPr>
        <w:spacing w:line="360" w:lineRule="auto"/>
        <w:ind w:left="720"/>
        <w:jc w:val="both"/>
        <w:rPr>
          <w:rFonts w:ascii="David" w:hAnsi="David"/>
          <w:rtl/>
        </w:rPr>
      </w:pPr>
      <w:r>
        <w:rPr>
          <w:rFonts w:ascii="David" w:hAnsi="David"/>
          <w:rtl/>
        </w:rPr>
        <w:t>ג.</w:t>
      </w:r>
      <w:r>
        <w:rPr>
          <w:rFonts w:ascii="David" w:hAnsi="David"/>
          <w:rtl/>
        </w:rPr>
        <w:tab/>
        <w:t xml:space="preserve">קנס כספי בסך 15,000 ₪. </w:t>
      </w:r>
    </w:p>
    <w:p w14:paraId="102A5E80" w14:textId="77777777" w:rsidR="00E9062C" w:rsidRDefault="00E9062C" w:rsidP="00E9062C">
      <w:pPr>
        <w:spacing w:line="360" w:lineRule="auto"/>
        <w:ind w:left="720"/>
        <w:jc w:val="both"/>
        <w:rPr>
          <w:rFonts w:ascii="David" w:hAnsi="David"/>
          <w:rtl/>
        </w:rPr>
      </w:pPr>
      <w:r>
        <w:rPr>
          <w:rFonts w:ascii="David" w:hAnsi="David"/>
          <w:rtl/>
        </w:rPr>
        <w:t>ד.</w:t>
      </w:r>
      <w:r>
        <w:rPr>
          <w:rFonts w:ascii="David" w:hAnsi="David"/>
          <w:rtl/>
        </w:rPr>
        <w:tab/>
        <w:t xml:space="preserve">פסילה על תנאי לשיקול דעת בית המשפט. </w:t>
      </w:r>
    </w:p>
    <w:p w14:paraId="447816A9" w14:textId="77777777" w:rsidR="00E9062C" w:rsidRDefault="00E9062C" w:rsidP="00E9062C">
      <w:pPr>
        <w:spacing w:line="360" w:lineRule="auto"/>
        <w:ind w:left="720" w:hanging="720"/>
        <w:rPr>
          <w:rFonts w:ascii="David" w:hAnsi="David"/>
          <w:rtl/>
        </w:rPr>
      </w:pPr>
    </w:p>
    <w:p w14:paraId="4E0A3A25" w14:textId="77777777" w:rsidR="00E9062C" w:rsidRDefault="00E9062C" w:rsidP="00E9062C">
      <w:pPr>
        <w:spacing w:line="360" w:lineRule="auto"/>
        <w:ind w:left="720" w:hanging="720"/>
        <w:rPr>
          <w:rFonts w:ascii="David" w:hAnsi="David"/>
          <w:b/>
          <w:bCs/>
          <w:rtl/>
        </w:rPr>
      </w:pPr>
      <w:r>
        <w:rPr>
          <w:rFonts w:ascii="David" w:hAnsi="David"/>
          <w:b/>
          <w:bCs/>
          <w:rtl/>
        </w:rPr>
        <w:t>טיעוני הצדדים:</w:t>
      </w:r>
    </w:p>
    <w:p w14:paraId="796574BB" w14:textId="77777777" w:rsidR="00E9062C" w:rsidRDefault="00E9062C" w:rsidP="00E9062C">
      <w:pPr>
        <w:spacing w:line="360" w:lineRule="auto"/>
        <w:ind w:left="720" w:hanging="720"/>
        <w:rPr>
          <w:rFonts w:ascii="David" w:hAnsi="David"/>
          <w:rtl/>
        </w:rPr>
      </w:pPr>
      <w:r>
        <w:rPr>
          <w:rFonts w:ascii="David" w:hAnsi="David"/>
          <w:rtl/>
        </w:rPr>
        <w:t>6.</w:t>
      </w:r>
      <w:r>
        <w:rPr>
          <w:rFonts w:ascii="David" w:hAnsi="David"/>
          <w:rtl/>
        </w:rPr>
        <w:tab/>
      </w:r>
      <w:r>
        <w:rPr>
          <w:rFonts w:ascii="David" w:hAnsi="David"/>
          <w:b/>
          <w:bCs/>
          <w:rtl/>
        </w:rPr>
        <w:t>ב"כ המאשימה</w:t>
      </w:r>
      <w:r>
        <w:rPr>
          <w:rFonts w:ascii="David" w:hAnsi="David"/>
          <w:rtl/>
        </w:rPr>
        <w:t xml:space="preserve"> ביקשה לכבד את ההסכמה העונשית שהתגבשה בין הצדדים לאחר מו"מ והליך גישור, והוסיפה כי ההסכמה הנה ראויה ואינה חורגת ממדיניות הענישה הנוהגת. </w:t>
      </w:r>
    </w:p>
    <w:p w14:paraId="443C1B3A" w14:textId="77777777" w:rsidR="00E9062C" w:rsidRDefault="00E9062C" w:rsidP="00E9062C">
      <w:pPr>
        <w:spacing w:line="360" w:lineRule="auto"/>
        <w:ind w:left="720" w:hanging="720"/>
        <w:rPr>
          <w:rFonts w:ascii="David" w:hAnsi="David"/>
          <w:b/>
          <w:bCs/>
          <w:rtl/>
        </w:rPr>
      </w:pPr>
    </w:p>
    <w:p w14:paraId="50ED4C1F" w14:textId="77777777" w:rsidR="00E9062C" w:rsidRDefault="00E9062C" w:rsidP="00E9062C">
      <w:pPr>
        <w:spacing w:line="360" w:lineRule="auto"/>
        <w:ind w:left="720" w:hanging="720"/>
        <w:rPr>
          <w:rFonts w:ascii="David" w:hAnsi="David"/>
          <w:rtl/>
        </w:rPr>
      </w:pPr>
      <w:r>
        <w:rPr>
          <w:rFonts w:ascii="David" w:hAnsi="David"/>
          <w:rtl/>
        </w:rPr>
        <w:t>7.</w:t>
      </w:r>
      <w:r>
        <w:rPr>
          <w:rFonts w:ascii="David" w:hAnsi="David"/>
          <w:rtl/>
        </w:rPr>
        <w:tab/>
      </w:r>
      <w:r>
        <w:rPr>
          <w:rFonts w:ascii="David" w:hAnsi="David"/>
          <w:b/>
          <w:bCs/>
          <w:rtl/>
        </w:rPr>
        <w:t>ב"כ הנאשם</w:t>
      </w:r>
      <w:r>
        <w:rPr>
          <w:rFonts w:ascii="David" w:hAnsi="David"/>
          <w:rtl/>
        </w:rPr>
        <w:t xml:space="preserve"> הצטרף לבקשת המאשימה לכבד את ההסכמה העונשית , והוסיף כי הנאשם הנו בחור צעיר, בן 25 שנים, ואב לשני ילדים שזו לו המעורבות היחידה בפלילים. הנאשם הודה, הביע חרטה אמ</w:t>
      </w:r>
      <w:r>
        <w:rPr>
          <w:rFonts w:ascii="David" w:hAnsi="David" w:hint="cs"/>
          <w:rtl/>
        </w:rPr>
        <w:t>י</w:t>
      </w:r>
      <w:r>
        <w:rPr>
          <w:rFonts w:ascii="David" w:hAnsi="David"/>
          <w:rtl/>
        </w:rPr>
        <w:t xml:space="preserve">תית וחסך בזמנו היקר של בית המשפט. </w:t>
      </w:r>
    </w:p>
    <w:p w14:paraId="3A8E291D" w14:textId="77777777" w:rsidR="00E9062C" w:rsidRDefault="00E9062C" w:rsidP="00E9062C">
      <w:pPr>
        <w:spacing w:line="360" w:lineRule="auto"/>
        <w:ind w:left="720" w:hanging="720"/>
        <w:rPr>
          <w:rFonts w:ascii="David" w:hAnsi="David"/>
          <w:rtl/>
        </w:rPr>
      </w:pPr>
    </w:p>
    <w:p w14:paraId="7ACC0DEE" w14:textId="77777777" w:rsidR="00E9062C" w:rsidRDefault="00E9062C" w:rsidP="00E9062C">
      <w:pPr>
        <w:spacing w:line="360" w:lineRule="auto"/>
        <w:ind w:left="720" w:hanging="720"/>
        <w:rPr>
          <w:rFonts w:ascii="David" w:hAnsi="David"/>
          <w:rtl/>
        </w:rPr>
      </w:pPr>
      <w:r>
        <w:rPr>
          <w:rFonts w:ascii="David" w:hAnsi="David"/>
          <w:rtl/>
        </w:rPr>
        <w:t>8.</w:t>
      </w:r>
      <w:r>
        <w:rPr>
          <w:rFonts w:ascii="David" w:hAnsi="David"/>
          <w:rtl/>
        </w:rPr>
        <w:tab/>
        <w:t>הנאשם אמר שהוא מצטער וכי בייש את הוריו במעשיו.</w:t>
      </w:r>
    </w:p>
    <w:p w14:paraId="013F5FD9" w14:textId="77777777" w:rsidR="00E9062C" w:rsidRDefault="00E9062C" w:rsidP="00E9062C">
      <w:pPr>
        <w:spacing w:line="360" w:lineRule="auto"/>
        <w:ind w:left="720" w:hanging="720"/>
        <w:rPr>
          <w:rFonts w:ascii="David" w:hAnsi="David"/>
          <w:rtl/>
        </w:rPr>
      </w:pPr>
    </w:p>
    <w:p w14:paraId="774CA906" w14:textId="77777777" w:rsidR="00E9062C" w:rsidRDefault="00E9062C" w:rsidP="00E9062C">
      <w:pPr>
        <w:spacing w:line="360" w:lineRule="auto"/>
        <w:ind w:left="720" w:hanging="720"/>
        <w:rPr>
          <w:rFonts w:ascii="David" w:hAnsi="David"/>
          <w:b/>
          <w:bCs/>
          <w:rtl/>
        </w:rPr>
      </w:pPr>
      <w:r>
        <w:rPr>
          <w:rFonts w:ascii="David" w:hAnsi="David"/>
          <w:b/>
          <w:bCs/>
          <w:rtl/>
        </w:rPr>
        <w:t>דיון והכרעה:</w:t>
      </w:r>
    </w:p>
    <w:p w14:paraId="52FD36ED" w14:textId="77777777" w:rsidR="00E9062C" w:rsidRDefault="00E9062C" w:rsidP="00E9062C">
      <w:pPr>
        <w:spacing w:line="360" w:lineRule="auto"/>
        <w:ind w:left="720" w:hanging="720"/>
        <w:jc w:val="both"/>
        <w:rPr>
          <w:rFonts w:ascii="David" w:hAnsi="David"/>
          <w:rtl/>
        </w:rPr>
      </w:pPr>
    </w:p>
    <w:p w14:paraId="57310F1E" w14:textId="77777777" w:rsidR="00E9062C" w:rsidRDefault="00E9062C" w:rsidP="00E9062C">
      <w:pPr>
        <w:spacing w:line="360" w:lineRule="auto"/>
        <w:ind w:left="720" w:hanging="720"/>
        <w:jc w:val="both"/>
        <w:rPr>
          <w:rFonts w:ascii="David" w:hAnsi="David"/>
          <w:rtl/>
        </w:rPr>
      </w:pPr>
      <w:r>
        <w:rPr>
          <w:rFonts w:ascii="David" w:hAnsi="David"/>
          <w:rtl/>
        </w:rPr>
        <w:t>9.</w:t>
      </w:r>
      <w:r>
        <w:rPr>
          <w:rFonts w:ascii="David" w:hAnsi="David"/>
          <w:rtl/>
        </w:rPr>
        <w:tab/>
        <w:t xml:space="preserve">הנאשם יליד 1998, נעדר עבר פלילי והורשע על פי הודאתו בעבירות בנשק (נשיאה והובלה) לאחר שנשא והוביל נשק מסוג </w:t>
      </w:r>
      <w:r>
        <w:rPr>
          <w:rFonts w:ascii="David" w:hAnsi="David"/>
        </w:rPr>
        <w:t>M-16</w:t>
      </w:r>
      <w:r>
        <w:rPr>
          <w:rFonts w:ascii="David" w:hAnsi="David"/>
          <w:rtl/>
        </w:rPr>
        <w:t xml:space="preserve"> ומחסנית תוך שהוא מסתייע ברכבו. </w:t>
      </w:r>
    </w:p>
    <w:p w14:paraId="101DD6C1" w14:textId="77777777" w:rsidR="00E9062C" w:rsidRDefault="00E9062C" w:rsidP="00E9062C">
      <w:pPr>
        <w:spacing w:line="360" w:lineRule="auto"/>
        <w:ind w:left="720" w:hanging="720"/>
        <w:jc w:val="both"/>
        <w:rPr>
          <w:rFonts w:ascii="David" w:hAnsi="David"/>
          <w:rtl/>
        </w:rPr>
      </w:pPr>
    </w:p>
    <w:p w14:paraId="63C47052" w14:textId="77777777" w:rsidR="00E9062C" w:rsidRDefault="00E9062C" w:rsidP="00E9062C">
      <w:pPr>
        <w:spacing w:line="360" w:lineRule="auto"/>
        <w:ind w:left="720" w:hanging="720"/>
        <w:jc w:val="both"/>
        <w:rPr>
          <w:rFonts w:ascii="David" w:hAnsi="David"/>
          <w:rtl/>
        </w:rPr>
      </w:pPr>
      <w:r>
        <w:rPr>
          <w:rFonts w:ascii="David" w:hAnsi="David"/>
          <w:rtl/>
        </w:rPr>
        <w:lastRenderedPageBreak/>
        <w:t>10.</w:t>
      </w:r>
      <w:r>
        <w:rPr>
          <w:rFonts w:ascii="David" w:hAnsi="David"/>
          <w:rtl/>
        </w:rPr>
        <w:tab/>
        <w:t>עבירות הנשק הופכות את הציבור כולו לקורבן פוטנציאלי, ועל בית המשפט להחמיר בענישה ולתרום את חלקו במיגור התופעה הקשה שהפכה למכת מדינה.</w:t>
      </w:r>
    </w:p>
    <w:p w14:paraId="0215DB33" w14:textId="77777777" w:rsidR="00E9062C" w:rsidRDefault="00E9062C" w:rsidP="00E9062C">
      <w:pPr>
        <w:spacing w:line="360" w:lineRule="auto"/>
        <w:ind w:left="720" w:hanging="720"/>
        <w:jc w:val="both"/>
        <w:rPr>
          <w:rFonts w:ascii="David" w:hAnsi="David"/>
          <w:rtl/>
        </w:rPr>
      </w:pPr>
      <w:r>
        <w:rPr>
          <w:rFonts w:ascii="David" w:hAnsi="David"/>
          <w:rtl/>
        </w:rPr>
        <w:tab/>
        <w:t xml:space="preserve">לעניין מגמת ההחמרה בפסיקה ראה </w:t>
      </w:r>
      <w:hyperlink r:id="rId13" w:history="1">
        <w:r w:rsidR="00A900D2" w:rsidRPr="00A900D2">
          <w:rPr>
            <w:rFonts w:ascii="David" w:hAnsi="David"/>
            <w:b/>
            <w:bCs/>
            <w:color w:val="0000FF"/>
            <w:u w:val="single"/>
            <w:rtl/>
          </w:rPr>
          <w:t>ע"פ 2564/19</w:t>
        </w:r>
      </w:hyperlink>
      <w:r>
        <w:rPr>
          <w:rFonts w:ascii="David" w:hAnsi="David"/>
          <w:b/>
          <w:bCs/>
          <w:rtl/>
        </w:rPr>
        <w:t xml:space="preserve"> אזברגה נ' מדינת ישראל</w:t>
      </w:r>
      <w:r>
        <w:rPr>
          <w:rFonts w:ascii="David" w:hAnsi="David"/>
          <w:rtl/>
        </w:rPr>
        <w:t xml:space="preserve"> (18.7.2019): </w:t>
      </w:r>
    </w:p>
    <w:p w14:paraId="1B86EC1A" w14:textId="77777777" w:rsidR="00E9062C" w:rsidRDefault="00E9062C" w:rsidP="00E9062C">
      <w:pPr>
        <w:spacing w:line="360" w:lineRule="auto"/>
        <w:ind w:left="1785" w:hanging="720"/>
        <w:jc w:val="both"/>
        <w:rPr>
          <w:rFonts w:ascii="David" w:hAnsi="David"/>
          <w:rtl/>
        </w:rPr>
      </w:pPr>
    </w:p>
    <w:p w14:paraId="221C5A3F" w14:textId="77777777" w:rsidR="00E9062C" w:rsidRDefault="00E9062C" w:rsidP="00E9062C">
      <w:pPr>
        <w:spacing w:line="360" w:lineRule="auto"/>
        <w:ind w:left="1785" w:right="1134" w:hanging="720"/>
        <w:jc w:val="both"/>
        <w:rPr>
          <w:rFonts w:ascii="David" w:hAnsi="David"/>
          <w:b/>
          <w:bCs/>
          <w:rtl/>
        </w:rPr>
      </w:pPr>
      <w:r>
        <w:rPr>
          <w:rFonts w:ascii="David" w:hAnsi="David"/>
          <w:rtl/>
        </w:rPr>
        <w:tab/>
      </w:r>
      <w:r>
        <w:rPr>
          <w:rFonts w:ascii="David" w:hAnsi="David"/>
          <w:b/>
          <w:bCs/>
          <w:rtl/>
        </w:rPr>
        <w:t>"בית משפט זה עמד בשורה ארוכה של פסקי דין על חומרתן הרבה של עבירות הנשק... הדבר חמור שבעתיים במציאות הישראלית שבה נשק בלתי חוקי עשוי לשמש הן לפעילות חבלנית עויינת על רקע ביטחוני, הן לפעילות עבריינות... לפיכך קיימת בפסיקה מגמת החמרה ברמת הענישה של המעורבים בעבירות נשק תוך מתן ביטוי עונשי הולם לסכנה הנשקפת מהם, וזאת במטרה להרתיע את היחיד והרבים גם יחד מפני ביצוען..."</w:t>
      </w:r>
    </w:p>
    <w:p w14:paraId="34BEE13A" w14:textId="77777777" w:rsidR="00E9062C" w:rsidRDefault="00E9062C" w:rsidP="00E9062C">
      <w:pPr>
        <w:spacing w:line="360" w:lineRule="auto"/>
        <w:ind w:left="720" w:right="1134" w:hanging="720"/>
        <w:jc w:val="both"/>
        <w:rPr>
          <w:rFonts w:ascii="David" w:hAnsi="David"/>
          <w:rtl/>
        </w:rPr>
      </w:pPr>
      <w:r>
        <w:rPr>
          <w:rFonts w:ascii="David" w:hAnsi="David"/>
          <w:rtl/>
        </w:rPr>
        <w:tab/>
      </w:r>
    </w:p>
    <w:p w14:paraId="19D34CB5" w14:textId="77777777" w:rsidR="00E9062C" w:rsidRDefault="00E9062C" w:rsidP="00E9062C">
      <w:pPr>
        <w:spacing w:line="360" w:lineRule="auto"/>
        <w:ind w:left="720" w:hanging="720"/>
        <w:jc w:val="both"/>
        <w:rPr>
          <w:rFonts w:ascii="David" w:hAnsi="David"/>
          <w:rtl/>
        </w:rPr>
      </w:pPr>
      <w:r>
        <w:rPr>
          <w:rFonts w:ascii="David" w:hAnsi="David" w:hint="cs"/>
          <w:rtl/>
        </w:rPr>
        <w:t>11</w:t>
      </w:r>
      <w:r>
        <w:rPr>
          <w:rFonts w:ascii="David" w:hAnsi="David"/>
          <w:rtl/>
        </w:rPr>
        <w:t>.</w:t>
      </w:r>
      <w:r>
        <w:rPr>
          <w:rFonts w:ascii="David" w:hAnsi="David"/>
          <w:rtl/>
        </w:rPr>
        <w:tab/>
        <w:t xml:space="preserve">הנאשם פגע באופן משמעותי בערכים המוגנים של שמירה על החיים, שלמות הגוף וביטחון הציבור ושלוותו. נסיבות ביצוע העבירה בענייננו חמורות וזאת בשים לב לסוג הנשק (נשק ארוך) ולפוטנציאל הסכנה הטמון בו. ייחסתי חומרה יתרה לעובדה כי עסקינן בנשק צה"לי, שכן הוצאת נשק מרשות צה"ל יכול ותפגע בכשירותו בשגרה ובחירום. חומרה נוספת נלמדת מהעובדה כי הנאשם ניסה לברוח לאחר שרכבו נחסם על ידי המשטרה. </w:t>
      </w:r>
    </w:p>
    <w:p w14:paraId="5A327F0A" w14:textId="77777777" w:rsidR="00E9062C" w:rsidRDefault="00E9062C" w:rsidP="00E9062C">
      <w:pPr>
        <w:spacing w:line="360" w:lineRule="auto"/>
        <w:ind w:left="720" w:hanging="720"/>
        <w:jc w:val="both"/>
        <w:rPr>
          <w:rFonts w:ascii="David" w:hAnsi="David"/>
          <w:rtl/>
        </w:rPr>
      </w:pPr>
    </w:p>
    <w:p w14:paraId="5E4080D1" w14:textId="77777777" w:rsidR="00E9062C" w:rsidRDefault="00E9062C" w:rsidP="00E9062C">
      <w:pPr>
        <w:spacing w:line="360" w:lineRule="auto"/>
        <w:ind w:left="720" w:hanging="720"/>
        <w:jc w:val="both"/>
        <w:rPr>
          <w:rFonts w:ascii="David" w:hAnsi="David"/>
          <w:rtl/>
        </w:rPr>
      </w:pPr>
      <w:r>
        <w:rPr>
          <w:rFonts w:ascii="David" w:hAnsi="David" w:hint="cs"/>
          <w:rtl/>
        </w:rPr>
        <w:t>12</w:t>
      </w:r>
      <w:r>
        <w:rPr>
          <w:rFonts w:ascii="David" w:hAnsi="David"/>
          <w:rtl/>
        </w:rPr>
        <w:t>.</w:t>
      </w:r>
      <w:r>
        <w:rPr>
          <w:rFonts w:ascii="David" w:hAnsi="David"/>
          <w:rtl/>
        </w:rPr>
        <w:tab/>
        <w:t xml:space="preserve">לקולת עונשו של הנאשם התחשבתי בהודאתו, בעברו הנקי, בחיסכון בזמנו של בית המשפט ובעובדה כי הנשק נתפס. </w:t>
      </w:r>
    </w:p>
    <w:p w14:paraId="6B9AB820" w14:textId="77777777" w:rsidR="00E9062C" w:rsidRDefault="00E9062C" w:rsidP="00E9062C">
      <w:pPr>
        <w:spacing w:line="360" w:lineRule="auto"/>
        <w:ind w:left="720" w:hanging="720"/>
        <w:jc w:val="both"/>
        <w:rPr>
          <w:rFonts w:ascii="David" w:hAnsi="David"/>
          <w:rtl/>
        </w:rPr>
      </w:pPr>
    </w:p>
    <w:p w14:paraId="29969A8A" w14:textId="77777777" w:rsidR="00E9062C" w:rsidRDefault="00E9062C" w:rsidP="00E9062C">
      <w:pPr>
        <w:spacing w:line="360" w:lineRule="auto"/>
        <w:ind w:left="720" w:hanging="720"/>
        <w:jc w:val="both"/>
        <w:rPr>
          <w:rFonts w:ascii="David" w:hAnsi="David"/>
          <w:rtl/>
        </w:rPr>
      </w:pPr>
      <w:r>
        <w:rPr>
          <w:rFonts w:ascii="David" w:hAnsi="David" w:hint="cs"/>
          <w:rtl/>
        </w:rPr>
        <w:t>13</w:t>
      </w:r>
      <w:r>
        <w:rPr>
          <w:rFonts w:ascii="David" w:hAnsi="David"/>
          <w:rtl/>
        </w:rPr>
        <w:t>.</w:t>
      </w:r>
      <w:r>
        <w:rPr>
          <w:rFonts w:ascii="David" w:hAnsi="David"/>
          <w:rtl/>
        </w:rPr>
        <w:tab/>
        <w:t>לאחר ששמעתי טיעוני באי כוח הצדדים, לאור מדיניות בתי המשפט הנוהגת בכיבוד הסדרי טיעון, הודאת הנאשם, עברו הנקי והעו</w:t>
      </w:r>
      <w:r>
        <w:rPr>
          <w:rFonts w:ascii="David" w:hAnsi="David" w:hint="cs"/>
          <w:rtl/>
        </w:rPr>
        <w:t>ב</w:t>
      </w:r>
      <w:r>
        <w:rPr>
          <w:rFonts w:ascii="David" w:hAnsi="David"/>
          <w:rtl/>
        </w:rPr>
        <w:t xml:space="preserve">דה כי הנשק נתפס, מצאתי שלא לחרוג מהסכמת הצדדים לעונש. </w:t>
      </w:r>
    </w:p>
    <w:p w14:paraId="11B35DCD" w14:textId="77777777" w:rsidR="00E9062C" w:rsidRDefault="00E9062C" w:rsidP="00E9062C">
      <w:pPr>
        <w:spacing w:line="360" w:lineRule="auto"/>
        <w:ind w:left="720" w:hanging="720"/>
        <w:jc w:val="both"/>
        <w:rPr>
          <w:rFonts w:ascii="David" w:hAnsi="David"/>
          <w:rtl/>
        </w:rPr>
      </w:pPr>
    </w:p>
    <w:p w14:paraId="292247C2" w14:textId="77777777" w:rsidR="00E9062C" w:rsidRDefault="00E9062C" w:rsidP="00E9062C">
      <w:pPr>
        <w:spacing w:line="360" w:lineRule="auto"/>
        <w:ind w:left="720" w:hanging="720"/>
        <w:jc w:val="both"/>
        <w:rPr>
          <w:rFonts w:ascii="David" w:hAnsi="David"/>
          <w:rtl/>
        </w:rPr>
      </w:pPr>
      <w:r>
        <w:rPr>
          <w:rFonts w:ascii="David" w:hAnsi="David" w:hint="cs"/>
          <w:rtl/>
        </w:rPr>
        <w:t>14</w:t>
      </w:r>
      <w:r>
        <w:rPr>
          <w:rFonts w:ascii="David" w:hAnsi="David"/>
          <w:rtl/>
        </w:rPr>
        <w:t>.</w:t>
      </w:r>
      <w:r>
        <w:rPr>
          <w:rFonts w:ascii="David" w:hAnsi="David"/>
          <w:rtl/>
        </w:rPr>
        <w:tab/>
        <w:t>אשר על כן, הנני גוזר על הנאשם את העונשים הבאים:</w:t>
      </w:r>
    </w:p>
    <w:p w14:paraId="23279F7E" w14:textId="77777777" w:rsidR="00E9062C" w:rsidRDefault="00E9062C" w:rsidP="00E9062C">
      <w:pPr>
        <w:spacing w:line="360" w:lineRule="auto"/>
        <w:ind w:left="720" w:hanging="720"/>
        <w:jc w:val="both"/>
        <w:rPr>
          <w:rFonts w:ascii="David" w:hAnsi="David"/>
          <w:rtl/>
        </w:rPr>
      </w:pPr>
    </w:p>
    <w:p w14:paraId="421E5939" w14:textId="77777777" w:rsidR="00E9062C" w:rsidRDefault="00E9062C" w:rsidP="00E9062C">
      <w:pPr>
        <w:spacing w:line="360" w:lineRule="auto"/>
        <w:ind w:left="720" w:hanging="720"/>
        <w:jc w:val="both"/>
        <w:rPr>
          <w:rFonts w:ascii="David" w:hAnsi="David"/>
          <w:rtl/>
        </w:rPr>
      </w:pPr>
      <w:r>
        <w:rPr>
          <w:rFonts w:ascii="David" w:hAnsi="David"/>
          <w:rtl/>
        </w:rPr>
        <w:tab/>
        <w:t>א.</w:t>
      </w:r>
      <w:r>
        <w:rPr>
          <w:rFonts w:ascii="David" w:hAnsi="David"/>
          <w:rtl/>
        </w:rPr>
        <w:tab/>
        <w:t xml:space="preserve">35 חודשי מאסר בפועל בניכוי ימי מעצרו. </w:t>
      </w:r>
    </w:p>
    <w:p w14:paraId="2151BF3E" w14:textId="77777777" w:rsidR="00E9062C" w:rsidRDefault="00E9062C" w:rsidP="00E9062C">
      <w:pPr>
        <w:spacing w:line="360" w:lineRule="auto"/>
        <w:ind w:left="1440" w:hanging="720"/>
        <w:jc w:val="both"/>
        <w:rPr>
          <w:rFonts w:ascii="David" w:hAnsi="David"/>
          <w:rtl/>
        </w:rPr>
      </w:pPr>
      <w:r>
        <w:rPr>
          <w:rFonts w:ascii="David" w:hAnsi="David"/>
          <w:rtl/>
        </w:rPr>
        <w:t>ב.</w:t>
      </w:r>
      <w:r>
        <w:rPr>
          <w:rFonts w:ascii="David" w:hAnsi="David"/>
          <w:rtl/>
        </w:rPr>
        <w:tab/>
        <w:t xml:space="preserve">12 חודשי מאסר על תנאי למשך שלוש שנים מיום שחרורו, שלא יעבור עבירה בנשק לפי </w:t>
      </w:r>
      <w:hyperlink r:id="rId14" w:history="1">
        <w:r w:rsidR="00DE6258" w:rsidRPr="00DE6258">
          <w:rPr>
            <w:rStyle w:val="Hyperlink"/>
            <w:rFonts w:ascii="David" w:hAnsi="David"/>
            <w:color w:val="0000FF"/>
            <w:rtl/>
          </w:rPr>
          <w:t>סעיף 144</w:t>
        </w:r>
      </w:hyperlink>
      <w:r>
        <w:rPr>
          <w:rFonts w:ascii="David" w:hAnsi="David"/>
          <w:rtl/>
        </w:rPr>
        <w:t xml:space="preserve"> ל</w:t>
      </w:r>
      <w:hyperlink r:id="rId15" w:history="1">
        <w:r w:rsidR="00A900D2" w:rsidRPr="00A900D2">
          <w:rPr>
            <w:rFonts w:ascii="David" w:hAnsi="David"/>
            <w:color w:val="0000FF"/>
            <w:u w:val="single"/>
            <w:rtl/>
          </w:rPr>
          <w:t>חוק העונשין</w:t>
        </w:r>
      </w:hyperlink>
      <w:r>
        <w:rPr>
          <w:rFonts w:ascii="David" w:hAnsi="David"/>
          <w:rtl/>
        </w:rPr>
        <w:t xml:space="preserve">, התשל"ז-1977 על חלופותיו השונות. </w:t>
      </w:r>
    </w:p>
    <w:p w14:paraId="582277B4" w14:textId="77777777" w:rsidR="00E9062C" w:rsidRDefault="00E9062C" w:rsidP="00E9062C">
      <w:pPr>
        <w:spacing w:line="360" w:lineRule="auto"/>
        <w:ind w:left="1440" w:hanging="720"/>
        <w:jc w:val="both"/>
        <w:rPr>
          <w:rFonts w:ascii="David" w:hAnsi="David"/>
          <w:rtl/>
        </w:rPr>
      </w:pPr>
      <w:r>
        <w:rPr>
          <w:rFonts w:ascii="David" w:hAnsi="David"/>
          <w:rtl/>
        </w:rPr>
        <w:t>ג.</w:t>
      </w:r>
      <w:r>
        <w:rPr>
          <w:rFonts w:ascii="David" w:hAnsi="David"/>
          <w:rtl/>
        </w:rPr>
        <w:tab/>
        <w:t xml:space="preserve">קנס בסך 15,000 ₪. הקנס ישולם מתוך הפיקדון שהפקיד הנאשם בתיק המ"ת 10296-07-22. </w:t>
      </w:r>
    </w:p>
    <w:p w14:paraId="3D57077D" w14:textId="77777777" w:rsidR="00E9062C" w:rsidRDefault="00E9062C" w:rsidP="00E9062C">
      <w:pPr>
        <w:spacing w:line="360" w:lineRule="auto"/>
        <w:ind w:left="1440" w:hanging="720"/>
        <w:jc w:val="both"/>
        <w:rPr>
          <w:rFonts w:ascii="David" w:hAnsi="David"/>
          <w:rtl/>
        </w:rPr>
      </w:pPr>
      <w:r>
        <w:rPr>
          <w:rFonts w:ascii="David" w:hAnsi="David"/>
          <w:rtl/>
        </w:rPr>
        <w:t>ד.</w:t>
      </w:r>
      <w:r>
        <w:rPr>
          <w:rFonts w:ascii="David" w:hAnsi="David"/>
          <w:rtl/>
        </w:rPr>
        <w:tab/>
        <w:t xml:space="preserve">פסילה על תנאי – מורה על פסילתו של הנאשם מלקבל או מלהחזיק רישיון נהיגה וזאת למשך 12 חודשים. הנאשם יישא בעונש זה אם בתקופה של שנתיים מיום שחרורו יעבור על עבירה בנשק לפי </w:t>
      </w:r>
      <w:hyperlink r:id="rId16" w:history="1">
        <w:r w:rsidR="00DE6258" w:rsidRPr="00DE6258">
          <w:rPr>
            <w:rStyle w:val="Hyperlink"/>
            <w:rFonts w:ascii="David" w:hAnsi="David"/>
            <w:color w:val="0000FF"/>
            <w:rtl/>
          </w:rPr>
          <w:t>סעיף 144</w:t>
        </w:r>
      </w:hyperlink>
      <w:r>
        <w:rPr>
          <w:rFonts w:ascii="David" w:hAnsi="David"/>
          <w:rtl/>
        </w:rPr>
        <w:t xml:space="preserve"> ל</w:t>
      </w:r>
      <w:hyperlink r:id="rId17" w:history="1">
        <w:r w:rsidR="00A900D2" w:rsidRPr="00A900D2">
          <w:rPr>
            <w:rFonts w:ascii="David" w:hAnsi="David"/>
            <w:color w:val="0000FF"/>
            <w:u w:val="single"/>
            <w:rtl/>
          </w:rPr>
          <w:t>חוק העונשין</w:t>
        </w:r>
      </w:hyperlink>
      <w:r>
        <w:rPr>
          <w:rFonts w:ascii="David" w:hAnsi="David"/>
          <w:rtl/>
        </w:rPr>
        <w:t xml:space="preserve"> על חלופותיו השונות או על עבירה לפי </w:t>
      </w:r>
      <w:hyperlink r:id="rId18" w:history="1">
        <w:r w:rsidR="00DE6258" w:rsidRPr="00DE6258">
          <w:rPr>
            <w:rStyle w:val="Hyperlink"/>
            <w:rFonts w:ascii="David" w:hAnsi="David"/>
            <w:color w:val="0000FF"/>
            <w:rtl/>
          </w:rPr>
          <w:t>סעיף 43</w:t>
        </w:r>
      </w:hyperlink>
      <w:r>
        <w:rPr>
          <w:rFonts w:ascii="David" w:hAnsi="David"/>
          <w:rtl/>
        </w:rPr>
        <w:t xml:space="preserve"> ל</w:t>
      </w:r>
      <w:hyperlink r:id="rId19" w:history="1">
        <w:r w:rsidR="00A900D2" w:rsidRPr="00A900D2">
          <w:rPr>
            <w:rFonts w:ascii="David" w:hAnsi="David"/>
            <w:color w:val="0000FF"/>
            <w:u w:val="single"/>
            <w:rtl/>
          </w:rPr>
          <w:t>פקודת התעבורה</w:t>
        </w:r>
      </w:hyperlink>
      <w:r>
        <w:rPr>
          <w:rFonts w:ascii="David" w:hAnsi="David"/>
          <w:rtl/>
        </w:rPr>
        <w:t xml:space="preserve">. </w:t>
      </w:r>
    </w:p>
    <w:p w14:paraId="4EC70ABF" w14:textId="77777777" w:rsidR="00E9062C" w:rsidRDefault="00E9062C" w:rsidP="00E9062C">
      <w:pPr>
        <w:spacing w:line="360" w:lineRule="auto"/>
        <w:ind w:left="720" w:hanging="720"/>
        <w:jc w:val="both"/>
        <w:rPr>
          <w:rFonts w:ascii="David" w:hAnsi="David"/>
          <w:rtl/>
        </w:rPr>
      </w:pPr>
    </w:p>
    <w:p w14:paraId="44F40E0A" w14:textId="77777777" w:rsidR="00E9062C" w:rsidRDefault="00E9062C" w:rsidP="00E9062C">
      <w:pPr>
        <w:spacing w:line="360" w:lineRule="auto"/>
        <w:ind w:left="720" w:hanging="720"/>
        <w:jc w:val="both"/>
        <w:rPr>
          <w:rFonts w:ascii="David" w:hAnsi="David"/>
          <w:rtl/>
        </w:rPr>
      </w:pPr>
    </w:p>
    <w:p w14:paraId="61CB6880" w14:textId="77777777" w:rsidR="00E9062C" w:rsidRDefault="00E9062C" w:rsidP="00E9062C">
      <w:pPr>
        <w:spacing w:line="360" w:lineRule="auto"/>
        <w:ind w:left="720" w:hanging="720"/>
        <w:jc w:val="both"/>
        <w:rPr>
          <w:rFonts w:ascii="David" w:hAnsi="David"/>
          <w:rtl/>
        </w:rPr>
      </w:pPr>
    </w:p>
    <w:p w14:paraId="5374F2A8" w14:textId="77777777" w:rsidR="00E9062C" w:rsidRDefault="00E9062C" w:rsidP="00E9062C">
      <w:pPr>
        <w:spacing w:line="360" w:lineRule="auto"/>
        <w:ind w:left="720" w:hanging="720"/>
        <w:jc w:val="both"/>
        <w:rPr>
          <w:rFonts w:ascii="David" w:hAnsi="David"/>
          <w:rtl/>
        </w:rPr>
      </w:pPr>
    </w:p>
    <w:p w14:paraId="488DF00C" w14:textId="77777777" w:rsidR="00E9062C" w:rsidRDefault="00E9062C" w:rsidP="00E9062C">
      <w:pPr>
        <w:spacing w:line="360" w:lineRule="auto"/>
        <w:ind w:left="720" w:hanging="720"/>
        <w:jc w:val="both"/>
        <w:rPr>
          <w:rFonts w:ascii="David" w:hAnsi="David"/>
          <w:rtl/>
        </w:rPr>
      </w:pPr>
    </w:p>
    <w:p w14:paraId="083ECE1C" w14:textId="77777777" w:rsidR="00E9062C" w:rsidRDefault="00E9062C" w:rsidP="00E9062C">
      <w:pPr>
        <w:spacing w:line="360" w:lineRule="auto"/>
        <w:ind w:left="720" w:hanging="720"/>
        <w:jc w:val="both"/>
        <w:rPr>
          <w:rFonts w:ascii="David" w:hAnsi="David"/>
          <w:rtl/>
        </w:rPr>
      </w:pPr>
    </w:p>
    <w:p w14:paraId="6C75C22A" w14:textId="77777777" w:rsidR="00E9062C" w:rsidRDefault="00E9062C" w:rsidP="00E9062C">
      <w:pPr>
        <w:spacing w:line="360" w:lineRule="auto"/>
        <w:ind w:left="720" w:hanging="720"/>
        <w:jc w:val="both"/>
        <w:rPr>
          <w:rFonts w:ascii="David" w:hAnsi="David"/>
          <w:rtl/>
        </w:rPr>
      </w:pPr>
    </w:p>
    <w:p w14:paraId="7CA6B5B9" w14:textId="77777777" w:rsidR="00E9062C" w:rsidRDefault="00E9062C" w:rsidP="00E9062C">
      <w:pPr>
        <w:spacing w:line="360" w:lineRule="auto"/>
        <w:ind w:left="720" w:hanging="720"/>
        <w:jc w:val="both"/>
        <w:rPr>
          <w:rFonts w:ascii="David" w:hAnsi="David"/>
          <w:rtl/>
        </w:rPr>
      </w:pPr>
      <w:r>
        <w:rPr>
          <w:rFonts w:ascii="David" w:hAnsi="David"/>
          <w:rtl/>
        </w:rPr>
        <w:t>בהתאם להסכמת הצדדים,</w:t>
      </w:r>
      <w:r>
        <w:rPr>
          <w:rFonts w:ascii="David" w:hAnsi="David" w:hint="cs"/>
          <w:rtl/>
        </w:rPr>
        <w:t xml:space="preserve"> </w:t>
      </w:r>
      <w:r>
        <w:rPr>
          <w:rFonts w:ascii="David" w:hAnsi="David"/>
          <w:rtl/>
        </w:rPr>
        <w:t>הנאשם יתחיל בריצוי עונשו ביום 15.04.24,</w:t>
      </w:r>
      <w:r>
        <w:rPr>
          <w:rFonts w:ascii="David" w:hAnsi="David" w:hint="cs"/>
          <w:rtl/>
        </w:rPr>
        <w:t xml:space="preserve"> </w:t>
      </w:r>
      <w:r>
        <w:rPr>
          <w:rFonts w:ascii="David" w:hAnsi="David"/>
          <w:rtl/>
        </w:rPr>
        <w:t xml:space="preserve">ויתייצב לשם כך לא יאוחר </w:t>
      </w:r>
    </w:p>
    <w:p w14:paraId="22966CC6" w14:textId="77777777" w:rsidR="00E9062C" w:rsidRDefault="00E9062C" w:rsidP="00E9062C">
      <w:pPr>
        <w:spacing w:line="360" w:lineRule="auto"/>
        <w:ind w:left="720" w:hanging="720"/>
        <w:jc w:val="both"/>
        <w:rPr>
          <w:rFonts w:ascii="David" w:hAnsi="David"/>
          <w:rtl/>
        </w:rPr>
      </w:pPr>
      <w:r>
        <w:rPr>
          <w:rFonts w:ascii="David" w:hAnsi="David"/>
          <w:rtl/>
        </w:rPr>
        <w:t xml:space="preserve">מהשעה 9:00 במדור קליטה בכלא אוהלי קידר. </w:t>
      </w:r>
    </w:p>
    <w:p w14:paraId="7FD7B76D" w14:textId="77777777" w:rsidR="00E9062C" w:rsidRDefault="00E9062C" w:rsidP="00E9062C">
      <w:pPr>
        <w:spacing w:line="360" w:lineRule="auto"/>
        <w:ind w:left="720" w:hanging="720"/>
        <w:jc w:val="both"/>
        <w:rPr>
          <w:rFonts w:ascii="David" w:hAnsi="David"/>
          <w:rtl/>
        </w:rPr>
      </w:pPr>
    </w:p>
    <w:p w14:paraId="11A4C617" w14:textId="77777777" w:rsidR="00E9062C" w:rsidRDefault="00E9062C" w:rsidP="00E9062C">
      <w:pPr>
        <w:spacing w:line="360" w:lineRule="auto"/>
        <w:ind w:left="720" w:hanging="720"/>
        <w:jc w:val="both"/>
        <w:rPr>
          <w:rFonts w:ascii="David" w:hAnsi="David"/>
          <w:rtl/>
        </w:rPr>
      </w:pPr>
      <w:r>
        <w:rPr>
          <w:rFonts w:ascii="David" w:hAnsi="David"/>
          <w:rtl/>
        </w:rPr>
        <w:t>התנאים שנקבעו לנאשם בתיק</w:t>
      </w:r>
      <w:r>
        <w:rPr>
          <w:rFonts w:ascii="David" w:hAnsi="David" w:hint="cs"/>
          <w:rtl/>
        </w:rPr>
        <w:t xml:space="preserve"> המ"ת</w:t>
      </w:r>
      <w:r>
        <w:rPr>
          <w:rFonts w:ascii="David" w:hAnsi="David"/>
          <w:rtl/>
        </w:rPr>
        <w:t xml:space="preserve"> 10296-07-22 יישארו על כנם עד להתייצבותו לריצוי עונשו, </w:t>
      </w:r>
    </w:p>
    <w:p w14:paraId="79500CA3" w14:textId="77777777" w:rsidR="00E9062C" w:rsidRDefault="00E9062C" w:rsidP="00E9062C">
      <w:pPr>
        <w:spacing w:line="360" w:lineRule="auto"/>
        <w:ind w:left="720" w:hanging="720"/>
        <w:jc w:val="both"/>
        <w:rPr>
          <w:rFonts w:ascii="David" w:hAnsi="David"/>
          <w:rtl/>
        </w:rPr>
      </w:pPr>
      <w:r>
        <w:rPr>
          <w:rFonts w:ascii="David" w:hAnsi="David"/>
          <w:rtl/>
        </w:rPr>
        <w:t>ויתרת הפיקדון לאחר תשלום הקנס (סך של 10,000 ₪) תשמש להבטחת התייצבותו.</w:t>
      </w:r>
    </w:p>
    <w:p w14:paraId="0F01B078" w14:textId="77777777" w:rsidR="00E9062C" w:rsidRPr="00A900D2" w:rsidRDefault="00A900D2" w:rsidP="00E9062C">
      <w:pPr>
        <w:spacing w:line="360" w:lineRule="auto"/>
        <w:ind w:left="720" w:hanging="720"/>
        <w:jc w:val="both"/>
        <w:rPr>
          <w:rFonts w:ascii="David" w:hAnsi="David"/>
          <w:b/>
          <w:bCs/>
          <w:color w:val="FFFFFF"/>
          <w:sz w:val="2"/>
          <w:szCs w:val="2"/>
          <w:rtl/>
        </w:rPr>
      </w:pPr>
      <w:r w:rsidRPr="00A900D2">
        <w:rPr>
          <w:rFonts w:ascii="David" w:hAnsi="David"/>
          <w:b/>
          <w:bCs/>
          <w:color w:val="FFFFFF"/>
          <w:sz w:val="2"/>
          <w:szCs w:val="2"/>
          <w:rtl/>
        </w:rPr>
        <w:t>5129371</w:t>
      </w:r>
    </w:p>
    <w:p w14:paraId="4EDBAAC2" w14:textId="77777777" w:rsidR="00E9062C" w:rsidRDefault="00A900D2" w:rsidP="00E9062C">
      <w:pPr>
        <w:spacing w:line="360" w:lineRule="auto"/>
        <w:ind w:left="720" w:hanging="720"/>
        <w:jc w:val="both"/>
        <w:rPr>
          <w:rFonts w:ascii="David" w:hAnsi="David"/>
          <w:b/>
          <w:bCs/>
          <w:rtl/>
        </w:rPr>
      </w:pPr>
      <w:r w:rsidRPr="00A900D2">
        <w:rPr>
          <w:rFonts w:ascii="David" w:hAnsi="David"/>
          <w:b/>
          <w:bCs/>
          <w:color w:val="FFFFFF"/>
          <w:sz w:val="2"/>
          <w:szCs w:val="2"/>
          <w:rtl/>
        </w:rPr>
        <w:t>54678313</w:t>
      </w:r>
      <w:r w:rsidR="00E9062C">
        <w:rPr>
          <w:rFonts w:ascii="David" w:hAnsi="David"/>
          <w:b/>
          <w:bCs/>
          <w:rtl/>
        </w:rPr>
        <w:t xml:space="preserve">זכות ערעור לבית המשפט העליון תוך 45 ימים. </w:t>
      </w:r>
    </w:p>
    <w:p w14:paraId="5C32B309" w14:textId="77777777" w:rsidR="00E9062C" w:rsidRPr="000F2247" w:rsidRDefault="00E9062C" w:rsidP="00E9062C">
      <w:pPr>
        <w:rPr>
          <w:rFonts w:ascii="Arial" w:hAnsi="Arial"/>
          <w:b/>
          <w:bCs/>
          <w:sz w:val="26"/>
          <w:szCs w:val="26"/>
          <w:rtl/>
        </w:rPr>
      </w:pPr>
    </w:p>
    <w:p w14:paraId="200B42F4" w14:textId="77777777" w:rsidR="00E9062C" w:rsidRPr="000F2247" w:rsidRDefault="00A900D2" w:rsidP="00E9062C">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שבט תשפ"ד, 22 ינואר 2024, במעמד הנ"ל. </w:t>
      </w:r>
      <w:bookmarkEnd w:id="8"/>
      <w:r w:rsidR="00E9062C">
        <w:rPr>
          <w:rFonts w:ascii="Arial" w:hAnsi="Arial"/>
          <w:b/>
          <w:bCs/>
          <w:sz w:val="26"/>
          <w:szCs w:val="26"/>
          <w:rtl/>
        </w:rPr>
        <w:tab/>
      </w:r>
      <w:r w:rsidR="00E9062C">
        <w:rPr>
          <w:rFonts w:ascii="Arial" w:hAnsi="Arial"/>
          <w:b/>
          <w:bCs/>
          <w:sz w:val="26"/>
          <w:szCs w:val="26"/>
          <w:rtl/>
        </w:rPr>
        <w:tab/>
      </w:r>
      <w:r w:rsidR="00E9062C">
        <w:rPr>
          <w:rFonts w:ascii="Arial" w:hAnsi="Arial"/>
          <w:b/>
          <w:bCs/>
          <w:sz w:val="26"/>
          <w:szCs w:val="26"/>
          <w:rtl/>
        </w:rPr>
        <w:tab/>
      </w:r>
      <w:r w:rsidR="00E9062C">
        <w:rPr>
          <w:rFonts w:ascii="Arial" w:hAnsi="Arial"/>
          <w:b/>
          <w:bCs/>
          <w:sz w:val="26"/>
          <w:szCs w:val="26"/>
          <w:rtl/>
        </w:rPr>
        <w:tab/>
      </w:r>
      <w:r w:rsidR="00E9062C">
        <w:rPr>
          <w:rFonts w:ascii="Arial" w:hAnsi="Arial"/>
          <w:b/>
          <w:bCs/>
          <w:sz w:val="26"/>
          <w:szCs w:val="26"/>
          <w:rtl/>
        </w:rPr>
        <w:tab/>
      </w:r>
      <w:r w:rsidR="00E9062C">
        <w:rPr>
          <w:rFonts w:ascii="Arial" w:hAnsi="Arial"/>
          <w:b/>
          <w:bCs/>
          <w:sz w:val="26"/>
          <w:szCs w:val="26"/>
          <w:rtl/>
        </w:rPr>
        <w:tab/>
      </w:r>
      <w:r w:rsidR="00E9062C">
        <w:rPr>
          <w:rFonts w:ascii="Arial" w:hAnsi="Arial"/>
          <w:b/>
          <w:bCs/>
          <w:sz w:val="26"/>
          <w:szCs w:val="26"/>
          <w:rtl/>
        </w:rPr>
        <w:tab/>
      </w:r>
      <w:r w:rsidR="00E9062C">
        <w:rPr>
          <w:rFonts w:ascii="Arial" w:hAnsi="Arial" w:hint="cs"/>
          <w:b/>
          <w:bCs/>
          <w:sz w:val="26"/>
          <w:szCs w:val="26"/>
          <w:rtl/>
        </w:rPr>
        <w:t xml:space="preserve">         </w:t>
      </w:r>
    </w:p>
    <w:p w14:paraId="6B144695" w14:textId="77777777" w:rsidR="00E9062C" w:rsidRPr="000F2247" w:rsidRDefault="00E9062C" w:rsidP="00A900D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3E4A7F6" w14:textId="77777777" w:rsidR="00E9062C" w:rsidRPr="000F2247" w:rsidRDefault="00E9062C" w:rsidP="00E9062C">
      <w:pPr>
        <w:jc w:val="center"/>
        <w:rPr>
          <w:rFonts w:ascii="Arial" w:hAnsi="Arial"/>
          <w:b/>
          <w:bCs/>
          <w:sz w:val="26"/>
          <w:szCs w:val="26"/>
          <w:rtl/>
        </w:rPr>
      </w:pPr>
    </w:p>
    <w:p w14:paraId="760C3625" w14:textId="77777777" w:rsidR="00841547" w:rsidRPr="00A900D2" w:rsidRDefault="00841547" w:rsidP="00A900D2">
      <w:pPr>
        <w:keepNext/>
        <w:rPr>
          <w:rFonts w:ascii="David" w:hAnsi="David"/>
          <w:color w:val="000000"/>
          <w:sz w:val="22"/>
          <w:szCs w:val="22"/>
          <w:rtl/>
        </w:rPr>
      </w:pPr>
    </w:p>
    <w:p w14:paraId="4D8628F8" w14:textId="77777777" w:rsidR="00A900D2" w:rsidRPr="00A900D2" w:rsidRDefault="00A900D2" w:rsidP="00A900D2">
      <w:pPr>
        <w:keepNext/>
        <w:rPr>
          <w:rFonts w:ascii="David" w:hAnsi="David"/>
          <w:color w:val="000000"/>
          <w:sz w:val="22"/>
          <w:szCs w:val="22"/>
          <w:rtl/>
        </w:rPr>
      </w:pPr>
      <w:r w:rsidRPr="00A900D2">
        <w:rPr>
          <w:rFonts w:ascii="David" w:hAnsi="David"/>
          <w:color w:val="000000"/>
          <w:sz w:val="22"/>
          <w:szCs w:val="22"/>
          <w:rtl/>
        </w:rPr>
        <w:t>אלון גביזון 54678313</w:t>
      </w:r>
    </w:p>
    <w:p w14:paraId="2EDE91EE" w14:textId="77777777" w:rsidR="00A900D2" w:rsidRDefault="00A900D2" w:rsidP="00A900D2">
      <w:r w:rsidRPr="00A900D2">
        <w:rPr>
          <w:color w:val="000000"/>
          <w:rtl/>
        </w:rPr>
        <w:t>נוסח מסמך זה כפוף לשינויי ניסוח ועריכה</w:t>
      </w:r>
    </w:p>
    <w:p w14:paraId="2B911727" w14:textId="77777777" w:rsidR="00A900D2" w:rsidRDefault="00A900D2" w:rsidP="00A900D2">
      <w:pPr>
        <w:rPr>
          <w:rtl/>
        </w:rPr>
      </w:pPr>
    </w:p>
    <w:p w14:paraId="7831F5C7" w14:textId="77777777" w:rsidR="00A900D2" w:rsidRDefault="00A900D2" w:rsidP="00A900D2">
      <w:pPr>
        <w:jc w:val="center"/>
        <w:rPr>
          <w:color w:val="0000FF"/>
          <w:u w:val="single"/>
        </w:rPr>
      </w:pPr>
      <w:hyperlink r:id="rId20" w:history="1">
        <w:r>
          <w:rPr>
            <w:color w:val="0000FF"/>
            <w:u w:val="single"/>
            <w:rtl/>
          </w:rPr>
          <w:t>בעניין עריכה ושינויים במסמכי פסיקה, חקיקה ועוד באתר נבו – הקש כאן</w:t>
        </w:r>
      </w:hyperlink>
    </w:p>
    <w:p w14:paraId="2FAEBF7E" w14:textId="77777777" w:rsidR="00A900D2" w:rsidRPr="00A900D2" w:rsidRDefault="00A900D2" w:rsidP="00A900D2">
      <w:pPr>
        <w:jc w:val="center"/>
        <w:rPr>
          <w:color w:val="0000FF"/>
          <w:u w:val="single"/>
        </w:rPr>
      </w:pPr>
    </w:p>
    <w:sectPr w:rsidR="00A900D2" w:rsidRPr="00A900D2" w:rsidSect="00A900D2">
      <w:headerReference w:type="even" r:id="rId21"/>
      <w:headerReference w:type="default" r:id="rId22"/>
      <w:footerReference w:type="even" r:id="rId23"/>
      <w:footerReference w:type="default" r:id="rId2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137669" w14:textId="77777777" w:rsidR="00B85440" w:rsidRDefault="00B85440" w:rsidP="00701EEA">
      <w:r>
        <w:separator/>
      </w:r>
    </w:p>
  </w:endnote>
  <w:endnote w:type="continuationSeparator" w:id="0">
    <w:p w14:paraId="6CB44346" w14:textId="77777777" w:rsidR="00B85440" w:rsidRDefault="00B85440" w:rsidP="0070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14DAC" w14:textId="77777777" w:rsidR="00A900D2" w:rsidRDefault="00A900D2" w:rsidP="00A900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8D81DF" w14:textId="77777777" w:rsidR="003A6458" w:rsidRPr="00A900D2" w:rsidRDefault="00A900D2" w:rsidP="00A900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9BE43" w14:textId="77777777" w:rsidR="00A900D2" w:rsidRDefault="00A900D2" w:rsidP="00A900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4C7B">
      <w:rPr>
        <w:rFonts w:ascii="FrankRuehl" w:hAnsi="FrankRuehl" w:cs="FrankRuehl"/>
        <w:noProof/>
        <w:rtl/>
      </w:rPr>
      <w:t>1</w:t>
    </w:r>
    <w:r>
      <w:rPr>
        <w:rFonts w:ascii="FrankRuehl" w:hAnsi="FrankRuehl" w:cs="FrankRuehl"/>
        <w:rtl/>
      </w:rPr>
      <w:fldChar w:fldCharType="end"/>
    </w:r>
  </w:p>
  <w:p w14:paraId="37D502C2" w14:textId="77777777" w:rsidR="003A6458" w:rsidRPr="00A900D2" w:rsidRDefault="00A900D2" w:rsidP="00A900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9FA8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8DEDC9" w14:textId="77777777" w:rsidR="00B85440" w:rsidRDefault="00B85440" w:rsidP="00701EEA">
      <w:r>
        <w:separator/>
      </w:r>
    </w:p>
  </w:footnote>
  <w:footnote w:type="continuationSeparator" w:id="0">
    <w:p w14:paraId="12C672DD" w14:textId="77777777" w:rsidR="00B85440" w:rsidRDefault="00B85440" w:rsidP="00701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F3C25C" w14:textId="77777777" w:rsidR="00A900D2" w:rsidRPr="00A900D2" w:rsidRDefault="00A900D2" w:rsidP="00A900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10374-07-22</w:t>
    </w:r>
    <w:r>
      <w:rPr>
        <w:rFonts w:ascii="David" w:hAnsi="David"/>
        <w:color w:val="000000"/>
        <w:sz w:val="22"/>
        <w:szCs w:val="22"/>
        <w:rtl/>
      </w:rPr>
      <w:tab/>
      <w:t xml:space="preserve"> מדינת ישראל נ' מהאר אלקרעאן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E173" w14:textId="77777777" w:rsidR="00A900D2" w:rsidRPr="00A900D2" w:rsidRDefault="00A900D2" w:rsidP="00A900D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10374-07-22</w:t>
    </w:r>
    <w:r>
      <w:rPr>
        <w:rFonts w:ascii="David" w:hAnsi="David"/>
        <w:color w:val="000000"/>
        <w:sz w:val="22"/>
        <w:szCs w:val="22"/>
        <w:rtl/>
      </w:rPr>
      <w:tab/>
      <w:t xml:space="preserve"> מדינת ישראל נ' מהאר אלקרעאן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9062C"/>
    <w:rsid w:val="001B5A3B"/>
    <w:rsid w:val="003A4C7B"/>
    <w:rsid w:val="003A6458"/>
    <w:rsid w:val="00511FB0"/>
    <w:rsid w:val="00701EEA"/>
    <w:rsid w:val="00841547"/>
    <w:rsid w:val="00A900D2"/>
    <w:rsid w:val="00B85440"/>
    <w:rsid w:val="00DE6258"/>
    <w:rsid w:val="00E90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2EBB34"/>
  <w15:chartTrackingRefBased/>
  <w15:docId w15:val="{CDC8290F-5BDB-4E11-B2BF-AEFADD05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062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062C"/>
    <w:pPr>
      <w:tabs>
        <w:tab w:val="center" w:pos="4153"/>
        <w:tab w:val="right" w:pos="8306"/>
      </w:tabs>
    </w:pPr>
  </w:style>
  <w:style w:type="character" w:customStyle="1" w:styleId="a4">
    <w:name w:val="כותרת עליונה תו"/>
    <w:link w:val="a3"/>
    <w:rsid w:val="00E9062C"/>
    <w:rPr>
      <w:rFonts w:ascii="Times New Roman" w:eastAsia="Times New Roman" w:hAnsi="Times New Roman" w:cs="David"/>
      <w:sz w:val="24"/>
      <w:szCs w:val="24"/>
    </w:rPr>
  </w:style>
  <w:style w:type="paragraph" w:styleId="a5">
    <w:name w:val="footer"/>
    <w:basedOn w:val="a"/>
    <w:link w:val="a6"/>
    <w:rsid w:val="00E9062C"/>
    <w:pPr>
      <w:tabs>
        <w:tab w:val="center" w:pos="4153"/>
        <w:tab w:val="right" w:pos="8306"/>
      </w:tabs>
    </w:pPr>
  </w:style>
  <w:style w:type="character" w:customStyle="1" w:styleId="a6">
    <w:name w:val="כותרת תחתונה תו"/>
    <w:link w:val="a5"/>
    <w:rsid w:val="00E9062C"/>
    <w:rPr>
      <w:rFonts w:ascii="Times New Roman" w:eastAsia="Times New Roman" w:hAnsi="Times New Roman" w:cs="David"/>
      <w:sz w:val="24"/>
      <w:szCs w:val="24"/>
    </w:rPr>
  </w:style>
  <w:style w:type="table" w:styleId="a7">
    <w:name w:val="Table Grid"/>
    <w:basedOn w:val="a1"/>
    <w:rsid w:val="00E9062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9062C"/>
  </w:style>
  <w:style w:type="character" w:styleId="Hyperlink">
    <w:name w:val="Hyperlink"/>
    <w:rsid w:val="00A900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25612982" TargetMode="External"/><Relationship Id="rId18" Type="http://schemas.openxmlformats.org/officeDocument/2006/relationships/hyperlink" Target="http://www.nevo.co.il/law/5227/43"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70301/144"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law/70301/144"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footer" Target="footer1.xml"/><Relationship Id="rId10" Type="http://schemas.openxmlformats.org/officeDocument/2006/relationships/hyperlink" Target="http://www.nevo.co.il/law/5227/43" TargetMode="External"/><Relationship Id="rId19" Type="http://schemas.openxmlformats.org/officeDocument/2006/relationships/hyperlink" Target="http://www.nevo.co.il/law/5227" TargetMode="External"/><Relationship Id="rId4" Type="http://schemas.openxmlformats.org/officeDocument/2006/relationships/footnotes" Target="footnotes.xml"/><Relationship Id="rId9" Type="http://schemas.openxmlformats.org/officeDocument/2006/relationships/hyperlink" Target="http://www.nevo.co.il/law/5227" TargetMode="External"/><Relationship Id="rId14" Type="http://schemas.openxmlformats.org/officeDocument/2006/relationships/hyperlink" Target="http://www.nevo.co.il/law/70301/144"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918</Words>
  <Characters>4595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5502</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8323175</vt:i4>
      </vt:variant>
      <vt:variant>
        <vt:i4>39</vt:i4>
      </vt:variant>
      <vt:variant>
        <vt:i4>0</vt:i4>
      </vt:variant>
      <vt:variant>
        <vt:i4>5</vt:i4>
      </vt:variant>
      <vt:variant>
        <vt:lpwstr>http://www.nevo.co.il/law/5227</vt:lpwstr>
      </vt:variant>
      <vt:variant>
        <vt:lpwstr/>
      </vt:variant>
      <vt:variant>
        <vt:i4>4915272</vt:i4>
      </vt:variant>
      <vt:variant>
        <vt:i4>36</vt:i4>
      </vt:variant>
      <vt:variant>
        <vt:i4>0</vt:i4>
      </vt:variant>
      <vt:variant>
        <vt:i4>5</vt:i4>
      </vt:variant>
      <vt:variant>
        <vt:lpwstr>http://www.nevo.co.il/law/5227/43</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6357092</vt:i4>
      </vt:variant>
      <vt:variant>
        <vt:i4>30</vt:i4>
      </vt:variant>
      <vt:variant>
        <vt:i4>0</vt:i4>
      </vt:variant>
      <vt:variant>
        <vt:i4>5</vt:i4>
      </vt:variant>
      <vt:variant>
        <vt:lpwstr>http://www.nevo.co.il/law/70301/144</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4063353</vt:i4>
      </vt:variant>
      <vt:variant>
        <vt:i4>21</vt:i4>
      </vt:variant>
      <vt:variant>
        <vt:i4>0</vt:i4>
      </vt:variant>
      <vt:variant>
        <vt:i4>5</vt:i4>
      </vt:variant>
      <vt:variant>
        <vt:lpwstr>http://www.nevo.co.il/case/25612982</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4915272</vt:i4>
      </vt:variant>
      <vt:variant>
        <vt:i4>12</vt:i4>
      </vt:variant>
      <vt:variant>
        <vt:i4>0</vt:i4>
      </vt:variant>
      <vt:variant>
        <vt:i4>5</vt:i4>
      </vt:variant>
      <vt:variant>
        <vt:lpwstr>http://www.nevo.co.il/law/5227/43</vt:lpwstr>
      </vt:variant>
      <vt:variant>
        <vt:lpwstr/>
      </vt:variant>
      <vt:variant>
        <vt:i4>8323175</vt:i4>
      </vt:variant>
      <vt:variant>
        <vt:i4>9</vt:i4>
      </vt:variant>
      <vt:variant>
        <vt:i4>0</vt:i4>
      </vt:variant>
      <vt:variant>
        <vt:i4>5</vt:i4>
      </vt:variant>
      <vt:variant>
        <vt:lpwstr>http://www.nevo.co.il/law/5227</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2025-01-19T16:54:00Z</dcterms:created>
  <dcterms:modified xsi:type="dcterms:W3CDTF">2025-01-19T16:54:00Z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10374</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מהאר אלקרעאן</vt:lpwstr>
  </property>
  <property fmtid="{D5CDD505-2E9C-101B-9397-08002B2CF9AE}" pid="10" name="LAWYER">
    <vt:lpwstr>אורלי פיתוסי;ויקטור אוזן</vt:lpwstr>
  </property>
  <property fmtid="{D5CDD505-2E9C-101B-9397-08002B2CF9AE}" pid="11" name="JUDGE">
    <vt:lpwstr>אלון גביזון</vt:lpwstr>
  </property>
  <property fmtid="{D5CDD505-2E9C-101B-9397-08002B2CF9AE}" pid="12" name="CITY">
    <vt:lpwstr>ב"ש</vt:lpwstr>
  </property>
  <property fmtid="{D5CDD505-2E9C-101B-9397-08002B2CF9AE}" pid="13" name="DATE">
    <vt:lpwstr>20240122</vt:lpwstr>
  </property>
  <property fmtid="{D5CDD505-2E9C-101B-9397-08002B2CF9AE}" pid="14" name="TYPE_N_DATE">
    <vt:lpwstr>39020240122</vt:lpwstr>
  </property>
  <property fmtid="{D5CDD505-2E9C-101B-9397-08002B2CF9AE}" pid="15" name="CASESLISTTMP1">
    <vt:lpwstr>25612982</vt:lpwstr>
  </property>
  <property fmtid="{D5CDD505-2E9C-101B-9397-08002B2CF9AE}" pid="16" name="WORDNUMPAGES">
    <vt:lpwstr>4</vt:lpwstr>
  </property>
  <property fmtid="{D5CDD505-2E9C-101B-9397-08002B2CF9AE}" pid="17" name="TYPE_ABS_DATE">
    <vt:lpwstr>390020240122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70301/144.b;144:2</vt:lpwstr>
  </property>
  <property fmtid="{D5CDD505-2E9C-101B-9397-08002B2CF9AE}" pid="37" name="LAWLISTTMP2">
    <vt:lpwstr>5227/043</vt:lpwstr>
  </property>
</Properties>
</file>