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67"/>
        <w:gridCol w:w="2838"/>
      </w:tblGrid>
      <w:tr w:rsidR="00B7149F" w:rsidRPr="007F3AB9" w14:paraId="3F27D481" w14:textId="77777777" w:rsidTr="00B9431F">
        <w:trPr>
          <w:trHeight w:hRule="exact" w:val="418"/>
          <w:jc w:val="center"/>
        </w:trPr>
        <w:tc>
          <w:tcPr>
            <w:tcW w:w="8505" w:type="dxa"/>
            <w:gridSpan w:val="2"/>
          </w:tcPr>
          <w:p w14:paraId="5D4F1D67" w14:textId="77777777" w:rsidR="00B7149F" w:rsidRPr="007F3AB9" w:rsidRDefault="00B7149F" w:rsidP="00B9431F">
            <w:pPr>
              <w:pStyle w:val="a3"/>
              <w:jc w:val="center"/>
              <w:rPr>
                <w:rFonts w:ascii="Tahoma" w:hAnsi="Tahoma" w:cs="Tahoma"/>
                <w:color w:val="000080"/>
                <w:rtl/>
              </w:rPr>
            </w:pPr>
            <w:bookmarkStart w:id="0" w:name="LastJudge"/>
            <w:r w:rsidRPr="007F3AB9">
              <w:rPr>
                <w:rFonts w:ascii="Tahoma" w:hAnsi="Tahoma" w:cs="Tahoma"/>
                <w:b/>
                <w:bCs/>
                <w:color w:val="000080"/>
                <w:rtl/>
              </w:rPr>
              <w:t>בית המשפט המחוזי בחיפה</w:t>
            </w:r>
          </w:p>
        </w:tc>
      </w:tr>
      <w:tr w:rsidR="00B7149F" w:rsidRPr="007F3AB9" w14:paraId="28C05557" w14:textId="77777777" w:rsidTr="00B9431F">
        <w:trPr>
          <w:trHeight w:val="337"/>
          <w:jc w:val="center"/>
        </w:trPr>
        <w:tc>
          <w:tcPr>
            <w:tcW w:w="5667" w:type="dxa"/>
          </w:tcPr>
          <w:p w14:paraId="76103BC4" w14:textId="77777777" w:rsidR="00B7149F" w:rsidRPr="007F3AB9" w:rsidRDefault="00B7149F" w:rsidP="00B9431F">
            <w:pPr>
              <w:rPr>
                <w:b/>
                <w:bCs/>
                <w:sz w:val="26"/>
                <w:szCs w:val="26"/>
              </w:rPr>
            </w:pPr>
            <w:r w:rsidRPr="007F3AB9">
              <w:rPr>
                <w:b/>
                <w:bCs/>
                <w:sz w:val="26"/>
                <w:szCs w:val="26"/>
                <w:rtl/>
              </w:rPr>
              <w:t xml:space="preserve">ת"פ 12606-07-22 מדינת ישראל נ' פריחאת (עציר) </w:t>
            </w:r>
          </w:p>
          <w:p w14:paraId="67D1C569" w14:textId="77777777" w:rsidR="00B7149F" w:rsidRPr="007F3AB9" w:rsidRDefault="00B7149F" w:rsidP="00B9431F">
            <w:pPr>
              <w:rPr>
                <w:b/>
                <w:bCs/>
                <w:sz w:val="2"/>
                <w:szCs w:val="2"/>
              </w:rPr>
            </w:pPr>
          </w:p>
          <w:p w14:paraId="758F4D0B" w14:textId="77777777" w:rsidR="00B7149F" w:rsidRPr="007F3AB9" w:rsidRDefault="00B7149F" w:rsidP="00B9431F">
            <w:pPr>
              <w:pStyle w:val="a3"/>
              <w:rPr>
                <w:rFonts w:cs="FrankRuehl"/>
                <w:sz w:val="28"/>
                <w:szCs w:val="28"/>
                <w:rtl/>
              </w:rPr>
            </w:pPr>
            <w:r w:rsidRPr="007F3AB9">
              <w:rPr>
                <w:b/>
                <w:bCs/>
                <w:sz w:val="26"/>
                <w:szCs w:val="26"/>
                <w:rtl/>
              </w:rPr>
              <w:t>ת"פ 24527-07-22</w:t>
            </w:r>
            <w:r w:rsidRPr="007F3AB9">
              <w:rPr>
                <w:b/>
                <w:bCs/>
                <w:rtl/>
              </w:rPr>
              <w:t xml:space="preserve"> </w:t>
            </w:r>
            <w:r w:rsidRPr="007F3AB9">
              <w:rPr>
                <w:b/>
                <w:bCs/>
                <w:sz w:val="26"/>
                <w:szCs w:val="26"/>
                <w:rtl/>
              </w:rPr>
              <w:t xml:space="preserve">מדינת ישראל נ' פריחאת (עציר)  </w:t>
            </w:r>
          </w:p>
        </w:tc>
        <w:tc>
          <w:tcPr>
            <w:tcW w:w="2838" w:type="dxa"/>
          </w:tcPr>
          <w:p w14:paraId="158BA186" w14:textId="77777777" w:rsidR="00B7149F" w:rsidRPr="007F3AB9" w:rsidRDefault="00B7149F" w:rsidP="00B9431F">
            <w:pPr>
              <w:pStyle w:val="a3"/>
              <w:jc w:val="right"/>
              <w:rPr>
                <w:rFonts w:cs="FrankRuehl"/>
                <w:sz w:val="28"/>
                <w:szCs w:val="28"/>
                <w:rtl/>
              </w:rPr>
            </w:pPr>
          </w:p>
        </w:tc>
      </w:tr>
    </w:tbl>
    <w:p w14:paraId="7596C544" w14:textId="77777777" w:rsidR="00B7149F" w:rsidRPr="007F3AB9" w:rsidRDefault="00B7149F" w:rsidP="00B7149F">
      <w:pPr>
        <w:pStyle w:val="a3"/>
        <w:rPr>
          <w:rtl/>
        </w:rPr>
      </w:pPr>
      <w:r w:rsidRPr="007F3AB9">
        <w:rPr>
          <w:rFonts w:hint="cs"/>
          <w:rtl/>
        </w:rPr>
        <w:t xml:space="preserve"> </w:t>
      </w:r>
    </w:p>
    <w:p w14:paraId="341AB9AA" w14:textId="77777777" w:rsidR="00B7149F" w:rsidRPr="007F3AB9" w:rsidRDefault="00B7149F" w:rsidP="00B7149F">
      <w:pPr>
        <w:rPr>
          <w:rtl/>
        </w:rPr>
      </w:pPr>
    </w:p>
    <w:p w14:paraId="00518142" w14:textId="77777777" w:rsidR="00B7149F" w:rsidRPr="007F3AB9" w:rsidRDefault="00B7149F" w:rsidP="00B7149F">
      <w:pPr>
        <w:rPr>
          <w:rtl/>
        </w:rPr>
      </w:pPr>
    </w:p>
    <w:tbl>
      <w:tblPr>
        <w:bidiVisual/>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1871"/>
        <w:gridCol w:w="5710"/>
      </w:tblGrid>
      <w:tr w:rsidR="00B7149F" w:rsidRPr="007F3AB9" w14:paraId="610FD7C4" w14:textId="77777777" w:rsidTr="00B7149F">
        <w:trPr>
          <w:trHeight w:val="295"/>
          <w:jc w:val="center"/>
        </w:trPr>
        <w:tc>
          <w:tcPr>
            <w:tcW w:w="778" w:type="dxa"/>
            <w:tcBorders>
              <w:top w:val="nil"/>
              <w:left w:val="nil"/>
              <w:bottom w:val="nil"/>
              <w:right w:val="nil"/>
            </w:tcBorders>
            <w:shd w:val="clear" w:color="auto" w:fill="auto"/>
          </w:tcPr>
          <w:p w14:paraId="51D873ED" w14:textId="77777777" w:rsidR="00B7149F" w:rsidRPr="007F3AB9" w:rsidRDefault="00B7149F" w:rsidP="00B7149F">
            <w:pPr>
              <w:jc w:val="both"/>
              <w:rPr>
                <w:rFonts w:ascii="David" w:hAnsi="David"/>
                <w:b/>
                <w:bCs/>
                <w:sz w:val="26"/>
                <w:szCs w:val="26"/>
              </w:rPr>
            </w:pPr>
            <w:r w:rsidRPr="007F3AB9">
              <w:rPr>
                <w:rFonts w:ascii="David" w:hAnsi="David"/>
                <w:b/>
                <w:bCs/>
                <w:sz w:val="26"/>
                <w:szCs w:val="26"/>
                <w:rtl/>
              </w:rPr>
              <w:t xml:space="preserve">בפני </w:t>
            </w:r>
          </w:p>
        </w:tc>
        <w:tc>
          <w:tcPr>
            <w:tcW w:w="7581" w:type="dxa"/>
            <w:gridSpan w:val="2"/>
            <w:tcBorders>
              <w:top w:val="nil"/>
              <w:left w:val="nil"/>
              <w:bottom w:val="nil"/>
              <w:right w:val="nil"/>
            </w:tcBorders>
            <w:shd w:val="clear" w:color="auto" w:fill="auto"/>
          </w:tcPr>
          <w:p w14:paraId="77E438B7" w14:textId="77777777" w:rsidR="00B7149F" w:rsidRPr="007F3AB9" w:rsidRDefault="00B7149F" w:rsidP="00B9431F">
            <w:pPr>
              <w:rPr>
                <w:rFonts w:ascii="David" w:hAnsi="David"/>
                <w:b/>
                <w:bCs/>
                <w:sz w:val="26"/>
                <w:szCs w:val="26"/>
              </w:rPr>
            </w:pPr>
            <w:r w:rsidRPr="007F3AB9">
              <w:rPr>
                <w:rFonts w:ascii="David" w:hAnsi="David"/>
                <w:b/>
                <w:bCs/>
                <w:sz w:val="26"/>
                <w:szCs w:val="26"/>
                <w:rtl/>
              </w:rPr>
              <w:t>כבוד השופטת  אספרנצה אלון</w:t>
            </w:r>
          </w:p>
          <w:p w14:paraId="0960C91B" w14:textId="77777777" w:rsidR="00B7149F" w:rsidRPr="007F3AB9" w:rsidRDefault="00B7149F" w:rsidP="00B7149F">
            <w:pPr>
              <w:jc w:val="both"/>
              <w:rPr>
                <w:rFonts w:ascii="David" w:hAnsi="David"/>
                <w:sz w:val="26"/>
                <w:szCs w:val="26"/>
                <w:rtl/>
              </w:rPr>
            </w:pPr>
          </w:p>
        </w:tc>
      </w:tr>
      <w:tr w:rsidR="00B7149F" w:rsidRPr="007F3AB9" w14:paraId="7727A93B" w14:textId="77777777" w:rsidTr="00B7149F">
        <w:trPr>
          <w:trHeight w:val="355"/>
          <w:jc w:val="center"/>
        </w:trPr>
        <w:tc>
          <w:tcPr>
            <w:tcW w:w="2649" w:type="dxa"/>
            <w:gridSpan w:val="2"/>
            <w:tcBorders>
              <w:top w:val="nil"/>
              <w:left w:val="nil"/>
              <w:bottom w:val="nil"/>
              <w:right w:val="nil"/>
            </w:tcBorders>
            <w:shd w:val="clear" w:color="auto" w:fill="auto"/>
          </w:tcPr>
          <w:p w14:paraId="37D55491" w14:textId="77777777" w:rsidR="00B7149F" w:rsidRPr="007F3AB9" w:rsidRDefault="00B7149F" w:rsidP="00B7149F">
            <w:pPr>
              <w:suppressLineNumbers/>
            </w:pPr>
            <w:bookmarkStart w:id="1" w:name="FirstAppellant"/>
            <w:r w:rsidRPr="007F3AB9">
              <w:rPr>
                <w:rFonts w:ascii="Arial" w:hAnsi="Arial"/>
                <w:b/>
                <w:bCs/>
                <w:sz w:val="26"/>
                <w:szCs w:val="26"/>
                <w:rtl/>
              </w:rPr>
              <w:t>המאשימה</w:t>
            </w:r>
          </w:p>
          <w:p w14:paraId="0E1A1AC4" w14:textId="77777777" w:rsidR="00B7149F" w:rsidRPr="007F3AB9" w:rsidRDefault="00B7149F" w:rsidP="00B9431F">
            <w:pPr>
              <w:rPr>
                <w:rFonts w:ascii="David" w:hAnsi="David"/>
                <w:sz w:val="26"/>
                <w:szCs w:val="26"/>
              </w:rPr>
            </w:pPr>
          </w:p>
        </w:tc>
        <w:tc>
          <w:tcPr>
            <w:tcW w:w="5710" w:type="dxa"/>
            <w:tcBorders>
              <w:top w:val="nil"/>
              <w:left w:val="nil"/>
              <w:bottom w:val="nil"/>
              <w:right w:val="nil"/>
            </w:tcBorders>
            <w:shd w:val="clear" w:color="auto" w:fill="auto"/>
            <w:vAlign w:val="center"/>
          </w:tcPr>
          <w:p w14:paraId="1A818DBF" w14:textId="77777777" w:rsidR="00B7149F" w:rsidRPr="007F3AB9" w:rsidRDefault="00B7149F" w:rsidP="00B7149F">
            <w:pPr>
              <w:suppressLineNumbers/>
              <w:rPr>
                <w:rFonts w:ascii="David" w:hAnsi="David"/>
                <w:sz w:val="26"/>
                <w:szCs w:val="26"/>
              </w:rPr>
            </w:pPr>
            <w:r w:rsidRPr="007F3AB9">
              <w:rPr>
                <w:rFonts w:ascii="Arial" w:hAnsi="Arial"/>
                <w:b/>
                <w:bCs/>
                <w:sz w:val="26"/>
                <w:szCs w:val="26"/>
                <w:rtl/>
              </w:rPr>
              <w:t xml:space="preserve">מדינת ישראל </w:t>
            </w:r>
          </w:p>
        </w:tc>
      </w:tr>
      <w:bookmarkEnd w:id="1"/>
      <w:tr w:rsidR="00B7149F" w:rsidRPr="007F3AB9" w14:paraId="4813D055" w14:textId="77777777" w:rsidTr="00B7149F">
        <w:trPr>
          <w:trHeight w:val="355"/>
          <w:jc w:val="center"/>
        </w:trPr>
        <w:tc>
          <w:tcPr>
            <w:tcW w:w="778" w:type="dxa"/>
            <w:tcBorders>
              <w:top w:val="nil"/>
              <w:left w:val="nil"/>
              <w:bottom w:val="nil"/>
              <w:right w:val="nil"/>
            </w:tcBorders>
            <w:shd w:val="clear" w:color="auto" w:fill="auto"/>
          </w:tcPr>
          <w:p w14:paraId="47943C43" w14:textId="77777777" w:rsidR="00B7149F" w:rsidRPr="007F3AB9" w:rsidRDefault="00B7149F" w:rsidP="00B7149F">
            <w:pPr>
              <w:jc w:val="both"/>
              <w:rPr>
                <w:rFonts w:ascii="David" w:hAnsi="David"/>
                <w:sz w:val="26"/>
                <w:szCs w:val="26"/>
              </w:rPr>
            </w:pPr>
          </w:p>
        </w:tc>
        <w:tc>
          <w:tcPr>
            <w:tcW w:w="7581" w:type="dxa"/>
            <w:gridSpan w:val="2"/>
            <w:tcBorders>
              <w:top w:val="nil"/>
              <w:left w:val="nil"/>
              <w:bottom w:val="nil"/>
              <w:right w:val="nil"/>
            </w:tcBorders>
            <w:shd w:val="clear" w:color="auto" w:fill="auto"/>
          </w:tcPr>
          <w:p w14:paraId="1CD8ABB0" w14:textId="77777777" w:rsidR="00B7149F" w:rsidRPr="007F3AB9" w:rsidRDefault="00B7149F" w:rsidP="00B7149F">
            <w:pPr>
              <w:jc w:val="center"/>
              <w:rPr>
                <w:rFonts w:ascii="David" w:hAnsi="David"/>
                <w:b/>
                <w:bCs/>
                <w:sz w:val="26"/>
                <w:szCs w:val="26"/>
                <w:rtl/>
              </w:rPr>
            </w:pPr>
          </w:p>
          <w:p w14:paraId="3F3F2E25" w14:textId="77777777" w:rsidR="00B7149F" w:rsidRPr="007F3AB9" w:rsidRDefault="00B7149F" w:rsidP="00B7149F">
            <w:pPr>
              <w:jc w:val="center"/>
              <w:rPr>
                <w:rFonts w:ascii="David" w:hAnsi="David"/>
                <w:b/>
                <w:bCs/>
                <w:sz w:val="26"/>
                <w:szCs w:val="26"/>
                <w:rtl/>
              </w:rPr>
            </w:pPr>
            <w:r w:rsidRPr="007F3AB9">
              <w:rPr>
                <w:rFonts w:ascii="David" w:hAnsi="David"/>
                <w:b/>
                <w:bCs/>
                <w:sz w:val="26"/>
                <w:szCs w:val="26"/>
                <w:rtl/>
              </w:rPr>
              <w:t>נגד</w:t>
            </w:r>
          </w:p>
          <w:p w14:paraId="75DA058C" w14:textId="77777777" w:rsidR="00B7149F" w:rsidRPr="007F3AB9" w:rsidRDefault="00B7149F" w:rsidP="00B7149F">
            <w:pPr>
              <w:jc w:val="both"/>
              <w:rPr>
                <w:rFonts w:ascii="David" w:hAnsi="David"/>
                <w:sz w:val="26"/>
                <w:szCs w:val="26"/>
                <w:rtl/>
              </w:rPr>
            </w:pPr>
          </w:p>
        </w:tc>
      </w:tr>
      <w:tr w:rsidR="00B7149F" w:rsidRPr="007F3AB9" w14:paraId="73684BCA" w14:textId="77777777" w:rsidTr="00B7149F">
        <w:trPr>
          <w:trHeight w:val="355"/>
          <w:jc w:val="center"/>
        </w:trPr>
        <w:tc>
          <w:tcPr>
            <w:tcW w:w="2649" w:type="dxa"/>
            <w:gridSpan w:val="2"/>
            <w:tcBorders>
              <w:top w:val="nil"/>
              <w:left w:val="nil"/>
              <w:bottom w:val="nil"/>
              <w:right w:val="nil"/>
            </w:tcBorders>
            <w:shd w:val="clear" w:color="auto" w:fill="auto"/>
          </w:tcPr>
          <w:p w14:paraId="3B2C2C1D" w14:textId="77777777" w:rsidR="00B7149F" w:rsidRPr="007F3AB9" w:rsidRDefault="00B7149F" w:rsidP="00B9431F">
            <w:pPr>
              <w:rPr>
                <w:rFonts w:ascii="Arial" w:hAnsi="Arial"/>
                <w:b/>
                <w:bCs/>
                <w:sz w:val="26"/>
                <w:szCs w:val="26"/>
              </w:rPr>
            </w:pPr>
            <w:bookmarkStart w:id="2" w:name="FirstLawyer"/>
            <w:r w:rsidRPr="007F3AB9">
              <w:rPr>
                <w:rFonts w:ascii="Arial" w:hAnsi="Arial"/>
                <w:b/>
                <w:bCs/>
                <w:sz w:val="26"/>
                <w:szCs w:val="26"/>
                <w:rtl/>
              </w:rPr>
              <w:t>הנאשם</w:t>
            </w:r>
          </w:p>
        </w:tc>
        <w:tc>
          <w:tcPr>
            <w:tcW w:w="5710" w:type="dxa"/>
            <w:tcBorders>
              <w:top w:val="nil"/>
              <w:left w:val="nil"/>
              <w:bottom w:val="nil"/>
              <w:right w:val="nil"/>
            </w:tcBorders>
            <w:shd w:val="clear" w:color="auto" w:fill="auto"/>
            <w:vAlign w:val="center"/>
          </w:tcPr>
          <w:p w14:paraId="28A52935" w14:textId="77777777" w:rsidR="00B7149F" w:rsidRPr="007F3AB9" w:rsidRDefault="00B7149F" w:rsidP="00B7149F">
            <w:pPr>
              <w:suppressLineNumbers/>
              <w:rPr>
                <w:rFonts w:ascii="Arial" w:hAnsi="Arial"/>
                <w:b/>
                <w:bCs/>
                <w:sz w:val="26"/>
                <w:szCs w:val="26"/>
                <w:rtl/>
              </w:rPr>
            </w:pPr>
            <w:r w:rsidRPr="007F3AB9">
              <w:rPr>
                <w:rFonts w:ascii="Arial" w:hAnsi="Arial"/>
                <w:b/>
                <w:bCs/>
                <w:sz w:val="26"/>
                <w:szCs w:val="26"/>
                <w:rtl/>
              </w:rPr>
              <w:t xml:space="preserve">חסאן פריחאת (עציר) </w:t>
            </w:r>
          </w:p>
          <w:p w14:paraId="632A9378" w14:textId="77777777" w:rsidR="00B7149F" w:rsidRPr="007F3AB9" w:rsidRDefault="00B7149F" w:rsidP="00B7149F">
            <w:pPr>
              <w:suppressLineNumbers/>
              <w:rPr>
                <w:rtl/>
              </w:rPr>
            </w:pPr>
            <w:r w:rsidRPr="007F3AB9">
              <w:rPr>
                <w:rFonts w:ascii="Arial" w:hAnsi="Arial"/>
                <w:b/>
                <w:bCs/>
                <w:sz w:val="26"/>
                <w:szCs w:val="26"/>
                <w:rtl/>
              </w:rPr>
              <w:t>ע"י ב"כ עוה"ד פאדי זועבי</w:t>
            </w:r>
          </w:p>
        </w:tc>
      </w:tr>
      <w:bookmarkEnd w:id="2"/>
    </w:tbl>
    <w:p w14:paraId="0330857D" w14:textId="77777777" w:rsidR="00B7149F" w:rsidRPr="007F3AB9" w:rsidRDefault="00B7149F" w:rsidP="00B7149F">
      <w:pPr>
        <w:rPr>
          <w:rtl/>
        </w:rPr>
      </w:pPr>
    </w:p>
    <w:p w14:paraId="777DBEAF" w14:textId="77777777" w:rsidR="00F14A12" w:rsidRPr="00F14A12" w:rsidRDefault="00F14A12" w:rsidP="00F14A12">
      <w:pPr>
        <w:spacing w:before="120" w:after="120" w:line="240" w:lineRule="exact"/>
        <w:ind w:left="283" w:hanging="283"/>
        <w:jc w:val="both"/>
        <w:rPr>
          <w:rFonts w:ascii="FrankRuehl" w:hAnsi="FrankRuehl" w:cs="FrankRuehl"/>
          <w:rtl/>
        </w:rPr>
      </w:pPr>
    </w:p>
    <w:p w14:paraId="2E093B36" w14:textId="77777777" w:rsidR="003425DA" w:rsidRDefault="003425DA" w:rsidP="003425DA">
      <w:pPr>
        <w:rPr>
          <w:rFonts w:ascii="Arial" w:hAnsi="Arial"/>
          <w:sz w:val="26"/>
          <w:szCs w:val="26"/>
          <w:rtl/>
        </w:rPr>
      </w:pPr>
      <w:bookmarkStart w:id="3" w:name="LawTable"/>
      <w:bookmarkEnd w:id="3"/>
    </w:p>
    <w:p w14:paraId="333145EF" w14:textId="77777777" w:rsidR="003425DA" w:rsidRPr="003425DA" w:rsidRDefault="003425DA" w:rsidP="003425DA">
      <w:pPr>
        <w:spacing w:before="120" w:after="120" w:line="240" w:lineRule="exact"/>
        <w:ind w:left="283" w:hanging="283"/>
        <w:jc w:val="both"/>
        <w:rPr>
          <w:rFonts w:ascii="FrankRuehl" w:hAnsi="FrankRuehl" w:cs="FrankRuehl"/>
          <w:rtl/>
        </w:rPr>
      </w:pPr>
    </w:p>
    <w:p w14:paraId="0454A7F6" w14:textId="77777777" w:rsidR="003425DA" w:rsidRPr="003425DA" w:rsidRDefault="003425DA" w:rsidP="003425DA">
      <w:pPr>
        <w:spacing w:before="120" w:after="120" w:line="240" w:lineRule="exact"/>
        <w:ind w:left="283" w:hanging="283"/>
        <w:jc w:val="both"/>
        <w:rPr>
          <w:rFonts w:ascii="FrankRuehl" w:hAnsi="FrankRuehl" w:cs="FrankRuehl"/>
          <w:rtl/>
        </w:rPr>
      </w:pPr>
    </w:p>
    <w:p w14:paraId="3EBC3C71" w14:textId="77777777" w:rsidR="003425DA" w:rsidRPr="003425DA" w:rsidRDefault="003425DA" w:rsidP="003425DA">
      <w:pPr>
        <w:spacing w:before="120" w:after="120" w:line="240" w:lineRule="exact"/>
        <w:ind w:left="283" w:hanging="283"/>
        <w:jc w:val="both"/>
        <w:rPr>
          <w:rFonts w:ascii="FrankRuehl" w:hAnsi="FrankRuehl" w:cs="FrankRuehl"/>
          <w:rtl/>
        </w:rPr>
      </w:pPr>
      <w:r w:rsidRPr="003425DA">
        <w:rPr>
          <w:rFonts w:ascii="FrankRuehl" w:hAnsi="FrankRuehl" w:cs="FrankRuehl"/>
          <w:rtl/>
        </w:rPr>
        <w:t xml:space="preserve">חקיקה שאוזכרה: </w:t>
      </w:r>
    </w:p>
    <w:p w14:paraId="56679E1B" w14:textId="77777777" w:rsidR="003425DA" w:rsidRPr="003425DA" w:rsidRDefault="003425DA" w:rsidP="003425DA">
      <w:pPr>
        <w:spacing w:before="120" w:after="120" w:line="240" w:lineRule="exact"/>
        <w:ind w:left="283" w:hanging="283"/>
        <w:jc w:val="both"/>
        <w:rPr>
          <w:rFonts w:ascii="FrankRuehl" w:hAnsi="FrankRuehl" w:cs="FrankRuehl"/>
          <w:rtl/>
        </w:rPr>
      </w:pPr>
      <w:hyperlink r:id="rId7" w:history="1">
        <w:r w:rsidRPr="003425DA">
          <w:rPr>
            <w:rFonts w:ascii="FrankRuehl" w:hAnsi="FrankRuehl" w:cs="FrankRuehl"/>
            <w:color w:val="0000FF"/>
            <w:rtl/>
          </w:rPr>
          <w:t>חוק הכניסה לישראל, תשי"ב-1952</w:t>
        </w:r>
      </w:hyperlink>
      <w:r w:rsidRPr="003425DA">
        <w:rPr>
          <w:rFonts w:ascii="FrankRuehl" w:hAnsi="FrankRuehl" w:cs="FrankRuehl"/>
          <w:rtl/>
        </w:rPr>
        <w:t xml:space="preserve">: סע'  </w:t>
      </w:r>
      <w:hyperlink r:id="rId8" w:history="1">
        <w:r w:rsidRPr="003425DA">
          <w:rPr>
            <w:rFonts w:ascii="FrankRuehl" w:hAnsi="FrankRuehl" w:cs="FrankRuehl"/>
            <w:color w:val="0000FF"/>
            <w:rtl/>
          </w:rPr>
          <w:t>12(1)</w:t>
        </w:r>
      </w:hyperlink>
    </w:p>
    <w:p w14:paraId="60295097" w14:textId="77777777" w:rsidR="003425DA" w:rsidRPr="003425DA" w:rsidRDefault="003425DA" w:rsidP="003425DA">
      <w:pPr>
        <w:spacing w:before="120" w:after="120" w:line="240" w:lineRule="exact"/>
        <w:ind w:left="283" w:hanging="283"/>
        <w:jc w:val="both"/>
        <w:rPr>
          <w:rFonts w:ascii="FrankRuehl" w:hAnsi="FrankRuehl" w:cs="FrankRuehl"/>
          <w:rtl/>
        </w:rPr>
      </w:pPr>
      <w:hyperlink r:id="rId9" w:history="1">
        <w:r w:rsidRPr="003425DA">
          <w:rPr>
            <w:rFonts w:ascii="FrankRuehl" w:hAnsi="FrankRuehl" w:cs="FrankRuehl"/>
            <w:color w:val="0000FF"/>
            <w:rtl/>
          </w:rPr>
          <w:t>חוק העונשין, תשל"ז-1977</w:t>
        </w:r>
      </w:hyperlink>
      <w:r w:rsidRPr="003425DA">
        <w:rPr>
          <w:rFonts w:ascii="FrankRuehl" w:hAnsi="FrankRuehl" w:cs="FrankRuehl"/>
          <w:rtl/>
        </w:rPr>
        <w:t xml:space="preserve">: סע'  </w:t>
      </w:r>
      <w:hyperlink r:id="rId10" w:history="1">
        <w:r w:rsidRPr="003425DA">
          <w:rPr>
            <w:rFonts w:ascii="FrankRuehl" w:hAnsi="FrankRuehl" w:cs="FrankRuehl"/>
            <w:color w:val="0000FF"/>
            <w:rtl/>
          </w:rPr>
          <w:t>29</w:t>
        </w:r>
      </w:hyperlink>
      <w:r w:rsidRPr="003425DA">
        <w:rPr>
          <w:rFonts w:ascii="FrankRuehl" w:hAnsi="FrankRuehl" w:cs="FrankRuehl"/>
          <w:rtl/>
        </w:rPr>
        <w:t xml:space="preserve">, </w:t>
      </w:r>
      <w:hyperlink r:id="rId11" w:history="1">
        <w:r w:rsidRPr="003425DA">
          <w:rPr>
            <w:rFonts w:ascii="FrankRuehl" w:hAnsi="FrankRuehl" w:cs="FrankRuehl"/>
            <w:color w:val="0000FF"/>
            <w:rtl/>
          </w:rPr>
          <w:t>40ט(א)</w:t>
        </w:r>
      </w:hyperlink>
      <w:r w:rsidRPr="003425DA">
        <w:rPr>
          <w:rFonts w:ascii="FrankRuehl" w:hAnsi="FrankRuehl" w:cs="FrankRuehl"/>
          <w:rtl/>
        </w:rPr>
        <w:t xml:space="preserve">, </w:t>
      </w:r>
      <w:hyperlink r:id="rId12" w:history="1">
        <w:r w:rsidRPr="003425DA">
          <w:rPr>
            <w:rFonts w:ascii="FrankRuehl" w:hAnsi="FrankRuehl" w:cs="FrankRuehl"/>
            <w:color w:val="0000FF"/>
            <w:rtl/>
          </w:rPr>
          <w:t>144(א)</w:t>
        </w:r>
      </w:hyperlink>
      <w:r w:rsidRPr="003425DA">
        <w:rPr>
          <w:rFonts w:ascii="FrankRuehl" w:hAnsi="FrankRuehl" w:cs="FrankRuehl"/>
          <w:rtl/>
        </w:rPr>
        <w:t xml:space="preserve">, </w:t>
      </w:r>
      <w:hyperlink r:id="rId13" w:history="1">
        <w:r w:rsidRPr="003425DA">
          <w:rPr>
            <w:rFonts w:ascii="FrankRuehl" w:hAnsi="FrankRuehl" w:cs="FrankRuehl"/>
            <w:color w:val="0000FF"/>
            <w:rtl/>
          </w:rPr>
          <w:t>144(ב)</w:t>
        </w:r>
      </w:hyperlink>
      <w:r w:rsidRPr="003425DA">
        <w:rPr>
          <w:rFonts w:ascii="FrankRuehl" w:hAnsi="FrankRuehl" w:cs="FrankRuehl"/>
          <w:rtl/>
        </w:rPr>
        <w:t xml:space="preserve">, </w:t>
      </w:r>
      <w:hyperlink r:id="rId14" w:history="1">
        <w:r w:rsidRPr="003425DA">
          <w:rPr>
            <w:rFonts w:ascii="FrankRuehl" w:hAnsi="FrankRuehl" w:cs="FrankRuehl"/>
            <w:color w:val="0000FF"/>
            <w:rtl/>
          </w:rPr>
          <w:t>144(ב2)</w:t>
        </w:r>
      </w:hyperlink>
      <w:r w:rsidRPr="003425DA">
        <w:rPr>
          <w:rFonts w:ascii="FrankRuehl" w:hAnsi="FrankRuehl" w:cs="FrankRuehl"/>
          <w:rtl/>
        </w:rPr>
        <w:t xml:space="preserve">, </w:t>
      </w:r>
      <w:hyperlink r:id="rId15" w:history="1">
        <w:r w:rsidRPr="003425DA">
          <w:rPr>
            <w:rFonts w:ascii="FrankRuehl" w:hAnsi="FrankRuehl" w:cs="FrankRuehl"/>
            <w:color w:val="0000FF"/>
            <w:rtl/>
          </w:rPr>
          <w:t>(ג)</w:t>
        </w:r>
      </w:hyperlink>
      <w:r w:rsidRPr="003425DA">
        <w:rPr>
          <w:rFonts w:ascii="FrankRuehl" w:hAnsi="FrankRuehl" w:cs="FrankRuehl"/>
          <w:rtl/>
        </w:rPr>
        <w:t xml:space="preserve">, </w:t>
      </w:r>
      <w:hyperlink r:id="rId16" w:history="1">
        <w:r w:rsidRPr="003425DA">
          <w:rPr>
            <w:rFonts w:ascii="FrankRuehl" w:hAnsi="FrankRuehl" w:cs="FrankRuehl"/>
            <w:color w:val="0000FF"/>
            <w:rtl/>
          </w:rPr>
          <w:t>40יג</w:t>
        </w:r>
      </w:hyperlink>
    </w:p>
    <w:p w14:paraId="2C05A871" w14:textId="77777777" w:rsidR="003425DA" w:rsidRPr="003425DA" w:rsidRDefault="003425DA" w:rsidP="003425DA">
      <w:pPr>
        <w:rPr>
          <w:rFonts w:ascii="Arial" w:hAnsi="Arial"/>
          <w:sz w:val="26"/>
          <w:szCs w:val="26"/>
          <w:rtl/>
        </w:rPr>
      </w:pPr>
      <w:bookmarkStart w:id="4" w:name="LawTable_End"/>
      <w:bookmarkEnd w:id="4"/>
    </w:p>
    <w:p w14:paraId="701BCCFE" w14:textId="77777777" w:rsidR="00B7149F" w:rsidRPr="00F14A12" w:rsidRDefault="00B7149F" w:rsidP="00F14A12">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149F" w14:paraId="725BE553" w14:textId="77777777" w:rsidTr="00B7149F">
        <w:trPr>
          <w:trHeight w:val="355"/>
          <w:jc w:val="center"/>
        </w:trPr>
        <w:tc>
          <w:tcPr>
            <w:tcW w:w="8820" w:type="dxa"/>
            <w:tcBorders>
              <w:top w:val="nil"/>
              <w:left w:val="nil"/>
              <w:bottom w:val="nil"/>
              <w:right w:val="nil"/>
            </w:tcBorders>
            <w:shd w:val="clear" w:color="auto" w:fill="auto"/>
          </w:tcPr>
          <w:p w14:paraId="75941339" w14:textId="77777777" w:rsidR="007F3AB9" w:rsidRPr="007F3AB9" w:rsidRDefault="007F3AB9" w:rsidP="007F3AB9">
            <w:pPr>
              <w:jc w:val="center"/>
              <w:rPr>
                <w:rFonts w:ascii="David" w:hAnsi="David"/>
                <w:b/>
                <w:bCs/>
                <w:sz w:val="32"/>
                <w:szCs w:val="32"/>
                <w:u w:val="single"/>
                <w:rtl/>
              </w:rPr>
            </w:pPr>
            <w:bookmarkStart w:id="5" w:name="PsakDin" w:colFirst="0" w:colLast="0"/>
            <w:bookmarkEnd w:id="0"/>
            <w:r w:rsidRPr="007F3AB9">
              <w:rPr>
                <w:rFonts w:ascii="David" w:hAnsi="David"/>
                <w:b/>
                <w:bCs/>
                <w:sz w:val="32"/>
                <w:szCs w:val="32"/>
                <w:u w:val="single"/>
                <w:rtl/>
              </w:rPr>
              <w:t>גזר דין</w:t>
            </w:r>
          </w:p>
          <w:p w14:paraId="4CB261B9" w14:textId="77777777" w:rsidR="00B7149F" w:rsidRPr="007F3AB9" w:rsidRDefault="00B7149F" w:rsidP="007F3AB9">
            <w:pPr>
              <w:jc w:val="center"/>
              <w:rPr>
                <w:rFonts w:ascii="David" w:hAnsi="David"/>
                <w:bCs/>
                <w:sz w:val="32"/>
                <w:szCs w:val="32"/>
                <w:u w:val="single"/>
                <w:rtl/>
              </w:rPr>
            </w:pPr>
          </w:p>
        </w:tc>
      </w:tr>
      <w:bookmarkEnd w:id="5"/>
    </w:tbl>
    <w:p w14:paraId="4A79894D" w14:textId="77777777" w:rsidR="00B7149F" w:rsidRPr="000F2247" w:rsidRDefault="00B7149F" w:rsidP="00B7149F">
      <w:pPr>
        <w:rPr>
          <w:rFonts w:ascii="Arial" w:hAnsi="Arial"/>
          <w:b/>
          <w:bCs/>
          <w:sz w:val="26"/>
          <w:szCs w:val="26"/>
          <w:rtl/>
        </w:rPr>
      </w:pPr>
    </w:p>
    <w:p w14:paraId="33953B65" w14:textId="77777777" w:rsidR="00B7149F" w:rsidRDefault="00B7149F" w:rsidP="00B7149F">
      <w:pPr>
        <w:spacing w:line="360" w:lineRule="auto"/>
        <w:jc w:val="both"/>
        <w:rPr>
          <w:rFonts w:ascii="David" w:hAnsi="David"/>
        </w:rPr>
      </w:pPr>
      <w:r>
        <w:rPr>
          <w:rFonts w:ascii="David" w:hAnsi="David"/>
          <w:b/>
          <w:bCs/>
          <w:rtl/>
        </w:rPr>
        <w:t xml:space="preserve">לפניי שני כתבי אישום שהדיון בהם אוחד. </w:t>
      </w:r>
    </w:p>
    <w:p w14:paraId="7F146528" w14:textId="77777777" w:rsidR="00B7149F" w:rsidRDefault="00B7149F" w:rsidP="00B7149F">
      <w:pPr>
        <w:spacing w:line="360" w:lineRule="auto"/>
        <w:jc w:val="both"/>
        <w:rPr>
          <w:rFonts w:ascii="David" w:hAnsi="David"/>
          <w:rtl/>
        </w:rPr>
      </w:pPr>
    </w:p>
    <w:p w14:paraId="4C79BD12"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ביום 14.03.2023 הודה הנאשם בעובדות כתב האישום המתוקן שהוגש כנגדו במסגרת הסדר טיעון, (ב</w:t>
      </w:r>
      <w:hyperlink r:id="rId17" w:history="1">
        <w:r w:rsidR="007F3AB9" w:rsidRPr="007F3AB9">
          <w:rPr>
            <w:rFonts w:ascii="David" w:hAnsi="David" w:cs="David"/>
            <w:color w:val="0000FF"/>
            <w:sz w:val="24"/>
            <w:szCs w:val="24"/>
            <w:u w:val="single"/>
            <w:rtl/>
          </w:rPr>
          <w:t>ת"פ 12606-07-22</w:t>
        </w:r>
      </w:hyperlink>
      <w:r>
        <w:rPr>
          <w:rFonts w:ascii="David" w:hAnsi="David" w:cs="David"/>
          <w:sz w:val="24"/>
          <w:szCs w:val="24"/>
          <w:rtl/>
        </w:rPr>
        <w:t xml:space="preserve"> וכן ב</w:t>
      </w:r>
      <w:hyperlink r:id="rId18" w:history="1">
        <w:r w:rsidR="007F3AB9" w:rsidRPr="007F3AB9">
          <w:rPr>
            <w:rFonts w:ascii="David" w:hAnsi="David" w:cs="David"/>
            <w:color w:val="0000FF"/>
            <w:sz w:val="24"/>
            <w:szCs w:val="24"/>
            <w:u w:val="single"/>
            <w:rtl/>
          </w:rPr>
          <w:t>ת"פ 24527-07-22</w:t>
        </w:r>
      </w:hyperlink>
      <w:r>
        <w:rPr>
          <w:rFonts w:ascii="David" w:hAnsi="David" w:cs="David"/>
          <w:sz w:val="24"/>
          <w:szCs w:val="24"/>
          <w:rtl/>
        </w:rPr>
        <w:t>, והורשע ב</w:t>
      </w:r>
      <w:bookmarkStart w:id="6" w:name="ABSTRACT_START"/>
      <w:bookmarkEnd w:id="6"/>
      <w:r>
        <w:rPr>
          <w:rFonts w:ascii="David" w:hAnsi="David" w:cs="David"/>
          <w:sz w:val="24"/>
          <w:szCs w:val="24"/>
          <w:rtl/>
        </w:rPr>
        <w:t xml:space="preserve">עבירות כניסה וישיבה בישראל שלא כחוק לפי </w:t>
      </w:r>
      <w:hyperlink r:id="rId19" w:history="1">
        <w:r w:rsidR="002B5DE6" w:rsidRPr="002B5DE6">
          <w:rPr>
            <w:rStyle w:val="Hyperlink"/>
            <w:rFonts w:ascii="David" w:hAnsi="David" w:cs="David"/>
            <w:sz w:val="24"/>
            <w:szCs w:val="24"/>
            <w:rtl/>
          </w:rPr>
          <w:t>סעיף 12(1)</w:t>
        </w:r>
      </w:hyperlink>
      <w:r>
        <w:rPr>
          <w:rFonts w:ascii="David" w:hAnsi="David" w:cs="David"/>
          <w:sz w:val="24"/>
          <w:szCs w:val="24"/>
          <w:rtl/>
        </w:rPr>
        <w:t xml:space="preserve"> ל</w:t>
      </w:r>
      <w:hyperlink r:id="rId20" w:history="1">
        <w:r w:rsidR="007F3AB9" w:rsidRPr="007F3AB9">
          <w:rPr>
            <w:rFonts w:ascii="David" w:hAnsi="David" w:cs="David"/>
            <w:color w:val="0000FF"/>
            <w:sz w:val="24"/>
            <w:szCs w:val="24"/>
            <w:u w:val="single"/>
            <w:rtl/>
          </w:rPr>
          <w:t>חוק הכניסה לישראל</w:t>
        </w:r>
      </w:hyperlink>
      <w:r>
        <w:rPr>
          <w:rFonts w:ascii="David" w:hAnsi="David" w:cs="David"/>
          <w:sz w:val="24"/>
          <w:szCs w:val="24"/>
          <w:rtl/>
        </w:rPr>
        <w:t xml:space="preserve"> התשי"ב-1952 (להלן: "</w:t>
      </w:r>
      <w:r>
        <w:rPr>
          <w:rFonts w:ascii="David" w:hAnsi="David" w:cs="David"/>
          <w:b/>
          <w:bCs/>
          <w:sz w:val="24"/>
          <w:szCs w:val="24"/>
          <w:rtl/>
        </w:rPr>
        <w:t>חוק הכניסה לישראל</w:t>
      </w:r>
      <w:r>
        <w:rPr>
          <w:rFonts w:ascii="David" w:hAnsi="David" w:cs="David"/>
          <w:sz w:val="24"/>
          <w:szCs w:val="24"/>
          <w:rtl/>
        </w:rPr>
        <w:t xml:space="preserve">"), בעבירות נשק (החזקה, נשיאה והובלה) לפי </w:t>
      </w:r>
      <w:hyperlink r:id="rId21" w:history="1">
        <w:r w:rsidR="002B5DE6" w:rsidRPr="002B5DE6">
          <w:rPr>
            <w:rStyle w:val="Hyperlink"/>
            <w:rFonts w:ascii="David" w:hAnsi="David" w:cs="David"/>
            <w:sz w:val="24"/>
            <w:szCs w:val="24"/>
            <w:rtl/>
          </w:rPr>
          <w:t>סעיף 144(א)</w:t>
        </w:r>
      </w:hyperlink>
      <w:r>
        <w:rPr>
          <w:rFonts w:ascii="David" w:hAnsi="David" w:cs="David"/>
          <w:sz w:val="24"/>
          <w:szCs w:val="24"/>
          <w:rtl/>
        </w:rPr>
        <w:t xml:space="preserve"> רישא וסיפא + </w:t>
      </w:r>
      <w:hyperlink r:id="rId22" w:history="1">
        <w:r w:rsidR="002B5DE6" w:rsidRPr="002B5DE6">
          <w:rPr>
            <w:rStyle w:val="Hyperlink"/>
            <w:rFonts w:ascii="David" w:hAnsi="David" w:cs="David"/>
            <w:sz w:val="24"/>
            <w:szCs w:val="24"/>
            <w:rtl/>
          </w:rPr>
          <w:t>סעיף 144(ב)</w:t>
        </w:r>
      </w:hyperlink>
      <w:r>
        <w:rPr>
          <w:rFonts w:ascii="David" w:hAnsi="David" w:cs="David"/>
          <w:sz w:val="24"/>
          <w:szCs w:val="24"/>
          <w:rtl/>
        </w:rPr>
        <w:t xml:space="preserve"> רישא וסיפא ל</w:t>
      </w:r>
      <w:hyperlink r:id="rId23" w:history="1">
        <w:r w:rsidR="007F3AB9" w:rsidRPr="007F3AB9">
          <w:rPr>
            <w:rFonts w:ascii="David" w:hAnsi="David" w:cs="David"/>
            <w:color w:val="0000FF"/>
            <w:sz w:val="24"/>
            <w:szCs w:val="24"/>
            <w:u w:val="single"/>
            <w:rtl/>
          </w:rPr>
          <w:t>חוק העונשין</w:t>
        </w:r>
      </w:hyperlink>
      <w:r>
        <w:rPr>
          <w:rFonts w:ascii="David" w:hAnsi="David" w:cs="David"/>
          <w:sz w:val="24"/>
          <w:szCs w:val="24"/>
          <w:rtl/>
        </w:rPr>
        <w:t>, התשל"ז-1977 (להלן: "</w:t>
      </w:r>
      <w:r>
        <w:rPr>
          <w:rFonts w:ascii="David" w:hAnsi="David" w:cs="David"/>
          <w:b/>
          <w:bCs/>
          <w:sz w:val="24"/>
          <w:szCs w:val="24"/>
          <w:rtl/>
        </w:rPr>
        <w:t>חוק העונשין</w:t>
      </w:r>
      <w:r>
        <w:rPr>
          <w:rFonts w:ascii="David" w:hAnsi="David" w:cs="David"/>
          <w:sz w:val="24"/>
          <w:szCs w:val="24"/>
          <w:rtl/>
        </w:rPr>
        <w:t xml:space="preserve">"), וכן עבירת סחר בנשק שלא כדין לפי </w:t>
      </w:r>
      <w:hyperlink r:id="rId24" w:history="1">
        <w:r w:rsidR="002B5DE6" w:rsidRPr="002B5DE6">
          <w:rPr>
            <w:rStyle w:val="Hyperlink"/>
            <w:rFonts w:ascii="David" w:hAnsi="David" w:cs="David"/>
            <w:sz w:val="24"/>
            <w:szCs w:val="24"/>
            <w:rtl/>
          </w:rPr>
          <w:t>סעיפים 144(ב2)</w:t>
        </w:r>
      </w:hyperlink>
      <w:r>
        <w:rPr>
          <w:rFonts w:ascii="David" w:hAnsi="David" w:cs="David"/>
          <w:sz w:val="24"/>
          <w:szCs w:val="24"/>
          <w:rtl/>
        </w:rPr>
        <w:t xml:space="preserve"> + </w:t>
      </w:r>
      <w:hyperlink r:id="rId25" w:history="1">
        <w:r w:rsidR="002B5DE6" w:rsidRPr="002B5DE6">
          <w:rPr>
            <w:rStyle w:val="Hyperlink"/>
            <w:rFonts w:ascii="David" w:hAnsi="David" w:cs="David"/>
            <w:sz w:val="24"/>
            <w:szCs w:val="24"/>
            <w:rtl/>
          </w:rPr>
          <w:t>(ג)</w:t>
        </w:r>
      </w:hyperlink>
      <w:r>
        <w:rPr>
          <w:rFonts w:ascii="David" w:hAnsi="David" w:cs="David"/>
          <w:sz w:val="24"/>
          <w:szCs w:val="24"/>
          <w:rtl/>
        </w:rPr>
        <w:t xml:space="preserve"> + </w:t>
      </w:r>
      <w:hyperlink r:id="rId26" w:history="1">
        <w:r w:rsidR="002B5DE6" w:rsidRPr="002B5DE6">
          <w:rPr>
            <w:rStyle w:val="Hyperlink"/>
            <w:rFonts w:ascii="David" w:hAnsi="David" w:cs="David"/>
            <w:sz w:val="24"/>
            <w:szCs w:val="24"/>
            <w:rtl/>
          </w:rPr>
          <w:t>29</w:t>
        </w:r>
      </w:hyperlink>
      <w:r>
        <w:rPr>
          <w:rFonts w:ascii="David" w:hAnsi="David" w:cs="David"/>
          <w:sz w:val="24"/>
          <w:szCs w:val="24"/>
          <w:rtl/>
        </w:rPr>
        <w:t xml:space="preserve"> לחוק העונשין.</w:t>
      </w:r>
    </w:p>
    <w:p w14:paraId="75573A05" w14:textId="77777777" w:rsidR="00B7149F" w:rsidRDefault="00B7149F" w:rsidP="00B7149F">
      <w:pPr>
        <w:pStyle w:val="aa"/>
        <w:spacing w:after="0" w:line="360" w:lineRule="auto"/>
        <w:ind w:left="84"/>
        <w:jc w:val="both"/>
        <w:rPr>
          <w:rFonts w:ascii="David" w:hAnsi="David" w:cs="David"/>
          <w:sz w:val="24"/>
          <w:szCs w:val="24"/>
          <w:rtl/>
        </w:rPr>
      </w:pPr>
      <w:bookmarkStart w:id="7" w:name="ABSTRACT_END"/>
      <w:bookmarkEnd w:id="7"/>
    </w:p>
    <w:p w14:paraId="2E59D3E5" w14:textId="77777777" w:rsidR="00B7149F" w:rsidRDefault="00B7149F" w:rsidP="00B7149F">
      <w:pPr>
        <w:pStyle w:val="aa"/>
        <w:numPr>
          <w:ilvl w:val="0"/>
          <w:numId w:val="1"/>
        </w:numPr>
        <w:spacing w:after="0" w:line="360" w:lineRule="auto"/>
        <w:ind w:left="84"/>
        <w:jc w:val="both"/>
        <w:rPr>
          <w:rFonts w:ascii="David" w:eastAsia="Times New Roman" w:hAnsi="David" w:cs="David"/>
          <w:color w:val="000000"/>
          <w:sz w:val="24"/>
          <w:szCs w:val="24"/>
        </w:rPr>
      </w:pPr>
      <w:r>
        <w:rPr>
          <w:rFonts w:ascii="David" w:eastAsia="Times New Roman" w:hAnsi="David" w:cs="David"/>
          <w:color w:val="000000"/>
          <w:sz w:val="24"/>
          <w:szCs w:val="24"/>
          <w:rtl/>
        </w:rPr>
        <w:t xml:space="preserve">הנאשם יליד 1997, כבן 26. </w:t>
      </w:r>
    </w:p>
    <w:p w14:paraId="4722B841" w14:textId="77777777" w:rsidR="00B7149F" w:rsidRDefault="00B7149F" w:rsidP="00B7149F">
      <w:pPr>
        <w:pStyle w:val="aa"/>
        <w:spacing w:after="0" w:line="360" w:lineRule="auto"/>
        <w:ind w:left="84"/>
        <w:jc w:val="both"/>
        <w:rPr>
          <w:rFonts w:ascii="David" w:eastAsia="Times New Roman" w:hAnsi="David" w:cs="David"/>
          <w:color w:val="000000"/>
          <w:sz w:val="24"/>
          <w:szCs w:val="24"/>
          <w:rtl/>
        </w:rPr>
      </w:pPr>
    </w:p>
    <w:p w14:paraId="1A037B12" w14:textId="77777777" w:rsidR="00B7149F" w:rsidRDefault="00B7149F" w:rsidP="00B7149F">
      <w:pPr>
        <w:pStyle w:val="aa"/>
        <w:numPr>
          <w:ilvl w:val="0"/>
          <w:numId w:val="1"/>
        </w:numPr>
        <w:spacing w:after="0" w:line="360" w:lineRule="auto"/>
        <w:ind w:left="84"/>
        <w:jc w:val="both"/>
        <w:rPr>
          <w:rFonts w:ascii="David" w:eastAsia="Times New Roman" w:hAnsi="David" w:cs="David"/>
          <w:color w:val="000000"/>
          <w:sz w:val="24"/>
          <w:szCs w:val="24"/>
          <w:rtl/>
        </w:rPr>
      </w:pPr>
      <w:r>
        <w:rPr>
          <w:rFonts w:ascii="David" w:hAnsi="David" w:cs="David"/>
          <w:sz w:val="24"/>
          <w:szCs w:val="24"/>
          <w:rtl/>
        </w:rPr>
        <w:t>לנאשם הרשעה אחת מיום 24.01.2019 בעבירת כניסה או ישיבה בישראל שלא כחוק (ריבוי עבירות). הנאשם נידון למאסר בפועל לתקופה של 32 יום; מאסר על תנאי של 4 חודשים שלא יעבור על כניסה לישראל שלא כדין במשך שנתיים; צו התחייבות להימנע מעבירה בסך 1,000 ₪ שלא ייכנס לישראל שלא כדין במשך שנתיים.</w:t>
      </w:r>
    </w:p>
    <w:p w14:paraId="129512C5" w14:textId="77777777" w:rsidR="00B7149F" w:rsidRDefault="00B7149F" w:rsidP="00B7149F">
      <w:pPr>
        <w:pStyle w:val="aa"/>
        <w:spacing w:after="0" w:line="360" w:lineRule="auto"/>
        <w:ind w:left="84"/>
        <w:jc w:val="both"/>
        <w:rPr>
          <w:rFonts w:ascii="David" w:eastAsia="Times New Roman" w:hAnsi="David" w:cs="David"/>
          <w:color w:val="000000"/>
          <w:sz w:val="24"/>
          <w:szCs w:val="24"/>
        </w:rPr>
      </w:pPr>
    </w:p>
    <w:p w14:paraId="7BFDD000" w14:textId="77777777" w:rsidR="00B7149F" w:rsidRDefault="00B7149F" w:rsidP="00B7149F">
      <w:pPr>
        <w:pStyle w:val="aa"/>
        <w:numPr>
          <w:ilvl w:val="0"/>
          <w:numId w:val="1"/>
        </w:numPr>
        <w:spacing w:after="0" w:line="360" w:lineRule="auto"/>
        <w:ind w:left="84"/>
        <w:jc w:val="both"/>
        <w:rPr>
          <w:rFonts w:ascii="David" w:eastAsia="Times New Roman" w:hAnsi="David" w:cs="David"/>
          <w:color w:val="000000"/>
          <w:sz w:val="24"/>
          <w:szCs w:val="24"/>
        </w:rPr>
      </w:pPr>
      <w:r>
        <w:rPr>
          <w:rFonts w:ascii="David" w:eastAsia="Times New Roman" w:hAnsi="David" w:cs="David"/>
          <w:color w:val="000000"/>
          <w:sz w:val="24"/>
          <w:szCs w:val="24"/>
          <w:rtl/>
        </w:rPr>
        <w:t xml:space="preserve">במסגרת </w:t>
      </w:r>
      <w:hyperlink r:id="rId27" w:history="1">
        <w:r w:rsidR="007F3AB9" w:rsidRPr="007F3AB9">
          <w:rPr>
            <w:rFonts w:ascii="David" w:eastAsia="Times New Roman" w:hAnsi="David" w:cs="David"/>
            <w:color w:val="0000FF"/>
            <w:sz w:val="24"/>
            <w:szCs w:val="24"/>
            <w:u w:val="single"/>
            <w:rtl/>
          </w:rPr>
          <w:t>ת"פ 12606-07-22</w:t>
        </w:r>
      </w:hyperlink>
      <w:r>
        <w:rPr>
          <w:rFonts w:ascii="David" w:eastAsia="Times New Roman" w:hAnsi="David" w:cs="David"/>
          <w:color w:val="000000"/>
          <w:sz w:val="24"/>
          <w:szCs w:val="24"/>
          <w:rtl/>
        </w:rPr>
        <w:t xml:space="preserve"> הנאשם נמצא במעצר מיום 16.02.2022 ועד תום ההליכים; בהמשך נעצר הנאשם גם במסגרת </w:t>
      </w:r>
      <w:hyperlink r:id="rId28" w:history="1">
        <w:r w:rsidR="007F3AB9" w:rsidRPr="007F3AB9">
          <w:rPr>
            <w:rFonts w:ascii="David" w:eastAsia="Times New Roman" w:hAnsi="David" w:cs="David"/>
            <w:color w:val="0000FF"/>
            <w:sz w:val="24"/>
            <w:szCs w:val="24"/>
            <w:u w:val="single"/>
            <w:rtl/>
          </w:rPr>
          <w:t>ת"פ 24527-07-22</w:t>
        </w:r>
      </w:hyperlink>
      <w:r>
        <w:rPr>
          <w:rFonts w:ascii="David" w:eastAsia="Times New Roman" w:hAnsi="David" w:cs="David"/>
          <w:color w:val="000000"/>
          <w:sz w:val="24"/>
          <w:szCs w:val="24"/>
          <w:rtl/>
        </w:rPr>
        <w:t xml:space="preserve"> מיום 06.07.2022 ועד תום ההליכים.</w:t>
      </w:r>
    </w:p>
    <w:p w14:paraId="5321984B" w14:textId="77777777" w:rsidR="00B7149F" w:rsidRDefault="00B7149F" w:rsidP="00B7149F">
      <w:pPr>
        <w:pStyle w:val="aa"/>
        <w:spacing w:after="0" w:line="360" w:lineRule="auto"/>
        <w:ind w:left="84"/>
        <w:jc w:val="both"/>
        <w:rPr>
          <w:rFonts w:ascii="David" w:eastAsia="Times New Roman" w:hAnsi="David" w:cs="David"/>
          <w:color w:val="000000"/>
          <w:sz w:val="24"/>
          <w:szCs w:val="24"/>
          <w:rtl/>
        </w:rPr>
      </w:pPr>
    </w:p>
    <w:p w14:paraId="4ADC5EAB" w14:textId="77777777" w:rsidR="00B7149F" w:rsidRPr="00B7149F" w:rsidRDefault="007F3AB9" w:rsidP="00B7149F">
      <w:pPr>
        <w:spacing w:line="360" w:lineRule="auto"/>
        <w:ind w:left="-341"/>
        <w:jc w:val="both"/>
        <w:rPr>
          <w:rFonts w:ascii="David" w:eastAsia="Calibri" w:hAnsi="David"/>
          <w:b/>
          <w:bCs/>
          <w:color w:val="000000"/>
        </w:rPr>
      </w:pPr>
      <w:hyperlink r:id="rId29" w:history="1">
        <w:r w:rsidRPr="007F3AB9">
          <w:rPr>
            <w:rFonts w:ascii="David" w:hAnsi="David"/>
            <w:b/>
            <w:bCs/>
            <w:color w:val="0000FF"/>
            <w:u w:val="single"/>
            <w:rtl/>
          </w:rPr>
          <w:t>ת"פ 24527-07-22</w:t>
        </w:r>
      </w:hyperlink>
      <w:r w:rsidR="00B7149F">
        <w:rPr>
          <w:rFonts w:ascii="David" w:hAnsi="David"/>
          <w:b/>
          <w:bCs/>
          <w:color w:val="000000"/>
          <w:rtl/>
        </w:rPr>
        <w:t xml:space="preserve"> - כתב האישום המתוקן והסדר הטיעון</w:t>
      </w:r>
      <w:r w:rsidR="00B7149F">
        <w:rPr>
          <w:rFonts w:ascii="David" w:hAnsi="David"/>
          <w:b/>
          <w:bCs/>
          <w:color w:val="000000"/>
        </w:rPr>
        <w:t>:</w:t>
      </w:r>
    </w:p>
    <w:p w14:paraId="0328B5C5" w14:textId="77777777" w:rsidR="00B7149F" w:rsidRDefault="00B7149F" w:rsidP="00B7149F">
      <w:pPr>
        <w:pStyle w:val="aa"/>
        <w:spacing w:after="0" w:line="360" w:lineRule="auto"/>
        <w:ind w:left="84"/>
        <w:jc w:val="both"/>
        <w:rPr>
          <w:rFonts w:ascii="David" w:hAnsi="David" w:cs="David"/>
          <w:sz w:val="24"/>
          <w:szCs w:val="24"/>
          <w:rtl/>
        </w:rPr>
      </w:pPr>
    </w:p>
    <w:p w14:paraId="4BD1EC68"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הנאשם אינו אזרח ישראל ובמועדים הרלוונטיים לכתב האישום, לא החזיק ברישיון או בהיתר לישיבה ארעית או קבע בישראל לפי </w:t>
      </w:r>
      <w:hyperlink r:id="rId30" w:history="1">
        <w:r w:rsidR="007F3AB9" w:rsidRPr="007F3AB9">
          <w:rPr>
            <w:rFonts w:ascii="David" w:hAnsi="David" w:cs="David"/>
            <w:color w:val="0000FF"/>
            <w:sz w:val="24"/>
            <w:szCs w:val="24"/>
            <w:u w:val="single"/>
            <w:rtl/>
          </w:rPr>
          <w:t>חוק הכניסה לישראל</w:t>
        </w:r>
      </w:hyperlink>
      <w:r>
        <w:rPr>
          <w:rFonts w:ascii="David" w:hAnsi="David" w:cs="David"/>
          <w:sz w:val="24"/>
          <w:szCs w:val="24"/>
          <w:rtl/>
        </w:rPr>
        <w:t>.</w:t>
      </w:r>
    </w:p>
    <w:p w14:paraId="4F672135" w14:textId="77777777" w:rsidR="00B7149F" w:rsidRDefault="00B7149F" w:rsidP="00B7149F">
      <w:pPr>
        <w:pStyle w:val="aa"/>
        <w:spacing w:after="0" w:line="360" w:lineRule="auto"/>
        <w:ind w:left="84"/>
        <w:jc w:val="both"/>
        <w:rPr>
          <w:rFonts w:ascii="David" w:hAnsi="David" w:cs="David"/>
          <w:sz w:val="24"/>
          <w:szCs w:val="24"/>
        </w:rPr>
      </w:pPr>
    </w:p>
    <w:p w14:paraId="4271CD6A"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בתאריך 13.10.2021 ובתאריך 14.10.2021 שוחחו ארכאן עזאם (להלן: " </w:t>
      </w:r>
      <w:r>
        <w:rPr>
          <w:rFonts w:ascii="David" w:hAnsi="David" w:cs="David"/>
          <w:b/>
          <w:bCs/>
          <w:sz w:val="24"/>
          <w:szCs w:val="24"/>
          <w:rtl/>
        </w:rPr>
        <w:t>ארכאן</w:t>
      </w:r>
      <w:r>
        <w:rPr>
          <w:rFonts w:ascii="David" w:hAnsi="David" w:cs="David"/>
          <w:sz w:val="24"/>
          <w:szCs w:val="24"/>
          <w:rtl/>
        </w:rPr>
        <w:t>") וסוכן משטרה (להלן: "</w:t>
      </w:r>
      <w:r>
        <w:rPr>
          <w:rFonts w:ascii="David" w:hAnsi="David" w:cs="David"/>
          <w:b/>
          <w:bCs/>
          <w:sz w:val="24"/>
          <w:szCs w:val="24"/>
          <w:rtl/>
        </w:rPr>
        <w:t>הסוכן</w:t>
      </w:r>
      <w:r>
        <w:rPr>
          <w:rFonts w:ascii="David" w:hAnsi="David" w:cs="David"/>
          <w:sz w:val="24"/>
          <w:szCs w:val="24"/>
          <w:rtl/>
        </w:rPr>
        <w:t xml:space="preserve">"). ארכאן עדכן את הסוכן כי ישנם שני רובים מסוג </w:t>
      </w:r>
      <w:r>
        <w:rPr>
          <w:rFonts w:ascii="David" w:hAnsi="David" w:cs="David"/>
          <w:sz w:val="24"/>
          <w:szCs w:val="24"/>
        </w:rPr>
        <w:t>M16</w:t>
      </w:r>
      <w:r>
        <w:rPr>
          <w:rFonts w:ascii="David" w:hAnsi="David" w:cs="David"/>
          <w:sz w:val="24"/>
          <w:szCs w:val="24"/>
          <w:rtl/>
        </w:rPr>
        <w:t xml:space="preserve"> </w:t>
      </w:r>
      <w:r>
        <w:rPr>
          <w:rFonts w:ascii="David" w:hAnsi="David" w:cs="David" w:hint="cs"/>
          <w:sz w:val="24"/>
          <w:szCs w:val="24"/>
          <w:rtl/>
        </w:rPr>
        <w:t>אותם הוא מעוניין למכור לסוכן (להלן: "</w:t>
      </w:r>
      <w:r>
        <w:rPr>
          <w:rFonts w:ascii="David" w:hAnsi="David" w:cs="David" w:hint="cs"/>
          <w:b/>
          <w:bCs/>
          <w:sz w:val="24"/>
          <w:szCs w:val="24"/>
          <w:rtl/>
        </w:rPr>
        <w:t>הרובים</w:t>
      </w:r>
      <w:r>
        <w:rPr>
          <w:rFonts w:ascii="David" w:hAnsi="David" w:cs="David" w:hint="cs"/>
          <w:sz w:val="24"/>
          <w:szCs w:val="24"/>
          <w:rtl/>
        </w:rPr>
        <w:t>") וביקש כי הסוכן ישוחח עם נאדר גדבאן (להלן: "</w:t>
      </w:r>
      <w:r>
        <w:rPr>
          <w:rFonts w:ascii="David" w:hAnsi="David" w:cs="David" w:hint="cs"/>
          <w:b/>
          <w:bCs/>
          <w:sz w:val="24"/>
          <w:szCs w:val="24"/>
          <w:rtl/>
        </w:rPr>
        <w:t>נאדר</w:t>
      </w:r>
      <w:r>
        <w:rPr>
          <w:rFonts w:ascii="David" w:hAnsi="David" w:cs="David" w:hint="cs"/>
          <w:sz w:val="24"/>
          <w:szCs w:val="24"/>
          <w:rtl/>
        </w:rPr>
        <w:t>") לגבי מחירם של הרובים, הסוכן, ארכאן ונאדר שוחחו וסיכמו כי הסוכן ישלם עבור כל אחד מהרובים סכום של 85,000 ₪ (להלן: "</w:t>
      </w:r>
      <w:r>
        <w:rPr>
          <w:rFonts w:ascii="David" w:hAnsi="David" w:cs="David" w:hint="cs"/>
          <w:b/>
          <w:bCs/>
          <w:sz w:val="24"/>
          <w:szCs w:val="24"/>
          <w:rtl/>
        </w:rPr>
        <w:t>עסקת הנשק</w:t>
      </w:r>
      <w:r>
        <w:rPr>
          <w:rFonts w:ascii="David" w:hAnsi="David" w:cs="David" w:hint="cs"/>
          <w:sz w:val="24"/>
          <w:szCs w:val="24"/>
          <w:rtl/>
        </w:rPr>
        <w:t>"). בהמשך ביום 18.10.2021 נפגשו הסוכן וארכאן בצומת מגידו סמוך לשעה 13:50, ארכאן נסע ברכבו לפני רכבו של הסוכן והוביל אותו לכפר סמוך אותו הסוכן אינו מכיר ובהמשך לכך עבר לרכבו של הסוכן. בשלב זה ארכאן התקשר אל הנאשם שהחזיק את הרובים ברשותו והודיע לו כי הוא מחכה, והסוכן מסר לארכאן סכום של 170,000 ₪ במזומן עבור עסקת הנשק. ארכאן ביקש מהסוכן, שלא יספר על דבר העסקה לנאשם. לאחר מכן נסעו הסוכן וארכאן לתוך הכפר, תוך שארכאן מכוון את הסוכן ליעד, והגיעו אל סמוך לגדר המפרידה בין שטחי ישראל לשטחי הרשות הפלסטינית (להלן: "</w:t>
      </w:r>
      <w:r>
        <w:rPr>
          <w:rFonts w:ascii="David" w:hAnsi="David" w:cs="David" w:hint="cs"/>
          <w:b/>
          <w:bCs/>
          <w:sz w:val="24"/>
          <w:szCs w:val="24"/>
          <w:rtl/>
        </w:rPr>
        <w:t>הגדר</w:t>
      </w:r>
      <w:r>
        <w:rPr>
          <w:rFonts w:ascii="David" w:hAnsi="David" w:cs="David" w:hint="cs"/>
          <w:sz w:val="24"/>
          <w:szCs w:val="24"/>
          <w:rtl/>
        </w:rPr>
        <w:t xml:space="preserve">"). בשלב זה ארכאן התקשר שוב אל הנאשם, אשר חצה את הגדר, נכנס לישראל בניגוד לחוק והגיע למקום לאחר מספר דקות כשהוא מחזיק נושא ומוביל חפץ דמוי רובה </w:t>
      </w:r>
      <w:r>
        <w:rPr>
          <w:rFonts w:ascii="David" w:hAnsi="David" w:cs="David"/>
          <w:sz w:val="24"/>
          <w:szCs w:val="24"/>
        </w:rPr>
        <w:t>M16</w:t>
      </w:r>
      <w:r>
        <w:rPr>
          <w:rFonts w:ascii="David" w:hAnsi="David" w:cs="David"/>
          <w:sz w:val="24"/>
          <w:szCs w:val="24"/>
          <w:rtl/>
        </w:rPr>
        <w:t xml:space="preserve"> נושא מספר טבוע 2765958, המכיל חלקים של כלי נשק תקנים כגון מכלול ירי של רובה סער </w:t>
      </w:r>
      <w:r>
        <w:rPr>
          <w:rFonts w:ascii="David" w:hAnsi="David" w:cs="David"/>
          <w:sz w:val="24"/>
          <w:szCs w:val="24"/>
        </w:rPr>
        <w:t>M16</w:t>
      </w:r>
      <w:r>
        <w:rPr>
          <w:rFonts w:ascii="David" w:hAnsi="David" w:cs="David"/>
          <w:sz w:val="24"/>
          <w:szCs w:val="24"/>
          <w:rtl/>
        </w:rPr>
        <w:t xml:space="preserve"> וקנה בקליבר 5.56 מ"מ וחפץ נוסף דמוי </w:t>
      </w:r>
      <w:r>
        <w:rPr>
          <w:rFonts w:ascii="David" w:hAnsi="David" w:cs="David"/>
          <w:sz w:val="24"/>
          <w:szCs w:val="24"/>
        </w:rPr>
        <w:t>M16</w:t>
      </w:r>
      <w:r>
        <w:rPr>
          <w:rFonts w:ascii="David" w:hAnsi="David" w:cs="David"/>
          <w:sz w:val="24"/>
          <w:szCs w:val="24"/>
          <w:rtl/>
        </w:rPr>
        <w:t xml:space="preserve"> נושא מספר טבוע 70245336 המכיל חלקים של כלי נשק תקנים כגון מכלול ירי של רובה סער </w:t>
      </w:r>
      <w:r>
        <w:rPr>
          <w:rFonts w:ascii="David" w:hAnsi="David" w:cs="David"/>
          <w:sz w:val="24"/>
          <w:szCs w:val="24"/>
        </w:rPr>
        <w:t>M16</w:t>
      </w:r>
      <w:r>
        <w:rPr>
          <w:rFonts w:ascii="David" w:hAnsi="David" w:cs="David"/>
          <w:sz w:val="24"/>
          <w:szCs w:val="24"/>
          <w:rtl/>
        </w:rPr>
        <w:t xml:space="preserve"> וקנה בקליבר 5.56 מ"מ (להלן: "</w:t>
      </w:r>
      <w:r>
        <w:rPr>
          <w:rFonts w:ascii="David" w:hAnsi="David" w:cs="David"/>
          <w:b/>
          <w:bCs/>
          <w:sz w:val="24"/>
          <w:szCs w:val="24"/>
          <w:rtl/>
        </w:rPr>
        <w:t>כלי הנשק</w:t>
      </w:r>
      <w:r>
        <w:rPr>
          <w:rFonts w:ascii="David" w:hAnsi="David" w:cs="David"/>
          <w:sz w:val="24"/>
          <w:szCs w:val="24"/>
          <w:rtl/>
        </w:rPr>
        <w:t>"), כאשר כלי הנשק היו בתוך שק והכניס אותם לתא המטען ברכבו של הסוכן.</w:t>
      </w:r>
      <w:r>
        <w:rPr>
          <w:rFonts w:ascii="David" w:hAnsi="David" w:cs="David"/>
          <w:sz w:val="24"/>
          <w:szCs w:val="24"/>
        </w:rPr>
        <w:t xml:space="preserve"> </w:t>
      </w:r>
      <w:r>
        <w:rPr>
          <w:rFonts w:ascii="David" w:hAnsi="David" w:cs="David"/>
          <w:sz w:val="24"/>
          <w:szCs w:val="24"/>
          <w:rtl/>
        </w:rPr>
        <w:t>כלי הנשק יורים ובכוחם להמית אדם וכל אחד מהם היה טעון במחסנית עם 7 כדורים.</w:t>
      </w:r>
      <w:r>
        <w:rPr>
          <w:rFonts w:ascii="David" w:hAnsi="David" w:cs="David"/>
          <w:sz w:val="24"/>
          <w:szCs w:val="24"/>
        </w:rPr>
        <w:t xml:space="preserve"> </w:t>
      </w:r>
      <w:r>
        <w:rPr>
          <w:rFonts w:ascii="David" w:hAnsi="David" w:cs="David"/>
          <w:sz w:val="24"/>
          <w:szCs w:val="24"/>
          <w:rtl/>
        </w:rPr>
        <w:t>בשלב זה העביר ארכאן לנאשם סכום של 120,000 ₪ עבור חלקו בעסקת הנשק והותיר ברשותו את יתרת הסכום שקיבל מהסוכן בגובה של 50,000 ₪. הסוכן הסיע את ארכאן חזרה לצומת מגידו, שם נפרדו השניים.</w:t>
      </w:r>
      <w:r>
        <w:rPr>
          <w:rFonts w:ascii="David" w:hAnsi="David" w:cs="David"/>
          <w:sz w:val="24"/>
          <w:szCs w:val="24"/>
        </w:rPr>
        <w:t xml:space="preserve"> </w:t>
      </w:r>
      <w:r>
        <w:rPr>
          <w:rFonts w:ascii="David" w:hAnsi="David" w:cs="David"/>
          <w:sz w:val="24"/>
          <w:szCs w:val="24"/>
          <w:rtl/>
        </w:rPr>
        <w:t>במעשיו המתוארים, הנאשם בצוותא חדא עם ארכאן סחרו בנשק, באביזר לנשק ובתחמושת בלא רשות על פי דין לעשות כן; כמו כן הנאשם החזיק, נשא והוביל נשק בלא רשות על פי דין ונכנס לישראל בניגוד לחוק.</w:t>
      </w:r>
    </w:p>
    <w:p w14:paraId="22E22936" w14:textId="77777777" w:rsidR="00B7149F" w:rsidRDefault="00B7149F" w:rsidP="00B7149F">
      <w:pPr>
        <w:pStyle w:val="aa"/>
        <w:spacing w:after="0" w:line="360" w:lineRule="auto"/>
        <w:ind w:left="84"/>
        <w:jc w:val="both"/>
        <w:rPr>
          <w:rFonts w:ascii="David" w:hAnsi="David" w:cs="David"/>
          <w:sz w:val="24"/>
          <w:szCs w:val="24"/>
        </w:rPr>
      </w:pPr>
    </w:p>
    <w:p w14:paraId="5953BDF4" w14:textId="77777777" w:rsidR="00B7149F" w:rsidRDefault="007F3AB9" w:rsidP="00B7149F">
      <w:pPr>
        <w:spacing w:line="360" w:lineRule="auto"/>
        <w:ind w:left="-341"/>
        <w:jc w:val="both"/>
        <w:rPr>
          <w:rFonts w:ascii="David" w:hAnsi="David"/>
          <w:b/>
          <w:bCs/>
          <w:color w:val="000000"/>
        </w:rPr>
      </w:pPr>
      <w:hyperlink r:id="rId31" w:history="1">
        <w:r w:rsidRPr="007F3AB9">
          <w:rPr>
            <w:rFonts w:ascii="David" w:hAnsi="David"/>
            <w:b/>
            <w:bCs/>
            <w:color w:val="0000FF"/>
            <w:u w:val="single"/>
            <w:rtl/>
          </w:rPr>
          <w:t>ת"פ 12606-07-22</w:t>
        </w:r>
      </w:hyperlink>
      <w:r w:rsidR="00B7149F">
        <w:rPr>
          <w:rFonts w:ascii="David" w:hAnsi="David"/>
          <w:b/>
          <w:bCs/>
          <w:color w:val="000000"/>
          <w:rtl/>
        </w:rPr>
        <w:t xml:space="preserve"> - כתב אישום מתוקן במסגרת הסדר טיעון (14.3.23)</w:t>
      </w:r>
    </w:p>
    <w:p w14:paraId="7CAB2276" w14:textId="77777777" w:rsidR="00B7149F" w:rsidRDefault="00B7149F" w:rsidP="00B7149F">
      <w:pPr>
        <w:pStyle w:val="aa"/>
        <w:spacing w:after="0" w:line="360" w:lineRule="auto"/>
        <w:ind w:left="84"/>
        <w:jc w:val="both"/>
        <w:rPr>
          <w:rFonts w:ascii="David" w:hAnsi="David" w:cs="David"/>
          <w:sz w:val="24"/>
          <w:szCs w:val="24"/>
        </w:rPr>
      </w:pPr>
    </w:p>
    <w:p w14:paraId="4C560D7D"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ביום 16.06.2022 בסמוך לשעה 13:36 שהה הנאשם בשטח מיוער סמוך ליישוב מי עמי, בניגוד לחוק וללא אישור כדין לכניסה ושהייה בישראל. באותו המועד, הנאשם החזיק, נשא והוביל אקדח חצי אוטומטי </w:t>
      </w:r>
      <w:r>
        <w:rPr>
          <w:rFonts w:ascii="David" w:hAnsi="David" w:cs="David"/>
          <w:sz w:val="24"/>
          <w:szCs w:val="24"/>
        </w:rPr>
        <w:t>D.D.G</w:t>
      </w:r>
      <w:r>
        <w:rPr>
          <w:rFonts w:ascii="David" w:hAnsi="David" w:cs="David"/>
          <w:sz w:val="24"/>
          <w:szCs w:val="24"/>
          <w:rtl/>
        </w:rPr>
        <w:t xml:space="preserve"> בקליבר 9 מ"מ פאראבלום ואקדח חצי אוטומטי </w:t>
      </w:r>
      <w:r>
        <w:rPr>
          <w:rFonts w:ascii="David" w:hAnsi="David" w:cs="David"/>
          <w:sz w:val="24"/>
          <w:szCs w:val="24"/>
        </w:rPr>
        <w:t>ZAGROS</w:t>
      </w:r>
      <w:r>
        <w:rPr>
          <w:rFonts w:ascii="David" w:hAnsi="David" w:cs="David"/>
          <w:sz w:val="24"/>
          <w:szCs w:val="24"/>
          <w:rtl/>
        </w:rPr>
        <w:t xml:space="preserve"> בקליבר 9 מ"מ פאראבלום, שסוגלו לירות כדור או קליע שבכוחם להמית אדם (להלן: </w:t>
      </w:r>
      <w:r>
        <w:rPr>
          <w:rFonts w:ascii="David" w:hAnsi="David" w:cs="David"/>
          <w:b/>
          <w:bCs/>
          <w:sz w:val="24"/>
          <w:szCs w:val="24"/>
          <w:rtl/>
        </w:rPr>
        <w:t>"כלי הנשק"</w:t>
      </w:r>
      <w:r>
        <w:rPr>
          <w:rFonts w:ascii="David" w:hAnsi="David" w:cs="David"/>
          <w:sz w:val="24"/>
          <w:szCs w:val="24"/>
          <w:rtl/>
        </w:rPr>
        <w:t xml:space="preserve">), וכן 4 מחסניות תואמות לכלי הנשק המהוות אביזר לנשק (להלן: </w:t>
      </w:r>
      <w:r>
        <w:rPr>
          <w:rFonts w:ascii="David" w:hAnsi="David" w:cs="David"/>
          <w:b/>
          <w:bCs/>
          <w:sz w:val="24"/>
          <w:szCs w:val="24"/>
          <w:rtl/>
        </w:rPr>
        <w:t>"המחסניות"</w:t>
      </w:r>
      <w:r>
        <w:rPr>
          <w:rFonts w:ascii="David" w:hAnsi="David" w:cs="David"/>
          <w:sz w:val="24"/>
          <w:szCs w:val="24"/>
          <w:rtl/>
        </w:rPr>
        <w:t xml:space="preserve">), הכל בתוך שקית שחורה </w:t>
      </w:r>
      <w:r>
        <w:rPr>
          <w:rFonts w:ascii="David" w:hAnsi="David" w:cs="David"/>
          <w:sz w:val="24"/>
          <w:szCs w:val="24"/>
          <w:rtl/>
        </w:rPr>
        <w:lastRenderedPageBreak/>
        <w:t xml:space="preserve">(להלן: </w:t>
      </w:r>
      <w:r>
        <w:rPr>
          <w:rFonts w:ascii="David" w:hAnsi="David" w:cs="David"/>
          <w:b/>
          <w:bCs/>
          <w:sz w:val="24"/>
          <w:szCs w:val="24"/>
          <w:rtl/>
        </w:rPr>
        <w:t>"השקית"</w:t>
      </w:r>
      <w:r>
        <w:rPr>
          <w:rFonts w:ascii="David" w:hAnsi="David" w:cs="David"/>
          <w:sz w:val="24"/>
          <w:szCs w:val="24"/>
          <w:rtl/>
        </w:rPr>
        <w:t>). באותן הנסיבות, הבחין הנאשם בכוח צה"ל המתקרב, ונמלט מהמקום כשהשקית בידו. לוחמי צה"ל רדפו אחר הנאשם עד שהשיגוהו לאחר כמה עשרות מטרים והשתלטו עליו, תוך הפעלת כוח סביר נוכח התנגדותו. תוך כדי הימלטותו, השליך הנאשם מידו את השקית. במעשיו המתוארים, הנאשם נכנס לישראל וישב בה בניגוד לחוק וללא היתר כדין; החזיק, נשא והוביל שני כלי נשק ואביזרים לכלי נשק, בלא רשות על פי דין להחזקתם, לנשיאתם ולהובלתם.</w:t>
      </w:r>
    </w:p>
    <w:p w14:paraId="1C5061BC" w14:textId="77777777" w:rsidR="00B7149F" w:rsidRDefault="00B7149F" w:rsidP="00B7149F">
      <w:pPr>
        <w:spacing w:line="360" w:lineRule="auto"/>
        <w:ind w:left="-341"/>
        <w:jc w:val="both"/>
        <w:rPr>
          <w:rFonts w:ascii="David" w:hAnsi="David"/>
          <w:b/>
          <w:bCs/>
          <w:color w:val="000000"/>
          <w:rtl/>
        </w:rPr>
      </w:pPr>
    </w:p>
    <w:p w14:paraId="52C21D4C" w14:textId="77777777" w:rsidR="00B7149F" w:rsidRDefault="00B7149F" w:rsidP="00B7149F">
      <w:pPr>
        <w:spacing w:line="360" w:lineRule="auto"/>
        <w:ind w:left="-341"/>
        <w:jc w:val="both"/>
        <w:rPr>
          <w:rFonts w:ascii="David" w:hAnsi="David"/>
          <w:b/>
          <w:bCs/>
          <w:color w:val="000000"/>
        </w:rPr>
      </w:pPr>
      <w:r>
        <w:rPr>
          <w:rFonts w:ascii="David" w:hAnsi="David"/>
          <w:b/>
          <w:bCs/>
          <w:color w:val="000000"/>
          <w:rtl/>
        </w:rPr>
        <w:t>עמדת המאשימה</w:t>
      </w:r>
    </w:p>
    <w:p w14:paraId="7BEAC8B1" w14:textId="77777777" w:rsidR="00B7149F" w:rsidRDefault="00B7149F" w:rsidP="00B7149F">
      <w:pPr>
        <w:spacing w:line="360" w:lineRule="auto"/>
        <w:ind w:left="84"/>
        <w:jc w:val="both"/>
        <w:rPr>
          <w:rFonts w:ascii="David" w:hAnsi="David"/>
          <w:b/>
          <w:bCs/>
          <w:color w:val="000000"/>
          <w:rtl/>
        </w:rPr>
      </w:pPr>
    </w:p>
    <w:p w14:paraId="79223791"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לעמדת המאשימה, הנאשם הודה והורשע בשני כתבי האישום המצוינים לעיל. לנאשם הרשעה אחת מיום 24.01.2019 בעבירת כניסה או ישיבה בישראל שלא כחוק (ריבוי עבירות), במסגרתה נידון למאסר בפועל לתקופה של 32 יום; מאסר על תנאי של 4 חודשים שלא יעבור על כניסה לישראל שלא כדין במשך שנתיים; צו התחייבות להימנע מעבירה בסך 1,000 ₪ שלא ייכנס לישראל שלא כדין במשך שנתיים. המאשימה טענה כי יש לקבוע מתחם ענישה נפרד לכל אחד מכתבי האישום המהווים אירועים שונים, זאת נוכח העובדה שמדובר בעבירות שבוצעו במועדים שונים לחלוטין בהפרש של 8 חודשים, בהרכב נאשמים שונה, העובדה כי קיים שוני בין העבירות, העבירות בוצעו במקומות שונים, הנאשם יכול היה לחדול לאחר ביצוע כל אחד מהאישומים והם אינם חלק מתכנית עבריינית אחת, כמו כן הוגשו כתבי אישום שונים בגין 2 תיקים שונים בבית המשפט. בשני כתבי האישום קיימות נסיבות מחמירות רבות במעשי הנאשם, שהצטברותן יחד מלמדות על החומרה היתרה שבמעשיו. כך מעובדות כתב האישום בת"פ 12696-07-22 עולה כי הנאשם היה מבצע העבירות הבלעדי, נשיאת והובלת כלי נשק בידי הנאשם עלולה הייתה לגרום לנזקים חמורים לגוף ולרכוש ואף לקטילת חיים, לא ניתן להצביע על סיבה מסוימת או מניע ייחודי שהביאו את הנאשם לבצע את העבירות המיוחסות, הנאשם בגיר, היה מודע היטב למעשיו, לחומרתם ולהשלכותיהם, והיה יכול להימנע מלעשות מעשיו. מעובדות כתב האישום השני , הוא </w:t>
      </w:r>
      <w:hyperlink r:id="rId32"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עולה כי לביצוע העבירה קדם תכנון של הנאשם וארכאן, שנערכו לסחור עם הסוכן בנשק ובתחמושת, חלקו של הנאשם היה עיקרי, סחר, נשיאה והובלה של כלי נשק בידי הנאשם היו עלולים לגרום לנזקים חמורים לגוף ולרכוש ואף לקטילת חיים. עוד הודגש כי מקום שמדובר ברובי סער (להבדיל מאקדחים) נקבע בפסיקה כי פוטנציאל הנזק והקטלניות של כלי נשק מסוג זה מהווים נסיבה לחומרה. מעובדות כתב האישום עולה כי בין הסיבות שהביאו את הנאשם לביצוע העבירה הייתה בין השאר בצע כסף. הדבר עולה מהרווח שהשיא הנאשם ממכירת כלי הנשק והתחמושת בסך של 120,000 ₪. במקרה זה הכניס הנאשם בעצמו את כלי הנשק משטחי הרשות הפלסטינאית לתוך שטח ישראל ויש לראות בכך נסיבה משמעותית לחומרה. הנאשם בגיר, היה מודע היטב למעשיו, לחומרתם ולהשלכותיהם, יכול היה להימנע ממעשיו אך לא עשה כן, העבירות בוצעו בצוותא חדא יחד עם אחרים.</w:t>
      </w:r>
    </w:p>
    <w:p w14:paraId="30BAACE3" w14:textId="77777777" w:rsidR="00B7149F" w:rsidRDefault="00B7149F" w:rsidP="00B7149F">
      <w:pPr>
        <w:pStyle w:val="a9"/>
        <w:spacing w:line="360" w:lineRule="auto"/>
        <w:ind w:left="567" w:hanging="567"/>
        <w:rPr>
          <w:rtl/>
        </w:rPr>
      </w:pPr>
    </w:p>
    <w:p w14:paraId="04875A02"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המאשימה טענה כי על בית המשפט אשר חפץ להילחם בתופעת האלימות הגואה באמצעות שימוש בנשק, חייב, בראש ובראשונה, להחמיר עבירות הנשק על נגזרותיהן - החזקה, נשיאה, הובלה וסחר בנשק ותחמושת כאמור. אם בית המשפט ילחם מלחמת חורמה בעבירות הללו, הדבר ישליך באופן ישיר על ביצוע עבירות אלימות באמצעות החזקת נשק בלתי חוקי ויצמצמן. ההחמרה הנדרשת </w:t>
      </w:r>
      <w:r>
        <w:rPr>
          <w:rFonts w:ascii="David" w:hAnsi="David" w:cs="David"/>
          <w:sz w:val="24"/>
          <w:szCs w:val="24"/>
          <w:rtl/>
        </w:rPr>
        <w:lastRenderedPageBreak/>
        <w:t>בעבירות נשק עולה גם מתיקון ל</w:t>
      </w:r>
      <w:hyperlink r:id="rId33" w:history="1">
        <w:r w:rsidR="007F3AB9" w:rsidRPr="007F3AB9">
          <w:rPr>
            <w:rFonts w:ascii="David" w:hAnsi="David" w:cs="David"/>
            <w:color w:val="0000FF"/>
            <w:sz w:val="24"/>
            <w:szCs w:val="24"/>
            <w:u w:val="single"/>
            <w:rtl/>
          </w:rPr>
          <w:t>חוק העונשין</w:t>
        </w:r>
      </w:hyperlink>
      <w:r>
        <w:rPr>
          <w:rFonts w:ascii="David" w:hAnsi="David" w:cs="David"/>
          <w:sz w:val="24"/>
          <w:szCs w:val="24"/>
          <w:rtl/>
        </w:rPr>
        <w:t>, אשר חוקק לאחרונה, ואשר קבע עונשי מינימום לביצוע עבירות בנשק ויש בו להעיד על מגמת ההחמרה בענישה בעבירות אלה, גם בחקיקה.</w:t>
      </w:r>
    </w:p>
    <w:p w14:paraId="5794B486" w14:textId="77777777" w:rsidR="00B7149F" w:rsidRDefault="00B7149F" w:rsidP="00B7149F">
      <w:pPr>
        <w:pStyle w:val="aa"/>
        <w:spacing w:after="0" w:line="360" w:lineRule="auto"/>
        <w:ind w:left="84"/>
        <w:jc w:val="both"/>
        <w:rPr>
          <w:rFonts w:ascii="David" w:hAnsi="David" w:cs="David"/>
          <w:sz w:val="24"/>
          <w:szCs w:val="24"/>
          <w:rtl/>
        </w:rPr>
      </w:pPr>
    </w:p>
    <w:p w14:paraId="7EDE628D"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בהתאם לכל המפורט לעיל, סבורה המאשימה כי ב</w:t>
      </w:r>
      <w:hyperlink r:id="rId34"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(סחר ועבירות נשק נוספות בהתייחס לשני רובי סער דמוי </w:t>
      </w:r>
      <w:r>
        <w:rPr>
          <w:rFonts w:ascii="David" w:hAnsi="David" w:cs="David"/>
          <w:sz w:val="24"/>
          <w:szCs w:val="24"/>
        </w:rPr>
        <w:t>M-16</w:t>
      </w:r>
      <w:r>
        <w:rPr>
          <w:rFonts w:ascii="David" w:hAnsi="David" w:cs="David"/>
          <w:sz w:val="24"/>
          <w:szCs w:val="24"/>
          <w:rtl/>
        </w:rPr>
        <w:t>) מתחם העונש ההולם אמור לנוע בין 7 ועד 9.5 שנות מאסר לצד מאסר מותנה וקנס משמעותי, ואילו בת"פ 12696-07-22 (החזקה נשיאה והובלה של שני אקדחים ו-4 מחסניות) מתחם העונש ההולם אמור לנוע בין 40-54 חודשי מאסר בפועל לצד מאסר מותנה וקנס. המתחם האמור מתייחס גם לעבירות הנלוות של כניסה לישראל שלא כחוק על המסוכנות הכרוכה בכך והענישה הנוהגת וכן את העובדה כי הנאשם הורשע בשתי עבירות דומות בהפרש של 8 חודשים דבר המלמד על כך שעיסוקו החוזר ונשנה בכלי נשק והכנסתם לשטחי מדינת ישראל אינו מקרי. המאשימה סברה שיש להטיל את עונשו בתוך של הנאשם כל אחד מהמתחמים בשליש התחתון, אך לא בתחתית המתחם. כמו כן, סברה המאשימה כי יש לצבור את העונשים בשני התיקים.</w:t>
      </w:r>
    </w:p>
    <w:p w14:paraId="3477AE50" w14:textId="77777777" w:rsidR="00B7149F" w:rsidRDefault="00B7149F" w:rsidP="00B7149F">
      <w:pPr>
        <w:spacing w:line="360" w:lineRule="auto"/>
        <w:jc w:val="both"/>
        <w:rPr>
          <w:rFonts w:ascii="David" w:hAnsi="David"/>
          <w:b/>
          <w:bCs/>
        </w:rPr>
      </w:pPr>
    </w:p>
    <w:p w14:paraId="6E670CE6" w14:textId="77777777" w:rsidR="00B7149F" w:rsidRDefault="00B7149F" w:rsidP="00B7149F">
      <w:pPr>
        <w:spacing w:line="360" w:lineRule="auto"/>
        <w:ind w:left="-341"/>
        <w:jc w:val="both"/>
        <w:rPr>
          <w:rFonts w:ascii="David" w:hAnsi="David"/>
          <w:b/>
          <w:bCs/>
          <w:color w:val="000000"/>
        </w:rPr>
      </w:pPr>
      <w:r>
        <w:rPr>
          <w:rFonts w:ascii="David" w:hAnsi="David"/>
          <w:b/>
          <w:bCs/>
          <w:color w:val="000000"/>
          <w:rtl/>
        </w:rPr>
        <w:t>עמדת ב"כ הנאשם</w:t>
      </w:r>
    </w:p>
    <w:p w14:paraId="0266CB98" w14:textId="77777777" w:rsidR="00B7149F" w:rsidRDefault="00B7149F" w:rsidP="00B7149F">
      <w:pPr>
        <w:spacing w:line="360" w:lineRule="auto"/>
        <w:ind w:left="84"/>
        <w:jc w:val="both"/>
        <w:rPr>
          <w:rFonts w:ascii="David" w:hAnsi="David"/>
          <w:b/>
          <w:bCs/>
          <w:color w:val="000000"/>
          <w:rtl/>
        </w:rPr>
      </w:pPr>
    </w:p>
    <w:p w14:paraId="3C9D3965"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לעמדת ב"כ הנאשם, מדובר בבחור צעיר כבן 26 שהודה באישומים בשלב מוקדם ביותר (הודאה בחקירה), הודאה אשר חסכה זמן שיפוטי יקר, חסכה בזמן שהיה נדרש לצורך עדות הסוכנים והמפעילים, כוחות צבא ומשטרה, פעולה שחסכה גם כספי ציבור וכן זמנו היקר של בית המשפט. הנאשם הבין את טעותו והודה בכך בהזדמנות הראשונה. בנוסף, ב"כ הנאשם טען כי מרבית עובדות כתב האישום ב</w:t>
      </w:r>
      <w:hyperlink r:id="rId35"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אינן עוסקות או מתייחסות לנאשם עצמו אלא לנאשם אחר ולסוכן המשטרה, בנוסף כי זמני נשיאת הנשק היו קצרים ביותר. הנאשם שוהה משך תקופה ארוכה בתוך כותלי בית הסוהר בתנאי מעצר קשים הואיל ומדובר בשוהה בלתי חוקי. הוא שוהה בבית סוהר פלילי רגיל המתרחשים בו אירועים ביטחוניים. לנאשם לא נרשמו כל אירוע משמעתי כזה או אחר. ב"כ הנאשם טען כי התקופה בה שוהה הנאשם במעצר הרתיעה אותו באופן ממשי מלבצע עוד עבירות כאלה או אחרות. הנאשם אינו רוצה לחזור לאולמות בתי משפט ולבטח שלא לבתי הסוהר, וכי הנאשם מבטיח שמכאן והלאה יצעד בדרך הישר. עוד צוין כי בחודש ינואר האחרון נולדה לנאשם בת קטנה אותו הוא אינו זוכה לגדל, והוא מצפה להשתחרר במהרה כדי להתחיל לעבוד ולגדל את בתו הקטנה. לעניין שני כתבי האישום, ב"כ הנאשם ביקש כי בית משפט יקבע שמדובר באירוע אחד מאחר שמדובר היה באותה פרצה בגדר, העבירות בוצעו בסמיכות זמנים וכיו"ב. עוד ציין ב"כ הנאשם כי אף אדם לא נפגע בשל העבירות שעבר הנאשם, הנשק לא היה "נשק מלוכלך", לא נעשה בנשק שימוש פלילי או ביטחוני, הנאשם לא עשה שימוש בנשק בעצמו. עוד טען ב"כ הנאשם כי מתחם העונש שהמאשימה ביקשה לקבוע הינו מוגזם, וכי לדעתו הוא אמור לנוע בין 40-60 חודשי מאסר לשני כתבי האישום יחדיו. באם בית המשפט יסבור אחרת, הרי שאז יש לקבוע כי העונשים יבוצעו בחפיפה. עוד ביקש ב"כ הנאשם כי בית המשפט לא ימצה את הדין, שכן מדובר בבחור צעיר, ללא עבר פלילי מכביד, הרוצה להשתקם ולשקם את חייו.</w:t>
      </w:r>
    </w:p>
    <w:p w14:paraId="76AFB3DA" w14:textId="77777777" w:rsidR="00B7149F" w:rsidRDefault="00B7149F" w:rsidP="00B7149F">
      <w:pPr>
        <w:pStyle w:val="aa"/>
        <w:spacing w:after="0" w:line="360" w:lineRule="auto"/>
        <w:ind w:left="84"/>
        <w:jc w:val="both"/>
        <w:rPr>
          <w:rFonts w:ascii="David" w:hAnsi="David" w:cs="David"/>
          <w:sz w:val="24"/>
          <w:szCs w:val="24"/>
          <w:rtl/>
        </w:rPr>
      </w:pPr>
    </w:p>
    <w:p w14:paraId="4D93B312" w14:textId="77777777" w:rsidR="00B7149F" w:rsidRDefault="00B7149F" w:rsidP="00B7149F">
      <w:pPr>
        <w:spacing w:line="360" w:lineRule="auto"/>
        <w:ind w:left="-341"/>
        <w:jc w:val="both"/>
        <w:rPr>
          <w:rFonts w:ascii="David" w:hAnsi="David"/>
          <w:b/>
          <w:bCs/>
          <w:color w:val="000000"/>
          <w:rtl/>
        </w:rPr>
      </w:pPr>
      <w:r>
        <w:rPr>
          <w:rFonts w:ascii="David" w:hAnsi="David"/>
          <w:b/>
          <w:bCs/>
          <w:color w:val="000000"/>
          <w:rtl/>
        </w:rPr>
        <w:t>דברים אחרונים מפי הנאשם:</w:t>
      </w:r>
    </w:p>
    <w:p w14:paraId="3649A390" w14:textId="77777777" w:rsidR="00B7149F" w:rsidRDefault="00B7149F" w:rsidP="00B7149F">
      <w:pPr>
        <w:spacing w:line="360" w:lineRule="auto"/>
        <w:ind w:left="84"/>
        <w:jc w:val="both"/>
        <w:rPr>
          <w:rFonts w:ascii="David" w:hAnsi="David"/>
          <w:b/>
          <w:bCs/>
          <w:color w:val="000000"/>
          <w:rtl/>
        </w:rPr>
      </w:pPr>
    </w:p>
    <w:p w14:paraId="4214A5FA" w14:textId="77777777" w:rsidR="00B7149F" w:rsidRDefault="00B7149F" w:rsidP="00B7149F">
      <w:pPr>
        <w:pStyle w:val="aa"/>
        <w:numPr>
          <w:ilvl w:val="0"/>
          <w:numId w:val="1"/>
        </w:numPr>
        <w:spacing w:after="0" w:line="360" w:lineRule="auto"/>
        <w:ind w:left="84"/>
        <w:jc w:val="both"/>
        <w:rPr>
          <w:rFonts w:ascii="David" w:hAnsi="David" w:cs="David"/>
          <w:color w:val="000000"/>
          <w:sz w:val="24"/>
          <w:szCs w:val="24"/>
          <w:shd w:val="clear" w:color="auto" w:fill="FFFFFF"/>
          <w:rtl/>
        </w:rPr>
      </w:pPr>
      <w:r>
        <w:rPr>
          <w:rFonts w:ascii="David" w:hAnsi="David" w:cs="David"/>
          <w:color w:val="000000"/>
          <w:sz w:val="24"/>
          <w:szCs w:val="24"/>
          <w:shd w:val="clear" w:color="auto" w:fill="FFFFFF"/>
          <w:rtl/>
        </w:rPr>
        <w:lastRenderedPageBreak/>
        <w:t>הנאשם טען בפני כי היה קטן מאוד בעת ביצוע העבירות וכי הוא מצטער מאוד על מה שעשה.</w:t>
      </w:r>
    </w:p>
    <w:p w14:paraId="2D30396B" w14:textId="77777777" w:rsidR="00B7149F" w:rsidRDefault="00B7149F" w:rsidP="00B7149F">
      <w:pPr>
        <w:spacing w:line="360" w:lineRule="auto"/>
        <w:jc w:val="both"/>
        <w:rPr>
          <w:rFonts w:ascii="David" w:hAnsi="David"/>
          <w:b/>
          <w:bCs/>
          <w:rtl/>
        </w:rPr>
      </w:pPr>
    </w:p>
    <w:p w14:paraId="2E17904B" w14:textId="77777777" w:rsidR="00B7149F" w:rsidRDefault="00B7149F" w:rsidP="00B7149F">
      <w:pPr>
        <w:spacing w:line="360" w:lineRule="auto"/>
        <w:ind w:left="-341"/>
        <w:jc w:val="both"/>
        <w:rPr>
          <w:rFonts w:ascii="David" w:hAnsi="David"/>
          <w:b/>
          <w:bCs/>
          <w:color w:val="000000"/>
        </w:rPr>
      </w:pPr>
      <w:r>
        <w:rPr>
          <w:rFonts w:ascii="David" w:hAnsi="David"/>
          <w:b/>
          <w:bCs/>
          <w:color w:val="000000"/>
          <w:rtl/>
        </w:rPr>
        <w:t>דיון והכרעה:</w:t>
      </w:r>
    </w:p>
    <w:p w14:paraId="59075F97" w14:textId="77777777" w:rsidR="00B7149F" w:rsidRDefault="00B7149F" w:rsidP="00B7149F">
      <w:pPr>
        <w:spacing w:line="360" w:lineRule="auto"/>
        <w:jc w:val="both"/>
        <w:rPr>
          <w:rFonts w:ascii="David" w:hAnsi="David"/>
          <w:b/>
          <w:bCs/>
          <w:color w:val="000000"/>
          <w:rtl/>
        </w:rPr>
      </w:pPr>
    </w:p>
    <w:p w14:paraId="0AEB159A"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על פי תיקון 113 ל</w:t>
      </w:r>
      <w:hyperlink r:id="rId36" w:history="1">
        <w:r w:rsidR="007F3AB9" w:rsidRPr="007F3AB9">
          <w:rPr>
            <w:rFonts w:ascii="David" w:hAnsi="David" w:cs="David"/>
            <w:color w:val="0000FF"/>
            <w:sz w:val="24"/>
            <w:szCs w:val="24"/>
            <w:u w:val="single"/>
            <w:rtl/>
          </w:rPr>
          <w:t>חוק העונשין</w:t>
        </w:r>
      </w:hyperlink>
      <w:r>
        <w:rPr>
          <w:rFonts w:ascii="David" w:hAnsi="David" w:cs="David"/>
          <w:sz w:val="24"/>
          <w:szCs w:val="24"/>
          <w:rtl/>
        </w:rPr>
        <w:t xml:space="preserve"> שעניינו הבניית שיקול הדעת השיפוטי בענישה, מתחם העונש ההולם ייקבע בהתאם לעקרון ההלימה ולשם כך נדרש בית המשפט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37" w:history="1">
        <w:r w:rsidR="002B5DE6" w:rsidRPr="002B5DE6">
          <w:rPr>
            <w:rStyle w:val="Hyperlink"/>
            <w:rFonts w:ascii="David" w:hAnsi="David" w:cs="David"/>
            <w:sz w:val="24"/>
            <w:szCs w:val="24"/>
            <w:rtl/>
          </w:rPr>
          <w:t>בסעיף 40ט(א)</w:t>
        </w:r>
      </w:hyperlink>
      <w:r>
        <w:rPr>
          <w:rFonts w:ascii="David" w:hAnsi="David" w:cs="David"/>
          <w:sz w:val="24"/>
          <w:szCs w:val="24"/>
          <w:rtl/>
        </w:rPr>
        <w:t xml:space="preserve"> לחוק</w:t>
      </w:r>
      <w:r>
        <w:rPr>
          <w:rFonts w:ascii="David" w:hAnsi="David" w:cs="David"/>
          <w:sz w:val="24"/>
          <w:szCs w:val="24"/>
        </w:rPr>
        <w:t>.</w:t>
      </w:r>
    </w:p>
    <w:p w14:paraId="77A85E14" w14:textId="77777777" w:rsidR="00B7149F" w:rsidRDefault="00B7149F" w:rsidP="00B7149F">
      <w:pPr>
        <w:spacing w:line="360" w:lineRule="auto"/>
        <w:jc w:val="both"/>
        <w:rPr>
          <w:rFonts w:ascii="David" w:hAnsi="David"/>
          <w:rtl/>
        </w:rPr>
      </w:pPr>
    </w:p>
    <w:p w14:paraId="112E1AC2"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המאשימה ביקשה לקבוע מתחם ענישה נפרד לכל אחד מהתיקים הפליליים שהוגשו כנגד הנאשם, ואילו ב"כ הנאשם טען כי מדובר באירוע פלילי אחד בגינו יש לקבוע מתחם ענישה כולל. לצורך בחינת העונש הראוי בנסיבות העניין, יש להכריע תחילה בשאלה האם עסקינן באירוע אחד או כמה אירועים, וכפועל יוצא מכך האם יש לקבוע מתחם עונש אחד או יותר, וזאת בהתאם </w:t>
      </w:r>
      <w:hyperlink r:id="rId38" w:history="1">
        <w:r w:rsidR="002B5DE6" w:rsidRPr="002B5DE6">
          <w:rPr>
            <w:rStyle w:val="Hyperlink"/>
            <w:rFonts w:ascii="David" w:hAnsi="David" w:cs="David"/>
            <w:sz w:val="24"/>
            <w:szCs w:val="24"/>
            <w:rtl/>
          </w:rPr>
          <w:t>לסעיף 40יג</w:t>
        </w:r>
      </w:hyperlink>
      <w:r>
        <w:rPr>
          <w:rFonts w:ascii="David" w:hAnsi="David" w:cs="David"/>
          <w:sz w:val="24"/>
          <w:szCs w:val="24"/>
          <w:rtl/>
        </w:rPr>
        <w:t xml:space="preserve"> ל</w:t>
      </w:r>
      <w:hyperlink r:id="rId39" w:history="1">
        <w:r w:rsidR="007F3AB9" w:rsidRPr="007F3AB9">
          <w:rPr>
            <w:rFonts w:ascii="David" w:hAnsi="David" w:cs="David"/>
            <w:color w:val="0000FF"/>
            <w:sz w:val="24"/>
            <w:szCs w:val="24"/>
            <w:u w:val="single"/>
            <w:rtl/>
          </w:rPr>
          <w:t>חוק העונשין</w:t>
        </w:r>
      </w:hyperlink>
      <w:r>
        <w:rPr>
          <w:rFonts w:ascii="David" w:hAnsi="David" w:cs="David"/>
          <w:sz w:val="24"/>
          <w:szCs w:val="24"/>
          <w:rtl/>
        </w:rPr>
        <w:t>, הנושא כותרת "ריבוי עבירות", שהינו כדלקמן:</w:t>
      </w:r>
    </w:p>
    <w:p w14:paraId="30C530C3" w14:textId="77777777" w:rsidR="00B7149F" w:rsidRDefault="00B7149F" w:rsidP="00B7149F">
      <w:pPr>
        <w:pStyle w:val="aa"/>
        <w:spacing w:after="0" w:line="360" w:lineRule="auto"/>
        <w:ind w:left="84"/>
        <w:jc w:val="both"/>
        <w:rPr>
          <w:rFonts w:ascii="David" w:hAnsi="David" w:cs="David"/>
          <w:sz w:val="24"/>
          <w:szCs w:val="24"/>
        </w:rPr>
      </w:pPr>
    </w:p>
    <w:p w14:paraId="17EC69BB"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r>
        <w:rPr>
          <w:rStyle w:val="big-number"/>
          <w:rFonts w:ascii="David" w:hAnsi="David" w:cs="David"/>
          <w:b/>
          <w:bCs/>
          <w:sz w:val="24"/>
          <w:szCs w:val="24"/>
          <w:rtl/>
        </w:rPr>
        <w:t>40</w:t>
      </w:r>
      <w:r>
        <w:rPr>
          <w:rStyle w:val="default"/>
          <w:rFonts w:ascii="David" w:hAnsi="David" w:cs="David"/>
          <w:b/>
          <w:bCs/>
          <w:sz w:val="24"/>
          <w:szCs w:val="24"/>
          <w:rtl/>
        </w:rPr>
        <w:t>יג. ריבוי עבירות</w:t>
      </w:r>
    </w:p>
    <w:p w14:paraId="63A0E9F2"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r>
        <w:rPr>
          <w:rStyle w:val="default"/>
          <w:rFonts w:ascii="David" w:hAnsi="David" w:cs="David"/>
          <w:b/>
          <w:bCs/>
          <w:sz w:val="24"/>
          <w:szCs w:val="24"/>
          <w:rtl/>
        </w:rPr>
        <w:t>(א)</w:t>
      </w:r>
      <w:r>
        <w:rPr>
          <w:rStyle w:val="default"/>
          <w:rFonts w:ascii="David" w:hAnsi="David" w:cs="David"/>
          <w:b/>
          <w:bCs/>
          <w:sz w:val="24"/>
          <w:szCs w:val="24"/>
          <w:rtl/>
        </w:rPr>
        <w:tab/>
        <w:t>הרשיע בית המשפט נאשם בכמה עבירות המהוות אירוע אחד, יקבע מתחם עונש הולם כאמור בסעיף 40ג(א) לאירוע כולו, ויגזור עונש כולל לכל העבירות בשל אותו אירוע.</w:t>
      </w:r>
    </w:p>
    <w:p w14:paraId="2F3BDFE7"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r>
        <w:rPr>
          <w:rStyle w:val="default"/>
          <w:rFonts w:ascii="David" w:hAnsi="David" w:cs="David"/>
          <w:b/>
          <w:bCs/>
          <w:sz w:val="24"/>
          <w:szCs w:val="24"/>
          <w:rtl/>
        </w:rPr>
        <w:t>(ב)</w:t>
      </w:r>
      <w:r>
        <w:rPr>
          <w:rStyle w:val="default"/>
          <w:rFonts w:ascii="David" w:hAnsi="David" w:cs="David"/>
          <w:b/>
          <w:bCs/>
          <w:sz w:val="24"/>
          <w:szCs w:val="24"/>
          <w:rtl/>
        </w:rPr>
        <w:tab/>
        <w:t>הרשיע בית המשפט נאשם בכמה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p>
    <w:p w14:paraId="2709657B"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r>
        <w:rPr>
          <w:rStyle w:val="default"/>
          <w:rFonts w:ascii="David" w:hAnsi="David" w:cs="David"/>
          <w:b/>
          <w:bCs/>
          <w:sz w:val="24"/>
          <w:szCs w:val="24"/>
          <w:rtl/>
        </w:rPr>
        <w:t>(ג)</w:t>
      </w:r>
      <w:r>
        <w:rPr>
          <w:rStyle w:val="default"/>
          <w:rFonts w:ascii="David" w:hAnsi="David" w:cs="David"/>
          <w:b/>
          <w:bCs/>
          <w:sz w:val="24"/>
          <w:szCs w:val="24"/>
          <w:rtl/>
        </w:rPr>
        <w:tab/>
        <w:t>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2E86DAE1" w14:textId="77777777" w:rsidR="00B7149F" w:rsidRDefault="00B7149F" w:rsidP="00B7149F">
      <w:pPr>
        <w:pStyle w:val="aa"/>
        <w:spacing w:after="0" w:line="360" w:lineRule="auto"/>
        <w:ind w:left="84"/>
        <w:jc w:val="both"/>
        <w:rPr>
          <w:rtl/>
        </w:rPr>
      </w:pPr>
    </w:p>
    <w:p w14:paraId="0687B040" w14:textId="77777777" w:rsidR="00B7149F" w:rsidRDefault="00B7149F" w:rsidP="00B7149F">
      <w:pPr>
        <w:pStyle w:val="aa"/>
        <w:numPr>
          <w:ilvl w:val="0"/>
          <w:numId w:val="1"/>
        </w:numPr>
        <w:spacing w:after="0" w:line="360" w:lineRule="auto"/>
        <w:ind w:left="84"/>
        <w:jc w:val="both"/>
        <w:rPr>
          <w:rFonts w:ascii="David" w:hAnsi="David" w:cs="David"/>
          <w:color w:val="000000"/>
          <w:sz w:val="24"/>
          <w:szCs w:val="24"/>
          <w:rtl/>
        </w:rPr>
      </w:pPr>
      <w:r>
        <w:rPr>
          <w:rFonts w:ascii="David" w:hAnsi="David" w:cs="David"/>
          <w:sz w:val="24"/>
          <w:szCs w:val="24"/>
          <w:rtl/>
        </w:rPr>
        <w:t>השאלה אם מספר עבירות מהוות אירוע עברייני אחד או שמא מדובר במספר אירועים עבריינים שונים, מוכרעת על פי הקשר שבין האירועים והעבירות. מקום בו ניתן לקבוע כי קיים "קשר ענייני הדוק" בין האירועים והעבירות, יש לקבוע מתחם עונש אחד. ב</w:t>
      </w:r>
      <w:hyperlink r:id="rId40" w:history="1">
        <w:r w:rsidR="007F3AB9" w:rsidRPr="007F3AB9">
          <w:rPr>
            <w:rFonts w:ascii="David" w:hAnsi="David" w:cs="David"/>
            <w:color w:val="0000FF"/>
            <w:sz w:val="24"/>
            <w:szCs w:val="24"/>
            <w:u w:val="single"/>
            <w:rtl/>
          </w:rPr>
          <w:t>ע"פ 1261/15</w:t>
        </w:r>
      </w:hyperlink>
      <w:r w:rsidR="007F3AB9">
        <w:rPr>
          <w:rFonts w:ascii="David" w:hAnsi="David" w:cs="David"/>
          <w:sz w:val="24"/>
          <w:szCs w:val="24"/>
          <w:rtl/>
        </w:rPr>
        <w:t xml:space="preserve"> </w:t>
      </w:r>
      <w:r>
        <w:rPr>
          <w:rFonts w:ascii="David" w:hAnsi="David" w:cs="David"/>
          <w:b/>
          <w:bCs/>
          <w:sz w:val="24"/>
          <w:szCs w:val="24"/>
          <w:rtl/>
        </w:rPr>
        <w:t>מדינת ישראל נ' יוסף דלאל</w:t>
      </w:r>
      <w:r w:rsidR="007F3AB9">
        <w:rPr>
          <w:rFonts w:ascii="David" w:hAnsi="David" w:cs="David"/>
          <w:sz w:val="24"/>
          <w:szCs w:val="24"/>
          <w:rtl/>
        </w:rPr>
        <w:t xml:space="preserve"> </w:t>
      </w:r>
      <w:r>
        <w:rPr>
          <w:rFonts w:ascii="David" w:hAnsi="David" w:cs="David"/>
          <w:sz w:val="24"/>
          <w:szCs w:val="24"/>
          <w:rtl/>
        </w:rPr>
        <w:t>(נבו 03.09.2015)‏</w:t>
      </w:r>
      <w:r>
        <w:rPr>
          <w:rFonts w:ascii="David" w:hAnsi="David" w:cs="David"/>
          <w:color w:val="000000"/>
          <w:sz w:val="24"/>
          <w:szCs w:val="24"/>
          <w:rtl/>
        </w:rPr>
        <w:t xml:space="preserve">‏ נקבע כדלקמן: </w:t>
      </w:r>
    </w:p>
    <w:p w14:paraId="1E8137CE" w14:textId="77777777" w:rsidR="00B7149F" w:rsidRDefault="00B7149F" w:rsidP="00B7149F">
      <w:pPr>
        <w:pStyle w:val="aa"/>
        <w:spacing w:after="0" w:line="360" w:lineRule="auto"/>
        <w:ind w:left="84"/>
        <w:jc w:val="both"/>
        <w:rPr>
          <w:rFonts w:ascii="David" w:hAnsi="David" w:cs="David"/>
          <w:color w:val="000000"/>
          <w:sz w:val="24"/>
          <w:szCs w:val="24"/>
          <w:rtl/>
        </w:rPr>
      </w:pPr>
    </w:p>
    <w:p w14:paraId="5E46A849" w14:textId="77777777" w:rsidR="00B7149F" w:rsidRDefault="00B7149F" w:rsidP="00B7149F">
      <w:pPr>
        <w:pStyle w:val="P000"/>
        <w:tabs>
          <w:tab w:val="left" w:pos="7455"/>
        </w:tabs>
        <w:spacing w:before="72" w:line="360" w:lineRule="auto"/>
        <w:ind w:left="651" w:right="567"/>
        <w:rPr>
          <w:rFonts w:ascii="David" w:hAnsi="David" w:cs="David"/>
          <w:b/>
          <w:bCs/>
          <w:color w:val="000000"/>
          <w:sz w:val="24"/>
          <w:szCs w:val="24"/>
          <w:rtl/>
        </w:rPr>
      </w:pPr>
      <w:r>
        <w:rPr>
          <w:rFonts w:ascii="David" w:hAnsi="David" w:cs="David"/>
          <w:b/>
          <w:bCs/>
          <w:color w:val="000000"/>
          <w:sz w:val="24"/>
          <w:szCs w:val="24"/>
          <w:rtl/>
        </w:rPr>
        <w:t xml:space="preserve">"כדי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w:t>
      </w:r>
      <w:r>
        <w:rPr>
          <w:rStyle w:val="default"/>
          <w:rFonts w:ascii="David" w:hAnsi="David" w:cs="David"/>
          <w:b/>
          <w:bCs/>
          <w:sz w:val="24"/>
          <w:szCs w:val="24"/>
          <w:rtl/>
        </w:rPr>
        <w:t>אלה</w:t>
      </w:r>
      <w:r>
        <w:rPr>
          <w:rFonts w:ascii="David" w:hAnsi="David" w:cs="David"/>
          <w:b/>
          <w:bCs/>
          <w:color w:val="000000"/>
          <w:sz w:val="24"/>
          <w:szCs w:val="24"/>
          <w:rtl/>
        </w:rPr>
        <w:t xml:space="preserve"> מהוות "מבחני עזר" לקביעת עוצמת הקשר. במסגרת זו ניתן לבחון, למשל, האם ביצוען של העבירות מאופיין בתכנון; האם ניתן להצביע על שיטתיות בביצוע העבירות; האם העבירות התרחשו בסמיכות </w:t>
      </w:r>
      <w:r>
        <w:rPr>
          <w:rFonts w:ascii="David" w:hAnsi="David" w:cs="David"/>
          <w:b/>
          <w:bCs/>
          <w:color w:val="000000"/>
          <w:sz w:val="24"/>
          <w:szCs w:val="24"/>
          <w:rtl/>
        </w:rPr>
        <w:lastRenderedPageBreak/>
        <w:t>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p>
    <w:p w14:paraId="57B2D92D" w14:textId="77777777" w:rsidR="00B7149F" w:rsidRDefault="00B7149F" w:rsidP="00B7149F">
      <w:pPr>
        <w:pStyle w:val="P000"/>
        <w:tabs>
          <w:tab w:val="left" w:pos="7455"/>
        </w:tabs>
        <w:spacing w:before="72" w:line="360" w:lineRule="auto"/>
        <w:ind w:left="651" w:right="567"/>
        <w:rPr>
          <w:rFonts w:ascii="David" w:hAnsi="David" w:cs="David"/>
          <w:b/>
          <w:bCs/>
          <w:color w:val="000000"/>
          <w:sz w:val="24"/>
          <w:szCs w:val="24"/>
        </w:rPr>
      </w:pPr>
    </w:p>
    <w:p w14:paraId="03427954"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בכתב האישום ב</w:t>
      </w:r>
      <w:hyperlink r:id="rId41"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עיקר כובד העבירות המיוחסות לנאשם הינן חציית הגדר וכניסה לישראל בניגוד לחוק כשהוא נושא עמו 2 רובי סער מסוג </w:t>
      </w:r>
      <w:r>
        <w:rPr>
          <w:rFonts w:ascii="David" w:hAnsi="David" w:cs="David"/>
          <w:sz w:val="24"/>
          <w:szCs w:val="24"/>
        </w:rPr>
        <w:t xml:space="preserve"> M16</w:t>
      </w:r>
      <w:r>
        <w:rPr>
          <w:rFonts w:ascii="David" w:hAnsi="David" w:cs="David"/>
          <w:sz w:val="24"/>
          <w:szCs w:val="24"/>
          <w:rtl/>
        </w:rPr>
        <w:t>. ב</w:t>
      </w:r>
      <w:hyperlink r:id="rId42" w:history="1">
        <w:r w:rsidR="007F3AB9" w:rsidRPr="007F3AB9">
          <w:rPr>
            <w:rFonts w:ascii="David" w:hAnsi="David" w:cs="David"/>
            <w:color w:val="0000FF"/>
            <w:sz w:val="24"/>
            <w:szCs w:val="24"/>
            <w:u w:val="single"/>
            <w:rtl/>
          </w:rPr>
          <w:t>ת"פ 12606-07-22</w:t>
        </w:r>
      </w:hyperlink>
      <w:r>
        <w:rPr>
          <w:rFonts w:ascii="David" w:hAnsi="David" w:cs="David"/>
          <w:sz w:val="24"/>
          <w:szCs w:val="24"/>
          <w:rtl/>
        </w:rPr>
        <w:t xml:space="preserve"> עיקר כובד העבירות המיוחסות לנאשם היו שהיה בישראל בניגוד לחוק וכן נשיאה והובלה של 2 אקדחים חצי אוטומטיים מסוג </w:t>
      </w:r>
      <w:r>
        <w:rPr>
          <w:rFonts w:ascii="David" w:hAnsi="David" w:cs="David"/>
          <w:sz w:val="24"/>
          <w:szCs w:val="24"/>
        </w:rPr>
        <w:t>ZAGROS</w:t>
      </w:r>
      <w:r>
        <w:rPr>
          <w:rFonts w:ascii="David" w:hAnsi="David" w:cs="David"/>
          <w:sz w:val="24"/>
          <w:szCs w:val="24"/>
          <w:rtl/>
        </w:rPr>
        <w:t xml:space="preserve"> ו-</w:t>
      </w:r>
      <w:r>
        <w:rPr>
          <w:rFonts w:ascii="David" w:hAnsi="David" w:cs="David"/>
          <w:sz w:val="24"/>
          <w:szCs w:val="24"/>
        </w:rPr>
        <w:t>D.D.G</w:t>
      </w:r>
      <w:r>
        <w:rPr>
          <w:rFonts w:ascii="David" w:hAnsi="David" w:cs="David"/>
          <w:sz w:val="24"/>
          <w:szCs w:val="24"/>
          <w:rtl/>
        </w:rPr>
        <w:t xml:space="preserve"> לרבות מחסניות. אני בדעה כי על פי מבחני העזר שצוינו בפסיקה יש להכיר באירועים כנפרדים זה מזה.</w:t>
      </w:r>
    </w:p>
    <w:p w14:paraId="28354729" w14:textId="77777777" w:rsidR="00B7149F" w:rsidRDefault="00B7149F" w:rsidP="00B7149F">
      <w:pPr>
        <w:spacing w:line="360" w:lineRule="auto"/>
        <w:jc w:val="both"/>
        <w:rPr>
          <w:rFonts w:ascii="David" w:hAnsi="David"/>
          <w:rtl/>
        </w:rPr>
      </w:pPr>
    </w:p>
    <w:p w14:paraId="1EF7B9DA"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אכן, ניתן לראות כי כתבי האישום עוסקים שניהם בעיקרם בעבירות נשק, הן של החזקה, נשיאה והובלה, והן של סחר בנשק שלא כדין, עם זאת אין להתעלם מהעובדה כי בין שני האירועים מושאי כתבי האישום מצוי פער זמנים גדול ביותר של כשמונה חודשים, פער משמעותי שיש בו כדי לנתק את השתלשלות האירועים זה מזה. גם אם מדובר היה לכאורה בשיטת פעולה עבריינית אחת ומתמשכת של נשיאה, הובלה וסחר בנשק בניגוד לחוק, סבורני כי פער הזמנים הרב השורר בין קרות האירוע האחד לשני מנתק הלכה למעשה את הקשר הלכאורי הקיים בין האירועים ומעמיד, ולו מבחינה נורמטיבית, כל אירוע כעצמאי העומד על רגליו הוא. ודוק, מבלי לקבוע מסמרות בנושא סבורני כי אילו בין האירועים היה קיים פער זמנים של ימים אחדים, לחלופין כשבוע עד לכל היותר חודש ימים, יכול והדברים היו נראים ומקבלים פרשנות אחרת. אך לא כך הדבר בענייננו ופער הזמנים המשמעותי בין האירועים מחייב ניתוק האירועים זה מזה, כך שכל אחד מהם יעמוד בפני עצמו. הדבר נכון הן מבחינה עובדתית והן מבחינה נורמטיבית. בנוסף לאמור, באישום </w:t>
      </w:r>
      <w:hyperlink r:id="rId43"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נתפס הנאשם במהלך מבצע סוכן ואילו באישום </w:t>
      </w:r>
      <w:hyperlink r:id="rId44" w:history="1">
        <w:r w:rsidR="007F3AB9" w:rsidRPr="007F3AB9">
          <w:rPr>
            <w:rFonts w:ascii="David" w:hAnsi="David" w:cs="David"/>
            <w:color w:val="0000FF"/>
            <w:sz w:val="24"/>
            <w:szCs w:val="24"/>
            <w:u w:val="single"/>
            <w:rtl/>
          </w:rPr>
          <w:t>ת"פ 12606-07-22</w:t>
        </w:r>
      </w:hyperlink>
      <w:r>
        <w:rPr>
          <w:rFonts w:ascii="David" w:hAnsi="David" w:cs="David"/>
          <w:sz w:val="24"/>
          <w:szCs w:val="24"/>
          <w:rtl/>
        </w:rPr>
        <w:t xml:space="preserve"> נתפס הנאשם (כשמונה חודשים לאחר מכן) על ידי לוחמי צה"ל, שלא היו מעורבים במבצע הסוכן המדובר ולא היו קשורים אליו, דבר אשר יש בו גם כדי לנתק את שני האירועים זה מזה. </w:t>
      </w:r>
    </w:p>
    <w:p w14:paraId="20A1B564" w14:textId="77777777" w:rsidR="00B7149F" w:rsidRDefault="00B7149F" w:rsidP="00B7149F">
      <w:pPr>
        <w:spacing w:line="360" w:lineRule="auto"/>
        <w:jc w:val="both"/>
        <w:rPr>
          <w:rFonts w:ascii="David" w:hAnsi="David"/>
          <w:rtl/>
        </w:rPr>
      </w:pPr>
    </w:p>
    <w:p w14:paraId="76B884F5" w14:textId="77777777" w:rsidR="00B7149F" w:rsidRDefault="00B7149F" w:rsidP="00B7149F">
      <w:pPr>
        <w:pStyle w:val="aa"/>
        <w:numPr>
          <w:ilvl w:val="0"/>
          <w:numId w:val="1"/>
        </w:numPr>
        <w:spacing w:after="0" w:line="360" w:lineRule="auto"/>
        <w:ind w:left="84"/>
        <w:jc w:val="both"/>
        <w:rPr>
          <w:rFonts w:ascii="David" w:hAnsi="David" w:cs="David"/>
          <w:b/>
          <w:bCs/>
          <w:color w:val="000000"/>
          <w:sz w:val="24"/>
          <w:szCs w:val="24"/>
          <w:rtl/>
        </w:rPr>
      </w:pPr>
      <w:r>
        <w:rPr>
          <w:rFonts w:ascii="David" w:hAnsi="David" w:cs="David"/>
          <w:color w:val="000000"/>
          <w:sz w:val="24"/>
          <w:szCs w:val="24"/>
          <w:rtl/>
        </w:rPr>
        <w:t>אציין כי בקביעתי זו, עמד לנגד עיניי דברי כבוד השופט צ' זילברטל שהובאו ב</w:t>
      </w:r>
      <w:hyperlink r:id="rId45" w:history="1">
        <w:r w:rsidR="007F3AB9" w:rsidRPr="007F3AB9">
          <w:rPr>
            <w:rFonts w:ascii="David" w:hAnsi="David" w:cs="David"/>
            <w:color w:val="0000FF"/>
            <w:sz w:val="24"/>
            <w:szCs w:val="24"/>
            <w:u w:val="single"/>
            <w:rtl/>
          </w:rPr>
          <w:t>ע"פ 5643/14</w:t>
        </w:r>
      </w:hyperlink>
      <w:r w:rsidR="007F3AB9">
        <w:rPr>
          <w:rFonts w:ascii="David" w:hAnsi="David" w:cs="David"/>
          <w:sz w:val="24"/>
          <w:szCs w:val="24"/>
          <w:rtl/>
        </w:rPr>
        <w:t xml:space="preserve"> </w:t>
      </w:r>
      <w:r>
        <w:rPr>
          <w:rFonts w:ascii="David" w:hAnsi="David" w:cs="David"/>
          <w:b/>
          <w:bCs/>
          <w:sz w:val="24"/>
          <w:szCs w:val="24"/>
          <w:rtl/>
        </w:rPr>
        <w:t>אחמד עיסא נ' מדינת ישראל</w:t>
      </w:r>
      <w:r w:rsidR="007F3AB9">
        <w:rPr>
          <w:rFonts w:ascii="David" w:hAnsi="David" w:cs="David"/>
          <w:sz w:val="24"/>
          <w:szCs w:val="24"/>
          <w:rtl/>
        </w:rPr>
        <w:t xml:space="preserve"> </w:t>
      </w:r>
      <w:r>
        <w:rPr>
          <w:rFonts w:ascii="David" w:hAnsi="David" w:cs="David"/>
          <w:sz w:val="24"/>
          <w:szCs w:val="24"/>
          <w:rtl/>
        </w:rPr>
        <w:t>(נבו 23.06.2015)‏</w:t>
      </w:r>
      <w:r>
        <w:rPr>
          <w:rFonts w:ascii="David" w:hAnsi="David" w:cs="David"/>
          <w:color w:val="000000"/>
          <w:sz w:val="24"/>
          <w:szCs w:val="24"/>
          <w:rtl/>
        </w:rPr>
        <w:t xml:space="preserve">‏, שם כתב כי: </w:t>
      </w:r>
      <w:r>
        <w:rPr>
          <w:rFonts w:ascii="David" w:hAnsi="David" w:cs="David"/>
          <w:b/>
          <w:bCs/>
          <w:color w:val="000000"/>
          <w:sz w:val="24"/>
          <w:szCs w:val="24"/>
          <w:rtl/>
        </w:rPr>
        <w:t>"ראוי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w:t>
      </w:r>
      <w:r>
        <w:rPr>
          <w:rFonts w:ascii="David" w:hAnsi="David" w:cs="David"/>
          <w:color w:val="000000"/>
          <w:sz w:val="24"/>
          <w:szCs w:val="24"/>
          <w:rtl/>
        </w:rPr>
        <w:t xml:space="preserve">. </w:t>
      </w:r>
    </w:p>
    <w:p w14:paraId="1FD19DB9" w14:textId="77777777" w:rsidR="00B7149F" w:rsidRDefault="00B7149F" w:rsidP="00B7149F">
      <w:pPr>
        <w:pStyle w:val="aa"/>
        <w:spacing w:after="0" w:line="360" w:lineRule="auto"/>
        <w:ind w:left="84"/>
        <w:jc w:val="both"/>
        <w:rPr>
          <w:rFonts w:ascii="David" w:hAnsi="David" w:cs="David"/>
          <w:color w:val="000000"/>
          <w:sz w:val="24"/>
          <w:szCs w:val="24"/>
          <w:rtl/>
        </w:rPr>
      </w:pPr>
    </w:p>
    <w:p w14:paraId="479C7947" w14:textId="77777777" w:rsidR="00B7149F" w:rsidRDefault="00B7149F" w:rsidP="00B7149F">
      <w:pPr>
        <w:pStyle w:val="aa"/>
        <w:spacing w:after="0" w:line="360" w:lineRule="auto"/>
        <w:ind w:left="84"/>
        <w:jc w:val="both"/>
        <w:rPr>
          <w:rFonts w:ascii="David" w:hAnsi="David" w:cs="David"/>
          <w:b/>
          <w:bCs/>
          <w:color w:val="000000"/>
          <w:sz w:val="24"/>
          <w:szCs w:val="24"/>
          <w:rtl/>
        </w:rPr>
      </w:pPr>
      <w:r>
        <w:rPr>
          <w:rFonts w:ascii="David" w:hAnsi="David" w:cs="David"/>
          <w:color w:val="000000"/>
          <w:sz w:val="24"/>
          <w:szCs w:val="24"/>
          <w:rtl/>
        </w:rPr>
        <w:lastRenderedPageBreak/>
        <w:t xml:space="preserve">בענייננו, אני בדעה כי  קביעה ששני האירועים, מושא כתבי האישום, הינם בגדר אירוע עברייני אחד, תהא קביעה "מלאכותית" שאינה עולה עם תכלית תיקון 113 לחוק. כאמור, מדובר באירועים מרוחקים זה מזה בפער של כשמונה חודשים ומנותקים זה מזה. </w:t>
      </w:r>
    </w:p>
    <w:p w14:paraId="58E5860A" w14:textId="77777777" w:rsidR="00B7149F" w:rsidRDefault="00B7149F" w:rsidP="00B7149F">
      <w:pPr>
        <w:pStyle w:val="aa"/>
        <w:spacing w:after="0" w:line="360" w:lineRule="auto"/>
        <w:ind w:left="84"/>
        <w:jc w:val="both"/>
        <w:rPr>
          <w:rFonts w:ascii="David" w:hAnsi="David" w:cs="David"/>
          <w:sz w:val="24"/>
          <w:szCs w:val="24"/>
          <w:rtl/>
        </w:rPr>
      </w:pPr>
    </w:p>
    <w:p w14:paraId="78540106" w14:textId="77777777" w:rsidR="00B7149F" w:rsidRDefault="00B7149F" w:rsidP="00B7149F">
      <w:pPr>
        <w:pStyle w:val="aa"/>
        <w:numPr>
          <w:ilvl w:val="0"/>
          <w:numId w:val="1"/>
        </w:numPr>
        <w:spacing w:after="0" w:line="360" w:lineRule="auto"/>
        <w:ind w:left="84"/>
        <w:jc w:val="both"/>
        <w:rPr>
          <w:rFonts w:ascii="David" w:hAnsi="David" w:cs="David"/>
          <w:sz w:val="24"/>
          <w:szCs w:val="24"/>
        </w:rPr>
      </w:pPr>
      <w:r>
        <w:rPr>
          <w:rFonts w:ascii="David" w:hAnsi="David" w:cs="David"/>
          <w:sz w:val="24"/>
          <w:szCs w:val="24"/>
          <w:rtl/>
        </w:rPr>
        <w:t>באשר לערכים החברתיים המוגנים שנפגעו מביצוע עבירות הנשק על ידי הנאשם, הרי שהעיקרים בהם הינם שמירה על ערך חיי אדם, שלמות הגוף, ביטחון הציבור ושלומו, וכן שמירה על שלטון החוק ועל הסדר הציבורי.</w:t>
      </w:r>
    </w:p>
    <w:p w14:paraId="49B849C0" w14:textId="77777777" w:rsidR="00B7149F" w:rsidRDefault="00B7149F" w:rsidP="00B7149F">
      <w:pPr>
        <w:spacing w:line="360" w:lineRule="auto"/>
        <w:jc w:val="both"/>
        <w:rPr>
          <w:rFonts w:ascii="David" w:hAnsi="David"/>
          <w:rtl/>
        </w:rPr>
      </w:pPr>
    </w:p>
    <w:p w14:paraId="3DF22D48" w14:textId="77777777" w:rsidR="00B7149F" w:rsidRDefault="00B7149F" w:rsidP="00B7149F">
      <w:pPr>
        <w:pStyle w:val="aa"/>
        <w:numPr>
          <w:ilvl w:val="0"/>
          <w:numId w:val="1"/>
        </w:numPr>
        <w:spacing w:after="0" w:line="360" w:lineRule="auto"/>
        <w:ind w:left="84"/>
        <w:jc w:val="both"/>
        <w:rPr>
          <w:rFonts w:ascii="David" w:hAnsi="David" w:cs="David"/>
          <w:sz w:val="24"/>
          <w:szCs w:val="24"/>
        </w:rPr>
      </w:pPr>
      <w:r>
        <w:rPr>
          <w:rFonts w:ascii="David" w:hAnsi="David" w:cs="David"/>
          <w:sz w:val="24"/>
          <w:szCs w:val="24"/>
          <w:rtl/>
        </w:rPr>
        <w:t>עבירות נשק הינן עבירות חמורות ביותר. עבירות אלה מאפשרות את אותה אלימות השוררת ברחובות הכוללת שימוש בלתי חוקי בנשקים. ראשית האלימות הינה אותו אדם שנושא, מוביל וסוחר בנשקים אלה שלא כדין. אותו אדם שאכן לא "לחץ על הדק", הינו מהגורמים ההתחלתיים המאפשר את קרות הטרגיות האיומות שבסופן נקטלים חיים של בני אדם, פעמים רבות בני אדם חפים מפשע שכל פשעם היה שהתהלכו להם במקום הלא נכון ובשעה הלא נכונה. כפי שנכתב ב</w:t>
      </w:r>
      <w:hyperlink r:id="rId46" w:history="1">
        <w:r w:rsidR="007F3AB9" w:rsidRPr="007F3AB9">
          <w:rPr>
            <w:rFonts w:ascii="David" w:hAnsi="David" w:cs="David"/>
            <w:color w:val="0000FF"/>
            <w:sz w:val="24"/>
            <w:szCs w:val="24"/>
            <w:u w:val="single"/>
            <w:rtl/>
          </w:rPr>
          <w:t>ע"פ 8869/21</w:t>
        </w:r>
      </w:hyperlink>
      <w:r w:rsidR="007F3AB9">
        <w:rPr>
          <w:rFonts w:ascii="David" w:hAnsi="David" w:cs="David"/>
          <w:sz w:val="24"/>
          <w:szCs w:val="24"/>
          <w:rtl/>
        </w:rPr>
        <w:t xml:space="preserve"> </w:t>
      </w:r>
      <w:r>
        <w:rPr>
          <w:rFonts w:ascii="David" w:hAnsi="David" w:cs="David"/>
          <w:b/>
          <w:bCs/>
          <w:sz w:val="24"/>
          <w:szCs w:val="24"/>
          <w:rtl/>
        </w:rPr>
        <w:t>מדינת ישראל נ' אבראהים קואסמה</w:t>
      </w:r>
      <w:r w:rsidR="007F3AB9">
        <w:rPr>
          <w:rFonts w:ascii="David" w:hAnsi="David" w:cs="David"/>
          <w:sz w:val="24"/>
          <w:szCs w:val="24"/>
          <w:rtl/>
        </w:rPr>
        <w:t xml:space="preserve"> </w:t>
      </w:r>
      <w:r>
        <w:rPr>
          <w:rFonts w:ascii="David" w:hAnsi="David" w:cs="David"/>
          <w:sz w:val="24"/>
          <w:szCs w:val="24"/>
          <w:rtl/>
        </w:rPr>
        <w:t>(נבו 13.03.2022)‏</w:t>
      </w:r>
      <w:r>
        <w:rPr>
          <w:rFonts w:ascii="David" w:hAnsi="David" w:cs="David"/>
          <w:color w:val="000000"/>
          <w:sz w:val="24"/>
          <w:szCs w:val="24"/>
          <w:rtl/>
        </w:rPr>
        <w:t>‏:</w:t>
      </w:r>
    </w:p>
    <w:p w14:paraId="0EBFF787" w14:textId="77777777" w:rsidR="00B7149F" w:rsidRDefault="00B7149F" w:rsidP="00B7149F">
      <w:pPr>
        <w:pStyle w:val="aa"/>
        <w:spacing w:after="0" w:line="360" w:lineRule="auto"/>
        <w:ind w:left="84"/>
        <w:jc w:val="both"/>
        <w:rPr>
          <w:rFonts w:ascii="David" w:hAnsi="David" w:cs="David"/>
          <w:sz w:val="24"/>
          <w:szCs w:val="24"/>
        </w:rPr>
      </w:pPr>
    </w:p>
    <w:p w14:paraId="7587BDBF"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r>
        <w:rPr>
          <w:rStyle w:val="default"/>
          <w:rFonts w:ascii="David" w:hAnsi="David" w:cs="David"/>
          <w:b/>
          <w:bCs/>
          <w:sz w:val="24"/>
          <w:szCs w:val="24"/>
          <w:rtl/>
        </w:rPr>
        <w:t>"לביצוע עבירות הנשק, ובייחוד לעבירות הסחר בו, נודעת חומרה רבה. השכם והערב אנו עדים למעשי אלימות קשים הכוללים שימוש בלתי חוקי בנשק, ואשר לא פעם מסתיימים באובדן חיי אדם. הפגיעות בגוף ובנפש קשות הן, ולא אחת הקורבנות הם אזרחים תמימים אשר נקרו בדרכם של עבריינים</w:t>
      </w:r>
      <w:r>
        <w:rPr>
          <w:rStyle w:val="default"/>
          <w:rFonts w:ascii="David" w:hAnsi="David" w:cs="David"/>
          <w:b/>
          <w:bCs/>
          <w:sz w:val="24"/>
          <w:szCs w:val="24"/>
        </w:rPr>
        <w:t>."</w:t>
      </w:r>
    </w:p>
    <w:p w14:paraId="73874211" w14:textId="77777777" w:rsidR="00B7149F" w:rsidRDefault="00B7149F" w:rsidP="00B7149F">
      <w:pPr>
        <w:spacing w:line="360" w:lineRule="auto"/>
        <w:jc w:val="both"/>
      </w:pPr>
    </w:p>
    <w:p w14:paraId="26FE85C8" w14:textId="77777777" w:rsidR="00B7149F" w:rsidRDefault="00B7149F" w:rsidP="00B7149F">
      <w:pPr>
        <w:pStyle w:val="aa"/>
        <w:numPr>
          <w:ilvl w:val="0"/>
          <w:numId w:val="1"/>
        </w:numPr>
        <w:spacing w:after="0" w:line="360" w:lineRule="auto"/>
        <w:ind w:left="84"/>
        <w:jc w:val="both"/>
        <w:rPr>
          <w:rFonts w:ascii="David" w:hAnsi="David" w:cs="David"/>
          <w:sz w:val="24"/>
          <w:szCs w:val="24"/>
        </w:rPr>
      </w:pPr>
      <w:r>
        <w:rPr>
          <w:rFonts w:ascii="David" w:hAnsi="David" w:cs="David"/>
          <w:sz w:val="24"/>
          <w:szCs w:val="24"/>
          <w:rtl/>
        </w:rPr>
        <w:t>רעה חולה זו של אלימות יומיומית הכוללת שימוש בנשק חם עוררה זעקה ציבורית עזה להחמרה במדיניות הענישה והאכיפה כנגד עבירות הנשק ומבצעיהם, וכפי שצוין ב</w:t>
      </w:r>
      <w:hyperlink r:id="rId47" w:history="1">
        <w:r w:rsidR="007F3AB9" w:rsidRPr="007F3AB9">
          <w:rPr>
            <w:rFonts w:ascii="David" w:hAnsi="David" w:cs="David"/>
            <w:color w:val="0000FF"/>
            <w:sz w:val="24"/>
            <w:szCs w:val="24"/>
            <w:u w:val="single"/>
            <w:rtl/>
          </w:rPr>
          <w:t>ע"פ 4406/19</w:t>
        </w:r>
      </w:hyperlink>
      <w:r w:rsidR="007F3AB9">
        <w:rPr>
          <w:rFonts w:ascii="David" w:hAnsi="David" w:cs="David"/>
          <w:sz w:val="24"/>
          <w:szCs w:val="24"/>
          <w:rtl/>
        </w:rPr>
        <w:t xml:space="preserve"> </w:t>
      </w:r>
      <w:r>
        <w:rPr>
          <w:rFonts w:ascii="David" w:hAnsi="David" w:cs="David"/>
          <w:b/>
          <w:bCs/>
          <w:sz w:val="24"/>
          <w:szCs w:val="24"/>
          <w:rtl/>
        </w:rPr>
        <w:t>מדינת ישראל נ' יונס סובח</w:t>
      </w:r>
      <w:r w:rsidR="007F3AB9">
        <w:rPr>
          <w:rFonts w:ascii="David" w:hAnsi="David" w:cs="David"/>
          <w:sz w:val="24"/>
          <w:szCs w:val="24"/>
          <w:rtl/>
        </w:rPr>
        <w:t xml:space="preserve"> </w:t>
      </w:r>
      <w:r>
        <w:rPr>
          <w:rFonts w:ascii="David" w:hAnsi="David" w:cs="David"/>
          <w:sz w:val="24"/>
          <w:szCs w:val="24"/>
          <w:rtl/>
        </w:rPr>
        <w:t>(נבו 05.11.2019)‏‏):</w:t>
      </w:r>
    </w:p>
    <w:p w14:paraId="0D5F0A06" w14:textId="77777777" w:rsidR="00B7149F" w:rsidRDefault="00B7149F" w:rsidP="00B7149F">
      <w:pPr>
        <w:spacing w:line="360" w:lineRule="auto"/>
        <w:jc w:val="both"/>
        <w:rPr>
          <w:rFonts w:ascii="David" w:hAnsi="David"/>
          <w:rtl/>
        </w:rPr>
      </w:pPr>
    </w:p>
    <w:p w14:paraId="12103CC8"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r>
        <w:rPr>
          <w:rStyle w:val="default"/>
          <w:rFonts w:ascii="David" w:hAnsi="David" w:cs="David"/>
          <w:b/>
          <w:bCs/>
          <w:sz w:val="24"/>
          <w:szCs w:val="24"/>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Pr>
          <w:rStyle w:val="default"/>
          <w:rFonts w:ascii="David" w:hAnsi="David" w:cs="David"/>
          <w:b/>
          <w:bCs/>
          <w:sz w:val="24"/>
          <w:szCs w:val="24"/>
        </w:rPr>
        <w:t>(2018)</w:t>
      </w:r>
      <w:r>
        <w:rPr>
          <w:rStyle w:val="default"/>
          <w:rFonts w:ascii="David" w:hAnsi="David" w:cs="David"/>
          <w:b/>
          <w:bCs/>
          <w:sz w:val="24"/>
          <w:szCs w:val="24"/>
          <w:rtl/>
        </w:rPr>
        <w:t>. על רקע המציאות אותה אנו חווים למרבה הצער מדי יום, אנו עדים לקריאה ציבורית נרגשת להגברת האכיפה כלפי עבירות נשק - ולהחמרה במדיניות הענישה הנוהגת</w:t>
      </w:r>
      <w:r>
        <w:rPr>
          <w:rStyle w:val="default"/>
          <w:rFonts w:ascii="David" w:hAnsi="David" w:cs="David"/>
          <w:b/>
          <w:bCs/>
          <w:sz w:val="24"/>
          <w:szCs w:val="24"/>
        </w:rPr>
        <w:t>."</w:t>
      </w:r>
    </w:p>
    <w:p w14:paraId="13F88BC4" w14:textId="77777777" w:rsidR="00B7149F" w:rsidRDefault="00B7149F" w:rsidP="00B7149F">
      <w:pPr>
        <w:pStyle w:val="P000"/>
        <w:tabs>
          <w:tab w:val="left" w:pos="7455"/>
        </w:tabs>
        <w:spacing w:before="72" w:line="360" w:lineRule="auto"/>
        <w:ind w:left="651" w:right="567"/>
        <w:rPr>
          <w:rStyle w:val="default"/>
          <w:rFonts w:ascii="David" w:hAnsi="David" w:cs="David"/>
          <w:b/>
          <w:bCs/>
          <w:sz w:val="24"/>
          <w:szCs w:val="24"/>
          <w:rtl/>
        </w:rPr>
      </w:pPr>
    </w:p>
    <w:p w14:paraId="4116A024" w14:textId="77777777" w:rsidR="00B7149F" w:rsidRDefault="00B7149F" w:rsidP="00B7149F">
      <w:pPr>
        <w:pStyle w:val="aa"/>
        <w:numPr>
          <w:ilvl w:val="0"/>
          <w:numId w:val="1"/>
        </w:numPr>
        <w:spacing w:after="0" w:line="360" w:lineRule="auto"/>
        <w:ind w:left="84"/>
        <w:jc w:val="both"/>
        <w:rPr>
          <w:rtl/>
        </w:rPr>
      </w:pPr>
      <w:r>
        <w:rPr>
          <w:rFonts w:ascii="David" w:hAnsi="David" w:cs="David"/>
          <w:sz w:val="24"/>
          <w:szCs w:val="24"/>
          <w:rtl/>
        </w:rPr>
        <w:t>כפי שצוין ב</w:t>
      </w:r>
      <w:hyperlink r:id="rId48" w:history="1">
        <w:r w:rsidR="007F3AB9" w:rsidRPr="007F3AB9">
          <w:rPr>
            <w:rFonts w:ascii="David" w:hAnsi="David" w:cs="David"/>
            <w:color w:val="0000FF"/>
            <w:sz w:val="24"/>
            <w:szCs w:val="24"/>
            <w:u w:val="single"/>
            <w:rtl/>
          </w:rPr>
          <w:t>ע"פ 5602/22</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xml:space="preserve"> (נבו 14.09.2022) בית המשפט העליון יישם את מדיניות ההחמרה האמורה</w:t>
      </w:r>
      <w:r w:rsidR="007F3AB9">
        <w:rPr>
          <w:rFonts w:ascii="David" w:hAnsi="David" w:cs="David"/>
          <w:sz w:val="24"/>
          <w:szCs w:val="24"/>
          <w:rtl/>
        </w:rPr>
        <w:t xml:space="preserve"> </w:t>
      </w:r>
      <w:r>
        <w:rPr>
          <w:rFonts w:ascii="David" w:hAnsi="David" w:cs="David"/>
          <w:sz w:val="24"/>
          <w:szCs w:val="24"/>
          <w:rtl/>
        </w:rPr>
        <w:t>ביחס לכלל עבירות נשק</w:t>
      </w:r>
      <w:r w:rsidR="007F3AB9">
        <w:rPr>
          <w:rFonts w:ascii="David" w:hAnsi="David" w:cs="David"/>
          <w:sz w:val="24"/>
          <w:szCs w:val="24"/>
          <w:rtl/>
        </w:rPr>
        <w:t xml:space="preserve"> </w:t>
      </w:r>
      <w:r>
        <w:rPr>
          <w:rFonts w:ascii="David" w:hAnsi="David" w:cs="David"/>
          <w:sz w:val="24"/>
          <w:szCs w:val="24"/>
          <w:rtl/>
        </w:rPr>
        <w:t>בשורה ארוכה מאוד של פסקי דין. לא די בכך, אלא שמדיניות ההחמרה האמורה קיבלה את ביטויה גם באמצעות תיקון מס' 140 ל</w:t>
      </w:r>
      <w:hyperlink r:id="rId49" w:history="1">
        <w:r w:rsidR="007F3AB9" w:rsidRPr="007F3AB9">
          <w:rPr>
            <w:rFonts w:ascii="David" w:hAnsi="David" w:cs="David"/>
            <w:color w:val="0000FF"/>
            <w:sz w:val="24"/>
            <w:szCs w:val="24"/>
            <w:u w:val="single"/>
            <w:rtl/>
          </w:rPr>
          <w:t>חוק העונשין</w:t>
        </w:r>
      </w:hyperlink>
      <w:r>
        <w:rPr>
          <w:rFonts w:ascii="David" w:hAnsi="David" w:cs="David"/>
          <w:sz w:val="24"/>
          <w:szCs w:val="24"/>
          <w:rtl/>
        </w:rPr>
        <w:t xml:space="preserve">, שנכנס לתוקפו ביום 08.12.2021, שנועד להחמיר הענישה תוך קביעת עונשי מינימום לעבירות נשק. </w:t>
      </w:r>
    </w:p>
    <w:p w14:paraId="1C0A58ED" w14:textId="77777777" w:rsidR="00B7149F" w:rsidRDefault="00B7149F" w:rsidP="00B7149F">
      <w:pPr>
        <w:spacing w:line="360" w:lineRule="auto"/>
        <w:jc w:val="both"/>
        <w:rPr>
          <w:rFonts w:ascii="David" w:hAnsi="David"/>
          <w:rtl/>
        </w:rPr>
      </w:pPr>
    </w:p>
    <w:p w14:paraId="54023963"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lastRenderedPageBreak/>
        <w:t>בית המשפט העליון הבהיר לכל באשר עמדתו כי:</w:t>
      </w:r>
    </w:p>
    <w:p w14:paraId="74607B21" w14:textId="77777777" w:rsidR="00B7149F" w:rsidRDefault="00B7149F" w:rsidP="00B7149F">
      <w:pPr>
        <w:spacing w:line="360" w:lineRule="auto"/>
        <w:ind w:left="651" w:right="567"/>
        <w:jc w:val="both"/>
        <w:rPr>
          <w:rFonts w:ascii="David" w:hAnsi="David"/>
          <w:b/>
          <w:bCs/>
          <w:rtl/>
        </w:rPr>
      </w:pPr>
    </w:p>
    <w:p w14:paraId="34609DF8" w14:textId="77777777" w:rsidR="00B7149F" w:rsidRDefault="00B7149F" w:rsidP="00B7149F">
      <w:pPr>
        <w:spacing w:line="360" w:lineRule="auto"/>
        <w:ind w:left="651" w:right="567"/>
        <w:jc w:val="both"/>
        <w:rPr>
          <w:rFonts w:ascii="David" w:hAnsi="David"/>
          <w:b/>
          <w:bCs/>
          <w:color w:val="000000"/>
          <w:rtl/>
        </w:rPr>
      </w:pPr>
      <w:r>
        <w:rPr>
          <w:rFonts w:ascii="David" w:hAnsi="David"/>
          <w:b/>
          <w:bCs/>
          <w:color w:val="000000"/>
          <w:rtl/>
        </w:rPr>
        <w:t xml:space="preserve">ראוי להמשיך במגמת ההחמרה בענישה וליישמה גם במקרה שלפנינו כך שייאמר בקול חד וברור, כי כל המעורב בעבירות נשק שלא כחוק: מי שרוכשם, מי שסוחר בהם, מובילם, נושאם או משתמש בהם יישא בגין כך במלוא חומרת הדין. אולי כך יופר מאזן הכדאיות של העבריינים והחזקת נשק בלתי-חוקי (בשים לב לסיכוי להיתפס בגינה) תהפוך להיות מסוכנת ובלתי-כדאית. </w:t>
      </w:r>
    </w:p>
    <w:p w14:paraId="79990C08" w14:textId="77777777" w:rsidR="00B7149F" w:rsidRDefault="00B7149F" w:rsidP="00B7149F">
      <w:pPr>
        <w:spacing w:line="360" w:lineRule="auto"/>
        <w:ind w:left="651" w:right="567"/>
        <w:jc w:val="both"/>
        <w:rPr>
          <w:rFonts w:ascii="David" w:hAnsi="David"/>
          <w:b/>
          <w:bCs/>
          <w:color w:val="000000"/>
          <w:rtl/>
        </w:rPr>
      </w:pPr>
    </w:p>
    <w:p w14:paraId="7F6F800B" w14:textId="77777777" w:rsidR="00B7149F" w:rsidRDefault="00B7149F" w:rsidP="00B7149F">
      <w:pPr>
        <w:spacing w:line="360" w:lineRule="auto"/>
        <w:ind w:firstLine="720"/>
        <w:jc w:val="both"/>
        <w:rPr>
          <w:rFonts w:ascii="David" w:hAnsi="David"/>
          <w:rtl/>
        </w:rPr>
      </w:pPr>
      <w:r>
        <w:rPr>
          <w:rFonts w:ascii="David" w:hAnsi="David"/>
          <w:rtl/>
        </w:rPr>
        <w:t xml:space="preserve">       </w:t>
      </w:r>
      <w:hyperlink r:id="rId50" w:history="1">
        <w:r w:rsidR="007F3AB9" w:rsidRPr="007F3AB9">
          <w:rPr>
            <w:rFonts w:ascii="David" w:hAnsi="David"/>
            <w:color w:val="0000FF"/>
            <w:u w:val="single"/>
            <w:rtl/>
          </w:rPr>
          <w:t>עפ"ג (מחוזי חי') 50840-03-22</w:t>
        </w:r>
      </w:hyperlink>
      <w:r>
        <w:rPr>
          <w:rFonts w:ascii="David" w:hAnsi="David"/>
          <w:rtl/>
        </w:rPr>
        <w:t xml:space="preserve"> </w:t>
      </w:r>
      <w:r>
        <w:rPr>
          <w:rFonts w:ascii="David" w:hAnsi="David"/>
          <w:b/>
          <w:bCs/>
          <w:rtl/>
        </w:rPr>
        <w:t>מדינת ישראל נ' עלאא סלאמה</w:t>
      </w:r>
      <w:r>
        <w:rPr>
          <w:rFonts w:ascii="David" w:hAnsi="David"/>
          <w:rtl/>
        </w:rPr>
        <w:t xml:space="preserve"> (נבו 04.04.2022)</w:t>
      </w:r>
    </w:p>
    <w:p w14:paraId="739030FC" w14:textId="77777777" w:rsidR="00B7149F" w:rsidRDefault="00B7149F" w:rsidP="00B7149F">
      <w:pPr>
        <w:pStyle w:val="aa"/>
        <w:spacing w:after="0" w:line="360" w:lineRule="auto"/>
        <w:ind w:left="84"/>
        <w:jc w:val="both"/>
        <w:rPr>
          <w:rFonts w:ascii="David" w:hAnsi="David" w:cs="David"/>
          <w:sz w:val="24"/>
          <w:szCs w:val="24"/>
          <w:rtl/>
        </w:rPr>
      </w:pPr>
      <w:r>
        <w:rPr>
          <w:rFonts w:ascii="David" w:hAnsi="David" w:cs="David"/>
          <w:sz w:val="24"/>
          <w:szCs w:val="24"/>
          <w:rtl/>
        </w:rPr>
        <w:t>וכן:</w:t>
      </w:r>
    </w:p>
    <w:p w14:paraId="7DB431A6" w14:textId="77777777" w:rsidR="00B7149F" w:rsidRDefault="00B7149F" w:rsidP="00B7149F">
      <w:pPr>
        <w:spacing w:line="360" w:lineRule="auto"/>
        <w:jc w:val="both"/>
        <w:rPr>
          <w:rFonts w:ascii="David" w:hAnsi="David"/>
          <w:rtl/>
        </w:rPr>
      </w:pPr>
    </w:p>
    <w:p w14:paraId="04E1A21F" w14:textId="77777777" w:rsidR="00B7149F" w:rsidRDefault="00B7149F" w:rsidP="00B7149F">
      <w:pPr>
        <w:spacing w:line="360" w:lineRule="auto"/>
        <w:ind w:left="509" w:right="567"/>
        <w:jc w:val="both"/>
        <w:rPr>
          <w:rFonts w:ascii="David" w:hAnsi="David"/>
          <w:b/>
          <w:bCs/>
          <w:color w:val="000000"/>
          <w:rtl/>
        </w:rPr>
      </w:pPr>
      <w:r>
        <w:rPr>
          <w:rFonts w:ascii="David" w:hAnsi="David"/>
          <w:b/>
          <w:bCs/>
          <w:color w:val="000000"/>
          <w:rtl/>
        </w:rPr>
        <w:t xml:space="preserve">"בימים קשים אלה, השיקום שבראש מעייננו הוא שיקום המרחב הציבורי המדמם כתוצאה מעבירות נשק בלתי פוסקות והשימוש העברייני בנשק חם." [...] בית משפט שמקל בעונשו של עבריין נשק מכביד על החברה שנאלצת להגן על עצמה -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 </w:t>
      </w:r>
      <w:r w:rsidR="007F3AB9">
        <w:rPr>
          <w:rFonts w:ascii="David" w:hAnsi="David"/>
          <w:b/>
          <w:bCs/>
          <w:color w:val="000000"/>
          <w:rtl/>
        </w:rPr>
        <w:t xml:space="preserve"> </w:t>
      </w:r>
    </w:p>
    <w:p w14:paraId="5F1539A1" w14:textId="77777777" w:rsidR="00B7149F" w:rsidRDefault="00B7149F" w:rsidP="00B7149F">
      <w:pPr>
        <w:spacing w:line="360" w:lineRule="auto"/>
        <w:jc w:val="both"/>
        <w:rPr>
          <w:rFonts w:ascii="David" w:hAnsi="David"/>
          <w:color w:val="000000"/>
          <w:rtl/>
        </w:rPr>
      </w:pPr>
    </w:p>
    <w:p w14:paraId="4C50C26F" w14:textId="77777777" w:rsidR="00B7149F" w:rsidRDefault="00B7149F" w:rsidP="00B7149F">
      <w:pPr>
        <w:spacing w:line="360" w:lineRule="auto"/>
        <w:ind w:left="720" w:right="567"/>
        <w:jc w:val="right"/>
        <w:rPr>
          <w:rFonts w:ascii="David" w:hAnsi="David"/>
          <w:color w:val="000000"/>
          <w:rtl/>
        </w:rPr>
      </w:pPr>
      <w:r>
        <w:rPr>
          <w:rFonts w:ascii="David" w:hAnsi="David"/>
          <w:color w:val="000000"/>
          <w:rtl/>
        </w:rPr>
        <w:t>(</w:t>
      </w:r>
      <w:hyperlink r:id="rId51" w:history="1">
        <w:r w:rsidR="007F3AB9" w:rsidRPr="007F3AB9">
          <w:rPr>
            <w:rFonts w:ascii="David" w:hAnsi="David"/>
            <w:color w:val="0000FF"/>
            <w:u w:val="single"/>
            <w:rtl/>
          </w:rPr>
          <w:t>ע"פ 5602/22</w:t>
        </w:r>
      </w:hyperlink>
      <w:r>
        <w:rPr>
          <w:rFonts w:ascii="David" w:hAnsi="David"/>
          <w:color w:val="000000"/>
          <w:rtl/>
        </w:rPr>
        <w:t xml:space="preserve"> </w:t>
      </w:r>
      <w:r>
        <w:rPr>
          <w:rFonts w:ascii="David" w:hAnsi="David"/>
          <w:b/>
          <w:bCs/>
          <w:color w:val="000000"/>
          <w:rtl/>
        </w:rPr>
        <w:t>מדינת ישראל נ' פלוני</w:t>
      </w:r>
      <w:r>
        <w:rPr>
          <w:rFonts w:ascii="David" w:hAnsi="David"/>
          <w:color w:val="000000"/>
          <w:rtl/>
        </w:rPr>
        <w:t xml:space="preserve"> (נבו 14.09.2022)‏‏)</w:t>
      </w:r>
    </w:p>
    <w:p w14:paraId="513FFA35" w14:textId="77777777" w:rsidR="00B7149F" w:rsidRDefault="00B7149F" w:rsidP="00B7149F">
      <w:pPr>
        <w:spacing w:line="360" w:lineRule="auto"/>
        <w:jc w:val="both"/>
        <w:rPr>
          <w:rFonts w:ascii="David" w:hAnsi="David"/>
          <w:rtl/>
        </w:rPr>
      </w:pPr>
    </w:p>
    <w:p w14:paraId="1E6EB3F3" w14:textId="77777777" w:rsidR="00B7149F" w:rsidRDefault="00B7149F" w:rsidP="00B7149F">
      <w:pPr>
        <w:spacing w:line="360" w:lineRule="auto"/>
        <w:ind w:left="-341"/>
        <w:jc w:val="both"/>
        <w:rPr>
          <w:rFonts w:ascii="David" w:hAnsi="David"/>
          <w:b/>
          <w:bCs/>
          <w:rtl/>
        </w:rPr>
      </w:pPr>
      <w:r>
        <w:rPr>
          <w:rFonts w:ascii="David" w:hAnsi="David"/>
          <w:b/>
          <w:bCs/>
          <w:rtl/>
        </w:rPr>
        <w:t>מדיניות הענישה הנוהגת:</w:t>
      </w:r>
    </w:p>
    <w:p w14:paraId="17FA2BF3" w14:textId="77777777" w:rsidR="00B7149F" w:rsidRDefault="00B7149F" w:rsidP="00B7149F">
      <w:pPr>
        <w:spacing w:line="360" w:lineRule="auto"/>
        <w:jc w:val="both"/>
        <w:rPr>
          <w:rFonts w:ascii="David" w:hAnsi="David"/>
          <w:b/>
          <w:bCs/>
          <w:rtl/>
        </w:rPr>
      </w:pPr>
    </w:p>
    <w:p w14:paraId="7374C55E"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כידוע מדיניות הענישה הנוהגת בשל עבירות סחר בנשק, החזקתו, נשיאתו והובלתו בניגוד לחוק, הינה בעלת מנעד רחב, התלויה בנסיבותיו הייחודיות של כל מקרה, לרבות הנשק עצמו, כמות הנשק הנסחר שלא כדין, פוטנציאל המסוכנות הנשקף ממנו, היקף הפעילות העבריינית במסכת העובדות הכוללת, מאפייניו האישיים של הנאשם, סיכויי השיקום של הנאשם וכיו"ב. מבין אסופת הפסיקה שהגישו הצדדים, מצאתי להתייחס לחלקם בלבד, וכן להוסיף עליהם, כדלקמן:</w:t>
      </w:r>
    </w:p>
    <w:p w14:paraId="61C49AE9" w14:textId="77777777" w:rsidR="00B7149F" w:rsidRDefault="00B7149F" w:rsidP="00B7149F">
      <w:pPr>
        <w:spacing w:line="360" w:lineRule="auto"/>
        <w:jc w:val="both"/>
        <w:rPr>
          <w:rFonts w:ascii="David" w:hAnsi="David"/>
          <w:b/>
          <w:bCs/>
          <w:rtl/>
        </w:rPr>
      </w:pPr>
    </w:p>
    <w:p w14:paraId="4E77CEE9" w14:textId="77777777" w:rsidR="00B7149F" w:rsidRDefault="007F3AB9" w:rsidP="00B7149F">
      <w:pPr>
        <w:pStyle w:val="aa"/>
        <w:spacing w:after="0" w:line="360" w:lineRule="auto"/>
        <w:ind w:left="84"/>
        <w:jc w:val="both"/>
        <w:rPr>
          <w:rFonts w:ascii="David" w:hAnsi="David" w:cs="David"/>
          <w:sz w:val="24"/>
          <w:szCs w:val="24"/>
          <w:rtl/>
        </w:rPr>
      </w:pPr>
      <w:hyperlink r:id="rId52" w:history="1">
        <w:r w:rsidRPr="007F3AB9">
          <w:rPr>
            <w:rFonts w:ascii="David" w:hAnsi="David" w:cs="David"/>
            <w:color w:val="0000FF"/>
            <w:sz w:val="24"/>
            <w:szCs w:val="24"/>
            <w:u w:val="single"/>
            <w:rtl/>
          </w:rPr>
          <w:t>ע"פ 5602/22</w:t>
        </w:r>
      </w:hyperlink>
      <w:r w:rsidR="00B7149F">
        <w:rPr>
          <w:rFonts w:ascii="David" w:hAnsi="David" w:cs="David"/>
          <w:color w:val="000000"/>
          <w:sz w:val="24"/>
          <w:szCs w:val="24"/>
          <w:rtl/>
        </w:rPr>
        <w:t xml:space="preserve"> </w:t>
      </w:r>
      <w:r w:rsidR="00B7149F">
        <w:rPr>
          <w:rFonts w:ascii="David" w:hAnsi="David" w:cs="David"/>
          <w:b/>
          <w:bCs/>
          <w:color w:val="000000"/>
          <w:sz w:val="24"/>
          <w:szCs w:val="24"/>
          <w:rtl/>
        </w:rPr>
        <w:t>מדינת ישראל נ' פלוני</w:t>
      </w:r>
      <w:r w:rsidR="00B7149F">
        <w:rPr>
          <w:rFonts w:ascii="David" w:hAnsi="David" w:cs="David"/>
          <w:color w:val="000000"/>
          <w:sz w:val="24"/>
          <w:szCs w:val="24"/>
          <w:rtl/>
        </w:rPr>
        <w:t xml:space="preserve"> (נבו 14.09.2022) -</w:t>
      </w:r>
      <w:r w:rsidR="00B7149F">
        <w:rPr>
          <w:rFonts w:ascii="David" w:hAnsi="David" w:cs="David"/>
          <w:sz w:val="24"/>
          <w:szCs w:val="24"/>
          <w:rtl/>
        </w:rPr>
        <w:t xml:space="preserve"> ערעור המדינה על גזר הדין שניתן ביום 13.07.2022 על ידי בית המשפט המחוזי חיפה (השופט </w:t>
      </w:r>
      <w:r w:rsidR="00B7149F">
        <w:rPr>
          <w:rFonts w:ascii="David" w:hAnsi="David" w:cs="David"/>
          <w:b/>
          <w:sz w:val="24"/>
          <w:szCs w:val="24"/>
          <w:rtl/>
        </w:rPr>
        <w:t>א' סלאמה</w:t>
      </w:r>
      <w:r w:rsidR="00B7149F">
        <w:rPr>
          <w:rFonts w:ascii="David" w:hAnsi="David" w:cs="David"/>
          <w:sz w:val="24"/>
          <w:szCs w:val="24"/>
          <w:rtl/>
        </w:rPr>
        <w:t>) ב</w:t>
      </w:r>
      <w:hyperlink r:id="rId53" w:history="1">
        <w:r w:rsidRPr="007F3AB9">
          <w:rPr>
            <w:rFonts w:ascii="David" w:hAnsi="David" w:cs="David"/>
            <w:color w:val="0000FF"/>
            <w:sz w:val="24"/>
            <w:szCs w:val="24"/>
            <w:u w:val="single"/>
            <w:rtl/>
          </w:rPr>
          <w:t>ת"פ 19130-12-21</w:t>
        </w:r>
      </w:hyperlink>
      <w:r w:rsidR="00B7149F">
        <w:rPr>
          <w:rFonts w:ascii="David" w:hAnsi="David" w:cs="David"/>
          <w:sz w:val="24"/>
          <w:szCs w:val="24"/>
          <w:rtl/>
        </w:rPr>
        <w:t xml:space="preserve"> [פורסם בנבו], שם נגזר על המשיב מאסר בפועל של 18 חודשים בעקבות הרשעתו על פי הודאה בנשיאת נשק שלא כדין וכן בהפרעה לשוטר במילוי תפקידו ובכניסה ושהייה בישראל בניגוד לחוק. </w:t>
      </w:r>
      <w:r w:rsidR="00B7149F">
        <w:rPr>
          <w:rFonts w:ascii="David" w:hAnsi="David" w:cs="David"/>
          <w:b/>
          <w:bCs/>
          <w:sz w:val="24"/>
          <w:szCs w:val="24"/>
          <w:rtl/>
        </w:rPr>
        <w:t xml:space="preserve">ערעור המדינה התקבל וגזר הדין הועמד על תקופת מאסר בת 28 חודשים, וזאת בשל אי מיצוי הדין עם הנאשם. בהליך האמור נפסק כי מתחם הענישה הרגיל שראוי לקבוע לנאשם בגיר בגין נשיאה בלתי חוקית של נשק חם במרחב הציבורי נע בין 30-42 חודשי מאסר בין סורג ובריח (לצד עונשים נלווים בדמותם של מאסר על-תנאי וקנס). </w:t>
      </w:r>
    </w:p>
    <w:p w14:paraId="65499A8E" w14:textId="77777777" w:rsidR="00B7149F" w:rsidRDefault="00B7149F" w:rsidP="00B7149F">
      <w:pPr>
        <w:pStyle w:val="aa"/>
        <w:spacing w:after="0" w:line="360" w:lineRule="auto"/>
        <w:ind w:left="84"/>
        <w:jc w:val="both"/>
        <w:rPr>
          <w:rFonts w:ascii="David" w:hAnsi="David" w:cs="David"/>
          <w:sz w:val="24"/>
          <w:szCs w:val="24"/>
          <w:rtl/>
        </w:rPr>
      </w:pPr>
    </w:p>
    <w:p w14:paraId="53BB3897" w14:textId="77777777" w:rsidR="00B7149F" w:rsidRDefault="007F3AB9" w:rsidP="00B7149F">
      <w:pPr>
        <w:pStyle w:val="aa"/>
        <w:spacing w:after="0" w:line="360" w:lineRule="auto"/>
        <w:ind w:left="84"/>
        <w:jc w:val="both"/>
        <w:rPr>
          <w:rFonts w:ascii="David" w:hAnsi="David" w:cs="David"/>
          <w:b/>
          <w:bCs/>
          <w:sz w:val="24"/>
          <w:szCs w:val="24"/>
          <w:rtl/>
        </w:rPr>
      </w:pPr>
      <w:hyperlink r:id="rId54" w:history="1">
        <w:r w:rsidRPr="007F3AB9">
          <w:rPr>
            <w:rFonts w:ascii="David" w:hAnsi="David" w:cs="David"/>
            <w:color w:val="0000FF"/>
            <w:sz w:val="24"/>
            <w:szCs w:val="24"/>
            <w:u w:val="single"/>
            <w:rtl/>
          </w:rPr>
          <w:t>ת"פ (מחוזי חי') 6985-07-22</w:t>
        </w:r>
      </w:hyperlink>
      <w:r w:rsidR="00B7149F">
        <w:rPr>
          <w:rFonts w:ascii="David" w:hAnsi="David" w:cs="David"/>
          <w:color w:val="000000"/>
          <w:sz w:val="24"/>
          <w:szCs w:val="24"/>
          <w:rtl/>
        </w:rPr>
        <w:t xml:space="preserve"> </w:t>
      </w:r>
      <w:r w:rsidR="00B7149F">
        <w:rPr>
          <w:rFonts w:ascii="David" w:hAnsi="David" w:cs="David"/>
          <w:b/>
          <w:bCs/>
          <w:color w:val="000000"/>
          <w:sz w:val="24"/>
          <w:szCs w:val="24"/>
          <w:rtl/>
        </w:rPr>
        <w:t>מדינת ישראל נ' מתן (בן מחמוד) בוהנדה</w:t>
      </w:r>
      <w:r w:rsidR="00B7149F">
        <w:rPr>
          <w:rFonts w:ascii="David" w:hAnsi="David" w:cs="David"/>
          <w:color w:val="000000"/>
          <w:sz w:val="24"/>
          <w:szCs w:val="24"/>
          <w:rtl/>
        </w:rPr>
        <w:t xml:space="preserve"> (נבו 03.04.2023)</w:t>
      </w:r>
      <w:r w:rsidR="00B7149F">
        <w:rPr>
          <w:rFonts w:ascii="David" w:hAnsi="David" w:cs="David"/>
          <w:sz w:val="24"/>
          <w:szCs w:val="24"/>
          <w:rtl/>
        </w:rPr>
        <w:t xml:space="preserve"> - גזר דין שניתן ביום 03.04.2023 על ידי, שם מדובר היה בנאשם שהורשע בהחזקה, נשיאה והובלה של אקדח, וכן עבירת החזקת סם מסוכן לצריכה עצמית (עבירת הקנאביס / חשיש לצריכה עצמית לא החמירה את עונשו של הנאשם). </w:t>
      </w:r>
      <w:r w:rsidR="00B7149F">
        <w:rPr>
          <w:rFonts w:ascii="David" w:hAnsi="David" w:cs="David"/>
          <w:b/>
          <w:bCs/>
          <w:sz w:val="24"/>
          <w:szCs w:val="24"/>
          <w:rtl/>
        </w:rPr>
        <w:t>קבעתי כי מתחם העונש ההולם אמור לנוע בין 30-48 חודשי מאסר, והוטל על הנאשם עונש של 42 חודשי מאסר בפועל.</w:t>
      </w:r>
      <w:r w:rsidR="00B7149F">
        <w:rPr>
          <w:rFonts w:ascii="David" w:hAnsi="David" w:cs="David"/>
          <w:sz w:val="24"/>
          <w:szCs w:val="24"/>
          <w:rtl/>
        </w:rPr>
        <w:t xml:space="preserve"> </w:t>
      </w:r>
      <w:r w:rsidR="00B7149F">
        <w:rPr>
          <w:rFonts w:ascii="David" w:hAnsi="David" w:cs="David"/>
          <w:b/>
          <w:bCs/>
          <w:sz w:val="24"/>
          <w:szCs w:val="24"/>
          <w:rtl/>
        </w:rPr>
        <w:t>ערעור שהוגש לבית המשפט העליון על ידי הנאשם על חומרת העונש (</w:t>
      </w:r>
      <w:hyperlink r:id="rId55" w:history="1">
        <w:r w:rsidRPr="007F3AB9">
          <w:rPr>
            <w:rFonts w:ascii="David" w:hAnsi="David" w:cs="David"/>
            <w:b/>
            <w:bCs/>
            <w:color w:val="0000FF"/>
            <w:sz w:val="24"/>
            <w:szCs w:val="24"/>
            <w:u w:val="single"/>
            <w:rtl/>
          </w:rPr>
          <w:t>ע"פ 3851/23</w:t>
        </w:r>
      </w:hyperlink>
      <w:r w:rsidR="00B7149F">
        <w:rPr>
          <w:rFonts w:ascii="David" w:hAnsi="David" w:cs="David"/>
          <w:b/>
          <w:bCs/>
          <w:sz w:val="24"/>
          <w:szCs w:val="24"/>
          <w:rtl/>
        </w:rPr>
        <w:t>) נדחה ביום 13.06.2023.</w:t>
      </w:r>
      <w:r w:rsidR="00B7149F">
        <w:rPr>
          <w:rFonts w:ascii="David" w:hAnsi="David" w:cs="David"/>
          <w:sz w:val="24"/>
          <w:szCs w:val="24"/>
          <w:rtl/>
        </w:rPr>
        <w:t xml:space="preserve"> </w:t>
      </w:r>
      <w:r w:rsidR="00B7149F">
        <w:rPr>
          <w:rFonts w:ascii="David" w:hAnsi="David" w:cs="David"/>
          <w:b/>
          <w:bCs/>
          <w:sz w:val="24"/>
          <w:szCs w:val="24"/>
          <w:rtl/>
        </w:rPr>
        <w:t xml:space="preserve">יובהר כי לעומת עמדת המאשימה וכפי שטען ב"כ הנאשם, סבורני כי עניין בוהדנה נבדל מעניינו של הנאשם שלפניי, זאת לאור עובדת העבר הפלילי העשיר שלו, שכלל 13 הרשעות, החל מגיל צעיר ביותר (מאז היותו בן 13), לרבות </w:t>
      </w:r>
      <w:r w:rsidR="00B7149F">
        <w:rPr>
          <w:rFonts w:ascii="David" w:hAnsi="David" w:cs="David"/>
          <w:b/>
          <w:bCs/>
          <w:color w:val="000000"/>
          <w:sz w:val="24"/>
          <w:szCs w:val="24"/>
          <w:rtl/>
        </w:rPr>
        <w:t xml:space="preserve">הרשעה בעבירות נשק שביצע בסוף שנת 2017 בגינן הוטל עליו מאסר בפועל של 27 חודשים, עונשים שלא הרתיעוהו מלהמשיך ולעסוק בפלילים, דבר </w:t>
      </w:r>
      <w:r w:rsidR="00B7149F">
        <w:rPr>
          <w:rFonts w:ascii="David" w:hAnsi="David" w:cs="David"/>
          <w:b/>
          <w:bCs/>
          <w:sz w:val="24"/>
          <w:szCs w:val="24"/>
          <w:rtl/>
        </w:rPr>
        <w:t>אשר היטה את הכף אל עבר ענישה משמעותית יותר.</w:t>
      </w:r>
    </w:p>
    <w:p w14:paraId="5076CE20" w14:textId="77777777" w:rsidR="00B7149F" w:rsidRDefault="00B7149F" w:rsidP="00B7149F">
      <w:pPr>
        <w:pStyle w:val="aa"/>
        <w:spacing w:after="0" w:line="360" w:lineRule="auto"/>
        <w:ind w:left="84"/>
        <w:jc w:val="both"/>
        <w:rPr>
          <w:rFonts w:ascii="David" w:hAnsi="David" w:cs="David"/>
          <w:sz w:val="24"/>
          <w:szCs w:val="24"/>
          <w:rtl/>
        </w:rPr>
      </w:pPr>
    </w:p>
    <w:p w14:paraId="78CE7039" w14:textId="77777777" w:rsidR="00B7149F" w:rsidRDefault="007F3AB9" w:rsidP="00B7149F">
      <w:pPr>
        <w:pStyle w:val="aa"/>
        <w:spacing w:after="0" w:line="360" w:lineRule="auto"/>
        <w:ind w:left="84"/>
        <w:jc w:val="both"/>
        <w:rPr>
          <w:rFonts w:ascii="David" w:hAnsi="David" w:cs="David"/>
          <w:sz w:val="24"/>
          <w:szCs w:val="24"/>
          <w:rtl/>
        </w:rPr>
      </w:pPr>
      <w:hyperlink r:id="rId56" w:history="1">
        <w:r w:rsidRPr="007F3AB9">
          <w:rPr>
            <w:rFonts w:ascii="David" w:hAnsi="David" w:cs="David"/>
            <w:color w:val="0000FF"/>
            <w:sz w:val="24"/>
            <w:szCs w:val="24"/>
            <w:u w:val="single"/>
            <w:rtl/>
          </w:rPr>
          <w:t>ת"פ (מחוזי חי') 59488-11-21</w:t>
        </w:r>
      </w:hyperlink>
      <w:r w:rsidR="00B7149F">
        <w:rPr>
          <w:rFonts w:ascii="David" w:hAnsi="David" w:cs="David"/>
          <w:color w:val="000000"/>
          <w:sz w:val="24"/>
          <w:szCs w:val="24"/>
          <w:rtl/>
        </w:rPr>
        <w:t xml:space="preserve"> </w:t>
      </w:r>
      <w:r w:rsidR="00B7149F">
        <w:rPr>
          <w:rFonts w:ascii="David" w:hAnsi="David" w:cs="David"/>
          <w:b/>
          <w:bCs/>
          <w:color w:val="000000"/>
          <w:sz w:val="24"/>
          <w:szCs w:val="24"/>
          <w:rtl/>
        </w:rPr>
        <w:t>מדינת ישראל נ' שאדי אליאס</w:t>
      </w:r>
      <w:r w:rsidR="00B7149F">
        <w:rPr>
          <w:rFonts w:ascii="David" w:hAnsi="David" w:cs="David"/>
          <w:color w:val="000000"/>
          <w:sz w:val="24"/>
          <w:szCs w:val="24"/>
          <w:rtl/>
        </w:rPr>
        <w:t xml:space="preserve"> (נבו 24.10.2022)</w:t>
      </w:r>
      <w:r w:rsidR="00B7149F">
        <w:rPr>
          <w:rFonts w:ascii="David" w:hAnsi="David" w:cs="David"/>
          <w:sz w:val="24"/>
          <w:szCs w:val="24"/>
          <w:rtl/>
        </w:rPr>
        <w:t xml:space="preserve"> – גזר דין שניתן ביום 24.10.2022, שם מדובר היה בנאשם שהורשע על סמך הודאתו </w:t>
      </w:r>
      <w:r w:rsidR="00B7149F">
        <w:rPr>
          <w:rFonts w:ascii="David" w:hAnsi="David" w:cs="David"/>
          <w:color w:val="000000"/>
          <w:sz w:val="24"/>
          <w:szCs w:val="24"/>
          <w:rtl/>
        </w:rPr>
        <w:t xml:space="preserve">בעבירות נשיאה, הובלה וסחר בנשק שלא כדין. </w:t>
      </w:r>
      <w:r w:rsidR="00B7149F">
        <w:rPr>
          <w:rFonts w:ascii="David" w:eastAsia="Times New Roman" w:hAnsi="David" w:cs="David"/>
          <w:color w:val="000000"/>
          <w:sz w:val="24"/>
          <w:szCs w:val="24"/>
          <w:rtl/>
        </w:rPr>
        <w:t>מתחם העונש ההולם נקבע שינוע בין 2.5-5 שנות מאסר (30-60 חודשים).</w:t>
      </w:r>
      <w:r w:rsidR="00B7149F">
        <w:rPr>
          <w:rFonts w:ascii="David" w:eastAsia="Times New Roman" w:hAnsi="David" w:cs="David"/>
          <w:b/>
          <w:bCs/>
          <w:color w:val="000000"/>
          <w:sz w:val="24"/>
          <w:szCs w:val="24"/>
          <w:rtl/>
        </w:rPr>
        <w:t xml:space="preserve"> </w:t>
      </w:r>
      <w:r w:rsidR="00B7149F">
        <w:rPr>
          <w:rFonts w:ascii="David" w:hAnsi="David" w:cs="David"/>
          <w:b/>
          <w:bCs/>
          <w:color w:val="000000"/>
          <w:sz w:val="24"/>
          <w:szCs w:val="24"/>
          <w:rtl/>
        </w:rPr>
        <w:t>בית המשפט גזר על הנאשם 36 חודשי מאסר בפועל בניכוי ימי מעצרו, וכן 12 חודשי מאסר על תנאי למשך שלוש שנים ממועד שחרורו על כל עבירת נשק מסוג פשע.</w:t>
      </w:r>
      <w:r w:rsidR="00B7149F">
        <w:rPr>
          <w:rFonts w:ascii="David" w:hAnsi="David" w:cs="David"/>
          <w:sz w:val="24"/>
          <w:szCs w:val="24"/>
          <w:rtl/>
        </w:rPr>
        <w:t xml:space="preserve"> </w:t>
      </w:r>
      <w:r w:rsidR="00B7149F">
        <w:rPr>
          <w:rFonts w:ascii="David" w:hAnsi="David" w:cs="David"/>
          <w:b/>
          <w:bCs/>
          <w:color w:val="000000"/>
          <w:sz w:val="24"/>
          <w:szCs w:val="24"/>
          <w:rtl/>
        </w:rPr>
        <w:t>בית המשפט שיקלל טרם מתן גזר הדין את הודאת הנאשם שניתנה בתחילת ההליך, גילו הצעיר של הנאשם (21 בעת ביצוע העבירות) ונסיבותיו האישיות כפי שפורטו בתסקיר שירות המבחן. בנוסף, כי לנאשם הייתה רשעה קודמת מלפני זמן לא רב, לא מתחום הנשק אלא מתחום הסמים.</w:t>
      </w:r>
    </w:p>
    <w:p w14:paraId="22B4294E" w14:textId="77777777" w:rsidR="00B7149F" w:rsidRDefault="00B7149F" w:rsidP="00B7149F">
      <w:pPr>
        <w:spacing w:line="360" w:lineRule="auto"/>
        <w:jc w:val="both"/>
        <w:rPr>
          <w:rFonts w:ascii="David" w:hAnsi="David"/>
          <w:b/>
          <w:bCs/>
          <w:rtl/>
        </w:rPr>
      </w:pPr>
    </w:p>
    <w:p w14:paraId="74A14CB4" w14:textId="77777777" w:rsidR="00B7149F" w:rsidRDefault="007F3AB9" w:rsidP="00B7149F">
      <w:pPr>
        <w:pStyle w:val="aa"/>
        <w:spacing w:after="0" w:line="360" w:lineRule="auto"/>
        <w:ind w:left="84"/>
        <w:jc w:val="both"/>
        <w:rPr>
          <w:rFonts w:ascii="David" w:hAnsi="David" w:cs="David"/>
          <w:b/>
          <w:bCs/>
          <w:sz w:val="24"/>
          <w:szCs w:val="24"/>
          <w:rtl/>
        </w:rPr>
      </w:pPr>
      <w:hyperlink r:id="rId57" w:history="1">
        <w:r w:rsidRPr="007F3AB9">
          <w:rPr>
            <w:rFonts w:ascii="David" w:hAnsi="David" w:cs="David"/>
            <w:color w:val="0000FF"/>
            <w:sz w:val="24"/>
            <w:szCs w:val="24"/>
            <w:u w:val="single"/>
            <w:rtl/>
          </w:rPr>
          <w:t>ע"פ 579/22</w:t>
        </w:r>
      </w:hyperlink>
      <w:r w:rsidR="00B7149F">
        <w:rPr>
          <w:rFonts w:ascii="David" w:hAnsi="David" w:cs="David"/>
          <w:color w:val="000000"/>
          <w:sz w:val="24"/>
          <w:szCs w:val="24"/>
          <w:rtl/>
        </w:rPr>
        <w:t xml:space="preserve"> </w:t>
      </w:r>
      <w:r w:rsidR="00B7149F">
        <w:rPr>
          <w:rFonts w:ascii="David" w:hAnsi="David" w:cs="David"/>
          <w:b/>
          <w:bCs/>
          <w:color w:val="000000"/>
          <w:sz w:val="24"/>
          <w:szCs w:val="24"/>
          <w:rtl/>
        </w:rPr>
        <w:t>מדינת ישראל נ' דאוד טחאינה</w:t>
      </w:r>
      <w:r w:rsidR="00B7149F">
        <w:rPr>
          <w:rFonts w:ascii="David" w:hAnsi="David" w:cs="David"/>
          <w:color w:val="000000"/>
          <w:sz w:val="24"/>
          <w:szCs w:val="24"/>
          <w:rtl/>
        </w:rPr>
        <w:t xml:space="preserve"> (נבו 13.06.2022) – ב"כ הנאשם הפנה לפסק הדין בדגש על נאשמים 1 ו-3, ושעיקרה בפרשת עסקאות הברחה ומכירת נשק מול שוטר סמוי. נאשם 1 הורשע בעבירות של החזקה, נשיאה, הובלה וסחר בנשק שלא כדין, וכן ריבוי עבירות של שהייה בישראל שלא כחוק. </w:t>
      </w:r>
      <w:r w:rsidR="00B7149F">
        <w:rPr>
          <w:rFonts w:ascii="David" w:hAnsi="David" w:cs="David"/>
          <w:b/>
          <w:bCs/>
          <w:color w:val="000000"/>
          <w:sz w:val="24"/>
          <w:szCs w:val="24"/>
          <w:rtl/>
        </w:rPr>
        <w:t>בית המשפט המחוזי קבע כי מתחם העונש ההולם אמור לנוע בין 40-70 חודשי מאסר בפועל. בית המשפט המחוזי גזר על הנאשם 40 חודשי מאסר בפועל וכן 15 חודשי מאסר על תנאי למשך 3 שנים, חילוט רכב וקנס בסך 7,000 ₪. בית המשפט העליון קיבל את ערעור המדינה והעמיד את גזר דינו של נאשם 1 על 5.5 שנות מאסר בפועל (66 חודשים) בניכוי ימי המעצר.</w:t>
      </w:r>
      <w:r w:rsidR="00B7149F">
        <w:rPr>
          <w:rFonts w:ascii="David" w:hAnsi="David" w:cs="David"/>
          <w:color w:val="000000"/>
          <w:sz w:val="24"/>
          <w:szCs w:val="24"/>
          <w:rtl/>
        </w:rPr>
        <w:t xml:space="preserve"> פסק הדין תיאר את חומרת מעשיו של נאשם 1 כך: </w:t>
      </w:r>
      <w:r w:rsidR="00B7149F">
        <w:rPr>
          <w:rFonts w:ascii="David" w:hAnsi="David" w:cs="David"/>
          <w:b/>
          <w:bCs/>
          <w:sz w:val="24"/>
          <w:szCs w:val="24"/>
        </w:rPr>
        <w:t>"</w:t>
      </w:r>
      <w:r w:rsidR="00B7149F">
        <w:rPr>
          <w:rFonts w:ascii="David" w:hAnsi="David" w:cs="David"/>
          <w:b/>
          <w:bCs/>
          <w:color w:val="000000"/>
          <w:sz w:val="24"/>
          <w:szCs w:val="24"/>
          <w:rtl/>
        </w:rPr>
        <w:t>בעניינו של דאוד חומרת מעשיו נלמדת, כאמור, לא רק מכמות כלי הנשק בהם סחר, שישה במספר; אלא גם ממעורבותו בשלושה אירועים נפרדים של סחר בנשק; מהברחת כלי הנשק לישראל; ומחלקו המרכזי בהוצאתן לפועל של העסקאות בכל אחד מן האירועים</w:t>
      </w:r>
      <w:r w:rsidR="00B7149F">
        <w:rPr>
          <w:rFonts w:ascii="David" w:hAnsi="David" w:cs="David"/>
          <w:b/>
          <w:bCs/>
          <w:color w:val="000000"/>
          <w:sz w:val="24"/>
          <w:szCs w:val="24"/>
        </w:rPr>
        <w:t>."</w:t>
      </w:r>
      <w:r w:rsidR="00B7149F">
        <w:rPr>
          <w:rFonts w:ascii="David" w:hAnsi="David" w:cs="David"/>
          <w:b/>
          <w:bCs/>
          <w:color w:val="000000"/>
          <w:sz w:val="24"/>
          <w:szCs w:val="24"/>
          <w:rtl/>
        </w:rPr>
        <w:t xml:space="preserve"> </w:t>
      </w:r>
      <w:r w:rsidR="00B7149F">
        <w:rPr>
          <w:rFonts w:ascii="David" w:hAnsi="David" w:cs="David"/>
          <w:color w:val="000000"/>
          <w:sz w:val="24"/>
          <w:szCs w:val="24"/>
          <w:rtl/>
        </w:rPr>
        <w:t xml:space="preserve">נאשם 3 הורשע גם הוא בעבירות של סחר בנשק שלא כדין, החזקת נשק שלא כדין, נשיאה והובלה של נשק ושהייה בישראל שלא כחוק. </w:t>
      </w:r>
      <w:r w:rsidR="00B7149F">
        <w:rPr>
          <w:rFonts w:ascii="David" w:hAnsi="David" w:cs="David"/>
          <w:b/>
          <w:bCs/>
          <w:color w:val="000000"/>
          <w:sz w:val="24"/>
          <w:szCs w:val="24"/>
          <w:rtl/>
        </w:rPr>
        <w:t>בית המשפט המחוזי גזר על נאשם 3 3.5 שנות מאסר בפועל (42 חודשים) בצירוף עונשים נלווים. בית המשפט העליון לא התערב בגזר הדין שניתן.</w:t>
      </w:r>
    </w:p>
    <w:p w14:paraId="6B089E82" w14:textId="77777777" w:rsidR="00B7149F" w:rsidRDefault="00B7149F" w:rsidP="00B7149F">
      <w:pPr>
        <w:pStyle w:val="aa"/>
        <w:spacing w:after="0" w:line="360" w:lineRule="auto"/>
        <w:ind w:left="84"/>
        <w:jc w:val="both"/>
        <w:rPr>
          <w:rFonts w:ascii="David" w:hAnsi="David" w:cs="David"/>
          <w:sz w:val="24"/>
          <w:szCs w:val="24"/>
          <w:rtl/>
        </w:rPr>
      </w:pPr>
    </w:p>
    <w:p w14:paraId="44B5CAA7" w14:textId="77777777" w:rsidR="00B7149F" w:rsidRDefault="007F3AB9" w:rsidP="00B7149F">
      <w:pPr>
        <w:pStyle w:val="aa"/>
        <w:spacing w:after="0" w:line="360" w:lineRule="auto"/>
        <w:ind w:left="84"/>
        <w:jc w:val="both"/>
        <w:rPr>
          <w:rFonts w:ascii="David" w:hAnsi="David" w:cs="David"/>
          <w:color w:val="000000"/>
          <w:sz w:val="24"/>
          <w:szCs w:val="24"/>
          <w:rtl/>
        </w:rPr>
      </w:pPr>
      <w:hyperlink r:id="rId58" w:history="1">
        <w:r w:rsidRPr="007F3AB9">
          <w:rPr>
            <w:rFonts w:ascii="David" w:hAnsi="David" w:cs="David"/>
            <w:color w:val="0000FF"/>
            <w:sz w:val="24"/>
            <w:szCs w:val="24"/>
            <w:u w:val="single"/>
            <w:rtl/>
          </w:rPr>
          <w:t>ע"פ 8665/20</w:t>
        </w:r>
      </w:hyperlink>
      <w:r>
        <w:rPr>
          <w:rFonts w:ascii="David" w:hAnsi="David" w:cs="David"/>
          <w:color w:val="000000"/>
          <w:sz w:val="24"/>
          <w:szCs w:val="24"/>
          <w:rtl/>
        </w:rPr>
        <w:t xml:space="preserve"> </w:t>
      </w:r>
      <w:r w:rsidR="00B7149F">
        <w:rPr>
          <w:rFonts w:ascii="David" w:hAnsi="David" w:cs="David"/>
          <w:b/>
          <w:bCs/>
          <w:color w:val="000000"/>
          <w:sz w:val="24"/>
          <w:szCs w:val="24"/>
          <w:rtl/>
        </w:rPr>
        <w:t>מוצטפא אגבאריה נ' מדינת ישראל</w:t>
      </w:r>
      <w:r>
        <w:rPr>
          <w:rFonts w:ascii="David" w:hAnsi="David" w:cs="David"/>
          <w:color w:val="000000"/>
          <w:sz w:val="24"/>
          <w:szCs w:val="24"/>
          <w:rtl/>
        </w:rPr>
        <w:t xml:space="preserve"> </w:t>
      </w:r>
      <w:r w:rsidR="00B7149F">
        <w:rPr>
          <w:rFonts w:ascii="David" w:hAnsi="David" w:cs="David"/>
          <w:color w:val="000000"/>
          <w:sz w:val="24"/>
          <w:szCs w:val="24"/>
          <w:rtl/>
        </w:rPr>
        <w:t xml:space="preserve">(נבו 08.11.2021) - המערער הורשע במסגרת הסדר טיעון בעבירות של ייבוא ועשיית עסקה אחרת בנשק וכן עבירה של שהייה בישראל שלא כדין. בית המשפט המחוזי עמד בפירוט על שיקולי הענישה ועל חומרת המעשים (ייבוא של שלושה תתי מקלעים ומחסניות תואמות). </w:t>
      </w:r>
      <w:r w:rsidR="00B7149F">
        <w:rPr>
          <w:rFonts w:ascii="David" w:hAnsi="David" w:cs="David"/>
          <w:b/>
          <w:bCs/>
          <w:color w:val="000000"/>
          <w:sz w:val="24"/>
          <w:szCs w:val="24"/>
          <w:rtl/>
        </w:rPr>
        <w:t>מתחם העונש ההולם שנקבע בעניינו הועמד על 3-6 שנות מאסר בפועל (36-72 חודשים). עונש המאסר בפועל הועמד על 4.5 שנים (54 חודשים), לצד מאסר על תנאי. הערעור נדחה.</w:t>
      </w:r>
      <w:r w:rsidR="00B7149F">
        <w:rPr>
          <w:rFonts w:ascii="David" w:hAnsi="David" w:cs="David"/>
          <w:color w:val="000000"/>
          <w:sz w:val="24"/>
          <w:szCs w:val="24"/>
          <w:rtl/>
        </w:rPr>
        <w:t xml:space="preserve"> </w:t>
      </w:r>
      <w:r w:rsidR="00B7149F">
        <w:rPr>
          <w:rFonts w:ascii="David" w:hAnsi="David" w:cs="David"/>
          <w:b/>
          <w:bCs/>
          <w:color w:val="000000"/>
          <w:sz w:val="24"/>
          <w:szCs w:val="24"/>
          <w:rtl/>
        </w:rPr>
        <w:t>בית המשפט המחוזי הדגיש כי המערער היה המתכנן והרוח החיה מאחורי הדברים ודאג להוצאת העסקה מהכוח אל הפועל.</w:t>
      </w:r>
    </w:p>
    <w:p w14:paraId="0D2C3207" w14:textId="77777777" w:rsidR="00B7149F" w:rsidRDefault="00B7149F" w:rsidP="00B7149F">
      <w:pPr>
        <w:pStyle w:val="aa"/>
        <w:spacing w:after="0" w:line="360" w:lineRule="auto"/>
        <w:ind w:left="84"/>
        <w:jc w:val="both"/>
        <w:rPr>
          <w:rFonts w:ascii="David" w:hAnsi="David" w:cs="David"/>
          <w:sz w:val="24"/>
          <w:szCs w:val="24"/>
          <w:rtl/>
        </w:rPr>
      </w:pPr>
    </w:p>
    <w:p w14:paraId="7387E359" w14:textId="77777777" w:rsidR="00B7149F" w:rsidRDefault="00B7149F" w:rsidP="00B7149F">
      <w:pPr>
        <w:pStyle w:val="aa"/>
        <w:spacing w:after="0" w:line="360" w:lineRule="auto"/>
        <w:ind w:left="84"/>
        <w:jc w:val="both"/>
        <w:rPr>
          <w:rFonts w:ascii="David" w:hAnsi="David" w:cs="David"/>
          <w:sz w:val="24"/>
          <w:szCs w:val="24"/>
          <w:rtl/>
        </w:rPr>
      </w:pPr>
      <w:r>
        <w:rPr>
          <w:rFonts w:ascii="David" w:hAnsi="David" w:cs="David"/>
          <w:sz w:val="24"/>
          <w:szCs w:val="24"/>
          <w:rtl/>
        </w:rPr>
        <w:t xml:space="preserve">ת"פ 56511-11-21 </w:t>
      </w:r>
      <w:r>
        <w:rPr>
          <w:rFonts w:ascii="David" w:hAnsi="David" w:cs="David"/>
          <w:b/>
          <w:bCs/>
          <w:sz w:val="24"/>
          <w:szCs w:val="24"/>
          <w:rtl/>
        </w:rPr>
        <w:t>מדינת ישראל נ' גדבאן (עציר) ואח'</w:t>
      </w:r>
      <w:r>
        <w:rPr>
          <w:rFonts w:ascii="David" w:hAnsi="David" w:cs="David"/>
          <w:sz w:val="24"/>
          <w:szCs w:val="24"/>
          <w:rtl/>
        </w:rPr>
        <w:t xml:space="preserve"> (טרם פורסם, ניתן ביום 18.10.2022) - גזר דין במסגרת כתב אישום שהוגש לבית המשפט המחוזי בחיפה כנגד 19 נאשמים בעבירות נשק שונות, שנתפסו במהלך פעילות סוכן. ב"כ המאשימה הפנה לגזר הדין שניתן כנגד </w:t>
      </w:r>
      <w:r>
        <w:rPr>
          <w:rFonts w:ascii="David" w:hAnsi="David" w:cs="David"/>
          <w:b/>
          <w:bCs/>
          <w:sz w:val="24"/>
          <w:szCs w:val="24"/>
          <w:u w:val="single"/>
          <w:rtl/>
        </w:rPr>
        <w:t>נאשם מס' 2</w:t>
      </w:r>
      <w:r>
        <w:rPr>
          <w:rFonts w:ascii="David" w:hAnsi="David" w:cs="David"/>
          <w:sz w:val="24"/>
          <w:szCs w:val="24"/>
          <w:u w:val="single"/>
          <w:rtl/>
        </w:rPr>
        <w:t>,</w:t>
      </w:r>
      <w:r>
        <w:rPr>
          <w:rFonts w:ascii="David" w:hAnsi="David" w:cs="David"/>
          <w:sz w:val="24"/>
          <w:szCs w:val="24"/>
          <w:rtl/>
        </w:rPr>
        <w:t xml:space="preserve"> ארכאן עזאם, הוא זה שמוזכר בעובדות כתב האישום ב</w:t>
      </w:r>
      <w:hyperlink r:id="rId59"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הנאשם 2 הורשע בעבירות נשק שעניינן הובלה, נשיאה והחזקה, ירי מנשק חם, וכן עבירה של סחר בנשק שלא כדין (מקלע + 229 כדורים + 2 רובי סער מסוג </w:t>
      </w:r>
      <w:r>
        <w:rPr>
          <w:rFonts w:ascii="David" w:hAnsi="David" w:cs="David"/>
          <w:sz w:val="24"/>
          <w:szCs w:val="24"/>
        </w:rPr>
        <w:t>M16</w:t>
      </w:r>
      <w:r>
        <w:rPr>
          <w:rFonts w:ascii="David" w:hAnsi="David" w:cs="David"/>
          <w:sz w:val="24"/>
          <w:szCs w:val="24"/>
          <w:rtl/>
        </w:rPr>
        <w:t xml:space="preserve">). </w:t>
      </w:r>
      <w:r>
        <w:rPr>
          <w:rFonts w:ascii="David" w:hAnsi="David" w:cs="David"/>
          <w:b/>
          <w:bCs/>
          <w:sz w:val="24"/>
          <w:szCs w:val="24"/>
          <w:rtl/>
        </w:rPr>
        <w:t>נקבע כי מתחם העונש ההולם אמור לנוע בין 6-9 שנות מאסר בפועל (72-108 חודשים), לצד עונשי מאסר על תנאי וכן קנס.</w:t>
      </w:r>
      <w:r>
        <w:rPr>
          <w:rFonts w:ascii="David" w:hAnsi="David" w:cs="David"/>
          <w:sz w:val="24"/>
          <w:szCs w:val="24"/>
          <w:rtl/>
        </w:rPr>
        <w:t xml:space="preserve"> בית המשפט שיקלל את הודאת הנאשם 2 בהזדמנות הראשונה, לנסיבותיו המשפחתיות והרפואיות וכי העבר הפלילי של הנאשם היה ישן למדי ולא מאותו "עולם תוכן", על כן מצא לקבוע את מתחם הענישה ברף התחתון. </w:t>
      </w:r>
      <w:r>
        <w:rPr>
          <w:rFonts w:ascii="David" w:hAnsi="David" w:cs="David"/>
          <w:b/>
          <w:bCs/>
          <w:sz w:val="24"/>
          <w:szCs w:val="24"/>
          <w:rtl/>
        </w:rPr>
        <w:t>בית המשפט גזר את דינו של הנאשם לשש שנות מאסר בפועל (72 חודשים) מיום מעצרו, וכן 18 שמונה עשר חודשי מאסר על תנאי למשך 3 שנים ממועד שחרורו על כל עבירה מסוג נשיאה, הובלה או החזקה וכן סחר בנשק או ירי באזור מגורים, וכן קנס בסך 10,000 ₪ או 2 חודשי מאסר תמורתו. נקבע שלנאשם 2 הייתה תרומה מכרעת למימוש עסקאות הסחר, פעם בהבאת כלי הנשק לזירת המכירה ובדיקת תקינותו, ופעם בהיותו הגורם היחיד והבלעדי שקישר בין "המוכר לקונה" ואפשר את ביצוע העסקה.</w:t>
      </w:r>
      <w:r>
        <w:rPr>
          <w:rFonts w:ascii="David" w:hAnsi="David" w:cs="David"/>
          <w:sz w:val="24"/>
          <w:szCs w:val="24"/>
          <w:rtl/>
        </w:rPr>
        <w:t xml:space="preserve"> ב"כ המאשימה עדכן את בית המשפט כי הוגש ערעור על קולת העונש שעודו תלוי ועומד.</w:t>
      </w:r>
    </w:p>
    <w:p w14:paraId="3F29BF00" w14:textId="77777777" w:rsidR="00B7149F" w:rsidRDefault="00B7149F" w:rsidP="00B7149F">
      <w:pPr>
        <w:pStyle w:val="aa"/>
        <w:spacing w:after="0" w:line="360" w:lineRule="auto"/>
        <w:ind w:left="84"/>
        <w:jc w:val="both"/>
        <w:rPr>
          <w:rFonts w:ascii="David" w:hAnsi="David" w:cs="David"/>
          <w:sz w:val="24"/>
          <w:szCs w:val="24"/>
          <w:rtl/>
        </w:rPr>
      </w:pPr>
    </w:p>
    <w:p w14:paraId="3F912B9B" w14:textId="77777777" w:rsidR="00B7149F" w:rsidRDefault="00B7149F" w:rsidP="00B7149F">
      <w:pPr>
        <w:pStyle w:val="aa"/>
        <w:spacing w:after="0" w:line="360" w:lineRule="auto"/>
        <w:ind w:left="84"/>
        <w:jc w:val="both"/>
        <w:rPr>
          <w:rFonts w:ascii="David" w:hAnsi="David" w:cs="David"/>
          <w:b/>
          <w:bCs/>
          <w:sz w:val="24"/>
          <w:szCs w:val="24"/>
          <w:rtl/>
        </w:rPr>
      </w:pPr>
      <w:r>
        <w:rPr>
          <w:rFonts w:ascii="David" w:hAnsi="David" w:cs="David"/>
          <w:sz w:val="24"/>
          <w:szCs w:val="24"/>
          <w:rtl/>
        </w:rPr>
        <w:t xml:space="preserve">ת"פ 56511-11-21 </w:t>
      </w:r>
      <w:r>
        <w:rPr>
          <w:rFonts w:ascii="David" w:hAnsi="David" w:cs="David"/>
          <w:b/>
          <w:bCs/>
          <w:sz w:val="24"/>
          <w:szCs w:val="24"/>
          <w:rtl/>
        </w:rPr>
        <w:t>מדינת ישראל נ' גדבאן (עציר) ואח'</w:t>
      </w:r>
      <w:r>
        <w:rPr>
          <w:rFonts w:ascii="David" w:hAnsi="David" w:cs="David"/>
          <w:sz w:val="24"/>
          <w:szCs w:val="24"/>
          <w:rtl/>
        </w:rPr>
        <w:t xml:space="preserve"> (טרם פורסם, ניתן ביום 19.10.2022) – ב"כ הנאשם הפנה לפסק הדין בעניינו של </w:t>
      </w:r>
      <w:r>
        <w:rPr>
          <w:rFonts w:ascii="David" w:hAnsi="David" w:cs="David"/>
          <w:b/>
          <w:bCs/>
          <w:sz w:val="24"/>
          <w:szCs w:val="24"/>
          <w:u w:val="single"/>
          <w:rtl/>
        </w:rPr>
        <w:t>נאשם מס' 3</w:t>
      </w:r>
      <w:r>
        <w:rPr>
          <w:rFonts w:ascii="David" w:hAnsi="David" w:cs="David"/>
          <w:sz w:val="24"/>
          <w:szCs w:val="24"/>
          <w:rtl/>
        </w:rPr>
        <w:t xml:space="preserve"> (היתאם ווהבי), אשר הורשע על פי הודאתו בעבירות של סחר בנשק שלא כדין (2 עבירות), וכן בעבירת קשר לפשע. גם כאן, מדובר היה בנאשם שהיה חלק מפרשיה מורכבת שככלה נאשמים רבים והיווה חוליה בשרשרת ביצוע עסקת נשק. הנאשם פעל כסוג של מתווך, עת הפגיש בין מי שידע שיש ברשותו כלי נשק ובין הסוכן המשטרתי, שידע כי הוא חפץ לקנות כלי נשק. </w:t>
      </w:r>
      <w:r>
        <w:rPr>
          <w:rFonts w:ascii="David" w:hAnsi="David" w:cs="David"/>
          <w:b/>
          <w:bCs/>
          <w:sz w:val="24"/>
          <w:szCs w:val="24"/>
          <w:rtl/>
        </w:rPr>
        <w:t>מתחם העונש ההולם נקבע שינוע בין 5-9 שנות מאסר בפועל (60-108 חודשים), לצד עונש מאסר על תנאי וקנס.</w:t>
      </w:r>
      <w:r>
        <w:rPr>
          <w:rFonts w:ascii="David" w:hAnsi="David" w:cs="David"/>
          <w:sz w:val="24"/>
          <w:szCs w:val="24"/>
          <w:rtl/>
        </w:rPr>
        <w:t xml:space="preserve"> </w:t>
      </w:r>
      <w:r>
        <w:rPr>
          <w:rFonts w:ascii="David" w:hAnsi="David" w:cs="David"/>
          <w:b/>
          <w:bCs/>
          <w:sz w:val="24"/>
          <w:szCs w:val="24"/>
          <w:rtl/>
        </w:rPr>
        <w:t>בית המשפט גזר על הנאשם 66 חודשי מאסר בפועל (מניין מיום המעצר), וכן 18 חודשי מאסר על תנאי למשך שלוש שנים ממועד שחרורו על כל עבירה בנשק או סחר שלא כדין בנשק, וכן קנס בסך 30,000 ₪ (או 6 חודשי מאסר נוספים תמורת הקנס).</w:t>
      </w:r>
      <w:r>
        <w:rPr>
          <w:rFonts w:ascii="David" w:hAnsi="David" w:cs="David"/>
          <w:color w:val="000000"/>
          <w:sz w:val="24"/>
          <w:szCs w:val="24"/>
          <w:rtl/>
        </w:rPr>
        <w:t xml:space="preserve"> בית המשפט שיקלל טרם מתן גז ר הדין את נסיבותיו האישיות של הנאשם</w:t>
      </w:r>
      <w:r>
        <w:rPr>
          <w:rFonts w:ascii="David" w:hAnsi="David" w:cs="David"/>
          <w:sz w:val="24"/>
          <w:szCs w:val="24"/>
          <w:rtl/>
        </w:rPr>
        <w:t xml:space="preserve"> לרבות העובדה כי בתו גדלה על ידי אחותו הוא התייתם מאמו אך לאחרונה וכי הענישה תשפיע בהכרח על אופן גידול הילדה. מאידך, ניתן דגש על צרכי ההרתעה בעבירות בהן הורשע. </w:t>
      </w:r>
    </w:p>
    <w:p w14:paraId="3F42B386" w14:textId="77777777" w:rsidR="00B7149F" w:rsidRDefault="00B7149F" w:rsidP="00B7149F">
      <w:pPr>
        <w:spacing w:line="360" w:lineRule="auto"/>
        <w:ind w:left="720" w:hanging="720"/>
        <w:jc w:val="both"/>
        <w:rPr>
          <w:rFonts w:ascii="David" w:hAnsi="David"/>
        </w:rPr>
      </w:pPr>
    </w:p>
    <w:p w14:paraId="7CEDE9D4" w14:textId="77777777" w:rsidR="00B7149F" w:rsidRDefault="00B7149F" w:rsidP="00B7149F">
      <w:pPr>
        <w:pStyle w:val="aa"/>
        <w:spacing w:after="0" w:line="360" w:lineRule="auto"/>
        <w:ind w:left="84"/>
        <w:jc w:val="both"/>
        <w:rPr>
          <w:rFonts w:ascii="David" w:hAnsi="David" w:cs="David"/>
          <w:sz w:val="24"/>
          <w:szCs w:val="24"/>
          <w:rtl/>
        </w:rPr>
      </w:pPr>
      <w:r>
        <w:rPr>
          <w:rFonts w:ascii="David" w:hAnsi="David" w:cs="David"/>
          <w:sz w:val="24"/>
          <w:szCs w:val="24"/>
          <w:rtl/>
        </w:rPr>
        <w:t xml:space="preserve">ת"פ 56511-11-21 </w:t>
      </w:r>
      <w:r>
        <w:rPr>
          <w:rFonts w:ascii="David" w:hAnsi="David" w:cs="David"/>
          <w:b/>
          <w:bCs/>
          <w:sz w:val="24"/>
          <w:szCs w:val="24"/>
          <w:rtl/>
        </w:rPr>
        <w:t>מדינת ישראל נ' גדבאן (עציר) ואח'</w:t>
      </w:r>
      <w:r>
        <w:rPr>
          <w:rFonts w:ascii="David" w:hAnsi="David" w:cs="David"/>
          <w:sz w:val="24"/>
          <w:szCs w:val="24"/>
          <w:rtl/>
        </w:rPr>
        <w:t xml:space="preserve"> (טרם פורסם, ניתן ביום 18.10.2022) - ב"כ הנאשם הפנה לפסק הדין בעניינו של </w:t>
      </w:r>
      <w:r>
        <w:rPr>
          <w:rFonts w:ascii="David" w:hAnsi="David" w:cs="David"/>
          <w:b/>
          <w:bCs/>
          <w:sz w:val="24"/>
          <w:szCs w:val="24"/>
          <w:u w:val="single"/>
          <w:rtl/>
        </w:rPr>
        <w:t>נאשם מס' 4</w:t>
      </w:r>
      <w:r>
        <w:rPr>
          <w:rFonts w:ascii="David" w:hAnsi="David" w:cs="David"/>
          <w:sz w:val="24"/>
          <w:szCs w:val="24"/>
          <w:rtl/>
        </w:rPr>
        <w:t xml:space="preserve"> (חמזה מחאמיד), אשר הורשע על פי הודאתו בעבירות של סחר בנשק שלא כדין (2 עבירות) וכן עבירות ההחזקה נשיאה והובלה שלא כדין. גם כאן דובר היה בנאשם שהיה חלק מפרשיה מורכבת שככלה נאשמים רבים והיווה חוליה בשרשרת ביצוע עסקת נשק. הנאשם לא היה מיוזמי העסקאות בעצמו אך פעל כסוג של מתווך שקישר בין ספק נשק בשטחי הרש"פ לבין הקונה שהיה הסוכן המשטרתי, לצורך הפקת רווח כספי. </w:t>
      </w:r>
      <w:r>
        <w:rPr>
          <w:rFonts w:ascii="David" w:hAnsi="David" w:cs="David"/>
          <w:b/>
          <w:bCs/>
          <w:sz w:val="24"/>
          <w:szCs w:val="24"/>
          <w:rtl/>
        </w:rPr>
        <w:t xml:space="preserve">מתחם העונש ההולם נקבע שינוע בין 4.5-8 שנות מאסר (54-96 חודשי מאסר), לצד עונשי מאסר על תנאי וקנס. בית המשפט גזר על הנאשם 54 חודשי מאסר בפועל (מניין מיום המעצר), וכן 18 חודשי מאסר על תנאי למשך שלוש שנים ממועד שחרורו על כל עבירה בנשק או סחר שלא כדין בנשק, וכן קנס בסך 20,000 ₪ (או 4 חודשי מאסר נוספים תמורת הקנס). </w:t>
      </w:r>
      <w:r>
        <w:rPr>
          <w:rFonts w:ascii="David" w:hAnsi="David" w:cs="David"/>
          <w:color w:val="000000"/>
          <w:sz w:val="24"/>
          <w:szCs w:val="24"/>
          <w:rtl/>
        </w:rPr>
        <w:t>בית המשפט שיקלל טרם מתן גזר הדין את מגמת ההחמרה בענישה בגין עבירות של סחר בנשק, עמדתה המסתייגת של משפחת הנאשם, גילו הצעיר של הנאשם וכן עברו הנקי של הנאשם.</w:t>
      </w:r>
      <w:r>
        <w:rPr>
          <w:rFonts w:ascii="David" w:hAnsi="David" w:cs="David"/>
          <w:b/>
          <w:bCs/>
          <w:color w:val="000000"/>
          <w:sz w:val="24"/>
          <w:szCs w:val="24"/>
          <w:rtl/>
        </w:rPr>
        <w:t xml:space="preserve"> </w:t>
      </w:r>
    </w:p>
    <w:p w14:paraId="4E30552A" w14:textId="77777777" w:rsidR="00B7149F" w:rsidRDefault="00B7149F" w:rsidP="00B7149F">
      <w:pPr>
        <w:pStyle w:val="aa"/>
        <w:spacing w:after="0" w:line="360" w:lineRule="auto"/>
        <w:ind w:left="84"/>
        <w:jc w:val="both"/>
        <w:rPr>
          <w:rFonts w:ascii="David" w:hAnsi="David" w:cs="David"/>
          <w:b/>
          <w:bCs/>
          <w:sz w:val="24"/>
          <w:szCs w:val="24"/>
          <w:rtl/>
        </w:rPr>
      </w:pPr>
    </w:p>
    <w:p w14:paraId="2F3FFC82" w14:textId="77777777" w:rsidR="00B7149F" w:rsidRDefault="00B7149F" w:rsidP="00B7149F">
      <w:pPr>
        <w:pStyle w:val="aa"/>
        <w:spacing w:after="0" w:line="360" w:lineRule="auto"/>
        <w:ind w:left="84"/>
        <w:jc w:val="both"/>
        <w:rPr>
          <w:rFonts w:ascii="David" w:hAnsi="David" w:cs="David"/>
          <w:sz w:val="24"/>
          <w:szCs w:val="24"/>
          <w:rtl/>
        </w:rPr>
      </w:pPr>
      <w:r>
        <w:rPr>
          <w:rFonts w:ascii="David" w:hAnsi="David" w:cs="David"/>
          <w:sz w:val="24"/>
          <w:szCs w:val="24"/>
          <w:rtl/>
        </w:rPr>
        <w:t xml:space="preserve">ת"פ 56511-11-21 </w:t>
      </w:r>
      <w:r>
        <w:rPr>
          <w:rFonts w:ascii="David" w:hAnsi="David" w:cs="David"/>
          <w:b/>
          <w:bCs/>
          <w:sz w:val="24"/>
          <w:szCs w:val="24"/>
          <w:rtl/>
        </w:rPr>
        <w:t>מדינת ישראל נ' גדבאן (עציר) ואח'</w:t>
      </w:r>
      <w:r>
        <w:rPr>
          <w:rFonts w:ascii="David" w:hAnsi="David" w:cs="David"/>
          <w:sz w:val="24"/>
          <w:szCs w:val="24"/>
          <w:rtl/>
        </w:rPr>
        <w:t xml:space="preserve"> (טרם פורסם, ניתן ביום 18.10.2022) - ב"כ המאשימה הפנה לגזר הדין שניתן כנגד </w:t>
      </w:r>
      <w:r>
        <w:rPr>
          <w:rFonts w:ascii="David" w:hAnsi="David" w:cs="David"/>
          <w:b/>
          <w:bCs/>
          <w:sz w:val="24"/>
          <w:szCs w:val="24"/>
          <w:u w:val="single"/>
          <w:rtl/>
        </w:rPr>
        <w:t>נאשם מס' 6</w:t>
      </w:r>
      <w:r>
        <w:rPr>
          <w:rFonts w:ascii="David" w:hAnsi="David" w:cs="David"/>
          <w:sz w:val="24"/>
          <w:szCs w:val="24"/>
          <w:rtl/>
        </w:rPr>
        <w:t>, שם הורשע הנאשם על פי הודאתו בשתי עבירות שעניינן סחר בנשק שלא כדין, שם פעם אחת מכר הנאשם ישירות לסוכן משטרתי ובפעם אחרת באמצעות מתווכים אחרים, שני כלי נשק: אקדח ורובה</w:t>
      </w:r>
      <w:r>
        <w:rPr>
          <w:rFonts w:ascii="David" w:hAnsi="David" w:cs="David"/>
          <w:sz w:val="24"/>
          <w:szCs w:val="24"/>
        </w:rPr>
        <w:t xml:space="preserve">M16 </w:t>
      </w:r>
      <w:r>
        <w:rPr>
          <w:rFonts w:ascii="David" w:hAnsi="David" w:cs="David"/>
          <w:sz w:val="24"/>
          <w:szCs w:val="24"/>
          <w:rtl/>
        </w:rPr>
        <w:t xml:space="preserve"> מאולתר וכן מחסנית תואמת לכל כלי נשק.</w:t>
      </w:r>
      <w:r>
        <w:rPr>
          <w:rFonts w:ascii="David" w:hAnsi="David" w:cs="David"/>
          <w:sz w:val="24"/>
          <w:szCs w:val="24"/>
        </w:rPr>
        <w:t xml:space="preserve"> </w:t>
      </w:r>
      <w:r>
        <w:rPr>
          <w:rFonts w:ascii="David" w:hAnsi="David" w:cs="David"/>
          <w:b/>
          <w:bCs/>
          <w:sz w:val="24"/>
          <w:szCs w:val="24"/>
          <w:rtl/>
        </w:rPr>
        <w:t>נקבע כי מתחם העונש ההולם אמור לנוע בין 5-8 שנות מאסר בפועל (60-96 חודשים), לצד עונשי מאסר על תנאי וקנס.</w:t>
      </w:r>
      <w:r>
        <w:rPr>
          <w:rFonts w:ascii="David" w:hAnsi="David" w:cs="David"/>
          <w:sz w:val="24"/>
          <w:szCs w:val="24"/>
          <w:rtl/>
        </w:rPr>
        <w:t xml:space="preserve"> </w:t>
      </w:r>
      <w:r>
        <w:rPr>
          <w:rFonts w:ascii="David" w:hAnsi="David" w:cs="David"/>
          <w:b/>
          <w:bCs/>
          <w:sz w:val="24"/>
          <w:szCs w:val="24"/>
          <w:rtl/>
        </w:rPr>
        <w:t xml:space="preserve">בית המשפט גזר על הנאשם 5 שנות מאסר בפועל (60 חודשים), וכן 24 חודשי מאסר על תנאי למשך 3 שנים על העבירות בהם הורשע, קנס של 10,000 ₪ או חודשיים מאסר תמורתו. </w:t>
      </w:r>
      <w:r>
        <w:rPr>
          <w:rFonts w:ascii="David" w:hAnsi="David" w:cs="David"/>
          <w:sz w:val="24"/>
          <w:szCs w:val="24"/>
          <w:rtl/>
        </w:rPr>
        <w:t xml:space="preserve">בגזירת העונש נתן בית המשפט דעתו להודאה שניתנה בהזדמנות הראשונה, עברו הפלילי הנקי, הבעת החרטה, נסיבותיו האישיות של הנאשם והיותו אב לילדים. </w:t>
      </w:r>
    </w:p>
    <w:p w14:paraId="44C6CF4F" w14:textId="77777777" w:rsidR="00B7149F" w:rsidRDefault="00B7149F" w:rsidP="00B7149F">
      <w:pPr>
        <w:spacing w:line="360" w:lineRule="auto"/>
        <w:jc w:val="both"/>
        <w:rPr>
          <w:rFonts w:ascii="David" w:hAnsi="David"/>
          <w:rtl/>
        </w:rPr>
      </w:pPr>
    </w:p>
    <w:p w14:paraId="1A0BD980" w14:textId="77777777" w:rsidR="00B7149F" w:rsidRDefault="007F3AB9" w:rsidP="00B7149F">
      <w:pPr>
        <w:pStyle w:val="aa"/>
        <w:spacing w:after="0" w:line="360" w:lineRule="auto"/>
        <w:ind w:left="84"/>
        <w:jc w:val="both"/>
        <w:rPr>
          <w:rFonts w:ascii="David" w:hAnsi="David" w:cs="David"/>
          <w:sz w:val="24"/>
          <w:szCs w:val="24"/>
          <w:rtl/>
        </w:rPr>
      </w:pPr>
      <w:hyperlink r:id="rId60" w:history="1">
        <w:r w:rsidRPr="007F3AB9">
          <w:rPr>
            <w:rFonts w:ascii="David" w:hAnsi="David" w:cs="David"/>
            <w:color w:val="0000FF"/>
            <w:sz w:val="24"/>
            <w:szCs w:val="24"/>
            <w:u w:val="single"/>
            <w:rtl/>
          </w:rPr>
          <w:t>ע"פ 4077/22</w:t>
        </w:r>
      </w:hyperlink>
      <w:r w:rsidR="00B7149F">
        <w:rPr>
          <w:rFonts w:ascii="David" w:hAnsi="David" w:cs="David"/>
          <w:sz w:val="24"/>
          <w:szCs w:val="24"/>
          <w:rtl/>
        </w:rPr>
        <w:t xml:space="preserve"> </w:t>
      </w:r>
      <w:r w:rsidR="00B7149F">
        <w:rPr>
          <w:rFonts w:ascii="David" w:hAnsi="David" w:cs="David"/>
          <w:b/>
          <w:bCs/>
          <w:sz w:val="24"/>
          <w:szCs w:val="24"/>
          <w:rtl/>
        </w:rPr>
        <w:t>פלוני נ' מדינת ישראל</w:t>
      </w:r>
      <w:r w:rsidR="00B7149F">
        <w:rPr>
          <w:rFonts w:ascii="David" w:hAnsi="David" w:cs="David"/>
          <w:sz w:val="24"/>
          <w:szCs w:val="24"/>
          <w:rtl/>
        </w:rPr>
        <w:t xml:space="preserve"> (נבו 28.07.2022) – ערעורים על פרשת הסחר בנשק שאוזכרה לעיל בקשר לעניינים של נאשם 6, וכן נאשמים 5, 7 ו-12 (ת"פ 56511-11-12, כבוד השופט א. פורת). מערער אחד הורשע בשתי עבירות של סחר בנשק ונגזרו עליו 5 שנות מאסר לצד עונשים נלווים. מערער נוסף הורשע בשתי עבירות של סחר בנשק ובשתי עבירות של החזקה, הובלה ונשיאת נשק בצוותא חדא ונדון ל-36 חודשי מאסר לריצוי בפועל, לצד עונשים נלווים. מערער נוסף הורשע בעבירה אחת של סחר בנשק ובעבירה אחת של החזקה, הובלה ונשיאת נשק בצוותא חדא ונדון ל-30 חודשי מאסר לריצוי בפועל, לצד עונשים נלווים. מערער נוסף הורשע בעבירה אחת של סיוע לסחר בנשק ובעבירה אחת של החזקה, הובלה ונשיאת נשק בצוותא חדא ונדון ל-19 חודשי מאסר לריצוי בפועל, לצד עונשים נלווים.</w:t>
      </w:r>
      <w:r>
        <w:rPr>
          <w:rFonts w:ascii="David" w:hAnsi="David" w:cs="David"/>
          <w:sz w:val="24"/>
          <w:szCs w:val="24"/>
          <w:rtl/>
        </w:rPr>
        <w:t xml:space="preserve"> </w:t>
      </w:r>
      <w:r w:rsidR="00B7149F">
        <w:rPr>
          <w:rFonts w:ascii="David" w:hAnsi="David" w:cs="David"/>
          <w:b/>
          <w:bCs/>
          <w:sz w:val="24"/>
          <w:szCs w:val="24"/>
          <w:rtl/>
        </w:rPr>
        <w:t>בית המשפט דחה את הערעורים למעט הפחתת עונשו של הנאשם שנדון ל-5 שנים באופן שימי מעצרו יקוזזו ממאסרו, וכן קיבל את ערעור המדינה תוך החמרת העונשים ל-46 חודשים (חלף 36), 36 חודשים (חלף 30) ו-25 חודשים (חלף 19).</w:t>
      </w:r>
      <w:r w:rsidR="00B7149F">
        <w:rPr>
          <w:rFonts w:ascii="David" w:hAnsi="David" w:cs="David"/>
          <w:sz w:val="24"/>
          <w:szCs w:val="24"/>
          <w:rtl/>
        </w:rPr>
        <w:t xml:space="preserve">  </w:t>
      </w:r>
      <w:r>
        <w:rPr>
          <w:rFonts w:ascii="David" w:hAnsi="David" w:cs="David"/>
          <w:sz w:val="24"/>
          <w:szCs w:val="24"/>
        </w:rPr>
        <w:t xml:space="preserve"> </w:t>
      </w:r>
    </w:p>
    <w:p w14:paraId="53A3C822" w14:textId="77777777" w:rsidR="00B7149F" w:rsidRDefault="00B7149F" w:rsidP="00B7149F">
      <w:pPr>
        <w:pStyle w:val="aa"/>
        <w:spacing w:after="0" w:line="360" w:lineRule="auto"/>
        <w:ind w:left="84"/>
        <w:jc w:val="both"/>
        <w:rPr>
          <w:rFonts w:ascii="David" w:hAnsi="David" w:cs="David"/>
          <w:sz w:val="24"/>
          <w:szCs w:val="24"/>
          <w:rtl/>
        </w:rPr>
      </w:pPr>
    </w:p>
    <w:p w14:paraId="4D41A8E0" w14:textId="77777777" w:rsidR="00B7149F" w:rsidRDefault="00B7149F" w:rsidP="00B7149F">
      <w:pPr>
        <w:pStyle w:val="aa"/>
        <w:spacing w:after="0" w:line="360" w:lineRule="auto"/>
        <w:ind w:left="84"/>
        <w:jc w:val="both"/>
        <w:rPr>
          <w:rFonts w:ascii="David" w:hAnsi="David" w:cs="David"/>
          <w:b/>
          <w:bCs/>
          <w:sz w:val="24"/>
          <w:szCs w:val="24"/>
          <w:rtl/>
        </w:rPr>
      </w:pPr>
      <w:r>
        <w:rPr>
          <w:rFonts w:ascii="David" w:hAnsi="David" w:cs="David"/>
          <w:sz w:val="24"/>
          <w:szCs w:val="24"/>
          <w:rtl/>
        </w:rPr>
        <w:t xml:space="preserve">בית המשפט ציין בפסק הדין כי: </w:t>
      </w:r>
      <w:r>
        <w:rPr>
          <w:rFonts w:ascii="David" w:hAnsi="David" w:cs="David"/>
          <w:b/>
          <w:bCs/>
          <w:sz w:val="24"/>
          <w:szCs w:val="24"/>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 מדיניות זו חלה ביתר שאת כאשר מדובר במכירה, ברכישה, בנשיאה או בהובלה – שלא כדין – של נשק התקפי בדמות תת-מקלעים ורובים ובשימוש לא חוקי בנשק כאמור. בטיפולנו בעבירות מסוג זה ובמבצעיהן, להרתעת היחיד והרבים ולהרחקת עברייני הנשק מהחברה על ידי השמתם בין כותלי הכלא לתקופות ממושכות יש מעמד בכורה. [...] 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w:t>
      </w:r>
      <w:r w:rsidR="007F3AB9">
        <w:rPr>
          <w:rFonts w:ascii="David" w:hAnsi="David" w:cs="David"/>
          <w:b/>
          <w:bCs/>
          <w:sz w:val="24"/>
          <w:szCs w:val="24"/>
        </w:rPr>
        <w:t xml:space="preserve"> </w:t>
      </w:r>
      <w:r>
        <w:rPr>
          <w:rFonts w:ascii="David" w:hAnsi="David" w:cs="David"/>
          <w:b/>
          <w:bCs/>
          <w:sz w:val="24"/>
          <w:szCs w:val="24"/>
        </w:rPr>
        <w:t xml:space="preserve">– </w:t>
      </w:r>
      <w:r>
        <w:rPr>
          <w:rFonts w:ascii="David" w:hAnsi="David" w:cs="David"/>
          <w:b/>
          <w:bCs/>
          <w:sz w:val="24"/>
          <w:szCs w:val="24"/>
          <w:rtl/>
        </w:rPr>
        <w:t>עונשי מאסר בין סורג ובריח לתקופות ארוכות יחסית [...]</w:t>
      </w:r>
      <w:r>
        <w:rPr>
          <w:rFonts w:ascii="David" w:hAnsi="David" w:cs="David"/>
          <w:b/>
          <w:bCs/>
          <w:sz w:val="24"/>
          <w:szCs w:val="24"/>
        </w:rPr>
        <w:t xml:space="preserve"> </w:t>
      </w:r>
      <w:r>
        <w:rPr>
          <w:rFonts w:ascii="David" w:hAnsi="David" w:cs="David"/>
          <w:b/>
          <w:bCs/>
          <w:sz w:val="24"/>
          <w:szCs w:val="24"/>
          <w:rtl/>
        </w:rPr>
        <w:t>לפי אמות המידה שמדיניות זו קבעה, מאסר בפועל לתקופה של 3 שנים בגין עבירות הקשורות לנשק התקפי נמצא ברף הנמוך של הענישה הראויה."</w:t>
      </w:r>
    </w:p>
    <w:p w14:paraId="6AF8821F" w14:textId="77777777" w:rsidR="00B7149F" w:rsidRDefault="00B7149F" w:rsidP="00B7149F">
      <w:pPr>
        <w:pStyle w:val="aa"/>
        <w:spacing w:after="0" w:line="360" w:lineRule="auto"/>
        <w:ind w:left="84"/>
        <w:jc w:val="both"/>
        <w:rPr>
          <w:rFonts w:ascii="David" w:hAnsi="David" w:cs="David"/>
          <w:b/>
          <w:bCs/>
          <w:sz w:val="24"/>
          <w:szCs w:val="24"/>
          <w:rtl/>
        </w:rPr>
      </w:pPr>
    </w:p>
    <w:p w14:paraId="5AA4DCEA"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נוכח נסיבות ביצוע העבירות בעניינו של הנאשם, הערכים המוגנים שנפגעו, מדיניות הענישה ומגמת ההחמרה אשר הינה בבחינת 'צו השעה' ביחס לעבירות נשק, מצאתי כי מתחם העונש ההולם ב</w:t>
      </w:r>
      <w:hyperlink r:id="rId61" w:history="1">
        <w:r w:rsidR="007F3AB9" w:rsidRPr="007F3AB9">
          <w:rPr>
            <w:rFonts w:ascii="David" w:hAnsi="David" w:cs="David"/>
            <w:color w:val="0000FF"/>
            <w:sz w:val="24"/>
            <w:szCs w:val="24"/>
            <w:u w:val="single"/>
            <w:rtl/>
          </w:rPr>
          <w:t>ת"פ 24527-07-22</w:t>
        </w:r>
      </w:hyperlink>
      <w:r>
        <w:rPr>
          <w:rFonts w:ascii="David" w:hAnsi="David" w:cs="David"/>
          <w:sz w:val="24"/>
          <w:szCs w:val="24"/>
          <w:rtl/>
        </w:rPr>
        <w:t xml:space="preserve"> אמור לנוע </w:t>
      </w:r>
      <w:r>
        <w:rPr>
          <w:rFonts w:ascii="David" w:hAnsi="David" w:cs="David"/>
          <w:b/>
          <w:bCs/>
          <w:sz w:val="24"/>
          <w:szCs w:val="24"/>
          <w:rtl/>
        </w:rPr>
        <w:t>בין 54-96</w:t>
      </w:r>
      <w:r>
        <w:rPr>
          <w:rFonts w:ascii="David" w:hAnsi="David" w:cs="David"/>
          <w:sz w:val="24"/>
          <w:szCs w:val="24"/>
          <w:rtl/>
        </w:rPr>
        <w:t xml:space="preserve"> חודשי מאסר בפועל, וב</w:t>
      </w:r>
      <w:hyperlink r:id="rId62" w:history="1">
        <w:r w:rsidR="007F3AB9" w:rsidRPr="007F3AB9">
          <w:rPr>
            <w:rFonts w:ascii="David" w:hAnsi="David" w:cs="David"/>
            <w:color w:val="0000FF"/>
            <w:sz w:val="24"/>
            <w:szCs w:val="24"/>
            <w:u w:val="single"/>
            <w:rtl/>
          </w:rPr>
          <w:t>ת"פ 12606-07-22</w:t>
        </w:r>
      </w:hyperlink>
      <w:r>
        <w:rPr>
          <w:rFonts w:ascii="David" w:hAnsi="David" w:cs="David"/>
          <w:color w:val="000000"/>
          <w:sz w:val="24"/>
          <w:szCs w:val="24"/>
          <w:rtl/>
        </w:rPr>
        <w:t xml:space="preserve"> </w:t>
      </w:r>
      <w:r>
        <w:rPr>
          <w:rFonts w:ascii="David" w:hAnsi="David" w:cs="David"/>
          <w:sz w:val="24"/>
          <w:szCs w:val="24"/>
          <w:rtl/>
        </w:rPr>
        <w:t xml:space="preserve">מתחם העונש ההולם אמור לנוע </w:t>
      </w:r>
      <w:r>
        <w:rPr>
          <w:rFonts w:ascii="David" w:hAnsi="David" w:cs="David"/>
          <w:b/>
          <w:bCs/>
          <w:sz w:val="24"/>
          <w:szCs w:val="24"/>
          <w:rtl/>
        </w:rPr>
        <w:t>בין</w:t>
      </w:r>
      <w:r>
        <w:rPr>
          <w:rFonts w:ascii="David" w:hAnsi="David" w:cs="David"/>
          <w:sz w:val="24"/>
          <w:szCs w:val="24"/>
          <w:rtl/>
        </w:rPr>
        <w:t xml:space="preserve"> </w:t>
      </w:r>
      <w:r>
        <w:rPr>
          <w:rFonts w:ascii="David" w:hAnsi="David" w:cs="David"/>
          <w:b/>
          <w:bCs/>
          <w:sz w:val="24"/>
          <w:szCs w:val="24"/>
          <w:rtl/>
        </w:rPr>
        <w:t xml:space="preserve">30-48 </w:t>
      </w:r>
      <w:r>
        <w:rPr>
          <w:rFonts w:ascii="David" w:hAnsi="David" w:cs="David"/>
          <w:sz w:val="24"/>
          <w:szCs w:val="24"/>
          <w:rtl/>
        </w:rPr>
        <w:t xml:space="preserve">חודשי מאסר בפועל, לרבות עונשים נלווים וכן קנס המתחייב לצורך הרתעה והבהרה כי עבירות נשק אינן משתלמות גם מן ההיבט הכלכלי ולא יהיה בגינן רווח פוטנציאלי. </w:t>
      </w:r>
    </w:p>
    <w:p w14:paraId="01BBEE61" w14:textId="77777777" w:rsidR="00B7149F" w:rsidRDefault="00B7149F" w:rsidP="00B7149F">
      <w:pPr>
        <w:spacing w:line="360" w:lineRule="auto"/>
        <w:jc w:val="both"/>
        <w:rPr>
          <w:rFonts w:ascii="David" w:hAnsi="David"/>
          <w:b/>
          <w:bCs/>
          <w:u w:val="single"/>
          <w:rtl/>
        </w:rPr>
      </w:pPr>
    </w:p>
    <w:p w14:paraId="21B4ABE6"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בנסיבות שאינן קשורות לביצוע העבירה, מצאתי להביא בחשבון את העובדה כי לנאשם אין עבר פלילי משמעותי, כי הוא הודה בעבירות כתבי האישום ובכך חסך זמן שיפוטי יקר ערך השייך לציבור בכללותו. מנגד, עסקינן בבגיר אשר הורשע בשני כתבי אישום שעיקרם עבירות נשק ביחס ל-2 אקדחים ו-2 רובי סער מסוג </w:t>
      </w:r>
      <w:r>
        <w:rPr>
          <w:rFonts w:ascii="David" w:hAnsi="David" w:cs="David"/>
          <w:sz w:val="24"/>
          <w:szCs w:val="24"/>
        </w:rPr>
        <w:t>M-16</w:t>
      </w:r>
      <w:r>
        <w:rPr>
          <w:rFonts w:ascii="David" w:hAnsi="David" w:cs="David"/>
          <w:sz w:val="24"/>
          <w:szCs w:val="24"/>
          <w:rtl/>
        </w:rPr>
        <w:t xml:space="preserve">, כאשר כל כתב אישום חמור דיו לבדו ובפני עצמו. הנאשם שהבין היטב את מעשיו והשלכות מעשים אלה, ביצע פעולותיו עבור הפקת רווח כספי, אינו קרוב לכל סייג אחריות פלילית ולא היה שרוי במצוקה נפשית או אחרת. </w:t>
      </w:r>
    </w:p>
    <w:p w14:paraId="2B3353ED" w14:textId="77777777" w:rsidR="00B7149F" w:rsidRDefault="00B7149F" w:rsidP="00B7149F">
      <w:pPr>
        <w:spacing w:line="360" w:lineRule="auto"/>
        <w:jc w:val="both"/>
        <w:rPr>
          <w:rFonts w:ascii="David" w:hAnsi="David"/>
          <w:b/>
          <w:bCs/>
          <w:u w:val="single"/>
          <w:rtl/>
        </w:rPr>
      </w:pPr>
    </w:p>
    <w:p w14:paraId="6B276C82"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באשר לטענת ב"כ הנאשם כי עסקינן בנאשם המעוניין להשתקם, אכן רצון זה עומד לטובתו ולבטח יעמוד לטובתו בעתיד, אך סבורני כי אין עניין זה כדי לגבור על הצורך בשיקום המרחב הציבורי. הענקת רחמיו של בית המשפט לנאשם עצמו הינה בגדר העדפת הגורם העברייני על פני הציבור הרחב, הזועק ובצדק כי בית המשפט וגורמי האכיפה ישמרו על גופו וביטחונו במרחב הציבורי והפרטי. כפי שנכתב ב</w:t>
      </w:r>
      <w:hyperlink r:id="rId63" w:history="1">
        <w:r w:rsidR="007F3AB9" w:rsidRPr="007F3AB9">
          <w:rPr>
            <w:rFonts w:ascii="David" w:hAnsi="David" w:cs="David"/>
            <w:color w:val="0000FF"/>
            <w:sz w:val="24"/>
            <w:szCs w:val="24"/>
            <w:u w:val="single"/>
            <w:rtl/>
          </w:rPr>
          <w:t>ע"פ 5602/22</w:t>
        </w:r>
      </w:hyperlink>
      <w:r w:rsidR="007F3AB9">
        <w:rPr>
          <w:rFonts w:ascii="David" w:hAnsi="David" w:cs="David"/>
          <w:sz w:val="24"/>
          <w:szCs w:val="24"/>
          <w:rtl/>
        </w:rPr>
        <w:t xml:space="preserve"> </w:t>
      </w:r>
      <w:r>
        <w:rPr>
          <w:rFonts w:ascii="David" w:hAnsi="David" w:cs="David"/>
          <w:b/>
          <w:bCs/>
          <w:sz w:val="24"/>
          <w:szCs w:val="24"/>
          <w:rtl/>
        </w:rPr>
        <w:t>מדינת ישראל נ' פלוני</w:t>
      </w:r>
      <w:r w:rsidR="007F3AB9">
        <w:rPr>
          <w:rFonts w:ascii="David" w:hAnsi="David" w:cs="David"/>
          <w:sz w:val="24"/>
          <w:szCs w:val="24"/>
          <w:rtl/>
        </w:rPr>
        <w:t xml:space="preserve"> </w:t>
      </w:r>
      <w:r>
        <w:rPr>
          <w:rFonts w:ascii="David" w:hAnsi="David" w:cs="David"/>
          <w:sz w:val="24"/>
          <w:szCs w:val="24"/>
          <w:rtl/>
        </w:rPr>
        <w:t>(נבו 14.09.2022)‏</w:t>
      </w:r>
      <w:r>
        <w:rPr>
          <w:rFonts w:ascii="David" w:hAnsi="David" w:cs="David"/>
          <w:color w:val="000000"/>
          <w:sz w:val="24"/>
          <w:szCs w:val="24"/>
          <w:rtl/>
        </w:rPr>
        <w:t xml:space="preserve">‏: </w:t>
      </w:r>
    </w:p>
    <w:p w14:paraId="627AA705" w14:textId="77777777" w:rsidR="00B7149F" w:rsidRDefault="00B7149F" w:rsidP="00B7149F">
      <w:pPr>
        <w:spacing w:line="360" w:lineRule="auto"/>
        <w:jc w:val="both"/>
        <w:rPr>
          <w:rFonts w:ascii="David" w:hAnsi="David"/>
          <w:color w:val="000000"/>
          <w:rtl/>
        </w:rPr>
      </w:pPr>
    </w:p>
    <w:p w14:paraId="166644F5" w14:textId="77777777" w:rsidR="00B7149F" w:rsidRDefault="00B7149F" w:rsidP="00B7149F">
      <w:pPr>
        <w:pStyle w:val="P000"/>
        <w:tabs>
          <w:tab w:val="left" w:pos="7455"/>
        </w:tabs>
        <w:spacing w:before="72" w:line="360" w:lineRule="auto"/>
        <w:ind w:left="651" w:right="567"/>
        <w:rPr>
          <w:rStyle w:val="default"/>
          <w:rFonts w:ascii="David" w:hAnsi="David" w:cs="David"/>
          <w:sz w:val="24"/>
          <w:szCs w:val="24"/>
          <w:rtl/>
        </w:rPr>
      </w:pPr>
      <w:r>
        <w:rPr>
          <w:rStyle w:val="default"/>
          <w:rFonts w:ascii="David" w:hAnsi="David" w:cs="David"/>
          <w:b/>
          <w:bCs/>
          <w:sz w:val="24"/>
          <w:szCs w:val="24"/>
          <w:rtl/>
        </w:rPr>
        <w:t xml:space="preserve">"בהמשך לדברים אלה הבהרתי, בפסק הדין שניתן באחרונה בהסכמת חבריי השופטים י' אלרון 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64" w:history="1">
        <w:r w:rsidR="007F3AB9" w:rsidRPr="007F3AB9">
          <w:rPr>
            <w:rStyle w:val="default"/>
            <w:rFonts w:ascii="David" w:hAnsi="David" w:cs="David"/>
            <w:b/>
            <w:bCs/>
            <w:color w:val="0000FF"/>
            <w:sz w:val="24"/>
            <w:szCs w:val="24"/>
            <w:u w:val="single"/>
            <w:rtl/>
          </w:rPr>
          <w:t>ע"פ 4077/22</w:t>
        </w:r>
      </w:hyperlink>
      <w:r>
        <w:rPr>
          <w:rStyle w:val="default"/>
          <w:rFonts w:ascii="David" w:hAnsi="David" w:cs="David"/>
          <w:b/>
          <w:bCs/>
          <w:sz w:val="24"/>
          <w:szCs w:val="24"/>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 על כל בניה ובנותיה - מעברייני נשק. במילים פשוטות יותר [...] עסקינן במשחק-סכום-אפס: בית משפט שמרחם על העבריין אינו מרחם על הקורבן הבא (ראו והשוו: </w:t>
      </w:r>
      <w:hyperlink r:id="rId65" w:history="1">
        <w:r w:rsidR="007F3AB9" w:rsidRPr="007F3AB9">
          <w:rPr>
            <w:rStyle w:val="default"/>
            <w:rFonts w:ascii="David" w:hAnsi="David" w:cs="David"/>
            <w:b/>
            <w:bCs/>
            <w:color w:val="0000FF"/>
            <w:sz w:val="24"/>
            <w:szCs w:val="24"/>
            <w:u w:val="single"/>
            <w:rtl/>
          </w:rPr>
          <w:t>ע"פ 3792/18</w:t>
        </w:r>
      </w:hyperlink>
      <w:r>
        <w:rPr>
          <w:rStyle w:val="default"/>
          <w:rFonts w:ascii="David" w:hAnsi="David" w:cs="David"/>
          <w:b/>
          <w:bCs/>
          <w:sz w:val="24"/>
          <w:szCs w:val="24"/>
          <w:rtl/>
        </w:rPr>
        <w:t xml:space="preserve"> פלוני נ' מדינת ישראל, פסקה 17 [פורסם בנבו]</w:t>
      </w:r>
      <w:r>
        <w:rPr>
          <w:rStyle w:val="default"/>
          <w:rFonts w:ascii="David" w:hAnsi="David" w:cs="David"/>
          <w:b/>
          <w:bCs/>
          <w:sz w:val="24"/>
          <w:szCs w:val="24"/>
        </w:rPr>
        <w:t xml:space="preserve"> (11.11.2018)</w:t>
      </w:r>
      <w:r>
        <w:rPr>
          <w:rStyle w:val="default"/>
          <w:rFonts w:ascii="David" w:hAnsi="David" w:cs="David"/>
          <w:b/>
          <w:bCs/>
          <w:sz w:val="24"/>
          <w:szCs w:val="24"/>
          <w:rtl/>
        </w:rPr>
        <w:t>)</w:t>
      </w:r>
      <w:r>
        <w:rPr>
          <w:rStyle w:val="default"/>
          <w:rFonts w:ascii="David" w:hAnsi="David" w:cs="David"/>
          <w:b/>
          <w:bCs/>
          <w:sz w:val="24"/>
          <w:szCs w:val="24"/>
        </w:rPr>
        <w:t>."</w:t>
      </w:r>
    </w:p>
    <w:p w14:paraId="6C70322F" w14:textId="77777777" w:rsidR="00B7149F" w:rsidRDefault="00B7149F" w:rsidP="00B7149F">
      <w:pPr>
        <w:spacing w:line="360" w:lineRule="auto"/>
        <w:jc w:val="both"/>
        <w:rPr>
          <w:b/>
          <w:bCs/>
          <w:u w:val="single"/>
          <w:rtl/>
        </w:rPr>
      </w:pPr>
    </w:p>
    <w:p w14:paraId="27422458"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באשר לטענת ב"כ הנאשם כי אף אדם לא נפגע בשל העבירות שעבר הנאשם הואיל והנשק לא היה "נשק מלוכלך" (לא נעשה בנשק שימוש פלילי או ביטחוני), סבורני כי אין לקבל טענה זו כלל. הנשקים מושא כתבי האישום אינם 'תמימים'. השאלה אינה האם נעשה בנשק שימוש, כן או לא, הואיל והיגיון החיים מלמדנו כי ייעשה גם ייעשה בנשק שימוש שלא כדין. סבורני כי ברור לכל, גם למאשימה וגם לב"כ הנאשם, כי אילולא היה נתפס הנאשם במעשיו, הנשקים היו פועלים ויורים בסופו של דבר, שלא כדין, בין אם למטרות חבלניות, למטרות פליליות, עברייניות וכיו"ב. העניין האמור כוחו זהה גם לטענה בדבר משך זמן נשיאת הנשקים, בין אם לזמן קצר או ארוך. עוד אציין כי על אף שהנאשם לא היה "הרוח החיה" בעסקת המכר כטענת בא כוחו, אך ברור כי הנאשם היה דמות מרכזית בעסקה, ואילולא פעילותו, לא היו בנמצא אותם נשקים שנסחרו שלא כדין. במעמד זה אציין כי בית המשפט העליון אמר את דברו והורה כי קיימת חשיבות להטיל עונשים הולמים ומרתיעים על כל חוליית השרשרת העבריינית, מהיצרנים, כלה במבריחים, דרך הסוחרים ועד אלה שעושים בו שימוש בפועל. הוראה זו היגיון בצידה, שכן אם תנותק אחת מחוליות השרשרת, תנותק כלל השרשרת עצמה.</w:t>
      </w:r>
    </w:p>
    <w:p w14:paraId="2F7913C5" w14:textId="77777777" w:rsidR="00B7149F" w:rsidRDefault="00B7149F" w:rsidP="00B7149F">
      <w:pPr>
        <w:spacing w:line="360" w:lineRule="auto"/>
        <w:jc w:val="both"/>
        <w:rPr>
          <w:rFonts w:ascii="David" w:hAnsi="David"/>
          <w:rtl/>
        </w:rPr>
      </w:pPr>
    </w:p>
    <w:p w14:paraId="52F83133" w14:textId="77777777" w:rsidR="00B7149F" w:rsidRDefault="00B7149F" w:rsidP="00B7149F">
      <w:pPr>
        <w:pStyle w:val="P000"/>
        <w:tabs>
          <w:tab w:val="left" w:pos="7455"/>
        </w:tabs>
        <w:spacing w:before="72" w:line="360" w:lineRule="auto"/>
        <w:ind w:left="651" w:right="567"/>
        <w:rPr>
          <w:rFonts w:ascii="David" w:hAnsi="David" w:cs="David"/>
          <w:b/>
          <w:bCs/>
          <w:sz w:val="24"/>
          <w:szCs w:val="24"/>
          <w:rtl/>
        </w:rPr>
      </w:pPr>
      <w:r>
        <w:rPr>
          <w:rFonts w:ascii="David" w:hAnsi="David" w:cs="David"/>
          <w:b/>
          <w:bCs/>
          <w:color w:val="000000"/>
          <w:sz w:val="24"/>
          <w:szCs w:val="24"/>
          <w:rtl/>
        </w:rPr>
        <w:t xml:space="preserve">"בהתאם לזאת, וכחלק מתפקידו של בית המשפט בביעורן של תופעות קשות אלו, קיימת חשיבות של ממש להטלת </w:t>
      </w:r>
      <w:r>
        <w:rPr>
          <w:rStyle w:val="default"/>
          <w:rFonts w:ascii="David" w:hAnsi="David" w:cs="David"/>
          <w:sz w:val="24"/>
          <w:szCs w:val="24"/>
          <w:rtl/>
        </w:rPr>
        <w:t>ענישה</w:t>
      </w:r>
      <w:r>
        <w:rPr>
          <w:rFonts w:ascii="David" w:hAnsi="David" w:cs="David"/>
          <w:b/>
          <w:bCs/>
          <w:color w:val="000000"/>
          <w:sz w:val="24"/>
          <w:szCs w:val="24"/>
          <w:rtl/>
        </w:rPr>
        <w:t xml:space="preserve"> הולמת ומרתיעה </w:t>
      </w:r>
      <w:r>
        <w:rPr>
          <w:rFonts w:ascii="David" w:hAnsi="David" w:cs="David"/>
          <w:b/>
          <w:bCs/>
          <w:color w:val="000000"/>
          <w:sz w:val="24"/>
          <w:szCs w:val="24"/>
          <w:u w:val="thick"/>
          <w:rtl/>
        </w:rPr>
        <w:t>על כל חוליות השרשרת העבריינית</w:t>
      </w:r>
      <w:r>
        <w:rPr>
          <w:rFonts w:ascii="David" w:hAnsi="David" w:cs="David"/>
          <w:b/>
          <w:bCs/>
          <w:color w:val="000000"/>
          <w:sz w:val="24"/>
          <w:szCs w:val="24"/>
          <w:rtl/>
        </w:rPr>
        <w:t xml:space="preserve"> – החל מיצרני או מבריחי הנשק הבלתי חוקי, דרך הסוחרים בו, ועד לאלו הנוטלים אותו לידם ועושים בו שימוש בלתי חוקי</w:t>
      </w:r>
      <w:r>
        <w:rPr>
          <w:rFonts w:ascii="David" w:hAnsi="David" w:cs="David"/>
          <w:b/>
          <w:bCs/>
          <w:color w:val="000000"/>
          <w:sz w:val="24"/>
          <w:szCs w:val="24"/>
        </w:rPr>
        <w:t>."</w:t>
      </w:r>
    </w:p>
    <w:p w14:paraId="16845A0E" w14:textId="77777777" w:rsidR="00B7149F" w:rsidRDefault="00B7149F" w:rsidP="00B7149F">
      <w:pPr>
        <w:spacing w:line="360" w:lineRule="auto"/>
        <w:jc w:val="both"/>
        <w:rPr>
          <w:rFonts w:ascii="David" w:hAnsi="David"/>
        </w:rPr>
      </w:pPr>
    </w:p>
    <w:p w14:paraId="6E7F8D78" w14:textId="77777777" w:rsidR="00B7149F" w:rsidRDefault="007F3AB9" w:rsidP="00B7149F">
      <w:pPr>
        <w:spacing w:line="360" w:lineRule="auto"/>
        <w:ind w:left="1440" w:firstLine="720"/>
        <w:jc w:val="both"/>
        <w:rPr>
          <w:rFonts w:ascii="David" w:eastAsia="Calibri" w:hAnsi="David"/>
        </w:rPr>
      </w:pPr>
      <w:hyperlink r:id="rId66" w:history="1">
        <w:r w:rsidRPr="007F3AB9">
          <w:rPr>
            <w:rFonts w:ascii="David" w:eastAsia="Calibri" w:hAnsi="David"/>
            <w:color w:val="0000FF"/>
            <w:u w:val="single"/>
            <w:rtl/>
          </w:rPr>
          <w:t>ע"פ 4456/21</w:t>
        </w:r>
      </w:hyperlink>
      <w:r>
        <w:rPr>
          <w:rFonts w:ascii="David" w:eastAsia="Calibri" w:hAnsi="David"/>
          <w:rtl/>
        </w:rPr>
        <w:t xml:space="preserve"> </w:t>
      </w:r>
      <w:r w:rsidR="00B7149F">
        <w:rPr>
          <w:rFonts w:ascii="David" w:eastAsia="Calibri" w:hAnsi="David"/>
          <w:b/>
          <w:bCs/>
          <w:rtl/>
        </w:rPr>
        <w:t>מדינת ישראל נ' מוחמד אבו עבסה</w:t>
      </w:r>
      <w:r>
        <w:rPr>
          <w:rFonts w:ascii="David" w:eastAsia="Calibri" w:hAnsi="David"/>
          <w:rtl/>
        </w:rPr>
        <w:t xml:space="preserve"> </w:t>
      </w:r>
      <w:r w:rsidR="00B7149F">
        <w:rPr>
          <w:rFonts w:ascii="David" w:eastAsia="Calibri" w:hAnsi="David"/>
          <w:rtl/>
        </w:rPr>
        <w:t>(נבו 23.01.2022)</w:t>
      </w:r>
    </w:p>
    <w:p w14:paraId="2E633240" w14:textId="77777777" w:rsidR="00B7149F" w:rsidRDefault="00B7149F" w:rsidP="00B7149F">
      <w:pPr>
        <w:spacing w:line="360" w:lineRule="auto"/>
        <w:ind w:left="5040"/>
        <w:jc w:val="both"/>
        <w:rPr>
          <w:rFonts w:ascii="David" w:eastAsia="Calibri" w:hAnsi="David"/>
          <w:rtl/>
        </w:rPr>
      </w:pPr>
      <w:r>
        <w:rPr>
          <w:rFonts w:ascii="David" w:eastAsia="Calibri" w:hAnsi="David"/>
          <w:rtl/>
        </w:rPr>
        <w:t xml:space="preserve">         [ההדגשות במקור – א.א.]</w:t>
      </w:r>
    </w:p>
    <w:p w14:paraId="2E8B8C41" w14:textId="77777777" w:rsidR="00B7149F" w:rsidRPr="00B7149F" w:rsidRDefault="00B7149F" w:rsidP="00B7149F">
      <w:pPr>
        <w:spacing w:line="360" w:lineRule="auto"/>
        <w:jc w:val="both"/>
        <w:rPr>
          <w:rFonts w:ascii="David" w:eastAsia="Calibri" w:hAnsi="David"/>
          <w:b/>
          <w:bCs/>
          <w:u w:val="single"/>
        </w:rPr>
      </w:pPr>
    </w:p>
    <w:p w14:paraId="3A906CA2"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נוכח האמור, לא מצאתי כל הצדקה לסטייה ממתחם הענישה, לא לקולא ולא לחומרא.</w:t>
      </w:r>
    </w:p>
    <w:p w14:paraId="51A46695" w14:textId="77777777" w:rsidR="00B7149F" w:rsidRDefault="00B7149F" w:rsidP="00B7149F">
      <w:pPr>
        <w:spacing w:line="360" w:lineRule="auto"/>
        <w:jc w:val="both"/>
        <w:rPr>
          <w:rFonts w:ascii="David" w:hAnsi="David"/>
          <w:rtl/>
        </w:rPr>
      </w:pPr>
    </w:p>
    <w:p w14:paraId="2B0032E7"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טרם הכרעה, מצאתי לציין את אשר כבר נכתב בעבר:</w:t>
      </w:r>
      <w:r>
        <w:rPr>
          <w:rFonts w:ascii="David" w:hAnsi="David" w:cs="David"/>
          <w:b/>
          <w:bCs/>
          <w:sz w:val="24"/>
          <w:szCs w:val="24"/>
          <w:rtl/>
        </w:rPr>
        <w:t xml:space="preserve"> </w:t>
      </w:r>
    </w:p>
    <w:p w14:paraId="41AD9A6A" w14:textId="77777777" w:rsidR="00B7149F" w:rsidRDefault="00B7149F" w:rsidP="00B7149F">
      <w:pPr>
        <w:pStyle w:val="aa"/>
        <w:spacing w:after="0" w:line="360" w:lineRule="auto"/>
        <w:ind w:left="84"/>
        <w:jc w:val="both"/>
        <w:rPr>
          <w:rFonts w:ascii="David" w:hAnsi="David" w:cs="David"/>
          <w:sz w:val="24"/>
          <w:szCs w:val="24"/>
        </w:rPr>
      </w:pPr>
    </w:p>
    <w:p w14:paraId="3C09ADD3" w14:textId="77777777" w:rsidR="00B7149F" w:rsidRDefault="00B7149F" w:rsidP="00B7149F">
      <w:pPr>
        <w:pStyle w:val="P000"/>
        <w:tabs>
          <w:tab w:val="left" w:pos="7455"/>
        </w:tabs>
        <w:spacing w:before="72" w:line="360" w:lineRule="auto"/>
        <w:ind w:left="651" w:right="567"/>
        <w:rPr>
          <w:rFonts w:ascii="David" w:hAnsi="David" w:cs="David"/>
          <w:sz w:val="24"/>
          <w:szCs w:val="24"/>
          <w:rtl/>
        </w:rPr>
      </w:pPr>
      <w:r>
        <w:rPr>
          <w:rFonts w:ascii="David" w:hAnsi="David" w:cs="David"/>
          <w:b/>
          <w:bCs/>
          <w:sz w:val="24"/>
          <w:szCs w:val="24"/>
          <w:rtl/>
        </w:rPr>
        <w:t xml:space="preserve">"המסר העונשי הנגזר </w:t>
      </w:r>
      <w:r>
        <w:rPr>
          <w:rFonts w:ascii="David" w:hAnsi="David" w:cs="David"/>
          <w:b/>
          <w:bCs/>
          <w:color w:val="000000"/>
          <w:sz w:val="24"/>
          <w:szCs w:val="24"/>
          <w:rtl/>
        </w:rPr>
        <w:t>ממדיניות</w:t>
      </w:r>
      <w:r>
        <w:rPr>
          <w:rFonts w:ascii="David" w:hAnsi="David" w:cs="David"/>
          <w:b/>
          <w:bCs/>
          <w:sz w:val="24"/>
          <w:szCs w:val="24"/>
          <w:rtl/>
        </w:rPr>
        <w:t xml:space="preserve"> הענישה האמורה הוא כי "שומר נפשו ושלומו - ירחק מעבירות הנשק באשר הן, קלות כחמורות"</w:t>
      </w:r>
      <w:r>
        <w:rPr>
          <w:rFonts w:ascii="David" w:hAnsi="David" w:cs="David"/>
          <w:sz w:val="24"/>
          <w:szCs w:val="24"/>
          <w:rtl/>
        </w:rPr>
        <w:t xml:space="preserve"> </w:t>
      </w:r>
    </w:p>
    <w:p w14:paraId="5A5E3EE8" w14:textId="77777777" w:rsidR="00B7149F" w:rsidRDefault="00B7149F" w:rsidP="00B7149F">
      <w:pPr>
        <w:pStyle w:val="P000"/>
        <w:tabs>
          <w:tab w:val="left" w:pos="7455"/>
        </w:tabs>
        <w:spacing w:before="72" w:line="360" w:lineRule="auto"/>
        <w:ind w:left="651" w:right="567"/>
        <w:rPr>
          <w:rFonts w:ascii="David" w:hAnsi="David" w:cs="David"/>
          <w:sz w:val="24"/>
          <w:szCs w:val="24"/>
        </w:rPr>
      </w:pPr>
    </w:p>
    <w:p w14:paraId="6CA04084" w14:textId="77777777" w:rsidR="00B7149F" w:rsidRDefault="00B7149F" w:rsidP="00B7149F">
      <w:pPr>
        <w:pStyle w:val="P000"/>
        <w:tabs>
          <w:tab w:val="left" w:pos="7455"/>
        </w:tabs>
        <w:spacing w:before="72" w:line="360" w:lineRule="auto"/>
        <w:ind w:left="651" w:right="567"/>
        <w:rPr>
          <w:rFonts w:ascii="David" w:hAnsi="David" w:cs="David"/>
          <w:sz w:val="24"/>
          <w:szCs w:val="24"/>
        </w:rPr>
      </w:pP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sz w:val="24"/>
          <w:szCs w:val="24"/>
          <w:rtl/>
        </w:rPr>
        <w:tab/>
        <w:t xml:space="preserve">(עיינו </w:t>
      </w:r>
      <w:hyperlink r:id="rId67" w:history="1">
        <w:r w:rsidR="007F3AB9" w:rsidRPr="007F3AB9">
          <w:rPr>
            <w:rFonts w:ascii="David" w:hAnsi="David" w:cs="David"/>
            <w:color w:val="0000FF"/>
            <w:sz w:val="24"/>
            <w:szCs w:val="24"/>
            <w:u w:val="single"/>
            <w:rtl/>
          </w:rPr>
          <w:t>ע"פ 78/21</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Pr>
          <w:rFonts w:ascii="David" w:hAnsi="David" w:cs="David"/>
          <w:color w:val="000000"/>
          <w:sz w:val="24"/>
          <w:szCs w:val="24"/>
          <w:rtl/>
        </w:rPr>
        <w:t>(נבו 26.07.2022)</w:t>
      </w:r>
    </w:p>
    <w:p w14:paraId="5AD7F9EB" w14:textId="77777777" w:rsidR="00B7149F" w:rsidRDefault="00B7149F" w:rsidP="00B7149F">
      <w:pPr>
        <w:pStyle w:val="aa"/>
        <w:spacing w:after="0" w:line="360" w:lineRule="auto"/>
        <w:ind w:left="84"/>
        <w:jc w:val="both"/>
        <w:rPr>
          <w:rFonts w:ascii="David" w:hAnsi="David" w:cs="David"/>
          <w:sz w:val="24"/>
          <w:szCs w:val="24"/>
          <w:rtl/>
        </w:rPr>
      </w:pPr>
    </w:p>
    <w:p w14:paraId="2A9B90DA" w14:textId="77777777" w:rsidR="00B7149F" w:rsidRDefault="00B7149F" w:rsidP="00B7149F">
      <w:pPr>
        <w:pStyle w:val="aa"/>
        <w:numPr>
          <w:ilvl w:val="0"/>
          <w:numId w:val="1"/>
        </w:numPr>
        <w:spacing w:after="0" w:line="360" w:lineRule="auto"/>
        <w:ind w:left="84"/>
        <w:jc w:val="both"/>
        <w:rPr>
          <w:rFonts w:ascii="David" w:hAnsi="David" w:cs="David"/>
          <w:sz w:val="24"/>
          <w:szCs w:val="24"/>
          <w:rtl/>
        </w:rPr>
      </w:pPr>
      <w:r>
        <w:rPr>
          <w:rFonts w:ascii="David" w:hAnsi="David" w:cs="David"/>
          <w:sz w:val="24"/>
          <w:szCs w:val="24"/>
          <w:rtl/>
        </w:rPr>
        <w:t>בנסיבות עניינו של הנאשם, מצאתי לגזור את עונשו באופן כולל לגבי שני כתבי האישום, שחלק מהתקופה תהיה בחפיפה, והריני גוזרת על הנאשם את העונשים הבאים:</w:t>
      </w:r>
    </w:p>
    <w:p w14:paraId="2D10C4ED" w14:textId="77777777" w:rsidR="00B7149F" w:rsidRDefault="00B7149F" w:rsidP="00B7149F">
      <w:pPr>
        <w:spacing w:line="360" w:lineRule="auto"/>
        <w:jc w:val="both"/>
        <w:rPr>
          <w:rFonts w:ascii="David" w:hAnsi="David"/>
        </w:rPr>
      </w:pPr>
    </w:p>
    <w:p w14:paraId="775F87BE" w14:textId="77777777" w:rsidR="00B7149F" w:rsidRDefault="00B7149F" w:rsidP="00B7149F">
      <w:pPr>
        <w:pStyle w:val="aa"/>
        <w:spacing w:after="0" w:line="360" w:lineRule="auto"/>
        <w:ind w:left="84"/>
        <w:jc w:val="both"/>
        <w:rPr>
          <w:rFonts w:ascii="David" w:hAnsi="David" w:cs="David"/>
          <w:sz w:val="24"/>
          <w:szCs w:val="24"/>
        </w:rPr>
      </w:pPr>
      <w:r>
        <w:rPr>
          <w:rFonts w:ascii="David" w:hAnsi="David" w:cs="David"/>
          <w:sz w:val="24"/>
          <w:szCs w:val="24"/>
          <w:rtl/>
        </w:rPr>
        <w:t xml:space="preserve">א. 66 חודשי מאסר בפועל, בניכוי ימי מעצרו מיום 16.02.2022. </w:t>
      </w:r>
    </w:p>
    <w:p w14:paraId="26E78773" w14:textId="77777777" w:rsidR="00B7149F" w:rsidRDefault="00B7149F" w:rsidP="00B7149F">
      <w:pPr>
        <w:pStyle w:val="aa"/>
        <w:tabs>
          <w:tab w:val="left" w:pos="1803"/>
        </w:tabs>
        <w:spacing w:after="0" w:line="360" w:lineRule="auto"/>
        <w:ind w:left="84"/>
        <w:jc w:val="both"/>
        <w:rPr>
          <w:rFonts w:ascii="David" w:hAnsi="David" w:cs="David"/>
          <w:sz w:val="24"/>
          <w:szCs w:val="24"/>
        </w:rPr>
      </w:pPr>
      <w:r>
        <w:rPr>
          <w:rFonts w:ascii="David" w:hAnsi="David" w:cs="David"/>
          <w:sz w:val="24"/>
          <w:szCs w:val="24"/>
          <w:rtl/>
        </w:rPr>
        <w:tab/>
      </w:r>
    </w:p>
    <w:p w14:paraId="1B441155" w14:textId="77777777" w:rsidR="00B7149F" w:rsidRDefault="00B7149F" w:rsidP="00B7149F">
      <w:pPr>
        <w:pStyle w:val="aa"/>
        <w:spacing w:after="0" w:line="360" w:lineRule="auto"/>
        <w:ind w:left="84"/>
        <w:jc w:val="both"/>
        <w:rPr>
          <w:rFonts w:ascii="David" w:hAnsi="David" w:cs="David"/>
          <w:sz w:val="24"/>
          <w:szCs w:val="24"/>
          <w:rtl/>
        </w:rPr>
      </w:pPr>
      <w:r>
        <w:rPr>
          <w:rFonts w:ascii="David" w:hAnsi="David" w:cs="David"/>
          <w:sz w:val="24"/>
          <w:szCs w:val="24"/>
          <w:rtl/>
        </w:rPr>
        <w:t>ב. 12 חודשי מאסר על תנאי משך 3 שנים ממועד שחרורו בגין עבירת נשק מסוג פשע שבגינה יורשע.</w:t>
      </w:r>
    </w:p>
    <w:p w14:paraId="1D59B975" w14:textId="77777777" w:rsidR="00B7149F" w:rsidRDefault="00B7149F" w:rsidP="00B7149F">
      <w:pPr>
        <w:pStyle w:val="aa"/>
        <w:spacing w:after="0" w:line="360" w:lineRule="auto"/>
        <w:ind w:left="84"/>
        <w:jc w:val="both"/>
        <w:rPr>
          <w:rFonts w:ascii="David" w:hAnsi="David" w:cs="David"/>
          <w:sz w:val="24"/>
          <w:szCs w:val="24"/>
          <w:rtl/>
        </w:rPr>
      </w:pPr>
    </w:p>
    <w:p w14:paraId="162C6D3C" w14:textId="77777777" w:rsidR="00B7149F" w:rsidRDefault="00B7149F" w:rsidP="00B7149F">
      <w:pPr>
        <w:pStyle w:val="aa"/>
        <w:spacing w:after="0" w:line="360" w:lineRule="auto"/>
        <w:ind w:left="84"/>
        <w:jc w:val="both"/>
        <w:rPr>
          <w:rFonts w:ascii="David" w:hAnsi="David" w:cs="David"/>
          <w:sz w:val="24"/>
          <w:szCs w:val="24"/>
          <w:rtl/>
        </w:rPr>
      </w:pPr>
      <w:r>
        <w:rPr>
          <w:rFonts w:ascii="David" w:hAnsi="David" w:cs="David"/>
          <w:sz w:val="24"/>
          <w:szCs w:val="24"/>
          <w:rtl/>
        </w:rPr>
        <w:t>ג. קנס על סך 30,000 ₪ שישולם עד ליום 01.01.2029, או 4 חודשי מאסר נוספים תמורת הקנס.</w:t>
      </w:r>
    </w:p>
    <w:p w14:paraId="41676552" w14:textId="77777777" w:rsidR="00B7149F" w:rsidRPr="007F3AB9" w:rsidRDefault="007F3AB9" w:rsidP="00B7149F">
      <w:pPr>
        <w:pStyle w:val="aa"/>
        <w:spacing w:after="0" w:line="360" w:lineRule="auto"/>
        <w:ind w:left="84"/>
        <w:jc w:val="both"/>
        <w:rPr>
          <w:rFonts w:ascii="David" w:hAnsi="David" w:cs="David"/>
          <w:color w:val="FFFFFF"/>
          <w:sz w:val="2"/>
          <w:szCs w:val="2"/>
          <w:rtl/>
        </w:rPr>
      </w:pPr>
      <w:r w:rsidRPr="007F3AB9">
        <w:rPr>
          <w:rFonts w:ascii="David" w:hAnsi="David" w:cs="David"/>
          <w:color w:val="FFFFFF"/>
          <w:sz w:val="2"/>
          <w:szCs w:val="2"/>
          <w:rtl/>
        </w:rPr>
        <w:t>5129371</w:t>
      </w:r>
    </w:p>
    <w:p w14:paraId="36A6E26A" w14:textId="77777777" w:rsidR="00B7149F" w:rsidRDefault="007F3AB9" w:rsidP="00B7149F">
      <w:pPr>
        <w:pStyle w:val="aa"/>
        <w:numPr>
          <w:ilvl w:val="0"/>
          <w:numId w:val="1"/>
        </w:numPr>
        <w:spacing w:after="0" w:line="360" w:lineRule="auto"/>
        <w:ind w:left="84"/>
        <w:jc w:val="both"/>
        <w:rPr>
          <w:rFonts w:ascii="David" w:hAnsi="David" w:cs="David"/>
          <w:sz w:val="24"/>
          <w:szCs w:val="24"/>
          <w:rtl/>
        </w:rPr>
      </w:pPr>
      <w:r w:rsidRPr="007F3AB9">
        <w:rPr>
          <w:rFonts w:ascii="David" w:hAnsi="David" w:cs="David"/>
          <w:color w:val="FFFFFF"/>
          <w:sz w:val="2"/>
          <w:szCs w:val="2"/>
          <w:rtl/>
        </w:rPr>
        <w:t>54678313</w:t>
      </w:r>
      <w:r w:rsidR="00B7149F">
        <w:rPr>
          <w:rFonts w:ascii="David" w:hAnsi="David" w:cs="David"/>
          <w:sz w:val="24"/>
          <w:szCs w:val="24"/>
          <w:rtl/>
        </w:rPr>
        <w:t>זכות ערעור תוך 45 ימים.</w:t>
      </w:r>
    </w:p>
    <w:p w14:paraId="3B48DE5D" w14:textId="77777777" w:rsidR="00B7149F" w:rsidRPr="000F2247" w:rsidRDefault="00B7149F" w:rsidP="00B7149F">
      <w:pPr>
        <w:rPr>
          <w:rFonts w:ascii="Arial" w:hAnsi="Arial"/>
          <w:b/>
          <w:bCs/>
          <w:sz w:val="26"/>
          <w:szCs w:val="26"/>
          <w:rtl/>
        </w:rPr>
      </w:pPr>
    </w:p>
    <w:p w14:paraId="7587782A" w14:textId="77777777" w:rsidR="00B7149F" w:rsidRPr="000F2247" w:rsidRDefault="007F3AB9" w:rsidP="00B7149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י"ד אב תשפ"ג, 01 אוגוסט 2023, בהעדר הצדדים. </w:t>
      </w:r>
      <w:bookmarkEnd w:id="8"/>
      <w:r w:rsidR="00B7149F">
        <w:rPr>
          <w:rFonts w:ascii="Arial" w:hAnsi="Arial"/>
          <w:b/>
          <w:bCs/>
          <w:sz w:val="26"/>
          <w:szCs w:val="26"/>
          <w:rtl/>
        </w:rPr>
        <w:tab/>
      </w:r>
      <w:r w:rsidR="00B7149F">
        <w:rPr>
          <w:rFonts w:ascii="Arial" w:hAnsi="Arial"/>
          <w:b/>
          <w:bCs/>
          <w:sz w:val="26"/>
          <w:szCs w:val="26"/>
          <w:rtl/>
        </w:rPr>
        <w:tab/>
      </w:r>
      <w:r w:rsidR="00B7149F">
        <w:rPr>
          <w:rFonts w:ascii="Arial" w:hAnsi="Arial"/>
          <w:b/>
          <w:bCs/>
          <w:sz w:val="26"/>
          <w:szCs w:val="26"/>
          <w:rtl/>
        </w:rPr>
        <w:tab/>
      </w:r>
      <w:r w:rsidR="00B7149F">
        <w:rPr>
          <w:rFonts w:ascii="Arial" w:hAnsi="Arial"/>
          <w:b/>
          <w:bCs/>
          <w:sz w:val="26"/>
          <w:szCs w:val="26"/>
          <w:rtl/>
        </w:rPr>
        <w:tab/>
      </w:r>
      <w:r w:rsidR="00B7149F">
        <w:rPr>
          <w:rFonts w:ascii="Arial" w:hAnsi="Arial"/>
          <w:b/>
          <w:bCs/>
          <w:sz w:val="26"/>
          <w:szCs w:val="26"/>
          <w:rtl/>
        </w:rPr>
        <w:tab/>
      </w:r>
      <w:r w:rsidR="00B7149F">
        <w:rPr>
          <w:rFonts w:ascii="Arial" w:hAnsi="Arial"/>
          <w:b/>
          <w:bCs/>
          <w:sz w:val="26"/>
          <w:szCs w:val="26"/>
          <w:rtl/>
        </w:rPr>
        <w:tab/>
      </w:r>
      <w:r w:rsidR="00B7149F">
        <w:rPr>
          <w:rFonts w:ascii="Arial" w:hAnsi="Arial"/>
          <w:b/>
          <w:bCs/>
          <w:sz w:val="26"/>
          <w:szCs w:val="26"/>
          <w:rtl/>
        </w:rPr>
        <w:tab/>
      </w:r>
      <w:r w:rsidR="00B7149F">
        <w:rPr>
          <w:rFonts w:ascii="Arial" w:hAnsi="Arial" w:hint="cs"/>
          <w:b/>
          <w:bCs/>
          <w:sz w:val="26"/>
          <w:szCs w:val="26"/>
          <w:rtl/>
        </w:rPr>
        <w:t xml:space="preserve">         </w:t>
      </w:r>
    </w:p>
    <w:p w14:paraId="6919D00D" w14:textId="77777777" w:rsidR="00B7149F" w:rsidRPr="000F2247" w:rsidRDefault="00B7149F" w:rsidP="007F3AB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E4F7909" w14:textId="77777777" w:rsidR="00B7149F" w:rsidRPr="000F2247" w:rsidRDefault="00B7149F" w:rsidP="00B7149F">
      <w:pPr>
        <w:jc w:val="center"/>
        <w:rPr>
          <w:rFonts w:ascii="Arial" w:hAnsi="Arial"/>
          <w:b/>
          <w:bCs/>
          <w:sz w:val="26"/>
          <w:szCs w:val="26"/>
          <w:rtl/>
        </w:rPr>
      </w:pPr>
    </w:p>
    <w:p w14:paraId="69E320D7" w14:textId="77777777" w:rsidR="00AC6886" w:rsidRPr="007F3AB9" w:rsidRDefault="00AC6886" w:rsidP="007F3AB9">
      <w:pPr>
        <w:keepNext/>
        <w:rPr>
          <w:rFonts w:ascii="David" w:hAnsi="David"/>
          <w:color w:val="000000"/>
          <w:sz w:val="22"/>
          <w:szCs w:val="22"/>
          <w:rtl/>
        </w:rPr>
      </w:pPr>
    </w:p>
    <w:p w14:paraId="496FB863" w14:textId="77777777" w:rsidR="007F3AB9" w:rsidRPr="007F3AB9" w:rsidRDefault="007F3AB9" w:rsidP="007F3AB9">
      <w:pPr>
        <w:keepNext/>
        <w:rPr>
          <w:rFonts w:ascii="David" w:hAnsi="David"/>
          <w:color w:val="000000"/>
          <w:sz w:val="22"/>
          <w:szCs w:val="22"/>
          <w:rtl/>
        </w:rPr>
      </w:pPr>
      <w:r w:rsidRPr="007F3AB9">
        <w:rPr>
          <w:rFonts w:ascii="David" w:hAnsi="David"/>
          <w:color w:val="000000"/>
          <w:sz w:val="22"/>
          <w:szCs w:val="22"/>
          <w:rtl/>
        </w:rPr>
        <w:t>אספרנצה אלון 54678313</w:t>
      </w:r>
    </w:p>
    <w:p w14:paraId="5E019776" w14:textId="77777777" w:rsidR="007F3AB9" w:rsidRDefault="007F3AB9" w:rsidP="007F3AB9">
      <w:r w:rsidRPr="007F3AB9">
        <w:rPr>
          <w:color w:val="000000"/>
          <w:rtl/>
        </w:rPr>
        <w:t>נוסח מסמך זה כפוף לשינויי ניסוח ועריכה</w:t>
      </w:r>
    </w:p>
    <w:p w14:paraId="7E1C807A" w14:textId="77777777" w:rsidR="007F3AB9" w:rsidRDefault="007F3AB9" w:rsidP="007F3AB9">
      <w:pPr>
        <w:rPr>
          <w:rtl/>
        </w:rPr>
      </w:pPr>
    </w:p>
    <w:p w14:paraId="2679B6C4" w14:textId="77777777" w:rsidR="007F3AB9" w:rsidRDefault="007F3AB9" w:rsidP="007F3AB9">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26654D27" w14:textId="77777777" w:rsidR="007F3AB9" w:rsidRPr="007F3AB9" w:rsidRDefault="007F3AB9" w:rsidP="007F3AB9">
      <w:pPr>
        <w:jc w:val="center"/>
        <w:rPr>
          <w:color w:val="0000FF"/>
          <w:u w:val="single"/>
        </w:rPr>
      </w:pPr>
    </w:p>
    <w:sectPr w:rsidR="007F3AB9" w:rsidRPr="007F3AB9" w:rsidSect="007F3AB9">
      <w:headerReference w:type="even" r:id="rId69"/>
      <w:headerReference w:type="default" r:id="rId70"/>
      <w:footerReference w:type="even" r:id="rId71"/>
      <w:footerReference w:type="default" r:id="rId72"/>
      <w:pgSz w:w="11907" w:h="16840" w:code="9"/>
      <w:pgMar w:top="1701" w:right="1701" w:bottom="993"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563EE" w14:textId="77777777" w:rsidR="00C960F5" w:rsidRDefault="00C960F5" w:rsidP="00513A16">
      <w:r>
        <w:separator/>
      </w:r>
    </w:p>
  </w:endnote>
  <w:endnote w:type="continuationSeparator" w:id="0">
    <w:p w14:paraId="1D272CE7" w14:textId="77777777" w:rsidR="00C960F5" w:rsidRDefault="00C960F5" w:rsidP="0051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06678" w14:textId="77777777" w:rsidR="007F3AB9" w:rsidRDefault="007F3AB9" w:rsidP="007F3A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07EB9A" w14:textId="77777777" w:rsidR="00B9431F" w:rsidRPr="007F3AB9" w:rsidRDefault="007F3AB9" w:rsidP="007F3A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B281B" w14:textId="77777777" w:rsidR="007F3AB9" w:rsidRDefault="007F3AB9" w:rsidP="007F3AB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11AC1">
      <w:rPr>
        <w:rFonts w:ascii="FrankRuehl" w:hAnsi="FrankRuehl" w:cs="FrankRuehl"/>
        <w:noProof/>
        <w:rtl/>
      </w:rPr>
      <w:t>1</w:t>
    </w:r>
    <w:r>
      <w:rPr>
        <w:rFonts w:ascii="FrankRuehl" w:hAnsi="FrankRuehl" w:cs="FrankRuehl"/>
        <w:rtl/>
      </w:rPr>
      <w:fldChar w:fldCharType="end"/>
    </w:r>
  </w:p>
  <w:p w14:paraId="1DFE8ADF" w14:textId="77777777" w:rsidR="00B9431F" w:rsidRPr="007F3AB9" w:rsidRDefault="007F3AB9" w:rsidP="007F3AB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E33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F69F2" w14:textId="77777777" w:rsidR="00C960F5" w:rsidRDefault="00C960F5" w:rsidP="00513A16">
      <w:r>
        <w:separator/>
      </w:r>
    </w:p>
  </w:footnote>
  <w:footnote w:type="continuationSeparator" w:id="0">
    <w:p w14:paraId="4306BEF9" w14:textId="77777777" w:rsidR="00C960F5" w:rsidRDefault="00C960F5" w:rsidP="00513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DDABE" w14:textId="77777777" w:rsidR="007F3AB9" w:rsidRPr="007F3AB9" w:rsidRDefault="007F3AB9" w:rsidP="007F3A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12606-07-22</w:t>
    </w:r>
    <w:r>
      <w:rPr>
        <w:rFonts w:ascii="David" w:hAnsi="David"/>
        <w:color w:val="000000"/>
        <w:sz w:val="22"/>
        <w:szCs w:val="22"/>
        <w:rtl/>
      </w:rPr>
      <w:tab/>
      <w:t xml:space="preserve"> מדינת ישראל נ' חסאן פריחאת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DAC7" w14:textId="77777777" w:rsidR="007F3AB9" w:rsidRPr="007F3AB9" w:rsidRDefault="007F3AB9" w:rsidP="007F3AB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12606-07-22</w:t>
    </w:r>
    <w:r>
      <w:rPr>
        <w:rFonts w:ascii="David" w:hAnsi="David"/>
        <w:color w:val="000000"/>
        <w:sz w:val="22"/>
        <w:szCs w:val="22"/>
        <w:rtl/>
      </w:rPr>
      <w:tab/>
      <w:t xml:space="preserve"> מדינת ישראל נ' חסאן פריחאת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698B"/>
    <w:multiLevelType w:val="hybridMultilevel"/>
    <w:tmpl w:val="E16C94CE"/>
    <w:lvl w:ilvl="0" w:tplc="21866A10">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02321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149F"/>
    <w:rsid w:val="00101EA5"/>
    <w:rsid w:val="00161038"/>
    <w:rsid w:val="001B5A3B"/>
    <w:rsid w:val="002B5DE6"/>
    <w:rsid w:val="003425DA"/>
    <w:rsid w:val="00411AC1"/>
    <w:rsid w:val="00513A16"/>
    <w:rsid w:val="00715B68"/>
    <w:rsid w:val="007B4E9F"/>
    <w:rsid w:val="007F3AB9"/>
    <w:rsid w:val="00A9008B"/>
    <w:rsid w:val="00AC6886"/>
    <w:rsid w:val="00B7149F"/>
    <w:rsid w:val="00B9431F"/>
    <w:rsid w:val="00C960F5"/>
    <w:rsid w:val="00F14A12"/>
    <w:rsid w:val="00FF3E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B4D32"/>
  <w15:chartTrackingRefBased/>
  <w15:docId w15:val="{32983D7D-24B4-4E6D-8CF1-56BAB553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14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149F"/>
    <w:pPr>
      <w:tabs>
        <w:tab w:val="center" w:pos="4153"/>
        <w:tab w:val="right" w:pos="8306"/>
      </w:tabs>
    </w:pPr>
  </w:style>
  <w:style w:type="character" w:customStyle="1" w:styleId="a4">
    <w:name w:val="כותרת עליונה תו"/>
    <w:link w:val="a3"/>
    <w:rsid w:val="00B7149F"/>
    <w:rPr>
      <w:rFonts w:ascii="Times New Roman" w:eastAsia="Times New Roman" w:hAnsi="Times New Roman" w:cs="David"/>
      <w:sz w:val="24"/>
      <w:szCs w:val="24"/>
    </w:rPr>
  </w:style>
  <w:style w:type="paragraph" w:styleId="a5">
    <w:name w:val="footer"/>
    <w:basedOn w:val="a"/>
    <w:link w:val="a6"/>
    <w:rsid w:val="00B7149F"/>
    <w:pPr>
      <w:tabs>
        <w:tab w:val="center" w:pos="4153"/>
        <w:tab w:val="right" w:pos="8306"/>
      </w:tabs>
    </w:pPr>
  </w:style>
  <w:style w:type="character" w:customStyle="1" w:styleId="a6">
    <w:name w:val="כותרת תחתונה תו"/>
    <w:link w:val="a5"/>
    <w:rsid w:val="00B7149F"/>
    <w:rPr>
      <w:rFonts w:ascii="Times New Roman" w:eastAsia="Times New Roman" w:hAnsi="Times New Roman" w:cs="David"/>
      <w:sz w:val="24"/>
      <w:szCs w:val="24"/>
    </w:rPr>
  </w:style>
  <w:style w:type="table" w:styleId="a7">
    <w:name w:val="Table Grid"/>
    <w:basedOn w:val="a1"/>
    <w:rsid w:val="00B714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7149F"/>
  </w:style>
  <w:style w:type="paragraph" w:styleId="a9">
    <w:name w:val="No Spacing"/>
    <w:qFormat/>
    <w:rsid w:val="00B7149F"/>
    <w:pPr>
      <w:tabs>
        <w:tab w:val="left" w:pos="567"/>
        <w:tab w:val="left" w:pos="1134"/>
        <w:tab w:val="left" w:pos="1701"/>
      </w:tabs>
      <w:bidi/>
      <w:jc w:val="both"/>
    </w:pPr>
    <w:rPr>
      <w:rFonts w:ascii="David" w:hAnsi="David" w:cs="David"/>
      <w:sz w:val="24"/>
      <w:szCs w:val="24"/>
    </w:rPr>
  </w:style>
  <w:style w:type="paragraph" w:styleId="aa">
    <w:name w:val="List Paragraph"/>
    <w:basedOn w:val="a"/>
    <w:qFormat/>
    <w:rsid w:val="00B7149F"/>
    <w:pPr>
      <w:spacing w:after="160" w:line="252" w:lineRule="auto"/>
      <w:ind w:left="720"/>
      <w:contextualSpacing/>
    </w:pPr>
    <w:rPr>
      <w:rFonts w:ascii="Calibri" w:eastAsia="Calibri" w:hAnsi="Calibri" w:cs="Arial"/>
      <w:sz w:val="22"/>
      <w:szCs w:val="22"/>
    </w:rPr>
  </w:style>
  <w:style w:type="character" w:customStyle="1" w:styleId="P00">
    <w:name w:val="P00 תו"/>
    <w:link w:val="P000"/>
    <w:locked/>
    <w:rsid w:val="00B7149F"/>
    <w:rPr>
      <w:noProof/>
      <w:szCs w:val="26"/>
      <w:lang w:eastAsia="he-IL"/>
    </w:rPr>
  </w:style>
  <w:style w:type="paragraph" w:customStyle="1" w:styleId="P000">
    <w:name w:val="P00"/>
    <w:link w:val="P00"/>
    <w:rsid w:val="00B7149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B7149F"/>
    <w:rPr>
      <w:rFonts w:ascii="Times New Roman" w:hAnsi="Times New Roman" w:cs="Times New Roman" w:hint="default"/>
      <w:sz w:val="26"/>
      <w:szCs w:val="26"/>
    </w:rPr>
  </w:style>
  <w:style w:type="character" w:customStyle="1" w:styleId="big-number">
    <w:name w:val="big-number"/>
    <w:rsid w:val="00B7149F"/>
    <w:rPr>
      <w:rFonts w:ascii="Times New Roman" w:hAnsi="Times New Roman" w:cs="Times New Roman" w:hint="default"/>
      <w:sz w:val="32"/>
      <w:szCs w:val="32"/>
    </w:rPr>
  </w:style>
  <w:style w:type="character" w:styleId="ab">
    <w:name w:val="line number"/>
    <w:rsid w:val="00B7149F"/>
  </w:style>
  <w:style w:type="character" w:styleId="Hyperlink">
    <w:name w:val="Hyperlink"/>
    <w:rsid w:val="007F3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case/28753695" TargetMode="External"/><Relationship Id="rId47" Type="http://schemas.openxmlformats.org/officeDocument/2006/relationships/hyperlink" Target="http://www.nevo.co.il/case/25824863" TargetMode="External"/><Relationship Id="rId63" Type="http://schemas.openxmlformats.org/officeDocument/2006/relationships/hyperlink" Target="http://www.nevo.co.il/case/28883087"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8767814" TargetMode="External"/><Relationship Id="rId11" Type="http://schemas.openxmlformats.org/officeDocument/2006/relationships/hyperlink" Target="http://www.nevo.co.il/law/70301/40i.a" TargetMode="External"/><Relationship Id="rId24" Type="http://schemas.openxmlformats.org/officeDocument/2006/relationships/hyperlink" Target="http://www.nevo.co.il/law/70301/144.b2" TargetMode="External"/><Relationship Id="rId32" Type="http://schemas.openxmlformats.org/officeDocument/2006/relationships/hyperlink" Target="http://www.nevo.co.il/case/28767814" TargetMode="External"/><Relationship Id="rId37" Type="http://schemas.openxmlformats.org/officeDocument/2006/relationships/hyperlink" Target="http://www.nevo.co.il/law/70301/40i.a" TargetMode="External"/><Relationship Id="rId40" Type="http://schemas.openxmlformats.org/officeDocument/2006/relationships/hyperlink" Target="http://www.nevo.co.il/case/20033641" TargetMode="External"/><Relationship Id="rId45" Type="http://schemas.openxmlformats.org/officeDocument/2006/relationships/hyperlink" Target="http://www.nevo.co.il/case/17954235" TargetMode="External"/><Relationship Id="rId53" Type="http://schemas.openxmlformats.org/officeDocument/2006/relationships/hyperlink" Target="http://www.nevo.co.il/case/28161892" TargetMode="External"/><Relationship Id="rId58" Type="http://schemas.openxmlformats.org/officeDocument/2006/relationships/hyperlink" Target="http://www.nevo.co.il/case/27234491" TargetMode="External"/><Relationship Id="rId66" Type="http://schemas.openxmlformats.org/officeDocument/2006/relationships/hyperlink" Target="http://www.nevo.co.il/case/27734980"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8767814" TargetMode="External"/><Relationship Id="rId19" Type="http://schemas.openxmlformats.org/officeDocument/2006/relationships/hyperlink" Target="http://www.nevo.co.il/law/90721/12.1"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8753695" TargetMode="External"/><Relationship Id="rId30" Type="http://schemas.openxmlformats.org/officeDocument/2006/relationships/hyperlink" Target="http://www.nevo.co.il/law/90721" TargetMode="External"/><Relationship Id="rId35" Type="http://schemas.openxmlformats.org/officeDocument/2006/relationships/hyperlink" Target="http://www.nevo.co.il/case/28767814" TargetMode="External"/><Relationship Id="rId43" Type="http://schemas.openxmlformats.org/officeDocument/2006/relationships/hyperlink" Target="http://www.nevo.co.il/case/28767814" TargetMode="External"/><Relationship Id="rId48" Type="http://schemas.openxmlformats.org/officeDocument/2006/relationships/hyperlink" Target="http://www.nevo.co.il/case/28883087" TargetMode="External"/><Relationship Id="rId56" Type="http://schemas.openxmlformats.org/officeDocument/2006/relationships/hyperlink" Target="http://www.nevo.co.il/case/28122399" TargetMode="External"/><Relationship Id="rId64" Type="http://schemas.openxmlformats.org/officeDocument/2006/relationships/hyperlink" Target="http://www.nevo.co.il/case/28697227" TargetMode="External"/><Relationship Id="rId69" Type="http://schemas.openxmlformats.org/officeDocument/2006/relationships/header" Target="header1.xml"/><Relationship Id="rId8" Type="http://schemas.openxmlformats.org/officeDocument/2006/relationships/hyperlink" Target="http://www.nevo.co.il/law/90721/12.1" TargetMode="External"/><Relationship Id="rId51" Type="http://schemas.openxmlformats.org/officeDocument/2006/relationships/hyperlink" Target="http://www.nevo.co.il/case/28883087"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8753695" TargetMode="External"/><Relationship Id="rId25" Type="http://schemas.openxmlformats.org/officeDocument/2006/relationships/hyperlink" Target="http://www.nevo.co.il/law/70301/144.c"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case/28200855" TargetMode="External"/><Relationship Id="rId59" Type="http://schemas.openxmlformats.org/officeDocument/2006/relationships/hyperlink" Target="http://www.nevo.co.il/case/28767814" TargetMode="External"/><Relationship Id="rId67" Type="http://schemas.openxmlformats.org/officeDocument/2006/relationships/hyperlink" Target="http://www.nevo.co.il/case/27305799" TargetMode="External"/><Relationship Id="rId20" Type="http://schemas.openxmlformats.org/officeDocument/2006/relationships/hyperlink" Target="http://www.nevo.co.il/law/90721" TargetMode="External"/><Relationship Id="rId41" Type="http://schemas.openxmlformats.org/officeDocument/2006/relationships/hyperlink" Target="http://www.nevo.co.il/case/28767814" TargetMode="External"/><Relationship Id="rId54" Type="http://schemas.openxmlformats.org/officeDocument/2006/relationships/hyperlink" Target="http://www.nevo.co.il/case/28746776" TargetMode="External"/><Relationship Id="rId62" Type="http://schemas.openxmlformats.org/officeDocument/2006/relationships/hyperlink" Target="http://www.nevo.co.il/case/28753695"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767814"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8266138" TargetMode="External"/><Relationship Id="rId10" Type="http://schemas.openxmlformats.org/officeDocument/2006/relationships/hyperlink" Target="http://www.nevo.co.il/law/70301/29" TargetMode="External"/><Relationship Id="rId31" Type="http://schemas.openxmlformats.org/officeDocument/2006/relationships/hyperlink" Target="http://www.nevo.co.il/case/28753695" TargetMode="External"/><Relationship Id="rId44" Type="http://schemas.openxmlformats.org/officeDocument/2006/relationships/hyperlink" Target="http://www.nevo.co.il/case/28753695" TargetMode="External"/><Relationship Id="rId52" Type="http://schemas.openxmlformats.org/officeDocument/2006/relationships/hyperlink" Target="http://www.nevo.co.il/case/28883087" TargetMode="External"/><Relationship Id="rId60" Type="http://schemas.openxmlformats.org/officeDocument/2006/relationships/hyperlink" Target="http://www.nevo.co.il/case/28697227" TargetMode="External"/><Relationship Id="rId65" Type="http://schemas.openxmlformats.org/officeDocument/2006/relationships/hyperlink" Target="http://www.nevo.co.il/case/2426308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28767814"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8767814" TargetMode="External"/><Relationship Id="rId50" Type="http://schemas.openxmlformats.org/officeDocument/2006/relationships/hyperlink" Target="http://www.nevo.co.il/case/28424228" TargetMode="External"/><Relationship Id="rId55" Type="http://schemas.openxmlformats.org/officeDocument/2006/relationships/hyperlink" Target="http://www.nevo.co.il/case/29677445" TargetMode="External"/><Relationship Id="rId7" Type="http://schemas.openxmlformats.org/officeDocument/2006/relationships/hyperlink" Target="http://www.nevo.co.il/law/90721"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5782</Words>
  <Characters>28910</Characters>
  <Application>Microsoft Office Word</Application>
  <DocSecurity>0</DocSecurity>
  <Lines>240</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34623</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3997812</vt:i4>
      </vt:variant>
      <vt:variant>
        <vt:i4>180</vt:i4>
      </vt:variant>
      <vt:variant>
        <vt:i4>0</vt:i4>
      </vt:variant>
      <vt:variant>
        <vt:i4>5</vt:i4>
      </vt:variant>
      <vt:variant>
        <vt:lpwstr>http://www.nevo.co.il/case/27305799</vt:lpwstr>
      </vt:variant>
      <vt:variant>
        <vt:lpwstr/>
      </vt:variant>
      <vt:variant>
        <vt:i4>3735673</vt:i4>
      </vt:variant>
      <vt:variant>
        <vt:i4>177</vt:i4>
      </vt:variant>
      <vt:variant>
        <vt:i4>0</vt:i4>
      </vt:variant>
      <vt:variant>
        <vt:i4>5</vt:i4>
      </vt:variant>
      <vt:variant>
        <vt:lpwstr>http://www.nevo.co.il/case/27734980</vt:lpwstr>
      </vt:variant>
      <vt:variant>
        <vt:lpwstr/>
      </vt:variant>
      <vt:variant>
        <vt:i4>3866742</vt:i4>
      </vt:variant>
      <vt:variant>
        <vt:i4>174</vt:i4>
      </vt:variant>
      <vt:variant>
        <vt:i4>0</vt:i4>
      </vt:variant>
      <vt:variant>
        <vt:i4>5</vt:i4>
      </vt:variant>
      <vt:variant>
        <vt:lpwstr>http://www.nevo.co.il/case/24263089</vt:lpwstr>
      </vt:variant>
      <vt:variant>
        <vt:lpwstr/>
      </vt:variant>
      <vt:variant>
        <vt:i4>3211383</vt:i4>
      </vt:variant>
      <vt:variant>
        <vt:i4>171</vt:i4>
      </vt:variant>
      <vt:variant>
        <vt:i4>0</vt:i4>
      </vt:variant>
      <vt:variant>
        <vt:i4>5</vt:i4>
      </vt:variant>
      <vt:variant>
        <vt:lpwstr>http://www.nevo.co.il/case/28697227</vt:lpwstr>
      </vt:variant>
      <vt:variant>
        <vt:lpwstr/>
      </vt:variant>
      <vt:variant>
        <vt:i4>3211380</vt:i4>
      </vt:variant>
      <vt:variant>
        <vt:i4>168</vt:i4>
      </vt:variant>
      <vt:variant>
        <vt:i4>0</vt:i4>
      </vt:variant>
      <vt:variant>
        <vt:i4>5</vt:i4>
      </vt:variant>
      <vt:variant>
        <vt:lpwstr>http://www.nevo.co.il/case/28883087</vt:lpwstr>
      </vt:variant>
      <vt:variant>
        <vt:lpwstr/>
      </vt:variant>
      <vt:variant>
        <vt:i4>4128895</vt:i4>
      </vt:variant>
      <vt:variant>
        <vt:i4>165</vt:i4>
      </vt:variant>
      <vt:variant>
        <vt:i4>0</vt:i4>
      </vt:variant>
      <vt:variant>
        <vt:i4>5</vt:i4>
      </vt:variant>
      <vt:variant>
        <vt:lpwstr>http://www.nevo.co.il/case/28753695</vt:lpwstr>
      </vt:variant>
      <vt:variant>
        <vt:lpwstr/>
      </vt:variant>
      <vt:variant>
        <vt:i4>3342450</vt:i4>
      </vt:variant>
      <vt:variant>
        <vt:i4>162</vt:i4>
      </vt:variant>
      <vt:variant>
        <vt:i4>0</vt:i4>
      </vt:variant>
      <vt:variant>
        <vt:i4>5</vt:i4>
      </vt:variant>
      <vt:variant>
        <vt:lpwstr>http://www.nevo.co.il/case/28767814</vt:lpwstr>
      </vt:variant>
      <vt:variant>
        <vt:lpwstr/>
      </vt:variant>
      <vt:variant>
        <vt:i4>3211383</vt:i4>
      </vt:variant>
      <vt:variant>
        <vt:i4>159</vt:i4>
      </vt:variant>
      <vt:variant>
        <vt:i4>0</vt:i4>
      </vt:variant>
      <vt:variant>
        <vt:i4>5</vt:i4>
      </vt:variant>
      <vt:variant>
        <vt:lpwstr>http://www.nevo.co.il/case/28697227</vt:lpwstr>
      </vt:variant>
      <vt:variant>
        <vt:lpwstr/>
      </vt:variant>
      <vt:variant>
        <vt:i4>3342450</vt:i4>
      </vt:variant>
      <vt:variant>
        <vt:i4>156</vt:i4>
      </vt:variant>
      <vt:variant>
        <vt:i4>0</vt:i4>
      </vt:variant>
      <vt:variant>
        <vt:i4>5</vt:i4>
      </vt:variant>
      <vt:variant>
        <vt:lpwstr>http://www.nevo.co.il/case/28767814</vt:lpwstr>
      </vt:variant>
      <vt:variant>
        <vt:lpwstr/>
      </vt:variant>
      <vt:variant>
        <vt:i4>3997812</vt:i4>
      </vt:variant>
      <vt:variant>
        <vt:i4>153</vt:i4>
      </vt:variant>
      <vt:variant>
        <vt:i4>0</vt:i4>
      </vt:variant>
      <vt:variant>
        <vt:i4>5</vt:i4>
      </vt:variant>
      <vt:variant>
        <vt:lpwstr>http://www.nevo.co.il/case/27234491</vt:lpwstr>
      </vt:variant>
      <vt:variant>
        <vt:lpwstr/>
      </vt:variant>
      <vt:variant>
        <vt:i4>3473531</vt:i4>
      </vt:variant>
      <vt:variant>
        <vt:i4>150</vt:i4>
      </vt:variant>
      <vt:variant>
        <vt:i4>0</vt:i4>
      </vt:variant>
      <vt:variant>
        <vt:i4>5</vt:i4>
      </vt:variant>
      <vt:variant>
        <vt:lpwstr>http://www.nevo.co.il/case/28266138</vt:lpwstr>
      </vt:variant>
      <vt:variant>
        <vt:lpwstr/>
      </vt:variant>
      <vt:variant>
        <vt:i4>3670141</vt:i4>
      </vt:variant>
      <vt:variant>
        <vt:i4>147</vt:i4>
      </vt:variant>
      <vt:variant>
        <vt:i4>0</vt:i4>
      </vt:variant>
      <vt:variant>
        <vt:i4>5</vt:i4>
      </vt:variant>
      <vt:variant>
        <vt:lpwstr>http://www.nevo.co.il/case/28122399</vt:lpwstr>
      </vt:variant>
      <vt:variant>
        <vt:lpwstr/>
      </vt:variant>
      <vt:variant>
        <vt:i4>3604606</vt:i4>
      </vt:variant>
      <vt:variant>
        <vt:i4>144</vt:i4>
      </vt:variant>
      <vt:variant>
        <vt:i4>0</vt:i4>
      </vt:variant>
      <vt:variant>
        <vt:i4>5</vt:i4>
      </vt:variant>
      <vt:variant>
        <vt:lpwstr>http://www.nevo.co.il/case/29677445</vt:lpwstr>
      </vt:variant>
      <vt:variant>
        <vt:lpwstr/>
      </vt:variant>
      <vt:variant>
        <vt:i4>3407999</vt:i4>
      </vt:variant>
      <vt:variant>
        <vt:i4>141</vt:i4>
      </vt:variant>
      <vt:variant>
        <vt:i4>0</vt:i4>
      </vt:variant>
      <vt:variant>
        <vt:i4>5</vt:i4>
      </vt:variant>
      <vt:variant>
        <vt:lpwstr>http://www.nevo.co.il/case/28746776</vt:lpwstr>
      </vt:variant>
      <vt:variant>
        <vt:lpwstr/>
      </vt:variant>
      <vt:variant>
        <vt:i4>3866738</vt:i4>
      </vt:variant>
      <vt:variant>
        <vt:i4>138</vt:i4>
      </vt:variant>
      <vt:variant>
        <vt:i4>0</vt:i4>
      </vt:variant>
      <vt:variant>
        <vt:i4>5</vt:i4>
      </vt:variant>
      <vt:variant>
        <vt:lpwstr>http://www.nevo.co.il/case/28161892</vt:lpwstr>
      </vt:variant>
      <vt:variant>
        <vt:lpwstr/>
      </vt:variant>
      <vt:variant>
        <vt:i4>3211380</vt:i4>
      </vt:variant>
      <vt:variant>
        <vt:i4>135</vt:i4>
      </vt:variant>
      <vt:variant>
        <vt:i4>0</vt:i4>
      </vt:variant>
      <vt:variant>
        <vt:i4>5</vt:i4>
      </vt:variant>
      <vt:variant>
        <vt:lpwstr>http://www.nevo.co.il/case/28883087</vt:lpwstr>
      </vt:variant>
      <vt:variant>
        <vt:lpwstr/>
      </vt:variant>
      <vt:variant>
        <vt:i4>3211380</vt:i4>
      </vt:variant>
      <vt:variant>
        <vt:i4>132</vt:i4>
      </vt:variant>
      <vt:variant>
        <vt:i4>0</vt:i4>
      </vt:variant>
      <vt:variant>
        <vt:i4>5</vt:i4>
      </vt:variant>
      <vt:variant>
        <vt:lpwstr>http://www.nevo.co.il/case/28883087</vt:lpwstr>
      </vt:variant>
      <vt:variant>
        <vt:lpwstr/>
      </vt:variant>
      <vt:variant>
        <vt:i4>3145852</vt:i4>
      </vt:variant>
      <vt:variant>
        <vt:i4>129</vt:i4>
      </vt:variant>
      <vt:variant>
        <vt:i4>0</vt:i4>
      </vt:variant>
      <vt:variant>
        <vt:i4>5</vt:i4>
      </vt:variant>
      <vt:variant>
        <vt:lpwstr>http://www.nevo.co.il/case/28424228</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3670139</vt:i4>
      </vt:variant>
      <vt:variant>
        <vt:i4>120</vt:i4>
      </vt:variant>
      <vt:variant>
        <vt:i4>0</vt:i4>
      </vt:variant>
      <vt:variant>
        <vt:i4>5</vt:i4>
      </vt:variant>
      <vt:variant>
        <vt:lpwstr>http://www.nevo.co.il/case/25824863</vt:lpwstr>
      </vt:variant>
      <vt:variant>
        <vt:lpwstr/>
      </vt:variant>
      <vt:variant>
        <vt:i4>3473524</vt:i4>
      </vt:variant>
      <vt:variant>
        <vt:i4>117</vt:i4>
      </vt:variant>
      <vt:variant>
        <vt:i4>0</vt:i4>
      </vt:variant>
      <vt:variant>
        <vt:i4>5</vt:i4>
      </vt:variant>
      <vt:variant>
        <vt:lpwstr>http://www.nevo.co.il/case/28200855</vt:lpwstr>
      </vt:variant>
      <vt:variant>
        <vt:lpwstr/>
      </vt:variant>
      <vt:variant>
        <vt:i4>4128884</vt:i4>
      </vt:variant>
      <vt:variant>
        <vt:i4>114</vt:i4>
      </vt:variant>
      <vt:variant>
        <vt:i4>0</vt:i4>
      </vt:variant>
      <vt:variant>
        <vt:i4>5</vt:i4>
      </vt:variant>
      <vt:variant>
        <vt:lpwstr>http://www.nevo.co.il/case/17954235</vt:lpwstr>
      </vt:variant>
      <vt:variant>
        <vt:lpwstr/>
      </vt:variant>
      <vt:variant>
        <vt:i4>4128895</vt:i4>
      </vt:variant>
      <vt:variant>
        <vt:i4>111</vt:i4>
      </vt:variant>
      <vt:variant>
        <vt:i4>0</vt:i4>
      </vt:variant>
      <vt:variant>
        <vt:i4>5</vt:i4>
      </vt:variant>
      <vt:variant>
        <vt:lpwstr>http://www.nevo.co.il/case/28753695</vt:lpwstr>
      </vt:variant>
      <vt:variant>
        <vt:lpwstr/>
      </vt:variant>
      <vt:variant>
        <vt:i4>3342450</vt:i4>
      </vt:variant>
      <vt:variant>
        <vt:i4>108</vt:i4>
      </vt:variant>
      <vt:variant>
        <vt:i4>0</vt:i4>
      </vt:variant>
      <vt:variant>
        <vt:i4>5</vt:i4>
      </vt:variant>
      <vt:variant>
        <vt:lpwstr>http://www.nevo.co.il/case/28767814</vt:lpwstr>
      </vt:variant>
      <vt:variant>
        <vt:lpwstr/>
      </vt:variant>
      <vt:variant>
        <vt:i4>4128895</vt:i4>
      </vt:variant>
      <vt:variant>
        <vt:i4>105</vt:i4>
      </vt:variant>
      <vt:variant>
        <vt:i4>0</vt:i4>
      </vt:variant>
      <vt:variant>
        <vt:i4>5</vt:i4>
      </vt:variant>
      <vt:variant>
        <vt:lpwstr>http://www.nevo.co.il/case/28753695</vt:lpwstr>
      </vt:variant>
      <vt:variant>
        <vt:lpwstr/>
      </vt:variant>
      <vt:variant>
        <vt:i4>3342450</vt:i4>
      </vt:variant>
      <vt:variant>
        <vt:i4>102</vt:i4>
      </vt:variant>
      <vt:variant>
        <vt:i4>0</vt:i4>
      </vt:variant>
      <vt:variant>
        <vt:i4>5</vt:i4>
      </vt:variant>
      <vt:variant>
        <vt:lpwstr>http://www.nevo.co.il/case/28767814</vt:lpwstr>
      </vt:variant>
      <vt:variant>
        <vt:lpwstr/>
      </vt:variant>
      <vt:variant>
        <vt:i4>3473521</vt:i4>
      </vt:variant>
      <vt:variant>
        <vt:i4>99</vt:i4>
      </vt:variant>
      <vt:variant>
        <vt:i4>0</vt:i4>
      </vt:variant>
      <vt:variant>
        <vt:i4>5</vt:i4>
      </vt:variant>
      <vt:variant>
        <vt:lpwstr>http://www.nevo.co.il/case/20033641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4915208</vt:i4>
      </vt:variant>
      <vt:variant>
        <vt:i4>90</vt:i4>
      </vt:variant>
      <vt:variant>
        <vt:i4>0</vt:i4>
      </vt:variant>
      <vt:variant>
        <vt:i4>5</vt:i4>
      </vt:variant>
      <vt:variant>
        <vt:lpwstr>http://www.nevo.co.il/law/70301/40i.a</vt:lpwstr>
      </vt:variant>
      <vt:variant>
        <vt:lpwstr/>
      </vt:variant>
      <vt:variant>
        <vt:i4>7995492</vt:i4>
      </vt:variant>
      <vt:variant>
        <vt:i4>87</vt:i4>
      </vt:variant>
      <vt:variant>
        <vt:i4>0</vt:i4>
      </vt:variant>
      <vt:variant>
        <vt:i4>5</vt:i4>
      </vt:variant>
      <vt:variant>
        <vt:lpwstr>http://www.nevo.co.il/law/70301</vt:lpwstr>
      </vt:variant>
      <vt:variant>
        <vt:lpwstr/>
      </vt:variant>
      <vt:variant>
        <vt:i4>3342450</vt:i4>
      </vt:variant>
      <vt:variant>
        <vt:i4>84</vt:i4>
      </vt:variant>
      <vt:variant>
        <vt:i4>0</vt:i4>
      </vt:variant>
      <vt:variant>
        <vt:i4>5</vt:i4>
      </vt:variant>
      <vt:variant>
        <vt:lpwstr>http://www.nevo.co.il/case/28767814</vt:lpwstr>
      </vt:variant>
      <vt:variant>
        <vt:lpwstr/>
      </vt:variant>
      <vt:variant>
        <vt:i4>3342450</vt:i4>
      </vt:variant>
      <vt:variant>
        <vt:i4>81</vt:i4>
      </vt:variant>
      <vt:variant>
        <vt:i4>0</vt:i4>
      </vt:variant>
      <vt:variant>
        <vt:i4>5</vt:i4>
      </vt:variant>
      <vt:variant>
        <vt:lpwstr>http://www.nevo.co.il/case/28767814</vt:lpwstr>
      </vt:variant>
      <vt:variant>
        <vt:lpwstr/>
      </vt:variant>
      <vt:variant>
        <vt:i4>7995492</vt:i4>
      </vt:variant>
      <vt:variant>
        <vt:i4>78</vt:i4>
      </vt:variant>
      <vt:variant>
        <vt:i4>0</vt:i4>
      </vt:variant>
      <vt:variant>
        <vt:i4>5</vt:i4>
      </vt:variant>
      <vt:variant>
        <vt:lpwstr>http://www.nevo.co.il/law/70301</vt:lpwstr>
      </vt:variant>
      <vt:variant>
        <vt:lpwstr/>
      </vt:variant>
      <vt:variant>
        <vt:i4>3342450</vt:i4>
      </vt:variant>
      <vt:variant>
        <vt:i4>75</vt:i4>
      </vt:variant>
      <vt:variant>
        <vt:i4>0</vt:i4>
      </vt:variant>
      <vt:variant>
        <vt:i4>5</vt:i4>
      </vt:variant>
      <vt:variant>
        <vt:lpwstr>http://www.nevo.co.il/case/28767814</vt:lpwstr>
      </vt:variant>
      <vt:variant>
        <vt:lpwstr/>
      </vt:variant>
      <vt:variant>
        <vt:i4>4128895</vt:i4>
      </vt:variant>
      <vt:variant>
        <vt:i4>72</vt:i4>
      </vt:variant>
      <vt:variant>
        <vt:i4>0</vt:i4>
      </vt:variant>
      <vt:variant>
        <vt:i4>5</vt:i4>
      </vt:variant>
      <vt:variant>
        <vt:lpwstr>http://www.nevo.co.il/case/28753695</vt:lpwstr>
      </vt:variant>
      <vt:variant>
        <vt:lpwstr/>
      </vt:variant>
      <vt:variant>
        <vt:i4>7864430</vt:i4>
      </vt:variant>
      <vt:variant>
        <vt:i4>69</vt:i4>
      </vt:variant>
      <vt:variant>
        <vt:i4>0</vt:i4>
      </vt:variant>
      <vt:variant>
        <vt:i4>5</vt:i4>
      </vt:variant>
      <vt:variant>
        <vt:lpwstr>http://www.nevo.co.il/law/90721</vt:lpwstr>
      </vt:variant>
      <vt:variant>
        <vt:lpwstr/>
      </vt:variant>
      <vt:variant>
        <vt:i4>3342450</vt:i4>
      </vt:variant>
      <vt:variant>
        <vt:i4>66</vt:i4>
      </vt:variant>
      <vt:variant>
        <vt:i4>0</vt:i4>
      </vt:variant>
      <vt:variant>
        <vt:i4>5</vt:i4>
      </vt:variant>
      <vt:variant>
        <vt:lpwstr>http://www.nevo.co.il/case/28767814</vt:lpwstr>
      </vt:variant>
      <vt:variant>
        <vt:lpwstr/>
      </vt:variant>
      <vt:variant>
        <vt:i4>3342450</vt:i4>
      </vt:variant>
      <vt:variant>
        <vt:i4>63</vt:i4>
      </vt:variant>
      <vt:variant>
        <vt:i4>0</vt:i4>
      </vt:variant>
      <vt:variant>
        <vt:i4>5</vt:i4>
      </vt:variant>
      <vt:variant>
        <vt:lpwstr>http://www.nevo.co.il/case/28767814</vt:lpwstr>
      </vt:variant>
      <vt:variant>
        <vt:lpwstr/>
      </vt:variant>
      <vt:variant>
        <vt:i4>4128895</vt:i4>
      </vt:variant>
      <vt:variant>
        <vt:i4>60</vt:i4>
      </vt:variant>
      <vt:variant>
        <vt:i4>0</vt:i4>
      </vt:variant>
      <vt:variant>
        <vt:i4>5</vt:i4>
      </vt:variant>
      <vt:variant>
        <vt:lpwstr>http://www.nevo.co.il/case/28753695</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5177424</vt:i4>
      </vt:variant>
      <vt:variant>
        <vt:i4>54</vt:i4>
      </vt:variant>
      <vt:variant>
        <vt:i4>0</vt:i4>
      </vt:variant>
      <vt:variant>
        <vt:i4>5</vt:i4>
      </vt:variant>
      <vt:variant>
        <vt:lpwstr>http://www.nevo.co.il/law/70301/144.c</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7864430</vt:i4>
      </vt:variant>
      <vt:variant>
        <vt:i4>39</vt:i4>
      </vt:variant>
      <vt:variant>
        <vt:i4>0</vt:i4>
      </vt:variant>
      <vt:variant>
        <vt:i4>5</vt:i4>
      </vt:variant>
      <vt:variant>
        <vt:lpwstr>http://www.nevo.co.il/law/90721</vt:lpwstr>
      </vt:variant>
      <vt:variant>
        <vt:lpwstr/>
      </vt:variant>
      <vt:variant>
        <vt:i4>5505088</vt:i4>
      </vt:variant>
      <vt:variant>
        <vt:i4>36</vt:i4>
      </vt:variant>
      <vt:variant>
        <vt:i4>0</vt:i4>
      </vt:variant>
      <vt:variant>
        <vt:i4>5</vt:i4>
      </vt:variant>
      <vt:variant>
        <vt:lpwstr>http://www.nevo.co.il/law/90721/12.1</vt:lpwstr>
      </vt:variant>
      <vt:variant>
        <vt:lpwstr/>
      </vt:variant>
      <vt:variant>
        <vt:i4>3342450</vt:i4>
      </vt:variant>
      <vt:variant>
        <vt:i4>33</vt:i4>
      </vt:variant>
      <vt:variant>
        <vt:i4>0</vt:i4>
      </vt:variant>
      <vt:variant>
        <vt:i4>5</vt:i4>
      </vt:variant>
      <vt:variant>
        <vt:lpwstr>http://www.nevo.co.il/case/28767814</vt:lpwstr>
      </vt:variant>
      <vt:variant>
        <vt:lpwstr/>
      </vt:variant>
      <vt:variant>
        <vt:i4>4128895</vt:i4>
      </vt:variant>
      <vt:variant>
        <vt:i4>30</vt:i4>
      </vt:variant>
      <vt:variant>
        <vt:i4>0</vt:i4>
      </vt:variant>
      <vt:variant>
        <vt:i4>5</vt:i4>
      </vt:variant>
      <vt:variant>
        <vt:lpwstr>http://www.nevo.co.il/case/28753695</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7077991</vt:i4>
      </vt:variant>
      <vt:variant>
        <vt:i4>9</vt:i4>
      </vt:variant>
      <vt:variant>
        <vt:i4>0</vt:i4>
      </vt:variant>
      <vt:variant>
        <vt:i4>5</vt:i4>
      </vt:variant>
      <vt:variant>
        <vt:lpwstr>http://www.nevo.co.il/law/70301/29</vt:lpwstr>
      </vt:variant>
      <vt:variant>
        <vt:lpwstr/>
      </vt:variant>
      <vt:variant>
        <vt:i4>7995492</vt:i4>
      </vt:variant>
      <vt:variant>
        <vt:i4>6</vt:i4>
      </vt:variant>
      <vt:variant>
        <vt:i4>0</vt:i4>
      </vt:variant>
      <vt:variant>
        <vt:i4>5</vt:i4>
      </vt:variant>
      <vt:variant>
        <vt:lpwstr>http://www.nevo.co.il/law/70301</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2025-02-24T13:27:00Z</dcterms:created>
  <dcterms:modified xsi:type="dcterms:W3CDTF">2025-02-24T13:27:00Z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12606;24527</vt:lpwstr>
  </property>
  <property fmtid="{D5CDD505-2E9C-101B-9397-08002B2CF9AE}" pid="6" name="NEWPARTB">
    <vt:lpwstr>07;07</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חסאן פריחאת</vt:lpwstr>
  </property>
  <property fmtid="{D5CDD505-2E9C-101B-9397-08002B2CF9AE}" pid="10" name="LAWYER">
    <vt:lpwstr>פאדי זועבי</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20230801</vt:lpwstr>
  </property>
  <property fmtid="{D5CDD505-2E9C-101B-9397-08002B2CF9AE}" pid="14" name="TYPE_N_DATE">
    <vt:lpwstr>39020230801</vt:lpwstr>
  </property>
  <property fmtid="{D5CDD505-2E9C-101B-9397-08002B2CF9AE}" pid="15" name="WORDNUMPAGES">
    <vt:lpwstr>14</vt:lpwstr>
  </property>
  <property fmtid="{D5CDD505-2E9C-101B-9397-08002B2CF9AE}" pid="16" name="TYPE_ABS_DATE">
    <vt:lpwstr>390020230801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28753695:6;28767814:10;20033641;17954235;28200855;25824863;28883087:4;28424228;28161892;28746776;29677445;28122399;28266138;27234491;28697227:2;24263089;27734980;27305799</vt:lpwstr>
  </property>
  <property fmtid="{D5CDD505-2E9C-101B-9397-08002B2CF9AE}" pid="36" name="LAWLISTTMP1">
    <vt:lpwstr>90721/012.1</vt:lpwstr>
  </property>
  <property fmtid="{D5CDD505-2E9C-101B-9397-08002B2CF9AE}" pid="37" name="LAWLISTTMP2">
    <vt:lpwstr>70301/144.a;144.b;144.b2;144.c;029;040i.a;40jc</vt:lpwstr>
  </property>
</Properties>
</file>