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018" w:type="dxa"/>
        <w:jc w:val="center"/>
        <w:tblLook w:val="0000" w:firstRow="0" w:lastRow="0" w:firstColumn="0" w:lastColumn="0" w:noHBand="0" w:noVBand="0"/>
      </w:tblPr>
      <w:tblGrid>
        <w:gridCol w:w="28"/>
        <w:gridCol w:w="5057"/>
        <w:gridCol w:w="3664"/>
        <w:gridCol w:w="269"/>
      </w:tblGrid>
      <w:tr w:rsidR="008C23AD" w:rsidRPr="005B661F" w14:paraId="52B6F431" w14:textId="77777777" w:rsidTr="003F46EB">
        <w:trPr>
          <w:gridBefore w:val="1"/>
          <w:gridAfter w:val="1"/>
          <w:wBefore w:w="28" w:type="dxa"/>
          <w:wAfter w:w="269" w:type="dxa"/>
          <w:trHeight w:hRule="exact" w:val="418"/>
          <w:jc w:val="center"/>
        </w:trPr>
        <w:tc>
          <w:tcPr>
            <w:tcW w:w="8721" w:type="dxa"/>
            <w:gridSpan w:val="2"/>
          </w:tcPr>
          <w:p w14:paraId="75A4EA21" w14:textId="77777777" w:rsidR="008C23AD" w:rsidRPr="005B661F" w:rsidRDefault="008C23AD" w:rsidP="00165F76">
            <w:pPr>
              <w:pStyle w:val="a3"/>
              <w:jc w:val="center"/>
              <w:rPr>
                <w:rFonts w:ascii="Tahoma" w:hAnsi="Tahoma" w:cs="Tahoma"/>
                <w:color w:val="000080"/>
                <w:rtl/>
              </w:rPr>
            </w:pPr>
            <w:bookmarkStart w:id="0" w:name="LastJudge"/>
            <w:r w:rsidRPr="005B661F">
              <w:rPr>
                <w:rFonts w:ascii="Tahoma" w:hAnsi="Tahoma" w:cs="Tahoma"/>
                <w:b/>
                <w:bCs/>
                <w:color w:val="000080"/>
                <w:rtl/>
              </w:rPr>
              <w:t>בית המשפט המחוזי בחיפה</w:t>
            </w:r>
          </w:p>
        </w:tc>
      </w:tr>
      <w:tr w:rsidR="008C23AD" w:rsidRPr="005B661F" w14:paraId="7DDDB1FA" w14:textId="77777777" w:rsidTr="003F46EB">
        <w:trPr>
          <w:gridBefore w:val="1"/>
          <w:gridAfter w:val="1"/>
          <w:wBefore w:w="28" w:type="dxa"/>
          <w:wAfter w:w="269" w:type="dxa"/>
          <w:trHeight w:val="337"/>
          <w:jc w:val="center"/>
        </w:trPr>
        <w:tc>
          <w:tcPr>
            <w:tcW w:w="5057" w:type="dxa"/>
          </w:tcPr>
          <w:p w14:paraId="4FC2CD8C" w14:textId="77777777" w:rsidR="008C23AD" w:rsidRPr="005B661F" w:rsidRDefault="008C23AD" w:rsidP="00165F76">
            <w:pPr>
              <w:rPr>
                <w:rFonts w:cs="FrankRuehl"/>
                <w:sz w:val="28"/>
                <w:szCs w:val="28"/>
                <w:rtl/>
              </w:rPr>
            </w:pPr>
            <w:r w:rsidRPr="005B661F">
              <w:rPr>
                <w:rFonts w:cs="FrankRuehl"/>
                <w:sz w:val="28"/>
                <w:szCs w:val="28"/>
                <w:rtl/>
              </w:rPr>
              <w:t>ת"פ</w:t>
            </w:r>
            <w:r w:rsidRPr="005B661F">
              <w:rPr>
                <w:rFonts w:cs="FrankRuehl" w:hint="cs"/>
                <w:sz w:val="28"/>
                <w:szCs w:val="28"/>
                <w:rtl/>
              </w:rPr>
              <w:t xml:space="preserve"> </w:t>
            </w:r>
            <w:r w:rsidRPr="005B661F">
              <w:rPr>
                <w:rFonts w:cs="FrankRuehl"/>
                <w:sz w:val="28"/>
                <w:szCs w:val="28"/>
                <w:rtl/>
              </w:rPr>
              <w:t>14976-07-22</w:t>
            </w:r>
            <w:r w:rsidRPr="005B661F">
              <w:rPr>
                <w:rFonts w:cs="FrankRuehl" w:hint="cs"/>
                <w:sz w:val="28"/>
                <w:szCs w:val="28"/>
                <w:rtl/>
              </w:rPr>
              <w:t xml:space="preserve"> </w:t>
            </w:r>
            <w:r w:rsidRPr="005B661F">
              <w:rPr>
                <w:rFonts w:cs="FrankRuehl"/>
                <w:sz w:val="28"/>
                <w:szCs w:val="28"/>
                <w:rtl/>
              </w:rPr>
              <w:t>מדינת ישראל נ' קובס(עציר) ואח'</w:t>
            </w:r>
          </w:p>
          <w:p w14:paraId="7F545437" w14:textId="77777777" w:rsidR="008C23AD" w:rsidRPr="005B661F" w:rsidRDefault="008C23AD" w:rsidP="00165F76">
            <w:pPr>
              <w:pStyle w:val="a3"/>
              <w:rPr>
                <w:rFonts w:cs="FrankRuehl"/>
                <w:sz w:val="28"/>
                <w:szCs w:val="28"/>
                <w:rtl/>
              </w:rPr>
            </w:pPr>
          </w:p>
        </w:tc>
        <w:tc>
          <w:tcPr>
            <w:tcW w:w="3664" w:type="dxa"/>
          </w:tcPr>
          <w:p w14:paraId="612FB272" w14:textId="77777777" w:rsidR="008C23AD" w:rsidRPr="005B661F" w:rsidRDefault="008C23AD" w:rsidP="00165F76">
            <w:pPr>
              <w:pStyle w:val="a3"/>
              <w:jc w:val="right"/>
              <w:rPr>
                <w:rFonts w:cs="FrankRuehl"/>
                <w:sz w:val="28"/>
                <w:szCs w:val="28"/>
                <w:rtl/>
              </w:rPr>
            </w:pPr>
          </w:p>
        </w:tc>
      </w:tr>
      <w:tr w:rsidR="008C23AD" w:rsidRPr="005B661F" w14:paraId="38A04AF9" w14:textId="77777777" w:rsidTr="003F46EB">
        <w:tblPrEx>
          <w:jc w:val="left"/>
          <w:tblInd w:w="-28" w:type="dxa"/>
          <w:tblLook w:val="01E0" w:firstRow="1" w:lastRow="1" w:firstColumn="1" w:lastColumn="1" w:noHBand="0" w:noVBand="0"/>
        </w:tblPrEx>
        <w:tc>
          <w:tcPr>
            <w:tcW w:w="9018" w:type="dxa"/>
            <w:gridSpan w:val="4"/>
            <w:shd w:val="clear" w:color="auto" w:fill="auto"/>
          </w:tcPr>
          <w:p w14:paraId="3D01B99C" w14:textId="77777777" w:rsidR="008C23AD" w:rsidRPr="005B661F" w:rsidRDefault="008C23AD" w:rsidP="00165F76">
            <w:pPr>
              <w:rPr>
                <w:rFonts w:ascii="David" w:hAnsi="David"/>
                <w:b/>
                <w:bCs/>
                <w:sz w:val="26"/>
                <w:szCs w:val="26"/>
                <w:rtl/>
              </w:rPr>
            </w:pPr>
            <w:r w:rsidRPr="005B661F">
              <w:rPr>
                <w:rFonts w:hint="cs"/>
                <w:rtl/>
              </w:rPr>
              <w:t xml:space="preserve"> </w:t>
            </w:r>
            <w:bookmarkStart w:id="1" w:name="FirstAppellant"/>
            <w:r w:rsidRPr="005B661F">
              <w:rPr>
                <w:rFonts w:ascii="David" w:hAnsi="David"/>
                <w:b/>
                <w:bCs/>
                <w:sz w:val="26"/>
                <w:szCs w:val="26"/>
                <w:rtl/>
              </w:rPr>
              <w:t>לפני כבוד השופט ארז פורת</w:t>
            </w:r>
            <w:r w:rsidRPr="005B661F">
              <w:rPr>
                <w:rStyle w:val="TimesNewRomanTimesNewRoman"/>
                <w:rFonts w:ascii="David" w:hAnsi="David"/>
                <w:rtl/>
              </w:rPr>
              <w:t xml:space="preserve"> </w:t>
            </w:r>
          </w:p>
          <w:p w14:paraId="063A5DD5" w14:textId="77777777" w:rsidR="008C23AD" w:rsidRPr="005B661F" w:rsidRDefault="008C23AD" w:rsidP="00165F76">
            <w:pPr>
              <w:rPr>
                <w:rFonts w:ascii="David" w:hAnsi="David"/>
                <w:b/>
                <w:bCs/>
                <w:sz w:val="26"/>
                <w:szCs w:val="26"/>
                <w:rtl/>
              </w:rPr>
            </w:pPr>
          </w:p>
          <w:p w14:paraId="082E64C9" w14:textId="77777777" w:rsidR="008C23AD" w:rsidRPr="005B661F" w:rsidRDefault="008C23AD" w:rsidP="00165F76">
            <w:pPr>
              <w:rPr>
                <w:rFonts w:ascii="David" w:hAnsi="David"/>
                <w:rtl/>
              </w:rPr>
            </w:pPr>
            <w:r w:rsidRPr="005B661F">
              <w:rPr>
                <w:rFonts w:ascii="David" w:hAnsi="David"/>
                <w:b/>
                <w:bCs/>
                <w:sz w:val="26"/>
                <w:szCs w:val="26"/>
                <w:rtl/>
              </w:rPr>
              <w:t>המאשימה-</w:t>
            </w:r>
          </w:p>
          <w:p w14:paraId="76DD3388" w14:textId="77777777" w:rsidR="008C23AD" w:rsidRPr="005B661F" w:rsidRDefault="008C23AD" w:rsidP="00165F76">
            <w:pPr>
              <w:rPr>
                <w:rFonts w:ascii="David" w:hAnsi="David"/>
                <w:b/>
                <w:bCs/>
                <w:sz w:val="26"/>
                <w:szCs w:val="26"/>
                <w:rtl/>
              </w:rPr>
            </w:pPr>
            <w:r w:rsidRPr="005B661F">
              <w:rPr>
                <w:rFonts w:ascii="David" w:hAnsi="David"/>
                <w:rtl/>
              </w:rPr>
              <w:t xml:space="preserve"> </w:t>
            </w:r>
            <w:r w:rsidRPr="005B661F">
              <w:rPr>
                <w:rFonts w:ascii="David" w:hAnsi="David"/>
                <w:b/>
                <w:bCs/>
                <w:sz w:val="26"/>
                <w:szCs w:val="26"/>
                <w:rtl/>
              </w:rPr>
              <w:t xml:space="preserve">מדינת ישראל </w:t>
            </w:r>
          </w:p>
          <w:p w14:paraId="1F0ED14F" w14:textId="77777777" w:rsidR="008C23AD" w:rsidRPr="005B661F" w:rsidRDefault="008C23AD" w:rsidP="00165F76">
            <w:pPr>
              <w:rPr>
                <w:rFonts w:ascii="David" w:hAnsi="David"/>
                <w:b/>
                <w:bCs/>
                <w:sz w:val="26"/>
                <w:szCs w:val="26"/>
                <w:rtl/>
              </w:rPr>
            </w:pPr>
          </w:p>
          <w:bookmarkEnd w:id="1"/>
          <w:p w14:paraId="16808291" w14:textId="77777777" w:rsidR="008C23AD" w:rsidRPr="005B661F" w:rsidRDefault="008C23AD" w:rsidP="008C23AD">
            <w:pPr>
              <w:jc w:val="center"/>
              <w:rPr>
                <w:rFonts w:ascii="David" w:hAnsi="David"/>
                <w:b/>
                <w:bCs/>
                <w:sz w:val="26"/>
                <w:szCs w:val="26"/>
                <w:rtl/>
              </w:rPr>
            </w:pPr>
            <w:r w:rsidRPr="005B661F">
              <w:rPr>
                <w:rFonts w:ascii="David" w:hAnsi="David"/>
                <w:b/>
                <w:bCs/>
                <w:sz w:val="26"/>
                <w:szCs w:val="26"/>
                <w:rtl/>
              </w:rPr>
              <w:t>נגד</w:t>
            </w:r>
          </w:p>
          <w:p w14:paraId="5B1DB75C" w14:textId="77777777" w:rsidR="008C23AD" w:rsidRPr="005B661F" w:rsidRDefault="008C23AD" w:rsidP="00165F76">
            <w:pPr>
              <w:rPr>
                <w:rFonts w:ascii="David" w:hAnsi="David"/>
                <w:b/>
                <w:bCs/>
                <w:sz w:val="26"/>
                <w:szCs w:val="26"/>
                <w:rtl/>
              </w:rPr>
            </w:pPr>
          </w:p>
          <w:p w14:paraId="1E103797" w14:textId="77777777" w:rsidR="008C23AD" w:rsidRPr="005B661F" w:rsidRDefault="008C23AD" w:rsidP="00165F76">
            <w:pPr>
              <w:rPr>
                <w:rFonts w:ascii="David" w:hAnsi="David"/>
                <w:b/>
                <w:bCs/>
                <w:sz w:val="26"/>
                <w:szCs w:val="26"/>
              </w:rPr>
            </w:pPr>
            <w:r w:rsidRPr="005B661F">
              <w:rPr>
                <w:rFonts w:ascii="David" w:hAnsi="David"/>
                <w:b/>
                <w:bCs/>
                <w:sz w:val="26"/>
                <w:szCs w:val="26"/>
                <w:rtl/>
              </w:rPr>
              <w:t>הנאשמים-</w:t>
            </w:r>
            <w:r w:rsidRPr="005B661F">
              <w:rPr>
                <w:rFonts w:ascii="David" w:hAnsi="David"/>
                <w:b/>
                <w:bCs/>
                <w:sz w:val="26"/>
                <w:szCs w:val="26"/>
              </w:rPr>
              <w:t>.1</w:t>
            </w:r>
            <w:r w:rsidRPr="005B661F">
              <w:rPr>
                <w:rFonts w:ascii="David" w:hAnsi="David"/>
                <w:rtl/>
              </w:rPr>
              <w:t xml:space="preserve"> </w:t>
            </w:r>
            <w:r w:rsidRPr="005B661F">
              <w:rPr>
                <w:rFonts w:ascii="David" w:hAnsi="David"/>
                <w:b/>
                <w:bCs/>
                <w:sz w:val="26"/>
                <w:szCs w:val="26"/>
                <w:rtl/>
              </w:rPr>
              <w:t>שי קובס (עציר)</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6F31564C" w14:textId="77777777" w:rsidR="008C23AD" w:rsidRPr="005B661F" w:rsidRDefault="008C23AD" w:rsidP="00165F76">
            <w:pPr>
              <w:rPr>
                <w:rFonts w:ascii="David" w:hAnsi="David"/>
                <w:b/>
                <w:bCs/>
                <w:sz w:val="26"/>
                <w:szCs w:val="26"/>
                <w:rtl/>
              </w:rPr>
            </w:pPr>
            <w:r w:rsidRPr="005B661F">
              <w:rPr>
                <w:rFonts w:ascii="David" w:hAnsi="David"/>
                <w:b/>
                <w:bCs/>
                <w:sz w:val="26"/>
                <w:szCs w:val="26"/>
              </w:rPr>
              <w:t>.2</w:t>
            </w:r>
            <w:r w:rsidRPr="005B661F">
              <w:rPr>
                <w:rFonts w:ascii="David" w:hAnsi="David"/>
                <w:rtl/>
              </w:rPr>
              <w:t xml:space="preserve"> </w:t>
            </w:r>
            <w:r w:rsidRPr="005B661F">
              <w:rPr>
                <w:rFonts w:ascii="David" w:hAnsi="David"/>
                <w:b/>
                <w:bCs/>
                <w:sz w:val="26"/>
                <w:szCs w:val="26"/>
                <w:rtl/>
              </w:rPr>
              <w:t>אחמד עתאבא (עציר)</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52C89586" w14:textId="77777777" w:rsidR="008C23AD" w:rsidRPr="005B661F" w:rsidRDefault="008C23AD" w:rsidP="00165F76">
            <w:pPr>
              <w:rPr>
                <w:rFonts w:ascii="David" w:hAnsi="David"/>
                <w:b/>
                <w:bCs/>
                <w:sz w:val="26"/>
                <w:szCs w:val="26"/>
                <w:rtl/>
              </w:rPr>
            </w:pPr>
            <w:r w:rsidRPr="005B661F">
              <w:rPr>
                <w:rFonts w:ascii="David" w:hAnsi="David"/>
                <w:b/>
                <w:bCs/>
                <w:sz w:val="26"/>
                <w:szCs w:val="26"/>
              </w:rPr>
              <w:t>.3</w:t>
            </w:r>
            <w:r w:rsidRPr="005B661F">
              <w:rPr>
                <w:rFonts w:ascii="David" w:hAnsi="David"/>
                <w:rtl/>
              </w:rPr>
              <w:t xml:space="preserve"> </w:t>
            </w:r>
            <w:r w:rsidRPr="005B661F">
              <w:rPr>
                <w:rFonts w:ascii="David" w:hAnsi="David"/>
                <w:b/>
                <w:bCs/>
                <w:sz w:val="26"/>
                <w:szCs w:val="26"/>
                <w:rtl/>
              </w:rPr>
              <w:t>אשר בוסקילה (עציר)</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741D0F84" w14:textId="77777777" w:rsidR="008C23AD" w:rsidRPr="005B661F" w:rsidRDefault="008C23AD" w:rsidP="00165F76">
            <w:pPr>
              <w:rPr>
                <w:rFonts w:ascii="David" w:hAnsi="David"/>
                <w:b/>
                <w:bCs/>
                <w:sz w:val="26"/>
                <w:szCs w:val="26"/>
                <w:rtl/>
              </w:rPr>
            </w:pPr>
            <w:r w:rsidRPr="005B661F">
              <w:rPr>
                <w:rFonts w:ascii="David" w:hAnsi="David"/>
                <w:b/>
                <w:bCs/>
                <w:sz w:val="26"/>
                <w:szCs w:val="26"/>
              </w:rPr>
              <w:t>.4</w:t>
            </w:r>
            <w:r w:rsidRPr="005B661F">
              <w:rPr>
                <w:rFonts w:ascii="David" w:hAnsi="David"/>
                <w:rtl/>
              </w:rPr>
              <w:t xml:space="preserve"> </w:t>
            </w:r>
            <w:r w:rsidRPr="005B661F">
              <w:rPr>
                <w:rFonts w:ascii="David" w:hAnsi="David"/>
                <w:b/>
                <w:bCs/>
                <w:sz w:val="26"/>
                <w:szCs w:val="26"/>
                <w:rtl/>
              </w:rPr>
              <w:t>זאיד עווד (</w:t>
            </w:r>
            <w:r w:rsidRPr="005B661F">
              <w:rPr>
                <w:rFonts w:ascii="David" w:hAnsi="David" w:hint="cs"/>
                <w:b/>
                <w:bCs/>
                <w:sz w:val="26"/>
                <w:szCs w:val="26"/>
                <w:rtl/>
              </w:rPr>
              <w:t>נדון</w:t>
            </w:r>
            <w:r w:rsidRPr="005B661F">
              <w:rPr>
                <w:rFonts w:ascii="David" w:hAnsi="David"/>
                <w:b/>
                <w:bCs/>
                <w:sz w:val="26"/>
                <w:szCs w:val="26"/>
                <w:rtl/>
              </w:rPr>
              <w:t>)</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19E932FE" w14:textId="77777777" w:rsidR="008C23AD" w:rsidRPr="005B661F" w:rsidRDefault="008C23AD" w:rsidP="00165F76">
            <w:pPr>
              <w:rPr>
                <w:rFonts w:ascii="David" w:hAnsi="David"/>
                <w:b/>
                <w:bCs/>
                <w:sz w:val="26"/>
                <w:szCs w:val="26"/>
                <w:rtl/>
              </w:rPr>
            </w:pPr>
            <w:r w:rsidRPr="005B661F">
              <w:rPr>
                <w:rFonts w:ascii="David" w:hAnsi="David"/>
                <w:b/>
                <w:bCs/>
                <w:sz w:val="26"/>
                <w:szCs w:val="26"/>
              </w:rPr>
              <w:t>.5</w:t>
            </w:r>
            <w:r w:rsidRPr="005B661F">
              <w:rPr>
                <w:rFonts w:ascii="David" w:hAnsi="David"/>
                <w:rtl/>
              </w:rPr>
              <w:t xml:space="preserve"> </w:t>
            </w:r>
            <w:r w:rsidRPr="005B661F">
              <w:rPr>
                <w:rFonts w:ascii="David" w:hAnsi="David"/>
                <w:b/>
                <w:bCs/>
                <w:sz w:val="26"/>
                <w:szCs w:val="26"/>
                <w:rtl/>
              </w:rPr>
              <w:t>ראגב דבס (</w:t>
            </w:r>
            <w:r w:rsidRPr="005B661F">
              <w:rPr>
                <w:rFonts w:ascii="David" w:hAnsi="David" w:hint="cs"/>
                <w:b/>
                <w:bCs/>
                <w:sz w:val="26"/>
                <w:szCs w:val="26"/>
                <w:rtl/>
              </w:rPr>
              <w:t>נדון</w:t>
            </w:r>
            <w:r w:rsidRPr="005B661F">
              <w:rPr>
                <w:rFonts w:ascii="David" w:hAnsi="David"/>
                <w:b/>
                <w:bCs/>
                <w:sz w:val="26"/>
                <w:szCs w:val="26"/>
                <w:rtl/>
              </w:rPr>
              <w:t>)</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2255ED74" w14:textId="77777777" w:rsidR="008C23AD" w:rsidRPr="005B661F" w:rsidRDefault="008C23AD" w:rsidP="00165F76">
            <w:pPr>
              <w:rPr>
                <w:rFonts w:ascii="David" w:hAnsi="David"/>
                <w:b/>
                <w:bCs/>
                <w:sz w:val="26"/>
                <w:szCs w:val="26"/>
                <w:rtl/>
              </w:rPr>
            </w:pPr>
            <w:r w:rsidRPr="005B661F">
              <w:rPr>
                <w:rFonts w:ascii="David" w:hAnsi="David"/>
                <w:b/>
                <w:bCs/>
                <w:sz w:val="26"/>
                <w:szCs w:val="26"/>
              </w:rPr>
              <w:t>.6</w:t>
            </w:r>
            <w:r w:rsidRPr="005B661F">
              <w:rPr>
                <w:rFonts w:ascii="David" w:hAnsi="David"/>
                <w:rtl/>
              </w:rPr>
              <w:t xml:space="preserve"> </w:t>
            </w:r>
            <w:r w:rsidRPr="005B661F">
              <w:rPr>
                <w:rFonts w:ascii="David" w:hAnsi="David"/>
                <w:b/>
                <w:bCs/>
                <w:sz w:val="26"/>
                <w:szCs w:val="26"/>
                <w:rtl/>
              </w:rPr>
              <w:t>עבדאללה חליפה (</w:t>
            </w:r>
            <w:r w:rsidRPr="005B661F">
              <w:rPr>
                <w:rFonts w:ascii="David" w:hAnsi="David" w:hint="cs"/>
                <w:b/>
                <w:bCs/>
                <w:sz w:val="26"/>
                <w:szCs w:val="26"/>
                <w:rtl/>
              </w:rPr>
              <w:t>נדון</w:t>
            </w:r>
            <w:r w:rsidRPr="005B661F">
              <w:rPr>
                <w:rFonts w:ascii="David" w:hAnsi="David"/>
                <w:b/>
                <w:bCs/>
                <w:sz w:val="26"/>
                <w:szCs w:val="26"/>
                <w:rtl/>
              </w:rPr>
              <w:t>)</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558330F0" w14:textId="77777777" w:rsidR="008C23AD" w:rsidRPr="005B661F" w:rsidRDefault="008C23AD" w:rsidP="00165F76">
            <w:pPr>
              <w:rPr>
                <w:rFonts w:ascii="David" w:hAnsi="David"/>
                <w:b/>
                <w:bCs/>
                <w:sz w:val="26"/>
                <w:szCs w:val="26"/>
                <w:rtl/>
              </w:rPr>
            </w:pPr>
            <w:r w:rsidRPr="005B661F">
              <w:rPr>
                <w:rFonts w:ascii="David" w:hAnsi="David"/>
                <w:b/>
                <w:bCs/>
                <w:sz w:val="26"/>
                <w:szCs w:val="26"/>
              </w:rPr>
              <w:t>.7</w:t>
            </w:r>
            <w:r w:rsidRPr="005B661F">
              <w:rPr>
                <w:rFonts w:ascii="David" w:hAnsi="David"/>
                <w:rtl/>
              </w:rPr>
              <w:t xml:space="preserve"> </w:t>
            </w:r>
            <w:r w:rsidRPr="005B661F">
              <w:rPr>
                <w:rFonts w:ascii="David" w:hAnsi="David"/>
                <w:b/>
                <w:bCs/>
                <w:sz w:val="26"/>
                <w:szCs w:val="26"/>
                <w:rtl/>
              </w:rPr>
              <w:t>מוחמד חליל (</w:t>
            </w:r>
            <w:r w:rsidRPr="005B661F">
              <w:rPr>
                <w:rFonts w:ascii="David" w:hAnsi="David" w:hint="cs"/>
                <w:b/>
                <w:bCs/>
                <w:sz w:val="26"/>
                <w:szCs w:val="26"/>
                <w:rtl/>
              </w:rPr>
              <w:t>נדון</w:t>
            </w:r>
            <w:r w:rsidRPr="005B661F">
              <w:rPr>
                <w:rFonts w:ascii="David" w:hAnsi="David"/>
                <w:b/>
                <w:bCs/>
                <w:sz w:val="26"/>
                <w:szCs w:val="26"/>
                <w:rtl/>
              </w:rPr>
              <w:t>)</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24F95110" w14:textId="77777777" w:rsidR="008C23AD" w:rsidRPr="005B661F" w:rsidRDefault="008C23AD" w:rsidP="00165F76">
            <w:pPr>
              <w:rPr>
                <w:rFonts w:ascii="David" w:hAnsi="David"/>
                <w:b/>
                <w:bCs/>
                <w:sz w:val="26"/>
                <w:szCs w:val="26"/>
                <w:rtl/>
              </w:rPr>
            </w:pPr>
            <w:r w:rsidRPr="005B661F">
              <w:rPr>
                <w:rFonts w:ascii="David" w:hAnsi="David"/>
                <w:b/>
                <w:bCs/>
                <w:sz w:val="26"/>
                <w:szCs w:val="26"/>
              </w:rPr>
              <w:t>.8</w:t>
            </w:r>
            <w:r w:rsidRPr="005B661F">
              <w:rPr>
                <w:rFonts w:ascii="David" w:hAnsi="David"/>
                <w:rtl/>
              </w:rPr>
              <w:t xml:space="preserve"> </w:t>
            </w:r>
            <w:r w:rsidRPr="005B661F">
              <w:rPr>
                <w:rFonts w:ascii="David" w:hAnsi="David"/>
                <w:b/>
                <w:bCs/>
                <w:sz w:val="26"/>
                <w:szCs w:val="26"/>
                <w:rtl/>
              </w:rPr>
              <w:t>עבד אל האדי איוב (</w:t>
            </w:r>
            <w:r w:rsidRPr="005B661F">
              <w:rPr>
                <w:rFonts w:ascii="David" w:hAnsi="David" w:hint="cs"/>
                <w:b/>
                <w:bCs/>
                <w:sz w:val="26"/>
                <w:szCs w:val="26"/>
                <w:rtl/>
              </w:rPr>
              <w:t>נדון</w:t>
            </w:r>
            <w:r w:rsidRPr="005B661F">
              <w:rPr>
                <w:rFonts w:ascii="David" w:hAnsi="David"/>
                <w:b/>
                <w:bCs/>
                <w:sz w:val="26"/>
                <w:szCs w:val="26"/>
                <w:rtl/>
              </w:rPr>
              <w:t>)</w:t>
            </w:r>
            <w:r w:rsidRPr="005B661F">
              <w:rPr>
                <w:rFonts w:ascii="David" w:hAnsi="David"/>
                <w:rtl/>
              </w:rPr>
              <w:t xml:space="preserve"> </w:t>
            </w:r>
            <w:r w:rsidRPr="005B661F">
              <w:rPr>
                <w:rFonts w:ascii="David" w:hAnsi="David"/>
                <w:b/>
                <w:bCs/>
                <w:sz w:val="26"/>
                <w:szCs w:val="26"/>
                <w:rtl/>
              </w:rPr>
              <w:t xml:space="preserve">ת"ז  </w:t>
            </w:r>
            <w:r w:rsidR="005B661F">
              <w:rPr>
                <w:rFonts w:ascii="David" w:hAnsi="David"/>
                <w:b/>
                <w:bCs/>
                <w:sz w:val="26"/>
                <w:szCs w:val="26"/>
              </w:rPr>
              <w:t>xxxxxxxxxx</w:t>
            </w:r>
          </w:p>
          <w:p w14:paraId="0BA79F8B" w14:textId="77777777" w:rsidR="008C23AD" w:rsidRPr="005B661F" w:rsidRDefault="008C23AD" w:rsidP="008C23AD">
            <w:pPr>
              <w:spacing w:line="360" w:lineRule="auto"/>
              <w:jc w:val="both"/>
              <w:rPr>
                <w:rFonts w:ascii="David" w:hAnsi="David"/>
                <w:sz w:val="6"/>
                <w:szCs w:val="6"/>
                <w:rtl/>
              </w:rPr>
            </w:pPr>
            <w:r w:rsidRPr="005B661F">
              <w:rPr>
                <w:rFonts w:ascii="David" w:hAnsi="David"/>
                <w:sz w:val="6"/>
                <w:szCs w:val="6"/>
                <w:rtl/>
              </w:rPr>
              <w:t>&lt;#1#&gt;</w:t>
            </w:r>
          </w:p>
        </w:tc>
      </w:tr>
    </w:tbl>
    <w:p w14:paraId="78690420" w14:textId="77777777" w:rsidR="008C23AD" w:rsidRPr="005B661F" w:rsidRDefault="008C23AD" w:rsidP="008C23AD">
      <w:pPr>
        <w:rPr>
          <w:rFonts w:ascii="David" w:hAnsi="David"/>
        </w:rPr>
      </w:pPr>
    </w:p>
    <w:p w14:paraId="6FD03F60" w14:textId="77777777" w:rsidR="008C23AD" w:rsidRPr="005B661F" w:rsidRDefault="008C23AD" w:rsidP="008C23AD">
      <w:pPr>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23AD" w14:paraId="415464A8" w14:textId="77777777" w:rsidTr="008C23AD">
        <w:trPr>
          <w:trHeight w:val="355"/>
          <w:jc w:val="center"/>
        </w:trPr>
        <w:tc>
          <w:tcPr>
            <w:tcW w:w="8820" w:type="dxa"/>
            <w:tcBorders>
              <w:top w:val="nil"/>
              <w:left w:val="nil"/>
              <w:bottom w:val="nil"/>
              <w:right w:val="nil"/>
            </w:tcBorders>
            <w:shd w:val="clear" w:color="auto" w:fill="auto"/>
          </w:tcPr>
          <w:p w14:paraId="231C3A8A" w14:textId="77777777" w:rsidR="005B661F" w:rsidRPr="005B661F" w:rsidRDefault="005B661F" w:rsidP="008C23AD">
            <w:pPr>
              <w:jc w:val="center"/>
              <w:rPr>
                <w:rFonts w:ascii="David" w:hAnsi="David"/>
                <w:b/>
                <w:bCs/>
                <w:sz w:val="32"/>
                <w:szCs w:val="32"/>
                <w:rtl/>
              </w:rPr>
            </w:pPr>
          </w:p>
          <w:p w14:paraId="0CFE92EF" w14:textId="77777777" w:rsidR="005B661F" w:rsidRPr="005B661F" w:rsidRDefault="005B661F" w:rsidP="005B661F">
            <w:pPr>
              <w:jc w:val="center"/>
              <w:rPr>
                <w:rFonts w:ascii="David" w:hAnsi="David"/>
                <w:b/>
                <w:bCs/>
                <w:sz w:val="32"/>
                <w:szCs w:val="32"/>
                <w:u w:val="single"/>
                <w:rtl/>
              </w:rPr>
            </w:pPr>
            <w:bookmarkStart w:id="2" w:name="PsakDin"/>
            <w:r w:rsidRPr="005B661F">
              <w:rPr>
                <w:rFonts w:ascii="David" w:hAnsi="David"/>
                <w:b/>
                <w:bCs/>
                <w:sz w:val="32"/>
                <w:szCs w:val="32"/>
                <w:u w:val="single"/>
                <w:rtl/>
              </w:rPr>
              <w:t>גזר דין</w:t>
            </w:r>
          </w:p>
          <w:bookmarkEnd w:id="2"/>
          <w:p w14:paraId="1D57834A" w14:textId="77777777" w:rsidR="008C23AD" w:rsidRPr="008C23AD" w:rsidRDefault="008C23AD" w:rsidP="008C23AD">
            <w:pPr>
              <w:jc w:val="center"/>
              <w:rPr>
                <w:rFonts w:ascii="David" w:hAnsi="David"/>
                <w:b/>
                <w:bCs/>
                <w:sz w:val="32"/>
                <w:szCs w:val="32"/>
                <w:u w:val="single"/>
                <w:rtl/>
              </w:rPr>
            </w:pPr>
            <w:r w:rsidRPr="008C23AD">
              <w:rPr>
                <w:rFonts w:ascii="David" w:hAnsi="David" w:hint="cs"/>
                <w:b/>
                <w:bCs/>
                <w:sz w:val="32"/>
                <w:szCs w:val="32"/>
                <w:u w:val="single"/>
                <w:rtl/>
              </w:rPr>
              <w:t>(נאשמים 1-3)</w:t>
            </w:r>
          </w:p>
        </w:tc>
      </w:tr>
      <w:bookmarkEnd w:id="0"/>
    </w:tbl>
    <w:p w14:paraId="5DA65267" w14:textId="77777777" w:rsidR="008C23AD" w:rsidRDefault="008C23AD" w:rsidP="008C23AD">
      <w:pPr>
        <w:rPr>
          <w:rFonts w:ascii="Arial" w:hAnsi="Arial"/>
          <w:b/>
          <w:bCs/>
          <w:sz w:val="26"/>
          <w:szCs w:val="26"/>
          <w:rtl/>
        </w:rPr>
      </w:pPr>
    </w:p>
    <w:p w14:paraId="50B41D4C" w14:textId="77777777" w:rsidR="008C23AD" w:rsidRDefault="008C23AD" w:rsidP="008C23AD">
      <w:pPr>
        <w:spacing w:line="360" w:lineRule="auto"/>
        <w:ind w:left="720" w:hanging="720"/>
        <w:jc w:val="both"/>
        <w:rPr>
          <w:rFonts w:ascii="Arial" w:hAnsi="Arial"/>
          <w:sz w:val="26"/>
          <w:szCs w:val="26"/>
          <w:rtl/>
        </w:rPr>
      </w:pPr>
    </w:p>
    <w:p w14:paraId="28D4CB52" w14:textId="77777777" w:rsidR="008C23AD" w:rsidRDefault="008C23AD" w:rsidP="008C23AD">
      <w:pPr>
        <w:spacing w:line="360" w:lineRule="auto"/>
        <w:ind w:left="720" w:hanging="720"/>
        <w:jc w:val="both"/>
        <w:rPr>
          <w:rFonts w:ascii="Arial" w:hAnsi="Arial"/>
          <w:rtl/>
        </w:rPr>
      </w:pPr>
      <w:r w:rsidRPr="002E3A8A">
        <w:rPr>
          <w:rFonts w:ascii="Arial" w:hAnsi="Arial" w:hint="cs"/>
          <w:sz w:val="26"/>
          <w:szCs w:val="26"/>
          <w:rtl/>
        </w:rPr>
        <w:t>1.</w:t>
      </w:r>
      <w:r w:rsidRPr="002E3A8A">
        <w:rPr>
          <w:rFonts w:ascii="Arial" w:hAnsi="Arial"/>
          <w:sz w:val="26"/>
          <w:szCs w:val="26"/>
          <w:rtl/>
        </w:rPr>
        <w:tab/>
      </w:r>
      <w:bookmarkStart w:id="3" w:name="ABSTRACT_START"/>
      <w:bookmarkEnd w:id="3"/>
      <w:r>
        <w:rPr>
          <w:rFonts w:ascii="Arial" w:hAnsi="Arial" w:hint="cs"/>
          <w:rtl/>
        </w:rPr>
        <w:t xml:space="preserve">בחודש מרץ 2022, בעת שהנאשם 1 נסע ברכב, התפוצץ מטען חבלה שהוצמד לרכבו. כתוצאה מהפיצוץ נפצע הנאשם 1 וטופל בבית החולים. בעקבות ארוע זה, החליט הנאשם 1 לנקום במי שלסברתו היו מעורבים בהטמנת המטען, ובמסגרת הנקמה, תכנן לגרום למותו של אחד מהמעורבים </w:t>
      </w:r>
      <w:r>
        <w:rPr>
          <w:rFonts w:ascii="Arial" w:hAnsi="Arial"/>
          <w:rtl/>
        </w:rPr>
        <w:t>–</w:t>
      </w:r>
      <w:r>
        <w:rPr>
          <w:rFonts w:ascii="Arial" w:hAnsi="Arial" w:hint="cs"/>
          <w:rtl/>
        </w:rPr>
        <w:t xml:space="preserve"> א', כאמור.</w:t>
      </w:r>
    </w:p>
    <w:p w14:paraId="0688D30C" w14:textId="77777777" w:rsidR="008C23AD" w:rsidRDefault="008C23AD" w:rsidP="008C23AD">
      <w:pPr>
        <w:ind w:left="720" w:hanging="720"/>
        <w:jc w:val="both"/>
        <w:rPr>
          <w:rFonts w:ascii="Arial" w:hAnsi="Arial"/>
          <w:rtl/>
        </w:rPr>
      </w:pPr>
      <w:bookmarkStart w:id="4" w:name="ABSTRACT_END"/>
      <w:bookmarkEnd w:id="4"/>
    </w:p>
    <w:p w14:paraId="4A15270F" w14:textId="77777777" w:rsidR="008C23AD" w:rsidRDefault="008C23AD" w:rsidP="008C23AD">
      <w:pPr>
        <w:spacing w:line="360" w:lineRule="auto"/>
        <w:ind w:left="720" w:hanging="720"/>
        <w:jc w:val="both"/>
        <w:rPr>
          <w:rFonts w:ascii="Arial" w:hAnsi="Arial"/>
          <w:rtl/>
        </w:rPr>
      </w:pPr>
      <w:r>
        <w:rPr>
          <w:rFonts w:ascii="Arial" w:hAnsi="Arial" w:hint="cs"/>
          <w:rtl/>
        </w:rPr>
        <w:t>2.</w:t>
      </w:r>
      <w:r>
        <w:rPr>
          <w:rFonts w:ascii="Arial" w:hAnsi="Arial" w:hint="cs"/>
          <w:rtl/>
        </w:rPr>
        <w:tab/>
        <w:t xml:space="preserve">כתב האישום מתאר כי בין התאריכים 8-29 לחודש מאי 2022, הנאשמים 1 ו-2 ביצעו מספר נסיעות ברכב שכור שמטרתן איתור וזיהוי האחראים להטמנת אותו המטען. כן ביצעו הנאשמים 1-2 שיחות עם אנשים אחרים במטרה לאסוף מידע על אותם האחראים להטמנת המטען. כתב האישום מציין כי במהלך אותן פעילויות לאיסוף המידע, השתתפו מעת לעת גם הנאשמים 3 ו-4. הנאשמים איתרו את א', אולם בשל העדר קשר עם אחרים שזהותם לא הובררה, הפגיעה בו לא בוצעה. </w:t>
      </w:r>
    </w:p>
    <w:p w14:paraId="28885107" w14:textId="77777777" w:rsidR="008C23AD" w:rsidRDefault="008C23AD" w:rsidP="008C23AD">
      <w:pPr>
        <w:ind w:left="720" w:hanging="720"/>
        <w:jc w:val="both"/>
        <w:rPr>
          <w:rFonts w:ascii="Arial" w:hAnsi="Arial"/>
          <w:rtl/>
        </w:rPr>
      </w:pPr>
    </w:p>
    <w:p w14:paraId="10994693"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צויין כי ביום 29/5/22 רכשו הנאשמים 1 ו-2 מכשירי טלפון סלולאריים ייעודיים לצורך מימוש הקשר. ביום  30/1/23 החליט הנאשם 1 כי מעשה הרצח יבוצע כלפי ב' ואז נקשר קשר נוסף בין כלל הנאשמים, במסגרתו יבוצע מעשה רצח כלפי אותו ב' תוך שימוש בנשק </w:t>
      </w:r>
      <w:r>
        <w:rPr>
          <w:rFonts w:ascii="Arial" w:hAnsi="Arial" w:hint="cs"/>
          <w:rtl/>
        </w:rPr>
        <w:lastRenderedPageBreak/>
        <w:t xml:space="preserve">חם. במסגרת הקשר, הנאשם 3 שכר דירה למספר ימים על מנת שתשמש דירת מסתור, והנאשמים 1 ו-2 ביצעו כמה נסיעות שמטרתן וידוא מקום מגוריו של ב'. </w:t>
      </w:r>
    </w:p>
    <w:p w14:paraId="63351E63" w14:textId="77777777" w:rsidR="008C23AD" w:rsidRDefault="008C23AD" w:rsidP="008C23AD">
      <w:pPr>
        <w:ind w:left="720" w:hanging="720"/>
        <w:jc w:val="both"/>
        <w:rPr>
          <w:rFonts w:ascii="Arial" w:hAnsi="Arial"/>
          <w:rtl/>
        </w:rPr>
      </w:pPr>
    </w:p>
    <w:p w14:paraId="07DBA385" w14:textId="77777777" w:rsidR="008C23AD" w:rsidRDefault="008C23AD" w:rsidP="008C23AD">
      <w:pPr>
        <w:ind w:left="720" w:hanging="720"/>
        <w:jc w:val="both"/>
        <w:rPr>
          <w:rFonts w:ascii="Arial" w:hAnsi="Arial"/>
          <w:rtl/>
        </w:rPr>
      </w:pPr>
    </w:p>
    <w:p w14:paraId="101CD9D8" w14:textId="77777777" w:rsidR="008C23AD" w:rsidRDefault="008C23AD" w:rsidP="008C23AD">
      <w:pPr>
        <w:ind w:left="720" w:hanging="720"/>
        <w:jc w:val="both"/>
        <w:rPr>
          <w:rFonts w:ascii="Arial" w:hAnsi="Arial"/>
          <w:rtl/>
        </w:rPr>
      </w:pPr>
    </w:p>
    <w:p w14:paraId="3DDDF39C"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ביום 31/5/22 הביא הנאשם 3 שני אקדחים עם תחמושת תואמת ומסרם לנאשמים 1 ו-2 אשר החזיקו בהם מוחבאים בחצר הסמוכה לדירת המסתור. באותו היום דאג נאשם אחר כי יובא למקום המסתור קטנוע. מספר שעות לאחר מכן נעצרו הנאשמים האחרים בדירת המסתור ובמקום נתפסו האקדחים, הטלפונים הייעודיים, שני שכפ"צים וכן הקטנוע שהובא.</w:t>
      </w:r>
    </w:p>
    <w:p w14:paraId="06D76DBC" w14:textId="77777777" w:rsidR="008C23AD" w:rsidRDefault="008C23AD" w:rsidP="008C23AD">
      <w:pPr>
        <w:ind w:left="720" w:hanging="720"/>
        <w:jc w:val="both"/>
        <w:rPr>
          <w:rFonts w:ascii="Arial" w:hAnsi="Arial"/>
          <w:rtl/>
        </w:rPr>
      </w:pPr>
    </w:p>
    <w:p w14:paraId="11997268" w14:textId="77777777" w:rsidR="008C23AD" w:rsidRDefault="008C23AD" w:rsidP="008C23AD">
      <w:pPr>
        <w:spacing w:line="360" w:lineRule="auto"/>
        <w:ind w:left="720" w:hanging="720"/>
        <w:jc w:val="both"/>
        <w:rPr>
          <w:rFonts w:ascii="Arial" w:hAnsi="Arial"/>
          <w:rtl/>
        </w:rPr>
      </w:pPr>
      <w:r>
        <w:rPr>
          <w:rFonts w:ascii="Arial" w:hAnsi="Arial" w:hint="cs"/>
          <w:rtl/>
        </w:rPr>
        <w:t>4.</w:t>
      </w:r>
      <w:r>
        <w:rPr>
          <w:rFonts w:ascii="Arial" w:hAnsi="Arial" w:hint="cs"/>
          <w:rtl/>
        </w:rPr>
        <w:tab/>
        <w:t xml:space="preserve">במסגרת משא ומתן בין הצדדים, תוקן כתב האישום, כך שלנאשמים 1 ו-2 יוחסו עבירות שעניינן קשר לפשע (רצח) וכן החזקת נשק, ואלו לנאשם 3 יוחסה עבירת הקשר באופן דומה וכן עבירה של נשיאה והובלת נשק. הנאשמים הודו במיוחס להם טרם שהחלה פרשת הראיות, כשהצדדים טענו באופן חופשי לעניין הענישה הראויה. </w:t>
      </w:r>
    </w:p>
    <w:p w14:paraId="46C6C098" w14:textId="77777777" w:rsidR="008C23AD" w:rsidRDefault="008C23AD" w:rsidP="008C23AD">
      <w:pPr>
        <w:ind w:left="720" w:hanging="720"/>
        <w:jc w:val="both"/>
        <w:rPr>
          <w:rFonts w:ascii="Arial" w:hAnsi="Arial"/>
          <w:rtl/>
        </w:rPr>
      </w:pPr>
    </w:p>
    <w:p w14:paraId="51D765A1" w14:textId="77777777" w:rsidR="008C23AD" w:rsidRDefault="008C23AD" w:rsidP="008C23AD">
      <w:pPr>
        <w:spacing w:line="360" w:lineRule="auto"/>
        <w:ind w:left="720" w:hanging="720"/>
        <w:jc w:val="both"/>
        <w:rPr>
          <w:rFonts w:ascii="Arial" w:hAnsi="Arial"/>
          <w:rtl/>
        </w:rPr>
      </w:pPr>
      <w:r>
        <w:rPr>
          <w:rFonts w:ascii="Arial" w:hAnsi="Arial" w:hint="cs"/>
          <w:rtl/>
        </w:rPr>
        <w:t>5.</w:t>
      </w:r>
      <w:r>
        <w:rPr>
          <w:rFonts w:ascii="Arial" w:hAnsi="Arial" w:hint="cs"/>
          <w:rtl/>
        </w:rPr>
        <w:tab/>
        <w:t xml:space="preserve">עניינם של הנאשמים 4-8 הסתיים זה מכבר. </w:t>
      </w:r>
    </w:p>
    <w:p w14:paraId="4F62A63B" w14:textId="77777777" w:rsidR="008C23AD" w:rsidRDefault="008C23AD" w:rsidP="008C23AD">
      <w:pPr>
        <w:ind w:left="720" w:hanging="720"/>
        <w:jc w:val="both"/>
        <w:rPr>
          <w:rFonts w:ascii="Arial" w:hAnsi="Arial"/>
          <w:rtl/>
        </w:rPr>
      </w:pPr>
    </w:p>
    <w:p w14:paraId="16900FFC" w14:textId="77777777" w:rsidR="008C23AD" w:rsidRDefault="008C23AD" w:rsidP="008C23AD">
      <w:pPr>
        <w:spacing w:line="360" w:lineRule="auto"/>
        <w:ind w:left="720" w:hanging="720"/>
        <w:jc w:val="both"/>
        <w:rPr>
          <w:rFonts w:ascii="Arial" w:hAnsi="Arial"/>
          <w:rtl/>
        </w:rPr>
      </w:pPr>
      <w:r>
        <w:rPr>
          <w:rFonts w:ascii="Arial" w:hAnsi="Arial" w:hint="cs"/>
          <w:rtl/>
        </w:rPr>
        <w:t>6.</w:t>
      </w:r>
      <w:r>
        <w:rPr>
          <w:rFonts w:ascii="Arial" w:hAnsi="Arial" w:hint="cs"/>
          <w:rtl/>
        </w:rPr>
        <w:tab/>
        <w:t xml:space="preserve">לנאשם 1 עבר פלילי בעבירות סמים, בעטיין ריצה עונשי מאסר ממשי. </w:t>
      </w:r>
    </w:p>
    <w:p w14:paraId="2FC1F543" w14:textId="77777777" w:rsidR="008C23AD" w:rsidRDefault="008C23AD" w:rsidP="008C23AD">
      <w:pPr>
        <w:ind w:left="720" w:hanging="720"/>
        <w:jc w:val="both"/>
        <w:rPr>
          <w:rFonts w:ascii="Arial" w:hAnsi="Arial"/>
          <w:rtl/>
        </w:rPr>
      </w:pPr>
    </w:p>
    <w:p w14:paraId="3EEAE674"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לנאשם 3 עבר פלילי בתחום עבירות הרכוש ואף הוא ריצה עונש מאסר ממשי בעברו. </w:t>
      </w:r>
    </w:p>
    <w:p w14:paraId="5497C52F" w14:textId="77777777" w:rsidR="008C23AD" w:rsidRDefault="008C23AD" w:rsidP="008C23AD">
      <w:pPr>
        <w:ind w:left="720" w:hanging="720"/>
        <w:jc w:val="both"/>
        <w:rPr>
          <w:rFonts w:ascii="Arial" w:hAnsi="Arial"/>
          <w:rtl/>
        </w:rPr>
      </w:pPr>
    </w:p>
    <w:p w14:paraId="5D747C21" w14:textId="77777777" w:rsidR="008C23AD" w:rsidRDefault="008C23AD" w:rsidP="008C23AD">
      <w:pPr>
        <w:spacing w:line="360" w:lineRule="auto"/>
        <w:ind w:left="720" w:hanging="720"/>
        <w:jc w:val="both"/>
        <w:rPr>
          <w:rFonts w:ascii="Arial" w:hAnsi="Arial"/>
          <w:rtl/>
        </w:rPr>
      </w:pPr>
      <w:r>
        <w:rPr>
          <w:rFonts w:ascii="Arial" w:hAnsi="Arial" w:hint="cs"/>
          <w:rtl/>
        </w:rPr>
        <w:t>7.</w:t>
      </w:r>
      <w:r>
        <w:rPr>
          <w:rFonts w:ascii="Arial" w:hAnsi="Arial" w:hint="cs"/>
          <w:rtl/>
        </w:rPr>
        <w:tab/>
        <w:t xml:space="preserve">בשלב הטיעון לעונש העיד ד"ר ראוכברגר , פסיכיאטר מטעמו של הנאשם 1, אשר חיווה דעתו כי סמוך לפני מועד ביצוע העבירות, איבחן אצל הנאשם 1 תסמונת פוסט טראומתית עם מרכיב פסיכוטי, ולפיכך ציין כי קיימת היתכנות שהנאשם 1 פעל שלא באופן רציונלי. חוות דעתו של העד נסמכה על טיפול שהעניק לנאשם 1 בחודש אפריל 2022, טרם מעצרו של הנאשם 1. מנגד, ד"ר ראוכברגר אישר בעדותו כי "אי אפשר לדעת איך הוא (הנאשם 1 - הוספה שלי) היה פועל הלאה" , וזאת בהתייחס לאפשרות מימוש התכנית נשוא תיק זה. </w:t>
      </w:r>
    </w:p>
    <w:p w14:paraId="58CAF8F2" w14:textId="77777777" w:rsidR="008C23AD" w:rsidRDefault="008C23AD" w:rsidP="008C23AD">
      <w:pPr>
        <w:ind w:left="720" w:hanging="720"/>
        <w:jc w:val="both"/>
        <w:rPr>
          <w:rFonts w:ascii="Arial" w:hAnsi="Arial"/>
          <w:rtl/>
        </w:rPr>
      </w:pPr>
    </w:p>
    <w:p w14:paraId="7DBD3886" w14:textId="77777777" w:rsidR="008C23AD" w:rsidRDefault="008C23AD" w:rsidP="008C23AD">
      <w:pPr>
        <w:spacing w:line="360" w:lineRule="auto"/>
        <w:ind w:left="720" w:hanging="720"/>
        <w:jc w:val="both"/>
        <w:rPr>
          <w:rFonts w:ascii="Arial" w:hAnsi="Arial"/>
          <w:rtl/>
        </w:rPr>
      </w:pPr>
      <w:r>
        <w:rPr>
          <w:rFonts w:ascii="Arial" w:hAnsi="Arial" w:hint="cs"/>
          <w:rtl/>
        </w:rPr>
        <w:t>8.</w:t>
      </w:r>
      <w:r>
        <w:rPr>
          <w:rFonts w:ascii="Arial" w:hAnsi="Arial" w:hint="cs"/>
          <w:rtl/>
        </w:rPr>
        <w:tab/>
        <w:t xml:space="preserve">בטיעוניו לעונש עמד ב"כ המאשימה על כי מעשי הנאשמים עולים כדי "פשיעה מאורגנת", כשנרקמת תכנית לביצוע רצח כנקמה על ידי כמה קושרים, ובעיקר יפים הדברים כלפי הנאשם 1 שהיה היזם של התכנית כולה. </w:t>
      </w:r>
    </w:p>
    <w:p w14:paraId="5F2E5A00" w14:textId="77777777" w:rsidR="008C23AD" w:rsidRDefault="008C23AD" w:rsidP="008C23AD">
      <w:pPr>
        <w:ind w:left="720" w:hanging="720"/>
        <w:jc w:val="both"/>
        <w:rPr>
          <w:rFonts w:ascii="Arial" w:hAnsi="Arial"/>
          <w:rtl/>
        </w:rPr>
      </w:pPr>
    </w:p>
    <w:p w14:paraId="103F8C71"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צויין כי מימוש מעשה הנקמה נמנע רק בשל פעולה מהירה של המשטרה. המאשימה ציינה כי חרף עדותו של ד"ר ראוכברגר, אין היא סבורה כי מעשי הנאשם 1 בוצעו בקירבה לסייג לאחריות פלילית.</w:t>
      </w:r>
    </w:p>
    <w:p w14:paraId="70FB87BD" w14:textId="77777777" w:rsidR="008C23AD" w:rsidRDefault="008C23AD" w:rsidP="008C23AD">
      <w:pPr>
        <w:ind w:left="720" w:hanging="720"/>
        <w:jc w:val="both"/>
        <w:rPr>
          <w:rFonts w:ascii="Arial" w:hAnsi="Arial"/>
          <w:rtl/>
        </w:rPr>
      </w:pPr>
    </w:p>
    <w:p w14:paraId="7C9362CE" w14:textId="77777777" w:rsidR="008C23AD" w:rsidRDefault="008C23AD" w:rsidP="008C23AD">
      <w:pPr>
        <w:spacing w:line="360" w:lineRule="auto"/>
        <w:ind w:left="720" w:hanging="720"/>
        <w:jc w:val="both"/>
        <w:rPr>
          <w:rFonts w:ascii="Arial" w:hAnsi="Arial"/>
          <w:rtl/>
        </w:rPr>
      </w:pPr>
      <w:r>
        <w:rPr>
          <w:rFonts w:ascii="Arial" w:hAnsi="Arial" w:hint="cs"/>
          <w:rtl/>
        </w:rPr>
        <w:t>9.</w:t>
      </w:r>
      <w:r>
        <w:rPr>
          <w:rFonts w:ascii="Arial" w:hAnsi="Arial" w:hint="cs"/>
          <w:rtl/>
        </w:rPr>
        <w:tab/>
        <w:t xml:space="preserve">ב"כ הנאשמים עמדו בטיעונם על כי המעשים כאן התמצו בדיבורים ממושכים שספק אם היו לובשים ממשות, וכי אין ליתן למחשבותיו של הנאשם 1 ולתכניתו, פירוש רציונאלי </w:t>
      </w:r>
      <w:r>
        <w:rPr>
          <w:rFonts w:ascii="Arial" w:hAnsi="Arial" w:hint="cs"/>
          <w:rtl/>
        </w:rPr>
        <w:lastRenderedPageBreak/>
        <w:t xml:space="preserve">כשבצידו סיכוי ממשי למימושה, וזאת נוכח מצבו הנפשי. הסנגורים הטעימו כי הקשר הראשון כלפי א' התמשך ימים רבים וחרף ידיעת המשטרה על הנעשה כעולה מחומר החקירה, לא נעשה דבר כדי לעצור את התכניות, ומכאן שאף המשטרה לא ראתה סיכון ממשי בהתהוות הקשר </w:t>
      </w:r>
      <w:r>
        <w:rPr>
          <w:rFonts w:ascii="Arial" w:hAnsi="Arial"/>
          <w:rtl/>
        </w:rPr>
        <w:t>–</w:t>
      </w:r>
      <w:r>
        <w:rPr>
          <w:rFonts w:ascii="Arial" w:hAnsi="Arial" w:hint="cs"/>
          <w:rtl/>
        </w:rPr>
        <w:t xml:space="preserve"> לא זה הראשון, עניין המשליך גם על רצינות הקשר השני. </w:t>
      </w:r>
    </w:p>
    <w:p w14:paraId="3D42707F" w14:textId="77777777" w:rsidR="008C23AD" w:rsidRDefault="008C23AD" w:rsidP="008C23AD">
      <w:pPr>
        <w:spacing w:line="360" w:lineRule="auto"/>
        <w:ind w:left="720" w:hanging="720"/>
        <w:jc w:val="both"/>
        <w:rPr>
          <w:rFonts w:ascii="Arial" w:hAnsi="Arial"/>
          <w:rtl/>
        </w:rPr>
      </w:pPr>
      <w:r>
        <w:rPr>
          <w:rFonts w:ascii="Arial" w:hAnsi="Arial" w:hint="cs"/>
          <w:rtl/>
        </w:rPr>
        <w:t>10.</w:t>
      </w:r>
      <w:r>
        <w:rPr>
          <w:rFonts w:ascii="Arial" w:hAnsi="Arial" w:hint="cs"/>
          <w:rtl/>
        </w:rPr>
        <w:tab/>
        <w:t>בדברם האחרון הביעו הנאשמים צער על המעשים וביקשו שלא למצות עמם את חומרת הדין. בנוסף, הנאשם 1 עמד על כי נולד לו ילד בהיותו במעצר וכי מצבו הנפשי מחייב טיפול. הנאשם 3 הביע צער על המעשה ועל הסבל שנגרם לאביו, שהוא נכה ומרותק לכיסא גלגלים.</w:t>
      </w:r>
    </w:p>
    <w:p w14:paraId="38E29520" w14:textId="77777777" w:rsidR="008C23AD" w:rsidRDefault="008C23AD" w:rsidP="008C23AD">
      <w:pPr>
        <w:spacing w:line="360" w:lineRule="auto"/>
        <w:ind w:left="720" w:hanging="720"/>
        <w:jc w:val="both"/>
        <w:rPr>
          <w:rFonts w:ascii="Arial" w:hAnsi="Arial"/>
          <w:rtl/>
        </w:rPr>
      </w:pPr>
    </w:p>
    <w:p w14:paraId="677FB00F" w14:textId="77777777" w:rsidR="008C23AD" w:rsidRPr="00172679" w:rsidRDefault="008C23AD" w:rsidP="008C23AD">
      <w:pPr>
        <w:spacing w:line="360" w:lineRule="auto"/>
        <w:ind w:left="720" w:hanging="720"/>
        <w:jc w:val="both"/>
        <w:rPr>
          <w:rFonts w:ascii="Arial" w:hAnsi="Arial"/>
          <w:b/>
          <w:bCs/>
          <w:u w:val="single"/>
          <w:rtl/>
        </w:rPr>
      </w:pPr>
      <w:r w:rsidRPr="00172679">
        <w:rPr>
          <w:rFonts w:ascii="Arial" w:hAnsi="Arial" w:hint="cs"/>
          <w:b/>
          <w:bCs/>
          <w:u w:val="single"/>
          <w:rtl/>
        </w:rPr>
        <w:t>דיון והכרעה:</w:t>
      </w:r>
    </w:p>
    <w:p w14:paraId="28921B93" w14:textId="77777777" w:rsidR="008C23AD" w:rsidRDefault="008C23AD" w:rsidP="008C23AD">
      <w:pPr>
        <w:spacing w:line="360" w:lineRule="auto"/>
        <w:ind w:left="720" w:hanging="720"/>
        <w:jc w:val="both"/>
        <w:rPr>
          <w:rFonts w:ascii="Arial" w:hAnsi="Arial"/>
          <w:rtl/>
        </w:rPr>
      </w:pPr>
      <w:r>
        <w:rPr>
          <w:rFonts w:ascii="Arial" w:hAnsi="Arial" w:hint="cs"/>
          <w:rtl/>
        </w:rPr>
        <w:t>11.</w:t>
      </w:r>
      <w:r>
        <w:rPr>
          <w:rFonts w:ascii="Arial" w:hAnsi="Arial" w:hint="cs"/>
          <w:rtl/>
        </w:rPr>
        <w:tab/>
        <w:t>בגזר הדין בעניין הנאשמים 4-8 עמדתי על מאפייני עבירת קשירת הקשר וציינתי כי על פי ההלכה הפסוקה, משקלה העונשי של עבירת הקשר ייקבע על פי הערך החברתי שעבירת פשע פלונית נועדה להגן עליו. כאן, ענייננו בקשר שמטרתו קטילת חיים ומכאן שהאינטרס החברתי המוגן הוא הזכות לחיים ולביטחון אישי.</w:t>
      </w:r>
    </w:p>
    <w:p w14:paraId="08388E01" w14:textId="77777777" w:rsidR="008C23AD" w:rsidRDefault="008C23AD" w:rsidP="008C23AD">
      <w:pPr>
        <w:spacing w:line="360" w:lineRule="auto"/>
        <w:ind w:left="720" w:hanging="720"/>
        <w:jc w:val="both"/>
        <w:rPr>
          <w:rFonts w:ascii="Arial" w:hAnsi="Arial"/>
          <w:rtl/>
        </w:rPr>
      </w:pPr>
    </w:p>
    <w:p w14:paraId="7CAC674B"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בענייננו, מידת הפגיעה באינטרס החברתי הינה ברף בינוני-גבוה. אכן, הקשר הראשון שנקשר כאן היה כללי במהותו, בלא שנקבעו אופני הפעולה ומימוש הקשר, וממילא לא נקבעה תכנית פעולה למימוש. בעניין הקשר השני, החלו להיאסף כלי ביצוע: קטנוע, כלי נשק וטלפונים ייעודיים. איסוף אלה, בטווח זמן קרוב של כיומיים, יכול להעיד על האצת המימוש, הגם שאף כאן טרם נקבעה תכנית פעולה קונקרטית.</w:t>
      </w:r>
    </w:p>
    <w:p w14:paraId="7D03AB84" w14:textId="77777777" w:rsidR="008C23AD" w:rsidRDefault="008C23AD" w:rsidP="008C23AD">
      <w:pPr>
        <w:spacing w:line="360" w:lineRule="auto"/>
        <w:ind w:left="720" w:hanging="720"/>
        <w:jc w:val="both"/>
        <w:rPr>
          <w:rFonts w:ascii="Arial" w:hAnsi="Arial"/>
          <w:rtl/>
        </w:rPr>
      </w:pPr>
    </w:p>
    <w:p w14:paraId="10D7F026" w14:textId="77777777" w:rsidR="008C23AD" w:rsidRDefault="008C23AD" w:rsidP="008C23AD">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אין לקבל את טענת הנאשם 1 כי פעל במצב דברים הקרוב לסייג של אי שפיות. גם אם הנאשם 1 פעל תחת מצב של פוסט טראומה עם מרכיב פסיכוטי, הוא עדיין פעל באופן מאורגן וקוהרנטי. ד"ר ראוכברגר לא הצביע על כי הנאשם 1 פעל מבלי יכולת להבין את הפסול שבמעשיו או להימנע מביצועם, ואף הרופא לא יכול היה לקבוע כי תכנוני הנאשם 1 לא יתממשו על פי רצונו של הנאשם 1. אם בענין הקשר הראשוני, דומה כי התכנון היה מעורפל והתמקד באיסוף מידע בעניין הקשר השני, חלה תפנית באיסוף פריטים יעיל וממוקד למימוש התכנית העבריינית. </w:t>
      </w:r>
    </w:p>
    <w:p w14:paraId="4724ABC2" w14:textId="77777777" w:rsidR="008C23AD" w:rsidRDefault="008C23AD" w:rsidP="008C23AD">
      <w:pPr>
        <w:spacing w:line="360" w:lineRule="auto"/>
        <w:ind w:left="720" w:hanging="720"/>
        <w:jc w:val="both"/>
        <w:rPr>
          <w:rFonts w:ascii="Arial" w:hAnsi="Arial"/>
          <w:rtl/>
        </w:rPr>
      </w:pPr>
    </w:p>
    <w:p w14:paraId="64DE1607" w14:textId="77777777" w:rsidR="008C23AD" w:rsidRDefault="008C23AD" w:rsidP="008C23AD">
      <w:pPr>
        <w:spacing w:line="360" w:lineRule="auto"/>
        <w:ind w:left="720" w:hanging="720"/>
        <w:jc w:val="both"/>
        <w:rPr>
          <w:rFonts w:ascii="Arial" w:hAnsi="Arial"/>
          <w:rtl/>
        </w:rPr>
      </w:pPr>
      <w:r>
        <w:rPr>
          <w:rFonts w:ascii="Arial" w:hAnsi="Arial" w:hint="cs"/>
          <w:rtl/>
        </w:rPr>
        <w:t>13.</w:t>
      </w:r>
      <w:r>
        <w:rPr>
          <w:rFonts w:ascii="Arial" w:hAnsi="Arial" w:hint="cs"/>
          <w:rtl/>
        </w:rPr>
        <w:tab/>
        <w:t>בנסיבות שפורטו, ובעת שנתתי דעתי לענישה הנוהגת גם בהתייחס לעבירות קשירת הקשר, כאמור בפסק הדין בעניין הנאשמים האחרים, וכן לעניין עבירות בנשק, אני קובע מתחמי ענישה כדלקמן:</w:t>
      </w:r>
      <w:r>
        <w:rPr>
          <w:rFonts w:ascii="Arial" w:hAnsi="Arial" w:hint="cs"/>
        </w:rPr>
        <w:t xml:space="preserve"> </w:t>
      </w:r>
    </w:p>
    <w:p w14:paraId="3700019B" w14:textId="77777777" w:rsidR="008C23AD" w:rsidRDefault="008C23AD" w:rsidP="008C23AD">
      <w:pPr>
        <w:spacing w:line="360" w:lineRule="auto"/>
        <w:ind w:left="720" w:hanging="720"/>
        <w:jc w:val="both"/>
        <w:rPr>
          <w:rFonts w:ascii="Arial" w:hAnsi="Arial"/>
          <w:rtl/>
        </w:rPr>
      </w:pPr>
    </w:p>
    <w:p w14:paraId="164A62D7"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בעניינם של נאשמים 1-2, מתחם ענישה הנע בין עשרים וחמישה ועד ארבעים וחמישה חודשי מאסר ממשי לצד עונשי מאסר על תנאי וקנס.</w:t>
      </w:r>
    </w:p>
    <w:p w14:paraId="3EBE892E" w14:textId="77777777" w:rsidR="008C23AD" w:rsidRDefault="008C23AD" w:rsidP="008C23AD">
      <w:pPr>
        <w:spacing w:line="360" w:lineRule="auto"/>
        <w:ind w:left="720" w:hanging="720"/>
        <w:jc w:val="both"/>
        <w:rPr>
          <w:rFonts w:ascii="Arial" w:hAnsi="Arial"/>
          <w:rtl/>
        </w:rPr>
      </w:pPr>
    </w:p>
    <w:p w14:paraId="2EA17098"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בעניינו של הנאשם 3 </w:t>
      </w:r>
      <w:r>
        <w:rPr>
          <w:rFonts w:ascii="Arial" w:hAnsi="Arial"/>
          <w:rtl/>
        </w:rPr>
        <w:t>–</w:t>
      </w:r>
      <w:r>
        <w:rPr>
          <w:rFonts w:ascii="Arial" w:hAnsi="Arial" w:hint="cs"/>
          <w:rtl/>
        </w:rPr>
        <w:t xml:space="preserve"> מתחם ענישה הנע בין עשרים ותשעה חודשי מאסר ממשי לצד עונש מאסר מותנה, ואפשר שאף קנס בנסיבות המתאימות, ועד ארבעים ושמונה חודשי מאסר ממשי לצד מאסר על תנאי ואפשר שאף קנס.</w:t>
      </w:r>
    </w:p>
    <w:p w14:paraId="02694A9E" w14:textId="77777777" w:rsidR="008C23AD" w:rsidRDefault="008C23AD" w:rsidP="008C23AD">
      <w:pPr>
        <w:spacing w:line="360" w:lineRule="auto"/>
        <w:ind w:left="720" w:hanging="720"/>
        <w:jc w:val="both"/>
        <w:rPr>
          <w:rFonts w:ascii="Arial" w:hAnsi="Arial"/>
          <w:rtl/>
        </w:rPr>
      </w:pPr>
    </w:p>
    <w:p w14:paraId="1C60493F" w14:textId="77777777" w:rsidR="008C23AD" w:rsidRDefault="008C23AD" w:rsidP="008C23AD">
      <w:pPr>
        <w:spacing w:line="360" w:lineRule="auto"/>
        <w:ind w:left="720" w:hanging="720"/>
        <w:jc w:val="both"/>
        <w:rPr>
          <w:rFonts w:ascii="Arial" w:hAnsi="Arial"/>
          <w:rtl/>
        </w:rPr>
      </w:pPr>
      <w:r>
        <w:rPr>
          <w:rFonts w:ascii="Arial" w:hAnsi="Arial" w:hint="cs"/>
          <w:rtl/>
        </w:rPr>
        <w:t>14.</w:t>
      </w:r>
      <w:r>
        <w:rPr>
          <w:rFonts w:ascii="Arial" w:hAnsi="Arial" w:hint="cs"/>
          <w:rtl/>
        </w:rPr>
        <w:tab/>
        <w:t>לא הובאו בפניי נימוקים שיצדיקו סטייה, לקולא או לחומרא, ממתחמי העונש שנקבעו.</w:t>
      </w:r>
    </w:p>
    <w:p w14:paraId="34E6B20F" w14:textId="77777777" w:rsidR="008C23AD" w:rsidRDefault="008C23AD" w:rsidP="008C23AD">
      <w:pPr>
        <w:spacing w:line="360" w:lineRule="auto"/>
        <w:ind w:left="720" w:hanging="720"/>
        <w:jc w:val="both"/>
        <w:rPr>
          <w:rFonts w:ascii="Arial" w:hAnsi="Arial"/>
          <w:rtl/>
        </w:rPr>
      </w:pPr>
    </w:p>
    <w:p w14:paraId="1149AE76" w14:textId="77777777" w:rsidR="008C23AD" w:rsidRDefault="008C23AD" w:rsidP="008C23AD">
      <w:pPr>
        <w:spacing w:line="360" w:lineRule="auto"/>
        <w:ind w:left="720" w:hanging="720"/>
        <w:jc w:val="both"/>
        <w:rPr>
          <w:rFonts w:ascii="Arial" w:hAnsi="Arial"/>
          <w:rtl/>
        </w:rPr>
      </w:pPr>
      <w:r>
        <w:rPr>
          <w:rFonts w:ascii="Arial" w:hAnsi="Arial" w:hint="cs"/>
          <w:rtl/>
        </w:rPr>
        <w:t>15.</w:t>
      </w:r>
      <w:r>
        <w:rPr>
          <w:rFonts w:ascii="Arial" w:hAnsi="Arial" w:hint="cs"/>
          <w:rtl/>
        </w:rPr>
        <w:tab/>
        <w:t>בגזירת העונש בתוככי המתחמים:</w:t>
      </w:r>
    </w:p>
    <w:p w14:paraId="52B6A382" w14:textId="77777777" w:rsidR="008C23AD" w:rsidRDefault="008C23AD" w:rsidP="008C23AD">
      <w:pPr>
        <w:spacing w:line="360" w:lineRule="auto"/>
        <w:ind w:left="720" w:hanging="720"/>
        <w:jc w:val="both"/>
        <w:rPr>
          <w:rFonts w:ascii="Arial" w:hAnsi="Arial"/>
          <w:rtl/>
        </w:rPr>
      </w:pPr>
    </w:p>
    <w:p w14:paraId="43AB865F"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על הנאשם 1, שי קובס, שהיה מחולל הקשר ומקדמו, בשים לב לשיקולי הרתעה הייחודיים לו, גם נוכח עברו הפלילי, אני גוזר ענישה שאינה בתחתית המתחם, אם כי תוך התחשבות במצבו הבריאותי הכולל, בהודאתו ובהבעת החרטה. אפשר כי מצבו המשפחתי כעת יביא את הנאשם, כעת, לעלות על דרך הישר.</w:t>
      </w:r>
    </w:p>
    <w:p w14:paraId="264EC3AE" w14:textId="77777777" w:rsidR="008C23AD" w:rsidRDefault="008C23AD" w:rsidP="008C23AD">
      <w:pPr>
        <w:spacing w:line="360" w:lineRule="auto"/>
        <w:ind w:left="720" w:hanging="720"/>
        <w:jc w:val="both"/>
        <w:rPr>
          <w:rFonts w:ascii="Arial" w:hAnsi="Arial"/>
          <w:rtl/>
        </w:rPr>
      </w:pPr>
    </w:p>
    <w:p w14:paraId="36B5A388" w14:textId="77777777" w:rsidR="008C23AD" w:rsidRDefault="008C23AD" w:rsidP="008C23AD">
      <w:pPr>
        <w:spacing w:line="360" w:lineRule="auto"/>
        <w:ind w:left="720" w:hanging="720"/>
        <w:jc w:val="both"/>
        <w:rPr>
          <w:rFonts w:ascii="Arial" w:hAnsi="Arial"/>
          <w:rtl/>
        </w:rPr>
      </w:pPr>
      <w:r>
        <w:rPr>
          <w:rFonts w:ascii="Arial" w:hAnsi="Arial"/>
          <w:rtl/>
        </w:rPr>
        <w:tab/>
      </w:r>
      <w:r w:rsidRPr="009A3D0E">
        <w:rPr>
          <w:rFonts w:ascii="Arial" w:hAnsi="Arial" w:hint="cs"/>
          <w:b/>
          <w:bCs/>
          <w:u w:val="single"/>
          <w:rtl/>
        </w:rPr>
        <w:t>על הנאשם 1, שי קובס,</w:t>
      </w:r>
      <w:r>
        <w:rPr>
          <w:rFonts w:ascii="Arial" w:hAnsi="Arial" w:hint="cs"/>
          <w:rtl/>
        </w:rPr>
        <w:t xml:space="preserve"> נגזרים (32) שלושים ושניים חודשי מאסר אשר יהוו עונש מאסר ממשי לריצוי בפועל ומניינם מיום מעצרו בתיק זה </w:t>
      </w:r>
      <w:r>
        <w:rPr>
          <w:rFonts w:ascii="Arial" w:hAnsi="Arial"/>
          <w:rtl/>
        </w:rPr>
        <w:t>–</w:t>
      </w:r>
      <w:r>
        <w:rPr>
          <w:rFonts w:ascii="Arial" w:hAnsi="Arial" w:hint="cs"/>
          <w:rtl/>
        </w:rPr>
        <w:t xml:space="preserve"> 1/6/22.</w:t>
      </w:r>
    </w:p>
    <w:p w14:paraId="714F7085" w14:textId="77777777" w:rsidR="008C23AD" w:rsidRDefault="008C23AD" w:rsidP="008C23AD">
      <w:pPr>
        <w:spacing w:line="360" w:lineRule="auto"/>
        <w:ind w:left="720" w:hanging="720"/>
        <w:jc w:val="both"/>
        <w:rPr>
          <w:rFonts w:ascii="Arial" w:hAnsi="Arial"/>
          <w:rtl/>
        </w:rPr>
      </w:pPr>
    </w:p>
    <w:p w14:paraId="0F9C8F89"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לצד עונש זה ובנוסף אני גוזר לנאשם 1 שניים עשר (12) חודשי מאסר אותם לא יירצה אלא אם בתוך 3 שנים מיום שחרורו מהמאסר ישוב ויעבור כל עבירה בנשק או קשירת קשר לביצוע פשע.</w:t>
      </w:r>
    </w:p>
    <w:p w14:paraId="043B3FEF" w14:textId="77777777" w:rsidR="008C23AD" w:rsidRDefault="008C23AD" w:rsidP="008C23AD">
      <w:pPr>
        <w:spacing w:line="360" w:lineRule="auto"/>
        <w:ind w:left="720" w:hanging="720"/>
        <w:jc w:val="both"/>
        <w:rPr>
          <w:rFonts w:ascii="Arial" w:hAnsi="Arial"/>
          <w:rtl/>
        </w:rPr>
      </w:pPr>
    </w:p>
    <w:p w14:paraId="70105A09"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אני קונס את הנאשם 1 בסך של (15,000 ₪) חמישה עשר אלף ₪ שישולמו עד יום 1/12/23 או 3 חודשי מאסר נוספים תמורת הקנס. </w:t>
      </w:r>
    </w:p>
    <w:p w14:paraId="3E5AFD89"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הטלת רכיב קנס מתחייב כאן כאלמנט מרתיע נוסף, למען יידע הנאשם המסתבך בעבירות מעין אלה כי לא רק שחירותו תפגע, אלא אף שיוטלו עליו סנקציות שיפגעו בכיסו ויהפכו את ביצוע העבירה לעניין שאינו כדאי מיסודו. </w:t>
      </w:r>
    </w:p>
    <w:p w14:paraId="43BD4AC2" w14:textId="77777777" w:rsidR="008C23AD" w:rsidRDefault="008C23AD" w:rsidP="008C23AD">
      <w:pPr>
        <w:spacing w:line="360" w:lineRule="auto"/>
        <w:ind w:left="720" w:hanging="720"/>
        <w:jc w:val="both"/>
        <w:rPr>
          <w:rFonts w:ascii="Arial" w:hAnsi="Arial"/>
          <w:rtl/>
        </w:rPr>
      </w:pPr>
    </w:p>
    <w:p w14:paraId="4FE9D416" w14:textId="77777777" w:rsidR="008C23AD" w:rsidRDefault="008C23AD" w:rsidP="008C23AD">
      <w:pPr>
        <w:spacing w:line="360" w:lineRule="auto"/>
        <w:ind w:left="720" w:hanging="720"/>
        <w:jc w:val="both"/>
        <w:rPr>
          <w:rFonts w:ascii="Arial" w:hAnsi="Arial"/>
          <w:rtl/>
        </w:rPr>
      </w:pPr>
      <w:r>
        <w:rPr>
          <w:rFonts w:ascii="Arial" w:hAnsi="Arial"/>
          <w:rtl/>
        </w:rPr>
        <w:tab/>
      </w:r>
      <w:r w:rsidRPr="009A3D0E">
        <w:rPr>
          <w:rFonts w:ascii="Arial" w:hAnsi="Arial" w:hint="cs"/>
          <w:b/>
          <w:bCs/>
          <w:u w:val="single"/>
          <w:rtl/>
        </w:rPr>
        <w:t>על הנאשם 2, אחמד עתאבא,</w:t>
      </w:r>
      <w:r>
        <w:rPr>
          <w:rFonts w:ascii="Arial" w:hAnsi="Arial" w:hint="cs"/>
          <w:rtl/>
        </w:rPr>
        <w:t xml:space="preserve"> נוכח עברו הפלילי הנקי והודאתו שייתרה משפט ממושך, נגזרת ענישה בתחתית המתחם כלהלן:</w:t>
      </w:r>
    </w:p>
    <w:p w14:paraId="587A2123" w14:textId="77777777" w:rsidR="008C23AD" w:rsidRDefault="008C23AD" w:rsidP="008C23AD">
      <w:pPr>
        <w:spacing w:line="360" w:lineRule="auto"/>
        <w:ind w:left="720" w:hanging="720"/>
        <w:jc w:val="both"/>
        <w:rPr>
          <w:rFonts w:ascii="Arial" w:hAnsi="Arial"/>
          <w:rtl/>
        </w:rPr>
      </w:pPr>
    </w:p>
    <w:p w14:paraId="6056310D"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עשרים וחמישה (25) חודשי מאסר ממשי לריצוי בפועל שמניינם מיום מעצרו בתיק זה </w:t>
      </w:r>
      <w:r>
        <w:rPr>
          <w:rFonts w:ascii="Arial" w:hAnsi="Arial"/>
          <w:rtl/>
        </w:rPr>
        <w:t>–</w:t>
      </w:r>
      <w:r>
        <w:rPr>
          <w:rFonts w:ascii="Arial" w:hAnsi="Arial" w:hint="cs"/>
          <w:rtl/>
        </w:rPr>
        <w:t xml:space="preserve"> 1/6/22. </w:t>
      </w:r>
    </w:p>
    <w:p w14:paraId="65A4AACB" w14:textId="77777777" w:rsidR="008C23AD" w:rsidRDefault="008C23AD" w:rsidP="008C23AD">
      <w:pPr>
        <w:spacing w:line="360" w:lineRule="auto"/>
        <w:ind w:left="720" w:hanging="720"/>
        <w:jc w:val="both"/>
        <w:rPr>
          <w:rFonts w:ascii="Arial" w:hAnsi="Arial"/>
          <w:rtl/>
        </w:rPr>
      </w:pPr>
    </w:p>
    <w:p w14:paraId="79391D3C"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לצד עונש זה ובנוסף, נגזרים לנאשם 2 עשרה (10) חודשי מאסר אותם לא יירצה אלא אם בתוך 3 שנים מיום שחרורו ממאסרו, ישוב ויעבור כל עבירה בנשק או עבירה שעניינה קשירת קשר לפשע.</w:t>
      </w:r>
    </w:p>
    <w:p w14:paraId="1F2391CB"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אני קונס את הנאשם 2 בסך של עשרת אלפים ₪ (10,000 ₪) שישולמו עד ליום 1/12/23 או חודשיים (2) מאסר נוספים תמרת הקנס. אף כאן רכיב הקנס בא לשרת מטרה הרתעתית דומה, כאמור בעניינו של הנאשם 1.</w:t>
      </w:r>
    </w:p>
    <w:p w14:paraId="329CCA20" w14:textId="77777777" w:rsidR="008C23AD" w:rsidRDefault="008C23AD" w:rsidP="008C23AD">
      <w:pPr>
        <w:spacing w:line="360" w:lineRule="auto"/>
        <w:ind w:left="720" w:hanging="720"/>
        <w:jc w:val="both"/>
        <w:rPr>
          <w:rFonts w:ascii="Arial" w:hAnsi="Arial"/>
          <w:rtl/>
        </w:rPr>
      </w:pPr>
    </w:p>
    <w:p w14:paraId="4402FC00" w14:textId="77777777" w:rsidR="008C23AD" w:rsidRDefault="008C23AD" w:rsidP="008C23AD">
      <w:pPr>
        <w:spacing w:line="360" w:lineRule="auto"/>
        <w:ind w:left="720" w:hanging="720"/>
        <w:jc w:val="both"/>
        <w:rPr>
          <w:rFonts w:ascii="Arial" w:hAnsi="Arial"/>
          <w:rtl/>
        </w:rPr>
      </w:pPr>
      <w:r>
        <w:rPr>
          <w:rFonts w:ascii="Arial" w:hAnsi="Arial"/>
          <w:rtl/>
        </w:rPr>
        <w:tab/>
      </w:r>
      <w:r w:rsidRPr="009A3D0E">
        <w:rPr>
          <w:rFonts w:ascii="Arial" w:hAnsi="Arial" w:hint="cs"/>
          <w:b/>
          <w:bCs/>
          <w:u w:val="single"/>
          <w:rtl/>
        </w:rPr>
        <w:t>בעניינו של הנאשם 3</w:t>
      </w:r>
      <w:r>
        <w:rPr>
          <w:rFonts w:ascii="Arial" w:hAnsi="Arial" w:hint="cs"/>
          <w:b/>
          <w:bCs/>
          <w:u w:val="single"/>
          <w:rtl/>
        </w:rPr>
        <w:t xml:space="preserve">, אשר בוסקילה, </w:t>
      </w:r>
      <w:r>
        <w:rPr>
          <w:rFonts w:ascii="Arial" w:hAnsi="Arial" w:hint="cs"/>
          <w:rtl/>
        </w:rPr>
        <w:t>נתתי דעתי למצבו הקשה של אבי הנאשם, כעולה מעדותו בפניי, וכן לארוע התקיפה הקשה שעבר נאשם זה בהיותו במעצר במתחם בית המשפט. שקלתי את הודאתו של הנאשם בהזדמנות הראשונה בתיק מורכב ביותר, ואת העובדה כי אין לחובתו עבר פללי בעבירות נשק. בנסיבות העניין ראיתי לגזור את עונשו על הצד המקל של המתחם.</w:t>
      </w:r>
    </w:p>
    <w:p w14:paraId="418A65B0" w14:textId="77777777" w:rsidR="008C23AD" w:rsidRDefault="008C23AD" w:rsidP="008C23AD">
      <w:pPr>
        <w:spacing w:line="360" w:lineRule="auto"/>
        <w:ind w:left="720" w:hanging="720"/>
        <w:jc w:val="both"/>
        <w:rPr>
          <w:rFonts w:ascii="Arial" w:hAnsi="Arial"/>
          <w:rtl/>
        </w:rPr>
      </w:pPr>
    </w:p>
    <w:p w14:paraId="756BFB08"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על הנאשם 3 נגזרים העונשים הבאים: </w:t>
      </w:r>
    </w:p>
    <w:p w14:paraId="4A8A69E7" w14:textId="77777777" w:rsidR="008C23AD" w:rsidRDefault="008C23AD" w:rsidP="008C23AD">
      <w:pPr>
        <w:spacing w:line="360" w:lineRule="auto"/>
        <w:ind w:left="720" w:hanging="720"/>
        <w:jc w:val="both"/>
        <w:rPr>
          <w:rFonts w:ascii="Arial" w:hAnsi="Arial"/>
          <w:rtl/>
        </w:rPr>
      </w:pPr>
    </w:p>
    <w:p w14:paraId="3B0D9078"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 xml:space="preserve">(29) עשרים ותשעה חודשי מאסר אשר יהוו עונש מאסר ממשי לריצוי בפועל, ומניינם מיום מעצרו בתיק זה </w:t>
      </w:r>
      <w:r>
        <w:rPr>
          <w:rFonts w:ascii="Arial" w:hAnsi="Arial"/>
          <w:rtl/>
        </w:rPr>
        <w:t>–</w:t>
      </w:r>
      <w:r>
        <w:rPr>
          <w:rFonts w:ascii="Arial" w:hAnsi="Arial" w:hint="cs"/>
          <w:rtl/>
        </w:rPr>
        <w:t xml:space="preserve"> 1/6/22.</w:t>
      </w:r>
    </w:p>
    <w:p w14:paraId="126C255C" w14:textId="77777777" w:rsidR="008C23AD" w:rsidRDefault="008C23AD" w:rsidP="008C23AD">
      <w:pPr>
        <w:spacing w:line="360" w:lineRule="auto"/>
        <w:ind w:left="720" w:hanging="720"/>
        <w:jc w:val="both"/>
        <w:rPr>
          <w:rFonts w:ascii="Arial" w:hAnsi="Arial"/>
          <w:rtl/>
        </w:rPr>
      </w:pPr>
    </w:p>
    <w:p w14:paraId="59E20520"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לצד עונש זה ובנוסף, אני גוזר לנאשם זה עשרה (10) חודשי מאסר אותם לא יירצה אלא אם בתוך 3 שנים מיום שחרורו ממאסרו, ישוב ויעבור כל עבירה בנשק או קשירת קשר לפשע.</w:t>
      </w:r>
    </w:p>
    <w:p w14:paraId="4EEB7A23" w14:textId="77777777" w:rsidR="008C23AD" w:rsidRDefault="008C23AD" w:rsidP="008C23AD">
      <w:pPr>
        <w:spacing w:line="360" w:lineRule="auto"/>
        <w:ind w:left="720" w:hanging="720"/>
        <w:jc w:val="both"/>
        <w:rPr>
          <w:rFonts w:ascii="Arial" w:hAnsi="Arial"/>
          <w:rtl/>
        </w:rPr>
      </w:pPr>
    </w:p>
    <w:p w14:paraId="3AB95E91" w14:textId="77777777" w:rsidR="008C23AD" w:rsidRDefault="008C23AD" w:rsidP="008C23AD">
      <w:pPr>
        <w:spacing w:line="360" w:lineRule="auto"/>
        <w:ind w:left="720" w:hanging="720"/>
        <w:jc w:val="both"/>
        <w:rPr>
          <w:rFonts w:ascii="Arial" w:hAnsi="Arial"/>
          <w:rtl/>
        </w:rPr>
      </w:pPr>
      <w:r>
        <w:rPr>
          <w:rFonts w:ascii="Arial" w:hAnsi="Arial"/>
          <w:rtl/>
        </w:rPr>
        <w:tab/>
      </w:r>
      <w:r>
        <w:rPr>
          <w:rFonts w:ascii="Arial" w:hAnsi="Arial" w:hint="cs"/>
          <w:rtl/>
        </w:rPr>
        <w:t>אני קונס את הנאשם 3 בסך של עשרת אלפים ש"ח (10,000 ₪), שישולמו עד ליום 1/12/23 או חודשיים (2) מאסר נוספים תמורת הקנס.</w:t>
      </w:r>
    </w:p>
    <w:p w14:paraId="746DAFF2" w14:textId="77777777" w:rsidR="008C23AD" w:rsidRPr="000F2247" w:rsidRDefault="008C23AD" w:rsidP="008C23AD">
      <w:pPr>
        <w:rPr>
          <w:rFonts w:ascii="Arial" w:hAnsi="Arial"/>
          <w:b/>
          <w:bCs/>
          <w:sz w:val="26"/>
          <w:szCs w:val="26"/>
          <w:rtl/>
        </w:rPr>
      </w:pPr>
    </w:p>
    <w:p w14:paraId="2F03DDDC" w14:textId="77777777" w:rsidR="008C23AD" w:rsidRPr="000F2247" w:rsidRDefault="008C23AD" w:rsidP="008C23AD">
      <w:pPr>
        <w:rPr>
          <w:rFonts w:ascii="Arial" w:hAnsi="Arial"/>
          <w:b/>
          <w:bCs/>
          <w:sz w:val="26"/>
          <w:szCs w:val="26"/>
          <w:rtl/>
        </w:rPr>
      </w:pPr>
    </w:p>
    <w:p w14:paraId="42632002" w14:textId="77777777" w:rsidR="008C23AD" w:rsidRPr="00632566" w:rsidRDefault="005B661F" w:rsidP="008C23AD">
      <w:pPr>
        <w:spacing w:line="360" w:lineRule="auto"/>
        <w:jc w:val="both"/>
        <w:rPr>
          <w:rFonts w:ascii="Arial" w:hAnsi="Arial"/>
          <w:b/>
          <w:bCs/>
          <w:rtl/>
        </w:rPr>
      </w:pPr>
      <w:bookmarkStart w:id="5" w:name="Nitan"/>
      <w:r w:rsidRPr="005B661F">
        <w:rPr>
          <w:rFonts w:ascii="Arial" w:hAnsi="Arial"/>
          <w:b/>
          <w:bCs/>
          <w:color w:val="FFFFFF"/>
          <w:sz w:val="2"/>
          <w:szCs w:val="2"/>
          <w:rtl/>
        </w:rPr>
        <w:t>5129371</w:t>
      </w:r>
      <w:r>
        <w:rPr>
          <w:rFonts w:ascii="Arial" w:hAnsi="Arial"/>
          <w:b/>
          <w:bCs/>
          <w:rtl/>
        </w:rPr>
        <w:t xml:space="preserve">ניתן היום,  ד' סיוון תשפ"ג, 24 מאי 2023, בנוכחות  ב"כ המאשימה: עו"ד גב' מיכל אפלבוים; </w:t>
      </w:r>
      <w:bookmarkEnd w:id="5"/>
      <w:r w:rsidR="008C23AD" w:rsidRPr="00632566">
        <w:rPr>
          <w:rFonts w:ascii="Arial" w:hAnsi="Arial" w:hint="cs"/>
          <w:b/>
          <w:bCs/>
          <w:rtl/>
        </w:rPr>
        <w:t xml:space="preserve">ב"כ הנאשם 1: עו"ד יואל ויטריאול;  ב"כ הנאשמים 2 ו-3: עו"ד גב' רויטל סבג-שקד, והנאשמים 1-3 באמצעות הליווי. </w:t>
      </w:r>
    </w:p>
    <w:p w14:paraId="6FCFB375" w14:textId="77777777" w:rsidR="008C23AD" w:rsidRPr="005B661F" w:rsidRDefault="005B661F" w:rsidP="008C23AD">
      <w:pPr>
        <w:spacing w:line="360" w:lineRule="auto"/>
        <w:jc w:val="both"/>
        <w:rPr>
          <w:rFonts w:ascii="Arial" w:hAnsi="Arial"/>
          <w:b/>
          <w:bCs/>
          <w:color w:val="FFFFFF"/>
          <w:sz w:val="2"/>
          <w:szCs w:val="2"/>
          <w:rtl/>
        </w:rPr>
      </w:pPr>
      <w:r w:rsidRPr="005B661F">
        <w:rPr>
          <w:rFonts w:ascii="Arial" w:hAnsi="Arial"/>
          <w:b/>
          <w:bCs/>
          <w:color w:val="FFFFFF"/>
          <w:sz w:val="2"/>
          <w:szCs w:val="2"/>
          <w:rtl/>
        </w:rPr>
        <w:t>54678313</w:t>
      </w:r>
    </w:p>
    <w:p w14:paraId="0E247B54" w14:textId="77777777" w:rsidR="008C23AD" w:rsidRPr="00632566" w:rsidRDefault="008C23AD" w:rsidP="008C23AD">
      <w:pPr>
        <w:spacing w:line="360" w:lineRule="auto"/>
        <w:jc w:val="both"/>
        <w:rPr>
          <w:rFonts w:ascii="Arial" w:hAnsi="Arial"/>
          <w:b/>
          <w:bCs/>
          <w:rtl/>
        </w:rPr>
      </w:pPr>
      <w:r w:rsidRPr="00632566">
        <w:rPr>
          <w:rFonts w:ascii="Arial" w:hAnsi="Arial" w:hint="cs"/>
          <w:b/>
          <w:bCs/>
          <w:rtl/>
        </w:rPr>
        <w:t>זכות ערעור הודעה, כחוק.</w:t>
      </w:r>
    </w:p>
    <w:p w14:paraId="289C07AE" w14:textId="77777777" w:rsidR="008C23AD" w:rsidRPr="000F2247" w:rsidRDefault="008C23AD" w:rsidP="008C23AD">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04DF609A" w14:textId="77777777" w:rsidR="008C23AD" w:rsidRPr="000F2247" w:rsidRDefault="008C23AD" w:rsidP="005B661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89A4E1" w14:textId="77777777" w:rsidR="008C23AD" w:rsidRPr="003F46EB" w:rsidRDefault="003F46EB" w:rsidP="008C23AD">
      <w:pPr>
        <w:jc w:val="center"/>
        <w:rPr>
          <w:rFonts w:ascii="Arial" w:hAnsi="Arial"/>
          <w:b/>
          <w:bCs/>
          <w:color w:val="FFFFFF"/>
          <w:sz w:val="2"/>
          <w:szCs w:val="2"/>
          <w:rtl/>
        </w:rPr>
      </w:pPr>
      <w:r w:rsidRPr="003F46EB">
        <w:rPr>
          <w:rFonts w:ascii="Arial" w:hAnsi="Arial"/>
          <w:b/>
          <w:bCs/>
          <w:color w:val="FFFFFF"/>
          <w:sz w:val="2"/>
          <w:szCs w:val="2"/>
          <w:rtl/>
        </w:rPr>
        <w:t>5129371</w:t>
      </w:r>
    </w:p>
    <w:p w14:paraId="2386F04E" w14:textId="77777777" w:rsidR="00196AEA" w:rsidRPr="003F46EB" w:rsidRDefault="003F46EB" w:rsidP="005B661F">
      <w:pPr>
        <w:keepNext/>
        <w:rPr>
          <w:rFonts w:ascii="David" w:hAnsi="David"/>
          <w:color w:val="FFFFFF"/>
          <w:sz w:val="2"/>
          <w:szCs w:val="2"/>
          <w:rtl/>
        </w:rPr>
      </w:pPr>
      <w:r w:rsidRPr="003F46EB">
        <w:rPr>
          <w:rFonts w:ascii="David" w:hAnsi="David"/>
          <w:color w:val="FFFFFF"/>
          <w:sz w:val="2"/>
          <w:szCs w:val="2"/>
          <w:rtl/>
        </w:rPr>
        <w:t>54678313</w:t>
      </w:r>
    </w:p>
    <w:p w14:paraId="0ABDAC64" w14:textId="77777777" w:rsidR="005B661F" w:rsidRPr="005B661F" w:rsidRDefault="005B661F" w:rsidP="005B661F">
      <w:pPr>
        <w:keepNext/>
        <w:rPr>
          <w:rFonts w:ascii="David" w:hAnsi="David"/>
          <w:color w:val="000000"/>
          <w:sz w:val="22"/>
          <w:szCs w:val="22"/>
          <w:rtl/>
        </w:rPr>
      </w:pPr>
      <w:r w:rsidRPr="005B661F">
        <w:rPr>
          <w:rFonts w:ascii="David" w:hAnsi="David"/>
          <w:color w:val="000000"/>
          <w:sz w:val="22"/>
          <w:szCs w:val="22"/>
          <w:rtl/>
        </w:rPr>
        <w:t>ארז פורת 54678313</w:t>
      </w:r>
    </w:p>
    <w:p w14:paraId="298B39D1" w14:textId="77777777" w:rsidR="005B661F" w:rsidRDefault="005B661F" w:rsidP="005B661F">
      <w:r w:rsidRPr="005B661F">
        <w:rPr>
          <w:color w:val="000000"/>
          <w:rtl/>
        </w:rPr>
        <w:t>נוסח מסמך זה כפוף לשינויי ניסוח ועריכה</w:t>
      </w:r>
    </w:p>
    <w:p w14:paraId="5D35D753" w14:textId="77777777" w:rsidR="005B661F" w:rsidRDefault="005B661F" w:rsidP="005B661F">
      <w:pPr>
        <w:rPr>
          <w:rtl/>
        </w:rPr>
      </w:pPr>
    </w:p>
    <w:p w14:paraId="7592612B" w14:textId="77777777" w:rsidR="005B661F" w:rsidRDefault="005B661F" w:rsidP="005B661F">
      <w:pPr>
        <w:jc w:val="center"/>
        <w:rPr>
          <w:color w:val="0000FF"/>
          <w:u w:val="single"/>
        </w:rPr>
      </w:pPr>
      <w:hyperlink r:id="rId6" w:history="1">
        <w:r>
          <w:rPr>
            <w:color w:val="0000FF"/>
            <w:u w:val="single"/>
            <w:rtl/>
          </w:rPr>
          <w:t>בעניין עריכה ושינויים במסמכי פסיקה, חקיקה ועוד באתר נבו – הקש כאן</w:t>
        </w:r>
      </w:hyperlink>
    </w:p>
    <w:p w14:paraId="0BA69C8B" w14:textId="77777777" w:rsidR="003F46EB" w:rsidRPr="003F46EB" w:rsidRDefault="003F46EB" w:rsidP="003F46EB">
      <w:pPr>
        <w:keepNext/>
        <w:rPr>
          <w:rFonts w:ascii="David" w:hAnsi="David"/>
          <w:color w:val="000000"/>
          <w:sz w:val="22"/>
          <w:szCs w:val="22"/>
          <w:rtl/>
        </w:rPr>
      </w:pPr>
    </w:p>
    <w:p w14:paraId="11D045F5" w14:textId="77777777" w:rsidR="003F46EB" w:rsidRPr="003F46EB" w:rsidRDefault="003F46EB" w:rsidP="003F46EB">
      <w:pPr>
        <w:keepNext/>
        <w:rPr>
          <w:rFonts w:ascii="David" w:hAnsi="David"/>
          <w:color w:val="000000"/>
          <w:sz w:val="22"/>
          <w:szCs w:val="22"/>
          <w:rtl/>
        </w:rPr>
      </w:pPr>
      <w:r w:rsidRPr="003F46EB">
        <w:rPr>
          <w:rFonts w:ascii="David" w:hAnsi="David"/>
          <w:color w:val="000000"/>
          <w:sz w:val="22"/>
          <w:szCs w:val="22"/>
          <w:rtl/>
        </w:rPr>
        <w:t>ארז פורת 54678313-/</w:t>
      </w:r>
    </w:p>
    <w:p w14:paraId="7E188A16" w14:textId="77777777" w:rsidR="005B661F" w:rsidRPr="005B661F" w:rsidRDefault="003F46EB" w:rsidP="003F46EB">
      <w:pPr>
        <w:rPr>
          <w:color w:val="0000FF"/>
          <w:u w:val="single"/>
        </w:rPr>
      </w:pPr>
      <w:r w:rsidRPr="003F46EB">
        <w:rPr>
          <w:color w:val="000000"/>
          <w:u w:val="single"/>
          <w:rtl/>
        </w:rPr>
        <w:t>נוסח מסמך זה כפוף לשינויי ניסוח ועריכה</w:t>
      </w:r>
    </w:p>
    <w:sectPr w:rsidR="005B661F" w:rsidRPr="005B661F" w:rsidSect="003F46EB">
      <w:headerReference w:type="even" r:id="rId7"/>
      <w:headerReference w:type="default" r:id="rId8"/>
      <w:footerReference w:type="even" r:id="rId9"/>
      <w:footerReference w:type="default" r:id="rId1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41C9E" w14:textId="77777777" w:rsidR="009D0C69" w:rsidRDefault="009D0C69" w:rsidP="00FC76B9">
      <w:r>
        <w:separator/>
      </w:r>
    </w:p>
  </w:endnote>
  <w:endnote w:type="continuationSeparator" w:id="0">
    <w:p w14:paraId="43874FB7" w14:textId="77777777" w:rsidR="009D0C69" w:rsidRDefault="009D0C69" w:rsidP="00FC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015A3" w14:textId="77777777" w:rsidR="003F46EB" w:rsidRDefault="003F46EB" w:rsidP="003F46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5AE74D" w14:textId="77777777" w:rsidR="00165F76" w:rsidRPr="003F46EB" w:rsidRDefault="003F46EB" w:rsidP="003F46EB">
    <w:pPr>
      <w:pStyle w:val="a5"/>
      <w:pBdr>
        <w:top w:val="single" w:sz="4" w:space="1" w:color="auto"/>
        <w:between w:val="single" w:sz="4" w:space="0" w:color="auto"/>
      </w:pBdr>
      <w:spacing w:after="60"/>
      <w:jc w:val="center"/>
      <w:rPr>
        <w:rFonts w:ascii="FrankRuehl" w:hAnsi="FrankRuehl" w:cs="FrankRuehl"/>
        <w:color w:val="000000"/>
      </w:rPr>
    </w:pPr>
    <w:r w:rsidRPr="003F46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8F2F5" w14:textId="77777777" w:rsidR="003F46EB" w:rsidRDefault="003F46EB" w:rsidP="003F46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4FA0">
      <w:rPr>
        <w:rFonts w:ascii="FrankRuehl" w:hAnsi="FrankRuehl" w:cs="FrankRuehl"/>
        <w:noProof/>
        <w:rtl/>
      </w:rPr>
      <w:t>1</w:t>
    </w:r>
    <w:r>
      <w:rPr>
        <w:rFonts w:ascii="FrankRuehl" w:hAnsi="FrankRuehl" w:cs="FrankRuehl"/>
        <w:rtl/>
      </w:rPr>
      <w:fldChar w:fldCharType="end"/>
    </w:r>
  </w:p>
  <w:p w14:paraId="61CD91D8" w14:textId="77777777" w:rsidR="00165F76" w:rsidRPr="003F46EB" w:rsidRDefault="003F46EB" w:rsidP="003F46EB">
    <w:pPr>
      <w:pStyle w:val="a5"/>
      <w:pBdr>
        <w:top w:val="single" w:sz="4" w:space="1" w:color="auto"/>
        <w:between w:val="single" w:sz="4" w:space="0" w:color="auto"/>
      </w:pBdr>
      <w:spacing w:after="60"/>
      <w:jc w:val="center"/>
      <w:rPr>
        <w:rFonts w:ascii="FrankRuehl" w:hAnsi="FrankRuehl" w:cs="FrankRuehl"/>
        <w:color w:val="000000"/>
      </w:rPr>
    </w:pPr>
    <w:r w:rsidRPr="003F46EB">
      <w:rPr>
        <w:rFonts w:ascii="FrankRuehl" w:hAnsi="FrankRuehl" w:cs="FrankRuehl"/>
        <w:color w:val="000000"/>
      </w:rPr>
      <w:pict w14:anchorId="1BB59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9EF833" w14:textId="77777777" w:rsidR="009D0C69" w:rsidRDefault="009D0C69" w:rsidP="00FC76B9">
      <w:r>
        <w:separator/>
      </w:r>
    </w:p>
  </w:footnote>
  <w:footnote w:type="continuationSeparator" w:id="0">
    <w:p w14:paraId="1BAA11F7" w14:textId="77777777" w:rsidR="009D0C69" w:rsidRDefault="009D0C69" w:rsidP="00FC7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BA630" w14:textId="77777777" w:rsidR="005B661F" w:rsidRPr="003F46EB" w:rsidRDefault="003F46EB" w:rsidP="003F4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14976-07-22</w:t>
    </w:r>
    <w:r>
      <w:rPr>
        <w:rFonts w:ascii="David" w:hAnsi="David"/>
        <w:color w:val="000000"/>
        <w:sz w:val="22"/>
        <w:szCs w:val="22"/>
        <w:rtl/>
      </w:rPr>
      <w:tab/>
      <w:t xml:space="preserve"> מדינת ישראל נ' שי קובס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88822" w14:textId="77777777" w:rsidR="005B661F" w:rsidRPr="003F46EB" w:rsidRDefault="003F46EB" w:rsidP="003F46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14976-07-22</w:t>
    </w:r>
    <w:r>
      <w:rPr>
        <w:rFonts w:ascii="David" w:hAnsi="David"/>
        <w:color w:val="000000"/>
        <w:sz w:val="22"/>
        <w:szCs w:val="22"/>
        <w:rtl/>
      </w:rPr>
      <w:tab/>
      <w:t xml:space="preserve"> מדינת ישראל נ' שי קובס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23AD"/>
    <w:rsid w:val="000975C3"/>
    <w:rsid w:val="00165F76"/>
    <w:rsid w:val="00196AEA"/>
    <w:rsid w:val="001B5A3B"/>
    <w:rsid w:val="002F64D0"/>
    <w:rsid w:val="003F46EB"/>
    <w:rsid w:val="005B661F"/>
    <w:rsid w:val="008A4FA0"/>
    <w:rsid w:val="008C23AD"/>
    <w:rsid w:val="008C6EE1"/>
    <w:rsid w:val="00910F4E"/>
    <w:rsid w:val="00946FB7"/>
    <w:rsid w:val="009D0C69"/>
    <w:rsid w:val="00AB1029"/>
    <w:rsid w:val="00C83320"/>
    <w:rsid w:val="00FC76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426B1E"/>
  <w15:chartTrackingRefBased/>
  <w15:docId w15:val="{88402032-136C-45FD-AD2B-62D2B730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23A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23AD"/>
    <w:pPr>
      <w:tabs>
        <w:tab w:val="center" w:pos="4153"/>
        <w:tab w:val="right" w:pos="8306"/>
      </w:tabs>
    </w:pPr>
  </w:style>
  <w:style w:type="character" w:customStyle="1" w:styleId="a4">
    <w:name w:val="כותרת עליונה תו"/>
    <w:link w:val="a3"/>
    <w:rsid w:val="008C23AD"/>
    <w:rPr>
      <w:rFonts w:ascii="Times New Roman" w:eastAsia="Times New Roman" w:hAnsi="Times New Roman" w:cs="David"/>
      <w:sz w:val="24"/>
      <w:szCs w:val="24"/>
    </w:rPr>
  </w:style>
  <w:style w:type="paragraph" w:styleId="a5">
    <w:name w:val="footer"/>
    <w:basedOn w:val="a"/>
    <w:link w:val="a6"/>
    <w:rsid w:val="008C23AD"/>
    <w:pPr>
      <w:tabs>
        <w:tab w:val="center" w:pos="4153"/>
        <w:tab w:val="right" w:pos="8306"/>
      </w:tabs>
    </w:pPr>
  </w:style>
  <w:style w:type="character" w:customStyle="1" w:styleId="a6">
    <w:name w:val="כותרת תחתונה תו"/>
    <w:link w:val="a5"/>
    <w:rsid w:val="008C23AD"/>
    <w:rPr>
      <w:rFonts w:ascii="Times New Roman" w:eastAsia="Times New Roman" w:hAnsi="Times New Roman" w:cs="David"/>
      <w:sz w:val="24"/>
      <w:szCs w:val="24"/>
    </w:rPr>
  </w:style>
  <w:style w:type="table" w:styleId="a7">
    <w:name w:val="Table Grid"/>
    <w:basedOn w:val="a1"/>
    <w:rsid w:val="008C23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23AD"/>
  </w:style>
  <w:style w:type="character" w:customStyle="1" w:styleId="TimesNewRomanTimesNewRoman">
    <w:name w:val="סגנון (לטיני) Times New Roman (עברית ושפות אחרות) Times New Roman..."/>
    <w:rsid w:val="008C23AD"/>
    <w:rPr>
      <w:rFonts w:ascii="Times New Roman" w:hAnsi="Times New Roman" w:cs="David" w:hint="default"/>
      <w:b/>
      <w:bCs/>
      <w:sz w:val="26"/>
      <w:szCs w:val="26"/>
    </w:rPr>
  </w:style>
  <w:style w:type="character" w:styleId="Hyperlink">
    <w:name w:val="Hyperlink"/>
    <w:rsid w:val="005B6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1371</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8210</CharactersWithSpaces>
  <SharedDoc>false</SharedDoc>
  <HLinks>
    <vt:vector size="6" baseType="variant">
      <vt:variant>
        <vt:i4>393283</vt:i4>
      </vt:variant>
      <vt:variant>
        <vt:i4>0</vt:i4>
      </vt:variant>
      <vt:variant>
        <vt:i4>0</vt:i4>
      </vt:variant>
      <vt:variant>
        <vt:i4>5</vt:i4>
      </vt:variant>
      <vt:variant>
        <vt:lpwstr>http://www.nevo.co.il/advertisements/nevo-100.doc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14976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שי קובס;אחמד עתאבא;אשר בוסקילה;זאיד עווד;ראגב דבס;עבדאללה חליפה;מוחמד חליל;עבד אל האדי איוב</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20230524</vt:lpwstr>
  </property>
  <property fmtid="{D5CDD505-2E9C-101B-9397-08002B2CF9AE}" pid="13" name="TYPE_N_DATE">
    <vt:lpwstr>39020230524</vt:lpwstr>
  </property>
  <property fmtid="{D5CDD505-2E9C-101B-9397-08002B2CF9AE}" pid="14" name="WORDNUMPAGES">
    <vt:lpwstr>5</vt:lpwstr>
  </property>
  <property fmtid="{D5CDD505-2E9C-101B-9397-08002B2CF9AE}" pid="15" name="TYPE_ABS_DATE">
    <vt:lpwstr>390020230524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ies>
</file>