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734FC6" w:rsidRPr="00F221AA" w14:paraId="0BE16808" w14:textId="77777777" w:rsidTr="003674A8">
        <w:trPr>
          <w:trHeight w:hRule="exact" w:val="418"/>
          <w:jc w:val="center"/>
        </w:trPr>
        <w:tc>
          <w:tcPr>
            <w:tcW w:w="8721" w:type="dxa"/>
            <w:gridSpan w:val="2"/>
          </w:tcPr>
          <w:p w14:paraId="400145D9" w14:textId="77777777" w:rsidR="00734FC6" w:rsidRPr="00F221AA" w:rsidRDefault="00734FC6" w:rsidP="001803A3">
            <w:pPr>
              <w:pStyle w:val="a3"/>
              <w:jc w:val="center"/>
              <w:rPr>
                <w:rFonts w:ascii="Tahoma" w:hAnsi="Tahoma" w:cs="Tahoma"/>
                <w:color w:val="000080"/>
                <w:rtl/>
              </w:rPr>
            </w:pPr>
            <w:bookmarkStart w:id="0" w:name="LastJudge"/>
            <w:r w:rsidRPr="00F221AA">
              <w:rPr>
                <w:rFonts w:ascii="Tahoma" w:hAnsi="Tahoma" w:cs="Tahoma"/>
                <w:b/>
                <w:bCs/>
                <w:color w:val="000080"/>
                <w:rtl/>
              </w:rPr>
              <w:t>בית המשפט המחוזי בבאר שבע</w:t>
            </w:r>
          </w:p>
        </w:tc>
      </w:tr>
      <w:tr w:rsidR="00734FC6" w:rsidRPr="00F221AA" w14:paraId="4EB8DE7B" w14:textId="77777777" w:rsidTr="003674A8">
        <w:trPr>
          <w:trHeight w:val="337"/>
          <w:jc w:val="center"/>
        </w:trPr>
        <w:tc>
          <w:tcPr>
            <w:tcW w:w="5060" w:type="dxa"/>
          </w:tcPr>
          <w:p w14:paraId="6160B859" w14:textId="77777777" w:rsidR="00734FC6" w:rsidRPr="00F221AA" w:rsidRDefault="00734FC6" w:rsidP="001803A3">
            <w:pPr>
              <w:rPr>
                <w:rFonts w:cs="FrankRuehl"/>
                <w:sz w:val="28"/>
                <w:szCs w:val="28"/>
                <w:rtl/>
              </w:rPr>
            </w:pPr>
            <w:r w:rsidRPr="00F221AA">
              <w:rPr>
                <w:rFonts w:cs="FrankRuehl"/>
                <w:sz w:val="28"/>
                <w:szCs w:val="28"/>
                <w:rtl/>
              </w:rPr>
              <w:t>ת"פ</w:t>
            </w:r>
            <w:r w:rsidRPr="00F221AA">
              <w:rPr>
                <w:rFonts w:cs="FrankRuehl" w:hint="cs"/>
                <w:sz w:val="28"/>
                <w:szCs w:val="28"/>
                <w:rtl/>
              </w:rPr>
              <w:t xml:space="preserve"> </w:t>
            </w:r>
            <w:r w:rsidRPr="00F221AA">
              <w:rPr>
                <w:rFonts w:cs="FrankRuehl"/>
                <w:sz w:val="28"/>
                <w:szCs w:val="28"/>
                <w:rtl/>
              </w:rPr>
              <w:t>21924-07-22</w:t>
            </w:r>
            <w:r w:rsidRPr="00F221AA">
              <w:rPr>
                <w:rFonts w:cs="FrankRuehl" w:hint="cs"/>
                <w:sz w:val="28"/>
                <w:szCs w:val="28"/>
                <w:rtl/>
              </w:rPr>
              <w:t xml:space="preserve"> </w:t>
            </w:r>
            <w:r w:rsidRPr="00F221AA">
              <w:rPr>
                <w:rFonts w:cs="FrankRuehl"/>
                <w:sz w:val="28"/>
                <w:szCs w:val="28"/>
                <w:rtl/>
              </w:rPr>
              <w:t>מדינת ישראל נ' אבו אלקיעאן(עציר) ואח'</w:t>
            </w:r>
          </w:p>
          <w:p w14:paraId="568D0612" w14:textId="77777777" w:rsidR="00734FC6" w:rsidRPr="00F221AA" w:rsidRDefault="00734FC6" w:rsidP="001803A3">
            <w:pPr>
              <w:pStyle w:val="a3"/>
              <w:rPr>
                <w:rFonts w:cs="FrankRuehl"/>
                <w:sz w:val="28"/>
                <w:szCs w:val="28"/>
                <w:rtl/>
              </w:rPr>
            </w:pPr>
          </w:p>
        </w:tc>
        <w:tc>
          <w:tcPr>
            <w:tcW w:w="3661" w:type="dxa"/>
          </w:tcPr>
          <w:p w14:paraId="7B2ED546" w14:textId="77777777" w:rsidR="00734FC6" w:rsidRPr="00F221AA" w:rsidRDefault="00734FC6" w:rsidP="001803A3">
            <w:pPr>
              <w:pStyle w:val="a3"/>
              <w:jc w:val="right"/>
              <w:rPr>
                <w:rFonts w:cs="FrankRuehl"/>
                <w:sz w:val="28"/>
                <w:szCs w:val="28"/>
                <w:rtl/>
              </w:rPr>
            </w:pPr>
          </w:p>
        </w:tc>
      </w:tr>
    </w:tbl>
    <w:p w14:paraId="253BFEDC" w14:textId="77777777" w:rsidR="00734FC6" w:rsidRPr="00F221AA" w:rsidRDefault="00734FC6" w:rsidP="00734FC6">
      <w:pPr>
        <w:pStyle w:val="a3"/>
        <w:rPr>
          <w:rtl/>
        </w:rPr>
      </w:pPr>
      <w:r w:rsidRPr="00F221AA">
        <w:rPr>
          <w:rFonts w:hint="cs"/>
          <w:rtl/>
        </w:rPr>
        <w:t xml:space="preserve"> </w:t>
      </w:r>
    </w:p>
    <w:p w14:paraId="09AD002A" w14:textId="77777777" w:rsidR="00734FC6" w:rsidRPr="00F221AA" w:rsidRDefault="00734FC6" w:rsidP="00734FC6">
      <w:pPr>
        <w:rPr>
          <w:rtl/>
        </w:rPr>
      </w:pPr>
    </w:p>
    <w:p w14:paraId="4CEBEE40" w14:textId="77777777" w:rsidR="00734FC6" w:rsidRPr="00F221AA" w:rsidRDefault="00734FC6" w:rsidP="00734FC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734FC6" w:rsidRPr="00F221AA" w14:paraId="0ACF59A3" w14:textId="77777777" w:rsidTr="00734FC6">
        <w:trPr>
          <w:trHeight w:val="295"/>
          <w:jc w:val="center"/>
        </w:trPr>
        <w:tc>
          <w:tcPr>
            <w:tcW w:w="923" w:type="dxa"/>
            <w:tcBorders>
              <w:top w:val="nil"/>
              <w:left w:val="nil"/>
              <w:bottom w:val="nil"/>
              <w:right w:val="nil"/>
            </w:tcBorders>
            <w:shd w:val="clear" w:color="auto" w:fill="auto"/>
          </w:tcPr>
          <w:p w14:paraId="121FE06C" w14:textId="77777777" w:rsidR="00734FC6" w:rsidRPr="00F221AA" w:rsidRDefault="00734FC6" w:rsidP="00734FC6">
            <w:pPr>
              <w:jc w:val="both"/>
              <w:rPr>
                <w:rFonts w:ascii="David" w:hAnsi="David"/>
                <w:sz w:val="26"/>
                <w:szCs w:val="26"/>
              </w:rPr>
            </w:pPr>
            <w:r w:rsidRPr="00F221AA">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BF15A89" w14:textId="77777777" w:rsidR="00734FC6" w:rsidRPr="00F221AA" w:rsidRDefault="00734FC6" w:rsidP="001803A3">
            <w:pPr>
              <w:rPr>
                <w:rFonts w:ascii="David" w:hAnsi="David"/>
                <w:b/>
                <w:bCs/>
                <w:sz w:val="26"/>
                <w:szCs w:val="26"/>
                <w:rtl/>
              </w:rPr>
            </w:pPr>
            <w:r w:rsidRPr="00F221AA">
              <w:rPr>
                <w:rFonts w:ascii="David" w:hAnsi="David"/>
                <w:b/>
                <w:bCs/>
                <w:sz w:val="26"/>
                <w:szCs w:val="26"/>
                <w:rtl/>
              </w:rPr>
              <w:t>כבוד השופט  אלון גביזון</w:t>
            </w:r>
          </w:p>
          <w:p w14:paraId="252B28AA" w14:textId="77777777" w:rsidR="00734FC6" w:rsidRPr="00F221AA" w:rsidRDefault="00734FC6" w:rsidP="001803A3">
            <w:pPr>
              <w:rPr>
                <w:rFonts w:ascii="David" w:hAnsi="David"/>
                <w:sz w:val="26"/>
                <w:szCs w:val="26"/>
                <w:rtl/>
              </w:rPr>
            </w:pPr>
          </w:p>
          <w:p w14:paraId="03C3D502" w14:textId="77777777" w:rsidR="00734FC6" w:rsidRPr="00F221AA" w:rsidRDefault="00734FC6" w:rsidP="00734FC6">
            <w:pPr>
              <w:jc w:val="both"/>
              <w:rPr>
                <w:rFonts w:ascii="David" w:hAnsi="David"/>
                <w:sz w:val="26"/>
                <w:szCs w:val="26"/>
              </w:rPr>
            </w:pPr>
          </w:p>
        </w:tc>
      </w:tr>
      <w:tr w:rsidR="00734FC6" w:rsidRPr="00F221AA" w14:paraId="100F49A5" w14:textId="77777777" w:rsidTr="00734FC6">
        <w:trPr>
          <w:trHeight w:val="355"/>
          <w:jc w:val="center"/>
        </w:trPr>
        <w:tc>
          <w:tcPr>
            <w:tcW w:w="923" w:type="dxa"/>
            <w:tcBorders>
              <w:top w:val="nil"/>
              <w:left w:val="nil"/>
              <w:bottom w:val="nil"/>
              <w:right w:val="nil"/>
            </w:tcBorders>
            <w:shd w:val="clear" w:color="auto" w:fill="auto"/>
          </w:tcPr>
          <w:p w14:paraId="4FAE86A0" w14:textId="77777777" w:rsidR="00734FC6" w:rsidRPr="00F221AA" w:rsidRDefault="00734FC6" w:rsidP="00734FC6">
            <w:pPr>
              <w:jc w:val="both"/>
              <w:rPr>
                <w:rFonts w:ascii="David" w:hAnsi="David"/>
                <w:sz w:val="26"/>
                <w:szCs w:val="26"/>
              </w:rPr>
            </w:pPr>
            <w:bookmarkStart w:id="1" w:name="FirstAppellant"/>
            <w:bookmarkStart w:id="2" w:name="FirstLawyer"/>
            <w:r w:rsidRPr="00F221AA">
              <w:rPr>
                <w:rFonts w:ascii="David" w:hAnsi="David"/>
                <w:sz w:val="26"/>
                <w:szCs w:val="26"/>
                <w:rtl/>
              </w:rPr>
              <w:t>בעניין:</w:t>
            </w:r>
          </w:p>
        </w:tc>
        <w:tc>
          <w:tcPr>
            <w:tcW w:w="3219" w:type="dxa"/>
            <w:tcBorders>
              <w:top w:val="nil"/>
              <w:left w:val="nil"/>
              <w:bottom w:val="nil"/>
              <w:right w:val="nil"/>
            </w:tcBorders>
            <w:shd w:val="clear" w:color="auto" w:fill="auto"/>
          </w:tcPr>
          <w:p w14:paraId="756F7BBE" w14:textId="77777777" w:rsidR="00734FC6" w:rsidRPr="00F221AA" w:rsidRDefault="00734FC6" w:rsidP="00734FC6">
            <w:pPr>
              <w:suppressLineNumbers/>
            </w:pPr>
            <w:r w:rsidRPr="00F221AA">
              <w:rPr>
                <w:rFonts w:ascii="Arial" w:hAnsi="Arial" w:hint="cs"/>
                <w:b/>
                <w:bCs/>
                <w:sz w:val="26"/>
                <w:szCs w:val="26"/>
                <w:rtl/>
              </w:rPr>
              <w:t>ה</w:t>
            </w:r>
            <w:r w:rsidRPr="00F221AA">
              <w:rPr>
                <w:rFonts w:ascii="Arial" w:hAnsi="Arial"/>
                <w:b/>
                <w:bCs/>
                <w:sz w:val="26"/>
                <w:szCs w:val="26"/>
                <w:rtl/>
              </w:rPr>
              <w:t>מאשימה</w:t>
            </w:r>
          </w:p>
          <w:p w14:paraId="50EB1D23" w14:textId="77777777" w:rsidR="00734FC6" w:rsidRPr="00F221AA" w:rsidRDefault="00734FC6" w:rsidP="001803A3">
            <w:pPr>
              <w:rPr>
                <w:rFonts w:ascii="David" w:hAnsi="David"/>
                <w:sz w:val="26"/>
                <w:szCs w:val="26"/>
              </w:rPr>
            </w:pPr>
          </w:p>
        </w:tc>
        <w:tc>
          <w:tcPr>
            <w:tcW w:w="4678" w:type="dxa"/>
            <w:tcBorders>
              <w:top w:val="nil"/>
              <w:left w:val="nil"/>
              <w:bottom w:val="nil"/>
              <w:right w:val="nil"/>
            </w:tcBorders>
            <w:shd w:val="clear" w:color="auto" w:fill="auto"/>
            <w:vAlign w:val="center"/>
          </w:tcPr>
          <w:p w14:paraId="66C99DF5" w14:textId="77777777" w:rsidR="00734FC6" w:rsidRPr="00F221AA" w:rsidRDefault="00734FC6" w:rsidP="00734FC6">
            <w:pPr>
              <w:suppressLineNumbers/>
              <w:rPr>
                <w:rFonts w:ascii="Arial" w:hAnsi="Arial"/>
                <w:b/>
                <w:bCs/>
                <w:sz w:val="26"/>
                <w:szCs w:val="26"/>
                <w:rtl/>
              </w:rPr>
            </w:pPr>
            <w:r w:rsidRPr="00F221AA">
              <w:rPr>
                <w:rFonts w:ascii="Arial" w:hAnsi="Arial"/>
                <w:b/>
                <w:bCs/>
                <w:sz w:val="26"/>
                <w:szCs w:val="26"/>
                <w:rtl/>
              </w:rPr>
              <w:t>מדינת ישראל</w:t>
            </w:r>
            <w:r w:rsidRPr="00F221AA">
              <w:rPr>
                <w:rFonts w:ascii="Arial" w:hAnsi="Arial" w:hint="cs"/>
                <w:b/>
                <w:bCs/>
                <w:sz w:val="26"/>
                <w:szCs w:val="26"/>
                <w:rtl/>
              </w:rPr>
              <w:t xml:space="preserve"> </w:t>
            </w:r>
          </w:p>
          <w:p w14:paraId="5FBD9C77" w14:textId="77777777" w:rsidR="00734FC6" w:rsidRPr="00F221AA" w:rsidRDefault="00734FC6" w:rsidP="00734FC6">
            <w:pPr>
              <w:suppressLineNumbers/>
            </w:pPr>
            <w:r w:rsidRPr="00F221AA">
              <w:rPr>
                <w:rFonts w:ascii="Arial" w:hAnsi="Arial"/>
                <w:b/>
                <w:bCs/>
                <w:sz w:val="26"/>
                <w:szCs w:val="26"/>
                <w:rtl/>
              </w:rPr>
              <w:t>ע"י ב"כ עוה"ד</w:t>
            </w:r>
            <w:r w:rsidRPr="00F221AA">
              <w:rPr>
                <w:rFonts w:ascii="Arial" w:hAnsi="Arial" w:hint="cs"/>
                <w:b/>
                <w:bCs/>
                <w:sz w:val="26"/>
                <w:szCs w:val="26"/>
                <w:rtl/>
              </w:rPr>
              <w:t xml:space="preserve"> שירין מחג'אנה</w:t>
            </w:r>
          </w:p>
          <w:p w14:paraId="0828609E" w14:textId="77777777" w:rsidR="00734FC6" w:rsidRPr="00F221AA" w:rsidRDefault="00734FC6" w:rsidP="001803A3">
            <w:pPr>
              <w:rPr>
                <w:rFonts w:ascii="David" w:hAnsi="David"/>
                <w:sz w:val="26"/>
                <w:szCs w:val="26"/>
              </w:rPr>
            </w:pPr>
          </w:p>
        </w:tc>
      </w:tr>
      <w:bookmarkEnd w:id="1"/>
      <w:bookmarkEnd w:id="2"/>
      <w:tr w:rsidR="00734FC6" w:rsidRPr="00F221AA" w14:paraId="7E1C186E" w14:textId="77777777" w:rsidTr="00734FC6">
        <w:trPr>
          <w:trHeight w:val="355"/>
          <w:jc w:val="center"/>
        </w:trPr>
        <w:tc>
          <w:tcPr>
            <w:tcW w:w="923" w:type="dxa"/>
            <w:tcBorders>
              <w:top w:val="nil"/>
              <w:left w:val="nil"/>
              <w:bottom w:val="nil"/>
              <w:right w:val="nil"/>
            </w:tcBorders>
            <w:shd w:val="clear" w:color="auto" w:fill="auto"/>
          </w:tcPr>
          <w:p w14:paraId="3588F3EB" w14:textId="77777777" w:rsidR="00734FC6" w:rsidRPr="00F221AA" w:rsidRDefault="00734FC6" w:rsidP="00734FC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20241F4" w14:textId="77777777" w:rsidR="00734FC6" w:rsidRPr="00F221AA" w:rsidRDefault="00734FC6" w:rsidP="00734FC6">
            <w:pPr>
              <w:jc w:val="center"/>
              <w:rPr>
                <w:rFonts w:ascii="David" w:hAnsi="David"/>
                <w:b/>
                <w:bCs/>
                <w:sz w:val="26"/>
                <w:szCs w:val="26"/>
                <w:rtl/>
              </w:rPr>
            </w:pPr>
          </w:p>
          <w:p w14:paraId="0BA927B4" w14:textId="77777777" w:rsidR="00734FC6" w:rsidRPr="00F221AA" w:rsidRDefault="00734FC6" w:rsidP="00734FC6">
            <w:pPr>
              <w:jc w:val="center"/>
              <w:rPr>
                <w:rFonts w:ascii="David" w:hAnsi="David"/>
                <w:b/>
                <w:bCs/>
                <w:sz w:val="26"/>
                <w:szCs w:val="26"/>
                <w:rtl/>
              </w:rPr>
            </w:pPr>
            <w:r w:rsidRPr="00F221AA">
              <w:rPr>
                <w:rFonts w:ascii="David" w:hAnsi="David"/>
                <w:b/>
                <w:bCs/>
                <w:sz w:val="26"/>
                <w:szCs w:val="26"/>
                <w:rtl/>
              </w:rPr>
              <w:t>נגד</w:t>
            </w:r>
          </w:p>
          <w:p w14:paraId="7364D3BE" w14:textId="77777777" w:rsidR="00734FC6" w:rsidRPr="00F221AA" w:rsidRDefault="00734FC6" w:rsidP="00734FC6">
            <w:pPr>
              <w:jc w:val="both"/>
              <w:rPr>
                <w:rFonts w:ascii="David" w:hAnsi="David"/>
                <w:sz w:val="26"/>
                <w:szCs w:val="26"/>
              </w:rPr>
            </w:pPr>
          </w:p>
        </w:tc>
      </w:tr>
      <w:tr w:rsidR="00734FC6" w:rsidRPr="00F221AA" w14:paraId="20BEB9BF" w14:textId="77777777" w:rsidTr="00734FC6">
        <w:trPr>
          <w:trHeight w:val="355"/>
          <w:jc w:val="center"/>
        </w:trPr>
        <w:tc>
          <w:tcPr>
            <w:tcW w:w="923" w:type="dxa"/>
            <w:tcBorders>
              <w:top w:val="nil"/>
              <w:left w:val="nil"/>
              <w:bottom w:val="nil"/>
              <w:right w:val="nil"/>
            </w:tcBorders>
            <w:shd w:val="clear" w:color="auto" w:fill="auto"/>
          </w:tcPr>
          <w:p w14:paraId="16E23045" w14:textId="77777777" w:rsidR="00734FC6" w:rsidRPr="00F221AA" w:rsidRDefault="00734FC6" w:rsidP="001803A3">
            <w:pPr>
              <w:rPr>
                <w:rFonts w:ascii="David" w:hAnsi="David"/>
                <w:sz w:val="26"/>
                <w:szCs w:val="26"/>
                <w:rtl/>
              </w:rPr>
            </w:pPr>
          </w:p>
        </w:tc>
        <w:tc>
          <w:tcPr>
            <w:tcW w:w="3219" w:type="dxa"/>
            <w:tcBorders>
              <w:top w:val="nil"/>
              <w:left w:val="nil"/>
              <w:bottom w:val="nil"/>
              <w:right w:val="nil"/>
            </w:tcBorders>
            <w:shd w:val="clear" w:color="auto" w:fill="auto"/>
          </w:tcPr>
          <w:p w14:paraId="7E6287BA" w14:textId="77777777" w:rsidR="00734FC6" w:rsidRPr="00F221AA" w:rsidRDefault="00734FC6" w:rsidP="001803A3">
            <w:pPr>
              <w:rPr>
                <w:rFonts w:ascii="Arial" w:hAnsi="Arial"/>
                <w:b/>
                <w:bCs/>
                <w:sz w:val="26"/>
                <w:szCs w:val="26"/>
                <w:rtl/>
              </w:rPr>
            </w:pPr>
            <w:r w:rsidRPr="00F221AA">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24FDE169" w14:textId="77777777" w:rsidR="00734FC6" w:rsidRPr="00F221AA" w:rsidRDefault="00734FC6" w:rsidP="001803A3">
            <w:pPr>
              <w:rPr>
                <w:rFonts w:ascii="David" w:hAnsi="David"/>
                <w:sz w:val="26"/>
                <w:szCs w:val="26"/>
              </w:rPr>
            </w:pPr>
          </w:p>
          <w:p w14:paraId="3ABD2FEB" w14:textId="77777777" w:rsidR="00734FC6" w:rsidRPr="00F221AA" w:rsidRDefault="00734FC6" w:rsidP="00734FC6">
            <w:pPr>
              <w:suppressLineNumbers/>
              <w:rPr>
                <w:rFonts w:ascii="Arial" w:hAnsi="Arial"/>
                <w:b/>
                <w:bCs/>
                <w:sz w:val="26"/>
                <w:szCs w:val="26"/>
                <w:rtl/>
              </w:rPr>
            </w:pPr>
            <w:r w:rsidRPr="00F221AA">
              <w:rPr>
                <w:rFonts w:ascii="Arial" w:hAnsi="Arial"/>
                <w:b/>
                <w:bCs/>
                <w:sz w:val="26"/>
                <w:szCs w:val="26"/>
                <w:rtl/>
              </w:rPr>
              <w:t>1. זיאד אבו אלקיעאן (עציר)</w:t>
            </w:r>
            <w:r w:rsidRPr="00F221AA">
              <w:rPr>
                <w:rFonts w:ascii="Arial" w:hAnsi="Arial" w:hint="cs"/>
                <w:b/>
                <w:bCs/>
                <w:sz w:val="26"/>
                <w:szCs w:val="26"/>
                <w:rtl/>
              </w:rPr>
              <w:t xml:space="preserve"> </w:t>
            </w:r>
          </w:p>
          <w:p w14:paraId="06E41BBF" w14:textId="77777777" w:rsidR="00734FC6" w:rsidRPr="00F221AA" w:rsidRDefault="00734FC6" w:rsidP="00734FC6">
            <w:pPr>
              <w:suppressLineNumbers/>
            </w:pPr>
            <w:r w:rsidRPr="00F221AA">
              <w:rPr>
                <w:rFonts w:ascii="Arial" w:hAnsi="Arial"/>
                <w:b/>
                <w:bCs/>
                <w:sz w:val="26"/>
                <w:szCs w:val="26"/>
                <w:rtl/>
              </w:rPr>
              <w:t>ע"י ב"כ עוה"ד</w:t>
            </w:r>
            <w:r w:rsidRPr="00F221AA">
              <w:rPr>
                <w:rFonts w:ascii="Arial" w:hAnsi="Arial" w:hint="cs"/>
                <w:b/>
                <w:bCs/>
                <w:sz w:val="26"/>
                <w:szCs w:val="26"/>
                <w:rtl/>
              </w:rPr>
              <w:t xml:space="preserve"> נאשף דרוויש</w:t>
            </w:r>
          </w:p>
          <w:p w14:paraId="78092BE6" w14:textId="77777777" w:rsidR="00734FC6" w:rsidRPr="00F221AA" w:rsidRDefault="00734FC6" w:rsidP="00734FC6">
            <w:pPr>
              <w:suppressLineNumbers/>
              <w:rPr>
                <w:rFonts w:ascii="Arial" w:hAnsi="Arial"/>
                <w:b/>
                <w:bCs/>
                <w:sz w:val="26"/>
                <w:szCs w:val="26"/>
                <w:rtl/>
              </w:rPr>
            </w:pPr>
            <w:r w:rsidRPr="00F221AA">
              <w:rPr>
                <w:rFonts w:ascii="Arial" w:hAnsi="Arial"/>
                <w:b/>
                <w:bCs/>
                <w:sz w:val="26"/>
                <w:szCs w:val="26"/>
                <w:rtl/>
              </w:rPr>
              <w:t>2. מוחמד אבו קיעאן (עציר)</w:t>
            </w:r>
            <w:r w:rsidRPr="00F221AA">
              <w:rPr>
                <w:rFonts w:ascii="Arial" w:hAnsi="Arial" w:hint="cs"/>
                <w:b/>
                <w:bCs/>
                <w:sz w:val="26"/>
                <w:szCs w:val="26"/>
                <w:rtl/>
              </w:rPr>
              <w:t xml:space="preserve"> </w:t>
            </w:r>
          </w:p>
          <w:p w14:paraId="12E61BA1" w14:textId="77777777" w:rsidR="00734FC6" w:rsidRPr="00F221AA" w:rsidRDefault="00734FC6" w:rsidP="00734FC6">
            <w:pPr>
              <w:suppressLineNumbers/>
              <w:rPr>
                <w:b/>
                <w:bCs/>
              </w:rPr>
            </w:pPr>
            <w:r w:rsidRPr="00F221AA">
              <w:rPr>
                <w:rFonts w:ascii="Arial" w:hAnsi="Arial"/>
                <w:b/>
                <w:bCs/>
                <w:sz w:val="26"/>
                <w:szCs w:val="26"/>
                <w:rtl/>
              </w:rPr>
              <w:t>ע"י ב"כ עוה"ד</w:t>
            </w:r>
            <w:r w:rsidRPr="00F221AA">
              <w:rPr>
                <w:rFonts w:hint="cs"/>
                <w:b/>
                <w:bCs/>
              </w:rPr>
              <w:t xml:space="preserve"> </w:t>
            </w:r>
            <w:r w:rsidRPr="00F221AA">
              <w:rPr>
                <w:rFonts w:hint="cs"/>
                <w:b/>
                <w:bCs/>
                <w:rtl/>
              </w:rPr>
              <w:t>רמי שלבי</w:t>
            </w:r>
          </w:p>
        </w:tc>
      </w:tr>
      <w:tr w:rsidR="00734FC6" w:rsidRPr="00F221AA" w14:paraId="70E87B86" w14:textId="77777777" w:rsidTr="00734FC6">
        <w:trPr>
          <w:trHeight w:val="355"/>
          <w:jc w:val="center"/>
        </w:trPr>
        <w:tc>
          <w:tcPr>
            <w:tcW w:w="923" w:type="dxa"/>
            <w:tcBorders>
              <w:top w:val="nil"/>
              <w:left w:val="nil"/>
              <w:bottom w:val="nil"/>
              <w:right w:val="nil"/>
            </w:tcBorders>
            <w:shd w:val="clear" w:color="auto" w:fill="auto"/>
          </w:tcPr>
          <w:p w14:paraId="4FE88816" w14:textId="77777777" w:rsidR="00734FC6" w:rsidRPr="00F221AA" w:rsidRDefault="00734FC6" w:rsidP="00734FC6">
            <w:pPr>
              <w:jc w:val="both"/>
              <w:rPr>
                <w:rFonts w:ascii="David" w:hAnsi="David"/>
                <w:sz w:val="26"/>
                <w:szCs w:val="26"/>
                <w:rtl/>
              </w:rPr>
            </w:pPr>
          </w:p>
        </w:tc>
        <w:tc>
          <w:tcPr>
            <w:tcW w:w="3219" w:type="dxa"/>
            <w:tcBorders>
              <w:top w:val="nil"/>
              <w:left w:val="nil"/>
              <w:bottom w:val="nil"/>
              <w:right w:val="nil"/>
            </w:tcBorders>
            <w:shd w:val="clear" w:color="auto" w:fill="auto"/>
          </w:tcPr>
          <w:p w14:paraId="26B99A92" w14:textId="77777777" w:rsidR="00734FC6" w:rsidRPr="00F221AA" w:rsidRDefault="00734FC6" w:rsidP="00734FC6">
            <w:pPr>
              <w:jc w:val="both"/>
              <w:rPr>
                <w:rFonts w:ascii="David" w:hAnsi="David"/>
                <w:sz w:val="26"/>
                <w:szCs w:val="26"/>
                <w:rtl/>
              </w:rPr>
            </w:pPr>
          </w:p>
        </w:tc>
        <w:tc>
          <w:tcPr>
            <w:tcW w:w="4678" w:type="dxa"/>
            <w:tcBorders>
              <w:top w:val="nil"/>
              <w:left w:val="nil"/>
              <w:bottom w:val="nil"/>
              <w:right w:val="nil"/>
            </w:tcBorders>
            <w:shd w:val="clear" w:color="auto" w:fill="auto"/>
          </w:tcPr>
          <w:p w14:paraId="396BA011" w14:textId="77777777" w:rsidR="00734FC6" w:rsidRPr="00F221AA" w:rsidRDefault="00734FC6" w:rsidP="00734FC6">
            <w:pPr>
              <w:jc w:val="right"/>
              <w:rPr>
                <w:rFonts w:ascii="David" w:hAnsi="David"/>
                <w:sz w:val="26"/>
                <w:szCs w:val="26"/>
              </w:rPr>
            </w:pPr>
          </w:p>
        </w:tc>
      </w:tr>
    </w:tbl>
    <w:p w14:paraId="21D7AB3C" w14:textId="77777777" w:rsidR="00F221AA" w:rsidRPr="00F221AA" w:rsidRDefault="00F221AA" w:rsidP="00F221AA">
      <w:pPr>
        <w:spacing w:before="120" w:after="120" w:line="240" w:lineRule="exact"/>
        <w:ind w:left="283" w:hanging="283"/>
        <w:jc w:val="both"/>
        <w:rPr>
          <w:rFonts w:ascii="FrankRuehl" w:hAnsi="FrankRuehl" w:cs="FrankRuehl"/>
          <w:rtl/>
        </w:rPr>
      </w:pPr>
    </w:p>
    <w:p w14:paraId="69D0D178" w14:textId="77777777" w:rsidR="00F221AA" w:rsidRPr="00F221AA" w:rsidRDefault="00F221AA" w:rsidP="00F221AA">
      <w:pPr>
        <w:rPr>
          <w:sz w:val="26"/>
          <w:szCs w:val="26"/>
          <w:rtl/>
        </w:rPr>
      </w:pPr>
    </w:p>
    <w:p w14:paraId="0B00DD09" w14:textId="77777777" w:rsidR="003674A8" w:rsidRPr="003674A8" w:rsidRDefault="003674A8" w:rsidP="003674A8">
      <w:pPr>
        <w:spacing w:before="120" w:after="120" w:line="240" w:lineRule="exact"/>
        <w:ind w:left="283" w:hanging="283"/>
        <w:jc w:val="both"/>
        <w:rPr>
          <w:rFonts w:ascii="FrankRuehl" w:hAnsi="FrankRuehl" w:cs="FrankRuehl"/>
          <w:rtl/>
        </w:rPr>
      </w:pPr>
    </w:p>
    <w:p w14:paraId="3B2C6016" w14:textId="77777777" w:rsidR="002B3430" w:rsidRPr="002B3430" w:rsidRDefault="002B3430" w:rsidP="002B3430">
      <w:pPr>
        <w:spacing w:before="120" w:after="120" w:line="240" w:lineRule="exact"/>
        <w:ind w:left="283" w:hanging="283"/>
        <w:jc w:val="both"/>
        <w:rPr>
          <w:rFonts w:ascii="FrankRuehl" w:hAnsi="FrankRuehl" w:cs="FrankRuehl"/>
          <w:rtl/>
        </w:rPr>
      </w:pPr>
    </w:p>
    <w:p w14:paraId="306F0036" w14:textId="77777777" w:rsidR="00350E35" w:rsidRDefault="00350E35" w:rsidP="00350E35">
      <w:pPr>
        <w:rPr>
          <w:sz w:val="26"/>
          <w:szCs w:val="26"/>
          <w:rtl/>
        </w:rPr>
      </w:pPr>
      <w:bookmarkStart w:id="3" w:name="LawTable"/>
      <w:bookmarkEnd w:id="3"/>
    </w:p>
    <w:p w14:paraId="2D67F7C0" w14:textId="77777777" w:rsidR="00350E35" w:rsidRPr="00350E35" w:rsidRDefault="00350E35" w:rsidP="00350E35">
      <w:pPr>
        <w:spacing w:before="120" w:after="120" w:line="240" w:lineRule="exact"/>
        <w:ind w:left="283" w:hanging="283"/>
        <w:jc w:val="both"/>
        <w:rPr>
          <w:rFonts w:ascii="FrankRuehl" w:hAnsi="FrankRuehl" w:cs="FrankRuehl"/>
          <w:rtl/>
        </w:rPr>
      </w:pPr>
    </w:p>
    <w:p w14:paraId="08985C51" w14:textId="77777777" w:rsidR="00350E35" w:rsidRPr="00350E35" w:rsidRDefault="00350E35" w:rsidP="00350E35">
      <w:pPr>
        <w:spacing w:before="120" w:after="120" w:line="240" w:lineRule="exact"/>
        <w:ind w:left="283" w:hanging="283"/>
        <w:jc w:val="both"/>
        <w:rPr>
          <w:rFonts w:ascii="FrankRuehl" w:hAnsi="FrankRuehl" w:cs="FrankRuehl"/>
          <w:rtl/>
        </w:rPr>
      </w:pPr>
    </w:p>
    <w:p w14:paraId="581A418D" w14:textId="77777777" w:rsidR="00350E35" w:rsidRPr="00350E35" w:rsidRDefault="00350E35" w:rsidP="00350E35">
      <w:pPr>
        <w:spacing w:before="120" w:after="120" w:line="240" w:lineRule="exact"/>
        <w:ind w:left="283" w:hanging="283"/>
        <w:jc w:val="both"/>
        <w:rPr>
          <w:rFonts w:ascii="FrankRuehl" w:hAnsi="FrankRuehl" w:cs="FrankRuehl"/>
          <w:rtl/>
        </w:rPr>
      </w:pPr>
      <w:r w:rsidRPr="00350E35">
        <w:rPr>
          <w:rFonts w:ascii="FrankRuehl" w:hAnsi="FrankRuehl" w:cs="FrankRuehl"/>
          <w:rtl/>
        </w:rPr>
        <w:t xml:space="preserve">חקיקה שאוזכרה: </w:t>
      </w:r>
    </w:p>
    <w:p w14:paraId="0251ABEC" w14:textId="77777777" w:rsidR="00350E35" w:rsidRPr="00350E35" w:rsidRDefault="00350E35" w:rsidP="00350E35">
      <w:pPr>
        <w:spacing w:before="120" w:after="120" w:line="240" w:lineRule="exact"/>
        <w:ind w:left="283" w:hanging="283"/>
        <w:jc w:val="both"/>
        <w:rPr>
          <w:rFonts w:ascii="FrankRuehl" w:hAnsi="FrankRuehl" w:cs="FrankRuehl"/>
          <w:rtl/>
        </w:rPr>
      </w:pPr>
      <w:hyperlink r:id="rId7" w:history="1">
        <w:r w:rsidRPr="00350E35">
          <w:rPr>
            <w:rFonts w:ascii="FrankRuehl" w:hAnsi="FrankRuehl" w:cs="FrankRuehl"/>
            <w:color w:val="0000FF"/>
            <w:rtl/>
          </w:rPr>
          <w:t>חוק העונשין, תשל"ז-1977</w:t>
        </w:r>
      </w:hyperlink>
      <w:r w:rsidRPr="00350E35">
        <w:rPr>
          <w:rFonts w:ascii="FrankRuehl" w:hAnsi="FrankRuehl" w:cs="FrankRuehl"/>
          <w:rtl/>
        </w:rPr>
        <w:t xml:space="preserve">: סע'  </w:t>
      </w:r>
      <w:hyperlink r:id="rId8" w:history="1">
        <w:r w:rsidRPr="00350E35">
          <w:rPr>
            <w:rFonts w:ascii="FrankRuehl" w:hAnsi="FrankRuehl" w:cs="FrankRuehl"/>
            <w:color w:val="0000FF"/>
            <w:rtl/>
          </w:rPr>
          <w:t>31</w:t>
        </w:r>
      </w:hyperlink>
      <w:r w:rsidRPr="00350E35">
        <w:rPr>
          <w:rFonts w:ascii="FrankRuehl" w:hAnsi="FrankRuehl" w:cs="FrankRuehl"/>
          <w:rtl/>
        </w:rPr>
        <w:t xml:space="preserve">, </w:t>
      </w:r>
      <w:hyperlink r:id="rId9" w:history="1">
        <w:r w:rsidRPr="00350E35">
          <w:rPr>
            <w:rFonts w:ascii="FrankRuehl" w:hAnsi="FrankRuehl" w:cs="FrankRuehl"/>
            <w:color w:val="0000FF"/>
            <w:rtl/>
          </w:rPr>
          <w:t>144</w:t>
        </w:r>
      </w:hyperlink>
      <w:r w:rsidRPr="00350E35">
        <w:rPr>
          <w:rFonts w:ascii="FrankRuehl" w:hAnsi="FrankRuehl" w:cs="FrankRuehl"/>
          <w:rtl/>
        </w:rPr>
        <w:t xml:space="preserve">, </w:t>
      </w:r>
      <w:hyperlink r:id="rId10" w:history="1">
        <w:r w:rsidRPr="00350E35">
          <w:rPr>
            <w:rFonts w:ascii="FrankRuehl" w:hAnsi="FrankRuehl" w:cs="FrankRuehl"/>
            <w:color w:val="0000FF"/>
            <w:rtl/>
          </w:rPr>
          <w:t>144(ב)</w:t>
        </w:r>
      </w:hyperlink>
    </w:p>
    <w:p w14:paraId="123D2D37" w14:textId="77777777" w:rsidR="00350E35" w:rsidRPr="00350E35" w:rsidRDefault="00350E35" w:rsidP="00350E35">
      <w:pPr>
        <w:spacing w:before="120" w:after="120" w:line="240" w:lineRule="exact"/>
        <w:ind w:left="283" w:hanging="283"/>
        <w:jc w:val="both"/>
        <w:rPr>
          <w:rFonts w:ascii="FrankRuehl" w:hAnsi="FrankRuehl" w:cs="FrankRuehl"/>
          <w:rtl/>
        </w:rPr>
      </w:pPr>
      <w:hyperlink r:id="rId11" w:history="1">
        <w:r w:rsidRPr="00350E35">
          <w:rPr>
            <w:rFonts w:ascii="FrankRuehl" w:hAnsi="FrankRuehl" w:cs="FrankRuehl"/>
            <w:color w:val="0000FF"/>
            <w:rtl/>
          </w:rPr>
          <w:t>פקודת התעבורה [נוסח חדש]</w:t>
        </w:r>
      </w:hyperlink>
      <w:r w:rsidRPr="00350E35">
        <w:rPr>
          <w:rFonts w:ascii="FrankRuehl" w:hAnsi="FrankRuehl" w:cs="FrankRuehl"/>
          <w:rtl/>
        </w:rPr>
        <w:t xml:space="preserve">: סע'  </w:t>
      </w:r>
      <w:hyperlink r:id="rId12" w:history="1">
        <w:r w:rsidRPr="00350E35">
          <w:rPr>
            <w:rFonts w:ascii="FrankRuehl" w:hAnsi="FrankRuehl" w:cs="FrankRuehl"/>
            <w:color w:val="0000FF"/>
            <w:rtl/>
          </w:rPr>
          <w:t>10(א)</w:t>
        </w:r>
      </w:hyperlink>
    </w:p>
    <w:p w14:paraId="4FFC5E77" w14:textId="77777777" w:rsidR="00350E35" w:rsidRPr="00350E35" w:rsidRDefault="00350E35" w:rsidP="00350E35">
      <w:pPr>
        <w:rPr>
          <w:sz w:val="26"/>
          <w:szCs w:val="26"/>
          <w:rtl/>
        </w:rPr>
      </w:pPr>
      <w:bookmarkStart w:id="4" w:name="LawTable_End"/>
      <w:bookmarkEnd w:id="4"/>
    </w:p>
    <w:p w14:paraId="1FC0D0A7" w14:textId="77777777" w:rsidR="00734FC6" w:rsidRPr="002B3430" w:rsidRDefault="00734FC6" w:rsidP="002B343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34FC6" w14:paraId="4EA6F8FD" w14:textId="77777777" w:rsidTr="00734FC6">
        <w:trPr>
          <w:trHeight w:val="355"/>
          <w:jc w:val="center"/>
        </w:trPr>
        <w:tc>
          <w:tcPr>
            <w:tcW w:w="8820" w:type="dxa"/>
            <w:tcBorders>
              <w:top w:val="nil"/>
              <w:left w:val="nil"/>
              <w:bottom w:val="nil"/>
              <w:right w:val="nil"/>
            </w:tcBorders>
            <w:shd w:val="clear" w:color="auto" w:fill="auto"/>
          </w:tcPr>
          <w:p w14:paraId="43114CD7" w14:textId="77777777" w:rsidR="00F221AA" w:rsidRPr="00F221AA" w:rsidRDefault="00F221AA" w:rsidP="00F221AA">
            <w:pPr>
              <w:jc w:val="center"/>
              <w:rPr>
                <w:rFonts w:ascii="David" w:hAnsi="David"/>
                <w:b/>
                <w:bCs/>
                <w:sz w:val="32"/>
                <w:szCs w:val="32"/>
                <w:u w:val="single"/>
                <w:rtl/>
              </w:rPr>
            </w:pPr>
            <w:bookmarkStart w:id="5" w:name="PsakDin" w:colFirst="0" w:colLast="0"/>
            <w:bookmarkEnd w:id="0"/>
            <w:r w:rsidRPr="00F221AA">
              <w:rPr>
                <w:rFonts w:ascii="David" w:hAnsi="David"/>
                <w:b/>
                <w:bCs/>
                <w:sz w:val="32"/>
                <w:szCs w:val="32"/>
                <w:u w:val="single"/>
                <w:rtl/>
              </w:rPr>
              <w:t>גזר דין</w:t>
            </w:r>
          </w:p>
          <w:p w14:paraId="09BDBA76" w14:textId="77777777" w:rsidR="00734FC6" w:rsidRPr="00F221AA" w:rsidRDefault="00734FC6" w:rsidP="00F221AA">
            <w:pPr>
              <w:jc w:val="center"/>
              <w:rPr>
                <w:rFonts w:ascii="David" w:hAnsi="David"/>
                <w:bCs/>
                <w:sz w:val="32"/>
                <w:szCs w:val="32"/>
                <w:u w:val="single"/>
                <w:rtl/>
              </w:rPr>
            </w:pPr>
          </w:p>
        </w:tc>
      </w:tr>
      <w:bookmarkEnd w:id="5"/>
    </w:tbl>
    <w:p w14:paraId="76AADD9F" w14:textId="77777777" w:rsidR="00734FC6" w:rsidRPr="000F2247" w:rsidRDefault="00734FC6" w:rsidP="00734FC6">
      <w:pPr>
        <w:rPr>
          <w:rFonts w:ascii="Arial" w:hAnsi="Arial"/>
          <w:b/>
          <w:bCs/>
          <w:sz w:val="26"/>
          <w:szCs w:val="26"/>
          <w:rtl/>
        </w:rPr>
      </w:pPr>
    </w:p>
    <w:p w14:paraId="14050331" w14:textId="77777777" w:rsidR="00734FC6" w:rsidRDefault="00734FC6" w:rsidP="00734FC6">
      <w:pPr>
        <w:jc w:val="center"/>
        <w:rPr>
          <w:rFonts w:ascii="David" w:hAnsi="David"/>
          <w:b/>
          <w:bCs/>
          <w:u w:val="single"/>
          <w:rtl/>
        </w:rPr>
      </w:pPr>
    </w:p>
    <w:p w14:paraId="1F582DF8" w14:textId="77777777" w:rsidR="00734FC6" w:rsidRDefault="00734FC6" w:rsidP="00734FC6">
      <w:pPr>
        <w:spacing w:line="360" w:lineRule="auto"/>
        <w:rPr>
          <w:rFonts w:ascii="David" w:hAnsi="David"/>
          <w:b/>
          <w:bCs/>
          <w:u w:val="single"/>
          <w:rtl/>
        </w:rPr>
      </w:pPr>
      <w:r>
        <w:rPr>
          <w:rFonts w:ascii="David" w:hAnsi="David"/>
          <w:b/>
          <w:bCs/>
          <w:u w:val="single"/>
          <w:rtl/>
        </w:rPr>
        <w:t>האישום והסדר הטיעון</w:t>
      </w:r>
    </w:p>
    <w:p w14:paraId="14E83B4B" w14:textId="77777777" w:rsidR="00734FC6" w:rsidRDefault="00734FC6" w:rsidP="00734FC6">
      <w:pPr>
        <w:spacing w:line="360" w:lineRule="auto"/>
        <w:jc w:val="both"/>
        <w:rPr>
          <w:rFonts w:ascii="David" w:hAnsi="David"/>
          <w:b/>
          <w:bCs/>
          <w:u w:val="single"/>
          <w:rtl/>
        </w:rPr>
      </w:pPr>
    </w:p>
    <w:p w14:paraId="2C376891" w14:textId="77777777" w:rsidR="00734FC6" w:rsidRDefault="00734FC6" w:rsidP="00734FC6">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הנאשמים הורשעו על יסוד הודאתם בכתב אישום מתוקן, בעבירות כדלקמן: </w:t>
      </w:r>
    </w:p>
    <w:p w14:paraId="64B33E9E" w14:textId="77777777" w:rsidR="00734FC6" w:rsidRDefault="00734FC6" w:rsidP="00734FC6">
      <w:pPr>
        <w:pStyle w:val="a9"/>
        <w:spacing w:line="360" w:lineRule="auto"/>
        <w:ind w:left="1080"/>
        <w:jc w:val="both"/>
        <w:rPr>
          <w:rFonts w:ascii="David" w:hAnsi="David" w:cs="David"/>
          <w:sz w:val="24"/>
          <w:szCs w:val="24"/>
        </w:rPr>
      </w:pPr>
    </w:p>
    <w:p w14:paraId="4B76193A" w14:textId="77777777" w:rsidR="00734FC6" w:rsidRDefault="00734FC6" w:rsidP="00734FC6">
      <w:pPr>
        <w:pStyle w:val="a9"/>
        <w:numPr>
          <w:ilvl w:val="0"/>
          <w:numId w:val="2"/>
        </w:numPr>
        <w:spacing w:line="360" w:lineRule="auto"/>
        <w:jc w:val="both"/>
        <w:rPr>
          <w:rFonts w:ascii="David" w:hAnsi="David" w:cs="David"/>
          <w:b/>
          <w:bCs/>
          <w:sz w:val="24"/>
          <w:szCs w:val="24"/>
        </w:rPr>
      </w:pPr>
      <w:r>
        <w:rPr>
          <w:rFonts w:ascii="David" w:hAnsi="David" w:cs="David"/>
          <w:b/>
          <w:bCs/>
          <w:sz w:val="24"/>
          <w:szCs w:val="24"/>
          <w:rtl/>
        </w:rPr>
        <w:t xml:space="preserve">הנאשם 1:  </w:t>
      </w:r>
    </w:p>
    <w:p w14:paraId="0CB29A25" w14:textId="77777777" w:rsidR="00734FC6" w:rsidRDefault="00734FC6" w:rsidP="00734FC6">
      <w:pPr>
        <w:pStyle w:val="a9"/>
        <w:spacing w:line="360" w:lineRule="auto"/>
        <w:ind w:left="1440"/>
        <w:jc w:val="both"/>
        <w:rPr>
          <w:rFonts w:ascii="David" w:hAnsi="David" w:cs="David"/>
          <w:sz w:val="24"/>
          <w:szCs w:val="24"/>
        </w:rPr>
      </w:pPr>
      <w:r>
        <w:rPr>
          <w:rFonts w:ascii="David" w:hAnsi="David" w:cs="David"/>
          <w:sz w:val="24"/>
          <w:szCs w:val="24"/>
          <w:rtl/>
        </w:rPr>
        <w:t xml:space="preserve">הורשע על יסוד הודאתו בעבירות בנשק (נשיאה והובלה של נשק) – עבירה לפי </w:t>
      </w:r>
      <w:hyperlink r:id="rId13" w:history="1">
        <w:r w:rsidR="003674A8" w:rsidRPr="003674A8">
          <w:rPr>
            <w:rStyle w:val="Hyperlink"/>
            <w:rFonts w:ascii="David" w:hAnsi="David" w:cs="David"/>
            <w:sz w:val="24"/>
            <w:szCs w:val="24"/>
            <w:rtl/>
          </w:rPr>
          <w:t>סעיף 144(ב)</w:t>
        </w:r>
      </w:hyperlink>
      <w:r>
        <w:rPr>
          <w:rFonts w:ascii="David" w:hAnsi="David" w:cs="David"/>
          <w:sz w:val="24"/>
          <w:szCs w:val="24"/>
          <w:rtl/>
        </w:rPr>
        <w:t xml:space="preserve"> רישא ל</w:t>
      </w:r>
      <w:hyperlink r:id="rId14" w:history="1">
        <w:r w:rsidR="00F221AA" w:rsidRPr="00F221AA">
          <w:rPr>
            <w:rFonts w:ascii="David" w:hAnsi="David" w:cs="David"/>
            <w:color w:val="0000FF"/>
            <w:sz w:val="24"/>
            <w:szCs w:val="24"/>
            <w:u w:val="single"/>
            <w:rtl/>
          </w:rPr>
          <w:t>חוק העונשין</w:t>
        </w:r>
      </w:hyperlink>
      <w:r>
        <w:rPr>
          <w:rFonts w:ascii="David" w:hAnsi="David" w:cs="David"/>
          <w:sz w:val="24"/>
          <w:szCs w:val="24"/>
          <w:rtl/>
        </w:rPr>
        <w:t>, התשל"ז – 1977 (להלן: "</w:t>
      </w:r>
      <w:r>
        <w:rPr>
          <w:rFonts w:ascii="David" w:hAnsi="David" w:cs="David"/>
          <w:b/>
          <w:bCs/>
          <w:sz w:val="24"/>
          <w:szCs w:val="24"/>
          <w:rtl/>
        </w:rPr>
        <w:t>החוק</w:t>
      </w:r>
      <w:r>
        <w:rPr>
          <w:rFonts w:ascii="David" w:hAnsi="David" w:cs="David"/>
          <w:sz w:val="24"/>
          <w:szCs w:val="24"/>
          <w:rtl/>
        </w:rPr>
        <w:t xml:space="preserve">") ובעבירה של נהיגה ללא רישיון – עבירה לפי </w:t>
      </w:r>
      <w:hyperlink r:id="rId15" w:history="1">
        <w:r w:rsidR="003674A8" w:rsidRPr="003674A8">
          <w:rPr>
            <w:rStyle w:val="Hyperlink"/>
            <w:rFonts w:ascii="David" w:hAnsi="David" w:cs="David"/>
            <w:sz w:val="24"/>
            <w:szCs w:val="24"/>
            <w:rtl/>
          </w:rPr>
          <w:t>סעיף 10(א)</w:t>
        </w:r>
      </w:hyperlink>
      <w:r>
        <w:rPr>
          <w:rFonts w:ascii="David" w:hAnsi="David" w:cs="David"/>
          <w:sz w:val="24"/>
          <w:szCs w:val="24"/>
          <w:rtl/>
        </w:rPr>
        <w:t xml:space="preserve"> ל</w:t>
      </w:r>
      <w:hyperlink r:id="rId16" w:history="1">
        <w:r w:rsidR="00F221AA" w:rsidRPr="00F221AA">
          <w:rPr>
            <w:rFonts w:ascii="David" w:hAnsi="David" w:cs="David"/>
            <w:color w:val="0000FF"/>
            <w:sz w:val="24"/>
            <w:szCs w:val="24"/>
            <w:u w:val="single"/>
            <w:rtl/>
          </w:rPr>
          <w:t>פקודת התעבורה</w:t>
        </w:r>
      </w:hyperlink>
      <w:r>
        <w:rPr>
          <w:rFonts w:ascii="David" w:hAnsi="David" w:cs="David"/>
          <w:sz w:val="24"/>
          <w:szCs w:val="24"/>
          <w:rtl/>
        </w:rPr>
        <w:t xml:space="preserve"> תשכ"א- 1961 (להלן: "</w:t>
      </w:r>
      <w:r>
        <w:rPr>
          <w:rFonts w:ascii="David" w:hAnsi="David" w:cs="David"/>
          <w:b/>
          <w:bCs/>
          <w:sz w:val="24"/>
          <w:szCs w:val="24"/>
          <w:rtl/>
        </w:rPr>
        <w:t>הפקודה</w:t>
      </w:r>
      <w:r>
        <w:rPr>
          <w:rFonts w:ascii="David" w:hAnsi="David" w:cs="David"/>
          <w:sz w:val="24"/>
          <w:szCs w:val="24"/>
          <w:rtl/>
        </w:rPr>
        <w:t xml:space="preserve">"). </w:t>
      </w:r>
    </w:p>
    <w:p w14:paraId="3AD02946" w14:textId="77777777" w:rsidR="00734FC6" w:rsidRDefault="00734FC6" w:rsidP="00734FC6">
      <w:pPr>
        <w:pStyle w:val="a9"/>
        <w:spacing w:line="360" w:lineRule="auto"/>
        <w:ind w:left="1440"/>
        <w:jc w:val="both"/>
        <w:rPr>
          <w:rFonts w:ascii="David" w:hAnsi="David" w:cs="David"/>
          <w:sz w:val="24"/>
          <w:szCs w:val="24"/>
          <w:rtl/>
        </w:rPr>
      </w:pPr>
    </w:p>
    <w:p w14:paraId="5ECC463C" w14:textId="77777777" w:rsidR="00734FC6" w:rsidRDefault="00734FC6" w:rsidP="00734FC6">
      <w:pPr>
        <w:pStyle w:val="a9"/>
        <w:numPr>
          <w:ilvl w:val="0"/>
          <w:numId w:val="2"/>
        </w:numPr>
        <w:spacing w:line="360" w:lineRule="auto"/>
        <w:jc w:val="both"/>
        <w:rPr>
          <w:rFonts w:ascii="David" w:hAnsi="David" w:cs="David"/>
          <w:b/>
          <w:bCs/>
          <w:sz w:val="24"/>
          <w:szCs w:val="24"/>
          <w:rtl/>
        </w:rPr>
      </w:pPr>
      <w:r>
        <w:rPr>
          <w:rFonts w:ascii="David" w:hAnsi="David" w:cs="David"/>
          <w:b/>
          <w:bCs/>
          <w:sz w:val="24"/>
          <w:szCs w:val="24"/>
          <w:rtl/>
        </w:rPr>
        <w:t xml:space="preserve">הנאשם 2: </w:t>
      </w:r>
    </w:p>
    <w:p w14:paraId="5DAF4389" w14:textId="77777777" w:rsidR="00734FC6" w:rsidRDefault="00734FC6" w:rsidP="00734FC6">
      <w:pPr>
        <w:pStyle w:val="a9"/>
        <w:spacing w:line="360" w:lineRule="auto"/>
        <w:ind w:left="1440"/>
        <w:jc w:val="both"/>
        <w:rPr>
          <w:rFonts w:ascii="David" w:hAnsi="David" w:cs="David"/>
          <w:sz w:val="24"/>
          <w:szCs w:val="24"/>
        </w:rPr>
      </w:pPr>
      <w:r>
        <w:rPr>
          <w:rFonts w:ascii="David" w:hAnsi="David" w:cs="David"/>
          <w:sz w:val="24"/>
          <w:szCs w:val="24"/>
          <w:rtl/>
        </w:rPr>
        <w:t xml:space="preserve">הורשע על יסוד הודאתו בעבירה של סיוע לעבירות בנשק (נשיאה והובלה של נשק) עבירה לפי </w:t>
      </w:r>
      <w:hyperlink r:id="rId17" w:history="1">
        <w:r w:rsidR="003674A8" w:rsidRPr="003674A8">
          <w:rPr>
            <w:rStyle w:val="Hyperlink"/>
            <w:rFonts w:ascii="David" w:hAnsi="David" w:cs="David"/>
            <w:sz w:val="24"/>
            <w:szCs w:val="24"/>
            <w:rtl/>
          </w:rPr>
          <w:t>סעיף 144(ב)</w:t>
        </w:r>
      </w:hyperlink>
      <w:r>
        <w:rPr>
          <w:rFonts w:ascii="David" w:hAnsi="David" w:cs="David"/>
          <w:sz w:val="24"/>
          <w:szCs w:val="24"/>
          <w:rtl/>
        </w:rPr>
        <w:t xml:space="preserve"> רישא ביחד עם </w:t>
      </w:r>
      <w:hyperlink r:id="rId18" w:history="1">
        <w:r w:rsidR="003674A8" w:rsidRPr="003674A8">
          <w:rPr>
            <w:rStyle w:val="Hyperlink"/>
            <w:rFonts w:ascii="David" w:hAnsi="David" w:cs="David"/>
            <w:sz w:val="24"/>
            <w:szCs w:val="24"/>
            <w:rtl/>
          </w:rPr>
          <w:t>סעיף 31</w:t>
        </w:r>
      </w:hyperlink>
      <w:r>
        <w:rPr>
          <w:rFonts w:ascii="David" w:hAnsi="David" w:cs="David"/>
          <w:sz w:val="24"/>
          <w:szCs w:val="24"/>
          <w:rtl/>
        </w:rPr>
        <w:t xml:space="preserve"> לחוק. </w:t>
      </w:r>
    </w:p>
    <w:p w14:paraId="27BED382" w14:textId="77777777" w:rsidR="00734FC6" w:rsidRDefault="00734FC6" w:rsidP="00734FC6">
      <w:pPr>
        <w:spacing w:line="360" w:lineRule="auto"/>
        <w:jc w:val="both"/>
        <w:rPr>
          <w:rFonts w:ascii="David" w:hAnsi="David"/>
          <w:rtl/>
        </w:rPr>
      </w:pPr>
    </w:p>
    <w:p w14:paraId="5EC4FBEA" w14:textId="77777777" w:rsidR="00734FC6" w:rsidRDefault="00734FC6" w:rsidP="00734FC6">
      <w:pPr>
        <w:pStyle w:val="a9"/>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על פי עובדות כתב האישום המתוקן במועד הרלוונטי לכתב האישום לא היה ברשותו של הנאשם</w:t>
      </w:r>
      <w:r>
        <w:rPr>
          <w:rFonts w:ascii="David" w:hAnsi="David" w:cs="David" w:hint="cs"/>
          <w:sz w:val="24"/>
          <w:szCs w:val="24"/>
          <w:rtl/>
        </w:rPr>
        <w:t xml:space="preserve"> 1</w:t>
      </w:r>
      <w:r>
        <w:rPr>
          <w:rFonts w:ascii="David" w:hAnsi="David" w:cs="David"/>
          <w:sz w:val="24"/>
          <w:szCs w:val="24"/>
          <w:rtl/>
        </w:rPr>
        <w:t xml:space="preserve"> רישיון נהיגה מכל סוג שהוא.</w:t>
      </w:r>
    </w:p>
    <w:p w14:paraId="46012A1B" w14:textId="77777777" w:rsidR="00734FC6" w:rsidRDefault="00734FC6" w:rsidP="00734FC6">
      <w:pPr>
        <w:pStyle w:val="a9"/>
        <w:spacing w:line="360" w:lineRule="auto"/>
        <w:jc w:val="both"/>
        <w:rPr>
          <w:rFonts w:ascii="David" w:hAnsi="David" w:cs="David"/>
          <w:sz w:val="24"/>
          <w:szCs w:val="24"/>
          <w:rtl/>
        </w:rPr>
      </w:pPr>
      <w:bookmarkStart w:id="7" w:name="ABSTRACT_END"/>
      <w:bookmarkEnd w:id="7"/>
    </w:p>
    <w:p w14:paraId="35B92F71" w14:textId="77777777" w:rsidR="00734FC6" w:rsidRDefault="00734FC6" w:rsidP="00734FC6">
      <w:pPr>
        <w:pStyle w:val="a9"/>
        <w:spacing w:line="360" w:lineRule="auto"/>
        <w:jc w:val="both"/>
        <w:rPr>
          <w:rFonts w:ascii="David" w:hAnsi="David" w:cs="David"/>
          <w:sz w:val="24"/>
          <w:szCs w:val="24"/>
          <w:rtl/>
        </w:rPr>
      </w:pPr>
    </w:p>
    <w:p w14:paraId="1C5DCF87" w14:textId="77777777" w:rsidR="00734FC6" w:rsidRDefault="00734FC6" w:rsidP="00734FC6">
      <w:pPr>
        <w:pStyle w:val="a9"/>
        <w:spacing w:line="360" w:lineRule="auto"/>
        <w:jc w:val="both"/>
        <w:rPr>
          <w:rFonts w:ascii="David" w:hAnsi="David" w:cs="David"/>
          <w:sz w:val="24"/>
          <w:szCs w:val="24"/>
        </w:rPr>
      </w:pPr>
    </w:p>
    <w:p w14:paraId="55EF40D6" w14:textId="77777777" w:rsidR="00734FC6" w:rsidRDefault="00734FC6" w:rsidP="00734FC6">
      <w:pPr>
        <w:pStyle w:val="a9"/>
        <w:spacing w:line="360" w:lineRule="auto"/>
        <w:jc w:val="both"/>
        <w:rPr>
          <w:rFonts w:ascii="David" w:hAnsi="David" w:cs="David"/>
          <w:sz w:val="24"/>
          <w:szCs w:val="24"/>
          <w:rtl/>
        </w:rPr>
      </w:pPr>
      <w:r>
        <w:rPr>
          <w:rFonts w:ascii="David" w:hAnsi="David" w:cs="David"/>
          <w:sz w:val="24"/>
          <w:szCs w:val="24"/>
          <w:rtl/>
        </w:rPr>
        <w:t>בתאריך 26.06.22, בשעה 00:30 או בסמוך לכך, הנאשם 1 נסע ברכב מסוג שברולט מ.ר</w:t>
      </w:r>
    </w:p>
    <w:p w14:paraId="569746EE" w14:textId="77777777" w:rsidR="00734FC6" w:rsidRDefault="00734FC6" w:rsidP="00734FC6">
      <w:pPr>
        <w:pStyle w:val="a9"/>
        <w:spacing w:line="360" w:lineRule="auto"/>
        <w:jc w:val="both"/>
        <w:rPr>
          <w:rFonts w:ascii="David" w:hAnsi="David" w:cs="David"/>
          <w:sz w:val="24"/>
          <w:szCs w:val="24"/>
          <w:rtl/>
        </w:rPr>
      </w:pPr>
      <w:r>
        <w:rPr>
          <w:rFonts w:ascii="David" w:hAnsi="David" w:cs="David"/>
          <w:sz w:val="24"/>
          <w:szCs w:val="24"/>
          <w:rtl/>
        </w:rPr>
        <w:t xml:space="preserve">37-225-72 (להלן: "הרכב") על כביש 316, כשנאשם 1 נוהג ברכב והוא נושא ומוביל בצוותא חדא מאחורי המושבים הקדמיים על רצפת הרכב, נשק – רובה מסוג </w:t>
      </w:r>
      <w:r>
        <w:rPr>
          <w:rFonts w:ascii="David" w:hAnsi="David" w:cs="David"/>
          <w:sz w:val="24"/>
          <w:szCs w:val="24"/>
        </w:rPr>
        <w:t>M16</w:t>
      </w:r>
      <w:r>
        <w:rPr>
          <w:rFonts w:ascii="David" w:hAnsi="David" w:cs="David"/>
          <w:sz w:val="24"/>
          <w:szCs w:val="24"/>
          <w:rtl/>
        </w:rPr>
        <w:t xml:space="preserve"> בצבע שחור עם חיפוי בצבע חאקי (להלן: "הנשק") אשר יש בכוחו להמית אדם.</w:t>
      </w:r>
    </w:p>
    <w:p w14:paraId="0488F59A" w14:textId="77777777" w:rsidR="00734FC6" w:rsidRDefault="00734FC6" w:rsidP="00734FC6">
      <w:pPr>
        <w:pStyle w:val="a9"/>
        <w:spacing w:line="360" w:lineRule="auto"/>
        <w:jc w:val="both"/>
        <w:rPr>
          <w:rFonts w:ascii="David" w:hAnsi="David" w:cs="David"/>
          <w:sz w:val="24"/>
          <w:szCs w:val="24"/>
          <w:rtl/>
        </w:rPr>
      </w:pPr>
    </w:p>
    <w:p w14:paraId="1542BFF5" w14:textId="77777777" w:rsidR="00734FC6" w:rsidRDefault="00734FC6" w:rsidP="00734FC6">
      <w:pPr>
        <w:pStyle w:val="a9"/>
        <w:spacing w:line="360" w:lineRule="auto"/>
        <w:jc w:val="both"/>
        <w:rPr>
          <w:rFonts w:ascii="David" w:hAnsi="David" w:cs="David"/>
          <w:sz w:val="24"/>
          <w:szCs w:val="24"/>
          <w:rtl/>
        </w:rPr>
      </w:pPr>
      <w:r>
        <w:rPr>
          <w:rFonts w:ascii="David" w:hAnsi="David" w:cs="David"/>
          <w:sz w:val="24"/>
          <w:szCs w:val="24"/>
          <w:rtl/>
        </w:rPr>
        <w:t>באותו מועד נאשם 2 סיפ</w:t>
      </w:r>
      <w:r>
        <w:rPr>
          <w:rFonts w:ascii="David" w:hAnsi="David" w:cs="David" w:hint="cs"/>
          <w:sz w:val="24"/>
          <w:szCs w:val="24"/>
          <w:rtl/>
        </w:rPr>
        <w:t>ק</w:t>
      </w:r>
      <w:r>
        <w:rPr>
          <w:rFonts w:ascii="David" w:hAnsi="David" w:cs="David"/>
          <w:sz w:val="24"/>
          <w:szCs w:val="24"/>
          <w:rtl/>
        </w:rPr>
        <w:t xml:space="preserve"> רכב לנאשם 1 והצטרף לבקשתו לנסיעה מבלי שידע על קיום הנשק ברכב אך חשד בכך, וכל זאת על מנת להקל על ביצוע העבירה. </w:t>
      </w:r>
    </w:p>
    <w:p w14:paraId="3CCAD785" w14:textId="77777777" w:rsidR="00734FC6" w:rsidRDefault="00734FC6" w:rsidP="00734FC6">
      <w:pPr>
        <w:pStyle w:val="a9"/>
        <w:spacing w:line="360" w:lineRule="auto"/>
        <w:jc w:val="both"/>
        <w:rPr>
          <w:rFonts w:ascii="David" w:hAnsi="David" w:cs="David"/>
          <w:sz w:val="24"/>
          <w:szCs w:val="24"/>
          <w:rtl/>
        </w:rPr>
      </w:pPr>
    </w:p>
    <w:p w14:paraId="4CBAE806" w14:textId="77777777" w:rsidR="00734FC6" w:rsidRDefault="00734FC6" w:rsidP="00734FC6">
      <w:pPr>
        <w:pStyle w:val="a9"/>
        <w:spacing w:line="360" w:lineRule="auto"/>
        <w:jc w:val="both"/>
        <w:rPr>
          <w:rFonts w:ascii="David" w:hAnsi="David" w:cs="David"/>
          <w:sz w:val="24"/>
          <w:szCs w:val="24"/>
          <w:rtl/>
        </w:rPr>
      </w:pPr>
      <w:r>
        <w:rPr>
          <w:rFonts w:ascii="David" w:hAnsi="David" w:cs="David"/>
          <w:sz w:val="24"/>
          <w:szCs w:val="24"/>
          <w:rtl/>
        </w:rPr>
        <w:t>במועד ובמקום הנ"ל חיילים, אשר היו בפעילות שגרתית במקום,  הבחינו ברכב ובנאשמים,  והורו להם לעצור.  הנאשמים, בתגובה, החלו בנסיעה לאחור במטרה להתחמק מהמקום, אך עצרו את הרכב לאחר שהחייל ו.ג כיוון לעברם את נשקו וצעק לעברם לעצור</w:t>
      </w:r>
      <w:r>
        <w:rPr>
          <w:rFonts w:ascii="David" w:hAnsi="David" w:cs="David" w:hint="cs"/>
          <w:sz w:val="24"/>
          <w:szCs w:val="24"/>
          <w:rtl/>
        </w:rPr>
        <w:t>.</w:t>
      </w:r>
      <w:r>
        <w:rPr>
          <w:rFonts w:ascii="David" w:hAnsi="David" w:cs="David"/>
          <w:sz w:val="24"/>
          <w:szCs w:val="24"/>
          <w:rtl/>
        </w:rPr>
        <w:t xml:space="preserve"> </w:t>
      </w:r>
    </w:p>
    <w:p w14:paraId="39641ECC" w14:textId="77777777" w:rsidR="00734FC6" w:rsidRDefault="00734FC6" w:rsidP="00734FC6">
      <w:pPr>
        <w:pStyle w:val="a9"/>
        <w:spacing w:line="360" w:lineRule="auto"/>
        <w:jc w:val="both"/>
        <w:rPr>
          <w:rFonts w:ascii="David" w:hAnsi="David" w:cs="David"/>
          <w:sz w:val="24"/>
          <w:szCs w:val="24"/>
          <w:rtl/>
        </w:rPr>
      </w:pPr>
    </w:p>
    <w:p w14:paraId="50FE522C" w14:textId="77777777" w:rsidR="00734FC6" w:rsidRDefault="00734FC6" w:rsidP="00734FC6">
      <w:pPr>
        <w:pStyle w:val="a9"/>
        <w:spacing w:line="360" w:lineRule="auto"/>
        <w:jc w:val="both"/>
        <w:rPr>
          <w:rFonts w:ascii="David" w:hAnsi="David" w:cs="David"/>
          <w:sz w:val="24"/>
          <w:szCs w:val="24"/>
          <w:rtl/>
        </w:rPr>
      </w:pPr>
      <w:r>
        <w:rPr>
          <w:rFonts w:ascii="David" w:hAnsi="David" w:cs="David"/>
          <w:sz w:val="24"/>
          <w:szCs w:val="24"/>
          <w:rtl/>
        </w:rPr>
        <w:t xml:space="preserve">סמוך לאחר מעצר הנאשמים, במהלך חיפוש שביצעו החיילים ברכב תפסו את הנשק הנ"ל. </w:t>
      </w:r>
    </w:p>
    <w:p w14:paraId="47A34890" w14:textId="77777777" w:rsidR="00734FC6" w:rsidRDefault="00734FC6" w:rsidP="00734FC6">
      <w:pPr>
        <w:pStyle w:val="a9"/>
        <w:spacing w:line="360" w:lineRule="auto"/>
        <w:jc w:val="both"/>
        <w:rPr>
          <w:rFonts w:ascii="David" w:hAnsi="David" w:cs="David"/>
          <w:sz w:val="24"/>
          <w:szCs w:val="24"/>
          <w:rtl/>
        </w:rPr>
      </w:pPr>
    </w:p>
    <w:p w14:paraId="5E238956" w14:textId="77777777" w:rsidR="00734FC6" w:rsidRDefault="00734FC6" w:rsidP="00734FC6">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הנאשמים הודו בכתב האישום המתוקן במסגרת הסדר טיעון ולאחר שנשמעו מרבית עדי התביעה. </w:t>
      </w:r>
    </w:p>
    <w:p w14:paraId="14589DF5" w14:textId="77777777" w:rsidR="00734FC6" w:rsidRDefault="00734FC6" w:rsidP="00734FC6">
      <w:pPr>
        <w:pStyle w:val="a9"/>
        <w:spacing w:line="360" w:lineRule="auto"/>
        <w:jc w:val="both"/>
        <w:rPr>
          <w:rFonts w:ascii="David" w:hAnsi="David" w:cs="David"/>
          <w:sz w:val="24"/>
          <w:szCs w:val="24"/>
          <w:rtl/>
        </w:rPr>
      </w:pPr>
      <w:r>
        <w:rPr>
          <w:rFonts w:ascii="David" w:hAnsi="David" w:cs="David"/>
          <w:sz w:val="24"/>
          <w:szCs w:val="24"/>
          <w:rtl/>
        </w:rPr>
        <w:t xml:space="preserve">במסגרת ההסדר הוסכם כי הצדדים יעתרו במשותף כי בית המשפט יגזור על הנאשמים את העונשים הבאים: </w:t>
      </w:r>
    </w:p>
    <w:p w14:paraId="26B08132" w14:textId="77777777" w:rsidR="00734FC6" w:rsidRDefault="00734FC6" w:rsidP="00734FC6">
      <w:pPr>
        <w:pStyle w:val="a9"/>
        <w:spacing w:line="360" w:lineRule="auto"/>
        <w:jc w:val="both"/>
        <w:rPr>
          <w:rFonts w:ascii="David" w:hAnsi="David" w:cs="David"/>
          <w:b/>
          <w:bCs/>
          <w:sz w:val="24"/>
          <w:szCs w:val="24"/>
          <w:rtl/>
        </w:rPr>
      </w:pPr>
    </w:p>
    <w:p w14:paraId="5C590FB0" w14:textId="77777777" w:rsidR="00734FC6" w:rsidRDefault="00734FC6" w:rsidP="00734FC6">
      <w:pPr>
        <w:pStyle w:val="a9"/>
        <w:spacing w:line="360" w:lineRule="auto"/>
        <w:jc w:val="both"/>
        <w:rPr>
          <w:rFonts w:ascii="David" w:hAnsi="David" w:cs="David"/>
          <w:b/>
          <w:bCs/>
          <w:sz w:val="24"/>
          <w:szCs w:val="24"/>
          <w:u w:val="single"/>
          <w:rtl/>
        </w:rPr>
      </w:pPr>
      <w:r>
        <w:rPr>
          <w:rFonts w:ascii="David" w:hAnsi="David" w:cs="David"/>
          <w:b/>
          <w:bCs/>
          <w:sz w:val="24"/>
          <w:szCs w:val="24"/>
          <w:u w:val="single"/>
          <w:rtl/>
        </w:rPr>
        <w:lastRenderedPageBreak/>
        <w:t xml:space="preserve">לנאשם 1: </w:t>
      </w:r>
    </w:p>
    <w:p w14:paraId="5FBBB970" w14:textId="77777777" w:rsidR="00734FC6" w:rsidRDefault="00734FC6" w:rsidP="00734FC6">
      <w:pPr>
        <w:pStyle w:val="a9"/>
        <w:numPr>
          <w:ilvl w:val="0"/>
          <w:numId w:val="3"/>
        </w:numPr>
        <w:spacing w:line="360" w:lineRule="auto"/>
        <w:jc w:val="both"/>
        <w:rPr>
          <w:rFonts w:ascii="David" w:hAnsi="David" w:cs="David"/>
          <w:sz w:val="24"/>
          <w:szCs w:val="24"/>
          <w:rtl/>
        </w:rPr>
      </w:pPr>
      <w:r>
        <w:rPr>
          <w:rFonts w:ascii="David" w:hAnsi="David" w:cs="David"/>
          <w:sz w:val="24"/>
          <w:szCs w:val="24"/>
          <w:rtl/>
        </w:rPr>
        <w:t xml:space="preserve">עונש מאסר בפועל בן 30 חודשים, בניכוי ימי מעצרו. </w:t>
      </w:r>
    </w:p>
    <w:p w14:paraId="3FC5EA1C" w14:textId="77777777" w:rsidR="00734FC6" w:rsidRDefault="00734FC6" w:rsidP="00734FC6">
      <w:pPr>
        <w:pStyle w:val="a9"/>
        <w:numPr>
          <w:ilvl w:val="0"/>
          <w:numId w:val="3"/>
        </w:numPr>
        <w:spacing w:line="360" w:lineRule="auto"/>
        <w:jc w:val="both"/>
        <w:rPr>
          <w:rFonts w:ascii="David" w:hAnsi="David" w:cs="David"/>
          <w:sz w:val="24"/>
          <w:szCs w:val="24"/>
        </w:rPr>
      </w:pPr>
      <w:r>
        <w:rPr>
          <w:rFonts w:ascii="David" w:hAnsi="David" w:cs="David"/>
          <w:sz w:val="24"/>
          <w:szCs w:val="24"/>
          <w:rtl/>
        </w:rPr>
        <w:t>מאסר על תנאי, קנס ופסילת רישיון נהיגה על תנאי לשיקול דעת בית המשפט.</w:t>
      </w:r>
    </w:p>
    <w:p w14:paraId="26B307A5" w14:textId="77777777" w:rsidR="00734FC6" w:rsidRDefault="00734FC6" w:rsidP="00734FC6">
      <w:pPr>
        <w:spacing w:line="360" w:lineRule="auto"/>
        <w:ind w:left="720"/>
        <w:jc w:val="both"/>
        <w:rPr>
          <w:rFonts w:ascii="David" w:hAnsi="David"/>
          <w:b/>
          <w:bCs/>
        </w:rPr>
      </w:pPr>
    </w:p>
    <w:p w14:paraId="3D3905C1" w14:textId="77777777" w:rsidR="00734FC6" w:rsidRDefault="00734FC6" w:rsidP="00734FC6">
      <w:pPr>
        <w:spacing w:line="360" w:lineRule="auto"/>
        <w:ind w:left="720"/>
        <w:jc w:val="both"/>
        <w:rPr>
          <w:rFonts w:ascii="David" w:hAnsi="David"/>
          <w:b/>
          <w:bCs/>
          <w:u w:val="single"/>
          <w:rtl/>
        </w:rPr>
      </w:pPr>
      <w:r>
        <w:rPr>
          <w:rFonts w:ascii="David" w:hAnsi="David"/>
          <w:b/>
          <w:bCs/>
          <w:u w:val="single"/>
          <w:rtl/>
        </w:rPr>
        <w:t xml:space="preserve">לנאשם 2: </w:t>
      </w:r>
    </w:p>
    <w:p w14:paraId="4F9E9B86" w14:textId="77777777" w:rsidR="00734FC6" w:rsidRDefault="00734FC6" w:rsidP="00734FC6">
      <w:pPr>
        <w:pStyle w:val="a9"/>
        <w:numPr>
          <w:ilvl w:val="0"/>
          <w:numId w:val="4"/>
        </w:numPr>
        <w:spacing w:line="360" w:lineRule="auto"/>
        <w:jc w:val="both"/>
        <w:rPr>
          <w:rFonts w:ascii="David" w:hAnsi="David" w:cs="David"/>
          <w:sz w:val="24"/>
          <w:szCs w:val="24"/>
          <w:rtl/>
        </w:rPr>
      </w:pPr>
      <w:r>
        <w:rPr>
          <w:rFonts w:ascii="David" w:hAnsi="David" w:cs="David"/>
          <w:sz w:val="24"/>
          <w:szCs w:val="24"/>
          <w:rtl/>
        </w:rPr>
        <w:t>עונש מאסר בפועל בן 17 חודשים, בניכוי ימי מעצרו</w:t>
      </w:r>
      <w:r>
        <w:rPr>
          <w:rFonts w:ascii="David" w:hAnsi="David" w:cs="David" w:hint="cs"/>
          <w:sz w:val="24"/>
          <w:szCs w:val="24"/>
          <w:rtl/>
        </w:rPr>
        <w:t>.</w:t>
      </w:r>
    </w:p>
    <w:p w14:paraId="12C1386D" w14:textId="77777777" w:rsidR="00734FC6" w:rsidRDefault="00734FC6" w:rsidP="00734FC6">
      <w:pPr>
        <w:pStyle w:val="a9"/>
        <w:numPr>
          <w:ilvl w:val="0"/>
          <w:numId w:val="4"/>
        </w:numPr>
        <w:spacing w:line="360" w:lineRule="auto"/>
        <w:jc w:val="both"/>
        <w:rPr>
          <w:rFonts w:ascii="David" w:hAnsi="David" w:cs="David"/>
          <w:sz w:val="24"/>
          <w:szCs w:val="24"/>
        </w:rPr>
      </w:pPr>
      <w:r>
        <w:rPr>
          <w:rFonts w:ascii="David" w:hAnsi="David" w:cs="David"/>
          <w:sz w:val="24"/>
          <w:szCs w:val="24"/>
          <w:rtl/>
        </w:rPr>
        <w:t>מאסר על תנאי וקנס לשיקול דעת בית המשפט.</w:t>
      </w:r>
    </w:p>
    <w:p w14:paraId="199E71C9" w14:textId="77777777" w:rsidR="00734FC6" w:rsidRDefault="00734FC6" w:rsidP="00734FC6">
      <w:pPr>
        <w:spacing w:line="360" w:lineRule="auto"/>
        <w:jc w:val="both"/>
        <w:rPr>
          <w:rFonts w:ascii="David" w:hAnsi="David"/>
          <w:rtl/>
        </w:rPr>
      </w:pPr>
    </w:p>
    <w:p w14:paraId="6E7FEABB" w14:textId="77777777" w:rsidR="00734FC6" w:rsidRDefault="00734FC6" w:rsidP="00734FC6">
      <w:pPr>
        <w:spacing w:line="360" w:lineRule="auto"/>
        <w:jc w:val="both"/>
        <w:rPr>
          <w:rFonts w:ascii="David" w:hAnsi="David"/>
          <w:rtl/>
        </w:rPr>
      </w:pPr>
    </w:p>
    <w:p w14:paraId="3C5D0969" w14:textId="77777777" w:rsidR="00734FC6" w:rsidRDefault="00734FC6" w:rsidP="00734FC6">
      <w:pPr>
        <w:spacing w:line="360" w:lineRule="auto"/>
        <w:jc w:val="both"/>
        <w:rPr>
          <w:rFonts w:ascii="David" w:hAnsi="David"/>
          <w:rtl/>
        </w:rPr>
      </w:pPr>
    </w:p>
    <w:p w14:paraId="583ED630" w14:textId="77777777" w:rsidR="00734FC6" w:rsidRDefault="00734FC6" w:rsidP="00734FC6">
      <w:pPr>
        <w:spacing w:line="360" w:lineRule="auto"/>
        <w:jc w:val="both"/>
        <w:rPr>
          <w:rFonts w:ascii="David" w:hAnsi="David"/>
          <w:rtl/>
        </w:rPr>
      </w:pPr>
    </w:p>
    <w:p w14:paraId="7DABCF7E" w14:textId="77777777" w:rsidR="00734FC6" w:rsidRDefault="00734FC6" w:rsidP="00734FC6">
      <w:pPr>
        <w:spacing w:line="360" w:lineRule="auto"/>
        <w:jc w:val="both"/>
        <w:rPr>
          <w:rFonts w:ascii="David" w:hAnsi="David"/>
        </w:rPr>
      </w:pPr>
    </w:p>
    <w:p w14:paraId="43440FBB" w14:textId="77777777" w:rsidR="00734FC6" w:rsidRDefault="00734FC6" w:rsidP="00734FC6">
      <w:pPr>
        <w:spacing w:line="360" w:lineRule="auto"/>
        <w:jc w:val="both"/>
        <w:rPr>
          <w:rFonts w:ascii="David" w:hAnsi="David"/>
        </w:rPr>
      </w:pPr>
      <w:r>
        <w:rPr>
          <w:rFonts w:ascii="David" w:hAnsi="David"/>
          <w:b/>
          <w:bCs/>
          <w:u w:val="single"/>
          <w:rtl/>
        </w:rPr>
        <w:t>טיעונים לעונש:</w:t>
      </w:r>
    </w:p>
    <w:p w14:paraId="251C559F" w14:textId="77777777" w:rsidR="00734FC6" w:rsidRDefault="00734FC6" w:rsidP="00734FC6">
      <w:pPr>
        <w:pStyle w:val="a9"/>
        <w:numPr>
          <w:ilvl w:val="0"/>
          <w:numId w:val="1"/>
        </w:numPr>
        <w:spacing w:line="360" w:lineRule="auto"/>
        <w:jc w:val="both"/>
        <w:rPr>
          <w:rFonts w:ascii="David" w:hAnsi="David" w:cs="David"/>
          <w:sz w:val="24"/>
          <w:szCs w:val="24"/>
          <w:rtl/>
        </w:rPr>
      </w:pPr>
      <w:r>
        <w:rPr>
          <w:rFonts w:ascii="David" w:hAnsi="David" w:cs="David"/>
          <w:b/>
          <w:bCs/>
          <w:sz w:val="24"/>
          <w:szCs w:val="24"/>
          <w:rtl/>
        </w:rPr>
        <w:t>באת כוח המאשימה</w:t>
      </w:r>
      <w:r>
        <w:rPr>
          <w:rFonts w:ascii="David" w:hAnsi="David" w:cs="David"/>
          <w:sz w:val="24"/>
          <w:szCs w:val="24"/>
          <w:rtl/>
        </w:rPr>
        <w:t xml:space="preserve"> עתרה לכבד את הסדר הטיעון הגם שלשיטתה הוא מקל וזאת לאחר שנשקלו כלל השיקולים. ההסדר הנו תולדה של גילם של הנאשמים, העדר עברם הפלילי, והקושי הראייתי שהתברר במהלך ניהול ההוכחות שעיקרו נעוץ בשרשרת המוצגים – שרשרת הנשק. ב"כ המאשימה טענה כי במסגרת הסדר הטיעון ניתן משקל גם להודאת הנאשמים, לקיחת האחריות ולחיסכון בזמן השיפוטי.</w:t>
      </w:r>
    </w:p>
    <w:p w14:paraId="4B0D82B0" w14:textId="77777777" w:rsidR="00734FC6" w:rsidRDefault="00734FC6" w:rsidP="00734FC6">
      <w:pPr>
        <w:pStyle w:val="a9"/>
        <w:spacing w:line="360" w:lineRule="auto"/>
        <w:jc w:val="both"/>
        <w:rPr>
          <w:rFonts w:ascii="David" w:hAnsi="David" w:cs="David"/>
          <w:sz w:val="24"/>
          <w:szCs w:val="24"/>
          <w:rtl/>
        </w:rPr>
      </w:pPr>
    </w:p>
    <w:p w14:paraId="605B702E" w14:textId="77777777" w:rsidR="00734FC6" w:rsidRDefault="00734FC6" w:rsidP="00734FC6">
      <w:pPr>
        <w:pStyle w:val="a9"/>
        <w:numPr>
          <w:ilvl w:val="0"/>
          <w:numId w:val="1"/>
        </w:numPr>
        <w:spacing w:line="360" w:lineRule="auto"/>
        <w:jc w:val="both"/>
        <w:rPr>
          <w:rFonts w:ascii="David" w:hAnsi="David" w:cs="David"/>
          <w:sz w:val="24"/>
          <w:szCs w:val="24"/>
          <w:rtl/>
        </w:rPr>
      </w:pPr>
      <w:r>
        <w:rPr>
          <w:rFonts w:ascii="David" w:hAnsi="David" w:cs="David"/>
          <w:sz w:val="24"/>
          <w:szCs w:val="24"/>
          <w:rtl/>
        </w:rPr>
        <w:t>בא כוח הנאשם 1 הצטרף לדברי ב"כ המאשימה וביקש לכבד ההסדר שהנו ראוי והולם. ב"כ הנאשם 1 ביקר את מדיניות ההחמרה בענישה בה נוקט בית משפט שכן לדבריו הפתרון לעבירות הנשק במגזר לא צריך להגיע מבית המשפט וכי המענה הנכון הנו בתחום החינוך, האכיפה ושיפור התשתיות. עוד הוסיף ב"כ הנאשם כי יש לעשות את ההבחנה בין נאשם לנאשם ובענייננו הנאשמים צעירים, ועונש מאסר ממושך עלול לפגוע בהם יותר מאשר להועיל. ב"כ הנאשם 1 הפנה לתסקיר שירות המבחן בעניינו של הנאשם.</w:t>
      </w:r>
    </w:p>
    <w:p w14:paraId="2EEB712C" w14:textId="77777777" w:rsidR="00734FC6" w:rsidRDefault="00734FC6" w:rsidP="00734FC6">
      <w:pPr>
        <w:pStyle w:val="a9"/>
        <w:spacing w:line="360" w:lineRule="auto"/>
        <w:jc w:val="both"/>
        <w:rPr>
          <w:rFonts w:ascii="David" w:hAnsi="David" w:cs="David"/>
          <w:sz w:val="24"/>
          <w:szCs w:val="24"/>
        </w:rPr>
      </w:pPr>
      <w:r>
        <w:rPr>
          <w:rFonts w:ascii="David" w:hAnsi="David" w:cs="David"/>
          <w:sz w:val="24"/>
          <w:szCs w:val="24"/>
        </w:rPr>
        <w:t xml:space="preserve"> </w:t>
      </w:r>
    </w:p>
    <w:p w14:paraId="1961845F" w14:textId="77777777" w:rsidR="00734FC6" w:rsidRDefault="00734FC6" w:rsidP="00734FC6">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בא כוח הנאשם 2 הצטרף לדברי חברו ועתר לכבד את הסדר הטיעון תוך שהפנה לתסקיר שירות המבחן בעניינו של הנאשם. </w:t>
      </w:r>
    </w:p>
    <w:p w14:paraId="4D1FECC1" w14:textId="77777777" w:rsidR="00734FC6" w:rsidRDefault="00734FC6" w:rsidP="00734FC6">
      <w:pPr>
        <w:pStyle w:val="a9"/>
        <w:spacing w:line="360" w:lineRule="auto"/>
        <w:jc w:val="both"/>
        <w:rPr>
          <w:rFonts w:ascii="David" w:hAnsi="David" w:cs="David"/>
          <w:sz w:val="24"/>
          <w:szCs w:val="24"/>
        </w:rPr>
      </w:pPr>
      <w:r>
        <w:rPr>
          <w:rFonts w:ascii="David" w:hAnsi="David" w:cs="David"/>
          <w:sz w:val="24"/>
          <w:szCs w:val="24"/>
          <w:rtl/>
        </w:rPr>
        <w:t xml:space="preserve">נטען כי אין בהרתעה כדי למגר או לצמצם הפשיעה במגזר ולראיה כי למרות מדיניות ההחמרה בענישה האלימות גואה. לדבריו המצב בחברה הערבית נגרם גם בשל כישלון של המדינה שלא הפנתה משאבים מספיקים לטיפול בתשתיות ובחינוך. </w:t>
      </w:r>
    </w:p>
    <w:p w14:paraId="5CCA8373" w14:textId="77777777" w:rsidR="00734FC6" w:rsidRDefault="00734FC6" w:rsidP="00734FC6">
      <w:pPr>
        <w:pStyle w:val="a9"/>
        <w:spacing w:line="360" w:lineRule="auto"/>
        <w:jc w:val="both"/>
        <w:rPr>
          <w:rFonts w:ascii="David" w:hAnsi="David" w:cs="David"/>
          <w:sz w:val="24"/>
          <w:szCs w:val="24"/>
        </w:rPr>
      </w:pPr>
      <w:r>
        <w:rPr>
          <w:rFonts w:ascii="David" w:hAnsi="David" w:cs="David"/>
          <w:sz w:val="24"/>
          <w:szCs w:val="24"/>
          <w:rtl/>
        </w:rPr>
        <w:t xml:space="preserve">הסניגור הוסיף כי למרות שחלק מעדי התביעה נשמעו הרי שיש לתן משקל לחסכון בזמן השיפוטי, ולקושי הראייתי שציינה המאשימה אשר הביא את הצדדים להסדר הטיעון. ב"כ הנאשם 2 עתר לקנס מתון וציין כי הנאשם 2 שוחרר בהליך המ"ת למעצר בית בפיקוח  אלקטרוני, אך נוכח חוסר במשאבים וקושי לעמוד בתשלומי השכירות ביקש, בלית ברירה, לחזור לתנאי מעצר מאחורי סורג ובריח. </w:t>
      </w:r>
    </w:p>
    <w:p w14:paraId="6021BCB9" w14:textId="77777777" w:rsidR="00734FC6" w:rsidRDefault="00734FC6" w:rsidP="00734FC6">
      <w:pPr>
        <w:pStyle w:val="a9"/>
        <w:rPr>
          <w:rFonts w:ascii="David" w:hAnsi="David" w:cs="David"/>
          <w:sz w:val="24"/>
          <w:szCs w:val="24"/>
        </w:rPr>
      </w:pPr>
    </w:p>
    <w:p w14:paraId="0951FF45" w14:textId="77777777" w:rsidR="00734FC6" w:rsidRDefault="00734FC6" w:rsidP="00734FC6">
      <w:pPr>
        <w:pStyle w:val="a9"/>
        <w:numPr>
          <w:ilvl w:val="0"/>
          <w:numId w:val="1"/>
        </w:numPr>
        <w:spacing w:line="360" w:lineRule="auto"/>
        <w:jc w:val="both"/>
        <w:rPr>
          <w:rFonts w:ascii="David" w:hAnsi="David" w:cs="David"/>
          <w:sz w:val="24"/>
          <w:szCs w:val="24"/>
          <w:rtl/>
        </w:rPr>
      </w:pPr>
      <w:r>
        <w:rPr>
          <w:rFonts w:ascii="David" w:hAnsi="David" w:cs="David"/>
          <w:sz w:val="24"/>
          <w:szCs w:val="24"/>
          <w:rtl/>
        </w:rPr>
        <w:t>הנאשם 1 אמר כי הוא מודה ומצטער על מעשיו. לדבריו הוא יודע שזו עבירה חמורה.</w:t>
      </w:r>
    </w:p>
    <w:p w14:paraId="29BAA96C" w14:textId="77777777" w:rsidR="00734FC6" w:rsidRDefault="00734FC6" w:rsidP="00734FC6">
      <w:pPr>
        <w:spacing w:line="360" w:lineRule="auto"/>
        <w:jc w:val="both"/>
        <w:rPr>
          <w:rFonts w:ascii="David" w:hAnsi="David"/>
        </w:rPr>
      </w:pPr>
    </w:p>
    <w:p w14:paraId="79026647" w14:textId="77777777" w:rsidR="00734FC6" w:rsidRDefault="00734FC6" w:rsidP="00734FC6">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2 אמר כי הוא מתבייש במעשיו ולא יחזור על מעשיו פעם נוספת או על שום עבירה אחרת.  </w:t>
      </w:r>
    </w:p>
    <w:p w14:paraId="6C1AAE06" w14:textId="77777777" w:rsidR="00734FC6" w:rsidRDefault="00734FC6" w:rsidP="00734FC6">
      <w:pPr>
        <w:pStyle w:val="a9"/>
        <w:spacing w:line="360" w:lineRule="auto"/>
        <w:jc w:val="both"/>
        <w:rPr>
          <w:rFonts w:ascii="David" w:hAnsi="David" w:cs="David"/>
          <w:sz w:val="24"/>
          <w:szCs w:val="24"/>
          <w:rtl/>
        </w:rPr>
      </w:pPr>
    </w:p>
    <w:p w14:paraId="5692FC50" w14:textId="77777777" w:rsidR="00734FC6" w:rsidRDefault="00734FC6" w:rsidP="00734FC6">
      <w:pPr>
        <w:pStyle w:val="a9"/>
        <w:spacing w:line="360" w:lineRule="auto"/>
        <w:jc w:val="both"/>
        <w:rPr>
          <w:rFonts w:ascii="David" w:hAnsi="David" w:cs="David"/>
          <w:sz w:val="24"/>
          <w:szCs w:val="24"/>
          <w:rtl/>
        </w:rPr>
      </w:pPr>
    </w:p>
    <w:p w14:paraId="5FE664B3" w14:textId="77777777" w:rsidR="00734FC6" w:rsidRDefault="00734FC6" w:rsidP="00734FC6">
      <w:pPr>
        <w:pStyle w:val="a9"/>
        <w:spacing w:line="360" w:lineRule="auto"/>
        <w:jc w:val="both"/>
        <w:rPr>
          <w:rFonts w:ascii="David" w:hAnsi="David" w:cs="David"/>
          <w:sz w:val="24"/>
          <w:szCs w:val="24"/>
          <w:rtl/>
        </w:rPr>
      </w:pPr>
    </w:p>
    <w:p w14:paraId="24B2067D" w14:textId="77777777" w:rsidR="00734FC6" w:rsidRDefault="00734FC6" w:rsidP="00734FC6">
      <w:pPr>
        <w:pStyle w:val="a9"/>
        <w:spacing w:line="360" w:lineRule="auto"/>
        <w:jc w:val="both"/>
        <w:rPr>
          <w:rFonts w:ascii="David" w:hAnsi="David" w:cs="David"/>
          <w:sz w:val="24"/>
          <w:szCs w:val="24"/>
        </w:rPr>
      </w:pPr>
    </w:p>
    <w:p w14:paraId="5CAFAC9F" w14:textId="77777777" w:rsidR="00734FC6" w:rsidRDefault="00734FC6" w:rsidP="00734FC6">
      <w:pPr>
        <w:spacing w:line="360" w:lineRule="auto"/>
        <w:ind w:left="720" w:hanging="720"/>
        <w:jc w:val="both"/>
        <w:rPr>
          <w:rFonts w:ascii="David" w:hAnsi="David"/>
          <w:b/>
          <w:bCs/>
          <w:u w:val="single"/>
        </w:rPr>
      </w:pPr>
      <w:r>
        <w:rPr>
          <w:rFonts w:ascii="David" w:hAnsi="David"/>
          <w:b/>
          <w:bCs/>
          <w:u w:val="single"/>
          <w:rtl/>
        </w:rPr>
        <w:t>דיון והכרעה:</w:t>
      </w:r>
    </w:p>
    <w:p w14:paraId="5A7E26FA" w14:textId="77777777" w:rsidR="00734FC6" w:rsidRDefault="00734FC6" w:rsidP="00734FC6">
      <w:pPr>
        <w:pStyle w:val="a9"/>
        <w:numPr>
          <w:ilvl w:val="0"/>
          <w:numId w:val="1"/>
        </w:numPr>
        <w:spacing w:line="360" w:lineRule="auto"/>
        <w:jc w:val="both"/>
        <w:rPr>
          <w:rFonts w:ascii="David" w:hAnsi="David" w:cs="David"/>
          <w:sz w:val="24"/>
          <w:szCs w:val="24"/>
          <w:rtl/>
        </w:rPr>
      </w:pPr>
      <w:r>
        <w:rPr>
          <w:rFonts w:ascii="David" w:hAnsi="David" w:cs="David"/>
          <w:b/>
          <w:bCs/>
          <w:sz w:val="24"/>
          <w:szCs w:val="24"/>
          <w:rtl/>
        </w:rPr>
        <w:t xml:space="preserve">הנאשם  1 </w:t>
      </w:r>
      <w:r>
        <w:rPr>
          <w:rFonts w:ascii="David" w:hAnsi="David" w:cs="David"/>
          <w:sz w:val="24"/>
          <w:szCs w:val="24"/>
          <w:rtl/>
        </w:rPr>
        <w:t xml:space="preserve"> -  יליד 2002, נעדר עבר פלילי, הורשע במסגרת הסדר טיעון בעבירות בנשק (נשיאה והובלה של נשק) ובעבירה של נהיגה ללא רישיון. עצור מיום 26.6.22.</w:t>
      </w:r>
    </w:p>
    <w:p w14:paraId="34AA2F25" w14:textId="77777777" w:rsidR="00734FC6" w:rsidRDefault="00734FC6" w:rsidP="00734FC6">
      <w:pPr>
        <w:pStyle w:val="a9"/>
        <w:spacing w:line="360" w:lineRule="auto"/>
        <w:jc w:val="both"/>
        <w:rPr>
          <w:rFonts w:ascii="David" w:hAnsi="David" w:cs="David"/>
          <w:sz w:val="24"/>
          <w:szCs w:val="24"/>
        </w:rPr>
      </w:pPr>
    </w:p>
    <w:p w14:paraId="7FDF6E9C" w14:textId="77777777" w:rsidR="00734FC6" w:rsidRDefault="00734FC6" w:rsidP="00734FC6">
      <w:pPr>
        <w:pStyle w:val="a9"/>
        <w:spacing w:line="360" w:lineRule="auto"/>
        <w:jc w:val="both"/>
        <w:rPr>
          <w:rFonts w:ascii="David" w:hAnsi="David" w:cs="David"/>
          <w:sz w:val="24"/>
          <w:szCs w:val="24"/>
        </w:rPr>
      </w:pPr>
      <w:r>
        <w:rPr>
          <w:rFonts w:ascii="David" w:hAnsi="David" w:cs="David"/>
          <w:b/>
          <w:bCs/>
          <w:sz w:val="24"/>
          <w:szCs w:val="24"/>
          <w:rtl/>
        </w:rPr>
        <w:t>הנאשם 2</w:t>
      </w:r>
      <w:r>
        <w:rPr>
          <w:rFonts w:ascii="David" w:hAnsi="David" w:cs="David"/>
          <w:sz w:val="24"/>
          <w:szCs w:val="24"/>
          <w:rtl/>
        </w:rPr>
        <w:t xml:space="preserve">  - יליד 2003, נעדר עבר פלילי, הורשע במסגרת הסדר טיעון בעבירה של סיוע בעבירות בנשק (נשיאה והובלה של נשק). עצור מיום 26.6.22. </w:t>
      </w:r>
    </w:p>
    <w:p w14:paraId="39A36483" w14:textId="77777777" w:rsidR="00734FC6" w:rsidRDefault="00734FC6" w:rsidP="00734FC6">
      <w:pPr>
        <w:pStyle w:val="a9"/>
        <w:spacing w:line="360" w:lineRule="auto"/>
        <w:jc w:val="both"/>
        <w:rPr>
          <w:rFonts w:ascii="David" w:hAnsi="David" w:cs="David"/>
          <w:sz w:val="24"/>
          <w:szCs w:val="24"/>
          <w:rtl/>
        </w:rPr>
      </w:pPr>
    </w:p>
    <w:p w14:paraId="4C53C996" w14:textId="77777777" w:rsidR="00734FC6" w:rsidRDefault="00734FC6" w:rsidP="00734FC6">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הערכים החברתיים המוגנים בעבירות נשק כוללים שמירת החיים והגוף, בטחון הציבור ושמירת הסדר הציבורי.  </w:t>
      </w:r>
    </w:p>
    <w:p w14:paraId="45694AB8" w14:textId="77777777" w:rsidR="00734FC6" w:rsidRDefault="00734FC6" w:rsidP="00734FC6">
      <w:pPr>
        <w:pStyle w:val="a9"/>
        <w:spacing w:line="360" w:lineRule="auto"/>
        <w:jc w:val="both"/>
        <w:rPr>
          <w:rFonts w:ascii="David" w:hAnsi="David" w:cs="David"/>
          <w:sz w:val="24"/>
          <w:szCs w:val="24"/>
        </w:rPr>
      </w:pPr>
    </w:p>
    <w:p w14:paraId="73645CC4" w14:textId="77777777" w:rsidR="00734FC6" w:rsidRDefault="00734FC6" w:rsidP="00734FC6">
      <w:pPr>
        <w:pStyle w:val="a9"/>
        <w:spacing w:line="360" w:lineRule="auto"/>
        <w:jc w:val="both"/>
        <w:rPr>
          <w:rFonts w:ascii="David" w:hAnsi="David" w:cs="David"/>
          <w:sz w:val="24"/>
          <w:szCs w:val="24"/>
          <w:rtl/>
        </w:rPr>
      </w:pPr>
      <w:r>
        <w:rPr>
          <w:rFonts w:ascii="David" w:hAnsi="David" w:cs="David"/>
          <w:sz w:val="24"/>
          <w:szCs w:val="24"/>
          <w:rtl/>
        </w:rPr>
        <w:t xml:space="preserve">רבות נפסק על הסיכון הגלום בעבירות בנשק, גם אם לא נעשה בהם שימוש, וראו לעניין זה </w:t>
      </w:r>
      <w:hyperlink r:id="rId19" w:history="1">
        <w:r w:rsidR="00F221AA" w:rsidRPr="00F221AA">
          <w:rPr>
            <w:rFonts w:ascii="David" w:hAnsi="David" w:cs="David"/>
            <w:color w:val="0000FF"/>
            <w:sz w:val="24"/>
            <w:szCs w:val="24"/>
            <w:u w:val="single"/>
            <w:rtl/>
          </w:rPr>
          <w:t>ע"פ 7502/12</w:t>
        </w:r>
      </w:hyperlink>
      <w:r>
        <w:rPr>
          <w:rFonts w:ascii="David" w:hAnsi="David" w:cs="David"/>
          <w:sz w:val="24"/>
          <w:szCs w:val="24"/>
          <w:rtl/>
        </w:rPr>
        <w:t xml:space="preserve"> בסאם כוויס נגד מ"י (25.06.2013):</w:t>
      </w:r>
    </w:p>
    <w:p w14:paraId="6C47C8EE" w14:textId="77777777" w:rsidR="00734FC6" w:rsidRDefault="00734FC6" w:rsidP="00734FC6">
      <w:pPr>
        <w:pStyle w:val="a9"/>
        <w:spacing w:line="360" w:lineRule="auto"/>
        <w:jc w:val="both"/>
        <w:rPr>
          <w:rFonts w:ascii="David" w:hAnsi="David" w:cs="David"/>
          <w:sz w:val="24"/>
          <w:szCs w:val="24"/>
          <w:rtl/>
        </w:rPr>
      </w:pPr>
    </w:p>
    <w:p w14:paraId="18F44AE0" w14:textId="77777777" w:rsidR="00734FC6" w:rsidRDefault="00734FC6" w:rsidP="00734FC6">
      <w:pPr>
        <w:pStyle w:val="a9"/>
        <w:spacing w:line="360" w:lineRule="auto"/>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כפי שנפסק, לא אחת, עבירות בנשק לסוגיהן מגלמות בתוכן סיכון ממשי לשלום הציבור ולביטחונו, שכן לא ניתן לדעת להיכן יתגלגלו כלי הנשק המוחזקים שלא כדין, ואיזה שימוש יעשה בהם בעתיד</w:t>
      </w:r>
      <w:r>
        <w:rPr>
          <w:rFonts w:ascii="David" w:hAnsi="David" w:cs="David"/>
          <w:sz w:val="24"/>
          <w:szCs w:val="24"/>
          <w:rtl/>
        </w:rPr>
        <w:t>."</w:t>
      </w:r>
    </w:p>
    <w:p w14:paraId="6EE922F4" w14:textId="77777777" w:rsidR="00734FC6" w:rsidRDefault="00734FC6" w:rsidP="00734FC6">
      <w:pPr>
        <w:pStyle w:val="a9"/>
        <w:spacing w:line="360" w:lineRule="auto"/>
        <w:jc w:val="both"/>
        <w:rPr>
          <w:rFonts w:ascii="David" w:hAnsi="David" w:cs="David"/>
          <w:sz w:val="24"/>
          <w:szCs w:val="24"/>
          <w:rtl/>
        </w:rPr>
      </w:pPr>
    </w:p>
    <w:p w14:paraId="00EED199" w14:textId="77777777" w:rsidR="00734FC6" w:rsidRDefault="00734FC6" w:rsidP="00734FC6">
      <w:pPr>
        <w:pStyle w:val="a9"/>
        <w:spacing w:line="360" w:lineRule="auto"/>
        <w:jc w:val="both"/>
        <w:rPr>
          <w:rFonts w:ascii="David" w:hAnsi="David" w:cs="David"/>
          <w:sz w:val="24"/>
          <w:szCs w:val="24"/>
          <w:rtl/>
        </w:rPr>
      </w:pPr>
      <w:r>
        <w:rPr>
          <w:rFonts w:ascii="David" w:hAnsi="David" w:cs="David"/>
          <w:sz w:val="24"/>
          <w:szCs w:val="24"/>
          <w:rtl/>
        </w:rPr>
        <w:t xml:space="preserve">מיגור התופעה, שהוכרה בפסיקה בשנים האחרונות כמכת מדינה, הינו אינטרס ציבורי חשוב, ויש לעשות זאת גם באמצעות ענישה מחמירה ומרתיעה. הקלות הבלתי נסבלת בביצוע עבירות </w:t>
      </w:r>
      <w:r>
        <w:rPr>
          <w:rFonts w:ascii="David" w:hAnsi="David" w:cs="David" w:hint="cs"/>
          <w:sz w:val="24"/>
          <w:szCs w:val="24"/>
          <w:rtl/>
        </w:rPr>
        <w:t>ב</w:t>
      </w:r>
      <w:r>
        <w:rPr>
          <w:rFonts w:ascii="David" w:hAnsi="David" w:cs="David"/>
          <w:sz w:val="24"/>
          <w:szCs w:val="24"/>
          <w:rtl/>
        </w:rPr>
        <w:t>נשק מחייבת מענה הולם של בתי המשפט.</w:t>
      </w:r>
    </w:p>
    <w:p w14:paraId="64EB7DDF" w14:textId="77777777" w:rsidR="00734FC6" w:rsidRDefault="00734FC6" w:rsidP="00734FC6">
      <w:pPr>
        <w:pStyle w:val="a9"/>
        <w:spacing w:line="360" w:lineRule="auto"/>
        <w:jc w:val="both"/>
        <w:rPr>
          <w:rFonts w:ascii="David" w:hAnsi="David" w:cs="David"/>
          <w:b/>
          <w:bCs/>
          <w:sz w:val="24"/>
          <w:szCs w:val="24"/>
          <w:rtl/>
        </w:rPr>
      </w:pPr>
    </w:p>
    <w:p w14:paraId="3948C30F" w14:textId="77777777" w:rsidR="00734FC6" w:rsidRDefault="00734FC6" w:rsidP="00734FC6">
      <w:pPr>
        <w:pStyle w:val="a9"/>
        <w:spacing w:line="360" w:lineRule="auto"/>
        <w:jc w:val="both"/>
        <w:rPr>
          <w:rFonts w:ascii="David" w:hAnsi="David" w:cs="David"/>
          <w:b/>
          <w:bCs/>
          <w:sz w:val="24"/>
          <w:szCs w:val="24"/>
          <w:rtl/>
        </w:rPr>
      </w:pPr>
      <w:r>
        <w:rPr>
          <w:rFonts w:ascii="David" w:hAnsi="David" w:cs="David"/>
          <w:b/>
          <w:bCs/>
          <w:sz w:val="24"/>
          <w:szCs w:val="24"/>
          <w:rtl/>
        </w:rPr>
        <w:t xml:space="preserve">" ...הטלת עונשים חמורים ומרתיעים על עברייני נשק היא עיקר תרומתם של בתי המשפט למיגור התופעה ולהרחקת העבריין עם האקדח משגרת חייהם של אזרחי מדינה שומרי חוק " </w:t>
      </w:r>
      <w:hyperlink r:id="rId20" w:history="1">
        <w:r w:rsidR="00F221AA" w:rsidRPr="00F221AA">
          <w:rPr>
            <w:rFonts w:ascii="David" w:hAnsi="David" w:cs="David"/>
            <w:b/>
            <w:bCs/>
            <w:color w:val="0000FF"/>
            <w:sz w:val="24"/>
            <w:szCs w:val="24"/>
            <w:u w:val="single"/>
            <w:rtl/>
          </w:rPr>
          <w:t>ע"פ 147/21</w:t>
        </w:r>
      </w:hyperlink>
      <w:r>
        <w:rPr>
          <w:rFonts w:ascii="David" w:hAnsi="David" w:cs="David"/>
          <w:b/>
          <w:bCs/>
          <w:sz w:val="24"/>
          <w:szCs w:val="24"/>
          <w:rtl/>
        </w:rPr>
        <w:t xml:space="preserve"> מ"י נ' ביטון (14.2.21).</w:t>
      </w:r>
    </w:p>
    <w:p w14:paraId="376FDCBC" w14:textId="77777777" w:rsidR="00734FC6" w:rsidRDefault="00734FC6" w:rsidP="00734FC6">
      <w:pPr>
        <w:pStyle w:val="a9"/>
        <w:spacing w:line="360" w:lineRule="auto"/>
        <w:jc w:val="both"/>
        <w:rPr>
          <w:rFonts w:ascii="David" w:hAnsi="David" w:cs="David"/>
          <w:b/>
          <w:bCs/>
          <w:sz w:val="24"/>
          <w:szCs w:val="24"/>
          <w:rtl/>
        </w:rPr>
      </w:pPr>
    </w:p>
    <w:p w14:paraId="5973DA4F" w14:textId="77777777" w:rsidR="00734FC6" w:rsidRDefault="00734FC6" w:rsidP="00734FC6">
      <w:pPr>
        <w:pStyle w:val="a9"/>
        <w:spacing w:line="360" w:lineRule="auto"/>
        <w:jc w:val="both"/>
        <w:rPr>
          <w:rFonts w:ascii="David" w:hAnsi="David" w:cs="David"/>
          <w:sz w:val="24"/>
          <w:szCs w:val="24"/>
          <w:rtl/>
        </w:rPr>
      </w:pPr>
      <w:r>
        <w:rPr>
          <w:rFonts w:ascii="David" w:hAnsi="David" w:cs="David"/>
          <w:sz w:val="24"/>
          <w:szCs w:val="24"/>
          <w:rtl/>
        </w:rPr>
        <w:t xml:space="preserve">יוער לעניין זה כי החמרת הענישה כמפורט לעיל, נדרשת ורלוונטית גם בעבירת הסיוע, שכן, כפי שכבר קבעתי בת"פ </w:t>
      </w:r>
      <w:hyperlink r:id="rId21" w:history="1">
        <w:r w:rsidR="002B3430" w:rsidRPr="002B3430">
          <w:rPr>
            <w:rFonts w:ascii="David" w:hAnsi="David" w:cs="David"/>
            <w:color w:val="0000FF"/>
            <w:sz w:val="24"/>
            <w:szCs w:val="24"/>
            <w:u w:val="single"/>
            <w:rtl/>
          </w:rPr>
          <w:t xml:space="preserve">2476-07-22 </w:t>
        </w:r>
      </w:hyperlink>
      <w:r>
        <w:rPr>
          <w:rFonts w:ascii="David" w:hAnsi="David" w:cs="David"/>
          <w:sz w:val="24"/>
          <w:szCs w:val="24"/>
          <w:rtl/>
        </w:rPr>
        <w:t xml:space="preserve"> </w:t>
      </w:r>
      <w:r>
        <w:rPr>
          <w:rFonts w:ascii="David" w:hAnsi="David" w:cs="David"/>
          <w:b/>
          <w:bCs/>
          <w:sz w:val="24"/>
          <w:szCs w:val="24"/>
          <w:rtl/>
        </w:rPr>
        <w:t xml:space="preserve">מדינת ישראל נ' אבו אלקעאן </w:t>
      </w:r>
      <w:r>
        <w:rPr>
          <w:rFonts w:ascii="David" w:hAnsi="David" w:cs="David"/>
          <w:sz w:val="24"/>
          <w:szCs w:val="24"/>
          <w:rtl/>
        </w:rPr>
        <w:t>(1.5.23), המסייע הינו חלק בשרשרת עבירות הנשק, והערכים המוגנים בעניינו זהים בעיקרם.</w:t>
      </w:r>
    </w:p>
    <w:p w14:paraId="4C8AE383" w14:textId="77777777" w:rsidR="00734FC6" w:rsidRDefault="00734FC6" w:rsidP="00734FC6">
      <w:pPr>
        <w:pStyle w:val="a9"/>
        <w:spacing w:line="360" w:lineRule="auto"/>
        <w:jc w:val="both"/>
        <w:rPr>
          <w:rFonts w:ascii="David" w:hAnsi="David" w:cs="David"/>
          <w:sz w:val="24"/>
          <w:szCs w:val="24"/>
          <w:rtl/>
        </w:rPr>
      </w:pPr>
    </w:p>
    <w:p w14:paraId="0746F821" w14:textId="77777777" w:rsidR="00734FC6" w:rsidRDefault="00734FC6" w:rsidP="00734FC6">
      <w:pPr>
        <w:pStyle w:val="a9"/>
        <w:spacing w:line="360" w:lineRule="auto"/>
        <w:jc w:val="both"/>
        <w:rPr>
          <w:rFonts w:ascii="David" w:hAnsi="David" w:cs="David"/>
          <w:sz w:val="24"/>
          <w:szCs w:val="24"/>
          <w:rtl/>
        </w:rPr>
      </w:pPr>
    </w:p>
    <w:p w14:paraId="48A9ADCE" w14:textId="77777777" w:rsidR="00734FC6" w:rsidRDefault="00734FC6" w:rsidP="00734FC6">
      <w:pPr>
        <w:pStyle w:val="a9"/>
        <w:spacing w:line="360" w:lineRule="auto"/>
        <w:jc w:val="both"/>
        <w:rPr>
          <w:rFonts w:ascii="David" w:hAnsi="David" w:cs="David"/>
          <w:sz w:val="24"/>
          <w:szCs w:val="24"/>
          <w:rtl/>
        </w:rPr>
      </w:pPr>
    </w:p>
    <w:p w14:paraId="307D8AEF" w14:textId="77777777" w:rsidR="00734FC6" w:rsidRDefault="00734FC6" w:rsidP="00734FC6">
      <w:pPr>
        <w:pStyle w:val="a9"/>
        <w:spacing w:line="360" w:lineRule="auto"/>
        <w:jc w:val="both"/>
        <w:rPr>
          <w:rFonts w:ascii="David" w:hAnsi="David" w:cs="David"/>
          <w:sz w:val="24"/>
          <w:szCs w:val="24"/>
          <w:rtl/>
        </w:rPr>
      </w:pPr>
    </w:p>
    <w:p w14:paraId="5B47B728" w14:textId="77777777" w:rsidR="00734FC6" w:rsidRDefault="00734FC6" w:rsidP="00734FC6">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בענייננו הנאשם 1 נשא והוביל נשק התקפי בעל פוטנציאל נזק גדול וקטלני, תוך שהוא נעזר לשם כך ברכב.  על פי עובדות כתב האישום הנאשם 2 אמנם לא ידע על קיום הנשק ברכב אך חשד בכך, והסיוע שנתן לנאשם 1 היה משמעותי שכן סיפק את הרכב והצטרף לנסיעה. </w:t>
      </w:r>
      <w:r>
        <w:rPr>
          <w:rFonts w:ascii="David" w:hAnsi="David" w:cs="David" w:hint="cs"/>
          <w:sz w:val="24"/>
          <w:szCs w:val="24"/>
          <w:rtl/>
        </w:rPr>
        <w:t xml:space="preserve">יש ליתן חומרה נוספת לעובדה כי הנאשמים ניסו להתחמק מהחיילים בנסיעה לאחור ונעצרו אך ורק לאחר שחייל כיוון לעברם נשק. </w:t>
      </w:r>
    </w:p>
    <w:p w14:paraId="694A6C8B" w14:textId="77777777" w:rsidR="00734FC6" w:rsidRDefault="00734FC6" w:rsidP="00734FC6">
      <w:pPr>
        <w:pStyle w:val="a9"/>
        <w:spacing w:line="360" w:lineRule="auto"/>
        <w:jc w:val="both"/>
        <w:rPr>
          <w:rFonts w:ascii="David" w:hAnsi="David" w:cs="David"/>
          <w:sz w:val="24"/>
          <w:szCs w:val="24"/>
        </w:rPr>
      </w:pPr>
    </w:p>
    <w:p w14:paraId="673309BA" w14:textId="77777777" w:rsidR="00734FC6" w:rsidRDefault="00734FC6" w:rsidP="00734FC6">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לקולת העונש התחשבתי בגילם הצעיר של הנאשמים, בהיותם נעדרי עבר פלילי, בהודאתם, ובחרטה שהביעו. </w:t>
      </w:r>
    </w:p>
    <w:p w14:paraId="2C0920BA" w14:textId="77777777" w:rsidR="00734FC6" w:rsidRDefault="00734FC6" w:rsidP="00734FC6">
      <w:pPr>
        <w:pStyle w:val="a9"/>
        <w:spacing w:line="360" w:lineRule="auto"/>
        <w:jc w:val="both"/>
        <w:rPr>
          <w:rFonts w:ascii="David" w:hAnsi="David" w:cs="David"/>
          <w:sz w:val="24"/>
          <w:szCs w:val="24"/>
        </w:rPr>
      </w:pPr>
    </w:p>
    <w:p w14:paraId="75395895" w14:textId="77777777" w:rsidR="00734FC6" w:rsidRDefault="00734FC6" w:rsidP="00734FC6">
      <w:pPr>
        <w:pStyle w:val="a9"/>
        <w:numPr>
          <w:ilvl w:val="0"/>
          <w:numId w:val="1"/>
        </w:numPr>
        <w:spacing w:line="360" w:lineRule="auto"/>
        <w:jc w:val="both"/>
        <w:rPr>
          <w:rFonts w:ascii="David" w:hAnsi="David" w:cs="David"/>
          <w:sz w:val="24"/>
          <w:szCs w:val="24"/>
          <w:rtl/>
        </w:rPr>
      </w:pPr>
      <w:r>
        <w:rPr>
          <w:rFonts w:ascii="David" w:hAnsi="David" w:cs="David"/>
          <w:sz w:val="24"/>
          <w:szCs w:val="24"/>
          <w:rtl/>
        </w:rPr>
        <w:t>לאחר ששמעתי טיעוני באי כוח הצדדים, מצאתי, שלא</w:t>
      </w:r>
      <w:r>
        <w:rPr>
          <w:rFonts w:ascii="David" w:hAnsi="David" w:cs="David" w:hint="cs"/>
          <w:sz w:val="24"/>
          <w:szCs w:val="24"/>
          <w:rtl/>
        </w:rPr>
        <w:t xml:space="preserve"> בלי היסוס,</w:t>
      </w:r>
      <w:r>
        <w:rPr>
          <w:rFonts w:ascii="David" w:hAnsi="David" w:cs="David"/>
          <w:sz w:val="24"/>
          <w:szCs w:val="24"/>
          <w:rtl/>
        </w:rPr>
        <w:t xml:space="preserve"> </w:t>
      </w:r>
      <w:r>
        <w:rPr>
          <w:rFonts w:ascii="David" w:hAnsi="David" w:cs="David" w:hint="cs"/>
          <w:sz w:val="24"/>
          <w:szCs w:val="24"/>
          <w:rtl/>
        </w:rPr>
        <w:t xml:space="preserve">שלא </w:t>
      </w:r>
      <w:r>
        <w:rPr>
          <w:rFonts w:ascii="David" w:hAnsi="David" w:cs="David"/>
          <w:sz w:val="24"/>
          <w:szCs w:val="24"/>
          <w:rtl/>
        </w:rPr>
        <w:t>לחרוג מהסדר הטיעון בהינתן מדיניות בתי המשפט הנוגעת לכיבוד הסדר טיעון, גיל</w:t>
      </w:r>
      <w:r>
        <w:rPr>
          <w:rFonts w:ascii="David" w:hAnsi="David" w:cs="David" w:hint="cs"/>
          <w:sz w:val="24"/>
          <w:szCs w:val="24"/>
          <w:rtl/>
        </w:rPr>
        <w:t xml:space="preserve">ם הצעיר של  </w:t>
      </w:r>
      <w:r>
        <w:rPr>
          <w:rFonts w:ascii="David" w:hAnsi="David" w:cs="David"/>
          <w:sz w:val="24"/>
          <w:szCs w:val="24"/>
          <w:rtl/>
        </w:rPr>
        <w:t xml:space="preserve">הנאשמים והודאתם, </w:t>
      </w:r>
      <w:r w:rsidRPr="00A167B1">
        <w:rPr>
          <w:rFonts w:ascii="David" w:hAnsi="David" w:cs="David"/>
          <w:b/>
          <w:bCs/>
          <w:sz w:val="24"/>
          <w:szCs w:val="24"/>
          <w:rtl/>
        </w:rPr>
        <w:t>ובעיקר</w:t>
      </w:r>
      <w:r>
        <w:rPr>
          <w:rFonts w:ascii="David" w:hAnsi="David" w:cs="David"/>
          <w:sz w:val="24"/>
          <w:szCs w:val="24"/>
          <w:rtl/>
        </w:rPr>
        <w:t xml:space="preserve"> נוכח הקושי הראייתי עליו הצביעה המאשימה באשר לשרשרת המוצג (הנשק), וההנחה שמדובר בקושי של ממש שהיה בו כדי להשפיע על סיכויי ההרשעה, ובאופן הנותן משקל נוסף לעקרון ההסתמכות של הנאשמים כי בית המשפט יכבד את ההסדר. </w:t>
      </w:r>
    </w:p>
    <w:p w14:paraId="3408443D" w14:textId="77777777" w:rsidR="00734FC6" w:rsidRDefault="00734FC6" w:rsidP="00734FC6">
      <w:pPr>
        <w:spacing w:line="360" w:lineRule="auto"/>
        <w:ind w:left="720" w:hanging="720"/>
        <w:jc w:val="both"/>
        <w:rPr>
          <w:rFonts w:ascii="David" w:hAnsi="David"/>
        </w:rPr>
      </w:pPr>
      <w:r>
        <w:rPr>
          <w:rFonts w:ascii="David" w:hAnsi="David"/>
          <w:rtl/>
        </w:rPr>
        <w:tab/>
      </w:r>
    </w:p>
    <w:p w14:paraId="3C2EB898" w14:textId="77777777" w:rsidR="00734FC6" w:rsidRDefault="00734FC6" w:rsidP="00734FC6">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לאור האמור לעיל, אני גוזר על הנאשמים את העונשים הבאים:</w:t>
      </w:r>
    </w:p>
    <w:p w14:paraId="676C704A" w14:textId="77777777" w:rsidR="00734FC6" w:rsidRPr="00A167B1" w:rsidRDefault="00734FC6" w:rsidP="00734FC6">
      <w:pPr>
        <w:spacing w:line="360" w:lineRule="auto"/>
        <w:ind w:left="720" w:hanging="360"/>
        <w:jc w:val="both"/>
        <w:rPr>
          <w:rFonts w:ascii="David" w:hAnsi="David"/>
          <w:b/>
          <w:bCs/>
          <w:u w:val="single"/>
          <w:rtl/>
        </w:rPr>
      </w:pPr>
      <w:r w:rsidRPr="00A167B1">
        <w:rPr>
          <w:rFonts w:ascii="David" w:hAnsi="David"/>
          <w:b/>
          <w:bCs/>
          <w:u w:val="single"/>
          <w:rtl/>
        </w:rPr>
        <w:t xml:space="preserve">הנאשם 1: </w:t>
      </w:r>
    </w:p>
    <w:p w14:paraId="461CB541" w14:textId="77777777" w:rsidR="00734FC6" w:rsidRDefault="00734FC6" w:rsidP="00734FC6">
      <w:pPr>
        <w:pStyle w:val="a9"/>
        <w:numPr>
          <w:ilvl w:val="0"/>
          <w:numId w:val="5"/>
        </w:numPr>
        <w:spacing w:line="360" w:lineRule="auto"/>
        <w:jc w:val="both"/>
        <w:rPr>
          <w:rFonts w:ascii="David" w:hAnsi="David" w:cs="David"/>
          <w:sz w:val="24"/>
          <w:szCs w:val="24"/>
          <w:rtl/>
        </w:rPr>
      </w:pPr>
      <w:r w:rsidRPr="00313B40">
        <w:rPr>
          <w:rFonts w:ascii="David" w:hAnsi="David" w:cs="David"/>
          <w:sz w:val="24"/>
          <w:szCs w:val="24"/>
          <w:rtl/>
        </w:rPr>
        <w:t>30</w:t>
      </w:r>
      <w:r>
        <w:rPr>
          <w:rFonts w:ascii="David" w:hAnsi="David" w:cs="David"/>
          <w:sz w:val="24"/>
          <w:szCs w:val="24"/>
          <w:rtl/>
        </w:rPr>
        <w:t xml:space="preserve"> חודשי מאסר בפועל, בניכוי ימי מעצרו (מאחורי סורג ובריח בהתאם לרישומי שב"ס).</w:t>
      </w:r>
    </w:p>
    <w:p w14:paraId="56624771" w14:textId="77777777" w:rsidR="00734FC6" w:rsidRDefault="00734FC6" w:rsidP="00734FC6">
      <w:pPr>
        <w:pStyle w:val="a9"/>
        <w:spacing w:line="360" w:lineRule="auto"/>
        <w:jc w:val="both"/>
        <w:rPr>
          <w:rFonts w:ascii="David" w:hAnsi="David" w:cs="David"/>
          <w:sz w:val="24"/>
          <w:szCs w:val="24"/>
        </w:rPr>
      </w:pPr>
    </w:p>
    <w:p w14:paraId="135BA92C" w14:textId="77777777" w:rsidR="00734FC6" w:rsidRDefault="00734FC6" w:rsidP="00734FC6">
      <w:pPr>
        <w:pStyle w:val="a9"/>
        <w:numPr>
          <w:ilvl w:val="0"/>
          <w:numId w:val="5"/>
        </w:numPr>
        <w:spacing w:line="360" w:lineRule="auto"/>
        <w:jc w:val="both"/>
        <w:rPr>
          <w:rFonts w:ascii="David" w:hAnsi="David" w:cs="David"/>
          <w:sz w:val="24"/>
          <w:szCs w:val="24"/>
        </w:rPr>
      </w:pPr>
      <w:r>
        <w:rPr>
          <w:rFonts w:ascii="David" w:hAnsi="David" w:cs="David"/>
          <w:sz w:val="24"/>
          <w:szCs w:val="24"/>
          <w:rtl/>
        </w:rPr>
        <w:t xml:space="preserve">10 חודשי מאסר על תנאי למשך שלוש שנים מיום שחרורו שלא יעבור עבירה בנשק לפי </w:t>
      </w:r>
      <w:hyperlink r:id="rId22" w:history="1">
        <w:r w:rsidR="003674A8" w:rsidRPr="003674A8">
          <w:rPr>
            <w:rStyle w:val="Hyperlink"/>
            <w:rFonts w:ascii="David" w:hAnsi="David" w:cs="David"/>
            <w:sz w:val="24"/>
            <w:szCs w:val="24"/>
            <w:rtl/>
          </w:rPr>
          <w:t>סעיף 144</w:t>
        </w:r>
      </w:hyperlink>
      <w:r>
        <w:rPr>
          <w:rFonts w:ascii="David" w:hAnsi="David" w:cs="David"/>
          <w:sz w:val="24"/>
          <w:szCs w:val="24"/>
          <w:rtl/>
        </w:rPr>
        <w:t xml:space="preserve"> ל</w:t>
      </w:r>
      <w:hyperlink r:id="rId23" w:history="1">
        <w:r w:rsidR="00F221AA" w:rsidRPr="00F221AA">
          <w:rPr>
            <w:rFonts w:ascii="David" w:hAnsi="David" w:cs="David"/>
            <w:color w:val="0000FF"/>
            <w:sz w:val="24"/>
            <w:szCs w:val="24"/>
            <w:u w:val="single"/>
            <w:rtl/>
          </w:rPr>
          <w:t>חוק העונשין</w:t>
        </w:r>
      </w:hyperlink>
      <w:r>
        <w:rPr>
          <w:rFonts w:ascii="David" w:hAnsi="David" w:cs="David" w:hint="cs"/>
          <w:sz w:val="24"/>
          <w:szCs w:val="24"/>
          <w:rtl/>
        </w:rPr>
        <w:t xml:space="preserve"> התשל"ז </w:t>
      </w:r>
      <w:r>
        <w:rPr>
          <w:rFonts w:ascii="David" w:hAnsi="David" w:cs="David"/>
          <w:sz w:val="24"/>
          <w:szCs w:val="24"/>
          <w:rtl/>
        </w:rPr>
        <w:t>–</w:t>
      </w:r>
      <w:r>
        <w:rPr>
          <w:rFonts w:ascii="David" w:hAnsi="David" w:cs="David" w:hint="cs"/>
          <w:sz w:val="24"/>
          <w:szCs w:val="24"/>
          <w:rtl/>
        </w:rPr>
        <w:t xml:space="preserve"> 1977 </w:t>
      </w:r>
      <w:r>
        <w:rPr>
          <w:rFonts w:ascii="David" w:hAnsi="David" w:cs="David"/>
          <w:sz w:val="24"/>
          <w:szCs w:val="24"/>
          <w:rtl/>
        </w:rPr>
        <w:t>על חלופותיו השונות.</w:t>
      </w:r>
    </w:p>
    <w:p w14:paraId="3E75BEC6" w14:textId="77777777" w:rsidR="00734FC6" w:rsidRDefault="00734FC6" w:rsidP="00734FC6">
      <w:pPr>
        <w:pStyle w:val="a9"/>
        <w:rPr>
          <w:rFonts w:ascii="David" w:hAnsi="David" w:cs="David"/>
          <w:sz w:val="24"/>
          <w:szCs w:val="24"/>
        </w:rPr>
      </w:pPr>
    </w:p>
    <w:p w14:paraId="462477D6" w14:textId="77777777" w:rsidR="00734FC6" w:rsidRDefault="00734FC6" w:rsidP="00734FC6">
      <w:pPr>
        <w:pStyle w:val="a9"/>
        <w:numPr>
          <w:ilvl w:val="0"/>
          <w:numId w:val="5"/>
        </w:numPr>
        <w:spacing w:line="360" w:lineRule="auto"/>
        <w:jc w:val="both"/>
        <w:rPr>
          <w:rFonts w:ascii="David" w:hAnsi="David" w:cs="David"/>
          <w:sz w:val="24"/>
          <w:szCs w:val="24"/>
          <w:rtl/>
        </w:rPr>
      </w:pPr>
      <w:r>
        <w:rPr>
          <w:rFonts w:ascii="David" w:hAnsi="David" w:cs="David"/>
          <w:sz w:val="24"/>
          <w:szCs w:val="24"/>
          <w:rtl/>
        </w:rPr>
        <w:t>10,000 ₪ קנס או 90 ימי מאסר תמורתו. הקנס ישולם לא יאוחר מיום 01.</w:t>
      </w:r>
      <w:r>
        <w:rPr>
          <w:rFonts w:ascii="David" w:hAnsi="David" w:cs="David" w:hint="cs"/>
          <w:sz w:val="24"/>
          <w:szCs w:val="24"/>
          <w:rtl/>
        </w:rPr>
        <w:t>02.24.</w:t>
      </w:r>
    </w:p>
    <w:p w14:paraId="001638A5" w14:textId="77777777" w:rsidR="00734FC6" w:rsidRDefault="00734FC6" w:rsidP="00734FC6">
      <w:pPr>
        <w:pStyle w:val="a9"/>
        <w:rPr>
          <w:rFonts w:ascii="David" w:hAnsi="David" w:cs="David"/>
          <w:sz w:val="24"/>
          <w:szCs w:val="24"/>
          <w:rtl/>
        </w:rPr>
      </w:pPr>
    </w:p>
    <w:p w14:paraId="6F87B4A1" w14:textId="77777777" w:rsidR="00734FC6" w:rsidRDefault="00734FC6" w:rsidP="00734FC6">
      <w:pPr>
        <w:pStyle w:val="a9"/>
        <w:numPr>
          <w:ilvl w:val="0"/>
          <w:numId w:val="5"/>
        </w:numPr>
        <w:spacing w:line="360" w:lineRule="auto"/>
        <w:jc w:val="both"/>
        <w:rPr>
          <w:rFonts w:ascii="David" w:hAnsi="David" w:cs="David"/>
          <w:sz w:val="24"/>
          <w:szCs w:val="24"/>
          <w:rtl/>
        </w:rPr>
      </w:pPr>
      <w:r>
        <w:rPr>
          <w:rFonts w:ascii="David" w:hAnsi="David" w:cs="David"/>
          <w:sz w:val="24"/>
          <w:szCs w:val="24"/>
          <w:rtl/>
        </w:rPr>
        <w:t>פסילה על תנאי – הנני פוסל את הנאשם מלקבל או מלהחזיק רישיון נהיגה וזאת למשך שנה. הנאשם יישא בעונש זה אם בתקופה של שנתיים מיום שחרור</w:t>
      </w:r>
      <w:r>
        <w:rPr>
          <w:rFonts w:ascii="David" w:hAnsi="David" w:cs="David" w:hint="cs"/>
          <w:sz w:val="24"/>
          <w:szCs w:val="24"/>
          <w:rtl/>
        </w:rPr>
        <w:t>ו</w:t>
      </w:r>
      <w:r>
        <w:rPr>
          <w:rFonts w:ascii="David" w:hAnsi="David" w:cs="David"/>
          <w:sz w:val="24"/>
          <w:szCs w:val="24"/>
          <w:rtl/>
        </w:rPr>
        <w:t xml:space="preserve"> יעבור עבירה בנשק לפי </w:t>
      </w:r>
      <w:hyperlink r:id="rId24" w:history="1">
        <w:r w:rsidR="003674A8" w:rsidRPr="003674A8">
          <w:rPr>
            <w:rStyle w:val="Hyperlink"/>
            <w:rFonts w:ascii="David" w:hAnsi="David" w:cs="David"/>
            <w:sz w:val="24"/>
            <w:szCs w:val="24"/>
            <w:rtl/>
          </w:rPr>
          <w:t>סעיף 144</w:t>
        </w:r>
      </w:hyperlink>
      <w:r>
        <w:rPr>
          <w:rFonts w:ascii="David" w:hAnsi="David" w:cs="David"/>
          <w:sz w:val="24"/>
          <w:szCs w:val="24"/>
          <w:rtl/>
        </w:rPr>
        <w:t xml:space="preserve"> לחוק על חלופותיו השונות.</w:t>
      </w:r>
    </w:p>
    <w:p w14:paraId="44298883" w14:textId="77777777" w:rsidR="00734FC6" w:rsidRPr="00313B40" w:rsidRDefault="00734FC6" w:rsidP="00734FC6">
      <w:pPr>
        <w:pStyle w:val="a9"/>
        <w:rPr>
          <w:rFonts w:ascii="David" w:hAnsi="David" w:cs="David"/>
          <w:sz w:val="12"/>
          <w:szCs w:val="12"/>
        </w:rPr>
      </w:pPr>
    </w:p>
    <w:p w14:paraId="0866F32B" w14:textId="77777777" w:rsidR="00734FC6" w:rsidRPr="00313B40" w:rsidRDefault="00734FC6" w:rsidP="00734FC6">
      <w:pPr>
        <w:spacing w:line="360" w:lineRule="auto"/>
        <w:jc w:val="both"/>
        <w:rPr>
          <w:rFonts w:ascii="David" w:hAnsi="David"/>
          <w:b/>
          <w:bCs/>
          <w:u w:val="single"/>
          <w:rtl/>
        </w:rPr>
      </w:pPr>
      <w:r w:rsidRPr="00313B40">
        <w:rPr>
          <w:rFonts w:ascii="David" w:hAnsi="David"/>
          <w:b/>
          <w:bCs/>
          <w:u w:val="single"/>
          <w:rtl/>
        </w:rPr>
        <w:t xml:space="preserve">הנאשם 2: </w:t>
      </w:r>
    </w:p>
    <w:p w14:paraId="708B6979" w14:textId="77777777" w:rsidR="00734FC6" w:rsidRDefault="00734FC6" w:rsidP="00734FC6">
      <w:pPr>
        <w:pStyle w:val="a9"/>
        <w:numPr>
          <w:ilvl w:val="0"/>
          <w:numId w:val="6"/>
        </w:numPr>
        <w:spacing w:line="360" w:lineRule="auto"/>
        <w:jc w:val="both"/>
        <w:rPr>
          <w:rFonts w:ascii="David" w:hAnsi="David" w:cs="David"/>
          <w:sz w:val="24"/>
          <w:szCs w:val="24"/>
          <w:rtl/>
        </w:rPr>
      </w:pPr>
      <w:r>
        <w:rPr>
          <w:rFonts w:ascii="David" w:hAnsi="David" w:cs="David"/>
          <w:sz w:val="24"/>
          <w:szCs w:val="24"/>
          <w:rtl/>
        </w:rPr>
        <w:t>17 חודשי מאסר בפועל, בניכוי ימי מעצרו (מאחורי סורג ובריח בהתאם לרישומי שב"ס).</w:t>
      </w:r>
    </w:p>
    <w:p w14:paraId="2F5A3148" w14:textId="77777777" w:rsidR="00734FC6" w:rsidRPr="00313B40" w:rsidRDefault="00734FC6" w:rsidP="00734FC6">
      <w:pPr>
        <w:pStyle w:val="a9"/>
        <w:spacing w:line="360" w:lineRule="auto"/>
        <w:jc w:val="both"/>
        <w:rPr>
          <w:rFonts w:ascii="David" w:hAnsi="David" w:cs="David"/>
          <w:sz w:val="12"/>
          <w:szCs w:val="12"/>
        </w:rPr>
      </w:pPr>
    </w:p>
    <w:p w14:paraId="32216768" w14:textId="77777777" w:rsidR="00734FC6" w:rsidRDefault="00734FC6" w:rsidP="00734FC6">
      <w:pPr>
        <w:pStyle w:val="a9"/>
        <w:numPr>
          <w:ilvl w:val="0"/>
          <w:numId w:val="6"/>
        </w:numPr>
        <w:spacing w:line="360" w:lineRule="auto"/>
        <w:jc w:val="both"/>
        <w:rPr>
          <w:rFonts w:ascii="David" w:hAnsi="David" w:cs="David"/>
          <w:sz w:val="24"/>
          <w:szCs w:val="24"/>
        </w:rPr>
      </w:pPr>
      <w:r>
        <w:rPr>
          <w:rFonts w:ascii="David" w:hAnsi="David" w:cs="David"/>
          <w:sz w:val="24"/>
          <w:szCs w:val="24"/>
          <w:rtl/>
        </w:rPr>
        <w:t xml:space="preserve">8 חודשי מאסר על תנאי למשך שלוש שנים מיום שחרורו שלא יעבור עבירה בנשק לפי </w:t>
      </w:r>
      <w:hyperlink r:id="rId25" w:history="1">
        <w:r w:rsidR="003674A8" w:rsidRPr="003674A8">
          <w:rPr>
            <w:rStyle w:val="Hyperlink"/>
            <w:rFonts w:ascii="David" w:hAnsi="David" w:cs="David"/>
            <w:sz w:val="24"/>
            <w:szCs w:val="24"/>
            <w:rtl/>
          </w:rPr>
          <w:t>סעיף 144</w:t>
        </w:r>
      </w:hyperlink>
      <w:r>
        <w:rPr>
          <w:rFonts w:ascii="David" w:hAnsi="David" w:cs="David"/>
          <w:sz w:val="24"/>
          <w:szCs w:val="24"/>
          <w:rtl/>
        </w:rPr>
        <w:t xml:space="preserve"> ל</w:t>
      </w:r>
      <w:hyperlink r:id="rId26" w:history="1">
        <w:r w:rsidR="00F221AA" w:rsidRPr="00F221AA">
          <w:rPr>
            <w:rFonts w:ascii="David" w:hAnsi="David" w:cs="David"/>
            <w:color w:val="0000FF"/>
            <w:sz w:val="24"/>
            <w:szCs w:val="24"/>
            <w:u w:val="single"/>
            <w:rtl/>
          </w:rPr>
          <w:t>חוק העונשין</w:t>
        </w:r>
      </w:hyperlink>
      <w:r>
        <w:rPr>
          <w:rFonts w:ascii="David" w:hAnsi="David" w:cs="David" w:hint="cs"/>
          <w:sz w:val="24"/>
          <w:szCs w:val="24"/>
          <w:rtl/>
        </w:rPr>
        <w:t xml:space="preserve"> התשל"ז </w:t>
      </w:r>
      <w:r>
        <w:rPr>
          <w:rFonts w:ascii="David" w:hAnsi="David" w:cs="David"/>
          <w:sz w:val="24"/>
          <w:szCs w:val="24"/>
          <w:rtl/>
        </w:rPr>
        <w:t>–</w:t>
      </w:r>
      <w:r>
        <w:rPr>
          <w:rFonts w:ascii="David" w:hAnsi="David" w:cs="David" w:hint="cs"/>
          <w:sz w:val="24"/>
          <w:szCs w:val="24"/>
          <w:rtl/>
        </w:rPr>
        <w:t xml:space="preserve"> 1977 </w:t>
      </w:r>
      <w:r>
        <w:rPr>
          <w:rFonts w:ascii="David" w:hAnsi="David" w:cs="David"/>
          <w:sz w:val="24"/>
          <w:szCs w:val="24"/>
          <w:rtl/>
        </w:rPr>
        <w:t>על חלופותיו השונות.</w:t>
      </w:r>
    </w:p>
    <w:p w14:paraId="4688C8DD" w14:textId="77777777" w:rsidR="00734FC6" w:rsidRPr="00313B40" w:rsidRDefault="00734FC6" w:rsidP="00734FC6">
      <w:pPr>
        <w:pStyle w:val="a9"/>
        <w:spacing w:line="360" w:lineRule="auto"/>
        <w:jc w:val="both"/>
        <w:rPr>
          <w:rFonts w:ascii="David" w:hAnsi="David" w:cs="David"/>
          <w:sz w:val="4"/>
          <w:szCs w:val="4"/>
        </w:rPr>
      </w:pPr>
    </w:p>
    <w:p w14:paraId="088E9616" w14:textId="77777777" w:rsidR="00734FC6" w:rsidRDefault="00734FC6" w:rsidP="00734FC6">
      <w:pPr>
        <w:pStyle w:val="a9"/>
        <w:numPr>
          <w:ilvl w:val="0"/>
          <w:numId w:val="6"/>
        </w:numPr>
        <w:spacing w:line="360" w:lineRule="auto"/>
        <w:jc w:val="both"/>
        <w:rPr>
          <w:rFonts w:ascii="David" w:hAnsi="David" w:cs="David"/>
          <w:sz w:val="24"/>
          <w:szCs w:val="24"/>
        </w:rPr>
      </w:pPr>
      <w:r>
        <w:rPr>
          <w:rFonts w:ascii="David" w:hAnsi="David" w:cs="David" w:hint="cs"/>
          <w:sz w:val="24"/>
          <w:szCs w:val="24"/>
          <w:rtl/>
        </w:rPr>
        <w:t>4</w:t>
      </w:r>
      <w:r>
        <w:rPr>
          <w:rFonts w:ascii="David" w:hAnsi="David" w:cs="David"/>
          <w:sz w:val="24"/>
          <w:szCs w:val="24"/>
          <w:rtl/>
        </w:rPr>
        <w:t xml:space="preserve">,000 ₪ קנס או 30 ימי מאסר תמורתו. הקנס ישולם לא יאוחר מיום </w:t>
      </w:r>
      <w:r>
        <w:rPr>
          <w:rFonts w:ascii="David" w:hAnsi="David" w:cs="David" w:hint="cs"/>
          <w:sz w:val="24"/>
          <w:szCs w:val="24"/>
          <w:rtl/>
        </w:rPr>
        <w:t>01.10.23.</w:t>
      </w:r>
    </w:p>
    <w:p w14:paraId="61208EA0" w14:textId="77777777" w:rsidR="00734FC6" w:rsidRPr="00F221AA" w:rsidRDefault="00F221AA" w:rsidP="00734FC6">
      <w:pPr>
        <w:spacing w:line="360" w:lineRule="auto"/>
        <w:jc w:val="both"/>
        <w:rPr>
          <w:rFonts w:ascii="David" w:hAnsi="David"/>
          <w:b/>
          <w:bCs/>
          <w:color w:val="FFFFFF"/>
          <w:sz w:val="2"/>
          <w:szCs w:val="2"/>
          <w:rtl/>
        </w:rPr>
      </w:pPr>
      <w:r w:rsidRPr="00F221AA">
        <w:rPr>
          <w:rFonts w:ascii="David" w:hAnsi="David"/>
          <w:b/>
          <w:bCs/>
          <w:color w:val="FFFFFF"/>
          <w:sz w:val="2"/>
          <w:szCs w:val="2"/>
          <w:rtl/>
        </w:rPr>
        <w:t>5129371</w:t>
      </w:r>
    </w:p>
    <w:p w14:paraId="390C78A7" w14:textId="77777777" w:rsidR="00734FC6" w:rsidRDefault="00F221AA" w:rsidP="00734FC6">
      <w:pPr>
        <w:spacing w:line="360" w:lineRule="auto"/>
        <w:jc w:val="both"/>
        <w:rPr>
          <w:rFonts w:ascii="David" w:hAnsi="David"/>
          <w:b/>
          <w:bCs/>
          <w:rtl/>
        </w:rPr>
      </w:pPr>
      <w:r w:rsidRPr="00F221AA">
        <w:rPr>
          <w:rFonts w:ascii="David" w:hAnsi="David"/>
          <w:b/>
          <w:bCs/>
          <w:color w:val="FFFFFF"/>
          <w:sz w:val="2"/>
          <w:szCs w:val="2"/>
          <w:rtl/>
        </w:rPr>
        <w:t>54678313</w:t>
      </w:r>
      <w:r w:rsidR="00734FC6">
        <w:rPr>
          <w:rFonts w:ascii="David" w:hAnsi="David"/>
          <w:b/>
          <w:bCs/>
          <w:rtl/>
        </w:rPr>
        <w:t>זכות ערעור תוך 45 ימים לבית המשפט העליון.</w:t>
      </w:r>
    </w:p>
    <w:p w14:paraId="2E7D610E" w14:textId="77777777" w:rsidR="00734FC6" w:rsidRDefault="00734FC6" w:rsidP="00734FC6">
      <w:pPr>
        <w:jc w:val="center"/>
        <w:rPr>
          <w:rFonts w:ascii="David" w:hAnsi="David"/>
          <w:b/>
          <w:bCs/>
          <w:u w:val="single"/>
          <w:rtl/>
        </w:rPr>
      </w:pPr>
    </w:p>
    <w:p w14:paraId="1B012D61" w14:textId="77777777" w:rsidR="00734FC6" w:rsidRPr="000F2247" w:rsidRDefault="00F221AA" w:rsidP="00734FC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ב' אב תשפ"ג, 20 יולי 2023, בהעדר הצדדים. </w:t>
      </w:r>
      <w:bookmarkEnd w:id="8"/>
      <w:r w:rsidR="00734FC6">
        <w:rPr>
          <w:rFonts w:ascii="Arial" w:hAnsi="Arial"/>
          <w:b/>
          <w:bCs/>
          <w:sz w:val="26"/>
          <w:szCs w:val="26"/>
          <w:rtl/>
        </w:rPr>
        <w:tab/>
      </w:r>
      <w:r w:rsidR="00734FC6">
        <w:rPr>
          <w:rFonts w:ascii="Arial" w:hAnsi="Arial"/>
          <w:b/>
          <w:bCs/>
          <w:sz w:val="26"/>
          <w:szCs w:val="26"/>
          <w:rtl/>
        </w:rPr>
        <w:tab/>
      </w:r>
      <w:r w:rsidR="00734FC6">
        <w:rPr>
          <w:rFonts w:ascii="Arial" w:hAnsi="Arial"/>
          <w:b/>
          <w:bCs/>
          <w:sz w:val="26"/>
          <w:szCs w:val="26"/>
          <w:rtl/>
        </w:rPr>
        <w:tab/>
      </w:r>
      <w:r w:rsidR="00734FC6">
        <w:rPr>
          <w:rFonts w:ascii="Arial" w:hAnsi="Arial"/>
          <w:b/>
          <w:bCs/>
          <w:sz w:val="26"/>
          <w:szCs w:val="26"/>
          <w:rtl/>
        </w:rPr>
        <w:tab/>
      </w:r>
      <w:r w:rsidR="00734FC6">
        <w:rPr>
          <w:rFonts w:ascii="Arial" w:hAnsi="Arial"/>
          <w:b/>
          <w:bCs/>
          <w:sz w:val="26"/>
          <w:szCs w:val="26"/>
          <w:rtl/>
        </w:rPr>
        <w:tab/>
      </w:r>
      <w:r w:rsidR="00734FC6">
        <w:rPr>
          <w:rFonts w:ascii="Arial" w:hAnsi="Arial"/>
          <w:b/>
          <w:bCs/>
          <w:sz w:val="26"/>
          <w:szCs w:val="26"/>
          <w:rtl/>
        </w:rPr>
        <w:tab/>
      </w:r>
      <w:r w:rsidR="00734FC6">
        <w:rPr>
          <w:rFonts w:ascii="Arial" w:hAnsi="Arial"/>
          <w:b/>
          <w:bCs/>
          <w:sz w:val="26"/>
          <w:szCs w:val="26"/>
          <w:rtl/>
        </w:rPr>
        <w:tab/>
      </w:r>
      <w:r w:rsidR="00734FC6">
        <w:rPr>
          <w:rFonts w:ascii="Arial" w:hAnsi="Arial" w:hint="cs"/>
          <w:b/>
          <w:bCs/>
          <w:sz w:val="26"/>
          <w:szCs w:val="26"/>
          <w:rtl/>
        </w:rPr>
        <w:t xml:space="preserve">         </w:t>
      </w:r>
    </w:p>
    <w:p w14:paraId="1736AD2B" w14:textId="77777777" w:rsidR="00734FC6" w:rsidRPr="000F2247" w:rsidRDefault="00734FC6" w:rsidP="00F221A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79E16AD" w14:textId="77777777" w:rsidR="00734FC6" w:rsidRPr="000F2247" w:rsidRDefault="00734FC6" w:rsidP="00734FC6">
      <w:pPr>
        <w:jc w:val="center"/>
        <w:rPr>
          <w:rFonts w:ascii="Arial" w:hAnsi="Arial"/>
          <w:b/>
          <w:bCs/>
          <w:sz w:val="26"/>
          <w:szCs w:val="26"/>
          <w:rtl/>
        </w:rPr>
      </w:pPr>
    </w:p>
    <w:p w14:paraId="76D8AC55" w14:textId="77777777" w:rsidR="00C44310" w:rsidRPr="00F221AA" w:rsidRDefault="00C44310" w:rsidP="00F221AA">
      <w:pPr>
        <w:keepNext/>
        <w:rPr>
          <w:rFonts w:ascii="David" w:hAnsi="David"/>
          <w:color w:val="000000"/>
          <w:sz w:val="22"/>
          <w:szCs w:val="22"/>
          <w:rtl/>
        </w:rPr>
      </w:pPr>
    </w:p>
    <w:p w14:paraId="71582FA3" w14:textId="77777777" w:rsidR="00F221AA" w:rsidRPr="00F221AA" w:rsidRDefault="00F221AA" w:rsidP="00F221AA">
      <w:pPr>
        <w:keepNext/>
        <w:rPr>
          <w:rFonts w:ascii="David" w:hAnsi="David"/>
          <w:color w:val="000000"/>
          <w:sz w:val="22"/>
          <w:szCs w:val="22"/>
          <w:rtl/>
        </w:rPr>
      </w:pPr>
      <w:r w:rsidRPr="00F221AA">
        <w:rPr>
          <w:rFonts w:ascii="David" w:hAnsi="David"/>
          <w:color w:val="000000"/>
          <w:sz w:val="22"/>
          <w:szCs w:val="22"/>
          <w:rtl/>
        </w:rPr>
        <w:t>אלון גביזון 54678313</w:t>
      </w:r>
    </w:p>
    <w:p w14:paraId="5F287CAB" w14:textId="77777777" w:rsidR="00F221AA" w:rsidRDefault="00F221AA" w:rsidP="00F221AA">
      <w:r w:rsidRPr="00F221AA">
        <w:rPr>
          <w:color w:val="000000"/>
          <w:rtl/>
        </w:rPr>
        <w:t>נוסח מסמך זה כפוף לשינויי ניסוח ועריכה</w:t>
      </w:r>
    </w:p>
    <w:p w14:paraId="2F43A116" w14:textId="77777777" w:rsidR="00F221AA" w:rsidRDefault="00F221AA" w:rsidP="00F221AA">
      <w:pPr>
        <w:rPr>
          <w:rtl/>
        </w:rPr>
      </w:pPr>
    </w:p>
    <w:p w14:paraId="50879139" w14:textId="77777777" w:rsidR="00F221AA" w:rsidRDefault="00F221AA" w:rsidP="00F221AA">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7BDB1570" w14:textId="77777777" w:rsidR="00F221AA" w:rsidRPr="00F221AA" w:rsidRDefault="00F221AA" w:rsidP="00F221AA">
      <w:pPr>
        <w:jc w:val="center"/>
        <w:rPr>
          <w:color w:val="0000FF"/>
          <w:u w:val="single"/>
        </w:rPr>
      </w:pPr>
    </w:p>
    <w:sectPr w:rsidR="00F221AA" w:rsidRPr="00F221AA" w:rsidSect="00F221AA">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E35AF" w14:textId="77777777" w:rsidR="00C436F0" w:rsidRDefault="00C436F0" w:rsidP="00904D03">
      <w:r>
        <w:separator/>
      </w:r>
    </w:p>
  </w:endnote>
  <w:endnote w:type="continuationSeparator" w:id="0">
    <w:p w14:paraId="20531B6B" w14:textId="77777777" w:rsidR="00C436F0" w:rsidRDefault="00C436F0" w:rsidP="00904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A7731" w14:textId="77777777" w:rsidR="00F221AA" w:rsidRDefault="00F221AA" w:rsidP="00F221A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D6B6FB6" w14:textId="77777777" w:rsidR="001803A3" w:rsidRPr="00F221AA" w:rsidRDefault="00F221AA" w:rsidP="00F221A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4E328" w14:textId="77777777" w:rsidR="00F221AA" w:rsidRDefault="00F221AA" w:rsidP="00F221A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3452">
      <w:rPr>
        <w:rFonts w:ascii="FrankRuehl" w:hAnsi="FrankRuehl" w:cs="FrankRuehl"/>
        <w:noProof/>
        <w:rtl/>
      </w:rPr>
      <w:t>1</w:t>
    </w:r>
    <w:r>
      <w:rPr>
        <w:rFonts w:ascii="FrankRuehl" w:hAnsi="FrankRuehl" w:cs="FrankRuehl"/>
        <w:rtl/>
      </w:rPr>
      <w:fldChar w:fldCharType="end"/>
    </w:r>
  </w:p>
  <w:p w14:paraId="088B531F" w14:textId="77777777" w:rsidR="001803A3" w:rsidRPr="00F221AA" w:rsidRDefault="00F221AA" w:rsidP="00F221A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B1CAA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B3243" w14:textId="77777777" w:rsidR="00C436F0" w:rsidRDefault="00C436F0" w:rsidP="00904D03">
      <w:r>
        <w:separator/>
      </w:r>
    </w:p>
  </w:footnote>
  <w:footnote w:type="continuationSeparator" w:id="0">
    <w:p w14:paraId="2EF588F7" w14:textId="77777777" w:rsidR="00C436F0" w:rsidRDefault="00C436F0" w:rsidP="00904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A14F5" w14:textId="77777777" w:rsidR="00F221AA" w:rsidRPr="00F221AA" w:rsidRDefault="00F221AA" w:rsidP="00F221A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21924-07-22</w:t>
    </w:r>
    <w:r>
      <w:rPr>
        <w:rFonts w:ascii="David" w:hAnsi="David"/>
        <w:color w:val="000000"/>
        <w:sz w:val="22"/>
        <w:szCs w:val="22"/>
        <w:rtl/>
      </w:rPr>
      <w:tab/>
      <w:t xml:space="preserve"> מדינת ישראל נ' זיאד אבו אלקיעאן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0BACF" w14:textId="77777777" w:rsidR="00F221AA" w:rsidRPr="00F221AA" w:rsidRDefault="00F221AA" w:rsidP="00F221A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21924-07-22</w:t>
    </w:r>
    <w:r>
      <w:rPr>
        <w:rFonts w:ascii="David" w:hAnsi="David"/>
        <w:color w:val="000000"/>
        <w:sz w:val="22"/>
        <w:szCs w:val="22"/>
        <w:rtl/>
      </w:rPr>
      <w:tab/>
      <w:t xml:space="preserve"> מדינת ישראל נ' זיאד אבו אלקיעאן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44B34"/>
    <w:multiLevelType w:val="hybridMultilevel"/>
    <w:tmpl w:val="7EE6B30C"/>
    <w:lvl w:ilvl="0" w:tplc="8B54BC08">
      <w:start w:val="1"/>
      <w:numFmt w:val="decimal"/>
      <w:lvlText w:val="%1."/>
      <w:lvlJc w:val="left"/>
      <w:pPr>
        <w:ind w:left="720" w:hanging="360"/>
      </w:pPr>
      <w:rPr>
        <w:b/>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1917627"/>
    <w:multiLevelType w:val="hybridMultilevel"/>
    <w:tmpl w:val="A484F300"/>
    <w:lvl w:ilvl="0" w:tplc="8AD6A5DE">
      <w:start w:val="1"/>
      <w:numFmt w:val="hebrew1"/>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267801DD"/>
    <w:multiLevelType w:val="hybridMultilevel"/>
    <w:tmpl w:val="3036EEA0"/>
    <w:lvl w:ilvl="0" w:tplc="5858A42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F27189A"/>
    <w:multiLevelType w:val="hybridMultilevel"/>
    <w:tmpl w:val="AACAAB78"/>
    <w:lvl w:ilvl="0" w:tplc="7F9CFB12">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0C50ABF"/>
    <w:multiLevelType w:val="hybridMultilevel"/>
    <w:tmpl w:val="F566E168"/>
    <w:lvl w:ilvl="0" w:tplc="AEE2A2F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71883B1A"/>
    <w:multiLevelType w:val="hybridMultilevel"/>
    <w:tmpl w:val="5ADE794C"/>
    <w:lvl w:ilvl="0" w:tplc="50CACA96">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891958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58899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50314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21038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200567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698132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34FC6"/>
    <w:rsid w:val="001803A3"/>
    <w:rsid w:val="001B5A3B"/>
    <w:rsid w:val="002B3430"/>
    <w:rsid w:val="00350E35"/>
    <w:rsid w:val="003674A8"/>
    <w:rsid w:val="00734FC6"/>
    <w:rsid w:val="00774E8E"/>
    <w:rsid w:val="00883452"/>
    <w:rsid w:val="00904D03"/>
    <w:rsid w:val="00B060A4"/>
    <w:rsid w:val="00B80705"/>
    <w:rsid w:val="00C15154"/>
    <w:rsid w:val="00C436F0"/>
    <w:rsid w:val="00C44310"/>
    <w:rsid w:val="00DF4A88"/>
    <w:rsid w:val="00EC45DD"/>
    <w:rsid w:val="00F221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2950BD"/>
  <w15:chartTrackingRefBased/>
  <w15:docId w15:val="{2B70AD1F-3D49-4B3E-8E31-642F1D41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34FC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34FC6"/>
    <w:pPr>
      <w:tabs>
        <w:tab w:val="center" w:pos="4153"/>
        <w:tab w:val="right" w:pos="8306"/>
      </w:tabs>
    </w:pPr>
  </w:style>
  <w:style w:type="character" w:customStyle="1" w:styleId="a4">
    <w:name w:val="כותרת עליונה תו"/>
    <w:link w:val="a3"/>
    <w:rsid w:val="00734FC6"/>
    <w:rPr>
      <w:rFonts w:ascii="Times New Roman" w:eastAsia="Times New Roman" w:hAnsi="Times New Roman" w:cs="David"/>
      <w:sz w:val="24"/>
      <w:szCs w:val="24"/>
    </w:rPr>
  </w:style>
  <w:style w:type="paragraph" w:styleId="a5">
    <w:name w:val="footer"/>
    <w:basedOn w:val="a"/>
    <w:link w:val="a6"/>
    <w:rsid w:val="00734FC6"/>
    <w:pPr>
      <w:tabs>
        <w:tab w:val="center" w:pos="4153"/>
        <w:tab w:val="right" w:pos="8306"/>
      </w:tabs>
    </w:pPr>
  </w:style>
  <w:style w:type="character" w:customStyle="1" w:styleId="a6">
    <w:name w:val="כותרת תחתונה תו"/>
    <w:link w:val="a5"/>
    <w:rsid w:val="00734FC6"/>
    <w:rPr>
      <w:rFonts w:ascii="Times New Roman" w:eastAsia="Times New Roman" w:hAnsi="Times New Roman" w:cs="David"/>
      <w:sz w:val="24"/>
      <w:szCs w:val="24"/>
    </w:rPr>
  </w:style>
  <w:style w:type="table" w:styleId="a7">
    <w:name w:val="Table Grid"/>
    <w:basedOn w:val="a1"/>
    <w:rsid w:val="00734FC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34FC6"/>
  </w:style>
  <w:style w:type="paragraph" w:styleId="a9">
    <w:name w:val="List Paragraph"/>
    <w:basedOn w:val="a"/>
    <w:qFormat/>
    <w:rsid w:val="00734FC6"/>
    <w:pPr>
      <w:spacing w:after="160" w:line="254" w:lineRule="auto"/>
      <w:ind w:left="720"/>
      <w:contextualSpacing/>
    </w:pPr>
    <w:rPr>
      <w:rFonts w:ascii="Calibri" w:eastAsia="Calibri" w:hAnsi="Calibri" w:cs="Arial"/>
      <w:sz w:val="22"/>
      <w:szCs w:val="22"/>
    </w:rPr>
  </w:style>
  <w:style w:type="character" w:styleId="Hyperlink">
    <w:name w:val="Hyperlink"/>
    <w:rsid w:val="00F221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31"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30326799" TargetMode="External"/><Relationship Id="rId7" Type="http://schemas.openxmlformats.org/officeDocument/2006/relationships/hyperlink" Target="http://www.nevo.co.il/law/70301" TargetMode="External"/><Relationship Id="rId12" Type="http://schemas.openxmlformats.org/officeDocument/2006/relationships/hyperlink" Target="http://www.nevo.co.il/law/5227/10.a"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70301/14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5227" TargetMode="External"/><Relationship Id="rId20" Type="http://schemas.openxmlformats.org/officeDocument/2006/relationships/hyperlink" Target="http://www.nevo.co.il/case/27309272"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 TargetMode="External"/><Relationship Id="rId24" Type="http://schemas.openxmlformats.org/officeDocument/2006/relationships/hyperlink" Target="http://www.nevo.co.il/law/70301/144"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5227/10.a" TargetMode="External"/><Relationship Id="rId23" Type="http://schemas.openxmlformats.org/officeDocument/2006/relationships/hyperlink" Target="http://www.nevo.co.il/law/70301" TargetMode="External"/><Relationship Id="rId28" Type="http://schemas.openxmlformats.org/officeDocument/2006/relationships/header" Target="header1.xml"/><Relationship Id="rId10" Type="http://schemas.openxmlformats.org/officeDocument/2006/relationships/hyperlink" Target="http://www.nevo.co.il/law/70301/144.b" TargetMode="External"/><Relationship Id="rId19" Type="http://schemas.openxmlformats.org/officeDocument/2006/relationships/hyperlink" Target="http://www.nevo.co.il/case/5601503"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144"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3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1343</Words>
  <Characters>6720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8047</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7995492</vt:i4>
      </vt:variant>
      <vt:variant>
        <vt:i4>57</vt:i4>
      </vt:variant>
      <vt:variant>
        <vt:i4>0</vt:i4>
      </vt:variant>
      <vt:variant>
        <vt:i4>5</vt:i4>
      </vt:variant>
      <vt:variant>
        <vt:lpwstr>http://www.nevo.co.il/law/70301</vt:lpwstr>
      </vt:variant>
      <vt:variant>
        <vt:lpwstr/>
      </vt:variant>
      <vt:variant>
        <vt:i4>6357092</vt:i4>
      </vt:variant>
      <vt:variant>
        <vt:i4>54</vt:i4>
      </vt:variant>
      <vt:variant>
        <vt:i4>0</vt:i4>
      </vt:variant>
      <vt:variant>
        <vt:i4>5</vt:i4>
      </vt:variant>
      <vt:variant>
        <vt:lpwstr>http://www.nevo.co.il/law/70301/144</vt:lpwstr>
      </vt:variant>
      <vt:variant>
        <vt:lpwstr/>
      </vt:variant>
      <vt:variant>
        <vt:i4>6357092</vt:i4>
      </vt:variant>
      <vt:variant>
        <vt:i4>51</vt:i4>
      </vt:variant>
      <vt:variant>
        <vt:i4>0</vt:i4>
      </vt:variant>
      <vt:variant>
        <vt:i4>5</vt:i4>
      </vt:variant>
      <vt:variant>
        <vt:lpwstr>http://www.nevo.co.il/law/70301/144</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6357092</vt:i4>
      </vt:variant>
      <vt:variant>
        <vt:i4>45</vt:i4>
      </vt:variant>
      <vt:variant>
        <vt:i4>0</vt:i4>
      </vt:variant>
      <vt:variant>
        <vt:i4>5</vt:i4>
      </vt:variant>
      <vt:variant>
        <vt:lpwstr>http://www.nevo.co.il/law/70301/144</vt:lpwstr>
      </vt:variant>
      <vt:variant>
        <vt:lpwstr/>
      </vt:variant>
      <vt:variant>
        <vt:i4>4128881</vt:i4>
      </vt:variant>
      <vt:variant>
        <vt:i4>42</vt:i4>
      </vt:variant>
      <vt:variant>
        <vt:i4>0</vt:i4>
      </vt:variant>
      <vt:variant>
        <vt:i4>5</vt:i4>
      </vt:variant>
      <vt:variant>
        <vt:lpwstr>http://www.nevo.co.il/case/30326799</vt:lpwstr>
      </vt:variant>
      <vt:variant>
        <vt:lpwstr/>
      </vt:variant>
      <vt:variant>
        <vt:i4>4128881</vt:i4>
      </vt:variant>
      <vt:variant>
        <vt:i4>39</vt:i4>
      </vt:variant>
      <vt:variant>
        <vt:i4>0</vt:i4>
      </vt:variant>
      <vt:variant>
        <vt:i4>5</vt:i4>
      </vt:variant>
      <vt:variant>
        <vt:lpwstr>http://www.nevo.co.il/case/27309272</vt:lpwstr>
      </vt:variant>
      <vt:variant>
        <vt:lpwstr/>
      </vt:variant>
      <vt:variant>
        <vt:i4>3342451</vt:i4>
      </vt:variant>
      <vt:variant>
        <vt:i4>36</vt:i4>
      </vt:variant>
      <vt:variant>
        <vt:i4>0</vt:i4>
      </vt:variant>
      <vt:variant>
        <vt:i4>5</vt:i4>
      </vt:variant>
      <vt:variant>
        <vt:lpwstr>http://www.nevo.co.il/case/5601503</vt:lpwstr>
      </vt:variant>
      <vt:variant>
        <vt:lpwstr/>
      </vt:variant>
      <vt:variant>
        <vt:i4>6553702</vt:i4>
      </vt:variant>
      <vt:variant>
        <vt:i4>33</vt:i4>
      </vt:variant>
      <vt:variant>
        <vt:i4>0</vt:i4>
      </vt:variant>
      <vt:variant>
        <vt:i4>5</vt:i4>
      </vt:variant>
      <vt:variant>
        <vt:lpwstr>http://www.nevo.co.il/law/70301/31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8323175</vt:i4>
      </vt:variant>
      <vt:variant>
        <vt:i4>27</vt:i4>
      </vt:variant>
      <vt:variant>
        <vt:i4>0</vt:i4>
      </vt:variant>
      <vt:variant>
        <vt:i4>5</vt:i4>
      </vt:variant>
      <vt:variant>
        <vt:lpwstr>http://www.nevo.co.il/law/5227</vt:lpwstr>
      </vt:variant>
      <vt:variant>
        <vt:lpwstr/>
      </vt:variant>
      <vt:variant>
        <vt:i4>6291576</vt:i4>
      </vt:variant>
      <vt:variant>
        <vt:i4>24</vt:i4>
      </vt:variant>
      <vt:variant>
        <vt:i4>0</vt:i4>
      </vt:variant>
      <vt:variant>
        <vt:i4>5</vt:i4>
      </vt:variant>
      <vt:variant>
        <vt:lpwstr>http://www.nevo.co.il/law/5227/10.a</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6291576</vt:i4>
      </vt:variant>
      <vt:variant>
        <vt:i4>15</vt:i4>
      </vt:variant>
      <vt:variant>
        <vt:i4>0</vt:i4>
      </vt:variant>
      <vt:variant>
        <vt:i4>5</vt:i4>
      </vt:variant>
      <vt:variant>
        <vt:lpwstr>http://www.nevo.co.il/law/5227/10.a</vt:lpwstr>
      </vt:variant>
      <vt:variant>
        <vt:lpwstr/>
      </vt:variant>
      <vt:variant>
        <vt:i4>8323175</vt:i4>
      </vt:variant>
      <vt:variant>
        <vt:i4>12</vt:i4>
      </vt:variant>
      <vt:variant>
        <vt:i4>0</vt:i4>
      </vt:variant>
      <vt:variant>
        <vt:i4>5</vt:i4>
      </vt:variant>
      <vt:variant>
        <vt:lpwstr>http://www.nevo.co.il/law/5227</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2025-04-25T10:55:00Z</dcterms:created>
  <dcterms:modified xsi:type="dcterms:W3CDTF">2025-04-25T10:55:00Z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21924</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זיאד אבו אלקיעאן;מוחמד אבו קיעאן</vt:lpwstr>
  </property>
  <property fmtid="{D5CDD505-2E9C-101B-9397-08002B2CF9AE}" pid="10" name="LAWYER">
    <vt:lpwstr>שירין מחג'אנה;נאשף דרוויש;רמי שלבי</vt:lpwstr>
  </property>
  <property fmtid="{D5CDD505-2E9C-101B-9397-08002B2CF9AE}" pid="11" name="JUDGE">
    <vt:lpwstr>אלון גביזון</vt:lpwstr>
  </property>
  <property fmtid="{D5CDD505-2E9C-101B-9397-08002B2CF9AE}" pid="12" name="CITY">
    <vt:lpwstr>ב"ש</vt:lpwstr>
  </property>
  <property fmtid="{D5CDD505-2E9C-101B-9397-08002B2CF9AE}" pid="13" name="DATE">
    <vt:lpwstr>20230720</vt:lpwstr>
  </property>
  <property fmtid="{D5CDD505-2E9C-101B-9397-08002B2CF9AE}" pid="14" name="TYPE_N_DATE">
    <vt:lpwstr>39020230720</vt:lpwstr>
  </property>
  <property fmtid="{D5CDD505-2E9C-101B-9397-08002B2CF9AE}" pid="15" name="WORDNUMPAGES">
    <vt:lpwstr>6</vt:lpwstr>
  </property>
  <property fmtid="{D5CDD505-2E9C-101B-9397-08002B2CF9AE}" pid="16" name="TYPE_ABS_DATE">
    <vt:lpwstr>390020230720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5601503;27309272;30326799</vt:lpwstr>
  </property>
  <property fmtid="{D5CDD505-2E9C-101B-9397-08002B2CF9AE}" pid="36" name="LAWLISTTMP1">
    <vt:lpwstr>70301/144.b:2;031;144:3</vt:lpwstr>
  </property>
  <property fmtid="{D5CDD505-2E9C-101B-9397-08002B2CF9AE}" pid="37" name="LAWLISTTMP2">
    <vt:lpwstr>5227/010.a</vt:lpwstr>
  </property>
</Properties>
</file>