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02" w:type="dxa"/>
        <w:jc w:val="center"/>
        <w:tblLook w:val="0000" w:firstRow="0" w:lastRow="0" w:firstColumn="0" w:lastColumn="0" w:noHBand="0" w:noVBand="0"/>
      </w:tblPr>
      <w:tblGrid>
        <w:gridCol w:w="28"/>
        <w:gridCol w:w="3668"/>
        <w:gridCol w:w="1386"/>
        <w:gridCol w:w="3667"/>
        <w:gridCol w:w="53"/>
      </w:tblGrid>
      <w:tr w:rsidR="00355BC6" w:rsidRPr="00B57803" w14:paraId="00F3C2AB" w14:textId="77777777" w:rsidTr="002519E1">
        <w:trPr>
          <w:gridBefore w:val="1"/>
          <w:gridAfter w:val="1"/>
          <w:wBefore w:w="28" w:type="dxa"/>
          <w:wAfter w:w="53" w:type="dxa"/>
          <w:trHeight w:hRule="exact" w:val="418"/>
          <w:jc w:val="center"/>
        </w:trPr>
        <w:tc>
          <w:tcPr>
            <w:tcW w:w="8721" w:type="dxa"/>
            <w:gridSpan w:val="3"/>
          </w:tcPr>
          <w:p w14:paraId="4B0B060B" w14:textId="77777777" w:rsidR="00355BC6" w:rsidRPr="00B57803" w:rsidRDefault="00355BC6" w:rsidP="00EC6632">
            <w:pPr>
              <w:pStyle w:val="a3"/>
              <w:jc w:val="center"/>
              <w:rPr>
                <w:rFonts w:ascii="Tahoma" w:hAnsi="Tahoma" w:cs="Tahoma"/>
                <w:color w:val="000080"/>
                <w:rtl/>
              </w:rPr>
            </w:pPr>
            <w:bookmarkStart w:id="0" w:name="LastJudge"/>
            <w:r w:rsidRPr="00B57803">
              <w:rPr>
                <w:rFonts w:ascii="Tahoma" w:hAnsi="Tahoma" w:cs="Tahoma"/>
                <w:b/>
                <w:bCs/>
                <w:color w:val="000080"/>
                <w:rtl/>
              </w:rPr>
              <w:t>בית המשפט המחוזי בירושלים</w:t>
            </w:r>
          </w:p>
        </w:tc>
      </w:tr>
      <w:tr w:rsidR="00355BC6" w:rsidRPr="00B57803" w14:paraId="5C597123" w14:textId="77777777" w:rsidTr="002519E1">
        <w:trPr>
          <w:gridBefore w:val="1"/>
          <w:gridAfter w:val="1"/>
          <w:wBefore w:w="28" w:type="dxa"/>
          <w:wAfter w:w="53" w:type="dxa"/>
          <w:trHeight w:val="434"/>
          <w:jc w:val="center"/>
        </w:trPr>
        <w:tc>
          <w:tcPr>
            <w:tcW w:w="5054" w:type="dxa"/>
            <w:gridSpan w:val="2"/>
          </w:tcPr>
          <w:p w14:paraId="227FD877" w14:textId="77777777" w:rsidR="00355BC6" w:rsidRPr="00B57803" w:rsidRDefault="00355BC6" w:rsidP="00EC6632">
            <w:pPr>
              <w:rPr>
                <w:rFonts w:cs="FrankRuehl"/>
                <w:sz w:val="28"/>
                <w:szCs w:val="28"/>
                <w:rtl/>
              </w:rPr>
            </w:pPr>
            <w:r w:rsidRPr="00B57803">
              <w:rPr>
                <w:rFonts w:cs="FrankRuehl"/>
                <w:sz w:val="28"/>
                <w:szCs w:val="28"/>
                <w:rtl/>
              </w:rPr>
              <w:t>ת"פ</w:t>
            </w:r>
            <w:r w:rsidRPr="00B57803">
              <w:rPr>
                <w:rFonts w:cs="FrankRuehl" w:hint="cs"/>
                <w:sz w:val="28"/>
                <w:szCs w:val="28"/>
                <w:rtl/>
              </w:rPr>
              <w:t xml:space="preserve"> </w:t>
            </w:r>
            <w:r w:rsidRPr="00B57803">
              <w:rPr>
                <w:rFonts w:cs="FrankRuehl"/>
                <w:sz w:val="28"/>
                <w:szCs w:val="28"/>
                <w:rtl/>
              </w:rPr>
              <w:t>30966-07-22</w:t>
            </w:r>
            <w:r w:rsidRPr="00B57803">
              <w:rPr>
                <w:rFonts w:cs="FrankRuehl" w:hint="cs"/>
                <w:sz w:val="28"/>
                <w:szCs w:val="28"/>
                <w:rtl/>
              </w:rPr>
              <w:t xml:space="preserve"> </w:t>
            </w:r>
            <w:r w:rsidRPr="00B57803">
              <w:rPr>
                <w:rFonts w:cs="FrankRuehl"/>
                <w:sz w:val="28"/>
                <w:szCs w:val="28"/>
                <w:rtl/>
              </w:rPr>
              <w:t>מדינת ישראל נ' אל סאלם</w:t>
            </w:r>
          </w:p>
          <w:p w14:paraId="1DA00581" w14:textId="77777777" w:rsidR="00355BC6" w:rsidRPr="00B57803" w:rsidRDefault="00355BC6" w:rsidP="00EC6632">
            <w:pPr>
              <w:pStyle w:val="a3"/>
              <w:rPr>
                <w:rFonts w:cs="FrankRuehl"/>
                <w:sz w:val="20"/>
                <w:szCs w:val="20"/>
                <w:rtl/>
              </w:rPr>
            </w:pPr>
          </w:p>
        </w:tc>
        <w:tc>
          <w:tcPr>
            <w:tcW w:w="3667" w:type="dxa"/>
          </w:tcPr>
          <w:p w14:paraId="1EFFF4A7" w14:textId="77777777" w:rsidR="00355BC6" w:rsidRPr="00B57803" w:rsidRDefault="00355BC6" w:rsidP="00EC6632">
            <w:pPr>
              <w:pStyle w:val="a3"/>
              <w:jc w:val="right"/>
              <w:rPr>
                <w:rFonts w:cs="FrankRuehl"/>
                <w:sz w:val="28"/>
                <w:szCs w:val="28"/>
                <w:rtl/>
              </w:rPr>
            </w:pPr>
          </w:p>
        </w:tc>
      </w:tr>
      <w:tr w:rsidR="00355BC6" w:rsidRPr="00B57803" w14:paraId="7BD5A42B" w14:textId="77777777" w:rsidTr="002519E1">
        <w:tblPrEx>
          <w:jc w:val="left"/>
          <w:tblInd w:w="-28" w:type="dxa"/>
          <w:tblLook w:val="01E0" w:firstRow="1" w:lastRow="1" w:firstColumn="1" w:lastColumn="1" w:noHBand="0" w:noVBand="0"/>
        </w:tblPrEx>
        <w:tc>
          <w:tcPr>
            <w:tcW w:w="8802" w:type="dxa"/>
            <w:gridSpan w:val="5"/>
            <w:shd w:val="clear" w:color="auto" w:fill="auto"/>
          </w:tcPr>
          <w:p w14:paraId="6E563254" w14:textId="77777777" w:rsidR="00355BC6" w:rsidRPr="00B57803" w:rsidRDefault="00355BC6" w:rsidP="00355BC6">
            <w:pPr>
              <w:jc w:val="right"/>
              <w:rPr>
                <w:b/>
                <w:bCs/>
                <w:sz w:val="26"/>
                <w:szCs w:val="26"/>
                <w:rtl/>
              </w:rPr>
            </w:pPr>
            <w:r w:rsidRPr="00B57803">
              <w:rPr>
                <w:rFonts w:hint="cs"/>
                <w:rtl/>
              </w:rPr>
              <w:t xml:space="preserve"> </w:t>
            </w:r>
            <w:r w:rsidRPr="00B57803">
              <w:rPr>
                <w:rFonts w:hint="cs"/>
                <w:b/>
                <w:bCs/>
                <w:sz w:val="26"/>
                <w:szCs w:val="26"/>
                <w:rtl/>
              </w:rPr>
              <w:t>25.6.2023</w:t>
            </w:r>
          </w:p>
        </w:tc>
      </w:tr>
      <w:tr w:rsidR="00355BC6" w:rsidRPr="00B57803" w14:paraId="2272DCD1" w14:textId="77777777" w:rsidTr="002519E1">
        <w:tblPrEx>
          <w:jc w:val="left"/>
          <w:tblInd w:w="-28" w:type="dxa"/>
          <w:tblLook w:val="01E0" w:firstRow="1" w:lastRow="1" w:firstColumn="1" w:lastColumn="1" w:noHBand="0" w:noVBand="0"/>
        </w:tblPrEx>
        <w:tc>
          <w:tcPr>
            <w:tcW w:w="8802" w:type="dxa"/>
            <w:gridSpan w:val="5"/>
            <w:shd w:val="clear" w:color="auto" w:fill="auto"/>
          </w:tcPr>
          <w:p w14:paraId="4E07F5F0" w14:textId="77777777" w:rsidR="00355BC6" w:rsidRPr="00B57803" w:rsidRDefault="00355BC6" w:rsidP="00EC6632">
            <w:pPr>
              <w:rPr>
                <w:b/>
                <w:bCs/>
                <w:sz w:val="26"/>
                <w:szCs w:val="26"/>
                <w:rtl/>
              </w:rPr>
            </w:pPr>
          </w:p>
        </w:tc>
      </w:tr>
      <w:tr w:rsidR="00355BC6" w:rsidRPr="00B57803" w14:paraId="0132EAF0" w14:textId="77777777" w:rsidTr="002519E1">
        <w:tblPrEx>
          <w:jc w:val="left"/>
          <w:tblInd w:w="-28" w:type="dxa"/>
          <w:tblLook w:val="01E0" w:firstRow="1" w:lastRow="1" w:firstColumn="1" w:lastColumn="1" w:noHBand="0" w:noVBand="0"/>
        </w:tblPrEx>
        <w:tc>
          <w:tcPr>
            <w:tcW w:w="3696" w:type="dxa"/>
            <w:gridSpan w:val="2"/>
            <w:shd w:val="clear" w:color="auto" w:fill="auto"/>
          </w:tcPr>
          <w:p w14:paraId="2B8E1598" w14:textId="77777777" w:rsidR="00355BC6" w:rsidRPr="00B57803" w:rsidRDefault="00355BC6" w:rsidP="00EC6632">
            <w:pPr>
              <w:rPr>
                <w:b/>
                <w:bCs/>
                <w:sz w:val="26"/>
                <w:szCs w:val="26"/>
              </w:rPr>
            </w:pPr>
            <w:bookmarkStart w:id="1" w:name="FirstAppellant"/>
            <w:r w:rsidRPr="00B57803">
              <w:rPr>
                <w:rFonts w:hint="cs"/>
                <w:b/>
                <w:bCs/>
                <w:sz w:val="26"/>
                <w:szCs w:val="26"/>
                <w:rtl/>
              </w:rPr>
              <w:t>ה</w:t>
            </w:r>
            <w:r w:rsidRPr="00B57803">
              <w:rPr>
                <w:b/>
                <w:bCs/>
                <w:sz w:val="26"/>
                <w:szCs w:val="26"/>
                <w:rtl/>
              </w:rPr>
              <w:t>מאשימה</w:t>
            </w:r>
          </w:p>
        </w:tc>
        <w:tc>
          <w:tcPr>
            <w:tcW w:w="5106" w:type="dxa"/>
            <w:gridSpan w:val="3"/>
            <w:shd w:val="clear" w:color="auto" w:fill="auto"/>
          </w:tcPr>
          <w:p w14:paraId="04DF2FA1" w14:textId="77777777" w:rsidR="00355BC6" w:rsidRPr="00B57803" w:rsidRDefault="00355BC6" w:rsidP="00EC6632">
            <w:pPr>
              <w:rPr>
                <w:b/>
                <w:bCs/>
                <w:sz w:val="26"/>
                <w:szCs w:val="26"/>
                <w:rtl/>
              </w:rPr>
            </w:pPr>
            <w:r w:rsidRPr="00B57803">
              <w:rPr>
                <w:b/>
                <w:bCs/>
                <w:sz w:val="26"/>
                <w:szCs w:val="26"/>
                <w:rtl/>
              </w:rPr>
              <w:t>מדינת ישראל</w:t>
            </w:r>
          </w:p>
        </w:tc>
      </w:tr>
      <w:bookmarkEnd w:id="1"/>
      <w:tr w:rsidR="00355BC6" w:rsidRPr="00B57803" w14:paraId="79361217" w14:textId="77777777" w:rsidTr="002519E1">
        <w:tblPrEx>
          <w:jc w:val="left"/>
          <w:tblInd w:w="-28" w:type="dxa"/>
          <w:tblLook w:val="01E0" w:firstRow="1" w:lastRow="1" w:firstColumn="1" w:lastColumn="1" w:noHBand="0" w:noVBand="0"/>
        </w:tblPrEx>
        <w:tc>
          <w:tcPr>
            <w:tcW w:w="8802" w:type="dxa"/>
            <w:gridSpan w:val="5"/>
            <w:shd w:val="clear" w:color="auto" w:fill="auto"/>
          </w:tcPr>
          <w:p w14:paraId="196BBC8D" w14:textId="77777777" w:rsidR="00355BC6" w:rsidRPr="00B57803" w:rsidRDefault="00355BC6" w:rsidP="00EC6632">
            <w:pPr>
              <w:rPr>
                <w:b/>
                <w:bCs/>
                <w:sz w:val="26"/>
                <w:szCs w:val="26"/>
                <w:rtl/>
              </w:rPr>
            </w:pPr>
          </w:p>
          <w:p w14:paraId="552D2C03" w14:textId="77777777" w:rsidR="00355BC6" w:rsidRPr="00B57803" w:rsidRDefault="00355BC6" w:rsidP="00355BC6">
            <w:pPr>
              <w:jc w:val="center"/>
              <w:rPr>
                <w:b/>
                <w:bCs/>
                <w:sz w:val="26"/>
                <w:szCs w:val="26"/>
                <w:rtl/>
              </w:rPr>
            </w:pPr>
            <w:r w:rsidRPr="00B57803">
              <w:rPr>
                <w:rFonts w:hint="cs"/>
                <w:b/>
                <w:bCs/>
                <w:sz w:val="26"/>
                <w:szCs w:val="26"/>
                <w:rtl/>
              </w:rPr>
              <w:t>נגד</w:t>
            </w:r>
          </w:p>
          <w:p w14:paraId="40FE5CAC" w14:textId="77777777" w:rsidR="00355BC6" w:rsidRPr="00B57803" w:rsidRDefault="00355BC6" w:rsidP="00EC6632">
            <w:pPr>
              <w:rPr>
                <w:b/>
                <w:bCs/>
                <w:sz w:val="26"/>
                <w:szCs w:val="26"/>
                <w:rtl/>
              </w:rPr>
            </w:pPr>
          </w:p>
        </w:tc>
      </w:tr>
      <w:tr w:rsidR="00355BC6" w:rsidRPr="00B57803" w14:paraId="783C50B4" w14:textId="77777777" w:rsidTr="002519E1">
        <w:tblPrEx>
          <w:jc w:val="left"/>
          <w:tblInd w:w="-28" w:type="dxa"/>
          <w:tblLook w:val="01E0" w:firstRow="1" w:lastRow="1" w:firstColumn="1" w:lastColumn="1" w:noHBand="0" w:noVBand="0"/>
        </w:tblPrEx>
        <w:tc>
          <w:tcPr>
            <w:tcW w:w="3696" w:type="dxa"/>
            <w:gridSpan w:val="2"/>
            <w:shd w:val="clear" w:color="auto" w:fill="auto"/>
          </w:tcPr>
          <w:p w14:paraId="2A60F3DE" w14:textId="77777777" w:rsidR="00355BC6" w:rsidRPr="00B57803" w:rsidRDefault="00355BC6" w:rsidP="00EC6632">
            <w:pPr>
              <w:rPr>
                <w:b/>
                <w:bCs/>
                <w:sz w:val="26"/>
                <w:szCs w:val="26"/>
              </w:rPr>
            </w:pPr>
            <w:r w:rsidRPr="00B57803">
              <w:rPr>
                <w:rFonts w:hint="cs"/>
                <w:b/>
                <w:bCs/>
                <w:sz w:val="26"/>
                <w:szCs w:val="26"/>
                <w:rtl/>
              </w:rPr>
              <w:t>ה</w:t>
            </w:r>
            <w:r w:rsidRPr="00B57803">
              <w:rPr>
                <w:b/>
                <w:bCs/>
                <w:sz w:val="26"/>
                <w:szCs w:val="26"/>
                <w:rtl/>
              </w:rPr>
              <w:t>נאשם</w:t>
            </w:r>
          </w:p>
        </w:tc>
        <w:tc>
          <w:tcPr>
            <w:tcW w:w="5106" w:type="dxa"/>
            <w:gridSpan w:val="3"/>
            <w:shd w:val="clear" w:color="auto" w:fill="auto"/>
          </w:tcPr>
          <w:p w14:paraId="64785AB2" w14:textId="77777777" w:rsidR="00355BC6" w:rsidRPr="00B57803" w:rsidRDefault="00355BC6" w:rsidP="00EC6632">
            <w:pPr>
              <w:rPr>
                <w:b/>
                <w:bCs/>
                <w:sz w:val="26"/>
                <w:szCs w:val="26"/>
                <w:rtl/>
              </w:rPr>
            </w:pPr>
            <w:r w:rsidRPr="00B57803">
              <w:rPr>
                <w:b/>
                <w:bCs/>
                <w:sz w:val="26"/>
                <w:szCs w:val="26"/>
                <w:rtl/>
              </w:rPr>
              <w:t>עבד אל סאלם</w:t>
            </w:r>
            <w:r w:rsidRPr="00B57803">
              <w:rPr>
                <w:rFonts w:hint="cs"/>
                <w:b/>
                <w:bCs/>
                <w:sz w:val="26"/>
                <w:szCs w:val="26"/>
                <w:rtl/>
              </w:rPr>
              <w:t xml:space="preserve"> </w:t>
            </w:r>
            <w:r w:rsidRPr="00B57803">
              <w:rPr>
                <w:b/>
                <w:bCs/>
                <w:sz w:val="26"/>
                <w:szCs w:val="26"/>
                <w:rtl/>
              </w:rPr>
              <w:t xml:space="preserve">עוודאללה </w:t>
            </w:r>
          </w:p>
        </w:tc>
      </w:tr>
    </w:tbl>
    <w:p w14:paraId="3CF0F4C3" w14:textId="77777777" w:rsidR="00355BC6" w:rsidRPr="00B57803" w:rsidRDefault="00355BC6" w:rsidP="00355BC6">
      <w:pPr>
        <w:rPr>
          <w:sz w:val="20"/>
          <w:szCs w:val="20"/>
          <w:rtl/>
        </w:rPr>
      </w:pPr>
    </w:p>
    <w:p w14:paraId="02EAC1EC" w14:textId="77777777" w:rsidR="00355BC6" w:rsidRPr="00B57803" w:rsidRDefault="00355BC6" w:rsidP="00355BC6">
      <w:pPr>
        <w:rPr>
          <w:sz w:val="20"/>
          <w:szCs w:val="20"/>
          <w:rtl/>
        </w:rPr>
      </w:pPr>
    </w:p>
    <w:p w14:paraId="031E2F7D" w14:textId="77777777" w:rsidR="00355BC6" w:rsidRPr="00B57803" w:rsidRDefault="00355BC6" w:rsidP="00355BC6">
      <w:pPr>
        <w:rPr>
          <w:rtl/>
        </w:rPr>
      </w:pPr>
      <w:bookmarkStart w:id="2" w:name="FirstLawyer"/>
      <w:r w:rsidRPr="00B57803">
        <w:rPr>
          <w:rtl/>
        </w:rPr>
        <w:t>ב</w:t>
      </w:r>
      <w:r w:rsidRPr="00B57803">
        <w:rPr>
          <w:rFonts w:hint="cs"/>
          <w:rtl/>
        </w:rPr>
        <w:t>את-כ</w:t>
      </w:r>
      <w:bookmarkEnd w:id="2"/>
      <w:r w:rsidRPr="00B57803">
        <w:rPr>
          <w:rFonts w:hint="cs"/>
          <w:rtl/>
        </w:rPr>
        <w:t>וח</w:t>
      </w:r>
      <w:r w:rsidRPr="00B57803">
        <w:rPr>
          <w:rtl/>
        </w:rPr>
        <w:t xml:space="preserve"> המאשימה</w:t>
      </w:r>
      <w:r w:rsidRPr="00B57803">
        <w:rPr>
          <w:rFonts w:hint="cs"/>
          <w:rtl/>
        </w:rPr>
        <w:t>:</w:t>
      </w:r>
      <w:r w:rsidRPr="00B57803">
        <w:rPr>
          <w:rtl/>
        </w:rPr>
        <w:tab/>
        <w:t>עו"ד דקלה לוי-דמרי</w:t>
      </w:r>
      <w:r w:rsidRPr="00B57803">
        <w:rPr>
          <w:rFonts w:hint="cs"/>
          <w:rtl/>
        </w:rPr>
        <w:t xml:space="preserve"> (פרקליטות מחוז ירושלים (פלילי))</w:t>
      </w:r>
    </w:p>
    <w:p w14:paraId="38107D18" w14:textId="77777777" w:rsidR="00355BC6" w:rsidRPr="00B57803" w:rsidRDefault="00355BC6" w:rsidP="00355BC6">
      <w:pPr>
        <w:rPr>
          <w:rtl/>
        </w:rPr>
      </w:pPr>
      <w:r w:rsidRPr="00B57803">
        <w:rPr>
          <w:rFonts w:hint="cs"/>
          <w:rtl/>
        </w:rPr>
        <w:t xml:space="preserve">בא-כוח </w:t>
      </w:r>
      <w:r w:rsidRPr="00B57803">
        <w:rPr>
          <w:rtl/>
        </w:rPr>
        <w:t>הנאשם</w:t>
      </w:r>
      <w:r w:rsidRPr="00B57803">
        <w:rPr>
          <w:rFonts w:hint="cs"/>
          <w:rtl/>
        </w:rPr>
        <w:t>:</w:t>
      </w:r>
      <w:r w:rsidRPr="00B57803">
        <w:rPr>
          <w:rtl/>
        </w:rPr>
        <w:tab/>
      </w:r>
      <w:r w:rsidRPr="00B57803">
        <w:rPr>
          <w:rtl/>
        </w:rPr>
        <w:tab/>
        <w:t xml:space="preserve">עו"ד רמי עותמאן </w:t>
      </w:r>
    </w:p>
    <w:p w14:paraId="6B9BD269" w14:textId="77777777" w:rsidR="002519E1" w:rsidRPr="00B57803" w:rsidRDefault="002519E1" w:rsidP="00B57803">
      <w:pPr>
        <w:spacing w:before="120" w:after="120" w:line="240" w:lineRule="exact"/>
        <w:ind w:left="283" w:hanging="283"/>
        <w:jc w:val="both"/>
        <w:rPr>
          <w:rFonts w:ascii="FrankRuehl" w:hAnsi="FrankRuehl" w:cs="FrankRuehl"/>
          <w:rtl/>
        </w:rPr>
      </w:pPr>
    </w:p>
    <w:p w14:paraId="53E3F064" w14:textId="77777777" w:rsidR="002519E1" w:rsidRPr="002519E1" w:rsidRDefault="002519E1" w:rsidP="002519E1">
      <w:pPr>
        <w:spacing w:before="120" w:after="120" w:line="240" w:lineRule="exact"/>
        <w:ind w:left="283" w:hanging="283"/>
        <w:jc w:val="both"/>
        <w:rPr>
          <w:rFonts w:ascii="FrankRuehl" w:hAnsi="FrankRuehl" w:cs="FrankRuehl"/>
          <w:rtl/>
        </w:rPr>
      </w:pPr>
    </w:p>
    <w:p w14:paraId="6A8A1C0B" w14:textId="77777777" w:rsidR="00637687" w:rsidRPr="00637687" w:rsidRDefault="00637687" w:rsidP="00637687">
      <w:pPr>
        <w:spacing w:before="120" w:after="120" w:line="240" w:lineRule="exact"/>
        <w:ind w:left="283" w:hanging="283"/>
        <w:jc w:val="both"/>
        <w:rPr>
          <w:rFonts w:ascii="FrankRuehl" w:hAnsi="FrankRuehl" w:cs="FrankRuehl"/>
          <w:rtl/>
        </w:rPr>
      </w:pPr>
    </w:p>
    <w:p w14:paraId="4F62CB87" w14:textId="77777777" w:rsidR="00C67577" w:rsidRDefault="00C67577" w:rsidP="00C67577">
      <w:pPr>
        <w:jc w:val="center"/>
        <w:rPr>
          <w:rFonts w:ascii="David" w:hAnsi="David"/>
          <w:sz w:val="28"/>
          <w:szCs w:val="28"/>
          <w:rtl/>
        </w:rPr>
      </w:pPr>
      <w:bookmarkStart w:id="3" w:name="LawTable"/>
      <w:bookmarkEnd w:id="3"/>
    </w:p>
    <w:p w14:paraId="1C26EBB6" w14:textId="77777777" w:rsidR="00C67577" w:rsidRPr="00C67577" w:rsidRDefault="00C67577" w:rsidP="00C67577">
      <w:pPr>
        <w:spacing w:before="120" w:after="120" w:line="240" w:lineRule="exact"/>
        <w:ind w:left="283" w:hanging="283"/>
        <w:jc w:val="both"/>
        <w:rPr>
          <w:rFonts w:ascii="FrankRuehl" w:hAnsi="FrankRuehl" w:cs="FrankRuehl"/>
          <w:rtl/>
        </w:rPr>
      </w:pPr>
    </w:p>
    <w:p w14:paraId="1C2D6DA6" w14:textId="77777777" w:rsidR="00C67577" w:rsidRPr="00C67577" w:rsidRDefault="00C67577" w:rsidP="00C67577">
      <w:pPr>
        <w:spacing w:before="120" w:after="120" w:line="240" w:lineRule="exact"/>
        <w:ind w:left="283" w:hanging="283"/>
        <w:jc w:val="both"/>
        <w:rPr>
          <w:rFonts w:ascii="FrankRuehl" w:hAnsi="FrankRuehl" w:cs="FrankRuehl"/>
          <w:rtl/>
        </w:rPr>
      </w:pPr>
    </w:p>
    <w:p w14:paraId="15D44C8E" w14:textId="77777777" w:rsidR="00C67577" w:rsidRPr="00C67577" w:rsidRDefault="00C67577" w:rsidP="00C67577">
      <w:pPr>
        <w:spacing w:before="120" w:after="120" w:line="240" w:lineRule="exact"/>
        <w:ind w:left="283" w:hanging="283"/>
        <w:jc w:val="both"/>
        <w:rPr>
          <w:rFonts w:ascii="FrankRuehl" w:hAnsi="FrankRuehl" w:cs="FrankRuehl"/>
          <w:rtl/>
        </w:rPr>
      </w:pPr>
      <w:r w:rsidRPr="00C67577">
        <w:rPr>
          <w:rFonts w:ascii="FrankRuehl" w:hAnsi="FrankRuehl" w:cs="FrankRuehl"/>
          <w:rtl/>
        </w:rPr>
        <w:t xml:space="preserve">חקיקה שאוזכרה: </w:t>
      </w:r>
    </w:p>
    <w:p w14:paraId="0C898F7F" w14:textId="77777777" w:rsidR="00C67577" w:rsidRPr="00C67577" w:rsidRDefault="00C67577" w:rsidP="00C67577">
      <w:pPr>
        <w:spacing w:before="120" w:after="120" w:line="240" w:lineRule="exact"/>
        <w:ind w:left="283" w:hanging="283"/>
        <w:jc w:val="both"/>
        <w:rPr>
          <w:rFonts w:ascii="FrankRuehl" w:hAnsi="FrankRuehl" w:cs="FrankRuehl"/>
          <w:rtl/>
        </w:rPr>
      </w:pPr>
      <w:hyperlink r:id="rId6" w:history="1">
        <w:r w:rsidRPr="00C67577">
          <w:rPr>
            <w:rFonts w:ascii="FrankRuehl" w:hAnsi="FrankRuehl" w:cs="FrankRuehl"/>
            <w:color w:val="0000FF"/>
            <w:rtl/>
          </w:rPr>
          <w:t>חוק העונשין, תשל"ז-1977</w:t>
        </w:r>
      </w:hyperlink>
      <w:r w:rsidRPr="00C67577">
        <w:rPr>
          <w:rFonts w:ascii="FrankRuehl" w:hAnsi="FrankRuehl" w:cs="FrankRuehl"/>
          <w:rtl/>
        </w:rPr>
        <w:t xml:space="preserve">: סע'  </w:t>
      </w:r>
      <w:hyperlink r:id="rId7" w:history="1">
        <w:r w:rsidRPr="00C67577">
          <w:rPr>
            <w:rFonts w:ascii="FrankRuehl" w:hAnsi="FrankRuehl" w:cs="FrankRuehl"/>
            <w:color w:val="0000FF"/>
            <w:rtl/>
          </w:rPr>
          <w:t>40ו</w:t>
        </w:r>
      </w:hyperlink>
      <w:r w:rsidRPr="00C67577">
        <w:rPr>
          <w:rFonts w:ascii="FrankRuehl" w:hAnsi="FrankRuehl" w:cs="FrankRuehl"/>
          <w:rtl/>
        </w:rPr>
        <w:t xml:space="preserve">, </w:t>
      </w:r>
      <w:hyperlink r:id="rId8" w:history="1">
        <w:r w:rsidRPr="00C67577">
          <w:rPr>
            <w:rFonts w:ascii="FrankRuehl" w:hAnsi="FrankRuehl" w:cs="FrankRuehl"/>
            <w:color w:val="0000FF"/>
            <w:rtl/>
          </w:rPr>
          <w:t>40ז</w:t>
        </w:r>
      </w:hyperlink>
      <w:r w:rsidRPr="00C67577">
        <w:rPr>
          <w:rFonts w:ascii="FrankRuehl" w:hAnsi="FrankRuehl" w:cs="FrankRuehl"/>
          <w:rtl/>
        </w:rPr>
        <w:t xml:space="preserve">, </w:t>
      </w:r>
      <w:hyperlink r:id="rId9" w:history="1">
        <w:r w:rsidRPr="00C67577">
          <w:rPr>
            <w:rFonts w:ascii="FrankRuehl" w:hAnsi="FrankRuehl" w:cs="FrankRuehl"/>
            <w:color w:val="0000FF"/>
            <w:rtl/>
          </w:rPr>
          <w:t>144(א)</w:t>
        </w:r>
      </w:hyperlink>
      <w:r w:rsidRPr="00C67577">
        <w:rPr>
          <w:rFonts w:ascii="FrankRuehl" w:hAnsi="FrankRuehl" w:cs="FrankRuehl"/>
          <w:rtl/>
        </w:rPr>
        <w:t xml:space="preserve">, </w:t>
      </w:r>
      <w:hyperlink r:id="rId10" w:history="1">
        <w:r w:rsidRPr="00C67577">
          <w:rPr>
            <w:rFonts w:ascii="FrankRuehl" w:hAnsi="FrankRuehl" w:cs="FrankRuehl"/>
            <w:color w:val="0000FF"/>
            <w:rtl/>
          </w:rPr>
          <w:t>144(ז)</w:t>
        </w:r>
      </w:hyperlink>
    </w:p>
    <w:p w14:paraId="1452BF8D" w14:textId="77777777" w:rsidR="00C67577" w:rsidRPr="00C67577" w:rsidRDefault="00C67577" w:rsidP="00C67577">
      <w:pPr>
        <w:spacing w:before="120" w:after="120" w:line="240" w:lineRule="exact"/>
        <w:ind w:left="283" w:hanging="283"/>
        <w:jc w:val="both"/>
        <w:rPr>
          <w:rFonts w:ascii="FrankRuehl" w:hAnsi="FrankRuehl" w:cs="FrankRuehl"/>
          <w:rtl/>
        </w:rPr>
      </w:pPr>
      <w:hyperlink r:id="rId11" w:history="1">
        <w:r w:rsidRPr="00C67577">
          <w:rPr>
            <w:rFonts w:ascii="FrankRuehl" w:hAnsi="FrankRuehl" w:cs="FrankRuehl"/>
            <w:color w:val="0000FF"/>
            <w:rtl/>
          </w:rPr>
          <w:t>פקודת סדר הדין הפלילי (מעצר וחיפוש) [נוסח חדש], תשכ"ט-1969</w:t>
        </w:r>
      </w:hyperlink>
      <w:r w:rsidRPr="00C67577">
        <w:rPr>
          <w:rFonts w:ascii="FrankRuehl" w:hAnsi="FrankRuehl" w:cs="FrankRuehl"/>
          <w:rtl/>
        </w:rPr>
        <w:t xml:space="preserve">: סע'  </w:t>
      </w:r>
      <w:hyperlink r:id="rId12" w:history="1">
        <w:r w:rsidRPr="00C67577">
          <w:rPr>
            <w:rFonts w:ascii="FrankRuehl" w:hAnsi="FrankRuehl" w:cs="FrankRuehl"/>
            <w:color w:val="0000FF"/>
            <w:rtl/>
          </w:rPr>
          <w:t>39</w:t>
        </w:r>
      </w:hyperlink>
    </w:p>
    <w:p w14:paraId="458B317B" w14:textId="77777777" w:rsidR="00C67577" w:rsidRPr="00C67577" w:rsidRDefault="00C67577" w:rsidP="00C67577">
      <w:pPr>
        <w:jc w:val="center"/>
        <w:rPr>
          <w:rFonts w:ascii="David" w:hAnsi="David"/>
          <w:sz w:val="28"/>
          <w:szCs w:val="28"/>
          <w:rtl/>
        </w:rPr>
      </w:pPr>
      <w:bookmarkStart w:id="4" w:name="LawTable_End"/>
      <w:bookmarkEnd w:id="4"/>
    </w:p>
    <w:p w14:paraId="07F60A70" w14:textId="77777777" w:rsidR="002519E1" w:rsidRPr="00637687" w:rsidRDefault="002519E1" w:rsidP="00637687">
      <w:pPr>
        <w:jc w:val="center"/>
        <w:rPr>
          <w:rFonts w:ascii="David" w:hAnsi="David" w:hint="cs"/>
          <w:sz w:val="28"/>
          <w:szCs w:val="28"/>
          <w:rtl/>
        </w:rPr>
      </w:pPr>
    </w:p>
    <w:p w14:paraId="04FB1A7F" w14:textId="77777777" w:rsidR="002519E1" w:rsidRPr="00B57803" w:rsidRDefault="002519E1" w:rsidP="00B57803">
      <w:pPr>
        <w:jc w:val="center"/>
        <w:rPr>
          <w:rFonts w:ascii="David" w:hAnsi="David"/>
          <w:b/>
          <w:bCs/>
          <w:sz w:val="28"/>
          <w:szCs w:val="28"/>
          <w:u w:val="single"/>
          <w:rtl/>
        </w:rPr>
      </w:pPr>
      <w:bookmarkStart w:id="5" w:name="PsakDin"/>
      <w:r w:rsidRPr="00B57803">
        <w:rPr>
          <w:rFonts w:ascii="David" w:hAnsi="David"/>
          <w:b/>
          <w:bCs/>
          <w:sz w:val="28"/>
          <w:szCs w:val="28"/>
          <w:u w:val="single"/>
          <w:rtl/>
        </w:rPr>
        <w:t>גזר דין</w:t>
      </w:r>
    </w:p>
    <w:bookmarkEnd w:id="5"/>
    <w:p w14:paraId="30342945" w14:textId="77777777" w:rsidR="002519E1" w:rsidRPr="00355BC6" w:rsidRDefault="002519E1" w:rsidP="00355BC6">
      <w:pPr>
        <w:jc w:val="center"/>
        <w:rPr>
          <w:rFonts w:ascii="David" w:hAnsi="David"/>
          <w:sz w:val="28"/>
          <w:szCs w:val="28"/>
          <w:u w:val="single"/>
          <w:rtl/>
        </w:rPr>
      </w:pPr>
    </w:p>
    <w:p w14:paraId="5C1FF935" w14:textId="77777777" w:rsidR="00355BC6" w:rsidRPr="00AA064B" w:rsidRDefault="00355BC6" w:rsidP="00355BC6">
      <w:pPr>
        <w:spacing w:line="360" w:lineRule="auto"/>
        <w:jc w:val="both"/>
        <w:rPr>
          <w:rFonts w:ascii="Arial" w:hAnsi="Arial"/>
          <w:rtl/>
        </w:rPr>
      </w:pPr>
      <w:bookmarkStart w:id="6" w:name="ABSTRACT_START"/>
      <w:bookmarkEnd w:id="0"/>
      <w:bookmarkEnd w:id="6"/>
      <w:r w:rsidRPr="00AA064B">
        <w:rPr>
          <w:rFonts w:ascii="Arial" w:hAnsi="Arial"/>
          <w:rtl/>
        </w:rPr>
        <w:t xml:space="preserve">על-פי הכרעת הדין מיום 15.5.2023, הנאשם, יליד 1986 (כבן 37) הורשע בהתאם להודאתו במסגרת הסדר טיעון בעבירת </w:t>
      </w:r>
      <w:r w:rsidRPr="00AA064B">
        <w:rPr>
          <w:rFonts w:ascii="Arial" w:hAnsi="Arial"/>
          <w:b/>
          <w:bCs/>
          <w:rtl/>
        </w:rPr>
        <w:t>החזקת נשק</w:t>
      </w:r>
      <w:r w:rsidRPr="00AA064B">
        <w:rPr>
          <w:rFonts w:ascii="Arial" w:hAnsi="Arial"/>
          <w:rtl/>
        </w:rPr>
        <w:t xml:space="preserve">, לפי </w:t>
      </w:r>
      <w:hyperlink r:id="rId13" w:history="1">
        <w:r w:rsidR="002519E1" w:rsidRPr="002519E1">
          <w:rPr>
            <w:rStyle w:val="Hyperlink"/>
            <w:rFonts w:ascii="Arial" w:hAnsi="Arial"/>
            <w:rtl/>
          </w:rPr>
          <w:t>סעיף 144(א)</w:t>
        </w:r>
      </w:hyperlink>
      <w:r w:rsidRPr="00AA064B">
        <w:rPr>
          <w:rFonts w:ascii="Arial" w:hAnsi="Arial"/>
          <w:rtl/>
        </w:rPr>
        <w:t xml:space="preserve"> רישה ב</w:t>
      </w:r>
      <w:hyperlink r:id="rId14" w:history="1">
        <w:r w:rsidR="00B57803" w:rsidRPr="00B57803">
          <w:rPr>
            <w:rFonts w:ascii="Arial" w:hAnsi="Arial"/>
            <w:color w:val="0000FF"/>
            <w:u w:val="single"/>
            <w:rtl/>
          </w:rPr>
          <w:t>חוק העונשין</w:t>
        </w:r>
      </w:hyperlink>
      <w:r w:rsidRPr="00AA064B">
        <w:rPr>
          <w:rFonts w:ascii="Arial" w:hAnsi="Arial"/>
          <w:rtl/>
        </w:rPr>
        <w:t xml:space="preserve">, התשל"ז-1977 (להלן – </w:t>
      </w:r>
      <w:r w:rsidRPr="00AA064B">
        <w:rPr>
          <w:rFonts w:ascii="Arial" w:hAnsi="Arial"/>
          <w:b/>
          <w:bCs/>
          <w:rtl/>
        </w:rPr>
        <w:t>החוק</w:t>
      </w:r>
      <w:r w:rsidRPr="00AA064B">
        <w:rPr>
          <w:rFonts w:ascii="Arial" w:hAnsi="Arial"/>
          <w:rtl/>
        </w:rPr>
        <w:t xml:space="preserve">) ובעבירת </w:t>
      </w:r>
      <w:r w:rsidRPr="00AA064B">
        <w:rPr>
          <w:rFonts w:ascii="Arial" w:hAnsi="Arial"/>
          <w:b/>
          <w:bCs/>
          <w:rtl/>
        </w:rPr>
        <w:t>החזקת תחמושת ואביזר תחמושת</w:t>
      </w:r>
      <w:r w:rsidRPr="00AA064B">
        <w:rPr>
          <w:rFonts w:ascii="Arial" w:hAnsi="Arial"/>
          <w:rtl/>
        </w:rPr>
        <w:t xml:space="preserve">, לפי </w:t>
      </w:r>
      <w:hyperlink r:id="rId15" w:history="1">
        <w:r w:rsidR="002519E1" w:rsidRPr="002519E1">
          <w:rPr>
            <w:rStyle w:val="Hyperlink"/>
            <w:rFonts w:ascii="Arial" w:hAnsi="Arial"/>
            <w:rtl/>
          </w:rPr>
          <w:t>סעיף 144(א)</w:t>
        </w:r>
      </w:hyperlink>
      <w:r w:rsidRPr="00AA064B">
        <w:rPr>
          <w:rFonts w:ascii="Arial" w:hAnsi="Arial"/>
          <w:rtl/>
        </w:rPr>
        <w:t xml:space="preserve"> סיפה בחוק זה. </w:t>
      </w:r>
    </w:p>
    <w:p w14:paraId="51A8487C" w14:textId="77777777" w:rsidR="00355BC6" w:rsidRPr="00AA064B" w:rsidRDefault="00355BC6" w:rsidP="00355BC6">
      <w:pPr>
        <w:spacing w:line="360" w:lineRule="auto"/>
        <w:jc w:val="both"/>
        <w:rPr>
          <w:rFonts w:ascii="Arial" w:hAnsi="Arial"/>
        </w:rPr>
      </w:pPr>
    </w:p>
    <w:p w14:paraId="3FF19BE8" w14:textId="77777777" w:rsidR="00355BC6" w:rsidRPr="00AA064B" w:rsidRDefault="00355BC6" w:rsidP="00355BC6">
      <w:pPr>
        <w:spacing w:line="360" w:lineRule="auto"/>
        <w:jc w:val="both"/>
        <w:rPr>
          <w:rFonts w:ascii="Arial" w:hAnsi="Arial"/>
          <w:rtl/>
        </w:rPr>
      </w:pPr>
      <w:bookmarkStart w:id="7" w:name="ABSTRACT_END"/>
      <w:bookmarkEnd w:id="7"/>
      <w:r w:rsidRPr="00AA064B">
        <w:rPr>
          <w:rFonts w:ascii="Arial" w:hAnsi="Arial"/>
          <w:rtl/>
        </w:rPr>
        <w:t>הסדר הטיעון כלל את תיקון כתב האישום אך לא כלל הסכמה בעניין העונש. הטיעונים לעונש נשמעו ביום 18.6.2023.</w:t>
      </w:r>
    </w:p>
    <w:p w14:paraId="32F6EB79" w14:textId="77777777" w:rsidR="00355BC6" w:rsidRPr="00AA064B" w:rsidRDefault="00355BC6" w:rsidP="00355BC6">
      <w:pPr>
        <w:spacing w:line="360" w:lineRule="auto"/>
        <w:jc w:val="both"/>
        <w:rPr>
          <w:rFonts w:ascii="Arial" w:hAnsi="Arial"/>
          <w:rtl/>
        </w:rPr>
      </w:pPr>
    </w:p>
    <w:p w14:paraId="45B452C7" w14:textId="77777777" w:rsidR="00355BC6" w:rsidRPr="00AA064B" w:rsidRDefault="00355BC6" w:rsidP="00355BC6">
      <w:pPr>
        <w:spacing w:line="360" w:lineRule="auto"/>
        <w:jc w:val="both"/>
        <w:rPr>
          <w:rFonts w:ascii="Arial" w:hAnsi="Arial"/>
          <w:b/>
          <w:bCs/>
          <w:u w:val="single"/>
          <w:rtl/>
        </w:rPr>
      </w:pPr>
      <w:r w:rsidRPr="00AA064B">
        <w:rPr>
          <w:rFonts w:ascii="Arial" w:hAnsi="Arial"/>
          <w:b/>
          <w:bCs/>
          <w:u w:val="single"/>
          <w:rtl/>
        </w:rPr>
        <w:t>רקע – עובדות כתב האישום והראיות לעונש</w:t>
      </w:r>
    </w:p>
    <w:p w14:paraId="31D8839F" w14:textId="77777777" w:rsidR="00355BC6" w:rsidRPr="00AA064B" w:rsidRDefault="00355BC6" w:rsidP="00355BC6">
      <w:pPr>
        <w:spacing w:line="360" w:lineRule="auto"/>
        <w:jc w:val="both"/>
        <w:rPr>
          <w:rFonts w:ascii="Arial" w:hAnsi="Arial"/>
          <w:sz w:val="16"/>
          <w:szCs w:val="16"/>
          <w:rtl/>
        </w:rPr>
      </w:pPr>
    </w:p>
    <w:p w14:paraId="5A3E30BE" w14:textId="77777777" w:rsidR="00355BC6" w:rsidRPr="00AA064B" w:rsidRDefault="00355BC6" w:rsidP="00355BC6">
      <w:pPr>
        <w:spacing w:line="360" w:lineRule="auto"/>
        <w:jc w:val="both"/>
        <w:rPr>
          <w:rFonts w:ascii="Arial" w:hAnsi="Arial"/>
          <w:rtl/>
        </w:rPr>
      </w:pPr>
      <w:r w:rsidRPr="00AA064B">
        <w:rPr>
          <w:rFonts w:ascii="Arial" w:hAnsi="Arial"/>
          <w:rtl/>
        </w:rPr>
        <w:t>2.</w:t>
      </w:r>
      <w:r w:rsidRPr="00AA064B">
        <w:rPr>
          <w:rFonts w:ascii="Arial" w:hAnsi="Arial"/>
          <w:rtl/>
        </w:rPr>
        <w:tab/>
      </w:r>
      <w:r w:rsidRPr="00AA064B">
        <w:rPr>
          <w:rFonts w:ascii="Arial" w:hAnsi="Arial"/>
          <w:b/>
          <w:bCs/>
          <w:u w:val="single"/>
          <w:rtl/>
        </w:rPr>
        <w:t>עובדות כתב האישום המתוקן</w:t>
      </w:r>
      <w:r w:rsidRPr="00AA064B">
        <w:rPr>
          <w:rFonts w:ascii="Arial" w:hAnsi="Arial"/>
          <w:b/>
          <w:bCs/>
          <w:rtl/>
        </w:rPr>
        <w:t>:</w:t>
      </w:r>
      <w:r w:rsidRPr="00AA064B">
        <w:rPr>
          <w:rFonts w:ascii="Arial" w:hAnsi="Arial"/>
          <w:rtl/>
        </w:rPr>
        <w:t xml:space="preserve"> ביום 7.7.2022 נסע הנאשם עם אשתו וארבעת ילדיו ברכבו, מאזור רמאללה לאזור ירושלים. בדרכו עבר במחסום 'חיזמא', הסמוך לשכונת פסגת זאב. אותה עת, החזיק ברכבו נשק דמוי תת מקלע מאולתר, אשר יורה ובכוחו להמית אדם וכן שתי מחסניות ריקות. הנשק הוסתר תחת אחד המושבים שבהם ישבו ילדיו הקטינים של הנאשם.</w:t>
      </w:r>
    </w:p>
    <w:p w14:paraId="1EE0DBE4" w14:textId="77777777" w:rsidR="00355BC6" w:rsidRPr="00AA064B" w:rsidRDefault="00355BC6" w:rsidP="00355BC6">
      <w:pPr>
        <w:spacing w:line="360" w:lineRule="auto"/>
        <w:jc w:val="both"/>
        <w:rPr>
          <w:rFonts w:ascii="Arial" w:hAnsi="Arial"/>
          <w:rtl/>
        </w:rPr>
      </w:pPr>
    </w:p>
    <w:p w14:paraId="33607EC3" w14:textId="77777777" w:rsidR="00355BC6" w:rsidRPr="00AA064B" w:rsidRDefault="00355BC6" w:rsidP="00355BC6">
      <w:pPr>
        <w:spacing w:line="360" w:lineRule="auto"/>
        <w:jc w:val="both"/>
        <w:rPr>
          <w:rFonts w:ascii="Arial" w:hAnsi="Arial"/>
          <w:rtl/>
        </w:rPr>
      </w:pPr>
      <w:r w:rsidRPr="00AA064B">
        <w:rPr>
          <w:rFonts w:ascii="Arial" w:hAnsi="Arial"/>
          <w:rtl/>
        </w:rPr>
        <w:t>3.</w:t>
      </w:r>
      <w:r w:rsidRPr="00AA064B">
        <w:rPr>
          <w:rFonts w:ascii="Arial" w:hAnsi="Arial"/>
          <w:rtl/>
        </w:rPr>
        <w:tab/>
      </w:r>
      <w:r w:rsidRPr="00AA064B">
        <w:rPr>
          <w:rFonts w:ascii="Arial" w:hAnsi="Arial"/>
          <w:b/>
          <w:bCs/>
          <w:u w:val="single"/>
          <w:rtl/>
        </w:rPr>
        <w:t>הטעמים לאי הגשת תסקיר לעונש מטעם שירות המבחן</w:t>
      </w:r>
      <w:r w:rsidRPr="00AA064B">
        <w:rPr>
          <w:rFonts w:ascii="Arial" w:hAnsi="Arial"/>
          <w:b/>
          <w:bCs/>
          <w:rtl/>
        </w:rPr>
        <w:t>:</w:t>
      </w:r>
      <w:r w:rsidRPr="00AA064B">
        <w:rPr>
          <w:rFonts w:ascii="Arial" w:hAnsi="Arial"/>
          <w:rtl/>
        </w:rPr>
        <w:t xml:space="preserve"> לאחר מתן הכרעת הדין ביקש בא-כוח הנאשם כי יוזמן תסקיר לעונש מטעם שירות המבחן ואילו המאשימה נמנעה מנקיטת </w:t>
      </w:r>
      <w:r w:rsidRPr="00AA064B">
        <w:rPr>
          <w:rFonts w:ascii="Arial" w:hAnsi="Arial"/>
          <w:rtl/>
        </w:rPr>
        <w:lastRenderedPageBreak/>
        <w:t>עמדה, אך הודיעה כי בכל מקרה, עמדתה בעניין העונש היא כי יש להשית על הנאשם מאסר בפועל וכי היא אינה מסכימה להתחלת הליך שיקומי. הבקשה להזמנת תסקיר נדחתה בהיעדר חובת הגשת תסקיר לעונש, בהתחשב בכך שההמתנה להגשתו לגבי מי שאינו עצור עשויה להימשך כתשעה חודשים וכן מהטעם שהנאשם יוכל לבסס את כלל טענותיו בראיות שיגיש.</w:t>
      </w:r>
    </w:p>
    <w:p w14:paraId="17EBDCE1" w14:textId="77777777" w:rsidR="00355BC6" w:rsidRPr="00AA064B" w:rsidRDefault="00355BC6" w:rsidP="00355BC6">
      <w:pPr>
        <w:spacing w:line="360" w:lineRule="auto"/>
        <w:jc w:val="both"/>
        <w:rPr>
          <w:rFonts w:ascii="Arial" w:hAnsi="Arial"/>
          <w:rtl/>
        </w:rPr>
      </w:pPr>
    </w:p>
    <w:p w14:paraId="4E8555A4" w14:textId="77777777" w:rsidR="00355BC6" w:rsidRPr="00AA064B" w:rsidRDefault="00355BC6" w:rsidP="00355BC6">
      <w:pPr>
        <w:spacing w:line="360" w:lineRule="auto"/>
        <w:jc w:val="both"/>
        <w:rPr>
          <w:rFonts w:ascii="Arial" w:hAnsi="Arial"/>
          <w:rtl/>
        </w:rPr>
      </w:pPr>
      <w:r w:rsidRPr="00AA064B">
        <w:rPr>
          <w:rFonts w:ascii="Arial" w:hAnsi="Arial"/>
          <w:rtl/>
        </w:rPr>
        <w:t>4.</w:t>
      </w:r>
      <w:r w:rsidRPr="00AA064B">
        <w:rPr>
          <w:rFonts w:ascii="Arial" w:hAnsi="Arial"/>
          <w:rtl/>
        </w:rPr>
        <w:tab/>
      </w:r>
      <w:r w:rsidRPr="00AA064B">
        <w:rPr>
          <w:rFonts w:ascii="Arial" w:hAnsi="Arial"/>
          <w:b/>
          <w:bCs/>
          <w:u w:val="single"/>
          <w:rtl/>
        </w:rPr>
        <w:t>הראיות לעונש</w:t>
      </w:r>
      <w:r w:rsidRPr="00AA064B">
        <w:rPr>
          <w:rFonts w:ascii="Arial" w:hAnsi="Arial"/>
          <w:b/>
          <w:bCs/>
          <w:rtl/>
        </w:rPr>
        <w:t>: מטעם ההגנה</w:t>
      </w:r>
      <w:r w:rsidRPr="00AA064B">
        <w:rPr>
          <w:rFonts w:ascii="Arial" w:hAnsi="Arial"/>
          <w:rtl/>
        </w:rPr>
        <w:t xml:space="preserve"> הוגשו מסמכים רפואיים בעניין פציעה שהייתה לנאשם בגבו וטיפולים בקשר לכך. </w:t>
      </w:r>
      <w:r w:rsidRPr="00AA064B">
        <w:rPr>
          <w:rFonts w:ascii="Arial" w:hAnsi="Arial"/>
          <w:b/>
          <w:bCs/>
          <w:rtl/>
        </w:rPr>
        <w:t>מטעם המאשימה</w:t>
      </w:r>
      <w:r w:rsidRPr="00AA064B">
        <w:rPr>
          <w:rFonts w:ascii="Arial" w:hAnsi="Arial"/>
          <w:rtl/>
        </w:rPr>
        <w:t xml:space="preserve"> לא הוגשו ראיות לעונש.</w:t>
      </w:r>
    </w:p>
    <w:p w14:paraId="6C334D5E" w14:textId="77777777" w:rsidR="00355BC6" w:rsidRPr="00AA064B" w:rsidRDefault="00355BC6" w:rsidP="00355BC6">
      <w:pPr>
        <w:spacing w:line="360" w:lineRule="auto"/>
        <w:jc w:val="both"/>
        <w:rPr>
          <w:rFonts w:ascii="Arial" w:hAnsi="Arial"/>
          <w:rtl/>
        </w:rPr>
      </w:pPr>
    </w:p>
    <w:p w14:paraId="072BF25B" w14:textId="77777777" w:rsidR="00355BC6" w:rsidRPr="00AA064B" w:rsidRDefault="00355BC6" w:rsidP="00355BC6">
      <w:pPr>
        <w:spacing w:line="360" w:lineRule="auto"/>
        <w:jc w:val="both"/>
        <w:rPr>
          <w:rFonts w:ascii="Arial" w:hAnsi="Arial"/>
          <w:rtl/>
        </w:rPr>
      </w:pPr>
      <w:r w:rsidRPr="00AA064B">
        <w:rPr>
          <w:rFonts w:ascii="Arial" w:hAnsi="Arial"/>
          <w:b/>
          <w:bCs/>
          <w:u w:val="single"/>
          <w:rtl/>
        </w:rPr>
        <w:t>טענות הצדדים בעניין העונש ודברי הנאשם</w:t>
      </w:r>
    </w:p>
    <w:p w14:paraId="3BFD536B" w14:textId="77777777" w:rsidR="00355BC6" w:rsidRPr="00AA064B" w:rsidRDefault="00355BC6" w:rsidP="00355BC6">
      <w:pPr>
        <w:spacing w:line="360" w:lineRule="auto"/>
        <w:jc w:val="both"/>
        <w:rPr>
          <w:rFonts w:ascii="Arial" w:hAnsi="Arial"/>
          <w:sz w:val="16"/>
          <w:szCs w:val="16"/>
          <w:rtl/>
        </w:rPr>
      </w:pPr>
    </w:p>
    <w:p w14:paraId="0075F8DB" w14:textId="77777777" w:rsidR="00355BC6" w:rsidRPr="00AA064B" w:rsidRDefault="00355BC6" w:rsidP="00355BC6">
      <w:pPr>
        <w:spacing w:line="360" w:lineRule="auto"/>
        <w:jc w:val="both"/>
        <w:rPr>
          <w:rFonts w:ascii="Arial" w:hAnsi="Arial"/>
          <w:rtl/>
        </w:rPr>
      </w:pPr>
      <w:r w:rsidRPr="00AA064B">
        <w:rPr>
          <w:rFonts w:ascii="Arial" w:hAnsi="Arial"/>
          <w:rtl/>
        </w:rPr>
        <w:t>5.</w:t>
      </w:r>
      <w:r w:rsidRPr="00AA064B">
        <w:rPr>
          <w:rFonts w:ascii="Arial" w:hAnsi="Arial"/>
          <w:rtl/>
        </w:rPr>
        <w:tab/>
      </w:r>
      <w:r w:rsidRPr="00AA064B">
        <w:rPr>
          <w:rFonts w:ascii="Arial" w:hAnsi="Arial"/>
          <w:b/>
          <w:bCs/>
          <w:u w:val="single"/>
          <w:rtl/>
        </w:rPr>
        <w:t>טענות המאשימה</w:t>
      </w:r>
      <w:r w:rsidRPr="00AA064B">
        <w:rPr>
          <w:rFonts w:ascii="Arial" w:hAnsi="Arial"/>
          <w:b/>
          <w:bCs/>
          <w:rtl/>
        </w:rPr>
        <w:t>:</w:t>
      </w:r>
      <w:r w:rsidRPr="00AA064B">
        <w:rPr>
          <w:rFonts w:ascii="Arial" w:hAnsi="Arial"/>
          <w:rtl/>
        </w:rPr>
        <w:t xml:space="preserve"> באת-כוח המאשימה טענה כי מעשיי הנאשם פגעו בערך השמירה על חיי אדם וכי החזקת נשק טומנת בחובה סיכון שייעשה שימוש בנשק תוך פגיעה באנשים, בין בפעילות פלילית ובין בפעילות טרור. מעשים אלו אף פוגעים בשלטון החוק, בשל השימוש בנשק ללא רישיון כדין, בעוד שהסמכות לקבוע מי יישא נשק ברישיון ובאלו נסיבות נתונה בידי המדינה. דובר בתת-מקלע מאולתר, שפוטנציאל הסיכון והנזק הנשקפים מהשימוש בו גבוה וכן דובר בהחזקת מחסניות, שאמנם היו ריקות, אך הוסתרו מתחת למושב הרכב שבו ישבו ילדיו הקטנים של הנאשם. באת-כוח המאשימה טענה כי לא אחת הודגש הצורך בהחמרת עונשיהם של עוברי עבירות נשק וזאת כדי לייצר הרתעה ומאחר שעבירות אלו הן בגדר </w:t>
      </w:r>
      <w:r w:rsidRPr="00AA064B">
        <w:rPr>
          <w:rFonts w:ascii="Arial" w:hAnsi="Arial"/>
          <w:b/>
          <w:bCs/>
          <w:rtl/>
        </w:rPr>
        <w:t>"מכת מדינה"</w:t>
      </w:r>
      <w:r w:rsidRPr="00AA064B">
        <w:rPr>
          <w:rFonts w:ascii="Arial" w:hAnsi="Arial"/>
          <w:rtl/>
        </w:rPr>
        <w:t xml:space="preserve">. בעניין זה, הפנתה אל </w:t>
      </w:r>
      <w:r>
        <w:rPr>
          <w:rFonts w:ascii="Arial" w:hAnsi="Arial" w:hint="cs"/>
          <w:rtl/>
        </w:rPr>
        <w:t>דברי בית המשפט ב</w:t>
      </w:r>
      <w:r w:rsidRPr="00AA064B">
        <w:rPr>
          <w:rFonts w:ascii="Arial" w:hAnsi="Arial"/>
          <w:rtl/>
        </w:rPr>
        <w:t xml:space="preserve">פסקי הדין הבאים: </w:t>
      </w:r>
      <w:hyperlink r:id="rId16" w:history="1">
        <w:r w:rsidR="00B57803" w:rsidRPr="00B57803">
          <w:rPr>
            <w:rFonts w:ascii="Arial" w:hAnsi="Arial"/>
            <w:color w:val="0000FF"/>
            <w:u w:val="single"/>
            <w:rtl/>
          </w:rPr>
          <w:t>ע"פ 7473/20</w:t>
        </w:r>
      </w:hyperlink>
      <w:r w:rsidRPr="00AA064B">
        <w:rPr>
          <w:rFonts w:ascii="Arial" w:hAnsi="Arial"/>
          <w:rtl/>
        </w:rPr>
        <w:t xml:space="preserve"> </w:t>
      </w:r>
      <w:r w:rsidRPr="00AA064B">
        <w:rPr>
          <w:rFonts w:ascii="Arial" w:hAnsi="Arial"/>
          <w:b/>
          <w:bCs/>
          <w:rtl/>
        </w:rPr>
        <w:t xml:space="preserve">מדינת ישראל נ' מחאמיד </w:t>
      </w:r>
      <w:r w:rsidRPr="00AA064B">
        <w:rPr>
          <w:rFonts w:ascii="Arial" w:hAnsi="Arial"/>
          <w:rtl/>
        </w:rPr>
        <w:t>(29.6.2021);</w:t>
      </w:r>
      <w:r w:rsidRPr="00AA064B">
        <w:rPr>
          <w:rFonts w:ascii="Arial" w:hAnsi="Arial"/>
          <w:b/>
          <w:bCs/>
          <w:rtl/>
        </w:rPr>
        <w:t xml:space="preserve"> </w:t>
      </w:r>
      <w:hyperlink r:id="rId17" w:history="1">
        <w:r w:rsidR="00B57803" w:rsidRPr="00B57803">
          <w:rPr>
            <w:rFonts w:ascii="Arial" w:hAnsi="Arial"/>
            <w:color w:val="0000FF"/>
            <w:u w:val="single"/>
            <w:rtl/>
          </w:rPr>
          <w:t>ע"פ 5993/21</w:t>
        </w:r>
      </w:hyperlink>
      <w:r w:rsidRPr="00AA064B">
        <w:rPr>
          <w:rFonts w:ascii="Arial" w:hAnsi="Arial"/>
          <w:rtl/>
        </w:rPr>
        <w:t xml:space="preserve"> </w:t>
      </w:r>
      <w:r w:rsidRPr="00AA064B">
        <w:rPr>
          <w:rFonts w:ascii="Arial" w:hAnsi="Arial"/>
          <w:b/>
          <w:bCs/>
          <w:rtl/>
        </w:rPr>
        <w:t xml:space="preserve">אבו סאלח נ' מדינת ישראל </w:t>
      </w:r>
      <w:r w:rsidRPr="00AA064B">
        <w:rPr>
          <w:rFonts w:ascii="Arial" w:hAnsi="Arial"/>
          <w:rtl/>
        </w:rPr>
        <w:t>(29.11.2021);</w:t>
      </w:r>
      <w:r w:rsidRPr="00AA064B">
        <w:rPr>
          <w:rFonts w:ascii="Arial" w:hAnsi="Arial"/>
          <w:b/>
          <w:bCs/>
          <w:rtl/>
        </w:rPr>
        <w:t xml:space="preserve"> </w:t>
      </w:r>
      <w:hyperlink r:id="rId18" w:history="1">
        <w:r w:rsidR="00B57803" w:rsidRPr="00B57803">
          <w:rPr>
            <w:rFonts w:ascii="Arial" w:hAnsi="Arial"/>
            <w:color w:val="0000FF"/>
            <w:u w:val="single"/>
            <w:rtl/>
          </w:rPr>
          <w:t>ע"פ 8416/20</w:t>
        </w:r>
      </w:hyperlink>
      <w:r w:rsidRPr="00AA064B">
        <w:rPr>
          <w:rFonts w:ascii="Arial" w:hAnsi="Arial"/>
          <w:rtl/>
        </w:rPr>
        <w:t xml:space="preserve"> </w:t>
      </w:r>
      <w:r w:rsidRPr="00AA064B">
        <w:rPr>
          <w:rFonts w:ascii="Arial" w:hAnsi="Arial"/>
          <w:b/>
          <w:bCs/>
          <w:rtl/>
        </w:rPr>
        <w:t xml:space="preserve">עייאט נ' מדינת ישראל </w:t>
      </w:r>
      <w:r w:rsidRPr="00AA064B">
        <w:rPr>
          <w:rFonts w:ascii="Arial" w:hAnsi="Arial"/>
          <w:rtl/>
        </w:rPr>
        <w:t xml:space="preserve">(2.9.2021). </w:t>
      </w:r>
    </w:p>
    <w:p w14:paraId="48D899E3" w14:textId="77777777" w:rsidR="00355BC6" w:rsidRPr="00AA064B" w:rsidRDefault="00355BC6" w:rsidP="00355BC6">
      <w:pPr>
        <w:spacing w:line="360" w:lineRule="auto"/>
        <w:jc w:val="both"/>
        <w:rPr>
          <w:rFonts w:ascii="Arial" w:hAnsi="Arial"/>
          <w:rtl/>
        </w:rPr>
      </w:pPr>
    </w:p>
    <w:p w14:paraId="38947960" w14:textId="77777777" w:rsidR="00355BC6" w:rsidRPr="00AA064B" w:rsidRDefault="00355BC6" w:rsidP="00355BC6">
      <w:pPr>
        <w:spacing w:line="360" w:lineRule="auto"/>
        <w:jc w:val="both"/>
        <w:rPr>
          <w:rFonts w:ascii="Arial" w:hAnsi="Arial"/>
          <w:rtl/>
        </w:rPr>
      </w:pPr>
      <w:r w:rsidRPr="00AA064B">
        <w:rPr>
          <w:rFonts w:ascii="Arial" w:hAnsi="Arial"/>
          <w:rtl/>
        </w:rPr>
        <w:t xml:space="preserve">באת-כוח המאשימה טענה כי יש להחמיר בענישה אף לנוכח תיקון החוק שנכנס לתוקף בחודש דצמבר 2012, הקובע </w:t>
      </w:r>
      <w:hyperlink r:id="rId19" w:history="1">
        <w:r w:rsidR="002519E1" w:rsidRPr="002519E1">
          <w:rPr>
            <w:rStyle w:val="Hyperlink"/>
            <w:rFonts w:ascii="Arial" w:hAnsi="Arial"/>
            <w:rtl/>
          </w:rPr>
          <w:t>בסעיף 144(ז)</w:t>
        </w:r>
      </w:hyperlink>
      <w:r w:rsidRPr="00AA064B">
        <w:rPr>
          <w:rFonts w:ascii="Arial" w:hAnsi="Arial"/>
          <w:rtl/>
        </w:rPr>
        <w:t xml:space="preserve"> עונש מזערי שלא יפחת מרבע העונש המרבי הקבוע בחוק, אלא מטעמים מיוחדים שיירשמו. לטענתה טעמים אלו אינם מתקיימים בנסיבות הנדונות, שבהן העונש המזערי הוא 21 חודשי מאסר. עוד טענה, כי ככלל, אין מקום להשתת העונש המזערי כענישה מותנית, אשר יהיה בה כדי להחטיא את מטרת התיקון, אשר נועד להביא להחמרת הענישה. בנוסף לכך טענה, כי אין בעובדה שהנשק רק הוחזק בלי שנעשה בו שימוש, כדי לשנות מחומרת העבירה. שכן, כאמור בעניין </w:t>
      </w:r>
      <w:hyperlink r:id="rId20" w:history="1">
        <w:r w:rsidR="00B57803" w:rsidRPr="00B57803">
          <w:rPr>
            <w:rFonts w:ascii="Arial" w:hAnsi="Arial"/>
            <w:color w:val="0000FF"/>
            <w:u w:val="single"/>
            <w:rtl/>
          </w:rPr>
          <w:t>רע"פ 3619/21</w:t>
        </w:r>
      </w:hyperlink>
      <w:r w:rsidRPr="00AA064B">
        <w:rPr>
          <w:rFonts w:ascii="Arial" w:hAnsi="Arial"/>
          <w:rtl/>
        </w:rPr>
        <w:t xml:space="preserve"> </w:t>
      </w:r>
      <w:r w:rsidRPr="00AA064B">
        <w:rPr>
          <w:rFonts w:ascii="Arial" w:hAnsi="Arial"/>
          <w:b/>
          <w:bCs/>
          <w:rtl/>
        </w:rPr>
        <w:t>אבו הלאל נ' מדינת ישראל</w:t>
      </w:r>
      <w:r w:rsidRPr="00AA064B">
        <w:rPr>
          <w:rFonts w:ascii="Arial" w:hAnsi="Arial"/>
          <w:rtl/>
        </w:rPr>
        <w:t xml:space="preserve"> (26.5.2021), אין בכך שלא הייתה פגיעה בחיי אדם כדי להמעיט מחומרת עבירת הנשק או מהסיכון שנשקף ממנה.</w:t>
      </w:r>
    </w:p>
    <w:p w14:paraId="330129FF" w14:textId="77777777" w:rsidR="00355BC6" w:rsidRPr="00AA064B" w:rsidRDefault="00355BC6" w:rsidP="00355BC6">
      <w:pPr>
        <w:spacing w:line="360" w:lineRule="auto"/>
        <w:jc w:val="both"/>
        <w:rPr>
          <w:rFonts w:ascii="Arial" w:hAnsi="Arial"/>
          <w:rtl/>
        </w:rPr>
      </w:pPr>
    </w:p>
    <w:p w14:paraId="4EB4F879" w14:textId="77777777" w:rsidR="00355BC6" w:rsidRPr="00AA064B" w:rsidRDefault="00355BC6" w:rsidP="00355BC6">
      <w:pPr>
        <w:spacing w:line="360" w:lineRule="auto"/>
        <w:jc w:val="both"/>
        <w:rPr>
          <w:rFonts w:ascii="Arial" w:hAnsi="Arial"/>
          <w:rtl/>
        </w:rPr>
      </w:pPr>
      <w:r w:rsidRPr="00AA064B">
        <w:rPr>
          <w:rFonts w:ascii="Arial" w:hAnsi="Arial"/>
          <w:rtl/>
        </w:rPr>
        <w:t>בעניין מתחם העונש, עמדת המאשימה היא כי יש להעמידו על שנתיים עד ארבע שנות מאסר לצד ענישה נלווית. לתמיכה בעמדה זו הוגשו שלושה פסקי דין, אשר יפורטו בהמשך הדברים במסגרת הדיון בנושא מדיניות הענישה הנהוגה.</w:t>
      </w:r>
    </w:p>
    <w:p w14:paraId="0FAD15D3" w14:textId="77777777" w:rsidR="00355BC6" w:rsidRPr="00AA064B" w:rsidRDefault="00355BC6" w:rsidP="00355BC6">
      <w:pPr>
        <w:spacing w:line="360" w:lineRule="auto"/>
        <w:jc w:val="both"/>
        <w:rPr>
          <w:rFonts w:ascii="Arial" w:hAnsi="Arial"/>
          <w:rtl/>
        </w:rPr>
      </w:pPr>
    </w:p>
    <w:p w14:paraId="7E2AE749" w14:textId="77777777" w:rsidR="00355BC6" w:rsidRPr="00AA064B" w:rsidRDefault="00355BC6" w:rsidP="00355BC6">
      <w:pPr>
        <w:spacing w:line="360" w:lineRule="auto"/>
        <w:jc w:val="both"/>
        <w:rPr>
          <w:rFonts w:ascii="Arial" w:hAnsi="Arial"/>
          <w:rtl/>
        </w:rPr>
      </w:pPr>
      <w:r w:rsidRPr="00AA064B">
        <w:rPr>
          <w:rFonts w:ascii="Arial" w:hAnsi="Arial"/>
          <w:rtl/>
        </w:rPr>
        <w:t xml:space="preserve">בעניין נסיבותיו של הנאשם טענה באת-כוח המאשימה, כי הוא נעדר הרשעות קודמות; הכיר באחריותו למעשים; הודה במסגרת הסדר טיעון וחסך זמן שיפוטי; הוא היה עצור כארבעה חודשים וחצי (מיום 7.7.2022 עד יום 23.11.2022), לאחר מכן במעצר בפיקוח במשך כשלושה חודשים וחצי (עד יום 7.3.2023) ובמעצר בית במשך מעל חודשיים. עם זאת טענה, כי כי בעניין עבירות נשק, יש </w:t>
      </w:r>
      <w:r w:rsidRPr="00AA064B">
        <w:rPr>
          <w:rFonts w:ascii="Arial" w:hAnsi="Arial"/>
          <w:rtl/>
        </w:rPr>
        <w:lastRenderedPageBreak/>
        <w:t>להעדיף את שיקולי הרתעת הרבים והרתעת היחיד על פני נסיבותיו של הנאשם וזאת בייחוד לנוכח מגמת החמרת הענישה בשל עבירות אלו הן בחקיקה הן בפסיקה.</w:t>
      </w:r>
    </w:p>
    <w:p w14:paraId="4EF7DF18" w14:textId="77777777" w:rsidR="00355BC6" w:rsidRPr="00AA064B" w:rsidRDefault="00355BC6" w:rsidP="00355BC6">
      <w:pPr>
        <w:spacing w:line="360" w:lineRule="auto"/>
        <w:jc w:val="both"/>
        <w:rPr>
          <w:rFonts w:ascii="Arial" w:hAnsi="Arial"/>
          <w:rtl/>
        </w:rPr>
      </w:pPr>
    </w:p>
    <w:p w14:paraId="16367410" w14:textId="77777777" w:rsidR="00355BC6" w:rsidRPr="00AA064B" w:rsidRDefault="00355BC6" w:rsidP="00355BC6">
      <w:pPr>
        <w:spacing w:line="360" w:lineRule="auto"/>
        <w:jc w:val="both"/>
        <w:rPr>
          <w:rFonts w:ascii="Arial" w:hAnsi="Arial"/>
          <w:rtl/>
        </w:rPr>
      </w:pPr>
      <w:r w:rsidRPr="00AA064B">
        <w:rPr>
          <w:rFonts w:ascii="Arial" w:hAnsi="Arial"/>
          <w:rtl/>
        </w:rPr>
        <w:t xml:space="preserve">לנוכח האמור, עמדת המאשימה היא כי יש להשית על הנאשם 28 חודשי מאסר בפועל, מאסר מותנה וקנס. כן עתרה המאשימה לחילוט רכבו של הנאשם בהתאם להוראת </w:t>
      </w:r>
      <w:hyperlink r:id="rId21" w:history="1">
        <w:r w:rsidR="002519E1" w:rsidRPr="002519E1">
          <w:rPr>
            <w:rStyle w:val="Hyperlink"/>
            <w:rFonts w:ascii="Arial" w:hAnsi="Arial"/>
            <w:rtl/>
          </w:rPr>
          <w:t>סעיף 39</w:t>
        </w:r>
      </w:hyperlink>
      <w:r w:rsidRPr="00AA064B">
        <w:rPr>
          <w:rFonts w:ascii="Arial" w:hAnsi="Arial"/>
          <w:rtl/>
        </w:rPr>
        <w:t xml:space="preserve"> ב</w:t>
      </w:r>
      <w:hyperlink r:id="rId22" w:history="1">
        <w:r w:rsidR="00B57803" w:rsidRPr="00B57803">
          <w:rPr>
            <w:rFonts w:ascii="Arial" w:hAnsi="Arial"/>
            <w:color w:val="0000FF"/>
            <w:u w:val="single"/>
            <w:rtl/>
          </w:rPr>
          <w:t>פקודת סדר הדין הפלילי (מעצר וחיפוש)</w:t>
        </w:r>
      </w:hyperlink>
      <w:r w:rsidRPr="00AA064B">
        <w:rPr>
          <w:rFonts w:ascii="Arial" w:hAnsi="Arial"/>
          <w:rtl/>
        </w:rPr>
        <w:t xml:space="preserve"> [נוסח חדש], התשכ"ט-1969. בעניין זה הפנתה אל ההחלטה בעניין </w:t>
      </w:r>
      <w:hyperlink r:id="rId23" w:history="1">
        <w:r w:rsidR="00B57803" w:rsidRPr="00B57803">
          <w:rPr>
            <w:rFonts w:ascii="Arial" w:hAnsi="Arial"/>
            <w:color w:val="0000FF"/>
            <w:u w:val="single"/>
            <w:rtl/>
          </w:rPr>
          <w:t>ת"פ (מחוזי ירושלים) 39631-12-21</w:t>
        </w:r>
      </w:hyperlink>
      <w:r w:rsidRPr="00AA064B">
        <w:rPr>
          <w:rFonts w:ascii="Arial" w:hAnsi="Arial"/>
          <w:rtl/>
        </w:rPr>
        <w:t xml:space="preserve"> </w:t>
      </w:r>
      <w:r w:rsidRPr="00AA064B">
        <w:rPr>
          <w:rFonts w:ascii="Arial" w:hAnsi="Arial"/>
          <w:b/>
          <w:bCs/>
          <w:rtl/>
        </w:rPr>
        <w:t>מדינת ישראל נ' סלמן</w:t>
      </w:r>
      <w:r w:rsidRPr="00AA064B">
        <w:rPr>
          <w:rFonts w:ascii="Arial" w:hAnsi="Arial"/>
          <w:rtl/>
        </w:rPr>
        <w:t xml:space="preserve"> (17.1.2023).</w:t>
      </w:r>
    </w:p>
    <w:p w14:paraId="420F4335" w14:textId="77777777" w:rsidR="00355BC6" w:rsidRPr="00AA064B" w:rsidRDefault="00355BC6" w:rsidP="00355BC6">
      <w:pPr>
        <w:spacing w:line="360" w:lineRule="auto"/>
        <w:jc w:val="both"/>
        <w:rPr>
          <w:rFonts w:ascii="Arial" w:hAnsi="Arial"/>
          <w:rtl/>
        </w:rPr>
      </w:pPr>
    </w:p>
    <w:p w14:paraId="5E922756" w14:textId="77777777" w:rsidR="00355BC6" w:rsidRPr="00AA064B" w:rsidRDefault="00355BC6" w:rsidP="00355BC6">
      <w:pPr>
        <w:spacing w:line="360" w:lineRule="auto"/>
        <w:jc w:val="both"/>
        <w:rPr>
          <w:rFonts w:ascii="Arial" w:hAnsi="Arial"/>
          <w:rtl/>
        </w:rPr>
      </w:pPr>
      <w:r w:rsidRPr="00AA064B">
        <w:rPr>
          <w:rFonts w:ascii="Arial" w:hAnsi="Arial"/>
          <w:rtl/>
        </w:rPr>
        <w:t>6.</w:t>
      </w:r>
      <w:r w:rsidRPr="00AA064B">
        <w:rPr>
          <w:rFonts w:ascii="Arial" w:hAnsi="Arial"/>
          <w:rtl/>
        </w:rPr>
        <w:tab/>
      </w:r>
      <w:r w:rsidRPr="00AA064B">
        <w:rPr>
          <w:rFonts w:ascii="Arial" w:hAnsi="Arial"/>
          <w:b/>
          <w:bCs/>
          <w:u w:val="single"/>
          <w:rtl/>
        </w:rPr>
        <w:t>טענות ההגנה</w:t>
      </w:r>
      <w:r w:rsidRPr="00AA064B">
        <w:rPr>
          <w:rFonts w:ascii="Arial" w:hAnsi="Arial"/>
          <w:b/>
          <w:bCs/>
          <w:rtl/>
        </w:rPr>
        <w:t>:</w:t>
      </w:r>
      <w:r w:rsidRPr="00AA064B">
        <w:rPr>
          <w:rFonts w:ascii="Arial" w:hAnsi="Arial"/>
          <w:rtl/>
        </w:rPr>
        <w:t xml:space="preserve"> בא-כוח הנאשם הדגיש כי העבירה נעברה לפני כשנה, כי הנאשם הודה במעשים מיד, כבר במסגרת חקירתו במשטרה וכן כי הכיר באחריותו למעשים. עוד הדגיש, כי לא היו ברשות הנאשם תחמושת וכדורים וכי אף בחיפוש בביתו לא נמצאו כדורי נשק. הנאשם אף לא התכוון לרכוש תחמושת ולטענתו, יש לכך משמעות רבה, בשל כך שבכל מקרה לא ניתן היה להשתמש בנשק שנתפס. בא-כוח הנאשם הדגיש גם את תקופת מעצרו של הנאשם (כמפורט לעיל) וכן את העובדה שהתסקיר שהוגש בעניינו בשלב המעצר היה חיובי מאד ולכן הוחלט על שחרורו למעצר בפיקוח ולאחר מכן למעצר בית. מטעם זה מלכתחילה, ביקש שיוגש תסקיר לעונש.</w:t>
      </w:r>
    </w:p>
    <w:p w14:paraId="27FBFB57" w14:textId="77777777" w:rsidR="00355BC6" w:rsidRPr="00AA064B" w:rsidRDefault="00355BC6" w:rsidP="00355BC6">
      <w:pPr>
        <w:spacing w:line="360" w:lineRule="auto"/>
        <w:jc w:val="both"/>
        <w:rPr>
          <w:rFonts w:ascii="Arial" w:hAnsi="Arial"/>
          <w:rtl/>
        </w:rPr>
      </w:pPr>
      <w:r w:rsidRPr="00AA064B">
        <w:rPr>
          <w:rFonts w:ascii="Arial" w:hAnsi="Arial"/>
          <w:rtl/>
        </w:rPr>
        <w:t xml:space="preserve"> </w:t>
      </w:r>
    </w:p>
    <w:p w14:paraId="08E5FE11" w14:textId="77777777" w:rsidR="00355BC6" w:rsidRPr="00AA064B" w:rsidRDefault="00355BC6" w:rsidP="00355BC6">
      <w:pPr>
        <w:spacing w:line="360" w:lineRule="auto"/>
        <w:jc w:val="both"/>
        <w:rPr>
          <w:rFonts w:ascii="Arial" w:hAnsi="Arial"/>
          <w:rtl/>
        </w:rPr>
      </w:pPr>
      <w:r w:rsidRPr="00AA064B">
        <w:rPr>
          <w:rFonts w:ascii="Arial" w:hAnsi="Arial"/>
          <w:rtl/>
        </w:rPr>
        <w:t>עוד טען בא-כוח הנאשם, כי הנאשם נעדר הרשעות קודמות, נשוי ואב לארבעה ילדים. במשך שנים רבות קודם למעצרו הוא עבד כטכנאי מלגזות וכי במשך כל חייו הוא עבד ולמד. הוא גם היה מורה בבית ספר לאומנות, שלימד ריקוד וריקוד דֵבְּקׇה במספר בתי ספר בירושלים. האירוע הנדון חריג מאד בחיי הנאשם, אינו מתיישב עם אורח חייו ועם הרקע שלו ולכן טען, כי יש לראות בו משום אירוע נקודתי חד-פעמי, שלבטח הנאשם לא יחזור עליו. התקופות שבהן היה במעצר ובמעצר בפיקוח אף שימשו עבורו גורם מרתיע. בעניין זה הדגיש בא-כוח הנאשם, כי בשל חוסר היכולת לצאת להתאוורר, לעתים תקופת המעצר בפיקוח או מעצר בית קשה לא פחות ממעצר ממש. כך במיוחד בנסיבותיו של הנאשם, הגר בדירה קטנה, ששטחה כ-70 מ"ר. למרות זאת הדגיש, כי  הנאשם הקפיד מאד כלל לא לצאת מביתו.</w:t>
      </w:r>
    </w:p>
    <w:p w14:paraId="7A509442" w14:textId="77777777" w:rsidR="00355BC6" w:rsidRPr="00AA064B" w:rsidRDefault="00355BC6" w:rsidP="00355BC6">
      <w:pPr>
        <w:spacing w:line="360" w:lineRule="auto"/>
        <w:jc w:val="both"/>
        <w:rPr>
          <w:rFonts w:ascii="Arial" w:hAnsi="Arial"/>
          <w:rtl/>
        </w:rPr>
      </w:pPr>
    </w:p>
    <w:p w14:paraId="0054B020" w14:textId="77777777" w:rsidR="00355BC6" w:rsidRPr="00AA064B" w:rsidRDefault="00355BC6" w:rsidP="00355BC6">
      <w:pPr>
        <w:spacing w:line="360" w:lineRule="auto"/>
        <w:jc w:val="both"/>
        <w:rPr>
          <w:rFonts w:ascii="Arial" w:hAnsi="Arial"/>
          <w:rtl/>
        </w:rPr>
      </w:pPr>
      <w:r w:rsidRPr="00AA064B">
        <w:rPr>
          <w:rFonts w:ascii="Arial" w:hAnsi="Arial"/>
          <w:rtl/>
        </w:rPr>
        <w:t xml:space="preserve">כמו כן, לפני כשנתיים הנאשם נפל מגובה ונשברו לו מספר חוליות בגב. כפי שעולה מהמסמכים הרפואיים, הוא עבר טיפולים ואף נותח וכן תוכנן ניתוח נוסף במהלך חודש יולי 2023. לטענתו, דובר בפציעה קשה שבעקבותיה הנאשם היה מוגבל, עד כדי קשיי הליכה במשך כחודשיים. </w:t>
      </w:r>
    </w:p>
    <w:p w14:paraId="4BF570C0" w14:textId="77777777" w:rsidR="00355BC6" w:rsidRPr="00AA064B" w:rsidRDefault="00355BC6" w:rsidP="00355BC6">
      <w:pPr>
        <w:spacing w:line="360" w:lineRule="auto"/>
        <w:jc w:val="both"/>
        <w:rPr>
          <w:rFonts w:ascii="Arial" w:hAnsi="Arial"/>
          <w:rtl/>
        </w:rPr>
      </w:pPr>
    </w:p>
    <w:p w14:paraId="21F34747" w14:textId="77777777" w:rsidR="00355BC6" w:rsidRPr="00AA064B" w:rsidRDefault="00355BC6" w:rsidP="00355BC6">
      <w:pPr>
        <w:spacing w:line="360" w:lineRule="auto"/>
        <w:jc w:val="both"/>
        <w:rPr>
          <w:rFonts w:ascii="Arial" w:hAnsi="Arial"/>
          <w:rtl/>
        </w:rPr>
      </w:pPr>
      <w:r w:rsidRPr="00AA064B">
        <w:rPr>
          <w:rFonts w:ascii="Arial" w:hAnsi="Arial"/>
          <w:rtl/>
        </w:rPr>
        <w:t>בא-כוח הנאשם טען כי יש לאבחן את פסקי הדין שאליהם הפנתה המאשימה, בהיותם עוסקים בנסיבות חמורות יותר. כך, חלקם עוסקים בעבירת רכישת נשק, בנאשם בעל הרשעות קודמות רבות, בתפיסת נשק טעון עם תחמושת ובהחזקת רובה, בשונה מאקדח. לטענתו, בנסיבות הנדונות הענישה מקלה יותר מזו שביקשה המאשימה, כפי שאף עולה מפסקי הדין שאליהם הפנה, חלקם ניתנו לאחר תיקון החוק, אשר יפורטו בהמשך הדברים עת תידון מדיניות הענישה הנהוגה.</w:t>
      </w:r>
    </w:p>
    <w:p w14:paraId="0D022246" w14:textId="77777777" w:rsidR="00355BC6" w:rsidRPr="00AA064B" w:rsidRDefault="00355BC6" w:rsidP="00355BC6">
      <w:pPr>
        <w:spacing w:line="360" w:lineRule="auto"/>
        <w:jc w:val="both"/>
        <w:rPr>
          <w:rFonts w:ascii="Arial" w:hAnsi="Arial"/>
          <w:rtl/>
        </w:rPr>
      </w:pPr>
    </w:p>
    <w:p w14:paraId="25E982BD" w14:textId="77777777" w:rsidR="00355BC6" w:rsidRPr="00AA064B" w:rsidRDefault="00355BC6" w:rsidP="00355BC6">
      <w:pPr>
        <w:spacing w:line="360" w:lineRule="auto"/>
        <w:jc w:val="both"/>
        <w:rPr>
          <w:rFonts w:ascii="Arial" w:hAnsi="Arial"/>
          <w:rtl/>
        </w:rPr>
      </w:pPr>
      <w:r w:rsidRPr="00AA064B">
        <w:rPr>
          <w:rFonts w:ascii="Arial" w:hAnsi="Arial"/>
          <w:rtl/>
        </w:rPr>
        <w:t xml:space="preserve">בא-כוח הנאשם טען כי יש לקבוע מתחם עונש הולם בין 10 ל-14 חודשים ולהעמיד את עונשו של הנאשם על 10 חודשי מאסר בפועל, בניכוי תקופת מעצרו. כן טען כי יש לשקול את העובדה שהנאשם ייאלץ לשוב למאסר לאחר שכבר שוחרר מהמעצר. אולם לטענתו, הנאשם מבין את חומרת המעשים, הפנים זאת ומבקש הזדמנות נוספת בחיים. בעניין הבקשה לחילוט הרכב טען, כי בהסכמת המאשימה, הנאשם הפקיד סך 5,000 ₪ כנגד שחרור הרכב. לטענתו, שווי הרכב הוא כ-13,000 ₪ וכי הנאשם מסכים לחילוט הסכום שהופקד חלף חילוט הרכב. </w:t>
      </w:r>
    </w:p>
    <w:p w14:paraId="0A49660E" w14:textId="77777777" w:rsidR="00355BC6" w:rsidRPr="00AA064B" w:rsidRDefault="00355BC6" w:rsidP="00355BC6">
      <w:pPr>
        <w:spacing w:line="360" w:lineRule="auto"/>
        <w:jc w:val="both"/>
        <w:rPr>
          <w:rFonts w:ascii="Arial" w:hAnsi="Arial"/>
          <w:rtl/>
        </w:rPr>
      </w:pPr>
    </w:p>
    <w:p w14:paraId="3CDCCEF3" w14:textId="77777777" w:rsidR="00355BC6" w:rsidRPr="00AA064B" w:rsidRDefault="00355BC6" w:rsidP="00355BC6">
      <w:pPr>
        <w:spacing w:line="360" w:lineRule="auto"/>
        <w:jc w:val="both"/>
        <w:rPr>
          <w:rFonts w:ascii="Arial" w:hAnsi="Arial"/>
          <w:rtl/>
        </w:rPr>
      </w:pPr>
      <w:r w:rsidRPr="00AA064B">
        <w:rPr>
          <w:rFonts w:ascii="Arial" w:hAnsi="Arial"/>
          <w:rtl/>
        </w:rPr>
        <w:t>7.</w:t>
      </w:r>
      <w:r w:rsidRPr="00AA064B">
        <w:rPr>
          <w:rFonts w:ascii="Arial" w:hAnsi="Arial"/>
          <w:rtl/>
        </w:rPr>
        <w:tab/>
      </w:r>
      <w:r w:rsidRPr="00AA064B">
        <w:rPr>
          <w:rFonts w:ascii="Arial" w:hAnsi="Arial"/>
          <w:b/>
          <w:bCs/>
          <w:u w:val="single"/>
          <w:rtl/>
        </w:rPr>
        <w:t>דברי הנאשם</w:t>
      </w:r>
      <w:r w:rsidRPr="00AA064B">
        <w:rPr>
          <w:rFonts w:ascii="Arial" w:hAnsi="Arial"/>
          <w:b/>
          <w:bCs/>
          <w:rtl/>
        </w:rPr>
        <w:t>:</w:t>
      </w:r>
      <w:r w:rsidRPr="00AA064B">
        <w:rPr>
          <w:rFonts w:ascii="Arial" w:hAnsi="Arial"/>
          <w:rtl/>
        </w:rPr>
        <w:t xml:space="preserve"> הנאשם התקשה לבטא את תחושותיו לנוכח המצב שאליו נקלע. לדבריו, הוא מתקשה להבין כיצד הוא נמצא במקום זה במקום לפרנס את ילדיו. הוא סיפר על כך שהיה לו קשה עם העובדה שילדיו חגגו ימי הולדת ואחיו התחתן בתקופה שבה היה במעצר וכי אף בתקופה שבה היה במעצר בית, לא הצליח לעשות דברים רבים עם משפחתו. לדבריו, מאסר אינו מקום עבורו ואינו מתאים לאורח חייו. הוא התרגל להיות בבתי ספר עם תלמידים, ללמד, לעבוד, להתפרנס ולתת לילדיו את מה שהם מבקשים, כפי שנהג אביו וכפי שחינך אותו. לדבריו, הוא רוצה להיות עם ילדיו, בני 14-13, וכי אינו רוצה שיגדלו כשהוא רחוק מהם אפילו יום אחד. </w:t>
      </w:r>
    </w:p>
    <w:p w14:paraId="7DFC0C07" w14:textId="77777777" w:rsidR="00355BC6" w:rsidRPr="00AA064B" w:rsidRDefault="00355BC6" w:rsidP="00355BC6">
      <w:pPr>
        <w:spacing w:line="360" w:lineRule="auto"/>
        <w:jc w:val="both"/>
        <w:rPr>
          <w:rFonts w:ascii="Arial" w:hAnsi="Arial"/>
          <w:rtl/>
        </w:rPr>
      </w:pPr>
    </w:p>
    <w:p w14:paraId="49665AE2" w14:textId="77777777" w:rsidR="00355BC6" w:rsidRPr="00AA064B" w:rsidRDefault="00355BC6" w:rsidP="00355BC6">
      <w:pPr>
        <w:spacing w:line="360" w:lineRule="auto"/>
        <w:jc w:val="both"/>
        <w:rPr>
          <w:rFonts w:ascii="Arial" w:hAnsi="Arial"/>
          <w:rtl/>
        </w:rPr>
      </w:pPr>
      <w:r w:rsidRPr="00AA064B">
        <w:rPr>
          <w:rFonts w:ascii="Arial" w:hAnsi="Arial"/>
          <w:rtl/>
        </w:rPr>
        <w:t>בעניין הנשק שנתפס הוסיף, כי דובר בנשק שבור וחלוד שהיה מלא חול וכי לא הייתה לו כל כוונה להשתמש בו. הוא אינו עבריין ואינו מעורב בפשע, אלא יש לו שם טוב בכפר שבו הוא גר, כמי שמלמד בבית ספר. הנאשם הביע צער רב על המצב שאליו נקלע, אמר שהיה לו קשה מאד לתקן את מה שקרה עם ילדיו שנפגעו ממעצרו ובין השאר, בנו החל להתקשות בדיבור ולגמגם. הוא מכיר באחריותו למעשיו, מצטער על כך מאד, למד על בשרו את הלקח, הוא כבן 37 ומעולם לא הסתבך בבעיות ומתחייב לעולם לא לחזור על דברים מהסוג שבהם הסתבך.</w:t>
      </w:r>
    </w:p>
    <w:p w14:paraId="76B97121" w14:textId="77777777" w:rsidR="00355BC6" w:rsidRPr="00AA064B" w:rsidRDefault="00355BC6" w:rsidP="00355BC6">
      <w:pPr>
        <w:spacing w:line="360" w:lineRule="auto"/>
        <w:jc w:val="both"/>
        <w:rPr>
          <w:rFonts w:ascii="Arial" w:hAnsi="Arial"/>
          <w:rtl/>
        </w:rPr>
      </w:pPr>
    </w:p>
    <w:p w14:paraId="433607CF" w14:textId="77777777" w:rsidR="00355BC6" w:rsidRPr="00AA064B" w:rsidRDefault="00355BC6" w:rsidP="00355BC6">
      <w:pPr>
        <w:spacing w:line="360" w:lineRule="auto"/>
        <w:jc w:val="both"/>
        <w:rPr>
          <w:rFonts w:ascii="Arial" w:hAnsi="Arial"/>
          <w:b/>
          <w:bCs/>
          <w:u w:val="single"/>
          <w:rtl/>
        </w:rPr>
      </w:pPr>
      <w:r w:rsidRPr="00AA064B">
        <w:rPr>
          <w:rFonts w:ascii="Arial" w:hAnsi="Arial"/>
          <w:b/>
          <w:bCs/>
          <w:u w:val="single"/>
          <w:rtl/>
        </w:rPr>
        <w:t>דיון והכרעה</w:t>
      </w:r>
    </w:p>
    <w:p w14:paraId="0AD65DC1" w14:textId="77777777" w:rsidR="00355BC6" w:rsidRPr="00F236A8" w:rsidRDefault="00355BC6" w:rsidP="00355BC6">
      <w:pPr>
        <w:spacing w:line="360" w:lineRule="auto"/>
        <w:jc w:val="both"/>
        <w:rPr>
          <w:rFonts w:ascii="Arial" w:hAnsi="Arial"/>
          <w:b/>
          <w:bCs/>
          <w:sz w:val="16"/>
          <w:szCs w:val="16"/>
          <w:u w:val="single"/>
          <w:rtl/>
        </w:rPr>
      </w:pPr>
    </w:p>
    <w:p w14:paraId="5CD76883" w14:textId="77777777" w:rsidR="00355BC6" w:rsidRPr="00AA064B" w:rsidRDefault="00355BC6" w:rsidP="00355BC6">
      <w:pPr>
        <w:spacing w:line="360" w:lineRule="auto"/>
        <w:jc w:val="both"/>
        <w:rPr>
          <w:rFonts w:ascii="Arial" w:hAnsi="Arial"/>
          <w:u w:val="single"/>
          <w:rtl/>
        </w:rPr>
      </w:pPr>
      <w:r w:rsidRPr="00AA064B">
        <w:rPr>
          <w:rFonts w:ascii="Arial" w:hAnsi="Arial"/>
          <w:b/>
          <w:bCs/>
          <w:u w:val="single"/>
          <w:rtl/>
        </w:rPr>
        <w:t>קביעת מתחם העונש ההולם</w:t>
      </w:r>
    </w:p>
    <w:p w14:paraId="4ED15AA8" w14:textId="77777777" w:rsidR="00355BC6" w:rsidRPr="00F236A8" w:rsidRDefault="00355BC6" w:rsidP="00355BC6">
      <w:pPr>
        <w:spacing w:line="360" w:lineRule="auto"/>
        <w:jc w:val="both"/>
        <w:rPr>
          <w:rFonts w:ascii="Arial" w:hAnsi="Arial"/>
          <w:sz w:val="16"/>
          <w:szCs w:val="16"/>
          <w:u w:val="single"/>
          <w:rtl/>
        </w:rPr>
      </w:pPr>
    </w:p>
    <w:p w14:paraId="508FBC8B" w14:textId="77777777" w:rsidR="00355BC6" w:rsidRPr="00AA064B" w:rsidRDefault="00355BC6" w:rsidP="00355BC6">
      <w:pPr>
        <w:spacing w:line="360" w:lineRule="auto"/>
        <w:jc w:val="both"/>
        <w:rPr>
          <w:rFonts w:ascii="Arial" w:hAnsi="Arial"/>
          <w:rtl/>
        </w:rPr>
      </w:pPr>
      <w:r w:rsidRPr="00AA064B">
        <w:rPr>
          <w:rFonts w:ascii="Arial" w:hAnsi="Arial"/>
          <w:rtl/>
        </w:rPr>
        <w:t>8.</w:t>
      </w:r>
      <w:r w:rsidRPr="00AA064B">
        <w:rPr>
          <w:rFonts w:ascii="Arial" w:hAnsi="Arial"/>
          <w:rtl/>
        </w:rPr>
        <w:tab/>
      </w:r>
      <w:r w:rsidRPr="00AA064B">
        <w:rPr>
          <w:rFonts w:ascii="Arial" w:hAnsi="Arial"/>
          <w:b/>
          <w:bCs/>
          <w:u w:val="single"/>
          <w:rtl/>
        </w:rPr>
        <w:t>הערכים החברתיים שנפגעו מהעבירות</w:t>
      </w:r>
      <w:r w:rsidRPr="00AA064B">
        <w:rPr>
          <w:rFonts w:ascii="Arial" w:hAnsi="Arial"/>
          <w:u w:val="single"/>
          <w:rtl/>
        </w:rPr>
        <w:t xml:space="preserve"> </w:t>
      </w:r>
      <w:r w:rsidRPr="00AA064B">
        <w:rPr>
          <w:rFonts w:ascii="Arial" w:hAnsi="Arial"/>
          <w:b/>
          <w:bCs/>
          <w:u w:val="single"/>
          <w:rtl/>
        </w:rPr>
        <w:t>ומידת הפגיעה בהם</w:t>
      </w:r>
      <w:r w:rsidRPr="00AA064B">
        <w:rPr>
          <w:rFonts w:ascii="Arial" w:hAnsi="Arial"/>
          <w:b/>
          <w:bCs/>
          <w:rtl/>
        </w:rPr>
        <w:t>:</w:t>
      </w:r>
      <w:r w:rsidRPr="00AA064B">
        <w:rPr>
          <w:rFonts w:ascii="Arial" w:hAnsi="Arial"/>
          <w:rtl/>
        </w:rPr>
        <w:t xml:space="preserve"> עבירות הנשק, הפוגעות בביטחון הציבור ובשלומו, הפכו זה מכבר ל</w:t>
      </w:r>
      <w:r w:rsidRPr="00AA064B">
        <w:rPr>
          <w:rFonts w:ascii="Arial" w:hAnsi="Arial"/>
          <w:b/>
          <w:bCs/>
          <w:rtl/>
        </w:rPr>
        <w:t>"מכת מדינה"</w:t>
      </w:r>
      <w:r w:rsidRPr="00AA064B">
        <w:rPr>
          <w:rFonts w:ascii="Arial" w:hAnsi="Arial"/>
          <w:rtl/>
        </w:rPr>
        <w:t>. בפסקי דין רבים מהעת האחרונה חזר בית המשפט העליון והדגיש את חומרת עבירות הנשק לסוגיהן ואת הצורך בהחמרת עונשיהם של עוברי עבירות אלו. כך בין השאר, הודגש ב</w:t>
      </w:r>
      <w:hyperlink r:id="rId24" w:history="1">
        <w:r w:rsidR="00B57803" w:rsidRPr="00B57803">
          <w:rPr>
            <w:rFonts w:ascii="Arial" w:hAnsi="Arial"/>
            <w:color w:val="0000FF"/>
            <w:u w:val="single"/>
            <w:rtl/>
          </w:rPr>
          <w:t>ע"פ 587/22</w:t>
        </w:r>
      </w:hyperlink>
      <w:r w:rsidR="00B57803">
        <w:rPr>
          <w:rFonts w:ascii="Arial" w:hAnsi="Arial"/>
          <w:rtl/>
        </w:rPr>
        <w:t xml:space="preserve"> </w:t>
      </w:r>
      <w:r w:rsidRPr="00AA064B">
        <w:rPr>
          <w:rFonts w:ascii="Arial" w:hAnsi="Arial"/>
          <w:b/>
          <w:bCs/>
          <w:rtl/>
        </w:rPr>
        <w:t xml:space="preserve">אבו נאעסה נ' מדינת ישראל </w:t>
      </w:r>
      <w:r w:rsidRPr="00AA064B">
        <w:rPr>
          <w:rFonts w:ascii="Arial" w:hAnsi="Arial"/>
          <w:rtl/>
        </w:rPr>
        <w:t xml:space="preserve">(22.5.2022)‏‏ (כבוד השופט י' אלרון, פסקה 9): </w:t>
      </w:r>
      <w:r w:rsidRPr="00AA064B">
        <w:rPr>
          <w:rFonts w:ascii="Arial" w:hAnsi="Arial"/>
          <w:b/>
          <w:bCs/>
          <w:rtl/>
        </w:rPr>
        <w:t>"רבות נכתב בפסיקת בית משפט זה על חומרתן הרבה של עבירות הנשק, אשר הפכו זה מכבר ל'מכת מדינה'</w:t>
      </w:r>
      <w:r w:rsidRPr="00AA064B">
        <w:rPr>
          <w:rFonts w:ascii="Arial" w:hAnsi="Arial"/>
          <w:rtl/>
        </w:rPr>
        <w:t xml:space="preserve"> (</w:t>
      </w:r>
      <w:hyperlink r:id="rId25" w:history="1">
        <w:r w:rsidR="00B57803" w:rsidRPr="00B57803">
          <w:rPr>
            <w:rFonts w:ascii="Arial" w:hAnsi="Arial"/>
            <w:color w:val="0000FF"/>
            <w:u w:val="single"/>
            <w:rtl/>
          </w:rPr>
          <w:t>ע"פ 6028/21</w:t>
        </w:r>
      </w:hyperlink>
      <w:r w:rsidRPr="00AA064B">
        <w:rPr>
          <w:rFonts w:ascii="Arial" w:hAnsi="Arial"/>
          <w:rtl/>
        </w:rPr>
        <w:t xml:space="preserve"> </w:t>
      </w:r>
      <w:r w:rsidRPr="00AA064B">
        <w:rPr>
          <w:rFonts w:ascii="Arial" w:hAnsi="Arial"/>
          <w:b/>
          <w:bCs/>
          <w:rtl/>
        </w:rPr>
        <w:t>אטרש נ' מדינת ישראל</w:t>
      </w:r>
      <w:r w:rsidRPr="00AA064B">
        <w:rPr>
          <w:rFonts w:ascii="Arial" w:hAnsi="Arial"/>
          <w:rtl/>
        </w:rPr>
        <w:t xml:space="preserve">, פסקה 9 (15.5.2022); </w:t>
      </w:r>
      <w:hyperlink r:id="rId26" w:history="1">
        <w:r w:rsidR="00B57803" w:rsidRPr="00B57803">
          <w:rPr>
            <w:rFonts w:ascii="Arial" w:hAnsi="Arial"/>
            <w:color w:val="0000FF"/>
            <w:u w:val="single"/>
            <w:rtl/>
          </w:rPr>
          <w:t>ע"פ 642/22</w:t>
        </w:r>
      </w:hyperlink>
      <w:r w:rsidRPr="00AA064B">
        <w:rPr>
          <w:rFonts w:ascii="Arial" w:hAnsi="Arial"/>
          <w:rtl/>
        </w:rPr>
        <w:t xml:space="preserve"> </w:t>
      </w:r>
      <w:r w:rsidRPr="00AA064B">
        <w:rPr>
          <w:rFonts w:ascii="Arial" w:hAnsi="Arial"/>
          <w:b/>
          <w:bCs/>
          <w:rtl/>
        </w:rPr>
        <w:t>פלוני נ' מדינת ישראל</w:t>
      </w:r>
      <w:r w:rsidRPr="00AA064B">
        <w:rPr>
          <w:rFonts w:ascii="Arial" w:hAnsi="Arial"/>
          <w:rtl/>
        </w:rPr>
        <w:t xml:space="preserve">, פסקה 3 (28.4.2022); </w:t>
      </w:r>
      <w:hyperlink r:id="rId27" w:history="1">
        <w:r w:rsidR="00B57803" w:rsidRPr="00B57803">
          <w:rPr>
            <w:rFonts w:ascii="Arial" w:hAnsi="Arial"/>
            <w:color w:val="0000FF"/>
            <w:u w:val="single"/>
            <w:rtl/>
          </w:rPr>
          <w:t>ע"פ 8965/18</w:t>
        </w:r>
      </w:hyperlink>
      <w:r w:rsidRPr="00AA064B">
        <w:rPr>
          <w:rFonts w:ascii="Arial" w:hAnsi="Arial"/>
          <w:rtl/>
        </w:rPr>
        <w:t xml:space="preserve"> </w:t>
      </w:r>
      <w:r w:rsidRPr="00AA064B">
        <w:rPr>
          <w:rFonts w:ascii="Arial" w:hAnsi="Arial"/>
          <w:b/>
          <w:bCs/>
          <w:rtl/>
        </w:rPr>
        <w:t>מחאג'נה נ' מדינת ישראל</w:t>
      </w:r>
      <w:r w:rsidRPr="00AA064B">
        <w:rPr>
          <w:rFonts w:ascii="Arial" w:hAnsi="Arial"/>
          <w:rtl/>
        </w:rPr>
        <w:t xml:space="preserve">, פסקה 47 (3.11.2019)). </w:t>
      </w:r>
      <w:r w:rsidRPr="00AA064B">
        <w:rPr>
          <w:rFonts w:ascii="Arial" w:hAnsi="Arial"/>
          <w:b/>
          <w:bCs/>
          <w:rtl/>
        </w:rPr>
        <w:t>למרבה הצער, אנו עדים לנזקי עבירות אלו לעיתים תכופות, בדמות פגיעות בגוף או בנפש, ואף אבדן חיי אדם</w:t>
      </w:r>
      <w:r w:rsidRPr="00AA064B">
        <w:rPr>
          <w:rFonts w:ascii="Arial" w:hAnsi="Arial"/>
          <w:rtl/>
        </w:rPr>
        <w:t xml:space="preserve"> (</w:t>
      </w:r>
      <w:hyperlink r:id="rId28" w:history="1">
        <w:r w:rsidR="00B57803" w:rsidRPr="00B57803">
          <w:rPr>
            <w:rFonts w:ascii="Arial" w:hAnsi="Arial"/>
            <w:color w:val="0000FF"/>
            <w:u w:val="single"/>
            <w:rtl/>
          </w:rPr>
          <w:t>ע"פ 8869/21</w:t>
        </w:r>
      </w:hyperlink>
      <w:r w:rsidRPr="00AA064B">
        <w:rPr>
          <w:rFonts w:ascii="Arial" w:hAnsi="Arial"/>
          <w:rtl/>
        </w:rPr>
        <w:t xml:space="preserve"> </w:t>
      </w:r>
      <w:r w:rsidRPr="00AA064B">
        <w:rPr>
          <w:rFonts w:ascii="Arial" w:hAnsi="Arial"/>
          <w:b/>
          <w:bCs/>
          <w:rtl/>
        </w:rPr>
        <w:t>מדינת ישראל נ' קואסמה</w:t>
      </w:r>
      <w:r w:rsidRPr="00AA064B">
        <w:rPr>
          <w:rFonts w:ascii="Arial" w:hAnsi="Arial"/>
          <w:rtl/>
        </w:rPr>
        <w:t xml:space="preserve">, פסקה 11 (13.3.2022); </w:t>
      </w:r>
      <w:hyperlink r:id="rId29" w:history="1">
        <w:r w:rsidR="00B57803" w:rsidRPr="00B57803">
          <w:rPr>
            <w:rFonts w:ascii="Arial" w:hAnsi="Arial"/>
            <w:color w:val="0000FF"/>
            <w:u w:val="single"/>
            <w:rtl/>
          </w:rPr>
          <w:t>ע"פ 4456/21</w:t>
        </w:r>
      </w:hyperlink>
      <w:r w:rsidRPr="00AA064B">
        <w:rPr>
          <w:rFonts w:ascii="Arial" w:hAnsi="Arial"/>
          <w:rtl/>
        </w:rPr>
        <w:t xml:space="preserve"> </w:t>
      </w:r>
      <w:r w:rsidRPr="00AA064B">
        <w:rPr>
          <w:rFonts w:ascii="Arial" w:hAnsi="Arial"/>
          <w:b/>
          <w:bCs/>
          <w:rtl/>
        </w:rPr>
        <w:t>מדינת ישראל נ' אבו עבסה</w:t>
      </w:r>
      <w:r w:rsidRPr="00AA064B">
        <w:rPr>
          <w:rFonts w:ascii="Arial" w:hAnsi="Arial"/>
          <w:rtl/>
        </w:rPr>
        <w:t xml:space="preserve">, פסקה 15 (23.1.2022) (להלן: עניין </w:t>
      </w:r>
      <w:r w:rsidRPr="00AA064B">
        <w:rPr>
          <w:rFonts w:ascii="Arial" w:hAnsi="Arial"/>
          <w:b/>
          <w:bCs/>
          <w:rtl/>
        </w:rPr>
        <w:t>אבו עבסה</w:t>
      </w:r>
      <w:r w:rsidRPr="00AA064B">
        <w:rPr>
          <w:rFonts w:ascii="Arial" w:hAnsi="Arial"/>
          <w:rtl/>
        </w:rPr>
        <w:t xml:space="preserve">)). </w:t>
      </w:r>
      <w:r w:rsidRPr="00AA064B">
        <w:rPr>
          <w:rFonts w:ascii="Arial" w:hAnsi="Arial"/>
          <w:b/>
          <w:bCs/>
          <w:rtl/>
        </w:rPr>
        <w:t>אך לאחרונה עמד בית משפט זה על הצורך לשרש רעה חולה זו מקרבנו, באמצעות ענישה מחמירה ומרתיעה</w:t>
      </w:r>
      <w:r w:rsidRPr="00AA064B">
        <w:rPr>
          <w:rFonts w:ascii="Arial" w:hAnsi="Arial"/>
          <w:rtl/>
        </w:rPr>
        <w:t xml:space="preserve"> (</w:t>
      </w:r>
      <w:hyperlink r:id="rId30" w:history="1">
        <w:r w:rsidR="00B57803" w:rsidRPr="00B57803">
          <w:rPr>
            <w:rFonts w:ascii="Arial" w:hAnsi="Arial"/>
            <w:color w:val="0000FF"/>
            <w:u w:val="single"/>
            <w:rtl/>
          </w:rPr>
          <w:t>ע"פ 147/21</w:t>
        </w:r>
      </w:hyperlink>
      <w:r w:rsidRPr="00AA064B">
        <w:rPr>
          <w:rFonts w:ascii="Arial" w:hAnsi="Arial"/>
          <w:rtl/>
        </w:rPr>
        <w:t xml:space="preserve"> </w:t>
      </w:r>
      <w:r w:rsidRPr="00AA064B">
        <w:rPr>
          <w:rFonts w:ascii="Arial" w:hAnsi="Arial"/>
          <w:b/>
          <w:bCs/>
          <w:rtl/>
        </w:rPr>
        <w:t>מדינת ישראל נ' ביטון</w:t>
      </w:r>
      <w:r w:rsidRPr="00AA064B">
        <w:rPr>
          <w:rFonts w:ascii="Arial" w:hAnsi="Arial"/>
          <w:rtl/>
        </w:rPr>
        <w:t xml:space="preserve">, פסקה 10 (14.2.2021); </w:t>
      </w:r>
      <w:hyperlink r:id="rId31" w:history="1">
        <w:r w:rsidR="00B57803" w:rsidRPr="00B57803">
          <w:rPr>
            <w:rFonts w:ascii="Arial" w:hAnsi="Arial"/>
            <w:color w:val="0000FF"/>
            <w:u w:val="single"/>
            <w:rtl/>
          </w:rPr>
          <w:t>ע"פ 4406/19</w:t>
        </w:r>
      </w:hyperlink>
      <w:r w:rsidRPr="00AA064B">
        <w:rPr>
          <w:rFonts w:ascii="Arial" w:hAnsi="Arial"/>
          <w:rtl/>
        </w:rPr>
        <w:t xml:space="preserve"> </w:t>
      </w:r>
      <w:r w:rsidRPr="00AA064B">
        <w:rPr>
          <w:rFonts w:ascii="Arial" w:hAnsi="Arial"/>
          <w:b/>
          <w:bCs/>
          <w:rtl/>
        </w:rPr>
        <w:t>מדינת ישראל נ' סובח</w:t>
      </w:r>
      <w:r w:rsidRPr="00AA064B">
        <w:rPr>
          <w:rFonts w:ascii="Arial" w:hAnsi="Arial"/>
          <w:rtl/>
        </w:rPr>
        <w:t xml:space="preserve">, פסקאות 17-16 (5.11.2019)); </w:t>
      </w:r>
      <w:r w:rsidRPr="00AA064B">
        <w:rPr>
          <w:rFonts w:ascii="Arial" w:hAnsi="Arial"/>
          <w:b/>
          <w:bCs/>
          <w:rtl/>
        </w:rPr>
        <w:t>ובפרט נגד מי אשר נוטלים חלק בהפצת כלי נשק שלא כדין"</w:t>
      </w:r>
      <w:r w:rsidRPr="00AA064B">
        <w:rPr>
          <w:rFonts w:ascii="Arial" w:hAnsi="Arial"/>
          <w:rtl/>
        </w:rPr>
        <w:t>.</w:t>
      </w:r>
    </w:p>
    <w:p w14:paraId="3540EE59" w14:textId="77777777" w:rsidR="00355BC6" w:rsidRPr="00AA064B" w:rsidRDefault="00355BC6" w:rsidP="00355BC6">
      <w:pPr>
        <w:spacing w:line="360" w:lineRule="auto"/>
        <w:jc w:val="both"/>
        <w:rPr>
          <w:rFonts w:ascii="Arial" w:hAnsi="Arial"/>
          <w:rtl/>
        </w:rPr>
      </w:pPr>
    </w:p>
    <w:p w14:paraId="17049B9C" w14:textId="77777777" w:rsidR="00355BC6" w:rsidRPr="00AA064B" w:rsidRDefault="00355BC6" w:rsidP="00355BC6">
      <w:pPr>
        <w:spacing w:line="360" w:lineRule="auto"/>
        <w:jc w:val="both"/>
        <w:rPr>
          <w:rFonts w:ascii="Arial" w:hAnsi="Arial"/>
          <w:rtl/>
        </w:rPr>
      </w:pPr>
      <w:r w:rsidRPr="00AA064B">
        <w:rPr>
          <w:rFonts w:ascii="Arial" w:hAnsi="Arial"/>
          <w:rtl/>
        </w:rPr>
        <w:t xml:space="preserve">בנסיבות הנדונות שבהן נתפסו תת מקלע ומחסנית, מידת הפגיעה בערכים המוגנים היא במידה גבוהה, למרות העובדה שלא נתפסו גם כדורים לנשק. </w:t>
      </w:r>
      <w:r w:rsidR="00B57803">
        <w:rPr>
          <w:rFonts w:ascii="Arial" w:hAnsi="Arial"/>
          <w:rtl/>
        </w:rPr>
        <w:t xml:space="preserve"> </w:t>
      </w:r>
    </w:p>
    <w:p w14:paraId="26D269E5" w14:textId="77777777" w:rsidR="00355BC6" w:rsidRPr="00AA064B" w:rsidRDefault="00355BC6" w:rsidP="00355BC6">
      <w:pPr>
        <w:spacing w:line="360" w:lineRule="auto"/>
        <w:jc w:val="both"/>
        <w:rPr>
          <w:rFonts w:ascii="Arial" w:hAnsi="Arial"/>
          <w:rtl/>
        </w:rPr>
      </w:pPr>
      <w:r w:rsidRPr="00AA064B">
        <w:rPr>
          <w:rFonts w:ascii="Arial" w:hAnsi="Arial"/>
          <w:rtl/>
        </w:rPr>
        <w:t xml:space="preserve"> </w:t>
      </w:r>
    </w:p>
    <w:p w14:paraId="71352ED6" w14:textId="77777777" w:rsidR="00355BC6" w:rsidRPr="00AA064B" w:rsidRDefault="00355BC6" w:rsidP="00355BC6">
      <w:pPr>
        <w:spacing w:line="360" w:lineRule="auto"/>
        <w:jc w:val="both"/>
        <w:rPr>
          <w:rFonts w:ascii="Arial" w:hAnsi="Arial"/>
          <w:b/>
          <w:bCs/>
          <w:u w:val="single"/>
          <w:rtl/>
        </w:rPr>
      </w:pPr>
      <w:r w:rsidRPr="00AA064B">
        <w:rPr>
          <w:rFonts w:ascii="Arial" w:hAnsi="Arial"/>
          <w:rtl/>
        </w:rPr>
        <w:t>9.</w:t>
      </w:r>
      <w:r w:rsidRPr="00AA064B">
        <w:rPr>
          <w:rFonts w:ascii="Arial" w:hAnsi="Arial"/>
          <w:rtl/>
        </w:rPr>
        <w:tab/>
      </w:r>
      <w:r w:rsidRPr="00AA064B">
        <w:rPr>
          <w:rFonts w:ascii="Arial" w:hAnsi="Arial"/>
          <w:b/>
          <w:bCs/>
          <w:u w:val="single"/>
          <w:rtl/>
        </w:rPr>
        <w:t>מדיניות הענישה הנוהגת</w:t>
      </w:r>
      <w:r w:rsidRPr="00AA064B">
        <w:rPr>
          <w:rFonts w:ascii="Arial" w:hAnsi="Arial"/>
          <w:b/>
          <w:bCs/>
          <w:rtl/>
        </w:rPr>
        <w:t xml:space="preserve">: </w:t>
      </w:r>
    </w:p>
    <w:p w14:paraId="2052ADDF" w14:textId="77777777" w:rsidR="00355BC6" w:rsidRPr="00AA064B" w:rsidRDefault="00355BC6" w:rsidP="00355BC6">
      <w:pPr>
        <w:spacing w:line="360" w:lineRule="auto"/>
        <w:jc w:val="both"/>
        <w:rPr>
          <w:rFonts w:ascii="Arial" w:hAnsi="Arial"/>
          <w:rtl/>
        </w:rPr>
      </w:pPr>
    </w:p>
    <w:p w14:paraId="1EE50DAB" w14:textId="77777777" w:rsidR="00355BC6" w:rsidRPr="00AA064B" w:rsidRDefault="00355BC6" w:rsidP="00355BC6">
      <w:pPr>
        <w:spacing w:line="360" w:lineRule="auto"/>
        <w:jc w:val="both"/>
        <w:rPr>
          <w:rFonts w:ascii="Arial" w:hAnsi="Arial"/>
          <w:rtl/>
        </w:rPr>
      </w:pPr>
      <w:r w:rsidRPr="00AA064B">
        <w:rPr>
          <w:rFonts w:ascii="Arial" w:hAnsi="Arial"/>
          <w:rtl/>
        </w:rPr>
        <w:tab/>
      </w:r>
      <w:r w:rsidRPr="00AA064B">
        <w:rPr>
          <w:rFonts w:ascii="Arial" w:hAnsi="Arial"/>
          <w:b/>
          <w:bCs/>
          <w:u w:val="single"/>
          <w:rtl/>
        </w:rPr>
        <w:t>פסקי הדין שהוגשו מטעם המאשימה</w:t>
      </w:r>
      <w:r w:rsidRPr="00AA064B">
        <w:rPr>
          <w:rFonts w:ascii="Arial" w:hAnsi="Arial"/>
          <w:b/>
          <w:bCs/>
          <w:rtl/>
        </w:rPr>
        <w:t>:</w:t>
      </w:r>
      <w:r w:rsidRPr="00AA064B">
        <w:rPr>
          <w:rFonts w:ascii="Arial" w:hAnsi="Arial"/>
          <w:rtl/>
        </w:rPr>
        <w:t xml:space="preserve"> </w:t>
      </w:r>
    </w:p>
    <w:p w14:paraId="544A21CD" w14:textId="77777777" w:rsidR="00355BC6" w:rsidRPr="00AA064B" w:rsidRDefault="00355BC6" w:rsidP="00355BC6">
      <w:pPr>
        <w:spacing w:line="360" w:lineRule="auto"/>
        <w:jc w:val="both"/>
        <w:rPr>
          <w:rFonts w:ascii="Arial" w:hAnsi="Arial"/>
          <w:rtl/>
        </w:rPr>
      </w:pPr>
    </w:p>
    <w:p w14:paraId="3AFF96A8" w14:textId="77777777" w:rsidR="00355BC6" w:rsidRPr="00AA064B" w:rsidRDefault="00355BC6" w:rsidP="00355BC6">
      <w:pPr>
        <w:spacing w:line="360" w:lineRule="auto"/>
        <w:jc w:val="both"/>
        <w:rPr>
          <w:rFonts w:ascii="Arial" w:hAnsi="Arial"/>
          <w:rtl/>
        </w:rPr>
      </w:pPr>
      <w:r w:rsidRPr="00AA064B">
        <w:rPr>
          <w:rFonts w:ascii="Arial" w:hAnsi="Arial"/>
          <w:rtl/>
        </w:rPr>
        <w:t>(1)</w:t>
      </w:r>
      <w:r w:rsidRPr="00AA064B">
        <w:rPr>
          <w:rFonts w:ascii="Arial" w:hAnsi="Arial"/>
          <w:rtl/>
        </w:rPr>
        <w:tab/>
      </w:r>
      <w:hyperlink r:id="rId32" w:history="1">
        <w:r w:rsidR="00B57803" w:rsidRPr="00B57803">
          <w:rPr>
            <w:rFonts w:ascii="Arial" w:hAnsi="Arial"/>
            <w:color w:val="0000FF"/>
            <w:u w:val="single"/>
            <w:rtl/>
          </w:rPr>
          <w:t>ת"פ (שלום ירושלים) 17030-02-22</w:t>
        </w:r>
      </w:hyperlink>
      <w:r w:rsidRPr="00AA064B">
        <w:rPr>
          <w:rFonts w:ascii="Arial" w:hAnsi="Arial"/>
          <w:rtl/>
        </w:rPr>
        <w:t xml:space="preserve"> </w:t>
      </w:r>
      <w:r w:rsidRPr="00AA064B">
        <w:rPr>
          <w:rFonts w:ascii="Arial" w:hAnsi="Arial"/>
          <w:b/>
          <w:bCs/>
          <w:rtl/>
        </w:rPr>
        <w:t>מדינת ישראל נ' מקיה</w:t>
      </w:r>
      <w:r w:rsidRPr="00AA064B">
        <w:rPr>
          <w:rFonts w:ascii="Arial" w:hAnsi="Arial"/>
          <w:rtl/>
        </w:rPr>
        <w:t xml:space="preserve"> (23.5.2022) – הנאשם הורשע על-פי הודאתו בהחזקת נשק, דמוי רובה </w:t>
      </w:r>
      <w:r w:rsidRPr="00AA064B">
        <w:rPr>
          <w:rFonts w:ascii="Arial" w:hAnsi="Arial"/>
        </w:rPr>
        <w:t>M16</w:t>
      </w:r>
      <w:r w:rsidRPr="00AA064B">
        <w:rPr>
          <w:rFonts w:ascii="Arial" w:hAnsi="Arial"/>
          <w:rtl/>
        </w:rPr>
        <w:t xml:space="preserve"> מאולתר, מחסנית וכדורים. הנאשם נשוי ואב לשני ילדים שלחובתו שלוש הרשעות קודמות שבעטין נשא בעבר עונשי מאסר. נקבע מתחם עונש בין 20 ל-40 חודשי מאסר. הושתו 25 חודשי מאסר בפועל ומאסר מותנה.</w:t>
      </w:r>
    </w:p>
    <w:p w14:paraId="7A43750F" w14:textId="77777777" w:rsidR="00355BC6" w:rsidRPr="00AA064B" w:rsidRDefault="00355BC6" w:rsidP="00355BC6">
      <w:pPr>
        <w:spacing w:line="360" w:lineRule="auto"/>
        <w:jc w:val="both"/>
        <w:rPr>
          <w:rFonts w:ascii="Arial" w:hAnsi="Arial"/>
          <w:rtl/>
        </w:rPr>
      </w:pPr>
      <w:r w:rsidRPr="00AA064B">
        <w:rPr>
          <w:rFonts w:ascii="Arial" w:hAnsi="Arial"/>
          <w:rtl/>
        </w:rPr>
        <w:t xml:space="preserve"> </w:t>
      </w:r>
    </w:p>
    <w:p w14:paraId="08EEABFA" w14:textId="77777777" w:rsidR="00355BC6" w:rsidRPr="00AA064B" w:rsidRDefault="00355BC6" w:rsidP="00355BC6">
      <w:pPr>
        <w:spacing w:line="360" w:lineRule="auto"/>
        <w:jc w:val="both"/>
        <w:rPr>
          <w:rFonts w:ascii="Arial" w:hAnsi="Arial"/>
          <w:rtl/>
        </w:rPr>
      </w:pPr>
      <w:r w:rsidRPr="00AA064B">
        <w:rPr>
          <w:rFonts w:ascii="Arial" w:hAnsi="Arial"/>
          <w:rtl/>
        </w:rPr>
        <w:t>(2)</w:t>
      </w:r>
      <w:r w:rsidRPr="00AA064B">
        <w:rPr>
          <w:rFonts w:ascii="Arial" w:hAnsi="Arial"/>
          <w:rtl/>
        </w:rPr>
        <w:tab/>
      </w:r>
      <w:hyperlink r:id="rId33" w:history="1">
        <w:r w:rsidR="00B57803" w:rsidRPr="00B57803">
          <w:rPr>
            <w:rFonts w:ascii="Arial" w:hAnsi="Arial"/>
            <w:color w:val="0000FF"/>
            <w:u w:val="single"/>
            <w:rtl/>
          </w:rPr>
          <w:t>עפ"ג (מחוזי נצרת) 2024-04-20</w:t>
        </w:r>
      </w:hyperlink>
      <w:r w:rsidRPr="00AA064B">
        <w:rPr>
          <w:rFonts w:ascii="Arial" w:hAnsi="Arial"/>
          <w:rtl/>
        </w:rPr>
        <w:t xml:space="preserve">21 </w:t>
      </w:r>
      <w:r w:rsidRPr="00AA064B">
        <w:rPr>
          <w:rFonts w:ascii="Arial" w:hAnsi="Arial"/>
          <w:b/>
          <w:bCs/>
          <w:rtl/>
        </w:rPr>
        <w:t>מדינת ישראל נ' מנדורי</w:t>
      </w:r>
      <w:r w:rsidRPr="00AA064B">
        <w:rPr>
          <w:rFonts w:ascii="Arial" w:hAnsi="Arial"/>
          <w:rtl/>
        </w:rPr>
        <w:t xml:space="preserve"> (29.6.2021) – הנאשם הורשע על-פי הודאתו בעבירת החזקת נשק, דמוי רובה </w:t>
      </w:r>
      <w:r w:rsidRPr="00AA064B">
        <w:rPr>
          <w:rFonts w:ascii="Arial" w:hAnsi="Arial"/>
        </w:rPr>
        <w:t>M16</w:t>
      </w:r>
      <w:r w:rsidRPr="00AA064B">
        <w:rPr>
          <w:rFonts w:ascii="Arial" w:hAnsi="Arial"/>
          <w:rtl/>
        </w:rPr>
        <w:t xml:space="preserve"> מאולתר, מחסנית וכדורים. הנאשם צעיר, נשוי ללא ילדים, שסובל מבעיות רפואיות, נעדר הרשעות קודמות שהתסקיר בעניינו היה חיובי. בבית משפט השלום נקבע מתחם עונש בין 12 ל-30 חודשי מאסר והושתו עליו 12 חודשי מאסר בפועל, מאסר מותנה והתחייבות בסך 10,000 ₪. במסגרת הערעור נקבע מתחם עונש בין 18 ל-36 חודשי מאסר, תוך החמרת עונש המאסר בפועל ל-20 חודש.</w:t>
      </w:r>
    </w:p>
    <w:p w14:paraId="47483C1C" w14:textId="77777777" w:rsidR="00355BC6" w:rsidRPr="00AA064B" w:rsidRDefault="00355BC6" w:rsidP="00355BC6">
      <w:pPr>
        <w:spacing w:line="360" w:lineRule="auto"/>
        <w:jc w:val="both"/>
        <w:rPr>
          <w:rFonts w:ascii="Arial" w:hAnsi="Arial"/>
          <w:rtl/>
        </w:rPr>
      </w:pPr>
    </w:p>
    <w:p w14:paraId="3936D10B" w14:textId="77777777" w:rsidR="00355BC6" w:rsidRPr="00AA064B" w:rsidRDefault="00355BC6" w:rsidP="00355BC6">
      <w:pPr>
        <w:spacing w:line="360" w:lineRule="auto"/>
        <w:jc w:val="both"/>
        <w:rPr>
          <w:rFonts w:ascii="Arial" w:hAnsi="Arial"/>
          <w:rtl/>
        </w:rPr>
      </w:pPr>
      <w:r w:rsidRPr="00AA064B">
        <w:rPr>
          <w:rFonts w:ascii="Arial" w:hAnsi="Arial"/>
          <w:rtl/>
        </w:rPr>
        <w:t>(3)</w:t>
      </w:r>
      <w:r w:rsidRPr="00AA064B">
        <w:rPr>
          <w:rFonts w:ascii="Arial" w:hAnsi="Arial"/>
          <w:rtl/>
        </w:rPr>
        <w:tab/>
      </w:r>
      <w:hyperlink r:id="rId34" w:history="1">
        <w:r w:rsidR="00B57803" w:rsidRPr="00B57803">
          <w:rPr>
            <w:rFonts w:ascii="Arial" w:hAnsi="Arial"/>
            <w:color w:val="0000FF"/>
            <w:u w:val="single"/>
            <w:rtl/>
          </w:rPr>
          <w:t>ע"פ 5813/21</w:t>
        </w:r>
      </w:hyperlink>
      <w:r w:rsidRPr="00AA064B">
        <w:rPr>
          <w:rFonts w:ascii="Arial" w:hAnsi="Arial"/>
          <w:rtl/>
        </w:rPr>
        <w:t xml:space="preserve">, </w:t>
      </w:r>
      <w:hyperlink r:id="rId35" w:history="1">
        <w:r w:rsidR="00B57803" w:rsidRPr="00B57803">
          <w:rPr>
            <w:rFonts w:ascii="Arial" w:hAnsi="Arial"/>
            <w:color w:val="0000FF"/>
            <w:u w:val="single"/>
            <w:rtl/>
          </w:rPr>
          <w:t>ע"פ 5896/21</w:t>
        </w:r>
      </w:hyperlink>
      <w:r w:rsidRPr="00AA064B">
        <w:rPr>
          <w:rFonts w:ascii="Arial" w:hAnsi="Arial"/>
          <w:rtl/>
        </w:rPr>
        <w:t xml:space="preserve"> </w:t>
      </w:r>
      <w:r w:rsidRPr="00AA064B">
        <w:rPr>
          <w:rFonts w:ascii="Arial" w:hAnsi="Arial"/>
          <w:b/>
          <w:bCs/>
          <w:rtl/>
        </w:rPr>
        <w:t xml:space="preserve">ג'ברין  נ' מדינת ישראל </w:t>
      </w:r>
      <w:r w:rsidRPr="00AA064B">
        <w:rPr>
          <w:rFonts w:ascii="Arial" w:hAnsi="Arial"/>
          <w:rtl/>
        </w:rPr>
        <w:t xml:space="preserve">(31.5.2022) – שני המערערים הורשעו על-פי הודאותיהם בעבירת החזקת נשק, בכך שהחזיקו ברובה ציד טעון בכדורים, חגורה ייעודית לתחמושת ובה 17 כדורים. המערער 1 כבן 44, נשוי ואב לילדים בגירים, שלחובתו הרשעה בעבירה אחת. הנאשם 2 כבן 56, נשוי ואב לילדים בגירים שלחובתו תשע הרשעות קודמות. בבית המשפט המחוזי נקבע מתחם עונש בין 12 ל-36 חודשי מאסר. על המערער 1 הושתו 18 חודשי מאסר בפועל ומאסר מותנה ועל המערער 2 הושתו 21 חודשי מאסר בפועל ומאסר מותנה. הערעורים נדחו. </w:t>
      </w:r>
    </w:p>
    <w:p w14:paraId="06FE68CB" w14:textId="77777777" w:rsidR="00355BC6" w:rsidRPr="00AA064B" w:rsidRDefault="00355BC6" w:rsidP="00355BC6">
      <w:pPr>
        <w:spacing w:line="360" w:lineRule="auto"/>
        <w:jc w:val="both"/>
        <w:rPr>
          <w:rFonts w:ascii="Arial" w:hAnsi="Arial"/>
          <w:rtl/>
        </w:rPr>
      </w:pPr>
      <w:r w:rsidRPr="00AA064B">
        <w:rPr>
          <w:rFonts w:ascii="Arial" w:hAnsi="Arial"/>
          <w:rtl/>
        </w:rPr>
        <w:t xml:space="preserve"> </w:t>
      </w:r>
    </w:p>
    <w:p w14:paraId="6906E665" w14:textId="77777777" w:rsidR="00355BC6" w:rsidRPr="00AA064B" w:rsidRDefault="00355BC6" w:rsidP="00355BC6">
      <w:pPr>
        <w:spacing w:line="360" w:lineRule="auto"/>
        <w:jc w:val="both"/>
        <w:rPr>
          <w:rFonts w:ascii="Arial" w:hAnsi="Arial"/>
          <w:rtl/>
        </w:rPr>
      </w:pPr>
      <w:r w:rsidRPr="00AA064B">
        <w:rPr>
          <w:rFonts w:ascii="Arial" w:hAnsi="Arial"/>
          <w:rtl/>
        </w:rPr>
        <w:tab/>
      </w:r>
      <w:r w:rsidRPr="00AA064B">
        <w:rPr>
          <w:rFonts w:ascii="Arial" w:hAnsi="Arial"/>
          <w:b/>
          <w:bCs/>
          <w:u w:val="single"/>
          <w:rtl/>
        </w:rPr>
        <w:t>פסקי הדין שהוגשו מטעם ההגנה</w:t>
      </w:r>
      <w:r w:rsidRPr="00AA064B">
        <w:rPr>
          <w:rFonts w:ascii="Arial" w:hAnsi="Arial"/>
          <w:b/>
          <w:bCs/>
          <w:rtl/>
        </w:rPr>
        <w:t>:</w:t>
      </w:r>
      <w:r w:rsidRPr="00AA064B">
        <w:rPr>
          <w:rFonts w:ascii="Arial" w:hAnsi="Arial"/>
          <w:rtl/>
        </w:rPr>
        <w:t xml:space="preserve"> </w:t>
      </w:r>
    </w:p>
    <w:p w14:paraId="48C1A8CD" w14:textId="77777777" w:rsidR="00355BC6" w:rsidRPr="00AA064B" w:rsidRDefault="00355BC6" w:rsidP="00355BC6">
      <w:pPr>
        <w:spacing w:line="360" w:lineRule="auto"/>
        <w:jc w:val="both"/>
        <w:rPr>
          <w:rFonts w:ascii="Arial" w:hAnsi="Arial"/>
          <w:rtl/>
        </w:rPr>
      </w:pPr>
    </w:p>
    <w:p w14:paraId="4875A0D5" w14:textId="77777777" w:rsidR="00355BC6" w:rsidRPr="00AA064B" w:rsidRDefault="00355BC6" w:rsidP="00355BC6">
      <w:pPr>
        <w:spacing w:line="360" w:lineRule="auto"/>
        <w:jc w:val="both"/>
        <w:rPr>
          <w:rFonts w:ascii="Arial" w:hAnsi="Arial"/>
          <w:rtl/>
        </w:rPr>
      </w:pPr>
      <w:r w:rsidRPr="00AA064B">
        <w:rPr>
          <w:rFonts w:ascii="Arial" w:hAnsi="Arial"/>
          <w:rtl/>
        </w:rPr>
        <w:t>(1)</w:t>
      </w:r>
      <w:r w:rsidRPr="00AA064B">
        <w:rPr>
          <w:rFonts w:ascii="Arial" w:hAnsi="Arial"/>
          <w:rtl/>
        </w:rPr>
        <w:tab/>
        <w:t xml:space="preserve"> </w:t>
      </w:r>
      <w:hyperlink r:id="rId36" w:history="1">
        <w:r w:rsidR="00B57803" w:rsidRPr="00B57803">
          <w:rPr>
            <w:rFonts w:ascii="Arial" w:hAnsi="Arial"/>
            <w:color w:val="0000FF"/>
            <w:u w:val="single"/>
            <w:rtl/>
          </w:rPr>
          <w:t>עפ"ג (מחוזי חיפה) 64033-11-22</w:t>
        </w:r>
      </w:hyperlink>
      <w:r w:rsidRPr="00AA064B">
        <w:rPr>
          <w:rFonts w:ascii="Arial" w:hAnsi="Arial"/>
          <w:rtl/>
        </w:rPr>
        <w:t xml:space="preserve"> </w:t>
      </w:r>
      <w:r w:rsidRPr="00AA064B">
        <w:rPr>
          <w:rFonts w:ascii="Arial" w:hAnsi="Arial"/>
          <w:b/>
          <w:bCs/>
          <w:rtl/>
        </w:rPr>
        <w:t>מדינת ישראל נ' מיכאלוב</w:t>
      </w:r>
      <w:r w:rsidRPr="00AA064B">
        <w:rPr>
          <w:rFonts w:ascii="Arial" w:hAnsi="Arial"/>
          <w:rtl/>
        </w:rPr>
        <w:t xml:space="preserve"> (27.3.2023) – המשיב הורשע על-פי הודאתו בעבירות החזקת נשק והחזקת סמים לצריכה עצמית. בעניין עבירת הנשק נקבע מתחם עונש בין 10 ל-30 חודשי מאסר ובעניין עבירות הסמים בין מאסר מותנה ל-9 חודשי מאסר. הוא נעדר הרשעות קודמות, אך צרך באופן מאסיבי אלכוהול וסמים. ערעור המדינה התקבל, תוך השתת 10 חודשי מאסר בפועל חלף 9 חודשי עבודות השירות שהושתו בבית משפט השלום.</w:t>
      </w:r>
    </w:p>
    <w:p w14:paraId="63A7D57B" w14:textId="77777777" w:rsidR="00355BC6" w:rsidRPr="00AA064B" w:rsidRDefault="00355BC6" w:rsidP="00355BC6">
      <w:pPr>
        <w:spacing w:line="360" w:lineRule="auto"/>
        <w:jc w:val="both"/>
        <w:rPr>
          <w:rFonts w:ascii="Arial" w:hAnsi="Arial"/>
          <w:rtl/>
        </w:rPr>
      </w:pPr>
    </w:p>
    <w:p w14:paraId="38B5C22D" w14:textId="77777777" w:rsidR="00355BC6" w:rsidRPr="00AA064B" w:rsidRDefault="00355BC6" w:rsidP="00355BC6">
      <w:pPr>
        <w:spacing w:line="360" w:lineRule="auto"/>
        <w:jc w:val="both"/>
        <w:rPr>
          <w:rFonts w:ascii="Arial" w:hAnsi="Arial"/>
          <w:rtl/>
        </w:rPr>
      </w:pPr>
      <w:r w:rsidRPr="00AA064B">
        <w:rPr>
          <w:rFonts w:ascii="Arial" w:hAnsi="Arial"/>
          <w:rtl/>
        </w:rPr>
        <w:t>(2)</w:t>
      </w:r>
      <w:r w:rsidRPr="00AA064B">
        <w:rPr>
          <w:rFonts w:ascii="Arial" w:hAnsi="Arial"/>
          <w:rtl/>
        </w:rPr>
        <w:tab/>
      </w:r>
      <w:hyperlink r:id="rId37" w:history="1">
        <w:r w:rsidR="00B57803" w:rsidRPr="00B57803">
          <w:rPr>
            <w:rFonts w:ascii="Arial" w:hAnsi="Arial"/>
            <w:color w:val="0000FF"/>
            <w:u w:val="single"/>
            <w:rtl/>
          </w:rPr>
          <w:t>עפ"ג (ב"ש) 50590-12-22</w:t>
        </w:r>
      </w:hyperlink>
      <w:r w:rsidRPr="00AA064B">
        <w:rPr>
          <w:rFonts w:ascii="Arial" w:hAnsi="Arial"/>
          <w:rtl/>
        </w:rPr>
        <w:t xml:space="preserve"> </w:t>
      </w:r>
      <w:r w:rsidRPr="00AA064B">
        <w:rPr>
          <w:rFonts w:ascii="Arial" w:hAnsi="Arial"/>
          <w:b/>
          <w:bCs/>
          <w:rtl/>
        </w:rPr>
        <w:t>אלסייד נ' מדינת ישראל</w:t>
      </w:r>
      <w:r w:rsidRPr="00AA064B">
        <w:rPr>
          <w:rFonts w:ascii="Arial" w:hAnsi="Arial"/>
          <w:rtl/>
        </w:rPr>
        <w:t xml:space="preserve"> (20.3.2023) – המערער הורשע על-פי הודאתו בעבירת החזקת נשק בכך שהחזיק אקדח ומחסנית. הנאשם נשוי ונעדר הרשעות קודמות. בבית משפט השלום נקבע מתחם עונש בין 13 ל-36 חודשי מאסר והושתו 14 חודשי מאסר בפועל, מאסר מותנה וקנס בסך 5,000 ₪. הערעור נדחה.</w:t>
      </w:r>
    </w:p>
    <w:p w14:paraId="2FE700CE" w14:textId="77777777" w:rsidR="00355BC6" w:rsidRPr="00AA064B" w:rsidRDefault="00355BC6" w:rsidP="00355BC6">
      <w:pPr>
        <w:spacing w:line="360" w:lineRule="auto"/>
        <w:jc w:val="both"/>
        <w:rPr>
          <w:rFonts w:ascii="Arial" w:hAnsi="Arial"/>
          <w:rtl/>
        </w:rPr>
      </w:pPr>
    </w:p>
    <w:p w14:paraId="4C16AB1D" w14:textId="77777777" w:rsidR="00355BC6" w:rsidRPr="00AA064B" w:rsidRDefault="00355BC6" w:rsidP="00355BC6">
      <w:pPr>
        <w:spacing w:line="360" w:lineRule="auto"/>
        <w:jc w:val="both"/>
        <w:rPr>
          <w:rFonts w:ascii="Arial" w:hAnsi="Arial"/>
          <w:rtl/>
        </w:rPr>
      </w:pPr>
      <w:r w:rsidRPr="00AA064B">
        <w:rPr>
          <w:rFonts w:ascii="Arial" w:hAnsi="Arial"/>
          <w:rtl/>
        </w:rPr>
        <w:t>(3)</w:t>
      </w:r>
      <w:r w:rsidRPr="00AA064B">
        <w:rPr>
          <w:rFonts w:ascii="Arial" w:hAnsi="Arial"/>
          <w:rtl/>
        </w:rPr>
        <w:tab/>
      </w:r>
      <w:hyperlink r:id="rId38" w:history="1">
        <w:r w:rsidR="00B57803" w:rsidRPr="00B57803">
          <w:rPr>
            <w:rFonts w:ascii="Arial" w:hAnsi="Arial"/>
            <w:color w:val="0000FF"/>
            <w:u w:val="single"/>
            <w:rtl/>
          </w:rPr>
          <w:t>עפ"ג (מחוזי חיפה) 32402-12-22</w:t>
        </w:r>
      </w:hyperlink>
      <w:r w:rsidRPr="00AA064B">
        <w:rPr>
          <w:rFonts w:ascii="Arial" w:hAnsi="Arial"/>
          <w:rtl/>
        </w:rPr>
        <w:t xml:space="preserve"> </w:t>
      </w:r>
      <w:r w:rsidRPr="00AA064B">
        <w:rPr>
          <w:rFonts w:ascii="Arial" w:hAnsi="Arial"/>
          <w:b/>
          <w:bCs/>
          <w:rtl/>
        </w:rPr>
        <w:t>מדינת ישראל נ' ג'בארין</w:t>
      </w:r>
      <w:r w:rsidRPr="00AA064B">
        <w:rPr>
          <w:rFonts w:ascii="Arial" w:hAnsi="Arial"/>
          <w:rtl/>
        </w:rPr>
        <w:t xml:space="preserve"> (9.3.2023) – המשיב הורשע על-פי הודאתו בעבירות החזקת נשק, החזקת תחמושת ומעשה פזיזות ורשלנות בחומר נפץ. דובר בהחזקת אקדח חצי אוטומטי, מחסנית תואמת וכדורים. נקבע מתחם עונש בין 12 ל-24 חודשי מאסר. המשיב נעדר הרשעות קודמות. בהתחשב בנסיבותיו, בית משפט השלום חרג לקולה ממתחם העונש והשית עליו 9 חודשי מאסר בעבודות שירות נוסף על תקופת מעצרו בת כחודשיים (מעצר בפיקוח ומעצר בית), מאסר מותנה, צו מבחן למשך 18 חודש וקנס בסך 10,000 ₪. במסגרת הערעור הוחמר עונש המאסר בפועל ל-12 חודש וכן בוטל צו המבחן.</w:t>
      </w:r>
    </w:p>
    <w:p w14:paraId="1CAF4DEE" w14:textId="77777777" w:rsidR="00355BC6" w:rsidRPr="00AA064B" w:rsidRDefault="00355BC6" w:rsidP="00355BC6">
      <w:pPr>
        <w:spacing w:line="360" w:lineRule="auto"/>
        <w:jc w:val="both"/>
        <w:rPr>
          <w:rFonts w:ascii="Arial" w:hAnsi="Arial"/>
          <w:rtl/>
        </w:rPr>
      </w:pPr>
    </w:p>
    <w:p w14:paraId="0C4D6780" w14:textId="77777777" w:rsidR="00355BC6" w:rsidRPr="00AA064B" w:rsidRDefault="00355BC6" w:rsidP="00355BC6">
      <w:pPr>
        <w:spacing w:line="360" w:lineRule="auto"/>
        <w:jc w:val="both"/>
        <w:rPr>
          <w:rFonts w:ascii="Arial" w:hAnsi="Arial"/>
          <w:rtl/>
        </w:rPr>
      </w:pPr>
      <w:r w:rsidRPr="00AA064B">
        <w:rPr>
          <w:rFonts w:ascii="Arial" w:hAnsi="Arial"/>
          <w:rtl/>
        </w:rPr>
        <w:t>(4)</w:t>
      </w:r>
      <w:r w:rsidRPr="00AA064B">
        <w:rPr>
          <w:rFonts w:ascii="Arial" w:hAnsi="Arial"/>
          <w:rtl/>
        </w:rPr>
        <w:tab/>
      </w:r>
      <w:hyperlink r:id="rId39" w:history="1">
        <w:r w:rsidR="00B57803" w:rsidRPr="00B57803">
          <w:rPr>
            <w:rFonts w:ascii="Arial" w:hAnsi="Arial"/>
            <w:color w:val="0000FF"/>
            <w:u w:val="single"/>
            <w:rtl/>
          </w:rPr>
          <w:t>עפ"ג (מחוזי חיפה) 12888-03-22</w:t>
        </w:r>
      </w:hyperlink>
      <w:r w:rsidRPr="00AA064B">
        <w:rPr>
          <w:rFonts w:ascii="Arial" w:hAnsi="Arial"/>
          <w:rtl/>
        </w:rPr>
        <w:t xml:space="preserve"> </w:t>
      </w:r>
      <w:r w:rsidRPr="00AA064B">
        <w:rPr>
          <w:rFonts w:ascii="Arial" w:hAnsi="Arial"/>
          <w:b/>
          <w:bCs/>
          <w:rtl/>
        </w:rPr>
        <w:t>מדינת ישראל נ' אגבאריה</w:t>
      </w:r>
      <w:r w:rsidRPr="00AA064B">
        <w:rPr>
          <w:rFonts w:ascii="Arial" w:hAnsi="Arial"/>
          <w:rtl/>
        </w:rPr>
        <w:t xml:space="preserve"> (7.11.2022) – המשיב הורשע על-פי הודאתו בעבירת החזקת נשק ובהחזקת תחמושת. דובר באקדח טעון במחסנית וכדורים וקופסת כדורים נוספים. המשיב כבן 59, נשוי ואב לשבעה ילדים ונעדר הרשעות קודמות. בבית משפט השלום נקבע מתחם עונש בין 9 ל-30 חודשי מאסר. הושתו 7 חודשי מאסר בעבודות שירות, מאסר מותנה וקנס בסך 5,000 ₪. במסגרת הערעור הוחמר עונש המאסר בפועל ל-12 חודש.</w:t>
      </w:r>
    </w:p>
    <w:p w14:paraId="10884A48" w14:textId="77777777" w:rsidR="00355BC6" w:rsidRPr="00AA064B" w:rsidRDefault="00355BC6" w:rsidP="00355BC6">
      <w:pPr>
        <w:spacing w:line="360" w:lineRule="auto"/>
        <w:jc w:val="both"/>
        <w:rPr>
          <w:rFonts w:ascii="Arial" w:hAnsi="Arial"/>
          <w:rtl/>
        </w:rPr>
      </w:pPr>
    </w:p>
    <w:p w14:paraId="57966926" w14:textId="77777777" w:rsidR="00355BC6" w:rsidRPr="00AA064B" w:rsidRDefault="00355BC6" w:rsidP="00355BC6">
      <w:pPr>
        <w:spacing w:line="360" w:lineRule="auto"/>
        <w:jc w:val="both"/>
        <w:rPr>
          <w:rFonts w:ascii="Arial" w:hAnsi="Arial"/>
          <w:rtl/>
        </w:rPr>
      </w:pPr>
      <w:r w:rsidRPr="00AA064B">
        <w:rPr>
          <w:rFonts w:ascii="Arial" w:hAnsi="Arial"/>
          <w:rtl/>
        </w:rPr>
        <w:tab/>
      </w:r>
      <w:r w:rsidRPr="00AA064B">
        <w:rPr>
          <w:rFonts w:ascii="Arial" w:hAnsi="Arial"/>
          <w:b/>
          <w:bCs/>
          <w:u w:val="single"/>
          <w:rtl/>
        </w:rPr>
        <w:t>פסיקה נוספת</w:t>
      </w:r>
      <w:r w:rsidRPr="00AA064B">
        <w:rPr>
          <w:rFonts w:ascii="Arial" w:hAnsi="Arial"/>
          <w:b/>
          <w:bCs/>
          <w:rtl/>
        </w:rPr>
        <w:t>:</w:t>
      </w:r>
      <w:r w:rsidRPr="00AA064B">
        <w:rPr>
          <w:rFonts w:ascii="Arial" w:hAnsi="Arial"/>
          <w:rtl/>
        </w:rPr>
        <w:t xml:space="preserve"> </w:t>
      </w:r>
    </w:p>
    <w:p w14:paraId="404CAB19" w14:textId="77777777" w:rsidR="00355BC6" w:rsidRPr="00AA064B" w:rsidRDefault="00355BC6" w:rsidP="00355BC6">
      <w:pPr>
        <w:spacing w:line="360" w:lineRule="auto"/>
        <w:jc w:val="both"/>
        <w:rPr>
          <w:rFonts w:ascii="Arial" w:hAnsi="Arial"/>
          <w:rtl/>
        </w:rPr>
      </w:pPr>
    </w:p>
    <w:p w14:paraId="584CC52F" w14:textId="77777777" w:rsidR="00355BC6" w:rsidRPr="00AA064B" w:rsidRDefault="00355BC6" w:rsidP="00355BC6">
      <w:pPr>
        <w:spacing w:line="360" w:lineRule="auto"/>
        <w:jc w:val="both"/>
        <w:rPr>
          <w:rFonts w:ascii="Arial" w:hAnsi="Arial"/>
          <w:rtl/>
        </w:rPr>
      </w:pPr>
      <w:r w:rsidRPr="00AA064B">
        <w:rPr>
          <w:rFonts w:ascii="Arial" w:hAnsi="Arial"/>
          <w:rtl/>
        </w:rPr>
        <w:t>(1)</w:t>
      </w:r>
      <w:r w:rsidRPr="00AA064B">
        <w:rPr>
          <w:rFonts w:ascii="Arial" w:hAnsi="Arial"/>
          <w:rtl/>
        </w:rPr>
        <w:tab/>
        <w:t xml:space="preserve"> </w:t>
      </w:r>
      <w:hyperlink r:id="rId40" w:history="1">
        <w:r w:rsidR="00B57803" w:rsidRPr="00B57803">
          <w:rPr>
            <w:rFonts w:ascii="Arial" w:hAnsi="Arial"/>
            <w:color w:val="0000FF"/>
            <w:u w:val="single"/>
            <w:rtl/>
          </w:rPr>
          <w:t>ע"פ 2482/22</w:t>
        </w:r>
      </w:hyperlink>
      <w:r w:rsidRPr="00AA064B">
        <w:rPr>
          <w:rFonts w:ascii="Arial" w:hAnsi="Arial"/>
          <w:rtl/>
        </w:rPr>
        <w:t xml:space="preserve"> </w:t>
      </w:r>
      <w:r w:rsidRPr="00AA064B">
        <w:rPr>
          <w:rFonts w:ascii="Arial" w:hAnsi="Arial"/>
          <w:b/>
          <w:bCs/>
          <w:rtl/>
        </w:rPr>
        <w:t xml:space="preserve">מדינת ישראל נ' קדורה </w:t>
      </w:r>
      <w:r w:rsidRPr="00AA064B">
        <w:rPr>
          <w:rFonts w:ascii="Arial" w:hAnsi="Arial"/>
          <w:rtl/>
        </w:rPr>
        <w:t>(14.4.2022) – המשיב, צעיר הנעדר הרשעות קודמות, הורשע על-פי הודאתו בעבירת החזקת נשק מסוג אקדח ותחמושת שלא נתפסו וכן ברימון הלם שנתפס. בבית המשפט המחוזי הושתו עליו 10 חודשי מאסר בפועל, מאסר מותנה וקנס בסך 5,000 ₪. בערעור הוחמר עונשו ל-18 חודשי מאסר בפועל.</w:t>
      </w:r>
    </w:p>
    <w:p w14:paraId="14357385" w14:textId="77777777" w:rsidR="00355BC6" w:rsidRPr="00AA064B" w:rsidRDefault="00355BC6" w:rsidP="00355BC6">
      <w:pPr>
        <w:spacing w:line="360" w:lineRule="auto"/>
        <w:jc w:val="both"/>
        <w:rPr>
          <w:rFonts w:ascii="Arial" w:hAnsi="Arial"/>
          <w:rtl/>
        </w:rPr>
      </w:pPr>
    </w:p>
    <w:p w14:paraId="619D67D1" w14:textId="77777777" w:rsidR="00355BC6" w:rsidRPr="00AA064B" w:rsidRDefault="00355BC6" w:rsidP="00355BC6">
      <w:pPr>
        <w:spacing w:line="360" w:lineRule="auto"/>
        <w:jc w:val="both"/>
        <w:rPr>
          <w:rFonts w:ascii="Arial" w:hAnsi="Arial"/>
          <w:rtl/>
        </w:rPr>
      </w:pPr>
      <w:r w:rsidRPr="00AA064B">
        <w:rPr>
          <w:rFonts w:ascii="Arial" w:hAnsi="Arial"/>
          <w:rtl/>
        </w:rPr>
        <w:t>(2)</w:t>
      </w:r>
      <w:r w:rsidRPr="00AA064B">
        <w:rPr>
          <w:rFonts w:ascii="Arial" w:hAnsi="Arial"/>
          <w:rtl/>
        </w:rPr>
        <w:tab/>
      </w:r>
      <w:hyperlink r:id="rId41" w:history="1">
        <w:r w:rsidR="00B57803" w:rsidRPr="00B57803">
          <w:rPr>
            <w:rFonts w:ascii="Arial" w:hAnsi="Arial"/>
            <w:color w:val="0000FF"/>
            <w:u w:val="single"/>
            <w:rtl/>
          </w:rPr>
          <w:t>ע"פ 8320/21</w:t>
        </w:r>
      </w:hyperlink>
      <w:r w:rsidR="00B57803">
        <w:rPr>
          <w:rFonts w:ascii="Arial" w:hAnsi="Arial"/>
          <w:rtl/>
        </w:rPr>
        <w:t xml:space="preserve"> </w:t>
      </w:r>
      <w:r w:rsidRPr="00AA064B">
        <w:rPr>
          <w:rFonts w:ascii="Arial" w:hAnsi="Arial"/>
          <w:bCs/>
          <w:rtl/>
        </w:rPr>
        <w:t xml:space="preserve">מדינת ישראל נ' בסילה </w:t>
      </w:r>
      <w:r w:rsidRPr="00AA064B">
        <w:rPr>
          <w:rFonts w:ascii="Arial" w:hAnsi="Arial"/>
          <w:b/>
          <w:rtl/>
        </w:rPr>
        <w:t>(</w:t>
      </w:r>
      <w:r w:rsidRPr="00AA064B">
        <w:rPr>
          <w:rFonts w:ascii="Arial" w:hAnsi="Arial"/>
          <w:rtl/>
        </w:rPr>
        <w:t>28.12.2021) – המשיב הורשע על-פי הודאתו בעבירת החזקת נשק ואביזרי תחמושת. דובר בדמוי רובה סער 16</w:t>
      </w:r>
      <w:r w:rsidRPr="00AA064B">
        <w:rPr>
          <w:rFonts w:ascii="Arial" w:hAnsi="Arial"/>
        </w:rPr>
        <w:t>M-</w:t>
      </w:r>
      <w:r w:rsidRPr="00AA064B">
        <w:rPr>
          <w:rFonts w:ascii="Arial" w:hAnsi="Arial"/>
          <w:rtl/>
        </w:rPr>
        <w:t>, חמש מחסניות, תחמושת ואביזרים נלווים. המשיב הוא אדם נורמטיבי, נעדר הרשעות קודמות (למעט הרשעה בעבירת ציד), נשוי ואב לילדים העובד באופן מסודר. הוא הביע חרטה על מעשיו והתסקיר בעניינו היה חיובי. נקבע מתחם עונש בין 6 ל-24 חודשי מאסר ולאחר 80 ימי מעצר, הושתו עליו 7 חודשי מאסר ומאסר מותנה. במסגרת הערעור הוחמר עונש המאסר בפועל ל-14 חודש.</w:t>
      </w:r>
    </w:p>
    <w:p w14:paraId="6EA4A719" w14:textId="77777777" w:rsidR="00355BC6" w:rsidRPr="00AA064B" w:rsidRDefault="00355BC6" w:rsidP="00355BC6">
      <w:pPr>
        <w:spacing w:line="360" w:lineRule="auto"/>
        <w:jc w:val="both"/>
        <w:rPr>
          <w:rFonts w:ascii="Arial" w:hAnsi="Arial"/>
          <w:rtl/>
        </w:rPr>
      </w:pPr>
    </w:p>
    <w:p w14:paraId="3DAB52AF" w14:textId="77777777" w:rsidR="00355BC6" w:rsidRPr="00AA064B" w:rsidRDefault="00355BC6" w:rsidP="00355BC6">
      <w:pPr>
        <w:spacing w:line="360" w:lineRule="auto"/>
        <w:jc w:val="both"/>
        <w:rPr>
          <w:rFonts w:ascii="Arial" w:hAnsi="Arial"/>
          <w:rtl/>
        </w:rPr>
      </w:pPr>
      <w:r w:rsidRPr="00AA064B">
        <w:rPr>
          <w:rFonts w:ascii="Arial" w:hAnsi="Arial"/>
          <w:rtl/>
        </w:rPr>
        <w:t>(3)</w:t>
      </w:r>
      <w:r w:rsidRPr="00AA064B">
        <w:rPr>
          <w:rFonts w:ascii="Arial" w:hAnsi="Arial"/>
          <w:rtl/>
        </w:rPr>
        <w:tab/>
      </w:r>
      <w:hyperlink r:id="rId42" w:history="1">
        <w:r w:rsidR="00B57803" w:rsidRPr="00B57803">
          <w:rPr>
            <w:rFonts w:ascii="Arial" w:hAnsi="Arial"/>
            <w:color w:val="0000FF"/>
            <w:u w:val="single"/>
            <w:rtl/>
          </w:rPr>
          <w:t>ע"פ 309/22</w:t>
        </w:r>
      </w:hyperlink>
      <w:r w:rsidRPr="00AA064B">
        <w:rPr>
          <w:rFonts w:ascii="Arial" w:hAnsi="Arial"/>
          <w:b/>
          <w:bCs/>
          <w:rtl/>
        </w:rPr>
        <w:t xml:space="preserve"> מדינת ישראל נ' ביאדסה</w:t>
      </w:r>
      <w:r w:rsidR="00B57803">
        <w:rPr>
          <w:rFonts w:ascii="Arial" w:hAnsi="Arial"/>
          <w:rtl/>
        </w:rPr>
        <w:t xml:space="preserve"> </w:t>
      </w:r>
      <w:r w:rsidRPr="00AA064B">
        <w:rPr>
          <w:rFonts w:ascii="Arial" w:hAnsi="Arial"/>
          <w:rtl/>
        </w:rPr>
        <w:t>(10.5.2022)‏‏</w:t>
      </w:r>
      <w:r w:rsidRPr="00AA064B">
        <w:rPr>
          <w:rFonts w:ascii="Arial" w:hAnsi="Arial"/>
          <w:b/>
          <w:bCs/>
          <w:rtl/>
        </w:rPr>
        <w:t xml:space="preserve"> </w:t>
      </w:r>
      <w:r w:rsidRPr="00AA064B">
        <w:rPr>
          <w:rFonts w:ascii="Arial" w:hAnsi="Arial"/>
          <w:rtl/>
        </w:rPr>
        <w:t>– המשיב, נעדר הרשעות קודמות, הורשע על פי הודאתו בעבירות החזקת נשק, נשיאתו והובלתו. דובר ברובה מסוג קלצ'ניקוב, מחסנית תואמת וכדורים, אקדח חצי אוטומטי טעון במחסנית תואמת עם כדורים וכדור בקנה ומחסנית נוספת עם כדורים. בבית המשפט המחוזי נקבע מתחם עונש בין 19 ל-54 חודשי מאסר והושתו 19 חודשי מאסר בפועל, מאסר מותנה וקנס בסך 15,000 ₪. במסגרת הערעור הוחמר עונש המאסר בפועל ל-30 חודש.</w:t>
      </w:r>
    </w:p>
    <w:p w14:paraId="708FCCED" w14:textId="77777777" w:rsidR="00355BC6" w:rsidRPr="00AA064B" w:rsidRDefault="00355BC6" w:rsidP="00355BC6">
      <w:pPr>
        <w:spacing w:line="360" w:lineRule="auto"/>
        <w:jc w:val="both"/>
        <w:rPr>
          <w:rFonts w:ascii="Arial" w:hAnsi="Arial"/>
          <w:rtl/>
        </w:rPr>
      </w:pPr>
    </w:p>
    <w:p w14:paraId="57B599A1" w14:textId="77777777" w:rsidR="00355BC6" w:rsidRPr="00AA064B" w:rsidRDefault="00355BC6" w:rsidP="00355BC6">
      <w:pPr>
        <w:spacing w:line="360" w:lineRule="auto"/>
        <w:jc w:val="both"/>
        <w:rPr>
          <w:rFonts w:ascii="Arial" w:hAnsi="Arial"/>
          <w:rtl/>
        </w:rPr>
      </w:pPr>
      <w:r w:rsidRPr="00AA064B">
        <w:rPr>
          <w:rFonts w:ascii="Arial" w:hAnsi="Arial"/>
          <w:rtl/>
        </w:rPr>
        <w:t>10.</w:t>
      </w:r>
      <w:r w:rsidRPr="00AA064B">
        <w:rPr>
          <w:rFonts w:ascii="Arial" w:hAnsi="Arial"/>
          <w:rtl/>
        </w:rPr>
        <w:tab/>
      </w:r>
      <w:r w:rsidRPr="00AA064B">
        <w:rPr>
          <w:rFonts w:ascii="Arial" w:hAnsi="Arial"/>
          <w:b/>
          <w:bCs/>
          <w:u w:val="single"/>
          <w:rtl/>
        </w:rPr>
        <w:t>נסיבות העבירה</w:t>
      </w:r>
      <w:r w:rsidRPr="00AA064B">
        <w:rPr>
          <w:rFonts w:ascii="Arial" w:hAnsi="Arial"/>
          <w:b/>
          <w:bCs/>
          <w:rtl/>
        </w:rPr>
        <w:t>:</w:t>
      </w:r>
      <w:r w:rsidRPr="00AA064B">
        <w:rPr>
          <w:rFonts w:ascii="Arial" w:hAnsi="Arial"/>
          <w:rtl/>
        </w:rPr>
        <w:t xml:space="preserve"> הנאשם החזיק נשק מאולתר, דמוי תת מקלע, אך תקין, וכן שתי מחסניות ריקות שהוסתרו תחת מושב הרכב שבו ישבו ילדיו. עם זאת, לא הייתה ברשותו תחמושת ואף בחיפוש בביתו לא נתפסו כדורים התואמים לנשק.</w:t>
      </w:r>
    </w:p>
    <w:p w14:paraId="6CD3A74D" w14:textId="77777777" w:rsidR="00355BC6" w:rsidRPr="00AA064B" w:rsidRDefault="00355BC6" w:rsidP="00355BC6">
      <w:pPr>
        <w:spacing w:line="360" w:lineRule="auto"/>
        <w:jc w:val="both"/>
        <w:rPr>
          <w:rFonts w:ascii="Arial" w:hAnsi="Arial"/>
          <w:rtl/>
        </w:rPr>
      </w:pPr>
    </w:p>
    <w:p w14:paraId="0EC631CE" w14:textId="77777777" w:rsidR="00355BC6" w:rsidRPr="00AA064B" w:rsidRDefault="00355BC6" w:rsidP="00355BC6">
      <w:pPr>
        <w:spacing w:line="360" w:lineRule="auto"/>
        <w:jc w:val="both"/>
        <w:rPr>
          <w:rFonts w:ascii="Arial" w:hAnsi="Arial"/>
          <w:rtl/>
        </w:rPr>
      </w:pPr>
      <w:r w:rsidRPr="00AA064B">
        <w:rPr>
          <w:rFonts w:ascii="Arial" w:hAnsi="Arial"/>
          <w:rtl/>
        </w:rPr>
        <w:t>בהתחשב באורח חייו הנורמטיבי של הנאשם, לא ברור מה היה המניע להחזקת הנשק. עם זאת, מאחר שנמצא כי הנשק היה תקין שבכוחו להמית אדם, הרי שהנזק שהיה צפוי ממעשיי העבירות – בכפוף לשימוש בכדורים שלא נמצאו – היה רב, אפילו לא התרחש בפועל.</w:t>
      </w:r>
    </w:p>
    <w:p w14:paraId="647176FD" w14:textId="77777777" w:rsidR="00355BC6" w:rsidRPr="00AA064B" w:rsidRDefault="00355BC6" w:rsidP="00355BC6">
      <w:pPr>
        <w:spacing w:line="360" w:lineRule="auto"/>
        <w:jc w:val="both"/>
        <w:rPr>
          <w:rFonts w:ascii="Arial" w:hAnsi="Arial"/>
          <w:rtl/>
        </w:rPr>
      </w:pPr>
    </w:p>
    <w:p w14:paraId="6FEEA8DD" w14:textId="77777777" w:rsidR="00355BC6" w:rsidRPr="00AA064B" w:rsidRDefault="00355BC6" w:rsidP="00355BC6">
      <w:pPr>
        <w:spacing w:line="360" w:lineRule="auto"/>
        <w:jc w:val="both"/>
        <w:rPr>
          <w:rFonts w:ascii="Arial" w:hAnsi="Arial"/>
          <w:rtl/>
        </w:rPr>
      </w:pPr>
      <w:r w:rsidRPr="00AA064B">
        <w:rPr>
          <w:rFonts w:ascii="Arial" w:hAnsi="Arial"/>
          <w:rtl/>
        </w:rPr>
        <w:t>11.</w:t>
      </w:r>
      <w:r w:rsidRPr="00AA064B">
        <w:rPr>
          <w:rFonts w:ascii="Arial" w:hAnsi="Arial"/>
          <w:rtl/>
        </w:rPr>
        <w:tab/>
      </w:r>
      <w:r w:rsidRPr="00AA064B">
        <w:rPr>
          <w:rFonts w:ascii="Arial" w:hAnsi="Arial"/>
          <w:b/>
          <w:bCs/>
          <w:u w:val="single"/>
          <w:rtl/>
        </w:rPr>
        <w:t>קביעת מתחם העונש ההולם – סיכום</w:t>
      </w:r>
      <w:r w:rsidRPr="00AA064B">
        <w:rPr>
          <w:rFonts w:ascii="Arial" w:hAnsi="Arial"/>
          <w:b/>
          <w:bCs/>
          <w:rtl/>
        </w:rPr>
        <w:t>:</w:t>
      </w:r>
      <w:r w:rsidRPr="00AA064B">
        <w:rPr>
          <w:rFonts w:ascii="Arial" w:hAnsi="Arial"/>
          <w:rtl/>
        </w:rPr>
        <w:t xml:space="preserve"> בנסיבות הנדונות חל </w:t>
      </w:r>
      <w:hyperlink r:id="rId43" w:history="1">
        <w:r w:rsidR="002519E1" w:rsidRPr="002519E1">
          <w:rPr>
            <w:rStyle w:val="Hyperlink"/>
            <w:rFonts w:ascii="Arial" w:hAnsi="Arial"/>
            <w:rtl/>
          </w:rPr>
          <w:t>סעיף 144(ז)</w:t>
        </w:r>
      </w:hyperlink>
      <w:r w:rsidRPr="00AA064B">
        <w:rPr>
          <w:rFonts w:ascii="Arial" w:hAnsi="Arial"/>
          <w:rtl/>
        </w:rPr>
        <w:t xml:space="preserve"> ב</w:t>
      </w:r>
      <w:hyperlink r:id="rId44" w:history="1">
        <w:r w:rsidR="00B57803" w:rsidRPr="00B57803">
          <w:rPr>
            <w:rFonts w:ascii="Arial" w:hAnsi="Arial"/>
            <w:color w:val="0000FF"/>
            <w:u w:val="single"/>
            <w:rtl/>
          </w:rPr>
          <w:t>חוק העונשין</w:t>
        </w:r>
      </w:hyperlink>
      <w:r w:rsidRPr="00AA064B">
        <w:rPr>
          <w:rFonts w:ascii="Arial" w:hAnsi="Arial"/>
          <w:rtl/>
        </w:rPr>
        <w:t xml:space="preserve">, אשר נוסף כהוראת שעה במסגרת תיקון מס' 140 של חוק העונשין (חוק העונשין (תיקון מס' 140 – הוראת שעה), התשפ"ב-2021 (ס"ח 2938, 8.12.2021, עמ' 472)), אשר לפיו במקרה של הרשעה בעבירות שבהן הורשע הנאשם, עונשו </w:t>
      </w:r>
      <w:r w:rsidRPr="00AA064B">
        <w:rPr>
          <w:rFonts w:ascii="Arial" w:hAnsi="Arial"/>
          <w:b/>
          <w:bCs/>
          <w:rtl/>
        </w:rPr>
        <w:t>"לא יפחת... מרבע העונש המרבי שנקבע לאותה עבירה, אלא אם כן החליט בית המשפט, מטעמים מיוחדים שיירשמו, להקל בעונשו; עונש מאסר לפי סעיף זה לא יהיה, בהיעדר טעמים מיוחדים, כולו על-תנאי"</w:t>
      </w:r>
      <w:r w:rsidRPr="00AA064B">
        <w:rPr>
          <w:rFonts w:ascii="Arial" w:hAnsi="Arial"/>
          <w:rtl/>
        </w:rPr>
        <w:t>. לפיכך בנסיבות שבהן נקבע עונש חובה מזערי, יש לשקול זאת גם בעת קביעת מתחם העונש ההולם (</w:t>
      </w:r>
      <w:hyperlink r:id="rId45" w:history="1">
        <w:r w:rsidR="00B57803" w:rsidRPr="00B57803">
          <w:rPr>
            <w:rFonts w:ascii="Arial" w:hAnsi="Arial"/>
            <w:color w:val="0000FF"/>
            <w:u w:val="single"/>
            <w:rtl/>
          </w:rPr>
          <w:t>ע"פ 4876/15</w:t>
        </w:r>
      </w:hyperlink>
      <w:r w:rsidR="00B57803">
        <w:rPr>
          <w:rFonts w:ascii="Arial" w:hAnsi="Arial"/>
          <w:rtl/>
        </w:rPr>
        <w:t xml:space="preserve"> </w:t>
      </w:r>
      <w:r w:rsidRPr="00AA064B">
        <w:rPr>
          <w:rFonts w:ascii="Arial" w:hAnsi="Arial"/>
          <w:b/>
          <w:bCs/>
          <w:rtl/>
        </w:rPr>
        <w:t>פלוני נ' מדינת ישראל</w:t>
      </w:r>
      <w:r w:rsidRPr="00AA064B">
        <w:rPr>
          <w:rFonts w:ascii="Arial" w:hAnsi="Arial"/>
          <w:rtl/>
        </w:rPr>
        <w:t xml:space="preserve"> (3.12.2015)‏‏, כבוד השופט נ' סולברג, פסקאות 36-31; </w:t>
      </w:r>
      <w:hyperlink r:id="rId46" w:history="1">
        <w:r w:rsidR="00B57803" w:rsidRPr="00B57803">
          <w:rPr>
            <w:rFonts w:ascii="Arial" w:hAnsi="Arial"/>
            <w:color w:val="0000FF"/>
            <w:u w:val="single"/>
            <w:rtl/>
          </w:rPr>
          <w:t>ע"פ 1288/17</w:t>
        </w:r>
      </w:hyperlink>
      <w:r w:rsidRPr="00AA064B">
        <w:rPr>
          <w:rFonts w:ascii="Arial" w:hAnsi="Arial"/>
          <w:rtl/>
        </w:rPr>
        <w:t xml:space="preserve"> </w:t>
      </w:r>
      <w:r w:rsidRPr="00AA064B">
        <w:rPr>
          <w:rFonts w:ascii="Arial" w:hAnsi="Arial"/>
          <w:b/>
          <w:bCs/>
          <w:rtl/>
        </w:rPr>
        <w:t>מדינת ישראל נ' שנהר</w:t>
      </w:r>
      <w:r w:rsidR="00B57803">
        <w:rPr>
          <w:rFonts w:ascii="Arial" w:hAnsi="Arial"/>
          <w:rtl/>
        </w:rPr>
        <w:t xml:space="preserve"> </w:t>
      </w:r>
      <w:r w:rsidRPr="00AA064B">
        <w:rPr>
          <w:rFonts w:ascii="Arial" w:hAnsi="Arial"/>
          <w:rtl/>
        </w:rPr>
        <w:t>(3.10.2017)‏‏, כבוד השופט א' שהם, פסקה 23).</w:t>
      </w:r>
    </w:p>
    <w:p w14:paraId="31D12823" w14:textId="77777777" w:rsidR="00355BC6" w:rsidRPr="00AA064B" w:rsidRDefault="00355BC6" w:rsidP="00355BC6">
      <w:pPr>
        <w:spacing w:line="360" w:lineRule="auto"/>
        <w:jc w:val="both"/>
        <w:rPr>
          <w:rFonts w:ascii="Arial" w:hAnsi="Arial"/>
          <w:rtl/>
        </w:rPr>
      </w:pPr>
    </w:p>
    <w:p w14:paraId="3FFD9850" w14:textId="77777777" w:rsidR="00355BC6" w:rsidRPr="00AA064B" w:rsidRDefault="00355BC6" w:rsidP="00355BC6">
      <w:pPr>
        <w:spacing w:line="360" w:lineRule="auto"/>
        <w:jc w:val="both"/>
        <w:rPr>
          <w:rFonts w:ascii="Arial" w:hAnsi="Arial"/>
          <w:rtl/>
        </w:rPr>
      </w:pPr>
      <w:r w:rsidRPr="00AA064B">
        <w:rPr>
          <w:rFonts w:ascii="Arial" w:hAnsi="Arial"/>
          <w:rtl/>
        </w:rPr>
        <w:t xml:space="preserve">עם זאת, הוראת </w:t>
      </w:r>
      <w:hyperlink r:id="rId47" w:history="1">
        <w:r w:rsidR="002519E1" w:rsidRPr="002519E1">
          <w:rPr>
            <w:rStyle w:val="Hyperlink"/>
            <w:rFonts w:ascii="Arial" w:hAnsi="Arial"/>
            <w:rtl/>
          </w:rPr>
          <w:t>סעיף 144(ז)</w:t>
        </w:r>
      </w:hyperlink>
      <w:r w:rsidRPr="00AA064B">
        <w:rPr>
          <w:rFonts w:ascii="Arial" w:hAnsi="Arial"/>
          <w:rtl/>
        </w:rPr>
        <w:t xml:space="preserve"> אינה שוללת את האפשרות שחלקו של עונש מאסר החובה ייקבע כמאסר מותנה. שכן, </w:t>
      </w:r>
      <w:r w:rsidRPr="00AA064B">
        <w:rPr>
          <w:rFonts w:ascii="Arial" w:hAnsi="Arial"/>
          <w:b/>
          <w:bCs/>
          <w:rtl/>
        </w:rPr>
        <w:t>"טעמים מיוחדים"</w:t>
      </w:r>
      <w:r w:rsidRPr="00AA064B">
        <w:rPr>
          <w:rFonts w:ascii="Arial" w:hAnsi="Arial"/>
          <w:rtl/>
        </w:rPr>
        <w:t xml:space="preserve"> נדרשים רק אם כל העונש המזערי נקבע כמאסר מותנה.</w:t>
      </w:r>
    </w:p>
    <w:p w14:paraId="7EC9077B" w14:textId="77777777" w:rsidR="00355BC6" w:rsidRPr="00AA064B" w:rsidRDefault="00355BC6" w:rsidP="00355BC6">
      <w:pPr>
        <w:spacing w:line="360" w:lineRule="auto"/>
        <w:jc w:val="both"/>
        <w:rPr>
          <w:rFonts w:ascii="Arial" w:hAnsi="Arial"/>
          <w:rtl/>
        </w:rPr>
      </w:pPr>
    </w:p>
    <w:p w14:paraId="0130F266" w14:textId="77777777" w:rsidR="00355BC6" w:rsidRPr="00AA064B" w:rsidRDefault="00355BC6" w:rsidP="00355BC6">
      <w:pPr>
        <w:spacing w:line="360" w:lineRule="auto"/>
        <w:jc w:val="both"/>
        <w:rPr>
          <w:rFonts w:ascii="Arial" w:hAnsi="Arial"/>
          <w:rtl/>
        </w:rPr>
      </w:pPr>
      <w:r w:rsidRPr="00AA064B">
        <w:rPr>
          <w:rFonts w:ascii="Arial" w:hAnsi="Arial"/>
          <w:rtl/>
        </w:rPr>
        <w:t xml:space="preserve">לנוכח האמור ובהתאם לעיקרון ההלימה, תוך התחשבות בערכים החברתיים שנפגעו ממעשה העבירה, במידת הפגיעה בהם, במדיניות הענישה הנהוגה, המבטאת החמרה בענישת עוברי עבירות נשק, ובנסיבות שבהן נעברה העבירה, כפי שכל אלו פורטו לעיל, מתחם העונש ההולם במקרה הנדון הוא </w:t>
      </w:r>
      <w:r w:rsidRPr="00AA064B">
        <w:rPr>
          <w:rFonts w:ascii="Arial" w:hAnsi="Arial"/>
          <w:b/>
          <w:bCs/>
          <w:rtl/>
        </w:rPr>
        <w:t>בין עשרים ואחד חודשי מאסר, חלקם מאסר בפועל וחלקם מאסר מותנה לבין עשרים וארבעה חודשי מאסר, כולם בפועל.</w:t>
      </w:r>
    </w:p>
    <w:p w14:paraId="4DCFD825" w14:textId="77777777" w:rsidR="00355BC6" w:rsidRPr="00AA064B" w:rsidRDefault="00355BC6" w:rsidP="00355BC6">
      <w:pPr>
        <w:spacing w:line="360" w:lineRule="auto"/>
        <w:jc w:val="both"/>
        <w:rPr>
          <w:rFonts w:ascii="Arial" w:hAnsi="Arial"/>
          <w:rtl/>
        </w:rPr>
      </w:pPr>
    </w:p>
    <w:p w14:paraId="39A3D9E9" w14:textId="77777777" w:rsidR="00355BC6" w:rsidRPr="00AA064B" w:rsidRDefault="00355BC6" w:rsidP="00355BC6">
      <w:pPr>
        <w:spacing w:line="360" w:lineRule="auto"/>
        <w:jc w:val="both"/>
        <w:rPr>
          <w:rFonts w:ascii="Arial" w:hAnsi="Arial"/>
          <w:u w:val="single"/>
          <w:rtl/>
        </w:rPr>
      </w:pPr>
      <w:r w:rsidRPr="00AA064B">
        <w:rPr>
          <w:rFonts w:ascii="Arial" w:hAnsi="Arial"/>
          <w:b/>
          <w:bCs/>
          <w:u w:val="single"/>
          <w:rtl/>
        </w:rPr>
        <w:t>גזירת עונשו של הנאשם</w:t>
      </w:r>
      <w:r w:rsidRPr="00AA064B">
        <w:rPr>
          <w:rFonts w:ascii="Arial" w:hAnsi="Arial"/>
          <w:rtl/>
        </w:rPr>
        <w:t xml:space="preserve">  </w:t>
      </w:r>
    </w:p>
    <w:p w14:paraId="5DEB961C" w14:textId="77777777" w:rsidR="00355BC6" w:rsidRPr="00F236A8" w:rsidRDefault="00355BC6" w:rsidP="00355BC6">
      <w:pPr>
        <w:spacing w:line="360" w:lineRule="auto"/>
        <w:jc w:val="both"/>
        <w:rPr>
          <w:rFonts w:ascii="Arial" w:hAnsi="Arial"/>
          <w:sz w:val="16"/>
          <w:szCs w:val="16"/>
          <w:u w:val="single"/>
          <w:rtl/>
        </w:rPr>
      </w:pPr>
    </w:p>
    <w:p w14:paraId="31EAA18A" w14:textId="77777777" w:rsidR="00355BC6" w:rsidRPr="00AA064B" w:rsidRDefault="00355BC6" w:rsidP="00355BC6">
      <w:pPr>
        <w:spacing w:line="360" w:lineRule="auto"/>
        <w:jc w:val="both"/>
        <w:rPr>
          <w:rFonts w:ascii="Arial" w:hAnsi="Arial"/>
          <w:rtl/>
        </w:rPr>
      </w:pPr>
      <w:r w:rsidRPr="00AA064B">
        <w:rPr>
          <w:rFonts w:ascii="Arial" w:hAnsi="Arial"/>
          <w:rtl/>
        </w:rPr>
        <w:t>12.</w:t>
      </w:r>
      <w:r w:rsidRPr="00AA064B">
        <w:rPr>
          <w:rFonts w:ascii="Arial" w:hAnsi="Arial"/>
          <w:rtl/>
        </w:rPr>
        <w:tab/>
      </w:r>
      <w:r w:rsidRPr="00AA064B">
        <w:rPr>
          <w:rFonts w:ascii="Arial" w:hAnsi="Arial"/>
          <w:b/>
          <w:bCs/>
          <w:u w:val="single"/>
          <w:rtl/>
        </w:rPr>
        <w:t>נסיבותיו של הנאשם</w:t>
      </w:r>
      <w:r w:rsidRPr="00AA064B">
        <w:rPr>
          <w:rFonts w:ascii="Arial" w:hAnsi="Arial"/>
          <w:b/>
          <w:bCs/>
          <w:rtl/>
        </w:rPr>
        <w:t>:</w:t>
      </w:r>
      <w:r w:rsidRPr="00AA064B">
        <w:rPr>
          <w:rFonts w:ascii="Arial" w:hAnsi="Arial"/>
          <w:rtl/>
        </w:rPr>
        <w:t xml:space="preserve"> נסיבותיו של הנאשם אשר אינן קשורות במעשיי העבירות ואשר נשקלו הן העובדה שהוא כבן 37, נשוי ואב לארבעה ילדים קטינים. הוא נעדר הרשעות קודמות ועד העבירות הנדונות ניהל אורח חיים תקין ונורמטיבי ובכלל זה עבד כטכנאי מלגזות וכן היה מורה לאומנות ולריקוד. בנסיבות אלו ניתן משקל גם לעובדה שעונש מאסר עשוי להוסיף ולפגוע בפרנסת משפחתו, אשר נפגעה בשל התקופה הממושכת שבה לא עבד בשל מעצרו, מעצרו בפיקוח ומעצר הבית. כן נשקלה גם עצם שהייתו הממושכת במעצר, במעצר בפיקוח ובמעצר בית. בהקשר זה גם ניתן משקל לקשיים הנעוצים מעצם הצורך לשוב למאסר, לאחר השחרור מהמעצר.</w:t>
      </w:r>
    </w:p>
    <w:p w14:paraId="1143FE28" w14:textId="77777777" w:rsidR="00355BC6" w:rsidRPr="00AA064B" w:rsidRDefault="00355BC6" w:rsidP="00355BC6">
      <w:pPr>
        <w:spacing w:line="360" w:lineRule="auto"/>
        <w:jc w:val="both"/>
        <w:rPr>
          <w:rFonts w:ascii="Arial" w:hAnsi="Arial"/>
          <w:rtl/>
        </w:rPr>
      </w:pPr>
    </w:p>
    <w:p w14:paraId="787A01E5" w14:textId="77777777" w:rsidR="00355BC6" w:rsidRPr="00AA064B" w:rsidRDefault="00355BC6" w:rsidP="00355BC6">
      <w:pPr>
        <w:spacing w:line="360" w:lineRule="auto"/>
        <w:jc w:val="both"/>
        <w:rPr>
          <w:rFonts w:ascii="Arial" w:hAnsi="Arial"/>
          <w:rtl/>
        </w:rPr>
      </w:pPr>
      <w:r w:rsidRPr="00AA064B">
        <w:rPr>
          <w:rFonts w:ascii="Arial" w:hAnsi="Arial"/>
          <w:rtl/>
        </w:rPr>
        <w:t>לזכות הנאשם נזקפה גם הודאתו בעבירות, הצער והחרטה הכנים שהביע בבית המשפט, בעצמו ובאמצעות בא-כוחו, וכן העובדה שניכר מדבריו כי אמנם הפיק את הלקחים מהמעשים, הפנים את חומרתם ואף התחייב שלא לעבור עוד עבירות.</w:t>
      </w:r>
    </w:p>
    <w:p w14:paraId="7BA7A553" w14:textId="77777777" w:rsidR="00355BC6" w:rsidRPr="00AA064B" w:rsidRDefault="00355BC6" w:rsidP="00355BC6">
      <w:pPr>
        <w:spacing w:line="360" w:lineRule="auto"/>
        <w:jc w:val="both"/>
        <w:rPr>
          <w:rFonts w:ascii="Arial" w:hAnsi="Arial"/>
          <w:rtl/>
        </w:rPr>
      </w:pPr>
    </w:p>
    <w:p w14:paraId="697E5A29" w14:textId="77777777" w:rsidR="00355BC6" w:rsidRPr="00AA064B" w:rsidRDefault="00355BC6" w:rsidP="00355BC6">
      <w:pPr>
        <w:spacing w:line="360" w:lineRule="auto"/>
        <w:jc w:val="both"/>
        <w:rPr>
          <w:rFonts w:ascii="Arial" w:hAnsi="Arial"/>
          <w:rtl/>
        </w:rPr>
      </w:pPr>
      <w:r w:rsidRPr="00AA064B">
        <w:rPr>
          <w:rFonts w:ascii="Arial" w:hAnsi="Arial"/>
          <w:rtl/>
        </w:rPr>
        <w:t>13.</w:t>
      </w:r>
      <w:r w:rsidRPr="00AA064B">
        <w:rPr>
          <w:rFonts w:ascii="Arial" w:hAnsi="Arial"/>
          <w:rtl/>
        </w:rPr>
        <w:tab/>
      </w:r>
      <w:r w:rsidRPr="00AA064B">
        <w:rPr>
          <w:rFonts w:ascii="Arial" w:hAnsi="Arial"/>
          <w:b/>
          <w:bCs/>
          <w:u w:val="single"/>
          <w:rtl/>
        </w:rPr>
        <w:t>גזירת עונשו של הנאשם</w:t>
      </w:r>
      <w:r w:rsidRPr="00AA064B">
        <w:rPr>
          <w:rFonts w:ascii="Arial" w:hAnsi="Arial"/>
          <w:b/>
          <w:bCs/>
          <w:rtl/>
        </w:rPr>
        <w:t>:</w:t>
      </w:r>
      <w:r w:rsidRPr="00AA064B">
        <w:rPr>
          <w:rFonts w:ascii="Arial" w:hAnsi="Arial"/>
          <w:rtl/>
        </w:rPr>
        <w:t xml:space="preserve"> איזון כל השיקולים האמורים, תוך שקילת עמדת המאשימה וטענותיו של בא-כוח הנאשם, מוביל להעמדת עונש המאסר שיושת הנאשם בתחתית מתחם העונש ההולם, זאת לצד מאסר מותנה שישמש גורם מרתיע מפני חזרה על העבירות שבהן הורשע.</w:t>
      </w:r>
    </w:p>
    <w:p w14:paraId="2F55BE39" w14:textId="77777777" w:rsidR="00355BC6" w:rsidRPr="00AA064B" w:rsidRDefault="00355BC6" w:rsidP="00355BC6">
      <w:pPr>
        <w:spacing w:line="360" w:lineRule="auto"/>
        <w:jc w:val="both"/>
        <w:rPr>
          <w:rFonts w:ascii="Arial" w:hAnsi="Arial"/>
          <w:rtl/>
        </w:rPr>
      </w:pPr>
    </w:p>
    <w:p w14:paraId="076F56B2" w14:textId="77777777" w:rsidR="00355BC6" w:rsidRPr="00AA064B" w:rsidRDefault="00355BC6" w:rsidP="00355BC6">
      <w:pPr>
        <w:spacing w:line="360" w:lineRule="auto"/>
        <w:jc w:val="both"/>
        <w:rPr>
          <w:rFonts w:ascii="Arial" w:hAnsi="Arial"/>
          <w:rtl/>
        </w:rPr>
      </w:pPr>
      <w:r w:rsidRPr="00AA064B">
        <w:rPr>
          <w:rFonts w:ascii="Arial" w:hAnsi="Arial"/>
          <w:rtl/>
        </w:rPr>
        <w:t xml:space="preserve">כאמור לעיל, אין מניעה כי העונש המזערי שחובה להשית בהתאם להוראת </w:t>
      </w:r>
      <w:hyperlink r:id="rId48" w:history="1">
        <w:r w:rsidR="002519E1" w:rsidRPr="002519E1">
          <w:rPr>
            <w:rStyle w:val="Hyperlink"/>
            <w:rFonts w:ascii="Arial" w:hAnsi="Arial"/>
            <w:rtl/>
          </w:rPr>
          <w:t>סעיף 144(ז)</w:t>
        </w:r>
      </w:hyperlink>
      <w:r w:rsidRPr="00AA064B">
        <w:rPr>
          <w:rFonts w:ascii="Arial" w:hAnsi="Arial"/>
          <w:rtl/>
        </w:rPr>
        <w:t xml:space="preserve"> בחוק יושת כך שחלקו יהיה מאסר בפועל וחלקו יהיה מאסר מותנה. בנסיבות הנדונות לא נמצאה הצדקה להשתת מלוא העונש המזערי כמאסר בפועל, וזאת בין השאר, לנוכח מהות העבירה, העובדה שדובר באירוע אחד וכן בהתחשב במדיניות הענישה הנהוגה, לרבות זו המחמירה מהעת האחרונה. </w:t>
      </w:r>
    </w:p>
    <w:p w14:paraId="555D90CD" w14:textId="77777777" w:rsidR="00355BC6" w:rsidRPr="00AA064B" w:rsidRDefault="00355BC6" w:rsidP="00355BC6">
      <w:pPr>
        <w:spacing w:line="360" w:lineRule="auto"/>
        <w:jc w:val="both"/>
        <w:rPr>
          <w:rFonts w:ascii="Arial" w:hAnsi="Arial"/>
          <w:rtl/>
        </w:rPr>
      </w:pPr>
    </w:p>
    <w:p w14:paraId="0188F3C6" w14:textId="77777777" w:rsidR="00355BC6" w:rsidRPr="00AA064B" w:rsidRDefault="00355BC6" w:rsidP="00355BC6">
      <w:pPr>
        <w:spacing w:line="360" w:lineRule="auto"/>
        <w:jc w:val="both"/>
        <w:rPr>
          <w:rFonts w:ascii="Arial" w:hAnsi="Arial"/>
          <w:rtl/>
        </w:rPr>
      </w:pPr>
      <w:r w:rsidRPr="00AA064B">
        <w:rPr>
          <w:rFonts w:ascii="Arial" w:hAnsi="Arial"/>
          <w:rtl/>
        </w:rPr>
        <w:t xml:space="preserve">לבסוף, בנסיבות הנדונות לא נמצאו שיקולי שיקום המצדיקים חריגה ממתחם העונש, אולם לנוכח חומרת עבירות הנשק, נפיצותן, והעובדה שהפכו ל"מכת מדינה" שתוצאותיהן קשות וחמורות, נשקלו שיקולי גם שיקולי הרתעת הרבים (על-פי </w:t>
      </w:r>
      <w:hyperlink r:id="rId49" w:history="1">
        <w:r w:rsidR="002519E1" w:rsidRPr="002519E1">
          <w:rPr>
            <w:rStyle w:val="Hyperlink"/>
            <w:rFonts w:ascii="Arial" w:hAnsi="Arial"/>
            <w:rtl/>
          </w:rPr>
          <w:t>סעיף 40ז</w:t>
        </w:r>
      </w:hyperlink>
      <w:r w:rsidRPr="00AA064B">
        <w:rPr>
          <w:rFonts w:ascii="Arial" w:hAnsi="Arial"/>
          <w:rtl/>
        </w:rPr>
        <w:t xml:space="preserve"> בחוק). אף ניתן משקל גם לצורך בהרתעתו האישית של הנאשם (על-פי </w:t>
      </w:r>
      <w:hyperlink r:id="rId50" w:history="1">
        <w:r w:rsidR="002519E1" w:rsidRPr="002519E1">
          <w:rPr>
            <w:rStyle w:val="Hyperlink"/>
            <w:rFonts w:ascii="Arial" w:hAnsi="Arial"/>
            <w:rtl/>
          </w:rPr>
          <w:t>סעיף 40ו</w:t>
        </w:r>
      </w:hyperlink>
      <w:r w:rsidRPr="00AA064B">
        <w:rPr>
          <w:rFonts w:ascii="Arial" w:hAnsi="Arial"/>
          <w:rtl/>
        </w:rPr>
        <w:t xml:space="preserve"> בחוק), אף כי דומה שהנאשם בהחלט מורתע וכי יש יסוד להנחה שאמנם, כפי שהתחייב, לא ישוב לעבור את העבירות שבהן הורשע עתה.</w:t>
      </w:r>
    </w:p>
    <w:p w14:paraId="7DFCAA99" w14:textId="77777777" w:rsidR="00355BC6" w:rsidRPr="00AA064B" w:rsidRDefault="00355BC6" w:rsidP="00355BC6">
      <w:pPr>
        <w:spacing w:line="360" w:lineRule="auto"/>
        <w:jc w:val="both"/>
        <w:rPr>
          <w:rFonts w:ascii="Arial" w:hAnsi="Arial"/>
          <w:rtl/>
        </w:rPr>
      </w:pPr>
    </w:p>
    <w:p w14:paraId="6129AE36" w14:textId="77777777" w:rsidR="00355BC6" w:rsidRPr="00AA064B" w:rsidRDefault="00355BC6" w:rsidP="00355BC6">
      <w:pPr>
        <w:spacing w:line="360" w:lineRule="auto"/>
        <w:jc w:val="both"/>
        <w:rPr>
          <w:rFonts w:ascii="Arial" w:hAnsi="Arial"/>
          <w:rtl/>
        </w:rPr>
      </w:pPr>
      <w:r w:rsidRPr="00AA064B">
        <w:rPr>
          <w:rFonts w:ascii="Arial" w:hAnsi="Arial"/>
          <w:rtl/>
        </w:rPr>
        <w:t>14.</w:t>
      </w:r>
      <w:r w:rsidRPr="00AA064B">
        <w:rPr>
          <w:rFonts w:ascii="Arial" w:hAnsi="Arial"/>
          <w:rtl/>
        </w:rPr>
        <w:tab/>
      </w:r>
      <w:r w:rsidRPr="00AA064B">
        <w:rPr>
          <w:rFonts w:ascii="Arial" w:hAnsi="Arial"/>
          <w:b/>
          <w:bCs/>
          <w:u w:val="single"/>
          <w:rtl/>
        </w:rPr>
        <w:t>בעניין הקנס ובעניין בקשת החילוט</w:t>
      </w:r>
      <w:r w:rsidRPr="00AA064B">
        <w:rPr>
          <w:rFonts w:ascii="Arial" w:hAnsi="Arial"/>
          <w:b/>
          <w:bCs/>
          <w:rtl/>
        </w:rPr>
        <w:t>:</w:t>
      </w:r>
      <w:r w:rsidRPr="00AA064B">
        <w:rPr>
          <w:rFonts w:ascii="Arial" w:hAnsi="Arial"/>
          <w:rtl/>
        </w:rPr>
        <w:t xml:space="preserve"> לנוכח הסכמת המאשימה להשיב לנאשם את הרכב, נראה כי יהיה זה נכון לאמץ את הצעת בא-כוח הנאשם שלפיה יחולט סך 5,000 ₪ שהפקיד הנאשם כנגד השבת הרכב לידיו. דומה כי בנסיבות הנדונות די בכך וכי לא נדרש גם חילוט הרכב (שעל-פי </w:t>
      </w:r>
      <w:bookmarkStart w:id="8" w:name="Nitan"/>
      <w:r w:rsidRPr="00AA064B">
        <w:rPr>
          <w:rFonts w:ascii="Arial" w:hAnsi="Arial"/>
          <w:rtl/>
        </w:rPr>
        <w:t xml:space="preserve">הנטען, שוויו נמוך ומגיע לסך כ-13,000 ₪). נראה אם כן, כי ניתן להסתפק בכך וכי לא נדרשת גם </w:t>
      </w:r>
      <w:bookmarkEnd w:id="8"/>
      <w:r w:rsidRPr="00AA064B">
        <w:rPr>
          <w:rFonts w:ascii="Arial" w:hAnsi="Arial"/>
          <w:rtl/>
        </w:rPr>
        <w:t>השתת קנס כספי.</w:t>
      </w:r>
    </w:p>
    <w:p w14:paraId="170D31F3" w14:textId="77777777" w:rsidR="00355BC6" w:rsidRPr="00AA064B" w:rsidRDefault="00355BC6" w:rsidP="00355BC6">
      <w:pPr>
        <w:spacing w:line="360" w:lineRule="auto"/>
        <w:jc w:val="both"/>
        <w:rPr>
          <w:rFonts w:ascii="Arial" w:hAnsi="Arial"/>
          <w:rtl/>
        </w:rPr>
      </w:pPr>
      <w:r w:rsidRPr="00AA064B">
        <w:rPr>
          <w:rFonts w:ascii="Arial" w:hAnsi="Arial"/>
          <w:rtl/>
        </w:rPr>
        <w:t xml:space="preserve"> </w:t>
      </w:r>
    </w:p>
    <w:p w14:paraId="7041F311" w14:textId="77777777" w:rsidR="00355BC6" w:rsidRPr="00AA064B" w:rsidRDefault="00355BC6" w:rsidP="00355BC6">
      <w:pPr>
        <w:spacing w:line="360" w:lineRule="auto"/>
        <w:jc w:val="both"/>
        <w:rPr>
          <w:rFonts w:ascii="Arial" w:hAnsi="Arial"/>
          <w:rtl/>
        </w:rPr>
      </w:pPr>
      <w:r w:rsidRPr="00AA064B">
        <w:rPr>
          <w:rFonts w:ascii="Arial" w:hAnsi="Arial"/>
          <w:b/>
          <w:bCs/>
          <w:u w:val="single"/>
          <w:rtl/>
        </w:rPr>
        <w:t>גזר הדין – סיכום</w:t>
      </w:r>
    </w:p>
    <w:p w14:paraId="2D16D16E" w14:textId="77777777" w:rsidR="00355BC6" w:rsidRPr="00F236A8" w:rsidRDefault="00355BC6" w:rsidP="00355BC6">
      <w:pPr>
        <w:spacing w:line="360" w:lineRule="auto"/>
        <w:jc w:val="both"/>
        <w:rPr>
          <w:rFonts w:ascii="Arial" w:hAnsi="Arial"/>
          <w:sz w:val="16"/>
          <w:szCs w:val="16"/>
          <w:rtl/>
        </w:rPr>
      </w:pPr>
    </w:p>
    <w:p w14:paraId="5F6D4559" w14:textId="77777777" w:rsidR="00355BC6" w:rsidRPr="00AA064B" w:rsidRDefault="00355BC6" w:rsidP="00355BC6">
      <w:pPr>
        <w:spacing w:line="360" w:lineRule="auto"/>
        <w:jc w:val="both"/>
        <w:rPr>
          <w:rFonts w:ascii="Arial" w:hAnsi="Arial"/>
          <w:rtl/>
        </w:rPr>
      </w:pPr>
      <w:r w:rsidRPr="00AA064B">
        <w:rPr>
          <w:rFonts w:ascii="Arial" w:hAnsi="Arial"/>
          <w:rtl/>
        </w:rPr>
        <w:t>15.</w:t>
      </w:r>
      <w:r w:rsidRPr="00AA064B">
        <w:rPr>
          <w:rFonts w:ascii="Arial" w:hAnsi="Arial"/>
          <w:rtl/>
        </w:rPr>
        <w:tab/>
        <w:t>לנוכח כל השיקולים שהובאו לעיל, על הנאשם נגזרים העונשים הבאים:</w:t>
      </w:r>
    </w:p>
    <w:p w14:paraId="7E0A3FBE" w14:textId="77777777" w:rsidR="00355BC6" w:rsidRPr="00AA064B" w:rsidRDefault="00355BC6" w:rsidP="00355BC6">
      <w:pPr>
        <w:spacing w:line="360" w:lineRule="auto"/>
        <w:jc w:val="both"/>
        <w:rPr>
          <w:rFonts w:ascii="Arial" w:hAnsi="Arial"/>
          <w:rtl/>
        </w:rPr>
      </w:pPr>
    </w:p>
    <w:p w14:paraId="6A3C691C" w14:textId="77777777" w:rsidR="00355BC6" w:rsidRPr="00AA064B" w:rsidRDefault="00355BC6" w:rsidP="00355BC6">
      <w:pPr>
        <w:spacing w:line="360" w:lineRule="auto"/>
        <w:ind w:left="1440" w:hanging="720"/>
        <w:jc w:val="both"/>
        <w:rPr>
          <w:rFonts w:ascii="Arial" w:hAnsi="Arial"/>
          <w:rtl/>
        </w:rPr>
      </w:pPr>
      <w:r w:rsidRPr="00AA064B">
        <w:rPr>
          <w:rFonts w:ascii="Arial" w:hAnsi="Arial"/>
          <w:rtl/>
        </w:rPr>
        <w:t>א.</w:t>
      </w:r>
      <w:r w:rsidRPr="00AA064B">
        <w:rPr>
          <w:rFonts w:ascii="Arial" w:hAnsi="Arial"/>
          <w:rtl/>
        </w:rPr>
        <w:tab/>
      </w:r>
      <w:r w:rsidRPr="00AA064B">
        <w:rPr>
          <w:rFonts w:ascii="Arial" w:hAnsi="Arial"/>
          <w:b/>
          <w:bCs/>
          <w:rtl/>
        </w:rPr>
        <w:t>מאסר בפועל למשך שניים-עשר חודש,</w:t>
      </w:r>
      <w:r w:rsidRPr="00AA064B">
        <w:rPr>
          <w:rFonts w:ascii="Arial" w:hAnsi="Arial"/>
          <w:rtl/>
        </w:rPr>
        <w:t xml:space="preserve"> בניכוי ימי מעצרו מיום 7.7.2022 עד יום 23.11.2022. במקרה של סתירה לרישומי שב"ס, יש לפעול על-פי רישומי שב"ס.</w:t>
      </w:r>
    </w:p>
    <w:p w14:paraId="2A995893" w14:textId="77777777" w:rsidR="00355BC6" w:rsidRPr="00AA064B" w:rsidRDefault="00355BC6" w:rsidP="00355BC6">
      <w:pPr>
        <w:spacing w:line="360" w:lineRule="auto"/>
        <w:ind w:left="1440" w:hanging="1440"/>
        <w:jc w:val="both"/>
        <w:rPr>
          <w:rFonts w:ascii="Arial" w:hAnsi="Arial"/>
          <w:rtl/>
        </w:rPr>
      </w:pPr>
    </w:p>
    <w:p w14:paraId="57E7CD7A" w14:textId="77777777" w:rsidR="00355BC6" w:rsidRPr="00AA064B" w:rsidRDefault="00355BC6" w:rsidP="00355BC6">
      <w:pPr>
        <w:spacing w:line="360" w:lineRule="auto"/>
        <w:ind w:left="1440" w:hanging="720"/>
        <w:jc w:val="both"/>
        <w:rPr>
          <w:rFonts w:ascii="Arial" w:hAnsi="Arial"/>
          <w:rtl/>
        </w:rPr>
      </w:pPr>
      <w:r w:rsidRPr="00AA064B">
        <w:rPr>
          <w:rFonts w:ascii="Arial" w:hAnsi="Arial"/>
          <w:rtl/>
        </w:rPr>
        <w:t>ב.</w:t>
      </w:r>
      <w:r w:rsidRPr="00AA064B">
        <w:rPr>
          <w:rFonts w:ascii="Arial" w:hAnsi="Arial"/>
          <w:rtl/>
        </w:rPr>
        <w:tab/>
      </w:r>
      <w:r w:rsidRPr="00AA064B">
        <w:rPr>
          <w:rFonts w:ascii="Arial" w:hAnsi="Arial"/>
          <w:b/>
          <w:bCs/>
          <w:rtl/>
        </w:rPr>
        <w:t>מאסר מותנה למשך תשעה חודשים.</w:t>
      </w:r>
      <w:r w:rsidRPr="00AA064B">
        <w:rPr>
          <w:rFonts w:ascii="Arial" w:hAnsi="Arial"/>
          <w:rtl/>
        </w:rPr>
        <w:t xml:space="preserve"> הנאשם יישא עונש זה אם תוך שלוש שנים מיום שחרורו מן המאסר יעבור עבירת נשק או ניסיון לעבור עבירה כאמור.</w:t>
      </w:r>
    </w:p>
    <w:p w14:paraId="72C2A57F" w14:textId="77777777" w:rsidR="00355BC6" w:rsidRPr="00AA064B" w:rsidRDefault="00355BC6" w:rsidP="00355BC6">
      <w:pPr>
        <w:spacing w:line="360" w:lineRule="auto"/>
        <w:ind w:left="1440" w:hanging="1440"/>
        <w:jc w:val="both"/>
        <w:rPr>
          <w:rFonts w:ascii="Arial" w:hAnsi="Arial"/>
          <w:rtl/>
        </w:rPr>
      </w:pPr>
    </w:p>
    <w:p w14:paraId="3053F3B8" w14:textId="77777777" w:rsidR="00355BC6" w:rsidRPr="00AA064B" w:rsidRDefault="00355BC6" w:rsidP="00355BC6">
      <w:pPr>
        <w:spacing w:line="360" w:lineRule="auto"/>
        <w:ind w:left="1440" w:hanging="720"/>
        <w:jc w:val="both"/>
        <w:rPr>
          <w:rFonts w:ascii="Arial" w:hAnsi="Arial"/>
          <w:rtl/>
        </w:rPr>
      </w:pPr>
      <w:r>
        <w:rPr>
          <w:rFonts w:ascii="Arial" w:hAnsi="Arial" w:hint="cs"/>
          <w:rtl/>
        </w:rPr>
        <w:t>ג</w:t>
      </w:r>
      <w:r w:rsidRPr="00AA064B">
        <w:rPr>
          <w:rFonts w:ascii="Arial" w:hAnsi="Arial"/>
          <w:rtl/>
        </w:rPr>
        <w:t>.</w:t>
      </w:r>
      <w:r w:rsidRPr="00AA064B">
        <w:rPr>
          <w:rFonts w:ascii="Arial" w:hAnsi="Arial"/>
          <w:rtl/>
        </w:rPr>
        <w:tab/>
      </w:r>
      <w:r w:rsidRPr="00AA064B">
        <w:rPr>
          <w:rFonts w:ascii="Arial" w:hAnsi="Arial"/>
          <w:b/>
          <w:bCs/>
          <w:rtl/>
        </w:rPr>
        <w:t>חילוט סך 5,000 ₪ שהפקיד הנאשם כנגד החזרת רכבו</w:t>
      </w:r>
      <w:r w:rsidRPr="00AA064B">
        <w:rPr>
          <w:rFonts w:ascii="Arial" w:hAnsi="Arial"/>
          <w:rtl/>
        </w:rPr>
        <w:t xml:space="preserve"> (ההפקדה היא בתיק </w:t>
      </w:r>
      <w:hyperlink r:id="rId51" w:history="1">
        <w:r w:rsidR="00B57803" w:rsidRPr="00B57803">
          <w:rPr>
            <w:rFonts w:ascii="Arial" w:hAnsi="Arial"/>
            <w:color w:val="0000FF"/>
            <w:u w:val="single"/>
            <w:rtl/>
          </w:rPr>
          <w:t>ה"ת (מחוזי ירושלים) 16389-11-22</w:t>
        </w:r>
      </w:hyperlink>
      <w:r w:rsidRPr="00AA064B">
        <w:rPr>
          <w:rFonts w:ascii="Arial" w:hAnsi="Arial"/>
          <w:rtl/>
        </w:rPr>
        <w:t>).</w:t>
      </w:r>
    </w:p>
    <w:p w14:paraId="1FB9B9FB" w14:textId="77777777" w:rsidR="00355BC6" w:rsidRPr="00AA064B" w:rsidRDefault="00355BC6" w:rsidP="00355BC6">
      <w:pPr>
        <w:spacing w:line="360" w:lineRule="auto"/>
        <w:jc w:val="both"/>
        <w:rPr>
          <w:rFonts w:ascii="Arial" w:hAnsi="Arial"/>
          <w:rtl/>
        </w:rPr>
      </w:pPr>
    </w:p>
    <w:p w14:paraId="33208762" w14:textId="77777777" w:rsidR="00355BC6" w:rsidRPr="00AA064B" w:rsidRDefault="00355BC6" w:rsidP="00355BC6">
      <w:pPr>
        <w:spacing w:line="360" w:lineRule="auto"/>
        <w:jc w:val="both"/>
        <w:rPr>
          <w:rFonts w:ascii="Arial" w:hAnsi="Arial"/>
          <w:rtl/>
        </w:rPr>
      </w:pPr>
      <w:r w:rsidRPr="00AA064B">
        <w:rPr>
          <w:rFonts w:ascii="Arial" w:hAnsi="Arial"/>
          <w:rtl/>
        </w:rPr>
        <w:t>הנאשם יתייצב למאסרו</w:t>
      </w:r>
      <w:r w:rsidR="00B57803">
        <w:rPr>
          <w:rFonts w:ascii="Arial" w:hAnsi="Arial"/>
          <w:rtl/>
        </w:rPr>
        <w:t xml:space="preserve">  </w:t>
      </w:r>
      <w:r w:rsidRPr="00AA064B">
        <w:rPr>
          <w:rFonts w:ascii="Arial" w:hAnsi="Arial"/>
          <w:rtl/>
        </w:rPr>
        <w:t xml:space="preserve">בבית המעצר ניצן, </w:t>
      </w:r>
      <w:r w:rsidRPr="00AA064B">
        <w:rPr>
          <w:rFonts w:ascii="Arial" w:hAnsi="Arial"/>
          <w:b/>
          <w:bCs/>
          <w:rtl/>
        </w:rPr>
        <w:t>ביום 10.7.2023 עד השעה 10:00</w:t>
      </w:r>
      <w:r w:rsidRPr="00AA064B">
        <w:rPr>
          <w:rFonts w:ascii="Arial" w:hAnsi="Arial"/>
          <w:rtl/>
        </w:rPr>
        <w:t xml:space="preserve">, או במקום אחר על פי החלטת שירות בתי הסוהר, כשברשותו תעודת זהות, או דרכון ועותק מגזר-הדין. </w:t>
      </w:r>
    </w:p>
    <w:p w14:paraId="01F69319" w14:textId="77777777" w:rsidR="00355BC6" w:rsidRPr="00AA064B" w:rsidRDefault="00355BC6" w:rsidP="00355BC6">
      <w:pPr>
        <w:spacing w:line="360" w:lineRule="auto"/>
        <w:jc w:val="both"/>
        <w:rPr>
          <w:rFonts w:ascii="Arial" w:hAnsi="Arial"/>
          <w:rtl/>
        </w:rPr>
      </w:pPr>
    </w:p>
    <w:p w14:paraId="6B75C70C" w14:textId="77777777" w:rsidR="00355BC6" w:rsidRPr="00AA064B" w:rsidRDefault="00355BC6" w:rsidP="00355BC6">
      <w:pPr>
        <w:spacing w:line="360" w:lineRule="auto"/>
        <w:jc w:val="both"/>
        <w:rPr>
          <w:rFonts w:ascii="Arial" w:hAnsi="Arial"/>
          <w:b/>
          <w:bCs/>
          <w:rtl/>
        </w:rPr>
      </w:pPr>
      <w:r w:rsidRPr="00AA064B">
        <w:rPr>
          <w:rFonts w:ascii="Arial" w:hAnsi="Arial"/>
          <w:rtl/>
        </w:rPr>
        <w:t xml:space="preserve">על הנאשם לתאם את הכניסה למאסר, כולל האפשרות למיון מוקדם, עם ענף אבחון ומיון של שירות בתי הסוהר, טלפונים: 08-9787377 או 08-9787336; פקס' 08-9193314; דוא"ל: </w:t>
      </w:r>
      <w:hyperlink r:id="rId52" w:history="1">
        <w:r w:rsidRPr="00F236A8">
          <w:rPr>
            <w:rStyle w:val="Hyperlink"/>
            <w:rFonts w:ascii="Arial" w:hAnsi="Arial"/>
            <w:sz w:val="18"/>
            <w:szCs w:val="18"/>
          </w:rPr>
          <w:t>MaasarN@ips.gov.il</w:t>
        </w:r>
      </w:hyperlink>
      <w:r w:rsidRPr="00AA064B">
        <w:rPr>
          <w:rFonts w:ascii="Arial" w:hAnsi="Arial"/>
          <w:rtl/>
        </w:rPr>
        <w:t>. כמו כן, על</w:t>
      </w:r>
      <w:r>
        <w:rPr>
          <w:rFonts w:ascii="Arial" w:hAnsi="Arial" w:hint="cs"/>
          <w:rtl/>
        </w:rPr>
        <w:t>יו</w:t>
      </w:r>
      <w:r w:rsidRPr="00AA064B">
        <w:rPr>
          <w:rFonts w:ascii="Arial" w:hAnsi="Arial"/>
          <w:rtl/>
        </w:rPr>
        <w:t xml:space="preserve"> להתעדכן באתר של שב"ס, ברשימת הציוד הראשוני שניתן להביא בעת ההתייצבות.</w:t>
      </w:r>
    </w:p>
    <w:p w14:paraId="20621492" w14:textId="77777777" w:rsidR="00355BC6" w:rsidRPr="00AA064B" w:rsidRDefault="00355BC6" w:rsidP="00355BC6">
      <w:pPr>
        <w:spacing w:line="360" w:lineRule="auto"/>
        <w:jc w:val="both"/>
        <w:rPr>
          <w:rFonts w:ascii="Arial" w:hAnsi="Arial"/>
          <w:rtl/>
        </w:rPr>
      </w:pPr>
    </w:p>
    <w:p w14:paraId="6DBBDD28" w14:textId="77777777" w:rsidR="00355BC6" w:rsidRPr="00AA064B" w:rsidRDefault="00355BC6" w:rsidP="00355BC6">
      <w:pPr>
        <w:spacing w:line="360" w:lineRule="auto"/>
        <w:jc w:val="both"/>
        <w:rPr>
          <w:rFonts w:ascii="Arial" w:hAnsi="Arial"/>
          <w:b/>
          <w:bCs/>
          <w:rtl/>
        </w:rPr>
      </w:pPr>
      <w:r w:rsidRPr="00AA064B">
        <w:rPr>
          <w:rFonts w:ascii="Arial" w:hAnsi="Arial"/>
          <w:b/>
          <w:bCs/>
          <w:rtl/>
        </w:rPr>
        <w:t>זכות ערעור לבית המשפט העליון תוך ארבעים וחמישה יום.</w:t>
      </w:r>
    </w:p>
    <w:p w14:paraId="5B20499B" w14:textId="77777777" w:rsidR="00355BC6" w:rsidRPr="00B57803" w:rsidRDefault="00B57803" w:rsidP="00355BC6">
      <w:pPr>
        <w:spacing w:line="360" w:lineRule="auto"/>
        <w:jc w:val="both"/>
        <w:rPr>
          <w:rFonts w:ascii="Arial" w:hAnsi="Arial"/>
          <w:color w:val="FFFFFF"/>
          <w:sz w:val="2"/>
          <w:szCs w:val="2"/>
          <w:rtl/>
        </w:rPr>
      </w:pPr>
      <w:r w:rsidRPr="00B57803">
        <w:rPr>
          <w:rFonts w:ascii="Arial" w:hAnsi="Arial"/>
          <w:color w:val="FFFFFF"/>
          <w:sz w:val="2"/>
          <w:szCs w:val="2"/>
          <w:rtl/>
        </w:rPr>
        <w:t>5129371</w:t>
      </w:r>
    </w:p>
    <w:tbl>
      <w:tblPr>
        <w:bidiVisual/>
        <w:tblW w:w="0" w:type="auto"/>
        <w:jc w:val="right"/>
        <w:tblLook w:val="01E0" w:firstRow="1" w:lastRow="1" w:firstColumn="1" w:lastColumn="1" w:noHBand="0" w:noVBand="0"/>
      </w:tblPr>
      <w:tblGrid>
        <w:gridCol w:w="2392"/>
      </w:tblGrid>
      <w:tr w:rsidR="00355BC6" w14:paraId="2D4702C0" w14:textId="77777777" w:rsidTr="00355BC6">
        <w:trPr>
          <w:jc w:val="right"/>
        </w:trPr>
        <w:tc>
          <w:tcPr>
            <w:tcW w:w="2392" w:type="dxa"/>
            <w:tcBorders>
              <w:top w:val="nil"/>
              <w:left w:val="nil"/>
              <w:bottom w:val="single" w:sz="4" w:space="0" w:color="auto"/>
              <w:right w:val="nil"/>
            </w:tcBorders>
            <w:shd w:val="clear" w:color="auto" w:fill="auto"/>
            <w:vAlign w:val="center"/>
          </w:tcPr>
          <w:p w14:paraId="00B4A5BD" w14:textId="77777777" w:rsidR="00355BC6" w:rsidRPr="00355BC6" w:rsidRDefault="00B57803" w:rsidP="00B57803">
            <w:pPr>
              <w:spacing w:before="40" w:after="40"/>
              <w:jc w:val="center"/>
              <w:rPr>
                <w:rFonts w:ascii="Courier New" w:hAnsi="Courier New"/>
                <w:b/>
                <w:bCs/>
                <w:rtl/>
              </w:rPr>
            </w:pPr>
            <w:r w:rsidRPr="00B57803">
              <w:rPr>
                <w:rFonts w:ascii="Arial" w:hAnsi="Arial"/>
                <w:color w:val="FFFFFF"/>
                <w:sz w:val="2"/>
                <w:szCs w:val="2"/>
                <w:rtl/>
              </w:rPr>
              <w:t>54678313</w:t>
            </w:r>
            <w:r>
              <w:rPr>
                <w:rFonts w:ascii="Arial" w:hAnsi="Arial"/>
                <w:rtl/>
              </w:rPr>
              <w:t xml:space="preserve">ניתן היום, ו' בתמוז </w:t>
            </w:r>
            <w:r w:rsidR="00355BC6">
              <w:rPr>
                <w:rFonts w:ascii="Arial" w:hAnsi="Arial" w:hint="cs"/>
                <w:rtl/>
              </w:rPr>
              <w:t>ה</w:t>
            </w:r>
            <w:r w:rsidR="00355BC6" w:rsidRPr="00AA064B">
              <w:rPr>
                <w:rFonts w:ascii="Arial" w:hAnsi="Arial"/>
                <w:rtl/>
              </w:rPr>
              <w:t>תשפ"ג, 2</w:t>
            </w:r>
            <w:r w:rsidR="00355BC6">
              <w:rPr>
                <w:rFonts w:ascii="Arial" w:hAnsi="Arial" w:hint="cs"/>
                <w:rtl/>
              </w:rPr>
              <w:t>5</w:t>
            </w:r>
            <w:r w:rsidR="00355BC6" w:rsidRPr="00AA064B">
              <w:rPr>
                <w:rFonts w:ascii="Arial" w:hAnsi="Arial"/>
                <w:rtl/>
              </w:rPr>
              <w:t xml:space="preserve"> </w:t>
            </w:r>
            <w:r w:rsidR="00355BC6">
              <w:rPr>
                <w:rFonts w:ascii="Arial" w:hAnsi="Arial" w:hint="cs"/>
                <w:rtl/>
              </w:rPr>
              <w:t>ב</w:t>
            </w:r>
            <w:r w:rsidR="00355BC6" w:rsidRPr="00AA064B">
              <w:rPr>
                <w:rFonts w:ascii="Arial" w:hAnsi="Arial"/>
                <w:rtl/>
              </w:rPr>
              <w:t>יוני 2023, ב</w:t>
            </w:r>
            <w:r w:rsidR="00355BC6">
              <w:rPr>
                <w:rFonts w:ascii="Arial" w:hAnsi="Arial" w:hint="cs"/>
                <w:rtl/>
              </w:rPr>
              <w:t xml:space="preserve">מעמד הנאשם ובאי-כוח הצדדים כמפורט בפרוטוקול </w:t>
            </w:r>
            <w:r>
              <w:rPr>
                <w:rFonts w:ascii="Arial" w:hAnsi="Arial"/>
                <w:rtl/>
              </w:rPr>
              <w:t xml:space="preserve">הדיון מהיום. </w:t>
            </w:r>
          </w:p>
        </w:tc>
      </w:tr>
      <w:tr w:rsidR="00355BC6" w14:paraId="1DC096E9" w14:textId="77777777" w:rsidTr="00355BC6">
        <w:trPr>
          <w:jc w:val="right"/>
        </w:trPr>
        <w:tc>
          <w:tcPr>
            <w:tcW w:w="2392" w:type="dxa"/>
            <w:tcBorders>
              <w:top w:val="single" w:sz="4" w:space="0" w:color="auto"/>
              <w:left w:val="nil"/>
              <w:bottom w:val="nil"/>
              <w:right w:val="nil"/>
            </w:tcBorders>
            <w:shd w:val="clear" w:color="auto" w:fill="auto"/>
          </w:tcPr>
          <w:p w14:paraId="18415758" w14:textId="77777777" w:rsidR="00355BC6" w:rsidRPr="00355BC6" w:rsidRDefault="00355BC6" w:rsidP="00355BC6">
            <w:pPr>
              <w:pStyle w:val="3"/>
              <w:spacing w:before="40" w:after="40" w:line="240" w:lineRule="auto"/>
              <w:jc w:val="center"/>
              <w:rPr>
                <w:sz w:val="28"/>
                <w:rtl/>
              </w:rPr>
            </w:pPr>
            <w:r w:rsidRPr="00355BC6">
              <w:rPr>
                <w:rFonts w:hint="cs"/>
                <w:sz w:val="28"/>
                <w:rtl/>
              </w:rPr>
              <w:t>תמר בר-אשר, שופטת</w:t>
            </w:r>
          </w:p>
        </w:tc>
      </w:tr>
    </w:tbl>
    <w:p w14:paraId="006A32DD" w14:textId="77777777" w:rsidR="00355BC6" w:rsidRPr="002519E1" w:rsidRDefault="002519E1" w:rsidP="00355BC6">
      <w:pPr>
        <w:jc w:val="center"/>
        <w:rPr>
          <w:rFonts w:hint="cs"/>
          <w:color w:val="FFFFFF"/>
          <w:sz w:val="2"/>
          <w:szCs w:val="2"/>
          <w:rtl/>
        </w:rPr>
      </w:pPr>
      <w:r w:rsidRPr="002519E1">
        <w:rPr>
          <w:color w:val="FFFFFF"/>
          <w:sz w:val="2"/>
          <w:szCs w:val="2"/>
          <w:rtl/>
        </w:rPr>
        <w:t>5129371</w:t>
      </w:r>
    </w:p>
    <w:p w14:paraId="052E0BB0" w14:textId="77777777" w:rsidR="003B3B30" w:rsidRPr="002519E1" w:rsidRDefault="002519E1" w:rsidP="00B57803">
      <w:pPr>
        <w:keepNext/>
        <w:rPr>
          <w:rFonts w:ascii="David" w:hAnsi="David"/>
          <w:color w:val="FFFFFF"/>
          <w:sz w:val="2"/>
          <w:szCs w:val="2"/>
          <w:rtl/>
        </w:rPr>
      </w:pPr>
      <w:r w:rsidRPr="002519E1">
        <w:rPr>
          <w:rFonts w:ascii="David" w:hAnsi="David"/>
          <w:color w:val="FFFFFF"/>
          <w:sz w:val="2"/>
          <w:szCs w:val="2"/>
          <w:rtl/>
        </w:rPr>
        <w:t>54678313</w:t>
      </w:r>
    </w:p>
    <w:p w14:paraId="52830E08" w14:textId="77777777" w:rsidR="00B57803" w:rsidRDefault="00B57803" w:rsidP="00B57803">
      <w:pPr>
        <w:rPr>
          <w:rtl/>
        </w:rPr>
      </w:pPr>
    </w:p>
    <w:p w14:paraId="08BE213F" w14:textId="77777777" w:rsidR="00B57803" w:rsidRDefault="00B57803" w:rsidP="00B57803">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010E1FA5" w14:textId="77777777" w:rsidR="002519E1" w:rsidRPr="002519E1" w:rsidRDefault="002519E1" w:rsidP="002519E1">
      <w:pPr>
        <w:keepNext/>
        <w:rPr>
          <w:rFonts w:ascii="David" w:hAnsi="David"/>
          <w:color w:val="000000"/>
          <w:sz w:val="22"/>
          <w:szCs w:val="22"/>
          <w:rtl/>
        </w:rPr>
      </w:pPr>
    </w:p>
    <w:p w14:paraId="15E0A16F" w14:textId="77777777" w:rsidR="002519E1" w:rsidRPr="002519E1" w:rsidRDefault="002519E1" w:rsidP="002519E1">
      <w:pPr>
        <w:keepNext/>
        <w:rPr>
          <w:rFonts w:ascii="David" w:hAnsi="David"/>
          <w:color w:val="000000"/>
          <w:sz w:val="22"/>
          <w:szCs w:val="22"/>
          <w:rtl/>
        </w:rPr>
      </w:pPr>
      <w:r w:rsidRPr="002519E1">
        <w:rPr>
          <w:rFonts w:ascii="David" w:hAnsi="David"/>
          <w:color w:val="000000"/>
          <w:sz w:val="22"/>
          <w:szCs w:val="22"/>
          <w:rtl/>
        </w:rPr>
        <w:t>תמר בר אשר 54678313-/</w:t>
      </w:r>
    </w:p>
    <w:p w14:paraId="659DE468" w14:textId="77777777" w:rsidR="00B57803" w:rsidRPr="00B57803" w:rsidRDefault="002519E1" w:rsidP="002519E1">
      <w:pPr>
        <w:rPr>
          <w:color w:val="0000FF"/>
          <w:u w:val="single"/>
        </w:rPr>
      </w:pPr>
      <w:r w:rsidRPr="002519E1">
        <w:rPr>
          <w:color w:val="000000"/>
          <w:u w:val="single"/>
          <w:rtl/>
        </w:rPr>
        <w:t>נוסח מסמך זה כפוף לשינויי ניסוח ועריכה</w:t>
      </w:r>
    </w:p>
    <w:sectPr w:rsidR="00B57803" w:rsidRPr="00B57803" w:rsidSect="002519E1">
      <w:headerReference w:type="even" r:id="rId54"/>
      <w:headerReference w:type="default" r:id="rId55"/>
      <w:footerReference w:type="even" r:id="rId56"/>
      <w:footerReference w:type="default" r:id="rId57"/>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21C63" w14:textId="77777777" w:rsidR="00B1030E" w:rsidRDefault="00B1030E" w:rsidP="005C0658">
      <w:r>
        <w:separator/>
      </w:r>
    </w:p>
  </w:endnote>
  <w:endnote w:type="continuationSeparator" w:id="0">
    <w:p w14:paraId="7925D19C" w14:textId="77777777" w:rsidR="00B1030E" w:rsidRDefault="00B1030E" w:rsidP="005C0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49341" w14:textId="77777777" w:rsidR="002519E1" w:rsidRDefault="002519E1" w:rsidP="002519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C1E87F" w14:textId="77777777" w:rsidR="00EC6632" w:rsidRPr="002519E1" w:rsidRDefault="002519E1" w:rsidP="002519E1">
    <w:pPr>
      <w:pStyle w:val="a5"/>
      <w:pBdr>
        <w:top w:val="single" w:sz="4" w:space="1" w:color="auto"/>
        <w:between w:val="single" w:sz="4" w:space="0" w:color="auto"/>
      </w:pBdr>
      <w:spacing w:after="60"/>
      <w:jc w:val="center"/>
      <w:rPr>
        <w:rFonts w:ascii="FrankRuehl" w:hAnsi="FrankRuehl" w:cs="FrankRuehl"/>
        <w:color w:val="000000"/>
      </w:rPr>
    </w:pPr>
    <w:r w:rsidRPr="002519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F5C7FD" w14:textId="77777777" w:rsidR="002519E1" w:rsidRDefault="002519E1" w:rsidP="002519E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B6BEF">
      <w:rPr>
        <w:rFonts w:ascii="FrankRuehl" w:hAnsi="FrankRuehl" w:cs="FrankRuehl"/>
        <w:noProof/>
        <w:rtl/>
      </w:rPr>
      <w:t>1</w:t>
    </w:r>
    <w:r>
      <w:rPr>
        <w:rFonts w:ascii="FrankRuehl" w:hAnsi="FrankRuehl" w:cs="FrankRuehl"/>
        <w:rtl/>
      </w:rPr>
      <w:fldChar w:fldCharType="end"/>
    </w:r>
  </w:p>
  <w:p w14:paraId="3E060875" w14:textId="77777777" w:rsidR="00EC6632" w:rsidRPr="002519E1" w:rsidRDefault="002519E1" w:rsidP="002519E1">
    <w:pPr>
      <w:pStyle w:val="a5"/>
      <w:pBdr>
        <w:top w:val="single" w:sz="4" w:space="1" w:color="auto"/>
        <w:between w:val="single" w:sz="4" w:space="0" w:color="auto"/>
      </w:pBdr>
      <w:spacing w:after="60"/>
      <w:jc w:val="center"/>
      <w:rPr>
        <w:rFonts w:ascii="FrankRuehl" w:hAnsi="FrankRuehl" w:cs="FrankRuehl"/>
        <w:color w:val="000000"/>
      </w:rPr>
    </w:pPr>
    <w:r w:rsidRPr="002519E1">
      <w:rPr>
        <w:rFonts w:ascii="FrankRuehl" w:hAnsi="FrankRuehl" w:cs="FrankRuehl"/>
        <w:color w:val="000000"/>
      </w:rPr>
      <w:pict w14:anchorId="5B073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FD953" w14:textId="77777777" w:rsidR="00B1030E" w:rsidRDefault="00B1030E" w:rsidP="005C0658">
      <w:r>
        <w:separator/>
      </w:r>
    </w:p>
  </w:footnote>
  <w:footnote w:type="continuationSeparator" w:id="0">
    <w:p w14:paraId="1528E2D9" w14:textId="77777777" w:rsidR="00B1030E" w:rsidRDefault="00B1030E" w:rsidP="005C0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15A0D" w14:textId="77777777" w:rsidR="00B57803" w:rsidRPr="002519E1" w:rsidRDefault="002519E1" w:rsidP="002519E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30966-07-22</w:t>
    </w:r>
    <w:r>
      <w:rPr>
        <w:rFonts w:ascii="David" w:hAnsi="David"/>
        <w:color w:val="000000"/>
        <w:sz w:val="22"/>
        <w:szCs w:val="22"/>
        <w:rtl/>
      </w:rPr>
      <w:tab/>
      <w:t xml:space="preserve"> מדינת ישראל נ' עבד אל סאלם עוודאללה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2E1D" w14:textId="77777777" w:rsidR="00B57803" w:rsidRPr="002519E1" w:rsidRDefault="002519E1" w:rsidP="002519E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30966-07-22</w:t>
    </w:r>
    <w:r>
      <w:rPr>
        <w:rFonts w:ascii="David" w:hAnsi="David"/>
        <w:color w:val="000000"/>
        <w:sz w:val="22"/>
        <w:szCs w:val="22"/>
        <w:rtl/>
      </w:rPr>
      <w:tab/>
      <w:t xml:space="preserve"> מדינת ישראל נ' עבד אל סאלם עוודאללה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5BC6"/>
    <w:rsid w:val="001B5A3B"/>
    <w:rsid w:val="002519E1"/>
    <w:rsid w:val="00355BC6"/>
    <w:rsid w:val="003B3B30"/>
    <w:rsid w:val="005649CA"/>
    <w:rsid w:val="005C0658"/>
    <w:rsid w:val="00637687"/>
    <w:rsid w:val="007973BF"/>
    <w:rsid w:val="008429E3"/>
    <w:rsid w:val="00971A32"/>
    <w:rsid w:val="00B1030E"/>
    <w:rsid w:val="00B57803"/>
    <w:rsid w:val="00C31E0B"/>
    <w:rsid w:val="00C67577"/>
    <w:rsid w:val="00EB6BEF"/>
    <w:rsid w:val="00EC6632"/>
    <w:rsid w:val="00F958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BEA89D"/>
  <w15:chartTrackingRefBased/>
  <w15:docId w15:val="{960B5FE6-EA73-4298-A283-90458586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5BC6"/>
    <w:pPr>
      <w:bidi/>
    </w:pPr>
    <w:rPr>
      <w:rFonts w:ascii="Times New Roman" w:eastAsia="Times New Roman" w:hAnsi="Times New Roman" w:cs="David"/>
      <w:sz w:val="24"/>
      <w:szCs w:val="24"/>
    </w:rPr>
  </w:style>
  <w:style w:type="paragraph" w:styleId="3">
    <w:name w:val="heading 3"/>
    <w:basedOn w:val="a"/>
    <w:next w:val="a"/>
    <w:link w:val="30"/>
    <w:qFormat/>
    <w:rsid w:val="00355BC6"/>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355BC6"/>
    <w:rPr>
      <w:rFonts w:ascii="Times New Roman" w:eastAsia="Times New Roman" w:hAnsi="Times New Roman" w:cs="David"/>
      <w:b/>
      <w:bCs/>
      <w:noProof/>
      <w:sz w:val="20"/>
      <w:szCs w:val="24"/>
      <w:lang w:eastAsia="he-IL"/>
    </w:rPr>
  </w:style>
  <w:style w:type="paragraph" w:styleId="a3">
    <w:name w:val="header"/>
    <w:basedOn w:val="a"/>
    <w:link w:val="a4"/>
    <w:rsid w:val="00355BC6"/>
    <w:pPr>
      <w:tabs>
        <w:tab w:val="center" w:pos="4153"/>
        <w:tab w:val="right" w:pos="8306"/>
      </w:tabs>
    </w:pPr>
  </w:style>
  <w:style w:type="character" w:customStyle="1" w:styleId="a4">
    <w:name w:val="כותרת עליונה תו"/>
    <w:link w:val="a3"/>
    <w:rsid w:val="00355BC6"/>
    <w:rPr>
      <w:rFonts w:ascii="Times New Roman" w:eastAsia="Times New Roman" w:hAnsi="Times New Roman" w:cs="David"/>
      <w:sz w:val="24"/>
      <w:szCs w:val="24"/>
    </w:rPr>
  </w:style>
  <w:style w:type="paragraph" w:styleId="a5">
    <w:name w:val="footer"/>
    <w:basedOn w:val="a"/>
    <w:link w:val="a6"/>
    <w:rsid w:val="00355BC6"/>
    <w:pPr>
      <w:tabs>
        <w:tab w:val="center" w:pos="4153"/>
        <w:tab w:val="right" w:pos="8306"/>
      </w:tabs>
    </w:pPr>
  </w:style>
  <w:style w:type="character" w:customStyle="1" w:styleId="a6">
    <w:name w:val="כותרת תחתונה תו"/>
    <w:link w:val="a5"/>
    <w:rsid w:val="00355BC6"/>
    <w:rPr>
      <w:rFonts w:ascii="Times New Roman" w:eastAsia="Times New Roman" w:hAnsi="Times New Roman" w:cs="David"/>
      <w:sz w:val="24"/>
      <w:szCs w:val="24"/>
    </w:rPr>
  </w:style>
  <w:style w:type="table" w:styleId="a7">
    <w:name w:val="Table Grid"/>
    <w:basedOn w:val="a1"/>
    <w:rsid w:val="00355B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55BC6"/>
  </w:style>
  <w:style w:type="character" w:styleId="Hyperlink">
    <w:name w:val="Hyperlink"/>
    <w:rsid w:val="00355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7207408" TargetMode="External"/><Relationship Id="rId26" Type="http://schemas.openxmlformats.org/officeDocument/2006/relationships/hyperlink" Target="http://www.nevo.co.il/case/28274889" TargetMode="External"/><Relationship Id="rId39" Type="http://schemas.openxmlformats.org/officeDocument/2006/relationships/hyperlink" Target="http://www.nevo.co.il/case/28378067" TargetMode="External"/><Relationship Id="rId21" Type="http://schemas.openxmlformats.org/officeDocument/2006/relationships/hyperlink" Target="http://www.nevo.co.il/law/74918/39" TargetMode="External"/><Relationship Id="rId34" Type="http://schemas.openxmlformats.org/officeDocument/2006/relationships/hyperlink" Target="http://www.nevo.co.il/case/27894608" TargetMode="External"/><Relationship Id="rId42" Type="http://schemas.openxmlformats.org/officeDocument/2006/relationships/hyperlink" Target="http://www.nevo.co.il/case/28243273" TargetMode="External"/><Relationship Id="rId47" Type="http://schemas.openxmlformats.org/officeDocument/2006/relationships/hyperlink" Target="http://www.nevo.co.il/law/70301/144.g" TargetMode="External"/><Relationship Id="rId50" Type="http://schemas.openxmlformats.org/officeDocument/2006/relationships/hyperlink" Target="http://www.nevo.co.il/law/70301/40f" TargetMode="External"/><Relationship Id="rId55" Type="http://schemas.openxmlformats.org/officeDocument/2006/relationships/header" Target="header2.xml"/><Relationship Id="rId7" Type="http://schemas.openxmlformats.org/officeDocument/2006/relationships/hyperlink" Target="http://www.nevo.co.il/law/70301/40f" TargetMode="External"/><Relationship Id="rId2" Type="http://schemas.openxmlformats.org/officeDocument/2006/relationships/settings" Target="settings.xml"/><Relationship Id="rId16" Type="http://schemas.openxmlformats.org/officeDocument/2006/relationships/hyperlink" Target="http://www.nevo.co.il/case/27115374" TargetMode="External"/><Relationship Id="rId29" Type="http://schemas.openxmlformats.org/officeDocument/2006/relationships/hyperlink" Target="http://www.nevo.co.il/case/27734980" TargetMode="External"/><Relationship Id="rId11" Type="http://schemas.openxmlformats.org/officeDocument/2006/relationships/hyperlink" Target="http://www.nevo.co.il/law/74918" TargetMode="External"/><Relationship Id="rId24" Type="http://schemas.openxmlformats.org/officeDocument/2006/relationships/hyperlink" Target="http://www.nevo.co.il/case/28268880" TargetMode="External"/><Relationship Id="rId32" Type="http://schemas.openxmlformats.org/officeDocument/2006/relationships/hyperlink" Target="http://www.nevo.co.il/case/28301477" TargetMode="External"/><Relationship Id="rId37" Type="http://schemas.openxmlformats.org/officeDocument/2006/relationships/hyperlink" Target="http://www.nevo.co.il/case/29243283" TargetMode="External"/><Relationship Id="rId40" Type="http://schemas.openxmlformats.org/officeDocument/2006/relationships/hyperlink" Target="http://www.nevo.co.il/case/28513828" TargetMode="External"/><Relationship Id="rId45" Type="http://schemas.openxmlformats.org/officeDocument/2006/relationships/hyperlink" Target="http://www.nevo.co.il/case/20513526"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endnotes" Target="endnotes.xml"/><Relationship Id="rId19" Type="http://schemas.openxmlformats.org/officeDocument/2006/relationships/hyperlink" Target="http://www.nevo.co.il/law/70301/144.g"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4918" TargetMode="External"/><Relationship Id="rId27" Type="http://schemas.openxmlformats.org/officeDocument/2006/relationships/hyperlink" Target="http://www.nevo.co.il/case/25246134" TargetMode="External"/><Relationship Id="rId30" Type="http://schemas.openxmlformats.org/officeDocument/2006/relationships/hyperlink" Target="http://www.nevo.co.il/case/27309272" TargetMode="External"/><Relationship Id="rId35" Type="http://schemas.openxmlformats.org/officeDocument/2006/relationships/hyperlink" Target="http://www.nevo.co.il/case/27904071" TargetMode="External"/><Relationship Id="rId43" Type="http://schemas.openxmlformats.org/officeDocument/2006/relationships/hyperlink" Target="http://www.nevo.co.il/law/70301/144.g" TargetMode="External"/><Relationship Id="rId48" Type="http://schemas.openxmlformats.org/officeDocument/2006/relationships/hyperlink" Target="http://www.nevo.co.il/law/70301/144.g" TargetMode="External"/><Relationship Id="rId56" Type="http://schemas.openxmlformats.org/officeDocument/2006/relationships/footer" Target="footer1.xml"/><Relationship Id="rId8" Type="http://schemas.openxmlformats.org/officeDocument/2006/relationships/hyperlink" Target="http://www.nevo.co.il/law/70301/40g" TargetMode="External"/><Relationship Id="rId51" Type="http://schemas.openxmlformats.org/officeDocument/2006/relationships/hyperlink" Target="http://www.nevo.co.il/case/29115258" TargetMode="External"/><Relationship Id="rId3" Type="http://schemas.openxmlformats.org/officeDocument/2006/relationships/webSettings" Target="webSettings.xml"/><Relationship Id="rId12" Type="http://schemas.openxmlformats.org/officeDocument/2006/relationships/hyperlink" Target="http://www.nevo.co.il/law/74918/39" TargetMode="External"/><Relationship Id="rId17" Type="http://schemas.openxmlformats.org/officeDocument/2006/relationships/hyperlink" Target="http://www.nevo.co.il/case/27907602" TargetMode="External"/><Relationship Id="rId25" Type="http://schemas.openxmlformats.org/officeDocument/2006/relationships/hyperlink" Target="http://www.nevo.co.il/case/27912651" TargetMode="External"/><Relationship Id="rId33" Type="http://schemas.openxmlformats.org/officeDocument/2006/relationships/hyperlink" Target="http://www.nevo.co.il/case/26576810" TargetMode="External"/><Relationship Id="rId38" Type="http://schemas.openxmlformats.org/officeDocument/2006/relationships/hyperlink" Target="http://www.nevo.co.il/case/29220997" TargetMode="External"/><Relationship Id="rId46" Type="http://schemas.openxmlformats.org/officeDocument/2006/relationships/hyperlink" Target="http://www.nevo.co.il/case/23129184" TargetMode="External"/><Relationship Id="rId59" Type="http://schemas.openxmlformats.org/officeDocument/2006/relationships/theme" Target="theme/theme1.xml"/><Relationship Id="rId20" Type="http://schemas.openxmlformats.org/officeDocument/2006/relationships/hyperlink" Target="http://www.nevo.co.il/case/27648787" TargetMode="External"/><Relationship Id="rId41" Type="http://schemas.openxmlformats.org/officeDocument/2006/relationships/hyperlink" Target="http://www.nevo.co.il/case/28152132" TargetMode="External"/><Relationship Id="rId54"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case/28182844" TargetMode="External"/><Relationship Id="rId28" Type="http://schemas.openxmlformats.org/officeDocument/2006/relationships/hyperlink" Target="http://www.nevo.co.il/case/28200855" TargetMode="External"/><Relationship Id="rId36" Type="http://schemas.openxmlformats.org/officeDocument/2006/relationships/hyperlink" Target="http://www.nevo.co.il/case/29174839" TargetMode="External"/><Relationship Id="rId49" Type="http://schemas.openxmlformats.org/officeDocument/2006/relationships/hyperlink" Target="http://www.nevo.co.il/law/70301/40g" TargetMode="External"/><Relationship Id="rId57" Type="http://schemas.openxmlformats.org/officeDocument/2006/relationships/footer" Target="footer2.xml"/><Relationship Id="rId10" Type="http://schemas.openxmlformats.org/officeDocument/2006/relationships/hyperlink" Target="http://www.nevo.co.il/law/70301/144.g" TargetMode="External"/><Relationship Id="rId31" Type="http://schemas.openxmlformats.org/officeDocument/2006/relationships/hyperlink" Target="http://www.nevo.co.il/case/25824863" TargetMode="External"/><Relationship Id="rId44" Type="http://schemas.openxmlformats.org/officeDocument/2006/relationships/hyperlink" Target="http://www.nevo.co.il/law/70301" TargetMode="External"/><Relationship Id="rId52" Type="http://schemas.openxmlformats.org/officeDocument/2006/relationships/hyperlink" Target="mailto:MaasarN@ips.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3434</Words>
  <Characters>17172</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20565</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196725</vt:i4>
      </vt:variant>
      <vt:variant>
        <vt:i4>138</vt:i4>
      </vt:variant>
      <vt:variant>
        <vt:i4>0</vt:i4>
      </vt:variant>
      <vt:variant>
        <vt:i4>5</vt:i4>
      </vt:variant>
      <vt:variant>
        <vt:lpwstr>mailto:MaasarN@ips.gov.il</vt:lpwstr>
      </vt:variant>
      <vt:variant>
        <vt:lpwstr/>
      </vt:variant>
      <vt:variant>
        <vt:i4>3342462</vt:i4>
      </vt:variant>
      <vt:variant>
        <vt:i4>135</vt:i4>
      </vt:variant>
      <vt:variant>
        <vt:i4>0</vt:i4>
      </vt:variant>
      <vt:variant>
        <vt:i4>5</vt:i4>
      </vt:variant>
      <vt:variant>
        <vt:lpwstr>http://www.nevo.co.il/case/29115258</vt:lpwstr>
      </vt:variant>
      <vt:variant>
        <vt:lpwstr/>
      </vt:variant>
      <vt:variant>
        <vt:i4>6619233</vt:i4>
      </vt:variant>
      <vt:variant>
        <vt:i4>132</vt:i4>
      </vt:variant>
      <vt:variant>
        <vt:i4>0</vt:i4>
      </vt:variant>
      <vt:variant>
        <vt:i4>5</vt:i4>
      </vt:variant>
      <vt:variant>
        <vt:lpwstr>http://www.nevo.co.il/law/70301/40f</vt:lpwstr>
      </vt:variant>
      <vt:variant>
        <vt:lpwstr/>
      </vt:variant>
      <vt:variant>
        <vt:i4>6619233</vt:i4>
      </vt:variant>
      <vt:variant>
        <vt:i4>129</vt:i4>
      </vt:variant>
      <vt:variant>
        <vt:i4>0</vt:i4>
      </vt:variant>
      <vt:variant>
        <vt:i4>5</vt:i4>
      </vt:variant>
      <vt:variant>
        <vt:lpwstr>http://www.nevo.co.il/law/70301/40g</vt:lpwstr>
      </vt:variant>
      <vt:variant>
        <vt:lpwstr/>
      </vt:variant>
      <vt:variant>
        <vt:i4>5177424</vt:i4>
      </vt:variant>
      <vt:variant>
        <vt:i4>126</vt:i4>
      </vt:variant>
      <vt:variant>
        <vt:i4>0</vt:i4>
      </vt:variant>
      <vt:variant>
        <vt:i4>5</vt:i4>
      </vt:variant>
      <vt:variant>
        <vt:lpwstr>http://www.nevo.co.il/law/70301/144.g</vt:lpwstr>
      </vt:variant>
      <vt:variant>
        <vt:lpwstr/>
      </vt:variant>
      <vt:variant>
        <vt:i4>5177424</vt:i4>
      </vt:variant>
      <vt:variant>
        <vt:i4>123</vt:i4>
      </vt:variant>
      <vt:variant>
        <vt:i4>0</vt:i4>
      </vt:variant>
      <vt:variant>
        <vt:i4>5</vt:i4>
      </vt:variant>
      <vt:variant>
        <vt:lpwstr>http://www.nevo.co.il/law/70301/144.g</vt:lpwstr>
      </vt:variant>
      <vt:variant>
        <vt:lpwstr/>
      </vt:variant>
      <vt:variant>
        <vt:i4>3276916</vt:i4>
      </vt:variant>
      <vt:variant>
        <vt:i4>120</vt:i4>
      </vt:variant>
      <vt:variant>
        <vt:i4>0</vt:i4>
      </vt:variant>
      <vt:variant>
        <vt:i4>5</vt:i4>
      </vt:variant>
      <vt:variant>
        <vt:lpwstr>http://www.nevo.co.il/case/23129184</vt:lpwstr>
      </vt:variant>
      <vt:variant>
        <vt:lpwstr/>
      </vt:variant>
      <vt:variant>
        <vt:i4>3539056</vt:i4>
      </vt:variant>
      <vt:variant>
        <vt:i4>117</vt:i4>
      </vt:variant>
      <vt:variant>
        <vt:i4>0</vt:i4>
      </vt:variant>
      <vt:variant>
        <vt:i4>5</vt:i4>
      </vt:variant>
      <vt:variant>
        <vt:lpwstr>http://www.nevo.co.il/case/20513526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5177424</vt:i4>
      </vt:variant>
      <vt:variant>
        <vt:i4>111</vt:i4>
      </vt:variant>
      <vt:variant>
        <vt:i4>0</vt:i4>
      </vt:variant>
      <vt:variant>
        <vt:i4>5</vt:i4>
      </vt:variant>
      <vt:variant>
        <vt:lpwstr>http://www.nevo.co.il/law/70301/144.g</vt:lpwstr>
      </vt:variant>
      <vt:variant>
        <vt:lpwstr/>
      </vt:variant>
      <vt:variant>
        <vt:i4>3407994</vt:i4>
      </vt:variant>
      <vt:variant>
        <vt:i4>108</vt:i4>
      </vt:variant>
      <vt:variant>
        <vt:i4>0</vt:i4>
      </vt:variant>
      <vt:variant>
        <vt:i4>5</vt:i4>
      </vt:variant>
      <vt:variant>
        <vt:lpwstr>http://www.nevo.co.il/case/28243273</vt:lpwstr>
      </vt:variant>
      <vt:variant>
        <vt:lpwstr/>
      </vt:variant>
      <vt:variant>
        <vt:i4>3276920</vt:i4>
      </vt:variant>
      <vt:variant>
        <vt:i4>105</vt:i4>
      </vt:variant>
      <vt:variant>
        <vt:i4>0</vt:i4>
      </vt:variant>
      <vt:variant>
        <vt:i4>5</vt:i4>
      </vt:variant>
      <vt:variant>
        <vt:lpwstr>http://www.nevo.co.il/case/28152132</vt:lpwstr>
      </vt:variant>
      <vt:variant>
        <vt:lpwstr/>
      </vt:variant>
      <vt:variant>
        <vt:i4>3539061</vt:i4>
      </vt:variant>
      <vt:variant>
        <vt:i4>102</vt:i4>
      </vt:variant>
      <vt:variant>
        <vt:i4>0</vt:i4>
      </vt:variant>
      <vt:variant>
        <vt:i4>5</vt:i4>
      </vt:variant>
      <vt:variant>
        <vt:lpwstr>http://www.nevo.co.il/case/28513828</vt:lpwstr>
      </vt:variant>
      <vt:variant>
        <vt:lpwstr/>
      </vt:variant>
      <vt:variant>
        <vt:i4>4128891</vt:i4>
      </vt:variant>
      <vt:variant>
        <vt:i4>99</vt:i4>
      </vt:variant>
      <vt:variant>
        <vt:i4>0</vt:i4>
      </vt:variant>
      <vt:variant>
        <vt:i4>5</vt:i4>
      </vt:variant>
      <vt:variant>
        <vt:lpwstr>http://www.nevo.co.il/case/28378067</vt:lpwstr>
      </vt:variant>
      <vt:variant>
        <vt:lpwstr/>
      </vt:variant>
      <vt:variant>
        <vt:i4>3735670</vt:i4>
      </vt:variant>
      <vt:variant>
        <vt:i4>96</vt:i4>
      </vt:variant>
      <vt:variant>
        <vt:i4>0</vt:i4>
      </vt:variant>
      <vt:variant>
        <vt:i4>5</vt:i4>
      </vt:variant>
      <vt:variant>
        <vt:lpwstr>http://www.nevo.co.il/case/29220997</vt:lpwstr>
      </vt:variant>
      <vt:variant>
        <vt:lpwstr/>
      </vt:variant>
      <vt:variant>
        <vt:i4>3866747</vt:i4>
      </vt:variant>
      <vt:variant>
        <vt:i4>93</vt:i4>
      </vt:variant>
      <vt:variant>
        <vt:i4>0</vt:i4>
      </vt:variant>
      <vt:variant>
        <vt:i4>5</vt:i4>
      </vt:variant>
      <vt:variant>
        <vt:lpwstr>http://www.nevo.co.il/case/29243283</vt:lpwstr>
      </vt:variant>
      <vt:variant>
        <vt:lpwstr/>
      </vt:variant>
      <vt:variant>
        <vt:i4>3407986</vt:i4>
      </vt:variant>
      <vt:variant>
        <vt:i4>90</vt:i4>
      </vt:variant>
      <vt:variant>
        <vt:i4>0</vt:i4>
      </vt:variant>
      <vt:variant>
        <vt:i4>5</vt:i4>
      </vt:variant>
      <vt:variant>
        <vt:lpwstr>http://www.nevo.co.il/case/29174839</vt:lpwstr>
      </vt:variant>
      <vt:variant>
        <vt:lpwstr/>
      </vt:variant>
      <vt:variant>
        <vt:i4>3670131</vt:i4>
      </vt:variant>
      <vt:variant>
        <vt:i4>87</vt:i4>
      </vt:variant>
      <vt:variant>
        <vt:i4>0</vt:i4>
      </vt:variant>
      <vt:variant>
        <vt:i4>5</vt:i4>
      </vt:variant>
      <vt:variant>
        <vt:lpwstr>http://www.nevo.co.il/case/27904071</vt:lpwstr>
      </vt:variant>
      <vt:variant>
        <vt:lpwstr/>
      </vt:variant>
      <vt:variant>
        <vt:i4>4063356</vt:i4>
      </vt:variant>
      <vt:variant>
        <vt:i4>84</vt:i4>
      </vt:variant>
      <vt:variant>
        <vt:i4>0</vt:i4>
      </vt:variant>
      <vt:variant>
        <vt:i4>5</vt:i4>
      </vt:variant>
      <vt:variant>
        <vt:lpwstr>http://www.nevo.co.il/case/27894608</vt:lpwstr>
      </vt:variant>
      <vt:variant>
        <vt:lpwstr/>
      </vt:variant>
      <vt:variant>
        <vt:i4>3145853</vt:i4>
      </vt:variant>
      <vt:variant>
        <vt:i4>81</vt:i4>
      </vt:variant>
      <vt:variant>
        <vt:i4>0</vt:i4>
      </vt:variant>
      <vt:variant>
        <vt:i4>5</vt:i4>
      </vt:variant>
      <vt:variant>
        <vt:lpwstr>http://www.nevo.co.il/case/26576810</vt:lpwstr>
      </vt:variant>
      <vt:variant>
        <vt:lpwstr/>
      </vt:variant>
      <vt:variant>
        <vt:i4>3604600</vt:i4>
      </vt:variant>
      <vt:variant>
        <vt:i4>78</vt:i4>
      </vt:variant>
      <vt:variant>
        <vt:i4>0</vt:i4>
      </vt:variant>
      <vt:variant>
        <vt:i4>5</vt:i4>
      </vt:variant>
      <vt:variant>
        <vt:lpwstr>http://www.nevo.co.il/case/28301477</vt:lpwstr>
      </vt:variant>
      <vt:variant>
        <vt:lpwstr/>
      </vt:variant>
      <vt:variant>
        <vt:i4>3670139</vt:i4>
      </vt:variant>
      <vt:variant>
        <vt:i4>75</vt:i4>
      </vt:variant>
      <vt:variant>
        <vt:i4>0</vt:i4>
      </vt:variant>
      <vt:variant>
        <vt:i4>5</vt:i4>
      </vt:variant>
      <vt:variant>
        <vt:lpwstr>http://www.nevo.co.il/case/25824863</vt:lpwstr>
      </vt:variant>
      <vt:variant>
        <vt:lpwstr/>
      </vt:variant>
      <vt:variant>
        <vt:i4>4128881</vt:i4>
      </vt:variant>
      <vt:variant>
        <vt:i4>72</vt:i4>
      </vt:variant>
      <vt:variant>
        <vt:i4>0</vt:i4>
      </vt:variant>
      <vt:variant>
        <vt:i4>5</vt:i4>
      </vt:variant>
      <vt:variant>
        <vt:lpwstr>http://www.nevo.co.il/case/27309272</vt:lpwstr>
      </vt:variant>
      <vt:variant>
        <vt:lpwstr/>
      </vt:variant>
      <vt:variant>
        <vt:i4>3735673</vt:i4>
      </vt:variant>
      <vt:variant>
        <vt:i4>69</vt:i4>
      </vt:variant>
      <vt:variant>
        <vt:i4>0</vt:i4>
      </vt:variant>
      <vt:variant>
        <vt:i4>5</vt:i4>
      </vt:variant>
      <vt:variant>
        <vt:lpwstr>http://www.nevo.co.il/case/27734980</vt:lpwstr>
      </vt:variant>
      <vt:variant>
        <vt:lpwstr/>
      </vt:variant>
      <vt:variant>
        <vt:i4>3473524</vt:i4>
      </vt:variant>
      <vt:variant>
        <vt:i4>66</vt:i4>
      </vt:variant>
      <vt:variant>
        <vt:i4>0</vt:i4>
      </vt:variant>
      <vt:variant>
        <vt:i4>5</vt:i4>
      </vt:variant>
      <vt:variant>
        <vt:lpwstr>http://www.nevo.co.il/case/28200855</vt:lpwstr>
      </vt:variant>
      <vt:variant>
        <vt:lpwstr/>
      </vt:variant>
      <vt:variant>
        <vt:i4>3473524</vt:i4>
      </vt:variant>
      <vt:variant>
        <vt:i4>63</vt:i4>
      </vt:variant>
      <vt:variant>
        <vt:i4>0</vt:i4>
      </vt:variant>
      <vt:variant>
        <vt:i4>5</vt:i4>
      </vt:variant>
      <vt:variant>
        <vt:lpwstr>http://www.nevo.co.il/case/25246134</vt:lpwstr>
      </vt:variant>
      <vt:variant>
        <vt:lpwstr/>
      </vt:variant>
      <vt:variant>
        <vt:i4>3932275</vt:i4>
      </vt:variant>
      <vt:variant>
        <vt:i4>60</vt:i4>
      </vt:variant>
      <vt:variant>
        <vt:i4>0</vt:i4>
      </vt:variant>
      <vt:variant>
        <vt:i4>5</vt:i4>
      </vt:variant>
      <vt:variant>
        <vt:lpwstr>http://www.nevo.co.il/case/28274889</vt:lpwstr>
      </vt:variant>
      <vt:variant>
        <vt:lpwstr/>
      </vt:variant>
      <vt:variant>
        <vt:i4>3932276</vt:i4>
      </vt:variant>
      <vt:variant>
        <vt:i4>57</vt:i4>
      </vt:variant>
      <vt:variant>
        <vt:i4>0</vt:i4>
      </vt:variant>
      <vt:variant>
        <vt:i4>5</vt:i4>
      </vt:variant>
      <vt:variant>
        <vt:lpwstr>http://www.nevo.co.il/case/27912651</vt:lpwstr>
      </vt:variant>
      <vt:variant>
        <vt:lpwstr/>
      </vt:variant>
      <vt:variant>
        <vt:i4>3145842</vt:i4>
      </vt:variant>
      <vt:variant>
        <vt:i4>54</vt:i4>
      </vt:variant>
      <vt:variant>
        <vt:i4>0</vt:i4>
      </vt:variant>
      <vt:variant>
        <vt:i4>5</vt:i4>
      </vt:variant>
      <vt:variant>
        <vt:lpwstr>http://www.nevo.co.il/case/28268880</vt:lpwstr>
      </vt:variant>
      <vt:variant>
        <vt:lpwstr/>
      </vt:variant>
      <vt:variant>
        <vt:i4>3473532</vt:i4>
      </vt:variant>
      <vt:variant>
        <vt:i4>51</vt:i4>
      </vt:variant>
      <vt:variant>
        <vt:i4>0</vt:i4>
      </vt:variant>
      <vt:variant>
        <vt:i4>5</vt:i4>
      </vt:variant>
      <vt:variant>
        <vt:lpwstr>http://www.nevo.co.il/case/28182844</vt:lpwstr>
      </vt:variant>
      <vt:variant>
        <vt:lpwstr/>
      </vt:variant>
      <vt:variant>
        <vt:i4>8323182</vt:i4>
      </vt:variant>
      <vt:variant>
        <vt:i4>48</vt:i4>
      </vt:variant>
      <vt:variant>
        <vt:i4>0</vt:i4>
      </vt:variant>
      <vt:variant>
        <vt:i4>5</vt:i4>
      </vt:variant>
      <vt:variant>
        <vt:lpwstr>http://www.nevo.co.il/law/74918</vt:lpwstr>
      </vt:variant>
      <vt:variant>
        <vt:lpwstr/>
      </vt:variant>
      <vt:variant>
        <vt:i4>6881381</vt:i4>
      </vt:variant>
      <vt:variant>
        <vt:i4>45</vt:i4>
      </vt:variant>
      <vt:variant>
        <vt:i4>0</vt:i4>
      </vt:variant>
      <vt:variant>
        <vt:i4>5</vt:i4>
      </vt:variant>
      <vt:variant>
        <vt:lpwstr>http://www.nevo.co.il/law/74918/39</vt:lpwstr>
      </vt:variant>
      <vt:variant>
        <vt:lpwstr/>
      </vt:variant>
      <vt:variant>
        <vt:i4>3407984</vt:i4>
      </vt:variant>
      <vt:variant>
        <vt:i4>42</vt:i4>
      </vt:variant>
      <vt:variant>
        <vt:i4>0</vt:i4>
      </vt:variant>
      <vt:variant>
        <vt:i4>5</vt:i4>
      </vt:variant>
      <vt:variant>
        <vt:lpwstr>http://www.nevo.co.il/case/27648787</vt:lpwstr>
      </vt:variant>
      <vt:variant>
        <vt:lpwstr/>
      </vt:variant>
      <vt:variant>
        <vt:i4>5177424</vt:i4>
      </vt:variant>
      <vt:variant>
        <vt:i4>39</vt:i4>
      </vt:variant>
      <vt:variant>
        <vt:i4>0</vt:i4>
      </vt:variant>
      <vt:variant>
        <vt:i4>5</vt:i4>
      </vt:variant>
      <vt:variant>
        <vt:lpwstr>http://www.nevo.co.il/law/70301/144.g</vt:lpwstr>
      </vt:variant>
      <vt:variant>
        <vt:lpwstr/>
      </vt:variant>
      <vt:variant>
        <vt:i4>3604599</vt:i4>
      </vt:variant>
      <vt:variant>
        <vt:i4>36</vt:i4>
      </vt:variant>
      <vt:variant>
        <vt:i4>0</vt:i4>
      </vt:variant>
      <vt:variant>
        <vt:i4>5</vt:i4>
      </vt:variant>
      <vt:variant>
        <vt:lpwstr>http://www.nevo.co.il/case/27207408</vt:lpwstr>
      </vt:variant>
      <vt:variant>
        <vt:lpwstr/>
      </vt:variant>
      <vt:variant>
        <vt:i4>3932277</vt:i4>
      </vt:variant>
      <vt:variant>
        <vt:i4>33</vt:i4>
      </vt:variant>
      <vt:variant>
        <vt:i4>0</vt:i4>
      </vt:variant>
      <vt:variant>
        <vt:i4>5</vt:i4>
      </vt:variant>
      <vt:variant>
        <vt:lpwstr>http://www.nevo.co.il/case/27907602</vt:lpwstr>
      </vt:variant>
      <vt:variant>
        <vt:lpwstr/>
      </vt:variant>
      <vt:variant>
        <vt:i4>3211377</vt:i4>
      </vt:variant>
      <vt:variant>
        <vt:i4>30</vt:i4>
      </vt:variant>
      <vt:variant>
        <vt:i4>0</vt:i4>
      </vt:variant>
      <vt:variant>
        <vt:i4>5</vt:i4>
      </vt:variant>
      <vt:variant>
        <vt:lpwstr>http://www.nevo.co.il/case/27115374</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6881381</vt:i4>
      </vt:variant>
      <vt:variant>
        <vt:i4>18</vt:i4>
      </vt:variant>
      <vt:variant>
        <vt:i4>0</vt:i4>
      </vt:variant>
      <vt:variant>
        <vt:i4>5</vt:i4>
      </vt:variant>
      <vt:variant>
        <vt:lpwstr>http://www.nevo.co.il/law/74918/39</vt:lpwstr>
      </vt:variant>
      <vt:variant>
        <vt:lpwstr/>
      </vt:variant>
      <vt:variant>
        <vt:i4>8323182</vt:i4>
      </vt:variant>
      <vt:variant>
        <vt:i4>15</vt:i4>
      </vt:variant>
      <vt:variant>
        <vt:i4>0</vt:i4>
      </vt:variant>
      <vt:variant>
        <vt:i4>5</vt:i4>
      </vt:variant>
      <vt:variant>
        <vt:lpwstr>http://www.nevo.co.il/law/74918</vt:lpwstr>
      </vt:variant>
      <vt:variant>
        <vt:lpwstr/>
      </vt:variant>
      <vt:variant>
        <vt:i4>5177424</vt:i4>
      </vt:variant>
      <vt:variant>
        <vt:i4>12</vt:i4>
      </vt:variant>
      <vt:variant>
        <vt:i4>0</vt:i4>
      </vt:variant>
      <vt:variant>
        <vt:i4>5</vt:i4>
      </vt:variant>
      <vt:variant>
        <vt:lpwstr>http://www.nevo.co.il/law/70301/144.g</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http://www.nevo.co.il/law/70301/40g</vt:lpwstr>
      </vt:variant>
      <vt:variant>
        <vt:lpwstr/>
      </vt:variant>
      <vt:variant>
        <vt:i4>6619233</vt:i4>
      </vt:variant>
      <vt:variant>
        <vt:i4>3</vt:i4>
      </vt:variant>
      <vt:variant>
        <vt:i4>0</vt:i4>
      </vt:variant>
      <vt:variant>
        <vt:i4>5</vt:i4>
      </vt:variant>
      <vt:variant>
        <vt:lpwstr>http://www.nevo.co.il/law/70301/40f</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2025-01-19T16:55:00Z</dcterms:created>
  <dcterms:modified xsi:type="dcterms:W3CDTF">2025-01-19T16:55:00Z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30966</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עבד אל סאלם עוודאללה</vt:lpwstr>
  </property>
  <property fmtid="{D5CDD505-2E9C-101B-9397-08002B2CF9AE}" pid="10" name="LAWYER">
    <vt:lpwstr>דקלה לוי-דמרי;רמי עותמאן</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39020230625</vt:lpwstr>
  </property>
  <property fmtid="{D5CDD505-2E9C-101B-9397-08002B2CF9AE}" pid="14" name="WORDNUMPAGES">
    <vt:lpwstr>9</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20230625</vt:lpwstr>
  </property>
  <property fmtid="{D5CDD505-2E9C-101B-9397-08002B2CF9AE}" pid="33" name="TYPE_ABS_DATE">
    <vt:lpwstr>390020230625</vt:lpwstr>
  </property>
  <property fmtid="{D5CDD505-2E9C-101B-9397-08002B2CF9AE}" pid="34" name="ISABSTRACT">
    <vt:lpwstr>Y</vt:lpwstr>
  </property>
  <property fmtid="{D5CDD505-2E9C-101B-9397-08002B2CF9AE}" pid="35" name="CASESLISTTMP1">
    <vt:lpwstr>27115374;27907602;27207408;27648787;28182844;28268880;27912651;28274889;25246134;28200855;27734980;27309272;25824863;28301477;26576810;27894608;27904071;29174839;29243283;29220997;28378067;28513828;28152132;28243273;20513526;23129184;29115258</vt:lpwstr>
  </property>
  <property fmtid="{D5CDD505-2E9C-101B-9397-08002B2CF9AE}" pid="36" name="LAWLISTTMP1">
    <vt:lpwstr>70301/144.a:2;144.g:4;040g;040f</vt:lpwstr>
  </property>
  <property fmtid="{D5CDD505-2E9C-101B-9397-08002B2CF9AE}" pid="37" name="LAWLISTTMP2">
    <vt:lpwstr>74918/039</vt:lpwstr>
  </property>
</Properties>
</file>