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4037A7" w:rsidRPr="003503D9" w14:paraId="55C56990" w14:textId="77777777" w:rsidTr="007023B9">
        <w:trPr>
          <w:gridAfter w:val="1"/>
          <w:wAfter w:w="99" w:type="dxa"/>
          <w:trHeight w:hRule="exact" w:val="418"/>
          <w:jc w:val="center"/>
        </w:trPr>
        <w:tc>
          <w:tcPr>
            <w:tcW w:w="8721" w:type="dxa"/>
            <w:gridSpan w:val="4"/>
          </w:tcPr>
          <w:p w14:paraId="627C4DE6" w14:textId="77777777" w:rsidR="004037A7" w:rsidRPr="003503D9" w:rsidRDefault="004037A7" w:rsidP="00891CD4">
            <w:pPr>
              <w:pStyle w:val="a3"/>
              <w:jc w:val="center"/>
              <w:rPr>
                <w:rFonts w:ascii="Tahoma" w:hAnsi="Tahoma" w:cs="Tahoma"/>
                <w:color w:val="000080"/>
                <w:rtl/>
              </w:rPr>
            </w:pPr>
            <w:bookmarkStart w:id="0" w:name="LastJudge"/>
            <w:r w:rsidRPr="003503D9">
              <w:rPr>
                <w:rFonts w:ascii="Tahoma" w:hAnsi="Tahoma" w:cs="Tahoma"/>
                <w:b/>
                <w:bCs/>
                <w:color w:val="000080"/>
                <w:rtl/>
              </w:rPr>
              <w:t>בית המשפט המחוזי בבאר שבע</w:t>
            </w:r>
          </w:p>
        </w:tc>
      </w:tr>
      <w:tr w:rsidR="004037A7" w:rsidRPr="003503D9" w14:paraId="43D2A7A9" w14:textId="77777777" w:rsidTr="007023B9">
        <w:trPr>
          <w:gridAfter w:val="1"/>
          <w:wAfter w:w="99" w:type="dxa"/>
          <w:trHeight w:val="337"/>
          <w:jc w:val="center"/>
        </w:trPr>
        <w:tc>
          <w:tcPr>
            <w:tcW w:w="5059" w:type="dxa"/>
            <w:gridSpan w:val="3"/>
          </w:tcPr>
          <w:p w14:paraId="116FA091" w14:textId="77777777" w:rsidR="004037A7" w:rsidRPr="003503D9" w:rsidRDefault="004037A7" w:rsidP="00891CD4">
            <w:pPr>
              <w:rPr>
                <w:rFonts w:cs="FrankRuehl"/>
                <w:sz w:val="28"/>
                <w:szCs w:val="28"/>
                <w:rtl/>
              </w:rPr>
            </w:pPr>
            <w:r w:rsidRPr="003503D9">
              <w:rPr>
                <w:rFonts w:cs="FrankRuehl"/>
                <w:sz w:val="28"/>
                <w:szCs w:val="28"/>
                <w:rtl/>
              </w:rPr>
              <w:t>ת"פ</w:t>
            </w:r>
            <w:r w:rsidRPr="003503D9">
              <w:rPr>
                <w:rFonts w:cs="FrankRuehl" w:hint="cs"/>
                <w:sz w:val="28"/>
                <w:szCs w:val="28"/>
                <w:rtl/>
              </w:rPr>
              <w:t xml:space="preserve"> </w:t>
            </w:r>
            <w:r w:rsidRPr="003503D9">
              <w:rPr>
                <w:rFonts w:cs="FrankRuehl"/>
                <w:sz w:val="28"/>
                <w:szCs w:val="28"/>
                <w:rtl/>
              </w:rPr>
              <w:t>43742-07-22</w:t>
            </w:r>
            <w:r w:rsidRPr="003503D9">
              <w:rPr>
                <w:rFonts w:cs="FrankRuehl" w:hint="cs"/>
                <w:sz w:val="28"/>
                <w:szCs w:val="28"/>
                <w:rtl/>
              </w:rPr>
              <w:t xml:space="preserve"> </w:t>
            </w:r>
            <w:r w:rsidRPr="003503D9">
              <w:rPr>
                <w:rFonts w:cs="FrankRuehl"/>
                <w:sz w:val="28"/>
                <w:szCs w:val="28"/>
                <w:rtl/>
              </w:rPr>
              <w:t>מדינת ישראל נ' אלסייד(עציר) ואח'</w:t>
            </w:r>
          </w:p>
          <w:p w14:paraId="026F99B2" w14:textId="77777777" w:rsidR="004037A7" w:rsidRPr="003503D9" w:rsidRDefault="004037A7" w:rsidP="00891CD4">
            <w:pPr>
              <w:pStyle w:val="a3"/>
              <w:rPr>
                <w:rFonts w:cs="FrankRuehl"/>
                <w:sz w:val="28"/>
                <w:szCs w:val="28"/>
                <w:rtl/>
              </w:rPr>
            </w:pPr>
          </w:p>
        </w:tc>
        <w:tc>
          <w:tcPr>
            <w:tcW w:w="3662" w:type="dxa"/>
          </w:tcPr>
          <w:p w14:paraId="0E67EBED" w14:textId="77777777" w:rsidR="004037A7" w:rsidRPr="003503D9" w:rsidRDefault="004037A7" w:rsidP="00891CD4">
            <w:pPr>
              <w:pStyle w:val="a3"/>
              <w:jc w:val="right"/>
              <w:rPr>
                <w:rFonts w:cs="FrankRuehl"/>
                <w:sz w:val="28"/>
                <w:szCs w:val="28"/>
                <w:rtl/>
              </w:rPr>
            </w:pPr>
          </w:p>
        </w:tc>
      </w:tr>
      <w:tr w:rsidR="004037A7" w:rsidRPr="003503D9" w14:paraId="66C53A6E" w14:textId="77777777" w:rsidTr="0070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376D098" w14:textId="77777777" w:rsidR="004037A7" w:rsidRPr="003503D9" w:rsidRDefault="004037A7" w:rsidP="004037A7">
            <w:pPr>
              <w:jc w:val="both"/>
              <w:rPr>
                <w:rFonts w:ascii="David" w:hAnsi="David"/>
                <w:sz w:val="26"/>
                <w:szCs w:val="26"/>
              </w:rPr>
            </w:pPr>
            <w:r w:rsidRPr="003503D9">
              <w:rPr>
                <w:rFonts w:hint="cs"/>
                <w:rtl/>
              </w:rPr>
              <w:t xml:space="preserve"> </w:t>
            </w:r>
            <w:r w:rsidRPr="003503D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02D14AA" w14:textId="77777777" w:rsidR="004037A7" w:rsidRPr="003503D9" w:rsidRDefault="004037A7" w:rsidP="00891CD4">
            <w:pPr>
              <w:rPr>
                <w:rFonts w:ascii="David" w:hAnsi="David"/>
                <w:b/>
                <w:bCs/>
                <w:sz w:val="26"/>
                <w:szCs w:val="26"/>
                <w:rtl/>
              </w:rPr>
            </w:pPr>
            <w:r w:rsidRPr="003503D9">
              <w:rPr>
                <w:rFonts w:ascii="David" w:hAnsi="David"/>
                <w:b/>
                <w:bCs/>
                <w:sz w:val="26"/>
                <w:szCs w:val="26"/>
                <w:rtl/>
              </w:rPr>
              <w:t>כבוד השופט  אלון גביזון</w:t>
            </w:r>
          </w:p>
          <w:p w14:paraId="5C7E6F22" w14:textId="77777777" w:rsidR="004037A7" w:rsidRPr="003503D9" w:rsidRDefault="004037A7" w:rsidP="00891CD4">
            <w:pPr>
              <w:rPr>
                <w:rFonts w:ascii="David" w:hAnsi="David"/>
                <w:sz w:val="26"/>
                <w:szCs w:val="26"/>
                <w:rtl/>
              </w:rPr>
            </w:pPr>
          </w:p>
          <w:p w14:paraId="797A6017" w14:textId="77777777" w:rsidR="004037A7" w:rsidRPr="003503D9" w:rsidRDefault="004037A7" w:rsidP="004037A7">
            <w:pPr>
              <w:jc w:val="both"/>
              <w:rPr>
                <w:rFonts w:ascii="David" w:hAnsi="David"/>
                <w:sz w:val="26"/>
                <w:szCs w:val="26"/>
              </w:rPr>
            </w:pPr>
          </w:p>
        </w:tc>
      </w:tr>
      <w:tr w:rsidR="004037A7" w:rsidRPr="003503D9" w14:paraId="6C77530D" w14:textId="77777777" w:rsidTr="0070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5F7357" w14:textId="77777777" w:rsidR="004037A7" w:rsidRPr="003503D9" w:rsidRDefault="004037A7" w:rsidP="004037A7">
            <w:pPr>
              <w:jc w:val="both"/>
              <w:rPr>
                <w:rFonts w:ascii="David" w:hAnsi="David"/>
                <w:sz w:val="26"/>
                <w:szCs w:val="26"/>
              </w:rPr>
            </w:pPr>
            <w:bookmarkStart w:id="1" w:name="FirstAppellant"/>
            <w:bookmarkStart w:id="2" w:name="FirstLawyer"/>
            <w:r w:rsidRPr="003503D9">
              <w:rPr>
                <w:rFonts w:ascii="David" w:hAnsi="David"/>
                <w:sz w:val="26"/>
                <w:szCs w:val="26"/>
                <w:rtl/>
              </w:rPr>
              <w:t>בעניין:</w:t>
            </w:r>
          </w:p>
        </w:tc>
        <w:tc>
          <w:tcPr>
            <w:tcW w:w="3219" w:type="dxa"/>
            <w:tcBorders>
              <w:top w:val="nil"/>
              <w:left w:val="nil"/>
              <w:bottom w:val="nil"/>
              <w:right w:val="nil"/>
            </w:tcBorders>
            <w:shd w:val="clear" w:color="auto" w:fill="auto"/>
          </w:tcPr>
          <w:p w14:paraId="63D8A13A" w14:textId="77777777" w:rsidR="004037A7" w:rsidRPr="003503D9" w:rsidRDefault="004037A7" w:rsidP="004037A7">
            <w:pPr>
              <w:suppressLineNumbers/>
            </w:pPr>
            <w:r w:rsidRPr="003503D9">
              <w:rPr>
                <w:rFonts w:ascii="Arial" w:hAnsi="Arial" w:hint="cs"/>
                <w:b/>
                <w:bCs/>
                <w:sz w:val="26"/>
                <w:szCs w:val="26"/>
                <w:rtl/>
              </w:rPr>
              <w:t>ה</w:t>
            </w:r>
            <w:r w:rsidRPr="003503D9">
              <w:rPr>
                <w:rFonts w:ascii="Arial" w:hAnsi="Arial"/>
                <w:b/>
                <w:bCs/>
                <w:sz w:val="26"/>
                <w:szCs w:val="26"/>
                <w:rtl/>
              </w:rPr>
              <w:t>מאשימה</w:t>
            </w:r>
          </w:p>
          <w:p w14:paraId="08AE18FF" w14:textId="77777777" w:rsidR="004037A7" w:rsidRPr="003503D9" w:rsidRDefault="004037A7" w:rsidP="00891CD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A01A9D5" w14:textId="77777777" w:rsidR="004037A7" w:rsidRPr="003503D9" w:rsidRDefault="004037A7" w:rsidP="004037A7">
            <w:pPr>
              <w:suppressLineNumbers/>
              <w:rPr>
                <w:rFonts w:ascii="Arial" w:hAnsi="Arial"/>
                <w:b/>
                <w:bCs/>
                <w:sz w:val="26"/>
                <w:szCs w:val="26"/>
                <w:rtl/>
              </w:rPr>
            </w:pPr>
            <w:r w:rsidRPr="003503D9">
              <w:rPr>
                <w:rFonts w:ascii="Arial" w:hAnsi="Arial"/>
                <w:b/>
                <w:bCs/>
                <w:sz w:val="26"/>
                <w:szCs w:val="26"/>
                <w:rtl/>
              </w:rPr>
              <w:t>מדינת ישראל</w:t>
            </w:r>
            <w:r w:rsidRPr="003503D9">
              <w:rPr>
                <w:rFonts w:ascii="Arial" w:hAnsi="Arial" w:hint="cs"/>
                <w:b/>
                <w:bCs/>
                <w:sz w:val="26"/>
                <w:szCs w:val="26"/>
                <w:rtl/>
              </w:rPr>
              <w:t xml:space="preserve"> </w:t>
            </w:r>
          </w:p>
          <w:p w14:paraId="4CDD16E3" w14:textId="77777777" w:rsidR="004037A7" w:rsidRPr="003503D9" w:rsidRDefault="004037A7" w:rsidP="004037A7">
            <w:pPr>
              <w:suppressLineNumbers/>
            </w:pPr>
            <w:r w:rsidRPr="003503D9">
              <w:rPr>
                <w:rFonts w:ascii="Arial" w:hAnsi="Arial"/>
                <w:b/>
                <w:bCs/>
                <w:sz w:val="26"/>
                <w:szCs w:val="26"/>
                <w:rtl/>
              </w:rPr>
              <w:t>ע"י ב"כ עוה"ד</w:t>
            </w:r>
            <w:r w:rsidRPr="003503D9">
              <w:rPr>
                <w:rFonts w:ascii="Arial" w:hAnsi="Arial" w:hint="cs"/>
                <w:b/>
                <w:bCs/>
                <w:sz w:val="26"/>
                <w:szCs w:val="26"/>
                <w:rtl/>
              </w:rPr>
              <w:t xml:space="preserve">  שירין מחאג'נה</w:t>
            </w:r>
          </w:p>
          <w:p w14:paraId="58C3D961" w14:textId="77777777" w:rsidR="004037A7" w:rsidRPr="003503D9" w:rsidRDefault="004037A7" w:rsidP="00891CD4">
            <w:pPr>
              <w:rPr>
                <w:rFonts w:ascii="David" w:hAnsi="David"/>
                <w:sz w:val="26"/>
                <w:szCs w:val="26"/>
              </w:rPr>
            </w:pPr>
          </w:p>
        </w:tc>
      </w:tr>
      <w:bookmarkEnd w:id="1"/>
      <w:bookmarkEnd w:id="2"/>
      <w:tr w:rsidR="004037A7" w:rsidRPr="003503D9" w14:paraId="5CE8463E" w14:textId="77777777" w:rsidTr="0070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B9FA62" w14:textId="77777777" w:rsidR="004037A7" w:rsidRPr="003503D9" w:rsidRDefault="004037A7" w:rsidP="004037A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1C7415D" w14:textId="77777777" w:rsidR="004037A7" w:rsidRPr="003503D9" w:rsidRDefault="004037A7" w:rsidP="004037A7">
            <w:pPr>
              <w:jc w:val="center"/>
              <w:rPr>
                <w:rFonts w:ascii="David" w:hAnsi="David"/>
                <w:b/>
                <w:bCs/>
                <w:sz w:val="26"/>
                <w:szCs w:val="26"/>
                <w:rtl/>
              </w:rPr>
            </w:pPr>
          </w:p>
          <w:p w14:paraId="64237CBA" w14:textId="77777777" w:rsidR="004037A7" w:rsidRPr="003503D9" w:rsidRDefault="004037A7" w:rsidP="004037A7">
            <w:pPr>
              <w:jc w:val="center"/>
              <w:rPr>
                <w:rFonts w:ascii="David" w:hAnsi="David"/>
                <w:b/>
                <w:bCs/>
                <w:sz w:val="26"/>
                <w:szCs w:val="26"/>
                <w:rtl/>
              </w:rPr>
            </w:pPr>
            <w:r w:rsidRPr="003503D9">
              <w:rPr>
                <w:rFonts w:ascii="David" w:hAnsi="David"/>
                <w:b/>
                <w:bCs/>
                <w:sz w:val="26"/>
                <w:szCs w:val="26"/>
                <w:rtl/>
              </w:rPr>
              <w:t>נגד</w:t>
            </w:r>
          </w:p>
          <w:p w14:paraId="4074D3A5" w14:textId="77777777" w:rsidR="004037A7" w:rsidRPr="003503D9" w:rsidRDefault="004037A7" w:rsidP="004037A7">
            <w:pPr>
              <w:jc w:val="both"/>
              <w:rPr>
                <w:rFonts w:ascii="David" w:hAnsi="David"/>
                <w:sz w:val="26"/>
                <w:szCs w:val="26"/>
              </w:rPr>
            </w:pPr>
          </w:p>
        </w:tc>
      </w:tr>
      <w:tr w:rsidR="004037A7" w:rsidRPr="003503D9" w14:paraId="3ABDD0F4" w14:textId="77777777" w:rsidTr="0070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DBA88A" w14:textId="77777777" w:rsidR="004037A7" w:rsidRPr="003503D9" w:rsidRDefault="004037A7" w:rsidP="00891CD4">
            <w:pPr>
              <w:rPr>
                <w:rFonts w:ascii="David" w:hAnsi="David"/>
                <w:sz w:val="26"/>
                <w:szCs w:val="26"/>
                <w:rtl/>
              </w:rPr>
            </w:pPr>
          </w:p>
        </w:tc>
        <w:tc>
          <w:tcPr>
            <w:tcW w:w="3219" w:type="dxa"/>
            <w:tcBorders>
              <w:top w:val="nil"/>
              <w:left w:val="nil"/>
              <w:bottom w:val="nil"/>
              <w:right w:val="nil"/>
            </w:tcBorders>
            <w:shd w:val="clear" w:color="auto" w:fill="auto"/>
          </w:tcPr>
          <w:p w14:paraId="66DDA52D" w14:textId="77777777" w:rsidR="004037A7" w:rsidRPr="003503D9" w:rsidRDefault="004037A7" w:rsidP="00891CD4">
            <w:pPr>
              <w:rPr>
                <w:rFonts w:ascii="Arial" w:hAnsi="Arial"/>
                <w:b/>
                <w:bCs/>
                <w:sz w:val="26"/>
                <w:szCs w:val="26"/>
                <w:rtl/>
              </w:rPr>
            </w:pPr>
            <w:r w:rsidRPr="003503D9">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0169087" w14:textId="77777777" w:rsidR="004037A7" w:rsidRPr="003503D9" w:rsidRDefault="004037A7" w:rsidP="00891CD4">
            <w:pPr>
              <w:rPr>
                <w:rFonts w:ascii="David" w:hAnsi="David"/>
                <w:sz w:val="26"/>
                <w:szCs w:val="26"/>
              </w:rPr>
            </w:pPr>
          </w:p>
          <w:p w14:paraId="5CB37B6F" w14:textId="77777777" w:rsidR="004037A7" w:rsidRPr="003503D9" w:rsidRDefault="004037A7" w:rsidP="004037A7">
            <w:pPr>
              <w:suppressLineNumbers/>
              <w:rPr>
                <w:rFonts w:ascii="Arial" w:hAnsi="Arial"/>
                <w:b/>
                <w:bCs/>
                <w:sz w:val="26"/>
                <w:szCs w:val="26"/>
                <w:rtl/>
              </w:rPr>
            </w:pPr>
            <w:r w:rsidRPr="003503D9">
              <w:rPr>
                <w:rFonts w:ascii="Arial" w:hAnsi="Arial"/>
                <w:b/>
                <w:bCs/>
                <w:sz w:val="26"/>
                <w:szCs w:val="26"/>
                <w:rtl/>
              </w:rPr>
              <w:t xml:space="preserve">1. עבדאללה אלסייד </w:t>
            </w:r>
            <w:r w:rsidRPr="003503D9">
              <w:rPr>
                <w:rFonts w:ascii="Arial" w:hAnsi="Arial" w:hint="cs"/>
                <w:b/>
                <w:bCs/>
                <w:sz w:val="26"/>
                <w:szCs w:val="26"/>
                <w:rtl/>
              </w:rPr>
              <w:t xml:space="preserve"> </w:t>
            </w:r>
          </w:p>
          <w:p w14:paraId="6C933CD8" w14:textId="77777777" w:rsidR="004037A7" w:rsidRPr="003503D9" w:rsidRDefault="004037A7" w:rsidP="004037A7">
            <w:pPr>
              <w:suppressLineNumbers/>
              <w:rPr>
                <w:rFonts w:ascii="Arial" w:hAnsi="Arial"/>
                <w:b/>
                <w:bCs/>
                <w:sz w:val="26"/>
                <w:szCs w:val="26"/>
                <w:rtl/>
              </w:rPr>
            </w:pPr>
            <w:r w:rsidRPr="003503D9">
              <w:rPr>
                <w:rFonts w:ascii="Arial" w:hAnsi="Arial" w:hint="cs"/>
                <w:b/>
                <w:bCs/>
                <w:sz w:val="26"/>
                <w:szCs w:val="26"/>
                <w:rtl/>
              </w:rPr>
              <w:t xml:space="preserve">     </w:t>
            </w:r>
            <w:r w:rsidRPr="003503D9">
              <w:rPr>
                <w:rFonts w:ascii="Arial" w:hAnsi="Arial"/>
                <w:b/>
                <w:bCs/>
                <w:sz w:val="26"/>
                <w:szCs w:val="26"/>
                <w:rtl/>
              </w:rPr>
              <w:t>ע"י ב"כ עוה"ד</w:t>
            </w:r>
            <w:r w:rsidRPr="003503D9">
              <w:rPr>
                <w:rFonts w:ascii="Arial" w:hAnsi="Arial" w:hint="cs"/>
                <w:b/>
                <w:bCs/>
                <w:sz w:val="26"/>
                <w:szCs w:val="26"/>
                <w:rtl/>
              </w:rPr>
              <w:t xml:space="preserve"> אלעד אזולאי </w:t>
            </w:r>
          </w:p>
          <w:p w14:paraId="67921D68" w14:textId="77777777" w:rsidR="004037A7" w:rsidRPr="003503D9" w:rsidRDefault="004037A7" w:rsidP="004037A7">
            <w:pPr>
              <w:suppressLineNumbers/>
            </w:pPr>
          </w:p>
          <w:p w14:paraId="6B7F1132" w14:textId="77777777" w:rsidR="004037A7" w:rsidRPr="003503D9" w:rsidRDefault="004037A7" w:rsidP="004037A7">
            <w:pPr>
              <w:suppressLineNumbers/>
              <w:rPr>
                <w:rFonts w:ascii="Arial" w:hAnsi="Arial"/>
                <w:b/>
                <w:bCs/>
                <w:sz w:val="26"/>
                <w:szCs w:val="26"/>
                <w:rtl/>
              </w:rPr>
            </w:pPr>
            <w:r w:rsidRPr="003503D9">
              <w:rPr>
                <w:rFonts w:ascii="Arial" w:hAnsi="Arial"/>
                <w:b/>
                <w:bCs/>
                <w:sz w:val="26"/>
                <w:szCs w:val="26"/>
                <w:rtl/>
              </w:rPr>
              <w:t xml:space="preserve">2. פוזי אלסייד </w:t>
            </w:r>
            <w:r w:rsidRPr="003503D9">
              <w:rPr>
                <w:rFonts w:ascii="Arial" w:hAnsi="Arial" w:hint="cs"/>
                <w:b/>
                <w:bCs/>
                <w:sz w:val="26"/>
                <w:szCs w:val="26"/>
                <w:rtl/>
              </w:rPr>
              <w:t xml:space="preserve"> </w:t>
            </w:r>
          </w:p>
          <w:p w14:paraId="04C39305" w14:textId="77777777" w:rsidR="004037A7" w:rsidRPr="003503D9" w:rsidRDefault="004037A7" w:rsidP="004037A7">
            <w:pPr>
              <w:suppressLineNumbers/>
              <w:rPr>
                <w:rFonts w:ascii="Arial" w:hAnsi="Arial"/>
                <w:b/>
                <w:bCs/>
                <w:sz w:val="26"/>
                <w:szCs w:val="26"/>
                <w:rtl/>
              </w:rPr>
            </w:pPr>
            <w:r w:rsidRPr="003503D9">
              <w:rPr>
                <w:rFonts w:ascii="Arial" w:hAnsi="Arial" w:hint="cs"/>
                <w:b/>
                <w:bCs/>
                <w:sz w:val="26"/>
                <w:szCs w:val="26"/>
                <w:rtl/>
              </w:rPr>
              <w:t xml:space="preserve">     </w:t>
            </w:r>
            <w:r w:rsidRPr="003503D9">
              <w:rPr>
                <w:rFonts w:ascii="Arial" w:hAnsi="Arial"/>
                <w:b/>
                <w:bCs/>
                <w:sz w:val="26"/>
                <w:szCs w:val="26"/>
                <w:rtl/>
              </w:rPr>
              <w:t>ע"י ב"כ עוה"ד</w:t>
            </w:r>
            <w:r w:rsidRPr="003503D9">
              <w:rPr>
                <w:rFonts w:ascii="Arial" w:hAnsi="Arial" w:hint="cs"/>
                <w:b/>
                <w:bCs/>
                <w:sz w:val="26"/>
                <w:szCs w:val="26"/>
                <w:rtl/>
              </w:rPr>
              <w:t xml:space="preserve"> תאמר אסדי</w:t>
            </w:r>
          </w:p>
          <w:p w14:paraId="5DEBD100" w14:textId="77777777" w:rsidR="004037A7" w:rsidRPr="003503D9" w:rsidRDefault="004037A7" w:rsidP="004037A7">
            <w:pPr>
              <w:suppressLineNumbers/>
            </w:pPr>
          </w:p>
        </w:tc>
      </w:tr>
    </w:tbl>
    <w:p w14:paraId="1F060652" w14:textId="77777777" w:rsidR="003503D9" w:rsidRPr="003503D9" w:rsidRDefault="003503D9" w:rsidP="003503D9">
      <w:pPr>
        <w:spacing w:before="120" w:after="120" w:line="240" w:lineRule="exact"/>
        <w:ind w:left="283" w:hanging="283"/>
        <w:jc w:val="both"/>
        <w:rPr>
          <w:rFonts w:ascii="FrankRuehl" w:hAnsi="FrankRuehl" w:cs="FrankRuehl"/>
          <w:rtl/>
        </w:rPr>
      </w:pPr>
    </w:p>
    <w:p w14:paraId="452D3DEC" w14:textId="77777777" w:rsidR="003503D9" w:rsidRPr="003503D9" w:rsidRDefault="003503D9" w:rsidP="003503D9">
      <w:pPr>
        <w:rPr>
          <w:sz w:val="26"/>
          <w:szCs w:val="26"/>
          <w:rtl/>
        </w:rPr>
      </w:pPr>
    </w:p>
    <w:p w14:paraId="73AD612C" w14:textId="77777777" w:rsidR="007023B9" w:rsidRPr="007023B9" w:rsidRDefault="007023B9" w:rsidP="007023B9">
      <w:pPr>
        <w:spacing w:before="120" w:after="120" w:line="240" w:lineRule="exact"/>
        <w:ind w:left="283" w:hanging="283"/>
        <w:jc w:val="both"/>
        <w:rPr>
          <w:rFonts w:ascii="FrankRuehl" w:hAnsi="FrankRuehl" w:cs="FrankRuehl"/>
          <w:rtl/>
        </w:rPr>
      </w:pPr>
    </w:p>
    <w:p w14:paraId="5D75B80A" w14:textId="77777777" w:rsidR="00686CFA" w:rsidRPr="00686CFA" w:rsidRDefault="00686CFA" w:rsidP="00686CFA">
      <w:pPr>
        <w:spacing w:before="120" w:after="120" w:line="240" w:lineRule="exact"/>
        <w:ind w:left="283" w:hanging="283"/>
        <w:jc w:val="both"/>
        <w:rPr>
          <w:rFonts w:ascii="FrankRuehl" w:hAnsi="FrankRuehl" w:cs="FrankRuehl"/>
          <w:rtl/>
        </w:rPr>
      </w:pPr>
    </w:p>
    <w:p w14:paraId="08223692" w14:textId="77777777" w:rsidR="00895E19" w:rsidRDefault="00895E19" w:rsidP="00895E19">
      <w:pPr>
        <w:rPr>
          <w:sz w:val="26"/>
          <w:szCs w:val="26"/>
          <w:rtl/>
        </w:rPr>
      </w:pPr>
      <w:bookmarkStart w:id="3" w:name="LawTable"/>
      <w:bookmarkEnd w:id="3"/>
    </w:p>
    <w:p w14:paraId="239437D6" w14:textId="77777777" w:rsidR="00895E19" w:rsidRPr="00895E19" w:rsidRDefault="00895E19" w:rsidP="00895E19">
      <w:pPr>
        <w:spacing w:before="120" w:after="120" w:line="240" w:lineRule="exact"/>
        <w:ind w:left="283" w:hanging="283"/>
        <w:jc w:val="both"/>
        <w:rPr>
          <w:rFonts w:ascii="FrankRuehl" w:hAnsi="FrankRuehl" w:cs="FrankRuehl"/>
          <w:rtl/>
        </w:rPr>
      </w:pPr>
    </w:p>
    <w:p w14:paraId="082EDA72" w14:textId="77777777" w:rsidR="00895E19" w:rsidRPr="00895E19" w:rsidRDefault="00895E19" w:rsidP="00895E19">
      <w:pPr>
        <w:spacing w:before="120" w:after="120" w:line="240" w:lineRule="exact"/>
        <w:ind w:left="283" w:hanging="283"/>
        <w:jc w:val="both"/>
        <w:rPr>
          <w:rFonts w:ascii="FrankRuehl" w:hAnsi="FrankRuehl" w:cs="FrankRuehl"/>
          <w:rtl/>
        </w:rPr>
      </w:pPr>
    </w:p>
    <w:p w14:paraId="087F08C1" w14:textId="77777777" w:rsidR="00895E19" w:rsidRPr="00895E19" w:rsidRDefault="00895E19" w:rsidP="00895E19">
      <w:pPr>
        <w:spacing w:before="120" w:after="120" w:line="240" w:lineRule="exact"/>
        <w:ind w:left="283" w:hanging="283"/>
        <w:jc w:val="both"/>
        <w:rPr>
          <w:rFonts w:ascii="FrankRuehl" w:hAnsi="FrankRuehl" w:cs="FrankRuehl"/>
          <w:rtl/>
        </w:rPr>
      </w:pPr>
      <w:r w:rsidRPr="00895E19">
        <w:rPr>
          <w:rFonts w:ascii="FrankRuehl" w:hAnsi="FrankRuehl" w:cs="FrankRuehl"/>
          <w:rtl/>
        </w:rPr>
        <w:t xml:space="preserve">חקיקה שאוזכרה: </w:t>
      </w:r>
    </w:p>
    <w:p w14:paraId="0C7F9694" w14:textId="77777777" w:rsidR="00895E19" w:rsidRPr="00895E19" w:rsidRDefault="00895E19" w:rsidP="00895E19">
      <w:pPr>
        <w:spacing w:before="120" w:after="120" w:line="240" w:lineRule="exact"/>
        <w:ind w:left="283" w:hanging="283"/>
        <w:jc w:val="both"/>
        <w:rPr>
          <w:rFonts w:ascii="FrankRuehl" w:hAnsi="FrankRuehl" w:cs="FrankRuehl"/>
          <w:rtl/>
        </w:rPr>
      </w:pPr>
      <w:hyperlink r:id="rId7" w:history="1">
        <w:r w:rsidRPr="00895E19">
          <w:rPr>
            <w:rFonts w:ascii="FrankRuehl" w:hAnsi="FrankRuehl" w:cs="FrankRuehl"/>
            <w:color w:val="0000FF"/>
            <w:rtl/>
          </w:rPr>
          <w:t>חוק העונשין, תשל"ז-1977</w:t>
        </w:r>
      </w:hyperlink>
      <w:r w:rsidRPr="00895E19">
        <w:rPr>
          <w:rFonts w:ascii="FrankRuehl" w:hAnsi="FrankRuehl" w:cs="FrankRuehl"/>
          <w:rtl/>
        </w:rPr>
        <w:t xml:space="preserve">: סע'  </w:t>
      </w:r>
      <w:hyperlink r:id="rId8" w:history="1">
        <w:r w:rsidRPr="00895E19">
          <w:rPr>
            <w:rFonts w:ascii="FrankRuehl" w:hAnsi="FrankRuehl" w:cs="FrankRuehl"/>
            <w:color w:val="0000FF"/>
            <w:rtl/>
          </w:rPr>
          <w:t>40 ב</w:t>
        </w:r>
      </w:hyperlink>
      <w:r w:rsidRPr="00895E19">
        <w:rPr>
          <w:rFonts w:ascii="FrankRuehl" w:hAnsi="FrankRuehl" w:cs="FrankRuehl"/>
          <w:rtl/>
        </w:rPr>
        <w:t xml:space="preserve">, </w:t>
      </w:r>
      <w:hyperlink r:id="rId9" w:history="1">
        <w:r w:rsidRPr="00895E19">
          <w:rPr>
            <w:rFonts w:ascii="FrankRuehl" w:hAnsi="FrankRuehl" w:cs="FrankRuehl"/>
            <w:color w:val="0000FF"/>
            <w:rtl/>
          </w:rPr>
          <w:t>40 ג</w:t>
        </w:r>
      </w:hyperlink>
      <w:r w:rsidRPr="00895E19">
        <w:rPr>
          <w:rFonts w:ascii="FrankRuehl" w:hAnsi="FrankRuehl" w:cs="FrankRuehl"/>
          <w:rtl/>
        </w:rPr>
        <w:t xml:space="preserve">, </w:t>
      </w:r>
      <w:hyperlink r:id="rId10" w:history="1">
        <w:r w:rsidRPr="00895E19">
          <w:rPr>
            <w:rFonts w:ascii="FrankRuehl" w:hAnsi="FrankRuehl" w:cs="FrankRuehl"/>
            <w:color w:val="0000FF"/>
            <w:rtl/>
          </w:rPr>
          <w:t>40 ח</w:t>
        </w:r>
      </w:hyperlink>
      <w:r w:rsidRPr="00895E19">
        <w:rPr>
          <w:rFonts w:ascii="FrankRuehl" w:hAnsi="FrankRuehl" w:cs="FrankRuehl"/>
          <w:rtl/>
        </w:rPr>
        <w:t xml:space="preserve">, </w:t>
      </w:r>
      <w:hyperlink r:id="rId11" w:history="1">
        <w:r w:rsidRPr="00895E19">
          <w:rPr>
            <w:rFonts w:ascii="FrankRuehl" w:hAnsi="FrankRuehl" w:cs="FrankRuehl"/>
            <w:color w:val="0000FF"/>
            <w:rtl/>
          </w:rPr>
          <w:t>144</w:t>
        </w:r>
      </w:hyperlink>
      <w:r w:rsidRPr="00895E19">
        <w:rPr>
          <w:rFonts w:ascii="FrankRuehl" w:hAnsi="FrankRuehl" w:cs="FrankRuehl"/>
          <w:rtl/>
        </w:rPr>
        <w:t xml:space="preserve">, </w:t>
      </w:r>
      <w:hyperlink r:id="rId12" w:history="1">
        <w:r w:rsidRPr="00895E19">
          <w:rPr>
            <w:rFonts w:ascii="FrankRuehl" w:hAnsi="FrankRuehl" w:cs="FrankRuehl"/>
            <w:color w:val="0000FF"/>
            <w:rtl/>
          </w:rPr>
          <w:t>144(א)</w:t>
        </w:r>
      </w:hyperlink>
      <w:r w:rsidRPr="00895E19">
        <w:rPr>
          <w:rFonts w:ascii="FrankRuehl" w:hAnsi="FrankRuehl" w:cs="FrankRuehl"/>
          <w:rtl/>
        </w:rPr>
        <w:t xml:space="preserve">, </w:t>
      </w:r>
      <w:hyperlink r:id="rId13" w:history="1">
        <w:r w:rsidRPr="00895E19">
          <w:rPr>
            <w:rFonts w:ascii="FrankRuehl" w:hAnsi="FrankRuehl" w:cs="FrankRuehl"/>
            <w:color w:val="0000FF"/>
            <w:rtl/>
          </w:rPr>
          <w:t>144(ב)</w:t>
        </w:r>
      </w:hyperlink>
      <w:r w:rsidRPr="00895E19">
        <w:rPr>
          <w:rFonts w:ascii="FrankRuehl" w:hAnsi="FrankRuehl" w:cs="FrankRuehl"/>
          <w:rtl/>
        </w:rPr>
        <w:t xml:space="preserve">, </w:t>
      </w:r>
      <w:hyperlink r:id="rId14" w:history="1">
        <w:r w:rsidRPr="00895E19">
          <w:rPr>
            <w:rFonts w:ascii="FrankRuehl" w:hAnsi="FrankRuehl" w:cs="FrankRuehl"/>
            <w:color w:val="0000FF"/>
            <w:rtl/>
          </w:rPr>
          <w:t>340 א</w:t>
        </w:r>
      </w:hyperlink>
      <w:r w:rsidRPr="00895E19">
        <w:rPr>
          <w:rFonts w:ascii="FrankRuehl" w:hAnsi="FrankRuehl" w:cs="FrankRuehl"/>
          <w:rtl/>
        </w:rPr>
        <w:t xml:space="preserve">, </w:t>
      </w:r>
      <w:hyperlink r:id="rId15" w:history="1">
        <w:r w:rsidRPr="00895E19">
          <w:rPr>
            <w:rFonts w:ascii="FrankRuehl" w:hAnsi="FrankRuehl" w:cs="FrankRuehl"/>
            <w:color w:val="0000FF"/>
            <w:rtl/>
          </w:rPr>
          <w:t>340א(א)</w:t>
        </w:r>
      </w:hyperlink>
    </w:p>
    <w:p w14:paraId="15C063AA" w14:textId="77777777" w:rsidR="00895E19" w:rsidRPr="00895E19" w:rsidRDefault="00895E19" w:rsidP="00895E19">
      <w:pPr>
        <w:rPr>
          <w:sz w:val="26"/>
          <w:szCs w:val="26"/>
          <w:rtl/>
        </w:rPr>
      </w:pPr>
      <w:bookmarkStart w:id="4" w:name="LawTable_End"/>
      <w:bookmarkEnd w:id="4"/>
    </w:p>
    <w:p w14:paraId="10BC3791" w14:textId="77777777" w:rsidR="007023B9" w:rsidRPr="00686CFA" w:rsidRDefault="007023B9" w:rsidP="00686CF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37A7" w14:paraId="2685A516" w14:textId="77777777" w:rsidTr="004037A7">
        <w:trPr>
          <w:trHeight w:val="355"/>
          <w:jc w:val="center"/>
        </w:trPr>
        <w:tc>
          <w:tcPr>
            <w:tcW w:w="8820" w:type="dxa"/>
            <w:tcBorders>
              <w:top w:val="nil"/>
              <w:left w:val="nil"/>
              <w:bottom w:val="nil"/>
              <w:right w:val="nil"/>
            </w:tcBorders>
            <w:shd w:val="clear" w:color="auto" w:fill="auto"/>
          </w:tcPr>
          <w:p w14:paraId="1FAC821B" w14:textId="77777777" w:rsidR="003503D9" w:rsidRPr="003503D9" w:rsidRDefault="003503D9" w:rsidP="003503D9">
            <w:pPr>
              <w:jc w:val="center"/>
              <w:rPr>
                <w:rFonts w:ascii="David" w:hAnsi="David"/>
                <w:b/>
                <w:bCs/>
                <w:sz w:val="32"/>
                <w:szCs w:val="32"/>
                <w:u w:val="single"/>
                <w:rtl/>
              </w:rPr>
            </w:pPr>
            <w:bookmarkStart w:id="5" w:name="PsakDin" w:colFirst="0" w:colLast="0"/>
            <w:bookmarkEnd w:id="0"/>
            <w:r w:rsidRPr="003503D9">
              <w:rPr>
                <w:rFonts w:ascii="David" w:hAnsi="David"/>
                <w:b/>
                <w:bCs/>
                <w:sz w:val="32"/>
                <w:szCs w:val="32"/>
                <w:u w:val="single"/>
                <w:rtl/>
              </w:rPr>
              <w:t>גזר דין</w:t>
            </w:r>
          </w:p>
          <w:p w14:paraId="380803C6" w14:textId="77777777" w:rsidR="004037A7" w:rsidRPr="003503D9" w:rsidRDefault="004037A7" w:rsidP="003503D9">
            <w:pPr>
              <w:jc w:val="center"/>
              <w:rPr>
                <w:rFonts w:ascii="David" w:hAnsi="David"/>
                <w:bCs/>
                <w:sz w:val="32"/>
                <w:szCs w:val="32"/>
                <w:u w:val="single"/>
                <w:rtl/>
              </w:rPr>
            </w:pPr>
          </w:p>
        </w:tc>
      </w:tr>
      <w:bookmarkEnd w:id="5"/>
    </w:tbl>
    <w:p w14:paraId="701B14E1" w14:textId="77777777" w:rsidR="004037A7" w:rsidRDefault="004037A7" w:rsidP="004037A7">
      <w:pPr>
        <w:jc w:val="center"/>
        <w:rPr>
          <w:rFonts w:ascii="David" w:hAnsi="David"/>
          <w:b/>
          <w:bCs/>
          <w:sz w:val="32"/>
          <w:szCs w:val="32"/>
          <w:u w:val="single"/>
          <w:rtl/>
        </w:rPr>
      </w:pPr>
    </w:p>
    <w:p w14:paraId="59FCFE69" w14:textId="77777777" w:rsidR="004037A7" w:rsidRDefault="004037A7" w:rsidP="004037A7">
      <w:pPr>
        <w:rPr>
          <w:rFonts w:ascii="David" w:hAnsi="David"/>
          <w:b/>
          <w:bCs/>
          <w:sz w:val="28"/>
          <w:szCs w:val="28"/>
          <w:rtl/>
        </w:rPr>
      </w:pPr>
      <w:r>
        <w:rPr>
          <w:rFonts w:ascii="David" w:hAnsi="David"/>
          <w:b/>
          <w:bCs/>
          <w:sz w:val="28"/>
          <w:szCs w:val="28"/>
          <w:rtl/>
        </w:rPr>
        <w:t>האישום והסדר הטיעון:</w:t>
      </w:r>
    </w:p>
    <w:p w14:paraId="59B8F9F4" w14:textId="77777777" w:rsidR="004037A7" w:rsidRDefault="004037A7" w:rsidP="004037A7">
      <w:pPr>
        <w:jc w:val="both"/>
        <w:rPr>
          <w:rFonts w:ascii="David" w:hAnsi="David"/>
          <w:b/>
          <w:bCs/>
          <w:u w:val="single"/>
          <w:rtl/>
        </w:rPr>
      </w:pPr>
    </w:p>
    <w:p w14:paraId="2859F07D" w14:textId="77777777" w:rsidR="004037A7" w:rsidRDefault="004037A7" w:rsidP="004037A7">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הנאשמים 1</w:t>
      </w:r>
      <w:r>
        <w:rPr>
          <w:rFonts w:ascii="David" w:hAnsi="David" w:cs="David" w:hint="cs"/>
          <w:sz w:val="24"/>
          <w:szCs w:val="24"/>
          <w:rtl/>
        </w:rPr>
        <w:t xml:space="preserve"> </w:t>
      </w:r>
      <w:r>
        <w:rPr>
          <w:rFonts w:ascii="David" w:hAnsi="David" w:cs="David"/>
          <w:sz w:val="24"/>
          <w:szCs w:val="24"/>
          <w:rtl/>
        </w:rPr>
        <w:t>ו</w:t>
      </w:r>
      <w:r>
        <w:rPr>
          <w:rFonts w:ascii="David" w:hAnsi="David" w:cs="David" w:hint="cs"/>
          <w:sz w:val="24"/>
          <w:szCs w:val="24"/>
          <w:rtl/>
        </w:rPr>
        <w:t>-</w:t>
      </w:r>
      <w:r>
        <w:rPr>
          <w:rFonts w:ascii="David" w:hAnsi="David" w:cs="David"/>
          <w:sz w:val="24"/>
          <w:szCs w:val="24"/>
          <w:rtl/>
        </w:rPr>
        <w:t xml:space="preserve"> 2 הורשעו על פי הודאתם בכתב אישום מתוקן בעבירות כדלקמן: </w:t>
      </w:r>
    </w:p>
    <w:p w14:paraId="1D6BC600" w14:textId="77777777" w:rsidR="004037A7" w:rsidRDefault="004037A7" w:rsidP="004037A7">
      <w:pPr>
        <w:pStyle w:val="a9"/>
        <w:spacing w:line="360" w:lineRule="auto"/>
        <w:jc w:val="both"/>
        <w:rPr>
          <w:rFonts w:ascii="David" w:hAnsi="David" w:cs="David"/>
          <w:sz w:val="24"/>
          <w:szCs w:val="24"/>
        </w:rPr>
      </w:pPr>
    </w:p>
    <w:p w14:paraId="4A97B8A1" w14:textId="77777777" w:rsidR="004037A7" w:rsidRDefault="004037A7" w:rsidP="004037A7">
      <w:pPr>
        <w:pStyle w:val="a9"/>
        <w:spacing w:line="360" w:lineRule="auto"/>
        <w:jc w:val="both"/>
        <w:rPr>
          <w:rFonts w:ascii="David" w:hAnsi="David" w:cs="David"/>
          <w:b/>
          <w:bCs/>
          <w:sz w:val="24"/>
          <w:szCs w:val="24"/>
        </w:rPr>
      </w:pPr>
      <w:r>
        <w:rPr>
          <w:rFonts w:ascii="David" w:hAnsi="David" w:cs="David"/>
          <w:b/>
          <w:bCs/>
          <w:sz w:val="24"/>
          <w:szCs w:val="24"/>
          <w:rtl/>
        </w:rPr>
        <w:t xml:space="preserve">נאשם 1: </w:t>
      </w:r>
    </w:p>
    <w:p w14:paraId="3992CF08" w14:textId="77777777" w:rsidR="004037A7" w:rsidRDefault="004037A7" w:rsidP="004037A7">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עבירות בנשק (נשיאה והובלה) – עבירה לפי </w:t>
      </w:r>
      <w:hyperlink r:id="rId16" w:history="1">
        <w:r w:rsidR="007023B9" w:rsidRPr="007023B9">
          <w:rPr>
            <w:rStyle w:val="Hyperlink"/>
            <w:rFonts w:ascii="David" w:hAnsi="David" w:cs="David"/>
            <w:sz w:val="24"/>
            <w:szCs w:val="24"/>
            <w:rtl/>
          </w:rPr>
          <w:t>סעיף 144(ב)</w:t>
        </w:r>
      </w:hyperlink>
      <w:r>
        <w:rPr>
          <w:rFonts w:ascii="David" w:hAnsi="David" w:cs="David"/>
          <w:sz w:val="24"/>
          <w:szCs w:val="24"/>
          <w:rtl/>
        </w:rPr>
        <w:t xml:space="preserve"> ל</w:t>
      </w:r>
      <w:hyperlink r:id="rId17"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תשל"ז-1977 (להלן: "</w:t>
      </w:r>
      <w:r>
        <w:rPr>
          <w:rFonts w:ascii="David" w:hAnsi="David" w:cs="David"/>
          <w:b/>
          <w:bCs/>
          <w:sz w:val="24"/>
          <w:szCs w:val="24"/>
          <w:rtl/>
        </w:rPr>
        <w:t>החוק</w:t>
      </w:r>
      <w:r>
        <w:rPr>
          <w:rFonts w:ascii="David" w:hAnsi="David" w:cs="David"/>
          <w:sz w:val="24"/>
          <w:szCs w:val="24"/>
          <w:rtl/>
        </w:rPr>
        <w:t>").</w:t>
      </w:r>
    </w:p>
    <w:p w14:paraId="501D37E1" w14:textId="77777777" w:rsidR="004037A7" w:rsidRDefault="004037A7" w:rsidP="004037A7">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ירי מנשק חם – עבירה לפי </w:t>
      </w:r>
      <w:hyperlink r:id="rId18" w:history="1">
        <w:r w:rsidR="007023B9" w:rsidRPr="007023B9">
          <w:rPr>
            <w:rStyle w:val="Hyperlink"/>
            <w:rFonts w:ascii="David" w:hAnsi="David" w:cs="David"/>
            <w:sz w:val="24"/>
            <w:szCs w:val="24"/>
            <w:rtl/>
          </w:rPr>
          <w:t>סעיף 340א(א)</w:t>
        </w:r>
      </w:hyperlink>
      <w:r>
        <w:rPr>
          <w:rFonts w:ascii="David" w:hAnsi="David" w:cs="David"/>
          <w:sz w:val="24"/>
          <w:szCs w:val="24"/>
          <w:rtl/>
        </w:rPr>
        <w:t xml:space="preserve"> לחוק. </w:t>
      </w:r>
    </w:p>
    <w:p w14:paraId="0BF581A4" w14:textId="77777777" w:rsidR="004037A7" w:rsidRDefault="004037A7" w:rsidP="004037A7">
      <w:pPr>
        <w:pStyle w:val="a9"/>
        <w:spacing w:line="360" w:lineRule="auto"/>
        <w:ind w:left="1080"/>
        <w:jc w:val="both"/>
        <w:rPr>
          <w:rFonts w:ascii="David" w:hAnsi="David" w:cs="David" w:hint="cs"/>
          <w:sz w:val="24"/>
          <w:szCs w:val="24"/>
          <w:rtl/>
        </w:rPr>
      </w:pPr>
      <w:bookmarkStart w:id="7" w:name="ABSTRACT_END"/>
      <w:bookmarkEnd w:id="7"/>
    </w:p>
    <w:p w14:paraId="647B2E51" w14:textId="77777777" w:rsidR="007023B9" w:rsidRDefault="007023B9" w:rsidP="004037A7">
      <w:pPr>
        <w:pStyle w:val="a9"/>
        <w:spacing w:line="360" w:lineRule="auto"/>
        <w:ind w:left="1080"/>
        <w:jc w:val="both"/>
        <w:rPr>
          <w:rFonts w:ascii="David" w:hAnsi="David" w:cs="David" w:hint="cs"/>
          <w:sz w:val="24"/>
          <w:szCs w:val="24"/>
          <w:rtl/>
        </w:rPr>
      </w:pPr>
    </w:p>
    <w:p w14:paraId="64ACCD0A" w14:textId="77777777" w:rsidR="007023B9" w:rsidRDefault="007023B9" w:rsidP="004037A7">
      <w:pPr>
        <w:pStyle w:val="a9"/>
        <w:spacing w:line="360" w:lineRule="auto"/>
        <w:ind w:left="1080"/>
        <w:jc w:val="both"/>
        <w:rPr>
          <w:rFonts w:ascii="David" w:hAnsi="David" w:cs="David" w:hint="cs"/>
          <w:sz w:val="24"/>
          <w:szCs w:val="24"/>
          <w:rtl/>
        </w:rPr>
      </w:pPr>
    </w:p>
    <w:p w14:paraId="5442DCE3" w14:textId="77777777" w:rsidR="007023B9" w:rsidRDefault="007023B9" w:rsidP="004037A7">
      <w:pPr>
        <w:pStyle w:val="a9"/>
        <w:spacing w:line="360" w:lineRule="auto"/>
        <w:ind w:left="1080"/>
        <w:jc w:val="both"/>
        <w:rPr>
          <w:rFonts w:ascii="David" w:hAnsi="David" w:cs="David" w:hint="cs"/>
          <w:sz w:val="24"/>
          <w:szCs w:val="24"/>
        </w:rPr>
      </w:pPr>
    </w:p>
    <w:p w14:paraId="2420CBA8" w14:textId="77777777" w:rsidR="004037A7" w:rsidRDefault="004037A7" w:rsidP="004037A7">
      <w:pPr>
        <w:spacing w:line="360" w:lineRule="auto"/>
        <w:ind w:left="720"/>
        <w:jc w:val="both"/>
        <w:rPr>
          <w:rFonts w:ascii="David" w:hAnsi="David"/>
          <w:b/>
          <w:bCs/>
        </w:rPr>
      </w:pPr>
      <w:r>
        <w:rPr>
          <w:rFonts w:ascii="David" w:hAnsi="David"/>
          <w:b/>
          <w:bCs/>
          <w:rtl/>
        </w:rPr>
        <w:t>נאשם 2:</w:t>
      </w:r>
    </w:p>
    <w:p w14:paraId="1931A1AF" w14:textId="77777777" w:rsidR="004037A7" w:rsidRDefault="004037A7" w:rsidP="004037A7">
      <w:pPr>
        <w:pStyle w:val="a9"/>
        <w:numPr>
          <w:ilvl w:val="0"/>
          <w:numId w:val="3"/>
        </w:numPr>
        <w:spacing w:line="360" w:lineRule="auto"/>
        <w:jc w:val="both"/>
        <w:rPr>
          <w:rFonts w:ascii="David" w:hAnsi="David" w:cs="David"/>
          <w:sz w:val="24"/>
          <w:szCs w:val="24"/>
          <w:rtl/>
        </w:rPr>
      </w:pPr>
      <w:r>
        <w:rPr>
          <w:rFonts w:ascii="David" w:hAnsi="David" w:cs="David"/>
          <w:sz w:val="24"/>
          <w:szCs w:val="24"/>
          <w:rtl/>
        </w:rPr>
        <w:t xml:space="preserve">עבירות בנשק (החזקה) – עבירה לפי </w:t>
      </w:r>
      <w:hyperlink r:id="rId19" w:history="1">
        <w:r w:rsidR="007023B9" w:rsidRPr="007023B9">
          <w:rPr>
            <w:rStyle w:val="Hyperlink"/>
            <w:rFonts w:ascii="David" w:hAnsi="David" w:cs="David"/>
            <w:sz w:val="24"/>
            <w:szCs w:val="24"/>
            <w:rtl/>
          </w:rPr>
          <w:t>סעיף 144(א)</w:t>
        </w:r>
      </w:hyperlink>
      <w:r>
        <w:rPr>
          <w:rFonts w:ascii="David" w:hAnsi="David" w:cs="David"/>
          <w:sz w:val="24"/>
          <w:szCs w:val="24"/>
          <w:rtl/>
        </w:rPr>
        <w:t xml:space="preserve"> רישא וסיפא לחוק. </w:t>
      </w:r>
    </w:p>
    <w:p w14:paraId="20146C26" w14:textId="77777777" w:rsidR="004037A7" w:rsidRDefault="004037A7" w:rsidP="004037A7">
      <w:pPr>
        <w:pStyle w:val="a9"/>
        <w:numPr>
          <w:ilvl w:val="0"/>
          <w:numId w:val="3"/>
        </w:numPr>
        <w:spacing w:line="360" w:lineRule="auto"/>
        <w:jc w:val="both"/>
        <w:rPr>
          <w:rFonts w:ascii="David" w:hAnsi="David" w:cs="David"/>
          <w:sz w:val="24"/>
          <w:szCs w:val="24"/>
        </w:rPr>
      </w:pPr>
      <w:r>
        <w:rPr>
          <w:rFonts w:ascii="David" w:hAnsi="David" w:cs="David"/>
          <w:sz w:val="24"/>
          <w:szCs w:val="24"/>
          <w:rtl/>
        </w:rPr>
        <w:t xml:space="preserve">ירי מנשק חם – עבירה לפי </w:t>
      </w:r>
      <w:hyperlink r:id="rId20" w:history="1">
        <w:r w:rsidR="007023B9" w:rsidRPr="007023B9">
          <w:rPr>
            <w:rStyle w:val="Hyperlink"/>
            <w:rFonts w:ascii="David" w:hAnsi="David" w:cs="David"/>
            <w:sz w:val="24"/>
            <w:szCs w:val="24"/>
            <w:rtl/>
          </w:rPr>
          <w:t>סעיף 340א(א)</w:t>
        </w:r>
      </w:hyperlink>
      <w:r>
        <w:rPr>
          <w:rFonts w:ascii="David" w:hAnsi="David" w:cs="David"/>
          <w:sz w:val="24"/>
          <w:szCs w:val="24"/>
          <w:rtl/>
        </w:rPr>
        <w:t xml:space="preserve"> לחוק.</w:t>
      </w:r>
    </w:p>
    <w:p w14:paraId="4A85C2C6" w14:textId="77777777" w:rsidR="004037A7" w:rsidRDefault="004037A7" w:rsidP="004037A7">
      <w:pPr>
        <w:spacing w:line="360" w:lineRule="auto"/>
        <w:jc w:val="both"/>
        <w:rPr>
          <w:rFonts w:ascii="David" w:hAnsi="David"/>
          <w:b/>
          <w:bCs/>
        </w:rPr>
      </w:pPr>
    </w:p>
    <w:p w14:paraId="088DFF06"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על פי עובדות כתב האישום המתוקן בהן הודו הנאשמים בלילה שבין 8.7.22 ל-9.7.22, נאשם 1 נשא והוביל אקדח חצי אוטומטי מסוג </w:t>
      </w:r>
      <w:r>
        <w:rPr>
          <w:rFonts w:ascii="David" w:hAnsi="David" w:cs="David"/>
          <w:sz w:val="24"/>
          <w:szCs w:val="24"/>
        </w:rPr>
        <w:t>CZ</w:t>
      </w:r>
      <w:r>
        <w:rPr>
          <w:rFonts w:ascii="David" w:hAnsi="David" w:cs="David"/>
          <w:sz w:val="24"/>
          <w:szCs w:val="24"/>
          <w:rtl/>
        </w:rPr>
        <w:t>, שיורה ובכוחו להמית אדם (להלן: "</w:t>
      </w:r>
      <w:r>
        <w:rPr>
          <w:rFonts w:ascii="David" w:hAnsi="David" w:cs="David"/>
          <w:b/>
          <w:bCs/>
          <w:sz w:val="24"/>
          <w:szCs w:val="24"/>
          <w:rtl/>
        </w:rPr>
        <w:t>האקדח</w:t>
      </w:r>
      <w:r>
        <w:rPr>
          <w:rFonts w:ascii="David" w:hAnsi="David" w:cs="David"/>
          <w:sz w:val="24"/>
          <w:szCs w:val="24"/>
          <w:rtl/>
        </w:rPr>
        <w:t>"), כשהוא טעון במחסנית תואמת ובה תשעה כדורים בקליבר 9 מ"מ (להלן: "ה</w:t>
      </w:r>
      <w:r>
        <w:rPr>
          <w:rFonts w:ascii="David" w:hAnsi="David" w:cs="David"/>
          <w:b/>
          <w:bCs/>
          <w:sz w:val="24"/>
          <w:szCs w:val="24"/>
          <w:rtl/>
        </w:rPr>
        <w:t>כדורים</w:t>
      </w:r>
      <w:r>
        <w:rPr>
          <w:rFonts w:ascii="David" w:hAnsi="David" w:cs="David"/>
          <w:sz w:val="24"/>
          <w:szCs w:val="24"/>
          <w:rtl/>
        </w:rPr>
        <w:t xml:space="preserve">"). נאשם 1 הגיע עם האקדח לשטח פתוח בסמוך לתחנת הדלק "סונול" בפאתי היישוב חורה. </w:t>
      </w:r>
    </w:p>
    <w:p w14:paraId="4A7D3B88"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 xml:space="preserve">בשלב מסוים הגיע למקום נאשם 2, חבר לנאשם 1 ושני הנאשמים ירו באוויר באמצעות האקדח, כל אחד בתורו, עד שכל הכדורים שהיו במחסנית נורו. </w:t>
      </w:r>
    </w:p>
    <w:p w14:paraId="4161ACA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במהלך הירי כאמור, הנאשמים צילמו אחד את השני באמצעות הטלפון הנייד של נאשם 2 ובין היתר צילמו את נאשם 2 מנופף באקדח ומציג את הכדורים למצלמה. </w:t>
      </w:r>
    </w:p>
    <w:p w14:paraId="5B29006B"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בהמשך לכך הנאשמים עזבו את המקום והגיעו יחד לאזור הסמוך למרכז המסחרי, בכניסה ליישוב חורה, המרוחק כ-40 מטרים ממקום הירי, כשהנאשם 1 נושא את האקדח על גופו, שם נעצרו על ידי המשטרה. </w:t>
      </w:r>
    </w:p>
    <w:p w14:paraId="4F01F7D7"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במעשיו אלה נאשם 1 נשא והוביל נשק ותחמושת בלא רשות על פי דין לנשיאתם ולהובלתם, נאשם 2 החזיק נשק ותחמושת בלי רשות על פי דין להחזקתם ושני הנאשמים בצוותא חדא ירו בנשק חם שלא כדין. </w:t>
      </w:r>
    </w:p>
    <w:p w14:paraId="198DCD52" w14:textId="77777777" w:rsidR="004037A7" w:rsidRDefault="004037A7" w:rsidP="004037A7">
      <w:pPr>
        <w:pStyle w:val="a9"/>
        <w:spacing w:after="0" w:line="360" w:lineRule="auto"/>
        <w:jc w:val="both"/>
        <w:rPr>
          <w:rFonts w:ascii="David" w:hAnsi="David" w:cs="David"/>
          <w:sz w:val="24"/>
          <w:szCs w:val="24"/>
          <w:rtl/>
        </w:rPr>
      </w:pPr>
    </w:p>
    <w:p w14:paraId="700A90F0"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הנאשמים הודו בכתב האישום המתוקן במסגרת הסדר טיעון אשר לא כלל הסכ</w:t>
      </w:r>
      <w:r>
        <w:rPr>
          <w:rFonts w:ascii="David" w:hAnsi="David" w:cs="David" w:hint="cs"/>
          <w:sz w:val="24"/>
          <w:szCs w:val="24"/>
          <w:rtl/>
        </w:rPr>
        <w:t>מ</w:t>
      </w:r>
      <w:r>
        <w:rPr>
          <w:rFonts w:ascii="David" w:hAnsi="David" w:cs="David"/>
          <w:sz w:val="24"/>
          <w:szCs w:val="24"/>
          <w:rtl/>
        </w:rPr>
        <w:t xml:space="preserve">ה עונשית, ונוכח גילם במועד ביצוע העבירות, התבקש שירות המבחן להגיש תסקיר לעונש בעניינם טרם גזירת עונשם. </w:t>
      </w:r>
    </w:p>
    <w:p w14:paraId="60673255" w14:textId="77777777" w:rsidR="004037A7" w:rsidRDefault="004037A7" w:rsidP="004037A7">
      <w:pPr>
        <w:pStyle w:val="a9"/>
        <w:spacing w:after="0" w:line="360" w:lineRule="auto"/>
        <w:jc w:val="both"/>
        <w:rPr>
          <w:rFonts w:ascii="David" w:hAnsi="David" w:cs="David"/>
          <w:sz w:val="24"/>
          <w:szCs w:val="24"/>
          <w:rtl/>
        </w:rPr>
      </w:pPr>
    </w:p>
    <w:p w14:paraId="7202DD7D" w14:textId="77777777" w:rsidR="004037A7" w:rsidRDefault="004037A7" w:rsidP="004037A7">
      <w:pPr>
        <w:spacing w:line="360" w:lineRule="auto"/>
        <w:jc w:val="both"/>
        <w:rPr>
          <w:rFonts w:ascii="David" w:hAnsi="David"/>
          <w:b/>
          <w:bCs/>
          <w:rtl/>
        </w:rPr>
      </w:pPr>
      <w:r>
        <w:rPr>
          <w:rFonts w:ascii="David" w:hAnsi="David"/>
          <w:b/>
          <w:bCs/>
          <w:rtl/>
        </w:rPr>
        <w:t>תסקירי שירות המבחן</w:t>
      </w:r>
      <w:r>
        <w:rPr>
          <w:rFonts w:ascii="David" w:hAnsi="David" w:hint="cs"/>
          <w:b/>
          <w:bCs/>
          <w:rtl/>
        </w:rPr>
        <w:t>:</w:t>
      </w:r>
    </w:p>
    <w:p w14:paraId="72F7F2DA" w14:textId="77777777" w:rsidR="004037A7" w:rsidRDefault="004037A7" w:rsidP="004037A7">
      <w:pPr>
        <w:pStyle w:val="a9"/>
        <w:spacing w:after="0" w:line="360" w:lineRule="auto"/>
        <w:jc w:val="both"/>
        <w:rPr>
          <w:rFonts w:ascii="David" w:hAnsi="David" w:cs="David"/>
          <w:sz w:val="24"/>
          <w:szCs w:val="24"/>
          <w:rtl/>
        </w:rPr>
      </w:pPr>
    </w:p>
    <w:p w14:paraId="2D2C8B82" w14:textId="77777777" w:rsidR="004037A7" w:rsidRDefault="004037A7" w:rsidP="004037A7">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ביום 8.5.23 הוגש תסקיר שירות המבחן בעניינו של נאשם 1 במסגרתו נסקרו קורות חייו של הנאשם ומשפחתו, אך בשל צנעת הפרט לא אפרט מעבר לנדרש. </w:t>
      </w:r>
    </w:p>
    <w:p w14:paraId="20F0CCE0" w14:textId="77777777" w:rsidR="004037A7" w:rsidRDefault="004037A7" w:rsidP="004037A7">
      <w:pPr>
        <w:pStyle w:val="a9"/>
        <w:spacing w:line="360" w:lineRule="auto"/>
        <w:jc w:val="both"/>
        <w:rPr>
          <w:rFonts w:ascii="David" w:hAnsi="David" w:cs="David"/>
          <w:sz w:val="24"/>
          <w:szCs w:val="24"/>
        </w:rPr>
      </w:pPr>
      <w:r>
        <w:rPr>
          <w:rFonts w:ascii="David" w:hAnsi="David" w:cs="David"/>
          <w:sz w:val="24"/>
          <w:szCs w:val="24"/>
          <w:rtl/>
        </w:rPr>
        <w:t>הנאשם בן 19, רווק, נעדר עבר פלילי, וטרם מעצרו התגורר עם משפחתו בשבט אלסייד.</w:t>
      </w:r>
    </w:p>
    <w:p w14:paraId="50F06E43" w14:textId="77777777" w:rsidR="004037A7" w:rsidRDefault="004037A7" w:rsidP="004037A7">
      <w:pPr>
        <w:pStyle w:val="a9"/>
        <w:spacing w:line="360" w:lineRule="auto"/>
        <w:jc w:val="both"/>
        <w:rPr>
          <w:rFonts w:ascii="David" w:hAnsi="David" w:cs="David"/>
          <w:sz w:val="24"/>
          <w:szCs w:val="24"/>
          <w:rtl/>
        </w:rPr>
      </w:pPr>
      <w:r>
        <w:rPr>
          <w:rFonts w:ascii="David" w:hAnsi="David" w:cs="David"/>
          <w:sz w:val="24"/>
          <w:szCs w:val="24"/>
          <w:rtl/>
        </w:rPr>
        <w:lastRenderedPageBreak/>
        <w:t xml:space="preserve">על פי המתואר הנאשם 1 גדל במסגרת משפחתית מורכבת. נמסר כי אביו של הנאשם אשר נפטר לפני כ-5 שנים היה נשוי ל-4 נשים, כאשר אמו של הנאשם 1 הנה האישה הרביעית בסדר הנישואין, והנאשם 1 הנו הצעיר מבין 3 ילדיהם המשותפים. בנוסף, לנאשם 1 אחים למחצה מנישואי אביו עם נשים אחרות, עמם תאר יחסים מורכבים ונעדרי קרבה. </w:t>
      </w:r>
    </w:p>
    <w:p w14:paraId="32C2E5B8" w14:textId="77777777" w:rsidR="004037A7" w:rsidRDefault="004037A7" w:rsidP="004037A7">
      <w:pPr>
        <w:pStyle w:val="a9"/>
        <w:spacing w:line="360" w:lineRule="auto"/>
        <w:jc w:val="both"/>
        <w:rPr>
          <w:rFonts w:ascii="David" w:hAnsi="David" w:cs="David"/>
          <w:sz w:val="24"/>
          <w:szCs w:val="24"/>
          <w:rtl/>
        </w:rPr>
      </w:pPr>
      <w:r>
        <w:rPr>
          <w:rFonts w:ascii="David" w:hAnsi="David" w:cs="David"/>
          <w:sz w:val="24"/>
          <w:szCs w:val="24"/>
          <w:rtl/>
        </w:rPr>
        <w:t>צוין כי הנאשם 1 נשר מלימודים לאחר 9 שנות לימוד בלבד, ושהה ללא מעש ועיסוק למשך תקופות ממושכות. טרם מעצרו ערך הנאשם 1 ניסיונות, במסגרת חייו הבוגרים, להשתלב במסגרת נורמטיבית בתעסוקה ובגיוסו לצה"ל, שם שירת במשך 6 חודשים טרם מעצרו.</w:t>
      </w:r>
    </w:p>
    <w:p w14:paraId="79F39477" w14:textId="77777777" w:rsidR="004037A7" w:rsidRDefault="004037A7" w:rsidP="004037A7">
      <w:pPr>
        <w:pStyle w:val="a9"/>
        <w:spacing w:line="360" w:lineRule="auto"/>
        <w:jc w:val="both"/>
        <w:rPr>
          <w:rFonts w:ascii="David" w:hAnsi="David" w:cs="David"/>
          <w:sz w:val="24"/>
          <w:szCs w:val="24"/>
          <w:rtl/>
        </w:rPr>
      </w:pPr>
      <w:r>
        <w:rPr>
          <w:rFonts w:ascii="David" w:hAnsi="David" w:cs="David"/>
          <w:sz w:val="24"/>
          <w:szCs w:val="24"/>
          <w:rtl/>
        </w:rPr>
        <w:t xml:space="preserve">שירות המבחן התרשם כי למרות שהנאשם 1 הודה בעבירות בהן הורשע, ניכרת קלות דעת בהתייחסותו לנשק, וכי קיים חוסר בהירות אודות הרקע האמתי לביצוע העבירה נוכח תיאוריו אודות אירועי אלימות וסכסוך דמים שהתפתחו במשפחתו באותה תקופה. </w:t>
      </w:r>
    </w:p>
    <w:p w14:paraId="10938428" w14:textId="77777777" w:rsidR="004037A7" w:rsidRDefault="004037A7" w:rsidP="004037A7">
      <w:pPr>
        <w:pStyle w:val="a9"/>
        <w:spacing w:line="360" w:lineRule="auto"/>
        <w:jc w:val="both"/>
        <w:rPr>
          <w:rFonts w:ascii="David" w:hAnsi="David" w:cs="David"/>
          <w:sz w:val="24"/>
          <w:szCs w:val="24"/>
          <w:rtl/>
        </w:rPr>
      </w:pPr>
      <w:r>
        <w:rPr>
          <w:rFonts w:ascii="David" w:hAnsi="David" w:cs="David"/>
          <w:sz w:val="24"/>
          <w:szCs w:val="24"/>
          <w:rtl/>
        </w:rPr>
        <w:t xml:space="preserve">נוכח גילו הצעיר של הנאשם, היותו נעדר עבר פלילי ועצור תקופה ממושכת לראשונה בחייו, לצד אופי וחומרת העבירות וחוסר הבהירות ביחס לקשריו החברתיים השוליים וגורמי הסיכון הקיימים, המליץ שירות המבחן על ענישה מוחשית והרתעתית בדמות מאסר בפועל. </w:t>
      </w:r>
    </w:p>
    <w:p w14:paraId="0641ADCE" w14:textId="77777777" w:rsidR="004037A7" w:rsidRDefault="004037A7" w:rsidP="004037A7">
      <w:pPr>
        <w:pStyle w:val="a9"/>
        <w:spacing w:after="0" w:line="360" w:lineRule="auto"/>
        <w:jc w:val="both"/>
        <w:rPr>
          <w:highlight w:val="yellow"/>
          <w:rtl/>
        </w:rPr>
      </w:pPr>
    </w:p>
    <w:p w14:paraId="20B55EF3" w14:textId="77777777" w:rsidR="004037A7" w:rsidRDefault="004037A7" w:rsidP="004037A7">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ביום 30.4.23 הוגש תסקיר שירות מבחן בעניינו של נאשם 2 במסגרתו נסקרו קורות חייו של הנאשם 2 ומשפחתו, וגם בעניינו ומחמת צנעת הפרט, לא אפרט מעבר לנדרש. </w:t>
      </w:r>
    </w:p>
    <w:p w14:paraId="69086312"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 xml:space="preserve">הנאשם 2 בן 19, רווק, נעדר עבר פלילי וטרם מעצרו התגורר עם משפחתו בישוב חורה ועבד במפעל למשקאות קלים כעוזר נהג למשך שלושה חודשים. משפחת מוצאו מונה זוג הורים ו-10 ילדים כאשר הנאשם 2 הנו ה-10 בסדר הלידה. </w:t>
      </w:r>
    </w:p>
    <w:p w14:paraId="01CD9EBB"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צוין כי אביו של הנאשם 2 נשוי לאישה נוספת המתגוררת עם ילדיה בסמיכות למשפחתו. הנאשם השלים 12 שנות לימוד, הועסק בעבודה באופן יציב והביע שאיפות להתגייס לצה"ל ולהקים משפחה. </w:t>
      </w:r>
    </w:p>
    <w:p w14:paraId="484F22B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שירות המבחן התרשם כי קיים פער משמעותי בין האופן שבו הציג הנאשם 2 את עצמו ואת התנהלות</w:t>
      </w:r>
      <w:r>
        <w:rPr>
          <w:rFonts w:ascii="David" w:hAnsi="David" w:cs="David" w:hint="cs"/>
          <w:sz w:val="24"/>
          <w:szCs w:val="24"/>
          <w:rtl/>
        </w:rPr>
        <w:t>ו</w:t>
      </w:r>
      <w:r>
        <w:rPr>
          <w:rFonts w:ascii="David" w:hAnsi="David" w:cs="David"/>
          <w:sz w:val="24"/>
          <w:szCs w:val="24"/>
          <w:rtl/>
        </w:rPr>
        <w:t xml:space="preserve"> כנורמטיבית, תקינה ושאפתנית, לבין חומרת העבירות בהן הודה  ומקלות הדעת בהתייחסותו לתחום הנשק. </w:t>
      </w:r>
    </w:p>
    <w:p w14:paraId="1EF34B21"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נוכח גילו הצעיר של הנאשם 2, היותו נעדר עבר פלילי ומעצרו הממושך, לצד אופי וחומרת העבירות וחוסר הבהירות ביחס לקשריו החברתיים והשוליים וגורמי הסיכון, המליץ שירות המבחן על ענישה מוחשית והרתעתית </w:t>
      </w:r>
      <w:r>
        <w:rPr>
          <w:rFonts w:ascii="David" w:hAnsi="David" w:cs="David" w:hint="cs"/>
          <w:sz w:val="24"/>
          <w:szCs w:val="24"/>
          <w:rtl/>
        </w:rPr>
        <w:t>בדמות מ</w:t>
      </w:r>
      <w:r>
        <w:rPr>
          <w:rFonts w:ascii="David" w:hAnsi="David" w:cs="David"/>
          <w:sz w:val="24"/>
          <w:szCs w:val="24"/>
          <w:rtl/>
        </w:rPr>
        <w:t xml:space="preserve">אסר בפועל. </w:t>
      </w:r>
    </w:p>
    <w:p w14:paraId="76960581" w14:textId="77777777" w:rsidR="004037A7" w:rsidRDefault="004037A7" w:rsidP="004037A7">
      <w:pPr>
        <w:spacing w:line="360" w:lineRule="auto"/>
        <w:ind w:left="360"/>
        <w:jc w:val="both"/>
        <w:rPr>
          <w:b/>
          <w:bCs/>
          <w:rtl/>
        </w:rPr>
      </w:pPr>
    </w:p>
    <w:p w14:paraId="745E21DE" w14:textId="77777777" w:rsidR="004037A7" w:rsidRDefault="004037A7" w:rsidP="004037A7">
      <w:pPr>
        <w:spacing w:line="360" w:lineRule="auto"/>
        <w:ind w:left="360"/>
        <w:jc w:val="both"/>
        <w:rPr>
          <w:b/>
          <w:bCs/>
          <w:rtl/>
        </w:rPr>
      </w:pPr>
    </w:p>
    <w:p w14:paraId="5A46332A" w14:textId="77777777" w:rsidR="004037A7" w:rsidRDefault="004037A7" w:rsidP="004037A7">
      <w:pPr>
        <w:spacing w:line="360" w:lineRule="auto"/>
        <w:ind w:left="360"/>
        <w:jc w:val="both"/>
        <w:rPr>
          <w:rtl/>
        </w:rPr>
      </w:pPr>
      <w:r>
        <w:rPr>
          <w:b/>
          <w:bCs/>
          <w:rtl/>
        </w:rPr>
        <w:t>ראיות וטיעונים לעונש</w:t>
      </w:r>
      <w:r>
        <w:rPr>
          <w:rtl/>
        </w:rPr>
        <w:t>:</w:t>
      </w:r>
    </w:p>
    <w:p w14:paraId="5225B34A" w14:textId="77777777" w:rsidR="004037A7" w:rsidRDefault="004037A7" w:rsidP="004037A7">
      <w:pPr>
        <w:pStyle w:val="a9"/>
        <w:spacing w:after="0" w:line="360" w:lineRule="auto"/>
        <w:jc w:val="both"/>
        <w:rPr>
          <w:rFonts w:ascii="David" w:hAnsi="David" w:cs="David"/>
          <w:sz w:val="24"/>
          <w:szCs w:val="24"/>
          <w:rtl/>
        </w:rPr>
      </w:pPr>
    </w:p>
    <w:p w14:paraId="0B5C0058" w14:textId="77777777" w:rsidR="004037A7" w:rsidRDefault="004037A7" w:rsidP="004037A7">
      <w:pPr>
        <w:pStyle w:val="a9"/>
        <w:numPr>
          <w:ilvl w:val="0"/>
          <w:numId w:val="1"/>
        </w:numPr>
        <w:spacing w:after="0" w:line="360" w:lineRule="auto"/>
        <w:jc w:val="both"/>
        <w:rPr>
          <w:rFonts w:ascii="David" w:hAnsi="David" w:cs="David"/>
          <w:sz w:val="24"/>
          <w:szCs w:val="24"/>
        </w:rPr>
      </w:pPr>
      <w:r>
        <w:rPr>
          <w:rFonts w:cs="David"/>
          <w:b/>
          <w:bCs/>
          <w:sz w:val="24"/>
          <w:szCs w:val="24"/>
          <w:rtl/>
        </w:rPr>
        <w:t>מטעמו של הנאשם 1</w:t>
      </w:r>
      <w:r>
        <w:rPr>
          <w:rFonts w:cs="David"/>
          <w:sz w:val="24"/>
          <w:szCs w:val="24"/>
          <w:rtl/>
        </w:rPr>
        <w:t xml:space="preserve"> העידו: מר סאלם אלסייד - יו"ר ועדת היישוב אלסייד וקרוב משפחתו של הנאשם 1 (גיסו של האב); מר עוואד אלסייד</w:t>
      </w:r>
      <w:r>
        <w:rPr>
          <w:rFonts w:ascii="David" w:hAnsi="David" w:cs="David"/>
          <w:sz w:val="24"/>
          <w:szCs w:val="24"/>
          <w:rtl/>
        </w:rPr>
        <w:t xml:space="preserve">  - קרוב משפחתו של הנאשם 1 (בן דוד של האב); מר יאסר אלסייד - אחיו של הנאשם 1; מר סייד סייד  - מנהל בית הספר בו למד הנאשם 1; ומר אברהם אלסייד  - אחיו של הנאשם 1 ורופא שיניים במקצועו. </w:t>
      </w:r>
    </w:p>
    <w:p w14:paraId="6385D701" w14:textId="77777777" w:rsidR="004037A7" w:rsidRDefault="004037A7" w:rsidP="004037A7">
      <w:pPr>
        <w:pStyle w:val="a9"/>
        <w:rPr>
          <w:rFonts w:ascii="David" w:hAnsi="David" w:cs="David"/>
          <w:sz w:val="24"/>
          <w:szCs w:val="24"/>
        </w:rPr>
      </w:pPr>
    </w:p>
    <w:p w14:paraId="2096338E" w14:textId="77777777" w:rsidR="004037A7" w:rsidRDefault="004037A7" w:rsidP="004037A7">
      <w:pPr>
        <w:pStyle w:val="a9"/>
        <w:numPr>
          <w:ilvl w:val="0"/>
          <w:numId w:val="4"/>
        </w:numPr>
        <w:spacing w:after="0" w:line="360" w:lineRule="auto"/>
        <w:jc w:val="both"/>
        <w:rPr>
          <w:rFonts w:ascii="David" w:hAnsi="David" w:cs="David"/>
          <w:sz w:val="24"/>
          <w:szCs w:val="24"/>
        </w:rPr>
      </w:pPr>
      <w:r>
        <w:rPr>
          <w:rFonts w:cs="David"/>
          <w:sz w:val="24"/>
          <w:szCs w:val="24"/>
          <w:rtl/>
        </w:rPr>
        <w:t>מר סאלם אלסייד</w:t>
      </w:r>
      <w:r>
        <w:rPr>
          <w:rFonts w:ascii="David" w:hAnsi="David" w:cs="David"/>
          <w:sz w:val="24"/>
          <w:szCs w:val="24"/>
          <w:rtl/>
        </w:rPr>
        <w:t xml:space="preserve">  העיד כי מכיר את הנאשם 1 מילדות וגר בשכנות למשפחתו. לדבריו הנאשם בחור טוב אשר עשה טעות והביע בפניו חרטה על מעשיו. מר סאלם הוסיף  כי הנאשם 1 עבד בעבר בעבודות עפר ונוכח טעותו ומעצרו הוא מבקש לקחת חלק בשיקומו. </w:t>
      </w:r>
    </w:p>
    <w:p w14:paraId="3D44A188" w14:textId="77777777" w:rsidR="004037A7" w:rsidRDefault="004037A7" w:rsidP="004037A7">
      <w:pPr>
        <w:pStyle w:val="a9"/>
        <w:spacing w:after="0" w:line="360" w:lineRule="auto"/>
        <w:ind w:left="1080"/>
        <w:jc w:val="both"/>
        <w:rPr>
          <w:rFonts w:ascii="David" w:hAnsi="David" w:cs="David"/>
          <w:sz w:val="24"/>
          <w:szCs w:val="24"/>
          <w:rtl/>
        </w:rPr>
      </w:pPr>
    </w:p>
    <w:p w14:paraId="0CF5BB2C" w14:textId="77777777" w:rsidR="004037A7" w:rsidRDefault="004037A7" w:rsidP="004037A7">
      <w:pPr>
        <w:pStyle w:val="a9"/>
        <w:numPr>
          <w:ilvl w:val="0"/>
          <w:numId w:val="4"/>
        </w:numPr>
        <w:spacing w:after="0" w:line="360" w:lineRule="auto"/>
        <w:jc w:val="both"/>
        <w:rPr>
          <w:rFonts w:ascii="David" w:hAnsi="David" w:cs="David"/>
          <w:sz w:val="24"/>
          <w:szCs w:val="24"/>
          <w:rtl/>
        </w:rPr>
      </w:pPr>
      <w:r>
        <w:rPr>
          <w:rFonts w:cs="David"/>
          <w:sz w:val="24"/>
          <w:szCs w:val="24"/>
          <w:rtl/>
        </w:rPr>
        <w:t>מר עוואד אלסייד העיד</w:t>
      </w:r>
      <w:r>
        <w:rPr>
          <w:rFonts w:ascii="David" w:hAnsi="David" w:cs="David"/>
          <w:sz w:val="24"/>
          <w:szCs w:val="24"/>
          <w:rtl/>
        </w:rPr>
        <w:t xml:space="preserve"> כי הנאשם 1 "נפל קורבן" מאחר ואביו נפטר כשהיה בן 17 שנים ולא היה מי שיכוון אותו. לדבריו הנאשם 1 משלם כעת על מעשיו ומשפחתו צריכה לתת לו הכוונה נכונה. מהיכרותו עמו הוא סבור כי מדובר באדם שיכול לתרום לאוכלוסייה וליישוב. </w:t>
      </w:r>
    </w:p>
    <w:p w14:paraId="4A1A3584" w14:textId="77777777" w:rsidR="004037A7" w:rsidRDefault="004037A7" w:rsidP="004037A7">
      <w:pPr>
        <w:pStyle w:val="a9"/>
        <w:spacing w:after="0" w:line="360" w:lineRule="auto"/>
        <w:ind w:left="1080"/>
        <w:jc w:val="both"/>
        <w:rPr>
          <w:rFonts w:ascii="David" w:hAnsi="David" w:cs="David"/>
          <w:sz w:val="24"/>
          <w:szCs w:val="24"/>
        </w:rPr>
      </w:pPr>
    </w:p>
    <w:p w14:paraId="6A83DB12" w14:textId="77777777" w:rsidR="004037A7" w:rsidRDefault="004037A7" w:rsidP="004037A7">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מר יאסר אלסייד  העיד כי הנאשם 1 עשה טעות. לדבריו הנאשם 1 נהג לסייע לאמו החולה כאשר האח האחר של נאשם אינו מסוגל לכך נוכח מצבו האישי. הנאשם 1 עזר בבית, שירת בצבא והביא את הכסף לאמו. לדבריו יצא למסלול לא טוב אך שילם על מעשיו במעצרו עד כה. לדבריו מעוניין להעסיקו בעסקו בתחום עבודות עפר. </w:t>
      </w:r>
    </w:p>
    <w:p w14:paraId="5F7844BD" w14:textId="77777777" w:rsidR="004037A7" w:rsidRDefault="004037A7" w:rsidP="004037A7">
      <w:pPr>
        <w:pStyle w:val="a9"/>
        <w:rPr>
          <w:rFonts w:ascii="David" w:hAnsi="David" w:cs="David"/>
          <w:sz w:val="24"/>
          <w:szCs w:val="24"/>
        </w:rPr>
      </w:pPr>
    </w:p>
    <w:p w14:paraId="23F1E286" w14:textId="77777777" w:rsidR="004037A7" w:rsidRDefault="004037A7" w:rsidP="004037A7">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מר סייד סייד העיד כי הנאשם 1 היה תלמידו משנת 2011 למשך 7 שנים. תיאר תלמיד שקט וטוב וכי לא זכור לו כי היה מעורב במקרי אלימות בבית הספר. העד הוסיף כי  הסתבכות הנאשם בפלילים הפתיע</w:t>
      </w:r>
      <w:r>
        <w:rPr>
          <w:rFonts w:ascii="David" w:hAnsi="David" w:cs="David" w:hint="cs"/>
          <w:sz w:val="24"/>
          <w:szCs w:val="24"/>
          <w:rtl/>
        </w:rPr>
        <w:t>ה</w:t>
      </w:r>
      <w:r>
        <w:rPr>
          <w:rFonts w:ascii="David" w:hAnsi="David" w:cs="David"/>
          <w:sz w:val="24"/>
          <w:szCs w:val="24"/>
          <w:rtl/>
        </w:rPr>
        <w:t xml:space="preserve"> אותו. </w:t>
      </w:r>
    </w:p>
    <w:p w14:paraId="118BFCAF" w14:textId="77777777" w:rsidR="004037A7" w:rsidRDefault="004037A7" w:rsidP="004037A7">
      <w:pPr>
        <w:pStyle w:val="a9"/>
        <w:spacing w:after="0" w:line="360" w:lineRule="auto"/>
        <w:ind w:left="1080"/>
        <w:jc w:val="both"/>
        <w:rPr>
          <w:rFonts w:ascii="David" w:hAnsi="David" w:cs="David"/>
          <w:sz w:val="24"/>
          <w:szCs w:val="24"/>
        </w:rPr>
      </w:pPr>
    </w:p>
    <w:p w14:paraId="42697C6C" w14:textId="77777777" w:rsidR="004037A7" w:rsidRDefault="004037A7" w:rsidP="004037A7">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מר אברהם אלסייד העיד כי משפחת מוצאו של הנאשם 1 הנה משפחה גדולה, כולם גרים באותו מקום וכל אחיו עובדים כקבלנים. לדבריו מדובר במשפחה טובה ולא בעייתית ואף הנאשם 1 התגייס לצבא. ציין כי הנאשם 1 הודה בפניו שעשה טעות וכל משפחתו קיבלה קשה את מעצרו. מסר כי הוא בן יחיד לאמו והמשפחה מעוניינת בהחזרתו לשגרה ולחיים נורמטיביים. </w:t>
      </w:r>
    </w:p>
    <w:p w14:paraId="63D71393" w14:textId="77777777" w:rsidR="004037A7" w:rsidRDefault="004037A7" w:rsidP="004037A7">
      <w:pPr>
        <w:pStyle w:val="a9"/>
        <w:rPr>
          <w:rFonts w:ascii="David" w:hAnsi="David" w:cs="David"/>
          <w:sz w:val="24"/>
          <w:szCs w:val="24"/>
        </w:rPr>
      </w:pPr>
    </w:p>
    <w:p w14:paraId="4D16CE29"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כמו כן, הגישה ב"כ הנאשם 1 אסופת מסמכים הכוללת: תעודת פטירה של אביו של נאשם 1, מסמכים רפואיים של האם- הגב' איהם אלסייד, ומסמכים רפואיים של האח –  מר טאלב אלסייד (נ/1).</w:t>
      </w:r>
    </w:p>
    <w:p w14:paraId="7EEFD9FA" w14:textId="77777777" w:rsidR="004037A7" w:rsidRDefault="004037A7" w:rsidP="004037A7">
      <w:pPr>
        <w:pStyle w:val="a9"/>
        <w:spacing w:after="0" w:line="360" w:lineRule="auto"/>
        <w:jc w:val="both"/>
        <w:rPr>
          <w:rFonts w:ascii="David" w:hAnsi="David" w:cs="David"/>
          <w:sz w:val="24"/>
          <w:szCs w:val="24"/>
          <w:rtl/>
        </w:rPr>
      </w:pPr>
    </w:p>
    <w:p w14:paraId="528A38EA" w14:textId="77777777" w:rsidR="004037A7" w:rsidRDefault="004037A7" w:rsidP="004037A7">
      <w:pPr>
        <w:pStyle w:val="a9"/>
        <w:numPr>
          <w:ilvl w:val="0"/>
          <w:numId w:val="1"/>
        </w:numPr>
        <w:spacing w:after="0" w:line="360" w:lineRule="auto"/>
        <w:jc w:val="both"/>
        <w:rPr>
          <w:rFonts w:ascii="David" w:hAnsi="David" w:cs="David"/>
          <w:sz w:val="24"/>
          <w:szCs w:val="24"/>
        </w:rPr>
      </w:pPr>
      <w:r>
        <w:rPr>
          <w:rFonts w:cs="David"/>
          <w:b/>
          <w:bCs/>
          <w:sz w:val="24"/>
          <w:szCs w:val="24"/>
          <w:rtl/>
        </w:rPr>
        <w:t>מטעמו של הנאשם 2</w:t>
      </w:r>
      <w:r>
        <w:rPr>
          <w:rFonts w:cs="David"/>
          <w:sz w:val="24"/>
          <w:szCs w:val="24"/>
          <w:rtl/>
        </w:rPr>
        <w:t xml:space="preserve"> העידו מר יאסר </w:t>
      </w:r>
      <w:r>
        <w:rPr>
          <w:rFonts w:ascii="David" w:hAnsi="David" w:cs="David"/>
          <w:sz w:val="24"/>
          <w:szCs w:val="24"/>
          <w:rtl/>
        </w:rPr>
        <w:t>אלסייד-אביו של הנאשם 2; ו</w:t>
      </w:r>
      <w:r>
        <w:rPr>
          <w:rFonts w:cs="David"/>
          <w:sz w:val="24"/>
          <w:szCs w:val="24"/>
          <w:rtl/>
        </w:rPr>
        <w:t>מר פאייז אלסייד-שכנו של הנאשם</w:t>
      </w:r>
      <w:r>
        <w:rPr>
          <w:rFonts w:cs="David" w:hint="cs"/>
          <w:sz w:val="24"/>
          <w:szCs w:val="24"/>
          <w:rtl/>
        </w:rPr>
        <w:t>;</w:t>
      </w:r>
    </w:p>
    <w:p w14:paraId="1BB654D5" w14:textId="77777777" w:rsidR="004037A7" w:rsidRPr="0039136C" w:rsidRDefault="004037A7" w:rsidP="004037A7">
      <w:pPr>
        <w:pStyle w:val="a9"/>
        <w:spacing w:after="0" w:line="360" w:lineRule="auto"/>
        <w:jc w:val="both"/>
        <w:rPr>
          <w:rFonts w:ascii="David" w:hAnsi="David" w:cs="David"/>
          <w:sz w:val="24"/>
          <w:szCs w:val="24"/>
        </w:rPr>
      </w:pPr>
    </w:p>
    <w:p w14:paraId="3CE13177" w14:textId="77777777" w:rsidR="004037A7" w:rsidRDefault="004037A7" w:rsidP="004037A7">
      <w:pPr>
        <w:pStyle w:val="a9"/>
        <w:numPr>
          <w:ilvl w:val="0"/>
          <w:numId w:val="5"/>
        </w:numPr>
        <w:spacing w:after="0" w:line="360" w:lineRule="auto"/>
        <w:jc w:val="both"/>
        <w:rPr>
          <w:rFonts w:cs="David"/>
          <w:sz w:val="24"/>
          <w:szCs w:val="24"/>
        </w:rPr>
      </w:pPr>
      <w:r>
        <w:rPr>
          <w:rFonts w:cs="David"/>
          <w:sz w:val="24"/>
          <w:szCs w:val="24"/>
          <w:rtl/>
        </w:rPr>
        <w:t xml:space="preserve">מר יאסר </w:t>
      </w:r>
      <w:r>
        <w:rPr>
          <w:rFonts w:ascii="David" w:hAnsi="David" w:cs="David"/>
          <w:sz w:val="24"/>
          <w:szCs w:val="24"/>
          <w:rtl/>
        </w:rPr>
        <w:t>אלסייד</w:t>
      </w:r>
      <w:r>
        <w:rPr>
          <w:rFonts w:cs="David"/>
          <w:sz w:val="24"/>
          <w:szCs w:val="24"/>
          <w:rtl/>
        </w:rPr>
        <w:t xml:space="preserve"> העיד כי בנו, הנאשם 2, הנו </w:t>
      </w:r>
      <w:r>
        <w:rPr>
          <w:rFonts w:cs="David" w:hint="cs"/>
          <w:sz w:val="24"/>
          <w:szCs w:val="24"/>
          <w:rtl/>
        </w:rPr>
        <w:t>הצעיר מבין ילדיו</w:t>
      </w:r>
      <w:r>
        <w:rPr>
          <w:rFonts w:cs="David"/>
          <w:sz w:val="24"/>
          <w:szCs w:val="24"/>
          <w:rtl/>
        </w:rPr>
        <w:t xml:space="preserve">. מסר כי חינך את ילדיו לכבד כל אדם ומעולם לא הסתבך עם המשטרה. ציין כי בעת ביצוע העבירה שהה בחו"ל וכי הוא הופתע מעשיו של הנאשם ואינו מקבלם. לדבריו הוא אדם עובד, בעל חברת הובלות, חיתן 3 בנות ו-3 בנים וכי לא היו יריות או זיקוקים בחתונות מי מילדיו מאחר  והשימוש בנשק אינו דבר המקובל בביתו. </w:t>
      </w:r>
    </w:p>
    <w:p w14:paraId="26338404" w14:textId="77777777" w:rsidR="004037A7" w:rsidRDefault="004037A7" w:rsidP="004037A7">
      <w:pPr>
        <w:pStyle w:val="a9"/>
        <w:spacing w:after="0" w:line="360" w:lineRule="auto"/>
        <w:ind w:left="1080"/>
        <w:jc w:val="both"/>
        <w:rPr>
          <w:rFonts w:cs="David"/>
          <w:sz w:val="24"/>
          <w:szCs w:val="24"/>
        </w:rPr>
      </w:pPr>
    </w:p>
    <w:p w14:paraId="215C4281" w14:textId="77777777" w:rsidR="004037A7" w:rsidRDefault="004037A7" w:rsidP="004037A7">
      <w:pPr>
        <w:pStyle w:val="a9"/>
        <w:numPr>
          <w:ilvl w:val="0"/>
          <w:numId w:val="5"/>
        </w:numPr>
        <w:spacing w:after="0" w:line="360" w:lineRule="auto"/>
        <w:jc w:val="both"/>
        <w:rPr>
          <w:rFonts w:ascii="David" w:hAnsi="David" w:cs="David"/>
          <w:sz w:val="24"/>
          <w:szCs w:val="24"/>
          <w:rtl/>
        </w:rPr>
      </w:pPr>
      <w:r>
        <w:rPr>
          <w:rFonts w:cs="David"/>
          <w:sz w:val="24"/>
          <w:szCs w:val="24"/>
          <w:rtl/>
        </w:rPr>
        <w:t>מר פאייז אלסייד</w:t>
      </w:r>
      <w:r>
        <w:rPr>
          <w:rFonts w:ascii="David" w:hAnsi="David" w:cs="David"/>
          <w:sz w:val="24"/>
          <w:szCs w:val="24"/>
          <w:rtl/>
        </w:rPr>
        <w:t xml:space="preserve"> העד כי גר בשכנות למשפחת הנאשם 2 מזה 50 שנה ומעולם לא שמע על הנאשם 2 דברים רעים אלא רק דברים טובים. לדבריו משפחת הנאשם ומשפחתו  לא נוהגים להשתמש בנשק, גם לא באירועים. לדבריו זו העבירה ראשונה של הנאשם 2 וכי שוחח איתו ממעצרו וכי הנאשם אמר לו כי אינו יודע כיצד הסתבך באירוע. </w:t>
      </w:r>
    </w:p>
    <w:p w14:paraId="6B70196A" w14:textId="77777777" w:rsidR="004037A7" w:rsidRDefault="004037A7" w:rsidP="004037A7">
      <w:pPr>
        <w:pStyle w:val="a9"/>
        <w:spacing w:after="0" w:line="360" w:lineRule="auto"/>
        <w:jc w:val="both"/>
        <w:rPr>
          <w:rFonts w:ascii="David" w:hAnsi="David" w:cs="David"/>
          <w:sz w:val="24"/>
          <w:szCs w:val="24"/>
        </w:rPr>
      </w:pPr>
    </w:p>
    <w:p w14:paraId="468BED72" w14:textId="77777777" w:rsidR="004037A7" w:rsidRDefault="004037A7" w:rsidP="004037A7">
      <w:pPr>
        <w:pStyle w:val="a9"/>
        <w:spacing w:after="0" w:line="360" w:lineRule="auto"/>
        <w:jc w:val="both"/>
        <w:rPr>
          <w:rFonts w:ascii="David" w:hAnsi="David" w:cs="David"/>
          <w:sz w:val="24"/>
          <w:szCs w:val="24"/>
          <w:rtl/>
        </w:rPr>
      </w:pPr>
    </w:p>
    <w:p w14:paraId="012104A9" w14:textId="77777777" w:rsidR="004037A7" w:rsidRDefault="004037A7" w:rsidP="004037A7">
      <w:pPr>
        <w:spacing w:line="360" w:lineRule="auto"/>
        <w:jc w:val="both"/>
        <w:rPr>
          <w:rFonts w:ascii="David" w:hAnsi="David"/>
          <w:rtl/>
        </w:rPr>
      </w:pPr>
    </w:p>
    <w:p w14:paraId="6ABC7D7E"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טען בכתב ובעל פה, פ</w:t>
      </w:r>
      <w:r>
        <w:rPr>
          <w:rFonts w:ascii="David" w:hAnsi="David" w:cs="David" w:hint="cs"/>
          <w:sz w:val="24"/>
          <w:szCs w:val="24"/>
          <w:rtl/>
        </w:rPr>
        <w:t>י</w:t>
      </w:r>
      <w:r>
        <w:rPr>
          <w:rFonts w:ascii="David" w:hAnsi="David" w:cs="David"/>
          <w:sz w:val="24"/>
          <w:szCs w:val="24"/>
          <w:rtl/>
        </w:rPr>
        <w:t>רט את נסיבות ביצוע העבירה ועמד על חומרת העבירות המיוחסות לנאשמים ולערכים החברתיים המוגנים שנפגעו כתוצאה מביצוע העבירות, ובכלל זה שמירה על חיי אדם ושלמות גופו ונפשו, קידום הסדר הציבורי ואורח חיים שלו ובטוח.</w:t>
      </w:r>
    </w:p>
    <w:p w14:paraId="5C272A28"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ב"כ המאשימה הפנה לפסיקה (ת/3) ממנה עולה כי בתי המשפט רואים בעבירות הנשק "איום על שלום הציבור ועל הסדר הציבורי"... "תשתית וגורם בלעדיו איין... למגוון רחב של עבירות" והקדמה לביצוע מעשים פליליים חמורים ומסוכנים יותר.</w:t>
      </w:r>
    </w:p>
    <w:p w14:paraId="65892E99"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נטען כי עבירות הנשק לסוגיהן הפכו ל"מכת מדינה של ממש" ומשכך מחייבות מתן מענה הולם ומרתיע לביעור התופעה. </w:t>
      </w:r>
    </w:p>
    <w:p w14:paraId="5ACD9D44"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ב"כ המאשימה הפנה לתיקון 140 ל</w:t>
      </w:r>
      <w:hyperlink r:id="rId21"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הקובע כהוראת שעה ולמשך שלוש שנים, עונש מינימום של רבע מהעונש המרבי שנקבע לעבירות נשק, וכי יש בכך כדי ללמד אודות מצב החירום ועל הצורך בהעלאת רמת הענישה הנוהגת למען מגור התופעה. </w:t>
      </w:r>
    </w:p>
    <w:p w14:paraId="1D1712F2"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נטען כי נסיבות ביצוע העבירות ה</w:t>
      </w:r>
      <w:r>
        <w:rPr>
          <w:rFonts w:ascii="David" w:hAnsi="David" w:cs="David" w:hint="cs"/>
          <w:sz w:val="24"/>
          <w:szCs w:val="24"/>
          <w:rtl/>
        </w:rPr>
        <w:t>י</w:t>
      </w:r>
      <w:r>
        <w:rPr>
          <w:rFonts w:ascii="David" w:hAnsi="David" w:cs="David"/>
          <w:sz w:val="24"/>
          <w:szCs w:val="24"/>
          <w:rtl/>
        </w:rPr>
        <w:t>נן נסיבות מחמירות באשר הנאשמים החזיקו בנשק שמסוגל להמית אדם, לא היססו להשתמש בו ואף תעדו עצמם עושים זאת, ולאחר מכן נשא הנאשם 1 את הנשק על גופו.</w:t>
      </w:r>
    </w:p>
    <w:p w14:paraId="193E8E3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מתסקירי שירות המבחן עולה כי הנאשמים מתייחסים לאירוע כאל "מעשה קונדס", מקלים ראש בעבירות שביצעו ולא מבינים את חומרתן.</w:t>
      </w:r>
    </w:p>
    <w:p w14:paraId="0FE234E3"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המאשימה סקרה את מדיניות הענישה הנוהגת וביקשה לקבוע בנסיבות המקרה מתחם ענישה הולם כדלקמן: </w:t>
      </w:r>
    </w:p>
    <w:p w14:paraId="7413B3B1"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לנאשם 1: 4-7 שנות מאסר בפועל</w:t>
      </w:r>
      <w:r>
        <w:rPr>
          <w:rFonts w:ascii="David" w:hAnsi="David" w:cs="David" w:hint="cs"/>
          <w:sz w:val="24"/>
          <w:szCs w:val="24"/>
          <w:rtl/>
        </w:rPr>
        <w:t>.</w:t>
      </w:r>
    </w:p>
    <w:p w14:paraId="32E1753A"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לנאשם 2: 3-5 שנות מאסר בפועל</w:t>
      </w:r>
      <w:r>
        <w:rPr>
          <w:rFonts w:ascii="David" w:hAnsi="David" w:cs="David" w:hint="cs"/>
          <w:sz w:val="24"/>
          <w:szCs w:val="24"/>
          <w:rtl/>
        </w:rPr>
        <w:t>.</w:t>
      </w:r>
    </w:p>
    <w:p w14:paraId="0E5B0984"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נטען כי שיקולים אישיים של הנאשמים נסוגים מפאת הצורך בענישה מוחשית ומרתיעה. ב"כ המאשימה עתר למקם עונשם של הנאשמים בשליש התחתון של המתחם, ולהטיל על הנאשם 1 עונש של 5 שנות מאסר ועל הנאשם 2 עונש של 4 שנות מאסר. כמו כן עתר ב"כ  המאשימה להטיל על הנאשמים מאסרים מותנים, קנסות משמעותיים ופסילה של  רישיון נהיגה. </w:t>
      </w:r>
    </w:p>
    <w:p w14:paraId="5588BF74" w14:textId="77777777" w:rsidR="004037A7" w:rsidRDefault="004037A7" w:rsidP="004037A7">
      <w:pPr>
        <w:pStyle w:val="a9"/>
        <w:spacing w:after="0" w:line="360" w:lineRule="auto"/>
        <w:jc w:val="both"/>
        <w:rPr>
          <w:rFonts w:ascii="David" w:hAnsi="David" w:cs="David"/>
          <w:sz w:val="24"/>
          <w:szCs w:val="24"/>
          <w:rtl/>
        </w:rPr>
      </w:pPr>
    </w:p>
    <w:p w14:paraId="7A25AF50"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ב"כ הנאשם 1</w:t>
      </w:r>
      <w:r>
        <w:rPr>
          <w:rFonts w:ascii="David" w:hAnsi="David" w:cs="David"/>
          <w:sz w:val="24"/>
          <w:szCs w:val="24"/>
          <w:rtl/>
        </w:rPr>
        <w:t xml:space="preserve"> טענה כי עתירת המאשימה לעונש מחמירה עם הנאשם אשר הודה, הביע  חרטה ונטל אחריות על מעשיו. </w:t>
      </w:r>
    </w:p>
    <w:p w14:paraId="12C378AA"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 xml:space="preserve">נטען כי יש לקבוע מתחם הענישה בהתאם לנסיבות ביצוע העבירה הספציפית, אשר מעידות במקרה דנן כי נשיאת האקדח המיוחסת לנאשם 1 רלוונטית למועד ביצוע העבירה בלבד. נשיאת האקדח נעשתה בלילה, בשטח פתוח, מבלי לסכן אחרים, כשפוטנציאל הנזק נמוך יחסית. הנאשמים ירו אמנם מהאקדח אך רוקנו את כל המחסנית, עובדה המלמדת כי לא היה בכוונתם לעשות שימוש בנשק מעבר לכך. </w:t>
      </w:r>
    </w:p>
    <w:p w14:paraId="6FF8DB1C"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נטען כי העבירות בוצעו באקדח, להבדיל מנשק ארוך, הנשיאה ה</w:t>
      </w:r>
      <w:r>
        <w:rPr>
          <w:rFonts w:ascii="David" w:hAnsi="David" w:cs="David" w:hint="cs"/>
          <w:sz w:val="24"/>
          <w:szCs w:val="24"/>
          <w:rtl/>
        </w:rPr>
        <w:t>י</w:t>
      </w:r>
      <w:r>
        <w:rPr>
          <w:rFonts w:ascii="David" w:hAnsi="David" w:cs="David"/>
          <w:sz w:val="24"/>
          <w:szCs w:val="24"/>
          <w:rtl/>
        </w:rPr>
        <w:t xml:space="preserve">יתה קצרה והעבירות בוצעו ללא תכנון מוקדם. חרף האמור בתסקיר שירות המבחן אין אינדיקציה לסכסוך בו מעורב הנאשם. </w:t>
      </w:r>
    </w:p>
    <w:p w14:paraId="38FABAB5"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 xml:space="preserve">ב"כ הנאשם 1 ציינה כי הנאשם 1 ביצע את העבירה כשהיה בן 18 וחצי שנים, על סף קטינות, וכי העבירות בוצעו על רקע נסיבותיו האישיות המורכבות והעדר בשלות. נטען כי לגילו הצעיר של הנאשם הייתה השפעה על יכולתו להבין את חומרת המעשים, וההליך המשפטי היווה עבורו גורם מרתיע ומציב גבולות. </w:t>
      </w:r>
    </w:p>
    <w:p w14:paraId="05D97D36"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ב"כ הנאשם 1 סקרה פסיקה רלוונטית (נ/2 ו</w:t>
      </w:r>
      <w:r>
        <w:rPr>
          <w:rFonts w:ascii="David" w:hAnsi="David" w:cs="David" w:hint="cs"/>
          <w:sz w:val="24"/>
          <w:szCs w:val="24"/>
          <w:rtl/>
        </w:rPr>
        <w:t>-</w:t>
      </w:r>
      <w:r>
        <w:rPr>
          <w:rFonts w:ascii="David" w:hAnsi="David" w:cs="David"/>
          <w:sz w:val="24"/>
          <w:szCs w:val="24"/>
          <w:rtl/>
        </w:rPr>
        <w:t xml:space="preserve">נ/3) וטענה כי הפסיקה שהוצגה על ידי המאשימה כוללת נסיבות לחומרא כגון עבר פלילי או ביצוע  עבירות נלוות. </w:t>
      </w:r>
    </w:p>
    <w:p w14:paraId="03A530BA"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ב"כ הנאשם 1 התייחסה גם לתיקון ל</w:t>
      </w:r>
      <w:hyperlink r:id="rId22"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בדבר עונשי מינימום לעבירות בנשק  תוך שהדגישה כי נסיבות המקרה בעניינו הנן ברף הנמוך, ועל כן יש לקבוע ענישה ומתחם באופן שהמאסר המותנה יהיה חלק מעונש המינימום.</w:t>
      </w:r>
    </w:p>
    <w:p w14:paraId="734AF43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ב"כ הנאשם 1 עתרה לקביעת מתחם ענישה הנע בין 16 ל-30 חודשי מאסר בפועל</w:t>
      </w:r>
      <w:r>
        <w:rPr>
          <w:rFonts w:ascii="David" w:hAnsi="David" w:cs="David" w:hint="cs"/>
          <w:sz w:val="24"/>
          <w:szCs w:val="24"/>
          <w:rtl/>
        </w:rPr>
        <w:t>,</w:t>
      </w:r>
      <w:r>
        <w:rPr>
          <w:rFonts w:ascii="David" w:hAnsi="David" w:cs="David"/>
          <w:sz w:val="24"/>
          <w:szCs w:val="24"/>
          <w:rtl/>
        </w:rPr>
        <w:t xml:space="preserve"> ולהטיל על הנאשם ענישה ברף התחתון של מתחם הענישה כך שיושתו עליו 16 חודשי מאסר בפועל. </w:t>
      </w:r>
    </w:p>
    <w:p w14:paraId="1D878EA4" w14:textId="77777777" w:rsidR="004037A7" w:rsidRDefault="004037A7" w:rsidP="004037A7">
      <w:pPr>
        <w:pStyle w:val="a9"/>
        <w:spacing w:after="0" w:line="360" w:lineRule="auto"/>
        <w:jc w:val="both"/>
        <w:rPr>
          <w:rFonts w:ascii="David" w:hAnsi="David" w:cs="David"/>
          <w:sz w:val="24"/>
          <w:szCs w:val="24"/>
          <w:rtl/>
        </w:rPr>
      </w:pPr>
    </w:p>
    <w:p w14:paraId="7477E6F1"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ב"כ הנאשם 2</w:t>
      </w:r>
      <w:r>
        <w:rPr>
          <w:rFonts w:ascii="David" w:hAnsi="David" w:cs="David"/>
          <w:sz w:val="24"/>
          <w:szCs w:val="24"/>
          <w:rtl/>
        </w:rPr>
        <w:t xml:space="preserve"> הצטרף לדברי ב"כ הנאשם 1 והוסיף כי בעניינו של הנאשם 2 מדובר בעבירה שונה של החזקה ובנסיבות מקלות. הנאשם בן למשפחה נורמטיבית המונה 12 נפשות, כפי שהדבר אף עלה מעדויות אביו של נאשם 2 ושכנו. הנאשם סיים 12 שנות לימוד וטרם מעצרו עבד כעוזר נהג במפעל משקאות ותכנן להתגייס לצה"ל. מדובר באדם שניהל אורח חיים נורמטיבי ולא גדל בסביבה עבריינית. </w:t>
      </w:r>
    </w:p>
    <w:p w14:paraId="36E3A2B0"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צוין כי הנאשם נמנה על אוכלוסיית הבגירים הצעירים ויש לתן משקל למידת אחריותו למעשיו נוכח גילו הצעיר בעת ביצוע העבירה. לדבריו הנאשם 2 נהג בטיפשות ולא מתוך התנהלות עבריינית ויש לתת את הדעת לכך שנתון במעצר מזה חודשים רבים.</w:t>
      </w:r>
    </w:p>
    <w:p w14:paraId="55E50C9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נטען כי תסקיר שירות המבחן שגוי שכן התבסס  גם על עבירת נשיאה והובלה שהנאשם לא הורשע בה. יוער כי ב"כ הנאשם 2 לא עתר לתסקיר נוסף בעניינו של הנאשם.</w:t>
      </w:r>
    </w:p>
    <w:p w14:paraId="4F209761" w14:textId="77777777" w:rsidR="004037A7" w:rsidRDefault="004037A7" w:rsidP="004037A7">
      <w:pPr>
        <w:spacing w:line="360" w:lineRule="auto"/>
        <w:ind w:left="720"/>
        <w:jc w:val="both"/>
        <w:rPr>
          <w:rFonts w:ascii="David" w:hAnsi="David"/>
          <w:rtl/>
        </w:rPr>
      </w:pPr>
      <w:r>
        <w:rPr>
          <w:rFonts w:ascii="David" w:hAnsi="David"/>
          <w:rtl/>
        </w:rPr>
        <w:t>נטען כי יש להביא בחשבון הודאתו של הנאשם בביצוע העבירות בהן הורשע, הבנתו את הפסול במעשיו והיותה של חווית המעצר גורם מרתיע עבורו. נטען כי הנאשם נעדר עבר פלילי וחלקו בביצוע העבירה קטן מחלקו של האחר. החזקתו בנשק הי</w:t>
      </w:r>
      <w:r>
        <w:rPr>
          <w:rFonts w:ascii="David" w:hAnsi="David" w:hint="cs"/>
          <w:rtl/>
        </w:rPr>
        <w:t>י</w:t>
      </w:r>
      <w:r>
        <w:rPr>
          <w:rFonts w:ascii="David" w:hAnsi="David"/>
          <w:rtl/>
        </w:rPr>
        <w:t xml:space="preserve">תה קצרה ביותר ולצורך הירי באוויר, ותוך שהירי בוצע במקום פתוח ולא מאוכלס. ב"כ הנאשם 2 הוסיף כי הנאשם ביצע את הירי ללא תכנון מוקדם, באופן ספונטני, וכי מדובר במעידה חד פעמית. הטלת מאסר לתקופה ממושכת בנסיבותיו של הנאשם, בהינתן גילו, אורח החיים הנורמטיבי שניהל קודם לביצוע העבירה והאחריות שנטל על מעשיו, תפגע בו מעבר לצורך. </w:t>
      </w:r>
    </w:p>
    <w:p w14:paraId="305C499E"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ב"כ הנאשם 2 עתר לקביעת מתחם ענישה הולם  הנע בין 8 ועד 16 חודשי מאסר בפועל ולקבוע עונשו של הנאשם 2 ברף התחתון. </w:t>
      </w:r>
    </w:p>
    <w:p w14:paraId="5F81030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ב"כ הנאשם 2 הפנה לפסיקה רלוונטית (נ/4) וביקש להסתפק בתקופת מעצרו של הנאשם.</w:t>
      </w:r>
    </w:p>
    <w:p w14:paraId="735DC1BC" w14:textId="77777777" w:rsidR="004037A7" w:rsidRDefault="004037A7" w:rsidP="004037A7">
      <w:pPr>
        <w:spacing w:line="360" w:lineRule="auto"/>
        <w:jc w:val="both"/>
        <w:rPr>
          <w:rFonts w:ascii="David" w:hAnsi="David"/>
          <w:rtl/>
        </w:rPr>
      </w:pPr>
    </w:p>
    <w:p w14:paraId="6EDE5137"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הנאשם 1 אמר שעשה טעות, ונגע במשהו שאינו שלו. הנאשם הוסיף כי הוא מתחיל  בקבוצות לימוד בכלא ומבקש להתקדם בחייו. לשאלת ביהמ"ש השיב כי הוא אינו יודע עברית אך לומד כעת עברית בכלא. </w:t>
      </w:r>
    </w:p>
    <w:p w14:paraId="61DE9800" w14:textId="77777777" w:rsidR="004037A7" w:rsidRDefault="004037A7" w:rsidP="004037A7">
      <w:pPr>
        <w:pStyle w:val="a9"/>
        <w:spacing w:after="0" w:line="360" w:lineRule="auto"/>
        <w:jc w:val="both"/>
        <w:rPr>
          <w:rFonts w:ascii="David" w:hAnsi="David" w:cs="David"/>
          <w:sz w:val="24"/>
          <w:szCs w:val="24"/>
        </w:rPr>
      </w:pPr>
    </w:p>
    <w:p w14:paraId="337A1CEE" w14:textId="77777777" w:rsidR="004037A7" w:rsidRDefault="004037A7" w:rsidP="004037A7">
      <w:pPr>
        <w:pStyle w:val="a9"/>
        <w:numPr>
          <w:ilvl w:val="0"/>
          <w:numId w:val="1"/>
        </w:numPr>
        <w:spacing w:after="0" w:line="360" w:lineRule="auto"/>
        <w:jc w:val="both"/>
        <w:rPr>
          <w:rFonts w:ascii="David" w:hAnsi="David" w:cs="David"/>
          <w:sz w:val="24"/>
          <w:szCs w:val="24"/>
        </w:rPr>
      </w:pPr>
      <w:r>
        <w:rPr>
          <w:rFonts w:ascii="David" w:hAnsi="David" w:cs="David"/>
          <w:sz w:val="24"/>
          <w:szCs w:val="24"/>
          <w:rtl/>
        </w:rPr>
        <w:t>הנאשם 2 אמר שטעה ולמד מטעות זו במהלך מעצרו. לדבריו במהלך תקופת מעצרו עבר טיפול ונמצא במסגרת לימודים של חוליית החינוך ולומד עברית. הנאשם ביקש סליחה על מעשיו ואמר שלא יחזור על הטעות. לדבריו בכוונתו להוציא  רישיון נהיגה  ולעבוד ולא לחזור על מעשיו.</w:t>
      </w:r>
    </w:p>
    <w:p w14:paraId="6EB4A3A2" w14:textId="77777777" w:rsidR="004037A7" w:rsidRDefault="004037A7" w:rsidP="004037A7">
      <w:pPr>
        <w:spacing w:line="360" w:lineRule="auto"/>
        <w:rPr>
          <w:rFonts w:ascii="David" w:hAnsi="David"/>
          <w:rtl/>
        </w:rPr>
      </w:pPr>
    </w:p>
    <w:p w14:paraId="22F68181" w14:textId="77777777" w:rsidR="004037A7" w:rsidRDefault="004037A7" w:rsidP="004037A7">
      <w:pPr>
        <w:pStyle w:val="a9"/>
        <w:spacing w:after="0" w:line="360" w:lineRule="auto"/>
        <w:jc w:val="both"/>
        <w:rPr>
          <w:rFonts w:ascii="David" w:hAnsi="David" w:cs="David"/>
          <w:b/>
          <w:bCs/>
          <w:sz w:val="24"/>
          <w:szCs w:val="24"/>
          <w:rtl/>
        </w:rPr>
      </w:pPr>
      <w:r>
        <w:rPr>
          <w:rFonts w:ascii="David" w:hAnsi="David" w:cs="David"/>
          <w:b/>
          <w:bCs/>
          <w:sz w:val="24"/>
          <w:szCs w:val="24"/>
          <w:rtl/>
        </w:rPr>
        <w:t>דיון והכרעה:</w:t>
      </w:r>
    </w:p>
    <w:p w14:paraId="65D2EAE2" w14:textId="77777777" w:rsidR="004037A7" w:rsidRDefault="004037A7" w:rsidP="004037A7">
      <w:pPr>
        <w:pStyle w:val="a9"/>
        <w:spacing w:after="0" w:line="360" w:lineRule="auto"/>
        <w:jc w:val="both"/>
        <w:rPr>
          <w:rFonts w:ascii="David" w:hAnsi="David" w:cs="David"/>
          <w:b/>
          <w:bCs/>
          <w:sz w:val="24"/>
          <w:szCs w:val="24"/>
          <w:rtl/>
        </w:rPr>
      </w:pPr>
    </w:p>
    <w:p w14:paraId="6789C2B5"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הנאשמים 1 ו -2 חטאו בעבירות בנשק (נאשם 1- עבירה של נשיאה והובלה ונאשם 2</w:t>
      </w:r>
      <w:r>
        <w:rPr>
          <w:rFonts w:ascii="David" w:hAnsi="David" w:cs="David" w:hint="cs"/>
          <w:sz w:val="24"/>
          <w:szCs w:val="24"/>
          <w:rtl/>
        </w:rPr>
        <w:t xml:space="preserve">- </w:t>
      </w:r>
      <w:r>
        <w:rPr>
          <w:rFonts w:ascii="David" w:hAnsi="David" w:cs="David"/>
          <w:sz w:val="24"/>
          <w:szCs w:val="24"/>
          <w:rtl/>
        </w:rPr>
        <w:t xml:space="preserve">עבירה של החזקה) ובעבירה של ירי מנשק חם. </w:t>
      </w:r>
    </w:p>
    <w:p w14:paraId="2AFF7518"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בשנים האחרונות אנו עדים ל"</w:t>
      </w:r>
      <w:r>
        <w:rPr>
          <w:rFonts w:ascii="David" w:hAnsi="David" w:cs="David"/>
          <w:b/>
          <w:bCs/>
          <w:sz w:val="24"/>
          <w:szCs w:val="24"/>
          <w:rtl/>
        </w:rPr>
        <w:t>מציאות העגומה שהשימוש הלא חוקי בנשק חם... היה לחלק בלתי נפרד ממנה</w:t>
      </w:r>
      <w:r>
        <w:rPr>
          <w:rFonts w:ascii="David" w:hAnsi="David" w:cs="David"/>
          <w:sz w:val="24"/>
          <w:szCs w:val="24"/>
          <w:rtl/>
        </w:rPr>
        <w:t>" (</w:t>
      </w:r>
      <w:hyperlink r:id="rId23" w:history="1">
        <w:r w:rsidR="00686CFA" w:rsidRPr="00686CFA">
          <w:rPr>
            <w:rFonts w:ascii="David" w:hAnsi="David" w:cs="David"/>
            <w:color w:val="0000FF"/>
            <w:sz w:val="24"/>
            <w:szCs w:val="24"/>
            <w:u w:val="single"/>
            <w:rtl/>
          </w:rPr>
          <w:t xml:space="preserve">5602/22 </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(14.9.22) וגם </w:t>
      </w:r>
      <w:hyperlink r:id="rId24" w:history="1">
        <w:r w:rsidR="003503D9" w:rsidRPr="003503D9">
          <w:rPr>
            <w:rFonts w:ascii="David" w:hAnsi="David" w:cs="David"/>
            <w:color w:val="0000FF"/>
            <w:sz w:val="24"/>
            <w:szCs w:val="24"/>
            <w:u w:val="single"/>
            <w:rtl/>
          </w:rPr>
          <w:t>ע"פ 4406/19</w:t>
        </w:r>
      </w:hyperlink>
      <w:r>
        <w:rPr>
          <w:rFonts w:ascii="David" w:hAnsi="David" w:cs="David"/>
          <w:sz w:val="24"/>
          <w:szCs w:val="24"/>
          <w:rtl/>
        </w:rPr>
        <w:t xml:space="preserve"> </w:t>
      </w:r>
      <w:r>
        <w:rPr>
          <w:rFonts w:ascii="David" w:hAnsi="David" w:cs="David"/>
          <w:b/>
          <w:bCs/>
          <w:sz w:val="24"/>
          <w:szCs w:val="24"/>
          <w:rtl/>
        </w:rPr>
        <w:t>מדינת ישראל נ' סובח</w:t>
      </w:r>
      <w:r>
        <w:rPr>
          <w:rFonts w:ascii="David" w:hAnsi="David" w:cs="David"/>
          <w:sz w:val="24"/>
          <w:szCs w:val="24"/>
          <w:rtl/>
        </w:rPr>
        <w:t xml:space="preserve"> (5.11.2019))</w:t>
      </w:r>
    </w:p>
    <w:p w14:paraId="253BDD4E"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 xml:space="preserve">עבירות הנשק מהוות קרקע פורייה לעבירות פליליות חמורות אחרות, אך גם לעבירות בעלות גוון לאומני, כפי שאזרחי המדינה חוו באירועי מבצע "שומר חומות". </w:t>
      </w:r>
    </w:p>
    <w:p w14:paraId="04A5CD09"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 xml:space="preserve">עבירות הנשק, בוודאי בנגב, הפכו לרעה חולה. ניכר כי הן מבוצעות לא רק על ידי עבריינים חוזרים, אלא גם על ידי צעירים ונטולי עבר פלילי ולכאורה נורמטיביים כבמקרה דנן. מציאות זו מחייבת טיפול בתופעה המדאיגה והחמרת הענישה עם עברייני הנשק לסוגיהם. </w:t>
      </w:r>
    </w:p>
    <w:p w14:paraId="67B7819F" w14:textId="77777777" w:rsidR="004037A7" w:rsidRDefault="004037A7" w:rsidP="004037A7">
      <w:pPr>
        <w:pStyle w:val="a9"/>
        <w:spacing w:after="0" w:line="360" w:lineRule="auto"/>
        <w:jc w:val="both"/>
        <w:rPr>
          <w:rFonts w:ascii="David" w:hAnsi="David" w:cs="David"/>
          <w:sz w:val="24"/>
          <w:szCs w:val="24"/>
          <w:rtl/>
        </w:rPr>
      </w:pPr>
    </w:p>
    <w:p w14:paraId="05F4A92D"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בהתאם לסעיף </w:t>
      </w:r>
      <w:hyperlink r:id="rId25" w:history="1">
        <w:r w:rsidR="007023B9" w:rsidRPr="007023B9">
          <w:rPr>
            <w:rStyle w:val="Hyperlink"/>
            <w:rFonts w:ascii="David" w:hAnsi="David" w:cs="David"/>
            <w:sz w:val="24"/>
            <w:szCs w:val="24"/>
            <w:rtl/>
          </w:rPr>
          <w:t>40 ב</w:t>
        </w:r>
      </w:hyperlink>
      <w:r>
        <w:rPr>
          <w:rFonts w:ascii="David" w:hAnsi="David" w:cs="David"/>
          <w:sz w:val="24"/>
          <w:szCs w:val="24"/>
          <w:rtl/>
        </w:rPr>
        <w:t xml:space="preserve"> ל</w:t>
      </w:r>
      <w:hyperlink r:id="rId26"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עקרון ההלימה הינו העיקרון המנחה בענישה, ויש לבחון קיומו של יחס הולם בין חומרת מעשה העבירה, בנסיבותיו ובמידת אשמתם של הנאשמים ובין סוג ומידת העונש המוטל עליהם. </w:t>
      </w:r>
    </w:p>
    <w:p w14:paraId="160AD2DB" w14:textId="77777777" w:rsidR="004037A7" w:rsidRDefault="004037A7" w:rsidP="004037A7">
      <w:pPr>
        <w:spacing w:line="360" w:lineRule="auto"/>
        <w:rPr>
          <w:rFonts w:ascii="David" w:hAnsi="David"/>
          <w:highlight w:val="cyan"/>
          <w:rtl/>
        </w:rPr>
      </w:pPr>
    </w:p>
    <w:p w14:paraId="3847D52E" w14:textId="77777777" w:rsidR="004037A7" w:rsidRDefault="004037A7" w:rsidP="004037A7">
      <w:pPr>
        <w:spacing w:line="360" w:lineRule="auto"/>
        <w:rPr>
          <w:rFonts w:ascii="David" w:hAnsi="David"/>
          <w:highlight w:val="cyan"/>
          <w:rtl/>
        </w:rPr>
      </w:pPr>
    </w:p>
    <w:p w14:paraId="36CA1356" w14:textId="77777777" w:rsidR="004037A7" w:rsidRDefault="004037A7" w:rsidP="004037A7">
      <w:pPr>
        <w:pStyle w:val="a9"/>
        <w:spacing w:after="0" w:line="360" w:lineRule="auto"/>
        <w:rPr>
          <w:rFonts w:ascii="David" w:hAnsi="David" w:cs="David"/>
          <w:b/>
          <w:bCs/>
          <w:sz w:val="24"/>
          <w:szCs w:val="24"/>
          <w:rtl/>
        </w:rPr>
      </w:pPr>
      <w:r>
        <w:rPr>
          <w:rFonts w:ascii="David" w:hAnsi="David" w:cs="David"/>
          <w:b/>
          <w:bCs/>
          <w:sz w:val="24"/>
          <w:szCs w:val="24"/>
          <w:rtl/>
        </w:rPr>
        <w:t xml:space="preserve">קביעת מתחם העונש ההולם: </w:t>
      </w:r>
    </w:p>
    <w:p w14:paraId="0154AAFB" w14:textId="77777777" w:rsidR="004037A7" w:rsidRDefault="004037A7" w:rsidP="004037A7">
      <w:pPr>
        <w:pStyle w:val="a9"/>
        <w:spacing w:after="0" w:line="360" w:lineRule="auto"/>
        <w:rPr>
          <w:rFonts w:ascii="David" w:hAnsi="David" w:cs="David"/>
          <w:b/>
          <w:bCs/>
          <w:sz w:val="24"/>
          <w:szCs w:val="24"/>
          <w:rtl/>
        </w:rPr>
      </w:pPr>
    </w:p>
    <w:p w14:paraId="282FFF68" w14:textId="77777777" w:rsidR="004037A7" w:rsidRPr="008C5814" w:rsidRDefault="004037A7" w:rsidP="004037A7">
      <w:pPr>
        <w:pStyle w:val="a9"/>
        <w:numPr>
          <w:ilvl w:val="0"/>
          <w:numId w:val="1"/>
        </w:numPr>
        <w:spacing w:after="0" w:line="360" w:lineRule="auto"/>
        <w:jc w:val="both"/>
        <w:rPr>
          <w:rFonts w:ascii="David" w:hAnsi="David" w:cs="David"/>
          <w:sz w:val="24"/>
          <w:szCs w:val="24"/>
          <w:rtl/>
        </w:rPr>
      </w:pPr>
      <w:r w:rsidRPr="008C5814">
        <w:rPr>
          <w:rFonts w:ascii="David" w:hAnsi="David" w:cs="David"/>
          <w:sz w:val="24"/>
          <w:szCs w:val="24"/>
          <w:rtl/>
        </w:rPr>
        <w:t xml:space="preserve">לצורך קביעת מתחם הענישה ההולם בהתאם לסעיף </w:t>
      </w:r>
      <w:hyperlink r:id="rId27" w:history="1">
        <w:r w:rsidR="007023B9" w:rsidRPr="007023B9">
          <w:rPr>
            <w:rStyle w:val="Hyperlink"/>
            <w:rFonts w:ascii="David" w:hAnsi="David" w:cs="David"/>
            <w:sz w:val="24"/>
            <w:szCs w:val="24"/>
            <w:rtl/>
          </w:rPr>
          <w:t>40 ג</w:t>
        </w:r>
      </w:hyperlink>
      <w:r w:rsidRPr="008C5814">
        <w:rPr>
          <w:rFonts w:ascii="David" w:hAnsi="David" w:cs="David"/>
          <w:sz w:val="24"/>
          <w:szCs w:val="24"/>
          <w:rtl/>
        </w:rPr>
        <w:t xml:space="preserve"> ל</w:t>
      </w:r>
      <w:hyperlink r:id="rId28" w:history="1">
        <w:r w:rsidR="003503D9" w:rsidRPr="003503D9">
          <w:rPr>
            <w:rFonts w:ascii="David" w:hAnsi="David" w:cs="David"/>
            <w:color w:val="0000FF"/>
            <w:sz w:val="24"/>
            <w:szCs w:val="24"/>
            <w:u w:val="single"/>
            <w:rtl/>
          </w:rPr>
          <w:t>חוק העונשין</w:t>
        </w:r>
      </w:hyperlink>
      <w:r w:rsidRPr="008C5814">
        <w:rPr>
          <w:rFonts w:ascii="David" w:hAnsi="David" w:cs="David"/>
          <w:sz w:val="24"/>
          <w:szCs w:val="24"/>
          <w:rtl/>
        </w:rPr>
        <w:t>, יש לבחון את</w:t>
      </w:r>
      <w:r w:rsidRPr="008C5814">
        <w:rPr>
          <w:rFonts w:ascii="David" w:hAnsi="David" w:cs="David" w:hint="cs"/>
          <w:sz w:val="24"/>
          <w:szCs w:val="24"/>
          <w:rtl/>
        </w:rPr>
        <w:t xml:space="preserve"> ה</w:t>
      </w:r>
      <w:r w:rsidRPr="008C5814">
        <w:rPr>
          <w:rFonts w:ascii="David" w:hAnsi="David" w:cs="David"/>
          <w:sz w:val="24"/>
          <w:szCs w:val="24"/>
          <w:rtl/>
        </w:rPr>
        <w:t>ערך החברתי שנפגע מהעבירה ומידת הפגיעה בו</w:t>
      </w:r>
      <w:r w:rsidRPr="008C5814">
        <w:rPr>
          <w:rFonts w:ascii="David" w:hAnsi="David" w:cs="David" w:hint="cs"/>
          <w:sz w:val="24"/>
          <w:szCs w:val="24"/>
          <w:rtl/>
        </w:rPr>
        <w:t>, מ</w:t>
      </w:r>
      <w:r w:rsidRPr="008C5814">
        <w:rPr>
          <w:rFonts w:ascii="David" w:hAnsi="David" w:cs="David"/>
          <w:sz w:val="24"/>
          <w:szCs w:val="24"/>
          <w:rtl/>
        </w:rPr>
        <w:t>דיניות הענישה הנוהגת</w:t>
      </w:r>
      <w:r>
        <w:rPr>
          <w:rFonts w:ascii="David" w:hAnsi="David" w:cs="David" w:hint="cs"/>
          <w:sz w:val="24"/>
          <w:szCs w:val="24"/>
          <w:rtl/>
        </w:rPr>
        <w:t>,</w:t>
      </w:r>
      <w:r w:rsidRPr="008C5814">
        <w:rPr>
          <w:rFonts w:ascii="David" w:hAnsi="David" w:cs="David" w:hint="cs"/>
          <w:sz w:val="24"/>
          <w:szCs w:val="24"/>
          <w:rtl/>
        </w:rPr>
        <w:t xml:space="preserve"> ו</w:t>
      </w:r>
      <w:r>
        <w:rPr>
          <w:rFonts w:ascii="David" w:hAnsi="David" w:cs="David" w:hint="cs"/>
          <w:sz w:val="24"/>
          <w:szCs w:val="24"/>
          <w:rtl/>
        </w:rPr>
        <w:t>ה</w:t>
      </w:r>
      <w:r w:rsidRPr="008C5814">
        <w:rPr>
          <w:rFonts w:ascii="David" w:hAnsi="David" w:cs="David"/>
          <w:sz w:val="24"/>
          <w:szCs w:val="24"/>
          <w:rtl/>
        </w:rPr>
        <w:t>נסיבות הקשורות בביצוע העבירה.</w:t>
      </w:r>
    </w:p>
    <w:p w14:paraId="5465F04E" w14:textId="77777777" w:rsidR="004037A7" w:rsidRDefault="004037A7" w:rsidP="004037A7">
      <w:pPr>
        <w:spacing w:line="360" w:lineRule="auto"/>
        <w:rPr>
          <w:rFonts w:ascii="David" w:hAnsi="David"/>
          <w:highlight w:val="cyan"/>
          <w:rtl/>
        </w:rPr>
      </w:pPr>
    </w:p>
    <w:p w14:paraId="65C0B62A"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בנוסף לאמור לעיל, גזירת מתחם הענישה צריכה להיעשות גם בזיקה לענישה המרבית שקבע המחוקק. ולעניין זה יפים הם דברי כבוד השופט שטיין בע"א </w:t>
      </w:r>
      <w:hyperlink r:id="rId29" w:history="1">
        <w:r w:rsidR="00686CFA" w:rsidRPr="00686CFA">
          <w:rPr>
            <w:rFonts w:ascii="David" w:hAnsi="David" w:cs="David"/>
            <w:color w:val="0000FF"/>
            <w:sz w:val="24"/>
            <w:szCs w:val="24"/>
            <w:u w:val="single"/>
            <w:rtl/>
          </w:rPr>
          <w:t xml:space="preserve">147/21 </w:t>
        </w:r>
      </w:hyperlink>
      <w:r>
        <w:rPr>
          <w:rFonts w:ascii="David" w:hAnsi="David" w:cs="David"/>
          <w:sz w:val="24"/>
          <w:szCs w:val="24"/>
          <w:rtl/>
        </w:rPr>
        <w:t xml:space="preserve"> </w:t>
      </w:r>
      <w:r>
        <w:rPr>
          <w:rFonts w:ascii="David" w:hAnsi="David" w:cs="David"/>
          <w:b/>
          <w:bCs/>
          <w:sz w:val="24"/>
          <w:szCs w:val="24"/>
          <w:rtl/>
        </w:rPr>
        <w:t>מ"י נ' ירין ביטון</w:t>
      </w:r>
      <w:r>
        <w:rPr>
          <w:rFonts w:ascii="David" w:hAnsi="David" w:cs="David"/>
          <w:sz w:val="24"/>
          <w:szCs w:val="24"/>
          <w:rtl/>
        </w:rPr>
        <w:t xml:space="preserve"> [פורסם בנבו] (14.2.21):</w:t>
      </w:r>
    </w:p>
    <w:p w14:paraId="2D1958E7"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30" w:history="1">
        <w:r w:rsidR="003503D9" w:rsidRPr="003503D9">
          <w:rPr>
            <w:rFonts w:ascii="David" w:hAnsi="David" w:cs="David"/>
            <w:b/>
            <w:bCs/>
            <w:color w:val="0000FF"/>
            <w:sz w:val="24"/>
            <w:szCs w:val="24"/>
            <w:u w:val="single"/>
            <w:rtl/>
          </w:rPr>
          <w:t>חוק העונשין</w:t>
        </w:r>
      </w:hyperlink>
      <w:r>
        <w:rPr>
          <w:rFonts w:ascii="David" w:hAnsi="David" w:cs="David"/>
          <w:sz w:val="24"/>
          <w:szCs w:val="24"/>
          <w:rtl/>
        </w:rPr>
        <w:t>..."</w:t>
      </w:r>
    </w:p>
    <w:p w14:paraId="4074621F" w14:textId="77777777" w:rsidR="004037A7" w:rsidRDefault="004037A7" w:rsidP="004037A7">
      <w:pPr>
        <w:pStyle w:val="a9"/>
        <w:spacing w:after="0" w:line="360" w:lineRule="auto"/>
        <w:jc w:val="both"/>
        <w:rPr>
          <w:rFonts w:ascii="David" w:hAnsi="David" w:cs="David"/>
          <w:sz w:val="24"/>
          <w:szCs w:val="24"/>
          <w:rtl/>
        </w:rPr>
      </w:pPr>
    </w:p>
    <w:p w14:paraId="4BE50EAF"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לאור האמור, גזירת מתחם הענישה תעשה גם בזיקה עניינית לחומרת העבירות בהן הורשעו הנאשמים  ולעונשים המרביים כפי שנקבעו על ידי המחוקק ( 10 שנות מאסר לעבירת הנשיאה וההובלה, 7 שנות מאסר לעבירת ההחזקה ושנתיים לירי בשטח פתוח).</w:t>
      </w:r>
    </w:p>
    <w:p w14:paraId="2D713E18" w14:textId="77777777" w:rsidR="004037A7" w:rsidRDefault="004037A7" w:rsidP="004037A7">
      <w:pPr>
        <w:pStyle w:val="a9"/>
        <w:spacing w:after="0" w:line="360" w:lineRule="auto"/>
        <w:jc w:val="both"/>
        <w:rPr>
          <w:rFonts w:ascii="David" w:hAnsi="David" w:cs="David"/>
          <w:sz w:val="24"/>
          <w:szCs w:val="24"/>
          <w:rtl/>
        </w:rPr>
      </w:pPr>
    </w:p>
    <w:p w14:paraId="6C67F57C"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כאמור בטיעוני ב"כ המאשימה, ביום 8.12.21 נכנס לתקפו תיקון 140 ל</w:t>
      </w:r>
      <w:hyperlink r:id="rId31"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הקובע כי בתקופה של שלוש שנים מיום פרסומה של הוראת השעה, לא יפחת עונשו של מי שהורשע בעבירות בנשק המפורטות בתיקון, מרבע העונש המרבי שנקבע לאותה עבירה. </w:t>
      </w:r>
    </w:p>
    <w:p w14:paraId="6B417CEC"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לאור האמור, טרם קביעת המתחמים יש לבחון גם את היחס בין העונש המזערי שקבע המחוקק לבין מתחם העונש ההולם.</w:t>
      </w:r>
    </w:p>
    <w:p w14:paraId="4A6252B5" w14:textId="77777777" w:rsidR="004037A7" w:rsidRDefault="004037A7" w:rsidP="004037A7">
      <w:pPr>
        <w:pStyle w:val="a9"/>
        <w:spacing w:after="0" w:line="360" w:lineRule="auto"/>
        <w:jc w:val="both"/>
        <w:rPr>
          <w:rFonts w:ascii="David" w:hAnsi="David" w:cs="David"/>
          <w:sz w:val="24"/>
          <w:szCs w:val="24"/>
          <w:rtl/>
        </w:rPr>
      </w:pPr>
    </w:p>
    <w:p w14:paraId="390BD607"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בית המשפט העליון עמד על כך שעונש המינימום הוא "</w:t>
      </w:r>
      <w:r>
        <w:rPr>
          <w:rFonts w:ascii="David" w:hAnsi="David" w:cs="David"/>
          <w:b/>
          <w:bCs/>
          <w:sz w:val="24"/>
          <w:szCs w:val="24"/>
          <w:rtl/>
        </w:rPr>
        <w:t>בבחינת אינדיקציה לחומרה שמיוחסת לעבירה ולמידת הפגיעה בערכים המוגנים מחמת ביצועה, ומשכך, ראוי שתהיה לו השפעה גם על מתחם העונש ההולם</w:t>
      </w:r>
      <w:r>
        <w:rPr>
          <w:rFonts w:ascii="David" w:hAnsi="David" w:cs="David"/>
          <w:sz w:val="24"/>
          <w:szCs w:val="24"/>
          <w:rtl/>
        </w:rPr>
        <w:t xml:space="preserve">" (ראה: </w:t>
      </w:r>
      <w:hyperlink r:id="rId32" w:history="1">
        <w:r w:rsidR="003503D9" w:rsidRPr="003503D9">
          <w:rPr>
            <w:rFonts w:ascii="David" w:hAnsi="David" w:cs="David"/>
            <w:color w:val="0000FF"/>
            <w:sz w:val="24"/>
            <w:szCs w:val="24"/>
            <w:u w:val="single"/>
            <w:rtl/>
          </w:rPr>
          <w:t>ע"פ 4876/15</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(3.12.15); ו</w:t>
      </w:r>
      <w:hyperlink r:id="rId33" w:history="1">
        <w:r w:rsidR="003503D9" w:rsidRPr="003503D9">
          <w:rPr>
            <w:rFonts w:ascii="David" w:hAnsi="David" w:cs="David"/>
            <w:color w:val="0000FF"/>
            <w:sz w:val="24"/>
            <w:szCs w:val="24"/>
            <w:u w:val="single"/>
            <w:rtl/>
          </w:rPr>
          <w:t>ע"פ 8045/13</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(‏4.11.2014)).</w:t>
      </w:r>
    </w:p>
    <w:p w14:paraId="161E9014" w14:textId="77777777" w:rsidR="004037A7" w:rsidRDefault="004037A7" w:rsidP="004037A7">
      <w:pPr>
        <w:pStyle w:val="a9"/>
        <w:spacing w:after="0" w:line="360" w:lineRule="auto"/>
        <w:jc w:val="both"/>
        <w:rPr>
          <w:rFonts w:ascii="David" w:hAnsi="David" w:cs="David"/>
          <w:sz w:val="24"/>
          <w:szCs w:val="24"/>
          <w:rtl/>
        </w:rPr>
      </w:pPr>
    </w:p>
    <w:p w14:paraId="2D8A1852"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כב' הש' ס' ג'ובראן התייחס לסוגיה ב</w:t>
      </w:r>
      <w:hyperlink r:id="rId34" w:history="1">
        <w:r w:rsidR="003503D9" w:rsidRPr="003503D9">
          <w:rPr>
            <w:rFonts w:ascii="David" w:hAnsi="David" w:cs="David"/>
            <w:color w:val="0000FF"/>
            <w:sz w:val="24"/>
            <w:szCs w:val="24"/>
            <w:u w:val="single"/>
            <w:rtl/>
          </w:rPr>
          <w:t>ע"פ 1605/13</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(27.8.14) וקבע כי: </w:t>
      </w:r>
    </w:p>
    <w:p w14:paraId="25D3DF74" w14:textId="77777777" w:rsidR="004037A7" w:rsidRDefault="004037A7" w:rsidP="004037A7">
      <w:pPr>
        <w:pStyle w:val="a9"/>
        <w:spacing w:after="0" w:line="360" w:lineRule="auto"/>
        <w:jc w:val="both"/>
        <w:rPr>
          <w:rFonts w:ascii="David" w:hAnsi="David" w:cs="David"/>
          <w:sz w:val="24"/>
          <w:szCs w:val="24"/>
          <w:rtl/>
        </w:rPr>
      </w:pPr>
      <w:r>
        <w:rPr>
          <w:rFonts w:ascii="David" w:hAnsi="David" w:cs="David"/>
          <w:b/>
          <w:bCs/>
          <w:sz w:val="24"/>
          <w:szCs w:val="24"/>
          <w:rtl/>
        </w:rPr>
        <w:t>"מתחם עונש הולם שתחתיתו נמוכה מעונש המינימום יכול להיקבע רק אם ניתנו טעמים מיוחדים לכך ... עונש המינימום שקבע המחוקק הוא אינדיקציה לחומרה שמיוחסת לעבירה ולמידת הפגיעה בערכים המוגנים מביצועה, ולכן נכון שתהיה לו השפעה גם על מתחם העונש ההולם, אך כמובן בכפוף לסייג הטעמים המיוחדים שקבע המחוקק... פרשנויות אחרות, למשל ...שניתן להתעלם מעונש המינימום אף מבלי טעמים מיוחדים בעת קביעת תחתית מתחם העונש ההולם, תבאנה למצב בו לא תהיה הלימה בין חומרת העבירה לבין המתחם</w:t>
      </w:r>
      <w:r>
        <w:rPr>
          <w:rFonts w:ascii="David" w:hAnsi="David" w:cs="David"/>
          <w:sz w:val="24"/>
          <w:szCs w:val="24"/>
          <w:rtl/>
        </w:rPr>
        <w:t>" (</w:t>
      </w:r>
      <w:hyperlink r:id="rId35" w:history="1">
        <w:r w:rsidR="003503D9" w:rsidRPr="003503D9">
          <w:rPr>
            <w:rFonts w:ascii="David" w:hAnsi="David" w:cs="David"/>
            <w:color w:val="0000FF"/>
            <w:sz w:val="24"/>
            <w:szCs w:val="24"/>
            <w:u w:val="single"/>
            <w:rtl/>
          </w:rPr>
          <w:t>עפ 1605/13</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(27.8.14) </w:t>
      </w:r>
    </w:p>
    <w:p w14:paraId="4C301A90" w14:textId="77777777" w:rsidR="004037A7" w:rsidRDefault="004037A7" w:rsidP="004037A7">
      <w:pPr>
        <w:pStyle w:val="a9"/>
        <w:spacing w:after="0" w:line="360" w:lineRule="auto"/>
        <w:rPr>
          <w:rFonts w:ascii="David" w:hAnsi="David" w:cs="David"/>
          <w:sz w:val="24"/>
          <w:szCs w:val="24"/>
          <w:highlight w:val="cyan"/>
          <w:rtl/>
        </w:rPr>
      </w:pPr>
    </w:p>
    <w:p w14:paraId="6C77F3B5" w14:textId="77777777" w:rsidR="004037A7" w:rsidRPr="00762CE9" w:rsidRDefault="004037A7" w:rsidP="004037A7">
      <w:pPr>
        <w:spacing w:line="360" w:lineRule="auto"/>
        <w:rPr>
          <w:rFonts w:ascii="David" w:hAnsi="David"/>
          <w:b/>
          <w:bCs/>
          <w:rtl/>
        </w:rPr>
      </w:pPr>
      <w:r w:rsidRPr="00762CE9">
        <w:rPr>
          <w:rFonts w:ascii="David" w:hAnsi="David"/>
          <w:b/>
          <w:bCs/>
          <w:rtl/>
        </w:rPr>
        <w:t>הערכים החברתיים שנפגעו:</w:t>
      </w:r>
    </w:p>
    <w:p w14:paraId="50CD4816" w14:textId="77777777" w:rsidR="004037A7" w:rsidRDefault="004037A7" w:rsidP="004037A7">
      <w:pPr>
        <w:pStyle w:val="a9"/>
        <w:spacing w:after="0" w:line="360" w:lineRule="auto"/>
        <w:rPr>
          <w:rFonts w:ascii="David" w:hAnsi="David" w:cs="David"/>
          <w:sz w:val="24"/>
          <w:szCs w:val="24"/>
          <w:rtl/>
        </w:rPr>
      </w:pPr>
    </w:p>
    <w:p w14:paraId="6E534C08"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הערכים החברתיים המוגנים בעבירות נשק כוללים שמירת החיים והגוף, בטחון הציבור ושמירת הסדר הציבורי. </w:t>
      </w:r>
    </w:p>
    <w:p w14:paraId="0C98B928"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ר' לעניין זה </w:t>
      </w:r>
      <w:hyperlink r:id="rId36" w:history="1">
        <w:r w:rsidR="003503D9" w:rsidRPr="003503D9">
          <w:rPr>
            <w:rFonts w:ascii="David" w:hAnsi="David" w:cs="David"/>
            <w:color w:val="0000FF"/>
            <w:sz w:val="24"/>
            <w:szCs w:val="24"/>
            <w:u w:val="single"/>
            <w:rtl/>
          </w:rPr>
          <w:t>ע"פ 7502/12</w:t>
        </w:r>
      </w:hyperlink>
      <w:r>
        <w:rPr>
          <w:rFonts w:ascii="David" w:hAnsi="David" w:cs="David"/>
          <w:sz w:val="24"/>
          <w:szCs w:val="24"/>
          <w:rtl/>
        </w:rPr>
        <w:t xml:space="preserve"> </w:t>
      </w:r>
      <w:r>
        <w:rPr>
          <w:rFonts w:ascii="David" w:hAnsi="David" w:cs="David"/>
          <w:b/>
          <w:bCs/>
          <w:sz w:val="24"/>
          <w:szCs w:val="24"/>
          <w:rtl/>
        </w:rPr>
        <w:t>בסאם כוויס נגד מ"י</w:t>
      </w:r>
      <w:r>
        <w:rPr>
          <w:rFonts w:ascii="David" w:hAnsi="David" w:cs="David"/>
          <w:sz w:val="24"/>
          <w:szCs w:val="24"/>
          <w:rtl/>
        </w:rPr>
        <w:t xml:space="preserve"> (25.06.2013):</w:t>
      </w:r>
    </w:p>
    <w:p w14:paraId="5A03FCE3"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כפי שנפסק, לא אחת, 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Pr>
          <w:rFonts w:ascii="David" w:hAnsi="David" w:cs="David"/>
          <w:sz w:val="24"/>
          <w:szCs w:val="24"/>
          <w:rtl/>
        </w:rPr>
        <w:t>."</w:t>
      </w:r>
    </w:p>
    <w:p w14:paraId="660963A2" w14:textId="77777777" w:rsidR="004037A7" w:rsidRDefault="004037A7" w:rsidP="004037A7">
      <w:pPr>
        <w:pStyle w:val="a9"/>
        <w:spacing w:after="0" w:line="360" w:lineRule="auto"/>
        <w:rPr>
          <w:rFonts w:ascii="David" w:hAnsi="David" w:cs="David"/>
          <w:sz w:val="24"/>
          <w:szCs w:val="24"/>
          <w:highlight w:val="cyan"/>
          <w:rtl/>
        </w:rPr>
      </w:pPr>
    </w:p>
    <w:p w14:paraId="11402F85"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מידת הפגיעה בערכים המוגנים בעניינינו משמעותית וזאת גם נוכח השימוש שנעשה בפועל באקדח. עבירת הנשיאה והובלה של כלי נשק, כמו גם עבירת ההחזקה, מגלמות בתוכן סיכון פוטנציאלי לשלום הציבור ובטחונו, ופעמים רבות, כמו במקרה דנן, מהוות הקדמה או חלק מביצוע של עבירה נוספת.</w:t>
      </w:r>
    </w:p>
    <w:p w14:paraId="666BC9D8" w14:textId="77777777" w:rsidR="004037A7" w:rsidRDefault="004037A7" w:rsidP="004037A7">
      <w:pPr>
        <w:pStyle w:val="a9"/>
        <w:spacing w:after="0" w:line="360" w:lineRule="auto"/>
        <w:jc w:val="both"/>
        <w:rPr>
          <w:rFonts w:ascii="David" w:hAnsi="David" w:cs="David"/>
          <w:sz w:val="24"/>
          <w:szCs w:val="24"/>
        </w:rPr>
      </w:pPr>
    </w:p>
    <w:p w14:paraId="502B5D14" w14:textId="77777777" w:rsidR="004037A7" w:rsidRPr="00762CE9" w:rsidRDefault="004037A7" w:rsidP="004037A7">
      <w:pPr>
        <w:spacing w:line="360" w:lineRule="auto"/>
        <w:jc w:val="both"/>
        <w:rPr>
          <w:rFonts w:ascii="David" w:hAnsi="David"/>
          <w:b/>
          <w:bCs/>
          <w:rtl/>
        </w:rPr>
      </w:pPr>
      <w:r w:rsidRPr="00762CE9">
        <w:rPr>
          <w:rFonts w:ascii="David" w:hAnsi="David"/>
          <w:b/>
          <w:bCs/>
          <w:rtl/>
        </w:rPr>
        <w:t>מדיניות הענישה הנוהגת:</w:t>
      </w:r>
    </w:p>
    <w:p w14:paraId="2A9E9A8A" w14:textId="77777777" w:rsidR="004037A7" w:rsidRDefault="004037A7" w:rsidP="004037A7">
      <w:pPr>
        <w:pStyle w:val="a9"/>
        <w:spacing w:after="0" w:line="360" w:lineRule="auto"/>
        <w:ind w:left="1080"/>
        <w:rPr>
          <w:rFonts w:ascii="David" w:hAnsi="David" w:cs="David"/>
          <w:b/>
          <w:bCs/>
          <w:sz w:val="24"/>
          <w:szCs w:val="24"/>
        </w:rPr>
      </w:pPr>
    </w:p>
    <w:p w14:paraId="219B648B"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בית המשפט העליון הדגיש את הצורך בהחמרה בעבירות הנשק השונות, ואת החומרה הרבה שבביצוע עבירות נשק.</w:t>
      </w:r>
    </w:p>
    <w:p w14:paraId="616CFC1D"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בפסיקתי בת"פ </w:t>
      </w:r>
      <w:hyperlink r:id="rId37" w:history="1">
        <w:r w:rsidR="00686CFA" w:rsidRPr="00686CFA">
          <w:rPr>
            <w:rFonts w:ascii="David" w:hAnsi="David" w:cs="David"/>
            <w:color w:val="0000FF"/>
            <w:sz w:val="24"/>
            <w:szCs w:val="24"/>
            <w:u w:val="single"/>
            <w:rtl/>
          </w:rPr>
          <w:t xml:space="preserve">2476-07-22 </w:t>
        </w:r>
      </w:hyperlink>
      <w:r>
        <w:rPr>
          <w:rFonts w:ascii="David" w:hAnsi="David" w:cs="David"/>
          <w:sz w:val="24"/>
          <w:szCs w:val="24"/>
          <w:rtl/>
        </w:rPr>
        <w:t xml:space="preserve"> </w:t>
      </w:r>
      <w:r>
        <w:rPr>
          <w:rFonts w:ascii="David" w:hAnsi="David" w:cs="David"/>
          <w:b/>
          <w:bCs/>
          <w:sz w:val="24"/>
          <w:szCs w:val="24"/>
          <w:rtl/>
        </w:rPr>
        <w:t>מדינת ישראל נ' אבו אלקעאן</w:t>
      </w:r>
      <w:r>
        <w:rPr>
          <w:rFonts w:ascii="David" w:hAnsi="David" w:cs="David"/>
          <w:sz w:val="24"/>
          <w:szCs w:val="24"/>
          <w:rtl/>
        </w:rPr>
        <w:t xml:space="preserve"> התייחסתי לצורך במיגור התופעה, שהוכרה בפסיקה בשנים האחרונות כמכת מדינה. הקלות הבלתי נסבלת בביצוע עבירות בנשק וזעקת הציבור המדמם מחייבות ענישה מחמירה ומרתיעה.</w:t>
      </w:r>
    </w:p>
    <w:p w14:paraId="2D10D9A6"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cs="David"/>
          <w:sz w:val="24"/>
          <w:szCs w:val="24"/>
          <w:rtl/>
        </w:rPr>
        <w:t xml:space="preserve"> " (</w:t>
      </w:r>
      <w:hyperlink r:id="rId38" w:history="1">
        <w:r w:rsidR="003503D9" w:rsidRPr="003503D9">
          <w:rPr>
            <w:rFonts w:ascii="David" w:hAnsi="David" w:cs="David"/>
            <w:color w:val="0000FF"/>
            <w:sz w:val="24"/>
            <w:szCs w:val="24"/>
            <w:u w:val="single"/>
            <w:rtl/>
          </w:rPr>
          <w:t>ע"פ 147/21</w:t>
        </w:r>
      </w:hyperlink>
      <w:r>
        <w:rPr>
          <w:rFonts w:ascii="David" w:hAnsi="David" w:cs="David"/>
          <w:sz w:val="24"/>
          <w:szCs w:val="24"/>
          <w:rtl/>
        </w:rPr>
        <w:t xml:space="preserve"> </w:t>
      </w:r>
      <w:r>
        <w:rPr>
          <w:rFonts w:ascii="David" w:hAnsi="David" w:cs="David"/>
          <w:b/>
          <w:bCs/>
          <w:sz w:val="24"/>
          <w:szCs w:val="24"/>
          <w:rtl/>
        </w:rPr>
        <w:t>מ"י נ' ביטון</w:t>
      </w:r>
      <w:r>
        <w:rPr>
          <w:rFonts w:ascii="David" w:hAnsi="David" w:cs="David"/>
          <w:sz w:val="24"/>
          <w:szCs w:val="24"/>
          <w:rtl/>
        </w:rPr>
        <w:t xml:space="preserve"> (14.2.21)). ר' גם דברי כבוד השופט מינץ ב</w:t>
      </w:r>
      <w:hyperlink r:id="rId39" w:history="1">
        <w:r w:rsidR="003503D9" w:rsidRPr="003503D9">
          <w:rPr>
            <w:rFonts w:ascii="David" w:hAnsi="David" w:cs="David"/>
            <w:color w:val="0000FF"/>
            <w:sz w:val="24"/>
            <w:szCs w:val="24"/>
            <w:u w:val="single"/>
            <w:rtl/>
          </w:rPr>
          <w:t>ע"פ 6702/22</w:t>
        </w:r>
      </w:hyperlink>
      <w:r>
        <w:rPr>
          <w:rFonts w:ascii="David" w:hAnsi="David" w:cs="David"/>
          <w:sz w:val="24"/>
          <w:szCs w:val="24"/>
          <w:rtl/>
        </w:rPr>
        <w:t xml:space="preserve"> </w:t>
      </w:r>
      <w:r>
        <w:rPr>
          <w:rFonts w:ascii="David" w:hAnsi="David" w:cs="David"/>
          <w:b/>
          <w:bCs/>
          <w:sz w:val="24"/>
          <w:szCs w:val="24"/>
          <w:rtl/>
        </w:rPr>
        <w:t>מ"י נ' נור הייב</w:t>
      </w:r>
      <w:r>
        <w:rPr>
          <w:rFonts w:ascii="David" w:hAnsi="David" w:cs="David"/>
          <w:sz w:val="24"/>
          <w:szCs w:val="24"/>
          <w:rtl/>
        </w:rPr>
        <w:t xml:space="preserve"> (4.4.23), דברי כבוד המשנה לנשיאה דאז כבוד השופט הנדל ב</w:t>
      </w:r>
      <w:hyperlink r:id="rId40" w:history="1">
        <w:r w:rsidR="003503D9" w:rsidRPr="003503D9">
          <w:rPr>
            <w:rFonts w:ascii="David" w:hAnsi="David" w:cs="David"/>
            <w:color w:val="0000FF"/>
            <w:sz w:val="24"/>
            <w:szCs w:val="24"/>
            <w:u w:val="single"/>
            <w:rtl/>
          </w:rPr>
          <w:t>ע"פ 6383/21</w:t>
        </w:r>
      </w:hyperlink>
      <w:r>
        <w:rPr>
          <w:rFonts w:ascii="David" w:hAnsi="David" w:cs="David"/>
          <w:sz w:val="24"/>
          <w:szCs w:val="24"/>
          <w:rtl/>
        </w:rPr>
        <w:t xml:space="preserve"> </w:t>
      </w:r>
      <w:r>
        <w:rPr>
          <w:rFonts w:ascii="David" w:hAnsi="David" w:cs="David"/>
          <w:b/>
          <w:bCs/>
          <w:sz w:val="24"/>
          <w:szCs w:val="24"/>
          <w:rtl/>
        </w:rPr>
        <w:t>עידן קרייף ואח' נ' מ"י</w:t>
      </w:r>
      <w:r>
        <w:rPr>
          <w:rFonts w:ascii="David" w:hAnsi="David" w:cs="David"/>
          <w:sz w:val="24"/>
          <w:szCs w:val="24"/>
          <w:rtl/>
        </w:rPr>
        <w:t xml:space="preserve"> (13.2.22), ו</w:t>
      </w:r>
      <w:hyperlink r:id="rId41" w:history="1">
        <w:r w:rsidR="003503D9" w:rsidRPr="003503D9">
          <w:rPr>
            <w:rFonts w:ascii="David" w:hAnsi="David" w:cs="David"/>
            <w:color w:val="0000FF"/>
            <w:sz w:val="24"/>
            <w:szCs w:val="24"/>
            <w:u w:val="single"/>
            <w:rtl/>
          </w:rPr>
          <w:t>ע"פ 700/18</w:t>
        </w:r>
      </w:hyperlink>
      <w:r>
        <w:rPr>
          <w:rFonts w:ascii="David" w:hAnsi="David" w:cs="David"/>
          <w:sz w:val="24"/>
          <w:szCs w:val="24"/>
          <w:rtl/>
        </w:rPr>
        <w:t xml:space="preserve"> </w:t>
      </w:r>
      <w:r>
        <w:rPr>
          <w:rFonts w:ascii="David" w:hAnsi="David" w:cs="David"/>
          <w:b/>
          <w:bCs/>
          <w:sz w:val="24"/>
          <w:szCs w:val="24"/>
          <w:rtl/>
        </w:rPr>
        <w:t>רואי גרבי נ' מ"י</w:t>
      </w:r>
      <w:r>
        <w:rPr>
          <w:rFonts w:ascii="David" w:hAnsi="David" w:cs="David"/>
          <w:sz w:val="24"/>
          <w:szCs w:val="24"/>
          <w:rtl/>
        </w:rPr>
        <w:t xml:space="preserve"> (2.5.18).</w:t>
      </w:r>
    </w:p>
    <w:p w14:paraId="7A7A8B78" w14:textId="77777777" w:rsidR="004037A7" w:rsidRDefault="004037A7" w:rsidP="004037A7">
      <w:pPr>
        <w:pStyle w:val="a9"/>
        <w:spacing w:after="0" w:line="360" w:lineRule="auto"/>
        <w:jc w:val="both"/>
        <w:rPr>
          <w:rFonts w:ascii="David" w:hAnsi="David" w:cs="David"/>
          <w:sz w:val="24"/>
          <w:szCs w:val="24"/>
          <w:rtl/>
        </w:rPr>
      </w:pPr>
    </w:p>
    <w:p w14:paraId="4A457673"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בזיקה לאמור, אדרש למדגם של הפסיקה הנוהגת תוך שאציין כי בהבניית שיקול הדעת, אין הכוונה לעריכת ממוצע סטטיסטי של טווחי ענישה. קשת הענישה בפסיקה רחבה ותלויה בנסיבותיו של המקרה הקונקרטי ובפרמטרים שונים, ובעניינו  יש לבצע את הבחנה הנדרשת  לקולא ולחומרא:</w:t>
      </w:r>
    </w:p>
    <w:p w14:paraId="65DDFD5B" w14:textId="77777777" w:rsidR="004037A7" w:rsidRDefault="004037A7" w:rsidP="004037A7">
      <w:pPr>
        <w:pStyle w:val="a9"/>
        <w:spacing w:after="0" w:line="360" w:lineRule="auto"/>
        <w:jc w:val="both"/>
        <w:rPr>
          <w:rFonts w:ascii="David" w:hAnsi="David" w:cs="David"/>
          <w:sz w:val="24"/>
          <w:szCs w:val="24"/>
        </w:rPr>
      </w:pPr>
    </w:p>
    <w:p w14:paraId="104D7543" w14:textId="77777777" w:rsidR="004037A7" w:rsidRDefault="004037A7" w:rsidP="004037A7">
      <w:pPr>
        <w:pStyle w:val="a9"/>
        <w:numPr>
          <w:ilvl w:val="0"/>
          <w:numId w:val="6"/>
        </w:numPr>
        <w:spacing w:after="0" w:line="360" w:lineRule="auto"/>
        <w:jc w:val="both"/>
        <w:rPr>
          <w:rFonts w:cs="David"/>
          <w:sz w:val="24"/>
          <w:szCs w:val="24"/>
          <w:rtl/>
        </w:rPr>
      </w:pPr>
      <w:r>
        <w:rPr>
          <w:rFonts w:cs="David"/>
          <w:sz w:val="24"/>
          <w:szCs w:val="24"/>
          <w:u w:val="single"/>
          <w:rtl/>
        </w:rPr>
        <w:t>ב</w:t>
      </w:r>
      <w:hyperlink r:id="rId42" w:history="1">
        <w:r w:rsidR="003503D9" w:rsidRPr="003503D9">
          <w:rPr>
            <w:rFonts w:cs="David" w:hint="cs"/>
            <w:color w:val="0000FF"/>
            <w:sz w:val="24"/>
            <w:szCs w:val="24"/>
            <w:u w:val="single"/>
            <w:rtl/>
          </w:rPr>
          <w:t>ע</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4466/22</w:t>
        </w:r>
      </w:hyperlink>
      <w:r>
        <w:rPr>
          <w:rFonts w:cs="David"/>
          <w:sz w:val="24"/>
          <w:szCs w:val="24"/>
          <w:u w:val="single"/>
          <w:rtl/>
        </w:rPr>
        <w:t xml:space="preserve"> נידאל אבו מדיעם נ' מדינת ישראל [פורסם בנבו] (8.1.23)</w:t>
      </w:r>
      <w:r>
        <w:rPr>
          <w:rFonts w:cs="David"/>
          <w:sz w:val="24"/>
          <w:szCs w:val="24"/>
          <w:rtl/>
        </w:rPr>
        <w:t xml:space="preserve"> התקבל באופן חלקי ערעורו של נאשם אשר הורשע על פי הודאתו בעבירות של </w:t>
      </w:r>
      <w:r>
        <w:rPr>
          <w:rFonts w:cs="David"/>
          <w:b/>
          <w:bCs/>
          <w:sz w:val="24"/>
          <w:szCs w:val="24"/>
          <w:rtl/>
        </w:rPr>
        <w:t>נשיאת נשק ותחמושת ובעבירה של ירי מנשק חם באזור מגורים</w:t>
      </w:r>
      <w:r>
        <w:rPr>
          <w:rFonts w:cs="David"/>
          <w:sz w:val="24"/>
          <w:szCs w:val="24"/>
          <w:rtl/>
        </w:rPr>
        <w:t>. הנאשם, נעדר עבר פלילי, בשעת לילה מאוחרת בשכונת מגורים, החזיק באקדח חצי אוטומטי  וירה ממנו 3-7 יריות באוויר. בית המשפט העליון קבע כי בנסיבותיו המיוחדות של התיק, יועמד עונש המאסר בפועל שהושת על הנאשם בבית המשפט המחוזי בבאר שבע (</w:t>
      </w:r>
      <w:hyperlink r:id="rId43" w:history="1">
        <w:r w:rsidR="003503D9" w:rsidRPr="003503D9">
          <w:rPr>
            <w:rFonts w:cs="David" w:hint="cs"/>
            <w:color w:val="0000FF"/>
            <w:sz w:val="24"/>
            <w:szCs w:val="24"/>
            <w:u w:val="single"/>
            <w:rtl/>
          </w:rPr>
          <w:t>ת</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15133-08-21</w:t>
        </w:r>
      </w:hyperlink>
      <w:r>
        <w:rPr>
          <w:rFonts w:cs="David"/>
          <w:sz w:val="24"/>
          <w:szCs w:val="24"/>
          <w:rtl/>
        </w:rPr>
        <w:t>) על 36 חודשי מאסר בפועל והותיר על כנם את המאסר המותנה והקנס שנגזרו על הנאשם.</w:t>
      </w:r>
    </w:p>
    <w:p w14:paraId="06983FB8" w14:textId="77777777" w:rsidR="004037A7" w:rsidRDefault="004037A7" w:rsidP="004037A7">
      <w:pPr>
        <w:pStyle w:val="a9"/>
        <w:spacing w:after="0" w:line="360" w:lineRule="auto"/>
        <w:ind w:left="1080"/>
        <w:jc w:val="both"/>
        <w:rPr>
          <w:rFonts w:cs="David"/>
          <w:sz w:val="24"/>
          <w:szCs w:val="24"/>
        </w:rPr>
      </w:pPr>
    </w:p>
    <w:p w14:paraId="19D1280C" w14:textId="77777777" w:rsidR="004037A7" w:rsidRDefault="004037A7" w:rsidP="004037A7">
      <w:pPr>
        <w:pStyle w:val="a9"/>
        <w:numPr>
          <w:ilvl w:val="0"/>
          <w:numId w:val="6"/>
        </w:numPr>
        <w:spacing w:line="360" w:lineRule="auto"/>
        <w:jc w:val="both"/>
        <w:rPr>
          <w:rFonts w:cs="David"/>
          <w:sz w:val="24"/>
          <w:szCs w:val="24"/>
        </w:rPr>
      </w:pPr>
      <w:r>
        <w:rPr>
          <w:rFonts w:cs="David"/>
          <w:sz w:val="24"/>
          <w:szCs w:val="24"/>
          <w:u w:val="single"/>
          <w:rtl/>
        </w:rPr>
        <w:t>ב</w:t>
      </w:r>
      <w:hyperlink r:id="rId44" w:history="1">
        <w:r w:rsidR="003503D9" w:rsidRPr="003503D9">
          <w:rPr>
            <w:rFonts w:cs="David" w:hint="cs"/>
            <w:color w:val="0000FF"/>
            <w:sz w:val="24"/>
            <w:szCs w:val="24"/>
            <w:u w:val="single"/>
            <w:rtl/>
          </w:rPr>
          <w:t>ע</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5602/22</w:t>
        </w:r>
      </w:hyperlink>
      <w:r>
        <w:rPr>
          <w:u w:val="single"/>
          <w:rtl/>
        </w:rPr>
        <w:t xml:space="preserve"> </w:t>
      </w:r>
      <w:r>
        <w:rPr>
          <w:rFonts w:cs="David"/>
          <w:sz w:val="24"/>
          <w:szCs w:val="24"/>
          <w:u w:val="single"/>
          <w:rtl/>
        </w:rPr>
        <w:t xml:space="preserve">מדינת ישראל נ' פלוני  (14.9.22) </w:t>
      </w:r>
      <w:r>
        <w:rPr>
          <w:rFonts w:cs="David"/>
          <w:sz w:val="24"/>
          <w:szCs w:val="24"/>
          <w:rtl/>
        </w:rPr>
        <w:t xml:space="preserve">התקבל ערעור המדינה על עונשו של נאשם  כבן 27 שנים נעדר עבר פלילי, שהורשע על פי הודאתו בעבירות של </w:t>
      </w:r>
      <w:r>
        <w:rPr>
          <w:rFonts w:cs="David"/>
          <w:b/>
          <w:bCs/>
          <w:sz w:val="24"/>
          <w:szCs w:val="24"/>
          <w:rtl/>
        </w:rPr>
        <w:t>נשיאת נשק שלא כדין</w:t>
      </w:r>
      <w:r>
        <w:rPr>
          <w:rFonts w:cs="David"/>
          <w:sz w:val="24"/>
          <w:szCs w:val="24"/>
          <w:rtl/>
        </w:rPr>
        <w:t xml:space="preserve"> (אקדח חצי אוטומט , מחסנית וכדורים)  לצד עבירות של הפרעה לשוטר במילוי תפקידו וכניסה ושהייה בישראל בניגוד לחוק. </w:t>
      </w:r>
    </w:p>
    <w:p w14:paraId="07FA22AA" w14:textId="77777777" w:rsidR="004037A7" w:rsidRDefault="004037A7" w:rsidP="004037A7">
      <w:pPr>
        <w:pStyle w:val="a9"/>
        <w:spacing w:line="360" w:lineRule="auto"/>
        <w:ind w:left="1080"/>
        <w:jc w:val="both"/>
        <w:rPr>
          <w:rFonts w:cs="David"/>
          <w:sz w:val="24"/>
          <w:szCs w:val="24"/>
        </w:rPr>
      </w:pPr>
      <w:r>
        <w:rPr>
          <w:rFonts w:cs="David"/>
          <w:sz w:val="24"/>
          <w:szCs w:val="24"/>
          <w:rtl/>
        </w:rPr>
        <w:t xml:space="preserve">בית המשפט העליון קבע כי מתחם הענישה הראוי לנאשם בגיר בגין נשיאה בלתי חוקית של נשק חם במרחב הציבורי נע בין 30 ל-42 חודשי מאסר בין סורג ובריח (לצד עונשים נלווים בדמותם של מאסר מותנה וקנס) וקבע אמת מידה מנחה לפיה באין נסיבות מיוחדות לחומרא או לקולא, יהא זה סביר להטיל על נאשם כאמור עונש של 36 חודשי מאסר לריצוי בפועל , והוסיף כי  </w:t>
      </w:r>
      <w:r>
        <w:rPr>
          <w:rFonts w:cs="David"/>
          <w:b/>
          <w:bCs/>
          <w:sz w:val="24"/>
          <w:szCs w:val="24"/>
          <w:rtl/>
        </w:rPr>
        <w:t>"הענישה המחמירה והבלתי מתפשרת כאמור צריכה לחול ללא סייגים על כל נאשם בגיר באשר הוא ...גם כאשר מדובר בעבריין צעיר שהסתבך לראשונה בפלילים ובקשתו לשיקום כנה ... תקוותי היא כי אמות מידה אלה תנחנה את הערכאות הדיוניות באופן שיטתי , כך שמדיניות הענישה אשר נקוטה בידינו ביחס לעבירות נשק תיושם כהלכתה ובמלא עוצמתה ".</w:t>
      </w:r>
    </w:p>
    <w:p w14:paraId="2210801E" w14:textId="77777777" w:rsidR="004037A7" w:rsidRDefault="004037A7" w:rsidP="004037A7">
      <w:pPr>
        <w:pStyle w:val="a9"/>
        <w:spacing w:line="360" w:lineRule="auto"/>
        <w:ind w:left="1080"/>
        <w:jc w:val="both"/>
        <w:rPr>
          <w:rFonts w:cs="David"/>
          <w:sz w:val="24"/>
          <w:szCs w:val="24"/>
        </w:rPr>
      </w:pPr>
      <w:r>
        <w:rPr>
          <w:rFonts w:cs="David"/>
          <w:sz w:val="24"/>
          <w:szCs w:val="24"/>
          <w:rtl/>
        </w:rPr>
        <w:t>משהועמד עונשו של הנאשם ב</w:t>
      </w:r>
      <w:hyperlink r:id="rId45" w:history="1">
        <w:r w:rsidR="003503D9" w:rsidRPr="003503D9">
          <w:rPr>
            <w:rFonts w:cs="David" w:hint="cs"/>
            <w:color w:val="0000FF"/>
            <w:sz w:val="24"/>
            <w:szCs w:val="24"/>
            <w:u w:val="single"/>
            <w:rtl/>
          </w:rPr>
          <w:t>ת</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w:t>
        </w:r>
        <w:r w:rsidR="003503D9" w:rsidRPr="003503D9">
          <w:rPr>
            <w:rFonts w:cs="David" w:hint="cs"/>
            <w:color w:val="0000FF"/>
            <w:sz w:val="24"/>
            <w:szCs w:val="24"/>
            <w:u w:val="single"/>
            <w:rtl/>
          </w:rPr>
          <w:t>מחוזי</w:t>
        </w:r>
        <w:r w:rsidR="003503D9" w:rsidRPr="003503D9">
          <w:rPr>
            <w:rFonts w:cs="David"/>
            <w:color w:val="0000FF"/>
            <w:sz w:val="24"/>
            <w:szCs w:val="24"/>
            <w:u w:val="single"/>
            <w:rtl/>
          </w:rPr>
          <w:t xml:space="preserve"> </w:t>
        </w:r>
        <w:r w:rsidR="003503D9" w:rsidRPr="003503D9">
          <w:rPr>
            <w:rFonts w:cs="David" w:hint="cs"/>
            <w:color w:val="0000FF"/>
            <w:sz w:val="24"/>
            <w:szCs w:val="24"/>
            <w:u w:val="single"/>
            <w:rtl/>
          </w:rPr>
          <w:t>חיפה</w:t>
        </w:r>
        <w:r w:rsidR="003503D9" w:rsidRPr="003503D9">
          <w:rPr>
            <w:rFonts w:cs="David"/>
            <w:color w:val="0000FF"/>
            <w:sz w:val="24"/>
            <w:szCs w:val="24"/>
            <w:u w:val="single"/>
            <w:rtl/>
          </w:rPr>
          <w:t>) 19130-12-21</w:t>
        </w:r>
      </w:hyperlink>
      <w:r>
        <w:rPr>
          <w:rFonts w:cs="David"/>
          <w:sz w:val="24"/>
          <w:szCs w:val="24"/>
          <w:rtl/>
        </w:rPr>
        <w:t xml:space="preserve"> על 18 חודשי מאסר בפועל , ומשערכאת הערעור אינה ממצה את הדין עם נאשם , הועמד עונשו של הנאשם על 28 חודשי מאסר בפועל לצד ענישה  נלווית. </w:t>
      </w:r>
    </w:p>
    <w:p w14:paraId="6E0FC6C1" w14:textId="77777777" w:rsidR="004037A7" w:rsidRDefault="004037A7" w:rsidP="004037A7">
      <w:pPr>
        <w:pStyle w:val="a9"/>
        <w:spacing w:after="0" w:line="360" w:lineRule="auto"/>
        <w:ind w:left="1080"/>
        <w:jc w:val="both"/>
        <w:rPr>
          <w:rFonts w:cs="David"/>
          <w:sz w:val="24"/>
          <w:szCs w:val="24"/>
          <w:u w:val="single"/>
        </w:rPr>
      </w:pPr>
    </w:p>
    <w:p w14:paraId="6E48BB5E" w14:textId="77777777" w:rsidR="004037A7" w:rsidRDefault="004037A7" w:rsidP="004037A7">
      <w:pPr>
        <w:pStyle w:val="a9"/>
        <w:numPr>
          <w:ilvl w:val="0"/>
          <w:numId w:val="6"/>
        </w:numPr>
        <w:spacing w:after="0" w:line="360" w:lineRule="auto"/>
        <w:jc w:val="both"/>
        <w:rPr>
          <w:rFonts w:cs="David"/>
          <w:sz w:val="24"/>
          <w:szCs w:val="24"/>
          <w:u w:val="single"/>
        </w:rPr>
      </w:pPr>
      <w:r>
        <w:rPr>
          <w:rFonts w:cs="David"/>
          <w:sz w:val="24"/>
          <w:szCs w:val="24"/>
          <w:u w:val="single"/>
          <w:rtl/>
        </w:rPr>
        <w:t>ב</w:t>
      </w:r>
      <w:hyperlink r:id="rId46" w:history="1">
        <w:r w:rsidR="003503D9" w:rsidRPr="003503D9">
          <w:rPr>
            <w:rFonts w:cs="David" w:hint="cs"/>
            <w:color w:val="0000FF"/>
            <w:sz w:val="24"/>
            <w:szCs w:val="24"/>
            <w:u w:val="single"/>
            <w:rtl/>
          </w:rPr>
          <w:t>עפ</w:t>
        </w:r>
        <w:r w:rsidR="003503D9" w:rsidRPr="003503D9">
          <w:rPr>
            <w:rFonts w:cs="David"/>
            <w:color w:val="0000FF"/>
            <w:sz w:val="24"/>
            <w:szCs w:val="24"/>
            <w:u w:val="single"/>
            <w:rtl/>
          </w:rPr>
          <w:t xml:space="preserve"> 1059/21</w:t>
        </w:r>
      </w:hyperlink>
      <w:r>
        <w:rPr>
          <w:rFonts w:cs="David"/>
          <w:sz w:val="24"/>
          <w:szCs w:val="24"/>
          <w:u w:val="single"/>
          <w:rtl/>
        </w:rPr>
        <w:t xml:space="preserve"> פלוני נ' מדינת ישראל (29.4.21) –  </w:t>
      </w:r>
      <w:r>
        <w:rPr>
          <w:rFonts w:cs="David"/>
          <w:sz w:val="24"/>
          <w:szCs w:val="24"/>
          <w:rtl/>
        </w:rPr>
        <w:t xml:space="preserve">נדחה ערעור נאשם אשר הורשע על יסוד הודאתו בעבירות של </w:t>
      </w:r>
      <w:r>
        <w:rPr>
          <w:rFonts w:cs="David"/>
          <w:b/>
          <w:bCs/>
          <w:sz w:val="24"/>
          <w:szCs w:val="24"/>
          <w:rtl/>
        </w:rPr>
        <w:t>החזקת נשק, ירי מנשק חם ועבירות נוספות</w:t>
      </w:r>
      <w:r>
        <w:rPr>
          <w:rFonts w:cs="David"/>
          <w:sz w:val="24"/>
          <w:szCs w:val="24"/>
          <w:rtl/>
        </w:rPr>
        <w:t xml:space="preserve">. הנאשם החזיק ברשותו נשק חצי אוטומטי מסוג אקדח גלוק וירה בו בעת ששהה יחד עם אנשים נוספים במחנה הפליטים שועאפט. בית המשפט העליון הותיר על כנו את העונש שנגזר על הנאשם בתיק </w:t>
      </w:r>
      <w:hyperlink r:id="rId47" w:history="1">
        <w:r w:rsidR="003503D9" w:rsidRPr="003503D9">
          <w:rPr>
            <w:rFonts w:cs="David" w:hint="cs"/>
            <w:color w:val="0000FF"/>
            <w:sz w:val="24"/>
            <w:szCs w:val="24"/>
            <w:u w:val="single"/>
            <w:rtl/>
          </w:rPr>
          <w:t>ת</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w:t>
        </w:r>
        <w:r w:rsidR="003503D9" w:rsidRPr="003503D9">
          <w:rPr>
            <w:rFonts w:cs="David" w:hint="cs"/>
            <w:color w:val="0000FF"/>
            <w:sz w:val="24"/>
            <w:szCs w:val="24"/>
            <w:u w:val="single"/>
            <w:rtl/>
          </w:rPr>
          <w:t>מחוזי</w:t>
        </w:r>
        <w:r w:rsidR="003503D9" w:rsidRPr="003503D9">
          <w:rPr>
            <w:rFonts w:cs="David"/>
            <w:color w:val="0000FF"/>
            <w:sz w:val="24"/>
            <w:szCs w:val="24"/>
            <w:u w:val="single"/>
            <w:rtl/>
          </w:rPr>
          <w:t xml:space="preserve"> </w:t>
        </w:r>
        <w:r w:rsidR="003503D9" w:rsidRPr="003503D9">
          <w:rPr>
            <w:rFonts w:cs="David" w:hint="cs"/>
            <w:color w:val="0000FF"/>
            <w:sz w:val="24"/>
            <w:szCs w:val="24"/>
            <w:u w:val="single"/>
            <w:rtl/>
          </w:rPr>
          <w:t>י</w:t>
        </w:r>
        <w:r w:rsidR="003503D9" w:rsidRPr="003503D9">
          <w:rPr>
            <w:rFonts w:cs="David"/>
            <w:color w:val="0000FF"/>
            <w:sz w:val="24"/>
            <w:szCs w:val="24"/>
            <w:u w:val="single"/>
            <w:rtl/>
          </w:rPr>
          <w:t>-</w:t>
        </w:r>
        <w:r w:rsidR="003503D9" w:rsidRPr="003503D9">
          <w:rPr>
            <w:rFonts w:cs="David" w:hint="cs"/>
            <w:color w:val="0000FF"/>
            <w:sz w:val="24"/>
            <w:szCs w:val="24"/>
            <w:u w:val="single"/>
            <w:rtl/>
          </w:rPr>
          <w:t>ם</w:t>
        </w:r>
        <w:r w:rsidR="003503D9" w:rsidRPr="003503D9">
          <w:rPr>
            <w:rFonts w:cs="David"/>
            <w:color w:val="0000FF"/>
            <w:sz w:val="24"/>
            <w:szCs w:val="24"/>
            <w:u w:val="single"/>
            <w:rtl/>
          </w:rPr>
          <w:t>) 21465-01-20</w:t>
        </w:r>
      </w:hyperlink>
      <w:r>
        <w:rPr>
          <w:rFonts w:cs="David"/>
          <w:sz w:val="24"/>
          <w:szCs w:val="24"/>
          <w:rtl/>
        </w:rPr>
        <w:t xml:space="preserve">, במסגרתו קבע בית המשפט מתחם עונש הולם הנע בין 3 ל-5 שנות מאסר בפועל, וגזר על הנאשם 42 חודשי מאסר בפועל לצד ענישה נלוות. </w:t>
      </w:r>
    </w:p>
    <w:p w14:paraId="7748FCA8" w14:textId="77777777" w:rsidR="004037A7" w:rsidRDefault="004037A7" w:rsidP="004037A7">
      <w:pPr>
        <w:spacing w:line="360" w:lineRule="auto"/>
        <w:jc w:val="both"/>
        <w:rPr>
          <w:rtl/>
        </w:rPr>
      </w:pPr>
    </w:p>
    <w:p w14:paraId="4611AE72" w14:textId="77777777" w:rsidR="004037A7" w:rsidRDefault="004037A7" w:rsidP="004037A7">
      <w:pPr>
        <w:pStyle w:val="a9"/>
        <w:numPr>
          <w:ilvl w:val="0"/>
          <w:numId w:val="6"/>
        </w:numPr>
        <w:spacing w:after="0" w:line="360" w:lineRule="auto"/>
        <w:jc w:val="both"/>
        <w:rPr>
          <w:rFonts w:cs="David"/>
          <w:sz w:val="24"/>
          <w:szCs w:val="24"/>
          <w:rtl/>
        </w:rPr>
      </w:pPr>
      <w:r>
        <w:rPr>
          <w:rFonts w:cs="David"/>
          <w:sz w:val="24"/>
          <w:szCs w:val="24"/>
          <w:u w:val="single"/>
          <w:rtl/>
        </w:rPr>
        <w:t>ב</w:t>
      </w:r>
      <w:hyperlink r:id="rId48" w:history="1">
        <w:r w:rsidR="003503D9" w:rsidRPr="003503D9">
          <w:rPr>
            <w:rFonts w:cs="David" w:hint="cs"/>
            <w:color w:val="0000FF"/>
            <w:sz w:val="24"/>
            <w:szCs w:val="24"/>
            <w:u w:val="single"/>
            <w:rtl/>
          </w:rPr>
          <w:t>ע</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5522/20</w:t>
        </w:r>
      </w:hyperlink>
      <w:r>
        <w:rPr>
          <w:rFonts w:cs="David"/>
          <w:sz w:val="24"/>
          <w:szCs w:val="24"/>
          <w:u w:val="single"/>
          <w:rtl/>
        </w:rPr>
        <w:t xml:space="preserve"> נזאר חלייחל נ' מדינת ישראל (24.2.21)</w:t>
      </w:r>
      <w:r>
        <w:rPr>
          <w:rFonts w:cs="David"/>
          <w:sz w:val="24"/>
          <w:szCs w:val="24"/>
          <w:rtl/>
        </w:rPr>
        <w:t xml:space="preserve"> נדחה ערעור נאשם אשר הורשע על יסוד הודאתו בעבירות של </w:t>
      </w:r>
      <w:r>
        <w:rPr>
          <w:rFonts w:cs="David"/>
          <w:b/>
          <w:bCs/>
          <w:sz w:val="24"/>
          <w:szCs w:val="24"/>
          <w:rtl/>
        </w:rPr>
        <w:t>נשיאה והובלה של נשק</w:t>
      </w:r>
      <w:r>
        <w:rPr>
          <w:rFonts w:cs="David"/>
          <w:sz w:val="24"/>
          <w:szCs w:val="24"/>
          <w:rtl/>
        </w:rPr>
        <w:t>. הנאשם ביחד עם אחרים נשא והוביל נשק בשעת לילה במכונית שנסעה בשביל עפר באזור כפרי. מהרכב בוצע ירי  של שני כדורים על ידי מי מנוסעי הרכב , ולאחר מכן בעודם שוהים בחניון סמוך למסגד בוצע ירי נוסף מנשק אוטומטי. בית המשפט העליון הותיר על כנו את העונש שנגזר על הנאשם ב</w:t>
      </w:r>
      <w:hyperlink r:id="rId49" w:history="1">
        <w:r w:rsidR="003503D9" w:rsidRPr="003503D9">
          <w:rPr>
            <w:rFonts w:cs="David" w:hint="cs"/>
            <w:color w:val="0000FF"/>
            <w:sz w:val="24"/>
            <w:szCs w:val="24"/>
            <w:u w:val="single"/>
            <w:rtl/>
          </w:rPr>
          <w:t>ת</w:t>
        </w:r>
        <w:r w:rsidR="003503D9" w:rsidRPr="003503D9">
          <w:rPr>
            <w:rFonts w:cs="David"/>
            <w:color w:val="0000FF"/>
            <w:sz w:val="24"/>
            <w:szCs w:val="24"/>
            <w:u w:val="single"/>
            <w:rtl/>
          </w:rPr>
          <w:t>"</w:t>
        </w:r>
        <w:r w:rsidR="003503D9" w:rsidRPr="003503D9">
          <w:rPr>
            <w:rFonts w:cs="David" w:hint="cs"/>
            <w:color w:val="0000FF"/>
            <w:sz w:val="24"/>
            <w:szCs w:val="24"/>
            <w:u w:val="single"/>
            <w:rtl/>
          </w:rPr>
          <w:t>פ</w:t>
        </w:r>
        <w:r w:rsidR="003503D9" w:rsidRPr="003503D9">
          <w:rPr>
            <w:rFonts w:cs="David"/>
            <w:color w:val="0000FF"/>
            <w:sz w:val="24"/>
            <w:szCs w:val="24"/>
            <w:u w:val="single"/>
            <w:rtl/>
          </w:rPr>
          <w:t xml:space="preserve"> (</w:t>
        </w:r>
        <w:r w:rsidR="003503D9" w:rsidRPr="003503D9">
          <w:rPr>
            <w:rFonts w:cs="David" w:hint="cs"/>
            <w:color w:val="0000FF"/>
            <w:sz w:val="24"/>
            <w:szCs w:val="24"/>
            <w:u w:val="single"/>
            <w:rtl/>
          </w:rPr>
          <w:t>מחוזי</w:t>
        </w:r>
        <w:r w:rsidR="003503D9" w:rsidRPr="003503D9">
          <w:rPr>
            <w:rFonts w:cs="David"/>
            <w:color w:val="0000FF"/>
            <w:sz w:val="24"/>
            <w:szCs w:val="24"/>
            <w:u w:val="single"/>
            <w:rtl/>
          </w:rPr>
          <w:t xml:space="preserve"> </w:t>
        </w:r>
        <w:r w:rsidR="003503D9" w:rsidRPr="003503D9">
          <w:rPr>
            <w:rFonts w:cs="David" w:hint="cs"/>
            <w:color w:val="0000FF"/>
            <w:sz w:val="24"/>
            <w:szCs w:val="24"/>
            <w:u w:val="single"/>
            <w:rtl/>
          </w:rPr>
          <w:t>נצרת</w:t>
        </w:r>
        <w:r w:rsidR="003503D9" w:rsidRPr="003503D9">
          <w:rPr>
            <w:rFonts w:cs="David"/>
            <w:color w:val="0000FF"/>
            <w:sz w:val="24"/>
            <w:szCs w:val="24"/>
            <w:u w:val="single"/>
            <w:rtl/>
          </w:rPr>
          <w:t>) 62717-07-19</w:t>
        </w:r>
      </w:hyperlink>
      <w:r>
        <w:rPr>
          <w:rFonts w:cs="David"/>
          <w:sz w:val="24"/>
          <w:szCs w:val="24"/>
          <w:rtl/>
        </w:rPr>
        <w:t xml:space="preserve"> במסגרתו קבע בית המשפט כי מתחם העונש ההולם עומד על 24 עד 48 חודשי מאסר בפועל וגזר על הנאשם עונש של 36 חודשי מאסר בפועל, מאסר מותנה וקנס בסך של 5,000ש"ח ( הופעל גם עונש מאסר על-תנאי בן 5 חודשים ).</w:t>
      </w:r>
    </w:p>
    <w:p w14:paraId="2F5E172B" w14:textId="77777777" w:rsidR="004037A7" w:rsidRDefault="004037A7" w:rsidP="004037A7"/>
    <w:p w14:paraId="47AB9899" w14:textId="77777777" w:rsidR="004037A7" w:rsidRPr="00762CE9" w:rsidRDefault="004037A7" w:rsidP="004037A7">
      <w:pPr>
        <w:spacing w:line="360" w:lineRule="auto"/>
        <w:jc w:val="both"/>
        <w:rPr>
          <w:rFonts w:ascii="David" w:hAnsi="David"/>
          <w:b/>
          <w:bCs/>
          <w:rtl/>
        </w:rPr>
      </w:pPr>
      <w:r w:rsidRPr="00762CE9">
        <w:rPr>
          <w:rFonts w:ascii="David" w:hAnsi="David"/>
          <w:b/>
          <w:bCs/>
          <w:rtl/>
        </w:rPr>
        <w:t>נסיבות ביצוע העבירה:</w:t>
      </w:r>
    </w:p>
    <w:p w14:paraId="1D0A0677" w14:textId="77777777" w:rsidR="004037A7" w:rsidRDefault="004037A7" w:rsidP="004037A7">
      <w:pPr>
        <w:pStyle w:val="a9"/>
        <w:spacing w:after="0" w:line="360" w:lineRule="auto"/>
        <w:ind w:left="1080"/>
        <w:jc w:val="both"/>
        <w:rPr>
          <w:rFonts w:ascii="David" w:hAnsi="David" w:cs="David"/>
          <w:b/>
          <w:bCs/>
          <w:sz w:val="24"/>
          <w:szCs w:val="24"/>
          <w:rtl/>
        </w:rPr>
      </w:pPr>
    </w:p>
    <w:p w14:paraId="24A6D7C0"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מתחם העונש ההולם נקבע </w:t>
      </w:r>
      <w:r>
        <w:rPr>
          <w:rFonts w:ascii="David" w:hAnsi="David" w:cs="David" w:hint="cs"/>
          <w:sz w:val="24"/>
          <w:szCs w:val="24"/>
          <w:rtl/>
        </w:rPr>
        <w:t>כאמור גם</w:t>
      </w:r>
      <w:r>
        <w:rPr>
          <w:rFonts w:ascii="David" w:hAnsi="David" w:cs="David"/>
          <w:sz w:val="24"/>
          <w:szCs w:val="24"/>
          <w:rtl/>
        </w:rPr>
        <w:t xml:space="preserve"> בהתייחס לנסיבות ביצוע העבירה אשר קובעות את פוטנציאל הנזק הכרוך במעשה העבירה, ובכלל זה סוג הנשק, משך ביצוע העבירה ומיקומה, ביצוען של עבירות נוספות וכו'.  </w:t>
      </w:r>
    </w:p>
    <w:p w14:paraId="2FAFB665" w14:textId="77777777" w:rsidR="004037A7" w:rsidRDefault="004037A7" w:rsidP="004037A7">
      <w:pPr>
        <w:pStyle w:val="a9"/>
        <w:spacing w:after="0" w:line="360" w:lineRule="auto"/>
        <w:jc w:val="both"/>
        <w:rPr>
          <w:rFonts w:ascii="David" w:hAnsi="David" w:cs="David"/>
          <w:sz w:val="24"/>
          <w:szCs w:val="24"/>
          <w:rtl/>
        </w:rPr>
      </w:pPr>
    </w:p>
    <w:p w14:paraId="02F50BC6"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ר' לעניין זה </w:t>
      </w:r>
      <w:hyperlink r:id="rId50" w:history="1">
        <w:r w:rsidR="003503D9" w:rsidRPr="003503D9">
          <w:rPr>
            <w:rFonts w:ascii="David" w:hAnsi="David" w:cs="David"/>
            <w:color w:val="0000FF"/>
            <w:sz w:val="24"/>
            <w:szCs w:val="24"/>
            <w:u w:val="single"/>
            <w:rtl/>
          </w:rPr>
          <w:t>ע"פ 1323/13</w:t>
        </w:r>
      </w:hyperlink>
      <w:r>
        <w:rPr>
          <w:rFonts w:ascii="David" w:hAnsi="David" w:cs="David"/>
          <w:sz w:val="24"/>
          <w:szCs w:val="24"/>
          <w:rtl/>
        </w:rPr>
        <w:t xml:space="preserve"> </w:t>
      </w:r>
      <w:r>
        <w:rPr>
          <w:rFonts w:ascii="David" w:hAnsi="David" w:cs="David"/>
          <w:b/>
          <w:bCs/>
          <w:sz w:val="24"/>
          <w:szCs w:val="24"/>
          <w:rtl/>
        </w:rPr>
        <w:t>חסן ואח' נ' מ"י</w:t>
      </w:r>
      <w:r>
        <w:rPr>
          <w:rFonts w:ascii="David" w:hAnsi="David" w:cs="David"/>
          <w:sz w:val="24"/>
          <w:szCs w:val="24"/>
          <w:rtl/>
        </w:rPr>
        <w:t xml:space="preserve">  (5.6.13): "</w:t>
      </w:r>
      <w:r>
        <w:rPr>
          <w:rFonts w:ascii="David" w:hAnsi="David" w:cs="David"/>
          <w:b/>
          <w:bCs/>
          <w:sz w:val="24"/>
          <w:szCs w:val="24"/>
          <w:rtl/>
        </w:rPr>
        <w:t>...נסיבות הקשורות בביצוע העבירה והם שקובעים את פוטנציאל הנזק הכרוך במעשה העבירה</w:t>
      </w:r>
      <w:r>
        <w:rPr>
          <w:rFonts w:ascii="David" w:hAnsi="David" w:cs="David"/>
          <w:sz w:val="24"/>
          <w:szCs w:val="24"/>
          <w:rtl/>
        </w:rPr>
        <w:t>."</w:t>
      </w:r>
    </w:p>
    <w:p w14:paraId="0DD15E8F" w14:textId="77777777" w:rsidR="004037A7" w:rsidRDefault="004037A7" w:rsidP="004037A7">
      <w:pPr>
        <w:pStyle w:val="a9"/>
        <w:spacing w:after="0" w:line="360" w:lineRule="auto"/>
        <w:jc w:val="both"/>
        <w:rPr>
          <w:rFonts w:ascii="David" w:hAnsi="David" w:cs="David"/>
          <w:sz w:val="24"/>
          <w:szCs w:val="24"/>
          <w:rtl/>
        </w:rPr>
      </w:pPr>
    </w:p>
    <w:p w14:paraId="34254D33"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בהתאם לאמור בכתב האישום המתוקן, נאשם 1 נשא והוביל אקדח חצי אוטומטי מסוג </w:t>
      </w:r>
      <w:r>
        <w:rPr>
          <w:rFonts w:ascii="David" w:hAnsi="David" w:cs="David"/>
          <w:sz w:val="24"/>
          <w:szCs w:val="24"/>
        </w:rPr>
        <w:t>CZ</w:t>
      </w:r>
      <w:r>
        <w:rPr>
          <w:rFonts w:ascii="David" w:hAnsi="David" w:cs="David"/>
          <w:sz w:val="24"/>
          <w:szCs w:val="24"/>
          <w:rtl/>
        </w:rPr>
        <w:t xml:space="preserve"> כשהוא טעון במחסנית תואמת ובה תשעה כדורים בקליבר 9 מ"מ. אין חולק כי עסקינן בנשק  תקני ובעל פוטנציאל קטלני,  ובהיותו טעון הווה סיכון ממשי לשלום הציבור ולביטחונו.</w:t>
      </w:r>
    </w:p>
    <w:p w14:paraId="160F5F51"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הנאשם 1 הגיע  בשעת לילה עם האקדח לשטח פתוח בסמוך לתחנת הדלק, ובסיום הירי לא נפטר ממנו אלא המשיך לשאת אותו על גופו עד הגיעו לאזור הסמוך למרכז המסחרי, בכניסה ליישוב חורה המרוחק כ 40 מטרים ממקום הירי. אין עסקינן בנשיאה והובלה רגעית</w:t>
      </w:r>
      <w:r>
        <w:rPr>
          <w:rFonts w:ascii="David" w:hAnsi="David" w:cs="David" w:hint="cs"/>
          <w:sz w:val="24"/>
          <w:szCs w:val="24"/>
          <w:rtl/>
        </w:rPr>
        <w:t>,</w:t>
      </w:r>
      <w:r>
        <w:rPr>
          <w:rFonts w:ascii="David" w:hAnsi="David" w:cs="David"/>
          <w:sz w:val="24"/>
          <w:szCs w:val="24"/>
          <w:rtl/>
        </w:rPr>
        <w:t xml:space="preserve"> והגם שלא התמשכה למשך מספר ימים נוכח מעצרם של הנאשמים, נסיבותיה מלמדות על מידת מה של תכנון מוקדם כאשר מעשה הירי כוון לשעת לילה.</w:t>
      </w:r>
    </w:p>
    <w:p w14:paraId="66C86C5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אומנם כתב האישום המתוקן אינו מבהיר את המניע לביצוע העבירות, אך ניתן לומר בוודאות הנדרשת כי המפגש הלילי בין שני הנאשמים לא היה מקרי ובוודאי שלא ספונטני. </w:t>
      </w:r>
    </w:p>
    <w:p w14:paraId="31F0E4C7"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אכן הנאשמים לא ביצעו הירי בשכונת מגורים, אך מעובדות כתב האישום עולה כי הירי בוצע במרחק 40 מטרים בלבד ממרכז מסחרי ובסמיכות לתחנת דלק, וברי כי הירי העמיד בסכנה את הציבור הרחב. הנאשמים לא הסתפקו בירי של כדור אחד לכל אחד מהם, אלא ירו עד לריקון המחסנית, ובכך הגדילו את פוטנציאל הפגיעה בעוברי אורח.</w:t>
      </w:r>
    </w:p>
    <w:p w14:paraId="01856F5A"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בעניין זה אוסיף כי גם בירי במקום פתוח קיים סיכון לשלום הציבור שכן הוא אינו נעשה בתנאי בטיחות ופיקוח של מטווח מורשה, ובמרחבי הנגב הפתוחים מטיילים רבים אשר מבקשים ליהנות מיופיו וחפצים לשוב לביתם בשלום.</w:t>
      </w:r>
    </w:p>
    <w:p w14:paraId="770D86FD"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יתרה מזו, ירי גם אם אינו מסתיים בנפגעים כבמקרה שלנו וגם אם נעשה בשטח פתוח, גורם מן הסתם לתחושת בהלה ופחד לעוברי אורח תמימים ולמתגוררים בישובים הסמוכים וזאת למשמע קולות הירי.</w:t>
      </w:r>
    </w:p>
    <w:p w14:paraId="5D009A0F"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חומרה נוספת יש לתן לעובדה כי הנאשמים לא הסתפקו בביצוע הירי בצוותא ואף צילמו זה את זה באמצעות הטלפון של הנאשם </w:t>
      </w:r>
      <w:r>
        <w:rPr>
          <w:rFonts w:ascii="David" w:hAnsi="David" w:cs="David" w:hint="cs"/>
          <w:sz w:val="24"/>
          <w:szCs w:val="24"/>
          <w:rtl/>
        </w:rPr>
        <w:t>2</w:t>
      </w:r>
      <w:r>
        <w:rPr>
          <w:rFonts w:ascii="David" w:hAnsi="David" w:cs="David"/>
          <w:sz w:val="24"/>
          <w:szCs w:val="24"/>
          <w:rtl/>
        </w:rPr>
        <w:t xml:space="preserve">, ובין היתר צולם הנאשם 2 מנופף באקדח ומציג את הכדורים למצלמה, כמי שמתפאר במעשיו. התנהגות זו של הנאשמים מלמדת על העדר מורא מהחוק ותחושה כי מרחבי הנגב הם בבחינת שטחי הפקר בו הנאשמים יכולים לעשות כרצונם. </w:t>
      </w:r>
    </w:p>
    <w:p w14:paraId="7B232A7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עב</w:t>
      </w:r>
      <w:r>
        <w:rPr>
          <w:rFonts w:ascii="David" w:hAnsi="David" w:cs="David" w:hint="cs"/>
          <w:sz w:val="24"/>
          <w:szCs w:val="24"/>
          <w:rtl/>
        </w:rPr>
        <w:t>י</w:t>
      </w:r>
      <w:r>
        <w:rPr>
          <w:rFonts w:ascii="David" w:hAnsi="David" w:cs="David"/>
          <w:sz w:val="24"/>
          <w:szCs w:val="24"/>
          <w:rtl/>
        </w:rPr>
        <w:t>רה בנשק גוררת עבירה. בעניינ</w:t>
      </w:r>
      <w:r>
        <w:rPr>
          <w:rFonts w:ascii="David" w:hAnsi="David" w:cs="David" w:hint="cs"/>
          <w:sz w:val="24"/>
          <w:szCs w:val="24"/>
          <w:rtl/>
        </w:rPr>
        <w:t>נ</w:t>
      </w:r>
      <w:r>
        <w:rPr>
          <w:rFonts w:ascii="David" w:hAnsi="David" w:cs="David"/>
          <w:sz w:val="24"/>
          <w:szCs w:val="24"/>
          <w:rtl/>
        </w:rPr>
        <w:t>ו עבירת הנשיאה וההובלה של האקדח והתחמושת על ידי הנאשם 1, גררה ביצוע של עבירה נוספת- ירי, ועבירת האחזקה של הנאשם 2, הגם שהי</w:t>
      </w:r>
      <w:r>
        <w:rPr>
          <w:rFonts w:ascii="David" w:hAnsi="David" w:cs="David" w:hint="cs"/>
          <w:sz w:val="24"/>
          <w:szCs w:val="24"/>
          <w:rtl/>
        </w:rPr>
        <w:t>י</w:t>
      </w:r>
      <w:r>
        <w:rPr>
          <w:rFonts w:ascii="David" w:hAnsi="David" w:cs="David"/>
          <w:sz w:val="24"/>
          <w:szCs w:val="24"/>
          <w:rtl/>
        </w:rPr>
        <w:t xml:space="preserve">תה קצרה, נלווה לה ביצוע של עבירת הירי. </w:t>
      </w:r>
    </w:p>
    <w:p w14:paraId="0F20B1C2"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נסיבות ביצוע העבירות בעניי</w:t>
      </w:r>
      <w:r>
        <w:rPr>
          <w:rFonts w:ascii="David" w:hAnsi="David" w:cs="David" w:hint="cs"/>
          <w:sz w:val="24"/>
          <w:szCs w:val="24"/>
          <w:rtl/>
        </w:rPr>
        <w:t>נ</w:t>
      </w:r>
      <w:r>
        <w:rPr>
          <w:rFonts w:ascii="David" w:hAnsi="David" w:cs="David"/>
          <w:sz w:val="24"/>
          <w:szCs w:val="24"/>
          <w:rtl/>
        </w:rPr>
        <w:t>נו ממחישות את הקלות הבלתי נסבלת בביצוע עבירות בנשק בדרום הארץ.</w:t>
      </w:r>
      <w:r>
        <w:rPr>
          <w:rFonts w:ascii="David" w:hAnsi="David" w:cs="David" w:hint="cs"/>
          <w:sz w:val="24"/>
          <w:szCs w:val="24"/>
          <w:rtl/>
        </w:rPr>
        <w:t xml:space="preserve"> </w:t>
      </w:r>
      <w:r>
        <w:rPr>
          <w:rFonts w:ascii="David" w:hAnsi="David" w:cs="David"/>
          <w:sz w:val="24"/>
          <w:szCs w:val="24"/>
          <w:rtl/>
        </w:rPr>
        <w:t xml:space="preserve">ההתייחסות למשאב הציבורי-מרחבי הנגב, כשטח הפקר תוך התעלמות מפוטנציאל הסיכון ומזכותו של הציבור הרחב ובכלל זה תושבי הישובים הערביים לחיים שלווים ובטוחים, מחייבות התייחסות הולמת ומחמירה. </w:t>
      </w:r>
    </w:p>
    <w:p w14:paraId="74501EA3"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 </w:t>
      </w:r>
    </w:p>
    <w:p w14:paraId="40B45823" w14:textId="77777777" w:rsidR="004037A7" w:rsidRDefault="004037A7" w:rsidP="004037A7">
      <w:pPr>
        <w:pStyle w:val="a9"/>
        <w:numPr>
          <w:ilvl w:val="0"/>
          <w:numId w:val="1"/>
        </w:numPr>
        <w:spacing w:after="0" w:line="360" w:lineRule="auto"/>
        <w:jc w:val="both"/>
        <w:rPr>
          <w:rFonts w:ascii="David" w:hAnsi="David" w:cs="David"/>
          <w:b/>
          <w:bCs/>
          <w:sz w:val="24"/>
          <w:szCs w:val="24"/>
          <w:rtl/>
        </w:rPr>
      </w:pPr>
      <w:r>
        <w:rPr>
          <w:rFonts w:ascii="David" w:hAnsi="David" w:cs="David"/>
          <w:b/>
          <w:bCs/>
          <w:sz w:val="24"/>
          <w:szCs w:val="24"/>
          <w:rtl/>
        </w:rPr>
        <w:t>אשר על כן, לאחר שעיינתי בפסיקה אליה הפנו באי כוח הצדדים, ובהתאם לאמור לעיל, מתחמי הענישה ההולמים בגין העבירות בהן הורשעו הנאשמים, בנסיבות ביצוען, כוללים מאסרים בפועל כדלקמן:</w:t>
      </w:r>
    </w:p>
    <w:p w14:paraId="61A6198B" w14:textId="77777777" w:rsidR="004037A7" w:rsidRDefault="004037A7" w:rsidP="004037A7">
      <w:pPr>
        <w:pStyle w:val="a9"/>
        <w:numPr>
          <w:ilvl w:val="0"/>
          <w:numId w:val="7"/>
        </w:numPr>
        <w:spacing w:after="0" w:line="360" w:lineRule="auto"/>
        <w:jc w:val="both"/>
        <w:rPr>
          <w:rFonts w:ascii="David" w:hAnsi="David" w:cs="David"/>
          <w:b/>
          <w:bCs/>
          <w:sz w:val="24"/>
          <w:szCs w:val="24"/>
        </w:rPr>
      </w:pPr>
      <w:r>
        <w:rPr>
          <w:rFonts w:ascii="David" w:hAnsi="David" w:cs="David"/>
          <w:b/>
          <w:bCs/>
          <w:sz w:val="24"/>
          <w:szCs w:val="24"/>
          <w:rtl/>
        </w:rPr>
        <w:t xml:space="preserve">לנאשם 1 -מאסר בפועל הנע בין 32 חודשים ל- 54 חודשים, לצד עונשים נלווים בהם עונש מאסר מותנה. </w:t>
      </w:r>
    </w:p>
    <w:p w14:paraId="3C2ED9BD" w14:textId="77777777" w:rsidR="004037A7" w:rsidRDefault="004037A7" w:rsidP="004037A7">
      <w:pPr>
        <w:pStyle w:val="a9"/>
        <w:numPr>
          <w:ilvl w:val="0"/>
          <w:numId w:val="7"/>
        </w:numPr>
        <w:spacing w:after="0" w:line="360" w:lineRule="auto"/>
        <w:jc w:val="both"/>
        <w:rPr>
          <w:rFonts w:ascii="David" w:hAnsi="David" w:cs="David"/>
          <w:b/>
          <w:bCs/>
          <w:sz w:val="24"/>
          <w:szCs w:val="24"/>
          <w:rtl/>
        </w:rPr>
      </w:pPr>
      <w:r>
        <w:rPr>
          <w:rFonts w:ascii="David" w:hAnsi="David" w:cs="David"/>
          <w:b/>
          <w:bCs/>
          <w:sz w:val="24"/>
          <w:szCs w:val="24"/>
          <w:rtl/>
        </w:rPr>
        <w:t>לנאשם 2 -מאסר בפועל הנע בין 22 חודשים ל 36 חודשים</w:t>
      </w:r>
      <w:r>
        <w:rPr>
          <w:rFonts w:ascii="David" w:hAnsi="David" w:cs="David" w:hint="cs"/>
          <w:b/>
          <w:bCs/>
          <w:sz w:val="24"/>
          <w:szCs w:val="24"/>
          <w:rtl/>
        </w:rPr>
        <w:t>,</w:t>
      </w:r>
      <w:r>
        <w:rPr>
          <w:rFonts w:ascii="David" w:hAnsi="David" w:cs="David"/>
          <w:b/>
          <w:bCs/>
          <w:sz w:val="24"/>
          <w:szCs w:val="24"/>
          <w:rtl/>
        </w:rPr>
        <w:t xml:space="preserve"> לצד עונשים נלווים בהם עונש מאסר מותנה. </w:t>
      </w:r>
    </w:p>
    <w:p w14:paraId="6C64053E" w14:textId="77777777" w:rsidR="004037A7" w:rsidRDefault="004037A7" w:rsidP="004037A7">
      <w:pPr>
        <w:pStyle w:val="a9"/>
        <w:spacing w:after="0" w:line="360" w:lineRule="auto"/>
        <w:jc w:val="both"/>
        <w:rPr>
          <w:rFonts w:ascii="David" w:hAnsi="David" w:cs="David"/>
          <w:sz w:val="24"/>
          <w:szCs w:val="24"/>
        </w:rPr>
      </w:pPr>
    </w:p>
    <w:p w14:paraId="542A16B4"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הגם שמכתב האישום לא עולה כי העבירות בוצעו למען בצע כסף, מהפסיקה עולה כי עבירות הנשק הפכו בין היתר למקור הכנסה. על כן הענישה צריכה לכלול גם קנס כספי שימנע כל טובת הנאה מהעבריינים, ויהפוך את העבירה ללא כדאית גם מבחינה כלכלית. על עברייני הנשק לדעת כי הם צפויים להיפגע באופן משמעותי גם בכיסם.</w:t>
      </w:r>
    </w:p>
    <w:p w14:paraId="6DB5E8E8" w14:textId="77777777" w:rsidR="004037A7" w:rsidRDefault="004037A7" w:rsidP="004037A7">
      <w:pPr>
        <w:pStyle w:val="a9"/>
        <w:spacing w:after="0" w:line="360" w:lineRule="auto"/>
        <w:jc w:val="both"/>
        <w:rPr>
          <w:rFonts w:ascii="David" w:hAnsi="David" w:cs="David"/>
          <w:sz w:val="24"/>
          <w:szCs w:val="24"/>
          <w:rtl/>
        </w:rPr>
      </w:pPr>
    </w:p>
    <w:p w14:paraId="76B4ED3C" w14:textId="77777777" w:rsidR="004037A7" w:rsidRDefault="004037A7" w:rsidP="004037A7">
      <w:pPr>
        <w:pStyle w:val="a9"/>
        <w:spacing w:after="0" w:line="360" w:lineRule="auto"/>
        <w:jc w:val="both"/>
        <w:rPr>
          <w:rFonts w:ascii="David" w:hAnsi="David" w:cs="David"/>
          <w:b/>
          <w:bCs/>
          <w:sz w:val="24"/>
          <w:szCs w:val="24"/>
          <w:rtl/>
        </w:rPr>
      </w:pPr>
      <w:r>
        <w:rPr>
          <w:rFonts w:ascii="David" w:hAnsi="David" w:cs="David"/>
          <w:sz w:val="24"/>
          <w:szCs w:val="24"/>
          <w:rtl/>
        </w:rPr>
        <w:t xml:space="preserve">בהתאם לסעיף </w:t>
      </w:r>
      <w:hyperlink r:id="rId51" w:history="1">
        <w:r w:rsidR="007023B9" w:rsidRPr="007023B9">
          <w:rPr>
            <w:rStyle w:val="Hyperlink"/>
            <w:rFonts w:ascii="David" w:hAnsi="David" w:cs="David"/>
            <w:sz w:val="24"/>
            <w:szCs w:val="24"/>
            <w:rtl/>
          </w:rPr>
          <w:t>40 ח</w:t>
        </w:r>
      </w:hyperlink>
      <w:r>
        <w:rPr>
          <w:rFonts w:ascii="David" w:hAnsi="David" w:cs="David"/>
          <w:sz w:val="24"/>
          <w:szCs w:val="24"/>
          <w:rtl/>
        </w:rPr>
        <w:t xml:space="preserve"> ל</w:t>
      </w:r>
      <w:hyperlink r:id="rId52"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"קבע בית המשפט כי מתחם העונש ההולם כולל עונש קנס, יחשב, נוסף על האמור בסעיף 40 ג (א), במצבו הכלכלי של הנאשם, לצורך מתחם העונש ההולם".</w:t>
      </w:r>
    </w:p>
    <w:p w14:paraId="15FE18CD"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בענייננו לא נטען על ידי ההגנה דבר בדבר מצבם הכלכלי של הנאשמים ולא הובאו ראיות ונתונים אודות מצבם הכלכלי לצורך קביעת מתחם הקנס ההולם. יחד עם זאת, ונוכח גילם של הנאשמים, אצא מנקודת מוצא כי מצבם הכללי אינו משופר.</w:t>
      </w:r>
    </w:p>
    <w:p w14:paraId="500A29A4"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אשר על כן, מתחם העונש ההולם בגין העבירה שביצע הנאשם 1, בנסיבות ביצועה, כולל קנס הנע בין 5,000 – 10,000 ₪ ומתחם העונש ההולם בגין העבירה שביצע לנאשם 2 כולל קנס הנע בין 2,000 – 6,000 ₪. </w:t>
      </w:r>
    </w:p>
    <w:p w14:paraId="30EC691F" w14:textId="77777777" w:rsidR="004037A7" w:rsidRDefault="004037A7" w:rsidP="004037A7">
      <w:pPr>
        <w:pStyle w:val="a9"/>
        <w:spacing w:after="0" w:line="360" w:lineRule="auto"/>
        <w:jc w:val="both"/>
        <w:rPr>
          <w:rFonts w:ascii="David" w:hAnsi="David" w:cs="David"/>
          <w:sz w:val="24"/>
          <w:szCs w:val="24"/>
          <w:highlight w:val="cyan"/>
          <w:rtl/>
        </w:rPr>
      </w:pPr>
    </w:p>
    <w:p w14:paraId="78899D5B" w14:textId="77777777" w:rsidR="004037A7" w:rsidRDefault="004037A7" w:rsidP="004037A7">
      <w:pPr>
        <w:pStyle w:val="a9"/>
        <w:spacing w:after="0" w:line="360" w:lineRule="auto"/>
        <w:jc w:val="both"/>
        <w:rPr>
          <w:rFonts w:ascii="David" w:hAnsi="David" w:cs="David"/>
          <w:b/>
          <w:bCs/>
          <w:sz w:val="24"/>
          <w:szCs w:val="24"/>
          <w:rtl/>
        </w:rPr>
      </w:pPr>
      <w:r>
        <w:rPr>
          <w:rFonts w:ascii="David" w:hAnsi="David" w:cs="David"/>
          <w:b/>
          <w:bCs/>
          <w:sz w:val="24"/>
          <w:szCs w:val="24"/>
          <w:rtl/>
        </w:rPr>
        <w:t>גזירת העונש:</w:t>
      </w:r>
    </w:p>
    <w:p w14:paraId="526696C1"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בגזירת העונש המתאים לנאשמים, בגדרי מתחם העונש ההולם, יש להתחשב בנסיבות שאינן קשורות בביצוע העבירה.</w:t>
      </w:r>
    </w:p>
    <w:p w14:paraId="44B25D21"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כידוע הענישה הינה אינדיבידואלית, ו</w:t>
      </w:r>
      <w:r>
        <w:rPr>
          <w:rFonts w:ascii="David" w:hAnsi="David" w:cs="David" w:hint="cs"/>
          <w:sz w:val="24"/>
          <w:szCs w:val="24"/>
          <w:rtl/>
        </w:rPr>
        <w:t>ב</w:t>
      </w:r>
      <w:r>
        <w:rPr>
          <w:rFonts w:ascii="David" w:hAnsi="David" w:cs="David"/>
          <w:sz w:val="24"/>
          <w:szCs w:val="24"/>
          <w:rtl/>
        </w:rPr>
        <w:t>מסגרתה יש ל</w:t>
      </w:r>
      <w:r>
        <w:rPr>
          <w:rFonts w:ascii="David" w:hAnsi="David" w:cs="David" w:hint="cs"/>
          <w:sz w:val="24"/>
          <w:szCs w:val="24"/>
          <w:rtl/>
        </w:rPr>
        <w:t>י</w:t>
      </w:r>
      <w:r>
        <w:rPr>
          <w:rFonts w:ascii="David" w:hAnsi="David" w:cs="David"/>
          <w:sz w:val="24"/>
          <w:szCs w:val="24"/>
          <w:rtl/>
        </w:rPr>
        <w:t>תן את הדעת לנסיבותיהם האישיות של הנאשמים.</w:t>
      </w:r>
    </w:p>
    <w:p w14:paraId="09AB8DDD" w14:textId="77777777" w:rsidR="004037A7" w:rsidRDefault="004037A7" w:rsidP="004037A7">
      <w:pPr>
        <w:pStyle w:val="a9"/>
        <w:spacing w:after="0" w:line="360" w:lineRule="auto"/>
        <w:jc w:val="both"/>
        <w:rPr>
          <w:rFonts w:ascii="David" w:hAnsi="David" w:cs="David"/>
          <w:sz w:val="24"/>
          <w:szCs w:val="24"/>
          <w:highlight w:val="cyan"/>
          <w:rtl/>
        </w:rPr>
      </w:pPr>
    </w:p>
    <w:p w14:paraId="156E06B8" w14:textId="77777777" w:rsidR="004037A7" w:rsidRDefault="004037A7" w:rsidP="004037A7">
      <w:pPr>
        <w:pStyle w:val="a9"/>
        <w:numPr>
          <w:ilvl w:val="0"/>
          <w:numId w:val="8"/>
        </w:numPr>
        <w:spacing w:after="0" w:line="360" w:lineRule="auto"/>
        <w:jc w:val="both"/>
        <w:rPr>
          <w:rFonts w:ascii="David" w:hAnsi="David" w:cs="David"/>
          <w:sz w:val="24"/>
          <w:szCs w:val="24"/>
          <w:rtl/>
        </w:rPr>
      </w:pPr>
      <w:r>
        <w:rPr>
          <w:rFonts w:ascii="David" w:hAnsi="David" w:cs="David"/>
          <w:b/>
          <w:bCs/>
          <w:sz w:val="24"/>
          <w:szCs w:val="24"/>
          <w:rtl/>
        </w:rPr>
        <w:t>הנאשם 1</w:t>
      </w:r>
      <w:r>
        <w:rPr>
          <w:rFonts w:ascii="David" w:hAnsi="David" w:cs="David"/>
          <w:sz w:val="24"/>
          <w:szCs w:val="24"/>
          <w:rtl/>
        </w:rPr>
        <w:t xml:space="preserve"> – יליד 2004, רווק, יתום מאב, הצעיר מבין 3 ילדיה של אמו. אביו היה נשוי לנשים נוספות.</w:t>
      </w:r>
    </w:p>
    <w:p w14:paraId="3904737F" w14:textId="77777777" w:rsidR="004037A7" w:rsidRDefault="004037A7" w:rsidP="004037A7">
      <w:pPr>
        <w:pStyle w:val="a9"/>
        <w:spacing w:after="0" w:line="360" w:lineRule="auto"/>
        <w:ind w:left="1080"/>
        <w:jc w:val="both"/>
        <w:rPr>
          <w:rFonts w:ascii="David" w:hAnsi="David" w:cs="David"/>
          <w:sz w:val="24"/>
          <w:szCs w:val="24"/>
          <w:rtl/>
        </w:rPr>
      </w:pPr>
      <w:r>
        <w:rPr>
          <w:rFonts w:ascii="David" w:hAnsi="David" w:cs="David"/>
          <w:sz w:val="24"/>
          <w:szCs w:val="24"/>
          <w:rtl/>
        </w:rPr>
        <w:t>לקולת הנאשם נתתי משקל להודאתו, לעברו הנקי, לחרטה שהביע ביחס למעשיו ולחסכון בזמנו של ביהמ"ש.</w:t>
      </w:r>
    </w:p>
    <w:p w14:paraId="7ACFA0E1" w14:textId="77777777" w:rsidR="004037A7" w:rsidRDefault="004037A7" w:rsidP="004037A7">
      <w:pPr>
        <w:pStyle w:val="a9"/>
        <w:spacing w:after="0" w:line="360" w:lineRule="auto"/>
        <w:ind w:left="1080"/>
        <w:jc w:val="both"/>
        <w:rPr>
          <w:rFonts w:ascii="David" w:hAnsi="David" w:cs="David"/>
          <w:sz w:val="24"/>
          <w:szCs w:val="24"/>
          <w:rtl/>
        </w:rPr>
      </w:pPr>
      <w:r>
        <w:rPr>
          <w:rFonts w:ascii="David" w:hAnsi="David" w:cs="David"/>
          <w:sz w:val="24"/>
          <w:szCs w:val="24"/>
          <w:rtl/>
        </w:rPr>
        <w:t>כן נתתי דעתי לכך כי הנאשם עצור מיום 9.7.22.</w:t>
      </w:r>
    </w:p>
    <w:p w14:paraId="0A5BDE77" w14:textId="77777777" w:rsidR="004037A7" w:rsidRDefault="004037A7" w:rsidP="004037A7">
      <w:pPr>
        <w:pStyle w:val="a9"/>
        <w:spacing w:after="0" w:line="360" w:lineRule="auto"/>
        <w:jc w:val="both"/>
        <w:rPr>
          <w:rFonts w:ascii="David" w:hAnsi="David" w:cs="David"/>
          <w:sz w:val="24"/>
          <w:szCs w:val="24"/>
          <w:rtl/>
        </w:rPr>
      </w:pPr>
    </w:p>
    <w:p w14:paraId="01721F20" w14:textId="77777777" w:rsidR="004037A7" w:rsidRDefault="004037A7" w:rsidP="004037A7">
      <w:pPr>
        <w:pStyle w:val="a9"/>
        <w:numPr>
          <w:ilvl w:val="0"/>
          <w:numId w:val="8"/>
        </w:numPr>
        <w:spacing w:after="0" w:line="360" w:lineRule="auto"/>
        <w:jc w:val="both"/>
        <w:rPr>
          <w:rFonts w:ascii="David" w:hAnsi="David" w:cs="David"/>
          <w:sz w:val="24"/>
          <w:szCs w:val="24"/>
          <w:rtl/>
        </w:rPr>
      </w:pPr>
      <w:r>
        <w:rPr>
          <w:rFonts w:ascii="David" w:hAnsi="David" w:cs="David"/>
          <w:b/>
          <w:bCs/>
          <w:sz w:val="24"/>
          <w:szCs w:val="24"/>
          <w:rtl/>
        </w:rPr>
        <w:t>הנאשם 2</w:t>
      </w:r>
      <w:r>
        <w:rPr>
          <w:rFonts w:ascii="David" w:hAnsi="David" w:cs="David"/>
          <w:sz w:val="24"/>
          <w:szCs w:val="24"/>
          <w:rtl/>
        </w:rPr>
        <w:t xml:space="preserve"> – יליד 2004, רווק, הבן הצעיר במשפחה המונה זוג הורים ו-10 ילדים. אביו נשוי לאישה נוספת.</w:t>
      </w:r>
    </w:p>
    <w:p w14:paraId="1220C254" w14:textId="77777777" w:rsidR="004037A7" w:rsidRDefault="004037A7" w:rsidP="004037A7">
      <w:pPr>
        <w:pStyle w:val="a9"/>
        <w:spacing w:after="0" w:line="360" w:lineRule="auto"/>
        <w:ind w:left="1080"/>
        <w:jc w:val="both"/>
        <w:rPr>
          <w:rFonts w:ascii="David" w:hAnsi="David" w:cs="David"/>
          <w:sz w:val="24"/>
          <w:szCs w:val="24"/>
        </w:rPr>
      </w:pPr>
      <w:r>
        <w:rPr>
          <w:rFonts w:ascii="David" w:hAnsi="David" w:cs="David"/>
          <w:sz w:val="24"/>
          <w:szCs w:val="24"/>
          <w:rtl/>
        </w:rPr>
        <w:t>לקולת הנאשם נתתי משקל להודאתו, לעברו הנקי , לחרטה שהביע  ולחסכון בזמנו של ביהמ"ש.</w:t>
      </w:r>
    </w:p>
    <w:p w14:paraId="0DCBD0BC" w14:textId="77777777" w:rsidR="004037A7" w:rsidRDefault="004037A7" w:rsidP="004037A7">
      <w:pPr>
        <w:pStyle w:val="a9"/>
        <w:spacing w:after="0" w:line="360" w:lineRule="auto"/>
        <w:ind w:left="1080"/>
        <w:jc w:val="both"/>
        <w:rPr>
          <w:rFonts w:ascii="David" w:hAnsi="David" w:cs="David"/>
          <w:sz w:val="24"/>
          <w:szCs w:val="24"/>
          <w:rtl/>
        </w:rPr>
      </w:pPr>
      <w:r>
        <w:rPr>
          <w:rFonts w:ascii="David" w:hAnsi="David" w:cs="David"/>
          <w:sz w:val="24"/>
          <w:szCs w:val="24"/>
          <w:rtl/>
        </w:rPr>
        <w:t>כן נתתי דעתי לכך כי הנאשם עצור מיום 9.7.22.</w:t>
      </w:r>
    </w:p>
    <w:p w14:paraId="5F136E76" w14:textId="77777777" w:rsidR="004037A7" w:rsidRDefault="004037A7" w:rsidP="004037A7">
      <w:pPr>
        <w:pStyle w:val="a9"/>
        <w:spacing w:after="0" w:line="360" w:lineRule="auto"/>
        <w:ind w:left="1080"/>
        <w:jc w:val="both"/>
        <w:rPr>
          <w:rFonts w:ascii="David" w:hAnsi="David" w:cs="David"/>
          <w:sz w:val="24"/>
          <w:szCs w:val="24"/>
          <w:rtl/>
        </w:rPr>
      </w:pPr>
    </w:p>
    <w:p w14:paraId="078182DE"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 לקולת הנאשמים שקלתי את קרבתם לגיל 18 שנים במועד ביצוע העבירה, וההשפעה האפשרית של מאסר ממושך על שיקומם ומצבם הנפשי. לצד זאת, מצאתי להבהיר כי בשים לה לעבירות בהן הורשעו הנאשמים, ושכיחותן של עבירות בנשק בקרב צעירים בנגב, אין גילם מהווה חסינות מפני מאסרים ממשיים.</w:t>
      </w:r>
    </w:p>
    <w:p w14:paraId="0E86404A" w14:textId="77777777" w:rsidR="004037A7" w:rsidRDefault="004037A7" w:rsidP="004037A7">
      <w:pPr>
        <w:pStyle w:val="a9"/>
        <w:spacing w:after="0" w:line="360" w:lineRule="auto"/>
        <w:jc w:val="both"/>
        <w:rPr>
          <w:rFonts w:ascii="David" w:hAnsi="David" w:cs="David"/>
          <w:sz w:val="24"/>
          <w:szCs w:val="24"/>
        </w:rPr>
      </w:pPr>
    </w:p>
    <w:p w14:paraId="4F5D0EDB" w14:textId="77777777" w:rsidR="004037A7" w:rsidRDefault="004037A7" w:rsidP="004037A7">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בגדרי שיקולי הענישה בתוך המתחם נתתי גם משקל לשיקולי הרתעת היחיד.</w:t>
      </w:r>
    </w:p>
    <w:p w14:paraId="400FB556" w14:textId="77777777" w:rsidR="004037A7" w:rsidRDefault="004037A7" w:rsidP="004037A7">
      <w:pPr>
        <w:pStyle w:val="a9"/>
        <w:spacing w:after="0" w:line="360" w:lineRule="auto"/>
        <w:jc w:val="both"/>
        <w:rPr>
          <w:rFonts w:ascii="David" w:hAnsi="David" w:cs="David"/>
          <w:sz w:val="24"/>
          <w:szCs w:val="24"/>
        </w:rPr>
      </w:pPr>
      <w:r>
        <w:rPr>
          <w:rFonts w:ascii="David" w:hAnsi="David" w:cs="David"/>
          <w:sz w:val="24"/>
          <w:szCs w:val="24"/>
          <w:rtl/>
        </w:rPr>
        <w:t>בעניי</w:t>
      </w:r>
      <w:r>
        <w:rPr>
          <w:rFonts w:ascii="David" w:hAnsi="David" w:cs="David" w:hint="cs"/>
          <w:sz w:val="24"/>
          <w:szCs w:val="24"/>
          <w:rtl/>
        </w:rPr>
        <w:t>נ</w:t>
      </w:r>
      <w:r>
        <w:rPr>
          <w:rFonts w:ascii="David" w:hAnsi="David" w:cs="David"/>
          <w:sz w:val="24"/>
          <w:szCs w:val="24"/>
          <w:rtl/>
        </w:rPr>
        <w:t>נו נסיבות ביצוע העבירות מלמדות על העדר מורא מהחוק, ובעניין זה אציין כי אינני מקבל את עמדת ב"כ הנאשמים כי מדובר במעשה שנעשה מתוך "טיפשות" ומחמת גילם הצעיר בלבד. שירות המבחן המליץ, ביחס לשני הנאשמים, על ענישה מוחשית והרתעתית בדמות מאסר בפועל</w:t>
      </w:r>
      <w:r>
        <w:rPr>
          <w:rFonts w:ascii="David" w:hAnsi="David" w:cs="David" w:hint="cs"/>
          <w:sz w:val="24"/>
          <w:szCs w:val="24"/>
          <w:rtl/>
        </w:rPr>
        <w:t>.</w:t>
      </w:r>
      <w:r>
        <w:rPr>
          <w:rFonts w:ascii="David" w:hAnsi="David" w:cs="David"/>
          <w:sz w:val="24"/>
          <w:szCs w:val="24"/>
          <w:rtl/>
        </w:rPr>
        <w:t xml:space="preserve"> המלצת שירות המבחן באה לאחר הערכת הסיכון לעבריינות והסיכוי לשיקום, ולאחר שנכח בדבר גישתם המקלה ביחס לעבירות נשק. שירות המבחן לא בא בהמלצה טיפולית ביחס למי מהנאשמים. </w:t>
      </w:r>
    </w:p>
    <w:p w14:paraId="35AC6C8D"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אכן צודק ב"כ נאשם 2 כי שירות המבחן טעה ביחס לנאשם 2 עת י</w:t>
      </w:r>
      <w:r>
        <w:rPr>
          <w:rFonts w:ascii="David" w:hAnsi="David" w:cs="David" w:hint="cs"/>
          <w:sz w:val="24"/>
          <w:szCs w:val="24"/>
          <w:rtl/>
        </w:rPr>
        <w:t>י</w:t>
      </w:r>
      <w:r>
        <w:rPr>
          <w:rFonts w:ascii="David" w:hAnsi="David" w:cs="David"/>
          <w:sz w:val="24"/>
          <w:szCs w:val="24"/>
          <w:rtl/>
        </w:rPr>
        <w:t>חס לו עבירה בה לא הורשע, אך לא ניתן להתעלם מסירובו</w:t>
      </w:r>
      <w:r>
        <w:rPr>
          <w:rFonts w:ascii="David" w:hAnsi="David" w:cs="David" w:hint="cs"/>
          <w:sz w:val="24"/>
          <w:szCs w:val="24"/>
          <w:rtl/>
        </w:rPr>
        <w:t xml:space="preserve"> של הנאשם</w:t>
      </w:r>
      <w:r>
        <w:rPr>
          <w:rFonts w:ascii="David" w:hAnsi="David" w:cs="David"/>
          <w:sz w:val="24"/>
          <w:szCs w:val="24"/>
          <w:rtl/>
        </w:rPr>
        <w:t xml:space="preserve"> לקחת חלק בהליך טיפולי וגישתו המקלה ביחס לנשק. </w:t>
      </w:r>
    </w:p>
    <w:p w14:paraId="32CD1B90"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גורמי הסיכון המפורטים בתסקירי שירות המבחן ביחס לשני הנאשמים נותרו בעינם גם בחלוף תקופת מעצרם, ורק המשך מאסרם יכול וירתיעם מפני הסתבכות חוזרת בפלילים. </w:t>
      </w:r>
    </w:p>
    <w:p w14:paraId="01A741F3" w14:textId="77777777" w:rsidR="004037A7" w:rsidRDefault="004037A7" w:rsidP="004037A7">
      <w:pPr>
        <w:spacing w:line="360" w:lineRule="auto"/>
        <w:jc w:val="both"/>
        <w:rPr>
          <w:rFonts w:ascii="David" w:hAnsi="David"/>
          <w:rtl/>
        </w:rPr>
      </w:pPr>
    </w:p>
    <w:p w14:paraId="0899CA91" w14:textId="77777777" w:rsidR="004037A7" w:rsidRDefault="004037A7" w:rsidP="004037A7">
      <w:pPr>
        <w:pStyle w:val="a9"/>
        <w:numPr>
          <w:ilvl w:val="0"/>
          <w:numId w:val="1"/>
        </w:numPr>
        <w:spacing w:after="0" w:line="360" w:lineRule="auto"/>
        <w:jc w:val="both"/>
        <w:rPr>
          <w:rFonts w:ascii="David" w:hAnsi="David" w:cs="David"/>
          <w:i/>
          <w:iCs/>
          <w:sz w:val="24"/>
          <w:szCs w:val="24"/>
          <w:rtl/>
        </w:rPr>
      </w:pPr>
      <w:r>
        <w:rPr>
          <w:rFonts w:ascii="David" w:hAnsi="David" w:cs="David"/>
          <w:sz w:val="24"/>
          <w:szCs w:val="24"/>
          <w:rtl/>
        </w:rPr>
        <w:t>לצד זאת, נתתי משקל לשיקולי הרתעת הרבים המקבל משנה תוקף בעבירות בנשק, שכן   "</w:t>
      </w:r>
      <w:r>
        <w:rPr>
          <w:rFonts w:ascii="David" w:hAnsi="David" w:cs="David"/>
          <w:b/>
          <w:bCs/>
          <w:sz w:val="24"/>
          <w:szCs w:val="24"/>
          <w:rtl/>
        </w:rPr>
        <w:t>בית משפט שמקל בעונשו של עבריין נשק מכביד על החברה שנאלצת להגן על עצמה –</w:t>
      </w:r>
      <w:r>
        <w:rPr>
          <w:rFonts w:ascii="David" w:hAnsi="David" w:cs="David" w:hint="cs"/>
          <w:b/>
          <w:bCs/>
          <w:sz w:val="24"/>
          <w:szCs w:val="24"/>
          <w:rtl/>
        </w:rPr>
        <w:t xml:space="preserve"> </w:t>
      </w:r>
      <w:r>
        <w:rPr>
          <w:rFonts w:ascii="David" w:hAnsi="David" w:cs="David"/>
          <w:b/>
          <w:bCs/>
          <w:sz w:val="24"/>
          <w:szCs w:val="24"/>
          <w:rtl/>
        </w:rPr>
        <w:t>על בניה ובנותיה –מעברייני נשק</w:t>
      </w:r>
      <w:r>
        <w:rPr>
          <w:rFonts w:ascii="David" w:hAnsi="David" w:cs="David"/>
          <w:sz w:val="24"/>
          <w:szCs w:val="24"/>
          <w:rtl/>
        </w:rPr>
        <w:t xml:space="preserve"> "  </w:t>
      </w:r>
      <w:hyperlink r:id="rId53" w:history="1">
        <w:r w:rsidR="003503D9" w:rsidRPr="003503D9">
          <w:rPr>
            <w:rFonts w:ascii="David" w:hAnsi="David" w:cs="David"/>
            <w:color w:val="0000FF"/>
            <w:sz w:val="24"/>
            <w:szCs w:val="24"/>
            <w:u w:val="single"/>
            <w:rtl/>
          </w:rPr>
          <w:t>ע"פ 5602/22</w:t>
        </w:r>
      </w:hyperlink>
      <w:r>
        <w:rPr>
          <w:rFonts w:ascii="David" w:hAnsi="David" w:cs="David"/>
          <w:sz w:val="24"/>
          <w:szCs w:val="24"/>
          <w:rtl/>
        </w:rPr>
        <w:t xml:space="preserve"> מ"י נ' פלוני </w:t>
      </w:r>
      <w:r>
        <w:rPr>
          <w:rFonts w:ascii="David" w:hAnsi="David" w:cs="David"/>
          <w:i/>
          <w:iCs/>
          <w:sz w:val="24"/>
          <w:szCs w:val="24"/>
          <w:rtl/>
        </w:rPr>
        <w:t>( 14.9.22 ).</w:t>
      </w:r>
    </w:p>
    <w:p w14:paraId="0EFCD480" w14:textId="77777777" w:rsidR="004037A7" w:rsidRDefault="004037A7" w:rsidP="004037A7">
      <w:pPr>
        <w:pStyle w:val="a9"/>
        <w:spacing w:after="0" w:line="360" w:lineRule="auto"/>
        <w:jc w:val="both"/>
        <w:rPr>
          <w:rFonts w:ascii="David" w:hAnsi="David" w:cs="David"/>
          <w:sz w:val="24"/>
          <w:szCs w:val="24"/>
        </w:rPr>
      </w:pPr>
      <w:r>
        <w:rPr>
          <w:rFonts w:ascii="David" w:hAnsi="David" w:cs="David"/>
          <w:i/>
          <w:iCs/>
          <w:sz w:val="24"/>
          <w:szCs w:val="24"/>
          <w:rtl/>
        </w:rPr>
        <w:t>כפי שציינתי  על בתי המשפט לפעול באמצעות הענישה לשינוי יחס "סיכוי</w:t>
      </w:r>
      <w:r>
        <w:rPr>
          <w:rFonts w:ascii="David" w:hAnsi="David" w:cs="David"/>
          <w:sz w:val="24"/>
          <w:szCs w:val="24"/>
          <w:rtl/>
        </w:rPr>
        <w:t xml:space="preserve"> –סיכון" מכוחו פועל עבריין הנשק, באופן שהמאזן יטה בבירור לאחרון . על ב</w:t>
      </w:r>
      <w:r>
        <w:rPr>
          <w:rFonts w:ascii="David" w:hAnsi="David" w:cs="David" w:hint="cs"/>
          <w:sz w:val="24"/>
          <w:szCs w:val="24"/>
          <w:rtl/>
        </w:rPr>
        <w:t xml:space="preserve">ית </w:t>
      </w:r>
      <w:r>
        <w:rPr>
          <w:rFonts w:ascii="David" w:hAnsi="David" w:cs="David"/>
          <w:sz w:val="24"/>
          <w:szCs w:val="24"/>
          <w:rtl/>
        </w:rPr>
        <w:t>המשפט להעביר מסר ברור וחד גם לצעירים  כי טוב יעשו אם ירחיקו ידם מנשק בלתי חוקי, שאם לא כן ימצאו עצמם מאחורי סורג ובריח.</w:t>
      </w:r>
    </w:p>
    <w:p w14:paraId="1470FDD8" w14:textId="77777777" w:rsidR="004037A7" w:rsidRDefault="004037A7" w:rsidP="004037A7">
      <w:pPr>
        <w:pStyle w:val="a9"/>
        <w:spacing w:after="0" w:line="360" w:lineRule="auto"/>
        <w:jc w:val="both"/>
        <w:rPr>
          <w:rFonts w:ascii="David" w:hAnsi="David" w:cs="David"/>
          <w:sz w:val="24"/>
          <w:szCs w:val="24"/>
          <w:rtl/>
        </w:rPr>
      </w:pPr>
    </w:p>
    <w:p w14:paraId="4DC7004D"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מכל הקובץ לעיל,  ובאיזון השיקולים השונים, הנני גוזר על הנאשמים את העונשים הבאים :</w:t>
      </w:r>
    </w:p>
    <w:p w14:paraId="66636E56" w14:textId="77777777" w:rsidR="004037A7" w:rsidRDefault="004037A7" w:rsidP="004037A7">
      <w:pPr>
        <w:pStyle w:val="a9"/>
        <w:spacing w:after="0" w:line="360" w:lineRule="auto"/>
        <w:jc w:val="both"/>
        <w:rPr>
          <w:rFonts w:ascii="David" w:hAnsi="David" w:cs="David"/>
          <w:b/>
          <w:bCs/>
          <w:sz w:val="24"/>
          <w:szCs w:val="24"/>
          <w:rtl/>
        </w:rPr>
      </w:pPr>
    </w:p>
    <w:p w14:paraId="0F8CD208" w14:textId="77777777" w:rsidR="004037A7" w:rsidRDefault="004037A7" w:rsidP="004037A7">
      <w:pPr>
        <w:pStyle w:val="a9"/>
        <w:spacing w:after="0" w:line="360" w:lineRule="auto"/>
        <w:jc w:val="both"/>
        <w:rPr>
          <w:rFonts w:ascii="David" w:hAnsi="David" w:cs="David"/>
          <w:b/>
          <w:bCs/>
          <w:sz w:val="24"/>
          <w:szCs w:val="24"/>
        </w:rPr>
      </w:pPr>
      <w:r>
        <w:rPr>
          <w:rFonts w:ascii="David" w:hAnsi="David" w:cs="David"/>
          <w:b/>
          <w:bCs/>
          <w:sz w:val="24"/>
          <w:szCs w:val="24"/>
          <w:rtl/>
        </w:rPr>
        <w:t>לנאשם 1:</w:t>
      </w:r>
    </w:p>
    <w:p w14:paraId="286228E4" w14:textId="77777777" w:rsidR="004037A7" w:rsidRDefault="004037A7" w:rsidP="004037A7">
      <w:pPr>
        <w:pStyle w:val="a9"/>
        <w:numPr>
          <w:ilvl w:val="0"/>
          <w:numId w:val="9"/>
        </w:numPr>
        <w:spacing w:after="0" w:line="360" w:lineRule="auto"/>
        <w:jc w:val="both"/>
        <w:rPr>
          <w:rFonts w:ascii="David" w:hAnsi="David" w:cs="David"/>
          <w:sz w:val="24"/>
          <w:szCs w:val="24"/>
          <w:rtl/>
        </w:rPr>
      </w:pPr>
      <w:r>
        <w:rPr>
          <w:rFonts w:ascii="David" w:hAnsi="David" w:cs="David"/>
          <w:sz w:val="24"/>
          <w:szCs w:val="24"/>
          <w:rtl/>
        </w:rPr>
        <w:t>38 חודשי מאסר בפועל בניכוי ימי מעצרו.</w:t>
      </w:r>
    </w:p>
    <w:p w14:paraId="58C77E34" w14:textId="77777777" w:rsidR="004037A7" w:rsidRDefault="004037A7" w:rsidP="004037A7">
      <w:pPr>
        <w:pStyle w:val="a9"/>
        <w:numPr>
          <w:ilvl w:val="0"/>
          <w:numId w:val="9"/>
        </w:numPr>
        <w:spacing w:after="0" w:line="360" w:lineRule="auto"/>
        <w:jc w:val="both"/>
        <w:rPr>
          <w:rFonts w:ascii="David" w:hAnsi="David" w:cs="David"/>
          <w:sz w:val="24"/>
          <w:szCs w:val="24"/>
          <w:rtl/>
        </w:rPr>
      </w:pPr>
      <w:r>
        <w:rPr>
          <w:rFonts w:ascii="David" w:hAnsi="David" w:cs="David"/>
          <w:sz w:val="24"/>
          <w:szCs w:val="24"/>
          <w:rtl/>
        </w:rPr>
        <w:t xml:space="preserve">12 חודשי מאסר על תנאי, לתקופה של 3 שנים מיום שחרורו, שהנאשם לא יעבור עבירות בנשק לפי </w:t>
      </w:r>
      <w:hyperlink r:id="rId54" w:history="1">
        <w:r w:rsidR="007023B9" w:rsidRPr="007023B9">
          <w:rPr>
            <w:rStyle w:val="Hyperlink"/>
            <w:rFonts w:ascii="David" w:hAnsi="David" w:cs="David"/>
            <w:sz w:val="24"/>
            <w:szCs w:val="24"/>
            <w:rtl/>
          </w:rPr>
          <w:t>סעיף 144</w:t>
        </w:r>
      </w:hyperlink>
      <w:r>
        <w:rPr>
          <w:rFonts w:ascii="David" w:hAnsi="David" w:cs="David"/>
          <w:sz w:val="24"/>
          <w:szCs w:val="24"/>
          <w:rtl/>
        </w:rPr>
        <w:t xml:space="preserve"> ל</w:t>
      </w:r>
      <w:hyperlink r:id="rId55"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על חלופותיו השונות.</w:t>
      </w:r>
    </w:p>
    <w:p w14:paraId="784186C0" w14:textId="77777777" w:rsidR="004037A7" w:rsidRDefault="004037A7" w:rsidP="004037A7">
      <w:pPr>
        <w:pStyle w:val="a9"/>
        <w:numPr>
          <w:ilvl w:val="0"/>
          <w:numId w:val="9"/>
        </w:numPr>
        <w:spacing w:after="0" w:line="360" w:lineRule="auto"/>
        <w:jc w:val="both"/>
        <w:rPr>
          <w:rFonts w:ascii="David" w:hAnsi="David" w:cs="David"/>
          <w:sz w:val="24"/>
          <w:szCs w:val="24"/>
        </w:rPr>
      </w:pPr>
      <w:r>
        <w:rPr>
          <w:rFonts w:ascii="David" w:hAnsi="David" w:cs="David"/>
          <w:sz w:val="24"/>
          <w:szCs w:val="24"/>
          <w:rtl/>
        </w:rPr>
        <w:t xml:space="preserve">10 חודשי מאסר על תנאי, לתקופה של 3 שנים מיום שחרורו, שהנאשם לא יעבור עבירה לפי סעיף </w:t>
      </w:r>
      <w:hyperlink r:id="rId56" w:history="1">
        <w:r w:rsidR="007023B9" w:rsidRPr="007023B9">
          <w:rPr>
            <w:rStyle w:val="Hyperlink"/>
            <w:rFonts w:ascii="David" w:hAnsi="David" w:cs="David"/>
            <w:sz w:val="24"/>
            <w:szCs w:val="24"/>
            <w:rtl/>
          </w:rPr>
          <w:t>340 א</w:t>
        </w:r>
      </w:hyperlink>
      <w:r>
        <w:rPr>
          <w:rFonts w:ascii="David" w:hAnsi="David" w:cs="David"/>
          <w:sz w:val="24"/>
          <w:szCs w:val="24"/>
          <w:rtl/>
        </w:rPr>
        <w:t xml:space="preserve"> ל</w:t>
      </w:r>
      <w:hyperlink r:id="rId57"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על חלופותיו השונות. </w:t>
      </w:r>
    </w:p>
    <w:p w14:paraId="04DB693E" w14:textId="77777777" w:rsidR="004037A7" w:rsidRDefault="004037A7" w:rsidP="004037A7">
      <w:pPr>
        <w:pStyle w:val="a9"/>
        <w:numPr>
          <w:ilvl w:val="0"/>
          <w:numId w:val="9"/>
        </w:numPr>
        <w:spacing w:after="0" w:line="360" w:lineRule="auto"/>
        <w:jc w:val="both"/>
        <w:rPr>
          <w:rFonts w:ascii="David" w:hAnsi="David" w:cs="David"/>
          <w:sz w:val="24"/>
          <w:szCs w:val="24"/>
        </w:rPr>
      </w:pPr>
      <w:r>
        <w:rPr>
          <w:rFonts w:ascii="David" w:hAnsi="David" w:cs="David"/>
          <w:sz w:val="24"/>
          <w:szCs w:val="24"/>
          <w:rtl/>
        </w:rPr>
        <w:t>6,000 ₪ קנס או 60 יום מאסר תמורתו. הקנס ישולם לא יאוחר מיום  1.</w:t>
      </w:r>
      <w:r>
        <w:rPr>
          <w:rFonts w:ascii="David" w:hAnsi="David" w:cs="David" w:hint="cs"/>
          <w:sz w:val="24"/>
          <w:szCs w:val="24"/>
          <w:rtl/>
        </w:rPr>
        <w:t>10</w:t>
      </w:r>
      <w:r>
        <w:rPr>
          <w:rFonts w:ascii="David" w:hAnsi="David" w:cs="David"/>
          <w:sz w:val="24"/>
          <w:szCs w:val="24"/>
          <w:rtl/>
        </w:rPr>
        <w:t>.23</w:t>
      </w:r>
      <w:r>
        <w:rPr>
          <w:rFonts w:ascii="David" w:hAnsi="David" w:cs="David" w:hint="cs"/>
          <w:sz w:val="24"/>
          <w:szCs w:val="24"/>
          <w:rtl/>
        </w:rPr>
        <w:t>.</w:t>
      </w:r>
    </w:p>
    <w:p w14:paraId="70611BCE" w14:textId="77777777" w:rsidR="004037A7" w:rsidRPr="00E06BBE" w:rsidRDefault="004037A7" w:rsidP="004037A7">
      <w:pPr>
        <w:pStyle w:val="a9"/>
        <w:spacing w:after="0" w:line="360" w:lineRule="auto"/>
        <w:ind w:left="1080"/>
        <w:jc w:val="both"/>
        <w:rPr>
          <w:rFonts w:ascii="David" w:hAnsi="David" w:cs="David"/>
          <w:sz w:val="24"/>
          <w:szCs w:val="24"/>
        </w:rPr>
      </w:pPr>
    </w:p>
    <w:p w14:paraId="58749516" w14:textId="77777777" w:rsidR="004037A7" w:rsidRDefault="004037A7" w:rsidP="004037A7">
      <w:pPr>
        <w:pStyle w:val="a9"/>
        <w:spacing w:after="0" w:line="360" w:lineRule="auto"/>
        <w:jc w:val="both"/>
        <w:rPr>
          <w:rFonts w:ascii="David" w:hAnsi="David" w:cs="David"/>
          <w:b/>
          <w:bCs/>
          <w:sz w:val="24"/>
          <w:szCs w:val="24"/>
        </w:rPr>
      </w:pPr>
      <w:r>
        <w:rPr>
          <w:rFonts w:ascii="David" w:hAnsi="David" w:cs="David"/>
          <w:b/>
          <w:bCs/>
          <w:sz w:val="24"/>
          <w:szCs w:val="24"/>
          <w:rtl/>
        </w:rPr>
        <w:t>לנאשם 2:</w:t>
      </w:r>
    </w:p>
    <w:p w14:paraId="0B885286" w14:textId="77777777" w:rsidR="004037A7" w:rsidRDefault="004037A7" w:rsidP="004037A7">
      <w:pPr>
        <w:pStyle w:val="a9"/>
        <w:numPr>
          <w:ilvl w:val="0"/>
          <w:numId w:val="10"/>
        </w:numPr>
        <w:spacing w:after="0" w:line="360" w:lineRule="auto"/>
        <w:jc w:val="both"/>
        <w:rPr>
          <w:rFonts w:ascii="David" w:hAnsi="David" w:cs="David"/>
          <w:sz w:val="24"/>
          <w:szCs w:val="24"/>
          <w:rtl/>
        </w:rPr>
      </w:pPr>
      <w:r>
        <w:rPr>
          <w:rFonts w:ascii="David" w:hAnsi="David" w:cs="David"/>
          <w:sz w:val="24"/>
          <w:szCs w:val="24"/>
          <w:rtl/>
        </w:rPr>
        <w:t>26 חודשי מאסר בפועל בניכוי ימי מעצרו.</w:t>
      </w:r>
    </w:p>
    <w:p w14:paraId="07D296E1" w14:textId="77777777" w:rsidR="004037A7" w:rsidRDefault="004037A7" w:rsidP="004037A7">
      <w:pPr>
        <w:pStyle w:val="a9"/>
        <w:numPr>
          <w:ilvl w:val="0"/>
          <w:numId w:val="10"/>
        </w:numPr>
        <w:spacing w:after="0" w:line="360" w:lineRule="auto"/>
        <w:jc w:val="both"/>
        <w:rPr>
          <w:rFonts w:ascii="David" w:hAnsi="David" w:cs="David"/>
          <w:sz w:val="24"/>
          <w:szCs w:val="24"/>
          <w:rtl/>
        </w:rPr>
      </w:pPr>
      <w:r>
        <w:rPr>
          <w:rFonts w:ascii="David" w:hAnsi="David" w:cs="David"/>
          <w:sz w:val="24"/>
          <w:szCs w:val="24"/>
          <w:rtl/>
        </w:rPr>
        <w:t xml:space="preserve">12 חודשי מאסר על תנאי, לתקופה של 3 שנים מיום שחרורו, שהנאשם לא יעבור עבירות בנשק לפי </w:t>
      </w:r>
      <w:hyperlink r:id="rId58" w:history="1">
        <w:r w:rsidR="007023B9" w:rsidRPr="007023B9">
          <w:rPr>
            <w:rStyle w:val="Hyperlink"/>
            <w:rFonts w:ascii="David" w:hAnsi="David" w:cs="David"/>
            <w:sz w:val="24"/>
            <w:szCs w:val="24"/>
            <w:rtl/>
          </w:rPr>
          <w:t>סעיף 144</w:t>
        </w:r>
      </w:hyperlink>
      <w:r>
        <w:rPr>
          <w:rFonts w:ascii="David" w:hAnsi="David" w:cs="David"/>
          <w:sz w:val="24"/>
          <w:szCs w:val="24"/>
          <w:rtl/>
        </w:rPr>
        <w:t xml:space="preserve"> ל</w:t>
      </w:r>
      <w:hyperlink r:id="rId59"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על חלופותיו השונות.</w:t>
      </w:r>
    </w:p>
    <w:p w14:paraId="34F2F20E" w14:textId="77777777" w:rsidR="004037A7" w:rsidRDefault="004037A7" w:rsidP="004037A7">
      <w:pPr>
        <w:pStyle w:val="a9"/>
        <w:numPr>
          <w:ilvl w:val="0"/>
          <w:numId w:val="10"/>
        </w:numPr>
        <w:spacing w:after="0" w:line="360" w:lineRule="auto"/>
        <w:jc w:val="both"/>
        <w:rPr>
          <w:rFonts w:ascii="David" w:hAnsi="David" w:cs="David"/>
          <w:sz w:val="24"/>
          <w:szCs w:val="24"/>
        </w:rPr>
      </w:pPr>
      <w:r>
        <w:rPr>
          <w:rFonts w:ascii="David" w:hAnsi="David" w:cs="David"/>
          <w:sz w:val="24"/>
          <w:szCs w:val="24"/>
          <w:rtl/>
        </w:rPr>
        <w:t xml:space="preserve">10 חודשי מאסר על תנאי, לתקופה של 3 שנים מיום שחרורו, שהנאשם לא יעבור עבירה לפי סעיף </w:t>
      </w:r>
      <w:hyperlink r:id="rId60" w:history="1">
        <w:r w:rsidR="007023B9" w:rsidRPr="007023B9">
          <w:rPr>
            <w:rStyle w:val="Hyperlink"/>
            <w:rFonts w:ascii="David" w:hAnsi="David" w:cs="David"/>
            <w:sz w:val="24"/>
            <w:szCs w:val="24"/>
            <w:rtl/>
          </w:rPr>
          <w:t>340 א</w:t>
        </w:r>
      </w:hyperlink>
      <w:r>
        <w:rPr>
          <w:rFonts w:ascii="David" w:hAnsi="David" w:cs="David"/>
          <w:sz w:val="24"/>
          <w:szCs w:val="24"/>
          <w:rtl/>
        </w:rPr>
        <w:t xml:space="preserve"> ל</w:t>
      </w:r>
      <w:hyperlink r:id="rId61" w:history="1">
        <w:r w:rsidR="003503D9" w:rsidRPr="003503D9">
          <w:rPr>
            <w:rFonts w:ascii="David" w:hAnsi="David" w:cs="David"/>
            <w:color w:val="0000FF"/>
            <w:sz w:val="24"/>
            <w:szCs w:val="24"/>
            <w:u w:val="single"/>
            <w:rtl/>
          </w:rPr>
          <w:t>חוק העונשין</w:t>
        </w:r>
      </w:hyperlink>
      <w:r>
        <w:rPr>
          <w:rFonts w:ascii="David" w:hAnsi="David" w:cs="David"/>
          <w:sz w:val="24"/>
          <w:szCs w:val="24"/>
          <w:rtl/>
        </w:rPr>
        <w:t xml:space="preserve"> על חלופותיו השונות. </w:t>
      </w:r>
    </w:p>
    <w:p w14:paraId="673CE564" w14:textId="77777777" w:rsidR="004037A7" w:rsidRDefault="004037A7" w:rsidP="004037A7">
      <w:pPr>
        <w:pStyle w:val="a9"/>
        <w:numPr>
          <w:ilvl w:val="0"/>
          <w:numId w:val="10"/>
        </w:numPr>
        <w:spacing w:after="0" w:line="360" w:lineRule="auto"/>
        <w:jc w:val="both"/>
        <w:rPr>
          <w:rFonts w:ascii="David" w:hAnsi="David" w:cs="David"/>
          <w:sz w:val="24"/>
          <w:szCs w:val="24"/>
        </w:rPr>
      </w:pPr>
      <w:r>
        <w:rPr>
          <w:rFonts w:ascii="David" w:hAnsi="David" w:cs="David"/>
          <w:sz w:val="24"/>
          <w:szCs w:val="24"/>
          <w:rtl/>
        </w:rPr>
        <w:t>3,000 ₪ קנס או 30 יום מאסר תמורתו. הקנס ישולם לא יאוחר מיום 1.</w:t>
      </w:r>
      <w:r>
        <w:rPr>
          <w:rFonts w:ascii="David" w:hAnsi="David" w:cs="David" w:hint="cs"/>
          <w:sz w:val="24"/>
          <w:szCs w:val="24"/>
          <w:rtl/>
        </w:rPr>
        <w:t>10</w:t>
      </w:r>
      <w:r>
        <w:rPr>
          <w:rFonts w:ascii="David" w:hAnsi="David" w:cs="David"/>
          <w:sz w:val="24"/>
          <w:szCs w:val="24"/>
          <w:rtl/>
        </w:rPr>
        <w:t>.23.</w:t>
      </w:r>
    </w:p>
    <w:p w14:paraId="26391328" w14:textId="77777777" w:rsidR="004037A7" w:rsidRDefault="004037A7" w:rsidP="004037A7">
      <w:pPr>
        <w:spacing w:line="360" w:lineRule="auto"/>
        <w:jc w:val="both"/>
        <w:rPr>
          <w:rFonts w:ascii="David" w:hAnsi="David"/>
        </w:rPr>
      </w:pPr>
    </w:p>
    <w:p w14:paraId="76A0B999" w14:textId="77777777" w:rsidR="004037A7" w:rsidRDefault="004037A7" w:rsidP="004037A7">
      <w:pPr>
        <w:pStyle w:val="a9"/>
        <w:numPr>
          <w:ilvl w:val="0"/>
          <w:numId w:val="1"/>
        </w:numPr>
        <w:spacing w:after="0" w:line="360" w:lineRule="auto"/>
        <w:jc w:val="both"/>
        <w:rPr>
          <w:rFonts w:ascii="David" w:hAnsi="David" w:cs="David"/>
          <w:sz w:val="24"/>
          <w:szCs w:val="24"/>
          <w:rtl/>
        </w:rPr>
      </w:pPr>
      <w:r>
        <w:rPr>
          <w:rFonts w:ascii="David" w:hAnsi="David" w:cs="David"/>
          <w:b/>
          <w:bCs/>
          <w:sz w:val="24"/>
          <w:szCs w:val="24"/>
          <w:rtl/>
        </w:rPr>
        <w:t>טרם נעילה</w:t>
      </w:r>
      <w:r>
        <w:rPr>
          <w:rFonts w:ascii="David" w:hAnsi="David" w:cs="David"/>
          <w:sz w:val="24"/>
          <w:szCs w:val="24"/>
          <w:rtl/>
        </w:rPr>
        <w:t xml:space="preserve">, נסיבות חייהם של הנאשמים והסתבכותם בפלילים, מחייבות התייחסות לשתי תופעות חברתיות חמורות ומדאיגות בחברה הבדואית בדרום: ריבוי נישואין –פוליגמיה ובדלנות שפתית- אי ידיעת </w:t>
      </w:r>
      <w:r>
        <w:rPr>
          <w:rFonts w:ascii="David" w:hAnsi="David" w:cs="David" w:hint="cs"/>
          <w:sz w:val="24"/>
          <w:szCs w:val="24"/>
          <w:rtl/>
        </w:rPr>
        <w:t>השפה ה</w:t>
      </w:r>
      <w:r>
        <w:rPr>
          <w:rFonts w:ascii="David" w:hAnsi="David" w:cs="David"/>
          <w:sz w:val="24"/>
          <w:szCs w:val="24"/>
          <w:rtl/>
        </w:rPr>
        <w:t>עברית.</w:t>
      </w:r>
    </w:p>
    <w:p w14:paraId="0EFD1B25"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תופעת ריבוי הנישואין, לרוב עם נשים חלשות וחסרות מעמד מהרשות הפלסטינאית, היא </w:t>
      </w:r>
    </w:p>
    <w:p w14:paraId="1F0717F6" w14:textId="77777777" w:rsidR="004037A7" w:rsidRDefault="004037A7" w:rsidP="004037A7">
      <w:pPr>
        <w:pStyle w:val="a9"/>
        <w:spacing w:after="0" w:line="360" w:lineRule="auto"/>
        <w:jc w:val="both"/>
        <w:rPr>
          <w:rFonts w:ascii="David" w:hAnsi="David" w:cs="David"/>
          <w:sz w:val="24"/>
          <w:szCs w:val="24"/>
        </w:rPr>
      </w:pPr>
      <w:r w:rsidRPr="00E06BBE">
        <w:rPr>
          <w:rFonts w:ascii="David" w:hAnsi="David" w:cs="David"/>
          <w:b/>
          <w:bCs/>
          <w:sz w:val="24"/>
          <w:szCs w:val="24"/>
          <w:rtl/>
        </w:rPr>
        <w:t>"</w:t>
      </w:r>
      <w:r>
        <w:rPr>
          <w:rFonts w:ascii="David" w:hAnsi="David" w:cs="David"/>
          <w:b/>
          <w:bCs/>
          <w:sz w:val="24"/>
          <w:szCs w:val="24"/>
          <w:rtl/>
        </w:rPr>
        <w:t>אם כל חטאת</w:t>
      </w:r>
      <w:r w:rsidRPr="00E06BBE">
        <w:rPr>
          <w:rFonts w:ascii="David" w:hAnsi="David" w:cs="David"/>
          <w:b/>
          <w:bCs/>
          <w:sz w:val="24"/>
          <w:szCs w:val="24"/>
          <w:rtl/>
        </w:rPr>
        <w:t>"</w:t>
      </w:r>
      <w:r>
        <w:rPr>
          <w:rFonts w:ascii="David" w:hAnsi="David" w:cs="David"/>
          <w:sz w:val="24"/>
          <w:szCs w:val="24"/>
          <w:rtl/>
        </w:rPr>
        <w:t xml:space="preserve"> ומשנה מן היסוד את החברה הבדואית בנגב. התופעה שהפכה בשנים האחרונות לרחבה ונפוצה מאוד,</w:t>
      </w:r>
      <w:r>
        <w:rPr>
          <w:rFonts w:ascii="David" w:hAnsi="David" w:cs="David" w:hint="cs"/>
          <w:sz w:val="24"/>
          <w:szCs w:val="24"/>
          <w:rtl/>
        </w:rPr>
        <w:t xml:space="preserve"> </w:t>
      </w:r>
      <w:r>
        <w:rPr>
          <w:rFonts w:ascii="David" w:hAnsi="David" w:cs="David"/>
          <w:sz w:val="24"/>
          <w:szCs w:val="24"/>
          <w:rtl/>
        </w:rPr>
        <w:t xml:space="preserve">מקרבת את החברה הבדואית בנגב לרשות </w:t>
      </w:r>
      <w:r>
        <w:rPr>
          <w:rFonts w:ascii="David" w:hAnsi="David" w:cs="David" w:hint="cs"/>
          <w:sz w:val="24"/>
          <w:szCs w:val="24"/>
          <w:rtl/>
        </w:rPr>
        <w:t>הפלסטינאית</w:t>
      </w:r>
      <w:r>
        <w:rPr>
          <w:rFonts w:ascii="David" w:hAnsi="David" w:cs="David"/>
          <w:sz w:val="24"/>
          <w:szCs w:val="24"/>
          <w:rtl/>
        </w:rPr>
        <w:t xml:space="preserve"> ומחלישה את זיקתה למדינ</w:t>
      </w:r>
      <w:r>
        <w:rPr>
          <w:rFonts w:ascii="David" w:hAnsi="David" w:cs="David" w:hint="cs"/>
          <w:sz w:val="24"/>
          <w:szCs w:val="24"/>
          <w:rtl/>
        </w:rPr>
        <w:t>ת ישראל</w:t>
      </w:r>
      <w:r>
        <w:rPr>
          <w:rFonts w:ascii="David" w:hAnsi="David" w:cs="David"/>
          <w:sz w:val="24"/>
          <w:szCs w:val="24"/>
          <w:rtl/>
        </w:rPr>
        <w:t xml:space="preserve">.  </w:t>
      </w:r>
    </w:p>
    <w:p w14:paraId="6E2EF0B6"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ילדי נישואי הפוליגמיה (לאב בדואי ישראלי ולאם מהרשות הפלסטינאית) חווים לרוב עוני, הזנחה ותחושת קיפוח פנים משפחית וחמולתית, אשר מובלים, לא אחת</w:t>
      </w:r>
      <w:r>
        <w:rPr>
          <w:rFonts w:ascii="David" w:hAnsi="David" w:cs="David" w:hint="cs"/>
          <w:sz w:val="24"/>
          <w:szCs w:val="24"/>
          <w:rtl/>
        </w:rPr>
        <w:t>,</w:t>
      </w:r>
      <w:r>
        <w:rPr>
          <w:rFonts w:ascii="David" w:hAnsi="David" w:cs="David"/>
          <w:sz w:val="24"/>
          <w:szCs w:val="24"/>
          <w:rtl/>
        </w:rPr>
        <w:t xml:space="preserve"> לעולם הפשע, ובמקרים קיצוניים לעבירות בעלי גוון לאומני.</w:t>
      </w:r>
    </w:p>
    <w:p w14:paraId="19D566BD"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כידוע ריבוי נישואין מהווה עבירה פלילית, אך הניסיון מלמד כי לא ניתן למגר התופעה באכיפה פלילית בלבד נוכח ההטבות הכלכליות המפליגות להן זוכה הגבר הבדואי הפוליגמי. לעניין </w:t>
      </w:r>
      <w:r>
        <w:rPr>
          <w:rFonts w:ascii="David" w:hAnsi="David" w:cs="David" w:hint="cs"/>
          <w:sz w:val="24"/>
          <w:szCs w:val="24"/>
          <w:rtl/>
        </w:rPr>
        <w:t xml:space="preserve">תופעת </w:t>
      </w:r>
      <w:r>
        <w:rPr>
          <w:rFonts w:ascii="David" w:hAnsi="David" w:cs="David"/>
          <w:sz w:val="24"/>
          <w:szCs w:val="24"/>
          <w:rtl/>
        </w:rPr>
        <w:t>הפוליגמיה במגזר הבדואי</w:t>
      </w:r>
      <w:r>
        <w:rPr>
          <w:rFonts w:ascii="David" w:hAnsi="David" w:cs="David" w:hint="cs"/>
          <w:sz w:val="24"/>
          <w:szCs w:val="24"/>
          <w:rtl/>
        </w:rPr>
        <w:t xml:space="preserve"> בהרחבה,</w:t>
      </w:r>
      <w:r>
        <w:rPr>
          <w:rFonts w:ascii="David" w:hAnsi="David" w:cs="David"/>
          <w:sz w:val="24"/>
          <w:szCs w:val="24"/>
          <w:rtl/>
        </w:rPr>
        <w:t xml:space="preserve"> ראה גם החלטתי </w:t>
      </w:r>
      <w:r w:rsidRPr="00780ADF">
        <w:rPr>
          <w:rFonts w:ascii="David" w:hAnsi="David" w:cs="David"/>
          <w:sz w:val="24"/>
          <w:szCs w:val="24"/>
          <w:rtl/>
        </w:rPr>
        <w:t>ב</w:t>
      </w:r>
      <w:hyperlink r:id="rId62" w:history="1">
        <w:r w:rsidR="003503D9" w:rsidRPr="003503D9">
          <w:rPr>
            <w:rFonts w:ascii="David" w:hAnsi="David" w:cs="David"/>
            <w:b/>
            <w:bCs/>
            <w:color w:val="0000FF"/>
            <w:sz w:val="24"/>
            <w:szCs w:val="24"/>
            <w:u w:val="single"/>
            <w:rtl/>
          </w:rPr>
          <w:t>תמ"ש 55724-09-16</w:t>
        </w:r>
      </w:hyperlink>
      <w:r w:rsidRPr="00780ADF">
        <w:rPr>
          <w:rFonts w:ascii="David" w:hAnsi="David" w:cs="David"/>
          <w:b/>
          <w:bCs/>
          <w:sz w:val="24"/>
          <w:szCs w:val="24"/>
          <w:rtl/>
        </w:rPr>
        <w:t xml:space="preserve">  </w:t>
      </w:r>
      <w:r>
        <w:rPr>
          <w:rFonts w:ascii="David" w:hAnsi="David" w:cs="David"/>
          <w:sz w:val="24"/>
          <w:szCs w:val="24"/>
          <w:rtl/>
        </w:rPr>
        <w:t xml:space="preserve">(משפחה, ב"ש) </w:t>
      </w:r>
      <w:r>
        <w:rPr>
          <w:rFonts w:ascii="David" w:hAnsi="David" w:cs="David" w:hint="cs"/>
          <w:sz w:val="24"/>
          <w:szCs w:val="24"/>
          <w:rtl/>
        </w:rPr>
        <w:t xml:space="preserve">[פורסם בנבו] </w:t>
      </w:r>
      <w:r>
        <w:rPr>
          <w:rFonts w:ascii="David" w:hAnsi="David" w:cs="David"/>
          <w:sz w:val="24"/>
          <w:szCs w:val="24"/>
          <w:rtl/>
        </w:rPr>
        <w:t>מיום 12.03.17</w:t>
      </w:r>
      <w:r>
        <w:rPr>
          <w:rFonts w:ascii="David" w:hAnsi="David" w:cs="David" w:hint="cs"/>
          <w:sz w:val="24"/>
          <w:szCs w:val="24"/>
          <w:rtl/>
        </w:rPr>
        <w:t xml:space="preserve">, הדנה בעניינו של גבר בדואי אב ל- 56 ילדים משבע נשים, כשביום מתן ההחלטה היה נשוי לארבע מהן. ביטול התמריצים הכלכליים לצד ענישה מתאימה תמגר תופעה פסולה זו . </w:t>
      </w:r>
    </w:p>
    <w:p w14:paraId="2AD31470" w14:textId="77777777" w:rsidR="004037A7" w:rsidRDefault="004037A7" w:rsidP="004037A7">
      <w:pPr>
        <w:pStyle w:val="a9"/>
        <w:spacing w:after="0" w:line="360" w:lineRule="auto"/>
        <w:jc w:val="both"/>
        <w:rPr>
          <w:rFonts w:ascii="David" w:hAnsi="David" w:cs="David"/>
          <w:sz w:val="24"/>
          <w:szCs w:val="24"/>
          <w:rtl/>
        </w:rPr>
      </w:pPr>
    </w:p>
    <w:p w14:paraId="7EC3D3DE" w14:textId="77777777" w:rsidR="004037A7" w:rsidRDefault="004037A7" w:rsidP="004037A7">
      <w:pPr>
        <w:pStyle w:val="a9"/>
        <w:spacing w:after="0" w:line="360" w:lineRule="auto"/>
        <w:jc w:val="both"/>
        <w:rPr>
          <w:rFonts w:ascii="David" w:hAnsi="David" w:cs="David"/>
          <w:sz w:val="24"/>
          <w:szCs w:val="24"/>
          <w:rtl/>
        </w:rPr>
      </w:pPr>
      <w:r>
        <w:rPr>
          <w:rFonts w:ascii="David" w:hAnsi="David" w:cs="David"/>
          <w:sz w:val="24"/>
          <w:szCs w:val="24"/>
          <w:rtl/>
        </w:rPr>
        <w:t xml:space="preserve">תופעת הבדלות השפתית של צעירים </w:t>
      </w:r>
      <w:r>
        <w:rPr>
          <w:rFonts w:ascii="David" w:hAnsi="David" w:cs="David" w:hint="cs"/>
          <w:sz w:val="24"/>
          <w:szCs w:val="24"/>
          <w:rtl/>
        </w:rPr>
        <w:t xml:space="preserve">ערביים </w:t>
      </w:r>
      <w:r>
        <w:rPr>
          <w:rFonts w:ascii="David" w:hAnsi="David" w:cs="David"/>
          <w:sz w:val="24"/>
          <w:szCs w:val="24"/>
          <w:rtl/>
        </w:rPr>
        <w:t xml:space="preserve">בנגב, הקשורה בעבותות לתופעת הפוליגמיה, אף היא </w:t>
      </w:r>
      <w:r>
        <w:rPr>
          <w:rFonts w:ascii="David" w:hAnsi="David" w:cs="David" w:hint="cs"/>
          <w:sz w:val="24"/>
          <w:szCs w:val="24"/>
          <w:rtl/>
        </w:rPr>
        <w:t>מ</w:t>
      </w:r>
      <w:r>
        <w:rPr>
          <w:rFonts w:ascii="David" w:hAnsi="David" w:cs="David"/>
          <w:sz w:val="24"/>
          <w:szCs w:val="24"/>
          <w:rtl/>
        </w:rPr>
        <w:t xml:space="preserve">חייבת מענה. צעירים רבים במגזר הערבי בנגב אינם יודעים </w:t>
      </w:r>
      <w:r>
        <w:rPr>
          <w:rFonts w:ascii="David" w:hAnsi="David" w:cs="David" w:hint="cs"/>
          <w:sz w:val="24"/>
          <w:szCs w:val="24"/>
          <w:rtl/>
        </w:rPr>
        <w:t xml:space="preserve">לדבר </w:t>
      </w:r>
      <w:r>
        <w:rPr>
          <w:rFonts w:ascii="David" w:hAnsi="David" w:cs="David"/>
          <w:sz w:val="24"/>
          <w:szCs w:val="24"/>
          <w:rtl/>
        </w:rPr>
        <w:t>עברית ואינם מסוגלים לקיים אף לא שיחה פשוטה בעברית למרות שסיימו 10-12 שנות לימוד. חוסר היכולת לקיים שיחה בעברית, מחלישה זיקתם של הצעירים למדינה ולמוסדותיה מקשה על השתלבותם בשוק העבודה, ו</w:t>
      </w:r>
      <w:r>
        <w:rPr>
          <w:rFonts w:ascii="David" w:hAnsi="David" w:cs="David" w:hint="cs"/>
          <w:sz w:val="24"/>
          <w:szCs w:val="24"/>
          <w:rtl/>
        </w:rPr>
        <w:t>מכאן הסיכון</w:t>
      </w:r>
      <w:r>
        <w:rPr>
          <w:rFonts w:ascii="David" w:hAnsi="David" w:cs="David"/>
          <w:sz w:val="24"/>
          <w:szCs w:val="24"/>
          <w:rtl/>
        </w:rPr>
        <w:t xml:space="preserve"> להסתבכות בפלילים </w:t>
      </w:r>
      <w:r>
        <w:rPr>
          <w:rFonts w:ascii="David" w:hAnsi="David" w:cs="David" w:hint="cs"/>
          <w:sz w:val="24"/>
          <w:szCs w:val="24"/>
          <w:rtl/>
        </w:rPr>
        <w:t>גובר</w:t>
      </w:r>
      <w:r>
        <w:rPr>
          <w:rFonts w:ascii="David" w:hAnsi="David" w:cs="David"/>
          <w:sz w:val="24"/>
          <w:szCs w:val="24"/>
          <w:rtl/>
        </w:rPr>
        <w:t xml:space="preserve">. </w:t>
      </w:r>
      <w:r>
        <w:rPr>
          <w:rFonts w:ascii="David" w:hAnsi="David" w:cs="David" w:hint="cs"/>
          <w:sz w:val="24"/>
          <w:szCs w:val="24"/>
          <w:rtl/>
        </w:rPr>
        <w:t xml:space="preserve">אין להשלים עם מצב שבו צעירים בדואים הלומדים במוסדות חינוך במדינת ישראל לא יהיו מסוגלים לבטא עצמם גם בעברית, ועל תוכנית הלימודים במגזר הערבי לבצע ההתאמות הנדרשות. </w:t>
      </w:r>
    </w:p>
    <w:p w14:paraId="39A3DAEB" w14:textId="77777777" w:rsidR="004037A7" w:rsidRPr="003503D9" w:rsidRDefault="003503D9" w:rsidP="004037A7">
      <w:pPr>
        <w:pStyle w:val="a9"/>
        <w:spacing w:after="0" w:line="360" w:lineRule="auto"/>
        <w:jc w:val="both"/>
        <w:rPr>
          <w:rFonts w:ascii="David" w:hAnsi="David" w:cs="David"/>
          <w:b/>
          <w:bCs/>
          <w:color w:val="FFFFFF"/>
          <w:sz w:val="2"/>
          <w:szCs w:val="2"/>
        </w:rPr>
      </w:pPr>
      <w:r w:rsidRPr="003503D9">
        <w:rPr>
          <w:rFonts w:ascii="David" w:hAnsi="David" w:cs="David"/>
          <w:color w:val="FFFFFF"/>
          <w:sz w:val="2"/>
          <w:szCs w:val="2"/>
          <w:rtl/>
        </w:rPr>
        <w:t>5129371</w:t>
      </w:r>
      <w:r w:rsidR="004037A7" w:rsidRPr="003503D9">
        <w:rPr>
          <w:rFonts w:ascii="David" w:hAnsi="David" w:cs="David"/>
          <w:color w:val="FFFFFF"/>
          <w:sz w:val="2"/>
          <w:szCs w:val="2"/>
          <w:rtl/>
        </w:rPr>
        <w:t xml:space="preserve"> </w:t>
      </w:r>
    </w:p>
    <w:p w14:paraId="5E12392B" w14:textId="77777777" w:rsidR="004037A7" w:rsidRDefault="003503D9" w:rsidP="004037A7">
      <w:pPr>
        <w:spacing w:line="360" w:lineRule="auto"/>
        <w:jc w:val="both"/>
        <w:rPr>
          <w:rFonts w:ascii="David" w:hAnsi="David"/>
          <w:rtl/>
        </w:rPr>
      </w:pPr>
      <w:r w:rsidRPr="003503D9">
        <w:rPr>
          <w:rFonts w:ascii="David" w:hAnsi="David"/>
          <w:color w:val="FFFFFF"/>
          <w:sz w:val="2"/>
          <w:szCs w:val="2"/>
          <w:rtl/>
        </w:rPr>
        <w:t>54678313</w:t>
      </w:r>
      <w:r w:rsidR="004037A7">
        <w:rPr>
          <w:rFonts w:ascii="David" w:hAnsi="David"/>
          <w:rtl/>
        </w:rPr>
        <w:t>זכות ערעור תוך 45 יום לבית המשפט העליון.</w:t>
      </w:r>
    </w:p>
    <w:p w14:paraId="7C28119E" w14:textId="77777777" w:rsidR="004037A7" w:rsidRPr="000F2247" w:rsidRDefault="004037A7" w:rsidP="004037A7">
      <w:pPr>
        <w:rPr>
          <w:rFonts w:ascii="Arial" w:hAnsi="Arial"/>
          <w:b/>
          <w:bCs/>
          <w:sz w:val="26"/>
          <w:szCs w:val="26"/>
          <w:rtl/>
        </w:rPr>
      </w:pPr>
    </w:p>
    <w:p w14:paraId="2838C2ED" w14:textId="77777777" w:rsidR="004037A7" w:rsidRPr="000F2247" w:rsidRDefault="003503D9" w:rsidP="004037A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תמוז תשפ"ג, 25 יוני 2023, בנוכחות הצדדים. </w:t>
      </w:r>
      <w:bookmarkEnd w:id="8"/>
      <w:r w:rsidR="004037A7">
        <w:rPr>
          <w:rFonts w:ascii="Arial" w:hAnsi="Arial"/>
          <w:b/>
          <w:bCs/>
          <w:sz w:val="26"/>
          <w:szCs w:val="26"/>
          <w:rtl/>
        </w:rPr>
        <w:tab/>
      </w:r>
      <w:r w:rsidR="004037A7">
        <w:rPr>
          <w:rFonts w:ascii="Arial" w:hAnsi="Arial"/>
          <w:b/>
          <w:bCs/>
          <w:sz w:val="26"/>
          <w:szCs w:val="26"/>
          <w:rtl/>
        </w:rPr>
        <w:tab/>
      </w:r>
      <w:r w:rsidR="004037A7">
        <w:rPr>
          <w:rFonts w:ascii="Arial" w:hAnsi="Arial"/>
          <w:b/>
          <w:bCs/>
          <w:sz w:val="26"/>
          <w:szCs w:val="26"/>
          <w:rtl/>
        </w:rPr>
        <w:tab/>
      </w:r>
      <w:r w:rsidR="004037A7">
        <w:rPr>
          <w:rFonts w:ascii="Arial" w:hAnsi="Arial"/>
          <w:b/>
          <w:bCs/>
          <w:sz w:val="26"/>
          <w:szCs w:val="26"/>
          <w:rtl/>
        </w:rPr>
        <w:tab/>
      </w:r>
      <w:r w:rsidR="004037A7">
        <w:rPr>
          <w:rFonts w:ascii="Arial" w:hAnsi="Arial"/>
          <w:b/>
          <w:bCs/>
          <w:sz w:val="26"/>
          <w:szCs w:val="26"/>
          <w:rtl/>
        </w:rPr>
        <w:tab/>
      </w:r>
      <w:r w:rsidR="004037A7">
        <w:rPr>
          <w:rFonts w:ascii="Arial" w:hAnsi="Arial"/>
          <w:b/>
          <w:bCs/>
          <w:sz w:val="26"/>
          <w:szCs w:val="26"/>
          <w:rtl/>
        </w:rPr>
        <w:tab/>
      </w:r>
      <w:r w:rsidR="004037A7">
        <w:rPr>
          <w:rFonts w:ascii="Arial" w:hAnsi="Arial"/>
          <w:b/>
          <w:bCs/>
          <w:sz w:val="26"/>
          <w:szCs w:val="26"/>
          <w:rtl/>
        </w:rPr>
        <w:tab/>
      </w:r>
      <w:r w:rsidR="004037A7">
        <w:rPr>
          <w:rFonts w:ascii="Arial" w:hAnsi="Arial" w:hint="cs"/>
          <w:b/>
          <w:bCs/>
          <w:sz w:val="26"/>
          <w:szCs w:val="26"/>
          <w:rtl/>
        </w:rPr>
        <w:t xml:space="preserve">         </w:t>
      </w:r>
    </w:p>
    <w:p w14:paraId="249AC090" w14:textId="77777777" w:rsidR="004037A7" w:rsidRPr="000F2247" w:rsidRDefault="004037A7" w:rsidP="003503D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DA0C35" w14:textId="77777777" w:rsidR="004037A7" w:rsidRPr="007023B9" w:rsidRDefault="007023B9" w:rsidP="004037A7">
      <w:pPr>
        <w:jc w:val="center"/>
        <w:rPr>
          <w:rFonts w:ascii="Arial" w:hAnsi="Arial"/>
          <w:b/>
          <w:bCs/>
          <w:color w:val="FFFFFF"/>
          <w:sz w:val="2"/>
          <w:szCs w:val="2"/>
          <w:rtl/>
        </w:rPr>
      </w:pPr>
      <w:r w:rsidRPr="007023B9">
        <w:rPr>
          <w:rFonts w:ascii="Arial" w:hAnsi="Arial"/>
          <w:b/>
          <w:bCs/>
          <w:color w:val="FFFFFF"/>
          <w:sz w:val="2"/>
          <w:szCs w:val="2"/>
          <w:rtl/>
        </w:rPr>
        <w:t>5129371</w:t>
      </w:r>
    </w:p>
    <w:p w14:paraId="4B133A6D" w14:textId="77777777" w:rsidR="00D416D4" w:rsidRPr="007023B9" w:rsidRDefault="007023B9" w:rsidP="003503D9">
      <w:pPr>
        <w:keepNext/>
        <w:rPr>
          <w:rFonts w:ascii="David" w:hAnsi="David"/>
          <w:color w:val="FFFFFF"/>
          <w:sz w:val="2"/>
          <w:szCs w:val="2"/>
          <w:rtl/>
        </w:rPr>
      </w:pPr>
      <w:r w:rsidRPr="007023B9">
        <w:rPr>
          <w:rFonts w:ascii="David" w:hAnsi="David"/>
          <w:color w:val="FFFFFF"/>
          <w:sz w:val="2"/>
          <w:szCs w:val="2"/>
          <w:rtl/>
        </w:rPr>
        <w:t>54678313</w:t>
      </w:r>
    </w:p>
    <w:p w14:paraId="3BB53406" w14:textId="77777777" w:rsidR="003503D9" w:rsidRDefault="003503D9" w:rsidP="003503D9">
      <w:pPr>
        <w:rPr>
          <w:rtl/>
        </w:rPr>
      </w:pPr>
    </w:p>
    <w:p w14:paraId="3199AE83" w14:textId="77777777" w:rsidR="003503D9" w:rsidRDefault="003503D9" w:rsidP="003503D9">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6FC89361" w14:textId="77777777" w:rsidR="007023B9" w:rsidRPr="007023B9" w:rsidRDefault="007023B9" w:rsidP="007023B9">
      <w:pPr>
        <w:keepNext/>
        <w:rPr>
          <w:rFonts w:ascii="David" w:hAnsi="David"/>
          <w:color w:val="000000"/>
          <w:sz w:val="22"/>
          <w:szCs w:val="22"/>
          <w:rtl/>
        </w:rPr>
      </w:pPr>
    </w:p>
    <w:p w14:paraId="7CCAEE7D" w14:textId="77777777" w:rsidR="007023B9" w:rsidRPr="007023B9" w:rsidRDefault="007023B9" w:rsidP="007023B9">
      <w:pPr>
        <w:keepNext/>
        <w:rPr>
          <w:rFonts w:ascii="David" w:hAnsi="David"/>
          <w:color w:val="000000"/>
          <w:sz w:val="22"/>
          <w:szCs w:val="22"/>
          <w:rtl/>
        </w:rPr>
      </w:pPr>
      <w:r w:rsidRPr="007023B9">
        <w:rPr>
          <w:rFonts w:ascii="David" w:hAnsi="David"/>
          <w:color w:val="000000"/>
          <w:sz w:val="22"/>
          <w:szCs w:val="22"/>
          <w:rtl/>
        </w:rPr>
        <w:t>אלון גביזון 54678313-/</w:t>
      </w:r>
    </w:p>
    <w:p w14:paraId="102C342A" w14:textId="77777777" w:rsidR="003503D9" w:rsidRPr="003503D9" w:rsidRDefault="007023B9" w:rsidP="007023B9">
      <w:pPr>
        <w:rPr>
          <w:color w:val="0000FF"/>
          <w:u w:val="single"/>
        </w:rPr>
      </w:pPr>
      <w:r w:rsidRPr="007023B9">
        <w:rPr>
          <w:color w:val="000000"/>
          <w:u w:val="single"/>
          <w:rtl/>
        </w:rPr>
        <w:t>נוסח מסמך זה כפוף לשינויי ניסוח ועריכה</w:t>
      </w:r>
    </w:p>
    <w:sectPr w:rsidR="003503D9" w:rsidRPr="003503D9" w:rsidSect="007023B9">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C38BD" w14:textId="77777777" w:rsidR="008C57D8" w:rsidRDefault="008C57D8" w:rsidP="00DE2400">
      <w:r>
        <w:separator/>
      </w:r>
    </w:p>
  </w:endnote>
  <w:endnote w:type="continuationSeparator" w:id="0">
    <w:p w14:paraId="2DADA237" w14:textId="77777777" w:rsidR="008C57D8" w:rsidRDefault="008C57D8" w:rsidP="00DE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57D2C" w14:textId="77777777" w:rsidR="007023B9" w:rsidRDefault="007023B9" w:rsidP="007023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EFD91B" w14:textId="77777777" w:rsidR="00891CD4" w:rsidRPr="007023B9" w:rsidRDefault="007023B9" w:rsidP="007023B9">
    <w:pPr>
      <w:pStyle w:val="a5"/>
      <w:pBdr>
        <w:top w:val="single" w:sz="4" w:space="1" w:color="auto"/>
        <w:between w:val="single" w:sz="4" w:space="0" w:color="auto"/>
      </w:pBdr>
      <w:spacing w:after="60"/>
      <w:jc w:val="center"/>
      <w:rPr>
        <w:rFonts w:ascii="FrankRuehl" w:hAnsi="FrankRuehl" w:cs="FrankRuehl"/>
        <w:color w:val="000000"/>
      </w:rPr>
    </w:pPr>
    <w:r w:rsidRPr="007023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DC35" w14:textId="77777777" w:rsidR="007023B9" w:rsidRDefault="007023B9" w:rsidP="007023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3E52">
      <w:rPr>
        <w:rFonts w:ascii="FrankRuehl" w:hAnsi="FrankRuehl" w:cs="FrankRuehl"/>
        <w:noProof/>
        <w:rtl/>
      </w:rPr>
      <w:t>1</w:t>
    </w:r>
    <w:r>
      <w:rPr>
        <w:rFonts w:ascii="FrankRuehl" w:hAnsi="FrankRuehl" w:cs="FrankRuehl"/>
        <w:rtl/>
      </w:rPr>
      <w:fldChar w:fldCharType="end"/>
    </w:r>
  </w:p>
  <w:p w14:paraId="3A17A346" w14:textId="77777777" w:rsidR="00891CD4" w:rsidRPr="007023B9" w:rsidRDefault="007023B9" w:rsidP="007023B9">
    <w:pPr>
      <w:pStyle w:val="a5"/>
      <w:pBdr>
        <w:top w:val="single" w:sz="4" w:space="1" w:color="auto"/>
        <w:between w:val="single" w:sz="4" w:space="0" w:color="auto"/>
      </w:pBdr>
      <w:spacing w:after="60"/>
      <w:jc w:val="center"/>
      <w:rPr>
        <w:rFonts w:ascii="FrankRuehl" w:hAnsi="FrankRuehl" w:cs="FrankRuehl"/>
        <w:color w:val="000000"/>
      </w:rPr>
    </w:pPr>
    <w:r w:rsidRPr="007023B9">
      <w:rPr>
        <w:rFonts w:ascii="FrankRuehl" w:hAnsi="FrankRuehl" w:cs="FrankRuehl"/>
        <w:color w:val="000000"/>
      </w:rPr>
      <w:pict w14:anchorId="601C4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85A4B" w14:textId="77777777" w:rsidR="008C57D8" w:rsidRDefault="008C57D8" w:rsidP="00DE2400">
      <w:r>
        <w:separator/>
      </w:r>
    </w:p>
  </w:footnote>
  <w:footnote w:type="continuationSeparator" w:id="0">
    <w:p w14:paraId="3B27E59F" w14:textId="77777777" w:rsidR="008C57D8" w:rsidRDefault="008C57D8" w:rsidP="00DE2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149E9" w14:textId="77777777" w:rsidR="003503D9" w:rsidRPr="007023B9" w:rsidRDefault="007023B9" w:rsidP="007023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43742-07-22</w:t>
    </w:r>
    <w:r>
      <w:rPr>
        <w:rFonts w:ascii="David" w:hAnsi="David"/>
        <w:color w:val="000000"/>
        <w:sz w:val="22"/>
        <w:szCs w:val="22"/>
        <w:rtl/>
      </w:rPr>
      <w:tab/>
      <w:t xml:space="preserve"> מדינת ישראל נ' עבדאללה אלסייד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494E3" w14:textId="77777777" w:rsidR="003503D9" w:rsidRPr="007023B9" w:rsidRDefault="007023B9" w:rsidP="007023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43742-07-22</w:t>
    </w:r>
    <w:r>
      <w:rPr>
        <w:rFonts w:ascii="David" w:hAnsi="David"/>
        <w:color w:val="000000"/>
        <w:sz w:val="22"/>
        <w:szCs w:val="22"/>
        <w:rtl/>
      </w:rPr>
      <w:tab/>
      <w:t xml:space="preserve"> מדינת ישראל נ' עבדאללה אלסייד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90414"/>
    <w:multiLevelType w:val="hybridMultilevel"/>
    <w:tmpl w:val="D75093DC"/>
    <w:lvl w:ilvl="0" w:tplc="E012B3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8922A91"/>
    <w:multiLevelType w:val="hybridMultilevel"/>
    <w:tmpl w:val="37367ABA"/>
    <w:lvl w:ilvl="0" w:tplc="1B54D642">
      <w:start w:val="1"/>
      <w:numFmt w:val="hebrew1"/>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F6560EA"/>
    <w:multiLevelType w:val="hybridMultilevel"/>
    <w:tmpl w:val="7C7632D4"/>
    <w:lvl w:ilvl="0" w:tplc="2C3E8D0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62B588A"/>
    <w:multiLevelType w:val="hybridMultilevel"/>
    <w:tmpl w:val="25FCBE18"/>
    <w:lvl w:ilvl="0" w:tplc="7E5E453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5E40092"/>
    <w:multiLevelType w:val="hybridMultilevel"/>
    <w:tmpl w:val="FC389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161A1B"/>
    <w:multiLevelType w:val="hybridMultilevel"/>
    <w:tmpl w:val="9A5436B4"/>
    <w:lvl w:ilvl="0" w:tplc="4F6EC01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6F76961"/>
    <w:multiLevelType w:val="hybridMultilevel"/>
    <w:tmpl w:val="EF9A8EFA"/>
    <w:lvl w:ilvl="0" w:tplc="739C84C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C8578E9"/>
    <w:multiLevelType w:val="hybridMultilevel"/>
    <w:tmpl w:val="945046CA"/>
    <w:lvl w:ilvl="0" w:tplc="11B0EF0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C8B6E94"/>
    <w:multiLevelType w:val="hybridMultilevel"/>
    <w:tmpl w:val="D39C8B02"/>
    <w:lvl w:ilvl="0" w:tplc="05D2A7B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E567F5F"/>
    <w:multiLevelType w:val="hybridMultilevel"/>
    <w:tmpl w:val="016E24C2"/>
    <w:lvl w:ilvl="0" w:tplc="9FCE3D9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90882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9536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5965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0508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6154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3187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1928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4082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740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18796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37A7"/>
    <w:rsid w:val="001B5A3B"/>
    <w:rsid w:val="002F0136"/>
    <w:rsid w:val="002F2D67"/>
    <w:rsid w:val="003503D9"/>
    <w:rsid w:val="004037A7"/>
    <w:rsid w:val="00413E52"/>
    <w:rsid w:val="00686CFA"/>
    <w:rsid w:val="007023B9"/>
    <w:rsid w:val="00891CD4"/>
    <w:rsid w:val="00895E19"/>
    <w:rsid w:val="008C57D8"/>
    <w:rsid w:val="00BF6D2C"/>
    <w:rsid w:val="00D22905"/>
    <w:rsid w:val="00D416D4"/>
    <w:rsid w:val="00DE2400"/>
    <w:rsid w:val="00E27769"/>
    <w:rsid w:val="00F535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C7CD5F"/>
  <w15:chartTrackingRefBased/>
  <w15:docId w15:val="{667E5E7D-CB4C-46BD-83F3-26463780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37A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37A7"/>
    <w:pPr>
      <w:tabs>
        <w:tab w:val="center" w:pos="4153"/>
        <w:tab w:val="right" w:pos="8306"/>
      </w:tabs>
    </w:pPr>
  </w:style>
  <w:style w:type="character" w:customStyle="1" w:styleId="a4">
    <w:name w:val="כותרת עליונה תו"/>
    <w:link w:val="a3"/>
    <w:rsid w:val="004037A7"/>
    <w:rPr>
      <w:rFonts w:ascii="Times New Roman" w:eastAsia="Times New Roman" w:hAnsi="Times New Roman" w:cs="David"/>
      <w:sz w:val="24"/>
      <w:szCs w:val="24"/>
    </w:rPr>
  </w:style>
  <w:style w:type="paragraph" w:styleId="a5">
    <w:name w:val="footer"/>
    <w:basedOn w:val="a"/>
    <w:link w:val="a6"/>
    <w:rsid w:val="004037A7"/>
    <w:pPr>
      <w:tabs>
        <w:tab w:val="center" w:pos="4153"/>
        <w:tab w:val="right" w:pos="8306"/>
      </w:tabs>
    </w:pPr>
  </w:style>
  <w:style w:type="character" w:customStyle="1" w:styleId="a6">
    <w:name w:val="כותרת תחתונה תו"/>
    <w:link w:val="a5"/>
    <w:rsid w:val="004037A7"/>
    <w:rPr>
      <w:rFonts w:ascii="Times New Roman" w:eastAsia="Times New Roman" w:hAnsi="Times New Roman" w:cs="David"/>
      <w:sz w:val="24"/>
      <w:szCs w:val="24"/>
    </w:rPr>
  </w:style>
  <w:style w:type="table" w:styleId="a7">
    <w:name w:val="Table Grid"/>
    <w:basedOn w:val="a1"/>
    <w:rsid w:val="004037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37A7"/>
  </w:style>
  <w:style w:type="paragraph" w:styleId="a9">
    <w:name w:val="List Paragraph"/>
    <w:basedOn w:val="a"/>
    <w:qFormat/>
    <w:rsid w:val="004037A7"/>
    <w:pPr>
      <w:spacing w:after="160" w:line="254" w:lineRule="auto"/>
      <w:ind w:left="720"/>
      <w:contextualSpacing/>
    </w:pPr>
    <w:rPr>
      <w:rFonts w:ascii="Calibri" w:eastAsia="Calibri" w:hAnsi="Calibri" w:cs="Arial"/>
      <w:sz w:val="22"/>
      <w:szCs w:val="22"/>
    </w:rPr>
  </w:style>
  <w:style w:type="character" w:styleId="Hyperlink">
    <w:name w:val="Hyperlink"/>
    <w:rsid w:val="00350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8738611" TargetMode="External"/><Relationship Id="rId47" Type="http://schemas.openxmlformats.org/officeDocument/2006/relationships/hyperlink" Target="http://www.nevo.co.il/case/26347231"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2730927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0513526" TargetMode="External"/><Relationship Id="rId37" Type="http://schemas.openxmlformats.org/officeDocument/2006/relationships/hyperlink" Target="http://www.nevo.co.il/case/30326799" TargetMode="External"/><Relationship Id="rId40" Type="http://schemas.openxmlformats.org/officeDocument/2006/relationships/hyperlink" Target="http://www.nevo.co.il/case/27925239" TargetMode="External"/><Relationship Id="rId45" Type="http://schemas.openxmlformats.org/officeDocument/2006/relationships/hyperlink" Target="http://www.nevo.co.il/case/28161892" TargetMode="External"/><Relationship Id="rId53" Type="http://schemas.openxmlformats.org/officeDocument/2006/relationships/hyperlink" Target="http://www.nevo.co.il/case/28883087" TargetMode="External"/><Relationship Id="rId58" Type="http://schemas.openxmlformats.org/officeDocument/2006/relationships/hyperlink" Target="http://www.nevo.co.il/law/70301/144"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708658" TargetMode="External"/><Relationship Id="rId43" Type="http://schemas.openxmlformats.org/officeDocument/2006/relationships/hyperlink" Target="http://www.nevo.co.il/case/27842124" TargetMode="External"/><Relationship Id="rId48" Type="http://schemas.openxmlformats.org/officeDocument/2006/relationships/hyperlink" Target="http://www.nevo.co.il/case/26905927" TargetMode="External"/><Relationship Id="rId56" Type="http://schemas.openxmlformats.org/officeDocument/2006/relationships/hyperlink" Target="http://www.nevo.co.il/law/70301/340a"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40b" TargetMode="External"/><Relationship Id="rId51" Type="http://schemas.openxmlformats.org/officeDocument/2006/relationships/hyperlink" Target="http://www.nevo.co.il/law/70301/40h"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18107737" TargetMode="External"/><Relationship Id="rId38" Type="http://schemas.openxmlformats.org/officeDocument/2006/relationships/hyperlink" Target="http://www.nevo.co.il/case/27309272" TargetMode="External"/><Relationship Id="rId46" Type="http://schemas.openxmlformats.org/officeDocument/2006/relationships/hyperlink" Target="http://www.nevo.co.il/case/27404359" TargetMode="External"/><Relationship Id="rId59" Type="http://schemas.openxmlformats.org/officeDocument/2006/relationships/hyperlink" Target="http://www.nevo.co.il/law/70301" TargetMode="External"/><Relationship Id="rId67" Type="http://schemas.openxmlformats.org/officeDocument/2006/relationships/footer" Target="footer2.xml"/><Relationship Id="rId20" Type="http://schemas.openxmlformats.org/officeDocument/2006/relationships/hyperlink" Target="http://www.nevo.co.il/law/70301/340a.a" TargetMode="External"/><Relationship Id="rId41" Type="http://schemas.openxmlformats.org/officeDocument/2006/relationships/hyperlink" Target="http://www.nevo.co.il/case/23587328" TargetMode="External"/><Relationship Id="rId54" Type="http://schemas.openxmlformats.org/officeDocument/2006/relationships/hyperlink" Target="http://www.nevo.co.il/law/70301/144" TargetMode="External"/><Relationship Id="rId62" Type="http://schemas.openxmlformats.org/officeDocument/2006/relationships/hyperlink" Target="http://www.nevo.co.il/case/218865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601503" TargetMode="External"/><Relationship Id="rId49" Type="http://schemas.openxmlformats.org/officeDocument/2006/relationships/hyperlink" Target="http://www.nevo.co.il/case/2590029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h"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340a"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40a.a" TargetMode="External"/><Relationship Id="rId39" Type="http://schemas.openxmlformats.org/officeDocument/2006/relationships/hyperlink" Target="http://www.nevo.co.il/case/29042932" TargetMode="External"/><Relationship Id="rId34" Type="http://schemas.openxmlformats.org/officeDocument/2006/relationships/hyperlink" Target="http://www.nevo.co.il/case/6708658" TargetMode="External"/><Relationship Id="rId50" Type="http://schemas.openxmlformats.org/officeDocument/2006/relationships/hyperlink" Target="http://www.nevo.co.il/case/6473037"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5044</Words>
  <Characters>25223</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30207</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4063352</vt:i4>
      </vt:variant>
      <vt:variant>
        <vt:i4>165</vt:i4>
      </vt:variant>
      <vt:variant>
        <vt:i4>0</vt:i4>
      </vt:variant>
      <vt:variant>
        <vt:i4>5</vt:i4>
      </vt:variant>
      <vt:variant>
        <vt:lpwstr>http://www.nevo.co.il/case/21886525</vt:lpwstr>
      </vt:variant>
      <vt:variant>
        <vt:lpwstr/>
      </vt:variant>
      <vt:variant>
        <vt:i4>7995492</vt:i4>
      </vt:variant>
      <vt:variant>
        <vt:i4>162</vt:i4>
      </vt:variant>
      <vt:variant>
        <vt:i4>0</vt:i4>
      </vt:variant>
      <vt:variant>
        <vt:i4>5</vt:i4>
      </vt:variant>
      <vt:variant>
        <vt:lpwstr>http://www.nevo.co.il/law/70301</vt:lpwstr>
      </vt:variant>
      <vt:variant>
        <vt:lpwstr/>
      </vt:variant>
      <vt:variant>
        <vt:i4>86</vt:i4>
      </vt:variant>
      <vt:variant>
        <vt:i4>159</vt:i4>
      </vt:variant>
      <vt:variant>
        <vt:i4>0</vt:i4>
      </vt:variant>
      <vt:variant>
        <vt:i4>5</vt:i4>
      </vt:variant>
      <vt:variant>
        <vt:lpwstr>http://www.nevo.co.il/law/70301/340a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6357092</vt:i4>
      </vt:variant>
      <vt:variant>
        <vt:i4>153</vt:i4>
      </vt:variant>
      <vt:variant>
        <vt:i4>0</vt:i4>
      </vt:variant>
      <vt:variant>
        <vt:i4>5</vt:i4>
      </vt:variant>
      <vt:variant>
        <vt:lpwstr>http://www.nevo.co.il/law/70301/144</vt:lpwstr>
      </vt:variant>
      <vt:variant>
        <vt:lpwstr/>
      </vt:variant>
      <vt:variant>
        <vt:i4>7995492</vt:i4>
      </vt:variant>
      <vt:variant>
        <vt:i4>150</vt:i4>
      </vt:variant>
      <vt:variant>
        <vt:i4>0</vt:i4>
      </vt:variant>
      <vt:variant>
        <vt:i4>5</vt:i4>
      </vt:variant>
      <vt:variant>
        <vt:lpwstr>http://www.nevo.co.il/law/70301</vt:lpwstr>
      </vt:variant>
      <vt:variant>
        <vt:lpwstr/>
      </vt:variant>
      <vt:variant>
        <vt:i4>86</vt:i4>
      </vt:variant>
      <vt:variant>
        <vt:i4>147</vt:i4>
      </vt:variant>
      <vt:variant>
        <vt:i4>0</vt:i4>
      </vt:variant>
      <vt:variant>
        <vt:i4>5</vt:i4>
      </vt:variant>
      <vt:variant>
        <vt:lpwstr>http://www.nevo.co.il/law/70301/340a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6357092</vt:i4>
      </vt:variant>
      <vt:variant>
        <vt:i4>141</vt:i4>
      </vt:variant>
      <vt:variant>
        <vt:i4>0</vt:i4>
      </vt:variant>
      <vt:variant>
        <vt:i4>5</vt:i4>
      </vt:variant>
      <vt:variant>
        <vt:lpwstr>http://www.nevo.co.il/law/70301/144</vt:lpwstr>
      </vt:variant>
      <vt:variant>
        <vt:lpwstr/>
      </vt:variant>
      <vt:variant>
        <vt:i4>3211380</vt:i4>
      </vt:variant>
      <vt:variant>
        <vt:i4>138</vt:i4>
      </vt:variant>
      <vt:variant>
        <vt:i4>0</vt:i4>
      </vt:variant>
      <vt:variant>
        <vt:i4>5</vt:i4>
      </vt:variant>
      <vt:variant>
        <vt:lpwstr>http://www.nevo.co.il/case/28883087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http://www.nevo.co.il/law/70301/40h</vt:lpwstr>
      </vt:variant>
      <vt:variant>
        <vt:lpwstr/>
      </vt:variant>
      <vt:variant>
        <vt:i4>3539056</vt:i4>
      </vt:variant>
      <vt:variant>
        <vt:i4>129</vt:i4>
      </vt:variant>
      <vt:variant>
        <vt:i4>0</vt:i4>
      </vt:variant>
      <vt:variant>
        <vt:i4>5</vt:i4>
      </vt:variant>
      <vt:variant>
        <vt:lpwstr>http://www.nevo.co.il/case/6473037</vt:lpwstr>
      </vt:variant>
      <vt:variant>
        <vt:lpwstr/>
      </vt:variant>
      <vt:variant>
        <vt:i4>3276915</vt:i4>
      </vt:variant>
      <vt:variant>
        <vt:i4>126</vt:i4>
      </vt:variant>
      <vt:variant>
        <vt:i4>0</vt:i4>
      </vt:variant>
      <vt:variant>
        <vt:i4>5</vt:i4>
      </vt:variant>
      <vt:variant>
        <vt:lpwstr>http://www.nevo.co.il/case/25900295</vt:lpwstr>
      </vt:variant>
      <vt:variant>
        <vt:lpwstr/>
      </vt:variant>
      <vt:variant>
        <vt:i4>3932283</vt:i4>
      </vt:variant>
      <vt:variant>
        <vt:i4>123</vt:i4>
      </vt:variant>
      <vt:variant>
        <vt:i4>0</vt:i4>
      </vt:variant>
      <vt:variant>
        <vt:i4>5</vt:i4>
      </vt:variant>
      <vt:variant>
        <vt:lpwstr>http://www.nevo.co.il/case/26905927</vt:lpwstr>
      </vt:variant>
      <vt:variant>
        <vt:lpwstr/>
      </vt:variant>
      <vt:variant>
        <vt:i4>3473524</vt:i4>
      </vt:variant>
      <vt:variant>
        <vt:i4>120</vt:i4>
      </vt:variant>
      <vt:variant>
        <vt:i4>0</vt:i4>
      </vt:variant>
      <vt:variant>
        <vt:i4>5</vt:i4>
      </vt:variant>
      <vt:variant>
        <vt:lpwstr>http://www.nevo.co.il/case/26347231</vt:lpwstr>
      </vt:variant>
      <vt:variant>
        <vt:lpwstr/>
      </vt:variant>
      <vt:variant>
        <vt:i4>3604592</vt:i4>
      </vt:variant>
      <vt:variant>
        <vt:i4>117</vt:i4>
      </vt:variant>
      <vt:variant>
        <vt:i4>0</vt:i4>
      </vt:variant>
      <vt:variant>
        <vt:i4>5</vt:i4>
      </vt:variant>
      <vt:variant>
        <vt:lpwstr>http://www.nevo.co.il/case/27404359</vt:lpwstr>
      </vt:variant>
      <vt:variant>
        <vt:lpwstr/>
      </vt:variant>
      <vt:variant>
        <vt:i4>3866738</vt:i4>
      </vt:variant>
      <vt:variant>
        <vt:i4>114</vt:i4>
      </vt:variant>
      <vt:variant>
        <vt:i4>0</vt:i4>
      </vt:variant>
      <vt:variant>
        <vt:i4>5</vt:i4>
      </vt:variant>
      <vt:variant>
        <vt:lpwstr>http://www.nevo.co.il/case/28161892</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3801206</vt:i4>
      </vt:variant>
      <vt:variant>
        <vt:i4>108</vt:i4>
      </vt:variant>
      <vt:variant>
        <vt:i4>0</vt:i4>
      </vt:variant>
      <vt:variant>
        <vt:i4>5</vt:i4>
      </vt:variant>
      <vt:variant>
        <vt:lpwstr>http://www.nevo.co.il/case/27842124</vt:lpwstr>
      </vt:variant>
      <vt:variant>
        <vt:lpwstr/>
      </vt:variant>
      <vt:variant>
        <vt:i4>3932281</vt:i4>
      </vt:variant>
      <vt:variant>
        <vt:i4>105</vt:i4>
      </vt:variant>
      <vt:variant>
        <vt:i4>0</vt:i4>
      </vt:variant>
      <vt:variant>
        <vt:i4>5</vt:i4>
      </vt:variant>
      <vt:variant>
        <vt:lpwstr>http://www.nevo.co.il/case/28738611</vt:lpwstr>
      </vt:variant>
      <vt:variant>
        <vt:lpwstr/>
      </vt:variant>
      <vt:variant>
        <vt:i4>3276924</vt:i4>
      </vt:variant>
      <vt:variant>
        <vt:i4>102</vt:i4>
      </vt:variant>
      <vt:variant>
        <vt:i4>0</vt:i4>
      </vt:variant>
      <vt:variant>
        <vt:i4>5</vt:i4>
      </vt:variant>
      <vt:variant>
        <vt:lpwstr>http://www.nevo.co.il/case/23587328</vt:lpwstr>
      </vt:variant>
      <vt:variant>
        <vt:lpwstr/>
      </vt:variant>
      <vt:variant>
        <vt:i4>3997811</vt:i4>
      </vt:variant>
      <vt:variant>
        <vt:i4>99</vt:i4>
      </vt:variant>
      <vt:variant>
        <vt:i4>0</vt:i4>
      </vt:variant>
      <vt:variant>
        <vt:i4>5</vt:i4>
      </vt:variant>
      <vt:variant>
        <vt:lpwstr>http://www.nevo.co.il/case/27925239</vt:lpwstr>
      </vt:variant>
      <vt:variant>
        <vt:lpwstr/>
      </vt:variant>
      <vt:variant>
        <vt:i4>3342448</vt:i4>
      </vt:variant>
      <vt:variant>
        <vt:i4>96</vt:i4>
      </vt:variant>
      <vt:variant>
        <vt:i4>0</vt:i4>
      </vt:variant>
      <vt:variant>
        <vt:i4>5</vt:i4>
      </vt:variant>
      <vt:variant>
        <vt:lpwstr>http://www.nevo.co.il/case/29042932</vt:lpwstr>
      </vt:variant>
      <vt:variant>
        <vt:lpwstr/>
      </vt:variant>
      <vt:variant>
        <vt:i4>4128881</vt:i4>
      </vt:variant>
      <vt:variant>
        <vt:i4>93</vt:i4>
      </vt:variant>
      <vt:variant>
        <vt:i4>0</vt:i4>
      </vt:variant>
      <vt:variant>
        <vt:i4>5</vt:i4>
      </vt:variant>
      <vt:variant>
        <vt:lpwstr>http://www.nevo.co.il/case/27309272</vt:lpwstr>
      </vt:variant>
      <vt:variant>
        <vt:lpwstr/>
      </vt:variant>
      <vt:variant>
        <vt:i4>4128881</vt:i4>
      </vt:variant>
      <vt:variant>
        <vt:i4>90</vt:i4>
      </vt:variant>
      <vt:variant>
        <vt:i4>0</vt:i4>
      </vt:variant>
      <vt:variant>
        <vt:i4>5</vt:i4>
      </vt:variant>
      <vt:variant>
        <vt:lpwstr>http://www.nevo.co.il/case/30326799</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3670142</vt:i4>
      </vt:variant>
      <vt:variant>
        <vt:i4>84</vt:i4>
      </vt:variant>
      <vt:variant>
        <vt:i4>0</vt:i4>
      </vt:variant>
      <vt:variant>
        <vt:i4>5</vt:i4>
      </vt:variant>
      <vt:variant>
        <vt:lpwstr>http://www.nevo.co.il/case/6708658</vt:lpwstr>
      </vt:variant>
      <vt:variant>
        <vt:lpwstr/>
      </vt:variant>
      <vt:variant>
        <vt:i4>3670142</vt:i4>
      </vt:variant>
      <vt:variant>
        <vt:i4>81</vt:i4>
      </vt:variant>
      <vt:variant>
        <vt:i4>0</vt:i4>
      </vt:variant>
      <vt:variant>
        <vt:i4>5</vt:i4>
      </vt:variant>
      <vt:variant>
        <vt:lpwstr>http://www.nevo.co.il/case/6708658</vt:lpwstr>
      </vt:variant>
      <vt:variant>
        <vt:lpwstr/>
      </vt:variant>
      <vt:variant>
        <vt:i4>3407995</vt:i4>
      </vt:variant>
      <vt:variant>
        <vt:i4>78</vt:i4>
      </vt:variant>
      <vt:variant>
        <vt:i4>0</vt:i4>
      </vt:variant>
      <vt:variant>
        <vt:i4>5</vt:i4>
      </vt:variant>
      <vt:variant>
        <vt:lpwstr>http://www.nevo.co.il/case/18107737</vt:lpwstr>
      </vt:variant>
      <vt:variant>
        <vt:lpwstr/>
      </vt:variant>
      <vt:variant>
        <vt:i4>3539056</vt:i4>
      </vt:variant>
      <vt:variant>
        <vt:i4>75</vt:i4>
      </vt:variant>
      <vt:variant>
        <vt:i4>0</vt:i4>
      </vt:variant>
      <vt:variant>
        <vt:i4>5</vt:i4>
      </vt:variant>
      <vt:variant>
        <vt:lpwstr>http://www.nevo.co.il/case/20513526</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3211380</vt:i4>
      </vt:variant>
      <vt:variant>
        <vt:i4>48</vt:i4>
      </vt:variant>
      <vt:variant>
        <vt:i4>0</vt:i4>
      </vt:variant>
      <vt:variant>
        <vt:i4>5</vt:i4>
      </vt:variant>
      <vt:variant>
        <vt:lpwstr>http://www.nevo.co.il/case/28883087</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6357112</vt:i4>
      </vt:variant>
      <vt:variant>
        <vt:i4>39</vt:i4>
      </vt:variant>
      <vt:variant>
        <vt:i4>0</vt:i4>
      </vt:variant>
      <vt:variant>
        <vt:i4>5</vt:i4>
      </vt:variant>
      <vt:variant>
        <vt:lpwstr>http://www.nevo.co.il/law/70301/340a.a</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6357112</vt:i4>
      </vt:variant>
      <vt:variant>
        <vt:i4>33</vt:i4>
      </vt:variant>
      <vt:variant>
        <vt:i4>0</vt:i4>
      </vt:variant>
      <vt:variant>
        <vt:i4>5</vt:i4>
      </vt:variant>
      <vt:variant>
        <vt:lpwstr>http://www.nevo.co.il/law/70301/340a.a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86</vt:i4>
      </vt:variant>
      <vt:variant>
        <vt:i4>21</vt:i4>
      </vt:variant>
      <vt:variant>
        <vt:i4>0</vt:i4>
      </vt:variant>
      <vt:variant>
        <vt:i4>5</vt:i4>
      </vt:variant>
      <vt:variant>
        <vt:lpwstr>http://www.nevo.co.il/law/70301/340a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43742</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עבדאללה אלסייד;פוזי אלסייד</vt:lpwstr>
  </property>
  <property fmtid="{D5CDD505-2E9C-101B-9397-08002B2CF9AE}" pid="10" name="LAWYER">
    <vt:lpwstr>שירין מחאג'נה;אלעד אזולאי;תאמר אסדי</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20230625</vt:lpwstr>
  </property>
  <property fmtid="{D5CDD505-2E9C-101B-9397-08002B2CF9AE}" pid="14" name="TYPE_N_DATE">
    <vt:lpwstr>39020230625</vt:lpwstr>
  </property>
  <property fmtid="{D5CDD505-2E9C-101B-9397-08002B2CF9AE}" pid="15" name="WORDNUMPAGES">
    <vt:lpwstr>16</vt:lpwstr>
  </property>
  <property fmtid="{D5CDD505-2E9C-101B-9397-08002B2CF9AE}" pid="16" name="TYPE_ABS_DATE">
    <vt:lpwstr>390020230625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28883087:3;27309272:2;20513526;18107737;6708658:2;5601503;30326799;29042932;27925239;23587328;28738611;27842124;28161892;27404359;26347231;26905927;25900295;6473037;21886525</vt:lpwstr>
  </property>
  <property fmtid="{D5CDD505-2E9C-101B-9397-08002B2CF9AE}" pid="36" name="LAWLISTTMP1">
    <vt:lpwstr>70301/144.b;340a.a:2;144.a;040b;040c;040h;144:2;340a:2</vt:lpwstr>
  </property>
</Properties>
</file>