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700BA1" w:rsidRPr="008F22C7" w14:paraId="7B44A2DC" w14:textId="77777777" w:rsidTr="00F62610">
        <w:trPr>
          <w:trHeight w:hRule="exact" w:val="418"/>
          <w:jc w:val="center"/>
        </w:trPr>
        <w:tc>
          <w:tcPr>
            <w:tcW w:w="8861" w:type="dxa"/>
            <w:gridSpan w:val="2"/>
          </w:tcPr>
          <w:p w14:paraId="1D4BAD50" w14:textId="77777777" w:rsidR="00700BA1" w:rsidRPr="008F22C7" w:rsidRDefault="00700BA1" w:rsidP="00F62610">
            <w:pPr>
              <w:pStyle w:val="a3"/>
              <w:jc w:val="center"/>
              <w:rPr>
                <w:rFonts w:ascii="Tahoma" w:hAnsi="Tahoma"/>
                <w:color w:val="000080"/>
                <w:sz w:val="32"/>
                <w:szCs w:val="32"/>
                <w:rtl/>
              </w:rPr>
            </w:pPr>
            <w:r w:rsidRPr="008F22C7">
              <w:rPr>
                <w:rFonts w:ascii="Tahoma" w:hAnsi="Tahoma"/>
                <w:b/>
                <w:bCs/>
                <w:color w:val="000080"/>
                <w:sz w:val="32"/>
                <w:szCs w:val="32"/>
                <w:rtl/>
              </w:rPr>
              <w:t>בית המשפט המחוזי בתל אביב - יפו</w:t>
            </w:r>
          </w:p>
        </w:tc>
      </w:tr>
      <w:tr w:rsidR="00700BA1" w:rsidRPr="008F22C7" w14:paraId="7D3B7914" w14:textId="77777777" w:rsidTr="00F62610">
        <w:trPr>
          <w:trHeight w:val="337"/>
          <w:jc w:val="center"/>
        </w:trPr>
        <w:tc>
          <w:tcPr>
            <w:tcW w:w="5131" w:type="dxa"/>
          </w:tcPr>
          <w:p w14:paraId="1328D918" w14:textId="77777777" w:rsidR="00700BA1" w:rsidRPr="008F22C7" w:rsidRDefault="00700BA1" w:rsidP="00F62610">
            <w:pPr>
              <w:rPr>
                <w:rFonts w:ascii="David" w:hAnsi="David"/>
                <w:b/>
                <w:bCs/>
                <w:rtl/>
              </w:rPr>
            </w:pPr>
            <w:r w:rsidRPr="008F22C7">
              <w:rPr>
                <w:rFonts w:ascii="David" w:hAnsi="David"/>
                <w:b/>
                <w:bCs/>
                <w:rtl/>
              </w:rPr>
              <w:t>ת"פ 4612-07-22 מדינת ישראל נ' שמאמי</w:t>
            </w:r>
          </w:p>
          <w:p w14:paraId="211D3B46" w14:textId="77777777" w:rsidR="00700BA1" w:rsidRPr="008F22C7" w:rsidRDefault="00700BA1" w:rsidP="00F62610">
            <w:pPr>
              <w:pStyle w:val="a3"/>
              <w:rPr>
                <w:rFonts w:ascii="David" w:hAnsi="David"/>
                <w:b/>
                <w:bCs/>
                <w:rtl/>
              </w:rPr>
            </w:pPr>
          </w:p>
        </w:tc>
        <w:tc>
          <w:tcPr>
            <w:tcW w:w="3730" w:type="dxa"/>
          </w:tcPr>
          <w:p w14:paraId="79779FD4" w14:textId="77777777" w:rsidR="00700BA1" w:rsidRPr="008F22C7" w:rsidRDefault="00700BA1" w:rsidP="00F62610">
            <w:pPr>
              <w:pStyle w:val="a3"/>
              <w:jc w:val="right"/>
              <w:rPr>
                <w:rFonts w:ascii="David" w:hAnsi="David"/>
                <w:b/>
                <w:bCs/>
                <w:rtl/>
              </w:rPr>
            </w:pPr>
            <w:r w:rsidRPr="008F22C7">
              <w:rPr>
                <w:rFonts w:ascii="David" w:hAnsi="David"/>
                <w:b/>
                <w:bCs/>
                <w:rtl/>
              </w:rPr>
              <w:t>30 ביולי 2023</w:t>
            </w:r>
          </w:p>
        </w:tc>
      </w:tr>
    </w:tbl>
    <w:p w14:paraId="6DA0F836" w14:textId="77777777" w:rsidR="00700BA1" w:rsidRPr="008F22C7" w:rsidRDefault="00700BA1" w:rsidP="00700BA1">
      <w:pPr>
        <w:pStyle w:val="a3"/>
        <w:rPr>
          <w:rtl/>
        </w:rPr>
      </w:pPr>
      <w:r w:rsidRPr="008F22C7">
        <w:rPr>
          <w:rFonts w:hint="cs"/>
          <w:rtl/>
        </w:rPr>
        <w:t xml:space="preserve"> </w:t>
      </w:r>
    </w:p>
    <w:p w14:paraId="535F2AE0" w14:textId="77777777" w:rsidR="00700BA1" w:rsidRPr="008F22C7" w:rsidRDefault="00700BA1" w:rsidP="00700BA1">
      <w:pPr>
        <w:rPr>
          <w:rtl/>
        </w:rPr>
      </w:pPr>
    </w:p>
    <w:p w14:paraId="04FCA593" w14:textId="77777777" w:rsidR="00700BA1" w:rsidRPr="008F22C7" w:rsidRDefault="00700BA1" w:rsidP="00700BA1">
      <w:pPr>
        <w:rPr>
          <w:rtl/>
        </w:rPr>
      </w:pPr>
    </w:p>
    <w:tbl>
      <w:tblPr>
        <w:bidiVisual/>
        <w:tblW w:w="8820" w:type="dxa"/>
        <w:jc w:val="center"/>
        <w:tblLook w:val="01E0" w:firstRow="1" w:lastRow="1" w:firstColumn="1" w:lastColumn="1" w:noHBand="0" w:noVBand="0"/>
      </w:tblPr>
      <w:tblGrid>
        <w:gridCol w:w="1195"/>
        <w:gridCol w:w="4290"/>
        <w:gridCol w:w="3335"/>
      </w:tblGrid>
      <w:tr w:rsidR="00700BA1" w:rsidRPr="008F22C7" w14:paraId="5E5CA111" w14:textId="77777777" w:rsidTr="00700BA1">
        <w:trPr>
          <w:trHeight w:val="295"/>
          <w:jc w:val="center"/>
        </w:trPr>
        <w:tc>
          <w:tcPr>
            <w:tcW w:w="8820" w:type="dxa"/>
            <w:gridSpan w:val="3"/>
            <w:shd w:val="clear" w:color="auto" w:fill="auto"/>
          </w:tcPr>
          <w:p w14:paraId="6B68B5D7" w14:textId="77777777" w:rsidR="00700BA1" w:rsidRPr="008F22C7" w:rsidRDefault="00700BA1" w:rsidP="00700BA1">
            <w:pPr>
              <w:jc w:val="both"/>
              <w:rPr>
                <w:rFonts w:ascii="Arial" w:hAnsi="Arial"/>
                <w:b/>
                <w:bCs/>
                <w:sz w:val="26"/>
                <w:szCs w:val="26"/>
                <w:rtl/>
              </w:rPr>
            </w:pPr>
            <w:r w:rsidRPr="008F22C7">
              <w:rPr>
                <w:rFonts w:ascii="Arial" w:hAnsi="Arial" w:hint="cs"/>
                <w:b/>
                <w:bCs/>
                <w:sz w:val="26"/>
                <w:szCs w:val="26"/>
                <w:rtl/>
              </w:rPr>
              <w:t>ל</w:t>
            </w:r>
            <w:r w:rsidRPr="008F22C7">
              <w:rPr>
                <w:rFonts w:ascii="Arial" w:hAnsi="Arial"/>
                <w:b/>
                <w:bCs/>
                <w:sz w:val="26"/>
                <w:szCs w:val="26"/>
                <w:rtl/>
              </w:rPr>
              <w:t xml:space="preserve">פני </w:t>
            </w:r>
            <w:r w:rsidRPr="008F22C7">
              <w:rPr>
                <w:rFonts w:ascii="Arial" w:hAnsi="Arial" w:hint="cs"/>
                <w:b/>
                <w:bCs/>
                <w:sz w:val="26"/>
                <w:szCs w:val="26"/>
                <w:rtl/>
              </w:rPr>
              <w:t>כבוד השופט בני שגיא, סגן נשיא</w:t>
            </w:r>
          </w:p>
          <w:p w14:paraId="2B14F736" w14:textId="77777777" w:rsidR="00700BA1" w:rsidRPr="008F22C7" w:rsidRDefault="00700BA1" w:rsidP="00700BA1">
            <w:pPr>
              <w:jc w:val="both"/>
              <w:rPr>
                <w:rFonts w:ascii="Arial" w:hAnsi="Arial"/>
                <w:sz w:val="26"/>
                <w:szCs w:val="26"/>
              </w:rPr>
            </w:pPr>
          </w:p>
        </w:tc>
      </w:tr>
      <w:tr w:rsidR="00700BA1" w:rsidRPr="008F22C7" w14:paraId="6F75D831" w14:textId="77777777" w:rsidTr="00700BA1">
        <w:trPr>
          <w:trHeight w:val="355"/>
          <w:jc w:val="center"/>
        </w:trPr>
        <w:tc>
          <w:tcPr>
            <w:tcW w:w="1195" w:type="dxa"/>
            <w:shd w:val="clear" w:color="auto" w:fill="auto"/>
          </w:tcPr>
          <w:p w14:paraId="229BE9D6" w14:textId="77777777" w:rsidR="00700BA1" w:rsidRPr="008F22C7" w:rsidRDefault="00700BA1" w:rsidP="00700BA1">
            <w:pPr>
              <w:jc w:val="both"/>
              <w:rPr>
                <w:rFonts w:ascii="Arial" w:hAnsi="Arial"/>
                <w:b/>
                <w:bCs/>
                <w:sz w:val="26"/>
                <w:szCs w:val="26"/>
              </w:rPr>
            </w:pPr>
            <w:bookmarkStart w:id="0" w:name="FirstAppellant"/>
            <w:bookmarkStart w:id="1" w:name="FirstLawyer"/>
            <w:bookmarkStart w:id="2" w:name="LastJudge"/>
            <w:bookmarkEnd w:id="2"/>
            <w:r w:rsidRPr="008F22C7">
              <w:rPr>
                <w:rFonts w:ascii="Arial" w:hAnsi="Arial" w:hint="cs"/>
                <w:sz w:val="26"/>
                <w:szCs w:val="26"/>
                <w:rtl/>
              </w:rPr>
              <w:t>ה</w:t>
            </w:r>
            <w:r w:rsidRPr="008F22C7">
              <w:rPr>
                <w:rFonts w:ascii="Arial" w:hAnsi="Arial"/>
                <w:sz w:val="26"/>
                <w:szCs w:val="26"/>
                <w:rtl/>
              </w:rPr>
              <w:t>מאשימה</w:t>
            </w:r>
          </w:p>
        </w:tc>
        <w:tc>
          <w:tcPr>
            <w:tcW w:w="4290" w:type="dxa"/>
            <w:shd w:val="clear" w:color="auto" w:fill="auto"/>
          </w:tcPr>
          <w:p w14:paraId="5266765B" w14:textId="77777777" w:rsidR="00700BA1" w:rsidRPr="008F22C7" w:rsidRDefault="00700BA1" w:rsidP="00700BA1">
            <w:pPr>
              <w:spacing w:line="360" w:lineRule="auto"/>
              <w:ind w:left="720"/>
              <w:rPr>
                <w:b/>
                <w:bCs/>
                <w:sz w:val="26"/>
                <w:szCs w:val="26"/>
                <w:rtl/>
              </w:rPr>
            </w:pPr>
            <w:r w:rsidRPr="008F22C7">
              <w:rPr>
                <w:rFonts w:ascii="Arial" w:hAnsi="Arial"/>
                <w:b/>
                <w:bCs/>
                <w:sz w:val="26"/>
                <w:szCs w:val="26"/>
                <w:rtl/>
              </w:rPr>
              <w:t>מדינת ישראל</w:t>
            </w:r>
          </w:p>
          <w:p w14:paraId="3FD76311" w14:textId="77777777" w:rsidR="00700BA1" w:rsidRPr="008F22C7" w:rsidRDefault="00700BA1" w:rsidP="00700BA1">
            <w:pPr>
              <w:spacing w:line="360" w:lineRule="auto"/>
              <w:ind w:left="720"/>
              <w:rPr>
                <w:sz w:val="26"/>
                <w:szCs w:val="26"/>
                <w:rtl/>
              </w:rPr>
            </w:pPr>
            <w:r w:rsidRPr="008F22C7">
              <w:rPr>
                <w:rFonts w:hint="cs"/>
                <w:sz w:val="26"/>
                <w:szCs w:val="26"/>
                <w:rtl/>
              </w:rPr>
              <w:t>ע"י ב"כ עו"ד ליהי מלצמן</w:t>
            </w:r>
          </w:p>
          <w:p w14:paraId="45004D21" w14:textId="77777777" w:rsidR="00700BA1" w:rsidRPr="008F22C7" w:rsidRDefault="00700BA1" w:rsidP="00700BA1">
            <w:pPr>
              <w:spacing w:line="360" w:lineRule="auto"/>
              <w:ind w:left="720"/>
              <w:rPr>
                <w:sz w:val="26"/>
                <w:szCs w:val="26"/>
              </w:rPr>
            </w:pPr>
          </w:p>
        </w:tc>
        <w:tc>
          <w:tcPr>
            <w:tcW w:w="3335" w:type="dxa"/>
            <w:shd w:val="clear" w:color="auto" w:fill="auto"/>
          </w:tcPr>
          <w:p w14:paraId="379BCF8B" w14:textId="77777777" w:rsidR="00700BA1" w:rsidRPr="008F22C7" w:rsidRDefault="00700BA1" w:rsidP="00700BA1">
            <w:pPr>
              <w:jc w:val="both"/>
              <w:rPr>
                <w:rFonts w:ascii="Arial" w:hAnsi="Arial"/>
                <w:sz w:val="26"/>
                <w:szCs w:val="26"/>
              </w:rPr>
            </w:pPr>
          </w:p>
        </w:tc>
      </w:tr>
      <w:bookmarkEnd w:id="0"/>
      <w:bookmarkEnd w:id="1"/>
      <w:tr w:rsidR="00700BA1" w:rsidRPr="008F22C7" w14:paraId="4A543CE4" w14:textId="77777777" w:rsidTr="00700BA1">
        <w:trPr>
          <w:trHeight w:val="355"/>
          <w:jc w:val="center"/>
        </w:trPr>
        <w:tc>
          <w:tcPr>
            <w:tcW w:w="1195" w:type="dxa"/>
            <w:shd w:val="clear" w:color="auto" w:fill="auto"/>
          </w:tcPr>
          <w:p w14:paraId="16F3C1B2" w14:textId="77777777" w:rsidR="00700BA1" w:rsidRPr="008F22C7" w:rsidRDefault="00700BA1" w:rsidP="00700BA1">
            <w:pPr>
              <w:jc w:val="both"/>
              <w:rPr>
                <w:rFonts w:ascii="Arial" w:hAnsi="Arial"/>
                <w:sz w:val="26"/>
                <w:szCs w:val="26"/>
                <w:rtl/>
              </w:rPr>
            </w:pPr>
          </w:p>
        </w:tc>
        <w:tc>
          <w:tcPr>
            <w:tcW w:w="7625" w:type="dxa"/>
            <w:gridSpan w:val="2"/>
            <w:shd w:val="clear" w:color="auto" w:fill="auto"/>
          </w:tcPr>
          <w:p w14:paraId="205A80BD" w14:textId="77777777" w:rsidR="00700BA1" w:rsidRPr="008F22C7" w:rsidRDefault="00700BA1" w:rsidP="00700BA1">
            <w:pPr>
              <w:spacing w:line="360" w:lineRule="auto"/>
              <w:rPr>
                <w:rFonts w:ascii="Arial" w:hAnsi="Arial"/>
                <w:b/>
                <w:bCs/>
                <w:sz w:val="26"/>
                <w:szCs w:val="26"/>
                <w:rtl/>
              </w:rPr>
            </w:pPr>
            <w:r w:rsidRPr="008F22C7">
              <w:rPr>
                <w:rFonts w:ascii="Arial" w:hAnsi="Arial" w:hint="cs"/>
                <w:b/>
                <w:bCs/>
                <w:sz w:val="26"/>
                <w:szCs w:val="26"/>
              </w:rPr>
              <w:t xml:space="preserve">                    </w:t>
            </w:r>
            <w:r w:rsidRPr="008F22C7">
              <w:rPr>
                <w:rFonts w:ascii="Arial" w:hAnsi="Arial"/>
                <w:b/>
                <w:bCs/>
                <w:sz w:val="26"/>
                <w:szCs w:val="26"/>
                <w:rtl/>
              </w:rPr>
              <w:t>נגד</w:t>
            </w:r>
          </w:p>
          <w:p w14:paraId="4B09998B" w14:textId="77777777" w:rsidR="00700BA1" w:rsidRPr="008F22C7" w:rsidRDefault="00700BA1" w:rsidP="00700BA1">
            <w:pPr>
              <w:spacing w:line="360" w:lineRule="auto"/>
              <w:jc w:val="both"/>
              <w:rPr>
                <w:rFonts w:ascii="Arial" w:hAnsi="Arial"/>
                <w:sz w:val="26"/>
                <w:szCs w:val="26"/>
              </w:rPr>
            </w:pPr>
          </w:p>
        </w:tc>
      </w:tr>
      <w:tr w:rsidR="00700BA1" w:rsidRPr="008F22C7" w14:paraId="56EAF9AB" w14:textId="77777777" w:rsidTr="00700BA1">
        <w:trPr>
          <w:trHeight w:val="355"/>
          <w:jc w:val="center"/>
        </w:trPr>
        <w:tc>
          <w:tcPr>
            <w:tcW w:w="1195" w:type="dxa"/>
            <w:shd w:val="clear" w:color="auto" w:fill="auto"/>
          </w:tcPr>
          <w:p w14:paraId="1CB0D70A" w14:textId="77777777" w:rsidR="00700BA1" w:rsidRPr="008F22C7" w:rsidRDefault="00700BA1" w:rsidP="00F62610">
            <w:pPr>
              <w:rPr>
                <w:rFonts w:ascii="Arial" w:hAnsi="Arial"/>
                <w:sz w:val="26"/>
                <w:szCs w:val="26"/>
                <w:rtl/>
              </w:rPr>
            </w:pPr>
            <w:r w:rsidRPr="008F22C7">
              <w:rPr>
                <w:rFonts w:ascii="Arial" w:hAnsi="Arial" w:hint="cs"/>
                <w:sz w:val="26"/>
                <w:szCs w:val="26"/>
                <w:rtl/>
              </w:rPr>
              <w:t>ה</w:t>
            </w:r>
            <w:r w:rsidRPr="008F22C7">
              <w:rPr>
                <w:rFonts w:ascii="Arial" w:hAnsi="Arial"/>
                <w:sz w:val="26"/>
                <w:szCs w:val="26"/>
                <w:rtl/>
              </w:rPr>
              <w:t>נאשם</w:t>
            </w:r>
          </w:p>
        </w:tc>
        <w:tc>
          <w:tcPr>
            <w:tcW w:w="4290" w:type="dxa"/>
            <w:shd w:val="clear" w:color="auto" w:fill="auto"/>
          </w:tcPr>
          <w:p w14:paraId="473656CD" w14:textId="77777777" w:rsidR="00700BA1" w:rsidRPr="008F22C7" w:rsidRDefault="00700BA1" w:rsidP="00700BA1">
            <w:pPr>
              <w:spacing w:line="360" w:lineRule="auto"/>
              <w:ind w:left="720"/>
              <w:rPr>
                <w:b/>
                <w:bCs/>
                <w:sz w:val="26"/>
                <w:szCs w:val="26"/>
                <w:rtl/>
              </w:rPr>
            </w:pPr>
            <w:r w:rsidRPr="008F22C7">
              <w:rPr>
                <w:rFonts w:ascii="Arial" w:hAnsi="Arial"/>
                <w:b/>
                <w:bCs/>
                <w:sz w:val="26"/>
                <w:szCs w:val="26"/>
                <w:rtl/>
              </w:rPr>
              <w:t>הרצל שמאמי</w:t>
            </w:r>
          </w:p>
          <w:p w14:paraId="0AACCAD8" w14:textId="77777777" w:rsidR="00700BA1" w:rsidRPr="008F22C7" w:rsidRDefault="00700BA1" w:rsidP="00700BA1">
            <w:pPr>
              <w:spacing w:line="360" w:lineRule="auto"/>
              <w:ind w:left="720"/>
              <w:rPr>
                <w:sz w:val="26"/>
                <w:szCs w:val="26"/>
                <w:rtl/>
              </w:rPr>
            </w:pPr>
            <w:r w:rsidRPr="008F22C7">
              <w:rPr>
                <w:rFonts w:hint="cs"/>
                <w:sz w:val="26"/>
                <w:szCs w:val="26"/>
                <w:rtl/>
              </w:rPr>
              <w:t xml:space="preserve">ע"י ב"כ עו"ד שי לוי </w:t>
            </w:r>
          </w:p>
        </w:tc>
        <w:tc>
          <w:tcPr>
            <w:tcW w:w="3335" w:type="dxa"/>
            <w:shd w:val="clear" w:color="auto" w:fill="auto"/>
          </w:tcPr>
          <w:p w14:paraId="21EE882D" w14:textId="77777777" w:rsidR="00700BA1" w:rsidRPr="008F22C7" w:rsidRDefault="00700BA1" w:rsidP="00700BA1">
            <w:pPr>
              <w:jc w:val="right"/>
              <w:rPr>
                <w:rFonts w:ascii="Arial" w:hAnsi="Arial"/>
                <w:sz w:val="26"/>
                <w:szCs w:val="26"/>
              </w:rPr>
            </w:pPr>
          </w:p>
        </w:tc>
      </w:tr>
    </w:tbl>
    <w:p w14:paraId="0F78EE5D" w14:textId="77777777" w:rsidR="008F22C7" w:rsidRPr="008F22C7" w:rsidRDefault="008F22C7" w:rsidP="008F22C7">
      <w:pPr>
        <w:spacing w:before="120" w:after="120" w:line="240" w:lineRule="exact"/>
        <w:ind w:left="283" w:hanging="283"/>
        <w:jc w:val="both"/>
        <w:rPr>
          <w:rFonts w:ascii="FrankRuehl" w:hAnsi="FrankRuehl" w:cs="FrankRuehl"/>
          <w:rtl/>
        </w:rPr>
      </w:pPr>
    </w:p>
    <w:p w14:paraId="2D5D2613" w14:textId="77777777" w:rsidR="008D2B5A" w:rsidRPr="008D2B5A" w:rsidRDefault="008D2B5A" w:rsidP="008D2B5A">
      <w:pPr>
        <w:spacing w:before="120" w:after="120" w:line="240" w:lineRule="exact"/>
        <w:ind w:left="283" w:hanging="283"/>
        <w:jc w:val="both"/>
        <w:rPr>
          <w:rFonts w:ascii="FrankRuehl" w:hAnsi="FrankRuehl" w:cs="FrankRuehl"/>
          <w:rtl/>
        </w:rPr>
      </w:pPr>
    </w:p>
    <w:p w14:paraId="698A7AE5" w14:textId="77777777" w:rsidR="004833D8" w:rsidRDefault="004833D8" w:rsidP="004833D8">
      <w:pPr>
        <w:jc w:val="center"/>
        <w:rPr>
          <w:rFonts w:ascii="Arial" w:hAnsi="Arial"/>
          <w:sz w:val="28"/>
          <w:szCs w:val="28"/>
          <w:rtl/>
        </w:rPr>
      </w:pPr>
      <w:bookmarkStart w:id="3" w:name="LawTable"/>
      <w:bookmarkEnd w:id="3"/>
    </w:p>
    <w:p w14:paraId="009994C9" w14:textId="77777777" w:rsidR="004833D8" w:rsidRPr="004833D8" w:rsidRDefault="004833D8" w:rsidP="004833D8">
      <w:pPr>
        <w:spacing w:before="120" w:after="120" w:line="240" w:lineRule="exact"/>
        <w:ind w:left="283" w:hanging="283"/>
        <w:jc w:val="both"/>
        <w:rPr>
          <w:rFonts w:ascii="FrankRuehl" w:hAnsi="FrankRuehl" w:cs="FrankRuehl"/>
          <w:rtl/>
        </w:rPr>
      </w:pPr>
    </w:p>
    <w:p w14:paraId="1EEDA496" w14:textId="77777777" w:rsidR="004833D8" w:rsidRPr="004833D8" w:rsidRDefault="004833D8" w:rsidP="004833D8">
      <w:pPr>
        <w:spacing w:before="120" w:after="120" w:line="240" w:lineRule="exact"/>
        <w:ind w:left="283" w:hanging="283"/>
        <w:jc w:val="both"/>
        <w:rPr>
          <w:rFonts w:ascii="FrankRuehl" w:hAnsi="FrankRuehl" w:cs="FrankRuehl"/>
          <w:rtl/>
        </w:rPr>
      </w:pPr>
    </w:p>
    <w:p w14:paraId="1DCFBF80" w14:textId="77777777" w:rsidR="004833D8" w:rsidRPr="004833D8" w:rsidRDefault="004833D8" w:rsidP="004833D8">
      <w:pPr>
        <w:spacing w:before="120" w:after="120" w:line="240" w:lineRule="exact"/>
        <w:ind w:left="283" w:hanging="283"/>
        <w:jc w:val="both"/>
        <w:rPr>
          <w:rFonts w:ascii="FrankRuehl" w:hAnsi="FrankRuehl" w:cs="FrankRuehl"/>
          <w:rtl/>
        </w:rPr>
      </w:pPr>
      <w:r w:rsidRPr="004833D8">
        <w:rPr>
          <w:rFonts w:ascii="FrankRuehl" w:hAnsi="FrankRuehl" w:cs="FrankRuehl"/>
          <w:rtl/>
        </w:rPr>
        <w:t xml:space="preserve">חקיקה שאוזכרה: </w:t>
      </w:r>
    </w:p>
    <w:p w14:paraId="45F24889" w14:textId="77777777" w:rsidR="004833D8" w:rsidRPr="004833D8" w:rsidRDefault="004833D8" w:rsidP="004833D8">
      <w:pPr>
        <w:spacing w:before="120" w:after="120" w:line="240" w:lineRule="exact"/>
        <w:ind w:left="283" w:hanging="283"/>
        <w:jc w:val="both"/>
        <w:rPr>
          <w:rFonts w:ascii="FrankRuehl" w:hAnsi="FrankRuehl" w:cs="FrankRuehl"/>
          <w:rtl/>
        </w:rPr>
      </w:pPr>
      <w:hyperlink r:id="rId7" w:history="1">
        <w:r w:rsidRPr="004833D8">
          <w:rPr>
            <w:rFonts w:ascii="FrankRuehl" w:hAnsi="FrankRuehl" w:cs="FrankRuehl"/>
            <w:color w:val="0000FF"/>
            <w:rtl/>
          </w:rPr>
          <w:t>חוק העונשין, תשל"ז-1977</w:t>
        </w:r>
      </w:hyperlink>
      <w:r w:rsidRPr="004833D8">
        <w:rPr>
          <w:rFonts w:ascii="FrankRuehl" w:hAnsi="FrankRuehl" w:cs="FrankRuehl"/>
          <w:rtl/>
        </w:rPr>
        <w:t xml:space="preserve">: סע'  </w:t>
      </w:r>
      <w:hyperlink r:id="rId8" w:history="1">
        <w:r w:rsidRPr="004833D8">
          <w:rPr>
            <w:rFonts w:ascii="FrankRuehl" w:hAnsi="FrankRuehl" w:cs="FrankRuehl"/>
            <w:color w:val="0000FF"/>
            <w:rtl/>
          </w:rPr>
          <w:t>29</w:t>
        </w:r>
      </w:hyperlink>
      <w:r w:rsidRPr="004833D8">
        <w:rPr>
          <w:rFonts w:ascii="FrankRuehl" w:hAnsi="FrankRuehl" w:cs="FrankRuehl"/>
          <w:rtl/>
        </w:rPr>
        <w:t xml:space="preserve">, </w:t>
      </w:r>
      <w:hyperlink r:id="rId9" w:history="1">
        <w:r w:rsidRPr="004833D8">
          <w:rPr>
            <w:rFonts w:ascii="FrankRuehl" w:hAnsi="FrankRuehl" w:cs="FrankRuehl"/>
            <w:color w:val="0000FF"/>
            <w:rtl/>
          </w:rPr>
          <w:t>144(א)</w:t>
        </w:r>
      </w:hyperlink>
      <w:r w:rsidRPr="004833D8">
        <w:rPr>
          <w:rFonts w:ascii="FrankRuehl" w:hAnsi="FrankRuehl" w:cs="FrankRuehl"/>
          <w:rtl/>
        </w:rPr>
        <w:t xml:space="preserve">, </w:t>
      </w:r>
      <w:hyperlink r:id="rId10" w:history="1">
        <w:r w:rsidRPr="004833D8">
          <w:rPr>
            <w:rFonts w:ascii="FrankRuehl" w:hAnsi="FrankRuehl" w:cs="FrankRuehl"/>
            <w:color w:val="0000FF"/>
            <w:rtl/>
          </w:rPr>
          <w:t>144(ב)</w:t>
        </w:r>
      </w:hyperlink>
      <w:r w:rsidRPr="004833D8">
        <w:rPr>
          <w:rFonts w:ascii="FrankRuehl" w:hAnsi="FrankRuehl" w:cs="FrankRuehl"/>
          <w:rtl/>
        </w:rPr>
        <w:t xml:space="preserve">, </w:t>
      </w:r>
      <w:hyperlink r:id="rId11" w:history="1">
        <w:r w:rsidRPr="004833D8">
          <w:rPr>
            <w:rFonts w:ascii="FrankRuehl" w:hAnsi="FrankRuehl" w:cs="FrankRuehl"/>
            <w:color w:val="0000FF"/>
            <w:rtl/>
          </w:rPr>
          <w:t>144(ב2)</w:t>
        </w:r>
      </w:hyperlink>
      <w:r w:rsidRPr="004833D8">
        <w:rPr>
          <w:rFonts w:ascii="FrankRuehl" w:hAnsi="FrankRuehl" w:cs="FrankRuehl"/>
          <w:rtl/>
        </w:rPr>
        <w:t xml:space="preserve">, </w:t>
      </w:r>
      <w:hyperlink r:id="rId12" w:history="1">
        <w:r w:rsidRPr="004833D8">
          <w:rPr>
            <w:rFonts w:ascii="FrankRuehl" w:hAnsi="FrankRuehl" w:cs="FrankRuehl"/>
            <w:color w:val="0000FF"/>
            <w:rtl/>
          </w:rPr>
          <w:t>144 (ז)</w:t>
        </w:r>
      </w:hyperlink>
    </w:p>
    <w:p w14:paraId="7AD58659" w14:textId="77777777" w:rsidR="004833D8" w:rsidRPr="004833D8" w:rsidRDefault="004833D8" w:rsidP="004833D8">
      <w:pPr>
        <w:spacing w:before="120" w:after="120" w:line="240" w:lineRule="exact"/>
        <w:ind w:left="283" w:hanging="283"/>
        <w:jc w:val="both"/>
        <w:rPr>
          <w:rFonts w:ascii="FrankRuehl" w:hAnsi="FrankRuehl" w:cs="FrankRuehl"/>
          <w:rtl/>
        </w:rPr>
      </w:pPr>
      <w:hyperlink r:id="rId13" w:history="1">
        <w:r w:rsidRPr="004833D8">
          <w:rPr>
            <w:rFonts w:ascii="FrankRuehl" w:hAnsi="FrankRuehl" w:cs="FrankRuehl"/>
            <w:color w:val="0000FF"/>
            <w:rtl/>
          </w:rPr>
          <w:t>חוק זכויות נפגעי עבירה, תשס"א-2001</w:t>
        </w:r>
      </w:hyperlink>
      <w:r w:rsidRPr="004833D8">
        <w:rPr>
          <w:rFonts w:ascii="FrankRuehl" w:hAnsi="FrankRuehl" w:cs="FrankRuehl"/>
          <w:rtl/>
        </w:rPr>
        <w:t xml:space="preserve">: סע'  </w:t>
      </w:r>
      <w:hyperlink r:id="rId14" w:history="1">
        <w:r w:rsidRPr="004833D8">
          <w:rPr>
            <w:rFonts w:ascii="FrankRuehl" w:hAnsi="FrankRuehl" w:cs="FrankRuehl"/>
            <w:color w:val="0000FF"/>
            <w:rtl/>
          </w:rPr>
          <w:t>2</w:t>
        </w:r>
      </w:hyperlink>
    </w:p>
    <w:p w14:paraId="6C8FECEE" w14:textId="77777777" w:rsidR="004833D8" w:rsidRPr="004833D8" w:rsidRDefault="004833D8" w:rsidP="004833D8">
      <w:pPr>
        <w:spacing w:before="120" w:after="120" w:line="240" w:lineRule="exact"/>
        <w:ind w:left="283" w:hanging="283"/>
        <w:jc w:val="both"/>
        <w:rPr>
          <w:rFonts w:ascii="FrankRuehl" w:hAnsi="FrankRuehl" w:cs="FrankRuehl"/>
          <w:rtl/>
        </w:rPr>
      </w:pPr>
      <w:hyperlink r:id="rId15" w:history="1">
        <w:r w:rsidRPr="004833D8">
          <w:rPr>
            <w:rFonts w:ascii="FrankRuehl" w:hAnsi="FrankRuehl" w:cs="FrankRuehl"/>
            <w:color w:val="0000FF"/>
            <w:rtl/>
          </w:rPr>
          <w:t>חוק סדר הדין הפלילי [נוסח משולב], תשמ"ב-1982</w:t>
        </w:r>
      </w:hyperlink>
      <w:r w:rsidRPr="004833D8">
        <w:rPr>
          <w:rFonts w:ascii="FrankRuehl" w:hAnsi="FrankRuehl" w:cs="FrankRuehl"/>
          <w:rtl/>
        </w:rPr>
        <w:t xml:space="preserve">: סע'  </w:t>
      </w:r>
      <w:hyperlink r:id="rId16" w:history="1">
        <w:r w:rsidRPr="004833D8">
          <w:rPr>
            <w:rFonts w:ascii="FrankRuehl" w:hAnsi="FrankRuehl" w:cs="FrankRuehl"/>
            <w:color w:val="0000FF"/>
            <w:rtl/>
          </w:rPr>
          <w:t>187(א)</w:t>
        </w:r>
      </w:hyperlink>
    </w:p>
    <w:p w14:paraId="6881562D" w14:textId="77777777" w:rsidR="004833D8" w:rsidRPr="004833D8" w:rsidRDefault="004833D8" w:rsidP="004833D8">
      <w:pPr>
        <w:jc w:val="center"/>
        <w:rPr>
          <w:rFonts w:ascii="Arial" w:hAnsi="Arial"/>
          <w:sz w:val="28"/>
          <w:szCs w:val="28"/>
          <w:rtl/>
        </w:rPr>
      </w:pPr>
      <w:bookmarkStart w:id="4" w:name="LawTable_End"/>
      <w:bookmarkEnd w:id="4"/>
    </w:p>
    <w:p w14:paraId="44D3F5F5" w14:textId="77777777" w:rsidR="008F22C7" w:rsidRPr="008D2B5A" w:rsidRDefault="008F22C7" w:rsidP="008D2B5A">
      <w:pPr>
        <w:jc w:val="center"/>
        <w:rPr>
          <w:rFonts w:ascii="Arial" w:hAnsi="Arial"/>
          <w:sz w:val="28"/>
          <w:szCs w:val="28"/>
          <w:rtl/>
        </w:rPr>
      </w:pPr>
    </w:p>
    <w:p w14:paraId="128F8A47" w14:textId="77777777" w:rsidR="008F22C7" w:rsidRPr="008F22C7" w:rsidRDefault="008F22C7" w:rsidP="008F22C7">
      <w:pPr>
        <w:spacing w:line="360" w:lineRule="auto"/>
        <w:jc w:val="center"/>
        <w:rPr>
          <w:rFonts w:ascii="Arial" w:hAnsi="Arial"/>
          <w:b/>
          <w:bCs/>
          <w:sz w:val="28"/>
          <w:szCs w:val="28"/>
          <w:u w:val="single"/>
          <w:rtl/>
        </w:rPr>
      </w:pPr>
      <w:bookmarkStart w:id="5" w:name="PsakDin"/>
      <w:r w:rsidRPr="008F22C7">
        <w:rPr>
          <w:rFonts w:ascii="Arial" w:hAnsi="Arial"/>
          <w:b/>
          <w:bCs/>
          <w:sz w:val="28"/>
          <w:szCs w:val="28"/>
          <w:u w:val="single"/>
          <w:rtl/>
        </w:rPr>
        <w:t>גזר דין</w:t>
      </w:r>
    </w:p>
    <w:bookmarkEnd w:id="5"/>
    <w:p w14:paraId="27B88A34" w14:textId="77777777" w:rsidR="00700BA1" w:rsidRPr="007B69D3" w:rsidRDefault="00700BA1" w:rsidP="00700BA1">
      <w:pPr>
        <w:spacing w:before="240" w:after="240" w:line="360" w:lineRule="auto"/>
        <w:ind w:left="357"/>
        <w:rPr>
          <w:u w:val="single"/>
          <w:rtl/>
        </w:rPr>
      </w:pPr>
      <w:r w:rsidRPr="007B69D3">
        <w:rPr>
          <w:rFonts w:hint="cs"/>
          <w:u w:val="single"/>
          <w:rtl/>
        </w:rPr>
        <w:t>כללי</w:t>
      </w:r>
    </w:p>
    <w:p w14:paraId="6D9AC082" w14:textId="77777777" w:rsidR="00700BA1" w:rsidRDefault="00700BA1" w:rsidP="00700BA1">
      <w:pPr>
        <w:pStyle w:val="a9"/>
        <w:numPr>
          <w:ilvl w:val="0"/>
          <w:numId w:val="1"/>
        </w:numPr>
        <w:spacing w:before="240" w:after="240" w:line="360" w:lineRule="auto"/>
        <w:ind w:left="357"/>
        <w:contextualSpacing w:val="0"/>
        <w:jc w:val="both"/>
      </w:pPr>
      <w:bookmarkStart w:id="6" w:name="ABSTRACT_START"/>
      <w:bookmarkEnd w:id="6"/>
      <w:r>
        <w:rPr>
          <w:rFonts w:hint="cs"/>
          <w:rtl/>
        </w:rPr>
        <w:t xml:space="preserve">הנאשם הורשע על יסוד הודאתו במסגרת הסדר טיעון בעבירות בנשק (החזקת נשק, מחסנית ותחמושת) לפי </w:t>
      </w:r>
      <w:hyperlink r:id="rId17" w:history="1">
        <w:r w:rsidR="00BC718E" w:rsidRPr="00BC718E">
          <w:rPr>
            <w:rStyle w:val="Hyperlink"/>
            <w:rFonts w:hint="eastAsia"/>
            <w:rtl/>
          </w:rPr>
          <w:t>סעיף</w:t>
        </w:r>
        <w:r w:rsidR="00BC718E" w:rsidRPr="00BC718E">
          <w:rPr>
            <w:rStyle w:val="Hyperlink"/>
            <w:rtl/>
          </w:rPr>
          <w:t xml:space="preserve"> 144(א)</w:t>
        </w:r>
      </w:hyperlink>
      <w:r>
        <w:rPr>
          <w:rFonts w:hint="cs"/>
          <w:rtl/>
        </w:rPr>
        <w:t xml:space="preserve"> רישא וסיפא ל</w:t>
      </w:r>
      <w:hyperlink r:id="rId18" w:history="1">
        <w:r w:rsidR="008F22C7" w:rsidRPr="008F22C7">
          <w:rPr>
            <w:color w:val="0000FF"/>
            <w:u w:val="single"/>
            <w:rtl/>
          </w:rPr>
          <w:t>חוק העונשין</w:t>
        </w:r>
      </w:hyperlink>
      <w:r>
        <w:rPr>
          <w:rFonts w:hint="cs"/>
          <w:rtl/>
        </w:rPr>
        <w:t xml:space="preserve"> התשל"ז-1977 (להלן: </w:t>
      </w:r>
      <w:r w:rsidRPr="007B69D3">
        <w:rPr>
          <w:rFonts w:hint="cs"/>
          <w:b/>
          <w:bCs/>
          <w:rtl/>
        </w:rPr>
        <w:t>חוק העונשין</w:t>
      </w:r>
      <w:r>
        <w:rPr>
          <w:rFonts w:hint="cs"/>
          <w:rtl/>
        </w:rPr>
        <w:t xml:space="preserve">) ובעבירת בנשק (הספקת נשק, מחסנית ותחמושת) לפי </w:t>
      </w:r>
      <w:hyperlink r:id="rId19" w:history="1">
        <w:r w:rsidR="00BC718E" w:rsidRPr="00BC718E">
          <w:rPr>
            <w:rStyle w:val="Hyperlink"/>
            <w:rFonts w:hint="eastAsia"/>
            <w:rtl/>
          </w:rPr>
          <w:t>סעיף</w:t>
        </w:r>
        <w:r w:rsidR="00BC718E" w:rsidRPr="00BC718E">
          <w:rPr>
            <w:rStyle w:val="Hyperlink"/>
            <w:rtl/>
          </w:rPr>
          <w:t xml:space="preserve"> 144(ב2)</w:t>
        </w:r>
      </w:hyperlink>
      <w:r>
        <w:rPr>
          <w:rFonts w:hint="cs"/>
          <w:rtl/>
        </w:rPr>
        <w:t xml:space="preserve"> לחוק העונשין. </w:t>
      </w:r>
    </w:p>
    <w:p w14:paraId="64D83056" w14:textId="77777777" w:rsidR="00700BA1" w:rsidRDefault="00700BA1" w:rsidP="00700BA1">
      <w:pPr>
        <w:pStyle w:val="a9"/>
        <w:numPr>
          <w:ilvl w:val="0"/>
          <w:numId w:val="1"/>
        </w:numPr>
        <w:spacing w:before="240" w:after="240" w:line="360" w:lineRule="auto"/>
        <w:ind w:left="357"/>
        <w:contextualSpacing w:val="0"/>
        <w:jc w:val="both"/>
      </w:pPr>
      <w:bookmarkStart w:id="7" w:name="ABSTRACT_END"/>
      <w:bookmarkEnd w:id="7"/>
      <w:r>
        <w:rPr>
          <w:rFonts w:hint="cs"/>
          <w:rtl/>
        </w:rPr>
        <w:t>הסדר הטיעון שגובש בין הצדדים כלל את תיקונו של כתב האישום מבלי שגובשה הסכמה לעניין העונש, ובהקשר זה טען כל צד על פי מיטב שיקול דעתו.</w:t>
      </w:r>
    </w:p>
    <w:p w14:paraId="54C34FD9" w14:textId="77777777" w:rsidR="00700BA1" w:rsidRPr="007778F5" w:rsidRDefault="00700BA1" w:rsidP="00700BA1">
      <w:pPr>
        <w:pStyle w:val="a9"/>
        <w:numPr>
          <w:ilvl w:val="0"/>
          <w:numId w:val="1"/>
        </w:numPr>
        <w:spacing w:before="240" w:after="240" w:line="360" w:lineRule="auto"/>
        <w:ind w:left="357"/>
        <w:contextualSpacing w:val="0"/>
        <w:jc w:val="both"/>
        <w:rPr>
          <w:rFonts w:ascii="David" w:hAnsi="David"/>
        </w:rPr>
      </w:pPr>
      <w:r>
        <w:rPr>
          <w:rFonts w:hint="cs"/>
          <w:rtl/>
        </w:rPr>
        <w:t xml:space="preserve">על פי כתב האישום המתוקן, בין הנאשם בין ס.מ קיימת היכרות רבת שנים. בתקופה הרלוונטית לכתב האישום ועובר לכך, </w:t>
      </w:r>
      <w:r w:rsidRPr="007778F5">
        <w:rPr>
          <w:rFonts w:ascii="David" w:hAnsi="David"/>
          <w:rtl/>
        </w:rPr>
        <w:t xml:space="preserve">במשך תקופה שאינה ידועה למאשימה, החזיק הנאשם שלא כדין בביתו בחדרה, או בסמוך לבית, בנשק שסוגל לירות ובכוחו להמית אדם מסוג אקדח חצי אוטומטי </w:t>
      </w:r>
      <w:r w:rsidRPr="007778F5">
        <w:rPr>
          <w:rFonts w:ascii="David" w:hAnsi="David"/>
        </w:rPr>
        <w:t>STAR</w:t>
      </w:r>
      <w:r w:rsidRPr="007778F5">
        <w:rPr>
          <w:rFonts w:ascii="David" w:hAnsi="David"/>
          <w:rtl/>
        </w:rPr>
        <w:t xml:space="preserve"> בעל קליבר 22 </w:t>
      </w:r>
      <w:r w:rsidRPr="007778F5">
        <w:rPr>
          <w:rFonts w:ascii="David" w:hAnsi="David"/>
        </w:rPr>
        <w:t>LR</w:t>
      </w:r>
      <w:r>
        <w:rPr>
          <w:rFonts w:ascii="David" w:hAnsi="David" w:hint="cs"/>
          <w:rtl/>
        </w:rPr>
        <w:t xml:space="preserve">, </w:t>
      </w:r>
      <w:r w:rsidRPr="007778F5">
        <w:rPr>
          <w:rFonts w:ascii="David" w:hAnsi="David"/>
          <w:rtl/>
        </w:rPr>
        <w:lastRenderedPageBreak/>
        <w:t xml:space="preserve">במחסנית המתאימה לאקדח ובה לפחות 8 כדורים שבכוחם להמית אדם, וכן בקופסת מתכת ובה 38 כדורי קליבר 22 </w:t>
      </w:r>
      <w:r w:rsidRPr="007778F5">
        <w:rPr>
          <w:rFonts w:ascii="David" w:hAnsi="David"/>
        </w:rPr>
        <w:t>LR</w:t>
      </w:r>
      <w:r w:rsidRPr="007778F5">
        <w:rPr>
          <w:rFonts w:ascii="David" w:hAnsi="David"/>
          <w:rtl/>
        </w:rPr>
        <w:t xml:space="preserve"> שבכוחם להמית אדם</w:t>
      </w:r>
      <w:r w:rsidRPr="007778F5">
        <w:rPr>
          <w:rFonts w:ascii="David" w:hAnsi="David"/>
        </w:rPr>
        <w:t xml:space="preserve"> </w:t>
      </w:r>
      <w:r>
        <w:rPr>
          <w:rFonts w:ascii="David" w:hAnsi="David"/>
          <w:rtl/>
        </w:rPr>
        <w:t>(להלן</w:t>
      </w:r>
      <w:r>
        <w:rPr>
          <w:rFonts w:ascii="David" w:hAnsi="David" w:hint="cs"/>
          <w:rtl/>
        </w:rPr>
        <w:t xml:space="preserve"> - </w:t>
      </w:r>
      <w:r w:rsidRPr="007778F5">
        <w:rPr>
          <w:rFonts w:ascii="David" w:hAnsi="David"/>
          <w:b/>
          <w:bCs/>
          <w:rtl/>
        </w:rPr>
        <w:t>האקדח והתחמושת</w:t>
      </w:r>
      <w:r w:rsidRPr="007778F5">
        <w:rPr>
          <w:rFonts w:ascii="David" w:hAnsi="David"/>
          <w:rtl/>
        </w:rPr>
        <w:t>).</w:t>
      </w:r>
    </w:p>
    <w:p w14:paraId="63DB144B" w14:textId="77777777" w:rsidR="00700BA1" w:rsidRDefault="00700BA1" w:rsidP="00700BA1">
      <w:pPr>
        <w:pStyle w:val="a9"/>
        <w:spacing w:before="240" w:after="240" w:line="360" w:lineRule="auto"/>
        <w:ind w:left="357"/>
        <w:contextualSpacing w:val="0"/>
        <w:jc w:val="both"/>
        <w:rPr>
          <w:rtl/>
        </w:rPr>
      </w:pPr>
      <w:r w:rsidRPr="007778F5">
        <w:rPr>
          <w:rFonts w:ascii="David" w:hAnsi="David"/>
          <w:rtl/>
        </w:rPr>
        <w:t>ביום 18.6.22, סמוך לשעה 7:30 בבוקר, כשהוא מצוי בביתו שבפתח תקווה, ניסה ס.מ ללא הצלחה ליצור קשר טלפוני עם הנאשם על מנת שיספק לו נשק. בהמשך, שלח ס.מ לנאשם שתי הודעות לטלפון הנייד של הנאשם שתוכנן "</w:t>
      </w:r>
      <w:r w:rsidRPr="007778F5">
        <w:rPr>
          <w:rFonts w:ascii="David" w:hAnsi="David"/>
          <w:b/>
          <w:bCs/>
          <w:rtl/>
        </w:rPr>
        <w:t>חורחה אתה. ער</w:t>
      </w:r>
      <w:r w:rsidRPr="007778F5">
        <w:rPr>
          <w:rFonts w:ascii="David" w:hAnsi="David"/>
          <w:rtl/>
        </w:rPr>
        <w:t>". סמוך לשעה 7:45 התקשר ס.מ לנאשם והשניים שוחחו וקבעו להיפגש בסמיכות לביתו של הנאשם בחדרה. סמוך לשעה 8:30, בהגיעו לאזור הסמוך לבית הנאשם, התקשר ס.מ אל הנאשם והמתין לו ברכב בהמשך הרחוב. הנאשם יצא מביתו והשניים נפגשו ושוחחו, כאשר</w:t>
      </w:r>
      <w:r>
        <w:rPr>
          <w:rFonts w:hint="cs"/>
          <w:rtl/>
        </w:rPr>
        <w:t xml:space="preserve"> במהלך השיחה ביקש ס.מ מהנאשם כי יספק לו נשק ותחמושת. בהמשך לבקשתו של ס.מ, פנה הנאשם לביתו או למקום סמוך לו על מנת לספק לס.מ את מבוקשו. ס.מ המתין ליד הרכב, ומספר דקות מאוחר יותר חזר הנאשם לכיוון הרכב כשהוא נושא באופן מוסתר על גופו את האקדח והתחמושת, ומסרם לס.מ בתוך שקית בלא רשות כדין. </w:t>
      </w:r>
    </w:p>
    <w:p w14:paraId="66A660A1" w14:textId="77777777" w:rsidR="00700BA1" w:rsidRDefault="00700BA1" w:rsidP="00700BA1">
      <w:pPr>
        <w:pStyle w:val="a9"/>
        <w:spacing w:before="240" w:after="240" w:line="360" w:lineRule="auto"/>
        <w:ind w:left="357"/>
        <w:contextualSpacing w:val="0"/>
        <w:jc w:val="both"/>
        <w:rPr>
          <w:rtl/>
        </w:rPr>
      </w:pPr>
      <w:r>
        <w:rPr>
          <w:rFonts w:hint="cs"/>
          <w:rtl/>
        </w:rPr>
        <w:t xml:space="preserve">בחלוף כעשרים דקות, סמוך לשעה 9:36, נפרדו השניים, ס.מ נסע מהמקום לכיוון דרום והנאשם שב לביתו. </w:t>
      </w:r>
    </w:p>
    <w:p w14:paraId="17D5E319" w14:textId="77777777" w:rsidR="00700BA1" w:rsidRDefault="00700BA1" w:rsidP="00700BA1">
      <w:pPr>
        <w:pStyle w:val="a9"/>
        <w:spacing w:before="240" w:after="240" w:line="360" w:lineRule="auto"/>
        <w:ind w:left="357"/>
        <w:contextualSpacing w:val="0"/>
        <w:jc w:val="both"/>
        <w:rPr>
          <w:rtl/>
        </w:rPr>
      </w:pPr>
      <w:r>
        <w:rPr>
          <w:rFonts w:hint="cs"/>
          <w:rtl/>
        </w:rPr>
        <w:t xml:space="preserve">סמוך לשעה 10:15 הגיע ס.מ לבניין ברחוב הרי גלעד 9 ברמת גן וירה למוות באמצעות האקדח והתחמושת ביוסף יוספיה ז"ל. </w:t>
      </w:r>
    </w:p>
    <w:p w14:paraId="0375EB0F" w14:textId="77777777" w:rsidR="00700BA1" w:rsidRDefault="00700BA1" w:rsidP="00700BA1">
      <w:pPr>
        <w:pStyle w:val="a9"/>
        <w:numPr>
          <w:ilvl w:val="0"/>
          <w:numId w:val="1"/>
        </w:numPr>
        <w:spacing w:before="240" w:after="240" w:line="360" w:lineRule="auto"/>
        <w:contextualSpacing w:val="0"/>
        <w:jc w:val="both"/>
      </w:pPr>
      <w:r>
        <w:rPr>
          <w:rFonts w:hint="cs"/>
          <w:rtl/>
        </w:rPr>
        <w:t>למען השלמת התמונה הכללית, יצוין כי התביעה הגישה כתב אישום, בהליך נפרד, כנגד ס.מ, שם ייחסה לו עבירת רצח בנסיבות מחמירות.</w:t>
      </w:r>
    </w:p>
    <w:p w14:paraId="5DC76208" w14:textId="77777777" w:rsidR="00700BA1" w:rsidRDefault="00700BA1" w:rsidP="00700BA1">
      <w:pPr>
        <w:pStyle w:val="a9"/>
        <w:spacing w:before="240" w:after="240" w:line="360" w:lineRule="auto"/>
        <w:ind w:left="360"/>
        <w:contextualSpacing w:val="0"/>
        <w:jc w:val="both"/>
        <w:rPr>
          <w:rtl/>
        </w:rPr>
      </w:pPr>
      <w:r>
        <w:rPr>
          <w:rFonts w:hint="cs"/>
          <w:rtl/>
        </w:rPr>
        <w:t xml:space="preserve">לא הייתה מחלוקת כי הנאשם שבפניי, בזמן הספקת הנשק לס.מ, לא ידע על כוונתו של ס.מ. לרצוח את המנוח. </w:t>
      </w:r>
    </w:p>
    <w:p w14:paraId="4508C6F7" w14:textId="77777777" w:rsidR="00700BA1" w:rsidRPr="0013078B" w:rsidRDefault="00700BA1" w:rsidP="00700BA1">
      <w:pPr>
        <w:pStyle w:val="a9"/>
        <w:spacing w:before="240" w:after="240" w:line="360" w:lineRule="auto"/>
        <w:ind w:left="357"/>
        <w:contextualSpacing w:val="0"/>
        <w:jc w:val="both"/>
        <w:rPr>
          <w:u w:val="single"/>
          <w:rtl/>
        </w:rPr>
      </w:pPr>
      <w:r w:rsidRPr="0013078B">
        <w:rPr>
          <w:rFonts w:hint="cs"/>
          <w:u w:val="single"/>
          <w:rtl/>
        </w:rPr>
        <w:t xml:space="preserve">תסקיר </w:t>
      </w:r>
      <w:r>
        <w:rPr>
          <w:rFonts w:hint="cs"/>
          <w:u w:val="single"/>
          <w:rtl/>
        </w:rPr>
        <w:t>שרות המבחן</w:t>
      </w:r>
    </w:p>
    <w:p w14:paraId="7CC5C772" w14:textId="77777777" w:rsidR="00700BA1" w:rsidRDefault="00700BA1" w:rsidP="00700BA1">
      <w:pPr>
        <w:pStyle w:val="a9"/>
        <w:numPr>
          <w:ilvl w:val="0"/>
          <w:numId w:val="1"/>
        </w:numPr>
        <w:spacing w:before="240" w:after="240" w:line="360" w:lineRule="auto"/>
        <w:ind w:left="357"/>
        <w:contextualSpacing w:val="0"/>
        <w:jc w:val="both"/>
        <w:rPr>
          <w:rtl/>
        </w:rPr>
      </w:pPr>
      <w:r>
        <w:rPr>
          <w:rFonts w:hint="cs"/>
          <w:rtl/>
        </w:rPr>
        <w:t xml:space="preserve">מתסקיר שרות המבחן שהוגש בעניינו של הנאשם עלו הנתונים הבאים: הנאשם, בן 71, נשוי, אב לארבעה ילדים וסב לנכדים, מתגורר עם אשתו בחדרה, עבד טרם מעצרו בתחום של מוצרי חשמל. סיים 12 שנות לימוד עם תעודת מקצוע בתחום החשמל, שירת בצבא שירות מלא וכן שירות מילואים. לאורך השנים שמר על רצף תעסוקתי ועבד כשכיר בעבודות שונות, בגיל 67 יצא לפנסיה לאחר 15 שנות עבודה כמנהל אחזקה בדיור מוגן. לאחר הפסקה של כמה שנים החל לעבוד בחנות חומרי ומוצרי חשמל עד למעצרו. </w:t>
      </w:r>
    </w:p>
    <w:p w14:paraId="4A8158D3" w14:textId="77777777" w:rsidR="00700BA1" w:rsidRDefault="00700BA1" w:rsidP="00700BA1">
      <w:pPr>
        <w:pStyle w:val="a9"/>
        <w:spacing w:before="240" w:after="240" w:line="360" w:lineRule="auto"/>
        <w:ind w:left="357"/>
        <w:contextualSpacing w:val="0"/>
        <w:jc w:val="both"/>
        <w:rPr>
          <w:rtl/>
        </w:rPr>
      </w:pPr>
      <w:r>
        <w:rPr>
          <w:rFonts w:hint="cs"/>
          <w:rtl/>
        </w:rPr>
        <w:t xml:space="preserve">הנאשם אובחן כמתמודד עם פוסט טראומה ועם דיכאון קליני, ותואר כי לאורך השנים מצבו הבריאותי והנפשי היה יציב אולם מאז מעצרו חלה התדרדרות במצבו הנפשי. במסגרת המעצר ובהתייעצות עם פסיכיאטר, החל ליטול טיפול תרופתי נוגד חרדה ודיכאון, אותו המשיך ליטול גם לאחר השחרור בהמלצת פסיכיאטר פרטי. במקביל, פנה הנאשם לקופת החולים על מנת להשתלב בטיפול פסיכולוגי והוא מצוי ברשימת המתנה. הנאשם הסביר כי החזיק בנשק מזה שנים כחלק מתחביב של איסוף חפצים ישנים, ושלל כוונה פלילית או כוונה לעשות שימוש בנשק. הנאשם תיאר בפני שרות המבחן כי סבר שס.מ מעוניין באקדח לצורך תחושת ביטחון ועל רקע חובות כספיים שצבר. </w:t>
      </w:r>
    </w:p>
    <w:p w14:paraId="5F396C98" w14:textId="77777777" w:rsidR="00700BA1" w:rsidRDefault="00700BA1" w:rsidP="00700BA1">
      <w:pPr>
        <w:pStyle w:val="a9"/>
        <w:spacing w:before="240" w:after="240" w:line="360" w:lineRule="auto"/>
        <w:ind w:left="357"/>
        <w:contextualSpacing w:val="0"/>
        <w:jc w:val="both"/>
        <w:rPr>
          <w:rtl/>
        </w:rPr>
      </w:pPr>
      <w:r>
        <w:rPr>
          <w:rFonts w:hint="cs"/>
          <w:rtl/>
        </w:rPr>
        <w:t xml:space="preserve">שרות המבחן התרשם כי הנאשם הצליח להתבונן באופן ביקורתי על התנהלותו, מגלה הבנה לפסול במעשיו, ומביע תחושות כנות של צער וכאב על מותו של המנוח. לצד זאת, שרות המבחן התרשם מהתייחסות מצמצמת </w:t>
      </w:r>
      <w:r>
        <w:rPr>
          <w:rFonts w:hint="cs"/>
          <w:rtl/>
        </w:rPr>
        <w:lastRenderedPageBreak/>
        <w:t>של הנאשם לנסיבות ביצוע העבירה, וההערכה היא כי לנאשם קושי בהפעלת שיקול דעת ובהצבת גבולות חיצוניים במסגרת הקשרים חברתיים. בבחינת הסיכון להישנות ביצוע עבירות העריך שרות המבחן כי קיים סיכון נמוך להישנות עבירות דומות וברמת חומרה נמוכה.</w:t>
      </w:r>
    </w:p>
    <w:p w14:paraId="3907EA2C" w14:textId="77777777" w:rsidR="00700BA1" w:rsidRDefault="00700BA1" w:rsidP="00700BA1">
      <w:pPr>
        <w:pStyle w:val="a9"/>
        <w:spacing w:before="240" w:after="240" w:line="360" w:lineRule="auto"/>
        <w:ind w:left="357"/>
        <w:contextualSpacing w:val="0"/>
        <w:jc w:val="both"/>
        <w:rPr>
          <w:rtl/>
        </w:rPr>
      </w:pPr>
      <w:r>
        <w:rPr>
          <w:rFonts w:hint="cs"/>
          <w:rtl/>
        </w:rPr>
        <w:t xml:space="preserve">לאור האמור המליץ שרות המבחן על ענישה מוחשית בדמות מאסר בעבודות שירות לצד מאסר על תנאי והתחייבות. </w:t>
      </w:r>
    </w:p>
    <w:p w14:paraId="7FAF637C" w14:textId="77777777" w:rsidR="00700BA1" w:rsidRPr="00726424" w:rsidRDefault="00700BA1" w:rsidP="00700BA1">
      <w:pPr>
        <w:pStyle w:val="a9"/>
        <w:spacing w:before="240" w:after="240" w:line="360" w:lineRule="auto"/>
        <w:ind w:left="357"/>
        <w:contextualSpacing w:val="0"/>
        <w:jc w:val="both"/>
        <w:rPr>
          <w:u w:val="single"/>
          <w:rtl/>
        </w:rPr>
      </w:pPr>
      <w:r w:rsidRPr="00726424">
        <w:rPr>
          <w:rFonts w:hint="cs"/>
          <w:u w:val="single"/>
          <w:rtl/>
        </w:rPr>
        <w:t>ראיות לעונש</w:t>
      </w:r>
    </w:p>
    <w:p w14:paraId="06889385" w14:textId="77777777" w:rsidR="00700BA1" w:rsidRDefault="00700BA1" w:rsidP="00700BA1">
      <w:pPr>
        <w:pStyle w:val="a9"/>
        <w:numPr>
          <w:ilvl w:val="0"/>
          <w:numId w:val="1"/>
        </w:numPr>
        <w:spacing w:before="240" w:after="240" w:line="360" w:lineRule="auto"/>
        <w:contextualSpacing w:val="0"/>
        <w:jc w:val="both"/>
      </w:pPr>
      <w:r>
        <w:rPr>
          <w:rFonts w:hint="cs"/>
          <w:rtl/>
        </w:rPr>
        <w:t xml:space="preserve">מגיליון הרישום הפלילי של הנאשם עולה כי ביצע עבירת אלימות בשנת 2009, בגינה נדון לעונש מאסר לריצוי בדרך של עבודת שירות. </w:t>
      </w:r>
    </w:p>
    <w:p w14:paraId="40901861" w14:textId="77777777" w:rsidR="00700BA1" w:rsidRDefault="00700BA1" w:rsidP="00700BA1">
      <w:pPr>
        <w:pStyle w:val="a9"/>
        <w:numPr>
          <w:ilvl w:val="0"/>
          <w:numId w:val="1"/>
        </w:numPr>
        <w:spacing w:before="240" w:after="240" w:line="360" w:lineRule="auto"/>
        <w:contextualSpacing w:val="0"/>
        <w:jc w:val="both"/>
      </w:pPr>
      <w:r>
        <w:rPr>
          <w:rFonts w:hint="cs"/>
          <w:rtl/>
        </w:rPr>
        <w:t>בנו של הנאשם תיאר בעדותו לעונש את הדברים הבאים: "</w:t>
      </w:r>
      <w:r w:rsidRPr="002C4339">
        <w:rPr>
          <w:b/>
          <w:bCs/>
          <w:rtl/>
        </w:rPr>
        <w:t xml:space="preserve">מאז שאבא עבר את כל התהליך, הוא באמת במצב נפשי מאוד גרוע. הוא על כדורים פסיכיאטריים ולא אותו בן אדם. הוא </w:t>
      </w:r>
      <w:r w:rsidRPr="002C4339">
        <w:rPr>
          <w:rFonts w:hint="cs"/>
          <w:b/>
          <w:bCs/>
          <w:rtl/>
        </w:rPr>
        <w:t>א</w:t>
      </w:r>
      <w:r w:rsidRPr="002C4339">
        <w:rPr>
          <w:b/>
          <w:bCs/>
          <w:rtl/>
        </w:rPr>
        <w:t xml:space="preserve">יבד את זה. אין לו יום ואין לו לילה. הוא כל הזמן בוכה על מה שהוא עשה ועל הטעות שעשה. באמת לא הייתה שום כוונה. הוא אבא שתמיד אוהב לעזור, הוא אדם טוב ואין בו שום רוע. הוא אדם שיש בו תמיד נתינה. הילדים והנכדים, יש לי ילדה עם צרכים מיוחדים הקשורה אליו כמו בחבל הטבור. במשך שלושת חודשי המעצר זה </w:t>
      </w:r>
      <w:r>
        <w:rPr>
          <w:b/>
          <w:bCs/>
          <w:rtl/>
        </w:rPr>
        <w:t>היה סבל נוראי בשבילה</w:t>
      </w:r>
      <w:r w:rsidRPr="002C4339">
        <w:rPr>
          <w:b/>
          <w:bCs/>
          <w:rtl/>
        </w:rPr>
        <w:t xml:space="preserve"> ובשבילנו. היא כל הזמן חיפשה אותו.</w:t>
      </w:r>
      <w:r>
        <w:rPr>
          <w:rFonts w:hint="cs"/>
          <w:rtl/>
        </w:rPr>
        <w:t>" (פרו' עמ' 13, ש' 20)</w:t>
      </w:r>
    </w:p>
    <w:p w14:paraId="73040A84" w14:textId="77777777" w:rsidR="00700BA1" w:rsidRDefault="00700BA1" w:rsidP="00700BA1">
      <w:pPr>
        <w:pStyle w:val="a9"/>
        <w:numPr>
          <w:ilvl w:val="0"/>
          <w:numId w:val="1"/>
        </w:numPr>
        <w:spacing w:before="240" w:after="240" w:line="360" w:lineRule="auto"/>
        <w:contextualSpacing w:val="0"/>
        <w:jc w:val="both"/>
      </w:pPr>
      <w:r>
        <w:rPr>
          <w:rFonts w:hint="cs"/>
          <w:rtl/>
        </w:rPr>
        <w:t xml:space="preserve">יצוין כי במסגרת טיעוני הצדדים לעונש ביקשה התביעה להגיש גם הצהרת נפגעת עבירה שנכתבה ע"י אלמנתו של יוסף יוספיה ז"ל, שכאמור נורה למוות באמצעות האקדח אותו סיפק הנאשם, אך ההגנה התנגדה לכך. </w:t>
      </w:r>
    </w:p>
    <w:p w14:paraId="7D145C84" w14:textId="77777777" w:rsidR="00700BA1" w:rsidRDefault="00700BA1" w:rsidP="00700BA1">
      <w:pPr>
        <w:pStyle w:val="a9"/>
        <w:spacing w:before="240" w:after="240" w:line="360" w:lineRule="auto"/>
        <w:ind w:left="360"/>
        <w:contextualSpacing w:val="0"/>
        <w:jc w:val="both"/>
        <w:rPr>
          <w:rtl/>
        </w:rPr>
      </w:pPr>
      <w:r>
        <w:rPr>
          <w:rFonts w:hint="cs"/>
          <w:rtl/>
        </w:rPr>
        <w:t xml:space="preserve">ב"כ התביעה סברה כי אף שמדובר בפרשנות מרחיבה למונח נפגע עבירה לפי </w:t>
      </w:r>
      <w:hyperlink r:id="rId20" w:history="1">
        <w:r w:rsidR="00BC718E" w:rsidRPr="00BC718E">
          <w:rPr>
            <w:rStyle w:val="Hyperlink"/>
            <w:rFonts w:hint="eastAsia"/>
            <w:rtl/>
          </w:rPr>
          <w:t>סעיף</w:t>
        </w:r>
        <w:r w:rsidR="00BC718E" w:rsidRPr="00BC718E">
          <w:rPr>
            <w:rStyle w:val="Hyperlink"/>
            <w:rtl/>
          </w:rPr>
          <w:t xml:space="preserve"> 2</w:t>
        </w:r>
      </w:hyperlink>
      <w:r>
        <w:rPr>
          <w:rFonts w:hint="cs"/>
          <w:rtl/>
        </w:rPr>
        <w:t xml:space="preserve"> ל</w:t>
      </w:r>
      <w:hyperlink r:id="rId21" w:history="1">
        <w:r w:rsidR="008F22C7" w:rsidRPr="008F22C7">
          <w:rPr>
            <w:color w:val="0000FF"/>
            <w:u w:val="single"/>
            <w:rtl/>
          </w:rPr>
          <w:t>חוק זכויות נפגעי עבירה</w:t>
        </w:r>
      </w:hyperlink>
      <w:r>
        <w:rPr>
          <w:rFonts w:hint="cs"/>
          <w:rtl/>
        </w:rPr>
        <w:t xml:space="preserve">, יש מקום בתיק זה, נוכח נסיבותיו החריגות, לאפשר את קבלת ההצהרה. לחילופין עתרה התביעה לראות בהצהרה כ"ראיה אחרת" בהתאם </w:t>
      </w:r>
      <w:hyperlink r:id="rId22" w:history="1">
        <w:r w:rsidR="00BC718E" w:rsidRPr="00BC718E">
          <w:rPr>
            <w:rStyle w:val="Hyperlink"/>
            <w:rFonts w:hint="eastAsia"/>
            <w:rtl/>
          </w:rPr>
          <w:t>לסעיף</w:t>
        </w:r>
        <w:r w:rsidR="00BC718E" w:rsidRPr="00BC718E">
          <w:rPr>
            <w:rStyle w:val="Hyperlink"/>
            <w:rtl/>
          </w:rPr>
          <w:t xml:space="preserve"> 187(א)</w:t>
        </w:r>
      </w:hyperlink>
      <w:r>
        <w:rPr>
          <w:rFonts w:hint="cs"/>
          <w:rtl/>
        </w:rPr>
        <w:t xml:space="preserve"> ל</w:t>
      </w:r>
      <w:hyperlink r:id="rId23" w:history="1">
        <w:r w:rsidR="008F22C7" w:rsidRPr="008F22C7">
          <w:rPr>
            <w:color w:val="0000FF"/>
            <w:u w:val="single"/>
            <w:rtl/>
          </w:rPr>
          <w:t>חוק סדר הדין הפלילי</w:t>
        </w:r>
      </w:hyperlink>
      <w:r>
        <w:rPr>
          <w:rFonts w:hint="cs"/>
          <w:rtl/>
        </w:rPr>
        <w:t xml:space="preserve"> [נוסח משולב], התשמ"ב 1982. </w:t>
      </w:r>
    </w:p>
    <w:p w14:paraId="112E29D2" w14:textId="77777777" w:rsidR="00700BA1" w:rsidRDefault="00700BA1" w:rsidP="00700BA1">
      <w:pPr>
        <w:pStyle w:val="a9"/>
        <w:spacing w:before="240" w:after="240" w:line="360" w:lineRule="auto"/>
        <w:ind w:left="360"/>
        <w:contextualSpacing w:val="0"/>
        <w:jc w:val="both"/>
        <w:rPr>
          <w:rtl/>
        </w:rPr>
      </w:pPr>
      <w:r>
        <w:rPr>
          <w:rFonts w:hint="cs"/>
          <w:rtl/>
        </w:rPr>
        <w:t xml:space="preserve">ב"כ ההגנה סבר כי מדובר בפרשנות מרחיבה למונח נפגע עבירה שאינה מתאימה בנסיבות העניין, ושלל גם את האפשרות "לעקוף" את הרחבת המונח באמצעות פנייה </w:t>
      </w:r>
      <w:hyperlink r:id="rId24" w:history="1">
        <w:r w:rsidR="00BC718E" w:rsidRPr="00BC718E">
          <w:rPr>
            <w:rStyle w:val="Hyperlink"/>
            <w:rFonts w:hint="eastAsia"/>
            <w:rtl/>
          </w:rPr>
          <w:t>לסעיף</w:t>
        </w:r>
        <w:r w:rsidR="00BC718E" w:rsidRPr="00BC718E">
          <w:rPr>
            <w:rStyle w:val="Hyperlink"/>
            <w:rtl/>
          </w:rPr>
          <w:t xml:space="preserve"> 187(א)</w:t>
        </w:r>
      </w:hyperlink>
      <w:r>
        <w:rPr>
          <w:rFonts w:hint="cs"/>
          <w:rtl/>
        </w:rPr>
        <w:t xml:space="preserve"> ל</w:t>
      </w:r>
      <w:hyperlink r:id="rId25" w:history="1">
        <w:r w:rsidR="008F22C7" w:rsidRPr="008F22C7">
          <w:rPr>
            <w:color w:val="0000FF"/>
            <w:u w:val="single"/>
            <w:rtl/>
          </w:rPr>
          <w:t>חוק סדר הדין הפלילי</w:t>
        </w:r>
      </w:hyperlink>
      <w:r>
        <w:rPr>
          <w:rFonts w:hint="cs"/>
          <w:rtl/>
        </w:rPr>
        <w:t>.</w:t>
      </w:r>
    </w:p>
    <w:p w14:paraId="33070620" w14:textId="77777777" w:rsidR="00700BA1" w:rsidRPr="008D0509" w:rsidRDefault="00BC718E" w:rsidP="00700BA1">
      <w:pPr>
        <w:pStyle w:val="a9"/>
        <w:spacing w:before="240" w:after="240" w:line="360" w:lineRule="auto"/>
        <w:ind w:left="360"/>
        <w:contextualSpacing w:val="0"/>
        <w:jc w:val="both"/>
        <w:rPr>
          <w:rtl/>
        </w:rPr>
      </w:pPr>
      <w:hyperlink r:id="rId26" w:history="1">
        <w:r w:rsidRPr="00BC718E">
          <w:rPr>
            <w:rStyle w:val="Hyperlink"/>
            <w:rFonts w:hint="eastAsia"/>
            <w:rtl/>
          </w:rPr>
          <w:t>סעיף</w:t>
        </w:r>
        <w:r w:rsidRPr="00BC718E">
          <w:rPr>
            <w:rStyle w:val="Hyperlink"/>
            <w:rtl/>
          </w:rPr>
          <w:t xml:space="preserve"> 2</w:t>
        </w:r>
      </w:hyperlink>
      <w:r w:rsidR="00700BA1">
        <w:rPr>
          <w:rFonts w:hint="cs"/>
          <w:rtl/>
        </w:rPr>
        <w:t xml:space="preserve"> ל</w:t>
      </w:r>
      <w:hyperlink r:id="rId27" w:history="1">
        <w:r w:rsidR="008F22C7" w:rsidRPr="008F22C7">
          <w:rPr>
            <w:color w:val="0000FF"/>
            <w:u w:val="single"/>
            <w:rtl/>
          </w:rPr>
          <w:t>חוק זכויות נפגעי עבירה</w:t>
        </w:r>
      </w:hyperlink>
      <w:r w:rsidR="00700BA1">
        <w:rPr>
          <w:rFonts w:hint="cs"/>
          <w:rtl/>
        </w:rPr>
        <w:t xml:space="preserve"> מגדיר "נפגע עבירה" כך: "</w:t>
      </w:r>
      <w:r w:rsidR="00700BA1" w:rsidRPr="006A1547">
        <w:rPr>
          <w:b/>
          <w:bCs/>
          <w:rtl/>
        </w:rPr>
        <w:t xml:space="preserve">מי שנפגע </w:t>
      </w:r>
      <w:r w:rsidR="00700BA1" w:rsidRPr="00E15DBB">
        <w:rPr>
          <w:b/>
          <w:bCs/>
          <w:u w:val="single"/>
          <w:rtl/>
        </w:rPr>
        <w:t>במישרין</w:t>
      </w:r>
      <w:r w:rsidR="00700BA1" w:rsidRPr="006A1547">
        <w:rPr>
          <w:b/>
          <w:bCs/>
          <w:rtl/>
        </w:rPr>
        <w:t xml:space="preserve"> מעבירה, וכן בן משפחה של מי שהעבירה גרמה למותו, למעט החשוד, הנאשם או הנידון</w:t>
      </w:r>
      <w:r w:rsidR="00700BA1" w:rsidRPr="006A1547">
        <w:rPr>
          <w:rFonts w:hint="cs"/>
          <w:rtl/>
        </w:rPr>
        <w:t>"</w:t>
      </w:r>
      <w:r w:rsidR="00700BA1">
        <w:rPr>
          <w:rFonts w:hint="cs"/>
          <w:rtl/>
        </w:rPr>
        <w:t xml:space="preserve"> (ההדגשה שלי </w:t>
      </w:r>
      <w:r w:rsidR="00700BA1">
        <w:rPr>
          <w:rtl/>
        </w:rPr>
        <w:t>–</w:t>
      </w:r>
      <w:r w:rsidR="00700BA1">
        <w:rPr>
          <w:rFonts w:hint="cs"/>
          <w:rtl/>
        </w:rPr>
        <w:t xml:space="preserve"> ב.ש). בענייננו מדובר כאמור בנאשם שסיפק נשק לאחר, וכשעתיים לאחר מכן אותו אחר ירה למוות ביוסף יוספיה ז"ל. בהעדר מחלוקת בדבר חוסר ידיעתו של הנאשם אודות כוונותיו הקטלניות של ס.מ, ונוכח "הנתק" בין אירוע הספקת האקדח (המגולם בכתב האישום שבפניי) לבין אירוע הרצח (המגולם בכתב האישום שהוגש נגד ס.מ) דומני כי לא ניתן לראות באלמנתו של מר יוספיה כמי שנפגעה </w:t>
      </w:r>
      <w:r w:rsidR="00700BA1">
        <w:rPr>
          <w:rFonts w:hint="cs"/>
          <w:b/>
          <w:bCs/>
          <w:rtl/>
        </w:rPr>
        <w:t>במישרין</w:t>
      </w:r>
      <w:r w:rsidR="00700BA1">
        <w:rPr>
          <w:rFonts w:hint="cs"/>
          <w:rtl/>
        </w:rPr>
        <w:t xml:space="preserve"> מעבירת הספקת הנשק שבוצעה בתיק שבפניי, ומכאן שאין בידי לקבל את עמדת התביעה בהקשר זה. אין בידי לקבל אף את עמדתה החלופית של התביעה לפיה יש לראות </w:t>
      </w:r>
      <w:hyperlink r:id="rId28" w:history="1">
        <w:r w:rsidRPr="00BC718E">
          <w:rPr>
            <w:rStyle w:val="Hyperlink"/>
            <w:rFonts w:hint="eastAsia"/>
            <w:rtl/>
          </w:rPr>
          <w:t>בסעיף</w:t>
        </w:r>
        <w:r w:rsidRPr="00BC718E">
          <w:rPr>
            <w:rStyle w:val="Hyperlink"/>
            <w:rtl/>
          </w:rPr>
          <w:t xml:space="preserve"> 187(א)</w:t>
        </w:r>
      </w:hyperlink>
      <w:r w:rsidR="00700BA1">
        <w:rPr>
          <w:rFonts w:hint="cs"/>
          <w:rtl/>
        </w:rPr>
        <w:t xml:space="preserve"> ל</w:t>
      </w:r>
      <w:hyperlink r:id="rId29" w:history="1">
        <w:r w:rsidR="008F22C7" w:rsidRPr="008F22C7">
          <w:rPr>
            <w:color w:val="0000FF"/>
            <w:u w:val="single"/>
            <w:rtl/>
          </w:rPr>
          <w:t>חסד"פ</w:t>
        </w:r>
      </w:hyperlink>
      <w:r w:rsidR="00700BA1">
        <w:rPr>
          <w:rFonts w:hint="cs"/>
          <w:rtl/>
        </w:rPr>
        <w:t xml:space="preserve"> ככזה היוצר מסלול עוקף להוראת </w:t>
      </w:r>
      <w:hyperlink r:id="rId30" w:history="1">
        <w:r w:rsidRPr="00BC718E">
          <w:rPr>
            <w:rStyle w:val="Hyperlink"/>
            <w:rFonts w:hint="eastAsia"/>
            <w:rtl/>
          </w:rPr>
          <w:t>סעיף</w:t>
        </w:r>
        <w:r w:rsidRPr="00BC718E">
          <w:rPr>
            <w:rStyle w:val="Hyperlink"/>
            <w:rtl/>
          </w:rPr>
          <w:t xml:space="preserve"> 2</w:t>
        </w:r>
      </w:hyperlink>
      <w:r w:rsidR="00700BA1">
        <w:rPr>
          <w:rFonts w:hint="cs"/>
          <w:rtl/>
        </w:rPr>
        <w:t xml:space="preserve"> ל</w:t>
      </w:r>
      <w:hyperlink r:id="rId31" w:history="1">
        <w:r w:rsidR="008F22C7" w:rsidRPr="008F22C7">
          <w:rPr>
            <w:color w:val="0000FF"/>
            <w:u w:val="single"/>
            <w:rtl/>
          </w:rPr>
          <w:t>חוק זכויות נפגעי עבירה</w:t>
        </w:r>
      </w:hyperlink>
      <w:r w:rsidR="00700BA1">
        <w:rPr>
          <w:rFonts w:hint="cs"/>
          <w:rtl/>
        </w:rPr>
        <w:t>, המהווה דין ספציפי לצורך הגשת הצהרות קורבנות עבירה. לצד זאת, אומר את הברור מאליו: לא בכל אירוע בו מבוצעת עבירת נשק ניתן "לעקוב" אחר תוצאתה הקטלנית של העבירה, ואילו במקרה שבפניי כעת, ניתן לעשות כן. הדברים משליכים על קביעת המתחם באופן שניתן לומר שפוטנציאל הנזק שנגרם כתוצאה ממעשיו של הנאשם התממש בצורה הקשה ביותר שניתן להעלות על הדעת, ועל כך ארחיב בהמשך.</w:t>
      </w:r>
    </w:p>
    <w:p w14:paraId="2F82D33E" w14:textId="77777777" w:rsidR="00700BA1" w:rsidRPr="002C4339" w:rsidRDefault="00700BA1" w:rsidP="00700BA1">
      <w:pPr>
        <w:spacing w:before="240" w:after="240" w:line="360" w:lineRule="auto"/>
        <w:ind w:left="360"/>
        <w:jc w:val="both"/>
        <w:rPr>
          <w:u w:val="single"/>
          <w:rtl/>
        </w:rPr>
      </w:pPr>
      <w:r>
        <w:rPr>
          <w:rFonts w:hint="cs"/>
          <w:u w:val="single"/>
          <w:rtl/>
        </w:rPr>
        <w:t xml:space="preserve">תמצית טיעוני הצדדים לעונש </w:t>
      </w:r>
    </w:p>
    <w:p w14:paraId="48EEAE4A" w14:textId="77777777" w:rsidR="00700BA1" w:rsidRDefault="00700BA1" w:rsidP="00700BA1">
      <w:pPr>
        <w:pStyle w:val="a9"/>
        <w:numPr>
          <w:ilvl w:val="0"/>
          <w:numId w:val="1"/>
        </w:numPr>
        <w:spacing w:before="240" w:after="240" w:line="360" w:lineRule="auto"/>
        <w:contextualSpacing w:val="0"/>
        <w:jc w:val="both"/>
      </w:pPr>
      <w:r>
        <w:rPr>
          <w:rFonts w:hint="cs"/>
          <w:rtl/>
        </w:rPr>
        <w:t>ב"כ המאשימה, עו"ד מלצמן, עמדה בטיעונה על הערכים המוגנים שנפגעו מביצוע העבירה ובהם שמירה על חיי אדם, שלמות גופו ונפשו של הציבור, שמירה על הסדר הציבורי ואורח החיים התקין. התובעת סברה כי מדובר בתיק ייחודי בחומרתו וכך טענה: "</w:t>
      </w:r>
      <w:r w:rsidRPr="00227543">
        <w:rPr>
          <w:b/>
          <w:bCs/>
          <w:rtl/>
        </w:rPr>
        <w:t>בשונה מתיקי נשק רבים בהם נשק נתפס בעקבות חיפוש או מידע מודיעיני או מבצעי סוכן, הנשק כאן נתפס בעקבות שימוש בו, בעקבות רצח, ולכן אנו טוענים שאנו ברמה הגבוהה ביותר של הספקת נשק מסוג זה</w:t>
      </w:r>
      <w:r>
        <w:rPr>
          <w:rFonts w:hint="cs"/>
          <w:rtl/>
        </w:rPr>
        <w:t>" (פרו', עמ' 14, ש' 5).</w:t>
      </w:r>
      <w:r w:rsidRPr="00227543">
        <w:rPr>
          <w:rtl/>
        </w:rPr>
        <w:t xml:space="preserve"> </w:t>
      </w:r>
      <w:r>
        <w:rPr>
          <w:rFonts w:hint="cs"/>
          <w:rtl/>
        </w:rPr>
        <w:t>עוד עמדה התובעת על מגמת ההחמרה בעבירות הנשק, הבאה לידי ביטוי הן בתיקון 140 ל</w:t>
      </w:r>
      <w:hyperlink r:id="rId32" w:history="1">
        <w:r w:rsidR="008F22C7" w:rsidRPr="008F22C7">
          <w:rPr>
            <w:color w:val="0000FF"/>
            <w:u w:val="single"/>
            <w:rtl/>
          </w:rPr>
          <w:t>חוק העונשין</w:t>
        </w:r>
      </w:hyperlink>
      <w:r>
        <w:rPr>
          <w:rFonts w:hint="cs"/>
          <w:rtl/>
        </w:rPr>
        <w:t xml:space="preserve"> והן בפסיקתו של בית המשפט העליון שהגדירן כמכת מדינה ומצב חירום של ממש, תוך שהציגה פסיקה המתארת את התפתחות המגמה. בבחינת נסיבות ביצוע העבירה עמדה התובעת על החומרה הטמונה בעובדה כי הנשק סופק עם מחסנית וכמות גדולה של כדורים, וכן על העובדה כי עד היום הנאשם לא שיתף פעולה עם המשטרה ביחס למקור הנשק. התובעת דחתה בטיעונה טענות אפשריות של ההגנה הנוגעות להיותו של הנשק "נשק אספנות" ומשך החזקתו. </w:t>
      </w:r>
    </w:p>
    <w:p w14:paraId="07A132A4" w14:textId="77777777" w:rsidR="00700BA1" w:rsidRDefault="00700BA1" w:rsidP="00700BA1">
      <w:pPr>
        <w:pStyle w:val="a9"/>
        <w:spacing w:before="240" w:after="240" w:line="360" w:lineRule="auto"/>
        <w:ind w:left="357"/>
        <w:contextualSpacing w:val="0"/>
        <w:jc w:val="both"/>
        <w:rPr>
          <w:rtl/>
        </w:rPr>
      </w:pPr>
      <w:r>
        <w:rPr>
          <w:rFonts w:hint="cs"/>
          <w:rtl/>
        </w:rPr>
        <w:t xml:space="preserve">על כלל הנתונים שהוצגו וכן פסיקה והנחיית פרקליט המדינה, עתרה התובעת לקבוע מתחם הנע בין 50 ל-70 חודשי מאסר. </w:t>
      </w:r>
    </w:p>
    <w:p w14:paraId="4E206451" w14:textId="77777777" w:rsidR="00700BA1" w:rsidRDefault="00700BA1" w:rsidP="00700BA1">
      <w:pPr>
        <w:pStyle w:val="a9"/>
        <w:spacing w:before="240" w:after="240" w:line="360" w:lineRule="auto"/>
        <w:ind w:left="357"/>
        <w:contextualSpacing w:val="0"/>
        <w:jc w:val="both"/>
        <w:rPr>
          <w:rtl/>
        </w:rPr>
      </w:pPr>
      <w:r>
        <w:rPr>
          <w:rFonts w:hint="cs"/>
          <w:rtl/>
        </w:rPr>
        <w:t xml:space="preserve">באשר למיקומו של הנאשם בתוך המתחם סברה כי יש למקמו בתחתית המתחם נוכח גילו, רישומו הפלילי שהתיישן, לקיחת האחריות והבעת החרטה וכן החיסכון בזמן ציבורי. התובעת סברה כי יש לדחות את המלצת שרות המבחן ועתרה לגזירת עונש של 50 חודשי מאסר, לצד מאסר על תנאי, קנס ופיצוי. </w:t>
      </w:r>
    </w:p>
    <w:p w14:paraId="4BB54DBE" w14:textId="77777777" w:rsidR="00700BA1" w:rsidRDefault="00700BA1" w:rsidP="00700BA1">
      <w:pPr>
        <w:pStyle w:val="a9"/>
        <w:numPr>
          <w:ilvl w:val="0"/>
          <w:numId w:val="1"/>
        </w:numPr>
        <w:spacing w:before="240" w:after="240" w:line="360" w:lineRule="auto"/>
        <w:contextualSpacing w:val="0"/>
        <w:jc w:val="both"/>
      </w:pPr>
      <w:r>
        <w:rPr>
          <w:rFonts w:hint="cs"/>
          <w:rtl/>
        </w:rPr>
        <w:t>ב"כ הנאשם, עו"ד שי לוי, סבר כי לא ניתן ללמוד על חומרה יתרה בעניינו נוכח סמיכות הזמנים שבין אספקת הנשק לשימוש בו, וכך טען "</w:t>
      </w:r>
      <w:r w:rsidRPr="004D268B">
        <w:rPr>
          <w:b/>
          <w:bCs/>
          <w:rtl/>
        </w:rPr>
        <w:t>הנשק הזה למרבה הצער, ובסמיכות זמנים באמת מטרידה, בין הספקת הנשק של הנאשם לבין האירוע שמיוחס לאדם אחר, וגרם לטראגיות קשה. אבל, אנחנו חייבים להבין דבר אחד, וגם עליו אני חושב שאין מחלוקת. כל הספקת נשק גלום בה פוטנציאל לגרימת נזק, ולו הגרוע ביותר. עניין סמיכות הזמנים הוא לאו דווקא הנסיבה המחמירה, כי יכול והיה משתמש בנשק זה אותו אדם שבוע לאחר מכן, זה לא מעלה או מוריד מחומרת עבירת הספקת הנשק בפועל, למה שקרה</w:t>
      </w:r>
      <w:r>
        <w:rPr>
          <w:rFonts w:hint="cs"/>
          <w:rtl/>
        </w:rPr>
        <w:t>" (פרו', עמ' 17, ש' 11).</w:t>
      </w:r>
    </w:p>
    <w:p w14:paraId="05745575" w14:textId="77777777" w:rsidR="00700BA1" w:rsidRDefault="00700BA1" w:rsidP="00700BA1">
      <w:pPr>
        <w:pStyle w:val="a9"/>
        <w:spacing w:before="240" w:after="240" w:line="360" w:lineRule="auto"/>
        <w:ind w:left="360"/>
        <w:contextualSpacing w:val="0"/>
        <w:jc w:val="both"/>
        <w:rPr>
          <w:rtl/>
        </w:rPr>
      </w:pPr>
      <w:r>
        <w:rPr>
          <w:rFonts w:hint="cs"/>
          <w:rtl/>
        </w:rPr>
        <w:t xml:space="preserve">עוד עמד הסנגור על מיהותו של הנאשם ועל השפעת המעצר והאירועים מושא כתב האישום על חיו. </w:t>
      </w:r>
    </w:p>
    <w:p w14:paraId="5AFF1E67" w14:textId="77777777" w:rsidR="00700BA1" w:rsidRDefault="00700BA1" w:rsidP="00700BA1">
      <w:pPr>
        <w:pStyle w:val="a9"/>
        <w:spacing w:before="240" w:after="240" w:line="360" w:lineRule="auto"/>
        <w:ind w:left="360"/>
        <w:contextualSpacing w:val="0"/>
        <w:jc w:val="both"/>
        <w:rPr>
          <w:rtl/>
        </w:rPr>
      </w:pPr>
      <w:r>
        <w:rPr>
          <w:rFonts w:hint="cs"/>
          <w:rtl/>
        </w:rPr>
        <w:t xml:space="preserve">באשר למתחם העונש ההולם, ועל יסוד פסיקה שהציג, סבר הסנגור כי יש לקבוע מתחם הנע בין 10 ל-36 חודשי מאסר, תוך שיש מקום לסטות גם ממתחם זה, בין היתר על רקע גילו המתקדם של הנאשם ומצבו הרפואי. הסנגור סמך ידו בעתירה לסטייה ממתחם העונש הן על המלצת שרות המבחן שבחן את מצבו האישי והמשפחתי של הנאשם, והן על עדות בנו של הנאשם על השפעת העונש על הנאשם ומשפחתו, ובכללם נכדתו של הנאשם </w:t>
      </w:r>
      <w:r>
        <w:rPr>
          <w:rtl/>
        </w:rPr>
        <w:t>-</w:t>
      </w:r>
      <w:r>
        <w:rPr>
          <w:rFonts w:hint="cs"/>
          <w:rtl/>
        </w:rPr>
        <w:t xml:space="preserve"> ילדה צעירה עם צרכים מיוחדים הקשורה מאוד לנאשם. </w:t>
      </w:r>
    </w:p>
    <w:p w14:paraId="083E3867" w14:textId="77777777" w:rsidR="00700BA1" w:rsidRDefault="00700BA1" w:rsidP="00700BA1">
      <w:pPr>
        <w:pStyle w:val="a9"/>
        <w:spacing w:before="240" w:after="240" w:line="360" w:lineRule="auto"/>
        <w:ind w:left="360"/>
        <w:contextualSpacing w:val="0"/>
        <w:jc w:val="both"/>
        <w:rPr>
          <w:rtl/>
        </w:rPr>
      </w:pPr>
      <w:r>
        <w:rPr>
          <w:rFonts w:hint="cs"/>
          <w:rtl/>
        </w:rPr>
        <w:t>לאור האמור עתר הסנגור לאמץ את המלצת שרות המבחן ולהטיל על הנאשם עונש מאסר שירוצה על דרך של עבודות שירות, לצד צו מבחן.</w:t>
      </w:r>
    </w:p>
    <w:p w14:paraId="560678DF" w14:textId="77777777" w:rsidR="00700BA1" w:rsidRDefault="00700BA1" w:rsidP="00700BA1">
      <w:pPr>
        <w:pStyle w:val="a9"/>
        <w:numPr>
          <w:ilvl w:val="0"/>
          <w:numId w:val="1"/>
        </w:numPr>
        <w:spacing w:before="240" w:after="240" w:line="360" w:lineRule="auto"/>
        <w:contextualSpacing w:val="0"/>
        <w:jc w:val="both"/>
      </w:pPr>
      <w:r>
        <w:rPr>
          <w:rFonts w:hint="cs"/>
          <w:rtl/>
        </w:rPr>
        <w:t>הנאשם בדברו האחרון מסר את הדברים הבאים: "</w:t>
      </w:r>
      <w:r w:rsidRPr="00DF7338">
        <w:rPr>
          <w:b/>
          <w:bCs/>
          <w:rtl/>
        </w:rPr>
        <w:t>אני מתנצל בפני המשפחה (בוכה...) לא ידעתי כלום, לא הכרתי את האדם, לא ראיתי אותו מעולם, לא ידעתי את הכוונות של האדם השפל הזה. הוא ניצל אותי וכואב לי על מה שהוא עשה לאנשים האלה. מה הוא עשה לו שהיה צריך להרוג אותו? לא הבנתי. כואב לי עליהם. הוא פשוט הרג אותו. לא ידעתי. מסכן המנוח, לא הכרתי, לא יודע. הוא לא אמר לי כלום, כלום. זה גמר אותי. אני מושפל, אני מצטער, אני מתבייש. אני מתבייש. לא ידעתי כלום</w:t>
      </w:r>
      <w:r>
        <w:rPr>
          <w:rFonts w:hint="cs"/>
          <w:rtl/>
        </w:rPr>
        <w:t>" (פרו', עמ' 20, ש' 14).</w:t>
      </w:r>
    </w:p>
    <w:p w14:paraId="5157D85B" w14:textId="77777777" w:rsidR="00700BA1" w:rsidRDefault="00700BA1" w:rsidP="00700BA1">
      <w:pPr>
        <w:spacing w:before="240" w:after="240" w:line="360" w:lineRule="auto"/>
        <w:ind w:left="360"/>
        <w:jc w:val="both"/>
        <w:rPr>
          <w:u w:val="single"/>
          <w:rtl/>
        </w:rPr>
      </w:pPr>
      <w:r w:rsidRPr="009F2EFB">
        <w:rPr>
          <w:rFonts w:hint="cs"/>
          <w:u w:val="single"/>
          <w:rtl/>
        </w:rPr>
        <w:t>דיון והכרעה</w:t>
      </w:r>
    </w:p>
    <w:p w14:paraId="3213F0A1" w14:textId="77777777" w:rsidR="00700BA1" w:rsidRPr="000C59F3" w:rsidRDefault="00700BA1" w:rsidP="00700BA1">
      <w:pPr>
        <w:pStyle w:val="a9"/>
        <w:numPr>
          <w:ilvl w:val="0"/>
          <w:numId w:val="1"/>
        </w:numPr>
        <w:spacing w:before="240" w:after="240" w:line="360" w:lineRule="auto"/>
        <w:contextualSpacing w:val="0"/>
        <w:jc w:val="both"/>
        <w:rPr>
          <w:rFonts w:ascii="Arial" w:hAnsi="Arial"/>
          <w:b/>
          <w:bCs/>
        </w:rPr>
      </w:pPr>
      <w:r>
        <w:rPr>
          <w:rFonts w:ascii="Arial" w:hAnsi="Arial"/>
          <w:rtl/>
        </w:rPr>
        <w:t>בית המשפט העליון עמד בשורה ארוכה של פסקי דין על מגוון הערכים המוגנים הנפגעים כתוצאה מעבירות הנשק, שהמרכזי בהם - הצורך בשמירה על שלום הציבור ובטחונו</w:t>
      </w:r>
      <w:r>
        <w:rPr>
          <w:rFonts w:ascii="Arial" w:hAnsi="Arial" w:hint="cs"/>
          <w:rtl/>
        </w:rPr>
        <w:t xml:space="preserve">. עוד עמד בית המשפט העליון, וביתר שאת בתקופה האחרונה, </w:t>
      </w:r>
      <w:r>
        <w:rPr>
          <w:rFonts w:ascii="Arial" w:hAnsi="Arial"/>
          <w:rtl/>
        </w:rPr>
        <w:t xml:space="preserve">על הצורך </w:t>
      </w:r>
      <w:r>
        <w:rPr>
          <w:rFonts w:ascii="Arial" w:hAnsi="Arial" w:hint="cs"/>
          <w:rtl/>
        </w:rPr>
        <w:t xml:space="preserve">בהעלאת רף הענישה בעבירות מסוג זה נוכח פגיעתן הקשה בציבור. </w:t>
      </w:r>
    </w:p>
    <w:p w14:paraId="42031499" w14:textId="77777777" w:rsidR="00700BA1" w:rsidRDefault="00700BA1" w:rsidP="00700BA1">
      <w:pPr>
        <w:pStyle w:val="a9"/>
        <w:spacing w:before="240" w:after="240" w:line="360" w:lineRule="auto"/>
        <w:ind w:left="340"/>
        <w:contextualSpacing w:val="0"/>
        <w:jc w:val="both"/>
        <w:rPr>
          <w:rFonts w:ascii="Arial" w:hAnsi="Arial"/>
        </w:rPr>
      </w:pPr>
      <w:r>
        <w:rPr>
          <w:rFonts w:ascii="Arial" w:hAnsi="Arial"/>
          <w:rtl/>
        </w:rPr>
        <w:t>וכך נקבע, בין היתר: "</w:t>
      </w:r>
      <w:r>
        <w:rPr>
          <w:rFonts w:ascii="Arial" w:hAnsi="Arial"/>
          <w:b/>
          <w:bCs/>
          <w:rtl/>
        </w:rPr>
        <w:t xml:space="preserve">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(ראו: </w:t>
      </w:r>
      <w:hyperlink r:id="rId33" w:history="1">
        <w:r w:rsidR="008F22C7" w:rsidRPr="008F22C7">
          <w:rPr>
            <w:rFonts w:ascii="Arial" w:hAnsi="Arial"/>
            <w:b/>
            <w:bCs/>
            <w:color w:val="0000FF"/>
            <w:u w:val="single"/>
            <w:rtl/>
          </w:rPr>
          <w:t>ע"פ 1695/22</w:t>
        </w:r>
      </w:hyperlink>
      <w:r>
        <w:rPr>
          <w:rFonts w:ascii="Arial" w:hAnsi="Arial"/>
          <w:b/>
          <w:bCs/>
          <w:rtl/>
        </w:rPr>
        <w:t xml:space="preserve"> מדינת ישראל נ' גנאים, פסקה 11 (29.3.2022)), והן מהוות בסיס לביצוע פעילות עבריינית, פשיעה לאומנית ופעולות טרור מסכנות חיים (ראו: </w:t>
      </w:r>
      <w:hyperlink r:id="rId34" w:history="1">
        <w:r w:rsidR="008F22C7" w:rsidRPr="008F22C7">
          <w:rPr>
            <w:rFonts w:ascii="Arial" w:hAnsi="Arial"/>
            <w:b/>
            <w:bCs/>
            <w:color w:val="0000FF"/>
            <w:u w:val="single"/>
            <w:rtl/>
          </w:rPr>
          <w:t>ע"פ 309/22</w:t>
        </w:r>
      </w:hyperlink>
      <w:r>
        <w:rPr>
          <w:rFonts w:ascii="Arial" w:hAnsi="Arial"/>
          <w:b/>
          <w:bCs/>
          <w:rtl/>
        </w:rPr>
        <w:t xml:space="preserve"> מדינת ישראל נ' ביאדסה, פסקה 6 (10.5.2022)). זמינותם ונגישותם של כלי נשק בלתי חוקיים מאפשרות שימוש תדיר בנשק ככלי לפתרון סכסוכים, לעיתים תוך ירי באזורי מגורים, וגביית קורבנות בגוף ובנפש</w:t>
      </w:r>
      <w:r>
        <w:rPr>
          <w:rFonts w:ascii="Arial" w:hAnsi="Arial"/>
          <w:rtl/>
        </w:rPr>
        <w:t>" (</w:t>
      </w:r>
      <w:hyperlink r:id="rId35" w:history="1">
        <w:r w:rsidR="008F22C7" w:rsidRPr="008F22C7">
          <w:rPr>
            <w:rFonts w:ascii="Arial" w:hAnsi="Arial"/>
            <w:color w:val="0000FF"/>
            <w:u w:val="single"/>
            <w:rtl/>
          </w:rPr>
          <w:t>ע"פ 579/22</w:t>
        </w:r>
      </w:hyperlink>
      <w:r>
        <w:rPr>
          <w:rFonts w:ascii="Arial" w:hAnsi="Arial"/>
          <w:rtl/>
        </w:rPr>
        <w:t xml:space="preserve"> </w:t>
      </w:r>
      <w:r>
        <w:rPr>
          <w:rFonts w:ascii="Arial" w:hAnsi="Arial"/>
          <w:b/>
          <w:bCs/>
          <w:rtl/>
        </w:rPr>
        <w:t>מדינת ישראל נ' טחאינה</w:t>
      </w:r>
      <w:r>
        <w:rPr>
          <w:rFonts w:ascii="Arial" w:hAnsi="Arial"/>
          <w:rtl/>
        </w:rPr>
        <w:t xml:space="preserve"> (13.6.2022). </w:t>
      </w:r>
    </w:p>
    <w:p w14:paraId="0B3A0FB2" w14:textId="77777777" w:rsidR="00700BA1" w:rsidRDefault="00700BA1" w:rsidP="00700BA1">
      <w:pPr>
        <w:pStyle w:val="a9"/>
        <w:spacing w:before="240" w:after="240" w:line="360" w:lineRule="auto"/>
        <w:ind w:left="340"/>
        <w:contextualSpacing w:val="0"/>
        <w:jc w:val="both"/>
        <w:rPr>
          <w:rFonts w:ascii="Arial" w:hAnsi="Arial"/>
          <w:rtl/>
        </w:rPr>
      </w:pPr>
      <w:r>
        <w:rPr>
          <w:rFonts w:ascii="Arial" w:hAnsi="Arial"/>
          <w:rtl/>
        </w:rPr>
        <w:t xml:space="preserve">עוד נקבע כי יש לראות את תופעת הסחר הבלתי-חוקי בנשק בחומרה רבה, בהיותה יוצרת "שוק" מחתרתי וסוללת את הדרך לפעילות אלימה ובלתי חוקית. ניסיון החיים מלמד כי נשק שמקורו מפוקפק מוצא את דרכו לידיים עברייניות. סחר בלתי חוקי בנשק מהווה אפוא נדבך משמעותי בשרשרת עבירות בנשק, וגדיעתו מהווה תנאי הכרחי למיגורם של מעשי אלימות חמורים [ראו </w:t>
      </w:r>
      <w:hyperlink r:id="rId36" w:history="1">
        <w:r w:rsidR="008F22C7" w:rsidRPr="008F22C7">
          <w:rPr>
            <w:rFonts w:ascii="Arial" w:hAnsi="Arial"/>
            <w:color w:val="0000FF"/>
            <w:u w:val="single"/>
            <w:rtl/>
          </w:rPr>
          <w:t>ע"פ 2251/11</w:t>
        </w:r>
      </w:hyperlink>
      <w:r>
        <w:rPr>
          <w:rFonts w:ascii="Arial" w:hAnsi="Arial"/>
          <w:rtl/>
        </w:rPr>
        <w:t xml:space="preserve"> </w:t>
      </w:r>
      <w:r>
        <w:rPr>
          <w:rFonts w:ascii="Arial" w:hAnsi="Arial"/>
          <w:b/>
          <w:bCs/>
          <w:rtl/>
        </w:rPr>
        <w:t>נפאע נ' מדינת ישראל</w:t>
      </w:r>
      <w:r>
        <w:rPr>
          <w:rFonts w:ascii="Arial" w:hAnsi="Arial"/>
          <w:rtl/>
        </w:rPr>
        <w:t xml:space="preserve"> (4.12.2011); </w:t>
      </w:r>
      <w:hyperlink r:id="rId37" w:history="1">
        <w:r w:rsidR="008F22C7" w:rsidRPr="008F22C7">
          <w:rPr>
            <w:rFonts w:ascii="Arial" w:hAnsi="Arial"/>
            <w:color w:val="0000FF"/>
            <w:u w:val="single"/>
            <w:rtl/>
          </w:rPr>
          <w:t>ע"פ 4154/16</w:t>
        </w:r>
      </w:hyperlink>
      <w:r>
        <w:rPr>
          <w:rFonts w:ascii="Arial" w:hAnsi="Arial"/>
          <w:rtl/>
        </w:rPr>
        <w:t xml:space="preserve"> </w:t>
      </w:r>
      <w:r>
        <w:rPr>
          <w:rFonts w:ascii="Arial" w:hAnsi="Arial"/>
          <w:b/>
          <w:bCs/>
          <w:rtl/>
        </w:rPr>
        <w:t>דהוד נ' מדינת ישראל</w:t>
      </w:r>
      <w:r>
        <w:rPr>
          <w:rFonts w:ascii="Arial" w:hAnsi="Arial"/>
          <w:rtl/>
        </w:rPr>
        <w:t xml:space="preserve"> (19.01.2017)].</w:t>
      </w:r>
    </w:p>
    <w:p w14:paraId="4D78D889" w14:textId="77777777" w:rsidR="00700BA1" w:rsidRDefault="00700BA1" w:rsidP="00700BA1">
      <w:pPr>
        <w:pStyle w:val="a9"/>
        <w:spacing w:before="240" w:after="240" w:line="360" w:lineRule="auto"/>
        <w:ind w:left="340"/>
        <w:contextualSpacing w:val="0"/>
        <w:jc w:val="both"/>
        <w:rPr>
          <w:rFonts w:ascii="Arial" w:hAnsi="Arial"/>
          <w:rtl/>
        </w:rPr>
      </w:pPr>
      <w:r>
        <w:rPr>
          <w:rFonts w:ascii="Arial" w:hAnsi="Arial" w:hint="cs"/>
          <w:rtl/>
        </w:rPr>
        <w:t xml:space="preserve">אני ער לעובדה שאין עסקינן בסחר במובנו הרגיל, דהיינו הספקת נשק כנגד תשלום, אך עדיין </w:t>
      </w:r>
      <w:r>
        <w:rPr>
          <w:rFonts w:ascii="Arial" w:hAnsi="Arial"/>
          <w:rtl/>
        </w:rPr>
        <w:t>–</w:t>
      </w:r>
      <w:r>
        <w:rPr>
          <w:rFonts w:ascii="Arial" w:hAnsi="Arial" w:hint="cs"/>
          <w:rtl/>
        </w:rPr>
        <w:t xml:space="preserve"> מעשהו של הנאשם הוביל לאותה תוצאה של העברת הנשק בין גורמים שונים, ללא יכולת שליטה על הנעשה באותו נשק בהמשך. </w:t>
      </w:r>
    </w:p>
    <w:p w14:paraId="3017D471" w14:textId="77777777" w:rsidR="00700BA1" w:rsidRDefault="00700BA1" w:rsidP="00700BA1">
      <w:pPr>
        <w:pStyle w:val="a9"/>
        <w:numPr>
          <w:ilvl w:val="0"/>
          <w:numId w:val="1"/>
        </w:numPr>
        <w:spacing w:before="240" w:after="240" w:line="360" w:lineRule="auto"/>
        <w:contextualSpacing w:val="0"/>
        <w:jc w:val="both"/>
        <w:rPr>
          <w:rFonts w:ascii="Arial" w:hAnsi="Arial"/>
          <w:b/>
          <w:bCs/>
        </w:rPr>
      </w:pPr>
      <w:r>
        <w:rPr>
          <w:rFonts w:ascii="Arial" w:hAnsi="Arial"/>
          <w:rtl/>
        </w:rPr>
        <w:t>מגמת ההחמרה בענישה בעבירות הנשק באה לידי ביטוי גם בחקיקה, במסגרת תיקון 140 ל</w:t>
      </w:r>
      <w:hyperlink r:id="rId38" w:history="1">
        <w:r w:rsidR="008F22C7" w:rsidRPr="008F22C7">
          <w:rPr>
            <w:rFonts w:ascii="Arial" w:hAnsi="Arial"/>
            <w:color w:val="0000FF"/>
            <w:u w:val="single"/>
            <w:rtl/>
          </w:rPr>
          <w:t>חוק העונשין</w:t>
        </w:r>
      </w:hyperlink>
      <w:r>
        <w:rPr>
          <w:rFonts w:ascii="Arial" w:hAnsi="Arial"/>
          <w:rtl/>
        </w:rPr>
        <w:t xml:space="preserve"> שנכנס לתוקפו ביום 8.12.21. סעיף </w:t>
      </w:r>
      <w:hyperlink r:id="rId39" w:history="1">
        <w:r w:rsidR="00BC718E" w:rsidRPr="00BC718E">
          <w:rPr>
            <w:rStyle w:val="Hyperlink"/>
            <w:rFonts w:ascii="Arial" w:hAnsi="Arial"/>
            <w:rtl/>
          </w:rPr>
          <w:t>144 (ז)</w:t>
        </w:r>
      </w:hyperlink>
      <w:r>
        <w:rPr>
          <w:rFonts w:ascii="Arial" w:hAnsi="Arial"/>
          <w:rtl/>
        </w:rPr>
        <w:t xml:space="preserve"> ל</w:t>
      </w:r>
      <w:hyperlink r:id="rId40" w:history="1">
        <w:r w:rsidR="008F22C7" w:rsidRPr="008F22C7">
          <w:rPr>
            <w:rFonts w:ascii="Arial" w:hAnsi="Arial"/>
            <w:color w:val="0000FF"/>
            <w:u w:val="single"/>
            <w:rtl/>
          </w:rPr>
          <w:t>חוק העונשין</w:t>
        </w:r>
      </w:hyperlink>
      <w:r>
        <w:rPr>
          <w:rFonts w:ascii="Arial" w:hAnsi="Arial"/>
          <w:rtl/>
        </w:rPr>
        <w:t xml:space="preserve"> קובע עונשי מינימום ביחס לעבירות נשק שונות ובהן העביר</w:t>
      </w:r>
      <w:r>
        <w:rPr>
          <w:rFonts w:ascii="Arial" w:hAnsi="Arial" w:hint="cs"/>
          <w:rtl/>
        </w:rPr>
        <w:t>ות</w:t>
      </w:r>
      <w:r>
        <w:rPr>
          <w:rFonts w:ascii="Arial" w:hAnsi="Arial"/>
          <w:rtl/>
        </w:rPr>
        <w:t xml:space="preserve"> מושא ההליך שבפני, באופן שהעונש שיושת לא יפחת מרבע העונש המרבי שנקבע לעבירה, אלא מטעמים מיוחדים שיירשמו, וכי עונש מאסר זה בהיעדר טעמים מיוחדים לא יהיה כולו על תנאי. אין חולק כי העביר</w:t>
      </w:r>
      <w:r>
        <w:rPr>
          <w:rFonts w:ascii="Arial" w:hAnsi="Arial" w:hint="cs"/>
          <w:rtl/>
        </w:rPr>
        <w:t>ות</w:t>
      </w:r>
      <w:r>
        <w:rPr>
          <w:rFonts w:ascii="Arial" w:hAnsi="Arial"/>
          <w:rtl/>
        </w:rPr>
        <w:t xml:space="preserve"> בעניינו בוצע</w:t>
      </w:r>
      <w:r>
        <w:rPr>
          <w:rFonts w:ascii="Arial" w:hAnsi="Arial" w:hint="cs"/>
          <w:rtl/>
        </w:rPr>
        <w:t>ו</w:t>
      </w:r>
      <w:r>
        <w:rPr>
          <w:rFonts w:ascii="Arial" w:hAnsi="Arial"/>
          <w:rtl/>
        </w:rPr>
        <w:t xml:space="preserve"> לאחר תיקון החוק כך </w:t>
      </w:r>
      <w:r>
        <w:rPr>
          <w:rFonts w:ascii="Arial" w:hAnsi="Arial" w:hint="cs"/>
          <w:rtl/>
        </w:rPr>
        <w:t>ש</w:t>
      </w:r>
      <w:r>
        <w:rPr>
          <w:rFonts w:ascii="Arial" w:hAnsi="Arial"/>
          <w:rtl/>
        </w:rPr>
        <w:t xml:space="preserve">העונש הקבוע בצידה של </w:t>
      </w:r>
      <w:r>
        <w:rPr>
          <w:rFonts w:ascii="Arial" w:hAnsi="Arial" w:hint="cs"/>
          <w:rtl/>
        </w:rPr>
        <w:t>עבירת ההספקה</w:t>
      </w:r>
      <w:r>
        <w:rPr>
          <w:rFonts w:ascii="Arial" w:hAnsi="Arial"/>
          <w:rtl/>
        </w:rPr>
        <w:t xml:space="preserve"> עומד על 15 שנות מאסר,</w:t>
      </w:r>
      <w:r>
        <w:rPr>
          <w:rFonts w:ascii="Arial" w:hAnsi="Arial" w:hint="cs"/>
          <w:rtl/>
        </w:rPr>
        <w:t xml:space="preserve"> ובצידה של עבירת ההחזקה עומד על 7 שנות מאסר, </w:t>
      </w:r>
      <w:r>
        <w:rPr>
          <w:rFonts w:ascii="Arial" w:hAnsi="Arial"/>
          <w:rtl/>
        </w:rPr>
        <w:t>ועונש</w:t>
      </w:r>
      <w:r>
        <w:rPr>
          <w:rFonts w:ascii="Arial" w:hAnsi="Arial" w:hint="cs"/>
          <w:rtl/>
        </w:rPr>
        <w:t>י</w:t>
      </w:r>
      <w:r>
        <w:rPr>
          <w:rFonts w:ascii="Arial" w:hAnsi="Arial"/>
          <w:rtl/>
        </w:rPr>
        <w:t xml:space="preserve"> המינימום עומד</w:t>
      </w:r>
      <w:r>
        <w:rPr>
          <w:rFonts w:ascii="Arial" w:hAnsi="Arial" w:hint="cs"/>
          <w:rtl/>
        </w:rPr>
        <w:t>ים</w:t>
      </w:r>
      <w:r>
        <w:rPr>
          <w:rFonts w:ascii="Arial" w:hAnsi="Arial"/>
          <w:rtl/>
        </w:rPr>
        <w:t xml:space="preserve"> על 45 חודשי מאסר</w:t>
      </w:r>
      <w:r>
        <w:rPr>
          <w:rFonts w:ascii="Arial" w:hAnsi="Arial" w:hint="cs"/>
          <w:rtl/>
        </w:rPr>
        <w:t xml:space="preserve"> ו-21 חודשי מאסר בהתאמה</w:t>
      </w:r>
      <w:r>
        <w:rPr>
          <w:rFonts w:ascii="Arial" w:hAnsi="Arial"/>
          <w:rtl/>
        </w:rPr>
        <w:t>, שאפשר כי יושת</w:t>
      </w:r>
      <w:r>
        <w:rPr>
          <w:rFonts w:ascii="Arial" w:hAnsi="Arial" w:hint="cs"/>
          <w:rtl/>
        </w:rPr>
        <w:t>ו</w:t>
      </w:r>
      <w:r>
        <w:rPr>
          <w:rFonts w:ascii="Arial" w:hAnsi="Arial"/>
          <w:rtl/>
        </w:rPr>
        <w:t xml:space="preserve"> בחלק</w:t>
      </w:r>
      <w:r>
        <w:rPr>
          <w:rFonts w:ascii="Arial" w:hAnsi="Arial" w:hint="cs"/>
          <w:rtl/>
        </w:rPr>
        <w:t>ם</w:t>
      </w:r>
      <w:r>
        <w:rPr>
          <w:rFonts w:ascii="Arial" w:hAnsi="Arial"/>
          <w:rtl/>
        </w:rPr>
        <w:t xml:space="preserve"> על תנאי.</w:t>
      </w:r>
      <w:r>
        <w:rPr>
          <w:rFonts w:ascii="Arial" w:hAnsi="Arial"/>
          <w:b/>
          <w:bCs/>
          <w:rtl/>
        </w:rPr>
        <w:t xml:space="preserve"> </w:t>
      </w:r>
    </w:p>
    <w:p w14:paraId="1D3DB045" w14:textId="77777777" w:rsidR="00700BA1" w:rsidRDefault="00700BA1" w:rsidP="00700BA1">
      <w:pPr>
        <w:pStyle w:val="a9"/>
        <w:numPr>
          <w:ilvl w:val="0"/>
          <w:numId w:val="1"/>
        </w:numPr>
        <w:spacing w:before="240" w:after="240" w:line="360" w:lineRule="auto"/>
        <w:contextualSpacing w:val="0"/>
        <w:jc w:val="both"/>
      </w:pPr>
      <w:r w:rsidRPr="00A45A60">
        <w:rPr>
          <w:rFonts w:hint="cs"/>
          <w:rtl/>
        </w:rPr>
        <w:t xml:space="preserve">בבחינת </w:t>
      </w:r>
      <w:r>
        <w:rPr>
          <w:rFonts w:hint="cs"/>
          <w:rtl/>
        </w:rPr>
        <w:t>נסיבות ביצוע העבירה נתת</w:t>
      </w:r>
      <w:r w:rsidRPr="00A45A60">
        <w:rPr>
          <w:rFonts w:hint="cs"/>
          <w:rtl/>
        </w:rPr>
        <w:t>י דעתי לנתונים הבאים</w:t>
      </w:r>
      <w:r>
        <w:rPr>
          <w:rFonts w:hint="cs"/>
          <w:rtl/>
        </w:rPr>
        <w:t>:</w:t>
      </w:r>
    </w:p>
    <w:p w14:paraId="62A009E7" w14:textId="77777777" w:rsidR="00700BA1" w:rsidRDefault="00700BA1" w:rsidP="00700BA1">
      <w:pPr>
        <w:pStyle w:val="a9"/>
        <w:numPr>
          <w:ilvl w:val="0"/>
          <w:numId w:val="2"/>
        </w:numPr>
        <w:spacing w:before="240" w:after="240" w:line="360" w:lineRule="auto"/>
        <w:contextualSpacing w:val="0"/>
        <w:jc w:val="both"/>
      </w:pPr>
      <w:r w:rsidRPr="00CA1D24">
        <w:rPr>
          <w:rFonts w:hint="cs"/>
          <w:b/>
          <w:bCs/>
          <w:rtl/>
        </w:rPr>
        <w:t>כמות כלי הנשק, טיבם ועוצמת הנזק הגלומה בהם</w:t>
      </w:r>
      <w:r>
        <w:rPr>
          <w:rFonts w:hint="cs"/>
          <w:rtl/>
        </w:rPr>
        <w:t xml:space="preserve"> </w:t>
      </w:r>
      <w:r>
        <w:rPr>
          <w:rtl/>
        </w:rPr>
        <w:t>-</w:t>
      </w:r>
      <w:r>
        <w:rPr>
          <w:rFonts w:hint="cs"/>
          <w:rtl/>
        </w:rPr>
        <w:t xml:space="preserve"> הפסיקה הבחינה בין כלי נשק מאולתרים לבין כלי נשק "תקניים", בין אקדחים לבין רובי סער, בין מטעני חבלה מסוגים שונים, ובין רימונים מסוגים שונים (הלם, רסס, סינוור). במקרה דנן, ובשים לב לעובדה כי מדובר באקדח "תקני" ובתחמושת מתאימה, נראה כי מדובר ברמת חומרה שאינה ברף הנמוך, ויש לשקלל במתחם נתון זה. </w:t>
      </w:r>
    </w:p>
    <w:p w14:paraId="30A8BDA8" w14:textId="77777777" w:rsidR="00700BA1" w:rsidRDefault="00700BA1" w:rsidP="00700BA1">
      <w:pPr>
        <w:pStyle w:val="a9"/>
        <w:numPr>
          <w:ilvl w:val="0"/>
          <w:numId w:val="2"/>
        </w:numPr>
        <w:spacing w:before="240" w:after="240" w:line="360" w:lineRule="auto"/>
        <w:contextualSpacing w:val="0"/>
        <w:jc w:val="both"/>
      </w:pPr>
      <w:r w:rsidRPr="009475E6">
        <w:rPr>
          <w:rFonts w:hint="cs"/>
          <w:b/>
          <w:bCs/>
          <w:rtl/>
        </w:rPr>
        <w:t>נגישות הנאשם לנשק</w:t>
      </w:r>
      <w:r>
        <w:rPr>
          <w:rFonts w:hint="cs"/>
          <w:rtl/>
        </w:rPr>
        <w:t xml:space="preserve"> </w:t>
      </w:r>
      <w:r>
        <w:rPr>
          <w:rtl/>
        </w:rPr>
        <w:t>-</w:t>
      </w:r>
      <w:r>
        <w:rPr>
          <w:rFonts w:hint="cs"/>
          <w:rtl/>
        </w:rPr>
        <w:t xml:space="preserve"> ניתן לעמוד על פרק הזמן הקצר שעבר מרגע בקשתו של ס.מ. לרגע הספקת האקדח והתחמושת, ולשקללו במסגרת המתחם.</w:t>
      </w:r>
    </w:p>
    <w:p w14:paraId="5480AE98" w14:textId="77777777" w:rsidR="00700BA1" w:rsidRDefault="00700BA1" w:rsidP="00700BA1">
      <w:pPr>
        <w:pStyle w:val="a9"/>
        <w:numPr>
          <w:ilvl w:val="0"/>
          <w:numId w:val="2"/>
        </w:numPr>
        <w:spacing w:before="240" w:after="240" w:line="360" w:lineRule="auto"/>
        <w:contextualSpacing w:val="0"/>
        <w:jc w:val="both"/>
      </w:pPr>
      <w:r w:rsidRPr="00CA1D24">
        <w:rPr>
          <w:rFonts w:hint="cs"/>
          <w:b/>
          <w:bCs/>
          <w:rtl/>
        </w:rPr>
        <w:t>הספקת תחמושת</w:t>
      </w:r>
      <w:r>
        <w:rPr>
          <w:rFonts w:hint="cs"/>
          <w:rtl/>
        </w:rPr>
        <w:t xml:space="preserve"> - העובדה כי הנאשם סיפק יחד עם הנשק גם תחמושת בהיקף רב (46 כדורים) מהווה נסיבה לחומרה, שאף אותה יש לשקלל במסגרת המתחם. </w:t>
      </w:r>
    </w:p>
    <w:p w14:paraId="67B6F1E1" w14:textId="77777777" w:rsidR="00700BA1" w:rsidRDefault="00700BA1" w:rsidP="00700BA1">
      <w:pPr>
        <w:pStyle w:val="a9"/>
        <w:numPr>
          <w:ilvl w:val="0"/>
          <w:numId w:val="2"/>
        </w:numPr>
        <w:spacing w:before="240" w:after="240" w:line="360" w:lineRule="auto"/>
        <w:contextualSpacing w:val="0"/>
        <w:jc w:val="both"/>
        <w:rPr>
          <w:rtl/>
        </w:rPr>
      </w:pPr>
      <w:r w:rsidRPr="00CA1D24">
        <w:rPr>
          <w:rFonts w:hint="cs"/>
          <w:b/>
          <w:bCs/>
          <w:rtl/>
        </w:rPr>
        <w:t>התממשות הנזק</w:t>
      </w:r>
      <w:r>
        <w:rPr>
          <w:rFonts w:hint="cs"/>
          <w:rtl/>
        </w:rPr>
        <w:t xml:space="preserve"> </w:t>
      </w:r>
      <w:r>
        <w:rPr>
          <w:rtl/>
        </w:rPr>
        <w:t>-</w:t>
      </w:r>
      <w:r>
        <w:rPr>
          <w:rFonts w:hint="cs"/>
          <w:rtl/>
        </w:rPr>
        <w:t xml:space="preserve"> אין מחלוקת כי הנשק שסופק ע"י הנאשם לאותו אחר הוא הנשק שגרם למותו של יוסף יוספיה ז"ל. במובן זה, בשונה מתיקי נשק אחרים שבהם פוטנציאל הנזק לא מתממש (בין אם כי טרם התממש ובין אם כי לא יוכל להתממש, למשל במקרה של מכירה לסוכן), כאן התממש הפוטנציאל הגלום בכל עסקת נשק. נתתי דעתי לטענת הסנגור בהקשר זה, אולם אין בידי לקבלה. חלק גדול מעבירות הנשק מפוענח בדרך של "תיקי סוכן". באותם מקרים, רוכשים סוכנים משטרתיים מעבריינים נשק, ובהמשך, מוגשים כתבי אישום כנגד אותם עבריינים. בגזרי הדין הניתנים בפרשות אלה, ניתן משקל ממתן בענישה לעובדה כי הנשק הגיע לידיה של המשטרה ולא מצא דרכו לידיים עברייניות, ומכאן שפוטנציאל הנזק הגלום בו </w:t>
      </w:r>
      <w:r>
        <w:rPr>
          <w:rtl/>
        </w:rPr>
        <w:t>-</w:t>
      </w:r>
      <w:r>
        <w:rPr>
          <w:rFonts w:hint="cs"/>
          <w:rtl/>
        </w:rPr>
        <w:t xml:space="preserve"> לא מומש. שונים הם פני הדברים בענייננו, ודומה כי הדברים ברורים. </w:t>
      </w:r>
    </w:p>
    <w:p w14:paraId="706A3DD2" w14:textId="77777777" w:rsidR="00700BA1" w:rsidRPr="00632184" w:rsidRDefault="00700BA1" w:rsidP="00700BA1">
      <w:pPr>
        <w:pStyle w:val="a9"/>
        <w:numPr>
          <w:ilvl w:val="0"/>
          <w:numId w:val="1"/>
        </w:numPr>
        <w:spacing w:before="240" w:after="240" w:line="360" w:lineRule="auto"/>
        <w:contextualSpacing w:val="0"/>
        <w:jc w:val="both"/>
      </w:pPr>
      <w:r>
        <w:rPr>
          <w:rFonts w:ascii="Arial" w:hAnsi="Arial" w:hint="cs"/>
          <w:rtl/>
        </w:rPr>
        <w:t xml:space="preserve">הנאשם כאמור ביצע שתי עבירות בנשק: </w:t>
      </w:r>
      <w:r w:rsidRPr="008C501D">
        <w:rPr>
          <w:rFonts w:ascii="Arial" w:hAnsi="Arial" w:hint="cs"/>
          <w:b/>
          <w:bCs/>
          <w:rtl/>
        </w:rPr>
        <w:t>הראשונה</w:t>
      </w:r>
      <w:r>
        <w:rPr>
          <w:rFonts w:ascii="Arial" w:hAnsi="Arial" w:hint="cs"/>
          <w:rtl/>
        </w:rPr>
        <w:t xml:space="preserve"> </w:t>
      </w:r>
      <w:r>
        <w:rPr>
          <w:rFonts w:ascii="Arial" w:hAnsi="Arial"/>
          <w:rtl/>
        </w:rPr>
        <w:t>–</w:t>
      </w:r>
      <w:r>
        <w:rPr>
          <w:rFonts w:ascii="Arial" w:hAnsi="Arial" w:hint="cs"/>
          <w:rtl/>
        </w:rPr>
        <w:t xml:space="preserve"> באה לידי ביטוי החזקת האקדח והתחמושת לתקופה שאינה ידועה; </w:t>
      </w:r>
      <w:r w:rsidRPr="008C501D">
        <w:rPr>
          <w:rFonts w:ascii="Arial" w:hAnsi="Arial" w:hint="cs"/>
          <w:b/>
          <w:bCs/>
          <w:rtl/>
        </w:rPr>
        <w:t>השנייה</w:t>
      </w:r>
      <w:r>
        <w:rPr>
          <w:rFonts w:ascii="Arial" w:hAnsi="Arial" w:hint="cs"/>
          <w:rtl/>
        </w:rPr>
        <w:t xml:space="preserve"> </w:t>
      </w:r>
      <w:r>
        <w:rPr>
          <w:rFonts w:ascii="Arial" w:hAnsi="Arial"/>
          <w:rtl/>
        </w:rPr>
        <w:t>–</w:t>
      </w:r>
      <w:r>
        <w:rPr>
          <w:rFonts w:ascii="Arial" w:hAnsi="Arial" w:hint="cs"/>
          <w:rtl/>
        </w:rPr>
        <w:t xml:space="preserve"> באה לידי ביטוי הספקת האקדח והתחמושת לס.מ. </w:t>
      </w:r>
    </w:p>
    <w:p w14:paraId="36D28F82" w14:textId="77777777" w:rsidR="00700BA1" w:rsidRPr="00665EC2" w:rsidRDefault="00700BA1" w:rsidP="00700BA1">
      <w:pPr>
        <w:pStyle w:val="a9"/>
        <w:spacing w:before="240" w:after="240" w:line="360" w:lineRule="auto"/>
        <w:ind w:left="360"/>
        <w:contextualSpacing w:val="0"/>
        <w:jc w:val="both"/>
        <w:rPr>
          <w:color w:val="000000"/>
          <w:shd w:val="clear" w:color="auto" w:fill="FFFFFF"/>
          <w:rtl/>
        </w:rPr>
      </w:pPr>
      <w:r w:rsidRPr="00632184">
        <w:rPr>
          <w:rFonts w:ascii="Arial" w:hAnsi="Arial" w:hint="cs"/>
          <w:b/>
          <w:bCs/>
          <w:rtl/>
        </w:rPr>
        <w:t>כנקודת מוצא לסקירת הפסיקה</w:t>
      </w:r>
      <w:r>
        <w:rPr>
          <w:rFonts w:ascii="Arial" w:hAnsi="Arial" w:hint="cs"/>
          <w:rtl/>
        </w:rPr>
        <w:t xml:space="preserve"> יש להתייחס לעמדת בית המשפט העליון, כפי שבאה לידי ביטוי ב</w:t>
      </w:r>
      <w:hyperlink r:id="rId41" w:history="1">
        <w:r w:rsidR="008F22C7" w:rsidRPr="008F22C7">
          <w:rPr>
            <w:color w:val="0000FF"/>
            <w:u w:val="single"/>
            <w:shd w:val="clear" w:color="auto" w:fill="FFFFFF"/>
            <w:rtl/>
          </w:rPr>
          <w:t>ע"פ 5602/22</w:t>
        </w:r>
      </w:hyperlink>
      <w:r>
        <w:rPr>
          <w:rFonts w:hint="cs"/>
          <w:color w:val="000000"/>
          <w:shd w:val="clear" w:color="auto" w:fill="FFFFFF"/>
          <w:rtl/>
        </w:rPr>
        <w:t xml:space="preserve"> </w:t>
      </w:r>
      <w:r>
        <w:rPr>
          <w:rFonts w:hint="cs"/>
          <w:b/>
          <w:bCs/>
          <w:color w:val="000000"/>
          <w:shd w:val="clear" w:color="auto" w:fill="FFFFFF"/>
          <w:rtl/>
        </w:rPr>
        <w:t xml:space="preserve">מדינת ישראל נ' פלוני </w:t>
      </w:r>
      <w:r>
        <w:rPr>
          <w:rFonts w:hint="cs"/>
          <w:color w:val="000000"/>
          <w:shd w:val="clear" w:color="auto" w:fill="FFFFFF"/>
          <w:rtl/>
        </w:rPr>
        <w:t xml:space="preserve">(14.9.2022). במסגרת הליך זה קבע בית המשפט העליון כי מתחם הענישה לנאשם בגיר בגין נשיאה בלתי חוקית של נשק חם במרחב הציבורי נע בין 30 חודשי מאסר ל-42 חודשי מאסר לצד רכיבי ענישה נלווים (סעיף 16 לפסק הדין). אין חולק כי עבירה של עסקה אחרת בנשק המוצאת ביטוי בהספקתו לאחר [בהתאם </w:t>
      </w:r>
      <w:hyperlink r:id="rId42" w:history="1">
        <w:r w:rsidR="00BC718E" w:rsidRPr="00BC718E">
          <w:rPr>
            <w:rStyle w:val="Hyperlink"/>
            <w:rFonts w:hint="eastAsia"/>
            <w:shd w:val="clear" w:color="auto" w:fill="FFFFFF"/>
            <w:rtl/>
          </w:rPr>
          <w:t>לסעיף</w:t>
        </w:r>
        <w:r w:rsidR="00BC718E" w:rsidRPr="00BC718E">
          <w:rPr>
            <w:rStyle w:val="Hyperlink"/>
            <w:shd w:val="clear" w:color="auto" w:fill="FFFFFF"/>
            <w:rtl/>
          </w:rPr>
          <w:t xml:space="preserve"> 144(ב2)</w:t>
        </w:r>
      </w:hyperlink>
      <w:r>
        <w:rPr>
          <w:rFonts w:hint="cs"/>
          <w:color w:val="000000"/>
          <w:shd w:val="clear" w:color="auto" w:fill="FFFFFF"/>
          <w:rtl/>
        </w:rPr>
        <w:t xml:space="preserve"> ל</w:t>
      </w:r>
      <w:hyperlink r:id="rId43" w:history="1">
        <w:r w:rsidR="008F22C7" w:rsidRPr="008F22C7">
          <w:rPr>
            <w:color w:val="0000FF"/>
            <w:u w:val="single"/>
            <w:shd w:val="clear" w:color="auto" w:fill="FFFFFF"/>
            <w:rtl/>
          </w:rPr>
          <w:t>חוק העונשין</w:t>
        </w:r>
      </w:hyperlink>
      <w:r>
        <w:rPr>
          <w:rFonts w:hint="cs"/>
          <w:color w:val="000000"/>
          <w:shd w:val="clear" w:color="auto" w:fill="FFFFFF"/>
          <w:rtl/>
        </w:rPr>
        <w:t xml:space="preserve">] חמורה יותר מעבירה של נשיאת נשק [בהתאם </w:t>
      </w:r>
      <w:hyperlink r:id="rId44" w:history="1">
        <w:r w:rsidR="00BC718E" w:rsidRPr="00BC718E">
          <w:rPr>
            <w:rStyle w:val="Hyperlink"/>
            <w:rFonts w:hint="eastAsia"/>
            <w:shd w:val="clear" w:color="auto" w:fill="FFFFFF"/>
            <w:rtl/>
          </w:rPr>
          <w:t>לסעיף</w:t>
        </w:r>
        <w:r w:rsidR="00BC718E" w:rsidRPr="00BC718E">
          <w:rPr>
            <w:rStyle w:val="Hyperlink"/>
            <w:shd w:val="clear" w:color="auto" w:fill="FFFFFF"/>
            <w:rtl/>
          </w:rPr>
          <w:t xml:space="preserve"> 144(ב)</w:t>
        </w:r>
      </w:hyperlink>
      <w:r>
        <w:rPr>
          <w:rFonts w:hint="cs"/>
          <w:color w:val="000000"/>
          <w:shd w:val="clear" w:color="auto" w:fill="FFFFFF"/>
          <w:rtl/>
        </w:rPr>
        <w:t xml:space="preserve"> לחוק העונשין] כך שברור כי הרף התחתון של מתחם הענישה לעניין הספקה צריך להיות גבוה מ-30 חודשי מאסר. </w:t>
      </w:r>
    </w:p>
    <w:p w14:paraId="46D84F8F" w14:textId="77777777" w:rsidR="00700BA1" w:rsidRDefault="00700BA1" w:rsidP="00700BA1">
      <w:pPr>
        <w:pStyle w:val="a9"/>
        <w:spacing w:before="240" w:after="240" w:line="360" w:lineRule="auto"/>
        <w:ind w:left="360"/>
        <w:contextualSpacing w:val="0"/>
        <w:jc w:val="both"/>
      </w:pPr>
      <w:r>
        <w:rPr>
          <w:rFonts w:hint="cs"/>
          <w:rtl/>
        </w:rPr>
        <w:t>בנוסף, ראיתי להפנות לפסקי הדין הבאים:</w:t>
      </w:r>
    </w:p>
    <w:p w14:paraId="7370F8EA" w14:textId="77777777" w:rsidR="00700BA1" w:rsidRDefault="008F22C7" w:rsidP="00700BA1">
      <w:pPr>
        <w:pStyle w:val="a9"/>
        <w:spacing w:before="240" w:after="240" w:line="360" w:lineRule="auto"/>
        <w:ind w:left="360"/>
        <w:contextualSpacing w:val="0"/>
        <w:jc w:val="both"/>
        <w:rPr>
          <w:rtl/>
        </w:rPr>
      </w:pPr>
      <w:hyperlink r:id="rId45" w:history="1">
        <w:r w:rsidRPr="008F22C7">
          <w:rPr>
            <w:color w:val="0000FF"/>
            <w:u w:val="single"/>
            <w:rtl/>
          </w:rPr>
          <w:t>ע"פ 6383/21</w:t>
        </w:r>
      </w:hyperlink>
      <w:r w:rsidR="00700BA1">
        <w:rPr>
          <w:rtl/>
        </w:rPr>
        <w:t xml:space="preserve"> </w:t>
      </w:r>
      <w:r w:rsidR="00700BA1">
        <w:rPr>
          <w:b/>
          <w:bCs/>
          <w:rtl/>
        </w:rPr>
        <w:t>קריף נ' מדינת ישראל</w:t>
      </w:r>
      <w:r w:rsidR="00700BA1">
        <w:rPr>
          <w:rtl/>
        </w:rPr>
        <w:t xml:space="preserve"> (13.2.2022) - פסק הדין עוסק בערעורם של שלושה מתוך ארבעה נאשמים באותו התיק. המערער השני, שהורשע בעבירה של עסקה אחרת בנשק, הוא הרלוונטי לענייננו. המערער הורשע לאחר שמסר לאחד המעורבים האחרים אקדח הזנקה מוסב שיורה ובכוחו להמית אדם. בית המשפט המחוזי קבע </w:t>
      </w:r>
      <w:r w:rsidR="00700BA1">
        <w:rPr>
          <w:b/>
          <w:bCs/>
          <w:rtl/>
        </w:rPr>
        <w:t>מתחם הנע בין 30 ל-60 חודשי מאסר</w:t>
      </w:r>
      <w:r w:rsidR="00700BA1">
        <w:rPr>
          <w:rtl/>
        </w:rPr>
        <w:t xml:space="preserve"> וגזר על המערער עונש של 36 חודשים לצד ענישה נלווית. ערעורו לבית המשפט העליון נדחה.</w:t>
      </w:r>
    </w:p>
    <w:p w14:paraId="500A0C4A" w14:textId="77777777" w:rsidR="00700BA1" w:rsidRDefault="008F22C7" w:rsidP="00700BA1">
      <w:pPr>
        <w:pStyle w:val="a9"/>
        <w:spacing w:before="240" w:after="240" w:line="360" w:lineRule="auto"/>
        <w:ind w:left="357"/>
        <w:contextualSpacing w:val="0"/>
        <w:jc w:val="both"/>
        <w:rPr>
          <w:rFonts w:ascii="Arial" w:hAnsi="Arial"/>
          <w:rtl/>
        </w:rPr>
      </w:pPr>
      <w:hyperlink r:id="rId46" w:history="1">
        <w:r w:rsidRPr="008F22C7">
          <w:rPr>
            <w:rFonts w:ascii="Arial" w:hAnsi="Arial"/>
            <w:color w:val="0000FF"/>
            <w:u w:val="single"/>
            <w:rtl/>
          </w:rPr>
          <w:t>ת"פ 54444-04-22</w:t>
        </w:r>
      </w:hyperlink>
      <w:r w:rsidR="00700BA1" w:rsidRPr="00A85B22">
        <w:rPr>
          <w:rFonts w:ascii="Arial" w:hAnsi="Arial"/>
          <w:rtl/>
        </w:rPr>
        <w:t xml:space="preserve"> </w:t>
      </w:r>
      <w:r w:rsidR="00700BA1" w:rsidRPr="00A85B22">
        <w:rPr>
          <w:rFonts w:ascii="Arial" w:hAnsi="Arial"/>
          <w:b/>
          <w:bCs/>
          <w:rtl/>
        </w:rPr>
        <w:t>מדינת ישראל נ' מחאמיד</w:t>
      </w:r>
      <w:r w:rsidR="00700BA1" w:rsidRPr="00A85B22">
        <w:rPr>
          <w:rFonts w:ascii="Arial" w:hAnsi="Arial"/>
          <w:rtl/>
        </w:rPr>
        <w:t xml:space="preserve"> (26.12.2022) </w:t>
      </w:r>
      <w:r w:rsidR="00700BA1">
        <w:rPr>
          <w:rFonts w:ascii="Arial" w:hAnsi="Arial"/>
          <w:rtl/>
        </w:rPr>
        <w:t>-</w:t>
      </w:r>
      <w:r w:rsidR="00700BA1" w:rsidRPr="00A85B22">
        <w:rPr>
          <w:rFonts w:ascii="Arial" w:hAnsi="Arial"/>
          <w:rtl/>
        </w:rPr>
        <w:t xml:space="preserve"> בעניינו של </w:t>
      </w:r>
      <w:r w:rsidR="00700BA1">
        <w:rPr>
          <w:rFonts w:ascii="Arial" w:hAnsi="Arial" w:hint="cs"/>
          <w:rtl/>
        </w:rPr>
        <w:t xml:space="preserve">נאשם 2 - </w:t>
      </w:r>
      <w:r w:rsidR="00700BA1" w:rsidRPr="00A85B22">
        <w:rPr>
          <w:rFonts w:ascii="Arial" w:hAnsi="Arial"/>
          <w:rtl/>
        </w:rPr>
        <w:t xml:space="preserve">הנאשם הורשע על יסוד הודאתו במסגרת הסדר טיעון בעבירות בנשק של עסקה אחרת והחזקה. על פי כתב האישום המתוקן, הנאשם סיכם עם אחיו, מועתסם, כי יספק לו אקדח. </w:t>
      </w:r>
      <w:r w:rsidR="00700BA1" w:rsidRPr="007778F5">
        <w:rPr>
          <w:rFonts w:ascii="David" w:hAnsi="David"/>
          <w:rtl/>
        </w:rPr>
        <w:t xml:space="preserve">בהמשך, עדכן מועתסם את אחיהם, ג'מיל, בפרטי העסקה והעביר לג'מיל סך של 35,000 ₪ עבור האקדח. הנאשם קיבל לידיו אקדח חצי אוטומטי מסוג </w:t>
      </w:r>
      <w:r w:rsidR="00700BA1" w:rsidRPr="007778F5">
        <w:rPr>
          <w:rFonts w:ascii="David" w:hAnsi="David"/>
        </w:rPr>
        <w:t>FN</w:t>
      </w:r>
      <w:r w:rsidR="00700BA1" w:rsidRPr="007778F5">
        <w:rPr>
          <w:rFonts w:ascii="David" w:hAnsi="David"/>
          <w:rtl/>
        </w:rPr>
        <w:t xml:space="preserve">, ולאחר שקיבל את הכסף מג'מיל מסר את האקדח למועתסם. בית המשפט קבע </w:t>
      </w:r>
      <w:r w:rsidR="00700BA1" w:rsidRPr="007778F5">
        <w:rPr>
          <w:rFonts w:ascii="David" w:hAnsi="David"/>
          <w:b/>
          <w:bCs/>
          <w:rtl/>
        </w:rPr>
        <w:t>מתחם הנע בין 36 ל-60 חודשי מאסר</w:t>
      </w:r>
      <w:r w:rsidR="00700BA1" w:rsidRPr="00A85B22">
        <w:rPr>
          <w:rFonts w:ascii="Arial" w:hAnsi="Arial"/>
          <w:rtl/>
        </w:rPr>
        <w:t xml:space="preserve">, וגזר על הנאשם </w:t>
      </w:r>
      <w:r w:rsidR="00700BA1" w:rsidRPr="00C94D6A">
        <w:rPr>
          <w:rFonts w:ascii="Arial" w:hAnsi="Arial"/>
          <w:b/>
          <w:bCs/>
          <w:rtl/>
        </w:rPr>
        <w:t>48 חודשי מאסר לצד ענישה נלווית</w:t>
      </w:r>
      <w:r w:rsidR="00700BA1" w:rsidRPr="00A85B22">
        <w:rPr>
          <w:rFonts w:ascii="Arial" w:hAnsi="Arial"/>
          <w:rtl/>
        </w:rPr>
        <w:t>.</w:t>
      </w:r>
    </w:p>
    <w:p w14:paraId="2C864049" w14:textId="77777777" w:rsidR="00700BA1" w:rsidRDefault="00700BA1" w:rsidP="00700BA1">
      <w:pPr>
        <w:pStyle w:val="a9"/>
        <w:spacing w:before="240" w:after="240" w:line="360" w:lineRule="auto"/>
        <w:ind w:left="357"/>
        <w:contextualSpacing w:val="0"/>
        <w:jc w:val="both"/>
        <w:rPr>
          <w:rFonts w:ascii="Arial" w:hAnsi="Arial"/>
          <w:rtl/>
        </w:rPr>
      </w:pPr>
      <w:r>
        <w:rPr>
          <w:rFonts w:ascii="Arial" w:hAnsi="Arial" w:hint="cs"/>
          <w:rtl/>
        </w:rPr>
        <w:t xml:space="preserve">ביחס להחזקת הנשק בלבד:  </w:t>
      </w:r>
    </w:p>
    <w:p w14:paraId="355CFC59" w14:textId="77777777" w:rsidR="00700BA1" w:rsidRDefault="008F22C7" w:rsidP="00700BA1">
      <w:pPr>
        <w:pStyle w:val="a9"/>
        <w:spacing w:before="240" w:after="240" w:line="360" w:lineRule="auto"/>
        <w:ind w:left="360"/>
        <w:contextualSpacing w:val="0"/>
        <w:jc w:val="both"/>
        <w:rPr>
          <w:color w:val="000000"/>
          <w:shd w:val="clear" w:color="auto" w:fill="FFFFFF"/>
          <w:rtl/>
        </w:rPr>
      </w:pPr>
      <w:hyperlink r:id="rId47" w:history="1">
        <w:r w:rsidRPr="008F22C7">
          <w:rPr>
            <w:color w:val="0000FF"/>
            <w:u w:val="single"/>
            <w:shd w:val="clear" w:color="auto" w:fill="FFFFFF"/>
            <w:rtl/>
          </w:rPr>
          <w:t>ע"פ 6332/22</w:t>
        </w:r>
      </w:hyperlink>
      <w:r w:rsidR="00700BA1">
        <w:rPr>
          <w:color w:val="000000"/>
          <w:shd w:val="clear" w:color="auto" w:fill="FFFFFF"/>
          <w:rtl/>
        </w:rPr>
        <w:t xml:space="preserve"> </w:t>
      </w:r>
      <w:r w:rsidR="00700BA1">
        <w:rPr>
          <w:b/>
          <w:bCs/>
          <w:color w:val="000000"/>
          <w:shd w:val="clear" w:color="auto" w:fill="FFFFFF"/>
          <w:rtl/>
        </w:rPr>
        <w:t>פדידה נ' מדינת ישראל</w:t>
      </w:r>
      <w:r w:rsidR="00700BA1">
        <w:rPr>
          <w:color w:val="000000"/>
          <w:shd w:val="clear" w:color="auto" w:fill="FFFFFF"/>
          <w:rtl/>
        </w:rPr>
        <w:t xml:space="preserve"> (16.2.2023) - המערער הורשע על יסוד הודאתו במסגרת הסדר טיעון בעבירה של החזקת נשק בכך שהחזיק במשאית שבבעלותו אקדח הזנקה שהוסב לירי תחמושת ובו מחסנית עם 8 כדורים. בית המשפט המחוזי קבע </w:t>
      </w:r>
      <w:r w:rsidR="00700BA1">
        <w:rPr>
          <w:b/>
          <w:bCs/>
          <w:color w:val="000000"/>
          <w:shd w:val="clear" w:color="auto" w:fill="FFFFFF"/>
          <w:rtl/>
        </w:rPr>
        <w:t>מתחם הנע בין 11 ל-30 חודשי מאסר</w:t>
      </w:r>
      <w:r w:rsidR="00700BA1">
        <w:rPr>
          <w:color w:val="000000"/>
          <w:shd w:val="clear" w:color="auto" w:fill="FFFFFF"/>
          <w:rtl/>
        </w:rPr>
        <w:t>, וגזר עליו 11 חודשי מאסר לצד ענישה נלווית. ערעורו לבית המשפט העליון התקבל באופן שעונשו הופחת, נוכח נסיבותיו האישיות, כך שעונשו יעמוד על 9 חודשי מאסר לריצוי על דרך של עבודות שירות.</w:t>
      </w:r>
    </w:p>
    <w:p w14:paraId="4B49B547" w14:textId="77777777" w:rsidR="00700BA1" w:rsidRDefault="008F22C7" w:rsidP="00700BA1">
      <w:pPr>
        <w:pStyle w:val="a9"/>
        <w:spacing w:before="240" w:after="240" w:line="360" w:lineRule="auto"/>
        <w:ind w:left="360"/>
        <w:contextualSpacing w:val="0"/>
        <w:jc w:val="both"/>
        <w:rPr>
          <w:color w:val="000000"/>
          <w:shd w:val="clear" w:color="auto" w:fill="FFFFFF"/>
          <w:rtl/>
        </w:rPr>
      </w:pPr>
      <w:hyperlink r:id="rId48" w:history="1">
        <w:r w:rsidRPr="008F22C7">
          <w:rPr>
            <w:color w:val="0000FF"/>
            <w:u w:val="single"/>
            <w:shd w:val="clear" w:color="auto" w:fill="FFFFFF"/>
            <w:rtl/>
          </w:rPr>
          <w:t>ע"פ 2482/22</w:t>
        </w:r>
      </w:hyperlink>
      <w:r w:rsidR="00700BA1" w:rsidRPr="008759EE">
        <w:rPr>
          <w:color w:val="000000"/>
          <w:shd w:val="clear" w:color="auto" w:fill="FFFFFF"/>
          <w:rtl/>
        </w:rPr>
        <w:t xml:space="preserve"> </w:t>
      </w:r>
      <w:r w:rsidR="00700BA1" w:rsidRPr="008759EE">
        <w:rPr>
          <w:b/>
          <w:bCs/>
          <w:color w:val="000000"/>
          <w:shd w:val="clear" w:color="auto" w:fill="FFFFFF"/>
          <w:rtl/>
        </w:rPr>
        <w:t>מדינת ישראל נ' אחמד קדורה</w:t>
      </w:r>
      <w:r w:rsidR="00700BA1" w:rsidRPr="008759EE">
        <w:rPr>
          <w:color w:val="000000"/>
          <w:shd w:val="clear" w:color="auto" w:fill="FFFFFF"/>
          <w:rtl/>
        </w:rPr>
        <w:t xml:space="preserve"> (14.04.2022) - המערער הורשע על יסוד הודאתו בעבירה של החזקת נשק בצוותא עם אחר, לפי </w:t>
      </w:r>
      <w:hyperlink r:id="rId49" w:history="1">
        <w:r w:rsidR="00BC718E" w:rsidRPr="00BC718E">
          <w:rPr>
            <w:rStyle w:val="Hyperlink"/>
            <w:shd w:val="clear" w:color="auto" w:fill="FFFFFF"/>
            <w:rtl/>
          </w:rPr>
          <w:t>סעיף 144(א)</w:t>
        </w:r>
      </w:hyperlink>
      <w:r w:rsidR="00700BA1" w:rsidRPr="008759EE">
        <w:rPr>
          <w:color w:val="000000"/>
          <w:shd w:val="clear" w:color="auto" w:fill="FFFFFF"/>
          <w:rtl/>
        </w:rPr>
        <w:t xml:space="preserve"> רישא וסיפא בצירוף </w:t>
      </w:r>
      <w:hyperlink r:id="rId50" w:history="1">
        <w:r w:rsidR="00BC718E" w:rsidRPr="00BC718E">
          <w:rPr>
            <w:rStyle w:val="Hyperlink"/>
            <w:shd w:val="clear" w:color="auto" w:fill="FFFFFF"/>
            <w:rtl/>
          </w:rPr>
          <w:t>סעיף 29</w:t>
        </w:r>
      </w:hyperlink>
      <w:r w:rsidR="00700BA1" w:rsidRPr="008759EE">
        <w:rPr>
          <w:color w:val="000000"/>
          <w:shd w:val="clear" w:color="auto" w:fill="FFFFFF"/>
          <w:rtl/>
        </w:rPr>
        <w:t xml:space="preserve"> ל</w:t>
      </w:r>
      <w:hyperlink r:id="rId51" w:history="1">
        <w:r w:rsidRPr="008F22C7">
          <w:rPr>
            <w:color w:val="0000FF"/>
            <w:u w:val="single"/>
            <w:shd w:val="clear" w:color="auto" w:fill="FFFFFF"/>
            <w:rtl/>
          </w:rPr>
          <w:t>חוק העונשין</w:t>
        </w:r>
      </w:hyperlink>
      <w:r w:rsidR="00700BA1" w:rsidRPr="008759EE">
        <w:rPr>
          <w:color w:val="000000"/>
          <w:shd w:val="clear" w:color="auto" w:fill="FFFFFF"/>
          <w:rtl/>
        </w:rPr>
        <w:t xml:space="preserve">, בכך שהחזיק באקדח מסוג "גלוק", מחסנית עם כדורים ורימון הלם. בית המשפט המחוזי קבע </w:t>
      </w:r>
      <w:r w:rsidR="00700BA1" w:rsidRPr="008759EE">
        <w:rPr>
          <w:b/>
          <w:bCs/>
          <w:color w:val="000000"/>
          <w:shd w:val="clear" w:color="auto" w:fill="FFFFFF"/>
          <w:rtl/>
        </w:rPr>
        <w:t>מתחם ענישה שנע בין 10 ל-36 חודשי מאסר</w:t>
      </w:r>
      <w:r w:rsidR="00700BA1" w:rsidRPr="008759EE">
        <w:rPr>
          <w:color w:val="000000"/>
          <w:shd w:val="clear" w:color="auto" w:fill="FFFFFF"/>
          <w:rtl/>
        </w:rPr>
        <w:t>, והשית עליו 10 חודשי מאסר בפועל, לצד ענישה נלווית, וזאת בשים לב למשך הזמן הקצר שבו הוחזק הנשק (ימים ספורים), לשיתוף הפעולה של המערער עם רשויות אכיפת החוק, הגם שהאקדח לא נתפס, להודאתו המידית, לגילו הצעיר (19 שנים) ולעברו הנקי. ערעור על קולת העונש שהגישה המדינה לבית המשפט העליון התקבל והעונש הוחמר ל-18 חודשי מאסר בפועל.</w:t>
      </w:r>
    </w:p>
    <w:p w14:paraId="65BC418D" w14:textId="77777777" w:rsidR="00700BA1" w:rsidRDefault="008F22C7" w:rsidP="00700BA1">
      <w:pPr>
        <w:pStyle w:val="a9"/>
        <w:spacing w:before="240" w:after="240" w:line="360" w:lineRule="auto"/>
        <w:ind w:left="360"/>
        <w:contextualSpacing w:val="0"/>
        <w:jc w:val="both"/>
        <w:rPr>
          <w:rFonts w:ascii="Arial" w:hAnsi="Arial"/>
          <w:rtl/>
        </w:rPr>
      </w:pPr>
      <w:hyperlink r:id="rId52" w:history="1">
        <w:r w:rsidRPr="008F22C7">
          <w:rPr>
            <w:color w:val="0000FF"/>
            <w:u w:val="single"/>
            <w:shd w:val="clear" w:color="auto" w:fill="FFFFFF"/>
            <w:rtl/>
          </w:rPr>
          <w:t>ע"פ 2015/21</w:t>
        </w:r>
      </w:hyperlink>
      <w:r w:rsidR="00700BA1">
        <w:rPr>
          <w:rFonts w:hint="cs"/>
          <w:color w:val="000000"/>
          <w:shd w:val="clear" w:color="auto" w:fill="FFFFFF"/>
          <w:rtl/>
        </w:rPr>
        <w:t xml:space="preserve"> </w:t>
      </w:r>
      <w:r w:rsidR="00700BA1" w:rsidRPr="00CD2139">
        <w:rPr>
          <w:rFonts w:hint="cs"/>
          <w:b/>
          <w:bCs/>
          <w:color w:val="000000"/>
          <w:shd w:val="clear" w:color="auto" w:fill="FFFFFF"/>
          <w:rtl/>
        </w:rPr>
        <w:t>אזברגה נ' מדינת ישראל</w:t>
      </w:r>
      <w:r w:rsidR="00700BA1">
        <w:rPr>
          <w:rFonts w:hint="cs"/>
          <w:color w:val="000000"/>
          <w:shd w:val="clear" w:color="auto" w:fill="FFFFFF"/>
          <w:rtl/>
        </w:rPr>
        <w:t xml:space="preserve"> (9.12.2021) </w:t>
      </w:r>
      <w:r w:rsidR="00700BA1">
        <w:rPr>
          <w:color w:val="000000"/>
          <w:shd w:val="clear" w:color="auto" w:fill="FFFFFF"/>
          <w:rtl/>
        </w:rPr>
        <w:t>-</w:t>
      </w:r>
      <w:r w:rsidR="00700BA1">
        <w:rPr>
          <w:rFonts w:hint="cs"/>
          <w:color w:val="000000"/>
          <w:shd w:val="clear" w:color="auto" w:fill="FFFFFF"/>
          <w:rtl/>
        </w:rPr>
        <w:t xml:space="preserve"> המערער הורשע על יסוד הודאתו בעבירה של החזקת נשק בכך שנהג ברכב כשהוא מחזיק עמו שלא כדין שני אקדחים. בית המשפט המחוזי קבע בעניינו </w:t>
      </w:r>
      <w:r w:rsidR="00700BA1" w:rsidRPr="00CD2139">
        <w:rPr>
          <w:rFonts w:hint="cs"/>
          <w:b/>
          <w:bCs/>
          <w:color w:val="000000"/>
          <w:shd w:val="clear" w:color="auto" w:fill="FFFFFF"/>
          <w:rtl/>
        </w:rPr>
        <w:t>מתחם הנע בין 12 ל-30 חודשים</w:t>
      </w:r>
      <w:r w:rsidR="00700BA1">
        <w:rPr>
          <w:rFonts w:hint="cs"/>
          <w:color w:val="000000"/>
          <w:shd w:val="clear" w:color="auto" w:fill="FFFFFF"/>
          <w:rtl/>
        </w:rPr>
        <w:t xml:space="preserve"> וגזר עליו 16 חודשי מאסר לצד ענישה נלווית. ערעורו לבית המשפט העליון נדחה.</w:t>
      </w:r>
    </w:p>
    <w:p w14:paraId="022BB97C" w14:textId="77777777" w:rsidR="00700BA1" w:rsidRDefault="008F22C7" w:rsidP="00700BA1">
      <w:pPr>
        <w:pStyle w:val="a9"/>
        <w:spacing w:before="240" w:after="240" w:line="360" w:lineRule="auto"/>
        <w:ind w:left="360"/>
        <w:contextualSpacing w:val="0"/>
        <w:jc w:val="both"/>
        <w:rPr>
          <w:rFonts w:ascii="Arial" w:hAnsi="Arial"/>
          <w:rtl/>
        </w:rPr>
      </w:pPr>
      <w:hyperlink r:id="rId53" w:history="1">
        <w:r w:rsidRPr="008F22C7">
          <w:rPr>
            <w:rFonts w:ascii="Arial" w:hAnsi="Arial"/>
            <w:color w:val="0000FF"/>
            <w:u w:val="single"/>
            <w:rtl/>
          </w:rPr>
          <w:t>ע"פ 2141/21</w:t>
        </w:r>
      </w:hyperlink>
      <w:r w:rsidR="00700BA1" w:rsidRPr="008759EE">
        <w:rPr>
          <w:rFonts w:ascii="Arial" w:hAnsi="Arial"/>
          <w:rtl/>
        </w:rPr>
        <w:t xml:space="preserve"> </w:t>
      </w:r>
      <w:r w:rsidR="00700BA1" w:rsidRPr="008759EE">
        <w:rPr>
          <w:rFonts w:ascii="Arial" w:hAnsi="Arial"/>
          <w:b/>
          <w:bCs/>
          <w:rtl/>
        </w:rPr>
        <w:t>חניני נ' מדינת ישראל</w:t>
      </w:r>
      <w:r w:rsidR="00700BA1" w:rsidRPr="008759EE">
        <w:rPr>
          <w:rFonts w:ascii="Arial" w:hAnsi="Arial"/>
          <w:rtl/>
        </w:rPr>
        <w:t xml:space="preserve"> (3.5.2021)</w:t>
      </w:r>
      <w:r w:rsidR="00700BA1">
        <w:rPr>
          <w:rFonts w:ascii="Arial" w:hAnsi="Arial" w:hint="cs"/>
          <w:rtl/>
        </w:rPr>
        <w:t xml:space="preserve"> -</w:t>
      </w:r>
      <w:r w:rsidR="00700BA1" w:rsidRPr="008759EE">
        <w:rPr>
          <w:rFonts w:ascii="Arial" w:hAnsi="Arial"/>
          <w:rtl/>
        </w:rPr>
        <w:t xml:space="preserve"> המערער הורשע, על פי הודאתו, בהחזקת נשק לפי </w:t>
      </w:r>
      <w:hyperlink r:id="rId54" w:history="1">
        <w:r w:rsidR="00BC718E" w:rsidRPr="00BC718E">
          <w:rPr>
            <w:rStyle w:val="Hyperlink"/>
            <w:rFonts w:ascii="Arial" w:hAnsi="Arial"/>
            <w:rtl/>
          </w:rPr>
          <w:t>סעיף 144(א)</w:t>
        </w:r>
      </w:hyperlink>
      <w:r w:rsidR="00700BA1" w:rsidRPr="008759EE">
        <w:rPr>
          <w:rFonts w:ascii="Arial" w:hAnsi="Arial"/>
          <w:rtl/>
        </w:rPr>
        <w:t xml:space="preserve"> רישא ותחמושת לפי </w:t>
      </w:r>
      <w:hyperlink r:id="rId55" w:history="1">
        <w:r w:rsidR="00BC718E" w:rsidRPr="00BC718E">
          <w:rPr>
            <w:rStyle w:val="Hyperlink"/>
            <w:rFonts w:ascii="Arial" w:hAnsi="Arial"/>
            <w:rtl/>
          </w:rPr>
          <w:t>סעיף 144(א)</w:t>
        </w:r>
      </w:hyperlink>
      <w:r w:rsidR="00700BA1" w:rsidRPr="008759EE">
        <w:rPr>
          <w:rFonts w:ascii="Arial" w:hAnsi="Arial"/>
          <w:rtl/>
        </w:rPr>
        <w:t xml:space="preserve"> סיפא ל</w:t>
      </w:r>
      <w:hyperlink r:id="rId56" w:history="1">
        <w:r w:rsidRPr="008F22C7">
          <w:rPr>
            <w:rFonts w:ascii="Arial" w:hAnsi="Arial"/>
            <w:color w:val="0000FF"/>
            <w:u w:val="single"/>
            <w:rtl/>
          </w:rPr>
          <w:t>חוק העונשין</w:t>
        </w:r>
      </w:hyperlink>
      <w:r w:rsidR="00700BA1" w:rsidRPr="008759EE">
        <w:rPr>
          <w:rFonts w:ascii="Arial" w:hAnsi="Arial"/>
          <w:rtl/>
        </w:rPr>
        <w:t xml:space="preserve">. המערער הצטייד באקדח אוויר שבוצעו בו שינויים שמאפשרים ירי של תחמושת בקליבר 7.65 מ"מ ובכדורים תואמים - ללא רישיון כדין. המערער נתפס בחצר קרובה לביתו, כשהוא נושא את האקדח על גופו ובתוכו ארבעה כדורים. בית המשפט המחוזי קבע </w:t>
      </w:r>
      <w:r w:rsidR="00700BA1" w:rsidRPr="008759EE">
        <w:rPr>
          <w:rFonts w:ascii="Arial" w:hAnsi="Arial"/>
          <w:b/>
          <w:bCs/>
          <w:rtl/>
        </w:rPr>
        <w:t>מתחם ענישה שנע בין 12 ל-30 חודשי מאסר בפועל</w:t>
      </w:r>
      <w:r w:rsidR="00700BA1" w:rsidRPr="008759EE">
        <w:rPr>
          <w:rFonts w:ascii="Arial" w:hAnsi="Arial"/>
          <w:rtl/>
        </w:rPr>
        <w:t>, וגזר על המערער 20 חודשי מאסר בפועל. ערעור שהגיש המערער לבית המשפט העליון נדחה.</w:t>
      </w:r>
    </w:p>
    <w:p w14:paraId="627775CE" w14:textId="77777777" w:rsidR="00700BA1" w:rsidRPr="008759EE" w:rsidRDefault="00700BA1" w:rsidP="00700BA1">
      <w:pPr>
        <w:pStyle w:val="a9"/>
        <w:spacing w:before="240" w:after="240" w:line="360" w:lineRule="auto"/>
        <w:ind w:left="360"/>
        <w:contextualSpacing w:val="0"/>
        <w:jc w:val="both"/>
        <w:rPr>
          <w:u w:val="single"/>
        </w:rPr>
      </w:pPr>
      <w:r w:rsidRPr="008759EE">
        <w:rPr>
          <w:rFonts w:hint="cs"/>
          <w:u w:val="single"/>
          <w:rtl/>
        </w:rPr>
        <w:t>קביעת מתחם העונש ההולם</w:t>
      </w:r>
    </w:p>
    <w:p w14:paraId="1BEF3CAD" w14:textId="77777777" w:rsidR="00700BA1" w:rsidRPr="00287C26" w:rsidRDefault="00700BA1" w:rsidP="00700BA1">
      <w:pPr>
        <w:pStyle w:val="a9"/>
        <w:numPr>
          <w:ilvl w:val="0"/>
          <w:numId w:val="1"/>
        </w:numPr>
        <w:spacing w:before="240" w:after="240" w:line="360" w:lineRule="auto"/>
        <w:contextualSpacing w:val="0"/>
        <w:jc w:val="both"/>
        <w:rPr>
          <w:b/>
          <w:bCs/>
          <w:rtl/>
        </w:rPr>
      </w:pPr>
      <w:r>
        <w:rPr>
          <w:rFonts w:hint="cs"/>
          <w:rtl/>
        </w:rPr>
        <w:t xml:space="preserve">לא הייתה מחלוקת בין הצדדים כי בענייננו ונוכח המסגרת העובדתית, ראוי לקבוע מתחם עונש כולל לשתי העבירות, ולאחר שקלול הנתונים שפורטו לעיל, ראיתי לקבוע מתחם </w:t>
      </w:r>
      <w:r w:rsidRPr="00632184">
        <w:rPr>
          <w:rFonts w:hint="cs"/>
          <w:b/>
          <w:bCs/>
          <w:rtl/>
        </w:rPr>
        <w:t>הנע בין</w:t>
      </w:r>
      <w:r>
        <w:rPr>
          <w:rFonts w:hint="cs"/>
          <w:rtl/>
        </w:rPr>
        <w:t xml:space="preserve"> </w:t>
      </w:r>
      <w:r>
        <w:rPr>
          <w:rFonts w:hint="cs"/>
          <w:b/>
          <w:bCs/>
          <w:rtl/>
        </w:rPr>
        <w:t>38 חודשי מאסר ל-60 חודשי מאסר</w:t>
      </w:r>
      <w:r w:rsidRPr="00703257">
        <w:rPr>
          <w:rFonts w:hint="cs"/>
          <w:rtl/>
        </w:rPr>
        <w:t>.</w:t>
      </w:r>
    </w:p>
    <w:p w14:paraId="43F78559" w14:textId="77777777" w:rsidR="00700BA1" w:rsidRDefault="00700BA1" w:rsidP="00700BA1">
      <w:pPr>
        <w:pStyle w:val="a9"/>
        <w:spacing w:before="240" w:after="240" w:line="360" w:lineRule="auto"/>
        <w:ind w:left="360"/>
        <w:contextualSpacing w:val="0"/>
        <w:jc w:val="both"/>
        <w:rPr>
          <w:u w:val="single"/>
          <w:rtl/>
        </w:rPr>
      </w:pPr>
      <w:r w:rsidRPr="00B32959">
        <w:rPr>
          <w:rFonts w:hint="cs"/>
          <w:u w:val="single"/>
          <w:rtl/>
        </w:rPr>
        <w:t>קביעת העונש המתאים</w:t>
      </w:r>
    </w:p>
    <w:p w14:paraId="09C392A2" w14:textId="77777777" w:rsidR="00700BA1" w:rsidRDefault="00700BA1" w:rsidP="00700BA1">
      <w:pPr>
        <w:pStyle w:val="a9"/>
        <w:numPr>
          <w:ilvl w:val="0"/>
          <w:numId w:val="1"/>
        </w:numPr>
        <w:spacing w:before="240" w:after="240" w:line="360" w:lineRule="auto"/>
        <w:contextualSpacing w:val="0"/>
        <w:jc w:val="both"/>
      </w:pPr>
      <w:r w:rsidRPr="00477BB9">
        <w:rPr>
          <w:rFonts w:hint="cs"/>
          <w:rtl/>
        </w:rPr>
        <w:t xml:space="preserve">התביעה סברה כי צבר נתוניו של הנאשם מצדיק את </w:t>
      </w:r>
      <w:r w:rsidRPr="00477BB9">
        <w:rPr>
          <w:rFonts w:ascii="Arial" w:hAnsi="Arial"/>
          <w:rtl/>
        </w:rPr>
        <w:t>אימוץ הרף התחתון של המתחם שייקבע</w:t>
      </w:r>
      <w:r w:rsidRPr="00477BB9">
        <w:rPr>
          <w:rFonts w:hint="cs"/>
          <w:rtl/>
        </w:rPr>
        <w:t xml:space="preserve">, ההגנה לעומתה סברה כי יש בצבר נתוניו של הנאשם הצדקה לחריגה ממתחם העונש ההולם מטעמי שיקום (או פוטנציאל השיקום). </w:t>
      </w:r>
      <w:r>
        <w:rPr>
          <w:rFonts w:hint="cs"/>
          <w:rtl/>
        </w:rPr>
        <w:t>עמדתי דומה לעמדת התביעה, ואסביר:</w:t>
      </w:r>
    </w:p>
    <w:p w14:paraId="2EDD0886" w14:textId="77777777" w:rsidR="00700BA1" w:rsidRDefault="00700BA1" w:rsidP="00700BA1">
      <w:pPr>
        <w:pStyle w:val="a9"/>
        <w:spacing w:before="240" w:after="240" w:line="360" w:lineRule="auto"/>
        <w:ind w:left="360"/>
        <w:contextualSpacing w:val="0"/>
        <w:jc w:val="both"/>
        <w:rPr>
          <w:rtl/>
        </w:rPr>
      </w:pPr>
      <w:r>
        <w:rPr>
          <w:rFonts w:hint="cs"/>
          <w:rtl/>
        </w:rPr>
        <w:t>בית המשפט העליון עמד לא אחת על הצורך ב</w:t>
      </w:r>
      <w:r w:rsidRPr="00477BB9">
        <w:rPr>
          <w:rFonts w:hint="cs"/>
          <w:rtl/>
        </w:rPr>
        <w:t>העדפת שיקולי הרתעה על שיקולי שיקום בעבירות נשק</w:t>
      </w:r>
      <w:r>
        <w:rPr>
          <w:rFonts w:hint="cs"/>
          <w:rtl/>
        </w:rPr>
        <w:t xml:space="preserve">. לנתון זה יש להוסיף כי תסקיר שרות המבחן, שאין חולק כי הוא תסקיר חיובי, אינו מלמד על הליך שיקום במובנו הקלאסי, אלא בטיפול בבעיות שונות עמן מתמודד הנאשם, בין אם יש להן קשר לביצוע העבירה ובין אם לאו. </w:t>
      </w:r>
    </w:p>
    <w:p w14:paraId="709CD4F1" w14:textId="77777777" w:rsidR="00700BA1" w:rsidRDefault="00700BA1" w:rsidP="00700BA1">
      <w:pPr>
        <w:pStyle w:val="a9"/>
        <w:spacing w:before="240" w:after="240" w:line="360" w:lineRule="auto"/>
        <w:ind w:left="360"/>
        <w:contextualSpacing w:val="0"/>
        <w:jc w:val="both"/>
        <w:rPr>
          <w:rtl/>
        </w:rPr>
      </w:pPr>
      <w:r>
        <w:rPr>
          <w:rFonts w:hint="cs"/>
          <w:rtl/>
        </w:rPr>
        <w:t xml:space="preserve">בנסיבות אלה, אין מקום לטעמי לסטות מהרף התחתון של מתחם הענישה מטעמי שיקום, אך יש להביא בחשבון את נתוניו החיוביים של הנאשם, ככאלה המצדיקים קביעת עונש מתאים בסמוך לרף התחתון, ובהם: הודאתו במיוחס לו והחיסכון בזמן ציבורי; העובדה כי לחובתו הרשעה אחת בלבד בגין עבירה שבוצעה לפני כ-14 שנה (בגינה נדון לעונש מאסר בעבודות שירות); נתוניו האישיים כפי שעלו מטיעון בא-כוחו ומתסקיר שרות המבחן, וכן מצבו הרפואי והנפשי כעולה מעדות בנו. בחנתי גם את טענת הסנגור בדבר המשקל שיש ליתן למצבו הבריאותי, ואסתפק בכך שאציין כי עניינו אינו דומה לעניין </w:t>
      </w:r>
      <w:r w:rsidRPr="008C501D">
        <w:rPr>
          <w:rFonts w:hint="cs"/>
          <w:b/>
          <w:bCs/>
          <w:rtl/>
        </w:rPr>
        <w:t>לופוליאנסקי</w:t>
      </w:r>
      <w:r>
        <w:rPr>
          <w:rFonts w:hint="cs"/>
          <w:rtl/>
        </w:rPr>
        <w:t xml:space="preserve"> או לעניין </w:t>
      </w:r>
      <w:r w:rsidRPr="008C501D">
        <w:rPr>
          <w:rFonts w:hint="cs"/>
          <w:b/>
          <w:bCs/>
          <w:rtl/>
        </w:rPr>
        <w:t xml:space="preserve">צבי בר </w:t>
      </w:r>
      <w:r>
        <w:rPr>
          <w:rFonts w:hint="cs"/>
          <w:rtl/>
        </w:rPr>
        <w:t>אליהם הפנה הסנגור, מה גם שבמקרה דנן, אין המדובר בפער של שנים רבות בין מועד ביצוע העבירה לבין מועד העמדה לדין וגזירת הדין.</w:t>
      </w:r>
    </w:p>
    <w:p w14:paraId="4BA220B4" w14:textId="77777777" w:rsidR="00700BA1" w:rsidRDefault="00700BA1" w:rsidP="00700BA1">
      <w:pPr>
        <w:pStyle w:val="a9"/>
        <w:spacing w:before="240" w:after="240" w:line="360" w:lineRule="auto"/>
        <w:ind w:left="360"/>
        <w:contextualSpacing w:val="0"/>
        <w:jc w:val="both"/>
        <w:rPr>
          <w:rtl/>
        </w:rPr>
      </w:pPr>
      <w:r>
        <w:rPr>
          <w:rFonts w:hint="cs"/>
          <w:rtl/>
        </w:rPr>
        <w:t>אין ספק כי כניסה למאסר שאינו קצר, בגיל מבוגר, אינו אירוע קל או פשוט. יחד עם זאת, ניתן היה לצפות, דווקא בשל גילו המתקדם של הנאשם, כי יפעל ביישוב דעת ובהתאם להוראות החוק.</w:t>
      </w:r>
    </w:p>
    <w:p w14:paraId="25CD7CAC" w14:textId="77777777" w:rsidR="00700BA1" w:rsidRDefault="00700BA1" w:rsidP="00700BA1">
      <w:pPr>
        <w:pStyle w:val="a9"/>
        <w:spacing w:before="240" w:after="240" w:line="360" w:lineRule="auto"/>
        <w:ind w:left="360"/>
        <w:contextualSpacing w:val="0"/>
        <w:jc w:val="both"/>
        <w:rPr>
          <w:u w:val="single"/>
          <w:rtl/>
        </w:rPr>
      </w:pPr>
      <w:r w:rsidRPr="00477BB9">
        <w:rPr>
          <w:rFonts w:hint="cs"/>
          <w:u w:val="single"/>
          <w:rtl/>
        </w:rPr>
        <w:t>ס</w:t>
      </w:r>
      <w:r>
        <w:rPr>
          <w:rFonts w:hint="cs"/>
          <w:u w:val="single"/>
          <w:rtl/>
        </w:rPr>
        <w:t>וף דבר</w:t>
      </w:r>
    </w:p>
    <w:p w14:paraId="57349FCF" w14:textId="77777777" w:rsidR="00700BA1" w:rsidRDefault="00700BA1" w:rsidP="00700BA1">
      <w:pPr>
        <w:pStyle w:val="a9"/>
        <w:numPr>
          <w:ilvl w:val="0"/>
          <w:numId w:val="1"/>
        </w:numPr>
        <w:spacing w:before="240" w:after="240" w:line="360" w:lineRule="auto"/>
        <w:contextualSpacing w:val="0"/>
        <w:jc w:val="both"/>
        <w:rPr>
          <w:u w:val="single"/>
        </w:rPr>
      </w:pPr>
      <w:r>
        <w:rPr>
          <w:rFonts w:ascii="Arial" w:hAnsi="Arial"/>
          <w:rtl/>
        </w:rPr>
        <w:t xml:space="preserve">על יסוד כלל השיקולים שפורטו ראיתי למקם את הנאשם </w:t>
      </w:r>
      <w:r>
        <w:rPr>
          <w:rFonts w:ascii="Arial" w:hAnsi="Arial" w:hint="cs"/>
          <w:rtl/>
        </w:rPr>
        <w:t>בסמוך ל</w:t>
      </w:r>
      <w:r>
        <w:rPr>
          <w:rFonts w:ascii="Arial" w:hAnsi="Arial"/>
          <w:rtl/>
        </w:rPr>
        <w:t>חלקו התחתון של מתחם העונש ההולם ולהטיל עליו את העונשים הבאים:</w:t>
      </w:r>
    </w:p>
    <w:p w14:paraId="18E3B36D" w14:textId="77777777" w:rsidR="00700BA1" w:rsidRDefault="00700BA1" w:rsidP="00700BA1">
      <w:pPr>
        <w:pStyle w:val="a9"/>
        <w:numPr>
          <w:ilvl w:val="0"/>
          <w:numId w:val="3"/>
        </w:numPr>
        <w:spacing w:before="240" w:after="240" w:line="360" w:lineRule="auto"/>
        <w:contextualSpacing w:val="0"/>
        <w:jc w:val="both"/>
      </w:pPr>
      <w:r>
        <w:rPr>
          <w:rFonts w:hint="cs"/>
          <w:rtl/>
        </w:rPr>
        <w:t>40</w:t>
      </w:r>
      <w:r w:rsidRPr="005F6ED3">
        <w:rPr>
          <w:rFonts w:hint="cs"/>
          <w:rtl/>
        </w:rPr>
        <w:t xml:space="preserve"> חודשי מאסר בניכוי ימי מעצרו</w:t>
      </w:r>
      <w:r>
        <w:rPr>
          <w:rFonts w:hint="cs"/>
          <w:rtl/>
        </w:rPr>
        <w:t xml:space="preserve"> שבין</w:t>
      </w:r>
      <w:r w:rsidRPr="005F6ED3">
        <w:rPr>
          <w:rFonts w:hint="cs"/>
          <w:rtl/>
        </w:rPr>
        <w:t xml:space="preserve"> 23.6.22-20.9.22</w:t>
      </w:r>
      <w:r>
        <w:rPr>
          <w:rFonts w:hint="cs"/>
          <w:rtl/>
        </w:rPr>
        <w:t xml:space="preserve">. הנאשם יתייצב ביום 10.10.23 בשעה 09:00 במתקן ניצן או במתקן אחר עליו יורה שב"ס בהליך המיון המוקדם, ככל שייערך כזה. </w:t>
      </w:r>
    </w:p>
    <w:p w14:paraId="72670D4C" w14:textId="77777777" w:rsidR="00700BA1" w:rsidRDefault="00700BA1" w:rsidP="00700BA1">
      <w:pPr>
        <w:pStyle w:val="a9"/>
        <w:numPr>
          <w:ilvl w:val="0"/>
          <w:numId w:val="3"/>
        </w:numPr>
        <w:spacing w:before="240" w:after="240" w:line="360" w:lineRule="auto"/>
        <w:contextualSpacing w:val="0"/>
        <w:jc w:val="both"/>
      </w:pPr>
      <w:r>
        <w:rPr>
          <w:rFonts w:hint="cs"/>
          <w:rtl/>
        </w:rPr>
        <w:t>9 חודשי מאסר אולם הנאשם לא יישא עונש זה אלא אם יעבור תוך שלוש שנים מיום שחרורו עבירת נשק מסוג פשע.</w:t>
      </w:r>
    </w:p>
    <w:p w14:paraId="76761F5B" w14:textId="77777777" w:rsidR="00700BA1" w:rsidRDefault="00700BA1" w:rsidP="00700BA1">
      <w:pPr>
        <w:pStyle w:val="a9"/>
        <w:numPr>
          <w:ilvl w:val="0"/>
          <w:numId w:val="3"/>
        </w:numPr>
        <w:spacing w:before="240" w:after="240" w:line="360" w:lineRule="auto"/>
        <w:contextualSpacing w:val="0"/>
        <w:jc w:val="both"/>
      </w:pPr>
      <w:r>
        <w:rPr>
          <w:rFonts w:hint="cs"/>
          <w:rtl/>
        </w:rPr>
        <w:t>6 חודשי מאסר אולם הנאשם לא יישא עונש זה אלא אם יעבור תוך שלוש שנים מיום שחרורו עבירת נשק מסוג עוון.</w:t>
      </w:r>
    </w:p>
    <w:p w14:paraId="2C9DE4EA" w14:textId="77777777" w:rsidR="00700BA1" w:rsidRDefault="00700BA1" w:rsidP="00700BA1">
      <w:pPr>
        <w:pStyle w:val="a9"/>
        <w:numPr>
          <w:ilvl w:val="0"/>
          <w:numId w:val="3"/>
        </w:numPr>
        <w:spacing w:before="240" w:after="240" w:line="360" w:lineRule="auto"/>
        <w:contextualSpacing w:val="0"/>
        <w:jc w:val="both"/>
      </w:pPr>
      <w:r>
        <w:rPr>
          <w:rFonts w:hint="cs"/>
          <w:rtl/>
        </w:rPr>
        <w:t>קנס בסך 5,000 ₪  לתשלום עד ולא יאוחר מיום 1.1.24 או 25 ימי מאסר תמורתו.</w:t>
      </w:r>
    </w:p>
    <w:p w14:paraId="4063AC6A" w14:textId="77777777" w:rsidR="00700BA1" w:rsidRDefault="00700BA1" w:rsidP="00700BA1">
      <w:pPr>
        <w:pStyle w:val="a9"/>
        <w:spacing w:before="240" w:after="240" w:line="360" w:lineRule="auto"/>
        <w:contextualSpacing w:val="0"/>
        <w:jc w:val="both"/>
        <w:rPr>
          <w:rtl/>
        </w:rPr>
      </w:pPr>
      <w:r>
        <w:rPr>
          <w:rFonts w:hint="cs"/>
          <w:rtl/>
        </w:rPr>
        <w:t>ניתן צו כללי למוצגים לשיקול דעת קצין משטרה ו/או תביעה.</w:t>
      </w:r>
    </w:p>
    <w:p w14:paraId="4ADA3C51" w14:textId="77777777" w:rsidR="00700BA1" w:rsidRDefault="00700BA1" w:rsidP="00700BA1">
      <w:pPr>
        <w:pStyle w:val="a9"/>
        <w:spacing w:before="240" w:after="240" w:line="360" w:lineRule="auto"/>
        <w:contextualSpacing w:val="0"/>
        <w:jc w:val="both"/>
        <w:rPr>
          <w:rtl/>
        </w:rPr>
      </w:pPr>
      <w:r>
        <w:rPr>
          <w:rFonts w:hint="cs"/>
          <w:rtl/>
        </w:rPr>
        <w:t>זכות ערעור כחוק.</w:t>
      </w:r>
    </w:p>
    <w:p w14:paraId="3148D927" w14:textId="77777777" w:rsidR="00700BA1" w:rsidRDefault="008F22C7" w:rsidP="00700BA1">
      <w:pPr>
        <w:spacing w:line="360" w:lineRule="auto"/>
        <w:jc w:val="both"/>
        <w:rPr>
          <w:rFonts w:ascii="Arial" w:hAnsi="Arial"/>
          <w:rtl/>
        </w:rPr>
      </w:pPr>
      <w:bookmarkStart w:id="8" w:name="Nitan"/>
      <w:r>
        <w:rPr>
          <w:rFonts w:ascii="Arial" w:hAnsi="Arial"/>
          <w:b/>
          <w:bCs/>
          <w:rtl/>
        </w:rPr>
        <w:t xml:space="preserve">ניתן והודע היום, י"ב אב תשפ"ג, 30 יולי 2023, במעמד הצדדים. </w:t>
      </w:r>
      <w:bookmarkEnd w:id="8"/>
    </w:p>
    <w:p w14:paraId="52BF6BF5" w14:textId="77777777" w:rsidR="00700BA1" w:rsidRPr="00250B83" w:rsidRDefault="00700BA1" w:rsidP="00700BA1">
      <w:pPr>
        <w:spacing w:line="360" w:lineRule="auto"/>
        <w:jc w:val="both"/>
        <w:rPr>
          <w:rFonts w:ascii="Arial" w:hAnsi="Arial"/>
        </w:rPr>
      </w:pPr>
    </w:p>
    <w:p w14:paraId="149D7817" w14:textId="77777777" w:rsidR="00700BA1" w:rsidRPr="008F22C7" w:rsidRDefault="008F22C7" w:rsidP="00700BA1">
      <w:pPr>
        <w:rPr>
          <w:color w:val="FFFFFF"/>
          <w:sz w:val="2"/>
          <w:szCs w:val="2"/>
          <w:rtl/>
        </w:rPr>
      </w:pPr>
      <w:r w:rsidRPr="008F22C7">
        <w:rPr>
          <w:color w:val="FFFFFF"/>
          <w:sz w:val="2"/>
          <w:szCs w:val="2"/>
          <w:rtl/>
        </w:rPr>
        <w:t>5129371</w:t>
      </w:r>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700BA1" w14:paraId="4D6D5571" w14:textId="77777777" w:rsidTr="00700BA1">
        <w:trPr>
          <w:trHeight w:val="316"/>
        </w:trPr>
        <w:tc>
          <w:tcPr>
            <w:tcW w:w="3936" w:type="dxa"/>
            <w:tcBorders>
              <w:top w:val="nil"/>
              <w:left w:val="nil"/>
              <w:bottom w:val="single" w:sz="4" w:space="0" w:color="auto"/>
              <w:right w:val="nil"/>
            </w:tcBorders>
            <w:shd w:val="clear" w:color="auto" w:fill="auto"/>
            <w:vAlign w:val="bottom"/>
          </w:tcPr>
          <w:p w14:paraId="7814B4E9" w14:textId="77777777" w:rsidR="00700BA1" w:rsidRPr="008F22C7" w:rsidRDefault="008F22C7" w:rsidP="00700BA1">
            <w:pPr>
              <w:jc w:val="center"/>
              <w:rPr>
                <w:rFonts w:cs="Times New Roman"/>
                <w:color w:val="FFFFFF"/>
                <w:sz w:val="2"/>
                <w:szCs w:val="2"/>
              </w:rPr>
            </w:pPr>
            <w:r w:rsidRPr="008F22C7">
              <w:rPr>
                <w:rFonts w:cs="Times New Roman"/>
                <w:color w:val="FFFFFF"/>
                <w:sz w:val="2"/>
                <w:szCs w:val="2"/>
                <w:rtl/>
              </w:rPr>
              <w:t>54678313</w:t>
            </w:r>
          </w:p>
        </w:tc>
      </w:tr>
      <w:tr w:rsidR="00700BA1" w14:paraId="784649B8" w14:textId="77777777" w:rsidTr="00700BA1">
        <w:trPr>
          <w:trHeight w:val="361"/>
        </w:trPr>
        <w:tc>
          <w:tcPr>
            <w:tcW w:w="3936" w:type="dxa"/>
            <w:tcBorders>
              <w:top w:val="single" w:sz="4" w:space="0" w:color="auto"/>
              <w:left w:val="nil"/>
              <w:bottom w:val="nil"/>
              <w:right w:val="nil"/>
            </w:tcBorders>
            <w:shd w:val="clear" w:color="auto" w:fill="auto"/>
          </w:tcPr>
          <w:p w14:paraId="7673A132" w14:textId="77777777" w:rsidR="00700BA1" w:rsidRPr="00700BA1" w:rsidRDefault="00700BA1" w:rsidP="00700BA1">
            <w:pPr>
              <w:jc w:val="center"/>
              <w:rPr>
                <w:b/>
                <w:bCs/>
                <w:rtl/>
              </w:rPr>
            </w:pPr>
            <w:r w:rsidRPr="00700BA1">
              <w:rPr>
                <w:b/>
                <w:bCs/>
                <w:rtl/>
              </w:rPr>
              <w:t>בני שגיא, שופט</w:t>
            </w:r>
          </w:p>
          <w:p w14:paraId="4CFBF080" w14:textId="77777777" w:rsidR="00700BA1" w:rsidRPr="00700BA1" w:rsidRDefault="00700BA1" w:rsidP="00700BA1">
            <w:pPr>
              <w:jc w:val="center"/>
              <w:rPr>
                <w:b/>
                <w:bCs/>
                <w:rtl/>
                <w:lang w:eastAsia="he-IL"/>
              </w:rPr>
            </w:pPr>
            <w:r w:rsidRPr="00700BA1">
              <w:rPr>
                <w:b/>
                <w:bCs/>
                <w:rtl/>
              </w:rPr>
              <w:t>סגן נשיא</w:t>
            </w:r>
          </w:p>
        </w:tc>
      </w:tr>
    </w:tbl>
    <w:p w14:paraId="3B871546" w14:textId="77777777" w:rsidR="00700BA1" w:rsidRPr="00250B83" w:rsidRDefault="00700BA1" w:rsidP="00700BA1">
      <w:pPr>
        <w:rPr>
          <w:rtl/>
        </w:rPr>
      </w:pPr>
    </w:p>
    <w:p w14:paraId="4847FAF7" w14:textId="77777777" w:rsidR="00700BA1" w:rsidRPr="00250B83" w:rsidRDefault="00700BA1" w:rsidP="00700BA1">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0C73BC16" w14:textId="77777777" w:rsidR="00700BA1" w:rsidRPr="00AF1097" w:rsidRDefault="00700BA1" w:rsidP="00700BA1">
      <w:pPr>
        <w:jc w:val="center"/>
        <w:rPr>
          <w:rFonts w:ascii="Arial" w:hAnsi="Arial"/>
          <w:rtl/>
        </w:rPr>
      </w:pPr>
    </w:p>
    <w:p w14:paraId="4F03501D" w14:textId="77777777" w:rsidR="00700BA1" w:rsidRPr="00250B83" w:rsidRDefault="00700BA1" w:rsidP="00700BA1">
      <w:pPr>
        <w:rPr>
          <w:rtl/>
        </w:rPr>
      </w:pPr>
    </w:p>
    <w:p w14:paraId="4D25443F" w14:textId="77777777" w:rsidR="00700BA1" w:rsidRDefault="00700BA1" w:rsidP="00700BA1">
      <w:pPr>
        <w:pStyle w:val="a3"/>
        <w:jc w:val="center"/>
        <w:rPr>
          <w:rtl/>
        </w:rPr>
      </w:pPr>
    </w:p>
    <w:p w14:paraId="29B80B51" w14:textId="77777777" w:rsidR="00E10116" w:rsidRPr="008F22C7" w:rsidRDefault="00E10116" w:rsidP="008F22C7">
      <w:pPr>
        <w:keepNext/>
        <w:rPr>
          <w:rFonts w:ascii="David" w:hAnsi="David"/>
          <w:color w:val="000000"/>
          <w:sz w:val="22"/>
          <w:szCs w:val="22"/>
          <w:rtl/>
        </w:rPr>
      </w:pPr>
    </w:p>
    <w:p w14:paraId="1496E185" w14:textId="77777777" w:rsidR="008F22C7" w:rsidRPr="008F22C7" w:rsidRDefault="008F22C7" w:rsidP="008F22C7">
      <w:pPr>
        <w:keepNext/>
        <w:rPr>
          <w:rFonts w:ascii="David" w:hAnsi="David"/>
          <w:color w:val="000000"/>
          <w:sz w:val="22"/>
          <w:szCs w:val="22"/>
          <w:rtl/>
        </w:rPr>
      </w:pPr>
      <w:r w:rsidRPr="008F22C7">
        <w:rPr>
          <w:rFonts w:ascii="David" w:hAnsi="David"/>
          <w:color w:val="000000"/>
          <w:sz w:val="22"/>
          <w:szCs w:val="22"/>
          <w:rtl/>
        </w:rPr>
        <w:t>בני שגיא 54678313</w:t>
      </w:r>
    </w:p>
    <w:p w14:paraId="7B565C8A" w14:textId="77777777" w:rsidR="008F22C7" w:rsidRDefault="008F22C7" w:rsidP="008F22C7">
      <w:r w:rsidRPr="008F22C7">
        <w:rPr>
          <w:color w:val="000000"/>
          <w:rtl/>
        </w:rPr>
        <w:t>נוסח מסמך זה כפוף לשינויי ניסוח ועריכה</w:t>
      </w:r>
    </w:p>
    <w:p w14:paraId="3B29274C" w14:textId="77777777" w:rsidR="008F22C7" w:rsidRDefault="008F22C7" w:rsidP="008F22C7">
      <w:pPr>
        <w:rPr>
          <w:rtl/>
        </w:rPr>
      </w:pPr>
    </w:p>
    <w:p w14:paraId="34D5708B" w14:textId="77777777" w:rsidR="008F22C7" w:rsidRDefault="008F22C7" w:rsidP="008F22C7">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7B4B477B" w14:textId="77777777" w:rsidR="008F22C7" w:rsidRPr="008F22C7" w:rsidRDefault="008F22C7" w:rsidP="008F22C7">
      <w:pPr>
        <w:jc w:val="center"/>
        <w:rPr>
          <w:color w:val="0000FF"/>
          <w:u w:val="single"/>
        </w:rPr>
      </w:pPr>
    </w:p>
    <w:sectPr w:rsidR="008F22C7" w:rsidRPr="008F22C7" w:rsidSect="008F22C7">
      <w:headerReference w:type="even" r:id="rId58"/>
      <w:headerReference w:type="default" r:id="rId59"/>
      <w:footerReference w:type="even" r:id="rId60"/>
      <w:footerReference w:type="default" r:id="rId61"/>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DE6C6" w14:textId="77777777" w:rsidR="002C46FF" w:rsidRDefault="002C46FF" w:rsidP="000A4330">
      <w:r>
        <w:separator/>
      </w:r>
    </w:p>
  </w:endnote>
  <w:endnote w:type="continuationSeparator" w:id="0">
    <w:p w14:paraId="3DA2F088" w14:textId="77777777" w:rsidR="002C46FF" w:rsidRDefault="002C46FF" w:rsidP="000A4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0316B" w14:textId="77777777" w:rsidR="008F22C7" w:rsidRDefault="008F22C7" w:rsidP="008F22C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D491E4" w14:textId="77777777" w:rsidR="00F62610" w:rsidRPr="008F22C7" w:rsidRDefault="008F22C7" w:rsidP="008F22C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D4049" w14:textId="77777777" w:rsidR="008F22C7" w:rsidRDefault="008F22C7" w:rsidP="008F22C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1558">
      <w:rPr>
        <w:rFonts w:ascii="FrankRuehl" w:hAnsi="FrankRuehl" w:cs="FrankRuehl"/>
        <w:noProof/>
        <w:rtl/>
      </w:rPr>
      <w:t>1</w:t>
    </w:r>
    <w:r>
      <w:rPr>
        <w:rFonts w:ascii="FrankRuehl" w:hAnsi="FrankRuehl" w:cs="FrankRuehl"/>
        <w:rtl/>
      </w:rPr>
      <w:fldChar w:fldCharType="end"/>
    </w:r>
  </w:p>
  <w:p w14:paraId="08F82975" w14:textId="77777777" w:rsidR="00F62610" w:rsidRPr="008F22C7" w:rsidRDefault="008F22C7" w:rsidP="008F22C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A342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CF3D1" w14:textId="77777777" w:rsidR="002C46FF" w:rsidRDefault="002C46FF" w:rsidP="000A4330">
      <w:r>
        <w:separator/>
      </w:r>
    </w:p>
  </w:footnote>
  <w:footnote w:type="continuationSeparator" w:id="0">
    <w:p w14:paraId="2A36BF42" w14:textId="77777777" w:rsidR="002C46FF" w:rsidRDefault="002C46FF" w:rsidP="000A4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EBBF1" w14:textId="77777777" w:rsidR="008F22C7" w:rsidRPr="008F22C7" w:rsidRDefault="008F22C7" w:rsidP="008F22C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4612-07-22</w:t>
    </w:r>
    <w:r>
      <w:rPr>
        <w:rFonts w:ascii="David" w:hAnsi="David"/>
        <w:color w:val="000000"/>
        <w:sz w:val="22"/>
        <w:szCs w:val="22"/>
        <w:rtl/>
      </w:rPr>
      <w:tab/>
      <w:t xml:space="preserve"> מדינת ישראל נ' הרצל שמאמי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FA277" w14:textId="77777777" w:rsidR="008F22C7" w:rsidRPr="008F22C7" w:rsidRDefault="008F22C7" w:rsidP="008F22C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4612-07-22</w:t>
    </w:r>
    <w:r>
      <w:rPr>
        <w:rFonts w:ascii="David" w:hAnsi="David"/>
        <w:color w:val="000000"/>
        <w:sz w:val="22"/>
        <w:szCs w:val="22"/>
        <w:rtl/>
      </w:rPr>
      <w:tab/>
      <w:t xml:space="preserve"> מדינת ישראל נ' הרצל שמאמי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06E35"/>
    <w:multiLevelType w:val="hybridMultilevel"/>
    <w:tmpl w:val="AC48EBD8"/>
    <w:lvl w:ilvl="0" w:tplc="C3B0DC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152A8"/>
    <w:multiLevelType w:val="hybridMultilevel"/>
    <w:tmpl w:val="8B2EC7E6"/>
    <w:lvl w:ilvl="0" w:tplc="6C8EFB9A">
      <w:start w:val="1"/>
      <w:numFmt w:val="decimal"/>
      <w:lvlText w:val="%1."/>
      <w:lvlJc w:val="left"/>
      <w:pPr>
        <w:ind w:left="360" w:hanging="360"/>
      </w:pPr>
      <w:rPr>
        <w:rFonts w:hint="default"/>
        <w:b w:val="0"/>
        <w:bCs w:val="0"/>
        <w:lang w:bidi="he-I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147F03"/>
    <w:multiLevelType w:val="hybridMultilevel"/>
    <w:tmpl w:val="1ED2B132"/>
    <w:lvl w:ilvl="0" w:tplc="B0507A7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050137">
    <w:abstractNumId w:val="1"/>
  </w:num>
  <w:num w:numId="2" w16cid:durableId="2079668426">
    <w:abstractNumId w:val="0"/>
  </w:num>
  <w:num w:numId="3" w16cid:durableId="1594167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0BA1"/>
    <w:rsid w:val="000A4330"/>
    <w:rsid w:val="001B5A3B"/>
    <w:rsid w:val="001D1558"/>
    <w:rsid w:val="002C46FF"/>
    <w:rsid w:val="004833D8"/>
    <w:rsid w:val="00700BA1"/>
    <w:rsid w:val="00792EC3"/>
    <w:rsid w:val="007D0101"/>
    <w:rsid w:val="008D2B5A"/>
    <w:rsid w:val="008F22C7"/>
    <w:rsid w:val="00AB2531"/>
    <w:rsid w:val="00BC718E"/>
    <w:rsid w:val="00D45B97"/>
    <w:rsid w:val="00E10116"/>
    <w:rsid w:val="00E40566"/>
    <w:rsid w:val="00F2235B"/>
    <w:rsid w:val="00F626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294117"/>
  <w15:chartTrackingRefBased/>
  <w15:docId w15:val="{131CC41F-B544-41D2-97BD-2BC42FC0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0BA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00BA1"/>
    <w:pPr>
      <w:tabs>
        <w:tab w:val="center" w:pos="4153"/>
        <w:tab w:val="right" w:pos="8306"/>
      </w:tabs>
    </w:pPr>
  </w:style>
  <w:style w:type="character" w:customStyle="1" w:styleId="a4">
    <w:name w:val="כותרת עליונה תו"/>
    <w:link w:val="a3"/>
    <w:rsid w:val="00700BA1"/>
    <w:rPr>
      <w:rFonts w:ascii="Times New Roman" w:eastAsia="Times New Roman" w:hAnsi="Times New Roman" w:cs="David"/>
      <w:sz w:val="24"/>
      <w:szCs w:val="24"/>
    </w:rPr>
  </w:style>
  <w:style w:type="paragraph" w:styleId="a5">
    <w:name w:val="footer"/>
    <w:basedOn w:val="a"/>
    <w:link w:val="a6"/>
    <w:rsid w:val="00700BA1"/>
    <w:pPr>
      <w:tabs>
        <w:tab w:val="center" w:pos="4153"/>
        <w:tab w:val="right" w:pos="8306"/>
      </w:tabs>
    </w:pPr>
  </w:style>
  <w:style w:type="character" w:customStyle="1" w:styleId="a6">
    <w:name w:val="כותרת תחתונה תו"/>
    <w:link w:val="a5"/>
    <w:rsid w:val="00700BA1"/>
    <w:rPr>
      <w:rFonts w:ascii="Times New Roman" w:eastAsia="Times New Roman" w:hAnsi="Times New Roman" w:cs="David"/>
      <w:sz w:val="24"/>
      <w:szCs w:val="24"/>
    </w:rPr>
  </w:style>
  <w:style w:type="table" w:styleId="a7">
    <w:name w:val="Table Grid"/>
    <w:basedOn w:val="a1"/>
    <w:rsid w:val="00700B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00BA1"/>
  </w:style>
  <w:style w:type="paragraph" w:styleId="a9">
    <w:name w:val="List Paragraph"/>
    <w:basedOn w:val="a"/>
    <w:qFormat/>
    <w:rsid w:val="00700BA1"/>
    <w:pPr>
      <w:ind w:left="720"/>
      <w:contextualSpacing/>
    </w:pPr>
  </w:style>
  <w:style w:type="character" w:styleId="Hyperlink">
    <w:name w:val="Hyperlink"/>
    <w:rsid w:val="008F22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1835"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1835/2" TargetMode="External"/><Relationship Id="rId39" Type="http://schemas.openxmlformats.org/officeDocument/2006/relationships/hyperlink" Target="http://www.nevo.co.il/law/70301/144.g" TargetMode="External"/><Relationship Id="rId21" Type="http://schemas.openxmlformats.org/officeDocument/2006/relationships/hyperlink" Target="http://www.nevo.co.il/law/71835" TargetMode="External"/><Relationship Id="rId34" Type="http://schemas.openxmlformats.org/officeDocument/2006/relationships/hyperlink" Target="http://www.nevo.co.il/case/28243273" TargetMode="External"/><Relationship Id="rId42" Type="http://schemas.openxmlformats.org/officeDocument/2006/relationships/hyperlink" Target="http://www.nevo.co.il/law/70301/144.b2" TargetMode="External"/><Relationship Id="rId47" Type="http://schemas.openxmlformats.org/officeDocument/2006/relationships/hyperlink" Target="http://www.nevo.co.il/case/28963593" TargetMode="External"/><Relationship Id="rId50" Type="http://schemas.openxmlformats.org/officeDocument/2006/relationships/hyperlink" Target="http://www.nevo.co.il/law/70301/29" TargetMode="External"/><Relationship Id="rId55" Type="http://schemas.openxmlformats.org/officeDocument/2006/relationships/hyperlink" Target="http://www.nevo.co.il/law/70301/144.a"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03/187.a" TargetMode="External"/><Relationship Id="rId29" Type="http://schemas.openxmlformats.org/officeDocument/2006/relationships/hyperlink" Target="http://www.nevo.co.il/law/74903"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74903/187.a"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1474520"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7925239" TargetMode="External"/><Relationship Id="rId53" Type="http://schemas.openxmlformats.org/officeDocument/2006/relationships/hyperlink" Target="http://www.nevo.co.il/case/27502726"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144.b2" TargetMode="External"/><Relationship Id="rId14" Type="http://schemas.openxmlformats.org/officeDocument/2006/relationships/hyperlink" Target="http://www.nevo.co.il/law/71835/2" TargetMode="External"/><Relationship Id="rId22" Type="http://schemas.openxmlformats.org/officeDocument/2006/relationships/hyperlink" Target="http://www.nevo.co.il/law/74903/187.a" TargetMode="External"/><Relationship Id="rId27" Type="http://schemas.openxmlformats.org/officeDocument/2006/relationships/hyperlink" Target="http://www.nevo.co.il/law/71835" TargetMode="External"/><Relationship Id="rId30" Type="http://schemas.openxmlformats.org/officeDocument/2006/relationships/hyperlink" Target="http://www.nevo.co.il/law/71835/2" TargetMode="External"/><Relationship Id="rId35" Type="http://schemas.openxmlformats.org/officeDocument/2006/relationships/hyperlink" Target="http://www.nevo.co.il/case/28266138"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8513828"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4903" TargetMode="External"/><Relationship Id="rId33" Type="http://schemas.openxmlformats.org/officeDocument/2006/relationships/hyperlink" Target="http://www.nevo.co.il/case/28384637"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8566282" TargetMode="External"/><Relationship Id="rId59" Type="http://schemas.openxmlformats.org/officeDocument/2006/relationships/header" Target="header2.xml"/><Relationship Id="rId20" Type="http://schemas.openxmlformats.org/officeDocument/2006/relationships/hyperlink" Target="http://www.nevo.co.il/law/71835/2" TargetMode="External"/><Relationship Id="rId41" Type="http://schemas.openxmlformats.org/officeDocument/2006/relationships/hyperlink" Target="http://www.nevo.co.il/case/28883087" TargetMode="External"/><Relationship Id="rId54" Type="http://schemas.openxmlformats.org/officeDocument/2006/relationships/hyperlink" Target="http://www.nevo.co.il/law/70301/144.a"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03" TargetMode="External"/><Relationship Id="rId23" Type="http://schemas.openxmlformats.org/officeDocument/2006/relationships/hyperlink" Target="http://www.nevo.co.il/law/74903" TargetMode="External"/><Relationship Id="rId28" Type="http://schemas.openxmlformats.org/officeDocument/2006/relationships/hyperlink" Target="http://www.nevo.co.il/law/74903/187.a" TargetMode="External"/><Relationship Id="rId36" Type="http://schemas.openxmlformats.org/officeDocument/2006/relationships/hyperlink" Target="http://www.nevo.co.il/case/5821327" TargetMode="External"/><Relationship Id="rId49" Type="http://schemas.openxmlformats.org/officeDocument/2006/relationships/hyperlink" Target="http://www.nevo.co.il/law/70301/144.a"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law/71835" TargetMode="External"/><Relationship Id="rId44" Type="http://schemas.openxmlformats.org/officeDocument/2006/relationships/hyperlink" Target="http://www.nevo.co.il/law/70301/144.b" TargetMode="External"/><Relationship Id="rId52" Type="http://schemas.openxmlformats.org/officeDocument/2006/relationships/hyperlink" Target="http://www.nevo.co.il/case/27491153"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3551</Words>
  <Characters>17759</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21268</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5177424</vt:i4>
      </vt:variant>
      <vt:variant>
        <vt:i4>144</vt:i4>
      </vt:variant>
      <vt:variant>
        <vt:i4>0</vt:i4>
      </vt:variant>
      <vt:variant>
        <vt:i4>5</vt:i4>
      </vt:variant>
      <vt:variant>
        <vt:lpwstr>http://www.nevo.co.il/law/70301/144.a</vt:lpwstr>
      </vt:variant>
      <vt:variant>
        <vt:lpwstr/>
      </vt:variant>
      <vt:variant>
        <vt:i4>5177424</vt:i4>
      </vt:variant>
      <vt:variant>
        <vt:i4>141</vt:i4>
      </vt:variant>
      <vt:variant>
        <vt:i4>0</vt:i4>
      </vt:variant>
      <vt:variant>
        <vt:i4>5</vt:i4>
      </vt:variant>
      <vt:variant>
        <vt:lpwstr>http://www.nevo.co.il/law/70301/144.a</vt:lpwstr>
      </vt:variant>
      <vt:variant>
        <vt:lpwstr/>
      </vt:variant>
      <vt:variant>
        <vt:i4>3604596</vt:i4>
      </vt:variant>
      <vt:variant>
        <vt:i4>138</vt:i4>
      </vt:variant>
      <vt:variant>
        <vt:i4>0</vt:i4>
      </vt:variant>
      <vt:variant>
        <vt:i4>5</vt:i4>
      </vt:variant>
      <vt:variant>
        <vt:lpwstr>http://www.nevo.co.il/case/27502726</vt:lpwstr>
      </vt:variant>
      <vt:variant>
        <vt:lpwstr/>
      </vt:variant>
      <vt:variant>
        <vt:i4>3276923</vt:i4>
      </vt:variant>
      <vt:variant>
        <vt:i4>135</vt:i4>
      </vt:variant>
      <vt:variant>
        <vt:i4>0</vt:i4>
      </vt:variant>
      <vt:variant>
        <vt:i4>5</vt:i4>
      </vt:variant>
      <vt:variant>
        <vt:lpwstr>http://www.nevo.co.il/case/27491153</vt:lpwstr>
      </vt:variant>
      <vt:variant>
        <vt:lpwstr/>
      </vt:variant>
      <vt:variant>
        <vt:i4>7995492</vt:i4>
      </vt:variant>
      <vt:variant>
        <vt:i4>132</vt:i4>
      </vt:variant>
      <vt:variant>
        <vt:i4>0</vt:i4>
      </vt:variant>
      <vt:variant>
        <vt:i4>5</vt:i4>
      </vt:variant>
      <vt:variant>
        <vt:lpwstr>http://www.nevo.co.il/law/70301</vt:lpwstr>
      </vt:variant>
      <vt:variant>
        <vt:lpwstr/>
      </vt:variant>
      <vt:variant>
        <vt:i4>7077991</vt:i4>
      </vt:variant>
      <vt:variant>
        <vt:i4>129</vt:i4>
      </vt:variant>
      <vt:variant>
        <vt:i4>0</vt:i4>
      </vt:variant>
      <vt:variant>
        <vt:i4>5</vt:i4>
      </vt:variant>
      <vt:variant>
        <vt:lpwstr>http://www.nevo.co.il/law/70301/29</vt:lpwstr>
      </vt:variant>
      <vt:variant>
        <vt:lpwstr/>
      </vt:variant>
      <vt:variant>
        <vt:i4>5177424</vt:i4>
      </vt:variant>
      <vt:variant>
        <vt:i4>126</vt:i4>
      </vt:variant>
      <vt:variant>
        <vt:i4>0</vt:i4>
      </vt:variant>
      <vt:variant>
        <vt:i4>5</vt:i4>
      </vt:variant>
      <vt:variant>
        <vt:lpwstr>http://www.nevo.co.il/law/70301/144.a</vt:lpwstr>
      </vt:variant>
      <vt:variant>
        <vt:lpwstr/>
      </vt:variant>
      <vt:variant>
        <vt:i4>3539061</vt:i4>
      </vt:variant>
      <vt:variant>
        <vt:i4>123</vt:i4>
      </vt:variant>
      <vt:variant>
        <vt:i4>0</vt:i4>
      </vt:variant>
      <vt:variant>
        <vt:i4>5</vt:i4>
      </vt:variant>
      <vt:variant>
        <vt:lpwstr>http://www.nevo.co.il/case/28513828</vt:lpwstr>
      </vt:variant>
      <vt:variant>
        <vt:lpwstr/>
      </vt:variant>
      <vt:variant>
        <vt:i4>3211391</vt:i4>
      </vt:variant>
      <vt:variant>
        <vt:i4>120</vt:i4>
      </vt:variant>
      <vt:variant>
        <vt:i4>0</vt:i4>
      </vt:variant>
      <vt:variant>
        <vt:i4>5</vt:i4>
      </vt:variant>
      <vt:variant>
        <vt:lpwstr>http://www.nevo.co.il/case/28963593</vt:lpwstr>
      </vt:variant>
      <vt:variant>
        <vt:lpwstr/>
      </vt:variant>
      <vt:variant>
        <vt:i4>3735672</vt:i4>
      </vt:variant>
      <vt:variant>
        <vt:i4>117</vt:i4>
      </vt:variant>
      <vt:variant>
        <vt:i4>0</vt:i4>
      </vt:variant>
      <vt:variant>
        <vt:i4>5</vt:i4>
      </vt:variant>
      <vt:variant>
        <vt:lpwstr>http://www.nevo.co.il/case/28566282</vt:lpwstr>
      </vt:variant>
      <vt:variant>
        <vt:lpwstr/>
      </vt:variant>
      <vt:variant>
        <vt:i4>3997811</vt:i4>
      </vt:variant>
      <vt:variant>
        <vt:i4>114</vt:i4>
      </vt:variant>
      <vt:variant>
        <vt:i4>0</vt:i4>
      </vt:variant>
      <vt:variant>
        <vt:i4>5</vt:i4>
      </vt:variant>
      <vt:variant>
        <vt:lpwstr>http://www.nevo.co.il/case/27925239</vt:lpwstr>
      </vt:variant>
      <vt:variant>
        <vt:lpwstr/>
      </vt:variant>
      <vt:variant>
        <vt:i4>5177424</vt:i4>
      </vt:variant>
      <vt:variant>
        <vt:i4>111</vt:i4>
      </vt:variant>
      <vt:variant>
        <vt:i4>0</vt:i4>
      </vt:variant>
      <vt:variant>
        <vt:i4>5</vt:i4>
      </vt:variant>
      <vt:variant>
        <vt:lpwstr>http://www.nevo.co.il/law/70301/144.b</vt:lpwstr>
      </vt:variant>
      <vt:variant>
        <vt:lpwstr/>
      </vt:variant>
      <vt:variant>
        <vt:i4>7995492</vt:i4>
      </vt:variant>
      <vt:variant>
        <vt:i4>108</vt:i4>
      </vt:variant>
      <vt:variant>
        <vt:i4>0</vt:i4>
      </vt:variant>
      <vt:variant>
        <vt:i4>5</vt:i4>
      </vt:variant>
      <vt:variant>
        <vt:lpwstr>http://www.nevo.co.il/law/70301</vt:lpwstr>
      </vt:variant>
      <vt:variant>
        <vt:lpwstr/>
      </vt:variant>
      <vt:variant>
        <vt:i4>8192050</vt:i4>
      </vt:variant>
      <vt:variant>
        <vt:i4>105</vt:i4>
      </vt:variant>
      <vt:variant>
        <vt:i4>0</vt:i4>
      </vt:variant>
      <vt:variant>
        <vt:i4>5</vt:i4>
      </vt:variant>
      <vt:variant>
        <vt:lpwstr>http://www.nevo.co.il/law/70301/144.b2</vt:lpwstr>
      </vt:variant>
      <vt:variant>
        <vt:lpwstr/>
      </vt:variant>
      <vt:variant>
        <vt:i4>3211380</vt:i4>
      </vt:variant>
      <vt:variant>
        <vt:i4>102</vt:i4>
      </vt:variant>
      <vt:variant>
        <vt:i4>0</vt:i4>
      </vt:variant>
      <vt:variant>
        <vt:i4>5</vt:i4>
      </vt:variant>
      <vt:variant>
        <vt:lpwstr>http://www.nevo.co.il/case/28883087</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5177424</vt:i4>
      </vt:variant>
      <vt:variant>
        <vt:i4>96</vt:i4>
      </vt:variant>
      <vt:variant>
        <vt:i4>0</vt:i4>
      </vt:variant>
      <vt:variant>
        <vt:i4>5</vt:i4>
      </vt:variant>
      <vt:variant>
        <vt:lpwstr>http://www.nevo.co.il/law/70301/144.g</vt:lpwstr>
      </vt:variant>
      <vt:variant>
        <vt:lpwstr/>
      </vt:variant>
      <vt:variant>
        <vt:i4>7995492</vt:i4>
      </vt:variant>
      <vt:variant>
        <vt:i4>93</vt:i4>
      </vt:variant>
      <vt:variant>
        <vt:i4>0</vt:i4>
      </vt:variant>
      <vt:variant>
        <vt:i4>5</vt:i4>
      </vt:variant>
      <vt:variant>
        <vt:lpwstr>http://www.nevo.co.il/law/70301</vt:lpwstr>
      </vt:variant>
      <vt:variant>
        <vt:lpwstr/>
      </vt:variant>
      <vt:variant>
        <vt:i4>3145847</vt:i4>
      </vt:variant>
      <vt:variant>
        <vt:i4>90</vt:i4>
      </vt:variant>
      <vt:variant>
        <vt:i4>0</vt:i4>
      </vt:variant>
      <vt:variant>
        <vt:i4>5</vt:i4>
      </vt:variant>
      <vt:variant>
        <vt:lpwstr>http://www.nevo.co.il/case/21474520</vt:lpwstr>
      </vt:variant>
      <vt:variant>
        <vt:lpwstr/>
      </vt:variant>
      <vt:variant>
        <vt:i4>3342463</vt:i4>
      </vt:variant>
      <vt:variant>
        <vt:i4>87</vt:i4>
      </vt:variant>
      <vt:variant>
        <vt:i4>0</vt:i4>
      </vt:variant>
      <vt:variant>
        <vt:i4>5</vt:i4>
      </vt:variant>
      <vt:variant>
        <vt:lpwstr>http://www.nevo.co.il/case/5821327</vt:lpwstr>
      </vt:variant>
      <vt:variant>
        <vt:lpwstr/>
      </vt:variant>
      <vt:variant>
        <vt:i4>3473531</vt:i4>
      </vt:variant>
      <vt:variant>
        <vt:i4>84</vt:i4>
      </vt:variant>
      <vt:variant>
        <vt:i4>0</vt:i4>
      </vt:variant>
      <vt:variant>
        <vt:i4>5</vt:i4>
      </vt:variant>
      <vt:variant>
        <vt:lpwstr>http://www.nevo.co.il/case/28266138</vt:lpwstr>
      </vt:variant>
      <vt:variant>
        <vt:lpwstr/>
      </vt:variant>
      <vt:variant>
        <vt:i4>3407994</vt:i4>
      </vt:variant>
      <vt:variant>
        <vt:i4>81</vt:i4>
      </vt:variant>
      <vt:variant>
        <vt:i4>0</vt:i4>
      </vt:variant>
      <vt:variant>
        <vt:i4>5</vt:i4>
      </vt:variant>
      <vt:variant>
        <vt:lpwstr>http://www.nevo.co.il/case/28243273</vt:lpwstr>
      </vt:variant>
      <vt:variant>
        <vt:lpwstr/>
      </vt:variant>
      <vt:variant>
        <vt:i4>3539058</vt:i4>
      </vt:variant>
      <vt:variant>
        <vt:i4>78</vt:i4>
      </vt:variant>
      <vt:variant>
        <vt:i4>0</vt:i4>
      </vt:variant>
      <vt:variant>
        <vt:i4>5</vt:i4>
      </vt:variant>
      <vt:variant>
        <vt:lpwstr>http://www.nevo.co.il/case/28384637</vt:lpwstr>
      </vt:variant>
      <vt:variant>
        <vt:lpwstr/>
      </vt:variant>
      <vt:variant>
        <vt:i4>7995492</vt:i4>
      </vt:variant>
      <vt:variant>
        <vt:i4>75</vt:i4>
      </vt:variant>
      <vt:variant>
        <vt:i4>0</vt:i4>
      </vt:variant>
      <vt:variant>
        <vt:i4>5</vt:i4>
      </vt:variant>
      <vt:variant>
        <vt:lpwstr>http://www.nevo.co.il/law/70301</vt:lpwstr>
      </vt:variant>
      <vt:variant>
        <vt:lpwstr/>
      </vt:variant>
      <vt:variant>
        <vt:i4>7864431</vt:i4>
      </vt:variant>
      <vt:variant>
        <vt:i4>72</vt:i4>
      </vt:variant>
      <vt:variant>
        <vt:i4>0</vt:i4>
      </vt:variant>
      <vt:variant>
        <vt:i4>5</vt:i4>
      </vt:variant>
      <vt:variant>
        <vt:lpwstr>http://www.nevo.co.il/law/71835</vt:lpwstr>
      </vt:variant>
      <vt:variant>
        <vt:lpwstr/>
      </vt:variant>
      <vt:variant>
        <vt:i4>5701722</vt:i4>
      </vt:variant>
      <vt:variant>
        <vt:i4>69</vt:i4>
      </vt:variant>
      <vt:variant>
        <vt:i4>0</vt:i4>
      </vt:variant>
      <vt:variant>
        <vt:i4>5</vt:i4>
      </vt:variant>
      <vt:variant>
        <vt:lpwstr>http://www.nevo.co.il/law/71835/2</vt:lpwstr>
      </vt:variant>
      <vt:variant>
        <vt:lpwstr/>
      </vt:variant>
      <vt:variant>
        <vt:i4>8257646</vt:i4>
      </vt:variant>
      <vt:variant>
        <vt:i4>66</vt:i4>
      </vt:variant>
      <vt:variant>
        <vt:i4>0</vt:i4>
      </vt:variant>
      <vt:variant>
        <vt:i4>5</vt:i4>
      </vt:variant>
      <vt:variant>
        <vt:lpwstr>http://www.nevo.co.il/law/74903</vt:lpwstr>
      </vt:variant>
      <vt:variant>
        <vt:lpwstr/>
      </vt:variant>
      <vt:variant>
        <vt:i4>4653147</vt:i4>
      </vt:variant>
      <vt:variant>
        <vt:i4>63</vt:i4>
      </vt:variant>
      <vt:variant>
        <vt:i4>0</vt:i4>
      </vt:variant>
      <vt:variant>
        <vt:i4>5</vt:i4>
      </vt:variant>
      <vt:variant>
        <vt:lpwstr>http://www.nevo.co.il/law/74903/187.a</vt:lpwstr>
      </vt:variant>
      <vt:variant>
        <vt:lpwstr/>
      </vt:variant>
      <vt:variant>
        <vt:i4>7864431</vt:i4>
      </vt:variant>
      <vt:variant>
        <vt:i4>60</vt:i4>
      </vt:variant>
      <vt:variant>
        <vt:i4>0</vt:i4>
      </vt:variant>
      <vt:variant>
        <vt:i4>5</vt:i4>
      </vt:variant>
      <vt:variant>
        <vt:lpwstr>http://www.nevo.co.il/law/71835</vt:lpwstr>
      </vt:variant>
      <vt:variant>
        <vt:lpwstr/>
      </vt:variant>
      <vt:variant>
        <vt:i4>5701722</vt:i4>
      </vt:variant>
      <vt:variant>
        <vt:i4>57</vt:i4>
      </vt:variant>
      <vt:variant>
        <vt:i4>0</vt:i4>
      </vt:variant>
      <vt:variant>
        <vt:i4>5</vt:i4>
      </vt:variant>
      <vt:variant>
        <vt:lpwstr>http://www.nevo.co.il/law/71835/2</vt:lpwstr>
      </vt:variant>
      <vt:variant>
        <vt:lpwstr/>
      </vt:variant>
      <vt:variant>
        <vt:i4>8257646</vt:i4>
      </vt:variant>
      <vt:variant>
        <vt:i4>54</vt:i4>
      </vt:variant>
      <vt:variant>
        <vt:i4>0</vt:i4>
      </vt:variant>
      <vt:variant>
        <vt:i4>5</vt:i4>
      </vt:variant>
      <vt:variant>
        <vt:lpwstr>http://www.nevo.co.il/law/74903</vt:lpwstr>
      </vt:variant>
      <vt:variant>
        <vt:lpwstr/>
      </vt:variant>
      <vt:variant>
        <vt:i4>4653147</vt:i4>
      </vt:variant>
      <vt:variant>
        <vt:i4>51</vt:i4>
      </vt:variant>
      <vt:variant>
        <vt:i4>0</vt:i4>
      </vt:variant>
      <vt:variant>
        <vt:i4>5</vt:i4>
      </vt:variant>
      <vt:variant>
        <vt:lpwstr>http://www.nevo.co.il/law/74903/187.a</vt:lpwstr>
      </vt:variant>
      <vt:variant>
        <vt:lpwstr/>
      </vt:variant>
      <vt:variant>
        <vt:i4>8257646</vt:i4>
      </vt:variant>
      <vt:variant>
        <vt:i4>48</vt:i4>
      </vt:variant>
      <vt:variant>
        <vt:i4>0</vt:i4>
      </vt:variant>
      <vt:variant>
        <vt:i4>5</vt:i4>
      </vt:variant>
      <vt:variant>
        <vt:lpwstr>http://www.nevo.co.il/law/74903</vt:lpwstr>
      </vt:variant>
      <vt:variant>
        <vt:lpwstr/>
      </vt:variant>
      <vt:variant>
        <vt:i4>4653147</vt:i4>
      </vt:variant>
      <vt:variant>
        <vt:i4>45</vt:i4>
      </vt:variant>
      <vt:variant>
        <vt:i4>0</vt:i4>
      </vt:variant>
      <vt:variant>
        <vt:i4>5</vt:i4>
      </vt:variant>
      <vt:variant>
        <vt:lpwstr>http://www.nevo.co.il/law/74903/187.a</vt:lpwstr>
      </vt:variant>
      <vt:variant>
        <vt:lpwstr/>
      </vt:variant>
      <vt:variant>
        <vt:i4>7864431</vt:i4>
      </vt:variant>
      <vt:variant>
        <vt:i4>42</vt:i4>
      </vt:variant>
      <vt:variant>
        <vt:i4>0</vt:i4>
      </vt:variant>
      <vt:variant>
        <vt:i4>5</vt:i4>
      </vt:variant>
      <vt:variant>
        <vt:lpwstr>http://www.nevo.co.il/law/71835</vt:lpwstr>
      </vt:variant>
      <vt:variant>
        <vt:lpwstr/>
      </vt:variant>
      <vt:variant>
        <vt:i4>5701722</vt:i4>
      </vt:variant>
      <vt:variant>
        <vt:i4>39</vt:i4>
      </vt:variant>
      <vt:variant>
        <vt:i4>0</vt:i4>
      </vt:variant>
      <vt:variant>
        <vt:i4>5</vt:i4>
      </vt:variant>
      <vt:variant>
        <vt:lpwstr>http://www.nevo.co.il/law/71835/2</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4653147</vt:i4>
      </vt:variant>
      <vt:variant>
        <vt:i4>27</vt:i4>
      </vt:variant>
      <vt:variant>
        <vt:i4>0</vt:i4>
      </vt:variant>
      <vt:variant>
        <vt:i4>5</vt:i4>
      </vt:variant>
      <vt:variant>
        <vt:lpwstr>http://www.nevo.co.il/law/74903/187.a</vt:lpwstr>
      </vt:variant>
      <vt:variant>
        <vt:lpwstr/>
      </vt:variant>
      <vt:variant>
        <vt:i4>8257646</vt:i4>
      </vt:variant>
      <vt:variant>
        <vt:i4>24</vt:i4>
      </vt:variant>
      <vt:variant>
        <vt:i4>0</vt:i4>
      </vt:variant>
      <vt:variant>
        <vt:i4>5</vt:i4>
      </vt:variant>
      <vt:variant>
        <vt:lpwstr>http://www.nevo.co.il/law/74903</vt:lpwstr>
      </vt:variant>
      <vt:variant>
        <vt:lpwstr/>
      </vt:variant>
      <vt:variant>
        <vt:i4>5701722</vt:i4>
      </vt:variant>
      <vt:variant>
        <vt:i4>21</vt:i4>
      </vt:variant>
      <vt:variant>
        <vt:i4>0</vt:i4>
      </vt:variant>
      <vt:variant>
        <vt:i4>5</vt:i4>
      </vt:variant>
      <vt:variant>
        <vt:lpwstr>http://www.nevo.co.il/law/71835/2</vt:lpwstr>
      </vt:variant>
      <vt:variant>
        <vt:lpwstr/>
      </vt:variant>
      <vt:variant>
        <vt:i4>7864431</vt:i4>
      </vt:variant>
      <vt:variant>
        <vt:i4>18</vt:i4>
      </vt:variant>
      <vt:variant>
        <vt:i4>0</vt:i4>
      </vt:variant>
      <vt:variant>
        <vt:i4>5</vt:i4>
      </vt:variant>
      <vt:variant>
        <vt:lpwstr>http://www.nevo.co.il/law/71835</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2025-01-19T16:55:00Z</dcterms:created>
  <dcterms:modified xsi:type="dcterms:W3CDTF">2025-01-19T16:55:00Z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4612</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הרצל שמאמי</vt:lpwstr>
  </property>
  <property fmtid="{D5CDD505-2E9C-101B-9397-08002B2CF9AE}" pid="10" name="LAWYER">
    <vt:lpwstr>ליהי מלצמן;שי לוי</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20230730</vt:lpwstr>
  </property>
  <property fmtid="{D5CDD505-2E9C-101B-9397-08002B2CF9AE}" pid="14" name="TYPE_N_DATE">
    <vt:lpwstr>39020230730</vt:lpwstr>
  </property>
  <property fmtid="{D5CDD505-2E9C-101B-9397-08002B2CF9AE}" pid="15" name="WORDNUMPAGES">
    <vt:lpwstr>9</vt:lpwstr>
  </property>
  <property fmtid="{D5CDD505-2E9C-101B-9397-08002B2CF9AE}" pid="16" name="TYPE_ABS_DATE">
    <vt:lpwstr>390020230730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28384637;28243273;28266138;5821327;21474520;28883087;27925239;28566282;28963593;28513828;27491153;27502726</vt:lpwstr>
  </property>
  <property fmtid="{D5CDD505-2E9C-101B-9397-08002B2CF9AE}" pid="36" name="LAWLISTTMP1">
    <vt:lpwstr>70301/144.a:4;144.b2:2;144.g;144.b;029</vt:lpwstr>
  </property>
  <property fmtid="{D5CDD505-2E9C-101B-9397-08002B2CF9AE}" pid="37" name="LAWLISTTMP2">
    <vt:lpwstr>71835/002:3</vt:lpwstr>
  </property>
  <property fmtid="{D5CDD505-2E9C-101B-9397-08002B2CF9AE}" pid="38" name="LAWLISTTMP3">
    <vt:lpwstr>74903/187.a:3</vt:lpwstr>
  </property>
</Properties>
</file>