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10A48" w:rsidRPr="00D07705" w14:paraId="392412F8" w14:textId="77777777" w:rsidTr="00745A7E">
        <w:trPr>
          <w:trHeight w:hRule="exact" w:val="418"/>
          <w:jc w:val="center"/>
        </w:trPr>
        <w:tc>
          <w:tcPr>
            <w:tcW w:w="8721" w:type="dxa"/>
            <w:gridSpan w:val="2"/>
          </w:tcPr>
          <w:p w14:paraId="3BC2BEF2" w14:textId="77777777" w:rsidR="00E10A48" w:rsidRPr="00D07705" w:rsidRDefault="00E10A48" w:rsidP="00783D24">
            <w:pPr>
              <w:pStyle w:val="a3"/>
              <w:jc w:val="center"/>
              <w:rPr>
                <w:rFonts w:ascii="Tahoma" w:hAnsi="Tahoma" w:cs="Tahoma"/>
                <w:color w:val="000080"/>
                <w:rtl/>
              </w:rPr>
            </w:pPr>
            <w:bookmarkStart w:id="0" w:name="LastJudge"/>
            <w:r w:rsidRPr="00D07705">
              <w:rPr>
                <w:rFonts w:ascii="Tahoma" w:hAnsi="Tahoma" w:cs="Tahoma"/>
                <w:b/>
                <w:bCs/>
                <w:color w:val="000080"/>
                <w:rtl/>
              </w:rPr>
              <w:t>בית המשפט המחוזי בחיפה</w:t>
            </w:r>
          </w:p>
        </w:tc>
      </w:tr>
      <w:tr w:rsidR="00E10A48" w:rsidRPr="00D07705" w14:paraId="751BB39B" w14:textId="77777777" w:rsidTr="00745A7E">
        <w:trPr>
          <w:trHeight w:val="337"/>
          <w:jc w:val="center"/>
        </w:trPr>
        <w:tc>
          <w:tcPr>
            <w:tcW w:w="5059" w:type="dxa"/>
          </w:tcPr>
          <w:p w14:paraId="37F891C1" w14:textId="77777777" w:rsidR="00E10A48" w:rsidRPr="00D07705" w:rsidRDefault="00E10A48" w:rsidP="00783D24">
            <w:pPr>
              <w:rPr>
                <w:rFonts w:cs="FrankRuehl"/>
                <w:sz w:val="28"/>
                <w:szCs w:val="28"/>
                <w:rtl/>
              </w:rPr>
            </w:pPr>
            <w:r w:rsidRPr="00D07705">
              <w:rPr>
                <w:rFonts w:cs="FrankRuehl"/>
                <w:sz w:val="28"/>
                <w:szCs w:val="28"/>
                <w:rtl/>
              </w:rPr>
              <w:t>ת"פ</w:t>
            </w:r>
            <w:r w:rsidRPr="00D07705">
              <w:rPr>
                <w:rFonts w:cs="FrankRuehl" w:hint="cs"/>
                <w:sz w:val="28"/>
                <w:szCs w:val="28"/>
                <w:rtl/>
              </w:rPr>
              <w:t xml:space="preserve"> </w:t>
            </w:r>
            <w:r w:rsidRPr="00D07705">
              <w:rPr>
                <w:rFonts w:cs="FrankRuehl"/>
                <w:sz w:val="28"/>
                <w:szCs w:val="28"/>
                <w:rtl/>
              </w:rPr>
              <w:t>46916-07-22</w:t>
            </w:r>
            <w:r w:rsidRPr="00D07705">
              <w:rPr>
                <w:rFonts w:cs="FrankRuehl" w:hint="cs"/>
                <w:sz w:val="28"/>
                <w:szCs w:val="28"/>
                <w:rtl/>
              </w:rPr>
              <w:t xml:space="preserve"> </w:t>
            </w:r>
            <w:r w:rsidRPr="00D07705">
              <w:rPr>
                <w:rFonts w:cs="FrankRuehl"/>
                <w:sz w:val="28"/>
                <w:szCs w:val="28"/>
                <w:rtl/>
              </w:rPr>
              <w:t>מדינת ישראל נ' כנעאני(עציר)</w:t>
            </w:r>
          </w:p>
          <w:p w14:paraId="55FC74E6" w14:textId="77777777" w:rsidR="00E10A48" w:rsidRPr="00D07705" w:rsidRDefault="00E10A48" w:rsidP="00783D24">
            <w:pPr>
              <w:pStyle w:val="a3"/>
              <w:rPr>
                <w:rFonts w:cs="FrankRuehl"/>
                <w:sz w:val="28"/>
                <w:szCs w:val="28"/>
                <w:rtl/>
              </w:rPr>
            </w:pPr>
          </w:p>
        </w:tc>
        <w:tc>
          <w:tcPr>
            <w:tcW w:w="3662" w:type="dxa"/>
          </w:tcPr>
          <w:p w14:paraId="511D88F3" w14:textId="77777777" w:rsidR="00E10A48" w:rsidRPr="00D07705" w:rsidRDefault="00E10A48" w:rsidP="00783D24">
            <w:pPr>
              <w:pStyle w:val="a3"/>
              <w:jc w:val="right"/>
              <w:rPr>
                <w:rFonts w:cs="FrankRuehl"/>
                <w:sz w:val="28"/>
                <w:szCs w:val="28"/>
                <w:rtl/>
              </w:rPr>
            </w:pPr>
          </w:p>
        </w:tc>
      </w:tr>
    </w:tbl>
    <w:p w14:paraId="42C63FA3" w14:textId="77777777" w:rsidR="00E10A48" w:rsidRPr="00D07705" w:rsidRDefault="00E10A48" w:rsidP="00E10A48">
      <w:pPr>
        <w:pStyle w:val="a3"/>
        <w:rPr>
          <w:rtl/>
        </w:rPr>
      </w:pPr>
      <w:r w:rsidRPr="00D07705">
        <w:rPr>
          <w:rFonts w:hint="cs"/>
          <w:rtl/>
        </w:rPr>
        <w:t xml:space="preserve"> </w:t>
      </w:r>
    </w:p>
    <w:p w14:paraId="4A8433A5" w14:textId="77777777" w:rsidR="00E10A48" w:rsidRPr="00D07705" w:rsidRDefault="00E10A48" w:rsidP="00E10A48">
      <w:pPr>
        <w:suppressLineNumbers/>
        <w:spacing w:line="360" w:lineRule="auto"/>
        <w:jc w:val="both"/>
        <w:rPr>
          <w:rFonts w:ascii="David" w:hAnsi="David"/>
          <w:sz w:val="6"/>
          <w:szCs w:val="6"/>
          <w:rtl/>
        </w:rPr>
      </w:pPr>
    </w:p>
    <w:p w14:paraId="4CBE1C34" w14:textId="77777777" w:rsidR="00E10A48" w:rsidRPr="00D07705" w:rsidRDefault="00E10A48" w:rsidP="00E10A48">
      <w:pPr>
        <w:suppressLineNumbers/>
        <w:spacing w:line="360" w:lineRule="auto"/>
        <w:jc w:val="both"/>
        <w:rPr>
          <w:rFonts w:ascii="David" w:hAnsi="David"/>
          <w:sz w:val="6"/>
          <w:szCs w:val="6"/>
          <w:rtl/>
        </w:rPr>
      </w:pPr>
    </w:p>
    <w:tbl>
      <w:tblPr>
        <w:bidiVisual/>
        <w:tblW w:w="8802" w:type="dxa"/>
        <w:tblInd w:w="-28" w:type="dxa"/>
        <w:tblLook w:val="01E0" w:firstRow="1" w:lastRow="1" w:firstColumn="1" w:lastColumn="1" w:noHBand="0" w:noVBand="0"/>
      </w:tblPr>
      <w:tblGrid>
        <w:gridCol w:w="2880"/>
        <w:gridCol w:w="5838"/>
        <w:gridCol w:w="84"/>
      </w:tblGrid>
      <w:tr w:rsidR="00E10A48" w:rsidRPr="00D07705" w14:paraId="034F17D5" w14:textId="77777777" w:rsidTr="00E10A48">
        <w:trPr>
          <w:gridAfter w:val="1"/>
          <w:wAfter w:w="56" w:type="dxa"/>
        </w:trPr>
        <w:tc>
          <w:tcPr>
            <w:tcW w:w="8718" w:type="dxa"/>
            <w:gridSpan w:val="2"/>
            <w:shd w:val="clear" w:color="auto" w:fill="auto"/>
          </w:tcPr>
          <w:p w14:paraId="344CD9DF" w14:textId="77777777" w:rsidR="00E10A48" w:rsidRPr="00D07705" w:rsidRDefault="00E10A48" w:rsidP="00E10A48">
            <w:pPr>
              <w:spacing w:line="480" w:lineRule="auto"/>
              <w:jc w:val="both"/>
              <w:rPr>
                <w:rFonts w:ascii="David" w:hAnsi="David"/>
                <w:b/>
                <w:bCs/>
                <w:sz w:val="26"/>
                <w:szCs w:val="26"/>
                <w:rtl/>
              </w:rPr>
            </w:pPr>
            <w:r w:rsidRPr="00D07705">
              <w:rPr>
                <w:rFonts w:ascii="David" w:hAnsi="David"/>
                <w:b/>
                <w:bCs/>
                <w:sz w:val="26"/>
                <w:szCs w:val="26"/>
                <w:rtl/>
              </w:rPr>
              <w:t>בפני כבוד השופט גיל קרזבום</w:t>
            </w:r>
          </w:p>
        </w:tc>
      </w:tr>
      <w:tr w:rsidR="00E10A48" w:rsidRPr="00D07705" w14:paraId="100A8500" w14:textId="77777777" w:rsidTr="00E10A48">
        <w:trPr>
          <w:cantSplit/>
          <w:trHeight w:val="724"/>
        </w:trPr>
        <w:tc>
          <w:tcPr>
            <w:tcW w:w="2880" w:type="dxa"/>
            <w:shd w:val="clear" w:color="auto" w:fill="auto"/>
          </w:tcPr>
          <w:p w14:paraId="0C51F55D" w14:textId="77777777" w:rsidR="00E10A48" w:rsidRPr="00D07705" w:rsidRDefault="00E10A48" w:rsidP="00E10A48">
            <w:pPr>
              <w:ind w:left="26"/>
              <w:jc w:val="both"/>
              <w:rPr>
                <w:rFonts w:ascii="David" w:hAnsi="David"/>
                <w:b/>
                <w:bCs/>
                <w:sz w:val="26"/>
                <w:szCs w:val="26"/>
                <w:rtl/>
              </w:rPr>
            </w:pPr>
            <w:bookmarkStart w:id="1" w:name="FirstAppellant"/>
            <w:r w:rsidRPr="00D07705">
              <w:rPr>
                <w:rFonts w:ascii="David" w:hAnsi="David"/>
                <w:b/>
                <w:bCs/>
                <w:sz w:val="26"/>
                <w:szCs w:val="26"/>
                <w:rtl/>
              </w:rPr>
              <w:t>המאשימה:</w:t>
            </w:r>
          </w:p>
          <w:p w14:paraId="3F3E9FFE" w14:textId="77777777" w:rsidR="00E10A48" w:rsidRPr="00D07705" w:rsidRDefault="00E10A48" w:rsidP="00E10A48">
            <w:pPr>
              <w:jc w:val="both"/>
              <w:rPr>
                <w:rFonts w:ascii="David" w:hAnsi="David"/>
                <w:b/>
                <w:bCs/>
                <w:sz w:val="26"/>
                <w:szCs w:val="26"/>
                <w:rtl/>
              </w:rPr>
            </w:pPr>
          </w:p>
        </w:tc>
        <w:tc>
          <w:tcPr>
            <w:tcW w:w="5922" w:type="dxa"/>
            <w:gridSpan w:val="2"/>
            <w:shd w:val="clear" w:color="auto" w:fill="auto"/>
          </w:tcPr>
          <w:p w14:paraId="608CAE60" w14:textId="77777777" w:rsidR="00E10A48" w:rsidRPr="00D07705" w:rsidRDefault="00E10A48" w:rsidP="00E10A48">
            <w:pPr>
              <w:jc w:val="both"/>
              <w:rPr>
                <w:rFonts w:ascii="David" w:hAnsi="David"/>
                <w:b/>
                <w:bCs/>
                <w:sz w:val="26"/>
                <w:szCs w:val="26"/>
                <w:rtl/>
              </w:rPr>
            </w:pPr>
            <w:r w:rsidRPr="00D07705">
              <w:rPr>
                <w:rFonts w:ascii="David" w:hAnsi="David"/>
                <w:b/>
                <w:bCs/>
                <w:sz w:val="26"/>
                <w:szCs w:val="26"/>
                <w:rtl/>
              </w:rPr>
              <w:t>מדינת-ישראל</w:t>
            </w:r>
          </w:p>
        </w:tc>
      </w:tr>
      <w:bookmarkEnd w:id="1"/>
      <w:tr w:rsidR="00E10A48" w:rsidRPr="00D07705" w14:paraId="1591E2BA" w14:textId="77777777" w:rsidTr="00E10A48">
        <w:tc>
          <w:tcPr>
            <w:tcW w:w="8802" w:type="dxa"/>
            <w:gridSpan w:val="3"/>
            <w:shd w:val="clear" w:color="auto" w:fill="auto"/>
            <w:vAlign w:val="center"/>
          </w:tcPr>
          <w:p w14:paraId="7E9D0898" w14:textId="77777777" w:rsidR="00E10A48" w:rsidRPr="00D07705" w:rsidRDefault="00E10A48" w:rsidP="00E10A48">
            <w:pPr>
              <w:jc w:val="center"/>
              <w:rPr>
                <w:rFonts w:ascii="David" w:hAnsi="David"/>
                <w:b/>
                <w:bCs/>
                <w:sz w:val="26"/>
                <w:szCs w:val="26"/>
                <w:rtl/>
              </w:rPr>
            </w:pPr>
            <w:r w:rsidRPr="00D07705">
              <w:rPr>
                <w:rFonts w:ascii="David" w:hAnsi="David"/>
                <w:b/>
                <w:bCs/>
                <w:sz w:val="26"/>
                <w:szCs w:val="26"/>
                <w:rtl/>
              </w:rPr>
              <w:t>- נגד -</w:t>
            </w:r>
          </w:p>
          <w:p w14:paraId="695FA6E1" w14:textId="77777777" w:rsidR="00E10A48" w:rsidRPr="00D07705" w:rsidRDefault="00E10A48" w:rsidP="00E10A48">
            <w:pPr>
              <w:jc w:val="center"/>
              <w:rPr>
                <w:rFonts w:ascii="David" w:hAnsi="David"/>
                <w:b/>
                <w:bCs/>
                <w:sz w:val="26"/>
                <w:szCs w:val="26"/>
                <w:rtl/>
              </w:rPr>
            </w:pPr>
          </w:p>
        </w:tc>
      </w:tr>
      <w:tr w:rsidR="00E10A48" w:rsidRPr="00D07705" w14:paraId="7A336201" w14:textId="77777777" w:rsidTr="00E10A48">
        <w:tc>
          <w:tcPr>
            <w:tcW w:w="2880" w:type="dxa"/>
            <w:shd w:val="clear" w:color="auto" w:fill="auto"/>
          </w:tcPr>
          <w:p w14:paraId="18B3BD02" w14:textId="77777777" w:rsidR="00E10A48" w:rsidRPr="00D07705" w:rsidRDefault="00E10A48" w:rsidP="00E10A48">
            <w:pPr>
              <w:ind w:left="26"/>
              <w:jc w:val="both"/>
              <w:rPr>
                <w:rFonts w:ascii="David" w:hAnsi="David"/>
                <w:b/>
                <w:bCs/>
                <w:sz w:val="26"/>
                <w:szCs w:val="26"/>
                <w:rtl/>
              </w:rPr>
            </w:pPr>
            <w:r w:rsidRPr="00D07705">
              <w:rPr>
                <w:rFonts w:ascii="David" w:hAnsi="David"/>
                <w:b/>
                <w:bCs/>
                <w:sz w:val="26"/>
                <w:szCs w:val="26"/>
                <w:rtl/>
              </w:rPr>
              <w:t>הנאשם:</w:t>
            </w:r>
          </w:p>
        </w:tc>
        <w:tc>
          <w:tcPr>
            <w:tcW w:w="5922" w:type="dxa"/>
            <w:gridSpan w:val="2"/>
            <w:shd w:val="clear" w:color="auto" w:fill="auto"/>
          </w:tcPr>
          <w:p w14:paraId="4266BB7C" w14:textId="77777777" w:rsidR="00E10A48" w:rsidRPr="00D07705" w:rsidRDefault="00E10A48" w:rsidP="00E10A48">
            <w:pPr>
              <w:jc w:val="both"/>
              <w:rPr>
                <w:rFonts w:ascii="David" w:hAnsi="David"/>
                <w:b/>
                <w:bCs/>
                <w:sz w:val="26"/>
                <w:szCs w:val="26"/>
                <w:rtl/>
              </w:rPr>
            </w:pPr>
            <w:r w:rsidRPr="00D07705">
              <w:rPr>
                <w:rFonts w:ascii="David" w:hAnsi="David"/>
                <w:b/>
                <w:bCs/>
                <w:sz w:val="26"/>
                <w:szCs w:val="26"/>
                <w:rtl/>
              </w:rPr>
              <w:t xml:space="preserve">עאדל כנעאני (עציר) </w:t>
            </w:r>
            <w:r w:rsidRPr="00D07705">
              <w:rPr>
                <w:rFonts w:ascii="David" w:hAnsi="David"/>
                <w:b/>
                <w:bCs/>
                <w:sz w:val="22"/>
                <w:szCs w:val="22"/>
                <w:rtl/>
              </w:rPr>
              <w:t xml:space="preserve">ת"ז </w:t>
            </w:r>
            <w:r w:rsidR="00D07705">
              <w:rPr>
                <w:rFonts w:ascii="David" w:hAnsi="David"/>
                <w:b/>
                <w:bCs/>
                <w:sz w:val="22"/>
                <w:szCs w:val="22"/>
              </w:rPr>
              <w:t>xxxxxxxxx</w:t>
            </w:r>
          </w:p>
        </w:tc>
      </w:tr>
    </w:tbl>
    <w:p w14:paraId="2043B807" w14:textId="77777777" w:rsidR="004E49DF" w:rsidRPr="004E49DF" w:rsidRDefault="004E49DF" w:rsidP="004E49DF">
      <w:pPr>
        <w:spacing w:before="120" w:after="120" w:line="240" w:lineRule="exact"/>
        <w:ind w:left="283" w:hanging="283"/>
        <w:jc w:val="both"/>
        <w:rPr>
          <w:rFonts w:ascii="FrankRuehl" w:hAnsi="FrankRuehl" w:cs="FrankRuehl"/>
          <w:rtl/>
        </w:rPr>
      </w:pPr>
    </w:p>
    <w:p w14:paraId="60F79B2A" w14:textId="77777777" w:rsidR="00294E49" w:rsidRPr="00294E49" w:rsidRDefault="00294E49" w:rsidP="00294E49">
      <w:pPr>
        <w:spacing w:before="120" w:after="120" w:line="240" w:lineRule="exact"/>
        <w:ind w:left="283" w:hanging="283"/>
        <w:jc w:val="both"/>
        <w:rPr>
          <w:rFonts w:ascii="FrankRuehl" w:hAnsi="FrankRuehl" w:cs="FrankRuehl"/>
          <w:rtl/>
        </w:rPr>
      </w:pPr>
    </w:p>
    <w:p w14:paraId="1608840F" w14:textId="77777777" w:rsidR="00A304F5" w:rsidRDefault="00A304F5" w:rsidP="00A304F5">
      <w:pPr>
        <w:rPr>
          <w:rFonts w:ascii="Arial" w:hAnsi="Arial"/>
          <w:sz w:val="26"/>
          <w:szCs w:val="26"/>
          <w:rtl/>
        </w:rPr>
      </w:pPr>
      <w:bookmarkStart w:id="2" w:name="LawTable"/>
      <w:bookmarkEnd w:id="2"/>
    </w:p>
    <w:p w14:paraId="5FBEF935" w14:textId="77777777" w:rsidR="00A304F5" w:rsidRPr="00A304F5" w:rsidRDefault="00A304F5" w:rsidP="00A304F5">
      <w:pPr>
        <w:spacing w:before="120" w:after="120" w:line="240" w:lineRule="exact"/>
        <w:ind w:left="283" w:hanging="283"/>
        <w:jc w:val="both"/>
        <w:rPr>
          <w:rFonts w:ascii="FrankRuehl" w:hAnsi="FrankRuehl" w:cs="FrankRuehl"/>
          <w:rtl/>
        </w:rPr>
      </w:pPr>
    </w:p>
    <w:p w14:paraId="3C6B4437" w14:textId="77777777" w:rsidR="00A304F5" w:rsidRPr="00A304F5" w:rsidRDefault="00A304F5" w:rsidP="00A304F5">
      <w:pPr>
        <w:spacing w:before="120" w:after="120" w:line="240" w:lineRule="exact"/>
        <w:ind w:left="283" w:hanging="283"/>
        <w:jc w:val="both"/>
        <w:rPr>
          <w:rFonts w:ascii="FrankRuehl" w:hAnsi="FrankRuehl" w:cs="FrankRuehl"/>
          <w:rtl/>
        </w:rPr>
      </w:pPr>
    </w:p>
    <w:p w14:paraId="7A24C346" w14:textId="77777777" w:rsidR="00A304F5" w:rsidRPr="00A304F5" w:rsidRDefault="00A304F5" w:rsidP="00A304F5">
      <w:pPr>
        <w:spacing w:before="120" w:after="120" w:line="240" w:lineRule="exact"/>
        <w:ind w:left="283" w:hanging="283"/>
        <w:jc w:val="both"/>
        <w:rPr>
          <w:rFonts w:ascii="FrankRuehl" w:hAnsi="FrankRuehl" w:cs="FrankRuehl"/>
          <w:rtl/>
        </w:rPr>
      </w:pPr>
      <w:r w:rsidRPr="00A304F5">
        <w:rPr>
          <w:rFonts w:ascii="FrankRuehl" w:hAnsi="FrankRuehl" w:cs="FrankRuehl"/>
          <w:rtl/>
        </w:rPr>
        <w:t xml:space="preserve">חקיקה שאוזכרה: </w:t>
      </w:r>
    </w:p>
    <w:p w14:paraId="6F6457B4" w14:textId="77777777" w:rsidR="00A304F5" w:rsidRPr="00A304F5" w:rsidRDefault="00A304F5" w:rsidP="00A304F5">
      <w:pPr>
        <w:spacing w:before="120" w:after="120" w:line="240" w:lineRule="exact"/>
        <w:ind w:left="283" w:hanging="283"/>
        <w:jc w:val="both"/>
        <w:rPr>
          <w:rFonts w:ascii="FrankRuehl" w:hAnsi="FrankRuehl" w:cs="FrankRuehl"/>
          <w:rtl/>
        </w:rPr>
      </w:pPr>
      <w:hyperlink r:id="rId7" w:history="1">
        <w:r w:rsidRPr="00A304F5">
          <w:rPr>
            <w:rFonts w:ascii="FrankRuehl" w:hAnsi="FrankRuehl" w:cs="FrankRuehl"/>
            <w:color w:val="0000FF"/>
            <w:rtl/>
          </w:rPr>
          <w:t>חוק העונשין, תשל"ז-1977</w:t>
        </w:r>
      </w:hyperlink>
      <w:r w:rsidRPr="00A304F5">
        <w:rPr>
          <w:rFonts w:ascii="FrankRuehl" w:hAnsi="FrankRuehl" w:cs="FrankRuehl"/>
          <w:rtl/>
        </w:rPr>
        <w:t xml:space="preserve">: סע'  </w:t>
      </w:r>
      <w:hyperlink r:id="rId8" w:history="1">
        <w:r w:rsidRPr="00A304F5">
          <w:rPr>
            <w:rFonts w:ascii="FrankRuehl" w:hAnsi="FrankRuehl" w:cs="FrankRuehl"/>
            <w:color w:val="0000FF"/>
            <w:rtl/>
          </w:rPr>
          <w:t>29</w:t>
        </w:r>
      </w:hyperlink>
      <w:r w:rsidRPr="00A304F5">
        <w:rPr>
          <w:rFonts w:ascii="FrankRuehl" w:hAnsi="FrankRuehl" w:cs="FrankRuehl"/>
          <w:rtl/>
        </w:rPr>
        <w:t xml:space="preserve">, </w:t>
      </w:r>
      <w:hyperlink r:id="rId9" w:history="1">
        <w:r w:rsidRPr="00A304F5">
          <w:rPr>
            <w:rFonts w:ascii="FrankRuehl" w:hAnsi="FrankRuehl" w:cs="FrankRuehl"/>
            <w:color w:val="0000FF"/>
            <w:rtl/>
          </w:rPr>
          <w:t>40א</w:t>
        </w:r>
      </w:hyperlink>
      <w:r w:rsidRPr="00A304F5">
        <w:rPr>
          <w:rFonts w:ascii="FrankRuehl" w:hAnsi="FrankRuehl" w:cs="FrankRuehl"/>
          <w:rtl/>
        </w:rPr>
        <w:t xml:space="preserve">, </w:t>
      </w:r>
      <w:hyperlink r:id="rId10" w:history="1">
        <w:r w:rsidRPr="00A304F5">
          <w:rPr>
            <w:rFonts w:ascii="FrankRuehl" w:hAnsi="FrankRuehl" w:cs="FrankRuehl"/>
            <w:color w:val="0000FF"/>
            <w:rtl/>
          </w:rPr>
          <w:t>40ב</w:t>
        </w:r>
      </w:hyperlink>
      <w:r w:rsidRPr="00A304F5">
        <w:rPr>
          <w:rFonts w:ascii="FrankRuehl" w:hAnsi="FrankRuehl" w:cs="FrankRuehl"/>
          <w:rtl/>
        </w:rPr>
        <w:t xml:space="preserve">, </w:t>
      </w:r>
      <w:hyperlink r:id="rId11" w:history="1">
        <w:r w:rsidRPr="00A304F5">
          <w:rPr>
            <w:rFonts w:ascii="FrankRuehl" w:hAnsi="FrankRuehl" w:cs="FrankRuehl"/>
            <w:color w:val="0000FF"/>
            <w:rtl/>
          </w:rPr>
          <w:t>40ג</w:t>
        </w:r>
      </w:hyperlink>
      <w:r w:rsidRPr="00A304F5">
        <w:rPr>
          <w:rFonts w:ascii="FrankRuehl" w:hAnsi="FrankRuehl" w:cs="FrankRuehl"/>
          <w:rtl/>
        </w:rPr>
        <w:t xml:space="preserve">, </w:t>
      </w:r>
      <w:hyperlink r:id="rId12" w:history="1">
        <w:r w:rsidRPr="00A304F5">
          <w:rPr>
            <w:rFonts w:ascii="FrankRuehl" w:hAnsi="FrankRuehl" w:cs="FrankRuehl"/>
            <w:color w:val="0000FF"/>
            <w:rtl/>
          </w:rPr>
          <w:t>40ד</w:t>
        </w:r>
      </w:hyperlink>
      <w:r w:rsidRPr="00A304F5">
        <w:rPr>
          <w:rFonts w:ascii="FrankRuehl" w:hAnsi="FrankRuehl" w:cs="FrankRuehl"/>
          <w:rtl/>
        </w:rPr>
        <w:t xml:space="preserve">, </w:t>
      </w:r>
      <w:hyperlink r:id="rId13" w:history="1">
        <w:r w:rsidRPr="00A304F5">
          <w:rPr>
            <w:rFonts w:ascii="FrankRuehl" w:hAnsi="FrankRuehl" w:cs="FrankRuehl"/>
            <w:color w:val="0000FF"/>
            <w:rtl/>
          </w:rPr>
          <w:t>40ה</w:t>
        </w:r>
      </w:hyperlink>
      <w:r w:rsidRPr="00A304F5">
        <w:rPr>
          <w:rFonts w:ascii="FrankRuehl" w:hAnsi="FrankRuehl" w:cs="FrankRuehl"/>
          <w:rtl/>
        </w:rPr>
        <w:t xml:space="preserve">, </w:t>
      </w:r>
      <w:hyperlink r:id="rId14" w:history="1">
        <w:r w:rsidRPr="00A304F5">
          <w:rPr>
            <w:rFonts w:ascii="FrankRuehl" w:hAnsi="FrankRuehl" w:cs="FrankRuehl"/>
            <w:color w:val="0000FF"/>
            <w:rtl/>
          </w:rPr>
          <w:t>40ו</w:t>
        </w:r>
      </w:hyperlink>
      <w:r w:rsidRPr="00A304F5">
        <w:rPr>
          <w:rFonts w:ascii="FrankRuehl" w:hAnsi="FrankRuehl" w:cs="FrankRuehl"/>
          <w:rtl/>
        </w:rPr>
        <w:t xml:space="preserve">, </w:t>
      </w:r>
      <w:hyperlink r:id="rId15" w:history="1">
        <w:r w:rsidRPr="00A304F5">
          <w:rPr>
            <w:rFonts w:ascii="FrankRuehl" w:hAnsi="FrankRuehl" w:cs="FrankRuehl"/>
            <w:color w:val="0000FF"/>
            <w:rtl/>
          </w:rPr>
          <w:t>40ז</w:t>
        </w:r>
      </w:hyperlink>
      <w:r w:rsidRPr="00A304F5">
        <w:rPr>
          <w:rFonts w:ascii="FrankRuehl" w:hAnsi="FrankRuehl" w:cs="FrankRuehl"/>
          <w:rtl/>
        </w:rPr>
        <w:t xml:space="preserve">, </w:t>
      </w:r>
      <w:hyperlink r:id="rId16" w:history="1">
        <w:r w:rsidRPr="00A304F5">
          <w:rPr>
            <w:rFonts w:ascii="FrankRuehl" w:hAnsi="FrankRuehl" w:cs="FrankRuehl"/>
            <w:color w:val="0000FF"/>
            <w:rtl/>
          </w:rPr>
          <w:t>40ח</w:t>
        </w:r>
      </w:hyperlink>
      <w:r w:rsidRPr="00A304F5">
        <w:rPr>
          <w:rFonts w:ascii="FrankRuehl" w:hAnsi="FrankRuehl" w:cs="FrankRuehl"/>
          <w:rtl/>
        </w:rPr>
        <w:t xml:space="preserve">, </w:t>
      </w:r>
      <w:hyperlink r:id="rId17" w:history="1">
        <w:r w:rsidRPr="00A304F5">
          <w:rPr>
            <w:rFonts w:ascii="FrankRuehl" w:hAnsi="FrankRuehl" w:cs="FrankRuehl"/>
            <w:color w:val="0000FF"/>
            <w:rtl/>
          </w:rPr>
          <w:t>40ט</w:t>
        </w:r>
      </w:hyperlink>
      <w:r w:rsidRPr="00A304F5">
        <w:rPr>
          <w:rFonts w:ascii="FrankRuehl" w:hAnsi="FrankRuehl" w:cs="FrankRuehl"/>
          <w:rtl/>
        </w:rPr>
        <w:t xml:space="preserve">, </w:t>
      </w:r>
      <w:hyperlink r:id="rId18" w:history="1">
        <w:r w:rsidRPr="00A304F5">
          <w:rPr>
            <w:rFonts w:ascii="FrankRuehl" w:hAnsi="FrankRuehl" w:cs="FrankRuehl"/>
            <w:color w:val="0000FF"/>
            <w:rtl/>
          </w:rPr>
          <w:t>40י</w:t>
        </w:r>
      </w:hyperlink>
      <w:r w:rsidRPr="00A304F5">
        <w:rPr>
          <w:rFonts w:ascii="FrankRuehl" w:hAnsi="FrankRuehl" w:cs="FrankRuehl"/>
          <w:rtl/>
        </w:rPr>
        <w:t xml:space="preserve">, </w:t>
      </w:r>
      <w:hyperlink r:id="rId19" w:history="1">
        <w:r w:rsidRPr="00A304F5">
          <w:rPr>
            <w:rFonts w:ascii="FrankRuehl" w:hAnsi="FrankRuehl" w:cs="FrankRuehl"/>
            <w:color w:val="0000FF"/>
            <w:rtl/>
          </w:rPr>
          <w:t>144(א)</w:t>
        </w:r>
      </w:hyperlink>
      <w:r w:rsidRPr="00A304F5">
        <w:rPr>
          <w:rFonts w:ascii="FrankRuehl" w:hAnsi="FrankRuehl" w:cs="FrankRuehl"/>
          <w:rtl/>
        </w:rPr>
        <w:t xml:space="preserve">, </w:t>
      </w:r>
      <w:hyperlink r:id="rId20" w:history="1">
        <w:r w:rsidRPr="00A304F5">
          <w:rPr>
            <w:rFonts w:ascii="FrankRuehl" w:hAnsi="FrankRuehl" w:cs="FrankRuehl"/>
            <w:color w:val="0000FF"/>
            <w:rtl/>
          </w:rPr>
          <w:t>144.ג.2.</w:t>
        </w:r>
      </w:hyperlink>
      <w:r w:rsidRPr="00A304F5">
        <w:rPr>
          <w:rFonts w:ascii="FrankRuehl" w:hAnsi="FrankRuehl" w:cs="FrankRuehl"/>
          <w:rtl/>
        </w:rPr>
        <w:t xml:space="preserve">, </w:t>
      </w:r>
      <w:hyperlink r:id="rId21" w:history="1">
        <w:r w:rsidRPr="00A304F5">
          <w:rPr>
            <w:rFonts w:ascii="FrankRuehl" w:hAnsi="FrankRuehl" w:cs="FrankRuehl"/>
            <w:color w:val="0000FF"/>
            <w:rtl/>
          </w:rPr>
          <w:t>144.ג.3</w:t>
        </w:r>
      </w:hyperlink>
      <w:r w:rsidRPr="00A304F5">
        <w:rPr>
          <w:rFonts w:ascii="FrankRuehl" w:hAnsi="FrankRuehl" w:cs="FrankRuehl"/>
          <w:rtl/>
        </w:rPr>
        <w:t xml:space="preserve">, </w:t>
      </w:r>
      <w:hyperlink r:id="rId22" w:history="1">
        <w:r w:rsidRPr="00A304F5">
          <w:rPr>
            <w:rFonts w:ascii="FrankRuehl" w:hAnsi="FrankRuehl" w:cs="FrankRuehl"/>
            <w:color w:val="0000FF"/>
            <w:rtl/>
          </w:rPr>
          <w:t>244</w:t>
        </w:r>
      </w:hyperlink>
      <w:r w:rsidRPr="00A304F5">
        <w:rPr>
          <w:rFonts w:ascii="FrankRuehl" w:hAnsi="FrankRuehl" w:cs="FrankRuehl"/>
          <w:rtl/>
        </w:rPr>
        <w:t xml:space="preserve">, </w:t>
      </w:r>
      <w:hyperlink r:id="rId23" w:history="1">
        <w:r w:rsidRPr="00A304F5">
          <w:rPr>
            <w:rFonts w:ascii="FrankRuehl" w:hAnsi="FrankRuehl" w:cs="FrankRuehl"/>
            <w:color w:val="0000FF"/>
            <w:rtl/>
          </w:rPr>
          <w:t>40טו</w:t>
        </w:r>
      </w:hyperlink>
      <w:r w:rsidRPr="00A304F5">
        <w:rPr>
          <w:rFonts w:ascii="FrankRuehl" w:hAnsi="FrankRuehl" w:cs="FrankRuehl"/>
          <w:rtl/>
        </w:rPr>
        <w:t xml:space="preserve">, </w:t>
      </w:r>
      <w:hyperlink r:id="rId24" w:history="1">
        <w:r w:rsidRPr="00A304F5">
          <w:rPr>
            <w:rFonts w:ascii="FrankRuehl" w:hAnsi="FrankRuehl" w:cs="FrankRuehl"/>
            <w:color w:val="0000FF"/>
            <w:rtl/>
          </w:rPr>
          <w:t>40יא</w:t>
        </w:r>
      </w:hyperlink>
      <w:r w:rsidRPr="00A304F5">
        <w:rPr>
          <w:rFonts w:ascii="FrankRuehl" w:hAnsi="FrankRuehl" w:cs="FrankRuehl"/>
          <w:rtl/>
        </w:rPr>
        <w:t xml:space="preserve">, </w:t>
      </w:r>
      <w:hyperlink r:id="rId25" w:history="1">
        <w:r w:rsidRPr="00A304F5">
          <w:rPr>
            <w:rFonts w:ascii="FrankRuehl" w:hAnsi="FrankRuehl" w:cs="FrankRuehl"/>
            <w:color w:val="0000FF"/>
            <w:rtl/>
          </w:rPr>
          <w:t>40יב</w:t>
        </w:r>
      </w:hyperlink>
      <w:r w:rsidRPr="00A304F5">
        <w:rPr>
          <w:rFonts w:ascii="FrankRuehl" w:hAnsi="FrankRuehl" w:cs="FrankRuehl"/>
          <w:rtl/>
        </w:rPr>
        <w:t xml:space="preserve">, </w:t>
      </w:r>
      <w:hyperlink r:id="rId26" w:history="1">
        <w:r w:rsidRPr="00A304F5">
          <w:rPr>
            <w:rFonts w:ascii="FrankRuehl" w:hAnsi="FrankRuehl" w:cs="FrankRuehl"/>
            <w:color w:val="0000FF"/>
            <w:rtl/>
          </w:rPr>
          <w:t>40יג</w:t>
        </w:r>
      </w:hyperlink>
      <w:r w:rsidRPr="00A304F5">
        <w:rPr>
          <w:rFonts w:ascii="FrankRuehl" w:hAnsi="FrankRuehl" w:cs="FrankRuehl"/>
          <w:rtl/>
        </w:rPr>
        <w:t xml:space="preserve">, </w:t>
      </w:r>
      <w:hyperlink r:id="rId27" w:history="1">
        <w:r w:rsidRPr="00A304F5">
          <w:rPr>
            <w:rFonts w:ascii="FrankRuehl" w:hAnsi="FrankRuehl" w:cs="FrankRuehl"/>
            <w:color w:val="0000FF"/>
            <w:rtl/>
          </w:rPr>
          <w:t>40יד</w:t>
        </w:r>
      </w:hyperlink>
      <w:r w:rsidRPr="00A304F5">
        <w:rPr>
          <w:rFonts w:ascii="FrankRuehl" w:hAnsi="FrankRuehl" w:cs="FrankRuehl"/>
          <w:rtl/>
        </w:rPr>
        <w:t xml:space="preserve">, </w:t>
      </w:r>
      <w:hyperlink r:id="rId28" w:history="1">
        <w:r w:rsidRPr="00A304F5">
          <w:rPr>
            <w:rFonts w:ascii="FrankRuehl" w:hAnsi="FrankRuehl" w:cs="FrankRuehl"/>
            <w:color w:val="0000FF"/>
            <w:rtl/>
          </w:rPr>
          <w:t>פרק ו'</w:t>
        </w:r>
      </w:hyperlink>
    </w:p>
    <w:p w14:paraId="77857738" w14:textId="77777777" w:rsidR="00A304F5" w:rsidRPr="00A304F5" w:rsidRDefault="00A304F5" w:rsidP="00A304F5">
      <w:pPr>
        <w:rPr>
          <w:rFonts w:ascii="Arial" w:hAnsi="Arial"/>
          <w:sz w:val="26"/>
          <w:szCs w:val="26"/>
          <w:rtl/>
        </w:rPr>
      </w:pPr>
      <w:bookmarkStart w:id="3" w:name="LawTable_End"/>
      <w:bookmarkEnd w:id="3"/>
    </w:p>
    <w:p w14:paraId="563B8FA9" w14:textId="77777777" w:rsidR="00E10A48" w:rsidRPr="00294E49" w:rsidRDefault="00E10A48" w:rsidP="00294E49">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10A48" w14:paraId="5D74B83D" w14:textId="77777777" w:rsidTr="00E10A48">
        <w:trPr>
          <w:trHeight w:val="355"/>
          <w:jc w:val="center"/>
        </w:trPr>
        <w:tc>
          <w:tcPr>
            <w:tcW w:w="8820" w:type="dxa"/>
            <w:tcBorders>
              <w:top w:val="nil"/>
              <w:left w:val="nil"/>
              <w:bottom w:val="nil"/>
              <w:right w:val="nil"/>
            </w:tcBorders>
            <w:shd w:val="clear" w:color="auto" w:fill="auto"/>
          </w:tcPr>
          <w:p w14:paraId="46032B06" w14:textId="77777777" w:rsidR="00D07705" w:rsidRPr="00D07705" w:rsidRDefault="00D07705" w:rsidP="00D07705">
            <w:pPr>
              <w:jc w:val="center"/>
              <w:rPr>
                <w:rFonts w:ascii="David" w:hAnsi="David"/>
                <w:b/>
                <w:bCs/>
                <w:sz w:val="32"/>
                <w:szCs w:val="32"/>
                <w:u w:val="single"/>
                <w:rtl/>
              </w:rPr>
            </w:pPr>
            <w:bookmarkStart w:id="4" w:name="PsakDin" w:colFirst="0" w:colLast="0"/>
            <w:bookmarkEnd w:id="0"/>
            <w:r w:rsidRPr="00D07705">
              <w:rPr>
                <w:rFonts w:ascii="David" w:hAnsi="David"/>
                <w:b/>
                <w:bCs/>
                <w:sz w:val="32"/>
                <w:szCs w:val="32"/>
                <w:u w:val="single"/>
                <w:rtl/>
              </w:rPr>
              <w:t>גזר דין</w:t>
            </w:r>
          </w:p>
          <w:p w14:paraId="02965CDA" w14:textId="77777777" w:rsidR="00E10A48" w:rsidRPr="00D07705" w:rsidRDefault="00E10A48" w:rsidP="00D07705">
            <w:pPr>
              <w:jc w:val="center"/>
              <w:rPr>
                <w:rFonts w:ascii="David" w:hAnsi="David"/>
                <w:bCs/>
                <w:sz w:val="32"/>
                <w:szCs w:val="32"/>
                <w:u w:val="single"/>
                <w:rtl/>
              </w:rPr>
            </w:pPr>
          </w:p>
        </w:tc>
      </w:tr>
      <w:bookmarkEnd w:id="4"/>
    </w:tbl>
    <w:p w14:paraId="61CCD9F9" w14:textId="77777777" w:rsidR="00E10A48" w:rsidRPr="000F2247" w:rsidRDefault="00E10A48" w:rsidP="00E10A48">
      <w:pPr>
        <w:rPr>
          <w:rFonts w:ascii="Arial" w:hAnsi="Arial"/>
          <w:b/>
          <w:bCs/>
          <w:sz w:val="26"/>
          <w:szCs w:val="26"/>
          <w:rtl/>
        </w:rPr>
      </w:pPr>
    </w:p>
    <w:p w14:paraId="0AD2FFD3" w14:textId="77777777" w:rsidR="00E10A48" w:rsidRPr="0020265E" w:rsidRDefault="00E10A48" w:rsidP="00E10A48">
      <w:pPr>
        <w:spacing w:line="360" w:lineRule="auto"/>
        <w:ind w:left="360"/>
        <w:jc w:val="both"/>
        <w:rPr>
          <w:rFonts w:ascii="David" w:hAnsi="David"/>
          <w:b/>
          <w:bCs/>
          <w:u w:val="single"/>
        </w:rPr>
      </w:pPr>
      <w:r w:rsidRPr="0020265E">
        <w:rPr>
          <w:rFonts w:ascii="David" w:hAnsi="David"/>
          <w:b/>
          <w:bCs/>
          <w:u w:val="single"/>
          <w:rtl/>
        </w:rPr>
        <w:t>כללי</w:t>
      </w:r>
    </w:p>
    <w:p w14:paraId="5BACF760" w14:textId="77777777" w:rsidR="00E10A48" w:rsidRPr="0020265E" w:rsidRDefault="00E10A48" w:rsidP="00E10A48">
      <w:pPr>
        <w:numPr>
          <w:ilvl w:val="0"/>
          <w:numId w:val="1"/>
        </w:numPr>
        <w:spacing w:after="160" w:line="360" w:lineRule="auto"/>
        <w:contextualSpacing/>
        <w:jc w:val="both"/>
        <w:rPr>
          <w:rFonts w:ascii="David" w:eastAsia="Calibri" w:hAnsi="David"/>
        </w:rPr>
      </w:pPr>
      <w:bookmarkStart w:id="5" w:name="ABSTRACT_START"/>
      <w:bookmarkEnd w:id="5"/>
      <w:r w:rsidRPr="0020265E">
        <w:rPr>
          <w:rFonts w:ascii="David" w:hAnsi="David"/>
          <w:rtl/>
        </w:rPr>
        <w:t xml:space="preserve">הנאשם הודה במסגרת הסדר טיעון בכתב אישום מתוקן בעבירות בנשק (החזקה), עבירה לפי </w:t>
      </w:r>
      <w:hyperlink r:id="rId29" w:history="1">
        <w:r w:rsidR="00745A7E" w:rsidRPr="00745A7E">
          <w:rPr>
            <w:rStyle w:val="Hyperlink"/>
            <w:rFonts w:ascii="David" w:hAnsi="David"/>
            <w:rtl/>
          </w:rPr>
          <w:t>סעיף 144(א)</w:t>
        </w:r>
      </w:hyperlink>
      <w:r w:rsidRPr="0020265E">
        <w:rPr>
          <w:rFonts w:ascii="David" w:hAnsi="David"/>
          <w:rtl/>
        </w:rPr>
        <w:t xml:space="preserve"> רישא וסיפא + </w:t>
      </w:r>
      <w:hyperlink r:id="rId30" w:history="1">
        <w:r w:rsidR="00745A7E" w:rsidRPr="00745A7E">
          <w:rPr>
            <w:rStyle w:val="Hyperlink"/>
            <w:rFonts w:ascii="David" w:hAnsi="David"/>
            <w:rtl/>
          </w:rPr>
          <w:t>144 (ג)(2+3)</w:t>
        </w:r>
      </w:hyperlink>
      <w:r w:rsidRPr="0020265E">
        <w:rPr>
          <w:rFonts w:ascii="David" w:hAnsi="David"/>
          <w:rtl/>
        </w:rPr>
        <w:t xml:space="preserve"> + </w:t>
      </w:r>
      <w:hyperlink r:id="rId31" w:history="1">
        <w:r w:rsidR="00745A7E" w:rsidRPr="00745A7E">
          <w:rPr>
            <w:rStyle w:val="Hyperlink"/>
            <w:rFonts w:ascii="David" w:hAnsi="David"/>
            <w:rtl/>
          </w:rPr>
          <w:t>סעיף 29</w:t>
        </w:r>
      </w:hyperlink>
      <w:r w:rsidRPr="0020265E">
        <w:rPr>
          <w:rFonts w:ascii="David" w:hAnsi="David"/>
          <w:rtl/>
        </w:rPr>
        <w:t xml:space="preserve"> ל</w:t>
      </w:r>
      <w:hyperlink r:id="rId32" w:history="1">
        <w:r w:rsidR="00D07705" w:rsidRPr="00D07705">
          <w:rPr>
            <w:rFonts w:ascii="David" w:hAnsi="David"/>
            <w:color w:val="0000FF"/>
            <w:u w:val="single"/>
            <w:rtl/>
          </w:rPr>
          <w:t>חוק העונשין</w:t>
        </w:r>
      </w:hyperlink>
      <w:r w:rsidRPr="0020265E">
        <w:rPr>
          <w:rFonts w:ascii="David" w:hAnsi="David"/>
          <w:rtl/>
        </w:rPr>
        <w:t>, ו</w:t>
      </w:r>
      <w:r>
        <w:rPr>
          <w:rFonts w:ascii="David" w:hAnsi="David" w:hint="cs"/>
          <w:rtl/>
        </w:rPr>
        <w:t>ב</w:t>
      </w:r>
      <w:r w:rsidRPr="0020265E">
        <w:rPr>
          <w:rFonts w:ascii="David" w:hAnsi="David"/>
          <w:rtl/>
        </w:rPr>
        <w:t xml:space="preserve">עבירה של שיבוש מהלכי משפט, עבירה לפי </w:t>
      </w:r>
      <w:hyperlink r:id="rId33" w:history="1">
        <w:r w:rsidR="00745A7E" w:rsidRPr="00745A7E">
          <w:rPr>
            <w:rStyle w:val="Hyperlink"/>
            <w:rFonts w:ascii="David" w:hAnsi="David"/>
            <w:rtl/>
          </w:rPr>
          <w:t>סעיף 244</w:t>
        </w:r>
      </w:hyperlink>
      <w:r w:rsidRPr="0020265E">
        <w:rPr>
          <w:rFonts w:ascii="David" w:hAnsi="David"/>
          <w:rtl/>
        </w:rPr>
        <w:t xml:space="preserve"> לחוק העונשין.</w:t>
      </w:r>
    </w:p>
    <w:p w14:paraId="159B00C9" w14:textId="77777777" w:rsidR="00E10A48" w:rsidRPr="0014083B" w:rsidRDefault="00E10A48" w:rsidP="00E10A48">
      <w:pPr>
        <w:spacing w:line="360" w:lineRule="auto"/>
        <w:ind w:left="720"/>
        <w:contextualSpacing/>
        <w:jc w:val="both"/>
        <w:rPr>
          <w:rFonts w:ascii="David" w:eastAsia="Calibri" w:hAnsi="David"/>
          <w:sz w:val="14"/>
          <w:szCs w:val="14"/>
        </w:rPr>
      </w:pPr>
      <w:bookmarkStart w:id="6" w:name="ABSTRACT_END"/>
      <w:bookmarkEnd w:id="6"/>
    </w:p>
    <w:p w14:paraId="7679C980" w14:textId="77777777" w:rsidR="00E10A48" w:rsidRPr="0020265E" w:rsidRDefault="00E10A48" w:rsidP="00E10A48">
      <w:pPr>
        <w:numPr>
          <w:ilvl w:val="0"/>
          <w:numId w:val="1"/>
        </w:numPr>
        <w:spacing w:after="160" w:line="360" w:lineRule="auto"/>
        <w:contextualSpacing/>
        <w:jc w:val="both"/>
        <w:rPr>
          <w:rFonts w:ascii="David" w:hAnsi="David"/>
          <w:rtl/>
        </w:rPr>
      </w:pPr>
      <w:r w:rsidRPr="0020265E">
        <w:rPr>
          <w:rFonts w:ascii="David" w:hAnsi="David"/>
          <w:rtl/>
        </w:rPr>
        <w:t>הסדר הטעון מתייחס לתיקון כתב האישום ואינו כולל הסכמות לעניין העונשים שיוטלו על הנאשם.</w:t>
      </w:r>
    </w:p>
    <w:p w14:paraId="39343354" w14:textId="77777777" w:rsidR="00E10A48" w:rsidRPr="00096D2C" w:rsidRDefault="00E10A48" w:rsidP="00E10A48">
      <w:pPr>
        <w:spacing w:line="360" w:lineRule="auto"/>
        <w:ind w:firstLine="360"/>
        <w:jc w:val="both"/>
        <w:rPr>
          <w:rFonts w:ascii="David" w:hAnsi="David"/>
          <w:b/>
          <w:bCs/>
          <w:sz w:val="14"/>
          <w:szCs w:val="14"/>
          <w:u w:val="single"/>
          <w:rtl/>
        </w:rPr>
      </w:pPr>
    </w:p>
    <w:p w14:paraId="22A1F2DC" w14:textId="77777777" w:rsidR="00E10A48" w:rsidRPr="0020265E" w:rsidRDefault="00E10A48" w:rsidP="00E10A48">
      <w:pPr>
        <w:spacing w:line="360" w:lineRule="auto"/>
        <w:ind w:firstLine="360"/>
        <w:jc w:val="both"/>
        <w:rPr>
          <w:rFonts w:ascii="David" w:eastAsia="David" w:hAnsi="David"/>
          <w:b/>
          <w:bCs/>
          <w:u w:val="single"/>
        </w:rPr>
      </w:pPr>
      <w:r w:rsidRPr="0020265E">
        <w:rPr>
          <w:rFonts w:ascii="David" w:hAnsi="David"/>
          <w:b/>
          <w:bCs/>
          <w:u w:val="single"/>
          <w:rtl/>
        </w:rPr>
        <w:t xml:space="preserve">עובדות כתב האישום המתוקן </w:t>
      </w:r>
    </w:p>
    <w:p w14:paraId="39EEB77E" w14:textId="77777777" w:rsidR="00E10A48" w:rsidRPr="00096D2C" w:rsidRDefault="00E10A48" w:rsidP="00E10A48">
      <w:pPr>
        <w:spacing w:line="360" w:lineRule="auto"/>
        <w:ind w:firstLine="360"/>
        <w:jc w:val="both"/>
        <w:rPr>
          <w:rFonts w:ascii="David" w:hAnsi="David"/>
          <w:b/>
          <w:bCs/>
          <w:sz w:val="12"/>
          <w:szCs w:val="12"/>
          <w:u w:val="single"/>
          <w:rtl/>
        </w:rPr>
      </w:pPr>
    </w:p>
    <w:p w14:paraId="160220E3" w14:textId="77777777" w:rsidR="00E10A48" w:rsidRPr="00A12B0F" w:rsidRDefault="00E10A48" w:rsidP="00E10A48">
      <w:pPr>
        <w:numPr>
          <w:ilvl w:val="0"/>
          <w:numId w:val="1"/>
        </w:numPr>
        <w:spacing w:after="160" w:line="360" w:lineRule="auto"/>
        <w:contextualSpacing/>
        <w:jc w:val="both"/>
        <w:rPr>
          <w:rFonts w:ascii="David" w:hAnsi="David"/>
        </w:rPr>
      </w:pPr>
      <w:r w:rsidRPr="00A12B0F">
        <w:rPr>
          <w:rFonts w:ascii="David" w:hAnsi="David"/>
          <w:rtl/>
        </w:rPr>
        <w:t xml:space="preserve">הנאשם הינו בן דודו של הקטין אדל כנאעני (להלן: </w:t>
      </w:r>
      <w:r w:rsidRPr="007903EB">
        <w:rPr>
          <w:rFonts w:ascii="David" w:hAnsi="David"/>
          <w:rtl/>
        </w:rPr>
        <w:t>"</w:t>
      </w:r>
      <w:r w:rsidRPr="007903EB">
        <w:rPr>
          <w:rFonts w:ascii="David" w:hAnsi="David" w:hint="cs"/>
          <w:rtl/>
        </w:rPr>
        <w:t>הקטין</w:t>
      </w:r>
      <w:r w:rsidRPr="007903EB">
        <w:rPr>
          <w:rFonts w:ascii="David" w:hAnsi="David"/>
          <w:rtl/>
        </w:rPr>
        <w:t>").</w:t>
      </w:r>
      <w:r>
        <w:rPr>
          <w:rFonts w:ascii="David" w:hAnsi="David" w:hint="cs"/>
          <w:rtl/>
        </w:rPr>
        <w:t xml:space="preserve"> בין התאריכים </w:t>
      </w:r>
      <w:r w:rsidRPr="00A12B0F">
        <w:rPr>
          <w:rFonts w:ascii="David" w:hAnsi="David"/>
          <w:rtl/>
        </w:rPr>
        <w:t xml:space="preserve"> </w:t>
      </w:r>
      <w:r w:rsidRPr="004309A0">
        <w:rPr>
          <w:rFonts w:ascii="David" w:hAnsi="David"/>
          <w:rtl/>
        </w:rPr>
        <w:t>21.1.</w:t>
      </w:r>
      <w:r w:rsidRPr="00A12B0F">
        <w:rPr>
          <w:rFonts w:ascii="David" w:hAnsi="David"/>
          <w:rtl/>
        </w:rPr>
        <w:t xml:space="preserve">22 ועד </w:t>
      </w:r>
      <w:r>
        <w:rPr>
          <w:rFonts w:ascii="David" w:hAnsi="David" w:hint="cs"/>
          <w:rtl/>
        </w:rPr>
        <w:t xml:space="preserve"> </w:t>
      </w:r>
      <w:r w:rsidRPr="00A12B0F">
        <w:rPr>
          <w:rFonts w:ascii="David" w:hAnsi="David"/>
          <w:rtl/>
        </w:rPr>
        <w:t>26.5</w:t>
      </w:r>
      <w:r>
        <w:rPr>
          <w:rFonts w:ascii="David" w:hAnsi="David"/>
          <w:rtl/>
        </w:rPr>
        <w:t>.22 (להלן: "התקופה"), החזיק</w:t>
      </w:r>
      <w:r>
        <w:rPr>
          <w:rFonts w:ascii="David" w:hAnsi="David" w:hint="cs"/>
          <w:rtl/>
        </w:rPr>
        <w:t xml:space="preserve"> הקטין</w:t>
      </w:r>
      <w:r w:rsidRPr="00A12B0F">
        <w:rPr>
          <w:rFonts w:ascii="David" w:hAnsi="David"/>
          <w:rtl/>
        </w:rPr>
        <w:t xml:space="preserve"> עבור הנאשם בביתו שבכפר קרע, כלי נשק מסוגים שונים כפי שיפורט להלן:</w:t>
      </w:r>
    </w:p>
    <w:p w14:paraId="6AB45C36" w14:textId="77777777" w:rsidR="00E10A48" w:rsidRPr="0020265E" w:rsidRDefault="00E10A48" w:rsidP="00E10A48">
      <w:pPr>
        <w:numPr>
          <w:ilvl w:val="0"/>
          <w:numId w:val="2"/>
        </w:numPr>
        <w:spacing w:after="160" w:line="360" w:lineRule="auto"/>
        <w:contextualSpacing/>
        <w:jc w:val="both"/>
        <w:rPr>
          <w:rFonts w:ascii="David" w:hAnsi="David"/>
          <w:rtl/>
        </w:rPr>
      </w:pPr>
      <w:r w:rsidRPr="0020265E">
        <w:rPr>
          <w:rFonts w:ascii="David" w:hAnsi="David"/>
          <w:rtl/>
        </w:rPr>
        <w:t xml:space="preserve">רובה סער דמוי </w:t>
      </w:r>
      <w:r w:rsidRPr="0020265E">
        <w:rPr>
          <w:rFonts w:ascii="David" w:hAnsi="David"/>
        </w:rPr>
        <w:t>M16</w:t>
      </w:r>
      <w:r w:rsidRPr="0020265E">
        <w:rPr>
          <w:rFonts w:ascii="David" w:hAnsi="David"/>
          <w:rtl/>
        </w:rPr>
        <w:t xml:space="preserve"> </w:t>
      </w:r>
      <w:r>
        <w:rPr>
          <w:rFonts w:ascii="David" w:hAnsi="David" w:hint="cs"/>
          <w:rtl/>
        </w:rPr>
        <w:t xml:space="preserve">שסוגל לירות כדור ולהמית אדם, </w:t>
      </w:r>
      <w:r w:rsidRPr="0020265E">
        <w:rPr>
          <w:rFonts w:ascii="David" w:hAnsi="David"/>
          <w:rtl/>
        </w:rPr>
        <w:t>וכן מחסנית תואמת ובתוכה שישה כדורים תואמים</w:t>
      </w:r>
      <w:r>
        <w:rPr>
          <w:rFonts w:ascii="David" w:hAnsi="David" w:hint="cs"/>
          <w:rtl/>
        </w:rPr>
        <w:t xml:space="preserve"> בקליבר  5.56</w:t>
      </w:r>
      <w:r w:rsidRPr="0020265E">
        <w:rPr>
          <w:rFonts w:ascii="David" w:hAnsi="David"/>
          <w:rtl/>
        </w:rPr>
        <w:t>.</w:t>
      </w:r>
    </w:p>
    <w:p w14:paraId="244262DA" w14:textId="77777777" w:rsidR="00E10A48" w:rsidRPr="0020265E" w:rsidRDefault="00E10A48" w:rsidP="00E10A48">
      <w:pPr>
        <w:numPr>
          <w:ilvl w:val="0"/>
          <w:numId w:val="2"/>
        </w:numPr>
        <w:spacing w:after="160" w:line="360" w:lineRule="auto"/>
        <w:contextualSpacing/>
        <w:jc w:val="both"/>
        <w:rPr>
          <w:rFonts w:ascii="David" w:hAnsi="David"/>
          <w:rtl/>
        </w:rPr>
      </w:pPr>
      <w:r>
        <w:rPr>
          <w:rFonts w:ascii="David" w:hAnsi="David"/>
          <w:rtl/>
        </w:rPr>
        <w:lastRenderedPageBreak/>
        <w:t>תת מקלע מסוג עוזי</w:t>
      </w:r>
      <w:r>
        <w:rPr>
          <w:rFonts w:ascii="David" w:hAnsi="David" w:hint="cs"/>
          <w:rtl/>
        </w:rPr>
        <w:t xml:space="preserve"> קליבר 9 מ"מ שמסוגל לירות כדור ולהמית אדם.</w:t>
      </w:r>
    </w:p>
    <w:p w14:paraId="21D719DE" w14:textId="77777777" w:rsidR="00E10A48" w:rsidRPr="0020265E" w:rsidRDefault="00E10A48" w:rsidP="00E10A48">
      <w:pPr>
        <w:numPr>
          <w:ilvl w:val="0"/>
          <w:numId w:val="2"/>
        </w:numPr>
        <w:spacing w:after="160" w:line="360" w:lineRule="auto"/>
        <w:contextualSpacing/>
        <w:jc w:val="both"/>
        <w:rPr>
          <w:rFonts w:ascii="David" w:hAnsi="David"/>
          <w:rtl/>
        </w:rPr>
      </w:pPr>
      <w:r w:rsidRPr="0020265E">
        <w:rPr>
          <w:rFonts w:ascii="David" w:hAnsi="David"/>
          <w:rtl/>
        </w:rPr>
        <w:t xml:space="preserve">אקדח הזנקה דגם </w:t>
      </w:r>
      <w:r w:rsidRPr="0020265E">
        <w:rPr>
          <w:rFonts w:ascii="David" w:hAnsi="David"/>
        </w:rPr>
        <w:t>KUZEY</w:t>
      </w:r>
      <w:r w:rsidRPr="0020265E">
        <w:rPr>
          <w:rFonts w:ascii="David" w:hAnsi="David"/>
          <w:rtl/>
        </w:rPr>
        <w:t xml:space="preserve"> שאינו מסוגל להמית </w:t>
      </w:r>
      <w:r>
        <w:rPr>
          <w:rFonts w:ascii="David" w:hAnsi="David" w:hint="cs"/>
          <w:rtl/>
        </w:rPr>
        <w:t xml:space="preserve">אדם </w:t>
      </w:r>
      <w:r w:rsidRPr="0020265E">
        <w:rPr>
          <w:rFonts w:ascii="David" w:hAnsi="David"/>
          <w:rtl/>
        </w:rPr>
        <w:t>אך בעל מנגנון הכולל תרכובת של חומרי בעירה ונפץ המשמשים להזנקה וכן מחסנית תואמת</w:t>
      </w:r>
      <w:r>
        <w:rPr>
          <w:rFonts w:ascii="David" w:hAnsi="David" w:hint="cs"/>
          <w:rtl/>
        </w:rPr>
        <w:t>.</w:t>
      </w:r>
    </w:p>
    <w:p w14:paraId="540816DD" w14:textId="77777777" w:rsidR="00E10A48" w:rsidRDefault="00E10A48" w:rsidP="00E10A48">
      <w:pPr>
        <w:numPr>
          <w:ilvl w:val="0"/>
          <w:numId w:val="2"/>
        </w:numPr>
        <w:spacing w:after="160" w:line="360" w:lineRule="auto"/>
        <w:contextualSpacing/>
        <w:jc w:val="both"/>
        <w:rPr>
          <w:rFonts w:ascii="David" w:hAnsi="David"/>
        </w:rPr>
      </w:pPr>
      <w:r>
        <w:rPr>
          <w:rFonts w:ascii="David" w:hAnsi="David" w:hint="cs"/>
          <w:rtl/>
        </w:rPr>
        <w:t xml:space="preserve">104 </w:t>
      </w:r>
      <w:r w:rsidRPr="0020265E">
        <w:rPr>
          <w:rFonts w:ascii="David" w:hAnsi="David"/>
          <w:rtl/>
        </w:rPr>
        <w:t xml:space="preserve">כדורי תחמושת </w:t>
      </w:r>
      <w:r>
        <w:rPr>
          <w:rFonts w:ascii="David" w:hAnsi="David" w:hint="cs"/>
          <w:rtl/>
        </w:rPr>
        <w:t xml:space="preserve">בקליבר 5.56 </w:t>
      </w:r>
      <w:r w:rsidRPr="0020265E">
        <w:rPr>
          <w:rFonts w:ascii="David" w:hAnsi="David"/>
          <w:rtl/>
        </w:rPr>
        <w:t xml:space="preserve">התואמים לנשק מסוג </w:t>
      </w:r>
      <w:r w:rsidRPr="0020265E">
        <w:rPr>
          <w:rFonts w:ascii="David" w:hAnsi="David"/>
        </w:rPr>
        <w:t xml:space="preserve">M16 </w:t>
      </w:r>
      <w:r w:rsidR="00D07705">
        <w:rPr>
          <w:rFonts w:ascii="David" w:hAnsi="David"/>
          <w:rtl/>
        </w:rPr>
        <w:t xml:space="preserve"> </w:t>
      </w:r>
      <w:r>
        <w:rPr>
          <w:rFonts w:ascii="David" w:hAnsi="David" w:hint="cs"/>
          <w:rtl/>
        </w:rPr>
        <w:t>.</w:t>
      </w:r>
    </w:p>
    <w:p w14:paraId="5562057C" w14:textId="77777777" w:rsidR="00E10A48" w:rsidRPr="00F268A2" w:rsidRDefault="00E10A48" w:rsidP="00E10A48">
      <w:pPr>
        <w:spacing w:after="160" w:line="360" w:lineRule="auto"/>
        <w:ind w:left="1080"/>
        <w:contextualSpacing/>
        <w:jc w:val="both"/>
        <w:rPr>
          <w:rFonts w:ascii="David" w:hAnsi="David"/>
          <w:sz w:val="10"/>
          <w:szCs w:val="10"/>
          <w:rtl/>
        </w:rPr>
      </w:pPr>
      <w:r w:rsidRPr="0020265E">
        <w:rPr>
          <w:rFonts w:ascii="David" w:hAnsi="David"/>
        </w:rPr>
        <w:t xml:space="preserve"> </w:t>
      </w:r>
    </w:p>
    <w:p w14:paraId="2C7940C9" w14:textId="77777777" w:rsidR="00E10A48" w:rsidRPr="0020265E" w:rsidRDefault="00E10A48" w:rsidP="00E10A48">
      <w:pPr>
        <w:spacing w:after="160" w:line="360" w:lineRule="auto"/>
        <w:ind w:left="720"/>
        <w:jc w:val="both"/>
        <w:rPr>
          <w:rFonts w:ascii="David" w:eastAsia="Calibri" w:hAnsi="David"/>
        </w:rPr>
      </w:pPr>
      <w:r w:rsidRPr="0020265E">
        <w:rPr>
          <w:rFonts w:ascii="David" w:eastAsia="Calibri" w:hAnsi="David"/>
          <w:rtl/>
        </w:rPr>
        <w:t>בהמשך לאמור, ביום 26.5.22 או בסמוך לכך נמלט הנאשם מסביבת מגורים בכוונה להתחמק  מחקירה ביודעו כי המשטרה מחפשת אחריו וזאת עד אשר נעצר ביום 14.7.22.</w:t>
      </w:r>
    </w:p>
    <w:p w14:paraId="42B73796" w14:textId="77777777" w:rsidR="00E10A48" w:rsidRPr="0020265E" w:rsidRDefault="00E10A48" w:rsidP="00E10A48">
      <w:pPr>
        <w:spacing w:after="160" w:line="360" w:lineRule="auto"/>
        <w:ind w:left="720"/>
        <w:jc w:val="both"/>
        <w:rPr>
          <w:rFonts w:ascii="David" w:eastAsia="Calibri" w:hAnsi="David"/>
          <w:rtl/>
        </w:rPr>
      </w:pPr>
      <w:r w:rsidRPr="0020265E">
        <w:rPr>
          <w:rFonts w:ascii="David" w:eastAsia="Calibri" w:hAnsi="David"/>
          <w:rtl/>
        </w:rPr>
        <w:t xml:space="preserve">במעשיו החזיק הנאשם לבדו ובצוותא חדא </w:t>
      </w:r>
      <w:r>
        <w:rPr>
          <w:rFonts w:ascii="David" w:eastAsia="Calibri" w:hAnsi="David" w:hint="cs"/>
          <w:rtl/>
        </w:rPr>
        <w:t xml:space="preserve">עם הקטין </w:t>
      </w:r>
      <w:r w:rsidRPr="0020265E">
        <w:rPr>
          <w:rFonts w:ascii="David" w:eastAsia="Calibri" w:hAnsi="David"/>
          <w:rtl/>
        </w:rPr>
        <w:t xml:space="preserve">כלי נשק, אביזרים ותחמושת לכלי נשק, בלא רשות על פי דין וכן </w:t>
      </w:r>
      <w:r>
        <w:rPr>
          <w:rFonts w:ascii="David" w:eastAsia="Calibri" w:hAnsi="David"/>
          <w:rtl/>
        </w:rPr>
        <w:t xml:space="preserve">עשה דבר בכוונה למנוע או להכשיל </w:t>
      </w:r>
      <w:r>
        <w:rPr>
          <w:rFonts w:ascii="David" w:eastAsia="Calibri" w:hAnsi="David" w:hint="cs"/>
          <w:rtl/>
        </w:rPr>
        <w:t>ה</w:t>
      </w:r>
      <w:r w:rsidRPr="0020265E">
        <w:rPr>
          <w:rFonts w:ascii="David" w:eastAsia="Calibri" w:hAnsi="David"/>
          <w:rtl/>
        </w:rPr>
        <w:t>ליך שיפוטי או להביא לידי עיוות דין.</w:t>
      </w:r>
    </w:p>
    <w:p w14:paraId="09DC43CC" w14:textId="77777777" w:rsidR="00E10A48" w:rsidRDefault="00E10A48" w:rsidP="00E10A48">
      <w:pPr>
        <w:spacing w:line="360" w:lineRule="auto"/>
        <w:ind w:left="360"/>
        <w:contextualSpacing/>
        <w:jc w:val="both"/>
        <w:rPr>
          <w:rFonts w:ascii="David" w:hAnsi="David"/>
          <w:b/>
          <w:bCs/>
          <w:u w:val="single"/>
          <w:rtl/>
        </w:rPr>
      </w:pPr>
    </w:p>
    <w:p w14:paraId="62219577" w14:textId="77777777" w:rsidR="00E10A48" w:rsidRPr="0020265E" w:rsidRDefault="00E10A48" w:rsidP="00E10A48">
      <w:pPr>
        <w:spacing w:line="360" w:lineRule="auto"/>
        <w:ind w:left="360"/>
        <w:contextualSpacing/>
        <w:jc w:val="both"/>
        <w:rPr>
          <w:rFonts w:ascii="David" w:hAnsi="David"/>
          <w:b/>
          <w:bCs/>
          <w:u w:val="single"/>
          <w:rtl/>
        </w:rPr>
      </w:pPr>
      <w:r w:rsidRPr="0020265E">
        <w:rPr>
          <w:rFonts w:ascii="David" w:hAnsi="David"/>
          <w:b/>
          <w:bCs/>
          <w:u w:val="single"/>
          <w:rtl/>
        </w:rPr>
        <w:t>עיקר טיעוני המאשימה לעונש</w:t>
      </w:r>
    </w:p>
    <w:p w14:paraId="3D6FE473" w14:textId="77777777" w:rsidR="00E10A48" w:rsidRPr="0020265E" w:rsidRDefault="00E10A48" w:rsidP="00E10A48">
      <w:pPr>
        <w:jc w:val="both"/>
        <w:rPr>
          <w:rFonts w:ascii="David" w:hAnsi="David"/>
          <w:rtl/>
        </w:rPr>
      </w:pPr>
    </w:p>
    <w:p w14:paraId="089BF10A" w14:textId="77777777" w:rsidR="00E10A48" w:rsidRPr="0020265E" w:rsidRDefault="00E10A48" w:rsidP="00E10A48">
      <w:pPr>
        <w:numPr>
          <w:ilvl w:val="0"/>
          <w:numId w:val="1"/>
        </w:numPr>
        <w:spacing w:after="160" w:line="360" w:lineRule="auto"/>
        <w:jc w:val="both"/>
        <w:rPr>
          <w:rFonts w:ascii="David" w:hAnsi="David"/>
          <w:rtl/>
        </w:rPr>
      </w:pPr>
      <w:r w:rsidRPr="0020265E">
        <w:rPr>
          <w:rFonts w:ascii="David" w:hAnsi="David"/>
          <w:rtl/>
        </w:rPr>
        <w:t xml:space="preserve">המאשימה בטיעוניה הדגישה את חומרת העבירות בהן הורשע הנאשם, תוך מתן דגש על תופעת האלימות באמצעות נשק, והצורך להחמיר בעבירות נשק  נוכח </w:t>
      </w:r>
      <w:r w:rsidRPr="0020265E">
        <w:rPr>
          <w:rFonts w:ascii="David" w:eastAsia="Calibri" w:hAnsi="David"/>
          <w:rtl/>
        </w:rPr>
        <w:t xml:space="preserve">פוטנציאל הסיכון הרב הגלום בהן, תוך פגיעה בערכים המוגנים של שמירה על חיי אדם, שלמות הגוף והנפש, שלום הציבור ובטחונו, שמירה על הסדר הציבורי, </w:t>
      </w:r>
      <w:r>
        <w:rPr>
          <w:rFonts w:ascii="David" w:eastAsia="Calibri" w:hAnsi="David" w:hint="cs"/>
          <w:rtl/>
        </w:rPr>
        <w:t>ו</w:t>
      </w:r>
      <w:r w:rsidRPr="0020265E">
        <w:rPr>
          <w:rFonts w:ascii="David" w:eastAsia="Calibri" w:hAnsi="David"/>
          <w:rtl/>
        </w:rPr>
        <w:t>על אורח ח</w:t>
      </w:r>
      <w:r>
        <w:rPr>
          <w:rFonts w:ascii="David" w:eastAsia="Calibri" w:hAnsi="David"/>
          <w:rtl/>
        </w:rPr>
        <w:t>יים תקין</w:t>
      </w:r>
      <w:r w:rsidRPr="0020265E">
        <w:rPr>
          <w:rFonts w:ascii="David" w:eastAsia="Calibri" w:hAnsi="David"/>
          <w:rtl/>
        </w:rPr>
        <w:t xml:space="preserve"> שליו ובטוח. </w:t>
      </w:r>
      <w:r w:rsidRPr="0020265E">
        <w:rPr>
          <w:rFonts w:ascii="David" w:hAnsi="David"/>
          <w:rtl/>
        </w:rPr>
        <w:t>המאשימה הפנתה לתיקון 140 ל</w:t>
      </w:r>
      <w:hyperlink r:id="rId34" w:history="1">
        <w:r w:rsidR="00D07705" w:rsidRPr="00D07705">
          <w:rPr>
            <w:rFonts w:ascii="David" w:hAnsi="David"/>
            <w:color w:val="0000FF"/>
            <w:u w:val="single"/>
            <w:rtl/>
          </w:rPr>
          <w:t>חוק העונשין</w:t>
        </w:r>
      </w:hyperlink>
      <w:r w:rsidRPr="0020265E">
        <w:rPr>
          <w:rFonts w:ascii="David" w:hAnsi="David"/>
          <w:rtl/>
        </w:rPr>
        <w:t xml:space="preserve"> (עונש מינימום</w:t>
      </w:r>
      <w:r>
        <w:rPr>
          <w:rFonts w:ascii="David" w:hAnsi="David" w:hint="cs"/>
          <w:rtl/>
        </w:rPr>
        <w:t xml:space="preserve"> הקבוע בצד עבירות בנשק</w:t>
      </w:r>
      <w:r w:rsidRPr="0020265E">
        <w:rPr>
          <w:rFonts w:ascii="David" w:hAnsi="David"/>
          <w:rtl/>
        </w:rPr>
        <w:t xml:space="preserve">) המלמד על עמדתו של המחוקק ועל הצורך להחמיר בעבירות נשק. </w:t>
      </w:r>
      <w:r w:rsidRPr="0020265E">
        <w:rPr>
          <w:rFonts w:ascii="David" w:eastAsia="Calibri" w:hAnsi="David"/>
          <w:rtl/>
        </w:rPr>
        <w:t>בכלל זה הפנתה להנחיית פרקליט המדינה בדבר מדי</w:t>
      </w:r>
      <w:r>
        <w:rPr>
          <w:rFonts w:ascii="David" w:eastAsia="Calibri" w:hAnsi="David"/>
          <w:rtl/>
        </w:rPr>
        <w:t>ניות הענישה המחמירה בעבירות נשק</w:t>
      </w:r>
      <w:r>
        <w:rPr>
          <w:rFonts w:ascii="David" w:eastAsia="Calibri" w:hAnsi="David" w:hint="cs"/>
          <w:rtl/>
        </w:rPr>
        <w:t xml:space="preserve">, </w:t>
      </w:r>
      <w:r>
        <w:rPr>
          <w:rFonts w:ascii="David" w:eastAsia="Calibri" w:hAnsi="David"/>
          <w:rtl/>
        </w:rPr>
        <w:t xml:space="preserve">והמאמץ התביעתי להביא </w:t>
      </w:r>
      <w:r>
        <w:rPr>
          <w:rFonts w:ascii="David" w:eastAsia="Calibri" w:hAnsi="David" w:hint="cs"/>
          <w:rtl/>
        </w:rPr>
        <w:t>לצמצומן</w:t>
      </w:r>
      <w:r w:rsidRPr="0020265E">
        <w:rPr>
          <w:rFonts w:ascii="David" w:hAnsi="David"/>
          <w:rtl/>
        </w:rPr>
        <w:t xml:space="preserve">. בכל הקשור לנסיבות ביצוע העבירות, ציינה כי חלקו של הנאשם בביצוע העבירות הינו מוחלט, מדובר בנאשם בגיר שביצע את העבירות במודע בצוותא חדר עם שותפו הקטין. מעשיו של הנאשם לא נבעו מהחלטה ספונטנית, </w:t>
      </w:r>
      <w:r>
        <w:rPr>
          <w:rFonts w:ascii="David" w:hAnsi="David" w:hint="cs"/>
          <w:rtl/>
        </w:rPr>
        <w:t xml:space="preserve">והם </w:t>
      </w:r>
      <w:r>
        <w:rPr>
          <w:rFonts w:ascii="David" w:hAnsi="David"/>
          <w:rtl/>
        </w:rPr>
        <w:t>מעיד</w:t>
      </w:r>
      <w:r>
        <w:rPr>
          <w:rFonts w:ascii="David" w:hAnsi="David" w:hint="cs"/>
          <w:rtl/>
        </w:rPr>
        <w:t>ים</w:t>
      </w:r>
      <w:r w:rsidRPr="0020265E">
        <w:rPr>
          <w:rFonts w:ascii="David" w:hAnsi="David"/>
          <w:rtl/>
        </w:rPr>
        <w:t xml:space="preserve"> על שותפות בהחזקת כלי נשק למשך תקופה ארוכה של כחמישה חודשים, כאשר שניים מתוך של</w:t>
      </w:r>
      <w:r>
        <w:rPr>
          <w:rFonts w:ascii="David" w:hAnsi="David"/>
          <w:rtl/>
        </w:rPr>
        <w:t xml:space="preserve">ושה נשקים, הם נשקים ארוכים </w:t>
      </w:r>
      <w:r>
        <w:rPr>
          <w:rFonts w:ascii="David" w:hAnsi="David" w:hint="cs"/>
          <w:rtl/>
        </w:rPr>
        <w:t>ש</w:t>
      </w:r>
      <w:r w:rsidRPr="0020265E">
        <w:rPr>
          <w:rFonts w:ascii="David" w:hAnsi="David"/>
          <w:rtl/>
        </w:rPr>
        <w:t xml:space="preserve">פוטנציאל ההרג הטמון בהם הוא רב. </w:t>
      </w:r>
      <w:r>
        <w:rPr>
          <w:rFonts w:ascii="David" w:hAnsi="David" w:hint="cs"/>
          <w:rtl/>
        </w:rPr>
        <w:t xml:space="preserve">עוד </w:t>
      </w:r>
      <w:r w:rsidRPr="0020265E">
        <w:rPr>
          <w:rFonts w:ascii="David" w:hAnsi="David"/>
          <w:rtl/>
        </w:rPr>
        <w:t xml:space="preserve">ציינה כי ההסבר </w:t>
      </w:r>
      <w:r>
        <w:rPr>
          <w:rFonts w:ascii="David" w:hAnsi="David" w:hint="cs"/>
          <w:rtl/>
        </w:rPr>
        <w:t>ל</w:t>
      </w:r>
      <w:r>
        <w:rPr>
          <w:rFonts w:ascii="David" w:hAnsi="David"/>
          <w:rtl/>
        </w:rPr>
        <w:t xml:space="preserve">החזקת </w:t>
      </w:r>
      <w:r>
        <w:rPr>
          <w:rFonts w:ascii="David" w:hAnsi="David" w:hint="cs"/>
          <w:rtl/>
        </w:rPr>
        <w:t>הנ</w:t>
      </w:r>
      <w:r w:rsidRPr="0020265E">
        <w:rPr>
          <w:rFonts w:ascii="David" w:hAnsi="David"/>
          <w:rtl/>
        </w:rPr>
        <w:t>שק נותר בערפל, ויש להניח לחובתו</w:t>
      </w:r>
      <w:r>
        <w:rPr>
          <w:rFonts w:ascii="David" w:hAnsi="David" w:hint="cs"/>
          <w:rtl/>
        </w:rPr>
        <w:t xml:space="preserve"> של הנאשם</w:t>
      </w:r>
      <w:r w:rsidRPr="0020265E">
        <w:rPr>
          <w:rFonts w:ascii="David" w:hAnsi="David"/>
          <w:rtl/>
        </w:rPr>
        <w:t xml:space="preserve"> כי הוא עשה </w:t>
      </w:r>
      <w:r>
        <w:rPr>
          <w:rFonts w:ascii="David" w:hAnsi="David" w:hint="cs"/>
          <w:rtl/>
        </w:rPr>
        <w:t xml:space="preserve">כן שלא למטרות </w:t>
      </w:r>
      <w:r w:rsidRPr="0020265E">
        <w:rPr>
          <w:rFonts w:ascii="David" w:hAnsi="David"/>
          <w:rtl/>
        </w:rPr>
        <w:t xml:space="preserve">כשרות. עוד ציינה כי </w:t>
      </w:r>
      <w:r>
        <w:rPr>
          <w:rFonts w:ascii="David" w:hAnsi="David" w:hint="cs"/>
          <w:rtl/>
        </w:rPr>
        <w:t>לנאשם הייתה שלי</w:t>
      </w:r>
      <w:r w:rsidRPr="0020265E">
        <w:rPr>
          <w:rFonts w:ascii="David" w:hAnsi="David"/>
          <w:rtl/>
        </w:rPr>
        <w:t>טה מלאה על כ</w:t>
      </w:r>
      <w:r>
        <w:rPr>
          <w:rFonts w:ascii="David" w:hAnsi="David"/>
          <w:rtl/>
        </w:rPr>
        <w:t xml:space="preserve">לי הנשק והוא יכול </w:t>
      </w:r>
      <w:r>
        <w:rPr>
          <w:rFonts w:ascii="David" w:hAnsi="David" w:hint="cs"/>
          <w:rtl/>
        </w:rPr>
        <w:t xml:space="preserve">היה </w:t>
      </w:r>
      <w:r>
        <w:rPr>
          <w:rFonts w:ascii="David" w:hAnsi="David"/>
          <w:rtl/>
        </w:rPr>
        <w:t>להימנע ממעשיו</w:t>
      </w:r>
      <w:r w:rsidRPr="0020265E">
        <w:rPr>
          <w:rFonts w:ascii="David" w:hAnsi="David"/>
          <w:rtl/>
        </w:rPr>
        <w:t xml:space="preserve">. חומרה יתרה ייחסה לעובדה </w:t>
      </w:r>
      <w:r>
        <w:rPr>
          <w:rFonts w:ascii="David" w:hAnsi="David" w:hint="cs"/>
          <w:rtl/>
        </w:rPr>
        <w:t xml:space="preserve">שהנאשם </w:t>
      </w:r>
      <w:r w:rsidRPr="0020265E">
        <w:rPr>
          <w:rFonts w:ascii="David" w:hAnsi="David"/>
          <w:rtl/>
        </w:rPr>
        <w:t>נמלט מסביבת מגוריו וזאת בכוונה להתחמק מח</w:t>
      </w:r>
      <w:r>
        <w:rPr>
          <w:rFonts w:ascii="David" w:hAnsi="David"/>
          <w:rtl/>
        </w:rPr>
        <w:t xml:space="preserve">קירה ביודעו כי המשטרה מחפשת </w:t>
      </w:r>
      <w:r>
        <w:rPr>
          <w:rFonts w:ascii="David" w:hAnsi="David" w:hint="cs"/>
          <w:rtl/>
        </w:rPr>
        <w:t>אחריו</w:t>
      </w:r>
      <w:r w:rsidRPr="0020265E">
        <w:rPr>
          <w:rFonts w:ascii="David" w:hAnsi="David"/>
          <w:rtl/>
        </w:rPr>
        <w:t xml:space="preserve">. בכל הקשור לנסיבות שאינן קשורות בביצוע העבירות, הפנתה להודאתו המידית של הנאשם, </w:t>
      </w:r>
      <w:r>
        <w:rPr>
          <w:rFonts w:ascii="David" w:hAnsi="David" w:hint="cs"/>
          <w:rtl/>
        </w:rPr>
        <w:t>ל</w:t>
      </w:r>
      <w:r w:rsidRPr="0020265E">
        <w:rPr>
          <w:rFonts w:ascii="David" w:hAnsi="David"/>
          <w:rtl/>
        </w:rPr>
        <w:t xml:space="preserve">חיסכון בזמן שיפוטי יקר, </w:t>
      </w:r>
      <w:r>
        <w:rPr>
          <w:rFonts w:ascii="David" w:hAnsi="David" w:hint="cs"/>
          <w:rtl/>
        </w:rPr>
        <w:t>ל</w:t>
      </w:r>
      <w:r w:rsidRPr="0020265E">
        <w:rPr>
          <w:rFonts w:ascii="David" w:hAnsi="David"/>
          <w:rtl/>
        </w:rPr>
        <w:t xml:space="preserve">גילו הצעיר ולהיעדר כל עבר פלילי. בכל הקשור למדיניות הענישה, הפנתה לפסיקה רלוונטית וטענה למתחם עונש הולם שנע בין </w:t>
      </w:r>
      <w:r>
        <w:rPr>
          <w:rFonts w:ascii="David" w:hAnsi="David" w:hint="cs"/>
          <w:rtl/>
        </w:rPr>
        <w:t xml:space="preserve">ארבע לשש </w:t>
      </w:r>
      <w:r w:rsidRPr="0020265E">
        <w:rPr>
          <w:rFonts w:ascii="David" w:hAnsi="David"/>
          <w:rtl/>
        </w:rPr>
        <w:t xml:space="preserve">שנות מאסר בפועל. לאור כל האמור לעיל, ביקשה למקם את עונש המאסר בפועל ברף הנמוך של המתחם וכן להטיל </w:t>
      </w:r>
      <w:r>
        <w:rPr>
          <w:rFonts w:ascii="David" w:hAnsi="David" w:hint="cs"/>
          <w:rtl/>
        </w:rPr>
        <w:t xml:space="preserve">עליו עונשי </w:t>
      </w:r>
      <w:r w:rsidRPr="0020265E">
        <w:rPr>
          <w:rFonts w:ascii="David" w:hAnsi="David"/>
          <w:rtl/>
        </w:rPr>
        <w:t xml:space="preserve">מאסר על תנאי וקנס כספי. </w:t>
      </w:r>
    </w:p>
    <w:p w14:paraId="617AB744" w14:textId="77777777" w:rsidR="00E10A48" w:rsidRPr="0020265E" w:rsidRDefault="00E10A48" w:rsidP="00E10A48">
      <w:pPr>
        <w:spacing w:line="360" w:lineRule="auto"/>
        <w:ind w:left="360"/>
        <w:jc w:val="both"/>
        <w:rPr>
          <w:rFonts w:ascii="David" w:eastAsia="David" w:hAnsi="David"/>
          <w:b/>
          <w:bCs/>
          <w:u w:val="single"/>
          <w:rtl/>
        </w:rPr>
      </w:pPr>
      <w:r w:rsidRPr="0020265E">
        <w:rPr>
          <w:rFonts w:ascii="David" w:hAnsi="David"/>
          <w:b/>
          <w:bCs/>
          <w:u w:val="single"/>
          <w:rtl/>
        </w:rPr>
        <w:t>עיקר טיעוני</w:t>
      </w:r>
      <w:r>
        <w:rPr>
          <w:rFonts w:ascii="David" w:hAnsi="David"/>
          <w:b/>
          <w:bCs/>
          <w:u w:val="single"/>
          <w:rtl/>
        </w:rPr>
        <w:t xml:space="preserve"> ה</w:t>
      </w:r>
      <w:r>
        <w:rPr>
          <w:rFonts w:ascii="David" w:hAnsi="David" w:hint="cs"/>
          <w:b/>
          <w:bCs/>
          <w:u w:val="single"/>
          <w:rtl/>
        </w:rPr>
        <w:t xml:space="preserve">הגנה </w:t>
      </w:r>
      <w:r w:rsidRPr="0020265E">
        <w:rPr>
          <w:rFonts w:ascii="David" w:hAnsi="David"/>
          <w:b/>
          <w:bCs/>
          <w:u w:val="single"/>
          <w:rtl/>
        </w:rPr>
        <w:t>לעונש</w:t>
      </w:r>
    </w:p>
    <w:p w14:paraId="3BD5931B" w14:textId="77777777" w:rsidR="00E10A48" w:rsidRPr="0020265E" w:rsidRDefault="00E10A48" w:rsidP="00E10A48">
      <w:pPr>
        <w:ind w:left="360"/>
        <w:jc w:val="both"/>
        <w:rPr>
          <w:rFonts w:ascii="David" w:hAnsi="David"/>
          <w:b/>
          <w:bCs/>
          <w:u w:val="single"/>
          <w:rtl/>
        </w:rPr>
      </w:pPr>
    </w:p>
    <w:p w14:paraId="0B793FC3" w14:textId="77777777" w:rsidR="00E10A48" w:rsidRPr="0020265E" w:rsidRDefault="00E10A48" w:rsidP="00E10A48">
      <w:pPr>
        <w:numPr>
          <w:ilvl w:val="0"/>
          <w:numId w:val="1"/>
        </w:numPr>
        <w:spacing w:after="160" w:line="360" w:lineRule="auto"/>
        <w:contextualSpacing/>
        <w:jc w:val="both"/>
        <w:rPr>
          <w:rFonts w:ascii="David" w:hAnsi="David"/>
          <w:rtl/>
        </w:rPr>
      </w:pPr>
      <w:r w:rsidRPr="0020265E">
        <w:rPr>
          <w:rFonts w:ascii="David" w:hAnsi="David"/>
          <w:rtl/>
        </w:rPr>
        <w:lastRenderedPageBreak/>
        <w:t>ב"כ הנאשם הפנה להודאתו המ</w:t>
      </w:r>
      <w:r>
        <w:rPr>
          <w:rFonts w:ascii="David" w:hAnsi="David" w:hint="cs"/>
          <w:rtl/>
        </w:rPr>
        <w:t>י</w:t>
      </w:r>
      <w:r w:rsidRPr="0020265E">
        <w:rPr>
          <w:rFonts w:ascii="David" w:hAnsi="David"/>
          <w:rtl/>
        </w:rPr>
        <w:t>דית של הנאשם בעובדות כתב האישום המתוקן, לחיסכון בזמן שיפוטי</w:t>
      </w:r>
      <w:r>
        <w:rPr>
          <w:rFonts w:ascii="David" w:hAnsi="David" w:hint="cs"/>
          <w:rtl/>
        </w:rPr>
        <w:t xml:space="preserve">, </w:t>
      </w:r>
      <w:r w:rsidRPr="0020265E">
        <w:rPr>
          <w:rFonts w:ascii="David" w:hAnsi="David"/>
          <w:rtl/>
        </w:rPr>
        <w:t xml:space="preserve">לעובדה שהוא נעדר </w:t>
      </w:r>
      <w:r>
        <w:rPr>
          <w:rFonts w:ascii="David" w:hAnsi="David" w:hint="cs"/>
          <w:rtl/>
        </w:rPr>
        <w:t xml:space="preserve">כל </w:t>
      </w:r>
      <w:r w:rsidRPr="0020265E">
        <w:rPr>
          <w:rFonts w:ascii="David" w:hAnsi="David"/>
          <w:rtl/>
        </w:rPr>
        <w:t>עבר פלילי, ולמעשה מדובר בהסתבכותו הראשונה בפלילים. עוד הפנה לנסיבותיו האישיות</w:t>
      </w:r>
      <w:r>
        <w:rPr>
          <w:rFonts w:ascii="David" w:hAnsi="David"/>
          <w:rtl/>
        </w:rPr>
        <w:t xml:space="preserve"> של הנאשם, בין היתר לגילו הצעיר</w:t>
      </w:r>
      <w:r>
        <w:rPr>
          <w:rFonts w:ascii="David" w:hAnsi="David" w:hint="cs"/>
          <w:rtl/>
        </w:rPr>
        <w:t xml:space="preserve"> (</w:t>
      </w:r>
      <w:r>
        <w:rPr>
          <w:rFonts w:ascii="David" w:hAnsi="David"/>
          <w:rtl/>
        </w:rPr>
        <w:t>בן 23</w:t>
      </w:r>
      <w:r>
        <w:rPr>
          <w:rFonts w:ascii="David" w:hAnsi="David" w:hint="cs"/>
          <w:rtl/>
        </w:rPr>
        <w:t>)</w:t>
      </w:r>
      <w:r w:rsidRPr="0020265E">
        <w:rPr>
          <w:rFonts w:ascii="David" w:hAnsi="David"/>
          <w:rtl/>
        </w:rPr>
        <w:t xml:space="preserve"> רווק, ובן למשפחה המונה </w:t>
      </w:r>
      <w:r>
        <w:rPr>
          <w:rFonts w:ascii="David" w:hAnsi="David" w:hint="cs"/>
          <w:rtl/>
        </w:rPr>
        <w:t>שש</w:t>
      </w:r>
      <w:r w:rsidRPr="0020265E">
        <w:rPr>
          <w:rFonts w:ascii="David" w:hAnsi="David"/>
          <w:rtl/>
        </w:rPr>
        <w:t xml:space="preserve"> נפשות. הסנגור הפנה לתקופה הארוכה </w:t>
      </w:r>
      <w:r>
        <w:rPr>
          <w:rFonts w:ascii="David" w:hAnsi="David" w:hint="cs"/>
          <w:rtl/>
        </w:rPr>
        <w:t xml:space="preserve">(כשנה) </w:t>
      </w:r>
      <w:r w:rsidRPr="0020265E">
        <w:rPr>
          <w:rFonts w:ascii="David" w:hAnsi="David"/>
          <w:rtl/>
        </w:rPr>
        <w:t>בה הנאשם</w:t>
      </w:r>
      <w:r>
        <w:rPr>
          <w:rFonts w:ascii="David" w:hAnsi="David" w:hint="cs"/>
          <w:rtl/>
        </w:rPr>
        <w:t xml:space="preserve"> נתון במעצר מאחורי סורג ובריח.</w:t>
      </w:r>
      <w:r w:rsidRPr="0020265E">
        <w:rPr>
          <w:rFonts w:ascii="David" w:hAnsi="David"/>
          <w:rtl/>
        </w:rPr>
        <w:t xml:space="preserve"> בכל הקשור לנסיבות ביצוע העבירות, ה</w:t>
      </w:r>
      <w:r>
        <w:rPr>
          <w:rFonts w:ascii="David" w:hAnsi="David"/>
          <w:rtl/>
        </w:rPr>
        <w:t>פנה לתיקון המשמעותי בכתב האישום</w:t>
      </w:r>
      <w:r>
        <w:rPr>
          <w:rFonts w:ascii="David" w:hAnsi="David" w:hint="cs"/>
          <w:rtl/>
        </w:rPr>
        <w:t>, תיקון אשר היה מאפשר את הגשת כתב האישום בב</w:t>
      </w:r>
      <w:r w:rsidRPr="0020265E">
        <w:rPr>
          <w:rFonts w:ascii="David" w:hAnsi="David"/>
          <w:rtl/>
        </w:rPr>
        <w:t xml:space="preserve">ית המשפט השלום. </w:t>
      </w:r>
      <w:r>
        <w:rPr>
          <w:rFonts w:ascii="David" w:hAnsi="David" w:hint="cs"/>
          <w:rtl/>
        </w:rPr>
        <w:t xml:space="preserve">עוד </w:t>
      </w:r>
      <w:r w:rsidRPr="0020265E">
        <w:rPr>
          <w:rFonts w:ascii="David" w:hAnsi="David"/>
          <w:rtl/>
        </w:rPr>
        <w:t xml:space="preserve">ציין כי </w:t>
      </w:r>
      <w:r>
        <w:rPr>
          <w:rFonts w:ascii="David" w:hAnsi="David" w:hint="cs"/>
          <w:rtl/>
        </w:rPr>
        <w:t xml:space="preserve"> הגם שמדובר במספר כלי נשק, </w:t>
      </w:r>
      <w:r w:rsidRPr="0020265E">
        <w:rPr>
          <w:rFonts w:ascii="David" w:hAnsi="David"/>
          <w:rtl/>
        </w:rPr>
        <w:t xml:space="preserve">מדובר </w:t>
      </w:r>
      <w:r>
        <w:rPr>
          <w:rFonts w:ascii="David" w:hAnsi="David" w:hint="cs"/>
          <w:rtl/>
        </w:rPr>
        <w:t xml:space="preserve">בעבירת </w:t>
      </w:r>
      <w:r w:rsidRPr="0020265E">
        <w:rPr>
          <w:rFonts w:ascii="David" w:hAnsi="David"/>
          <w:rtl/>
        </w:rPr>
        <w:t>החזקה</w:t>
      </w:r>
      <w:r>
        <w:rPr>
          <w:rFonts w:ascii="David" w:hAnsi="David" w:hint="cs"/>
          <w:rtl/>
        </w:rPr>
        <w:t xml:space="preserve"> אחת, </w:t>
      </w:r>
      <w:r w:rsidRPr="0020265E">
        <w:rPr>
          <w:rFonts w:ascii="David" w:hAnsi="David"/>
          <w:rtl/>
        </w:rPr>
        <w:t xml:space="preserve"> ואין זה</w:t>
      </w:r>
      <w:r>
        <w:rPr>
          <w:rFonts w:ascii="David" w:hAnsi="David"/>
          <w:rtl/>
        </w:rPr>
        <w:t xml:space="preserve"> ראוי להחמיר בענישת הנאשם </w:t>
      </w:r>
      <w:r>
        <w:rPr>
          <w:rFonts w:ascii="David" w:hAnsi="David" w:hint="cs"/>
          <w:rtl/>
        </w:rPr>
        <w:t>רק משום שהחזיק במספר כלי נשק.</w:t>
      </w:r>
      <w:r w:rsidRPr="0020265E">
        <w:rPr>
          <w:rFonts w:ascii="David" w:hAnsi="David"/>
          <w:rtl/>
        </w:rPr>
        <w:t xml:space="preserve"> בכל הקשור לאקדח ההזנקה, הפנה לחוות הדעת (נ/1) </w:t>
      </w:r>
      <w:r>
        <w:rPr>
          <w:rFonts w:ascii="David" w:hAnsi="David" w:hint="cs"/>
          <w:rtl/>
        </w:rPr>
        <w:t xml:space="preserve"> והדגיש </w:t>
      </w:r>
      <w:r w:rsidRPr="0020265E">
        <w:rPr>
          <w:rFonts w:ascii="David" w:hAnsi="David"/>
          <w:rtl/>
        </w:rPr>
        <w:t xml:space="preserve">כי מדובר באקדח הזנקה שהקנה שלו חסום, </w:t>
      </w:r>
      <w:r>
        <w:rPr>
          <w:rFonts w:ascii="David" w:hAnsi="David" w:hint="cs"/>
          <w:rtl/>
        </w:rPr>
        <w:t>ו</w:t>
      </w:r>
      <w:r w:rsidRPr="0020265E">
        <w:rPr>
          <w:rFonts w:ascii="David" w:hAnsi="David"/>
          <w:rtl/>
        </w:rPr>
        <w:t>שאינו סוגל לירות כדורים</w:t>
      </w:r>
      <w:r>
        <w:rPr>
          <w:rFonts w:ascii="David" w:hAnsi="David" w:hint="cs"/>
          <w:rtl/>
        </w:rPr>
        <w:t>, ובהתאם גם פוטנציאל הנזק הנמוך הנשקף ממנו</w:t>
      </w:r>
      <w:r w:rsidRPr="0020265E">
        <w:rPr>
          <w:rFonts w:ascii="David" w:hAnsi="David"/>
          <w:rtl/>
        </w:rPr>
        <w:t xml:space="preserve">. בכל הקשור למדיניות הענישה הפנה לפסיקה רלוונטית, ואבחן את </w:t>
      </w:r>
      <w:r>
        <w:rPr>
          <w:rFonts w:ascii="David" w:hAnsi="David" w:hint="cs"/>
          <w:rtl/>
        </w:rPr>
        <w:t xml:space="preserve">פסיקת </w:t>
      </w:r>
      <w:r w:rsidRPr="0020265E">
        <w:rPr>
          <w:rFonts w:ascii="David" w:hAnsi="David"/>
          <w:rtl/>
        </w:rPr>
        <w:t xml:space="preserve">המאשימה. לסיכום, טען למתחם עונש הולם שנע בין 6 </w:t>
      </w:r>
      <w:r>
        <w:rPr>
          <w:rFonts w:ascii="David" w:hAnsi="David"/>
          <w:rtl/>
        </w:rPr>
        <w:t>ל-24 חודשי</w:t>
      </w:r>
      <w:r>
        <w:rPr>
          <w:rFonts w:ascii="David" w:hAnsi="David" w:hint="cs"/>
          <w:rtl/>
        </w:rPr>
        <w:t xml:space="preserve"> מאסר</w:t>
      </w:r>
      <w:r w:rsidRPr="0020265E">
        <w:rPr>
          <w:rFonts w:ascii="David" w:hAnsi="David"/>
          <w:rtl/>
        </w:rPr>
        <w:t>, ובי</w:t>
      </w:r>
      <w:r>
        <w:rPr>
          <w:rFonts w:ascii="David" w:hAnsi="David"/>
          <w:rtl/>
        </w:rPr>
        <w:t>קש להסתפק בתקופ</w:t>
      </w:r>
      <w:r>
        <w:rPr>
          <w:rFonts w:ascii="David" w:hAnsi="David" w:hint="cs"/>
          <w:rtl/>
        </w:rPr>
        <w:t>ה בה הנאשם היה נתון במעצר עד היום.</w:t>
      </w:r>
    </w:p>
    <w:p w14:paraId="458FE438" w14:textId="77777777" w:rsidR="00E10A48" w:rsidRPr="004D716C" w:rsidRDefault="00E10A48" w:rsidP="00E10A48">
      <w:pPr>
        <w:spacing w:line="360" w:lineRule="auto"/>
        <w:contextualSpacing/>
        <w:jc w:val="both"/>
        <w:rPr>
          <w:rFonts w:ascii="David" w:hAnsi="David"/>
          <w:sz w:val="14"/>
          <w:szCs w:val="14"/>
          <w:rtl/>
        </w:rPr>
      </w:pPr>
    </w:p>
    <w:p w14:paraId="3C332404" w14:textId="77777777" w:rsidR="00E10A48" w:rsidRPr="0020265E" w:rsidRDefault="00E10A48" w:rsidP="00E10A48">
      <w:pPr>
        <w:numPr>
          <w:ilvl w:val="0"/>
          <w:numId w:val="1"/>
        </w:numPr>
        <w:spacing w:after="160" w:line="360" w:lineRule="auto"/>
        <w:contextualSpacing/>
        <w:jc w:val="both"/>
        <w:rPr>
          <w:rFonts w:ascii="David" w:hAnsi="David"/>
          <w:rtl/>
        </w:rPr>
      </w:pPr>
      <w:r w:rsidRPr="0020265E">
        <w:rPr>
          <w:rFonts w:ascii="David" w:hAnsi="David"/>
          <w:rtl/>
        </w:rPr>
        <w:t>הנאשם עצמו הצטער על ביצוע העביר</w:t>
      </w:r>
      <w:r>
        <w:rPr>
          <w:rFonts w:ascii="David" w:hAnsi="David" w:hint="cs"/>
          <w:rtl/>
        </w:rPr>
        <w:t>ות,</w:t>
      </w:r>
      <w:r w:rsidRPr="0020265E">
        <w:rPr>
          <w:rFonts w:ascii="David" w:hAnsi="David"/>
          <w:rtl/>
        </w:rPr>
        <w:t xml:space="preserve"> וציין כי מעשיו לא יישנו. </w:t>
      </w:r>
    </w:p>
    <w:p w14:paraId="10F987F8" w14:textId="77777777" w:rsidR="00E10A48" w:rsidRPr="004D716C" w:rsidRDefault="00E10A48" w:rsidP="00E10A48">
      <w:pPr>
        <w:spacing w:after="160" w:line="360" w:lineRule="auto"/>
        <w:jc w:val="both"/>
        <w:rPr>
          <w:rFonts w:ascii="David" w:hAnsi="David"/>
          <w:b/>
          <w:bCs/>
          <w:sz w:val="2"/>
          <w:szCs w:val="2"/>
          <w:u w:val="single"/>
          <w:rtl/>
        </w:rPr>
      </w:pPr>
    </w:p>
    <w:p w14:paraId="4FE1F8C1" w14:textId="77777777" w:rsidR="00E10A48" w:rsidRPr="0020265E" w:rsidRDefault="00E10A48" w:rsidP="00E10A48">
      <w:pPr>
        <w:spacing w:after="160" w:line="360" w:lineRule="auto"/>
        <w:ind w:left="391"/>
        <w:contextualSpacing/>
        <w:jc w:val="both"/>
        <w:rPr>
          <w:rFonts w:ascii="David" w:hAnsi="David"/>
          <w:b/>
          <w:bCs/>
          <w:u w:val="single"/>
          <w:rtl/>
        </w:rPr>
      </w:pPr>
      <w:r w:rsidRPr="0020265E">
        <w:rPr>
          <w:rFonts w:ascii="David" w:hAnsi="David"/>
          <w:b/>
          <w:bCs/>
          <w:u w:val="single"/>
          <w:rtl/>
        </w:rPr>
        <w:t>דיון</w:t>
      </w:r>
    </w:p>
    <w:p w14:paraId="2B10DEC7" w14:textId="77777777" w:rsidR="00E10A48" w:rsidRPr="0020265E" w:rsidRDefault="00E10A48" w:rsidP="00E10A48">
      <w:pPr>
        <w:spacing w:after="160" w:line="360" w:lineRule="auto"/>
        <w:ind w:firstLine="360"/>
        <w:jc w:val="both"/>
        <w:rPr>
          <w:rFonts w:ascii="David" w:hAnsi="David"/>
          <w:b/>
          <w:bCs/>
          <w:u w:val="single"/>
          <w:rtl/>
        </w:rPr>
      </w:pPr>
      <w:r w:rsidRPr="0020265E">
        <w:rPr>
          <w:rFonts w:ascii="David" w:hAnsi="David"/>
          <w:b/>
          <w:bCs/>
          <w:u w:val="single"/>
          <w:rtl/>
        </w:rPr>
        <w:t>קביעת מתחם העונש ההולם</w:t>
      </w:r>
    </w:p>
    <w:p w14:paraId="413F49E4" w14:textId="77777777" w:rsidR="00E10A48" w:rsidRPr="0020265E" w:rsidRDefault="00745A7E" w:rsidP="00E10A48">
      <w:pPr>
        <w:numPr>
          <w:ilvl w:val="0"/>
          <w:numId w:val="1"/>
        </w:numPr>
        <w:spacing w:after="160" w:line="360" w:lineRule="auto"/>
        <w:contextualSpacing/>
        <w:jc w:val="both"/>
        <w:rPr>
          <w:rFonts w:ascii="David" w:hAnsi="David"/>
          <w:b/>
          <w:bCs/>
          <w:u w:val="single"/>
        </w:rPr>
      </w:pPr>
      <w:hyperlink r:id="rId35" w:history="1">
        <w:r w:rsidRPr="00745A7E">
          <w:rPr>
            <w:rStyle w:val="Hyperlink"/>
            <w:rFonts w:ascii="David" w:hAnsi="David"/>
            <w:rtl/>
          </w:rPr>
          <w:t>פרק ו' סימן</w:t>
        </w:r>
      </w:hyperlink>
      <w:r w:rsidR="00E10A48" w:rsidRPr="0020265E">
        <w:rPr>
          <w:rFonts w:ascii="David" w:hAnsi="David"/>
          <w:rtl/>
        </w:rPr>
        <w:t xml:space="preserve"> א' 1</w:t>
      </w:r>
      <w:r w:rsidR="00D07705">
        <w:rPr>
          <w:rFonts w:ascii="David" w:hAnsi="David"/>
          <w:rtl/>
        </w:rPr>
        <w:t xml:space="preserve"> </w:t>
      </w:r>
      <w:r w:rsidR="00E10A48" w:rsidRPr="0020265E">
        <w:rPr>
          <w:rFonts w:ascii="David" w:hAnsi="David"/>
          <w:rtl/>
        </w:rPr>
        <w:t xml:space="preserve"> ל</w:t>
      </w:r>
      <w:hyperlink r:id="rId36" w:history="1">
        <w:r w:rsidR="00D07705" w:rsidRPr="00D07705">
          <w:rPr>
            <w:rFonts w:ascii="David" w:hAnsi="David"/>
            <w:color w:val="0000FF"/>
            <w:u w:val="single"/>
            <w:rtl/>
          </w:rPr>
          <w:t>חוק העונשין</w:t>
        </w:r>
      </w:hyperlink>
      <w:r w:rsidR="00E10A48" w:rsidRPr="0020265E">
        <w:rPr>
          <w:rFonts w:ascii="David" w:hAnsi="David"/>
          <w:rtl/>
        </w:rPr>
        <w:t xml:space="preserve"> דן בהבניית שיפוט הדעת השיפוטי בענישה </w:t>
      </w:r>
      <w:r w:rsidR="00E10A48">
        <w:rPr>
          <w:rFonts w:ascii="David" w:hAnsi="David"/>
          <w:rtl/>
        </w:rPr>
        <w:t>(</w:t>
      </w:r>
      <w:hyperlink r:id="rId37" w:history="1">
        <w:r w:rsidR="00AB6E4C" w:rsidRPr="00AB6E4C">
          <w:rPr>
            <w:rStyle w:val="Hyperlink"/>
            <w:rFonts w:ascii="David" w:hAnsi="David"/>
            <w:rtl/>
          </w:rPr>
          <w:t>סעיפים 40א-טו)</w:t>
        </w:r>
      </w:hyperlink>
      <w:r w:rsidR="00E10A48">
        <w:rPr>
          <w:rFonts w:ascii="David" w:hAnsi="David"/>
          <w:rtl/>
        </w:rPr>
        <w:t xml:space="preserve"> וקובע</w:t>
      </w:r>
      <w:r w:rsidR="00D07705">
        <w:rPr>
          <w:rFonts w:ascii="David" w:hAnsi="David"/>
          <w:rtl/>
        </w:rPr>
        <w:t xml:space="preserve"> </w:t>
      </w:r>
      <w:r w:rsidR="00E10A48">
        <w:rPr>
          <w:rFonts w:ascii="David" w:hAnsi="David"/>
          <w:rtl/>
        </w:rPr>
        <w:t xml:space="preserve"> בין היתר</w:t>
      </w:r>
      <w:r w:rsidR="00E10A48" w:rsidRPr="0020265E">
        <w:rPr>
          <w:rFonts w:ascii="David" w:hAnsi="David"/>
          <w:rtl/>
        </w:rPr>
        <w:t xml:space="preserve">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w:t>
      </w:r>
      <w:r w:rsidR="00E10A48">
        <w:rPr>
          <w:rFonts w:ascii="David" w:hAnsi="David"/>
          <w:rtl/>
        </w:rPr>
        <w:t xml:space="preserve">ו </w:t>
      </w:r>
      <w:r w:rsidR="00E10A48" w:rsidRPr="0020265E">
        <w:rPr>
          <w:rFonts w:ascii="David" w:hAnsi="David"/>
          <w:rtl/>
        </w:rPr>
        <w:t>.</w:t>
      </w:r>
      <w:r w:rsidR="00D07705">
        <w:rPr>
          <w:rFonts w:ascii="David" w:hAnsi="David"/>
          <w:rtl/>
        </w:rPr>
        <w:t xml:space="preserve"> </w:t>
      </w:r>
      <w:r w:rsidR="00E10A48" w:rsidRPr="0020265E">
        <w:rPr>
          <w:rFonts w:ascii="David" w:hAnsi="David"/>
          <w:rtl/>
        </w:rPr>
        <w:t xml:space="preserve">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34028240" w14:textId="77777777" w:rsidR="00E10A48" w:rsidRPr="00EF7F95" w:rsidRDefault="00E10A48" w:rsidP="00E10A48">
      <w:pPr>
        <w:shd w:val="clear" w:color="auto" w:fill="FFFFFF"/>
        <w:spacing w:after="160" w:line="360" w:lineRule="auto"/>
        <w:jc w:val="both"/>
        <w:rPr>
          <w:rFonts w:ascii="David" w:eastAsia="Calibri" w:hAnsi="David"/>
          <w:b/>
          <w:bCs/>
          <w:sz w:val="2"/>
          <w:szCs w:val="2"/>
          <w:u w:val="single"/>
        </w:rPr>
      </w:pPr>
    </w:p>
    <w:p w14:paraId="5F4BA398" w14:textId="77777777" w:rsidR="00E10A48" w:rsidRPr="0020265E" w:rsidRDefault="00E10A48" w:rsidP="00E10A48">
      <w:pPr>
        <w:shd w:val="clear" w:color="auto" w:fill="FFFFFF"/>
        <w:spacing w:after="160" w:line="360" w:lineRule="auto"/>
        <w:ind w:left="391"/>
        <w:contextualSpacing/>
        <w:jc w:val="both"/>
        <w:rPr>
          <w:rFonts w:ascii="David" w:eastAsia="David" w:hAnsi="David"/>
          <w:rtl/>
        </w:rPr>
      </w:pPr>
      <w:r w:rsidRPr="0020265E">
        <w:rPr>
          <w:rFonts w:ascii="David" w:hAnsi="David"/>
          <w:b/>
          <w:bCs/>
          <w:u w:val="single"/>
          <w:rtl/>
        </w:rPr>
        <w:t>הערכים החברתיים עליהם יש להגן</w:t>
      </w:r>
    </w:p>
    <w:p w14:paraId="73CFEFF5" w14:textId="77777777" w:rsidR="00E10A48" w:rsidRPr="00EF7F95" w:rsidRDefault="00E10A48" w:rsidP="00E10A48">
      <w:pPr>
        <w:shd w:val="clear" w:color="auto" w:fill="FFFFFF"/>
        <w:spacing w:after="160" w:line="360" w:lineRule="auto"/>
        <w:ind w:left="720"/>
        <w:contextualSpacing/>
        <w:jc w:val="both"/>
        <w:rPr>
          <w:rFonts w:ascii="David" w:hAnsi="David"/>
          <w:sz w:val="10"/>
          <w:szCs w:val="10"/>
        </w:rPr>
      </w:pPr>
    </w:p>
    <w:p w14:paraId="0B357FDF" w14:textId="77777777" w:rsidR="00E10A48" w:rsidRPr="0020265E" w:rsidRDefault="00E10A48" w:rsidP="00E10A48">
      <w:pPr>
        <w:numPr>
          <w:ilvl w:val="0"/>
          <w:numId w:val="1"/>
        </w:numPr>
        <w:spacing w:after="160" w:line="360" w:lineRule="auto"/>
        <w:contextualSpacing/>
        <w:jc w:val="both"/>
        <w:rPr>
          <w:rFonts w:ascii="David" w:eastAsia="Calibri" w:hAnsi="David"/>
        </w:rPr>
      </w:pPr>
      <w:r w:rsidRPr="0020265E">
        <w:rPr>
          <w:rFonts w:ascii="David" w:hAnsi="David"/>
          <w:rtl/>
        </w:rPr>
        <w:t xml:space="preserve">הערכים המוגנים שנפגעו כתוצאה </w:t>
      </w:r>
      <w:r w:rsidRPr="0020265E">
        <w:rPr>
          <w:rFonts w:ascii="David" w:hAnsi="David"/>
          <w:spacing w:val="10"/>
          <w:rtl/>
        </w:rPr>
        <w:t xml:space="preserve"> מביצוע עבירת הנשק הינם הצורך בשמירה על חיי אדם ושלמות</w:t>
      </w:r>
      <w:r w:rsidRPr="0020265E">
        <w:rPr>
          <w:rFonts w:ascii="David" w:hAnsi="David"/>
          <w:rtl/>
          <w:lang w:eastAsia="he-IL"/>
        </w:rPr>
        <w:t xml:space="preserve"> גופו ונפשו,</w:t>
      </w:r>
      <w:r w:rsidR="00D07705">
        <w:rPr>
          <w:rFonts w:ascii="David" w:hAnsi="David"/>
          <w:rtl/>
          <w:lang w:eastAsia="he-IL"/>
        </w:rPr>
        <w:t xml:space="preserve"> </w:t>
      </w:r>
      <w:r w:rsidRPr="0020265E">
        <w:rPr>
          <w:rFonts w:ascii="David" w:hAnsi="David"/>
          <w:rtl/>
          <w:lang w:eastAsia="he-IL"/>
        </w:rPr>
        <w:t>שלום הציבור ותחושת בטחונו מפני פגיעות בגוף ובנפש והסדר הציבורי. על ערכים אלה ניתן להגן בעיקר באמצעות פיקוח הדוק של הרשות להנפקת רישיונות להחזקת נשק. החזקת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w:t>
      </w:r>
      <w:r>
        <w:rPr>
          <w:rFonts w:ascii="David" w:hAnsi="David"/>
          <w:rtl/>
          <w:lang w:eastAsia="he-IL"/>
        </w:rPr>
        <w:t>יין, כי לא כל אדם רשאי לשאת נשק</w:t>
      </w:r>
      <w:r w:rsidRPr="0020265E">
        <w:rPr>
          <w:rFonts w:ascii="David" w:hAnsi="David"/>
          <w:rtl/>
          <w:lang w:eastAsia="he-IL"/>
        </w:rPr>
        <w:t xml:space="preserve"> ושיקולי הרשות במתן היתר לנשיאת נשק נועדו להבטיח את שלום הציבור וניתנים במשורה ביחס לאזרחים מן השורה. </w:t>
      </w:r>
      <w:r w:rsidRPr="0020265E">
        <w:rPr>
          <w:rFonts w:ascii="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1E7736DA" w14:textId="77777777" w:rsidR="00E10A48" w:rsidRPr="00FA52E0" w:rsidRDefault="00E10A48" w:rsidP="00E10A48">
      <w:pPr>
        <w:spacing w:line="360" w:lineRule="auto"/>
        <w:jc w:val="both"/>
        <w:rPr>
          <w:rFonts w:ascii="David" w:eastAsia="David" w:hAnsi="David"/>
          <w:sz w:val="10"/>
          <w:szCs w:val="10"/>
        </w:rPr>
      </w:pPr>
    </w:p>
    <w:p w14:paraId="5E7FFC72" w14:textId="77777777" w:rsidR="00E10A48" w:rsidRDefault="00E10A48" w:rsidP="00E10A48">
      <w:pPr>
        <w:spacing w:line="360" w:lineRule="auto"/>
        <w:ind w:left="720"/>
        <w:contextualSpacing/>
        <w:jc w:val="both"/>
        <w:rPr>
          <w:rFonts w:ascii="David" w:hAnsi="David"/>
          <w:rtl/>
        </w:rPr>
      </w:pPr>
      <w:r w:rsidRPr="0020265E">
        <w:rPr>
          <w:rFonts w:ascii="David" w:hAnsi="David"/>
          <w:rtl/>
        </w:rPr>
        <w:t xml:space="preserve">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 (תיקון מס' 140 – הוראת שעה, התשפ"ב-2021, אשר נכנס לתוקף בדצמבר 2021). </w:t>
      </w:r>
    </w:p>
    <w:p w14:paraId="6F04848B" w14:textId="77777777" w:rsidR="00E10A48" w:rsidRPr="0020265E" w:rsidRDefault="00E10A48" w:rsidP="00E10A48">
      <w:pPr>
        <w:spacing w:line="360" w:lineRule="auto"/>
        <w:ind w:left="720"/>
        <w:contextualSpacing/>
        <w:jc w:val="both"/>
        <w:rPr>
          <w:rFonts w:ascii="David" w:hAnsi="David"/>
          <w:b/>
          <w:bCs/>
          <w:rtl/>
        </w:rPr>
      </w:pPr>
      <w:r w:rsidRPr="0020265E">
        <w:rPr>
          <w:rFonts w:ascii="David" w:hAnsi="David"/>
          <w:rtl/>
        </w:rPr>
        <w:t xml:space="preserve">ר' </w:t>
      </w:r>
      <w:r w:rsidR="00D07705">
        <w:rPr>
          <w:rFonts w:ascii="David" w:hAnsi="David"/>
        </w:rPr>
        <w:t xml:space="preserve"> </w:t>
      </w:r>
      <w:hyperlink r:id="rId38" w:history="1">
        <w:r w:rsidR="00D07705" w:rsidRPr="00D07705">
          <w:rPr>
            <w:rFonts w:ascii="David" w:hAnsi="David"/>
            <w:b/>
            <w:bCs/>
            <w:color w:val="0000FF"/>
            <w:u w:val="single"/>
            <w:rtl/>
          </w:rPr>
          <w:t>ע"פ 5813/21</w:t>
        </w:r>
      </w:hyperlink>
      <w:r w:rsidRPr="0020265E">
        <w:rPr>
          <w:rFonts w:ascii="David" w:hAnsi="David"/>
          <w:b/>
          <w:bCs/>
          <w:rtl/>
        </w:rPr>
        <w:t xml:space="preserve"> </w:t>
      </w:r>
      <w:r w:rsidRPr="0020265E">
        <w:rPr>
          <w:rFonts w:ascii="David" w:hAnsi="David" w:hint="cs"/>
          <w:b/>
          <w:bCs/>
          <w:u w:val="single"/>
          <w:rtl/>
        </w:rPr>
        <w:t>ג'בארין נ' מדינת ישראל</w:t>
      </w:r>
      <w:r w:rsidRPr="0020265E">
        <w:rPr>
          <w:rFonts w:ascii="David" w:hAnsi="David"/>
          <w:rtl/>
        </w:rPr>
        <w:t xml:space="preserve"> שם נאמר בין היתר: "</w:t>
      </w:r>
      <w:r w:rsidRPr="0020265E">
        <w:rPr>
          <w:rFonts w:ascii="David" w:hAnsi="David"/>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39" w:history="1">
        <w:r w:rsidR="00D07705" w:rsidRPr="00D07705">
          <w:rPr>
            <w:rFonts w:ascii="David" w:hAnsi="David"/>
            <w:b/>
            <w:bCs/>
            <w:color w:val="0000FF"/>
            <w:u w:val="single"/>
            <w:rtl/>
          </w:rPr>
          <w:t>ע"פ 8320/21</w:t>
        </w:r>
      </w:hyperlink>
      <w:r w:rsidRPr="0020265E">
        <w:rPr>
          <w:rFonts w:ascii="David" w:hAnsi="David"/>
          <w:b/>
          <w:bCs/>
          <w:rtl/>
        </w:rPr>
        <w:t xml:space="preserve"> </w:t>
      </w:r>
      <w:r w:rsidRPr="0020265E">
        <w:rPr>
          <w:rFonts w:ascii="David" w:hAnsi="David" w:hint="cs"/>
          <w:b/>
          <w:bCs/>
          <w:u w:val="single"/>
          <w:rtl/>
        </w:rPr>
        <w:t>מדינת ישראל נ' בסילה</w:t>
      </w:r>
      <w:r w:rsidRPr="0020265E">
        <w:rPr>
          <w:rFonts w:ascii="David" w:hAnsi="David" w:hint="cs"/>
          <w:b/>
          <w:bCs/>
          <w:rtl/>
        </w:rPr>
        <w:t>: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40" w:history="1">
        <w:r w:rsidR="00D07705" w:rsidRPr="00D07705">
          <w:rPr>
            <w:rFonts w:ascii="David" w:hAnsi="David"/>
            <w:b/>
            <w:bCs/>
            <w:color w:val="0000FF"/>
            <w:u w:val="single"/>
            <w:rtl/>
          </w:rPr>
          <w:t>חוק העונשין</w:t>
        </w:r>
      </w:hyperlink>
      <w:r w:rsidRPr="0020265E">
        <w:rPr>
          <w:rFonts w:ascii="David" w:hAnsi="David"/>
          <w:b/>
          <w:bCs/>
          <w:rtl/>
        </w:rPr>
        <w:t xml:space="preserve"> (חוק העונשין (תיקון מס' 140 – הוראת שעה), התשפ"ב-2021) – שלא חל בענייננו – הקובע עונשי מינימום לעבירות נשק' (שם, פסקה 25).</w:t>
      </w:r>
    </w:p>
    <w:p w14:paraId="1B5DAE40" w14:textId="77777777" w:rsidR="00E10A48" w:rsidRPr="0020265E" w:rsidRDefault="00E10A48" w:rsidP="00E10A48">
      <w:pPr>
        <w:jc w:val="both"/>
        <w:rPr>
          <w:rFonts w:ascii="David" w:hAnsi="David"/>
          <w:rtl/>
        </w:rPr>
      </w:pPr>
    </w:p>
    <w:p w14:paraId="73F29A80" w14:textId="77777777" w:rsidR="00E10A48" w:rsidRDefault="00E10A48" w:rsidP="00E10A48">
      <w:pPr>
        <w:spacing w:line="360" w:lineRule="auto"/>
        <w:ind w:left="720"/>
        <w:contextualSpacing/>
        <w:jc w:val="both"/>
        <w:rPr>
          <w:rFonts w:ascii="David" w:hAnsi="David"/>
          <w:b/>
          <w:bCs/>
          <w:rtl/>
        </w:rPr>
      </w:pPr>
      <w:r w:rsidRPr="0020265E">
        <w:rPr>
          <w:rFonts w:ascii="David" w:hAnsi="David"/>
          <w:b/>
          <w:bCs/>
          <w:rtl/>
          <w:lang w:eastAsia="he-IL"/>
        </w:rPr>
        <w:t>ב</w:t>
      </w:r>
      <w:hyperlink r:id="rId41" w:history="1">
        <w:r w:rsidR="00D07705" w:rsidRPr="00D07705">
          <w:rPr>
            <w:rFonts w:ascii="David" w:hAnsi="David"/>
            <w:b/>
            <w:bCs/>
            <w:color w:val="0000FF"/>
            <w:u w:val="single"/>
            <w:rtl/>
            <w:lang w:eastAsia="he-IL"/>
          </w:rPr>
          <w:t>ע"פ 7502/12</w:t>
        </w:r>
      </w:hyperlink>
      <w:r w:rsidRPr="0020265E">
        <w:rPr>
          <w:rFonts w:ascii="David" w:hAnsi="David"/>
          <w:b/>
          <w:bCs/>
          <w:rtl/>
          <w:lang w:eastAsia="he-IL"/>
        </w:rPr>
        <w:t xml:space="preserve"> </w:t>
      </w:r>
      <w:r w:rsidRPr="0020265E">
        <w:rPr>
          <w:rFonts w:ascii="David" w:hAnsi="David"/>
          <w:b/>
          <w:bCs/>
          <w:u w:val="single"/>
          <w:rtl/>
          <w:lang w:eastAsia="he-IL"/>
        </w:rPr>
        <w:t>כוויס נ' מדינת ישראל</w:t>
      </w:r>
      <w:r w:rsidR="00D07705">
        <w:rPr>
          <w:rFonts w:ascii="David" w:hAnsi="David"/>
          <w:b/>
          <w:bCs/>
          <w:rtl/>
          <w:lang w:eastAsia="he-IL"/>
        </w:rPr>
        <w:t xml:space="preserve"> </w:t>
      </w:r>
      <w:r w:rsidRPr="0020265E">
        <w:rPr>
          <w:rFonts w:ascii="David" w:hAnsi="David"/>
          <w:b/>
          <w:bCs/>
          <w:rtl/>
          <w:lang w:eastAsia="he-IL"/>
        </w:rPr>
        <w:t xml:space="preserve"> (בימ"ש העליון)</w:t>
      </w:r>
      <w:r w:rsidRPr="0020265E">
        <w:rPr>
          <w:rFonts w:ascii="David" w:hAnsi="David"/>
          <w:rtl/>
          <w:lang w:eastAsia="he-IL"/>
        </w:rPr>
        <w:t xml:space="preserve"> נקבע בין היתר כי: </w:t>
      </w:r>
      <w:r w:rsidRPr="0020265E">
        <w:rPr>
          <w:rFonts w:ascii="David" w:hAnsi="David"/>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w:t>
      </w:r>
      <w:r w:rsidR="00D07705">
        <w:rPr>
          <w:rFonts w:ascii="David" w:hAnsi="David"/>
          <w:b/>
          <w:bCs/>
          <w:rtl/>
          <w:lang w:eastAsia="he-IL"/>
        </w:rPr>
        <w:t xml:space="preserve"> </w:t>
      </w:r>
      <w:r w:rsidRPr="0020265E">
        <w:rPr>
          <w:rFonts w:ascii="David" w:hAnsi="David"/>
          <w:b/>
          <w:bCs/>
          <w:rtl/>
          <w:lang w:eastAsia="he-IL"/>
        </w:rPr>
        <w:t xml:space="preserve"> ב</w:t>
      </w:r>
      <w:hyperlink r:id="rId42" w:history="1">
        <w:r w:rsidR="00D07705" w:rsidRPr="00D07705">
          <w:rPr>
            <w:rFonts w:ascii="David" w:hAnsi="David"/>
            <w:b/>
            <w:bCs/>
            <w:color w:val="0000FF"/>
            <w:u w:val="single"/>
            <w:rtl/>
            <w:lang w:eastAsia="he-IL"/>
          </w:rPr>
          <w:t>ע"פ 5833/07</w:t>
        </w:r>
      </w:hyperlink>
      <w:r w:rsidRPr="0020265E">
        <w:rPr>
          <w:rFonts w:ascii="David" w:hAnsi="David"/>
          <w:rtl/>
          <w:lang w:eastAsia="he-IL"/>
        </w:rPr>
        <w:t xml:space="preserve"> </w:t>
      </w:r>
      <w:r w:rsidRPr="0020265E">
        <w:rPr>
          <w:rFonts w:ascii="David" w:hAnsi="David" w:hint="cs"/>
          <w:b/>
          <w:bCs/>
          <w:u w:val="single"/>
          <w:rtl/>
          <w:lang w:eastAsia="he-IL"/>
        </w:rPr>
        <w:t>ח'ורי נ' מדינת ישראל</w:t>
      </w:r>
      <w:r w:rsidR="00D07705">
        <w:rPr>
          <w:rFonts w:ascii="David" w:hAnsi="David" w:hint="cs"/>
          <w:b/>
          <w:bCs/>
          <w:rtl/>
          <w:lang w:eastAsia="he-IL"/>
        </w:rPr>
        <w:t xml:space="preserve"> </w:t>
      </w:r>
      <w:r w:rsidRPr="0020265E">
        <w:rPr>
          <w:rFonts w:ascii="David" w:hAnsi="David" w:hint="cs"/>
          <w:b/>
          <w:bCs/>
          <w:rtl/>
          <w:lang w:eastAsia="he-IL"/>
        </w:rPr>
        <w:t xml:space="preserve"> (בימ"ש העליון)</w:t>
      </w:r>
      <w:r w:rsidRPr="0020265E">
        <w:rPr>
          <w:rFonts w:ascii="David" w:hAnsi="David" w:hint="cs"/>
          <w:rtl/>
          <w:lang w:eastAsia="he-IL"/>
        </w:rPr>
        <w:t xml:space="preserve"> נקבע</w:t>
      </w:r>
      <w:r w:rsidR="00D07705">
        <w:rPr>
          <w:rFonts w:ascii="David" w:hAnsi="David" w:hint="cs"/>
          <w:rtl/>
          <w:lang w:eastAsia="he-IL"/>
        </w:rPr>
        <w:t xml:space="preserve"> </w:t>
      </w:r>
      <w:r w:rsidRPr="0020265E">
        <w:rPr>
          <w:rFonts w:ascii="David" w:hAnsi="David" w:hint="cs"/>
          <w:rtl/>
          <w:lang w:eastAsia="he-IL"/>
        </w:rPr>
        <w:t xml:space="preserve"> כי: </w:t>
      </w:r>
      <w:r w:rsidRPr="0020265E">
        <w:rPr>
          <w:rFonts w:ascii="David" w:hAnsi="David" w:hint="cs"/>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sidR="00D07705">
        <w:rPr>
          <w:rFonts w:ascii="David" w:hAnsi="David"/>
          <w:rtl/>
        </w:rPr>
        <w:t xml:space="preserve"> </w:t>
      </w:r>
      <w:r w:rsidRPr="0020265E">
        <w:rPr>
          <w:rFonts w:ascii="David" w:hAnsi="David"/>
          <w:rtl/>
        </w:rPr>
        <w:t>עבירות הנשק, הפכו למרבה הצער, ל"מכת מדינה" של ממש:</w:t>
      </w:r>
      <w:r w:rsidR="00D07705">
        <w:rPr>
          <w:rFonts w:ascii="David" w:hAnsi="David"/>
          <w:rtl/>
        </w:rPr>
        <w:t xml:space="preserve"> </w:t>
      </w:r>
      <w:r w:rsidRPr="0020265E">
        <w:rPr>
          <w:rFonts w:ascii="David" w:hAnsi="David"/>
          <w:rtl/>
        </w:rPr>
        <w:t xml:space="preserve"> ראו לעניין זה דבריו של כב' הש' אלרון </w:t>
      </w:r>
      <w:r w:rsidRPr="0020265E">
        <w:rPr>
          <w:rFonts w:ascii="David" w:hAnsi="David"/>
          <w:b/>
          <w:bCs/>
          <w:rtl/>
        </w:rPr>
        <w:t>ב</w:t>
      </w:r>
      <w:hyperlink r:id="rId43" w:history="1">
        <w:r w:rsidR="00D07705" w:rsidRPr="00D07705">
          <w:rPr>
            <w:rFonts w:ascii="David" w:hAnsi="David"/>
            <w:b/>
            <w:bCs/>
            <w:color w:val="0000FF"/>
            <w:u w:val="single"/>
            <w:rtl/>
          </w:rPr>
          <w:t>רע"פ 5613/20</w:t>
        </w:r>
      </w:hyperlink>
      <w:r w:rsidRPr="0020265E">
        <w:rPr>
          <w:rFonts w:ascii="David" w:hAnsi="David"/>
          <w:b/>
          <w:bCs/>
          <w:rtl/>
        </w:rPr>
        <w:t xml:space="preserve"> </w:t>
      </w:r>
      <w:r w:rsidRPr="0020265E">
        <w:rPr>
          <w:rFonts w:ascii="David" w:hAnsi="David" w:hint="cs"/>
          <w:b/>
          <w:bCs/>
          <w:u w:val="single"/>
          <w:rtl/>
        </w:rPr>
        <w:t>מ. ישראל נ' אלהוזייל</w:t>
      </w:r>
      <w:r w:rsidR="00D07705">
        <w:rPr>
          <w:rFonts w:ascii="David" w:hAnsi="David" w:hint="cs"/>
          <w:b/>
          <w:bCs/>
          <w:rtl/>
        </w:rPr>
        <w:t xml:space="preserve"> </w:t>
      </w:r>
      <w:r w:rsidRPr="0020265E">
        <w:rPr>
          <w:rFonts w:ascii="David" w:hAnsi="David" w:hint="cs"/>
          <w:b/>
          <w:bCs/>
          <w:rtl/>
        </w:rPr>
        <w:t xml:space="preserve"> </w:t>
      </w:r>
      <w:r w:rsidRPr="0020265E">
        <w:rPr>
          <w:rFonts w:ascii="David" w:hAnsi="David"/>
          <w:rtl/>
        </w:rPr>
        <w:t>כדלהלן:</w:t>
      </w:r>
      <w:r w:rsidRPr="0020265E">
        <w:rPr>
          <w:rFonts w:ascii="David" w:hAnsi="David"/>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3D1E04C1" w14:textId="77777777" w:rsidR="00E10A48" w:rsidRPr="001E3C39" w:rsidRDefault="00E10A48" w:rsidP="00E10A48">
      <w:pPr>
        <w:spacing w:line="360" w:lineRule="auto"/>
        <w:ind w:left="720"/>
        <w:contextualSpacing/>
        <w:jc w:val="both"/>
        <w:rPr>
          <w:rFonts w:ascii="David" w:hAnsi="David"/>
          <w:b/>
          <w:bCs/>
          <w:sz w:val="10"/>
          <w:szCs w:val="10"/>
          <w:rtl/>
        </w:rPr>
      </w:pPr>
    </w:p>
    <w:p w14:paraId="43A93B73" w14:textId="77777777" w:rsidR="00E10A48" w:rsidRPr="005D1720" w:rsidRDefault="00E10A48" w:rsidP="00E10A48">
      <w:pPr>
        <w:spacing w:line="360" w:lineRule="auto"/>
        <w:ind w:left="720"/>
        <w:contextualSpacing/>
        <w:jc w:val="both"/>
        <w:rPr>
          <w:rFonts w:ascii="David" w:hAnsi="David"/>
        </w:rPr>
      </w:pPr>
      <w:r>
        <w:rPr>
          <w:rFonts w:ascii="David" w:hAnsi="David" w:hint="cs"/>
          <w:rtl/>
        </w:rPr>
        <w:t>הדברים מתיישבים היטב עם המצב הנוכחי הקשה השורר במדינה. כמעט מדי יום אנו שומעים על אירועי פציעה ומוות כתוצאה מירי ושימוש בנשק. מדובר ב"מכת מדינה" קשה ואכזרית המכה גם באזרחים חפים מפשע ומביאה להרס וחורבן. יש לעשות כל שניתן על מנת להביא למיגורה, ולמצער לצמצומה של תופעה קשה זו.</w:t>
      </w:r>
    </w:p>
    <w:p w14:paraId="4E5A94BA" w14:textId="77777777" w:rsidR="00E10A48" w:rsidRPr="001E3C39" w:rsidRDefault="00E10A48" w:rsidP="00E10A48">
      <w:pPr>
        <w:spacing w:line="360" w:lineRule="auto"/>
        <w:ind w:left="720"/>
        <w:contextualSpacing/>
        <w:jc w:val="both"/>
        <w:rPr>
          <w:rFonts w:ascii="David" w:hAnsi="David"/>
          <w:b/>
          <w:bCs/>
          <w:sz w:val="2"/>
          <w:szCs w:val="2"/>
          <w:rtl/>
        </w:rPr>
      </w:pPr>
    </w:p>
    <w:p w14:paraId="04087745" w14:textId="77777777" w:rsidR="00E10A48" w:rsidRPr="005D1720" w:rsidRDefault="00E10A48" w:rsidP="00E10A48">
      <w:pPr>
        <w:spacing w:line="360" w:lineRule="auto"/>
        <w:ind w:left="720"/>
        <w:contextualSpacing/>
        <w:jc w:val="both"/>
        <w:rPr>
          <w:rFonts w:ascii="David" w:hAnsi="David"/>
          <w:b/>
          <w:bCs/>
          <w:sz w:val="14"/>
          <w:szCs w:val="14"/>
        </w:rPr>
      </w:pPr>
    </w:p>
    <w:p w14:paraId="53D4416C" w14:textId="77777777" w:rsidR="00E10A48" w:rsidRPr="0020265E" w:rsidRDefault="00E10A48" w:rsidP="00E10A48">
      <w:pPr>
        <w:numPr>
          <w:ilvl w:val="0"/>
          <w:numId w:val="1"/>
        </w:numPr>
        <w:tabs>
          <w:tab w:val="left" w:pos="720"/>
          <w:tab w:val="left" w:pos="2330"/>
        </w:tabs>
        <w:spacing w:after="160" w:line="360" w:lineRule="auto"/>
        <w:contextualSpacing/>
        <w:jc w:val="both"/>
        <w:rPr>
          <w:rFonts w:ascii="David" w:hAnsi="David"/>
        </w:rPr>
      </w:pPr>
      <w:r>
        <w:rPr>
          <w:rFonts w:ascii="David" w:hAnsi="David" w:hint="cs"/>
          <w:rtl/>
        </w:rPr>
        <w:t>בכל הנוגע ל</w:t>
      </w:r>
      <w:r w:rsidRPr="0020265E">
        <w:rPr>
          <w:rFonts w:ascii="David" w:hAnsi="David"/>
          <w:rtl/>
        </w:rPr>
        <w:t xml:space="preserve">עבירת שיבוש מהלכי משפט נפגע הערך החברתי המוגן של </w:t>
      </w:r>
      <w:r>
        <w:rPr>
          <w:rFonts w:ascii="David" w:hAnsi="David" w:hint="cs"/>
          <w:rtl/>
        </w:rPr>
        <w:t>הקשור ב</w:t>
      </w:r>
      <w:r w:rsidRPr="0020265E">
        <w:rPr>
          <w:rFonts w:ascii="David" w:hAnsi="David"/>
          <w:rtl/>
        </w:rPr>
        <w:t xml:space="preserve">טוהר ההליך השיפוטי ותקינותו, ויכולת התביעה ובתי המשפט להגיע אל חקר האמת, תוך הגנה על שלטון החוק. </w:t>
      </w:r>
      <w:r w:rsidRPr="0020265E">
        <w:rPr>
          <w:rFonts w:ascii="David" w:hAnsi="David"/>
          <w:b/>
          <w:bCs/>
          <w:rtl/>
        </w:rPr>
        <w:t>ב</w:t>
      </w:r>
      <w:hyperlink r:id="rId44" w:history="1">
        <w:r w:rsidR="00D07705" w:rsidRPr="00D07705">
          <w:rPr>
            <w:rFonts w:ascii="David" w:hAnsi="David"/>
            <w:b/>
            <w:bCs/>
            <w:color w:val="0000FF"/>
            <w:u w:val="single"/>
            <w:rtl/>
          </w:rPr>
          <w:t>רע"פ 7153/99</w:t>
        </w:r>
      </w:hyperlink>
      <w:r w:rsidRPr="0020265E">
        <w:rPr>
          <w:rFonts w:ascii="David" w:hAnsi="David"/>
          <w:b/>
          <w:bCs/>
          <w:rtl/>
        </w:rPr>
        <w:t xml:space="preserve"> </w:t>
      </w:r>
      <w:r w:rsidRPr="0020265E">
        <w:rPr>
          <w:rFonts w:ascii="David" w:hAnsi="David"/>
          <w:b/>
          <w:bCs/>
          <w:u w:val="single"/>
          <w:rtl/>
        </w:rPr>
        <w:t>אלגד נ' מדינת ישראל</w:t>
      </w:r>
      <w:r w:rsidRPr="0020265E">
        <w:rPr>
          <w:rFonts w:ascii="David" w:hAnsi="David"/>
          <w:b/>
          <w:bCs/>
          <w:rtl/>
        </w:rPr>
        <w:t xml:space="preserve"> </w:t>
      </w:r>
      <w:r w:rsidRPr="0020265E">
        <w:rPr>
          <w:rFonts w:ascii="David" w:hAnsi="David"/>
          <w:rtl/>
        </w:rPr>
        <w:t xml:space="preserve">נאמרו בעניין זה הדברים הבאים: </w:t>
      </w:r>
      <w:r w:rsidRPr="0020265E">
        <w:rPr>
          <w:rFonts w:ascii="David" w:hAnsi="David"/>
          <w:b/>
          <w:bCs/>
          <w:rtl/>
        </w:rPr>
        <w:t>"ביסוד שיטת המשפט שלנו מעוגן העיקרון שלפיו הליכי משפט קשורים קשר אמיץ עם החובה לומר אמת בכל הליכים שהועדו לעשיית משפט. אשר על כן בהקשרם של הליכים לעשיית משפט, החובה לומר אמת אינה רק בגדר חובה מוסרית אלא היא אף חובה משפטית הנגזרת מהוראות החוק וממהותו של ההליך המשפטי. חשיפת האמת ועשיית צדק הן מהתכליות המובהקות של ההליך הפלילי...שקר ביודעין בחקירה משטרתית פוגעת בהכרח בערך החברתי של גילוי האמת ושל עשיית משפט אמת. היא אף עלולה לפגוע בתקינותה של החקירה הקונקרטית שבמסגרתה נאמר השקר ועקב כך לפגוע באינטרס עשיית הצדק ובשמירה על טוהר ההליך הפלילי בכל שלביו".</w:t>
      </w:r>
    </w:p>
    <w:p w14:paraId="10DE9E49" w14:textId="77777777" w:rsidR="00E10A48" w:rsidRPr="00EF7F95" w:rsidRDefault="00E10A48" w:rsidP="00E10A48">
      <w:pPr>
        <w:spacing w:line="360" w:lineRule="auto"/>
        <w:ind w:left="720"/>
        <w:contextualSpacing/>
        <w:jc w:val="both"/>
        <w:rPr>
          <w:rFonts w:ascii="David" w:hAnsi="David"/>
          <w:sz w:val="14"/>
          <w:szCs w:val="14"/>
          <w:rtl/>
        </w:rPr>
      </w:pPr>
    </w:p>
    <w:p w14:paraId="476B0606" w14:textId="77777777" w:rsidR="00E10A48" w:rsidRPr="0020265E" w:rsidRDefault="00E10A48" w:rsidP="00E10A48">
      <w:pPr>
        <w:spacing w:line="360" w:lineRule="auto"/>
        <w:ind w:firstLine="360"/>
        <w:jc w:val="both"/>
        <w:rPr>
          <w:rFonts w:ascii="David" w:hAnsi="David"/>
          <w:b/>
          <w:bCs/>
          <w:u w:val="single"/>
          <w:rtl/>
        </w:rPr>
      </w:pPr>
      <w:r w:rsidRPr="0020265E">
        <w:rPr>
          <w:rFonts w:ascii="David" w:hAnsi="David"/>
          <w:b/>
          <w:bCs/>
          <w:u w:val="single"/>
          <w:rtl/>
        </w:rPr>
        <w:t>נסיבות ביצוע העבירות</w:t>
      </w:r>
    </w:p>
    <w:p w14:paraId="6FD2F429" w14:textId="77777777" w:rsidR="00E10A48" w:rsidRPr="00DF199C" w:rsidRDefault="00E10A48" w:rsidP="00E10A48">
      <w:pPr>
        <w:spacing w:line="360" w:lineRule="auto"/>
        <w:ind w:firstLine="360"/>
        <w:jc w:val="both"/>
        <w:rPr>
          <w:rFonts w:ascii="David" w:hAnsi="David"/>
          <w:b/>
          <w:bCs/>
          <w:sz w:val="8"/>
          <w:szCs w:val="8"/>
          <w:u w:val="single"/>
          <w:rtl/>
        </w:rPr>
      </w:pPr>
    </w:p>
    <w:p w14:paraId="0AEDBCE3" w14:textId="77777777" w:rsidR="00E10A48" w:rsidRPr="0020265E" w:rsidRDefault="00E10A48" w:rsidP="00E10A48">
      <w:pPr>
        <w:numPr>
          <w:ilvl w:val="0"/>
          <w:numId w:val="1"/>
        </w:numPr>
        <w:spacing w:after="160" w:line="360" w:lineRule="auto"/>
        <w:jc w:val="both"/>
        <w:rPr>
          <w:rFonts w:ascii="David" w:hAnsi="David"/>
        </w:rPr>
      </w:pPr>
      <w:r w:rsidRPr="0020265E">
        <w:rPr>
          <w:rFonts w:ascii="David" w:hAnsi="David"/>
          <w:rtl/>
        </w:rPr>
        <w:t xml:space="preserve">נסיבות ביצוע העבירות פורטו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20265E">
        <w:rPr>
          <w:rFonts w:ascii="David" w:hAnsi="David"/>
          <w:b/>
          <w:bCs/>
          <w:rtl/>
        </w:rPr>
        <w:t xml:space="preserve">ע"פ 1530/04 + </w:t>
      </w:r>
      <w:hyperlink r:id="rId45" w:history="1">
        <w:r w:rsidR="004E49DF" w:rsidRPr="004E49DF">
          <w:rPr>
            <w:rFonts w:ascii="David" w:hAnsi="David"/>
            <w:b/>
            <w:bCs/>
            <w:color w:val="0000FF"/>
            <w:u w:val="single"/>
            <w:rtl/>
          </w:rPr>
          <w:t xml:space="preserve">1332/04 </w:t>
        </w:r>
      </w:hyperlink>
      <w:r w:rsidRPr="0020265E">
        <w:rPr>
          <w:rFonts w:ascii="David" w:hAnsi="David"/>
          <w:b/>
          <w:bCs/>
          <w:rtl/>
        </w:rPr>
        <w:t xml:space="preserve"> </w:t>
      </w:r>
      <w:r w:rsidRPr="0020265E">
        <w:rPr>
          <w:rFonts w:ascii="David" w:hAnsi="David"/>
          <w:b/>
          <w:bCs/>
          <w:u w:val="single"/>
          <w:rtl/>
        </w:rPr>
        <w:t>יצחק רפאל פס ואח' נגד מדינת ישראל</w:t>
      </w:r>
      <w:r w:rsidRPr="0020265E">
        <w:rPr>
          <w:rFonts w:ascii="David" w:hAnsi="David"/>
          <w:b/>
          <w:bCs/>
          <w:rtl/>
        </w:rPr>
        <w:t xml:space="preserve"> (בימ"ש העליון).</w:t>
      </w:r>
    </w:p>
    <w:p w14:paraId="5D740AD5" w14:textId="77777777" w:rsidR="00E10A48" w:rsidRPr="001E3C39" w:rsidRDefault="00E10A48" w:rsidP="00E10A48">
      <w:pPr>
        <w:spacing w:line="360" w:lineRule="auto"/>
        <w:ind w:left="720"/>
        <w:jc w:val="both"/>
        <w:rPr>
          <w:rFonts w:ascii="David" w:hAnsi="David"/>
          <w:sz w:val="6"/>
          <w:szCs w:val="6"/>
        </w:rPr>
      </w:pPr>
    </w:p>
    <w:p w14:paraId="47D07A53" w14:textId="77777777" w:rsidR="00E10A48" w:rsidRPr="00DF199C" w:rsidRDefault="00E10A48" w:rsidP="00E10A48">
      <w:pPr>
        <w:numPr>
          <w:ilvl w:val="0"/>
          <w:numId w:val="1"/>
        </w:numPr>
        <w:spacing w:after="160" w:line="360" w:lineRule="auto"/>
        <w:contextualSpacing/>
        <w:jc w:val="both"/>
        <w:rPr>
          <w:rFonts w:ascii="David" w:eastAsia="Calibri" w:hAnsi="David"/>
          <w:rtl/>
        </w:rPr>
      </w:pPr>
      <w:r w:rsidRPr="00DF199C">
        <w:rPr>
          <w:rFonts w:ascii="David" w:eastAsia="Calibri" w:hAnsi="David" w:hint="cs"/>
          <w:rtl/>
        </w:rPr>
        <w:t>כאמור הנאשם החז</w:t>
      </w:r>
      <w:r>
        <w:rPr>
          <w:rFonts w:ascii="David" w:eastAsia="Calibri" w:hAnsi="David" w:hint="cs"/>
          <w:rtl/>
        </w:rPr>
        <w:t>יק</w:t>
      </w:r>
      <w:r w:rsidRPr="00DF199C">
        <w:rPr>
          <w:rFonts w:ascii="David" w:eastAsia="Calibri" w:hAnsi="David" w:hint="cs"/>
          <w:rtl/>
        </w:rPr>
        <w:t xml:space="preserve"> באמצעות בן דודו הקטין </w:t>
      </w:r>
      <w:r w:rsidRPr="00DF199C">
        <w:rPr>
          <w:rFonts w:ascii="David" w:eastAsia="Calibri" w:hAnsi="David"/>
          <w:rtl/>
        </w:rPr>
        <w:t xml:space="preserve">בבית מגוריו בכפר קרע </w:t>
      </w:r>
      <w:r w:rsidRPr="00DF199C">
        <w:rPr>
          <w:rFonts w:ascii="David" w:eastAsia="Calibri" w:hAnsi="David" w:hint="cs"/>
          <w:rtl/>
        </w:rPr>
        <w:t xml:space="preserve"> מספר </w:t>
      </w:r>
      <w:r w:rsidRPr="00DF199C">
        <w:rPr>
          <w:rFonts w:ascii="David" w:eastAsia="Calibri" w:hAnsi="David"/>
          <w:rtl/>
        </w:rPr>
        <w:t xml:space="preserve">כלי נשק </w:t>
      </w:r>
      <w:r w:rsidRPr="00DF199C">
        <w:rPr>
          <w:rFonts w:ascii="David" w:eastAsia="Calibri" w:hAnsi="David" w:hint="cs"/>
          <w:rtl/>
        </w:rPr>
        <w:t xml:space="preserve">האחד </w:t>
      </w:r>
      <w:r w:rsidRPr="00DF199C">
        <w:rPr>
          <w:rFonts w:ascii="David" w:eastAsia="Calibri" w:hAnsi="David"/>
          <w:rtl/>
        </w:rPr>
        <w:t xml:space="preserve">רובה סער דמוי </w:t>
      </w:r>
      <w:r w:rsidRPr="00DF199C">
        <w:rPr>
          <w:rFonts w:ascii="David" w:eastAsia="Calibri" w:hAnsi="David"/>
        </w:rPr>
        <w:t>M</w:t>
      </w:r>
      <w:r w:rsidRPr="00DF199C">
        <w:rPr>
          <w:rFonts w:ascii="David" w:eastAsia="Calibri" w:hAnsi="David"/>
          <w:rtl/>
        </w:rPr>
        <w:t>-16 ומחסנית תואמת ובתוכה שישה כדורים</w:t>
      </w:r>
      <w:r w:rsidRPr="00DF199C">
        <w:rPr>
          <w:rFonts w:ascii="David" w:eastAsia="Calibri" w:hAnsi="David" w:hint="cs"/>
          <w:rtl/>
        </w:rPr>
        <w:t xml:space="preserve">, השני </w:t>
      </w:r>
      <w:r w:rsidRPr="00DF199C">
        <w:rPr>
          <w:rFonts w:ascii="David" w:eastAsia="Calibri" w:hAnsi="David"/>
          <w:rtl/>
        </w:rPr>
        <w:t>תת מקלע מסוג עוזי</w:t>
      </w:r>
      <w:r w:rsidRPr="00DF199C">
        <w:rPr>
          <w:rFonts w:ascii="David" w:eastAsia="Calibri" w:hAnsi="David" w:hint="cs"/>
          <w:rtl/>
        </w:rPr>
        <w:t xml:space="preserve">, והשלישי </w:t>
      </w:r>
      <w:r>
        <w:rPr>
          <w:rFonts w:ascii="David" w:eastAsia="Calibri" w:hAnsi="David"/>
          <w:rtl/>
        </w:rPr>
        <w:t>אקדח הזנקה ומחסנית תואמת</w:t>
      </w:r>
      <w:r>
        <w:rPr>
          <w:rFonts w:ascii="David" w:eastAsia="Calibri" w:hAnsi="David" w:hint="cs"/>
          <w:rtl/>
        </w:rPr>
        <w:t>, ו-</w:t>
      </w:r>
      <w:r w:rsidRPr="00DF199C">
        <w:rPr>
          <w:rFonts w:ascii="David" w:eastAsia="Calibri" w:hAnsi="David"/>
          <w:rtl/>
        </w:rPr>
        <w:t xml:space="preserve">104 כדורי תחמושת לנשק מסוג </w:t>
      </w:r>
      <w:r w:rsidRPr="00DF199C">
        <w:rPr>
          <w:rFonts w:ascii="David" w:eastAsia="Calibri" w:hAnsi="David"/>
        </w:rPr>
        <w:t>M-16</w:t>
      </w:r>
      <w:r w:rsidRPr="00DF199C">
        <w:rPr>
          <w:rFonts w:ascii="David" w:eastAsia="Calibri" w:hAnsi="David"/>
          <w:rtl/>
        </w:rPr>
        <w:t xml:space="preserve">, לתקופה של כ- חמישה חודשים. </w:t>
      </w:r>
    </w:p>
    <w:p w14:paraId="23F1A00A" w14:textId="77777777" w:rsidR="00E10A48" w:rsidRPr="00EF7F95" w:rsidRDefault="00E10A48" w:rsidP="00E10A48">
      <w:pPr>
        <w:spacing w:after="160" w:line="256" w:lineRule="auto"/>
        <w:ind w:left="720"/>
        <w:contextualSpacing/>
        <w:rPr>
          <w:rFonts w:ascii="David" w:hAnsi="David"/>
          <w:sz w:val="16"/>
          <w:szCs w:val="16"/>
        </w:rPr>
      </w:pPr>
    </w:p>
    <w:p w14:paraId="079569F7" w14:textId="77777777" w:rsidR="00E10A48" w:rsidRDefault="00E10A48" w:rsidP="00E10A48">
      <w:pPr>
        <w:spacing w:line="360" w:lineRule="auto"/>
        <w:ind w:left="720"/>
        <w:contextualSpacing/>
        <w:jc w:val="both"/>
        <w:rPr>
          <w:rFonts w:ascii="David" w:eastAsia="Calibri" w:hAnsi="David"/>
          <w:rtl/>
        </w:rPr>
      </w:pPr>
      <w:r w:rsidRPr="0020265E">
        <w:rPr>
          <w:rFonts w:ascii="David" w:eastAsia="Calibri" w:hAnsi="David"/>
          <w:rtl/>
        </w:rPr>
        <w:t xml:space="preserve">הנאשם </w:t>
      </w:r>
      <w:r>
        <w:rPr>
          <w:rFonts w:ascii="David" w:eastAsia="Calibri" w:hAnsi="David" w:hint="cs"/>
          <w:rtl/>
        </w:rPr>
        <w:t xml:space="preserve">אינו </w:t>
      </w:r>
      <w:r w:rsidRPr="0020265E">
        <w:rPr>
          <w:rFonts w:ascii="David" w:eastAsia="Calibri" w:hAnsi="David"/>
          <w:rtl/>
        </w:rPr>
        <w:t xml:space="preserve">מורשה </w:t>
      </w:r>
      <w:r>
        <w:rPr>
          <w:rFonts w:ascii="David" w:eastAsia="Calibri" w:hAnsi="David"/>
          <w:rtl/>
        </w:rPr>
        <w:t>כדין להחז</w:t>
      </w:r>
      <w:r>
        <w:rPr>
          <w:rFonts w:ascii="David" w:eastAsia="Calibri" w:hAnsi="David" w:hint="cs"/>
          <w:rtl/>
        </w:rPr>
        <w:t>יק</w:t>
      </w:r>
      <w:r w:rsidRPr="0020265E">
        <w:rPr>
          <w:rFonts w:ascii="David" w:eastAsia="Calibri" w:hAnsi="David"/>
          <w:rtl/>
        </w:rPr>
        <w:t xml:space="preserve"> </w:t>
      </w:r>
      <w:r>
        <w:rPr>
          <w:rFonts w:ascii="David" w:eastAsia="Calibri" w:hAnsi="David" w:hint="cs"/>
          <w:rtl/>
        </w:rPr>
        <w:t>ב</w:t>
      </w:r>
      <w:r w:rsidRPr="0020265E">
        <w:rPr>
          <w:rFonts w:ascii="David" w:eastAsia="Calibri" w:hAnsi="David"/>
          <w:rtl/>
        </w:rPr>
        <w:t>נשק</w:t>
      </w:r>
      <w:r>
        <w:rPr>
          <w:rFonts w:ascii="David" w:eastAsia="Calibri" w:hAnsi="David" w:hint="cs"/>
          <w:rtl/>
        </w:rPr>
        <w:t xml:space="preserve">. </w:t>
      </w:r>
      <w:r w:rsidRPr="0020265E">
        <w:rPr>
          <w:rFonts w:ascii="David" w:eastAsia="Calibri" w:hAnsi="David"/>
          <w:rtl/>
        </w:rPr>
        <w:t>לא מדובר באירוע ספו</w:t>
      </w:r>
      <w:r>
        <w:rPr>
          <w:rFonts w:ascii="David" w:eastAsia="Calibri" w:hAnsi="David"/>
          <w:rtl/>
        </w:rPr>
        <w:t>נטני</w:t>
      </w:r>
      <w:r>
        <w:rPr>
          <w:rFonts w:ascii="David" w:eastAsia="Calibri" w:hAnsi="David" w:hint="cs"/>
          <w:rtl/>
        </w:rPr>
        <w:t>, כי אם באירוע מתוכנן</w:t>
      </w:r>
      <w:r w:rsidRPr="0020265E">
        <w:rPr>
          <w:rFonts w:ascii="David" w:eastAsia="Calibri" w:hAnsi="David"/>
          <w:rtl/>
        </w:rPr>
        <w:t xml:space="preserve"> </w:t>
      </w:r>
      <w:r>
        <w:rPr>
          <w:rFonts w:ascii="David" w:eastAsia="Calibri" w:hAnsi="David" w:hint="cs"/>
          <w:rtl/>
        </w:rPr>
        <w:t xml:space="preserve">והנאשם </w:t>
      </w:r>
      <w:r w:rsidRPr="0020265E">
        <w:rPr>
          <w:rFonts w:ascii="David" w:eastAsia="Calibri" w:hAnsi="David"/>
          <w:rtl/>
        </w:rPr>
        <w:t>היה מודע היטב לאיסור שבהחזקת נשק ותחמושת</w:t>
      </w:r>
      <w:r>
        <w:rPr>
          <w:rFonts w:ascii="David" w:eastAsia="Calibri" w:hAnsi="David" w:hint="cs"/>
          <w:rtl/>
        </w:rPr>
        <w:t>,</w:t>
      </w:r>
      <w:r w:rsidRPr="0020265E">
        <w:rPr>
          <w:rFonts w:ascii="David" w:eastAsia="Calibri" w:hAnsi="David"/>
          <w:rtl/>
        </w:rPr>
        <w:t xml:space="preserve"> וחלקו בביצוע העבירות הינו מרכזי</w:t>
      </w:r>
      <w:r>
        <w:rPr>
          <w:rFonts w:ascii="David" w:eastAsia="Calibri" w:hAnsi="David" w:hint="cs"/>
          <w:rtl/>
        </w:rPr>
        <w:t xml:space="preserve">, גם אם ההחזקה התבצעה באמצעות הקטין. בהקשר זה יש לראות בחומרה את העובדה שהנאשם נעזר בקטין לצורך ביצוע העבירה  (ר' בהקשר זה </w:t>
      </w:r>
      <w:hyperlink r:id="rId46" w:history="1">
        <w:r w:rsidR="00D07705" w:rsidRPr="00D07705">
          <w:rPr>
            <w:rFonts w:ascii="David" w:hAnsi="David"/>
            <w:b/>
            <w:bCs/>
            <w:color w:val="0000FF"/>
            <w:u w:val="single"/>
            <w:rtl/>
          </w:rPr>
          <w:t>ת"פ 49982-03-13</w:t>
        </w:r>
      </w:hyperlink>
      <w:r>
        <w:rPr>
          <w:rFonts w:ascii="David" w:hAnsi="David" w:hint="cs"/>
          <w:b/>
          <w:bCs/>
          <w:rtl/>
        </w:rPr>
        <w:t xml:space="preserve"> </w:t>
      </w:r>
      <w:r w:rsidRPr="00B10D0E">
        <w:rPr>
          <w:rFonts w:ascii="David" w:hAnsi="David" w:hint="cs"/>
          <w:b/>
          <w:bCs/>
          <w:u w:val="single"/>
          <w:rtl/>
        </w:rPr>
        <w:t>מדינת ישראל נ' מאמון פרחאת</w:t>
      </w:r>
      <w:r>
        <w:rPr>
          <w:rFonts w:ascii="David" w:hAnsi="David" w:hint="cs"/>
          <w:b/>
          <w:bCs/>
          <w:rtl/>
        </w:rPr>
        <w:t>)</w:t>
      </w:r>
    </w:p>
    <w:p w14:paraId="0A0EE367" w14:textId="77777777" w:rsidR="00E10A48" w:rsidRPr="001E3C39" w:rsidRDefault="00E10A48" w:rsidP="00E10A48">
      <w:pPr>
        <w:spacing w:line="360" w:lineRule="auto"/>
        <w:ind w:left="720"/>
        <w:contextualSpacing/>
        <w:jc w:val="both"/>
        <w:rPr>
          <w:rFonts w:ascii="David" w:eastAsia="Calibri" w:hAnsi="David"/>
          <w:sz w:val="14"/>
          <w:szCs w:val="14"/>
          <w:rtl/>
        </w:rPr>
      </w:pPr>
    </w:p>
    <w:p w14:paraId="7836A282" w14:textId="77777777" w:rsidR="00E10A48" w:rsidRDefault="00E10A48" w:rsidP="00E10A48">
      <w:pPr>
        <w:spacing w:line="360" w:lineRule="auto"/>
        <w:ind w:left="720"/>
        <w:contextualSpacing/>
        <w:jc w:val="both"/>
        <w:rPr>
          <w:rFonts w:ascii="David" w:eastAsia="Calibri" w:hAnsi="David"/>
          <w:rtl/>
        </w:rPr>
      </w:pPr>
      <w:r>
        <w:rPr>
          <w:rFonts w:ascii="David" w:eastAsia="Calibri" w:hAnsi="David" w:hint="cs"/>
          <w:rtl/>
        </w:rPr>
        <w:t xml:space="preserve">לפחות שניים מהנשקים הינם מסוג רובי סער </w:t>
      </w:r>
      <w:r w:rsidRPr="0020265E">
        <w:rPr>
          <w:rFonts w:ascii="David" w:eastAsia="Calibri" w:hAnsi="David"/>
          <w:rtl/>
        </w:rPr>
        <w:t>שעוצמתם רבה ופו</w:t>
      </w:r>
      <w:r>
        <w:rPr>
          <w:rFonts w:ascii="David" w:eastAsia="Calibri" w:hAnsi="David"/>
          <w:rtl/>
        </w:rPr>
        <w:t xml:space="preserve">טנציאל הנזק הנשקף מהם רב </w:t>
      </w:r>
      <w:r>
        <w:rPr>
          <w:rFonts w:ascii="David" w:eastAsia="Calibri" w:hAnsi="David" w:hint="cs"/>
          <w:rtl/>
        </w:rPr>
        <w:t xml:space="preserve">ביותר </w:t>
      </w:r>
      <w:r>
        <w:rPr>
          <w:rFonts w:ascii="David" w:eastAsia="Calibri" w:hAnsi="David"/>
          <w:rtl/>
        </w:rPr>
        <w:t>וקטלני</w:t>
      </w:r>
      <w:r>
        <w:rPr>
          <w:rFonts w:ascii="David" w:eastAsia="Calibri" w:hAnsi="David" w:hint="cs"/>
          <w:rtl/>
        </w:rPr>
        <w:t xml:space="preserve"> בהיותם כלי נשק מסוג תת-מקלע. מדובר בנסיבה שחומרתה רבה. </w:t>
      </w:r>
      <w:r>
        <w:rPr>
          <w:rFonts w:ascii="David" w:eastAsia="Calibri" w:hAnsi="David"/>
          <w:rtl/>
        </w:rPr>
        <w:t>בנוסף, הנאשם החזיק</w:t>
      </w:r>
      <w:r>
        <w:rPr>
          <w:rFonts w:ascii="David" w:eastAsia="Calibri" w:hAnsi="David" w:hint="cs"/>
          <w:rtl/>
        </w:rPr>
        <w:t xml:space="preserve">  כמות לא מבוטלת של </w:t>
      </w:r>
      <w:r w:rsidRPr="0020265E">
        <w:rPr>
          <w:rFonts w:ascii="David" w:eastAsia="Calibri" w:hAnsi="David"/>
          <w:rtl/>
        </w:rPr>
        <w:t xml:space="preserve">תחמושת </w:t>
      </w:r>
      <w:r>
        <w:rPr>
          <w:rFonts w:ascii="David" w:eastAsia="Calibri" w:hAnsi="David" w:hint="cs"/>
          <w:rtl/>
        </w:rPr>
        <w:t>התואמת את רובה ה-</w:t>
      </w:r>
      <w:r>
        <w:rPr>
          <w:rFonts w:ascii="David" w:eastAsia="Calibri" w:hAnsi="David" w:hint="cs"/>
        </w:rPr>
        <w:t>M16</w:t>
      </w:r>
      <w:r>
        <w:rPr>
          <w:rFonts w:ascii="David" w:eastAsia="Calibri" w:hAnsi="David" w:hint="cs"/>
          <w:rtl/>
        </w:rPr>
        <w:t xml:space="preserve"> .</w:t>
      </w:r>
    </w:p>
    <w:p w14:paraId="630548FD" w14:textId="77777777" w:rsidR="00E10A48" w:rsidRPr="00C31991" w:rsidRDefault="00E10A48" w:rsidP="00E10A48">
      <w:pPr>
        <w:spacing w:line="360" w:lineRule="auto"/>
        <w:ind w:left="720"/>
        <w:contextualSpacing/>
        <w:jc w:val="both"/>
        <w:rPr>
          <w:rFonts w:ascii="David" w:eastAsia="Calibri" w:hAnsi="David"/>
          <w:sz w:val="8"/>
          <w:szCs w:val="8"/>
          <w:rtl/>
        </w:rPr>
      </w:pPr>
    </w:p>
    <w:p w14:paraId="5CCE042D" w14:textId="77777777" w:rsidR="00E10A48" w:rsidRDefault="00E10A48" w:rsidP="00E10A48">
      <w:pPr>
        <w:spacing w:line="360" w:lineRule="auto"/>
        <w:ind w:left="720"/>
        <w:contextualSpacing/>
        <w:jc w:val="both"/>
        <w:rPr>
          <w:rFonts w:ascii="David" w:eastAsia="Calibri" w:hAnsi="David"/>
          <w:rtl/>
        </w:rPr>
      </w:pPr>
      <w:r>
        <w:rPr>
          <w:rFonts w:ascii="David" w:eastAsia="Calibri" w:hAnsi="David" w:hint="cs"/>
          <w:rtl/>
        </w:rPr>
        <w:t>העובדה שמדובר במספר כלי נשק ובפרט בשני תתי מקלע, מהווה נסיבה מחמירה גם אם מיוחסת לנאשם עבירה אחת של החזקת נשק.</w:t>
      </w:r>
    </w:p>
    <w:p w14:paraId="66830C42" w14:textId="77777777" w:rsidR="00E10A48" w:rsidRPr="00F71B94" w:rsidRDefault="00E10A48" w:rsidP="00E10A48">
      <w:pPr>
        <w:spacing w:line="360" w:lineRule="auto"/>
        <w:ind w:left="720"/>
        <w:contextualSpacing/>
        <w:jc w:val="both"/>
        <w:rPr>
          <w:rFonts w:ascii="David" w:eastAsia="Calibri" w:hAnsi="David"/>
          <w:sz w:val="12"/>
          <w:szCs w:val="12"/>
          <w:rtl/>
        </w:rPr>
      </w:pPr>
    </w:p>
    <w:p w14:paraId="4C7A3EFB" w14:textId="77777777" w:rsidR="00E10A48" w:rsidRDefault="00E10A48" w:rsidP="00E10A48">
      <w:pPr>
        <w:spacing w:line="360" w:lineRule="auto"/>
        <w:ind w:left="720"/>
        <w:contextualSpacing/>
        <w:jc w:val="both"/>
        <w:rPr>
          <w:rFonts w:ascii="David" w:eastAsia="Calibri" w:hAnsi="David"/>
          <w:rtl/>
        </w:rPr>
      </w:pPr>
      <w:r>
        <w:rPr>
          <w:rFonts w:ascii="David" w:eastAsia="Calibri" w:hAnsi="David" w:hint="cs"/>
          <w:rtl/>
        </w:rPr>
        <w:t>מטרת ההחזקה לא הובררה והנאשם לא נתן כל הסבר בהקשר זה, ואין להניח לטובת הנאשם כי מטרת החזקת הנשק הייתה "תמימה". רובה סער הינו נשק תקיפה רב עצמה שעלול היה למצוא את דרכו לידי עבריינים שהיו עושים בו שימוש פוגעני וקטלני. נסיבה נוספת לחומרה הינה העובדה שהנשקים הוחזקו באזור מגורים בו פוטנציאל הפגיעה רב יותר.</w:t>
      </w:r>
    </w:p>
    <w:p w14:paraId="08CEF875" w14:textId="77777777" w:rsidR="00E10A48" w:rsidRPr="00C31991" w:rsidRDefault="00E10A48" w:rsidP="00E10A48">
      <w:pPr>
        <w:spacing w:line="360" w:lineRule="auto"/>
        <w:ind w:left="720"/>
        <w:contextualSpacing/>
        <w:jc w:val="both"/>
        <w:rPr>
          <w:rFonts w:ascii="David" w:eastAsia="Calibri" w:hAnsi="David"/>
          <w:sz w:val="16"/>
          <w:szCs w:val="16"/>
          <w:rtl/>
        </w:rPr>
      </w:pPr>
    </w:p>
    <w:p w14:paraId="071E48BF" w14:textId="77777777" w:rsidR="00E10A48" w:rsidRPr="00C16B70" w:rsidRDefault="00E10A48" w:rsidP="00E10A48">
      <w:pPr>
        <w:spacing w:line="360" w:lineRule="auto"/>
        <w:ind w:left="720"/>
        <w:contextualSpacing/>
        <w:jc w:val="both"/>
        <w:rPr>
          <w:rFonts w:ascii="David" w:eastAsia="Calibri" w:hAnsi="David"/>
          <w:sz w:val="4"/>
          <w:szCs w:val="4"/>
          <w:rtl/>
        </w:rPr>
      </w:pPr>
    </w:p>
    <w:p w14:paraId="2FD96941" w14:textId="77777777" w:rsidR="00E10A48" w:rsidRPr="00F71B94" w:rsidRDefault="00E10A48" w:rsidP="00E10A48">
      <w:pPr>
        <w:spacing w:line="360" w:lineRule="auto"/>
        <w:ind w:left="720"/>
        <w:contextualSpacing/>
        <w:jc w:val="both"/>
        <w:rPr>
          <w:rFonts w:ascii="David" w:eastAsia="Calibri" w:hAnsi="David"/>
          <w:sz w:val="4"/>
          <w:szCs w:val="4"/>
          <w:rtl/>
        </w:rPr>
      </w:pPr>
    </w:p>
    <w:p w14:paraId="42A7C059" w14:textId="77777777" w:rsidR="00E10A48" w:rsidRDefault="00E10A48" w:rsidP="00E10A48">
      <w:pPr>
        <w:pStyle w:val="a9"/>
        <w:numPr>
          <w:ilvl w:val="0"/>
          <w:numId w:val="1"/>
        </w:numPr>
        <w:spacing w:line="360" w:lineRule="auto"/>
        <w:jc w:val="both"/>
        <w:rPr>
          <w:rFonts w:ascii="David" w:eastAsia="Calibri" w:hAnsi="David"/>
          <w:b/>
          <w:bCs/>
        </w:rPr>
      </w:pPr>
      <w:r w:rsidRPr="00C16B70">
        <w:rPr>
          <w:rFonts w:ascii="David" w:eastAsia="Calibri" w:hAnsi="David"/>
          <w:rtl/>
        </w:rPr>
        <w:t xml:space="preserve">הנאשם החזיק גם באקדח הזנקה. אין חולק כי הנזק הפוטנציאלי הנשקף מאקדח הזנקה שקנהו חסום נמוך יחסית, עם זאת נקבע </w:t>
      </w:r>
      <w:r w:rsidRPr="00C16B70">
        <w:rPr>
          <w:rFonts w:ascii="David" w:hAnsi="David"/>
          <w:b/>
          <w:bCs/>
          <w:rtl/>
        </w:rPr>
        <w:t>ב</w:t>
      </w:r>
      <w:hyperlink r:id="rId47" w:history="1">
        <w:r w:rsidR="00D07705" w:rsidRPr="00D07705">
          <w:rPr>
            <w:rFonts w:ascii="David" w:hAnsi="David"/>
            <w:b/>
            <w:bCs/>
            <w:color w:val="0000FF"/>
            <w:u w:val="single"/>
            <w:rtl/>
          </w:rPr>
          <w:t>ע"פ 6383/21</w:t>
        </w:r>
      </w:hyperlink>
      <w:r w:rsidRPr="00C16B70">
        <w:rPr>
          <w:rFonts w:ascii="David" w:hAnsi="David"/>
          <w:b/>
          <w:bCs/>
          <w:rtl/>
        </w:rPr>
        <w:t xml:space="preserve"> </w:t>
      </w:r>
      <w:r w:rsidRPr="00C16B70">
        <w:rPr>
          <w:rFonts w:ascii="David" w:hAnsi="David"/>
          <w:b/>
          <w:bCs/>
          <w:u w:val="single"/>
          <w:rtl/>
        </w:rPr>
        <w:t>עידן קרייף נ' מדינת ישראל</w:t>
      </w:r>
      <w:r w:rsidRPr="00C16B70">
        <w:rPr>
          <w:rFonts w:ascii="David" w:eastAsia="Calibri" w:hAnsi="David" w:hint="cs"/>
          <w:b/>
          <w:bCs/>
          <w:rtl/>
        </w:rPr>
        <w:t xml:space="preserve"> :</w:t>
      </w:r>
      <w:r w:rsidRPr="00F71B94">
        <w:rPr>
          <w:rFonts w:ascii="David" w:eastAsia="Calibri" w:hAnsi="David" w:hint="cs"/>
          <w:rtl/>
        </w:rPr>
        <w:t xml:space="preserve">כי </w:t>
      </w:r>
      <w:r w:rsidRPr="00C16B70">
        <w:rPr>
          <w:rFonts w:ascii="David" w:eastAsia="Calibri" w:hAnsi="David" w:hint="cs"/>
          <w:b/>
          <w:bCs/>
          <w:rtl/>
        </w:rPr>
        <w:t xml:space="preserve"> </w:t>
      </w:r>
      <w:r w:rsidRPr="00C16B70">
        <w:rPr>
          <w:rFonts w:ascii="David" w:hAnsi="David"/>
          <w:b/>
          <w:bCs/>
          <w:rtl/>
        </w:rPr>
        <w:t>"אין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p>
    <w:p w14:paraId="388AF917" w14:textId="77777777" w:rsidR="00E10A48" w:rsidRPr="007C06EE" w:rsidRDefault="00E10A48" w:rsidP="00E10A48">
      <w:pPr>
        <w:spacing w:line="360" w:lineRule="auto"/>
        <w:ind w:left="720"/>
        <w:jc w:val="both"/>
        <w:rPr>
          <w:rFonts w:ascii="David" w:eastAsia="Calibri" w:hAnsi="David"/>
          <w:b/>
          <w:bCs/>
          <w:sz w:val="8"/>
          <w:szCs w:val="8"/>
          <w:rtl/>
        </w:rPr>
      </w:pPr>
    </w:p>
    <w:p w14:paraId="4682AA44" w14:textId="77777777" w:rsidR="00E10A48" w:rsidRPr="00F71B94" w:rsidRDefault="00E10A48" w:rsidP="00E10A48">
      <w:pPr>
        <w:spacing w:line="360" w:lineRule="auto"/>
        <w:ind w:left="720"/>
        <w:jc w:val="both"/>
        <w:rPr>
          <w:rFonts w:ascii="David" w:eastAsia="Calibri" w:hAnsi="David"/>
          <w:rtl/>
        </w:rPr>
      </w:pPr>
      <w:r w:rsidRPr="00F71B94">
        <w:rPr>
          <w:rFonts w:ascii="David" w:eastAsia="Calibri" w:hAnsi="David" w:hint="cs"/>
          <w:rtl/>
        </w:rPr>
        <w:t>כאמור במקרה הנדון מדובר באקדח הזנקה שסוגל לירות תחמישים בלבד (כדור חסר קליע)  שקנהו חסום ולא ניתן לירות דרכו תחמושת קליעית, ולא בוצע בו שינוי מייעוד</w:t>
      </w:r>
      <w:r w:rsidRPr="00F71B94">
        <w:rPr>
          <w:rFonts w:ascii="David" w:eastAsia="Calibri" w:hAnsi="David" w:hint="eastAsia"/>
          <w:rtl/>
        </w:rPr>
        <w:t>ו</w:t>
      </w:r>
      <w:r w:rsidRPr="00F71B94">
        <w:rPr>
          <w:rFonts w:ascii="David" w:eastAsia="Calibri" w:hAnsi="David" w:hint="cs"/>
          <w:rtl/>
        </w:rPr>
        <w:t xml:space="preserve"> המקורי.</w:t>
      </w:r>
      <w:r>
        <w:rPr>
          <w:rFonts w:ascii="David" w:eastAsia="Calibri" w:hAnsi="David" w:hint="cs"/>
          <w:rtl/>
        </w:rPr>
        <w:t xml:space="preserve"> בהתאם, אין להשוות כלי נשק זה לאקדח שבכוחו להמית אדם.</w:t>
      </w:r>
    </w:p>
    <w:p w14:paraId="1DCAD469" w14:textId="77777777" w:rsidR="00E10A48" w:rsidRPr="008D460D" w:rsidRDefault="00E10A48" w:rsidP="00E10A48">
      <w:pPr>
        <w:spacing w:line="360" w:lineRule="auto"/>
        <w:ind w:left="720"/>
        <w:contextualSpacing/>
        <w:jc w:val="both"/>
        <w:rPr>
          <w:rFonts w:ascii="David" w:eastAsia="Calibri" w:hAnsi="David"/>
          <w:sz w:val="8"/>
          <w:szCs w:val="8"/>
          <w:rtl/>
        </w:rPr>
      </w:pPr>
    </w:p>
    <w:p w14:paraId="09439498" w14:textId="77777777" w:rsidR="00E10A48" w:rsidRPr="008D460D" w:rsidRDefault="00E10A48" w:rsidP="00E10A48">
      <w:pPr>
        <w:spacing w:line="360" w:lineRule="auto"/>
        <w:ind w:left="720"/>
        <w:contextualSpacing/>
        <w:jc w:val="both"/>
        <w:rPr>
          <w:rFonts w:ascii="David" w:eastAsia="Calibri" w:hAnsi="David"/>
          <w:sz w:val="2"/>
          <w:szCs w:val="2"/>
          <w:rtl/>
        </w:rPr>
      </w:pPr>
    </w:p>
    <w:p w14:paraId="00A83389" w14:textId="77777777" w:rsidR="00E10A48" w:rsidRPr="00C16B70" w:rsidRDefault="00E10A48" w:rsidP="00E10A48">
      <w:pPr>
        <w:pStyle w:val="a9"/>
        <w:numPr>
          <w:ilvl w:val="0"/>
          <w:numId w:val="1"/>
        </w:numPr>
        <w:spacing w:line="360" w:lineRule="auto"/>
        <w:jc w:val="both"/>
        <w:rPr>
          <w:rFonts w:ascii="David" w:eastAsia="Calibri" w:hAnsi="David"/>
          <w:rtl/>
        </w:rPr>
      </w:pPr>
      <w:r w:rsidRPr="00C16B70">
        <w:rPr>
          <w:rFonts w:ascii="David" w:eastAsia="Calibri" w:hAnsi="David" w:hint="cs"/>
          <w:rtl/>
        </w:rPr>
        <w:t xml:space="preserve">הנשקים והתחמושת הוחזקו על פני תקופה של כ- </w:t>
      </w:r>
      <w:r>
        <w:rPr>
          <w:rFonts w:ascii="David" w:eastAsia="Calibri" w:hAnsi="David" w:hint="cs"/>
          <w:rtl/>
        </w:rPr>
        <w:t>5</w:t>
      </w:r>
      <w:r w:rsidRPr="00C16B70">
        <w:rPr>
          <w:rFonts w:ascii="David" w:eastAsia="Calibri" w:hAnsi="David" w:hint="cs"/>
          <w:rtl/>
        </w:rPr>
        <w:t xml:space="preserve"> חו</w:t>
      </w:r>
      <w:r>
        <w:rPr>
          <w:rFonts w:ascii="David" w:eastAsia="Calibri" w:hAnsi="David" w:hint="cs"/>
          <w:rtl/>
        </w:rPr>
        <w:t>דשים ומדובר בתקופת זמן משמעותית במהלכה הנאשם יכול היה לחדול ממעשיו אך הוא לא עשה כן.</w:t>
      </w:r>
      <w:r w:rsidRPr="00C16B70">
        <w:rPr>
          <w:rFonts w:ascii="David" w:eastAsia="Calibri" w:hAnsi="David" w:hint="cs"/>
          <w:rtl/>
        </w:rPr>
        <w:t xml:space="preserve"> </w:t>
      </w:r>
    </w:p>
    <w:p w14:paraId="4FCDB79B" w14:textId="77777777" w:rsidR="00E10A48" w:rsidRPr="00C16B70" w:rsidRDefault="00E10A48" w:rsidP="00E10A48">
      <w:pPr>
        <w:spacing w:line="360" w:lineRule="auto"/>
        <w:ind w:left="720"/>
        <w:contextualSpacing/>
        <w:jc w:val="both"/>
        <w:rPr>
          <w:rFonts w:ascii="David" w:eastAsia="Calibri" w:hAnsi="David"/>
          <w:sz w:val="12"/>
          <w:szCs w:val="12"/>
          <w:rtl/>
        </w:rPr>
      </w:pPr>
    </w:p>
    <w:p w14:paraId="22098EED" w14:textId="77777777" w:rsidR="00E10A48" w:rsidRDefault="00E10A48" w:rsidP="00E10A48">
      <w:pPr>
        <w:pStyle w:val="a9"/>
        <w:numPr>
          <w:ilvl w:val="0"/>
          <w:numId w:val="1"/>
        </w:numPr>
        <w:spacing w:line="360" w:lineRule="auto"/>
        <w:jc w:val="both"/>
        <w:rPr>
          <w:rFonts w:ascii="David" w:hAnsi="David"/>
          <w:sz w:val="12"/>
          <w:szCs w:val="12"/>
        </w:rPr>
      </w:pPr>
      <w:r w:rsidRPr="00C31991">
        <w:rPr>
          <w:rFonts w:ascii="David" w:hAnsi="David"/>
          <w:rtl/>
        </w:rPr>
        <w:t>בכל הנוגע לעבירה של שיבוש מהלכי משפט, חלקו של הנאשם הינו מרכזי ומטרתה הייתה למנוע או להכשיל הליך שיפוטי, הנאשם נמלט בכוונה להתחמק מחקירה</w:t>
      </w:r>
      <w:r w:rsidRPr="00C31991">
        <w:rPr>
          <w:rFonts w:ascii="David" w:hAnsi="David" w:hint="cs"/>
          <w:rtl/>
        </w:rPr>
        <w:t xml:space="preserve"> בעבירת נשק</w:t>
      </w:r>
      <w:r w:rsidRPr="00C31991">
        <w:rPr>
          <w:rFonts w:ascii="David" w:hAnsi="David"/>
          <w:rtl/>
        </w:rPr>
        <w:t xml:space="preserve">, ביודעו כי המשטרה מחפשת אחריו ונעצר רק כעבור חודש וחצי. </w:t>
      </w:r>
      <w:r>
        <w:rPr>
          <w:rFonts w:ascii="David" w:hAnsi="David" w:hint="cs"/>
          <w:sz w:val="12"/>
          <w:szCs w:val="12"/>
          <w:rtl/>
        </w:rPr>
        <w:t xml:space="preserve"> </w:t>
      </w:r>
      <w:r>
        <w:rPr>
          <w:rFonts w:ascii="David" w:hAnsi="David" w:hint="cs"/>
          <w:rtl/>
        </w:rPr>
        <w:t xml:space="preserve"> יצוין כי מלבד הימלטותו, הנאשם לא ביצע פעולות שיבוש אקטיביות.</w:t>
      </w:r>
    </w:p>
    <w:p w14:paraId="63BCE254" w14:textId="77777777" w:rsidR="00E10A48" w:rsidRPr="00C31991" w:rsidRDefault="00E10A48" w:rsidP="00E10A48">
      <w:pPr>
        <w:pStyle w:val="a9"/>
        <w:rPr>
          <w:rFonts w:ascii="David" w:hAnsi="David"/>
          <w:sz w:val="12"/>
          <w:szCs w:val="12"/>
          <w:rtl/>
        </w:rPr>
      </w:pPr>
    </w:p>
    <w:p w14:paraId="60438E40" w14:textId="77777777" w:rsidR="00E10A48" w:rsidRPr="00C31991" w:rsidRDefault="00E10A48" w:rsidP="00E10A48">
      <w:pPr>
        <w:pStyle w:val="a9"/>
        <w:spacing w:line="360" w:lineRule="auto"/>
        <w:jc w:val="both"/>
        <w:rPr>
          <w:rFonts w:ascii="David" w:hAnsi="David"/>
          <w:sz w:val="4"/>
          <w:szCs w:val="4"/>
        </w:rPr>
      </w:pPr>
    </w:p>
    <w:p w14:paraId="1AB51002" w14:textId="77777777" w:rsidR="00E10A48" w:rsidRPr="00C16B70" w:rsidRDefault="00E10A48" w:rsidP="00E10A48">
      <w:pPr>
        <w:pStyle w:val="a9"/>
        <w:numPr>
          <w:ilvl w:val="0"/>
          <w:numId w:val="1"/>
        </w:numPr>
        <w:spacing w:after="160" w:line="360" w:lineRule="auto"/>
        <w:jc w:val="both"/>
        <w:rPr>
          <w:rFonts w:ascii="David" w:hAnsi="David"/>
          <w:rtl/>
        </w:rPr>
      </w:pPr>
      <w:r w:rsidRPr="00C16B70">
        <w:rPr>
          <w:rFonts w:ascii="David" w:hAnsi="David"/>
          <w:rtl/>
        </w:rPr>
        <w:t xml:space="preserve">במכלול הנסיבות אני סבור, כי הפגיעה בערכים המוגנים במקרה זה ביחס </w:t>
      </w:r>
      <w:r w:rsidRPr="00C16B70">
        <w:rPr>
          <w:rFonts w:ascii="David" w:hAnsi="David" w:hint="cs"/>
          <w:rtl/>
        </w:rPr>
        <w:t>לעבירת הנשק מצוי ברף חומרה בינוני ומעלה, וביחס לעב</w:t>
      </w:r>
      <w:r w:rsidRPr="00C16B70">
        <w:rPr>
          <w:rFonts w:ascii="David" w:hAnsi="David"/>
          <w:rtl/>
        </w:rPr>
        <w:t xml:space="preserve">ירת שיבוש מהלכי משפט, </w:t>
      </w:r>
      <w:r w:rsidRPr="00C16B70">
        <w:rPr>
          <w:rFonts w:ascii="David" w:hAnsi="David" w:hint="cs"/>
          <w:rtl/>
        </w:rPr>
        <w:t>ברף חומרה בינוני ומטה.</w:t>
      </w:r>
    </w:p>
    <w:p w14:paraId="2F33DFA4" w14:textId="77777777" w:rsidR="00E10A48" w:rsidRPr="0020265E" w:rsidRDefault="00E10A48" w:rsidP="00E10A48">
      <w:pPr>
        <w:spacing w:after="160" w:line="360" w:lineRule="auto"/>
        <w:ind w:firstLine="360"/>
        <w:jc w:val="both"/>
        <w:rPr>
          <w:rFonts w:ascii="David" w:hAnsi="David"/>
          <w:b/>
          <w:bCs/>
          <w:u w:val="single"/>
          <w:rtl/>
        </w:rPr>
      </w:pPr>
      <w:r w:rsidRPr="0020265E">
        <w:rPr>
          <w:rFonts w:ascii="David" w:hAnsi="David"/>
          <w:b/>
          <w:bCs/>
          <w:u w:val="single"/>
          <w:rtl/>
        </w:rPr>
        <w:t>מדיניות הענישה והפסיקה הנהוגה</w:t>
      </w:r>
    </w:p>
    <w:p w14:paraId="741751EB" w14:textId="77777777" w:rsidR="00E10A48" w:rsidRDefault="00E10A48" w:rsidP="00E10A48">
      <w:pPr>
        <w:numPr>
          <w:ilvl w:val="0"/>
          <w:numId w:val="1"/>
        </w:numPr>
        <w:spacing w:after="160" w:line="360" w:lineRule="auto"/>
        <w:contextualSpacing/>
        <w:jc w:val="both"/>
        <w:rPr>
          <w:rFonts w:ascii="David" w:hAnsi="David"/>
        </w:rPr>
      </w:pPr>
      <w:r w:rsidRPr="0020265E">
        <w:rPr>
          <w:rFonts w:ascii="David" w:hAnsi="David"/>
          <w:rtl/>
        </w:rPr>
        <w:t>ב</w:t>
      </w:r>
      <w:hyperlink r:id="rId48" w:history="1">
        <w:r w:rsidR="00D07705" w:rsidRPr="00D07705">
          <w:rPr>
            <w:rFonts w:ascii="David" w:hAnsi="David"/>
            <w:b/>
            <w:bCs/>
            <w:color w:val="0000FF"/>
            <w:u w:val="single"/>
            <w:rtl/>
          </w:rPr>
          <w:t>ע"פ 2482/22</w:t>
        </w:r>
      </w:hyperlink>
      <w:r w:rsidRPr="0020265E">
        <w:rPr>
          <w:rFonts w:ascii="David" w:hAnsi="David"/>
          <w:b/>
          <w:bCs/>
          <w:rtl/>
        </w:rPr>
        <w:t xml:space="preserve"> </w:t>
      </w:r>
      <w:r w:rsidRPr="0020265E">
        <w:rPr>
          <w:rFonts w:ascii="David" w:hAnsi="David" w:hint="cs"/>
          <w:b/>
          <w:bCs/>
          <w:u w:val="single"/>
          <w:rtl/>
        </w:rPr>
        <w:t>מדינת ישראל נ' קדורה</w:t>
      </w:r>
      <w:r w:rsidRPr="0020265E">
        <w:rPr>
          <w:rFonts w:ascii="David" w:hAnsi="David" w:hint="cs"/>
          <w:b/>
          <w:bCs/>
          <w:rtl/>
        </w:rPr>
        <w:t>,</w:t>
      </w:r>
      <w:r w:rsidRPr="0020265E">
        <w:rPr>
          <w:rFonts w:ascii="David" w:hAnsi="David"/>
          <w:rtl/>
        </w:rPr>
        <w:t xml:space="preserve"> הנאשם בן 19 ללא עבר פלילי הורשע בעבירה של החזקת נשק מסוג אקדח גלוק, מחסנית, כדורים לאקדח ורימון הלם בצוותא עם אחר. נקבע מתחם עונש הולם אשר נע בין 10 ועד 36 חודשי מאסר בפועל. על הנאשם הוטלו 10 חודשי מאסר בפועל וזאת בין היתר לאור</w:t>
      </w:r>
      <w:r w:rsidRPr="0020265E">
        <w:rPr>
          <w:rFonts w:ascii="David" w:eastAsia="Calibri" w:hAnsi="David"/>
          <w:rtl/>
        </w:rPr>
        <w:t xml:space="preserve"> התקופה הקצרה שבה הוחזק הנשק. </w:t>
      </w:r>
      <w:r w:rsidRPr="0020265E">
        <w:rPr>
          <w:rFonts w:ascii="David" w:hAnsi="David"/>
          <w:rtl/>
        </w:rPr>
        <w:t>ערעור על קולת העונש התקבל באופן שעונשו הוחמר ל-18 חודשי מאסר בפועל. ב</w:t>
      </w:r>
      <w:hyperlink r:id="rId49" w:history="1">
        <w:r w:rsidR="00D07705" w:rsidRPr="00D07705">
          <w:rPr>
            <w:rFonts w:ascii="David" w:eastAsia="Calibri" w:hAnsi="David"/>
            <w:b/>
            <w:bCs/>
            <w:color w:val="0000FF"/>
            <w:u w:val="single"/>
            <w:rtl/>
          </w:rPr>
          <w:t>רע"פ 3355/22</w:t>
        </w:r>
      </w:hyperlink>
      <w:r w:rsidRPr="0020265E">
        <w:rPr>
          <w:rFonts w:ascii="David" w:eastAsia="Calibri" w:hAnsi="David"/>
          <w:b/>
          <w:bCs/>
          <w:rtl/>
        </w:rPr>
        <w:t xml:space="preserve"> </w:t>
      </w:r>
      <w:r w:rsidRPr="0020265E">
        <w:rPr>
          <w:rFonts w:ascii="David" w:eastAsia="Calibri" w:hAnsi="David" w:hint="cs"/>
          <w:b/>
          <w:bCs/>
          <w:u w:val="single"/>
          <w:rtl/>
        </w:rPr>
        <w:t>עלאא סלאמה נ' מדינת ישראל</w:t>
      </w:r>
      <w:r w:rsidRPr="0020265E">
        <w:rPr>
          <w:rFonts w:ascii="David" w:eastAsia="Calibri" w:hAnsi="David"/>
          <w:rtl/>
        </w:rPr>
        <w:t xml:space="preserve">, הנאשם הורשע בעבירת החזקת נשק ותקיפת שוטר לאחר שהחזיק בחצר ביתו לתקופה שאינה ידועה למאשימה, שני תתי מקלע מאולתרים, מחסנית ריקה תואמת ותרמיל 9 מ"מ. על הנאשם הוטלו 10  חודשי מאסר בפועל. ערעור המדינה על קולת העונש התקבל ונקבע מתחם עונש הולם שבין 24 ל- 50 חודשי מאסר והעמיד את עונשו של הנאשם על 28 חודשי מאסר. בקשת רשות ערעור נדחתה. </w:t>
      </w:r>
      <w:r w:rsidRPr="0020265E">
        <w:rPr>
          <w:rFonts w:ascii="David" w:hAnsi="David"/>
          <w:rtl/>
        </w:rPr>
        <w:t>ב</w:t>
      </w:r>
      <w:hyperlink r:id="rId50" w:history="1">
        <w:r w:rsidR="00D07705" w:rsidRPr="00D07705">
          <w:rPr>
            <w:rFonts w:ascii="David" w:eastAsia="Calibri" w:hAnsi="David"/>
            <w:b/>
            <w:bCs/>
            <w:color w:val="0000FF"/>
            <w:u w:val="single"/>
            <w:rtl/>
          </w:rPr>
          <w:t>ע"פ 8320/21</w:t>
        </w:r>
      </w:hyperlink>
      <w:r w:rsidRPr="0020265E">
        <w:rPr>
          <w:rFonts w:ascii="David" w:eastAsia="Calibri" w:hAnsi="David"/>
          <w:b/>
          <w:bCs/>
          <w:rtl/>
        </w:rPr>
        <w:t xml:space="preserve"> ‏</w:t>
      </w:r>
      <w:r w:rsidRPr="0020265E">
        <w:rPr>
          <w:rFonts w:ascii="David" w:eastAsia="Calibri" w:hAnsi="David"/>
          <w:b/>
          <w:bCs/>
          <w:u w:val="single"/>
          <w:rtl/>
        </w:rPr>
        <w:t>מדינת ישראל נ' מחמד בסילה</w:t>
      </w:r>
      <w:r w:rsidRPr="0020265E">
        <w:rPr>
          <w:rFonts w:ascii="David" w:eastAsia="Calibri" w:hAnsi="David"/>
          <w:rtl/>
        </w:rPr>
        <w:t xml:space="preserve"> הנאשם הורשע בעבירת החזקת נשק ואביזרי תחמושת, בכך שהסתירם בחדר השינה. על הנאשם הוטלו 7 חודשי מאסר בפועל. ערעור על קולת העונש התקבל באופן שעונשו הועמד על 14 חודשי מאסר בפועל. </w:t>
      </w:r>
      <w:r w:rsidRPr="0020265E">
        <w:rPr>
          <w:rFonts w:ascii="David" w:hAnsi="David"/>
          <w:rtl/>
        </w:rPr>
        <w:t>ב</w:t>
      </w:r>
      <w:hyperlink r:id="rId51" w:history="1">
        <w:r w:rsidR="00D07705" w:rsidRPr="00D07705">
          <w:rPr>
            <w:rFonts w:ascii="David" w:eastAsia="Calibri" w:hAnsi="David"/>
            <w:b/>
            <w:bCs/>
            <w:color w:val="0000FF"/>
            <w:u w:val="single"/>
            <w:rtl/>
          </w:rPr>
          <w:t>עפ"ג 46460-02-22</w:t>
        </w:r>
      </w:hyperlink>
      <w:r w:rsidRPr="0020265E">
        <w:rPr>
          <w:rFonts w:ascii="David" w:eastAsia="Calibri" w:hAnsi="David"/>
          <w:b/>
          <w:bCs/>
          <w:rtl/>
        </w:rPr>
        <w:t xml:space="preserve"> </w:t>
      </w:r>
      <w:r w:rsidRPr="0020265E">
        <w:rPr>
          <w:rFonts w:ascii="David" w:eastAsia="Calibri" w:hAnsi="David" w:hint="cs"/>
          <w:b/>
          <w:bCs/>
          <w:u w:val="single"/>
          <w:rtl/>
        </w:rPr>
        <w:t>מדינת ישראל נ' אמיר צואלחה</w:t>
      </w:r>
      <w:r>
        <w:rPr>
          <w:rFonts w:ascii="David" w:eastAsia="Calibri" w:hAnsi="David" w:hint="cs"/>
          <w:rtl/>
        </w:rPr>
        <w:t xml:space="preserve"> </w:t>
      </w:r>
      <w:r w:rsidRPr="0020265E">
        <w:rPr>
          <w:rFonts w:ascii="David" w:eastAsia="Calibri" w:hAnsi="David"/>
          <w:rtl/>
        </w:rPr>
        <w:t xml:space="preserve">הנאשם הורשע בעבירת החזקת נשק ומחסנית ריקה שנתפסו בשטח פתוח במרחק של כמאה מטר מביתו כשהם עטופים בבד. על הנאשם נגזרו 8 חודשי מאסר בפועל ועונשים נלווים בהתחשב, בין היתר, בעברו הנקי ובתקופת מעצרו. ערעור המדינה התקבל </w:t>
      </w:r>
      <w:r>
        <w:rPr>
          <w:rFonts w:ascii="David" w:eastAsia="Calibri" w:hAnsi="David" w:hint="cs"/>
          <w:rtl/>
        </w:rPr>
        <w:t>ו</w:t>
      </w:r>
      <w:r w:rsidRPr="0020265E">
        <w:rPr>
          <w:rFonts w:ascii="David" w:eastAsia="Calibri" w:hAnsi="David"/>
          <w:rtl/>
        </w:rPr>
        <w:t xml:space="preserve">עונשו הוחמר ל-12 חודשי מאסר בפועל.  </w:t>
      </w:r>
      <w:r w:rsidRPr="0020265E">
        <w:rPr>
          <w:rFonts w:ascii="David" w:eastAsia="Calibri" w:hAnsi="David"/>
          <w:b/>
          <w:bCs/>
          <w:rtl/>
        </w:rPr>
        <w:t>ב</w:t>
      </w:r>
      <w:hyperlink r:id="rId52" w:history="1">
        <w:r w:rsidR="00D07705" w:rsidRPr="00D07705">
          <w:rPr>
            <w:rFonts w:ascii="David" w:eastAsia="Calibri" w:hAnsi="David"/>
            <w:b/>
            <w:bCs/>
            <w:color w:val="0000FF"/>
            <w:u w:val="single"/>
            <w:rtl/>
          </w:rPr>
          <w:t>רע"פ 6265/20</w:t>
        </w:r>
      </w:hyperlink>
      <w:r w:rsidRPr="0020265E">
        <w:rPr>
          <w:rFonts w:ascii="David" w:eastAsia="Calibri" w:hAnsi="David"/>
          <w:b/>
          <w:bCs/>
          <w:rtl/>
        </w:rPr>
        <w:t xml:space="preserve"> </w:t>
      </w:r>
      <w:r w:rsidRPr="0020265E">
        <w:rPr>
          <w:rFonts w:ascii="David" w:eastAsia="Calibri" w:hAnsi="David" w:hint="cs"/>
          <w:b/>
          <w:bCs/>
          <w:u w:val="single"/>
          <w:rtl/>
        </w:rPr>
        <w:t>מדינת ישראל נ' אבו אלקיעאן</w:t>
      </w:r>
      <w:r w:rsidRPr="0020265E">
        <w:rPr>
          <w:rFonts w:ascii="David" w:eastAsia="Calibri" w:hAnsi="David" w:hint="cs"/>
          <w:b/>
          <w:bCs/>
          <w:rtl/>
        </w:rPr>
        <w:t xml:space="preserve"> </w:t>
      </w:r>
      <w:r w:rsidRPr="0020265E">
        <w:rPr>
          <w:rFonts w:ascii="David" w:eastAsia="Calibri" w:hAnsi="David"/>
          <w:rtl/>
        </w:rPr>
        <w:t>הנאש</w:t>
      </w:r>
      <w:r>
        <w:rPr>
          <w:rFonts w:ascii="David" w:eastAsia="Calibri" w:hAnsi="David" w:hint="cs"/>
          <w:rtl/>
        </w:rPr>
        <w:t>ם</w:t>
      </w:r>
      <w:r w:rsidRPr="0020265E">
        <w:rPr>
          <w:rFonts w:ascii="David" w:eastAsia="Calibri" w:hAnsi="David"/>
          <w:rtl/>
        </w:rPr>
        <w:t xml:space="preserve"> הורשע, בעבירה של החזקת נשק ותחמושת שלא כדין, בכך שהחזיק בנשק חם מסוג אקדח ברטה, חצי אוטומטי, קליבר 9 מ"מ, בצירוף מחסנית ובה כדורים. הנשק הוחזק מתחת לכיסא הנהג ברכב אותו החזיק המערער. נקבע מתחם עונש הולם הנע בין</w:t>
      </w:r>
      <w:r w:rsidRPr="0020265E">
        <w:rPr>
          <w:rFonts w:ascii="David" w:eastAsia="Calibri" w:hAnsi="David"/>
          <w:b/>
          <w:bCs/>
          <w:rtl/>
        </w:rPr>
        <w:t xml:space="preserve"> </w:t>
      </w:r>
      <w:r w:rsidRPr="0020265E">
        <w:rPr>
          <w:rFonts w:ascii="David" w:eastAsia="Calibri" w:hAnsi="David"/>
          <w:rtl/>
        </w:rPr>
        <w:t>15 לבין 30 חודשי מאסר בפועל. על הנאשם נעדר עבר פלילי הוטלו  15 חודשי מאסר בפועל וענישה נלווית. ערעור על חומרת העונש התקבל באופן שעונשו הועמד על 12 חודשי מאסר בפועל לאור נסיבות אישיות משפחתיות. בקשת רשות ערעור נדחתה. ב</w:t>
      </w:r>
      <w:hyperlink r:id="rId53" w:history="1">
        <w:r w:rsidR="00D07705" w:rsidRPr="00D07705">
          <w:rPr>
            <w:rFonts w:ascii="David" w:eastAsia="Calibri" w:hAnsi="David"/>
            <w:b/>
            <w:bCs/>
            <w:color w:val="0000FF"/>
            <w:u w:val="single"/>
            <w:rtl/>
          </w:rPr>
          <w:t>ע"פ 2141/21</w:t>
        </w:r>
      </w:hyperlink>
      <w:r w:rsidRPr="0020265E">
        <w:rPr>
          <w:rFonts w:ascii="David" w:eastAsia="Calibri" w:hAnsi="David"/>
          <w:b/>
          <w:bCs/>
          <w:rtl/>
        </w:rPr>
        <w:t xml:space="preserve"> </w:t>
      </w:r>
      <w:r w:rsidRPr="0020265E">
        <w:rPr>
          <w:rFonts w:ascii="David" w:eastAsia="Calibri" w:hAnsi="David" w:hint="cs"/>
          <w:b/>
          <w:bCs/>
          <w:u w:val="single"/>
          <w:rtl/>
        </w:rPr>
        <w:t>איתן חניני נ' מדינת ישראל</w:t>
      </w:r>
      <w:r w:rsidRPr="0020265E">
        <w:rPr>
          <w:rFonts w:ascii="David" w:eastAsia="Calibri" w:hAnsi="David" w:hint="cs"/>
          <w:b/>
          <w:bCs/>
          <w:rtl/>
        </w:rPr>
        <w:t xml:space="preserve"> </w:t>
      </w:r>
      <w:r w:rsidRPr="0020265E">
        <w:rPr>
          <w:rFonts w:ascii="David" w:eastAsia="Calibri" w:hAnsi="David"/>
          <w:rtl/>
        </w:rPr>
        <w:t>הנאשם הורשע בהחזקת נשק ותחמושת, בכך שהצטייד באקדח אוויר שבוצעו בו שינויים שמאפשרים ירי של תחמושת בקליבר 7.65 מ"מ ובכדור</w:t>
      </w:r>
      <w:r>
        <w:rPr>
          <w:rFonts w:ascii="David" w:eastAsia="Calibri" w:hAnsi="David"/>
          <w:rtl/>
        </w:rPr>
        <w:t>ים תואמים –ללא רישיון כדין. הנ</w:t>
      </w:r>
      <w:r>
        <w:rPr>
          <w:rFonts w:ascii="David" w:eastAsia="Calibri" w:hAnsi="David" w:hint="cs"/>
          <w:rtl/>
        </w:rPr>
        <w:t>שק</w:t>
      </w:r>
      <w:r w:rsidRPr="0020265E">
        <w:rPr>
          <w:rFonts w:ascii="David" w:eastAsia="Calibri" w:hAnsi="David"/>
          <w:rtl/>
        </w:rPr>
        <w:t xml:space="preserve"> נתפס בחצר קרובה לביתו, כשהוא נושא את האקדח על גופו ובתוכו ארבעה כדורים. נקבע מתחם עונש הולם אשר נע בין 12 ל-30 חודשי מאסר בפועל. על הנאשם נגזרו 20 חודשי מאסר בפועל. ערעור על חומרת העונש נדחה.</w:t>
      </w:r>
      <w:r w:rsidRPr="0020265E">
        <w:rPr>
          <w:rFonts w:ascii="David" w:eastAsia="Calibri" w:hAnsi="David"/>
        </w:rPr>
        <w:t xml:space="preserve"> </w:t>
      </w:r>
      <w:r w:rsidRPr="0020265E">
        <w:rPr>
          <w:rFonts w:ascii="David" w:eastAsia="Calibri" w:hAnsi="David"/>
          <w:rtl/>
        </w:rPr>
        <w:t>ב</w:t>
      </w:r>
      <w:hyperlink r:id="rId54" w:history="1">
        <w:r w:rsidR="00D07705" w:rsidRPr="00D07705">
          <w:rPr>
            <w:rFonts w:ascii="David" w:eastAsia="Calibri" w:hAnsi="David"/>
            <w:b/>
            <w:bCs/>
            <w:color w:val="0000FF"/>
            <w:u w:val="single"/>
            <w:rtl/>
          </w:rPr>
          <w:t>עפ"ג 4673-08-19</w:t>
        </w:r>
      </w:hyperlink>
      <w:r w:rsidRPr="0020265E">
        <w:rPr>
          <w:rFonts w:ascii="David" w:eastAsia="Calibri" w:hAnsi="David"/>
          <w:b/>
          <w:bCs/>
          <w:rtl/>
        </w:rPr>
        <w:t xml:space="preserve"> </w:t>
      </w:r>
      <w:r w:rsidRPr="0020265E">
        <w:rPr>
          <w:rFonts w:ascii="David" w:eastAsia="Calibri" w:hAnsi="David" w:hint="cs"/>
          <w:b/>
          <w:bCs/>
          <w:u w:val="single"/>
          <w:rtl/>
        </w:rPr>
        <w:t>אבו מוסא נ' מדינת ישראל</w:t>
      </w:r>
      <w:r w:rsidRPr="0020265E">
        <w:rPr>
          <w:rFonts w:ascii="David" w:eastAsia="Calibri" w:hAnsi="David"/>
          <w:rtl/>
        </w:rPr>
        <w:t xml:space="preserve"> הנאשם הורשע בעבירה של החזקת תת מקלע מאולתר</w:t>
      </w:r>
      <w:r>
        <w:rPr>
          <w:rFonts w:ascii="David" w:eastAsia="Calibri" w:hAnsi="David"/>
          <w:rtl/>
        </w:rPr>
        <w:t xml:space="preserve"> מתחת למיט</w:t>
      </w:r>
      <w:r>
        <w:rPr>
          <w:rFonts w:ascii="David" w:eastAsia="Calibri" w:hAnsi="David" w:hint="cs"/>
          <w:rtl/>
        </w:rPr>
        <w:t>ה בביתו</w:t>
      </w:r>
      <w:r w:rsidRPr="0020265E">
        <w:rPr>
          <w:rFonts w:ascii="David" w:eastAsia="Calibri" w:hAnsi="David"/>
          <w:rtl/>
        </w:rPr>
        <w:t xml:space="preserve">. הנשק הגיע לידי הנאשם כעשרה ימים לפני המועד בו נתפס והחזיק בו בעבור אחר, שזהותו אינה ידועה למאשימה. נקבע מתחם העונש ההולם אשר נע בין שנה וחצי ועד שלוש שנות מאסר בפועל. על הנאשם ללא עבר פלילי, הושת עונש של 18 חודשי מאסר בפועל וענישה נלווית. ערעור על חומרת העונש נדחה. </w:t>
      </w:r>
      <w:r w:rsidRPr="0020265E">
        <w:rPr>
          <w:rFonts w:ascii="David" w:eastAsia="Calibri" w:hAnsi="David"/>
          <w:b/>
          <w:bCs/>
          <w:rtl/>
        </w:rPr>
        <w:t>ב</w:t>
      </w:r>
      <w:hyperlink r:id="rId55" w:history="1">
        <w:r w:rsidR="00D07705" w:rsidRPr="00D07705">
          <w:rPr>
            <w:rFonts w:ascii="David" w:eastAsia="Calibri" w:hAnsi="David"/>
            <w:b/>
            <w:bCs/>
            <w:color w:val="0000FF"/>
            <w:u w:val="single"/>
            <w:rtl/>
          </w:rPr>
          <w:t>עפ"ג 22885-05-17</w:t>
        </w:r>
      </w:hyperlink>
      <w:r w:rsidRPr="0020265E">
        <w:rPr>
          <w:rFonts w:ascii="David" w:eastAsia="Calibri" w:hAnsi="David"/>
          <w:b/>
          <w:bCs/>
          <w:rtl/>
        </w:rPr>
        <w:t xml:space="preserve"> </w:t>
      </w:r>
      <w:r w:rsidRPr="0020265E">
        <w:rPr>
          <w:rFonts w:ascii="David" w:eastAsia="Calibri" w:hAnsi="David" w:hint="cs"/>
          <w:b/>
          <w:bCs/>
          <w:u w:val="single"/>
          <w:rtl/>
        </w:rPr>
        <w:t>אלאסד נ' מדינת ישראל</w:t>
      </w:r>
      <w:r w:rsidRPr="0020265E">
        <w:rPr>
          <w:rFonts w:ascii="David" w:eastAsia="Calibri" w:hAnsi="David"/>
          <w:rtl/>
        </w:rPr>
        <w:t xml:space="preserve">  הנאשם הורשע בעבירה של החזקת נשק בכך שהחזיק בנשק מסוג רובה תת מקלע מאולתר ומחסנית המכילה 10 קליעים. נקבע מתחם עונש הולם נע בין 13 ועד 36 חודשי מאסר בפועל. על הנאשם, בעל עבר פלילי שאינו מכביד, הושת עונש מאסר בפועל בן 21 חדשים. ערעור על חומרת העונש נדחה.  ב</w:t>
      </w:r>
      <w:hyperlink r:id="rId56" w:history="1">
        <w:r w:rsidR="00D07705" w:rsidRPr="00D07705">
          <w:rPr>
            <w:rFonts w:ascii="David" w:eastAsia="Calibri" w:hAnsi="David"/>
            <w:b/>
            <w:bCs/>
            <w:color w:val="0000FF"/>
            <w:u w:val="single"/>
            <w:rtl/>
          </w:rPr>
          <w:t>עפ"ג 26133-06-22</w:t>
        </w:r>
      </w:hyperlink>
      <w:r w:rsidRPr="0020265E">
        <w:rPr>
          <w:rFonts w:ascii="David" w:eastAsia="Calibri" w:hAnsi="David"/>
          <w:b/>
          <w:bCs/>
          <w:rtl/>
        </w:rPr>
        <w:t xml:space="preserve"> </w:t>
      </w:r>
      <w:r w:rsidRPr="0020265E">
        <w:rPr>
          <w:rFonts w:ascii="David" w:eastAsia="Calibri" w:hAnsi="David" w:hint="cs"/>
          <w:b/>
          <w:bCs/>
          <w:u w:val="single"/>
          <w:rtl/>
        </w:rPr>
        <w:t>מדינת ישראל נ' כחלול</w:t>
      </w:r>
      <w:r w:rsidRPr="0020265E">
        <w:rPr>
          <w:rFonts w:ascii="David" w:eastAsia="Calibri" w:hAnsi="David"/>
          <w:rtl/>
        </w:rPr>
        <w:t xml:space="preserve"> הנאשם הורשע בהחזקת תת מקלע מאלתר דמוי קרלו, 2 מחסניות ו- 44 כדורים בתוך תיק שהוחבא מתחת לגרוטאת רכב נטוש סמוך לביתו. נקבע מתחם עונש הולם נע בין 10- 24 חודשי מאסר בפועל לצד עונשים נלווים. על הנאש נגזר, לאור גילו הצעיר, העדר עבר פלילי והמלצת שירות המבחן עונש של 10 חודשי מאסר בפועל וענישה נלוות. ערעור על קולת העונש התקבל באופן שעונשו של הנאשם הוחמר ל- 18 חודשי מאסר בפועל. </w:t>
      </w:r>
      <w:hyperlink r:id="rId57" w:history="1">
        <w:r w:rsidR="00D07705" w:rsidRPr="00D07705">
          <w:rPr>
            <w:rFonts w:ascii="David" w:eastAsia="David" w:hAnsi="David"/>
            <w:b/>
            <w:bCs/>
            <w:color w:val="0000FF"/>
            <w:u w:val="single"/>
            <w:rtl/>
          </w:rPr>
          <w:t>ע"פ 6332/22</w:t>
        </w:r>
      </w:hyperlink>
      <w:r w:rsidRPr="0020265E">
        <w:rPr>
          <w:rFonts w:ascii="David" w:eastAsia="David" w:hAnsi="David"/>
          <w:b/>
          <w:bCs/>
          <w:rtl/>
        </w:rPr>
        <w:t xml:space="preserve"> </w:t>
      </w:r>
      <w:r w:rsidRPr="0020265E">
        <w:rPr>
          <w:rFonts w:ascii="David" w:eastAsia="David" w:hAnsi="David"/>
          <w:b/>
          <w:bCs/>
          <w:u w:val="single"/>
          <w:rtl/>
        </w:rPr>
        <w:t>אסף פדידה נ' מדינת ישראל</w:t>
      </w:r>
      <w:r w:rsidRPr="0020265E">
        <w:rPr>
          <w:rFonts w:ascii="David" w:eastAsia="David" w:hAnsi="David"/>
          <w:rtl/>
        </w:rPr>
        <w:t xml:space="preserve"> הנאשם הורשע בעבירה</w:t>
      </w:r>
      <w:r>
        <w:rPr>
          <w:rFonts w:ascii="David" w:eastAsia="David" w:hAnsi="David"/>
          <w:rtl/>
        </w:rPr>
        <w:t xml:space="preserve"> של החזקת אקדח הזנקה שהוסב לירי</w:t>
      </w:r>
      <w:r>
        <w:rPr>
          <w:rFonts w:ascii="David" w:eastAsia="David" w:hAnsi="David" w:hint="cs"/>
          <w:rtl/>
        </w:rPr>
        <w:t xml:space="preserve"> ו</w:t>
      </w:r>
      <w:r w:rsidRPr="0020265E">
        <w:rPr>
          <w:rFonts w:ascii="David" w:eastAsia="David" w:hAnsi="David"/>
          <w:rtl/>
        </w:rPr>
        <w:t xml:space="preserve">מחסנית עם 8 כדורים. נקבע מתחם אשר נע בין 11 ועד 30 חודשי מאסר. על הנאשם הוטל 11 חודשי מאסר לצד עונשים נלווים. ערעור על חומרת העונש התקבל באופן שעונשו הוקל ל- 9 חודשי מאסר בעבודות שירות בשל  שיקולי שיקום ותסקיר שירות מבחן חיובי. </w:t>
      </w:r>
    </w:p>
    <w:p w14:paraId="3DAE9F2E" w14:textId="77777777" w:rsidR="00E10A48" w:rsidRPr="0081143D" w:rsidRDefault="00E10A48" w:rsidP="00E10A48">
      <w:pPr>
        <w:pStyle w:val="a9"/>
        <w:numPr>
          <w:ilvl w:val="0"/>
          <w:numId w:val="1"/>
        </w:numPr>
        <w:spacing w:after="160" w:line="360" w:lineRule="auto"/>
        <w:jc w:val="both"/>
        <w:rPr>
          <w:rFonts w:ascii="David" w:eastAsia="Calibri" w:hAnsi="David"/>
          <w:rtl/>
        </w:rPr>
      </w:pPr>
      <w:r w:rsidRPr="0081143D">
        <w:rPr>
          <w:rFonts w:ascii="David" w:hAnsi="David"/>
          <w:rtl/>
        </w:rPr>
        <w:t xml:space="preserve">המאשימה הפנתה למספר פסקי דין כאשר מתחמי העונש שנקבעו נעים בין 24 ועד 50 חודשי מאסר בפועל והעונשים נעים בין 9 ועד 30 חודשים. </w:t>
      </w:r>
    </w:p>
    <w:p w14:paraId="6F1D7675" w14:textId="77777777" w:rsidR="00E10A48" w:rsidRPr="0081143D" w:rsidRDefault="00E10A48" w:rsidP="00E10A48">
      <w:pPr>
        <w:pStyle w:val="a9"/>
        <w:spacing w:after="160" w:line="360" w:lineRule="auto"/>
        <w:jc w:val="both"/>
        <w:rPr>
          <w:rFonts w:ascii="David" w:hAnsi="David"/>
          <w:sz w:val="12"/>
          <w:szCs w:val="12"/>
        </w:rPr>
      </w:pPr>
    </w:p>
    <w:p w14:paraId="58566309" w14:textId="77777777" w:rsidR="00E10A48" w:rsidRPr="0081511A" w:rsidRDefault="00E10A48" w:rsidP="00E10A48">
      <w:pPr>
        <w:pStyle w:val="a9"/>
        <w:numPr>
          <w:ilvl w:val="0"/>
          <w:numId w:val="1"/>
        </w:numPr>
        <w:spacing w:after="160" w:line="360" w:lineRule="auto"/>
        <w:jc w:val="both"/>
        <w:rPr>
          <w:rFonts w:ascii="David" w:eastAsia="Calibri" w:hAnsi="David"/>
          <w:sz w:val="2"/>
          <w:szCs w:val="2"/>
        </w:rPr>
      </w:pPr>
      <w:r w:rsidRPr="0081511A">
        <w:rPr>
          <w:rFonts w:ascii="David" w:hAnsi="David"/>
          <w:rtl/>
        </w:rPr>
        <w:t>ב"כ הנאשם הגיש פסיקה כאשר מתחמי הענישה שנקבעו נעים בין  13 ועד 48 חודשי מאסר , והעונשים שהוטלו נעים בין 6 חודשי מאסר בעבודות שירות ועד 15 חודשי מאסר בפועל.</w:t>
      </w:r>
      <w:r w:rsidRPr="0081511A">
        <w:rPr>
          <w:rFonts w:ascii="David" w:hAnsi="David" w:hint="cs"/>
          <w:rtl/>
        </w:rPr>
        <w:t xml:space="preserve"> </w:t>
      </w:r>
    </w:p>
    <w:p w14:paraId="052225EB" w14:textId="77777777" w:rsidR="00E10A48" w:rsidRPr="0081143D" w:rsidRDefault="00E10A48" w:rsidP="00E10A48">
      <w:pPr>
        <w:numPr>
          <w:ilvl w:val="0"/>
          <w:numId w:val="1"/>
        </w:numPr>
        <w:suppressLineNumbers/>
        <w:spacing w:after="160" w:line="360" w:lineRule="auto"/>
        <w:contextualSpacing/>
        <w:jc w:val="both"/>
        <w:rPr>
          <w:rFonts w:ascii="David" w:eastAsia="David" w:hAnsi="David"/>
        </w:rPr>
      </w:pPr>
      <w:r w:rsidRPr="0081143D">
        <w:rPr>
          <w:rFonts w:ascii="David" w:hAnsi="David"/>
          <w:rtl/>
        </w:rPr>
        <w:t xml:space="preserve">בכל הנוגע לעבירה של שיבוש מהלכי משפט </w:t>
      </w:r>
      <w:r w:rsidRPr="0081143D">
        <w:rPr>
          <w:rFonts w:ascii="David" w:hAnsi="David"/>
          <w:b/>
          <w:bCs/>
          <w:rtl/>
        </w:rPr>
        <w:t>ב</w:t>
      </w:r>
      <w:hyperlink r:id="rId58" w:history="1">
        <w:r w:rsidR="00D07705" w:rsidRPr="00D07705">
          <w:rPr>
            <w:rFonts w:ascii="David" w:hAnsi="David"/>
            <w:b/>
            <w:bCs/>
            <w:color w:val="0000FF"/>
            <w:u w:val="single"/>
            <w:rtl/>
          </w:rPr>
          <w:t>ע"פ 8107/13</w:t>
        </w:r>
      </w:hyperlink>
      <w:r w:rsidRPr="0081143D">
        <w:rPr>
          <w:rFonts w:ascii="David" w:hAnsi="David"/>
          <w:b/>
          <w:bCs/>
          <w:rtl/>
        </w:rPr>
        <w:t xml:space="preserve"> </w:t>
      </w:r>
      <w:r w:rsidRPr="0081143D">
        <w:rPr>
          <w:rFonts w:ascii="David" w:hAnsi="David" w:hint="cs"/>
          <w:b/>
          <w:bCs/>
          <w:u w:val="single"/>
          <w:rtl/>
        </w:rPr>
        <w:t>שלמה כהן נ' מדינת ישראל</w:t>
      </w:r>
      <w:r w:rsidRPr="0081143D">
        <w:rPr>
          <w:rFonts w:ascii="David" w:hAnsi="David" w:hint="cs"/>
          <w:b/>
          <w:bCs/>
          <w:rtl/>
        </w:rPr>
        <w:t xml:space="preserve"> </w:t>
      </w:r>
      <w:r w:rsidRPr="0081143D">
        <w:rPr>
          <w:rFonts w:ascii="David" w:hAnsi="David"/>
          <w:rtl/>
        </w:rPr>
        <w:t>, אישר בית המשפט העליון מתחם ענישה הנע בין 3 ל-9 חודשי מאסר, בגין  ביצוע שתי עבירות שיבוש מהלכי משפט ושתי עבירות הדחה בחקירה. ב</w:t>
      </w:r>
      <w:hyperlink r:id="rId59" w:history="1">
        <w:r w:rsidR="00D07705" w:rsidRPr="00D07705">
          <w:rPr>
            <w:rFonts w:ascii="David" w:hAnsi="David"/>
            <w:b/>
            <w:bCs/>
            <w:color w:val="0000FF"/>
            <w:u w:val="single"/>
            <w:rtl/>
          </w:rPr>
          <w:t>ת"פ (מחוזי-ת"א) 7455-03-13</w:t>
        </w:r>
      </w:hyperlink>
      <w:r w:rsidRPr="0081143D">
        <w:rPr>
          <w:rFonts w:ascii="David" w:hAnsi="David"/>
          <w:b/>
          <w:bCs/>
          <w:rtl/>
        </w:rPr>
        <w:t xml:space="preserve"> </w:t>
      </w:r>
      <w:r w:rsidRPr="0081143D">
        <w:rPr>
          <w:rFonts w:ascii="David" w:hAnsi="David" w:hint="cs"/>
          <w:b/>
          <w:bCs/>
          <w:u w:val="single"/>
          <w:rtl/>
        </w:rPr>
        <w:t>מדינת ישראל נ' ג'קי יעקב מור</w:t>
      </w:r>
      <w:r w:rsidRPr="0081143D">
        <w:rPr>
          <w:rFonts w:ascii="David" w:hAnsi="David"/>
          <w:rtl/>
        </w:rPr>
        <w:t xml:space="preserve">, הנאשם  </w:t>
      </w:r>
      <w:r w:rsidRPr="0081143D">
        <w:rPr>
          <w:rFonts w:ascii="David" w:hAnsi="David" w:hint="cs"/>
          <w:rtl/>
        </w:rPr>
        <w:t xml:space="preserve">הורשע </w:t>
      </w:r>
      <w:r w:rsidRPr="0081143D">
        <w:rPr>
          <w:rFonts w:ascii="David" w:hAnsi="David"/>
          <w:rtl/>
        </w:rPr>
        <w:t>בין היתר בשתי עבירות שיבוש מהלכי משפט ונקבע כי מתחם הענישה לשתי עבירות השיבוש נע בין 6 חודשי מאסר מותנים לבין 7 חודשי מאסר בפועל.</w:t>
      </w:r>
      <w:r w:rsidRPr="0081143D">
        <w:rPr>
          <w:rFonts w:ascii="David" w:hAnsi="David"/>
          <w:b/>
          <w:bCs/>
          <w:rtl/>
        </w:rPr>
        <w:t xml:space="preserve"> ב</w:t>
      </w:r>
      <w:hyperlink r:id="rId60" w:history="1">
        <w:r w:rsidR="00D07705" w:rsidRPr="00D07705">
          <w:rPr>
            <w:rFonts w:ascii="David" w:hAnsi="David"/>
            <w:b/>
            <w:bCs/>
            <w:color w:val="0000FF"/>
            <w:u w:val="single"/>
            <w:rtl/>
          </w:rPr>
          <w:t>ת"פ (מחוזי-ת"א) 61784-01-13</w:t>
        </w:r>
      </w:hyperlink>
      <w:r w:rsidRPr="0081143D">
        <w:rPr>
          <w:rFonts w:ascii="David" w:hAnsi="David"/>
          <w:b/>
          <w:bCs/>
          <w:rtl/>
        </w:rPr>
        <w:t xml:space="preserve"> </w:t>
      </w:r>
      <w:r w:rsidRPr="0081143D">
        <w:rPr>
          <w:rFonts w:ascii="David" w:hAnsi="David" w:hint="cs"/>
          <w:b/>
          <w:bCs/>
          <w:u w:val="single"/>
          <w:rtl/>
        </w:rPr>
        <w:t>מדינת ישראל נ' בר ואח'</w:t>
      </w:r>
      <w:r w:rsidRPr="0081143D">
        <w:rPr>
          <w:rFonts w:ascii="David" w:hAnsi="David"/>
          <w:rtl/>
        </w:rPr>
        <w:t xml:space="preserve">, הורשע הנאשם בקבלת שוחד, שיבוש מהלכי משפט ובעבירות נוספות. בגין עבירת השיבוש קבע בית המשפט המחוזי מתחם הנע בין 3 ל-8 חודשי מאסר. </w:t>
      </w:r>
    </w:p>
    <w:p w14:paraId="0A154D17" w14:textId="77777777" w:rsidR="00E10A48" w:rsidRPr="0081143D" w:rsidRDefault="00E10A48" w:rsidP="00E10A48">
      <w:pPr>
        <w:spacing w:line="360" w:lineRule="auto"/>
        <w:ind w:left="720"/>
        <w:contextualSpacing/>
        <w:jc w:val="both"/>
        <w:rPr>
          <w:rFonts w:ascii="David" w:hAnsi="David"/>
          <w:sz w:val="12"/>
          <w:szCs w:val="12"/>
        </w:rPr>
      </w:pPr>
    </w:p>
    <w:p w14:paraId="6E3B1EFB" w14:textId="77777777" w:rsidR="00E10A48" w:rsidRPr="0020265E" w:rsidRDefault="00E10A48" w:rsidP="00E10A48">
      <w:pPr>
        <w:spacing w:after="160" w:line="360" w:lineRule="auto"/>
        <w:ind w:left="391"/>
        <w:jc w:val="both"/>
        <w:rPr>
          <w:rFonts w:ascii="David" w:hAnsi="David"/>
          <w:b/>
          <w:bCs/>
          <w:u w:val="single"/>
        </w:rPr>
      </w:pPr>
      <w:r w:rsidRPr="0020265E">
        <w:rPr>
          <w:rFonts w:ascii="David" w:hAnsi="David"/>
          <w:b/>
          <w:bCs/>
          <w:u w:val="single"/>
          <w:rtl/>
        </w:rPr>
        <w:t>לסיכום מתחם העונש ההולם</w:t>
      </w:r>
    </w:p>
    <w:p w14:paraId="6D2062CA" w14:textId="77777777" w:rsidR="00E10A48" w:rsidRPr="0020265E" w:rsidRDefault="00E10A48" w:rsidP="00E10A48">
      <w:pPr>
        <w:numPr>
          <w:ilvl w:val="0"/>
          <w:numId w:val="1"/>
        </w:numPr>
        <w:spacing w:before="120" w:after="160" w:line="360" w:lineRule="auto"/>
        <w:contextualSpacing/>
        <w:jc w:val="both"/>
        <w:rPr>
          <w:rFonts w:ascii="David" w:hAnsi="David"/>
          <w:rtl/>
        </w:rPr>
      </w:pPr>
      <w:r w:rsidRPr="0020265E">
        <w:rPr>
          <w:rFonts w:ascii="David" w:hAnsi="David"/>
          <w:rtl/>
        </w:rPr>
        <w:t>הצדדים טענו לקביעת מתחם עונש אחד בגין שתי העבירות.</w:t>
      </w:r>
    </w:p>
    <w:p w14:paraId="0E7AD6E6" w14:textId="77777777" w:rsidR="00E10A48" w:rsidRPr="009A65EC" w:rsidRDefault="00E10A48" w:rsidP="00E10A48">
      <w:pPr>
        <w:spacing w:before="120" w:line="360" w:lineRule="auto"/>
        <w:ind w:left="720"/>
        <w:contextualSpacing/>
        <w:jc w:val="both"/>
        <w:rPr>
          <w:rFonts w:ascii="David" w:hAnsi="David"/>
          <w:sz w:val="8"/>
          <w:szCs w:val="8"/>
          <w:rtl/>
        </w:rPr>
      </w:pPr>
    </w:p>
    <w:p w14:paraId="1992DE3E" w14:textId="77777777" w:rsidR="00E10A48" w:rsidRPr="0081143D" w:rsidRDefault="00E10A48" w:rsidP="00E10A48">
      <w:pPr>
        <w:pStyle w:val="a9"/>
        <w:numPr>
          <w:ilvl w:val="0"/>
          <w:numId w:val="1"/>
        </w:numPr>
        <w:spacing w:line="360" w:lineRule="auto"/>
        <w:jc w:val="both"/>
        <w:rPr>
          <w:rFonts w:ascii="David" w:hAnsi="David"/>
          <w:b/>
          <w:bCs/>
          <w:u w:val="single"/>
        </w:rPr>
      </w:pPr>
      <w:r w:rsidRPr="0081143D">
        <w:rPr>
          <w:rFonts w:ascii="David" w:eastAsia="Calibri" w:hAnsi="David"/>
          <w:rtl/>
        </w:rPr>
        <w:t xml:space="preserve">העונש המרבי הקבוע בחוק ביחס לעבירה של החזקת נשק הוא 7 שנות מאסר </w:t>
      </w:r>
      <w:r w:rsidRPr="0081143D">
        <w:rPr>
          <w:rFonts w:ascii="David" w:eastAsia="David" w:hAnsi="David"/>
          <w:rtl/>
        </w:rPr>
        <w:t xml:space="preserve">ולא פחות מ- 21 חודשי מאסר (עונש המינימום הקבוע בחוק שאינו יכול להיות כולו על תנאי) ובצידה של </w:t>
      </w:r>
      <w:r w:rsidRPr="0081143D">
        <w:rPr>
          <w:rFonts w:ascii="David" w:eastAsia="Calibri" w:hAnsi="David"/>
          <w:rtl/>
        </w:rPr>
        <w:t>עבירת שיבוש מהלכי משפט נקבע עונש של עד 3 שנים.</w:t>
      </w:r>
    </w:p>
    <w:p w14:paraId="3264BC34" w14:textId="77777777" w:rsidR="00E10A48" w:rsidRPr="009A65EC" w:rsidRDefault="00E10A48" w:rsidP="00E10A48">
      <w:pPr>
        <w:spacing w:after="160" w:line="360" w:lineRule="auto"/>
        <w:ind w:left="720"/>
        <w:contextualSpacing/>
        <w:jc w:val="both"/>
        <w:rPr>
          <w:rFonts w:ascii="David" w:hAnsi="David"/>
          <w:b/>
          <w:bCs/>
          <w:sz w:val="2"/>
          <w:szCs w:val="2"/>
          <w:u w:val="single"/>
          <w:rtl/>
        </w:rPr>
      </w:pPr>
    </w:p>
    <w:p w14:paraId="5D94DBE6" w14:textId="77777777" w:rsidR="00E10A48" w:rsidRPr="0081143D" w:rsidRDefault="00E10A48" w:rsidP="00E10A48">
      <w:pPr>
        <w:pStyle w:val="a9"/>
        <w:numPr>
          <w:ilvl w:val="0"/>
          <w:numId w:val="1"/>
        </w:numPr>
        <w:spacing w:line="360" w:lineRule="auto"/>
        <w:jc w:val="both"/>
        <w:rPr>
          <w:rFonts w:ascii="David" w:eastAsia="David" w:hAnsi="David"/>
        </w:rPr>
      </w:pPr>
      <w:r w:rsidRPr="0081143D">
        <w:rPr>
          <w:rFonts w:ascii="David" w:hAnsi="David"/>
          <w:rtl/>
        </w:rPr>
        <w:t>לאחר ששקלתי את חומרת העבירות, נסיבות ביצועּן כמפורט לעיל</w:t>
      </w:r>
      <w:r>
        <w:rPr>
          <w:rFonts w:ascii="David" w:hAnsi="David" w:hint="cs"/>
          <w:rtl/>
        </w:rPr>
        <w:t xml:space="preserve"> ובפרט העובדה שהנאשם החזיק בשלושה נשקים, שניים מהם מסוג תת מקלע ותחמושת תואמת לאחד מהם</w:t>
      </w:r>
      <w:r w:rsidRPr="0081143D">
        <w:rPr>
          <w:rFonts w:ascii="David" w:hAnsi="David"/>
          <w:rtl/>
        </w:rPr>
        <w:t xml:space="preserve">, הערכים החברתיים עליהם יש להגן, מידת הפגיעה בהם והפסיקה הנהוגה, אני סבור כי מתחם העונש ההולם בגין שתי העבירות יחדיו צריך לכלול רכיב של מאסר בפועל שלא יפחת מ- </w:t>
      </w:r>
      <w:r>
        <w:rPr>
          <w:rFonts w:ascii="David" w:hAnsi="David" w:hint="cs"/>
          <w:rtl/>
        </w:rPr>
        <w:t>28 ח</w:t>
      </w:r>
      <w:r w:rsidRPr="0081143D">
        <w:rPr>
          <w:rFonts w:ascii="David" w:hAnsi="David"/>
          <w:rtl/>
        </w:rPr>
        <w:t xml:space="preserve">ודשים ולא יעלה על 52 חודשים בצד עונשים נלווים. </w:t>
      </w:r>
    </w:p>
    <w:p w14:paraId="32C4EB8F" w14:textId="77777777" w:rsidR="00E10A48" w:rsidRPr="00E467BD" w:rsidRDefault="00E10A48" w:rsidP="00E10A48">
      <w:pPr>
        <w:spacing w:after="160" w:line="360" w:lineRule="auto"/>
        <w:ind w:firstLine="360"/>
        <w:jc w:val="both"/>
        <w:rPr>
          <w:rFonts w:ascii="David" w:hAnsi="David"/>
          <w:b/>
          <w:bCs/>
          <w:sz w:val="2"/>
          <w:szCs w:val="2"/>
          <w:u w:val="single"/>
          <w:rtl/>
        </w:rPr>
      </w:pPr>
    </w:p>
    <w:p w14:paraId="478DA118" w14:textId="77777777" w:rsidR="00E10A48" w:rsidRPr="0020265E" w:rsidRDefault="00E10A48" w:rsidP="00E10A48">
      <w:pPr>
        <w:spacing w:after="160" w:line="360" w:lineRule="auto"/>
        <w:ind w:firstLine="360"/>
        <w:jc w:val="both"/>
        <w:rPr>
          <w:rFonts w:ascii="David" w:hAnsi="David"/>
          <w:b/>
          <w:bCs/>
          <w:u w:val="single"/>
        </w:rPr>
      </w:pPr>
      <w:r w:rsidRPr="0020265E">
        <w:rPr>
          <w:rFonts w:ascii="David" w:hAnsi="David"/>
          <w:b/>
          <w:bCs/>
          <w:u w:val="single"/>
          <w:rtl/>
        </w:rPr>
        <w:t>נסיבות שאינן קשורות בביצוע העבירות</w:t>
      </w:r>
    </w:p>
    <w:p w14:paraId="1F69EEE3" w14:textId="77777777" w:rsidR="00E10A48" w:rsidRPr="0020265E" w:rsidRDefault="00E10A48" w:rsidP="00E10A48">
      <w:pPr>
        <w:numPr>
          <w:ilvl w:val="0"/>
          <w:numId w:val="1"/>
        </w:numPr>
        <w:spacing w:after="160" w:line="360" w:lineRule="auto"/>
        <w:contextualSpacing/>
        <w:jc w:val="both"/>
        <w:rPr>
          <w:rFonts w:ascii="David" w:hAnsi="David"/>
          <w:rtl/>
        </w:rPr>
      </w:pPr>
      <w:r w:rsidRPr="0020265E">
        <w:rPr>
          <w:rFonts w:ascii="David" w:hAnsi="David"/>
          <w:rtl/>
        </w:rPr>
        <w:t>לקולה אני מביא בחשבון את: הודאתו של הנאשם בכתב האישום המתוקן; החיסכון בזמן שיפוטי; קבלת האחריות; הבעת החרטה;  גילו הצעיר של הנאשם; העובדה שהוא נעדר כל עבר פלילי ולמעשה מדובר בהס</w:t>
      </w:r>
      <w:r>
        <w:rPr>
          <w:rFonts w:ascii="David" w:hAnsi="David"/>
          <w:rtl/>
        </w:rPr>
        <w:t xml:space="preserve">תבכותו הראשונה; תקופת המעצר בה </w:t>
      </w:r>
      <w:r>
        <w:rPr>
          <w:rFonts w:ascii="David" w:hAnsi="David" w:hint="cs"/>
          <w:rtl/>
        </w:rPr>
        <w:t xml:space="preserve">הנאשם היה </w:t>
      </w:r>
      <w:r w:rsidRPr="0020265E">
        <w:rPr>
          <w:rFonts w:ascii="David" w:hAnsi="David"/>
          <w:rtl/>
        </w:rPr>
        <w:t>נתון עד היום (כידוע תנאי מעצר קשים מתנאי מאסר); והשלכות המאסר על הנאשם ומשפחתו,</w:t>
      </w:r>
      <w:r>
        <w:rPr>
          <w:rFonts w:ascii="David" w:hAnsi="David"/>
          <w:rtl/>
        </w:rPr>
        <w:t xml:space="preserve"> בפרט כאשר מדובר במאסרו הראשון</w:t>
      </w:r>
      <w:r>
        <w:rPr>
          <w:rFonts w:ascii="David" w:hAnsi="David" w:hint="cs"/>
          <w:rtl/>
        </w:rPr>
        <w:t xml:space="preserve"> של הנאשם.</w:t>
      </w:r>
    </w:p>
    <w:p w14:paraId="3DFE33C9" w14:textId="77777777" w:rsidR="00E10A48" w:rsidRPr="008361C6" w:rsidRDefault="00E10A48" w:rsidP="00E10A48">
      <w:pPr>
        <w:spacing w:line="360" w:lineRule="auto"/>
        <w:ind w:left="720"/>
        <w:contextualSpacing/>
        <w:jc w:val="both"/>
        <w:rPr>
          <w:rFonts w:ascii="David" w:eastAsia="Calibri" w:hAnsi="David"/>
          <w:sz w:val="10"/>
          <w:szCs w:val="10"/>
        </w:rPr>
      </w:pPr>
    </w:p>
    <w:p w14:paraId="5C157E22" w14:textId="77777777" w:rsidR="00E10A48" w:rsidRDefault="00E10A48" w:rsidP="00E10A48">
      <w:pPr>
        <w:numPr>
          <w:ilvl w:val="0"/>
          <w:numId w:val="1"/>
        </w:numPr>
        <w:spacing w:after="160" w:line="360" w:lineRule="auto"/>
        <w:contextualSpacing/>
        <w:jc w:val="both"/>
        <w:rPr>
          <w:rFonts w:ascii="David" w:eastAsia="David" w:hAnsi="David"/>
          <w:u w:val="single"/>
        </w:rPr>
      </w:pPr>
      <w:r w:rsidRPr="0020265E">
        <w:rPr>
          <w:rFonts w:ascii="David" w:hAnsi="David"/>
          <w:rtl/>
        </w:rPr>
        <w:t>במכלול הנסיבות ובשים לב להעדר עבר פלילי,</w:t>
      </w:r>
      <w:r w:rsidR="00D07705">
        <w:rPr>
          <w:rFonts w:ascii="David" w:hAnsi="David"/>
          <w:rtl/>
        </w:rPr>
        <w:t xml:space="preserve"> </w:t>
      </w:r>
      <w:r w:rsidRPr="0020265E">
        <w:rPr>
          <w:rFonts w:ascii="David" w:hAnsi="David"/>
          <w:rtl/>
        </w:rPr>
        <w:t xml:space="preserve"> אני סבור שנכון לגזור על הנאשם עונש מאסר בפועל ברף התחתון של מתחם העונש ההולם. </w:t>
      </w:r>
    </w:p>
    <w:p w14:paraId="3F94CF92" w14:textId="77777777" w:rsidR="00E10A48" w:rsidRDefault="00E10A48" w:rsidP="00E10A48">
      <w:pPr>
        <w:pStyle w:val="a9"/>
        <w:rPr>
          <w:rFonts w:ascii="David" w:eastAsia="David" w:hAnsi="David"/>
          <w:u w:val="single"/>
          <w:rtl/>
        </w:rPr>
      </w:pPr>
    </w:p>
    <w:p w14:paraId="4AEBD91F" w14:textId="77777777" w:rsidR="00E10A48" w:rsidRPr="0020265E" w:rsidRDefault="00E10A48" w:rsidP="00E10A48">
      <w:pPr>
        <w:spacing w:after="160" w:line="360" w:lineRule="auto"/>
        <w:ind w:left="720"/>
        <w:contextualSpacing/>
        <w:jc w:val="both"/>
        <w:rPr>
          <w:rFonts w:ascii="David" w:eastAsia="David" w:hAnsi="David"/>
          <w:u w:val="single"/>
        </w:rPr>
      </w:pPr>
    </w:p>
    <w:p w14:paraId="54F5663C" w14:textId="77777777" w:rsidR="00E10A48" w:rsidRPr="008361C6" w:rsidRDefault="00E10A48" w:rsidP="00E10A48">
      <w:pPr>
        <w:spacing w:after="160"/>
        <w:ind w:left="720"/>
        <w:contextualSpacing/>
        <w:jc w:val="both"/>
        <w:rPr>
          <w:rFonts w:ascii="David" w:hAnsi="David"/>
          <w:b/>
          <w:bCs/>
          <w:sz w:val="14"/>
          <w:szCs w:val="14"/>
        </w:rPr>
      </w:pPr>
    </w:p>
    <w:p w14:paraId="655FDBD1" w14:textId="77777777" w:rsidR="00E10A48" w:rsidRPr="0020265E" w:rsidRDefault="00E10A48" w:rsidP="00E10A48">
      <w:pPr>
        <w:numPr>
          <w:ilvl w:val="0"/>
          <w:numId w:val="1"/>
        </w:numPr>
        <w:spacing w:after="160" w:line="360" w:lineRule="auto"/>
        <w:contextualSpacing/>
        <w:jc w:val="both"/>
        <w:rPr>
          <w:rFonts w:ascii="David" w:eastAsia="Calibri" w:hAnsi="David"/>
          <w:rtl/>
        </w:rPr>
      </w:pPr>
      <w:r w:rsidRPr="0020265E">
        <w:rPr>
          <w:rFonts w:ascii="David" w:eastAsia="Calibri" w:hAnsi="David"/>
          <w:rtl/>
        </w:rPr>
        <w:t>לאור כל האמור לעיל, אני גוזר על הנאשם</w:t>
      </w:r>
      <w:r w:rsidR="00D07705">
        <w:rPr>
          <w:rFonts w:ascii="David" w:eastAsia="Calibri" w:hAnsi="David"/>
          <w:rtl/>
        </w:rPr>
        <w:t xml:space="preserve"> </w:t>
      </w:r>
      <w:r w:rsidRPr="0020265E">
        <w:rPr>
          <w:rFonts w:ascii="David" w:eastAsia="Calibri" w:hAnsi="David"/>
          <w:rtl/>
        </w:rPr>
        <w:t xml:space="preserve"> את העונשים הבאים:</w:t>
      </w:r>
    </w:p>
    <w:p w14:paraId="2980E0D4" w14:textId="77777777" w:rsidR="00E10A48" w:rsidRPr="0020265E" w:rsidRDefault="00E10A48" w:rsidP="00E10A48">
      <w:pPr>
        <w:spacing w:after="160"/>
        <w:jc w:val="both"/>
        <w:rPr>
          <w:rFonts w:ascii="David" w:hAnsi="David"/>
          <w:b/>
          <w:bCs/>
        </w:rPr>
      </w:pPr>
    </w:p>
    <w:p w14:paraId="503E012D" w14:textId="77777777" w:rsidR="00E10A48" w:rsidRPr="0020265E" w:rsidRDefault="00E10A48" w:rsidP="00E10A48">
      <w:pPr>
        <w:spacing w:after="160" w:line="360" w:lineRule="auto"/>
        <w:ind w:left="708" w:firstLine="12"/>
        <w:jc w:val="both"/>
        <w:rPr>
          <w:rFonts w:ascii="David" w:hAnsi="David"/>
          <w:b/>
          <w:bCs/>
          <w:u w:val="single"/>
        </w:rPr>
      </w:pPr>
      <w:r w:rsidRPr="0020265E">
        <w:rPr>
          <w:rFonts w:ascii="David" w:hAnsi="David"/>
          <w:b/>
          <w:bCs/>
          <w:rtl/>
        </w:rPr>
        <w:t>אני גוזר על הנאשם מאסר בפועל לתקופה של</w:t>
      </w:r>
      <w:r w:rsidR="00D07705">
        <w:rPr>
          <w:rFonts w:ascii="David" w:hAnsi="David"/>
          <w:b/>
          <w:bCs/>
          <w:rtl/>
        </w:rPr>
        <w:t xml:space="preserve"> </w:t>
      </w:r>
      <w:r w:rsidRPr="0020265E">
        <w:rPr>
          <w:rFonts w:ascii="David" w:hAnsi="David"/>
          <w:b/>
          <w:bCs/>
          <w:rtl/>
        </w:rPr>
        <w:t xml:space="preserve"> </w:t>
      </w:r>
      <w:r>
        <w:rPr>
          <w:rFonts w:ascii="David" w:hAnsi="David" w:hint="cs"/>
          <w:b/>
          <w:bCs/>
          <w:rtl/>
        </w:rPr>
        <w:t xml:space="preserve">28 </w:t>
      </w:r>
      <w:r w:rsidRPr="0020265E">
        <w:rPr>
          <w:rFonts w:ascii="David" w:hAnsi="David"/>
          <w:b/>
          <w:bCs/>
          <w:rtl/>
        </w:rPr>
        <w:t xml:space="preserve"> חודשים בניכוי ימי מעצרו מתאריך 14/07/22 ועד היום.</w:t>
      </w:r>
    </w:p>
    <w:p w14:paraId="75C00538" w14:textId="77777777" w:rsidR="00E10A48" w:rsidRPr="0020265E" w:rsidRDefault="00D07705" w:rsidP="00E10A48">
      <w:pPr>
        <w:snapToGrid w:val="0"/>
        <w:spacing w:after="160" w:line="360" w:lineRule="auto"/>
        <w:ind w:left="707" w:hanging="425"/>
        <w:contextualSpacing/>
        <w:jc w:val="both"/>
        <w:rPr>
          <w:rFonts w:ascii="David" w:hAnsi="David"/>
          <w:b/>
          <w:bCs/>
          <w:rtl/>
        </w:rPr>
      </w:pPr>
      <w:r>
        <w:rPr>
          <w:rFonts w:ascii="David" w:hAnsi="David"/>
          <w:b/>
          <w:bCs/>
          <w:rtl/>
        </w:rPr>
        <w:t xml:space="preserve">      </w:t>
      </w:r>
      <w:r w:rsidR="00E10A48" w:rsidRPr="0020265E">
        <w:rPr>
          <w:rFonts w:ascii="David" w:hAnsi="David"/>
          <w:b/>
          <w:bCs/>
          <w:rtl/>
        </w:rPr>
        <w:t xml:space="preserve"> אני גוזר על הנאשם עונש מאסר על תנאי לתקופה של 10 חודשים והתנאי הוא</w:t>
      </w:r>
      <w:r>
        <w:rPr>
          <w:rFonts w:ascii="David" w:hAnsi="David"/>
          <w:b/>
          <w:bCs/>
          <w:rtl/>
        </w:rPr>
        <w:t xml:space="preserve"> </w:t>
      </w:r>
      <w:r w:rsidR="00E10A48" w:rsidRPr="0020265E">
        <w:rPr>
          <w:rFonts w:ascii="David" w:hAnsi="David"/>
          <w:b/>
          <w:bCs/>
          <w:rtl/>
        </w:rPr>
        <w:t xml:space="preserve"> שלא יעבור בתוך 3 שנים מיום שחרורו ממאסרו עבירת נשק מסוג פשע, ויורשע בגינה.</w:t>
      </w:r>
    </w:p>
    <w:p w14:paraId="6295286F" w14:textId="77777777" w:rsidR="00E10A48" w:rsidRPr="008361C6" w:rsidRDefault="00E10A48" w:rsidP="00E10A48">
      <w:pPr>
        <w:snapToGrid w:val="0"/>
        <w:spacing w:after="160" w:line="360" w:lineRule="auto"/>
        <w:ind w:left="707" w:hanging="425"/>
        <w:contextualSpacing/>
        <w:jc w:val="both"/>
        <w:rPr>
          <w:rFonts w:ascii="David" w:hAnsi="David"/>
          <w:b/>
          <w:bCs/>
          <w:sz w:val="10"/>
          <w:szCs w:val="10"/>
          <w:rtl/>
        </w:rPr>
      </w:pPr>
    </w:p>
    <w:p w14:paraId="0F3D042B" w14:textId="77777777" w:rsidR="00E10A48" w:rsidRPr="0020265E" w:rsidRDefault="00D07705" w:rsidP="00E10A48">
      <w:pPr>
        <w:snapToGrid w:val="0"/>
        <w:spacing w:after="160" w:line="360" w:lineRule="auto"/>
        <w:ind w:left="707" w:hanging="425"/>
        <w:contextualSpacing/>
        <w:jc w:val="both"/>
        <w:rPr>
          <w:rFonts w:ascii="David" w:hAnsi="David"/>
          <w:b/>
          <w:bCs/>
          <w:rtl/>
        </w:rPr>
      </w:pPr>
      <w:r>
        <w:rPr>
          <w:rFonts w:ascii="David" w:hAnsi="David"/>
          <w:b/>
          <w:bCs/>
          <w:rtl/>
        </w:rPr>
        <w:t xml:space="preserve">      </w:t>
      </w:r>
      <w:r w:rsidR="00E10A48" w:rsidRPr="0020265E">
        <w:rPr>
          <w:rFonts w:ascii="David" w:hAnsi="David"/>
          <w:b/>
          <w:bCs/>
          <w:rtl/>
        </w:rPr>
        <w:t xml:space="preserve"> אני גוזר על הנאשם עונש מאסר על תנאי לתקופה של 6 חודשים והתנאי הוא</w:t>
      </w:r>
      <w:r>
        <w:rPr>
          <w:rFonts w:ascii="David" w:hAnsi="David"/>
          <w:b/>
          <w:bCs/>
          <w:rtl/>
        </w:rPr>
        <w:t xml:space="preserve"> </w:t>
      </w:r>
      <w:r w:rsidR="00E10A48" w:rsidRPr="0020265E">
        <w:rPr>
          <w:rFonts w:ascii="David" w:hAnsi="David"/>
          <w:b/>
          <w:bCs/>
          <w:rtl/>
        </w:rPr>
        <w:t xml:space="preserve"> שלא יעבור בתוך 3 שנים מיום שחרורו ממאסרו ע</w:t>
      </w:r>
      <w:r w:rsidR="00E10A48">
        <w:rPr>
          <w:rFonts w:ascii="David" w:hAnsi="David"/>
          <w:b/>
          <w:bCs/>
          <w:rtl/>
        </w:rPr>
        <w:t xml:space="preserve">בירת נשק מסוג עוון או עבירה של </w:t>
      </w:r>
      <w:r w:rsidR="00E10A48" w:rsidRPr="0020265E">
        <w:rPr>
          <w:rFonts w:ascii="David" w:hAnsi="David"/>
          <w:b/>
          <w:bCs/>
          <w:rtl/>
        </w:rPr>
        <w:t>שיבוש מהלכי משפט, ויורשע בגינה.</w:t>
      </w:r>
    </w:p>
    <w:p w14:paraId="32D590EE" w14:textId="77777777" w:rsidR="00E10A48" w:rsidRPr="008361C6" w:rsidRDefault="00E10A48" w:rsidP="00E10A48">
      <w:pPr>
        <w:snapToGrid w:val="0"/>
        <w:spacing w:after="160" w:line="360" w:lineRule="auto"/>
        <w:ind w:left="707" w:hanging="425"/>
        <w:contextualSpacing/>
        <w:jc w:val="both"/>
        <w:rPr>
          <w:rFonts w:ascii="David" w:hAnsi="David"/>
          <w:b/>
          <w:bCs/>
          <w:sz w:val="12"/>
          <w:szCs w:val="12"/>
          <w:rtl/>
        </w:rPr>
      </w:pPr>
    </w:p>
    <w:p w14:paraId="4625D3DA" w14:textId="77777777" w:rsidR="00E10A48" w:rsidRPr="0020265E" w:rsidRDefault="00D07705" w:rsidP="00E10A48">
      <w:pPr>
        <w:snapToGrid w:val="0"/>
        <w:spacing w:after="160" w:line="360" w:lineRule="auto"/>
        <w:jc w:val="both"/>
        <w:rPr>
          <w:rFonts w:ascii="David" w:hAnsi="David"/>
          <w:b/>
          <w:bCs/>
          <w:rtl/>
        </w:rPr>
      </w:pPr>
      <w:r>
        <w:rPr>
          <w:rFonts w:ascii="David" w:hAnsi="David"/>
          <w:b/>
          <w:bCs/>
          <w:rtl/>
        </w:rPr>
        <w:t xml:space="preserve">           </w:t>
      </w:r>
      <w:r w:rsidR="00E10A48" w:rsidRPr="0020265E">
        <w:rPr>
          <w:rFonts w:ascii="David" w:hAnsi="David"/>
          <w:b/>
          <w:bCs/>
          <w:rtl/>
        </w:rPr>
        <w:t xml:space="preserve"> אני גוזר על הנאשם קנס בסך </w:t>
      </w:r>
      <w:r w:rsidR="00E10A48">
        <w:rPr>
          <w:rFonts w:ascii="David" w:hAnsi="David" w:hint="cs"/>
          <w:b/>
          <w:bCs/>
          <w:rtl/>
        </w:rPr>
        <w:t>10,000</w:t>
      </w:r>
      <w:r w:rsidR="00E10A48" w:rsidRPr="0020265E">
        <w:rPr>
          <w:rFonts w:ascii="David" w:hAnsi="David"/>
          <w:b/>
          <w:bCs/>
          <w:rtl/>
        </w:rPr>
        <w:t xml:space="preserve"> ₪</w:t>
      </w:r>
      <w:r>
        <w:rPr>
          <w:rFonts w:ascii="David" w:hAnsi="David"/>
          <w:b/>
          <w:bCs/>
          <w:rtl/>
        </w:rPr>
        <w:t xml:space="preserve"> </w:t>
      </w:r>
      <w:r w:rsidR="00E10A48" w:rsidRPr="0020265E">
        <w:rPr>
          <w:rFonts w:ascii="David" w:hAnsi="David"/>
          <w:b/>
          <w:bCs/>
          <w:rtl/>
        </w:rPr>
        <w:t xml:space="preserve"> או </w:t>
      </w:r>
      <w:r w:rsidR="00E10A48">
        <w:rPr>
          <w:rFonts w:ascii="David" w:hAnsi="David" w:hint="cs"/>
          <w:b/>
          <w:bCs/>
          <w:rtl/>
        </w:rPr>
        <w:t xml:space="preserve">100 </w:t>
      </w:r>
      <w:r w:rsidR="00E10A48" w:rsidRPr="0020265E">
        <w:rPr>
          <w:rFonts w:ascii="David" w:hAnsi="David"/>
          <w:b/>
          <w:bCs/>
          <w:rtl/>
        </w:rPr>
        <w:t>ימי מאסר.</w:t>
      </w:r>
    </w:p>
    <w:p w14:paraId="343D206C" w14:textId="77777777" w:rsidR="00E10A48" w:rsidRPr="0020265E" w:rsidRDefault="00D07705" w:rsidP="00E10A48">
      <w:pPr>
        <w:snapToGrid w:val="0"/>
        <w:spacing w:after="160" w:line="360" w:lineRule="auto"/>
        <w:ind w:left="707" w:hanging="425"/>
        <w:contextualSpacing/>
        <w:jc w:val="both"/>
        <w:rPr>
          <w:rFonts w:ascii="David" w:hAnsi="David"/>
          <w:b/>
          <w:bCs/>
          <w:rtl/>
        </w:rPr>
      </w:pPr>
      <w:r>
        <w:rPr>
          <w:rFonts w:ascii="David" w:hAnsi="David"/>
          <w:b/>
          <w:bCs/>
          <w:rtl/>
        </w:rPr>
        <w:t xml:space="preserve">      </w:t>
      </w:r>
      <w:r w:rsidR="00E10A48" w:rsidRPr="0020265E">
        <w:rPr>
          <w:rFonts w:ascii="David" w:hAnsi="David"/>
          <w:b/>
          <w:bCs/>
          <w:rtl/>
        </w:rPr>
        <w:t xml:space="preserve"> הקנס שהוטל על הנאשם</w:t>
      </w:r>
      <w:r>
        <w:rPr>
          <w:rFonts w:ascii="David" w:hAnsi="David"/>
          <w:b/>
          <w:bCs/>
          <w:rtl/>
        </w:rPr>
        <w:t xml:space="preserve"> </w:t>
      </w:r>
      <w:r w:rsidR="00E10A48" w:rsidRPr="0020265E">
        <w:rPr>
          <w:rFonts w:ascii="David" w:hAnsi="David"/>
          <w:b/>
          <w:bCs/>
          <w:rtl/>
        </w:rPr>
        <w:t xml:space="preserve"> ישולם עד ליום </w:t>
      </w:r>
      <w:r w:rsidR="00E10A48">
        <w:rPr>
          <w:rFonts w:ascii="David" w:hAnsi="David" w:hint="cs"/>
          <w:b/>
          <w:bCs/>
          <w:rtl/>
        </w:rPr>
        <w:t>01.01.2024</w:t>
      </w:r>
    </w:p>
    <w:p w14:paraId="28119AFD" w14:textId="77777777" w:rsidR="00E10A48" w:rsidRPr="0020265E" w:rsidRDefault="00E10A48" w:rsidP="00E10A48">
      <w:pPr>
        <w:spacing w:after="160" w:line="360" w:lineRule="auto"/>
        <w:ind w:left="707"/>
        <w:contextualSpacing/>
        <w:jc w:val="both"/>
        <w:rPr>
          <w:rFonts w:ascii="David" w:hAnsi="David"/>
          <w:rtl/>
        </w:rPr>
      </w:pPr>
      <w:r w:rsidRPr="0020265E">
        <w:rPr>
          <w:rFonts w:ascii="David" w:hAnsi="David"/>
          <w:rtl/>
        </w:rPr>
        <w:t>תשומת לב הנאשם שיש לשלם את הקנס לחשבון המרכז לגביית קנסות, אגרות והוצאות ברשות האכיפה והגבייה, החל מחלוף 3 ימים מיום מתן גזר הדין וזאת באחת מהדרכים הבאות:</w:t>
      </w:r>
    </w:p>
    <w:p w14:paraId="4673A7E3" w14:textId="77777777" w:rsidR="00E10A48" w:rsidRPr="0020265E" w:rsidRDefault="00E10A48" w:rsidP="00E10A48">
      <w:pPr>
        <w:spacing w:after="160" w:line="360" w:lineRule="auto"/>
        <w:ind w:left="707"/>
        <w:jc w:val="both"/>
        <w:rPr>
          <w:rFonts w:ascii="David" w:hAnsi="David"/>
          <w:rtl/>
        </w:rPr>
      </w:pPr>
      <w:r w:rsidRPr="0020265E">
        <w:rPr>
          <w:rFonts w:ascii="David" w:hAnsi="David"/>
          <w:rtl/>
        </w:rPr>
        <w:t xml:space="preserve">בכרטיס אשראי – באתר המקוון של רשות האכיפה והגבייה, </w:t>
      </w:r>
      <w:hyperlink r:id="rId61" w:history="1">
        <w:r w:rsidRPr="0020265E">
          <w:rPr>
            <w:rFonts w:ascii="David" w:hAnsi="David"/>
            <w:u w:val="single"/>
          </w:rPr>
          <w:t>www.eca.gov.il</w:t>
        </w:r>
      </w:hyperlink>
      <w:r w:rsidRPr="0020265E">
        <w:rPr>
          <w:rFonts w:ascii="David" w:hAnsi="David"/>
        </w:rPr>
        <w:t xml:space="preserve"> </w:t>
      </w:r>
      <w:r w:rsidR="00D07705">
        <w:rPr>
          <w:rFonts w:ascii="David" w:hAnsi="David"/>
          <w:rtl/>
        </w:rPr>
        <w:t xml:space="preserve"> </w:t>
      </w:r>
      <w:r w:rsidRPr="0020265E">
        <w:rPr>
          <w:rFonts w:ascii="David" w:hAnsi="David"/>
          <w:rtl/>
        </w:rPr>
        <w:t>או חפש בגוגל " תשלום גביית קנסות".</w:t>
      </w:r>
    </w:p>
    <w:p w14:paraId="5DFC9058" w14:textId="77777777" w:rsidR="00E10A48" w:rsidRPr="0020265E" w:rsidRDefault="00E10A48" w:rsidP="00E10A48">
      <w:pPr>
        <w:spacing w:after="160" w:line="360" w:lineRule="auto"/>
        <w:ind w:left="720"/>
        <w:jc w:val="both"/>
        <w:rPr>
          <w:rFonts w:ascii="David" w:hAnsi="David"/>
          <w:rtl/>
        </w:rPr>
      </w:pPr>
      <w:r w:rsidRPr="0020265E">
        <w:rPr>
          <w:rFonts w:ascii="David" w:hAnsi="David"/>
          <w:rtl/>
        </w:rPr>
        <w:t>מוקד שירות טלפוני בשרות עצמי (מרכז גבייה)</w:t>
      </w:r>
      <w:r w:rsidR="00D07705">
        <w:rPr>
          <w:rFonts w:ascii="David" w:hAnsi="David"/>
          <w:rtl/>
        </w:rPr>
        <w:t xml:space="preserve"> </w:t>
      </w:r>
      <w:r w:rsidRPr="0020265E">
        <w:rPr>
          <w:rFonts w:ascii="David" w:hAnsi="David"/>
          <w:rtl/>
        </w:rPr>
        <w:t xml:space="preserve"> – בטלפון 35592* או בטלפון 073-2055000 (ניתן לפנות לנציגים לקבלת מידע במספרים הללו).</w:t>
      </w:r>
    </w:p>
    <w:p w14:paraId="3D3A7ADA" w14:textId="77777777" w:rsidR="00E10A48" w:rsidRPr="0020265E" w:rsidRDefault="00E10A48" w:rsidP="00E10A48">
      <w:pPr>
        <w:spacing w:after="160" w:line="360" w:lineRule="auto"/>
        <w:ind w:left="720"/>
        <w:jc w:val="both"/>
        <w:rPr>
          <w:rFonts w:ascii="David" w:hAnsi="David"/>
          <w:rtl/>
        </w:rPr>
      </w:pPr>
      <w:r w:rsidRPr="0020265E">
        <w:rPr>
          <w:rFonts w:ascii="David" w:hAnsi="David"/>
          <w:rtl/>
        </w:rPr>
        <w:t>במזומן בכל סניף של בנק הדואר – בהצגת תעודת זהות בלבד (אין צורך בשוברי תשלום).</w:t>
      </w:r>
    </w:p>
    <w:p w14:paraId="0787D2D8" w14:textId="77777777" w:rsidR="00E10A48" w:rsidRPr="00D07705" w:rsidRDefault="00D07705" w:rsidP="00E10A48">
      <w:pPr>
        <w:spacing w:after="160"/>
        <w:jc w:val="both"/>
        <w:rPr>
          <w:rFonts w:ascii="David" w:hAnsi="David"/>
          <w:b/>
          <w:bCs/>
          <w:color w:val="FFFFFF"/>
          <w:sz w:val="2"/>
          <w:szCs w:val="2"/>
          <w:rtl/>
        </w:rPr>
      </w:pPr>
      <w:r w:rsidRPr="00D07705">
        <w:rPr>
          <w:rFonts w:ascii="David" w:hAnsi="David"/>
          <w:b/>
          <w:bCs/>
          <w:color w:val="FFFFFF"/>
          <w:sz w:val="2"/>
          <w:szCs w:val="2"/>
          <w:rtl/>
        </w:rPr>
        <w:t>5129371</w:t>
      </w:r>
    </w:p>
    <w:p w14:paraId="00B04D30" w14:textId="77777777" w:rsidR="00E10A48" w:rsidRPr="0020265E" w:rsidRDefault="00D07705" w:rsidP="00E10A48">
      <w:pPr>
        <w:spacing w:after="160"/>
        <w:jc w:val="both"/>
        <w:rPr>
          <w:rFonts w:ascii="David" w:hAnsi="David"/>
          <w:b/>
          <w:bCs/>
          <w:rtl/>
        </w:rPr>
      </w:pPr>
      <w:r w:rsidRPr="00D07705">
        <w:rPr>
          <w:rFonts w:ascii="David" w:hAnsi="David"/>
          <w:b/>
          <w:bCs/>
          <w:color w:val="FFFFFF"/>
          <w:sz w:val="2"/>
          <w:szCs w:val="2"/>
          <w:rtl/>
        </w:rPr>
        <w:t>54678313</w:t>
      </w:r>
      <w:r w:rsidR="00E10A48" w:rsidRPr="0020265E">
        <w:rPr>
          <w:rFonts w:ascii="David" w:hAnsi="David"/>
          <w:b/>
          <w:bCs/>
          <w:rtl/>
        </w:rPr>
        <w:t>זכות ערעור לבית המשפט העליון בתוך 45 יום מהיום.</w:t>
      </w:r>
    </w:p>
    <w:p w14:paraId="068DDE11" w14:textId="77777777" w:rsidR="00E10A48" w:rsidRPr="000F2247" w:rsidRDefault="00E10A48" w:rsidP="00E10A48">
      <w:pPr>
        <w:rPr>
          <w:rFonts w:ascii="Arial" w:hAnsi="Arial"/>
          <w:b/>
          <w:bCs/>
          <w:sz w:val="26"/>
          <w:szCs w:val="26"/>
          <w:rtl/>
        </w:rPr>
      </w:pPr>
    </w:p>
    <w:p w14:paraId="0B8CEB6D" w14:textId="77777777" w:rsidR="00E10A48" w:rsidRPr="000F2247" w:rsidRDefault="00D07705" w:rsidP="00E10A48">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ב' תמוז תשפ"ג, 21 יוני 2023, בהעדר הצדדים. </w:t>
      </w:r>
      <w:bookmarkEnd w:id="7"/>
      <w:r w:rsidR="00E10A48">
        <w:rPr>
          <w:rFonts w:ascii="Arial" w:hAnsi="Arial"/>
          <w:b/>
          <w:bCs/>
          <w:sz w:val="26"/>
          <w:szCs w:val="26"/>
          <w:rtl/>
        </w:rPr>
        <w:tab/>
      </w:r>
      <w:r w:rsidR="00E10A48">
        <w:rPr>
          <w:rFonts w:ascii="Arial" w:hAnsi="Arial"/>
          <w:b/>
          <w:bCs/>
          <w:sz w:val="26"/>
          <w:szCs w:val="26"/>
          <w:rtl/>
        </w:rPr>
        <w:tab/>
      </w:r>
      <w:r w:rsidR="00E10A48">
        <w:rPr>
          <w:rFonts w:ascii="Arial" w:hAnsi="Arial"/>
          <w:b/>
          <w:bCs/>
          <w:sz w:val="26"/>
          <w:szCs w:val="26"/>
          <w:rtl/>
        </w:rPr>
        <w:tab/>
      </w:r>
      <w:r w:rsidR="00E10A48">
        <w:rPr>
          <w:rFonts w:ascii="Arial" w:hAnsi="Arial"/>
          <w:b/>
          <w:bCs/>
          <w:sz w:val="26"/>
          <w:szCs w:val="26"/>
          <w:rtl/>
        </w:rPr>
        <w:tab/>
      </w:r>
      <w:r w:rsidR="00E10A48">
        <w:rPr>
          <w:rFonts w:ascii="Arial" w:hAnsi="Arial"/>
          <w:b/>
          <w:bCs/>
          <w:sz w:val="26"/>
          <w:szCs w:val="26"/>
          <w:rtl/>
        </w:rPr>
        <w:tab/>
      </w:r>
      <w:r w:rsidR="00E10A48">
        <w:rPr>
          <w:rFonts w:ascii="Arial" w:hAnsi="Arial"/>
          <w:b/>
          <w:bCs/>
          <w:sz w:val="26"/>
          <w:szCs w:val="26"/>
          <w:rtl/>
        </w:rPr>
        <w:tab/>
      </w:r>
      <w:r w:rsidR="00E10A48">
        <w:rPr>
          <w:rFonts w:ascii="Arial" w:hAnsi="Arial"/>
          <w:b/>
          <w:bCs/>
          <w:sz w:val="26"/>
          <w:szCs w:val="26"/>
          <w:rtl/>
        </w:rPr>
        <w:tab/>
      </w:r>
      <w:r w:rsidR="00E10A48">
        <w:rPr>
          <w:rFonts w:ascii="Arial" w:hAnsi="Arial" w:hint="cs"/>
          <w:b/>
          <w:bCs/>
          <w:sz w:val="26"/>
          <w:szCs w:val="26"/>
          <w:rtl/>
        </w:rPr>
        <w:t xml:space="preserve">         </w:t>
      </w:r>
    </w:p>
    <w:p w14:paraId="38306AE1" w14:textId="77777777" w:rsidR="00E10A48" w:rsidRPr="000F2247" w:rsidRDefault="00E10A48" w:rsidP="00D0770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4810FBD" w14:textId="77777777" w:rsidR="00E10A48" w:rsidRPr="000F2247" w:rsidRDefault="00E10A48" w:rsidP="00E10A48">
      <w:pPr>
        <w:jc w:val="center"/>
        <w:rPr>
          <w:rFonts w:ascii="Arial" w:hAnsi="Arial"/>
          <w:b/>
          <w:bCs/>
          <w:sz w:val="26"/>
          <w:szCs w:val="26"/>
          <w:rtl/>
        </w:rPr>
      </w:pPr>
    </w:p>
    <w:p w14:paraId="56459515" w14:textId="77777777" w:rsidR="00B66844" w:rsidRPr="00D07705" w:rsidRDefault="00B66844" w:rsidP="00D07705">
      <w:pPr>
        <w:keepNext/>
        <w:rPr>
          <w:rFonts w:ascii="David" w:hAnsi="David"/>
          <w:color w:val="000000"/>
          <w:sz w:val="22"/>
          <w:szCs w:val="22"/>
          <w:rtl/>
        </w:rPr>
      </w:pPr>
    </w:p>
    <w:p w14:paraId="46753526" w14:textId="77777777" w:rsidR="00D07705" w:rsidRPr="00D07705" w:rsidRDefault="00D07705" w:rsidP="00D07705">
      <w:pPr>
        <w:keepNext/>
        <w:rPr>
          <w:rFonts w:ascii="David" w:hAnsi="David"/>
          <w:color w:val="000000"/>
          <w:sz w:val="22"/>
          <w:szCs w:val="22"/>
          <w:rtl/>
        </w:rPr>
      </w:pPr>
      <w:r w:rsidRPr="00D07705">
        <w:rPr>
          <w:rFonts w:ascii="David" w:hAnsi="David"/>
          <w:color w:val="000000"/>
          <w:sz w:val="22"/>
          <w:szCs w:val="22"/>
          <w:rtl/>
        </w:rPr>
        <w:t>גיל קרזבום 54678313</w:t>
      </w:r>
    </w:p>
    <w:p w14:paraId="1984C993" w14:textId="77777777" w:rsidR="00D07705" w:rsidRDefault="00D07705" w:rsidP="00D07705">
      <w:r w:rsidRPr="00D07705">
        <w:rPr>
          <w:color w:val="000000"/>
          <w:rtl/>
        </w:rPr>
        <w:t>נוסח מסמך זה כפוף לשינויי ניסוח ועריכה</w:t>
      </w:r>
    </w:p>
    <w:p w14:paraId="1635CCEB" w14:textId="77777777" w:rsidR="00D07705" w:rsidRDefault="00D07705" w:rsidP="00D07705">
      <w:pPr>
        <w:rPr>
          <w:rtl/>
        </w:rPr>
      </w:pPr>
    </w:p>
    <w:p w14:paraId="290315E9" w14:textId="77777777" w:rsidR="00D07705" w:rsidRDefault="00D07705" w:rsidP="00D07705">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766C4A82" w14:textId="77777777" w:rsidR="00D07705" w:rsidRPr="00D07705" w:rsidRDefault="00D07705" w:rsidP="00D07705">
      <w:pPr>
        <w:jc w:val="center"/>
        <w:rPr>
          <w:color w:val="0000FF"/>
          <w:u w:val="single"/>
        </w:rPr>
      </w:pPr>
    </w:p>
    <w:sectPr w:rsidR="00D07705" w:rsidRPr="00D07705" w:rsidSect="00D07705">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D287D" w14:textId="77777777" w:rsidR="00016EFD" w:rsidRDefault="00016EFD" w:rsidP="00813280">
      <w:r>
        <w:separator/>
      </w:r>
    </w:p>
  </w:endnote>
  <w:endnote w:type="continuationSeparator" w:id="0">
    <w:p w14:paraId="5D79907F" w14:textId="77777777" w:rsidR="00016EFD" w:rsidRDefault="00016EFD" w:rsidP="00813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8C1CF" w14:textId="77777777" w:rsidR="00D07705" w:rsidRDefault="00D07705" w:rsidP="00D077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500974" w14:textId="77777777" w:rsidR="00783D24" w:rsidRPr="00D07705" w:rsidRDefault="00D07705" w:rsidP="00D0770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C9CE6" w14:textId="77777777" w:rsidR="00D07705" w:rsidRDefault="00D07705" w:rsidP="00D077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80759">
      <w:rPr>
        <w:rFonts w:ascii="FrankRuehl" w:hAnsi="FrankRuehl" w:cs="FrankRuehl"/>
        <w:noProof/>
        <w:rtl/>
      </w:rPr>
      <w:t>1</w:t>
    </w:r>
    <w:r>
      <w:rPr>
        <w:rFonts w:ascii="FrankRuehl" w:hAnsi="FrankRuehl" w:cs="FrankRuehl"/>
        <w:rtl/>
      </w:rPr>
      <w:fldChar w:fldCharType="end"/>
    </w:r>
  </w:p>
  <w:p w14:paraId="26CBE006" w14:textId="77777777" w:rsidR="00783D24" w:rsidRPr="00D07705" w:rsidRDefault="00D07705" w:rsidP="00D0770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F844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BDEBE" w14:textId="77777777" w:rsidR="00016EFD" w:rsidRDefault="00016EFD" w:rsidP="00813280">
      <w:r>
        <w:separator/>
      </w:r>
    </w:p>
  </w:footnote>
  <w:footnote w:type="continuationSeparator" w:id="0">
    <w:p w14:paraId="038603E1" w14:textId="77777777" w:rsidR="00016EFD" w:rsidRDefault="00016EFD" w:rsidP="00813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24015" w14:textId="77777777" w:rsidR="00D07705" w:rsidRPr="00D07705" w:rsidRDefault="00D07705" w:rsidP="00D0770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46916-07-22</w:t>
    </w:r>
    <w:r>
      <w:rPr>
        <w:rFonts w:ascii="David" w:hAnsi="David"/>
        <w:color w:val="000000"/>
        <w:sz w:val="22"/>
        <w:szCs w:val="22"/>
        <w:rtl/>
      </w:rPr>
      <w:tab/>
      <w:t xml:space="preserve"> מדינת-ישראל נ' עאדל כנעאני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1E93A" w14:textId="77777777" w:rsidR="00D07705" w:rsidRPr="00D07705" w:rsidRDefault="00D07705" w:rsidP="00D0770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46916-07-22</w:t>
    </w:r>
    <w:r>
      <w:rPr>
        <w:rFonts w:ascii="David" w:hAnsi="David"/>
        <w:color w:val="000000"/>
        <w:sz w:val="22"/>
        <w:szCs w:val="22"/>
        <w:rtl/>
      </w:rPr>
      <w:tab/>
      <w:t xml:space="preserve"> מדינת-ישראל נ' עאדל כנעאני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92EE8"/>
    <w:multiLevelType w:val="hybridMultilevel"/>
    <w:tmpl w:val="08FA9A80"/>
    <w:lvl w:ilvl="0" w:tplc="F6FCE96A">
      <w:start w:val="1"/>
      <w:numFmt w:val="hebrew1"/>
      <w:lvlText w:val="%1."/>
      <w:lvlJc w:val="left"/>
      <w:pPr>
        <w:ind w:left="1080" w:hanging="360"/>
      </w:pPr>
    </w:lvl>
    <w:lvl w:ilvl="1" w:tplc="20D4CBD8">
      <w:start w:val="1"/>
      <w:numFmt w:val="lowerLetter"/>
      <w:lvlText w:val="%2."/>
      <w:lvlJc w:val="left"/>
      <w:pPr>
        <w:ind w:left="1800" w:hanging="360"/>
      </w:pPr>
    </w:lvl>
    <w:lvl w:ilvl="2" w:tplc="BD28606A">
      <w:start w:val="1"/>
      <w:numFmt w:val="lowerRoman"/>
      <w:lvlText w:val="%3."/>
      <w:lvlJc w:val="right"/>
      <w:pPr>
        <w:ind w:left="2520" w:hanging="180"/>
      </w:pPr>
    </w:lvl>
    <w:lvl w:ilvl="3" w:tplc="42F40FAC">
      <w:start w:val="1"/>
      <w:numFmt w:val="decimal"/>
      <w:lvlText w:val="%4."/>
      <w:lvlJc w:val="left"/>
      <w:pPr>
        <w:ind w:left="3240" w:hanging="360"/>
      </w:pPr>
    </w:lvl>
    <w:lvl w:ilvl="4" w:tplc="7A64B574">
      <w:start w:val="1"/>
      <w:numFmt w:val="lowerLetter"/>
      <w:lvlText w:val="%5."/>
      <w:lvlJc w:val="left"/>
      <w:pPr>
        <w:ind w:left="3960" w:hanging="360"/>
      </w:pPr>
    </w:lvl>
    <w:lvl w:ilvl="5" w:tplc="AC5CBE72">
      <w:start w:val="1"/>
      <w:numFmt w:val="lowerRoman"/>
      <w:lvlText w:val="%6."/>
      <w:lvlJc w:val="right"/>
      <w:pPr>
        <w:ind w:left="4680" w:hanging="180"/>
      </w:pPr>
    </w:lvl>
    <w:lvl w:ilvl="6" w:tplc="CDA6FE36">
      <w:start w:val="1"/>
      <w:numFmt w:val="decimal"/>
      <w:lvlText w:val="%7."/>
      <w:lvlJc w:val="left"/>
      <w:pPr>
        <w:ind w:left="5400" w:hanging="360"/>
      </w:pPr>
    </w:lvl>
    <w:lvl w:ilvl="7" w:tplc="25E8A76C">
      <w:start w:val="1"/>
      <w:numFmt w:val="lowerLetter"/>
      <w:lvlText w:val="%8."/>
      <w:lvlJc w:val="left"/>
      <w:pPr>
        <w:ind w:left="6120" w:hanging="360"/>
      </w:pPr>
    </w:lvl>
    <w:lvl w:ilvl="8" w:tplc="750CD5CA">
      <w:start w:val="1"/>
      <w:numFmt w:val="lowerRoman"/>
      <w:lvlText w:val="%9."/>
      <w:lvlJc w:val="right"/>
      <w:pPr>
        <w:ind w:left="6840" w:hanging="180"/>
      </w:pPr>
    </w:lvl>
  </w:abstractNum>
  <w:abstractNum w:abstractNumId="1" w15:restartNumberingAfterBreak="0">
    <w:nsid w:val="340E32EE"/>
    <w:multiLevelType w:val="hybridMultilevel"/>
    <w:tmpl w:val="D35019BE"/>
    <w:lvl w:ilvl="0" w:tplc="E1D658D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64833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52686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0A48"/>
    <w:rsid w:val="00016EFD"/>
    <w:rsid w:val="001B5A3B"/>
    <w:rsid w:val="002444BC"/>
    <w:rsid w:val="00294E49"/>
    <w:rsid w:val="003F1C86"/>
    <w:rsid w:val="0043143F"/>
    <w:rsid w:val="004E49DF"/>
    <w:rsid w:val="00671EF6"/>
    <w:rsid w:val="00745A7E"/>
    <w:rsid w:val="00783D24"/>
    <w:rsid w:val="00813280"/>
    <w:rsid w:val="009950A6"/>
    <w:rsid w:val="00A22885"/>
    <w:rsid w:val="00A304F5"/>
    <w:rsid w:val="00AB6E4C"/>
    <w:rsid w:val="00B66844"/>
    <w:rsid w:val="00D07705"/>
    <w:rsid w:val="00E10A48"/>
    <w:rsid w:val="00E80759"/>
    <w:rsid w:val="00F01B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A1AE14"/>
  <w15:chartTrackingRefBased/>
  <w15:docId w15:val="{B5E83CD6-30B1-442C-8A70-1666880F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0A4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10A48"/>
    <w:pPr>
      <w:tabs>
        <w:tab w:val="center" w:pos="4153"/>
        <w:tab w:val="right" w:pos="8306"/>
      </w:tabs>
    </w:pPr>
  </w:style>
  <w:style w:type="character" w:customStyle="1" w:styleId="a4">
    <w:name w:val="כותרת עליונה תו"/>
    <w:link w:val="a3"/>
    <w:rsid w:val="00E10A48"/>
    <w:rPr>
      <w:rFonts w:ascii="Times New Roman" w:eastAsia="Times New Roman" w:hAnsi="Times New Roman" w:cs="David"/>
      <w:sz w:val="24"/>
      <w:szCs w:val="24"/>
    </w:rPr>
  </w:style>
  <w:style w:type="paragraph" w:styleId="a5">
    <w:name w:val="footer"/>
    <w:basedOn w:val="a"/>
    <w:link w:val="a6"/>
    <w:rsid w:val="00E10A48"/>
    <w:pPr>
      <w:tabs>
        <w:tab w:val="center" w:pos="4153"/>
        <w:tab w:val="right" w:pos="8306"/>
      </w:tabs>
    </w:pPr>
  </w:style>
  <w:style w:type="character" w:customStyle="1" w:styleId="a6">
    <w:name w:val="כותרת תחתונה תו"/>
    <w:link w:val="a5"/>
    <w:rsid w:val="00E10A48"/>
    <w:rPr>
      <w:rFonts w:ascii="Times New Roman" w:eastAsia="Times New Roman" w:hAnsi="Times New Roman" w:cs="David"/>
      <w:sz w:val="24"/>
      <w:szCs w:val="24"/>
    </w:rPr>
  </w:style>
  <w:style w:type="table" w:styleId="a7">
    <w:name w:val="Table Grid"/>
    <w:basedOn w:val="a1"/>
    <w:rsid w:val="00E10A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10A48"/>
  </w:style>
  <w:style w:type="paragraph" w:styleId="a9">
    <w:name w:val="List Paragraph"/>
    <w:basedOn w:val="a"/>
    <w:qFormat/>
    <w:rsid w:val="00E10A48"/>
    <w:pPr>
      <w:ind w:left="720"/>
      <w:contextualSpacing/>
    </w:pPr>
  </w:style>
  <w:style w:type="character" w:styleId="Hyperlink">
    <w:name w:val="Hyperlink"/>
    <w:rsid w:val="00E10A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c" TargetMode="External"/><Relationship Id="rId21" Type="http://schemas.openxmlformats.org/officeDocument/2006/relationships/hyperlink" Target="http://www.nevo.co.il/law/70301/144.c.3"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6034921" TargetMode="External"/><Relationship Id="rId47" Type="http://schemas.openxmlformats.org/officeDocument/2006/relationships/hyperlink" Target="http://www.nevo.co.il/case/27925239" TargetMode="External"/><Relationship Id="rId50" Type="http://schemas.openxmlformats.org/officeDocument/2006/relationships/hyperlink" Target="http://www.nevo.co.il/case/28152132" TargetMode="External"/><Relationship Id="rId55" Type="http://schemas.openxmlformats.org/officeDocument/2006/relationships/hyperlink" Target="http://www.nevo.co.il/case/22607175"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h"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40j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a;40b;40c;40d;40e;40f;40g;40h;40i;40j;40ja;40jb;40jc;40jd;40if"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5762686" TargetMode="External"/><Relationship Id="rId53" Type="http://schemas.openxmlformats.org/officeDocument/2006/relationships/hyperlink" Target="http://www.nevo.co.il/case/27502726" TargetMode="External"/><Relationship Id="rId58" Type="http://schemas.openxmlformats.org/officeDocument/2006/relationships/hyperlink" Target="http://www.nevo.co.il/case/10493280"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eca.gov.il" TargetMode="External"/><Relationship Id="rId19" Type="http://schemas.openxmlformats.org/officeDocument/2006/relationships/hyperlink" Target="http://www.nevo.co.il/law/70301/144.a" TargetMode="External"/><Relationship Id="rId14" Type="http://schemas.openxmlformats.org/officeDocument/2006/relationships/hyperlink" Target="http://www.nevo.co.il/law/70301/40f" TargetMode="External"/><Relationship Id="rId22" Type="http://schemas.openxmlformats.org/officeDocument/2006/relationships/hyperlink" Target="http://www.nevo.co.il/law/70301/244" TargetMode="External"/><Relationship Id="rId27" Type="http://schemas.openxmlformats.org/officeDocument/2006/relationships/hyperlink" Target="http://www.nevo.co.il/law/70301/40jd" TargetMode="External"/><Relationship Id="rId30" Type="http://schemas.openxmlformats.org/officeDocument/2006/relationships/hyperlink" Target="http://www.nevo.co.il/law/70301/144.c.2.;144.c.3" TargetMode="External"/><Relationship Id="rId35" Type="http://schemas.openxmlformats.org/officeDocument/2006/relationships/hyperlink" Target="http://www.nevo.co.il/law/70301/fCa1S" TargetMode="External"/><Relationship Id="rId43" Type="http://schemas.openxmlformats.org/officeDocument/2006/relationships/hyperlink" Target="http://www.nevo.co.il/case/26913995" TargetMode="External"/><Relationship Id="rId48" Type="http://schemas.openxmlformats.org/officeDocument/2006/relationships/hyperlink" Target="http://www.nevo.co.il/case/28513828" TargetMode="External"/><Relationship Id="rId56" Type="http://schemas.openxmlformats.org/officeDocument/2006/relationships/hyperlink" Target="http://www.nevo.co.il/case/28684447" TargetMode="External"/><Relationship Id="rId64"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hyperlink" Target="http://www.nevo.co.il/case/28331430"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40jb" TargetMode="External"/><Relationship Id="rId33" Type="http://schemas.openxmlformats.org/officeDocument/2006/relationships/hyperlink" Target="http://www.nevo.co.il/law/70301/244" TargetMode="External"/><Relationship Id="rId38" Type="http://schemas.openxmlformats.org/officeDocument/2006/relationships/hyperlink" Target="http://www.nevo.co.il/case/27894608" TargetMode="External"/><Relationship Id="rId46" Type="http://schemas.openxmlformats.org/officeDocument/2006/relationships/hyperlink" Target="http://www.nevo.co.il/case/7860051" TargetMode="External"/><Relationship Id="rId59" Type="http://schemas.openxmlformats.org/officeDocument/2006/relationships/hyperlink" Target="http://www.nevo.co.il/case/6720773" TargetMode="External"/><Relationship Id="rId67" Type="http://schemas.openxmlformats.org/officeDocument/2006/relationships/fontTable" Target="fontTable.xml"/><Relationship Id="rId20" Type="http://schemas.openxmlformats.org/officeDocument/2006/relationships/hyperlink" Target="http://www.nevo.co.il/law/70301/144.c.2." TargetMode="External"/><Relationship Id="rId41" Type="http://schemas.openxmlformats.org/officeDocument/2006/relationships/hyperlink" Target="http://www.nevo.co.il/case/5601503" TargetMode="External"/><Relationship Id="rId54" Type="http://schemas.openxmlformats.org/officeDocument/2006/relationships/hyperlink" Target="http://www.nevo.co.il/case/25923515"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g" TargetMode="External"/><Relationship Id="rId23" Type="http://schemas.openxmlformats.org/officeDocument/2006/relationships/hyperlink" Target="http://www.nevo.co.il/law/70301/40if" TargetMode="External"/><Relationship Id="rId28" Type="http://schemas.openxmlformats.org/officeDocument/2006/relationships/hyperlink" Target="http://www.nevo.co.il/law/70301/fCa1S"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8619472" TargetMode="External"/><Relationship Id="rId57" Type="http://schemas.openxmlformats.org/officeDocument/2006/relationships/hyperlink" Target="http://www.nevo.co.il/case/28963593"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29" TargetMode="External"/><Relationship Id="rId44" Type="http://schemas.openxmlformats.org/officeDocument/2006/relationships/hyperlink" Target="http://www.nevo.co.il/case/6096785" TargetMode="External"/><Relationship Id="rId52" Type="http://schemas.openxmlformats.org/officeDocument/2006/relationships/hyperlink" Target="http://www.nevo.co.il/case/26986974" TargetMode="External"/><Relationship Id="rId60" Type="http://schemas.openxmlformats.org/officeDocument/2006/relationships/hyperlink" Target="http://www.nevo.co.il/case/5177893"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a" TargetMode="External"/><Relationship Id="rId13" Type="http://schemas.openxmlformats.org/officeDocument/2006/relationships/hyperlink" Target="http://www.nevo.co.il/law/70301/40e" TargetMode="External"/><Relationship Id="rId18" Type="http://schemas.openxmlformats.org/officeDocument/2006/relationships/hyperlink" Target="http://www.nevo.co.il/law/70301/40j" TargetMode="External"/><Relationship Id="rId39" Type="http://schemas.openxmlformats.org/officeDocument/2006/relationships/hyperlink" Target="http://www.nevo.co.il/case/2815213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3529</Words>
  <Characters>17649</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21136</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7864368</vt:i4>
      </vt:variant>
      <vt:variant>
        <vt:i4>162</vt:i4>
      </vt:variant>
      <vt:variant>
        <vt:i4>0</vt:i4>
      </vt:variant>
      <vt:variant>
        <vt:i4>5</vt:i4>
      </vt:variant>
      <vt:variant>
        <vt:lpwstr>http://www.eca.gov.il/</vt:lpwstr>
      </vt:variant>
      <vt:variant>
        <vt:lpwstr/>
      </vt:variant>
      <vt:variant>
        <vt:i4>3735675</vt:i4>
      </vt:variant>
      <vt:variant>
        <vt:i4>159</vt:i4>
      </vt:variant>
      <vt:variant>
        <vt:i4>0</vt:i4>
      </vt:variant>
      <vt:variant>
        <vt:i4>5</vt:i4>
      </vt:variant>
      <vt:variant>
        <vt:lpwstr>http://www.nevo.co.il/case/5177893</vt:lpwstr>
      </vt:variant>
      <vt:variant>
        <vt:lpwstr/>
      </vt:variant>
      <vt:variant>
        <vt:i4>3145844</vt:i4>
      </vt:variant>
      <vt:variant>
        <vt:i4>156</vt:i4>
      </vt:variant>
      <vt:variant>
        <vt:i4>0</vt:i4>
      </vt:variant>
      <vt:variant>
        <vt:i4>5</vt:i4>
      </vt:variant>
      <vt:variant>
        <vt:lpwstr>http://www.nevo.co.il/case/6720773</vt:lpwstr>
      </vt:variant>
      <vt:variant>
        <vt:lpwstr/>
      </vt:variant>
      <vt:variant>
        <vt:i4>4063359</vt:i4>
      </vt:variant>
      <vt:variant>
        <vt:i4>153</vt:i4>
      </vt:variant>
      <vt:variant>
        <vt:i4>0</vt:i4>
      </vt:variant>
      <vt:variant>
        <vt:i4>5</vt:i4>
      </vt:variant>
      <vt:variant>
        <vt:lpwstr>http://www.nevo.co.il/case/10493280</vt:lpwstr>
      </vt:variant>
      <vt:variant>
        <vt:lpwstr/>
      </vt:variant>
      <vt:variant>
        <vt:i4>3211391</vt:i4>
      </vt:variant>
      <vt:variant>
        <vt:i4>150</vt:i4>
      </vt:variant>
      <vt:variant>
        <vt:i4>0</vt:i4>
      </vt:variant>
      <vt:variant>
        <vt:i4>5</vt:i4>
      </vt:variant>
      <vt:variant>
        <vt:lpwstr>http://www.nevo.co.il/case/28963593</vt:lpwstr>
      </vt:variant>
      <vt:variant>
        <vt:lpwstr/>
      </vt:variant>
      <vt:variant>
        <vt:i4>3407984</vt:i4>
      </vt:variant>
      <vt:variant>
        <vt:i4>147</vt:i4>
      </vt:variant>
      <vt:variant>
        <vt:i4>0</vt:i4>
      </vt:variant>
      <vt:variant>
        <vt:i4>5</vt:i4>
      </vt:variant>
      <vt:variant>
        <vt:lpwstr>http://www.nevo.co.il/case/28684447</vt:lpwstr>
      </vt:variant>
      <vt:variant>
        <vt:lpwstr/>
      </vt:variant>
      <vt:variant>
        <vt:i4>3407991</vt:i4>
      </vt:variant>
      <vt:variant>
        <vt:i4>144</vt:i4>
      </vt:variant>
      <vt:variant>
        <vt:i4>0</vt:i4>
      </vt:variant>
      <vt:variant>
        <vt:i4>5</vt:i4>
      </vt:variant>
      <vt:variant>
        <vt:lpwstr>http://www.nevo.co.il/case/22607175</vt:lpwstr>
      </vt:variant>
      <vt:variant>
        <vt:lpwstr/>
      </vt:variant>
      <vt:variant>
        <vt:i4>3735670</vt:i4>
      </vt:variant>
      <vt:variant>
        <vt:i4>141</vt:i4>
      </vt:variant>
      <vt:variant>
        <vt:i4>0</vt:i4>
      </vt:variant>
      <vt:variant>
        <vt:i4>5</vt:i4>
      </vt:variant>
      <vt:variant>
        <vt:lpwstr>http://www.nevo.co.il/case/25923515</vt:lpwstr>
      </vt:variant>
      <vt:variant>
        <vt:lpwstr/>
      </vt:variant>
      <vt:variant>
        <vt:i4>3604596</vt:i4>
      </vt:variant>
      <vt:variant>
        <vt:i4>138</vt:i4>
      </vt:variant>
      <vt:variant>
        <vt:i4>0</vt:i4>
      </vt:variant>
      <vt:variant>
        <vt:i4>5</vt:i4>
      </vt:variant>
      <vt:variant>
        <vt:lpwstr>http://www.nevo.co.il/case/27502726</vt:lpwstr>
      </vt:variant>
      <vt:variant>
        <vt:lpwstr/>
      </vt:variant>
      <vt:variant>
        <vt:i4>3801203</vt:i4>
      </vt:variant>
      <vt:variant>
        <vt:i4>135</vt:i4>
      </vt:variant>
      <vt:variant>
        <vt:i4>0</vt:i4>
      </vt:variant>
      <vt:variant>
        <vt:i4>5</vt:i4>
      </vt:variant>
      <vt:variant>
        <vt:lpwstr>http://www.nevo.co.il/case/26986974</vt:lpwstr>
      </vt:variant>
      <vt:variant>
        <vt:lpwstr/>
      </vt:variant>
      <vt:variant>
        <vt:i4>3342459</vt:i4>
      </vt:variant>
      <vt:variant>
        <vt:i4>132</vt:i4>
      </vt:variant>
      <vt:variant>
        <vt:i4>0</vt:i4>
      </vt:variant>
      <vt:variant>
        <vt:i4>5</vt:i4>
      </vt:variant>
      <vt:variant>
        <vt:lpwstr>http://www.nevo.co.il/case/28331430</vt:lpwstr>
      </vt:variant>
      <vt:variant>
        <vt:lpwstr/>
      </vt:variant>
      <vt:variant>
        <vt:i4>3276920</vt:i4>
      </vt:variant>
      <vt:variant>
        <vt:i4>129</vt:i4>
      </vt:variant>
      <vt:variant>
        <vt:i4>0</vt:i4>
      </vt:variant>
      <vt:variant>
        <vt:i4>5</vt:i4>
      </vt:variant>
      <vt:variant>
        <vt:lpwstr>http://www.nevo.co.il/case/28152132</vt:lpwstr>
      </vt:variant>
      <vt:variant>
        <vt:lpwstr/>
      </vt:variant>
      <vt:variant>
        <vt:i4>3801209</vt:i4>
      </vt:variant>
      <vt:variant>
        <vt:i4>126</vt:i4>
      </vt:variant>
      <vt:variant>
        <vt:i4>0</vt:i4>
      </vt:variant>
      <vt:variant>
        <vt:i4>5</vt:i4>
      </vt:variant>
      <vt:variant>
        <vt:lpwstr>http://www.nevo.co.il/case/28619472</vt:lpwstr>
      </vt:variant>
      <vt:variant>
        <vt:lpwstr/>
      </vt:variant>
      <vt:variant>
        <vt:i4>3539061</vt:i4>
      </vt:variant>
      <vt:variant>
        <vt:i4>123</vt:i4>
      </vt:variant>
      <vt:variant>
        <vt:i4>0</vt:i4>
      </vt:variant>
      <vt:variant>
        <vt:i4>5</vt:i4>
      </vt:variant>
      <vt:variant>
        <vt:lpwstr>http://www.nevo.co.il/case/28513828</vt:lpwstr>
      </vt:variant>
      <vt:variant>
        <vt:lpwstr/>
      </vt:variant>
      <vt:variant>
        <vt:i4>3997811</vt:i4>
      </vt:variant>
      <vt:variant>
        <vt:i4>120</vt:i4>
      </vt:variant>
      <vt:variant>
        <vt:i4>0</vt:i4>
      </vt:variant>
      <vt:variant>
        <vt:i4>5</vt:i4>
      </vt:variant>
      <vt:variant>
        <vt:lpwstr>http://www.nevo.co.il/case/27925239</vt:lpwstr>
      </vt:variant>
      <vt:variant>
        <vt:lpwstr/>
      </vt:variant>
      <vt:variant>
        <vt:i4>3145849</vt:i4>
      </vt:variant>
      <vt:variant>
        <vt:i4>117</vt:i4>
      </vt:variant>
      <vt:variant>
        <vt:i4>0</vt:i4>
      </vt:variant>
      <vt:variant>
        <vt:i4>5</vt:i4>
      </vt:variant>
      <vt:variant>
        <vt:lpwstr>http://www.nevo.co.il/case/7860051</vt:lpwstr>
      </vt:variant>
      <vt:variant>
        <vt:lpwstr/>
      </vt:variant>
      <vt:variant>
        <vt:i4>3342457</vt:i4>
      </vt:variant>
      <vt:variant>
        <vt:i4>114</vt:i4>
      </vt:variant>
      <vt:variant>
        <vt:i4>0</vt:i4>
      </vt:variant>
      <vt:variant>
        <vt:i4>5</vt:i4>
      </vt:variant>
      <vt:variant>
        <vt:lpwstr>http://www.nevo.co.il/case/5762686</vt:lpwstr>
      </vt:variant>
      <vt:variant>
        <vt:lpwstr/>
      </vt:variant>
      <vt:variant>
        <vt:i4>3997818</vt:i4>
      </vt:variant>
      <vt:variant>
        <vt:i4>111</vt:i4>
      </vt:variant>
      <vt:variant>
        <vt:i4>0</vt:i4>
      </vt:variant>
      <vt:variant>
        <vt:i4>5</vt:i4>
      </vt:variant>
      <vt:variant>
        <vt:lpwstr>http://www.nevo.co.il/case/6096785</vt:lpwstr>
      </vt:variant>
      <vt:variant>
        <vt:lpwstr/>
      </vt:variant>
      <vt:variant>
        <vt:i4>3211386</vt:i4>
      </vt:variant>
      <vt:variant>
        <vt:i4>108</vt:i4>
      </vt:variant>
      <vt:variant>
        <vt:i4>0</vt:i4>
      </vt:variant>
      <vt:variant>
        <vt:i4>5</vt:i4>
      </vt:variant>
      <vt:variant>
        <vt:lpwstr>http://www.nevo.co.il/case/26913995</vt:lpwstr>
      </vt:variant>
      <vt:variant>
        <vt:lpwstr/>
      </vt:variant>
      <vt:variant>
        <vt:i4>3997810</vt:i4>
      </vt:variant>
      <vt:variant>
        <vt:i4>105</vt:i4>
      </vt:variant>
      <vt:variant>
        <vt:i4>0</vt:i4>
      </vt:variant>
      <vt:variant>
        <vt:i4>5</vt:i4>
      </vt:variant>
      <vt:variant>
        <vt:lpwstr>http://www.nevo.co.il/case/6034921</vt:lpwstr>
      </vt:variant>
      <vt:variant>
        <vt:lpwstr/>
      </vt:variant>
      <vt:variant>
        <vt:i4>3342451</vt:i4>
      </vt:variant>
      <vt:variant>
        <vt:i4>102</vt:i4>
      </vt:variant>
      <vt:variant>
        <vt:i4>0</vt:i4>
      </vt:variant>
      <vt:variant>
        <vt:i4>5</vt:i4>
      </vt:variant>
      <vt:variant>
        <vt:lpwstr>http://www.nevo.co.il/case/5601503</vt:lpwstr>
      </vt:variant>
      <vt:variant>
        <vt:lpwstr/>
      </vt:variant>
      <vt:variant>
        <vt:i4>7995492</vt:i4>
      </vt:variant>
      <vt:variant>
        <vt:i4>99</vt:i4>
      </vt:variant>
      <vt:variant>
        <vt:i4>0</vt:i4>
      </vt:variant>
      <vt:variant>
        <vt:i4>5</vt:i4>
      </vt:variant>
      <vt:variant>
        <vt:lpwstr>http://www.nevo.co.il/law/70301</vt:lpwstr>
      </vt:variant>
      <vt:variant>
        <vt:lpwstr/>
      </vt:variant>
      <vt:variant>
        <vt:i4>3276920</vt:i4>
      </vt:variant>
      <vt:variant>
        <vt:i4>96</vt:i4>
      </vt:variant>
      <vt:variant>
        <vt:i4>0</vt:i4>
      </vt:variant>
      <vt:variant>
        <vt:i4>5</vt:i4>
      </vt:variant>
      <vt:variant>
        <vt:lpwstr>http://www.nevo.co.il/case/28152132</vt:lpwstr>
      </vt:variant>
      <vt:variant>
        <vt:lpwstr/>
      </vt:variant>
      <vt:variant>
        <vt:i4>4063356</vt:i4>
      </vt:variant>
      <vt:variant>
        <vt:i4>93</vt:i4>
      </vt:variant>
      <vt:variant>
        <vt:i4>0</vt:i4>
      </vt:variant>
      <vt:variant>
        <vt:i4>5</vt:i4>
      </vt:variant>
      <vt:variant>
        <vt:lpwstr>http://www.nevo.co.il/case/27894608</vt:lpwstr>
      </vt:variant>
      <vt:variant>
        <vt:lpwstr/>
      </vt:variant>
      <vt:variant>
        <vt:i4>65541</vt:i4>
      </vt:variant>
      <vt:variant>
        <vt:i4>90</vt:i4>
      </vt:variant>
      <vt:variant>
        <vt:i4>0</vt:i4>
      </vt:variant>
      <vt:variant>
        <vt:i4>5</vt:i4>
      </vt:variant>
      <vt:variant>
        <vt:lpwstr>http://www.nevo.co.il/law/70301/40a;40b;40c;40d;40e;40f;40g;40h;40i;40j;40ja;40jb;40jc;40jd;40if</vt:lpwstr>
      </vt:variant>
      <vt:variant>
        <vt:lpwstr/>
      </vt:variant>
      <vt:variant>
        <vt:i4>7995492</vt:i4>
      </vt:variant>
      <vt:variant>
        <vt:i4>87</vt:i4>
      </vt:variant>
      <vt:variant>
        <vt:i4>0</vt:i4>
      </vt:variant>
      <vt:variant>
        <vt:i4>5</vt:i4>
      </vt:variant>
      <vt:variant>
        <vt:lpwstr>http://www.nevo.co.il/law/70301</vt:lpwstr>
      </vt:variant>
      <vt:variant>
        <vt:lpwstr/>
      </vt:variant>
      <vt:variant>
        <vt:i4>458834</vt:i4>
      </vt:variant>
      <vt:variant>
        <vt:i4>84</vt:i4>
      </vt:variant>
      <vt:variant>
        <vt:i4>0</vt:i4>
      </vt:variant>
      <vt:variant>
        <vt:i4>5</vt:i4>
      </vt:variant>
      <vt:variant>
        <vt:lpwstr>http://www.nevo.co.il/law/70301/fCa1S</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6357095</vt:i4>
      </vt:variant>
      <vt:variant>
        <vt:i4>78</vt:i4>
      </vt:variant>
      <vt:variant>
        <vt:i4>0</vt:i4>
      </vt:variant>
      <vt:variant>
        <vt:i4>5</vt:i4>
      </vt:variant>
      <vt:variant>
        <vt:lpwstr>http://www.nevo.co.il/law/70301/244</vt:lpwstr>
      </vt:variant>
      <vt:variant>
        <vt:lpwstr/>
      </vt:variant>
      <vt:variant>
        <vt:i4>7995492</vt:i4>
      </vt:variant>
      <vt:variant>
        <vt:i4>75</vt:i4>
      </vt:variant>
      <vt:variant>
        <vt:i4>0</vt:i4>
      </vt:variant>
      <vt:variant>
        <vt:i4>5</vt:i4>
      </vt:variant>
      <vt:variant>
        <vt:lpwstr>http://www.nevo.co.il/law/70301</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1703950</vt:i4>
      </vt:variant>
      <vt:variant>
        <vt:i4>69</vt:i4>
      </vt:variant>
      <vt:variant>
        <vt:i4>0</vt:i4>
      </vt:variant>
      <vt:variant>
        <vt:i4>5</vt:i4>
      </vt:variant>
      <vt:variant>
        <vt:lpwstr>http://www.nevo.co.il/law/70301/144.c.2.;144.c.3</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458834</vt:i4>
      </vt:variant>
      <vt:variant>
        <vt:i4>63</vt:i4>
      </vt:variant>
      <vt:variant>
        <vt:i4>0</vt:i4>
      </vt:variant>
      <vt:variant>
        <vt:i4>5</vt:i4>
      </vt:variant>
      <vt:variant>
        <vt:lpwstr>http://www.nevo.co.il/law/70301/fCa1S</vt:lpwstr>
      </vt:variant>
      <vt:variant>
        <vt:lpwstr/>
      </vt:variant>
      <vt:variant>
        <vt:i4>65547</vt:i4>
      </vt:variant>
      <vt:variant>
        <vt:i4>60</vt:i4>
      </vt:variant>
      <vt:variant>
        <vt:i4>0</vt:i4>
      </vt:variant>
      <vt:variant>
        <vt:i4>5</vt:i4>
      </vt:variant>
      <vt:variant>
        <vt:lpwstr>http://www.nevo.co.il/law/70301/40jd</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458763</vt:i4>
      </vt:variant>
      <vt:variant>
        <vt:i4>54</vt:i4>
      </vt:variant>
      <vt:variant>
        <vt:i4>0</vt:i4>
      </vt:variant>
      <vt:variant>
        <vt:i4>5</vt:i4>
      </vt:variant>
      <vt:variant>
        <vt:lpwstr>http://www.nevo.co.il/law/70301/40jb</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196616</vt:i4>
      </vt:variant>
      <vt:variant>
        <vt:i4>48</vt:i4>
      </vt:variant>
      <vt:variant>
        <vt:i4>0</vt:i4>
      </vt:variant>
      <vt:variant>
        <vt:i4>5</vt:i4>
      </vt:variant>
      <vt:variant>
        <vt:lpwstr>http://www.nevo.co.il/law/70301/40if</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6357043</vt:i4>
      </vt:variant>
      <vt:variant>
        <vt:i4>42</vt:i4>
      </vt:variant>
      <vt:variant>
        <vt:i4>0</vt:i4>
      </vt:variant>
      <vt:variant>
        <vt:i4>5</vt:i4>
      </vt:variant>
      <vt:variant>
        <vt:lpwstr>http://www.nevo.co.il/law/70301/144.c.3</vt:lpwstr>
      </vt:variant>
      <vt:variant>
        <vt:lpwstr/>
      </vt:variant>
      <vt:variant>
        <vt:i4>5177345</vt:i4>
      </vt:variant>
      <vt:variant>
        <vt:i4>39</vt:i4>
      </vt:variant>
      <vt:variant>
        <vt:i4>0</vt:i4>
      </vt:variant>
      <vt:variant>
        <vt:i4>5</vt:i4>
      </vt:variant>
      <vt:variant>
        <vt:lpwstr>http://www.nevo.co.il/law/70301/144.c.2.</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6619233</vt:i4>
      </vt:variant>
      <vt:variant>
        <vt:i4>33</vt:i4>
      </vt:variant>
      <vt:variant>
        <vt:i4>0</vt:i4>
      </vt:variant>
      <vt:variant>
        <vt:i4>5</vt:i4>
      </vt:variant>
      <vt:variant>
        <vt:lpwstr>http://www.nevo.co.il/law/70301/40j</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http://www.nevo.co.il/law/70301/40h</vt:lpwstr>
      </vt:variant>
      <vt:variant>
        <vt:lpwstr/>
      </vt:variant>
      <vt:variant>
        <vt:i4>6619233</vt:i4>
      </vt:variant>
      <vt:variant>
        <vt:i4>24</vt:i4>
      </vt:variant>
      <vt:variant>
        <vt:i4>0</vt:i4>
      </vt:variant>
      <vt:variant>
        <vt:i4>5</vt:i4>
      </vt:variant>
      <vt:variant>
        <vt:lpwstr>http://www.nevo.co.il/law/70301/40g</vt:lpwstr>
      </vt:variant>
      <vt:variant>
        <vt:lpwstr/>
      </vt:variant>
      <vt:variant>
        <vt:i4>6619233</vt:i4>
      </vt:variant>
      <vt:variant>
        <vt:i4>21</vt:i4>
      </vt:variant>
      <vt:variant>
        <vt:i4>0</vt:i4>
      </vt:variant>
      <vt:variant>
        <vt:i4>5</vt:i4>
      </vt:variant>
      <vt:variant>
        <vt:lpwstr>http://www.nevo.co.il/law/70301/40f</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6619233</vt:i4>
      </vt:variant>
      <vt:variant>
        <vt:i4>6</vt:i4>
      </vt:variant>
      <vt:variant>
        <vt:i4>0</vt:i4>
      </vt:variant>
      <vt:variant>
        <vt:i4>5</vt:i4>
      </vt:variant>
      <vt:variant>
        <vt:lpwstr>http://www.nevo.co.il/law/70301/40a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2025-01-19T16:55:00Z</dcterms:created>
  <dcterms:modified xsi:type="dcterms:W3CDTF">2025-01-19T16:55:00Z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46916</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מדינת-ישראל</vt:lpwstr>
  </property>
  <property fmtid="{D5CDD505-2E9C-101B-9397-08002B2CF9AE}" pid="9" name="APPELLEE">
    <vt:lpwstr>עאדל כנעאני</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20230621</vt:lpwstr>
  </property>
  <property fmtid="{D5CDD505-2E9C-101B-9397-08002B2CF9AE}" pid="13" name="TYPE_N_DATE">
    <vt:lpwstr>39020230621</vt:lpwstr>
  </property>
  <property fmtid="{D5CDD505-2E9C-101B-9397-08002B2CF9AE}" pid="14" name="WORDNUMPAGES">
    <vt:lpwstr>9</vt:lpwstr>
  </property>
  <property fmtid="{D5CDD505-2E9C-101B-9397-08002B2CF9AE}" pid="15" name="TYPE_ABS_DATE">
    <vt:lpwstr>390020230621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27894608;28152132:2;5601503;6034921;26913995;6096785;5762686;7860051;27925239;28513828;28619472;28331430;26986974;27502726;25923515;22607175;28684447;28963593;10493280;6720773;5177893</vt:lpwstr>
  </property>
  <property fmtid="{D5CDD505-2E9C-101B-9397-08002B2CF9AE}" pid="36" name="LAWLISTTMP1">
    <vt:lpwstr>70301/144.a;144.c.2;144.c.3;029;244;fCa1S;040a;040b;040c;040d;040e;040f;040g;040h;040i;040j;40ja;40jb;40jc;40jd;40if</vt:lpwstr>
  </property>
</Properties>
</file>