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80EF6" w:rsidRPr="00A22B66" w14:paraId="3119A5C2" w14:textId="77777777" w:rsidTr="00311829">
        <w:trPr>
          <w:trHeight w:hRule="exact" w:val="418"/>
          <w:jc w:val="center"/>
        </w:trPr>
        <w:tc>
          <w:tcPr>
            <w:tcW w:w="8721" w:type="dxa"/>
            <w:gridSpan w:val="2"/>
          </w:tcPr>
          <w:p w14:paraId="3DA9AB33" w14:textId="77777777" w:rsidR="00880EF6" w:rsidRPr="00A22B66" w:rsidRDefault="00880EF6" w:rsidP="00CB4C99">
            <w:pPr>
              <w:pStyle w:val="a3"/>
              <w:jc w:val="center"/>
              <w:rPr>
                <w:rFonts w:ascii="Tahoma" w:hAnsi="Tahoma" w:cs="Tahoma"/>
                <w:color w:val="000080"/>
                <w:rtl/>
              </w:rPr>
            </w:pPr>
            <w:bookmarkStart w:id="0" w:name="LastJudge"/>
            <w:r w:rsidRPr="00A22B66">
              <w:rPr>
                <w:rFonts w:ascii="Tahoma" w:hAnsi="Tahoma" w:cs="Tahoma"/>
                <w:b/>
                <w:bCs/>
                <w:color w:val="000080"/>
                <w:rtl/>
              </w:rPr>
              <w:t>בית המשפט המחוזי בירושלים</w:t>
            </w:r>
          </w:p>
        </w:tc>
      </w:tr>
      <w:tr w:rsidR="00880EF6" w:rsidRPr="00A22B66" w14:paraId="15ACD3C5" w14:textId="77777777" w:rsidTr="00311829">
        <w:trPr>
          <w:trHeight w:val="337"/>
          <w:jc w:val="center"/>
        </w:trPr>
        <w:tc>
          <w:tcPr>
            <w:tcW w:w="5057" w:type="dxa"/>
          </w:tcPr>
          <w:p w14:paraId="3FF8E256" w14:textId="77777777" w:rsidR="00880EF6" w:rsidRPr="00A22B66" w:rsidRDefault="00880EF6" w:rsidP="00CB4C99">
            <w:pPr>
              <w:rPr>
                <w:rFonts w:cs="FrankRuehl"/>
                <w:sz w:val="28"/>
                <w:szCs w:val="28"/>
                <w:rtl/>
              </w:rPr>
            </w:pPr>
            <w:r w:rsidRPr="00A22B66">
              <w:rPr>
                <w:rFonts w:cs="FrankRuehl"/>
                <w:sz w:val="28"/>
                <w:szCs w:val="28"/>
                <w:rtl/>
              </w:rPr>
              <w:t>ת"פ</w:t>
            </w:r>
            <w:r w:rsidRPr="00A22B66">
              <w:rPr>
                <w:rFonts w:cs="FrankRuehl" w:hint="cs"/>
                <w:sz w:val="28"/>
                <w:szCs w:val="28"/>
                <w:rtl/>
              </w:rPr>
              <w:t xml:space="preserve"> </w:t>
            </w:r>
            <w:r w:rsidRPr="00A22B66">
              <w:rPr>
                <w:rFonts w:cs="FrankRuehl"/>
                <w:sz w:val="28"/>
                <w:szCs w:val="28"/>
                <w:rtl/>
              </w:rPr>
              <w:t>58626-07-22</w:t>
            </w:r>
            <w:r w:rsidRPr="00A22B66">
              <w:rPr>
                <w:rFonts w:cs="FrankRuehl" w:hint="cs"/>
                <w:sz w:val="28"/>
                <w:szCs w:val="28"/>
                <w:rtl/>
              </w:rPr>
              <w:t xml:space="preserve"> </w:t>
            </w:r>
            <w:r w:rsidRPr="00A22B66">
              <w:rPr>
                <w:rFonts w:cs="FrankRuehl"/>
                <w:sz w:val="28"/>
                <w:szCs w:val="28"/>
                <w:rtl/>
              </w:rPr>
              <w:t>מדינת ישראל נ' עאצי(עציר) ואח'</w:t>
            </w:r>
          </w:p>
          <w:p w14:paraId="4A0FD56F" w14:textId="77777777" w:rsidR="00880EF6" w:rsidRPr="00A22B66" w:rsidRDefault="00880EF6" w:rsidP="00CB4C99">
            <w:pPr>
              <w:pStyle w:val="a3"/>
              <w:rPr>
                <w:rFonts w:cs="FrankRuehl"/>
                <w:sz w:val="28"/>
                <w:szCs w:val="28"/>
                <w:rtl/>
              </w:rPr>
            </w:pPr>
          </w:p>
        </w:tc>
        <w:tc>
          <w:tcPr>
            <w:tcW w:w="3664" w:type="dxa"/>
          </w:tcPr>
          <w:p w14:paraId="5C7BD525" w14:textId="77777777" w:rsidR="00880EF6" w:rsidRPr="00A22B66" w:rsidRDefault="00880EF6" w:rsidP="00CB4C99">
            <w:pPr>
              <w:pStyle w:val="a3"/>
              <w:jc w:val="right"/>
              <w:rPr>
                <w:rFonts w:cs="FrankRuehl"/>
                <w:sz w:val="28"/>
                <w:szCs w:val="28"/>
                <w:rtl/>
              </w:rPr>
            </w:pPr>
          </w:p>
        </w:tc>
      </w:tr>
    </w:tbl>
    <w:p w14:paraId="2244F28D" w14:textId="77777777" w:rsidR="00880EF6" w:rsidRPr="00A22B66" w:rsidRDefault="00880EF6" w:rsidP="00880EF6">
      <w:pPr>
        <w:pStyle w:val="a3"/>
        <w:rPr>
          <w:rtl/>
        </w:rPr>
      </w:pPr>
      <w:r w:rsidRPr="00A22B66">
        <w:rPr>
          <w:rFonts w:hint="cs"/>
          <w:rtl/>
        </w:rPr>
        <w:t xml:space="preserve"> </w:t>
      </w:r>
    </w:p>
    <w:p w14:paraId="4A19D7B9" w14:textId="77777777" w:rsidR="00880EF6" w:rsidRPr="00A22B66" w:rsidRDefault="00880EF6" w:rsidP="00880EF6">
      <w:pPr>
        <w:rPr>
          <w:rtl/>
        </w:rPr>
      </w:pPr>
    </w:p>
    <w:p w14:paraId="5C75BF81" w14:textId="77777777" w:rsidR="00880EF6" w:rsidRPr="00A22B66" w:rsidRDefault="00880EF6" w:rsidP="00880EF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80EF6" w:rsidRPr="00A22B66" w14:paraId="1F59CB51" w14:textId="77777777" w:rsidTr="00880EF6">
        <w:trPr>
          <w:trHeight w:val="295"/>
          <w:jc w:val="center"/>
        </w:trPr>
        <w:tc>
          <w:tcPr>
            <w:tcW w:w="923" w:type="dxa"/>
            <w:tcBorders>
              <w:top w:val="nil"/>
              <w:left w:val="nil"/>
              <w:bottom w:val="nil"/>
              <w:right w:val="nil"/>
            </w:tcBorders>
            <w:shd w:val="clear" w:color="auto" w:fill="auto"/>
          </w:tcPr>
          <w:p w14:paraId="2C4095E6" w14:textId="77777777" w:rsidR="00880EF6" w:rsidRPr="00A22B66" w:rsidRDefault="00880EF6" w:rsidP="00880EF6">
            <w:pPr>
              <w:jc w:val="both"/>
              <w:rPr>
                <w:rFonts w:ascii="David" w:hAnsi="David"/>
                <w:sz w:val="26"/>
                <w:szCs w:val="26"/>
              </w:rPr>
            </w:pPr>
            <w:r w:rsidRPr="00A22B66">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4C370D2" w14:textId="77777777" w:rsidR="00880EF6" w:rsidRPr="00A22B66" w:rsidRDefault="00880EF6" w:rsidP="00CB4C99">
            <w:pPr>
              <w:rPr>
                <w:rFonts w:ascii="David" w:hAnsi="David"/>
                <w:b/>
                <w:bCs/>
                <w:sz w:val="26"/>
                <w:szCs w:val="26"/>
                <w:rtl/>
              </w:rPr>
            </w:pPr>
            <w:r w:rsidRPr="00A22B66">
              <w:rPr>
                <w:rFonts w:ascii="David" w:hAnsi="David"/>
                <w:b/>
                <w:bCs/>
                <w:sz w:val="26"/>
                <w:szCs w:val="26"/>
                <w:rtl/>
              </w:rPr>
              <w:t>כבוד השופט  אוהד גורדון</w:t>
            </w:r>
          </w:p>
          <w:p w14:paraId="18CC0115" w14:textId="77777777" w:rsidR="00880EF6" w:rsidRPr="00A22B66" w:rsidRDefault="00880EF6" w:rsidP="00CB4C99">
            <w:pPr>
              <w:rPr>
                <w:rFonts w:ascii="David" w:hAnsi="David"/>
                <w:sz w:val="26"/>
                <w:szCs w:val="26"/>
                <w:rtl/>
              </w:rPr>
            </w:pPr>
          </w:p>
          <w:p w14:paraId="65523F78" w14:textId="77777777" w:rsidR="00880EF6" w:rsidRPr="00A22B66" w:rsidRDefault="00880EF6" w:rsidP="00880EF6">
            <w:pPr>
              <w:jc w:val="both"/>
              <w:rPr>
                <w:rFonts w:ascii="David" w:hAnsi="David"/>
                <w:sz w:val="26"/>
                <w:szCs w:val="26"/>
              </w:rPr>
            </w:pPr>
          </w:p>
        </w:tc>
      </w:tr>
      <w:tr w:rsidR="00880EF6" w:rsidRPr="00A22B66" w14:paraId="7FDDD64A" w14:textId="77777777" w:rsidTr="00880EF6">
        <w:trPr>
          <w:trHeight w:val="355"/>
          <w:jc w:val="center"/>
        </w:trPr>
        <w:tc>
          <w:tcPr>
            <w:tcW w:w="923" w:type="dxa"/>
            <w:tcBorders>
              <w:top w:val="nil"/>
              <w:left w:val="nil"/>
              <w:bottom w:val="nil"/>
              <w:right w:val="nil"/>
            </w:tcBorders>
            <w:shd w:val="clear" w:color="auto" w:fill="auto"/>
          </w:tcPr>
          <w:p w14:paraId="52D9AB68" w14:textId="77777777" w:rsidR="00880EF6" w:rsidRPr="00A22B66" w:rsidRDefault="00880EF6" w:rsidP="00880EF6">
            <w:pPr>
              <w:jc w:val="both"/>
              <w:rPr>
                <w:rFonts w:ascii="David" w:hAnsi="David"/>
                <w:sz w:val="26"/>
                <w:szCs w:val="26"/>
              </w:rPr>
            </w:pPr>
            <w:bookmarkStart w:id="1" w:name="FirstAppellant"/>
            <w:r w:rsidRPr="00A22B66">
              <w:rPr>
                <w:rFonts w:ascii="David" w:hAnsi="David"/>
                <w:sz w:val="26"/>
                <w:szCs w:val="26"/>
                <w:rtl/>
              </w:rPr>
              <w:t>בעניין:</w:t>
            </w:r>
          </w:p>
        </w:tc>
        <w:tc>
          <w:tcPr>
            <w:tcW w:w="3219" w:type="dxa"/>
            <w:tcBorders>
              <w:top w:val="nil"/>
              <w:left w:val="nil"/>
              <w:bottom w:val="nil"/>
              <w:right w:val="nil"/>
            </w:tcBorders>
            <w:shd w:val="clear" w:color="auto" w:fill="auto"/>
          </w:tcPr>
          <w:p w14:paraId="03918B7A" w14:textId="77777777" w:rsidR="00880EF6" w:rsidRPr="00A22B66" w:rsidRDefault="00880EF6" w:rsidP="00880EF6">
            <w:pPr>
              <w:suppressLineNumbers/>
            </w:pPr>
            <w:r w:rsidRPr="00A22B66">
              <w:rPr>
                <w:rFonts w:ascii="Arial" w:hAnsi="Arial" w:hint="cs"/>
                <w:b/>
                <w:bCs/>
                <w:sz w:val="26"/>
                <w:szCs w:val="26"/>
                <w:rtl/>
              </w:rPr>
              <w:t>ה</w:t>
            </w:r>
            <w:r w:rsidRPr="00A22B66">
              <w:rPr>
                <w:rFonts w:ascii="Arial" w:hAnsi="Arial"/>
                <w:b/>
                <w:bCs/>
                <w:sz w:val="26"/>
                <w:szCs w:val="26"/>
                <w:rtl/>
              </w:rPr>
              <w:t>מאשימה</w:t>
            </w:r>
          </w:p>
          <w:p w14:paraId="01A080DF" w14:textId="77777777" w:rsidR="00880EF6" w:rsidRPr="00A22B66" w:rsidRDefault="00880EF6" w:rsidP="00CB4C99">
            <w:pPr>
              <w:rPr>
                <w:rFonts w:ascii="David" w:hAnsi="David"/>
                <w:sz w:val="26"/>
                <w:szCs w:val="26"/>
              </w:rPr>
            </w:pPr>
          </w:p>
        </w:tc>
        <w:tc>
          <w:tcPr>
            <w:tcW w:w="4678" w:type="dxa"/>
            <w:tcBorders>
              <w:top w:val="nil"/>
              <w:left w:val="nil"/>
              <w:bottom w:val="nil"/>
              <w:right w:val="nil"/>
            </w:tcBorders>
            <w:shd w:val="clear" w:color="auto" w:fill="auto"/>
            <w:vAlign w:val="center"/>
          </w:tcPr>
          <w:p w14:paraId="057C8B4F" w14:textId="77777777" w:rsidR="00880EF6" w:rsidRPr="00A22B66" w:rsidRDefault="00880EF6" w:rsidP="00880EF6">
            <w:pPr>
              <w:suppressLineNumbers/>
              <w:rPr>
                <w:rFonts w:ascii="Arial" w:hAnsi="Arial"/>
                <w:b/>
                <w:bCs/>
                <w:sz w:val="26"/>
                <w:szCs w:val="26"/>
                <w:rtl/>
              </w:rPr>
            </w:pPr>
            <w:r w:rsidRPr="00A22B66">
              <w:rPr>
                <w:rFonts w:ascii="Arial" w:hAnsi="Arial"/>
                <w:b/>
                <w:bCs/>
                <w:sz w:val="26"/>
                <w:szCs w:val="26"/>
                <w:rtl/>
              </w:rPr>
              <w:t>מדינת ישראל</w:t>
            </w:r>
            <w:r w:rsidRPr="00A22B66">
              <w:rPr>
                <w:rFonts w:ascii="Arial" w:hAnsi="Arial" w:hint="cs"/>
                <w:b/>
                <w:bCs/>
                <w:sz w:val="26"/>
                <w:szCs w:val="26"/>
                <w:rtl/>
              </w:rPr>
              <w:t xml:space="preserve"> </w:t>
            </w:r>
          </w:p>
          <w:p w14:paraId="15F91432" w14:textId="77777777" w:rsidR="00880EF6" w:rsidRPr="00A22B66" w:rsidRDefault="00880EF6" w:rsidP="00880EF6">
            <w:pPr>
              <w:suppressLineNumbers/>
              <w:rPr>
                <w:rFonts w:ascii="David" w:hAnsi="David"/>
                <w:sz w:val="26"/>
                <w:szCs w:val="26"/>
                <w:rtl/>
              </w:rPr>
            </w:pPr>
            <w:r w:rsidRPr="00A22B66">
              <w:rPr>
                <w:rFonts w:ascii="Arial" w:hAnsi="Arial" w:hint="cs"/>
                <w:b/>
                <w:bCs/>
                <w:sz w:val="26"/>
                <w:szCs w:val="26"/>
                <w:rtl/>
              </w:rPr>
              <w:t xml:space="preserve">על-ידי פרקליטות מחוז ירושלים </w:t>
            </w:r>
            <w:r w:rsidRPr="00A22B66">
              <w:rPr>
                <w:rFonts w:ascii="Arial" w:hAnsi="Arial"/>
                <w:b/>
                <w:bCs/>
                <w:sz w:val="26"/>
                <w:szCs w:val="26"/>
                <w:rtl/>
              </w:rPr>
              <w:t>–</w:t>
            </w:r>
            <w:r w:rsidRPr="00A22B66">
              <w:rPr>
                <w:rFonts w:ascii="Arial" w:hAnsi="Arial" w:hint="cs"/>
                <w:b/>
                <w:bCs/>
                <w:sz w:val="26"/>
                <w:szCs w:val="26"/>
                <w:rtl/>
              </w:rPr>
              <w:t xml:space="preserve"> עו"ד ב' בן אדרת</w:t>
            </w:r>
          </w:p>
          <w:p w14:paraId="0F886D82" w14:textId="77777777" w:rsidR="00880EF6" w:rsidRPr="00A22B66" w:rsidRDefault="00880EF6" w:rsidP="00880EF6">
            <w:pPr>
              <w:suppressLineNumbers/>
              <w:rPr>
                <w:rFonts w:ascii="David" w:hAnsi="David"/>
                <w:sz w:val="26"/>
                <w:szCs w:val="26"/>
              </w:rPr>
            </w:pPr>
          </w:p>
        </w:tc>
      </w:tr>
      <w:bookmarkEnd w:id="1"/>
      <w:tr w:rsidR="00880EF6" w:rsidRPr="00A22B66" w14:paraId="72DF3AD1" w14:textId="77777777" w:rsidTr="00880EF6">
        <w:trPr>
          <w:trHeight w:val="355"/>
          <w:jc w:val="center"/>
        </w:trPr>
        <w:tc>
          <w:tcPr>
            <w:tcW w:w="923" w:type="dxa"/>
            <w:tcBorders>
              <w:top w:val="nil"/>
              <w:left w:val="nil"/>
              <w:bottom w:val="nil"/>
              <w:right w:val="nil"/>
            </w:tcBorders>
            <w:shd w:val="clear" w:color="auto" w:fill="auto"/>
          </w:tcPr>
          <w:p w14:paraId="7C72E4DF" w14:textId="77777777" w:rsidR="00880EF6" w:rsidRPr="00A22B66" w:rsidRDefault="00880EF6" w:rsidP="00880EF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EC34B80" w14:textId="77777777" w:rsidR="00880EF6" w:rsidRPr="00A22B66" w:rsidRDefault="00880EF6" w:rsidP="00880EF6">
            <w:pPr>
              <w:jc w:val="center"/>
              <w:rPr>
                <w:rFonts w:ascii="David" w:hAnsi="David"/>
                <w:b/>
                <w:bCs/>
                <w:sz w:val="26"/>
                <w:szCs w:val="26"/>
                <w:rtl/>
              </w:rPr>
            </w:pPr>
          </w:p>
          <w:p w14:paraId="05345D86" w14:textId="77777777" w:rsidR="00880EF6" w:rsidRPr="00A22B66" w:rsidRDefault="00880EF6" w:rsidP="00880EF6">
            <w:pPr>
              <w:jc w:val="center"/>
              <w:rPr>
                <w:rFonts w:ascii="David" w:hAnsi="David"/>
                <w:b/>
                <w:bCs/>
                <w:sz w:val="26"/>
                <w:szCs w:val="26"/>
                <w:rtl/>
              </w:rPr>
            </w:pPr>
            <w:r w:rsidRPr="00A22B66">
              <w:rPr>
                <w:rFonts w:ascii="David" w:hAnsi="David"/>
                <w:b/>
                <w:bCs/>
                <w:sz w:val="26"/>
                <w:szCs w:val="26"/>
                <w:rtl/>
              </w:rPr>
              <w:t>נגד</w:t>
            </w:r>
          </w:p>
          <w:p w14:paraId="44F47FFF" w14:textId="77777777" w:rsidR="00880EF6" w:rsidRPr="00A22B66" w:rsidRDefault="00880EF6" w:rsidP="00880EF6">
            <w:pPr>
              <w:jc w:val="both"/>
              <w:rPr>
                <w:rFonts w:ascii="David" w:hAnsi="David"/>
                <w:sz w:val="26"/>
                <w:szCs w:val="26"/>
              </w:rPr>
            </w:pPr>
          </w:p>
        </w:tc>
      </w:tr>
      <w:tr w:rsidR="00880EF6" w:rsidRPr="00A22B66" w14:paraId="7CA1EDFD" w14:textId="77777777" w:rsidTr="00880EF6">
        <w:trPr>
          <w:trHeight w:val="355"/>
          <w:jc w:val="center"/>
        </w:trPr>
        <w:tc>
          <w:tcPr>
            <w:tcW w:w="923" w:type="dxa"/>
            <w:tcBorders>
              <w:top w:val="nil"/>
              <w:left w:val="nil"/>
              <w:bottom w:val="nil"/>
              <w:right w:val="nil"/>
            </w:tcBorders>
            <w:shd w:val="clear" w:color="auto" w:fill="auto"/>
          </w:tcPr>
          <w:p w14:paraId="78E05451" w14:textId="77777777" w:rsidR="00880EF6" w:rsidRPr="00A22B66" w:rsidRDefault="00880EF6" w:rsidP="00CB4C99">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510F92F2" w14:textId="77777777" w:rsidR="00880EF6" w:rsidRPr="00A22B66" w:rsidRDefault="00880EF6" w:rsidP="00CB4C99">
            <w:pPr>
              <w:rPr>
                <w:rFonts w:ascii="Arial" w:hAnsi="Arial"/>
                <w:b/>
                <w:bCs/>
                <w:sz w:val="26"/>
                <w:szCs w:val="26"/>
                <w:rtl/>
              </w:rPr>
            </w:pPr>
            <w:r w:rsidRPr="00A22B66">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5D8540ED" w14:textId="77777777" w:rsidR="00880EF6" w:rsidRPr="00A22B66" w:rsidRDefault="00880EF6" w:rsidP="00CB4C99">
            <w:pPr>
              <w:rPr>
                <w:rFonts w:ascii="David" w:hAnsi="David"/>
                <w:sz w:val="26"/>
                <w:szCs w:val="26"/>
              </w:rPr>
            </w:pPr>
          </w:p>
          <w:p w14:paraId="5C18BD55" w14:textId="77777777" w:rsidR="00880EF6" w:rsidRPr="00A22B66" w:rsidRDefault="00880EF6" w:rsidP="00880EF6">
            <w:pPr>
              <w:suppressLineNumbers/>
              <w:rPr>
                <w:rtl/>
              </w:rPr>
            </w:pPr>
            <w:r w:rsidRPr="00A22B66">
              <w:rPr>
                <w:rFonts w:ascii="Arial" w:hAnsi="Arial"/>
                <w:b/>
                <w:bCs/>
                <w:sz w:val="26"/>
                <w:szCs w:val="26"/>
                <w:rtl/>
              </w:rPr>
              <w:t>1. פאדי עאצי</w:t>
            </w:r>
            <w:r w:rsidRPr="00A22B66">
              <w:rPr>
                <w:rFonts w:ascii="Arial" w:hAnsi="Arial" w:hint="cs"/>
                <w:b/>
                <w:bCs/>
                <w:sz w:val="26"/>
                <w:szCs w:val="26"/>
                <w:rtl/>
              </w:rPr>
              <w:t xml:space="preserve"> </w:t>
            </w:r>
          </w:p>
          <w:p w14:paraId="3C243BAC" w14:textId="77777777" w:rsidR="00880EF6" w:rsidRPr="00A22B66" w:rsidRDefault="00880EF6" w:rsidP="00880EF6">
            <w:pPr>
              <w:suppressLineNumbers/>
              <w:rPr>
                <w:b/>
                <w:bCs/>
                <w:rtl/>
              </w:rPr>
            </w:pPr>
            <w:r w:rsidRPr="00A22B66">
              <w:rPr>
                <w:rFonts w:hint="cs"/>
                <w:b/>
                <w:bCs/>
                <w:rtl/>
              </w:rPr>
              <w:t>על-ידי ב"כ עו"ד ח' הדיה</w:t>
            </w:r>
          </w:p>
          <w:p w14:paraId="55120E80" w14:textId="77777777" w:rsidR="00880EF6" w:rsidRPr="00A22B66" w:rsidRDefault="00880EF6" w:rsidP="00880EF6">
            <w:pPr>
              <w:suppressLineNumbers/>
              <w:rPr>
                <w:b/>
                <w:bCs/>
              </w:rPr>
            </w:pPr>
          </w:p>
          <w:p w14:paraId="30C3163F" w14:textId="77777777" w:rsidR="00880EF6" w:rsidRPr="00A22B66" w:rsidRDefault="00880EF6" w:rsidP="00880EF6">
            <w:pPr>
              <w:suppressLineNumbers/>
            </w:pPr>
            <w:r w:rsidRPr="00A22B66">
              <w:rPr>
                <w:rFonts w:ascii="Arial" w:hAnsi="Arial"/>
                <w:b/>
                <w:bCs/>
                <w:sz w:val="26"/>
                <w:szCs w:val="26"/>
                <w:rtl/>
              </w:rPr>
              <w:t xml:space="preserve">2. פואד עבד אל גאני </w:t>
            </w:r>
            <w:r w:rsidRPr="00A22B66">
              <w:rPr>
                <w:rFonts w:ascii="Arial" w:hAnsi="Arial" w:hint="cs"/>
                <w:b/>
                <w:bCs/>
                <w:sz w:val="26"/>
                <w:szCs w:val="26"/>
                <w:rtl/>
              </w:rPr>
              <w:t xml:space="preserve"> </w:t>
            </w:r>
          </w:p>
          <w:p w14:paraId="47394F3F" w14:textId="77777777" w:rsidR="00880EF6" w:rsidRPr="00A22B66" w:rsidRDefault="00880EF6" w:rsidP="00880EF6">
            <w:pPr>
              <w:suppressLineNumbers/>
            </w:pPr>
            <w:r w:rsidRPr="00A22B66">
              <w:rPr>
                <w:rFonts w:ascii="Arial" w:hAnsi="Arial"/>
                <w:b/>
                <w:bCs/>
                <w:sz w:val="26"/>
                <w:szCs w:val="26"/>
                <w:rtl/>
              </w:rPr>
              <w:t xml:space="preserve">3. מג'ד מוגרבי </w:t>
            </w:r>
            <w:r w:rsidRPr="00A22B66">
              <w:rPr>
                <w:rFonts w:ascii="Arial" w:hAnsi="Arial" w:hint="cs"/>
                <w:b/>
                <w:bCs/>
                <w:sz w:val="26"/>
                <w:szCs w:val="26"/>
                <w:rtl/>
              </w:rPr>
              <w:t xml:space="preserve"> </w:t>
            </w:r>
          </w:p>
        </w:tc>
      </w:tr>
      <w:bookmarkEnd w:id="2"/>
    </w:tbl>
    <w:p w14:paraId="6B33F566" w14:textId="77777777" w:rsidR="00A22B66" w:rsidRPr="00A22B66" w:rsidRDefault="00A22B66" w:rsidP="00A22B66">
      <w:pPr>
        <w:spacing w:before="120" w:after="120" w:line="240" w:lineRule="exact"/>
        <w:ind w:left="283" w:hanging="283"/>
        <w:jc w:val="both"/>
        <w:rPr>
          <w:rFonts w:ascii="FrankRuehl" w:hAnsi="FrankRuehl" w:cs="FrankRuehl"/>
          <w:rtl/>
        </w:rPr>
      </w:pPr>
    </w:p>
    <w:p w14:paraId="435A38E0" w14:textId="77777777" w:rsidR="00176AD8" w:rsidRPr="00176AD8" w:rsidRDefault="00176AD8" w:rsidP="00176AD8">
      <w:pPr>
        <w:spacing w:before="120" w:after="120" w:line="240" w:lineRule="exact"/>
        <w:ind w:left="283" w:hanging="283"/>
        <w:jc w:val="both"/>
        <w:rPr>
          <w:rFonts w:ascii="FrankRuehl" w:hAnsi="FrankRuehl" w:cs="FrankRuehl"/>
          <w:rtl/>
        </w:rPr>
      </w:pPr>
    </w:p>
    <w:p w14:paraId="7744B5B9" w14:textId="77777777" w:rsidR="00C21D03" w:rsidRDefault="00C21D03" w:rsidP="00C21D03">
      <w:pPr>
        <w:rPr>
          <w:sz w:val="26"/>
          <w:szCs w:val="26"/>
          <w:rtl/>
        </w:rPr>
      </w:pPr>
      <w:bookmarkStart w:id="3" w:name="LawTable"/>
      <w:bookmarkEnd w:id="3"/>
    </w:p>
    <w:p w14:paraId="21FC7DEF" w14:textId="77777777" w:rsidR="00C21D03" w:rsidRPr="00C21D03" w:rsidRDefault="00C21D03" w:rsidP="00C21D03">
      <w:pPr>
        <w:spacing w:before="120" w:after="120" w:line="240" w:lineRule="exact"/>
        <w:ind w:left="283" w:hanging="283"/>
        <w:jc w:val="both"/>
        <w:rPr>
          <w:rFonts w:ascii="FrankRuehl" w:hAnsi="FrankRuehl" w:cs="FrankRuehl"/>
          <w:rtl/>
        </w:rPr>
      </w:pPr>
    </w:p>
    <w:p w14:paraId="6E77F9E3" w14:textId="77777777" w:rsidR="00C21D03" w:rsidRPr="00C21D03" w:rsidRDefault="00C21D03" w:rsidP="00C21D03">
      <w:pPr>
        <w:spacing w:before="120" w:after="120" w:line="240" w:lineRule="exact"/>
        <w:ind w:left="283" w:hanging="283"/>
        <w:jc w:val="both"/>
        <w:rPr>
          <w:rFonts w:ascii="FrankRuehl" w:hAnsi="FrankRuehl" w:cs="FrankRuehl"/>
          <w:rtl/>
        </w:rPr>
      </w:pPr>
    </w:p>
    <w:p w14:paraId="0BBA5EEC" w14:textId="77777777" w:rsidR="00C21D03" w:rsidRPr="00C21D03" w:rsidRDefault="00C21D03" w:rsidP="00C21D03">
      <w:pPr>
        <w:spacing w:before="120" w:after="120" w:line="240" w:lineRule="exact"/>
        <w:ind w:left="283" w:hanging="283"/>
        <w:jc w:val="both"/>
        <w:rPr>
          <w:rFonts w:ascii="FrankRuehl" w:hAnsi="FrankRuehl" w:cs="FrankRuehl"/>
          <w:rtl/>
        </w:rPr>
      </w:pPr>
      <w:r w:rsidRPr="00C21D03">
        <w:rPr>
          <w:rFonts w:ascii="FrankRuehl" w:hAnsi="FrankRuehl" w:cs="FrankRuehl"/>
          <w:rtl/>
        </w:rPr>
        <w:t xml:space="preserve">חקיקה שאוזכרה: </w:t>
      </w:r>
    </w:p>
    <w:p w14:paraId="07D8351E" w14:textId="77777777" w:rsidR="00C21D03" w:rsidRPr="00C21D03" w:rsidRDefault="00C21D03" w:rsidP="00C21D03">
      <w:pPr>
        <w:spacing w:before="120" w:after="120" w:line="240" w:lineRule="exact"/>
        <w:ind w:left="283" w:hanging="283"/>
        <w:jc w:val="both"/>
        <w:rPr>
          <w:rFonts w:ascii="FrankRuehl" w:hAnsi="FrankRuehl" w:cs="FrankRuehl"/>
          <w:rtl/>
        </w:rPr>
      </w:pPr>
      <w:hyperlink r:id="rId7" w:history="1">
        <w:r w:rsidRPr="00C21D03">
          <w:rPr>
            <w:rFonts w:ascii="FrankRuehl" w:hAnsi="FrankRuehl" w:cs="FrankRuehl"/>
            <w:color w:val="0000FF"/>
            <w:rtl/>
          </w:rPr>
          <w:t>חוק הכניסה לישראל, תשי"ב-1952</w:t>
        </w:r>
      </w:hyperlink>
      <w:r w:rsidRPr="00C21D03">
        <w:rPr>
          <w:rFonts w:ascii="FrankRuehl" w:hAnsi="FrankRuehl" w:cs="FrankRuehl"/>
          <w:rtl/>
        </w:rPr>
        <w:t xml:space="preserve">: סע'  </w:t>
      </w:r>
      <w:hyperlink r:id="rId8" w:history="1">
        <w:r w:rsidRPr="00C21D03">
          <w:rPr>
            <w:rFonts w:ascii="FrankRuehl" w:hAnsi="FrankRuehl" w:cs="FrankRuehl"/>
            <w:color w:val="0000FF"/>
            <w:rtl/>
          </w:rPr>
          <w:t>12(1)</w:t>
        </w:r>
      </w:hyperlink>
      <w:r w:rsidRPr="00C21D03">
        <w:rPr>
          <w:rFonts w:ascii="FrankRuehl" w:hAnsi="FrankRuehl" w:cs="FrankRuehl"/>
          <w:rtl/>
        </w:rPr>
        <w:t xml:space="preserve">, </w:t>
      </w:r>
      <w:hyperlink r:id="rId9" w:history="1">
        <w:r w:rsidRPr="00C21D03">
          <w:rPr>
            <w:rFonts w:ascii="FrankRuehl" w:hAnsi="FrankRuehl" w:cs="FrankRuehl"/>
            <w:color w:val="0000FF"/>
            <w:rtl/>
          </w:rPr>
          <w:t>12(4)</w:t>
        </w:r>
      </w:hyperlink>
    </w:p>
    <w:p w14:paraId="0C7A67EA" w14:textId="77777777" w:rsidR="00C21D03" w:rsidRPr="00C21D03" w:rsidRDefault="00C21D03" w:rsidP="00C21D03">
      <w:pPr>
        <w:spacing w:before="120" w:after="120" w:line="240" w:lineRule="exact"/>
        <w:ind w:left="283" w:hanging="283"/>
        <w:jc w:val="both"/>
        <w:rPr>
          <w:rFonts w:ascii="FrankRuehl" w:hAnsi="FrankRuehl" w:cs="FrankRuehl"/>
          <w:rtl/>
        </w:rPr>
      </w:pPr>
      <w:hyperlink r:id="rId10" w:history="1">
        <w:r w:rsidRPr="00C21D03">
          <w:rPr>
            <w:rFonts w:ascii="FrankRuehl" w:hAnsi="FrankRuehl" w:cs="FrankRuehl"/>
            <w:color w:val="0000FF"/>
            <w:rtl/>
          </w:rPr>
          <w:t>חוק העונשין, תשל"ז-1977</w:t>
        </w:r>
      </w:hyperlink>
      <w:r w:rsidRPr="00C21D03">
        <w:rPr>
          <w:rFonts w:ascii="FrankRuehl" w:hAnsi="FrankRuehl" w:cs="FrankRuehl"/>
          <w:rtl/>
        </w:rPr>
        <w:t xml:space="preserve">: סע'  </w:t>
      </w:r>
      <w:hyperlink r:id="rId11" w:history="1">
        <w:r w:rsidRPr="00C21D03">
          <w:rPr>
            <w:rFonts w:ascii="FrankRuehl" w:hAnsi="FrankRuehl" w:cs="FrankRuehl"/>
            <w:color w:val="0000FF"/>
            <w:rtl/>
          </w:rPr>
          <w:t>25</w:t>
        </w:r>
      </w:hyperlink>
      <w:r w:rsidRPr="00C21D03">
        <w:rPr>
          <w:rFonts w:ascii="FrankRuehl" w:hAnsi="FrankRuehl" w:cs="FrankRuehl"/>
          <w:rtl/>
        </w:rPr>
        <w:t xml:space="preserve">, </w:t>
      </w:r>
      <w:hyperlink r:id="rId12" w:history="1">
        <w:r w:rsidRPr="00C21D03">
          <w:rPr>
            <w:rFonts w:ascii="FrankRuehl" w:hAnsi="FrankRuehl" w:cs="FrankRuehl"/>
            <w:color w:val="0000FF"/>
            <w:rtl/>
          </w:rPr>
          <w:t>40ח</w:t>
        </w:r>
      </w:hyperlink>
      <w:r w:rsidRPr="00C21D03">
        <w:rPr>
          <w:rFonts w:ascii="FrankRuehl" w:hAnsi="FrankRuehl" w:cs="FrankRuehl"/>
          <w:rtl/>
        </w:rPr>
        <w:t xml:space="preserve">, </w:t>
      </w:r>
      <w:hyperlink r:id="rId13" w:history="1">
        <w:r w:rsidRPr="00C21D03">
          <w:rPr>
            <w:rFonts w:ascii="FrankRuehl" w:hAnsi="FrankRuehl" w:cs="FrankRuehl"/>
            <w:color w:val="0000FF"/>
            <w:rtl/>
          </w:rPr>
          <w:t>144(ב)</w:t>
        </w:r>
      </w:hyperlink>
      <w:r w:rsidRPr="00C21D03">
        <w:rPr>
          <w:rFonts w:ascii="FrankRuehl" w:hAnsi="FrankRuehl" w:cs="FrankRuehl"/>
          <w:rtl/>
        </w:rPr>
        <w:t xml:space="preserve">, </w:t>
      </w:r>
      <w:hyperlink r:id="rId14" w:history="1">
        <w:r w:rsidRPr="00C21D03">
          <w:rPr>
            <w:rFonts w:ascii="FrankRuehl" w:hAnsi="FrankRuehl" w:cs="FrankRuehl"/>
            <w:color w:val="0000FF"/>
            <w:rtl/>
          </w:rPr>
          <w:t>383</w:t>
        </w:r>
      </w:hyperlink>
      <w:r w:rsidRPr="00C21D03">
        <w:rPr>
          <w:rFonts w:ascii="FrankRuehl" w:hAnsi="FrankRuehl" w:cs="FrankRuehl"/>
          <w:rtl/>
        </w:rPr>
        <w:t xml:space="preserve">, </w:t>
      </w:r>
      <w:hyperlink r:id="rId15" w:history="1">
        <w:r w:rsidRPr="00C21D03">
          <w:rPr>
            <w:rFonts w:ascii="FrankRuehl" w:hAnsi="FrankRuehl" w:cs="FrankRuehl"/>
            <w:color w:val="0000FF"/>
            <w:rtl/>
          </w:rPr>
          <w:t>384</w:t>
        </w:r>
      </w:hyperlink>
      <w:r w:rsidRPr="00C21D03">
        <w:rPr>
          <w:rFonts w:ascii="FrankRuehl" w:hAnsi="FrankRuehl" w:cs="FrankRuehl"/>
          <w:rtl/>
        </w:rPr>
        <w:t xml:space="preserve">, </w:t>
      </w:r>
      <w:hyperlink r:id="rId16" w:history="1">
        <w:r w:rsidRPr="00C21D03">
          <w:rPr>
            <w:rFonts w:ascii="FrankRuehl" w:hAnsi="FrankRuehl" w:cs="FrankRuehl"/>
            <w:color w:val="0000FF"/>
            <w:rtl/>
          </w:rPr>
          <w:t>384א(ג)</w:t>
        </w:r>
      </w:hyperlink>
      <w:r w:rsidRPr="00C21D03">
        <w:rPr>
          <w:rFonts w:ascii="FrankRuehl" w:hAnsi="FrankRuehl" w:cs="FrankRuehl"/>
          <w:rtl/>
        </w:rPr>
        <w:t xml:space="preserve">, </w:t>
      </w:r>
      <w:hyperlink r:id="rId17" w:history="1">
        <w:r w:rsidRPr="00C21D03">
          <w:rPr>
            <w:rFonts w:ascii="FrankRuehl" w:hAnsi="FrankRuehl" w:cs="FrankRuehl"/>
            <w:color w:val="0000FF"/>
            <w:rtl/>
          </w:rPr>
          <w:t>406(ב)</w:t>
        </w:r>
      </w:hyperlink>
      <w:r w:rsidRPr="00C21D03">
        <w:rPr>
          <w:rFonts w:ascii="FrankRuehl" w:hAnsi="FrankRuehl" w:cs="FrankRuehl"/>
          <w:rtl/>
        </w:rPr>
        <w:t xml:space="preserve">, </w:t>
      </w:r>
      <w:hyperlink r:id="rId18" w:history="1">
        <w:r w:rsidRPr="00C21D03">
          <w:rPr>
            <w:rFonts w:ascii="FrankRuehl" w:hAnsi="FrankRuehl" w:cs="FrankRuehl"/>
            <w:color w:val="0000FF"/>
            <w:rtl/>
          </w:rPr>
          <w:t>409</w:t>
        </w:r>
      </w:hyperlink>
      <w:r w:rsidRPr="00C21D03">
        <w:rPr>
          <w:rFonts w:ascii="FrankRuehl" w:hAnsi="FrankRuehl" w:cs="FrankRuehl"/>
          <w:rtl/>
        </w:rPr>
        <w:t xml:space="preserve">, </w:t>
      </w:r>
      <w:hyperlink r:id="rId19" w:history="1">
        <w:r w:rsidRPr="00C21D03">
          <w:rPr>
            <w:rFonts w:ascii="FrankRuehl" w:hAnsi="FrankRuehl" w:cs="FrankRuehl"/>
            <w:color w:val="0000FF"/>
            <w:rtl/>
          </w:rPr>
          <w:t>40יג(א)</w:t>
        </w:r>
      </w:hyperlink>
      <w:r w:rsidRPr="00C21D03">
        <w:rPr>
          <w:rFonts w:ascii="FrankRuehl" w:hAnsi="FrankRuehl" w:cs="FrankRuehl"/>
          <w:rtl/>
        </w:rPr>
        <w:t xml:space="preserve">, </w:t>
      </w:r>
      <w:hyperlink r:id="rId20" w:history="1">
        <w:r w:rsidRPr="00C21D03">
          <w:rPr>
            <w:rFonts w:ascii="FrankRuehl" w:hAnsi="FrankRuehl" w:cs="FrankRuehl"/>
            <w:color w:val="0000FF"/>
            <w:rtl/>
          </w:rPr>
          <w:t>40יג(ב)</w:t>
        </w:r>
      </w:hyperlink>
    </w:p>
    <w:p w14:paraId="4EF12F55" w14:textId="77777777" w:rsidR="00C21D03" w:rsidRPr="00C21D03" w:rsidRDefault="00C21D03" w:rsidP="00C21D03">
      <w:pPr>
        <w:rPr>
          <w:sz w:val="26"/>
          <w:szCs w:val="26"/>
          <w:rtl/>
        </w:rPr>
      </w:pPr>
      <w:bookmarkStart w:id="4" w:name="LawTable_End"/>
      <w:bookmarkEnd w:id="4"/>
    </w:p>
    <w:p w14:paraId="15B1B9FB" w14:textId="77777777" w:rsidR="00880EF6" w:rsidRPr="00176AD8" w:rsidRDefault="00880EF6" w:rsidP="00176AD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80EF6" w14:paraId="5D954831" w14:textId="77777777" w:rsidTr="00880EF6">
        <w:trPr>
          <w:trHeight w:val="355"/>
          <w:jc w:val="center"/>
        </w:trPr>
        <w:tc>
          <w:tcPr>
            <w:tcW w:w="8820" w:type="dxa"/>
            <w:tcBorders>
              <w:top w:val="nil"/>
              <w:left w:val="nil"/>
              <w:bottom w:val="nil"/>
              <w:right w:val="nil"/>
            </w:tcBorders>
            <w:shd w:val="clear" w:color="auto" w:fill="auto"/>
          </w:tcPr>
          <w:p w14:paraId="5E388D73" w14:textId="77777777" w:rsidR="00A22B66" w:rsidRPr="00A22B66" w:rsidRDefault="00A22B66" w:rsidP="00A22B66">
            <w:pPr>
              <w:jc w:val="center"/>
              <w:rPr>
                <w:rFonts w:ascii="David" w:hAnsi="David"/>
                <w:b/>
                <w:bCs/>
                <w:sz w:val="32"/>
                <w:szCs w:val="32"/>
                <w:u w:val="single"/>
                <w:rtl/>
              </w:rPr>
            </w:pPr>
            <w:bookmarkStart w:id="5" w:name="PsakDin"/>
            <w:bookmarkEnd w:id="0"/>
            <w:r w:rsidRPr="00A22B66">
              <w:rPr>
                <w:rFonts w:ascii="David" w:hAnsi="David"/>
                <w:b/>
                <w:bCs/>
                <w:sz w:val="32"/>
                <w:szCs w:val="32"/>
                <w:u w:val="single"/>
                <w:rtl/>
              </w:rPr>
              <w:t xml:space="preserve">גזר דין </w:t>
            </w:r>
            <w:bookmarkEnd w:id="5"/>
            <w:r w:rsidRPr="00A22B66">
              <w:rPr>
                <w:rFonts w:ascii="David" w:hAnsi="David"/>
                <w:b/>
                <w:bCs/>
                <w:sz w:val="32"/>
                <w:szCs w:val="32"/>
                <w:u w:val="single"/>
                <w:rtl/>
              </w:rPr>
              <w:t>לנאשם 1</w:t>
            </w:r>
          </w:p>
          <w:p w14:paraId="3A97689E" w14:textId="77777777" w:rsidR="00880EF6" w:rsidRPr="00A22B66" w:rsidRDefault="00880EF6" w:rsidP="00A22B66">
            <w:pPr>
              <w:jc w:val="center"/>
              <w:rPr>
                <w:rFonts w:ascii="David" w:hAnsi="David"/>
                <w:bCs/>
                <w:sz w:val="32"/>
                <w:szCs w:val="32"/>
                <w:u w:val="single"/>
                <w:rtl/>
              </w:rPr>
            </w:pPr>
          </w:p>
        </w:tc>
      </w:tr>
    </w:tbl>
    <w:p w14:paraId="42FF74FD" w14:textId="77777777" w:rsidR="00880EF6" w:rsidRPr="000F2247" w:rsidRDefault="00880EF6" w:rsidP="00880EF6">
      <w:pPr>
        <w:rPr>
          <w:rFonts w:ascii="Arial" w:hAnsi="Arial"/>
          <w:b/>
          <w:bCs/>
          <w:sz w:val="26"/>
          <w:szCs w:val="26"/>
          <w:rtl/>
        </w:rPr>
      </w:pPr>
    </w:p>
    <w:p w14:paraId="5D37EB0B" w14:textId="77777777" w:rsidR="00880EF6" w:rsidRPr="000F2247" w:rsidRDefault="00880EF6" w:rsidP="00880EF6">
      <w:pPr>
        <w:rPr>
          <w:rFonts w:ascii="Arial" w:hAnsi="Arial"/>
          <w:b/>
          <w:bCs/>
          <w:sz w:val="26"/>
          <w:szCs w:val="26"/>
          <w:rtl/>
        </w:rPr>
      </w:pPr>
    </w:p>
    <w:p w14:paraId="4540FCBB" w14:textId="77777777" w:rsidR="00880EF6" w:rsidRDefault="00880EF6" w:rsidP="00880EF6">
      <w:pPr>
        <w:spacing w:before="120" w:after="120" w:line="360" w:lineRule="auto"/>
        <w:jc w:val="both"/>
        <w:rPr>
          <w:rFonts w:ascii="David" w:hAnsi="David"/>
          <w:b/>
          <w:bCs/>
        </w:rPr>
      </w:pPr>
      <w:r>
        <w:rPr>
          <w:rFonts w:ascii="David" w:hAnsi="David"/>
          <w:b/>
          <w:bCs/>
          <w:rtl/>
        </w:rPr>
        <w:t>רקע</w:t>
      </w:r>
    </w:p>
    <w:p w14:paraId="692C75D0"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bookmarkStart w:id="6" w:name="ABSTRACT_START"/>
      <w:bookmarkEnd w:id="6"/>
      <w:r>
        <w:rPr>
          <w:rFonts w:ascii="David" w:hAnsi="David" w:cs="David"/>
          <w:sz w:val="24"/>
          <w:szCs w:val="24"/>
          <w:rtl/>
        </w:rPr>
        <w:t xml:space="preserve">ביום 28.7.22 הוגש כתב </w:t>
      </w:r>
      <w:r>
        <w:rPr>
          <w:rFonts w:ascii="David" w:hAnsi="David" w:cs="David" w:hint="cs"/>
          <w:sz w:val="24"/>
          <w:szCs w:val="24"/>
          <w:rtl/>
        </w:rPr>
        <w:t>ה</w:t>
      </w:r>
      <w:r>
        <w:rPr>
          <w:rFonts w:ascii="David" w:hAnsi="David" w:cs="David"/>
          <w:sz w:val="24"/>
          <w:szCs w:val="24"/>
          <w:rtl/>
        </w:rPr>
        <w:t xml:space="preserve">אישום </w:t>
      </w:r>
      <w:r>
        <w:rPr>
          <w:rFonts w:ascii="David" w:hAnsi="David" w:cs="David" w:hint="cs"/>
          <w:sz w:val="24"/>
          <w:szCs w:val="24"/>
          <w:rtl/>
        </w:rPr>
        <w:t xml:space="preserve">בהליך זה. </w:t>
      </w:r>
      <w:r>
        <w:rPr>
          <w:rFonts w:ascii="David" w:hAnsi="David" w:cs="David"/>
          <w:sz w:val="24"/>
          <w:szCs w:val="24"/>
          <w:rtl/>
        </w:rPr>
        <w:t xml:space="preserve">ביום 13.9.22 </w:t>
      </w:r>
      <w:r>
        <w:rPr>
          <w:rFonts w:ascii="David" w:hAnsi="David" w:cs="David" w:hint="cs"/>
          <w:sz w:val="24"/>
          <w:szCs w:val="24"/>
          <w:rtl/>
        </w:rPr>
        <w:t>הציגו הצדדים הסכמות בנוגע לנאשם 1 (להלן: "הנאשם"), לפיהן תוקן כתב האישום והנאשם הודה בו ו</w:t>
      </w:r>
      <w:r>
        <w:rPr>
          <w:rFonts w:ascii="David" w:hAnsi="David" w:cs="David"/>
          <w:sz w:val="24"/>
          <w:szCs w:val="24"/>
          <w:rtl/>
        </w:rPr>
        <w:t>הורשע</w:t>
      </w:r>
      <w:r>
        <w:rPr>
          <w:rFonts w:ascii="David" w:hAnsi="David" w:cs="David" w:hint="cs"/>
          <w:sz w:val="24"/>
          <w:szCs w:val="24"/>
          <w:rtl/>
        </w:rPr>
        <w:t xml:space="preserve">. </w:t>
      </w:r>
    </w:p>
    <w:p w14:paraId="69B08B45" w14:textId="77777777" w:rsidR="00880EF6" w:rsidRPr="00894B78" w:rsidRDefault="00880EF6" w:rsidP="00880EF6">
      <w:pPr>
        <w:pStyle w:val="a9"/>
        <w:numPr>
          <w:ilvl w:val="0"/>
          <w:numId w:val="1"/>
        </w:numPr>
        <w:spacing w:before="120" w:after="120" w:line="360" w:lineRule="auto"/>
        <w:contextualSpacing w:val="0"/>
        <w:jc w:val="both"/>
        <w:rPr>
          <w:rFonts w:ascii="David" w:hAnsi="David" w:cs="David"/>
          <w:sz w:val="24"/>
          <w:szCs w:val="24"/>
          <w:rtl/>
        </w:rPr>
      </w:pPr>
      <w:r w:rsidRPr="00894B78">
        <w:rPr>
          <w:rFonts w:ascii="David" w:hAnsi="David" w:cs="David" w:hint="cs"/>
          <w:sz w:val="24"/>
          <w:szCs w:val="24"/>
          <w:rtl/>
        </w:rPr>
        <w:t xml:space="preserve">לפי העובדות בהן הורשע, </w:t>
      </w:r>
      <w:r w:rsidRPr="00894B78">
        <w:rPr>
          <w:rFonts w:ascii="David" w:hAnsi="David" w:cs="David"/>
          <w:sz w:val="24"/>
          <w:szCs w:val="24"/>
          <w:rtl/>
        </w:rPr>
        <w:t xml:space="preserve">הנאשם הינו תושב הרשות הפלסטינית ובמועדים הרלוונטיים לא החזיק בהיתר כניסה לישראל. </w:t>
      </w:r>
      <w:r w:rsidRPr="00894B78">
        <w:rPr>
          <w:rFonts w:ascii="David" w:hAnsi="David" w:cs="David" w:hint="cs"/>
          <w:sz w:val="24"/>
          <w:szCs w:val="24"/>
          <w:rtl/>
        </w:rPr>
        <w:t xml:space="preserve">יחד עם </w:t>
      </w:r>
      <w:r w:rsidRPr="00894B78">
        <w:rPr>
          <w:rFonts w:ascii="David" w:hAnsi="David" w:cs="David"/>
          <w:sz w:val="24"/>
          <w:szCs w:val="24"/>
          <w:rtl/>
        </w:rPr>
        <w:t xml:space="preserve">הנאשמים 2 ו-3 </w:t>
      </w:r>
      <w:r>
        <w:rPr>
          <w:rFonts w:ascii="David" w:hAnsi="David" w:cs="David" w:hint="cs"/>
          <w:sz w:val="24"/>
          <w:szCs w:val="24"/>
          <w:rtl/>
        </w:rPr>
        <w:t xml:space="preserve">ואחר שזהותו לא ידועה (להלן: </w:t>
      </w:r>
      <w:r>
        <w:rPr>
          <w:rFonts w:ascii="David" w:hAnsi="David" w:cs="David" w:hint="cs"/>
          <w:sz w:val="24"/>
          <w:szCs w:val="24"/>
          <w:rtl/>
        </w:rPr>
        <w:lastRenderedPageBreak/>
        <w:t xml:space="preserve">"האחר") </w:t>
      </w:r>
      <w:r w:rsidRPr="00894B78">
        <w:rPr>
          <w:rFonts w:ascii="David" w:hAnsi="David" w:cs="David"/>
          <w:sz w:val="24"/>
          <w:szCs w:val="24"/>
          <w:rtl/>
        </w:rPr>
        <w:t xml:space="preserve">קשר </w:t>
      </w:r>
      <w:r>
        <w:rPr>
          <w:rFonts w:ascii="David" w:hAnsi="David" w:cs="David" w:hint="cs"/>
          <w:sz w:val="24"/>
          <w:szCs w:val="24"/>
          <w:rtl/>
        </w:rPr>
        <w:t xml:space="preserve">הנאשם </w:t>
      </w:r>
      <w:r w:rsidRPr="00894B78">
        <w:rPr>
          <w:rFonts w:ascii="David" w:hAnsi="David" w:cs="David"/>
          <w:sz w:val="24"/>
          <w:szCs w:val="24"/>
          <w:rtl/>
        </w:rPr>
        <w:t>קשר</w:t>
      </w:r>
      <w:r>
        <w:rPr>
          <w:rFonts w:ascii="David" w:hAnsi="David" w:cs="David" w:hint="cs"/>
          <w:sz w:val="24"/>
          <w:szCs w:val="24"/>
          <w:rtl/>
        </w:rPr>
        <w:t>,</w:t>
      </w:r>
      <w:r w:rsidRPr="00894B78">
        <w:rPr>
          <w:rFonts w:ascii="David" w:hAnsi="David" w:cs="David"/>
          <w:sz w:val="24"/>
          <w:szCs w:val="24"/>
          <w:rtl/>
        </w:rPr>
        <w:t xml:space="preserve"> להתפרץ לבתי מגורים </w:t>
      </w:r>
      <w:r w:rsidRPr="00894B78">
        <w:rPr>
          <w:rFonts w:ascii="David" w:hAnsi="David" w:cs="David" w:hint="cs"/>
          <w:sz w:val="24"/>
          <w:szCs w:val="24"/>
          <w:rtl/>
        </w:rPr>
        <w:t xml:space="preserve">בישראל </w:t>
      </w:r>
      <w:r>
        <w:rPr>
          <w:rFonts w:ascii="David" w:hAnsi="David" w:cs="David"/>
          <w:sz w:val="24"/>
          <w:szCs w:val="24"/>
          <w:rtl/>
        </w:rPr>
        <w:t>ולגנוב מהם רכוש</w:t>
      </w:r>
      <w:r>
        <w:rPr>
          <w:rFonts w:ascii="David" w:hAnsi="David" w:cs="David" w:hint="cs"/>
          <w:sz w:val="24"/>
          <w:szCs w:val="24"/>
          <w:rtl/>
        </w:rPr>
        <w:t>, כאשר חלקו של הנאשם 2 היה להסיע את הפורצים למיקומים הרלבנטיים ובהמשך למלטם תמורת תשלום</w:t>
      </w:r>
      <w:r w:rsidRPr="00894B78">
        <w:rPr>
          <w:rFonts w:ascii="David" w:hAnsi="David" w:cs="David"/>
          <w:sz w:val="24"/>
          <w:szCs w:val="24"/>
          <w:rtl/>
        </w:rPr>
        <w:t>.</w:t>
      </w:r>
    </w:p>
    <w:p w14:paraId="34DBC6AF"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bookmarkStart w:id="7" w:name="ABSTRACT_END"/>
      <w:bookmarkEnd w:id="7"/>
      <w:r>
        <w:rPr>
          <w:rFonts w:ascii="David" w:hAnsi="David" w:cs="David"/>
          <w:sz w:val="24"/>
          <w:szCs w:val="24"/>
          <w:rtl/>
        </w:rPr>
        <w:t xml:space="preserve">לפי האישום הראשון, ביום 1.7.22 בשעה 20:30 או בסמוך </w:t>
      </w:r>
      <w:r>
        <w:rPr>
          <w:rFonts w:ascii="David" w:hAnsi="David" w:cs="David" w:hint="cs"/>
          <w:sz w:val="24"/>
          <w:szCs w:val="24"/>
          <w:rtl/>
        </w:rPr>
        <w:t xml:space="preserve">לה </w:t>
      </w:r>
      <w:r>
        <w:rPr>
          <w:rFonts w:ascii="David" w:hAnsi="David" w:cs="David"/>
          <w:sz w:val="24"/>
          <w:szCs w:val="24"/>
          <w:rtl/>
        </w:rPr>
        <w:t>נסעו הנאשם</w:t>
      </w:r>
      <w:r>
        <w:rPr>
          <w:rFonts w:ascii="David" w:hAnsi="David" w:cs="David" w:hint="cs"/>
          <w:sz w:val="24"/>
          <w:szCs w:val="24"/>
          <w:rtl/>
        </w:rPr>
        <w:t>, האחר ו</w:t>
      </w:r>
      <w:r>
        <w:rPr>
          <w:rFonts w:ascii="David" w:hAnsi="David" w:cs="David"/>
          <w:sz w:val="24"/>
          <w:szCs w:val="24"/>
          <w:rtl/>
        </w:rPr>
        <w:t>הנאשם 2 אל מושב ישעי</w:t>
      </w:r>
      <w:r>
        <w:rPr>
          <w:rFonts w:ascii="David" w:hAnsi="David" w:cs="David" w:hint="cs"/>
          <w:sz w:val="24"/>
          <w:szCs w:val="24"/>
          <w:rtl/>
        </w:rPr>
        <w:t xml:space="preserve">, שם </w:t>
      </w:r>
      <w:r>
        <w:rPr>
          <w:rFonts w:ascii="David" w:hAnsi="David" w:cs="David"/>
          <w:sz w:val="24"/>
          <w:szCs w:val="24"/>
          <w:rtl/>
        </w:rPr>
        <w:t>הוריד הנאשם 2 את הנאשם והאחר ונסע לכיוון ירושלים. הנאשם והאחר הגיעו לדיר</w:t>
      </w:r>
      <w:r>
        <w:rPr>
          <w:rFonts w:ascii="David" w:hAnsi="David" w:cs="David" w:hint="cs"/>
          <w:sz w:val="24"/>
          <w:szCs w:val="24"/>
          <w:rtl/>
        </w:rPr>
        <w:t xml:space="preserve">ה בה התגורר קצין צה"ל. </w:t>
      </w:r>
      <w:r>
        <w:rPr>
          <w:rFonts w:ascii="David" w:hAnsi="David" w:cs="David"/>
          <w:sz w:val="24"/>
          <w:szCs w:val="24"/>
          <w:rtl/>
        </w:rPr>
        <w:t xml:space="preserve">האחר התפרץ לדירה דרך החלון בזמן שהנאשם </w:t>
      </w:r>
      <w:r>
        <w:rPr>
          <w:rFonts w:ascii="David" w:hAnsi="David" w:cs="David" w:hint="cs"/>
          <w:sz w:val="24"/>
          <w:szCs w:val="24"/>
          <w:rtl/>
        </w:rPr>
        <w:t xml:space="preserve">תצפת מחוץ לדירה. </w:t>
      </w:r>
      <w:r>
        <w:rPr>
          <w:rFonts w:ascii="David" w:hAnsi="David" w:cs="David"/>
          <w:sz w:val="24"/>
          <w:szCs w:val="24"/>
          <w:rtl/>
        </w:rPr>
        <w:t xml:space="preserve">האחר נטל </w:t>
      </w:r>
      <w:r>
        <w:rPr>
          <w:rFonts w:ascii="David" w:hAnsi="David" w:cs="David" w:hint="cs"/>
          <w:sz w:val="24"/>
          <w:szCs w:val="24"/>
          <w:rtl/>
        </w:rPr>
        <w:t xml:space="preserve">רובה </w:t>
      </w:r>
      <w:r>
        <w:rPr>
          <w:rFonts w:ascii="David" w:hAnsi="David" w:cs="David"/>
          <w:sz w:val="24"/>
          <w:szCs w:val="24"/>
        </w:rPr>
        <w:t>M16</w:t>
      </w:r>
      <w:r>
        <w:rPr>
          <w:rFonts w:ascii="David" w:hAnsi="David" w:cs="David" w:hint="cs"/>
          <w:sz w:val="24"/>
          <w:szCs w:val="24"/>
          <w:rtl/>
        </w:rPr>
        <w:t xml:space="preserve"> שאוחסן תחת מיטת הקצין וכן </w:t>
      </w:r>
      <w:r>
        <w:rPr>
          <w:rFonts w:ascii="David" w:hAnsi="David" w:cs="David"/>
          <w:sz w:val="24"/>
          <w:szCs w:val="24"/>
          <w:rtl/>
        </w:rPr>
        <w:t xml:space="preserve">ארנק ובו 600 ₪, כספת ובה 4,000 ₪ ושיקים, שעון, זוג נעליים ושני מכשירי טלפון. </w:t>
      </w:r>
      <w:r>
        <w:rPr>
          <w:rFonts w:ascii="David" w:hAnsi="David" w:cs="David" w:hint="cs"/>
          <w:sz w:val="24"/>
          <w:szCs w:val="24"/>
          <w:rtl/>
        </w:rPr>
        <w:t xml:space="preserve">בהמשך </w:t>
      </w:r>
      <w:r>
        <w:rPr>
          <w:rFonts w:ascii="David" w:hAnsi="David" w:cs="David"/>
          <w:sz w:val="24"/>
          <w:szCs w:val="24"/>
          <w:rtl/>
        </w:rPr>
        <w:t xml:space="preserve">התפרץ האחר </w:t>
      </w:r>
      <w:r>
        <w:rPr>
          <w:rFonts w:ascii="David" w:hAnsi="David" w:cs="David" w:hint="cs"/>
          <w:sz w:val="24"/>
          <w:szCs w:val="24"/>
          <w:rtl/>
        </w:rPr>
        <w:t xml:space="preserve">לדירה </w:t>
      </w:r>
      <w:r>
        <w:rPr>
          <w:rFonts w:ascii="David" w:hAnsi="David" w:cs="David"/>
          <w:sz w:val="24"/>
          <w:szCs w:val="24"/>
          <w:rtl/>
        </w:rPr>
        <w:t xml:space="preserve">סמוכה ונטל </w:t>
      </w:r>
      <w:r>
        <w:rPr>
          <w:rFonts w:ascii="David" w:hAnsi="David" w:cs="David" w:hint="cs"/>
          <w:sz w:val="24"/>
          <w:szCs w:val="24"/>
          <w:rtl/>
        </w:rPr>
        <w:t xml:space="preserve">ממנה </w:t>
      </w:r>
      <w:r>
        <w:rPr>
          <w:rFonts w:ascii="David" w:hAnsi="David" w:cs="David"/>
          <w:sz w:val="24"/>
          <w:szCs w:val="24"/>
          <w:rtl/>
        </w:rPr>
        <w:t xml:space="preserve">מחשב נייד, שעון </w:t>
      </w:r>
      <w:r>
        <w:rPr>
          <w:rFonts w:ascii="David" w:hAnsi="David" w:cs="David" w:hint="cs"/>
          <w:sz w:val="24"/>
          <w:szCs w:val="24"/>
          <w:rtl/>
        </w:rPr>
        <w:t>"</w:t>
      </w:r>
      <w:r>
        <w:rPr>
          <w:rFonts w:ascii="David" w:hAnsi="David" w:cs="David"/>
          <w:sz w:val="24"/>
          <w:szCs w:val="24"/>
          <w:rtl/>
        </w:rPr>
        <w:t>חכם</w:t>
      </w:r>
      <w:r>
        <w:rPr>
          <w:rFonts w:ascii="David" w:hAnsi="David" w:cs="David" w:hint="cs"/>
          <w:sz w:val="24"/>
          <w:szCs w:val="24"/>
          <w:rtl/>
        </w:rPr>
        <w:t>"</w:t>
      </w:r>
      <w:r>
        <w:rPr>
          <w:rFonts w:ascii="David" w:hAnsi="David" w:cs="David"/>
          <w:sz w:val="24"/>
          <w:szCs w:val="24"/>
          <w:rtl/>
        </w:rPr>
        <w:t xml:space="preserve">, שעון ספורט, כסף מזומן בסך 700 יורו וכן 3,000 ₪, ארבעה מכשירי טלפון, תכשיטים וכונן קשיח. הנאשם והאחר נמלטו אל שטח פתוח ולאחר כשעה אסף אותם הנאשם 2. הנשק שנגנב היה ללא מכלול אולם הנאשם והאחר לא ידעו זאת. </w:t>
      </w:r>
    </w:p>
    <w:p w14:paraId="6E6201A3" w14:textId="77777777" w:rsidR="00880EF6" w:rsidRDefault="00880EF6" w:rsidP="00880EF6">
      <w:pPr>
        <w:pStyle w:val="a9"/>
        <w:spacing w:before="120" w:after="120" w:line="360" w:lineRule="auto"/>
        <w:ind w:left="360"/>
        <w:contextualSpacing w:val="0"/>
        <w:jc w:val="both"/>
        <w:rPr>
          <w:rFonts w:ascii="David" w:hAnsi="David" w:cs="David"/>
          <w:sz w:val="24"/>
          <w:szCs w:val="24"/>
          <w:rtl/>
        </w:rPr>
      </w:pPr>
      <w:r>
        <w:rPr>
          <w:rFonts w:ascii="David" w:hAnsi="David" w:cs="David" w:hint="cs"/>
          <w:sz w:val="24"/>
          <w:szCs w:val="24"/>
          <w:rtl/>
        </w:rPr>
        <w:t xml:space="preserve">לאחר מעצרו, הסגיר הנאשם את הנשק לכוחות הביטחון. </w:t>
      </w:r>
    </w:p>
    <w:p w14:paraId="40E5B0CB" w14:textId="77777777" w:rsidR="00880EF6" w:rsidRPr="00843DDF" w:rsidRDefault="00880EF6" w:rsidP="00880EF6">
      <w:pPr>
        <w:pStyle w:val="a9"/>
        <w:spacing w:before="120" w:after="120" w:line="360" w:lineRule="auto"/>
        <w:ind w:left="360"/>
        <w:contextualSpacing w:val="0"/>
        <w:jc w:val="both"/>
        <w:rPr>
          <w:rFonts w:ascii="David" w:hAnsi="David" w:cs="David"/>
          <w:sz w:val="24"/>
          <w:szCs w:val="24"/>
          <w:rtl/>
        </w:rPr>
      </w:pPr>
      <w:r>
        <w:rPr>
          <w:rFonts w:ascii="David" w:hAnsi="David" w:cs="David"/>
          <w:sz w:val="24"/>
          <w:szCs w:val="24"/>
          <w:rtl/>
        </w:rPr>
        <w:t>בגין מעשים אל</w:t>
      </w:r>
      <w:r>
        <w:rPr>
          <w:rFonts w:ascii="David" w:hAnsi="David" w:cs="David" w:hint="cs"/>
          <w:sz w:val="24"/>
          <w:szCs w:val="24"/>
          <w:rtl/>
        </w:rPr>
        <w:t>ה,</w:t>
      </w:r>
      <w:r>
        <w:rPr>
          <w:rFonts w:ascii="David" w:hAnsi="David" w:cs="David"/>
          <w:sz w:val="24"/>
          <w:szCs w:val="24"/>
          <w:rtl/>
        </w:rPr>
        <w:t xml:space="preserve"> הורשע הנאשם בעביר</w:t>
      </w:r>
      <w:r>
        <w:rPr>
          <w:rFonts w:ascii="David" w:hAnsi="David" w:cs="David" w:hint="cs"/>
          <w:sz w:val="24"/>
          <w:szCs w:val="24"/>
          <w:rtl/>
        </w:rPr>
        <w:t>ה</w:t>
      </w:r>
      <w:r>
        <w:rPr>
          <w:rFonts w:ascii="David" w:hAnsi="David" w:cs="David"/>
          <w:sz w:val="24"/>
          <w:szCs w:val="24"/>
          <w:rtl/>
        </w:rPr>
        <w:t xml:space="preserve"> של כניסה לישראל שלא כדין</w:t>
      </w:r>
      <w:r>
        <w:rPr>
          <w:rFonts w:ascii="David" w:hAnsi="David" w:cs="David" w:hint="cs"/>
          <w:sz w:val="24"/>
          <w:szCs w:val="24"/>
          <w:rtl/>
        </w:rPr>
        <w:t>,</w:t>
      </w:r>
      <w:r>
        <w:rPr>
          <w:rFonts w:ascii="David" w:hAnsi="David" w:cs="David"/>
          <w:sz w:val="24"/>
          <w:szCs w:val="24"/>
          <w:rtl/>
        </w:rPr>
        <w:t xml:space="preserve"> לפי </w:t>
      </w:r>
      <w:hyperlink r:id="rId21" w:history="1">
        <w:r w:rsidR="00311829" w:rsidRPr="00311829">
          <w:rPr>
            <w:rStyle w:val="Hyperlink"/>
            <w:rFonts w:ascii="David" w:hAnsi="David" w:cs="David"/>
            <w:sz w:val="24"/>
            <w:szCs w:val="24"/>
            <w:rtl/>
          </w:rPr>
          <w:t>סעיפים 12(1)</w:t>
        </w:r>
      </w:hyperlink>
      <w:r>
        <w:rPr>
          <w:rFonts w:ascii="David" w:hAnsi="David" w:cs="David"/>
          <w:sz w:val="24"/>
          <w:szCs w:val="24"/>
          <w:rtl/>
        </w:rPr>
        <w:t xml:space="preserve"> ו-</w:t>
      </w:r>
      <w:hyperlink r:id="rId22" w:history="1">
        <w:r w:rsidR="00311829" w:rsidRPr="00311829">
          <w:rPr>
            <w:rStyle w:val="Hyperlink"/>
            <w:rFonts w:ascii="David" w:hAnsi="David" w:cs="David"/>
            <w:sz w:val="24"/>
            <w:szCs w:val="24"/>
            <w:rtl/>
          </w:rPr>
          <w:t>12(4)</w:t>
        </w:r>
      </w:hyperlink>
      <w:r>
        <w:rPr>
          <w:rFonts w:ascii="David" w:hAnsi="David" w:cs="David"/>
          <w:sz w:val="24"/>
          <w:szCs w:val="24"/>
          <w:rtl/>
        </w:rPr>
        <w:t xml:space="preserve"> ל</w:t>
      </w:r>
      <w:hyperlink r:id="rId23" w:history="1">
        <w:r w:rsidR="00A22B66" w:rsidRPr="00A22B66">
          <w:rPr>
            <w:rFonts w:ascii="David" w:hAnsi="David" w:cs="David"/>
            <w:color w:val="0000FF"/>
            <w:sz w:val="24"/>
            <w:szCs w:val="24"/>
            <w:u w:val="single"/>
            <w:rtl/>
          </w:rPr>
          <w:t>חוק הכניסה לישראל</w:t>
        </w:r>
      </w:hyperlink>
      <w:r>
        <w:rPr>
          <w:rFonts w:ascii="David" w:hAnsi="David" w:cs="David"/>
          <w:sz w:val="24"/>
          <w:szCs w:val="24"/>
          <w:rtl/>
        </w:rPr>
        <w:t xml:space="preserve">, התשי"ב-1952 </w:t>
      </w:r>
      <w:r w:rsidRPr="00843DDF">
        <w:rPr>
          <w:rFonts w:ascii="David" w:hAnsi="David" w:cs="David"/>
          <w:sz w:val="24"/>
          <w:szCs w:val="24"/>
          <w:rtl/>
        </w:rPr>
        <w:t xml:space="preserve">(להלן: "חוק הכניסה לישראל"), </w:t>
      </w:r>
      <w:r>
        <w:rPr>
          <w:rFonts w:ascii="David" w:hAnsi="David" w:cs="David" w:hint="cs"/>
          <w:sz w:val="24"/>
          <w:szCs w:val="24"/>
          <w:rtl/>
        </w:rPr>
        <w:t>ב</w:t>
      </w:r>
      <w:r w:rsidRPr="00843DDF">
        <w:rPr>
          <w:rFonts w:ascii="David" w:hAnsi="David" w:cs="David"/>
          <w:sz w:val="24"/>
          <w:szCs w:val="24"/>
          <w:rtl/>
        </w:rPr>
        <w:t>שתי עבירות של התפרצות למקום מגורים בכוונה לבצע גניבה</w:t>
      </w:r>
      <w:r>
        <w:rPr>
          <w:rFonts w:ascii="David" w:hAnsi="David" w:cs="David" w:hint="cs"/>
          <w:sz w:val="24"/>
          <w:szCs w:val="24"/>
          <w:rtl/>
        </w:rPr>
        <w:t>,</w:t>
      </w:r>
      <w:r w:rsidRPr="00843DDF">
        <w:rPr>
          <w:rFonts w:ascii="David" w:hAnsi="David" w:cs="David"/>
          <w:sz w:val="24"/>
          <w:szCs w:val="24"/>
          <w:rtl/>
        </w:rPr>
        <w:t xml:space="preserve"> לפי </w:t>
      </w:r>
      <w:hyperlink r:id="rId24" w:history="1">
        <w:r w:rsidR="00311829" w:rsidRPr="00311829">
          <w:rPr>
            <w:rStyle w:val="Hyperlink"/>
            <w:rFonts w:ascii="David" w:hAnsi="David" w:cs="David"/>
            <w:sz w:val="24"/>
            <w:szCs w:val="24"/>
            <w:rtl/>
          </w:rPr>
          <w:t>סעיף 406(ב)</w:t>
        </w:r>
      </w:hyperlink>
      <w:r w:rsidRPr="00843DDF">
        <w:rPr>
          <w:rFonts w:ascii="David" w:hAnsi="David" w:cs="David"/>
          <w:sz w:val="24"/>
          <w:szCs w:val="24"/>
          <w:rtl/>
        </w:rPr>
        <w:t xml:space="preserve"> ל</w:t>
      </w:r>
      <w:hyperlink r:id="rId25" w:history="1">
        <w:r w:rsidR="00A22B66" w:rsidRPr="00A22B66">
          <w:rPr>
            <w:rFonts w:ascii="David" w:hAnsi="David" w:cs="David"/>
            <w:color w:val="0000FF"/>
            <w:sz w:val="24"/>
            <w:szCs w:val="24"/>
            <w:u w:val="single"/>
            <w:rtl/>
          </w:rPr>
          <w:t>חוק העונשין</w:t>
        </w:r>
      </w:hyperlink>
      <w:r w:rsidRPr="00843DDF">
        <w:rPr>
          <w:rFonts w:ascii="David" w:hAnsi="David" w:cs="David"/>
          <w:sz w:val="24"/>
          <w:szCs w:val="24"/>
          <w:rtl/>
        </w:rPr>
        <w:t xml:space="preserve">, התשל"ז-1977 (להלן: "חוק העונשין"), </w:t>
      </w:r>
      <w:r>
        <w:rPr>
          <w:rFonts w:ascii="David" w:hAnsi="David" w:cs="David" w:hint="cs"/>
          <w:sz w:val="24"/>
          <w:szCs w:val="24"/>
          <w:rtl/>
        </w:rPr>
        <w:t>ב</w:t>
      </w:r>
      <w:r w:rsidRPr="00843DDF">
        <w:rPr>
          <w:rFonts w:ascii="David" w:hAnsi="David" w:cs="David"/>
          <w:sz w:val="24"/>
          <w:szCs w:val="24"/>
          <w:rtl/>
        </w:rPr>
        <w:t xml:space="preserve">שתי עבירות גניבה לפי </w:t>
      </w:r>
      <w:hyperlink r:id="rId26" w:history="1">
        <w:r w:rsidR="00311829" w:rsidRPr="00311829">
          <w:rPr>
            <w:rStyle w:val="Hyperlink"/>
            <w:rFonts w:ascii="David" w:hAnsi="David" w:cs="David"/>
            <w:sz w:val="24"/>
            <w:szCs w:val="24"/>
            <w:rtl/>
          </w:rPr>
          <w:t>סעיפים 384</w:t>
        </w:r>
      </w:hyperlink>
      <w:r w:rsidRPr="00843DDF">
        <w:rPr>
          <w:rFonts w:ascii="David" w:hAnsi="David" w:cs="David"/>
          <w:sz w:val="24"/>
          <w:szCs w:val="24"/>
          <w:rtl/>
        </w:rPr>
        <w:t xml:space="preserve"> ו-</w:t>
      </w:r>
      <w:hyperlink r:id="rId27" w:history="1">
        <w:r w:rsidR="00311829" w:rsidRPr="00311829">
          <w:rPr>
            <w:rStyle w:val="Hyperlink"/>
            <w:rFonts w:ascii="David" w:hAnsi="David" w:cs="David"/>
            <w:sz w:val="24"/>
            <w:szCs w:val="24"/>
            <w:rtl/>
          </w:rPr>
          <w:t>383</w:t>
        </w:r>
      </w:hyperlink>
      <w:r w:rsidRPr="00843DDF">
        <w:rPr>
          <w:rFonts w:ascii="David" w:hAnsi="David" w:cs="David"/>
          <w:sz w:val="24"/>
          <w:szCs w:val="24"/>
          <w:rtl/>
        </w:rPr>
        <w:t xml:space="preserve"> לחוק העונשין, </w:t>
      </w:r>
      <w:r>
        <w:rPr>
          <w:rFonts w:ascii="David" w:hAnsi="David" w:cs="David" w:hint="cs"/>
          <w:sz w:val="24"/>
          <w:szCs w:val="24"/>
          <w:rtl/>
        </w:rPr>
        <w:t xml:space="preserve">ובעבירות של </w:t>
      </w:r>
      <w:r w:rsidRPr="00843DDF">
        <w:rPr>
          <w:rFonts w:ascii="David" w:hAnsi="David" w:cs="David"/>
          <w:sz w:val="24"/>
          <w:szCs w:val="24"/>
          <w:rtl/>
        </w:rPr>
        <w:t xml:space="preserve">גניבת נשק לפי </w:t>
      </w:r>
      <w:hyperlink r:id="rId28" w:history="1">
        <w:r w:rsidR="00311829" w:rsidRPr="00311829">
          <w:rPr>
            <w:rStyle w:val="Hyperlink"/>
            <w:rFonts w:ascii="David" w:hAnsi="David" w:cs="David"/>
            <w:sz w:val="24"/>
            <w:szCs w:val="24"/>
            <w:rtl/>
          </w:rPr>
          <w:t>סעיף 384א(ג)</w:t>
        </w:r>
      </w:hyperlink>
      <w:r w:rsidRPr="00843DDF">
        <w:rPr>
          <w:rFonts w:ascii="David" w:hAnsi="David" w:cs="David"/>
          <w:sz w:val="24"/>
          <w:szCs w:val="24"/>
          <w:rtl/>
        </w:rPr>
        <w:t xml:space="preserve"> לחוק העונשין ו</w:t>
      </w:r>
      <w:r>
        <w:rPr>
          <w:rFonts w:ascii="David" w:hAnsi="David" w:cs="David" w:hint="cs"/>
          <w:sz w:val="24"/>
          <w:szCs w:val="24"/>
          <w:rtl/>
        </w:rPr>
        <w:t xml:space="preserve">של </w:t>
      </w:r>
      <w:r w:rsidRPr="00843DDF">
        <w:rPr>
          <w:rFonts w:ascii="David" w:hAnsi="David" w:cs="David"/>
          <w:sz w:val="24"/>
          <w:szCs w:val="24"/>
          <w:rtl/>
        </w:rPr>
        <w:t xml:space="preserve">נשיאת נשק לפי </w:t>
      </w:r>
      <w:hyperlink r:id="rId29" w:history="1">
        <w:r w:rsidR="00311829" w:rsidRPr="00311829">
          <w:rPr>
            <w:rStyle w:val="Hyperlink"/>
            <w:rFonts w:ascii="David" w:hAnsi="David" w:cs="David"/>
            <w:sz w:val="24"/>
            <w:szCs w:val="24"/>
            <w:rtl/>
          </w:rPr>
          <w:t>סעיף 144(ב)</w:t>
        </w:r>
      </w:hyperlink>
      <w:r w:rsidRPr="00843DDF">
        <w:rPr>
          <w:rFonts w:ascii="David" w:hAnsi="David" w:cs="David"/>
          <w:sz w:val="24"/>
          <w:szCs w:val="24"/>
          <w:rtl/>
        </w:rPr>
        <w:t xml:space="preserve"> לחוק העונשין. </w:t>
      </w:r>
    </w:p>
    <w:p w14:paraId="46BC28D9"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t>לפי האישום השני, ביום 14.7.22 בשעות הערב נסעו הנאשמים למושב שדה משה</w:t>
      </w:r>
      <w:r>
        <w:rPr>
          <w:rFonts w:ascii="David" w:hAnsi="David" w:cs="David" w:hint="cs"/>
          <w:sz w:val="24"/>
          <w:szCs w:val="24"/>
          <w:rtl/>
        </w:rPr>
        <w:t xml:space="preserve">, שם </w:t>
      </w:r>
      <w:r>
        <w:rPr>
          <w:rFonts w:ascii="David" w:hAnsi="David" w:cs="David"/>
          <w:sz w:val="24"/>
          <w:szCs w:val="24"/>
          <w:rtl/>
        </w:rPr>
        <w:t xml:space="preserve">ירדו הנאשם והנאשם 3 מהרכב והחלו </w:t>
      </w:r>
      <w:r>
        <w:rPr>
          <w:rFonts w:ascii="David" w:hAnsi="David" w:cs="David" w:hint="cs"/>
          <w:sz w:val="24"/>
          <w:szCs w:val="24"/>
          <w:rtl/>
        </w:rPr>
        <w:t xml:space="preserve">לצעוד </w:t>
      </w:r>
      <w:r>
        <w:rPr>
          <w:rFonts w:ascii="David" w:hAnsi="David" w:cs="David"/>
          <w:sz w:val="24"/>
          <w:szCs w:val="24"/>
          <w:rtl/>
        </w:rPr>
        <w:t xml:space="preserve">לכיוון בתי מגורים </w:t>
      </w:r>
      <w:r>
        <w:rPr>
          <w:rFonts w:ascii="David" w:hAnsi="David" w:cs="David" w:hint="cs"/>
          <w:sz w:val="24"/>
          <w:szCs w:val="24"/>
          <w:rtl/>
        </w:rPr>
        <w:t xml:space="preserve">שבמקום כדי להתפרץ אליהם. </w:t>
      </w:r>
      <w:r>
        <w:rPr>
          <w:rFonts w:ascii="David" w:hAnsi="David" w:cs="David"/>
          <w:sz w:val="24"/>
          <w:szCs w:val="24"/>
          <w:rtl/>
        </w:rPr>
        <w:t>בדרכם הבחינו בפועלים העובדים בשטחי המושב</w:t>
      </w:r>
      <w:r>
        <w:rPr>
          <w:rFonts w:ascii="David" w:hAnsi="David" w:cs="David" w:hint="cs"/>
          <w:sz w:val="24"/>
          <w:szCs w:val="24"/>
          <w:rtl/>
        </w:rPr>
        <w:t>,</w:t>
      </w:r>
      <w:r>
        <w:rPr>
          <w:rFonts w:ascii="David" w:hAnsi="David" w:cs="David"/>
          <w:sz w:val="24"/>
          <w:szCs w:val="24"/>
          <w:rtl/>
        </w:rPr>
        <w:t xml:space="preserve"> ו</w:t>
      </w:r>
      <w:r>
        <w:rPr>
          <w:rFonts w:ascii="David" w:hAnsi="David" w:cs="David" w:hint="cs"/>
          <w:sz w:val="24"/>
          <w:szCs w:val="24"/>
          <w:rtl/>
        </w:rPr>
        <w:t>מ</w:t>
      </w:r>
      <w:r>
        <w:rPr>
          <w:rFonts w:ascii="David" w:hAnsi="David" w:cs="David"/>
          <w:sz w:val="24"/>
          <w:szCs w:val="24"/>
          <w:rtl/>
        </w:rPr>
        <w:t>חשש</w:t>
      </w:r>
      <w:r>
        <w:rPr>
          <w:rFonts w:ascii="David" w:hAnsi="David" w:cs="David" w:hint="cs"/>
          <w:sz w:val="24"/>
          <w:szCs w:val="24"/>
          <w:rtl/>
        </w:rPr>
        <w:t xml:space="preserve"> </w:t>
      </w:r>
      <w:r>
        <w:rPr>
          <w:rFonts w:ascii="David" w:hAnsi="David" w:cs="David"/>
          <w:sz w:val="24"/>
          <w:szCs w:val="24"/>
          <w:rtl/>
        </w:rPr>
        <w:t xml:space="preserve">כי ייתפסו חזרו אל הרכב ונמלטו. </w:t>
      </w:r>
    </w:p>
    <w:p w14:paraId="3B77E326" w14:textId="77777777" w:rsidR="00880EF6" w:rsidRDefault="00880EF6" w:rsidP="00880EF6">
      <w:pPr>
        <w:pStyle w:val="a9"/>
        <w:spacing w:before="120" w:after="120" w:line="360" w:lineRule="auto"/>
        <w:ind w:left="360"/>
        <w:contextualSpacing w:val="0"/>
        <w:jc w:val="both"/>
        <w:rPr>
          <w:rFonts w:ascii="David" w:hAnsi="David" w:cs="David"/>
          <w:sz w:val="24"/>
          <w:szCs w:val="24"/>
          <w:rtl/>
        </w:rPr>
      </w:pPr>
      <w:r>
        <w:rPr>
          <w:rFonts w:ascii="David" w:hAnsi="David" w:cs="David"/>
          <w:sz w:val="24"/>
          <w:szCs w:val="24"/>
          <w:rtl/>
        </w:rPr>
        <w:t>בגין מעשים אלה</w:t>
      </w:r>
      <w:r>
        <w:rPr>
          <w:rFonts w:ascii="David" w:hAnsi="David" w:cs="David" w:hint="cs"/>
          <w:sz w:val="24"/>
          <w:szCs w:val="24"/>
          <w:rtl/>
        </w:rPr>
        <w:t>,</w:t>
      </w:r>
      <w:r>
        <w:rPr>
          <w:rFonts w:ascii="David" w:hAnsi="David" w:cs="David"/>
          <w:sz w:val="24"/>
          <w:szCs w:val="24"/>
          <w:rtl/>
        </w:rPr>
        <w:t xml:space="preserve"> הורשע הנאשם בעביר</w:t>
      </w:r>
      <w:r>
        <w:rPr>
          <w:rFonts w:ascii="David" w:hAnsi="David" w:cs="David" w:hint="cs"/>
          <w:sz w:val="24"/>
          <w:szCs w:val="24"/>
          <w:rtl/>
        </w:rPr>
        <w:t>ה</w:t>
      </w:r>
      <w:r>
        <w:rPr>
          <w:rFonts w:ascii="David" w:hAnsi="David" w:cs="David"/>
          <w:sz w:val="24"/>
          <w:szCs w:val="24"/>
          <w:rtl/>
        </w:rPr>
        <w:t xml:space="preserve"> של כניסה לישראל שלא כדין</w:t>
      </w:r>
      <w:r>
        <w:rPr>
          <w:rFonts w:ascii="David" w:hAnsi="David" w:cs="David" w:hint="cs"/>
          <w:sz w:val="24"/>
          <w:szCs w:val="24"/>
          <w:rtl/>
        </w:rPr>
        <w:t>,</w:t>
      </w:r>
      <w:r>
        <w:rPr>
          <w:rFonts w:ascii="David" w:hAnsi="David" w:cs="David"/>
          <w:sz w:val="24"/>
          <w:szCs w:val="24"/>
          <w:rtl/>
        </w:rPr>
        <w:t xml:space="preserve"> לפי </w:t>
      </w:r>
      <w:hyperlink r:id="rId30" w:history="1">
        <w:r w:rsidR="00311829" w:rsidRPr="00311829">
          <w:rPr>
            <w:rStyle w:val="Hyperlink"/>
            <w:rFonts w:ascii="David" w:hAnsi="David" w:cs="David"/>
            <w:sz w:val="24"/>
            <w:szCs w:val="24"/>
            <w:rtl/>
          </w:rPr>
          <w:t>סעיפים 12(1)</w:t>
        </w:r>
      </w:hyperlink>
      <w:r>
        <w:rPr>
          <w:rFonts w:ascii="David" w:hAnsi="David" w:cs="David"/>
          <w:sz w:val="24"/>
          <w:szCs w:val="24"/>
          <w:rtl/>
        </w:rPr>
        <w:t xml:space="preserve"> ו-</w:t>
      </w:r>
      <w:hyperlink r:id="rId31" w:history="1">
        <w:r w:rsidR="00311829" w:rsidRPr="00311829">
          <w:rPr>
            <w:rStyle w:val="Hyperlink"/>
            <w:rFonts w:ascii="David" w:hAnsi="David" w:cs="David"/>
            <w:sz w:val="24"/>
            <w:szCs w:val="24"/>
            <w:rtl/>
          </w:rPr>
          <w:t>12(4)</w:t>
        </w:r>
      </w:hyperlink>
      <w:r>
        <w:rPr>
          <w:rFonts w:ascii="David" w:hAnsi="David" w:cs="David"/>
          <w:sz w:val="24"/>
          <w:szCs w:val="24"/>
          <w:rtl/>
        </w:rPr>
        <w:t xml:space="preserve"> ל</w:t>
      </w:r>
      <w:hyperlink r:id="rId32" w:history="1">
        <w:r w:rsidR="00A22B66" w:rsidRPr="00A22B66">
          <w:rPr>
            <w:rFonts w:ascii="David" w:hAnsi="David" w:cs="David"/>
            <w:color w:val="0000FF"/>
            <w:sz w:val="24"/>
            <w:szCs w:val="24"/>
            <w:u w:val="single"/>
            <w:rtl/>
          </w:rPr>
          <w:t>חוק הכניסה לישראל</w:t>
        </w:r>
      </w:hyperlink>
      <w:r>
        <w:rPr>
          <w:rFonts w:ascii="David" w:hAnsi="David" w:cs="David"/>
          <w:sz w:val="24"/>
          <w:szCs w:val="24"/>
          <w:rtl/>
        </w:rPr>
        <w:t xml:space="preserve">, </w:t>
      </w:r>
      <w:r>
        <w:rPr>
          <w:rFonts w:ascii="David" w:hAnsi="David" w:cs="David" w:hint="cs"/>
          <w:sz w:val="24"/>
          <w:szCs w:val="24"/>
          <w:rtl/>
        </w:rPr>
        <w:t xml:space="preserve">בעבירה של </w:t>
      </w:r>
      <w:r>
        <w:rPr>
          <w:rFonts w:ascii="David" w:hAnsi="David" w:cs="David"/>
          <w:sz w:val="24"/>
          <w:szCs w:val="24"/>
          <w:rtl/>
        </w:rPr>
        <w:t>ניסיון התפרצות למקום מגורים בכוונה לבצע גניבה</w:t>
      </w:r>
      <w:r>
        <w:rPr>
          <w:rFonts w:ascii="David" w:hAnsi="David" w:cs="David" w:hint="cs"/>
          <w:sz w:val="24"/>
          <w:szCs w:val="24"/>
          <w:rtl/>
        </w:rPr>
        <w:t>,</w:t>
      </w:r>
      <w:r>
        <w:rPr>
          <w:rFonts w:ascii="David" w:hAnsi="David" w:cs="David"/>
          <w:sz w:val="24"/>
          <w:szCs w:val="24"/>
          <w:rtl/>
        </w:rPr>
        <w:t xml:space="preserve"> לפי </w:t>
      </w:r>
      <w:hyperlink r:id="rId33" w:history="1">
        <w:r w:rsidR="00311829" w:rsidRPr="00311829">
          <w:rPr>
            <w:rStyle w:val="Hyperlink"/>
            <w:rFonts w:ascii="David" w:hAnsi="David" w:cs="David"/>
            <w:sz w:val="24"/>
            <w:szCs w:val="24"/>
            <w:rtl/>
          </w:rPr>
          <w:t>סעיף 406(ב)</w:t>
        </w:r>
      </w:hyperlink>
      <w:r>
        <w:rPr>
          <w:rFonts w:ascii="David" w:hAnsi="David" w:cs="David"/>
          <w:sz w:val="24"/>
          <w:szCs w:val="24"/>
          <w:rtl/>
        </w:rPr>
        <w:t xml:space="preserve"> בצירוף </w:t>
      </w:r>
      <w:hyperlink r:id="rId34" w:history="1">
        <w:r w:rsidR="00311829" w:rsidRPr="00311829">
          <w:rPr>
            <w:rStyle w:val="Hyperlink"/>
            <w:rFonts w:ascii="David" w:hAnsi="David" w:cs="David"/>
            <w:sz w:val="24"/>
            <w:szCs w:val="24"/>
            <w:rtl/>
          </w:rPr>
          <w:t>סעיף 25</w:t>
        </w:r>
      </w:hyperlink>
      <w:r>
        <w:rPr>
          <w:rFonts w:ascii="David" w:hAnsi="David" w:cs="David"/>
          <w:sz w:val="24"/>
          <w:szCs w:val="24"/>
          <w:rtl/>
        </w:rPr>
        <w:t xml:space="preserve"> ל</w:t>
      </w:r>
      <w:hyperlink r:id="rId35" w:history="1">
        <w:r w:rsidR="00A22B66" w:rsidRPr="00A22B66">
          <w:rPr>
            <w:rFonts w:ascii="David" w:hAnsi="David" w:cs="David"/>
            <w:color w:val="0000FF"/>
            <w:sz w:val="24"/>
            <w:szCs w:val="24"/>
            <w:u w:val="single"/>
            <w:rtl/>
          </w:rPr>
          <w:t>חוק העונשין</w:t>
        </w:r>
      </w:hyperlink>
      <w:r>
        <w:rPr>
          <w:rFonts w:ascii="David" w:hAnsi="David" w:cs="David" w:hint="cs"/>
          <w:sz w:val="24"/>
          <w:szCs w:val="24"/>
          <w:rtl/>
        </w:rPr>
        <w:t>,</w:t>
      </w:r>
      <w:r>
        <w:rPr>
          <w:rFonts w:ascii="David" w:hAnsi="David" w:cs="David"/>
          <w:sz w:val="24"/>
          <w:szCs w:val="24"/>
          <w:rtl/>
        </w:rPr>
        <w:t xml:space="preserve"> ו</w:t>
      </w:r>
      <w:r>
        <w:rPr>
          <w:rFonts w:ascii="David" w:hAnsi="David" w:cs="David" w:hint="cs"/>
          <w:sz w:val="24"/>
          <w:szCs w:val="24"/>
          <w:rtl/>
        </w:rPr>
        <w:t xml:space="preserve">בעבירה של </w:t>
      </w:r>
      <w:r>
        <w:rPr>
          <w:rFonts w:ascii="David" w:hAnsi="David" w:cs="David"/>
          <w:sz w:val="24"/>
          <w:szCs w:val="24"/>
          <w:rtl/>
        </w:rPr>
        <w:t>ניסיון גניבה</w:t>
      </w:r>
      <w:r>
        <w:rPr>
          <w:rFonts w:ascii="David" w:hAnsi="David" w:cs="David" w:hint="cs"/>
          <w:sz w:val="24"/>
          <w:szCs w:val="24"/>
          <w:rtl/>
        </w:rPr>
        <w:t>,</w:t>
      </w:r>
      <w:r>
        <w:rPr>
          <w:rFonts w:ascii="David" w:hAnsi="David" w:cs="David"/>
          <w:sz w:val="24"/>
          <w:szCs w:val="24"/>
          <w:rtl/>
        </w:rPr>
        <w:t xml:space="preserve"> לפי </w:t>
      </w:r>
      <w:hyperlink r:id="rId36" w:history="1">
        <w:r w:rsidR="00311829" w:rsidRPr="00311829">
          <w:rPr>
            <w:rStyle w:val="Hyperlink"/>
            <w:rFonts w:ascii="David" w:hAnsi="David" w:cs="David"/>
            <w:sz w:val="24"/>
            <w:szCs w:val="24"/>
            <w:rtl/>
          </w:rPr>
          <w:t>סעיפים 384</w:t>
        </w:r>
      </w:hyperlink>
      <w:r>
        <w:rPr>
          <w:rFonts w:ascii="David" w:hAnsi="David" w:cs="David"/>
          <w:sz w:val="24"/>
          <w:szCs w:val="24"/>
          <w:rtl/>
        </w:rPr>
        <w:t xml:space="preserve"> ו- </w:t>
      </w:r>
      <w:hyperlink r:id="rId37" w:history="1">
        <w:r w:rsidR="00311829" w:rsidRPr="00311829">
          <w:rPr>
            <w:rStyle w:val="Hyperlink"/>
            <w:rFonts w:ascii="David" w:hAnsi="David" w:cs="David"/>
            <w:sz w:val="24"/>
            <w:szCs w:val="24"/>
            <w:rtl/>
          </w:rPr>
          <w:t>383</w:t>
        </w:r>
      </w:hyperlink>
      <w:r>
        <w:rPr>
          <w:rFonts w:ascii="David" w:hAnsi="David" w:cs="David"/>
          <w:sz w:val="24"/>
          <w:szCs w:val="24"/>
          <w:rtl/>
        </w:rPr>
        <w:t xml:space="preserve"> בצירוף </w:t>
      </w:r>
      <w:hyperlink r:id="rId38" w:history="1">
        <w:r w:rsidR="00311829" w:rsidRPr="00311829">
          <w:rPr>
            <w:rStyle w:val="Hyperlink"/>
            <w:rFonts w:ascii="David" w:hAnsi="David" w:cs="David"/>
            <w:sz w:val="24"/>
            <w:szCs w:val="24"/>
            <w:rtl/>
          </w:rPr>
          <w:t>סעיף 25</w:t>
        </w:r>
      </w:hyperlink>
      <w:r>
        <w:rPr>
          <w:rFonts w:ascii="David" w:hAnsi="David" w:cs="David"/>
          <w:sz w:val="24"/>
          <w:szCs w:val="24"/>
          <w:rtl/>
        </w:rPr>
        <w:t xml:space="preserve"> לחוק העונשין. </w:t>
      </w:r>
    </w:p>
    <w:p w14:paraId="01520C3D"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לפי האישום השלישי, ביום 15.7.22 בשעות הערב, נסעו הנאשמים למושב נחלים כשהם מצוידים במברג. </w:t>
      </w:r>
      <w:r>
        <w:rPr>
          <w:rFonts w:ascii="David" w:hAnsi="David" w:cs="David" w:hint="cs"/>
          <w:sz w:val="24"/>
          <w:szCs w:val="24"/>
          <w:rtl/>
        </w:rPr>
        <w:t>ב</w:t>
      </w:r>
      <w:r>
        <w:rPr>
          <w:rFonts w:ascii="David" w:hAnsi="David" w:cs="David"/>
          <w:sz w:val="24"/>
          <w:szCs w:val="24"/>
          <w:rtl/>
        </w:rPr>
        <w:t>סמוך למקום הוריד הנאשם 2 את הנאשם והנאשם 3</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שנשאו עמם את המברג. </w:t>
      </w:r>
      <w:r>
        <w:rPr>
          <w:rFonts w:ascii="David" w:hAnsi="David" w:cs="David"/>
          <w:sz w:val="24"/>
          <w:szCs w:val="24"/>
          <w:rtl/>
        </w:rPr>
        <w:t xml:space="preserve">הנאשם 3 תצפת בעוד </w:t>
      </w:r>
      <w:r>
        <w:rPr>
          <w:rFonts w:ascii="David" w:hAnsi="David" w:cs="David" w:hint="cs"/>
          <w:sz w:val="24"/>
          <w:szCs w:val="24"/>
          <w:rtl/>
        </w:rPr>
        <w:t>ש</w:t>
      </w:r>
      <w:r>
        <w:rPr>
          <w:rFonts w:ascii="David" w:hAnsi="David" w:cs="David"/>
          <w:sz w:val="24"/>
          <w:szCs w:val="24"/>
          <w:rtl/>
        </w:rPr>
        <w:t xml:space="preserve">הנאשם התפרץ לדירה באמצעות </w:t>
      </w:r>
      <w:r>
        <w:rPr>
          <w:rFonts w:ascii="David" w:hAnsi="David" w:cs="David" w:hint="cs"/>
          <w:sz w:val="24"/>
          <w:szCs w:val="24"/>
          <w:rtl/>
        </w:rPr>
        <w:t>המברג,</w:t>
      </w:r>
      <w:r>
        <w:rPr>
          <w:rFonts w:ascii="David" w:hAnsi="David" w:cs="David"/>
          <w:sz w:val="24"/>
          <w:szCs w:val="24"/>
          <w:rtl/>
        </w:rPr>
        <w:t xml:space="preserve"> דרך חלון חדר השינה</w:t>
      </w:r>
      <w:r>
        <w:rPr>
          <w:rFonts w:ascii="David" w:hAnsi="David" w:cs="David" w:hint="cs"/>
          <w:sz w:val="24"/>
          <w:szCs w:val="24"/>
          <w:rtl/>
        </w:rPr>
        <w:t>,</w:t>
      </w:r>
      <w:r>
        <w:rPr>
          <w:rFonts w:ascii="David" w:hAnsi="David" w:cs="David"/>
          <w:sz w:val="24"/>
          <w:szCs w:val="24"/>
          <w:rtl/>
        </w:rPr>
        <w:t xml:space="preserve"> ונטל שני מכשירי טלפון, זוג מכנסיים, ציפית, שעון חכם ומטען, אוזניות, תכשיטים, מטבעות ושטרות ישראליים וזרים, חמישה שטרות של דולר, מפתחות לרכב ושעון. </w:t>
      </w:r>
      <w:r>
        <w:rPr>
          <w:rFonts w:ascii="David" w:hAnsi="David" w:cs="David" w:hint="cs"/>
          <w:sz w:val="24"/>
          <w:szCs w:val="24"/>
          <w:rtl/>
        </w:rPr>
        <w:t xml:space="preserve">בהמשך התפרץ </w:t>
      </w:r>
      <w:r>
        <w:rPr>
          <w:rFonts w:ascii="David" w:hAnsi="David" w:cs="David"/>
          <w:sz w:val="24"/>
          <w:szCs w:val="24"/>
          <w:rtl/>
        </w:rPr>
        <w:t xml:space="preserve">הנאשם לדירה </w:t>
      </w:r>
      <w:r>
        <w:rPr>
          <w:rFonts w:ascii="David" w:hAnsi="David" w:cs="David" w:hint="cs"/>
          <w:sz w:val="24"/>
          <w:szCs w:val="24"/>
          <w:rtl/>
        </w:rPr>
        <w:t xml:space="preserve">נוספת </w:t>
      </w:r>
      <w:r>
        <w:rPr>
          <w:rFonts w:ascii="David" w:hAnsi="David" w:cs="David"/>
          <w:sz w:val="24"/>
          <w:szCs w:val="24"/>
          <w:rtl/>
        </w:rPr>
        <w:t xml:space="preserve">דרך חלון חדר השינה ונטל תיק אפור, מחשב נייד, שתי מברשות סומק ומשקפיים. הנאשם </w:t>
      </w:r>
      <w:r>
        <w:rPr>
          <w:rFonts w:ascii="David" w:hAnsi="David" w:cs="David" w:hint="cs"/>
          <w:sz w:val="24"/>
          <w:szCs w:val="24"/>
          <w:rtl/>
        </w:rPr>
        <w:t xml:space="preserve">ונאשם </w:t>
      </w:r>
      <w:r>
        <w:rPr>
          <w:rFonts w:ascii="David" w:hAnsi="David" w:cs="David"/>
          <w:sz w:val="24"/>
          <w:szCs w:val="24"/>
          <w:rtl/>
        </w:rPr>
        <w:t>3 חברו אל הנאשם 2 וניסו להימלט ברכב מהמקום</w:t>
      </w:r>
      <w:r>
        <w:rPr>
          <w:rFonts w:ascii="David" w:hAnsi="David" w:cs="David" w:hint="cs"/>
          <w:sz w:val="24"/>
          <w:szCs w:val="24"/>
          <w:rtl/>
        </w:rPr>
        <w:t xml:space="preserve">, אך </w:t>
      </w:r>
      <w:r>
        <w:rPr>
          <w:rFonts w:ascii="David" w:hAnsi="David" w:cs="David"/>
          <w:sz w:val="24"/>
          <w:szCs w:val="24"/>
          <w:rtl/>
        </w:rPr>
        <w:t xml:space="preserve">נעצרו </w:t>
      </w:r>
      <w:r>
        <w:rPr>
          <w:rFonts w:ascii="David" w:hAnsi="David" w:cs="David" w:hint="cs"/>
          <w:sz w:val="24"/>
          <w:szCs w:val="24"/>
          <w:rtl/>
        </w:rPr>
        <w:t>ב</w:t>
      </w:r>
      <w:r>
        <w:rPr>
          <w:rFonts w:ascii="David" w:hAnsi="David" w:cs="David"/>
          <w:sz w:val="24"/>
          <w:szCs w:val="24"/>
          <w:rtl/>
        </w:rPr>
        <w:t xml:space="preserve">ידי כוח משטרתי. </w:t>
      </w:r>
    </w:p>
    <w:p w14:paraId="43AC350F" w14:textId="77777777" w:rsidR="00880EF6" w:rsidRDefault="00880EF6" w:rsidP="00880EF6">
      <w:pPr>
        <w:pStyle w:val="a9"/>
        <w:spacing w:before="120" w:after="120" w:line="360" w:lineRule="auto"/>
        <w:ind w:left="360"/>
        <w:contextualSpacing w:val="0"/>
        <w:jc w:val="both"/>
        <w:rPr>
          <w:rFonts w:ascii="David" w:hAnsi="David" w:cs="David"/>
          <w:sz w:val="24"/>
          <w:szCs w:val="24"/>
          <w:rtl/>
        </w:rPr>
      </w:pPr>
      <w:r>
        <w:rPr>
          <w:rFonts w:ascii="David" w:hAnsi="David" w:cs="David"/>
          <w:sz w:val="24"/>
          <w:szCs w:val="24"/>
          <w:rtl/>
        </w:rPr>
        <w:t>בגין מעשים אלה</w:t>
      </w:r>
      <w:r>
        <w:rPr>
          <w:rFonts w:ascii="David" w:hAnsi="David" w:cs="David" w:hint="cs"/>
          <w:sz w:val="24"/>
          <w:szCs w:val="24"/>
          <w:rtl/>
        </w:rPr>
        <w:t>,</w:t>
      </w:r>
      <w:r>
        <w:rPr>
          <w:rFonts w:ascii="David" w:hAnsi="David" w:cs="David"/>
          <w:sz w:val="24"/>
          <w:szCs w:val="24"/>
          <w:rtl/>
        </w:rPr>
        <w:t xml:space="preserve"> הורשע הנאשם בעבירות של כניסה לישראל שלא כדין</w:t>
      </w:r>
      <w:r>
        <w:rPr>
          <w:rFonts w:ascii="David" w:hAnsi="David" w:cs="David" w:hint="cs"/>
          <w:sz w:val="24"/>
          <w:szCs w:val="24"/>
          <w:rtl/>
        </w:rPr>
        <w:t>,</w:t>
      </w:r>
      <w:r>
        <w:rPr>
          <w:rFonts w:ascii="David" w:hAnsi="David" w:cs="David"/>
          <w:sz w:val="24"/>
          <w:szCs w:val="24"/>
          <w:rtl/>
        </w:rPr>
        <w:t xml:space="preserve"> לפי </w:t>
      </w:r>
      <w:hyperlink r:id="rId39" w:history="1">
        <w:r w:rsidR="00311829" w:rsidRPr="00311829">
          <w:rPr>
            <w:rStyle w:val="Hyperlink"/>
            <w:rFonts w:ascii="David" w:hAnsi="David" w:cs="David"/>
            <w:sz w:val="24"/>
            <w:szCs w:val="24"/>
            <w:rtl/>
          </w:rPr>
          <w:t>סעיפים 12(1)</w:t>
        </w:r>
      </w:hyperlink>
      <w:r>
        <w:rPr>
          <w:rFonts w:ascii="David" w:hAnsi="David" w:cs="David"/>
          <w:sz w:val="24"/>
          <w:szCs w:val="24"/>
          <w:rtl/>
        </w:rPr>
        <w:t xml:space="preserve"> ו-</w:t>
      </w:r>
      <w:hyperlink r:id="rId40" w:history="1">
        <w:r w:rsidR="00311829" w:rsidRPr="00311829">
          <w:rPr>
            <w:rStyle w:val="Hyperlink"/>
            <w:rFonts w:ascii="David" w:hAnsi="David" w:cs="David"/>
            <w:sz w:val="24"/>
            <w:szCs w:val="24"/>
            <w:rtl/>
          </w:rPr>
          <w:t>12(4)</w:t>
        </w:r>
      </w:hyperlink>
      <w:r>
        <w:rPr>
          <w:rFonts w:ascii="David" w:hAnsi="David" w:cs="David"/>
          <w:sz w:val="24"/>
          <w:szCs w:val="24"/>
          <w:rtl/>
        </w:rPr>
        <w:t xml:space="preserve"> ל</w:t>
      </w:r>
      <w:hyperlink r:id="rId41" w:history="1">
        <w:r w:rsidR="00A22B66" w:rsidRPr="00A22B66">
          <w:rPr>
            <w:rFonts w:ascii="David" w:hAnsi="David" w:cs="David"/>
            <w:color w:val="0000FF"/>
            <w:sz w:val="24"/>
            <w:szCs w:val="24"/>
            <w:u w:val="single"/>
            <w:rtl/>
          </w:rPr>
          <w:t>חוק הכניסה לישראל</w:t>
        </w:r>
      </w:hyperlink>
      <w:r>
        <w:rPr>
          <w:rFonts w:ascii="David" w:hAnsi="David" w:cs="David"/>
          <w:sz w:val="24"/>
          <w:szCs w:val="24"/>
          <w:rtl/>
        </w:rPr>
        <w:t xml:space="preserve">, </w:t>
      </w:r>
      <w:r>
        <w:rPr>
          <w:rFonts w:ascii="David" w:hAnsi="David" w:cs="David" w:hint="cs"/>
          <w:sz w:val="24"/>
          <w:szCs w:val="24"/>
          <w:rtl/>
        </w:rPr>
        <w:t>ב</w:t>
      </w:r>
      <w:r>
        <w:rPr>
          <w:rFonts w:ascii="David" w:hAnsi="David" w:cs="David"/>
          <w:sz w:val="24"/>
          <w:szCs w:val="24"/>
          <w:rtl/>
        </w:rPr>
        <w:t>שתי עבירות של התפרצות למקום מגורים בכוונה לבצע עבירה</w:t>
      </w:r>
      <w:r>
        <w:rPr>
          <w:rFonts w:ascii="David" w:hAnsi="David" w:cs="David" w:hint="cs"/>
          <w:sz w:val="24"/>
          <w:szCs w:val="24"/>
          <w:rtl/>
        </w:rPr>
        <w:t>,</w:t>
      </w:r>
      <w:r>
        <w:rPr>
          <w:rFonts w:ascii="David" w:hAnsi="David" w:cs="David"/>
          <w:sz w:val="24"/>
          <w:szCs w:val="24"/>
          <w:rtl/>
        </w:rPr>
        <w:t xml:space="preserve"> </w:t>
      </w:r>
      <w:r>
        <w:rPr>
          <w:rFonts w:ascii="David" w:hAnsi="David" w:cs="David"/>
          <w:sz w:val="24"/>
          <w:szCs w:val="24"/>
          <w:rtl/>
        </w:rPr>
        <w:lastRenderedPageBreak/>
        <w:t xml:space="preserve">לפי </w:t>
      </w:r>
      <w:hyperlink r:id="rId42" w:history="1">
        <w:r w:rsidR="00311829" w:rsidRPr="00311829">
          <w:rPr>
            <w:rStyle w:val="Hyperlink"/>
            <w:rFonts w:ascii="David" w:hAnsi="David" w:cs="David"/>
            <w:sz w:val="24"/>
            <w:szCs w:val="24"/>
            <w:rtl/>
          </w:rPr>
          <w:t>סעיף 406(ב)</w:t>
        </w:r>
      </w:hyperlink>
      <w:r>
        <w:rPr>
          <w:rFonts w:ascii="David" w:hAnsi="David" w:cs="David"/>
          <w:sz w:val="24"/>
          <w:szCs w:val="24"/>
          <w:rtl/>
        </w:rPr>
        <w:t xml:space="preserve"> ל</w:t>
      </w:r>
      <w:hyperlink r:id="rId43" w:history="1">
        <w:r w:rsidR="00A22B66" w:rsidRPr="00A22B66">
          <w:rPr>
            <w:rFonts w:ascii="David" w:hAnsi="David" w:cs="David"/>
            <w:color w:val="0000FF"/>
            <w:sz w:val="24"/>
            <w:szCs w:val="24"/>
            <w:u w:val="single"/>
            <w:rtl/>
          </w:rPr>
          <w:t>חוק העונשין</w:t>
        </w:r>
      </w:hyperlink>
      <w:r>
        <w:rPr>
          <w:rFonts w:ascii="David" w:hAnsi="David" w:cs="David"/>
          <w:sz w:val="24"/>
          <w:szCs w:val="24"/>
          <w:rtl/>
        </w:rPr>
        <w:t xml:space="preserve">, </w:t>
      </w:r>
      <w:r>
        <w:rPr>
          <w:rFonts w:ascii="David" w:hAnsi="David" w:cs="David" w:hint="cs"/>
          <w:sz w:val="24"/>
          <w:szCs w:val="24"/>
          <w:rtl/>
        </w:rPr>
        <w:t>ב</w:t>
      </w:r>
      <w:r>
        <w:rPr>
          <w:rFonts w:ascii="David" w:hAnsi="David" w:cs="David"/>
          <w:sz w:val="24"/>
          <w:szCs w:val="24"/>
          <w:rtl/>
        </w:rPr>
        <w:t xml:space="preserve">שתי עבירות גניבה לפי </w:t>
      </w:r>
      <w:hyperlink r:id="rId44" w:history="1">
        <w:r w:rsidR="00311829" w:rsidRPr="00311829">
          <w:rPr>
            <w:rStyle w:val="Hyperlink"/>
            <w:rFonts w:ascii="David" w:hAnsi="David" w:cs="David"/>
            <w:sz w:val="24"/>
            <w:szCs w:val="24"/>
            <w:rtl/>
          </w:rPr>
          <w:t>סעיפים 384</w:t>
        </w:r>
      </w:hyperlink>
      <w:r>
        <w:rPr>
          <w:rFonts w:ascii="David" w:hAnsi="David" w:cs="David"/>
          <w:sz w:val="24"/>
          <w:szCs w:val="24"/>
          <w:rtl/>
        </w:rPr>
        <w:t xml:space="preserve"> ו-</w:t>
      </w:r>
      <w:hyperlink r:id="rId45" w:history="1">
        <w:r w:rsidR="00311829" w:rsidRPr="00311829">
          <w:rPr>
            <w:rStyle w:val="Hyperlink"/>
            <w:rFonts w:ascii="David" w:hAnsi="David" w:cs="David"/>
            <w:sz w:val="24"/>
            <w:szCs w:val="24"/>
            <w:rtl/>
          </w:rPr>
          <w:t>383</w:t>
        </w:r>
      </w:hyperlink>
      <w:r>
        <w:rPr>
          <w:rFonts w:ascii="David" w:hAnsi="David" w:cs="David"/>
          <w:sz w:val="24"/>
          <w:szCs w:val="24"/>
          <w:rtl/>
        </w:rPr>
        <w:t xml:space="preserve"> לחוק העונשין</w:t>
      </w:r>
      <w:r>
        <w:rPr>
          <w:rFonts w:ascii="David" w:hAnsi="David" w:cs="David" w:hint="cs"/>
          <w:sz w:val="24"/>
          <w:szCs w:val="24"/>
          <w:rtl/>
        </w:rPr>
        <w:t>,</w:t>
      </w:r>
      <w:r>
        <w:rPr>
          <w:rFonts w:ascii="David" w:hAnsi="David" w:cs="David"/>
          <w:sz w:val="24"/>
          <w:szCs w:val="24"/>
          <w:rtl/>
        </w:rPr>
        <w:t xml:space="preserve"> ו</w:t>
      </w:r>
      <w:r>
        <w:rPr>
          <w:rFonts w:ascii="David" w:hAnsi="David" w:cs="David" w:hint="cs"/>
          <w:sz w:val="24"/>
          <w:szCs w:val="24"/>
          <w:rtl/>
        </w:rPr>
        <w:t xml:space="preserve">בעבירה של </w:t>
      </w:r>
      <w:r>
        <w:rPr>
          <w:rFonts w:ascii="David" w:hAnsi="David" w:cs="David"/>
          <w:sz w:val="24"/>
          <w:szCs w:val="24"/>
          <w:rtl/>
        </w:rPr>
        <w:t xml:space="preserve">החזקת מכשירי פריצה לפי </w:t>
      </w:r>
      <w:hyperlink r:id="rId46" w:history="1">
        <w:r w:rsidR="00311829" w:rsidRPr="00311829">
          <w:rPr>
            <w:rStyle w:val="Hyperlink"/>
            <w:rFonts w:ascii="David" w:hAnsi="David" w:cs="David"/>
            <w:sz w:val="24"/>
            <w:szCs w:val="24"/>
            <w:rtl/>
          </w:rPr>
          <w:t>סעיף 409</w:t>
        </w:r>
      </w:hyperlink>
      <w:r>
        <w:rPr>
          <w:rFonts w:ascii="David" w:hAnsi="David" w:cs="David"/>
          <w:sz w:val="24"/>
          <w:szCs w:val="24"/>
          <w:rtl/>
        </w:rPr>
        <w:t xml:space="preserve"> לחוק העונשין. </w:t>
      </w:r>
    </w:p>
    <w:p w14:paraId="407C636E" w14:textId="77777777" w:rsidR="00880EF6" w:rsidRDefault="00880EF6" w:rsidP="00880EF6">
      <w:pPr>
        <w:spacing w:before="120" w:after="120" w:line="360" w:lineRule="auto"/>
        <w:jc w:val="both"/>
        <w:rPr>
          <w:rFonts w:ascii="David" w:hAnsi="David"/>
          <w:b/>
          <w:bCs/>
          <w:rtl/>
        </w:rPr>
      </w:pPr>
    </w:p>
    <w:p w14:paraId="7EFF563D" w14:textId="77777777" w:rsidR="00880EF6" w:rsidRPr="004946AB" w:rsidRDefault="00880EF6" w:rsidP="00880EF6">
      <w:pPr>
        <w:spacing w:before="120" w:after="120" w:line="360" w:lineRule="auto"/>
        <w:jc w:val="both"/>
        <w:rPr>
          <w:rFonts w:ascii="David" w:hAnsi="David"/>
          <w:b/>
          <w:bCs/>
          <w:rtl/>
        </w:rPr>
      </w:pPr>
      <w:r w:rsidRPr="004946AB">
        <w:rPr>
          <w:rFonts w:ascii="David" w:hAnsi="David" w:hint="cs"/>
          <w:b/>
          <w:bCs/>
          <w:rtl/>
        </w:rPr>
        <w:t xml:space="preserve">טיעוני הצדדים </w:t>
      </w:r>
      <w:r>
        <w:rPr>
          <w:rFonts w:ascii="David" w:hAnsi="David" w:hint="cs"/>
          <w:b/>
          <w:bCs/>
          <w:rtl/>
        </w:rPr>
        <w:t xml:space="preserve">וראיות </w:t>
      </w:r>
      <w:r w:rsidRPr="004946AB">
        <w:rPr>
          <w:rFonts w:ascii="David" w:hAnsi="David" w:hint="cs"/>
          <w:b/>
          <w:bCs/>
          <w:rtl/>
        </w:rPr>
        <w:t>לעונש</w:t>
      </w:r>
    </w:p>
    <w:p w14:paraId="249C55DA"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 המאשימה הציגה בטיעוניה את הערכים המוגנים שנפגעו מן המעשים, הן מעשי ההתפרצות והנשק והן השהיה הבלתי חוקית בישראל, והדגישה את חומרתם. נטען שהנאשם פעל במסגרת חוליה שפעלה באופן מתוכנן וביצעה מספר עברות, וכי חלקו של הנאשם משמעותי ומוביל ודורש תעוזה. עוד נטען שגניבת הנשק מעצימה את חומרת המעשים, לצד הרכוש שנגנב. המאשימה הפנתה לפסיקה לתמיכה בטיעוניה, </w:t>
      </w:r>
      <w:r w:rsidRPr="00872D89">
        <w:rPr>
          <w:rFonts w:ascii="David" w:hAnsi="David" w:cs="David" w:hint="cs"/>
          <w:sz w:val="24"/>
          <w:szCs w:val="24"/>
          <w:rtl/>
        </w:rPr>
        <w:t>וציינה שרוב הציוד הושב לבעליו אך נגרם נזק לתחושת הביטחון של הנפגעים ותושבי האזור. צוין שהנאשם נטל אחריות והודה, וכי הסגיר את הנשק לכוחות הב</w:t>
      </w:r>
      <w:r>
        <w:rPr>
          <w:rFonts w:ascii="David" w:hAnsi="David" w:cs="David" w:hint="cs"/>
          <w:sz w:val="24"/>
          <w:szCs w:val="24"/>
          <w:rtl/>
        </w:rPr>
        <w:t>י</w:t>
      </w:r>
      <w:r w:rsidRPr="00872D89">
        <w:rPr>
          <w:rFonts w:ascii="David" w:hAnsi="David" w:cs="David" w:hint="cs"/>
          <w:sz w:val="24"/>
          <w:szCs w:val="24"/>
          <w:rtl/>
        </w:rPr>
        <w:t xml:space="preserve">טחון, אך </w:t>
      </w:r>
      <w:r>
        <w:rPr>
          <w:rFonts w:ascii="David" w:hAnsi="David" w:cs="David" w:hint="cs"/>
          <w:sz w:val="24"/>
          <w:szCs w:val="24"/>
          <w:rtl/>
        </w:rPr>
        <w:t xml:space="preserve">נטען </w:t>
      </w:r>
      <w:r w:rsidRPr="00872D89">
        <w:rPr>
          <w:rFonts w:ascii="David" w:hAnsi="David" w:cs="David" w:hint="cs"/>
          <w:sz w:val="24"/>
          <w:szCs w:val="24"/>
          <w:rtl/>
        </w:rPr>
        <w:t>שהוא בעל עבר פלילי עשיר בתחום הרכוש וההתפרצות. לשיטת המאשימה</w:t>
      </w:r>
      <w:r>
        <w:rPr>
          <w:rFonts w:ascii="David" w:hAnsi="David" w:cs="David" w:hint="cs"/>
          <w:sz w:val="24"/>
          <w:szCs w:val="24"/>
          <w:rtl/>
        </w:rPr>
        <w:t xml:space="preserve"> יש לקבוע מתחם נפרד לכל מעשה התפרצות משמדובר בנפגעים, מיקומים ובתים שונים. מתחמי הענישה שלשיטת המאשימה הולמים את המעשים הוצגו בלשון הבאה:</w:t>
      </w:r>
    </w:p>
    <w:p w14:paraId="1C96510F" w14:textId="77777777" w:rsidR="00880EF6" w:rsidRPr="005321B7" w:rsidRDefault="00880EF6" w:rsidP="00880EF6">
      <w:pPr>
        <w:pStyle w:val="David"/>
        <w:spacing w:line="276" w:lineRule="auto"/>
        <w:ind w:left="360"/>
        <w:rPr>
          <w:rFonts w:ascii="FrankRuehl" w:hAnsi="FrankRuehl" w:cs="FrankRuehl"/>
        </w:rPr>
      </w:pPr>
      <w:r>
        <w:rPr>
          <w:rFonts w:ascii="David" w:hAnsi="David" w:hint="cs"/>
          <w:rtl/>
        </w:rPr>
        <w:t>"</w:t>
      </w:r>
      <w:r w:rsidRPr="005321B7">
        <w:rPr>
          <w:rFonts w:ascii="FrankRuehl" w:hAnsi="FrankRuehl" w:cs="FrankRuehl"/>
          <w:rtl/>
        </w:rPr>
        <w:t xml:space="preserve">אישום 1 – מתחם בנשיאת נשק בהתאם להנחיית פרקליט מדינה הוא 30-60 חודשי מאסר בפועל. גניבת נשק, עבירה של עד 10 שנות מאסר, לטעמנו המתחם הוא 24-48 חודשי מאסר. התפרצות, 12-24 חודשי מאסר. עבירת השב"ח – מאסר על תנאי עד חמישה חודשי מאסר בפועל. </w:t>
      </w:r>
    </w:p>
    <w:p w14:paraId="4DB05D27" w14:textId="77777777" w:rsidR="00880EF6" w:rsidRPr="005321B7" w:rsidRDefault="00880EF6" w:rsidP="00880EF6">
      <w:pPr>
        <w:pStyle w:val="David"/>
        <w:spacing w:line="276" w:lineRule="auto"/>
        <w:ind w:left="360"/>
        <w:rPr>
          <w:rFonts w:ascii="FrankRuehl" w:hAnsi="FrankRuehl" w:cs="FrankRuehl"/>
          <w:rtl/>
        </w:rPr>
      </w:pPr>
      <w:r w:rsidRPr="005321B7">
        <w:rPr>
          <w:rFonts w:ascii="FrankRuehl" w:hAnsi="FrankRuehl" w:cs="FrankRuehl"/>
          <w:rtl/>
        </w:rPr>
        <w:t xml:space="preserve">אישום שני – ניסיון להתפרצות, תוך כדי עבירת שב"ח – מתחם 14-24 חודשי מאסר. </w:t>
      </w:r>
    </w:p>
    <w:p w14:paraId="01F27D8F" w14:textId="77777777" w:rsidR="00880EF6" w:rsidRDefault="00880EF6" w:rsidP="00880EF6">
      <w:pPr>
        <w:pStyle w:val="David"/>
        <w:spacing w:line="276" w:lineRule="auto"/>
        <w:ind w:left="360"/>
        <w:rPr>
          <w:rFonts w:ascii="David" w:hAnsi="David"/>
          <w:rtl/>
        </w:rPr>
      </w:pPr>
      <w:r w:rsidRPr="005321B7">
        <w:rPr>
          <w:rFonts w:ascii="FrankRuehl" w:hAnsi="FrankRuehl" w:cs="FrankRuehl"/>
          <w:rtl/>
        </w:rPr>
        <w:t>אישום שלישי – כמו האישום השני, מתחם מתחיל ב-14 חודשים</w:t>
      </w:r>
      <w:r>
        <w:rPr>
          <w:rFonts w:ascii="David" w:hAnsi="David" w:hint="cs"/>
          <w:rtl/>
        </w:rPr>
        <w:t>".</w:t>
      </w:r>
    </w:p>
    <w:p w14:paraId="4EC78900" w14:textId="77777777" w:rsidR="00880EF6" w:rsidRDefault="00880EF6" w:rsidP="00880EF6">
      <w:pPr>
        <w:pStyle w:val="a9"/>
        <w:spacing w:before="120" w:after="120" w:line="360" w:lineRule="auto"/>
        <w:ind w:left="360"/>
        <w:contextualSpacing w:val="0"/>
        <w:jc w:val="both"/>
        <w:rPr>
          <w:rFonts w:ascii="David" w:hAnsi="David" w:cs="David"/>
          <w:sz w:val="24"/>
          <w:szCs w:val="24"/>
        </w:rPr>
      </w:pPr>
      <w:r>
        <w:rPr>
          <w:rFonts w:ascii="David" w:hAnsi="David" w:cs="David" w:hint="cs"/>
          <w:sz w:val="24"/>
          <w:szCs w:val="24"/>
          <w:rtl/>
        </w:rPr>
        <w:t xml:space="preserve">המאשימה טענה, שיש לגזור על הנאשם עונש כולל שלא יפחת משמונה שנות מאסר, מאסר על תנאי, קנס ופיצוי לנפגעי העבירה. </w:t>
      </w:r>
    </w:p>
    <w:p w14:paraId="57DFABBA"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ההגנה טענה כי ההליך לא היה מוגש לבית המשפט המחוזי לולא נמצא נשק במקום ההתפרצות, וכי יש להתייחס להליך כעוסק לא בעבירות נשק "רגילות" אלא בעבירות רכוש וכולל גניבה של נשק במסגרת הזדמנות שנוצרה לנאשם, שלא תכנן זאת אך לא עמד בפיתוי. הוצג </w:t>
      </w:r>
      <w:r w:rsidRPr="00872D89">
        <w:rPr>
          <w:rFonts w:ascii="David" w:hAnsi="David" w:cs="David" w:hint="cs"/>
          <w:sz w:val="24"/>
          <w:szCs w:val="24"/>
          <w:rtl/>
        </w:rPr>
        <w:t>שהנאשם אמר לחוקריו שעשה טעות ושהוא רוצה להחזיר את רובה ה</w:t>
      </w:r>
      <w:r w:rsidRPr="00872D89">
        <w:rPr>
          <w:rFonts w:ascii="David" w:hAnsi="David" w:cs="David"/>
          <w:sz w:val="24"/>
          <w:szCs w:val="24"/>
        </w:rPr>
        <w:t>M16-</w:t>
      </w:r>
      <w:r w:rsidRPr="00872D89">
        <w:rPr>
          <w:rFonts w:ascii="David" w:hAnsi="David" w:cs="David" w:hint="cs"/>
          <w:sz w:val="24"/>
          <w:szCs w:val="24"/>
          <w:rtl/>
        </w:rPr>
        <w:t>, והחזירו מיזמתו מבלי שיוצג</w:t>
      </w:r>
      <w:r>
        <w:rPr>
          <w:rFonts w:ascii="David" w:hAnsi="David" w:cs="David" w:hint="cs"/>
          <w:sz w:val="24"/>
          <w:szCs w:val="24"/>
          <w:rtl/>
        </w:rPr>
        <w:t xml:space="preserve"> בידי עורך-דין וללא משא-ומתן או ניסיון לקבל טובות הנאה. נטען שהרציונל להחמרה בגניבת נשק, של הגעת נשק לידיים עוינות או עברייניות, לא התממש נוכח התנהלות זו וכן משלנשק לא היה מכלול והוא נגנב ללא תחמושת כך שלא נשקף ממנו סיכון. הודגשה החלטת הנאשם להיקשר בהסדר הטיעון וליטול אחריות על מעשיו. כן הוצגו נסיבותיו האישיות של הנאשם, שהוא אב לשלושה ולאחרונה נולד לו תינוק ללא רוח חיים (הוצגו מסמכים), ואשר חי בדוחק כלכלי שהוא הרקע לביצוע העבירות. נטען שהמתחמים להם טענה המאשימה מופרזים, וכי חלקו של הנאשם בביצוע העבירות אינו שונה מזה של שותפיו. </w:t>
      </w:r>
    </w:p>
    <w:p w14:paraId="3ACBF089" w14:textId="77777777" w:rsidR="00880EF6" w:rsidRDefault="00880EF6" w:rsidP="00880EF6">
      <w:pPr>
        <w:pStyle w:val="a9"/>
        <w:spacing w:before="120" w:after="120" w:line="360" w:lineRule="auto"/>
        <w:ind w:left="360"/>
        <w:contextualSpacing w:val="0"/>
        <w:jc w:val="both"/>
        <w:rPr>
          <w:rFonts w:ascii="David" w:hAnsi="David" w:cs="David"/>
          <w:sz w:val="24"/>
          <w:szCs w:val="24"/>
        </w:rPr>
      </w:pPr>
      <w:r>
        <w:rPr>
          <w:rFonts w:ascii="David" w:hAnsi="David" w:cs="David" w:hint="cs"/>
          <w:sz w:val="24"/>
          <w:szCs w:val="24"/>
          <w:rtl/>
        </w:rPr>
        <w:t>ההגנה טענה גם כי יש לקבוע מתחם עונש לכל האישומים ולא לכל עבירה, כי מתחם העונש ההולם בעבירת ההתפרצות נע סביב 9-24 חודשי מאסר (כשאת הרף הנמוך ניתן לרצות בעבודות שירות), וכי המתחם לעבירת נשיאת הנשק יכול להתחיל מ-12 חודשי מאסר ועד 24. נטען שנוכח התנהלות הנאשם בהחזרת הנשק יש למקמו בתחתית המתחם, שלגישת ההגנה נע בין 18-30 חודשי מאסר. גם ההגנה הציגה פסיקה לתמיכה בטיעוניה וכן מכתב מעיריית בית ליקיה, לפיו הנאשם הוא מפרנס יחיד למשפחתו.</w:t>
      </w:r>
    </w:p>
    <w:p w14:paraId="3CD79C2D"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הנאשם נשא דברים בהם מסר שהוא מצטער על מעשיו, והדגיש את החלטתו להחזיר את הנשק ללא תמורה. </w:t>
      </w:r>
    </w:p>
    <w:p w14:paraId="368F2D1C" w14:textId="77777777" w:rsidR="00880EF6" w:rsidRDefault="00880EF6" w:rsidP="00880EF6">
      <w:pPr>
        <w:pStyle w:val="a9"/>
        <w:spacing w:before="120" w:after="120" w:line="360" w:lineRule="auto"/>
        <w:ind w:left="360"/>
        <w:contextualSpacing w:val="0"/>
        <w:jc w:val="both"/>
        <w:rPr>
          <w:rFonts w:ascii="David" w:hAnsi="David" w:cs="David"/>
          <w:sz w:val="24"/>
          <w:szCs w:val="24"/>
        </w:rPr>
      </w:pPr>
    </w:p>
    <w:p w14:paraId="2DC25EF1" w14:textId="77777777" w:rsidR="00880EF6" w:rsidRDefault="00880EF6" w:rsidP="00880EF6">
      <w:pPr>
        <w:bidi w:val="0"/>
        <w:rPr>
          <w:rFonts w:ascii="David" w:hAnsi="David"/>
          <w:b/>
          <w:bCs/>
          <w:rtl/>
        </w:rPr>
      </w:pPr>
      <w:r>
        <w:rPr>
          <w:rFonts w:ascii="David" w:hAnsi="David"/>
          <w:b/>
          <w:bCs/>
          <w:rtl/>
        </w:rPr>
        <w:br w:type="page"/>
      </w:r>
    </w:p>
    <w:p w14:paraId="14C1203D" w14:textId="77777777" w:rsidR="00880EF6" w:rsidRDefault="00880EF6" w:rsidP="00880EF6">
      <w:pPr>
        <w:spacing w:before="120" w:after="120" w:line="360" w:lineRule="auto"/>
        <w:jc w:val="both"/>
        <w:rPr>
          <w:rFonts w:ascii="David" w:hAnsi="David"/>
          <w:b/>
          <w:bCs/>
          <w:rtl/>
        </w:rPr>
      </w:pPr>
      <w:r>
        <w:rPr>
          <w:rFonts w:ascii="David" w:hAnsi="David"/>
          <w:b/>
          <w:bCs/>
          <w:rtl/>
        </w:rPr>
        <w:t xml:space="preserve">דיון </w:t>
      </w:r>
    </w:p>
    <w:p w14:paraId="4FFE9216" w14:textId="77777777" w:rsidR="00880EF6" w:rsidRDefault="00880EF6" w:rsidP="00880EF6">
      <w:pPr>
        <w:spacing w:before="120" w:after="120" w:line="360" w:lineRule="auto"/>
        <w:jc w:val="both"/>
        <w:rPr>
          <w:rFonts w:ascii="David" w:hAnsi="David"/>
          <w:b/>
          <w:bCs/>
          <w:rtl/>
        </w:rPr>
      </w:pPr>
      <w:r>
        <w:rPr>
          <w:rFonts w:ascii="David" w:hAnsi="David"/>
          <w:b/>
          <w:bCs/>
          <w:rtl/>
        </w:rPr>
        <w:t>מתח</w:t>
      </w:r>
      <w:r>
        <w:rPr>
          <w:rFonts w:ascii="David" w:hAnsi="David" w:hint="cs"/>
          <w:b/>
          <w:bCs/>
          <w:rtl/>
        </w:rPr>
        <w:t>מי</w:t>
      </w:r>
      <w:r>
        <w:rPr>
          <w:rFonts w:ascii="David" w:hAnsi="David"/>
          <w:b/>
          <w:bCs/>
          <w:rtl/>
        </w:rPr>
        <w:t xml:space="preserve"> העונש ההולם</w:t>
      </w:r>
    </w:p>
    <w:p w14:paraId="74372C3B"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sidRPr="00861424">
        <w:rPr>
          <w:rFonts w:ascii="David" w:hAnsi="David" w:cs="David" w:hint="cs"/>
          <w:sz w:val="24"/>
          <w:szCs w:val="24"/>
          <w:rtl/>
        </w:rPr>
        <w:t xml:space="preserve">העבירות השונות בביצוען הורשע הנאשם קשורות בקשר ענייני הדוק, ועל כן מהוות "אירוע" אחד לצורך קביעת מתחם העונש ההולם (לאפיון ה"אירוע" העוסק במספר עבירות לצרכי </w:t>
      </w:r>
      <w:hyperlink r:id="rId47" w:history="1">
        <w:r w:rsidR="00311829" w:rsidRPr="00311829">
          <w:rPr>
            <w:rStyle w:val="Hyperlink"/>
            <w:rFonts w:ascii="David" w:hAnsi="David" w:cs="David" w:hint="cs"/>
            <w:sz w:val="24"/>
            <w:szCs w:val="24"/>
            <w:rtl/>
          </w:rPr>
          <w:t>סעיף</w:t>
        </w:r>
        <w:r w:rsidR="00311829" w:rsidRPr="00311829">
          <w:rPr>
            <w:rStyle w:val="Hyperlink"/>
            <w:rFonts w:ascii="David" w:hAnsi="David" w:cs="David"/>
            <w:sz w:val="24"/>
            <w:szCs w:val="24"/>
            <w:rtl/>
          </w:rPr>
          <w:t xml:space="preserve"> 40יג(א)</w:t>
        </w:r>
      </w:hyperlink>
      <w:r w:rsidRPr="00861424">
        <w:rPr>
          <w:rFonts w:ascii="David" w:hAnsi="David" w:cs="David" w:hint="cs"/>
          <w:sz w:val="24"/>
          <w:szCs w:val="24"/>
          <w:rtl/>
        </w:rPr>
        <w:t xml:space="preserve"> ל</w:t>
      </w:r>
      <w:hyperlink r:id="rId48" w:history="1">
        <w:r w:rsidR="00A22B66" w:rsidRPr="00A22B66">
          <w:rPr>
            <w:rFonts w:ascii="David" w:hAnsi="David" w:cs="David"/>
            <w:color w:val="0000FF"/>
            <w:sz w:val="24"/>
            <w:szCs w:val="24"/>
            <w:u w:val="single"/>
            <w:rtl/>
          </w:rPr>
          <w:t>חוק העונשין</w:t>
        </w:r>
      </w:hyperlink>
      <w:r w:rsidRPr="00861424">
        <w:rPr>
          <w:rFonts w:ascii="David" w:hAnsi="David" w:cs="David" w:hint="cs"/>
          <w:sz w:val="24"/>
          <w:szCs w:val="24"/>
          <w:rtl/>
        </w:rPr>
        <w:t xml:space="preserve"> </w:t>
      </w:r>
      <w:r>
        <w:rPr>
          <w:rFonts w:ascii="David" w:hAnsi="David" w:cs="David" w:hint="cs"/>
          <w:sz w:val="24"/>
          <w:szCs w:val="24"/>
          <w:rtl/>
        </w:rPr>
        <w:t>בהתאם ל</w:t>
      </w:r>
      <w:r w:rsidRPr="00861424">
        <w:rPr>
          <w:rFonts w:ascii="David" w:hAnsi="David" w:cs="David" w:hint="cs"/>
          <w:sz w:val="24"/>
          <w:szCs w:val="24"/>
          <w:rtl/>
        </w:rPr>
        <w:t xml:space="preserve">מבחן "הקשר ההדוק" ראו למשל </w:t>
      </w:r>
      <w:hyperlink r:id="rId49" w:history="1">
        <w:r w:rsidR="00A22B66" w:rsidRPr="00A22B66">
          <w:rPr>
            <w:rFonts w:ascii="David" w:hAnsi="David" w:cs="David"/>
            <w:color w:val="0000FF"/>
            <w:sz w:val="24"/>
            <w:szCs w:val="24"/>
            <w:u w:val="single"/>
            <w:rtl/>
          </w:rPr>
          <w:t>ע"פ 5668/13</w:t>
        </w:r>
      </w:hyperlink>
      <w:r w:rsidRPr="00861424">
        <w:rPr>
          <w:rFonts w:ascii="David" w:hAnsi="David" w:cs="David" w:hint="cs"/>
          <w:sz w:val="24"/>
          <w:szCs w:val="24"/>
          <w:rtl/>
        </w:rPr>
        <w:t xml:space="preserve"> </w:t>
      </w:r>
      <w:r w:rsidRPr="00861424">
        <w:rPr>
          <w:rFonts w:ascii="David" w:hAnsi="David" w:cs="David" w:hint="cs"/>
          <w:b/>
          <w:bCs/>
          <w:sz w:val="24"/>
          <w:szCs w:val="24"/>
          <w:rtl/>
        </w:rPr>
        <w:t xml:space="preserve">מזרחי נ' מדינת ישראל </w:t>
      </w:r>
      <w:r w:rsidRPr="00861424">
        <w:rPr>
          <w:rFonts w:ascii="David" w:hAnsi="David" w:cs="David" w:hint="cs"/>
          <w:sz w:val="24"/>
          <w:szCs w:val="24"/>
          <w:rtl/>
        </w:rPr>
        <w:t xml:space="preserve">(17.3.16), </w:t>
      </w:r>
      <w:hyperlink r:id="rId50" w:history="1">
        <w:r w:rsidR="00A22B66" w:rsidRPr="00A22B66">
          <w:rPr>
            <w:rFonts w:ascii="David" w:hAnsi="David" w:cs="David"/>
            <w:color w:val="0000FF"/>
            <w:sz w:val="24"/>
            <w:szCs w:val="24"/>
            <w:u w:val="single"/>
            <w:rtl/>
          </w:rPr>
          <w:t>ע"פ 1261/15</w:t>
        </w:r>
      </w:hyperlink>
      <w:r w:rsidRPr="00861424">
        <w:rPr>
          <w:rFonts w:ascii="David" w:hAnsi="David" w:cs="David"/>
          <w:spacing w:val="6"/>
          <w:sz w:val="24"/>
          <w:szCs w:val="24"/>
          <w:rtl/>
        </w:rPr>
        <w:t xml:space="preserve"> </w:t>
      </w:r>
      <w:r w:rsidRPr="00861424">
        <w:rPr>
          <w:rFonts w:ascii="David" w:hAnsi="David" w:cs="David"/>
          <w:b/>
          <w:bCs/>
          <w:sz w:val="24"/>
          <w:szCs w:val="24"/>
          <w:rtl/>
        </w:rPr>
        <w:t>מדינת ישראל נ' דלאל</w:t>
      </w:r>
      <w:r w:rsidRPr="00861424">
        <w:rPr>
          <w:rFonts w:ascii="David" w:hAnsi="David" w:cs="David"/>
          <w:spacing w:val="6"/>
          <w:sz w:val="24"/>
          <w:szCs w:val="24"/>
          <w:rtl/>
        </w:rPr>
        <w:t xml:space="preserve"> </w:t>
      </w:r>
      <w:r>
        <w:rPr>
          <w:rFonts w:ascii="David" w:hAnsi="David" w:cs="David"/>
          <w:sz w:val="24"/>
          <w:szCs w:val="24"/>
          <w:rtl/>
        </w:rPr>
        <w:t>(3.9.2015)</w:t>
      </w:r>
      <w:r>
        <w:rPr>
          <w:rFonts w:ascii="David" w:hAnsi="David" w:cs="David" w:hint="cs"/>
          <w:sz w:val="24"/>
          <w:szCs w:val="24"/>
          <w:rtl/>
        </w:rPr>
        <w:t xml:space="preserve">, </w:t>
      </w:r>
      <w:hyperlink r:id="rId51" w:history="1">
        <w:r w:rsidR="00A22B66" w:rsidRPr="00A22B66">
          <w:rPr>
            <w:rFonts w:ascii="David" w:hAnsi="David" w:cs="David"/>
            <w:color w:val="0000FF"/>
            <w:sz w:val="24"/>
            <w:szCs w:val="24"/>
            <w:u w:val="single"/>
            <w:rtl/>
          </w:rPr>
          <w:t>ע"פ 4910/13</w:t>
        </w:r>
      </w:hyperlink>
      <w:r>
        <w:rPr>
          <w:rFonts w:ascii="David" w:hAnsi="David" w:cs="David" w:hint="cs"/>
          <w:sz w:val="24"/>
          <w:szCs w:val="24"/>
          <w:rtl/>
        </w:rPr>
        <w:t xml:space="preserve"> </w:t>
      </w:r>
      <w:r>
        <w:rPr>
          <w:rFonts w:ascii="David" w:hAnsi="David" w:cs="David" w:hint="cs"/>
          <w:b/>
          <w:bCs/>
          <w:sz w:val="24"/>
          <w:szCs w:val="24"/>
          <w:rtl/>
        </w:rPr>
        <w:t xml:space="preserve">ג'אבר נ' מדינת ישראל </w:t>
      </w:r>
      <w:r>
        <w:rPr>
          <w:rFonts w:ascii="David" w:hAnsi="David" w:cs="David" w:hint="cs"/>
          <w:sz w:val="24"/>
          <w:szCs w:val="24"/>
          <w:rtl/>
        </w:rPr>
        <w:t xml:space="preserve">(29.10.14), </w:t>
      </w:r>
      <w:hyperlink r:id="rId52" w:history="1">
        <w:r w:rsidR="00A22B66" w:rsidRPr="00A22B66">
          <w:rPr>
            <w:rFonts w:ascii="David" w:hAnsi="David" w:cs="David"/>
            <w:color w:val="0000FF"/>
            <w:sz w:val="24"/>
            <w:szCs w:val="24"/>
            <w:u w:val="single"/>
            <w:rtl/>
          </w:rPr>
          <w:t>ע"פ 2240/21</w:t>
        </w:r>
      </w:hyperlink>
      <w:r>
        <w:rPr>
          <w:rFonts w:ascii="David" w:hAnsi="David" w:cs="David" w:hint="cs"/>
          <w:sz w:val="24"/>
          <w:szCs w:val="24"/>
          <w:rtl/>
        </w:rPr>
        <w:t xml:space="preserve"> </w:t>
      </w:r>
      <w:r>
        <w:rPr>
          <w:rFonts w:ascii="David" w:hAnsi="David" w:cs="David" w:hint="cs"/>
          <w:b/>
          <w:bCs/>
          <w:sz w:val="24"/>
          <w:szCs w:val="24"/>
          <w:rtl/>
        </w:rPr>
        <w:t xml:space="preserve">מדינת ישראל נ' שחר </w:t>
      </w:r>
      <w:r>
        <w:rPr>
          <w:rFonts w:ascii="David" w:hAnsi="David" w:cs="David" w:hint="cs"/>
          <w:sz w:val="24"/>
          <w:szCs w:val="24"/>
          <w:rtl/>
        </w:rPr>
        <w:t xml:space="preserve">פסקה 13 (8.11.21)). </w:t>
      </w:r>
    </w:p>
    <w:p w14:paraId="03A8D643"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כלל העבירות הנדונות כאן בוצעו במסגרת קשר בין אותה קבוצת עבריינים, </w:t>
      </w:r>
      <w:r>
        <w:rPr>
          <w:rFonts w:ascii="David" w:hAnsi="David" w:cs="David"/>
          <w:sz w:val="24"/>
          <w:szCs w:val="24"/>
          <w:rtl/>
        </w:rPr>
        <w:t xml:space="preserve">במטרה להתפרץ לבתי מגורים ולגנוב מהם רכוש. </w:t>
      </w:r>
      <w:r>
        <w:rPr>
          <w:rFonts w:ascii="David" w:hAnsi="David" w:cs="David" w:hint="cs"/>
          <w:sz w:val="24"/>
          <w:szCs w:val="24"/>
          <w:rtl/>
        </w:rPr>
        <w:t>הקשר שבין המעשים מודגש בזהות מבצעיהם, במועדי הביצוע הסמוכים, ובאופן הביצוע. לכן, ייקבע מתחם עונש אחד לכל העבירות, ובקביעתו יינתן ביטוי גם לריבוי העבירות, לסוגיהן לרבות החומרה שבגניבת הנשק ונשיאתו, לפגיעה בנפגעים שונים וכן לעובדה שהאישום השני התמצה בניסיון.</w:t>
      </w:r>
    </w:p>
    <w:p w14:paraId="7F308182"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בסוגריים ובשים לב לטיעוני הצדדים בהליך זה, אבקש להעיר כדלקמן: השאלה האם לסווג מספר עבירות כאירוע אחד ולקבוע מתחם אחד, או כמספר אירועים וכתוצאה לקבוע מספר מתחמים, הפכה בפרקטיקה לזירת התנצחות בין הצדדים. לא אחת טוענת התביעה לקביעת מתחמים רבים, ואילו ההגנה לצמצום מספרם. ככל הנראה סבורים הצדדים שלכך יש השלכה על העונש הסופי.</w:t>
      </w:r>
    </w:p>
    <w:p w14:paraId="02E548C6" w14:textId="77777777" w:rsidR="00880EF6" w:rsidRDefault="00880EF6" w:rsidP="00880EF6">
      <w:pPr>
        <w:pStyle w:val="a9"/>
        <w:spacing w:before="120" w:after="120" w:line="360" w:lineRule="auto"/>
        <w:ind w:left="360"/>
        <w:contextualSpacing w:val="0"/>
        <w:jc w:val="both"/>
        <w:rPr>
          <w:rFonts w:ascii="David" w:hAnsi="David" w:cs="David"/>
          <w:sz w:val="24"/>
          <w:szCs w:val="24"/>
          <w:rtl/>
        </w:rPr>
      </w:pPr>
      <w:r w:rsidRPr="00F46DC5">
        <w:rPr>
          <w:rFonts w:ascii="David" w:hAnsi="David" w:cs="David" w:hint="cs"/>
          <w:sz w:val="24"/>
          <w:szCs w:val="24"/>
          <w:rtl/>
        </w:rPr>
        <w:t>לטעמי הדבר מחטיא את מטרת המחוקק, שבתיקון 113 ל</w:t>
      </w:r>
      <w:hyperlink r:id="rId53" w:history="1">
        <w:r w:rsidR="00A22B66" w:rsidRPr="00A22B66">
          <w:rPr>
            <w:rFonts w:ascii="David" w:hAnsi="David" w:cs="David"/>
            <w:color w:val="0000FF"/>
            <w:sz w:val="24"/>
            <w:szCs w:val="24"/>
            <w:u w:val="single"/>
            <w:rtl/>
          </w:rPr>
          <w:t>חוק העונשין</w:t>
        </w:r>
      </w:hyperlink>
      <w:r w:rsidRPr="00F46DC5">
        <w:rPr>
          <w:rFonts w:ascii="David" w:hAnsi="David" w:cs="David" w:hint="cs"/>
          <w:sz w:val="24"/>
          <w:szCs w:val="24"/>
          <w:rtl/>
        </w:rPr>
        <w:t xml:space="preserve"> ביקש להבנות את שיקול הדעת השיפוטי בגזירת הדין. לשם כך נוצר מונח "האירוע", שמטרתו להוות נדבך ראשון בעיצוב העונש </w:t>
      </w:r>
      <w:r>
        <w:rPr>
          <w:rFonts w:ascii="David" w:hAnsi="David" w:cs="David" w:hint="cs"/>
          <w:sz w:val="24"/>
          <w:szCs w:val="24"/>
          <w:rtl/>
        </w:rPr>
        <w:t xml:space="preserve">וזאת </w:t>
      </w:r>
      <w:r w:rsidRPr="00F46DC5">
        <w:rPr>
          <w:rFonts w:ascii="David" w:hAnsi="David" w:cs="David" w:hint="cs"/>
          <w:sz w:val="24"/>
          <w:szCs w:val="24"/>
          <w:rtl/>
        </w:rPr>
        <w:t xml:space="preserve">בהתייחס לא לבחינה טכנית של מספר העבירות כבסיס להעלאת או הפחתת הענישה, </w:t>
      </w:r>
      <w:r>
        <w:rPr>
          <w:rFonts w:ascii="David" w:hAnsi="David" w:cs="David" w:hint="cs"/>
          <w:sz w:val="24"/>
          <w:szCs w:val="24"/>
          <w:rtl/>
        </w:rPr>
        <w:t xml:space="preserve">אלא למהות המעשים. </w:t>
      </w:r>
      <w:r w:rsidRPr="00F46DC5">
        <w:rPr>
          <w:rFonts w:ascii="David" w:hAnsi="David" w:cs="David" w:hint="cs"/>
          <w:sz w:val="24"/>
          <w:szCs w:val="24"/>
          <w:rtl/>
        </w:rPr>
        <w:t>על העובדה שהמחוקק לא ביקש להביא למצב כי קביעת מספר אירועים</w:t>
      </w:r>
      <w:r>
        <w:rPr>
          <w:rFonts w:ascii="David" w:hAnsi="David" w:cs="David" w:hint="cs"/>
          <w:sz w:val="24"/>
          <w:szCs w:val="24"/>
          <w:rtl/>
        </w:rPr>
        <w:t>,</w:t>
      </w:r>
      <w:r w:rsidRPr="00F46DC5">
        <w:rPr>
          <w:rFonts w:ascii="David" w:hAnsi="David" w:cs="David" w:hint="cs"/>
          <w:sz w:val="24"/>
          <w:szCs w:val="24"/>
          <w:rtl/>
        </w:rPr>
        <w:t xml:space="preserve"> וכתוצאה מספר מתחמים</w:t>
      </w:r>
      <w:r>
        <w:rPr>
          <w:rFonts w:ascii="David" w:hAnsi="David" w:cs="David" w:hint="cs"/>
          <w:sz w:val="24"/>
          <w:szCs w:val="24"/>
          <w:rtl/>
        </w:rPr>
        <w:t>,</w:t>
      </w:r>
      <w:r w:rsidRPr="00F46DC5">
        <w:rPr>
          <w:rFonts w:ascii="David" w:hAnsi="David" w:cs="David" w:hint="cs"/>
          <w:sz w:val="24"/>
          <w:szCs w:val="24"/>
          <w:rtl/>
        </w:rPr>
        <w:t xml:space="preserve"> תביא </w:t>
      </w:r>
      <w:r>
        <w:rPr>
          <w:rFonts w:ascii="David" w:hAnsi="David" w:cs="David" w:hint="cs"/>
          <w:sz w:val="24"/>
          <w:szCs w:val="24"/>
          <w:rtl/>
        </w:rPr>
        <w:t xml:space="preserve">בהכרח </w:t>
      </w:r>
      <w:r w:rsidRPr="00F46DC5">
        <w:rPr>
          <w:rFonts w:ascii="David" w:hAnsi="David" w:cs="David" w:hint="cs"/>
          <w:sz w:val="24"/>
          <w:szCs w:val="24"/>
          <w:rtl/>
        </w:rPr>
        <w:t>לענישה גבוהה יותר</w:t>
      </w:r>
      <w:r>
        <w:rPr>
          <w:rFonts w:ascii="David" w:hAnsi="David" w:cs="David" w:hint="cs"/>
          <w:sz w:val="24"/>
          <w:szCs w:val="24"/>
          <w:rtl/>
        </w:rPr>
        <w:t xml:space="preserve"> בהשוואה לקביעתו של מתחם אחד למספר מעשים</w:t>
      </w:r>
      <w:r w:rsidRPr="00F46DC5">
        <w:rPr>
          <w:rFonts w:ascii="David" w:hAnsi="David" w:cs="David" w:hint="cs"/>
          <w:sz w:val="24"/>
          <w:szCs w:val="24"/>
          <w:rtl/>
        </w:rPr>
        <w:t xml:space="preserve">, ניתן ללמוד מהסמכתו את בית המשפט </w:t>
      </w:r>
      <w:hyperlink r:id="rId54" w:history="1">
        <w:r w:rsidR="00311829" w:rsidRPr="00311829">
          <w:rPr>
            <w:rStyle w:val="Hyperlink"/>
            <w:rFonts w:ascii="David" w:hAnsi="David" w:cs="David" w:hint="cs"/>
            <w:sz w:val="24"/>
            <w:szCs w:val="24"/>
            <w:rtl/>
          </w:rPr>
          <w:t>בסעיף</w:t>
        </w:r>
        <w:r w:rsidR="00311829" w:rsidRPr="00311829">
          <w:rPr>
            <w:rStyle w:val="Hyperlink"/>
            <w:rFonts w:ascii="David" w:hAnsi="David" w:cs="David"/>
            <w:sz w:val="24"/>
            <w:szCs w:val="24"/>
            <w:rtl/>
          </w:rPr>
          <w:t xml:space="preserve"> 40יג(ב)</w:t>
        </w:r>
      </w:hyperlink>
      <w:r w:rsidRPr="00F46DC5">
        <w:rPr>
          <w:rFonts w:ascii="David" w:hAnsi="David" w:cs="David" w:hint="cs"/>
          <w:sz w:val="24"/>
          <w:szCs w:val="24"/>
          <w:rtl/>
        </w:rPr>
        <w:t xml:space="preserve"> ל</w:t>
      </w:r>
      <w:hyperlink r:id="rId55" w:history="1">
        <w:r w:rsidR="00A22B66" w:rsidRPr="00A22B66">
          <w:rPr>
            <w:rFonts w:ascii="David" w:hAnsi="David" w:cs="David"/>
            <w:color w:val="0000FF"/>
            <w:sz w:val="24"/>
            <w:szCs w:val="24"/>
            <w:u w:val="single"/>
            <w:rtl/>
          </w:rPr>
          <w:t>חוק העונשין</w:t>
        </w:r>
      </w:hyperlink>
      <w:r w:rsidRPr="00F46DC5">
        <w:rPr>
          <w:rFonts w:ascii="David" w:hAnsi="David" w:cs="David" w:hint="cs"/>
          <w:sz w:val="24"/>
          <w:szCs w:val="24"/>
          <w:rtl/>
        </w:rPr>
        <w:t xml:space="preserve">, לגזור עונש כולל במצב של ריבוי מתחמי </w:t>
      </w:r>
      <w:r>
        <w:rPr>
          <w:rFonts w:ascii="David" w:hAnsi="David" w:cs="David" w:hint="cs"/>
          <w:sz w:val="24"/>
          <w:szCs w:val="24"/>
          <w:rtl/>
        </w:rPr>
        <w:t>ענישה</w:t>
      </w:r>
      <w:r w:rsidRPr="00F46DC5">
        <w:rPr>
          <w:rFonts w:ascii="David" w:hAnsi="David" w:cs="David" w:hint="cs"/>
          <w:sz w:val="24"/>
          <w:szCs w:val="24"/>
          <w:rtl/>
        </w:rPr>
        <w:t xml:space="preserve">. </w:t>
      </w:r>
    </w:p>
    <w:p w14:paraId="312580D0" w14:textId="77777777" w:rsidR="00880EF6" w:rsidRDefault="00880EF6" w:rsidP="00880EF6">
      <w:pPr>
        <w:pStyle w:val="a9"/>
        <w:spacing w:before="120" w:after="120" w:line="360" w:lineRule="auto"/>
        <w:ind w:left="360"/>
        <w:contextualSpacing w:val="0"/>
        <w:jc w:val="both"/>
        <w:rPr>
          <w:rFonts w:ascii="David" w:hAnsi="David" w:cs="David"/>
          <w:sz w:val="24"/>
          <w:szCs w:val="24"/>
          <w:rtl/>
        </w:rPr>
      </w:pPr>
      <w:r w:rsidRPr="00F46DC5">
        <w:rPr>
          <w:rFonts w:ascii="David" w:hAnsi="David" w:cs="David"/>
          <w:sz w:val="24"/>
          <w:szCs w:val="24"/>
          <w:rtl/>
        </w:rPr>
        <w:t>אמנם, המחוקק לא הגדיר בחוק את המונח "אירוע" וגם הה</w:t>
      </w:r>
      <w:r>
        <w:rPr>
          <w:rFonts w:ascii="David" w:hAnsi="David" w:cs="David" w:hint="cs"/>
          <w:sz w:val="24"/>
          <w:szCs w:val="24"/>
          <w:rtl/>
        </w:rPr>
        <w:t>י</w:t>
      </w:r>
      <w:r w:rsidRPr="00F46DC5">
        <w:rPr>
          <w:rFonts w:ascii="David" w:hAnsi="David" w:cs="David"/>
          <w:sz w:val="24"/>
          <w:szCs w:val="24"/>
          <w:rtl/>
        </w:rPr>
        <w:t xml:space="preserve">סטוריה החקיקתית נעדרת אמירה החלטית. ועם זאת, בפרשו את המונח </w:t>
      </w:r>
      <w:r>
        <w:rPr>
          <w:rFonts w:ascii="David" w:hAnsi="David" w:cs="David" w:hint="cs"/>
          <w:sz w:val="24"/>
          <w:szCs w:val="24"/>
          <w:rtl/>
        </w:rPr>
        <w:t xml:space="preserve">האמור </w:t>
      </w:r>
      <w:r w:rsidRPr="00F46DC5">
        <w:rPr>
          <w:rFonts w:ascii="David" w:hAnsi="David" w:cs="David"/>
          <w:sz w:val="24"/>
          <w:szCs w:val="24"/>
          <w:rtl/>
        </w:rPr>
        <w:t>ציין בית המשפט העליון כי העמדה שעלתה בדיוני וועדת חוקה, חוק ומשפט היא כי "</w:t>
      </w:r>
      <w:r w:rsidRPr="00BF28D4">
        <w:rPr>
          <w:rFonts w:ascii="FrankRuehl" w:hAnsi="FrankRuehl" w:cs="FrankRuehl"/>
          <w:spacing w:val="6"/>
          <w:sz w:val="24"/>
          <w:szCs w:val="24"/>
          <w:rtl/>
        </w:rPr>
        <w:t>במקרים בהם הנאשם מבצע עבירה אחת ש'גוררת' בעקבותיה מספר עבירות נוספות בסמיכות של זמן ומקום (הדוגמא ששבה ועלתה בדיוני הועדה הינה של אדם שמבצע עבירת שוד בבית מגורים, ותוך כדי כך מבצע גם עבירה של הסגת גבול, כשבמהלך השוד תוקף השודד אדם שנמצא בבית, ולאחר מכן אף גונב חפץ מחפצי הבית שלא במהלך השוד). על מקרה מסוג זה נאמר בדיוני הועדה שראוי יהיה לראותו בדרך כלל כ'אירוע אחד' ולקבוע מתחם ענישה אחד לכל העבירות שבוצעו במהלכו יחד, ולא לפצלו באופן מלאכותי ל</w:t>
      </w:r>
      <w:r>
        <w:rPr>
          <w:rFonts w:ascii="FrankRuehl" w:hAnsi="FrankRuehl" w:cs="FrankRuehl" w:hint="cs"/>
          <w:spacing w:val="6"/>
          <w:sz w:val="24"/>
          <w:szCs w:val="24"/>
          <w:rtl/>
        </w:rPr>
        <w:t>'</w:t>
      </w:r>
      <w:r w:rsidRPr="00BF28D4">
        <w:rPr>
          <w:rFonts w:ascii="FrankRuehl" w:hAnsi="FrankRuehl" w:cs="FrankRuehl"/>
          <w:spacing w:val="6"/>
          <w:sz w:val="24"/>
          <w:szCs w:val="24"/>
          <w:rtl/>
        </w:rPr>
        <w:t>מספר אירועים</w:t>
      </w:r>
      <w:r>
        <w:rPr>
          <w:rFonts w:ascii="FrankRuehl" w:hAnsi="FrankRuehl" w:cs="FrankRuehl" w:hint="cs"/>
          <w:spacing w:val="6"/>
          <w:sz w:val="24"/>
          <w:szCs w:val="24"/>
          <w:rtl/>
        </w:rPr>
        <w:t>'</w:t>
      </w:r>
      <w:r w:rsidRPr="00BF28D4">
        <w:rPr>
          <w:rFonts w:ascii="FrankRuehl" w:hAnsi="FrankRuehl" w:cs="FrankRuehl"/>
          <w:spacing w:val="6"/>
          <w:sz w:val="24"/>
          <w:szCs w:val="24"/>
          <w:rtl/>
        </w:rPr>
        <w:t xml:space="preserve"> ולקבוע מתחם ענישה לכל אחת מהעבירות בנפרד</w:t>
      </w:r>
      <w:r w:rsidRPr="00F46DC5">
        <w:rPr>
          <w:rFonts w:ascii="David" w:hAnsi="David" w:cs="David"/>
          <w:sz w:val="24"/>
          <w:szCs w:val="24"/>
          <w:rtl/>
        </w:rPr>
        <w:t>" (ע</w:t>
      </w:r>
      <w:r>
        <w:rPr>
          <w:rFonts w:ascii="David" w:hAnsi="David" w:cs="David" w:hint="cs"/>
          <w:sz w:val="24"/>
          <w:szCs w:val="24"/>
          <w:rtl/>
        </w:rPr>
        <w:t xml:space="preserve">ניין </w:t>
      </w:r>
      <w:r w:rsidRPr="00F46DC5">
        <w:rPr>
          <w:rFonts w:ascii="David" w:hAnsi="David" w:cs="David"/>
          <w:b/>
          <w:bCs/>
          <w:sz w:val="24"/>
          <w:szCs w:val="24"/>
          <w:rtl/>
        </w:rPr>
        <w:t xml:space="preserve">ג'אבר </w:t>
      </w:r>
      <w:r>
        <w:rPr>
          <w:rFonts w:ascii="David" w:hAnsi="David" w:cs="David" w:hint="cs"/>
          <w:sz w:val="24"/>
          <w:szCs w:val="24"/>
          <w:rtl/>
        </w:rPr>
        <w:t xml:space="preserve">הנ"ל, </w:t>
      </w:r>
      <w:r w:rsidRPr="00F46DC5">
        <w:rPr>
          <w:rFonts w:ascii="David" w:hAnsi="David" w:cs="David"/>
          <w:sz w:val="24"/>
          <w:szCs w:val="24"/>
          <w:rtl/>
        </w:rPr>
        <w:t>פסקה 20)). על רקע זה</w:t>
      </w:r>
      <w:r>
        <w:rPr>
          <w:rFonts w:ascii="David" w:hAnsi="David" w:cs="David" w:hint="cs"/>
          <w:sz w:val="24"/>
          <w:szCs w:val="24"/>
          <w:rtl/>
        </w:rPr>
        <w:t>, בין היתר,</w:t>
      </w:r>
      <w:r w:rsidRPr="00F46DC5">
        <w:rPr>
          <w:rFonts w:ascii="David" w:hAnsi="David" w:cs="David"/>
          <w:sz w:val="24"/>
          <w:szCs w:val="24"/>
          <w:rtl/>
        </w:rPr>
        <w:t xml:space="preserve"> עוצבו באותה פרשה המבחנים שיושמו לעיל ואשר מבוססים על ראיית ה"אירוע" ככזה שעשוי לכלול מספר "מעשים" או עבירות, ועוסק בבחינה מהותית של הקשר ביניהם.</w:t>
      </w:r>
    </w:p>
    <w:p w14:paraId="06CB7DD7" w14:textId="77777777" w:rsidR="00880EF6" w:rsidRDefault="00880EF6" w:rsidP="00880EF6">
      <w:pPr>
        <w:pStyle w:val="a9"/>
        <w:spacing w:before="120" w:after="120" w:line="360" w:lineRule="auto"/>
        <w:ind w:left="360"/>
        <w:contextualSpacing w:val="0"/>
        <w:jc w:val="both"/>
        <w:rPr>
          <w:rFonts w:ascii="David" w:hAnsi="David" w:cs="David"/>
          <w:sz w:val="24"/>
          <w:szCs w:val="24"/>
          <w:rtl/>
        </w:rPr>
      </w:pPr>
      <w:r>
        <w:rPr>
          <w:rFonts w:ascii="David" w:hAnsi="David" w:cs="David" w:hint="cs"/>
          <w:sz w:val="24"/>
          <w:szCs w:val="24"/>
          <w:rtl/>
        </w:rPr>
        <w:t>לטעמי, ראוי להשיב את סוגיית ריבוי או מיעוט ה"אירועים" והמתחמים לממדיה ההולמים והמצומצמים, כאחד הנדבכים בדרך לעונש ההולם. אל האחרון ניתן להגיע לא אחת הן בקביעת מתחם אחד לכלל המעשים והן בקביעת מתחמים נפרדים וגזירת עונש כולל בגינם, או גזירת מספר עונשים ושקילת אפשרות החפיפה המלאה או החלקית ביניהם. אין להפריז במשקלה של האלטרנטיבה הנבחרת, שכן הדגש אינו בכך אלא על עיצוב העונש הסופי בהתאם לעקרון ההלימה. הדבר ימנע עיוותים בגזירת הדין, יגביר את השוויון בין נאשמים תוך מניעת שוני בהכרעותיהם של שופטים שונים, יפשט את גזירת הדין כמו גם את הטיעון לעונש, וכך ימלא אחר תכליותיו של תיקון 113</w:t>
      </w:r>
      <w:r w:rsidRPr="004D34D9">
        <w:rPr>
          <w:rFonts w:ascii="David" w:hAnsi="David" w:cs="David" w:hint="cs"/>
          <w:sz w:val="24"/>
          <w:szCs w:val="24"/>
          <w:rtl/>
        </w:rPr>
        <w:t xml:space="preserve"> (ראו הצעת </w:t>
      </w:r>
      <w:hyperlink r:id="rId56" w:history="1">
        <w:r w:rsidR="00A22B66" w:rsidRPr="00A22B66">
          <w:rPr>
            <w:rFonts w:ascii="David" w:hAnsi="David" w:cs="David"/>
            <w:color w:val="0000FF"/>
            <w:sz w:val="24"/>
            <w:szCs w:val="24"/>
            <w:u w:val="single"/>
            <w:rtl/>
          </w:rPr>
          <w:t>חוק העונשין</w:t>
        </w:r>
      </w:hyperlink>
      <w:r w:rsidRPr="004D34D9">
        <w:rPr>
          <w:rFonts w:ascii="David" w:hAnsi="David" w:cs="David" w:hint="cs"/>
          <w:sz w:val="24"/>
          <w:szCs w:val="24"/>
          <w:rtl/>
        </w:rPr>
        <w:t xml:space="preserve"> (תיקון מס' 92) (הבניית שיקול הדעת השיפוטי בענישה), התשס"ו-2006, ה"ח תשס"ו 241, 446).</w:t>
      </w:r>
      <w:r>
        <w:rPr>
          <w:rFonts w:ascii="David" w:hAnsi="David" w:cs="David" w:hint="cs"/>
          <w:sz w:val="24"/>
          <w:szCs w:val="24"/>
          <w:rtl/>
        </w:rPr>
        <w:t xml:space="preserve"> </w:t>
      </w:r>
    </w:p>
    <w:p w14:paraId="47A75628"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אשוב לגזירת דינו של הנאשם, ולקביעת מתחם העונש ההולם בגין מעשיו: </w:t>
      </w:r>
      <w:r w:rsidRPr="007F266E">
        <w:rPr>
          <w:rFonts w:ascii="David" w:hAnsi="David" w:cs="David" w:hint="cs"/>
          <w:sz w:val="24"/>
          <w:szCs w:val="24"/>
          <w:rtl/>
        </w:rPr>
        <w:t>העבירות בהן חטא פגעו במספר ערכים מוגנים. לצד הנטילה של קניינו של הזולת, יש בהתפרצויות לבתי מגורים ובגניבה מהם משום חדירה לתחומי פרטיותו של אדם, ופגיעה בתחושת הביטחון האישית</w:t>
      </w:r>
      <w:r>
        <w:rPr>
          <w:rFonts w:ascii="David" w:hAnsi="David" w:cs="David" w:hint="cs"/>
          <w:sz w:val="24"/>
          <w:szCs w:val="24"/>
          <w:rtl/>
        </w:rPr>
        <w:t xml:space="preserve"> כמו גם בתחושת המוגנות הכללית של בני החברה</w:t>
      </w:r>
      <w:r w:rsidRPr="007F266E">
        <w:rPr>
          <w:rFonts w:ascii="David" w:hAnsi="David" w:cs="David" w:hint="cs"/>
          <w:sz w:val="24"/>
          <w:szCs w:val="24"/>
          <w:rtl/>
        </w:rPr>
        <w:t xml:space="preserve">. </w:t>
      </w:r>
      <w:r w:rsidRPr="007F266E">
        <w:rPr>
          <w:rFonts w:ascii="David" w:hAnsi="David" w:cs="David"/>
          <w:sz w:val="24"/>
          <w:szCs w:val="24"/>
          <w:rtl/>
        </w:rPr>
        <w:t>ב</w:t>
      </w:r>
      <w:hyperlink r:id="rId57" w:history="1">
        <w:r w:rsidR="00A22B66" w:rsidRPr="00A22B66">
          <w:rPr>
            <w:rFonts w:ascii="David" w:hAnsi="David" w:cs="David"/>
            <w:color w:val="0000FF"/>
            <w:sz w:val="24"/>
            <w:szCs w:val="24"/>
            <w:u w:val="single"/>
            <w:rtl/>
          </w:rPr>
          <w:t>ע"פ 7453/08</w:t>
        </w:r>
      </w:hyperlink>
      <w:r w:rsidRPr="007F266E">
        <w:rPr>
          <w:rFonts w:ascii="David" w:hAnsi="David" w:cs="David"/>
          <w:sz w:val="24"/>
          <w:szCs w:val="24"/>
          <w:rtl/>
        </w:rPr>
        <w:t xml:space="preserve"> </w:t>
      </w:r>
      <w:r w:rsidRPr="007F266E">
        <w:rPr>
          <w:rFonts w:ascii="David" w:hAnsi="David" w:cs="David"/>
          <w:b/>
          <w:bCs/>
          <w:sz w:val="24"/>
          <w:szCs w:val="24"/>
          <w:rtl/>
        </w:rPr>
        <w:t>מדינת ישראל נ' אואזנה</w:t>
      </w:r>
      <w:r w:rsidRPr="007F266E">
        <w:rPr>
          <w:rFonts w:ascii="David" w:hAnsi="David" w:cs="David"/>
          <w:sz w:val="24"/>
          <w:szCs w:val="24"/>
          <w:rtl/>
        </w:rPr>
        <w:t xml:space="preserve"> (31.12.08)</w:t>
      </w:r>
      <w:r>
        <w:rPr>
          <w:rFonts w:ascii="David" w:hAnsi="David" w:cs="David" w:hint="cs"/>
          <w:sz w:val="24"/>
          <w:szCs w:val="24"/>
          <w:rtl/>
        </w:rPr>
        <w:t xml:space="preserve"> הבהיר בית המשפט העליון, כי אין לראות בעבירות אלה כעבירות "נגד הרכוש" בלבד</w:t>
      </w:r>
      <w:r w:rsidRPr="007F266E">
        <w:rPr>
          <w:rFonts w:ascii="David" w:hAnsi="David" w:cs="David"/>
          <w:sz w:val="24"/>
          <w:szCs w:val="24"/>
          <w:rtl/>
        </w:rPr>
        <w:t>‏</w:t>
      </w:r>
      <w:r>
        <w:rPr>
          <w:rFonts w:ascii="David" w:hAnsi="David" w:cs="David" w:hint="cs"/>
          <w:sz w:val="24"/>
          <w:szCs w:val="24"/>
          <w:rtl/>
        </w:rPr>
        <w:t>:</w:t>
      </w:r>
    </w:p>
    <w:p w14:paraId="79A10715" w14:textId="77777777" w:rsidR="00880EF6" w:rsidRPr="0081330A" w:rsidRDefault="00880EF6" w:rsidP="00880EF6">
      <w:pPr>
        <w:pStyle w:val="a9"/>
        <w:spacing w:before="120" w:after="120" w:line="276" w:lineRule="auto"/>
        <w:ind w:left="360"/>
        <w:contextualSpacing w:val="0"/>
        <w:jc w:val="both"/>
        <w:rPr>
          <w:rFonts w:ascii="FrankRuehl" w:hAnsi="FrankRuehl" w:cs="FrankRuehl"/>
          <w:sz w:val="24"/>
          <w:szCs w:val="24"/>
          <w:rtl/>
        </w:rPr>
      </w:pPr>
      <w:r w:rsidRPr="0081330A">
        <w:rPr>
          <w:rFonts w:ascii="FrankRuehl" w:hAnsi="FrankRuehl" w:cs="FrankRuehl"/>
          <w:sz w:val="24"/>
          <w:szCs w:val="24"/>
          <w:rtl/>
        </w:rPr>
        <w:t>"זאת מאחר שפריצה לביתו של אדם, טומנת בחובה לעיתים קרובות לא רק נזק כלכלי רב, אלא גם צער ועוגמת נפש הנגרמים לקרבנות של עבירות אלה. הנה כי כן, אין מדובר בעבירות נגד רכוש גרידא, אלא בעבירות המפרות את פרטיותו של האדם בצורה הגבוהה ביותר. זאת ועוד הגדרת עבירות אלו כ</w:t>
      </w:r>
      <w:r>
        <w:rPr>
          <w:rFonts w:ascii="FrankRuehl" w:hAnsi="FrankRuehl" w:cs="FrankRuehl" w:hint="cs"/>
          <w:sz w:val="24"/>
          <w:szCs w:val="24"/>
          <w:rtl/>
        </w:rPr>
        <w:t>'</w:t>
      </w:r>
      <w:r w:rsidRPr="0081330A">
        <w:rPr>
          <w:rFonts w:ascii="FrankRuehl" w:hAnsi="FrankRuehl" w:cs="FrankRuehl"/>
          <w:sz w:val="24"/>
          <w:szCs w:val="24"/>
          <w:rtl/>
        </w:rPr>
        <w:t>עבירות רכוש</w:t>
      </w:r>
      <w:r>
        <w:rPr>
          <w:rFonts w:ascii="FrankRuehl" w:hAnsi="FrankRuehl" w:cs="FrankRuehl" w:hint="cs"/>
          <w:sz w:val="24"/>
          <w:szCs w:val="24"/>
          <w:rtl/>
        </w:rPr>
        <w:t>'</w:t>
      </w:r>
      <w:r w:rsidRPr="0081330A">
        <w:rPr>
          <w:rFonts w:ascii="FrankRuehl" w:hAnsi="FrankRuehl" w:cs="FrankRuehl"/>
          <w:sz w:val="24"/>
          <w:szCs w:val="24"/>
          <w:rtl/>
        </w:rPr>
        <w:t xml:space="preserve"> נותנת תחושה מצמצמת וקונוטציה שגויה – לסובבים, באשר למהות העבירות שהתבצעו</w:t>
      </w:r>
      <w:r>
        <w:rPr>
          <w:rFonts w:ascii="FrankRuehl" w:hAnsi="FrankRuehl" w:cs="FrankRuehl" w:hint="cs"/>
          <w:sz w:val="24"/>
          <w:szCs w:val="24"/>
          <w:rtl/>
        </w:rPr>
        <w:t xml:space="preserve"> [...] '</w:t>
      </w:r>
      <w:r w:rsidRPr="0081330A">
        <w:rPr>
          <w:rFonts w:ascii="FrankRuehl" w:hAnsi="FrankRuehl" w:cs="FrankRuehl"/>
          <w:sz w:val="24"/>
          <w:szCs w:val="24"/>
          <w:rtl/>
        </w:rPr>
        <w:t>ביתו של האדם – מבצרו</w:t>
      </w:r>
      <w:r>
        <w:rPr>
          <w:rFonts w:ascii="FrankRuehl" w:hAnsi="FrankRuehl" w:cs="FrankRuehl" w:hint="cs"/>
          <w:sz w:val="24"/>
          <w:szCs w:val="24"/>
          <w:rtl/>
        </w:rPr>
        <w:t>'</w:t>
      </w:r>
      <w:r w:rsidRPr="0081330A">
        <w:rPr>
          <w:rFonts w:ascii="FrankRuehl" w:hAnsi="FrankRuehl" w:cs="FrankRuehl"/>
          <w:sz w:val="24"/>
          <w:szCs w:val="24"/>
          <w:rtl/>
        </w:rPr>
        <w:t xml:space="preserve">. ברגע שביתו של אדם נפרץ, תחושת חוסר אונים וחוסר ביטחון ממלאת את ליבו. הנה כי כן, הפריצה אינה רק לבית – מבחינה פיזית, אלא בעיקרה חדירה לתוך התא האישי-משפחתי השמור ביותר של האדם". </w:t>
      </w:r>
    </w:p>
    <w:p w14:paraId="3199A691" w14:textId="77777777" w:rsidR="00880EF6" w:rsidRDefault="00880EF6" w:rsidP="00880EF6">
      <w:pPr>
        <w:pStyle w:val="a9"/>
        <w:spacing w:before="120" w:after="120"/>
        <w:contextualSpacing w:val="0"/>
        <w:rPr>
          <w:rFonts w:ascii="David" w:hAnsi="David" w:cs="David"/>
          <w:sz w:val="24"/>
          <w:szCs w:val="24"/>
        </w:rPr>
      </w:pPr>
    </w:p>
    <w:p w14:paraId="6E97DEEA"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sidRPr="0081330A">
        <w:rPr>
          <w:rFonts w:ascii="David" w:hAnsi="David" w:cs="David" w:hint="cs"/>
          <w:sz w:val="24"/>
          <w:szCs w:val="24"/>
          <w:rtl/>
        </w:rPr>
        <w:t xml:space="preserve">מספר אלמנטים מדגישים את חומרת המעשים. תחילה, </w:t>
      </w:r>
      <w:r w:rsidRPr="0081330A">
        <w:rPr>
          <w:rFonts w:ascii="David" w:hAnsi="David" w:cs="David"/>
          <w:sz w:val="24"/>
          <w:szCs w:val="24"/>
          <w:rtl/>
        </w:rPr>
        <w:t xml:space="preserve">הנאשם עבר את העבירות </w:t>
      </w:r>
      <w:r w:rsidRPr="0081330A">
        <w:rPr>
          <w:rFonts w:ascii="David" w:hAnsi="David" w:cs="David" w:hint="cs"/>
          <w:sz w:val="24"/>
          <w:szCs w:val="24"/>
          <w:rtl/>
        </w:rPr>
        <w:t xml:space="preserve">כשוהה בלתי חוקי בישראל </w:t>
      </w:r>
      <w:r w:rsidRPr="0081330A">
        <w:rPr>
          <w:rFonts w:ascii="David" w:hAnsi="David" w:cs="David"/>
          <w:sz w:val="24"/>
          <w:szCs w:val="24"/>
          <w:rtl/>
        </w:rPr>
        <w:t>–</w:t>
      </w:r>
      <w:r w:rsidRPr="0081330A">
        <w:rPr>
          <w:rFonts w:ascii="David" w:hAnsi="David" w:cs="David" w:hint="cs"/>
          <w:sz w:val="24"/>
          <w:szCs w:val="24"/>
          <w:rtl/>
        </w:rPr>
        <w:t xml:space="preserve"> אלמנט, </w:t>
      </w:r>
      <w:r>
        <w:rPr>
          <w:rFonts w:ascii="David" w:hAnsi="David" w:cs="David" w:hint="cs"/>
          <w:sz w:val="24"/>
          <w:szCs w:val="24"/>
          <w:rtl/>
        </w:rPr>
        <w:t xml:space="preserve">המגלם </w:t>
      </w:r>
      <w:r w:rsidRPr="0081330A">
        <w:rPr>
          <w:rFonts w:ascii="David" w:hAnsi="David" w:cs="David" w:hint="cs"/>
          <w:sz w:val="24"/>
          <w:szCs w:val="24"/>
          <w:rtl/>
        </w:rPr>
        <w:t>פגיעה בריבונות המדינה ומחדד את רצונה להגן על תושביה מפני פגיעה</w:t>
      </w:r>
      <w:r w:rsidRPr="0081330A">
        <w:rPr>
          <w:rFonts w:ascii="David" w:hAnsi="David" w:cs="David"/>
          <w:sz w:val="24"/>
          <w:szCs w:val="24"/>
          <w:rtl/>
        </w:rPr>
        <w:t xml:space="preserve">. </w:t>
      </w:r>
    </w:p>
    <w:p w14:paraId="534FB9D5" w14:textId="77777777" w:rsidR="00880EF6" w:rsidRDefault="00880EF6" w:rsidP="00880EF6">
      <w:pPr>
        <w:pStyle w:val="a9"/>
        <w:spacing w:before="120" w:after="120" w:line="360" w:lineRule="auto"/>
        <w:ind w:left="360"/>
        <w:contextualSpacing w:val="0"/>
        <w:jc w:val="both"/>
        <w:rPr>
          <w:rFonts w:ascii="David" w:hAnsi="David" w:cs="David"/>
          <w:sz w:val="24"/>
          <w:szCs w:val="24"/>
          <w:rtl/>
        </w:rPr>
      </w:pPr>
      <w:r w:rsidRPr="0081330A">
        <w:rPr>
          <w:rFonts w:ascii="David" w:hAnsi="David" w:cs="David" w:hint="cs"/>
          <w:sz w:val="24"/>
          <w:szCs w:val="24"/>
          <w:rtl/>
        </w:rPr>
        <w:t xml:space="preserve">בנוסף, </w:t>
      </w:r>
      <w:r w:rsidRPr="0081330A">
        <w:rPr>
          <w:rFonts w:ascii="David" w:hAnsi="David" w:cs="David"/>
          <w:sz w:val="24"/>
          <w:szCs w:val="24"/>
          <w:rtl/>
        </w:rPr>
        <w:t xml:space="preserve">בקביעת מתחם העונש ההולם יש </w:t>
      </w:r>
      <w:r>
        <w:rPr>
          <w:rFonts w:ascii="David" w:hAnsi="David" w:cs="David" w:hint="cs"/>
          <w:sz w:val="24"/>
          <w:szCs w:val="24"/>
          <w:rtl/>
        </w:rPr>
        <w:t xml:space="preserve">לתת את הדעת לאופן הביצוע, שאינו מקרי אלא מתוכנן וכלל קשירת קשר עם עבריינים נוספים לצורך ביצוע ההתפרצויות, תוך חלוקת תפקידים והצטיידות באמצעי מילוט ופריצה. </w:t>
      </w:r>
    </w:p>
    <w:p w14:paraId="3498FFEA" w14:textId="77777777" w:rsidR="00880EF6" w:rsidRDefault="00880EF6" w:rsidP="00880EF6">
      <w:pPr>
        <w:pStyle w:val="a9"/>
        <w:spacing w:before="120" w:after="120" w:line="360" w:lineRule="auto"/>
        <w:ind w:left="360"/>
        <w:contextualSpacing w:val="0"/>
        <w:jc w:val="both"/>
        <w:rPr>
          <w:rFonts w:ascii="David" w:hAnsi="David" w:cs="David"/>
          <w:sz w:val="24"/>
          <w:szCs w:val="24"/>
          <w:rtl/>
        </w:rPr>
      </w:pPr>
      <w:r>
        <w:rPr>
          <w:rFonts w:ascii="David" w:hAnsi="David" w:cs="David" w:hint="cs"/>
          <w:sz w:val="24"/>
          <w:szCs w:val="24"/>
          <w:rtl/>
        </w:rPr>
        <w:t xml:space="preserve">יש לשקול גם את ריבוי המעשים: שני מקרים בהם בוצעו התפרצויות לארבע דירות שונות סך-הכל, ומקרה נוסף שלא הבשיל לכדי ביצוע שלם. הדבר מעצים את הנזק שנגרם לערכים המוגנים, כך גם בשים לב לריבוי הנפגעים ולהיקף הרכוש שנגנב. הדבר גם מחדד את השאיפה לגונן על בני החברה מפני עבריינים שחוזרים וחוטאים במעשים מעין אלה. </w:t>
      </w:r>
    </w:p>
    <w:p w14:paraId="6C9E7E2F"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sidRPr="00EB43DF">
        <w:rPr>
          <w:rFonts w:ascii="David" w:hAnsi="David" w:cs="David" w:hint="cs"/>
          <w:sz w:val="24"/>
          <w:szCs w:val="24"/>
          <w:rtl/>
        </w:rPr>
        <w:t xml:space="preserve">אלמנט שמוסיף נדבך משמעותי לחומרת המעשים עניינו בגניבת הנשק, ובעבירות שבוצעו בהקשר זה. אמנם, הנשק היה ללא מכלול אך הנאשם ושותפיו לא ידעו זאת. בהקשר זה יש לשקול את הפגיעה בערכים מוגנים נוספים, שעיקרם בשאיפה לגונן על החברה מפני </w:t>
      </w:r>
      <w:r>
        <w:rPr>
          <w:rFonts w:ascii="David" w:hAnsi="David" w:cs="David" w:hint="cs"/>
          <w:sz w:val="24"/>
          <w:szCs w:val="24"/>
          <w:rtl/>
        </w:rPr>
        <w:t xml:space="preserve">נשיאה </w:t>
      </w:r>
      <w:r w:rsidRPr="00EB43DF">
        <w:rPr>
          <w:rFonts w:ascii="David" w:hAnsi="David" w:cs="David" w:hint="cs"/>
          <w:sz w:val="24"/>
          <w:szCs w:val="24"/>
          <w:rtl/>
        </w:rPr>
        <w:t xml:space="preserve">של נשק ללא רישיון ומפני הסיכון הגלום בגניבת נשק. עוד יש לשקול בהקשר זה את פוטנציאל הנזק, שעלול להיות ניכר - משכלי נשק גנובים משמשים לא אחת לביצוען של עבירות קשות, מתחומי האלימות והטרור. </w:t>
      </w:r>
    </w:p>
    <w:p w14:paraId="175BCA89"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t>חלקו של הנאשם בביצוע העבירות היה משמעותי</w:t>
      </w:r>
      <w:r>
        <w:rPr>
          <w:rFonts w:ascii="David" w:hAnsi="David" w:cs="David" w:hint="cs"/>
          <w:sz w:val="24"/>
          <w:szCs w:val="24"/>
          <w:rtl/>
        </w:rPr>
        <w:t>: בשתיים מן ההתפרצויות (שנדונו באישום הראשון) מילא תפקיד שמירה כ"תצפיתן", תפקיד שנועד להבטיח את השלמת העבירה ולמנוע תפיסה. שתי התפרצויות נוספות (באישום השלישי) בוצעו בפועל על ידו, וכך גם עבירת הניסיון (מושא האישום השני).</w:t>
      </w:r>
      <w:r>
        <w:rPr>
          <w:rFonts w:ascii="David" w:hAnsi="David" w:cs="David"/>
          <w:sz w:val="24"/>
          <w:szCs w:val="24"/>
          <w:rtl/>
        </w:rPr>
        <w:t xml:space="preserve"> </w:t>
      </w:r>
    </w:p>
    <w:p w14:paraId="3775AE2E" w14:textId="77777777" w:rsidR="00880EF6" w:rsidRDefault="00880EF6" w:rsidP="00880EF6">
      <w:pPr>
        <w:pStyle w:val="a9"/>
        <w:spacing w:before="120" w:after="120" w:line="360" w:lineRule="auto"/>
        <w:ind w:left="360"/>
        <w:contextualSpacing w:val="0"/>
        <w:jc w:val="both"/>
        <w:rPr>
          <w:rFonts w:ascii="David" w:hAnsi="David" w:cs="David"/>
          <w:sz w:val="24"/>
          <w:szCs w:val="24"/>
        </w:rPr>
      </w:pPr>
      <w:r>
        <w:rPr>
          <w:rFonts w:ascii="David" w:hAnsi="David" w:cs="David"/>
          <w:sz w:val="24"/>
          <w:szCs w:val="24"/>
          <w:rtl/>
        </w:rPr>
        <w:t xml:space="preserve">כל אלה מציגים, בהתאם לעיקרון ההלימה, חומרה ניכרת המחייבת ענישה של ממש. </w:t>
      </w:r>
      <w:r>
        <w:rPr>
          <w:rFonts w:ascii="David" w:hAnsi="David" w:cs="David" w:hint="cs"/>
          <w:sz w:val="24"/>
          <w:szCs w:val="24"/>
          <w:rtl/>
        </w:rPr>
        <w:t xml:space="preserve">על </w:t>
      </w:r>
      <w:r>
        <w:rPr>
          <w:rFonts w:ascii="David" w:hAnsi="David" w:cs="David"/>
          <w:sz w:val="24"/>
          <w:szCs w:val="24"/>
          <w:rtl/>
        </w:rPr>
        <w:t xml:space="preserve">מתחם העונש </w:t>
      </w:r>
      <w:r>
        <w:rPr>
          <w:rFonts w:ascii="David" w:hAnsi="David" w:cs="David" w:hint="cs"/>
          <w:sz w:val="24"/>
          <w:szCs w:val="24"/>
          <w:rtl/>
        </w:rPr>
        <w:t xml:space="preserve">לבטא </w:t>
      </w:r>
      <w:r>
        <w:rPr>
          <w:rFonts w:ascii="David" w:hAnsi="David" w:cs="David"/>
          <w:sz w:val="24"/>
          <w:szCs w:val="24"/>
          <w:rtl/>
        </w:rPr>
        <w:t>את ההכרח בהוקעה ובגינוי של מעשים אלה</w:t>
      </w:r>
      <w:r>
        <w:rPr>
          <w:rFonts w:ascii="David" w:hAnsi="David" w:cs="David" w:hint="cs"/>
          <w:sz w:val="24"/>
          <w:szCs w:val="24"/>
          <w:rtl/>
        </w:rPr>
        <w:t>, ולגמול על ביצועם</w:t>
      </w:r>
      <w:r>
        <w:rPr>
          <w:rFonts w:ascii="David" w:hAnsi="David" w:cs="David"/>
          <w:sz w:val="24"/>
          <w:szCs w:val="24"/>
          <w:rtl/>
        </w:rPr>
        <w:t xml:space="preserve">. </w:t>
      </w:r>
    </w:p>
    <w:p w14:paraId="38A7EE55" w14:textId="77777777" w:rsidR="00880EF6" w:rsidRPr="00EB43DF" w:rsidRDefault="00880EF6" w:rsidP="00880EF6">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מנגד, קיימים שיקולים לקולה. בכלל זה, המעשים מושא האישום השני לא הושלמו וכך נמנעה פגיעה בפועל. יישקל גם השינוי שבוצע בכתב האישום המתוקן, בהשוואה לכתב האישום המקורי. עוד מקובל עלי טיעון ההגנה שיש להתחשב בכך שלא דובר בתכנון לגנוב נשק אלא בהזדמנות שנקרתה. ומאידך, בפני הנאשם עמדה הברירה שלא ליטול את הנשק והוא בחר אחרת.</w:t>
      </w:r>
    </w:p>
    <w:p w14:paraId="1D6F01A2"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זאת ועוד, יש לתת משקל של ממש להחלטתו של הנאשם </w:t>
      </w:r>
      <w:r>
        <w:rPr>
          <w:rFonts w:ascii="David" w:hAnsi="David" w:cs="David"/>
          <w:sz w:val="24"/>
          <w:szCs w:val="24"/>
          <w:rtl/>
        </w:rPr>
        <w:t>–</w:t>
      </w:r>
      <w:r>
        <w:rPr>
          <w:rFonts w:ascii="David" w:hAnsi="David" w:cs="David" w:hint="cs"/>
          <w:sz w:val="24"/>
          <w:szCs w:val="24"/>
          <w:rtl/>
        </w:rPr>
        <w:t xml:space="preserve"> שכפי שנטען ולא נסתר נעשתה ללא שהובטח לו דבר </w:t>
      </w:r>
      <w:r>
        <w:rPr>
          <w:rFonts w:ascii="David" w:hAnsi="David" w:cs="David"/>
          <w:sz w:val="24"/>
          <w:szCs w:val="24"/>
          <w:rtl/>
        </w:rPr>
        <w:t>–</w:t>
      </w:r>
      <w:r>
        <w:rPr>
          <w:rFonts w:ascii="David" w:hAnsi="David" w:cs="David" w:hint="cs"/>
          <w:sz w:val="24"/>
          <w:szCs w:val="24"/>
          <w:rtl/>
        </w:rPr>
        <w:t xml:space="preserve"> לאתר לאחר מעצרו את הנשק ולהביא להעברתו לידי המשטרה, וכך למנוע שימוש פסול בו.</w:t>
      </w:r>
    </w:p>
    <w:p w14:paraId="469E53A8" w14:textId="77777777" w:rsidR="00880EF6" w:rsidRDefault="00880EF6" w:rsidP="00880EF6">
      <w:pPr>
        <w:pStyle w:val="a9"/>
        <w:spacing w:before="120" w:after="120" w:line="360" w:lineRule="auto"/>
        <w:ind w:left="360"/>
        <w:contextualSpacing w:val="0"/>
        <w:jc w:val="both"/>
        <w:rPr>
          <w:rFonts w:ascii="David" w:hAnsi="David" w:cs="David"/>
          <w:sz w:val="24"/>
          <w:szCs w:val="24"/>
          <w:rtl/>
        </w:rPr>
      </w:pPr>
      <w:r>
        <w:rPr>
          <w:rFonts w:ascii="David" w:hAnsi="David" w:cs="David" w:hint="cs"/>
          <w:sz w:val="24"/>
          <w:szCs w:val="24"/>
          <w:rtl/>
        </w:rPr>
        <w:t xml:space="preserve">זו התנהלות שיש לה השלכות הן לקביעת המתחם, והן לקביעת העונש במסגרתו. בהקשר הראשון הנדון כאן, יש בה משום אקט המאיין (גם אם בדיעבד) את פוטנציאל הנזק כתוצאה מביצוע עבירות הנשק, שנדון לעיל, כאשר בפועל לא נגרם נזק של ממש מן הביצוע. הדבר ממעט את הפגיעה בערכים המוגנים שנסקרו לעיל בהקשרן של עבירות אלה. </w:t>
      </w:r>
    </w:p>
    <w:p w14:paraId="42FC2986" w14:textId="77777777" w:rsidR="00880EF6" w:rsidRDefault="00880EF6" w:rsidP="00880EF6">
      <w:pPr>
        <w:pStyle w:val="a9"/>
        <w:spacing w:before="120" w:after="120" w:line="360" w:lineRule="auto"/>
        <w:ind w:left="360"/>
        <w:contextualSpacing w:val="0"/>
        <w:jc w:val="both"/>
        <w:rPr>
          <w:rFonts w:ascii="David" w:hAnsi="David" w:cs="David"/>
          <w:sz w:val="24"/>
          <w:szCs w:val="24"/>
        </w:rPr>
      </w:pPr>
      <w:r>
        <w:rPr>
          <w:rFonts w:ascii="David" w:hAnsi="David" w:cs="David" w:hint="cs"/>
          <w:sz w:val="24"/>
          <w:szCs w:val="24"/>
          <w:rtl/>
        </w:rPr>
        <w:t>בשקילת הנזק שנגרם מהעבירות יש לשקול גם את הנתון שמסרה המאשימה - כי רוב הרכוש שנגנב הושב לבעליו. כל אלה פועלים למיתון מתחם העונש.</w:t>
      </w:r>
    </w:p>
    <w:p w14:paraId="5ED1DD2F"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החוק </w:t>
      </w:r>
      <w:r>
        <w:rPr>
          <w:rFonts w:ascii="David" w:hAnsi="David" w:cs="David" w:hint="cs"/>
          <w:sz w:val="24"/>
          <w:szCs w:val="24"/>
          <w:rtl/>
        </w:rPr>
        <w:t>מוסיף ו</w:t>
      </w:r>
      <w:r>
        <w:rPr>
          <w:rFonts w:ascii="David" w:hAnsi="David" w:cs="David"/>
          <w:sz w:val="24"/>
          <w:szCs w:val="24"/>
          <w:rtl/>
        </w:rPr>
        <w:t xml:space="preserve">מורה לשקול </w:t>
      </w:r>
      <w:r>
        <w:rPr>
          <w:rFonts w:ascii="David" w:hAnsi="David" w:cs="David" w:hint="cs"/>
          <w:sz w:val="24"/>
          <w:szCs w:val="24"/>
          <w:rtl/>
        </w:rPr>
        <w:t xml:space="preserve">את הענישה הנוהגת </w:t>
      </w:r>
      <w:r>
        <w:rPr>
          <w:rFonts w:ascii="David" w:hAnsi="David" w:cs="David"/>
          <w:sz w:val="24"/>
          <w:szCs w:val="24"/>
          <w:rtl/>
        </w:rPr>
        <w:t xml:space="preserve">בקביעת </w:t>
      </w:r>
      <w:r>
        <w:rPr>
          <w:rFonts w:ascii="David" w:hAnsi="David" w:cs="David" w:hint="cs"/>
          <w:sz w:val="24"/>
          <w:szCs w:val="24"/>
          <w:rtl/>
        </w:rPr>
        <w:t xml:space="preserve">מתחם </w:t>
      </w:r>
      <w:r>
        <w:rPr>
          <w:rFonts w:ascii="David" w:hAnsi="David" w:cs="David"/>
          <w:sz w:val="24"/>
          <w:szCs w:val="24"/>
          <w:rtl/>
        </w:rPr>
        <w:t xml:space="preserve">העונש ההולם. </w:t>
      </w:r>
      <w:r>
        <w:rPr>
          <w:rFonts w:ascii="David" w:hAnsi="David" w:cs="David" w:hint="cs"/>
          <w:sz w:val="24"/>
          <w:szCs w:val="24"/>
          <w:rtl/>
        </w:rPr>
        <w:t>לענייננו רלבנטית הפסיקה העוסקת בביצועם של מעשי התפרצות, אך תוך שקילת ריבוי האקטים וכן העבירות הנוספות ובראשן גניבת הנשק והשהיה בישראל שלא כדין.</w:t>
      </w:r>
    </w:p>
    <w:p w14:paraId="341F364E" w14:textId="77777777" w:rsidR="00880EF6" w:rsidRPr="00730366" w:rsidRDefault="00880EF6" w:rsidP="00880EF6">
      <w:pPr>
        <w:pStyle w:val="a9"/>
        <w:numPr>
          <w:ilvl w:val="0"/>
          <w:numId w:val="1"/>
        </w:numPr>
        <w:spacing w:before="120" w:after="120" w:line="360" w:lineRule="auto"/>
        <w:contextualSpacing w:val="0"/>
        <w:jc w:val="both"/>
        <w:rPr>
          <w:rFonts w:ascii="David" w:hAnsi="David" w:cs="David"/>
          <w:sz w:val="24"/>
          <w:szCs w:val="24"/>
          <w:rtl/>
        </w:rPr>
      </w:pPr>
      <w:r w:rsidRPr="00730366">
        <w:rPr>
          <w:rFonts w:ascii="David" w:hAnsi="David" w:cs="David" w:hint="cs"/>
          <w:sz w:val="24"/>
          <w:szCs w:val="24"/>
          <w:rtl/>
        </w:rPr>
        <w:t>אפתח ב</w:t>
      </w:r>
      <w:r>
        <w:rPr>
          <w:rFonts w:ascii="David" w:hAnsi="David" w:cs="David" w:hint="cs"/>
          <w:sz w:val="24"/>
          <w:szCs w:val="24"/>
          <w:rtl/>
        </w:rPr>
        <w:t>דוגמאות מן ה</w:t>
      </w:r>
      <w:r w:rsidRPr="00730366">
        <w:rPr>
          <w:rFonts w:ascii="David" w:hAnsi="David" w:cs="David" w:hint="cs"/>
          <w:sz w:val="24"/>
          <w:szCs w:val="24"/>
          <w:rtl/>
        </w:rPr>
        <w:t xml:space="preserve">פסיקה העוסקת בענישת מבצעי התפרצויות, </w:t>
      </w:r>
      <w:r>
        <w:rPr>
          <w:rFonts w:ascii="David" w:hAnsi="David" w:cs="David" w:hint="cs"/>
          <w:sz w:val="24"/>
          <w:szCs w:val="24"/>
          <w:rtl/>
        </w:rPr>
        <w:t>ש</w:t>
      </w:r>
      <w:r w:rsidRPr="00730366">
        <w:rPr>
          <w:rFonts w:ascii="David" w:hAnsi="David" w:cs="David" w:hint="cs"/>
          <w:sz w:val="24"/>
          <w:szCs w:val="24"/>
          <w:rtl/>
        </w:rPr>
        <w:t>חלקם שהו בישראל שלא כדין:</w:t>
      </w:r>
    </w:p>
    <w:p w14:paraId="2C732D32" w14:textId="77777777" w:rsidR="00880EF6" w:rsidRDefault="00880EF6" w:rsidP="00880EF6">
      <w:pPr>
        <w:pStyle w:val="a9"/>
        <w:spacing w:before="120" w:after="120" w:line="360" w:lineRule="auto"/>
        <w:ind w:left="360"/>
        <w:contextualSpacing w:val="0"/>
        <w:jc w:val="both"/>
        <w:rPr>
          <w:rFonts w:ascii="David" w:hAnsi="David" w:cs="David"/>
          <w:sz w:val="24"/>
          <w:szCs w:val="24"/>
          <w:rtl/>
        </w:rPr>
      </w:pPr>
      <w:r>
        <w:rPr>
          <w:rFonts w:ascii="David" w:hAnsi="David" w:cs="David"/>
          <w:sz w:val="24"/>
          <w:szCs w:val="24"/>
          <w:rtl/>
        </w:rPr>
        <w:t>ב</w:t>
      </w:r>
      <w:hyperlink r:id="rId58" w:history="1">
        <w:r w:rsidR="00A22B66" w:rsidRPr="00A22B66">
          <w:rPr>
            <w:rFonts w:ascii="David" w:hAnsi="David" w:cs="David"/>
            <w:color w:val="0000FF"/>
            <w:sz w:val="24"/>
            <w:szCs w:val="24"/>
            <w:u w:val="single"/>
            <w:rtl/>
          </w:rPr>
          <w:t>רע"פ 1708/08</w:t>
        </w:r>
      </w:hyperlink>
      <w:r>
        <w:rPr>
          <w:rFonts w:ascii="David" w:hAnsi="David" w:cs="David"/>
          <w:sz w:val="24"/>
          <w:szCs w:val="24"/>
          <w:rtl/>
        </w:rPr>
        <w:t xml:space="preserve"> </w:t>
      </w:r>
      <w:r>
        <w:rPr>
          <w:rFonts w:ascii="David" w:hAnsi="David" w:cs="David"/>
          <w:b/>
          <w:bCs/>
          <w:sz w:val="24"/>
          <w:szCs w:val="24"/>
          <w:rtl/>
        </w:rPr>
        <w:t xml:space="preserve">לוי נ' מדינת ישראל </w:t>
      </w:r>
      <w:r>
        <w:rPr>
          <w:rFonts w:ascii="David" w:hAnsi="David" w:cs="David"/>
          <w:sz w:val="24"/>
          <w:szCs w:val="24"/>
          <w:rtl/>
        </w:rPr>
        <w:t xml:space="preserve">(20.2.08)‏‏ </w:t>
      </w:r>
      <w:r>
        <w:rPr>
          <w:rFonts w:ascii="David" w:hAnsi="David" w:cs="David" w:hint="cs"/>
          <w:sz w:val="24"/>
          <w:szCs w:val="24"/>
          <w:rtl/>
        </w:rPr>
        <w:t>אישר בית המשפט העליון עונש של שנת מאסר, למי ש</w:t>
      </w:r>
      <w:r>
        <w:rPr>
          <w:rFonts w:ascii="David" w:hAnsi="David" w:cs="David"/>
          <w:sz w:val="24"/>
          <w:szCs w:val="24"/>
          <w:rtl/>
        </w:rPr>
        <w:t xml:space="preserve">הורשע במסגרת </w:t>
      </w:r>
      <w:r>
        <w:rPr>
          <w:rFonts w:ascii="David" w:hAnsi="David" w:cs="David" w:hint="cs"/>
          <w:sz w:val="24"/>
          <w:szCs w:val="24"/>
          <w:rtl/>
        </w:rPr>
        <w:t xml:space="preserve">חמישה </w:t>
      </w:r>
      <w:r>
        <w:rPr>
          <w:rFonts w:ascii="David" w:hAnsi="David" w:cs="David"/>
          <w:sz w:val="24"/>
          <w:szCs w:val="24"/>
          <w:rtl/>
        </w:rPr>
        <w:t xml:space="preserve">אישומים בארבע עבירות של כניסה והתפרצות למקום מגורים בכוונה לגנוב, </w:t>
      </w:r>
      <w:r>
        <w:rPr>
          <w:rFonts w:ascii="David" w:hAnsi="David" w:cs="David" w:hint="cs"/>
          <w:sz w:val="24"/>
          <w:szCs w:val="24"/>
          <w:rtl/>
        </w:rPr>
        <w:t>ב</w:t>
      </w:r>
      <w:r>
        <w:rPr>
          <w:rFonts w:ascii="David" w:hAnsi="David" w:cs="David"/>
          <w:sz w:val="24"/>
          <w:szCs w:val="24"/>
          <w:rtl/>
        </w:rPr>
        <w:t xml:space="preserve">שתי עבירות גניבה, </w:t>
      </w:r>
      <w:r>
        <w:rPr>
          <w:rFonts w:ascii="David" w:hAnsi="David" w:cs="David" w:hint="cs"/>
          <w:sz w:val="24"/>
          <w:szCs w:val="24"/>
          <w:rtl/>
        </w:rPr>
        <w:t>ב</w:t>
      </w:r>
      <w:r>
        <w:rPr>
          <w:rFonts w:ascii="David" w:hAnsi="David" w:cs="David"/>
          <w:sz w:val="24"/>
          <w:szCs w:val="24"/>
          <w:rtl/>
        </w:rPr>
        <w:t xml:space="preserve">עבירה של היזק בזדון לרכוש, </w:t>
      </w:r>
      <w:r>
        <w:rPr>
          <w:rFonts w:ascii="David" w:hAnsi="David" w:cs="David" w:hint="cs"/>
          <w:sz w:val="24"/>
          <w:szCs w:val="24"/>
          <w:rtl/>
        </w:rPr>
        <w:t>ב</w:t>
      </w:r>
      <w:r>
        <w:rPr>
          <w:rFonts w:ascii="David" w:hAnsi="David" w:cs="David"/>
          <w:sz w:val="24"/>
          <w:szCs w:val="24"/>
          <w:rtl/>
        </w:rPr>
        <w:t xml:space="preserve">שתי עבירות של החזקת רכוש החשוד כגנוב וכן </w:t>
      </w:r>
      <w:r>
        <w:rPr>
          <w:rFonts w:ascii="David" w:hAnsi="David" w:cs="David" w:hint="cs"/>
          <w:sz w:val="24"/>
          <w:szCs w:val="24"/>
          <w:rtl/>
        </w:rPr>
        <w:t>ב</w:t>
      </w:r>
      <w:r>
        <w:rPr>
          <w:rFonts w:ascii="David" w:hAnsi="David" w:cs="David"/>
          <w:sz w:val="24"/>
          <w:szCs w:val="24"/>
          <w:rtl/>
        </w:rPr>
        <w:t xml:space="preserve">עבירה של החזקת מכשירי פריצה. </w:t>
      </w:r>
      <w:r>
        <w:rPr>
          <w:rFonts w:ascii="David" w:hAnsi="David" w:cs="David" w:hint="cs"/>
          <w:sz w:val="24"/>
          <w:szCs w:val="24"/>
          <w:rtl/>
        </w:rPr>
        <w:t xml:space="preserve"> </w:t>
      </w:r>
    </w:p>
    <w:p w14:paraId="5999AF5A" w14:textId="77777777" w:rsidR="00880EF6" w:rsidRDefault="00880EF6" w:rsidP="00880EF6">
      <w:pPr>
        <w:pStyle w:val="a9"/>
        <w:spacing w:before="120" w:after="120" w:line="360" w:lineRule="auto"/>
        <w:ind w:left="360"/>
        <w:contextualSpacing w:val="0"/>
        <w:jc w:val="both"/>
        <w:rPr>
          <w:rFonts w:ascii="David" w:hAnsi="David" w:cs="David"/>
          <w:sz w:val="24"/>
          <w:szCs w:val="24"/>
          <w:rtl/>
        </w:rPr>
      </w:pPr>
      <w:r>
        <w:rPr>
          <w:rFonts w:ascii="David" w:hAnsi="David" w:cs="David"/>
          <w:sz w:val="24"/>
          <w:szCs w:val="24"/>
          <w:rtl/>
        </w:rPr>
        <w:t>ב</w:t>
      </w:r>
      <w:hyperlink r:id="rId59" w:history="1">
        <w:r w:rsidR="00A22B66" w:rsidRPr="00A22B66">
          <w:rPr>
            <w:rFonts w:ascii="David" w:hAnsi="David" w:cs="David"/>
            <w:color w:val="0000FF"/>
            <w:sz w:val="24"/>
            <w:szCs w:val="24"/>
            <w:u w:val="single"/>
            <w:rtl/>
          </w:rPr>
          <w:t>עפ"ג (מחוזי י-ם) 26896-04-22</w:t>
        </w:r>
      </w:hyperlink>
      <w:r>
        <w:rPr>
          <w:rFonts w:ascii="David" w:hAnsi="David" w:cs="David"/>
          <w:sz w:val="24"/>
          <w:szCs w:val="24"/>
          <w:rtl/>
        </w:rPr>
        <w:t xml:space="preserve"> </w:t>
      </w:r>
      <w:r>
        <w:rPr>
          <w:rFonts w:ascii="David" w:hAnsi="David" w:cs="David"/>
          <w:b/>
          <w:bCs/>
          <w:sz w:val="24"/>
          <w:szCs w:val="24"/>
          <w:rtl/>
        </w:rPr>
        <w:t>מדינת ישראל נ' גיאוי</w:t>
      </w:r>
      <w:r>
        <w:rPr>
          <w:rFonts w:ascii="David" w:hAnsi="David" w:cs="David"/>
          <w:sz w:val="24"/>
          <w:szCs w:val="24"/>
          <w:rtl/>
        </w:rPr>
        <w:t xml:space="preserve"> (7.6.22)‏‏ </w:t>
      </w:r>
      <w:r>
        <w:rPr>
          <w:rFonts w:ascii="David" w:hAnsi="David" w:cs="David" w:hint="cs"/>
          <w:sz w:val="24"/>
          <w:szCs w:val="24"/>
          <w:rtl/>
        </w:rPr>
        <w:t xml:space="preserve">קיבל בית משפט זה ערעור על קולת עונשו של מי שביצע </w:t>
      </w:r>
      <w:r>
        <w:rPr>
          <w:rFonts w:ascii="David" w:hAnsi="David" w:cs="David"/>
          <w:sz w:val="24"/>
          <w:szCs w:val="24"/>
          <w:rtl/>
        </w:rPr>
        <w:t xml:space="preserve">שתי עבירות של התפרצות, גניבה וכניסה לישראל שלא כדין. </w:t>
      </w:r>
      <w:r>
        <w:rPr>
          <w:rFonts w:ascii="David" w:hAnsi="David" w:cs="David" w:hint="cs"/>
          <w:sz w:val="24"/>
          <w:szCs w:val="24"/>
          <w:rtl/>
        </w:rPr>
        <w:t xml:space="preserve">באותו מקרה נקבע כי </w:t>
      </w:r>
      <w:r>
        <w:rPr>
          <w:rFonts w:ascii="David" w:hAnsi="David" w:cs="David"/>
          <w:sz w:val="24"/>
          <w:szCs w:val="24"/>
          <w:rtl/>
        </w:rPr>
        <w:t xml:space="preserve">הרף התחתון של מתחם הענישה בגין </w:t>
      </w:r>
      <w:r>
        <w:rPr>
          <w:rFonts w:ascii="David" w:hAnsi="David" w:cs="David" w:hint="cs"/>
          <w:sz w:val="24"/>
          <w:szCs w:val="24"/>
          <w:rtl/>
        </w:rPr>
        <w:t xml:space="preserve">עבירת ההתפרצות נע דרך כלל </w:t>
      </w:r>
      <w:r>
        <w:rPr>
          <w:rFonts w:ascii="David" w:hAnsi="David" w:cs="David"/>
          <w:sz w:val="24"/>
          <w:szCs w:val="24"/>
          <w:rtl/>
        </w:rPr>
        <w:t>סביב 12 חודשי מאסר</w:t>
      </w:r>
      <w:r>
        <w:rPr>
          <w:rFonts w:ascii="David" w:hAnsi="David" w:cs="David" w:hint="cs"/>
          <w:sz w:val="24"/>
          <w:szCs w:val="24"/>
          <w:rtl/>
        </w:rPr>
        <w:t xml:space="preserve">, </w:t>
      </w:r>
      <w:r>
        <w:rPr>
          <w:rFonts w:ascii="David" w:hAnsi="David" w:cs="David"/>
          <w:sz w:val="24"/>
          <w:szCs w:val="24"/>
          <w:rtl/>
        </w:rPr>
        <w:t>כי מתחם הענישה הראוי לעבירה של שהייה בישראל שלא כדין לשם ביצוע עבירה נע בין שלושה חודשי מאסר בפועל לבין ת</w:t>
      </w:r>
      <w:r>
        <w:rPr>
          <w:rFonts w:ascii="David" w:hAnsi="David" w:cs="David" w:hint="cs"/>
          <w:sz w:val="24"/>
          <w:szCs w:val="24"/>
          <w:rtl/>
        </w:rPr>
        <w:t>ש</w:t>
      </w:r>
      <w:r>
        <w:rPr>
          <w:rFonts w:ascii="David" w:hAnsi="David" w:cs="David"/>
          <w:sz w:val="24"/>
          <w:szCs w:val="24"/>
          <w:rtl/>
        </w:rPr>
        <w:t>עה חודשי מאסר בפועל</w:t>
      </w:r>
      <w:r>
        <w:rPr>
          <w:rFonts w:ascii="David" w:hAnsi="David" w:cs="David" w:hint="cs"/>
          <w:sz w:val="24"/>
          <w:szCs w:val="24"/>
          <w:rtl/>
        </w:rPr>
        <w:t>, ו</w:t>
      </w:r>
      <w:r>
        <w:rPr>
          <w:rFonts w:ascii="David" w:hAnsi="David" w:cs="David"/>
          <w:sz w:val="24"/>
          <w:szCs w:val="24"/>
          <w:rtl/>
        </w:rPr>
        <w:t xml:space="preserve">כי מתחם העונש ההולם למעשי העבירה </w:t>
      </w:r>
      <w:r>
        <w:rPr>
          <w:rFonts w:ascii="David" w:hAnsi="David" w:cs="David" w:hint="cs"/>
          <w:sz w:val="24"/>
          <w:szCs w:val="24"/>
          <w:rtl/>
        </w:rPr>
        <w:t xml:space="preserve">שנדונו שם הוא בין </w:t>
      </w:r>
      <w:r>
        <w:rPr>
          <w:rFonts w:ascii="David" w:hAnsi="David" w:cs="David"/>
          <w:sz w:val="24"/>
          <w:szCs w:val="24"/>
          <w:rtl/>
        </w:rPr>
        <w:t xml:space="preserve">12 לבין 36 חודשי מאסר בפועל. </w:t>
      </w:r>
      <w:r>
        <w:rPr>
          <w:rFonts w:ascii="David" w:hAnsi="David" w:cs="David" w:hint="cs"/>
          <w:sz w:val="24"/>
          <w:szCs w:val="24"/>
          <w:rtl/>
        </w:rPr>
        <w:t xml:space="preserve">בשל עבר פלילי "מכביד", נגזר שם </w:t>
      </w:r>
      <w:r>
        <w:rPr>
          <w:rFonts w:ascii="David" w:hAnsi="David" w:cs="David"/>
          <w:sz w:val="24"/>
          <w:szCs w:val="24"/>
          <w:rtl/>
        </w:rPr>
        <w:t xml:space="preserve">עונש של 22 חודשי מאסר בפועל. </w:t>
      </w:r>
    </w:p>
    <w:p w14:paraId="77E907E1" w14:textId="77777777" w:rsidR="00880EF6" w:rsidRDefault="00880EF6" w:rsidP="00880EF6">
      <w:pPr>
        <w:pStyle w:val="a9"/>
        <w:spacing w:before="120" w:after="120" w:line="360" w:lineRule="auto"/>
        <w:ind w:left="360"/>
        <w:contextualSpacing w:val="0"/>
        <w:jc w:val="both"/>
        <w:rPr>
          <w:rFonts w:ascii="David" w:hAnsi="David" w:cs="David"/>
          <w:sz w:val="24"/>
          <w:szCs w:val="24"/>
        </w:rPr>
      </w:pPr>
      <w:r>
        <w:rPr>
          <w:rFonts w:ascii="David" w:hAnsi="David" w:cs="David"/>
          <w:sz w:val="24"/>
          <w:szCs w:val="24"/>
          <w:rtl/>
        </w:rPr>
        <w:t>ב</w:t>
      </w:r>
      <w:hyperlink r:id="rId60" w:history="1">
        <w:r w:rsidR="00A22B66" w:rsidRPr="00A22B66">
          <w:rPr>
            <w:rFonts w:ascii="David" w:hAnsi="David" w:cs="David"/>
            <w:color w:val="0000FF"/>
            <w:sz w:val="24"/>
            <w:szCs w:val="24"/>
            <w:u w:val="single"/>
            <w:rtl/>
          </w:rPr>
          <w:t>עפ"ג (מחוזי י-ם) 61965-12-14</w:t>
        </w:r>
      </w:hyperlink>
      <w:r>
        <w:rPr>
          <w:rFonts w:ascii="David" w:hAnsi="David" w:cs="David"/>
          <w:sz w:val="24"/>
          <w:szCs w:val="24"/>
          <w:rtl/>
        </w:rPr>
        <w:t xml:space="preserve"> </w:t>
      </w:r>
      <w:r>
        <w:rPr>
          <w:rFonts w:ascii="David" w:hAnsi="David" w:cs="David"/>
          <w:b/>
          <w:bCs/>
          <w:sz w:val="24"/>
          <w:szCs w:val="24"/>
          <w:rtl/>
        </w:rPr>
        <w:t xml:space="preserve">פכר נ' מדינת ישראל </w:t>
      </w:r>
      <w:r>
        <w:rPr>
          <w:rFonts w:ascii="David" w:hAnsi="David" w:cs="David"/>
          <w:sz w:val="24"/>
          <w:szCs w:val="24"/>
          <w:rtl/>
        </w:rPr>
        <w:t xml:space="preserve">(15.2.15)‏‏ </w:t>
      </w:r>
      <w:r>
        <w:rPr>
          <w:rFonts w:ascii="David" w:hAnsi="David" w:cs="David" w:hint="cs"/>
          <w:sz w:val="24"/>
          <w:szCs w:val="24"/>
          <w:rtl/>
        </w:rPr>
        <w:t xml:space="preserve">נדון </w:t>
      </w:r>
      <w:r>
        <w:rPr>
          <w:rFonts w:ascii="David" w:hAnsi="David" w:cs="David"/>
          <w:sz w:val="24"/>
          <w:szCs w:val="24"/>
          <w:rtl/>
        </w:rPr>
        <w:t xml:space="preserve">ניסיון התפרצות למקום מגורים </w:t>
      </w:r>
      <w:r>
        <w:rPr>
          <w:rFonts w:ascii="David" w:hAnsi="David" w:cs="David" w:hint="cs"/>
          <w:sz w:val="24"/>
          <w:szCs w:val="24"/>
          <w:rtl/>
        </w:rPr>
        <w:t xml:space="preserve">בצירוף </w:t>
      </w:r>
      <w:r>
        <w:rPr>
          <w:rFonts w:ascii="David" w:hAnsi="David" w:cs="David"/>
          <w:sz w:val="24"/>
          <w:szCs w:val="24"/>
          <w:rtl/>
        </w:rPr>
        <w:t>כניסה לישראל שלא כדין.</w:t>
      </w:r>
      <w:r>
        <w:rPr>
          <w:rFonts w:ascii="FrankRuehl" w:hAnsi="FrankRuehl" w:cs="FrankRuehl"/>
          <w:color w:val="000000"/>
          <w:spacing w:val="24"/>
          <w:sz w:val="28"/>
          <w:szCs w:val="28"/>
          <w:shd w:val="clear" w:color="auto" w:fill="FFFFFF"/>
          <w:rtl/>
        </w:rPr>
        <w:t xml:space="preserve"> </w:t>
      </w:r>
      <w:r>
        <w:rPr>
          <w:rFonts w:ascii="David" w:hAnsi="David" w:cs="David" w:hint="cs"/>
          <w:sz w:val="24"/>
          <w:szCs w:val="24"/>
          <w:rtl/>
        </w:rPr>
        <w:t>גם באותו מקרה נ</w:t>
      </w:r>
      <w:r>
        <w:rPr>
          <w:rFonts w:ascii="David" w:hAnsi="David" w:cs="David"/>
          <w:sz w:val="24"/>
          <w:szCs w:val="24"/>
          <w:rtl/>
        </w:rPr>
        <w:t xml:space="preserve">קבע </w:t>
      </w:r>
      <w:r>
        <w:rPr>
          <w:rFonts w:ascii="David" w:hAnsi="David" w:cs="David" w:hint="cs"/>
          <w:sz w:val="24"/>
          <w:szCs w:val="24"/>
          <w:rtl/>
        </w:rPr>
        <w:t xml:space="preserve">מתחם לעבירת השהיה שלא כדין, שבין </w:t>
      </w:r>
      <w:r>
        <w:rPr>
          <w:rFonts w:ascii="David" w:hAnsi="David" w:cs="David"/>
          <w:sz w:val="24"/>
          <w:szCs w:val="24"/>
          <w:rtl/>
        </w:rPr>
        <w:t>שלושה ו</w:t>
      </w:r>
      <w:r>
        <w:rPr>
          <w:rFonts w:ascii="David" w:hAnsi="David" w:cs="David" w:hint="cs"/>
          <w:sz w:val="24"/>
          <w:szCs w:val="24"/>
          <w:rtl/>
        </w:rPr>
        <w:t>בין</w:t>
      </w:r>
      <w:r>
        <w:rPr>
          <w:rFonts w:ascii="David" w:hAnsi="David" w:cs="David"/>
          <w:sz w:val="24"/>
          <w:szCs w:val="24"/>
          <w:rtl/>
        </w:rPr>
        <w:t xml:space="preserve"> תשעה חודשי מאסר בפועל. ביחס לעבירת ניסיון הפריצה</w:t>
      </w:r>
      <w:r>
        <w:rPr>
          <w:rFonts w:ascii="David" w:hAnsi="David" w:cs="David" w:hint="cs"/>
          <w:sz w:val="24"/>
          <w:szCs w:val="24"/>
          <w:rtl/>
        </w:rPr>
        <w:t xml:space="preserve"> צוין כי לא הושלמה משום ששוטרים הגיעו למקום. על רקע זה ונוכח הרשעות קודמות ומאסר מותנה, נדחה ערעור על עונש של 20 חודשי מאסר, מאסרים מותנים והפעלת מאסר מותנה שחלקו הופעל במצטבר לעונש בגין העבירות.  </w:t>
      </w:r>
    </w:p>
    <w:p w14:paraId="41E02A11"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אעבור להתפרצויות שלוו בגניבת נשק. </w:t>
      </w:r>
    </w:p>
    <w:p w14:paraId="4FBA943C" w14:textId="77777777" w:rsidR="00880EF6" w:rsidRDefault="00880EF6" w:rsidP="00880EF6">
      <w:pPr>
        <w:pStyle w:val="a9"/>
        <w:spacing w:before="120" w:after="120" w:line="360" w:lineRule="auto"/>
        <w:ind w:left="360"/>
        <w:contextualSpacing w:val="0"/>
        <w:jc w:val="both"/>
        <w:rPr>
          <w:rFonts w:ascii="David" w:hAnsi="David" w:cs="David"/>
          <w:sz w:val="24"/>
          <w:szCs w:val="24"/>
        </w:rPr>
      </w:pPr>
      <w:r>
        <w:rPr>
          <w:rFonts w:ascii="David" w:hAnsi="David" w:cs="David" w:hint="cs"/>
          <w:sz w:val="24"/>
          <w:szCs w:val="24"/>
          <w:rtl/>
        </w:rPr>
        <w:t>ב</w:t>
      </w:r>
      <w:hyperlink r:id="rId61" w:history="1">
        <w:r w:rsidR="00A22B66" w:rsidRPr="00A22B66">
          <w:rPr>
            <w:rFonts w:ascii="David" w:hAnsi="David" w:cs="David"/>
            <w:color w:val="0000FF"/>
            <w:sz w:val="24"/>
            <w:szCs w:val="24"/>
            <w:u w:val="single"/>
            <w:rtl/>
          </w:rPr>
          <w:t>ע"פ 5560/06</w:t>
        </w:r>
      </w:hyperlink>
      <w:r>
        <w:rPr>
          <w:rFonts w:ascii="David" w:hAnsi="David" w:cs="David" w:hint="cs"/>
          <w:sz w:val="24"/>
          <w:szCs w:val="24"/>
          <w:rtl/>
        </w:rPr>
        <w:t xml:space="preserve"> </w:t>
      </w:r>
      <w:r>
        <w:rPr>
          <w:rFonts w:ascii="David" w:hAnsi="David" w:cs="David" w:hint="cs"/>
          <w:b/>
          <w:bCs/>
          <w:sz w:val="24"/>
          <w:szCs w:val="24"/>
          <w:rtl/>
        </w:rPr>
        <w:t xml:space="preserve">דויאת נ' מדינת ישראל </w:t>
      </w:r>
      <w:r>
        <w:rPr>
          <w:rFonts w:ascii="David" w:hAnsi="David" w:cs="David" w:hint="cs"/>
          <w:sz w:val="24"/>
          <w:szCs w:val="24"/>
          <w:rtl/>
        </w:rPr>
        <w:t>(30.10.06) נדונה התפרצות שכללה גניבת רכוש, אקדח ומחסנית ונשיאתו של הנשק. בית המשפט העליון אישר את הכרעת בית המשפט המחוזי בירושלים, לגזור על אותו מבצע שנתיים במאסר ושנת מאסר מותנה.</w:t>
      </w:r>
    </w:p>
    <w:p w14:paraId="43D59544" w14:textId="77777777" w:rsidR="00880EF6" w:rsidRDefault="003B4EBE" w:rsidP="00880EF6">
      <w:pPr>
        <w:pStyle w:val="a9"/>
        <w:spacing w:before="120" w:after="120" w:line="360" w:lineRule="auto"/>
        <w:ind w:left="360"/>
        <w:contextualSpacing w:val="0"/>
        <w:jc w:val="both"/>
        <w:rPr>
          <w:rFonts w:ascii="David" w:hAnsi="David" w:cs="David"/>
          <w:sz w:val="24"/>
          <w:szCs w:val="24"/>
          <w:rtl/>
        </w:rPr>
      </w:pPr>
      <w:hyperlink r:id="rId62" w:history="1">
        <w:r w:rsidR="00880EF6">
          <w:rPr>
            <w:rStyle w:val="Hyperlink"/>
            <w:rFonts w:ascii="David" w:hAnsi="David" w:cs="David" w:hint="cs"/>
            <w:sz w:val="24"/>
            <w:szCs w:val="24"/>
            <w:rtl/>
          </w:rPr>
          <w:t>בת</w:t>
        </w:r>
        <w:r w:rsidR="00880EF6" w:rsidRPr="00580294">
          <w:rPr>
            <w:rStyle w:val="Hyperlink"/>
            <w:rFonts w:ascii="David" w:hAnsi="David" w:cs="David"/>
            <w:sz w:val="24"/>
            <w:szCs w:val="24"/>
            <w:rtl/>
          </w:rPr>
          <w:t>"פ (מחוזי י-ם) 38340-03-19</w:t>
        </w:r>
        <w:r w:rsidR="00A22B66">
          <w:rPr>
            <w:rStyle w:val="Hyperlink"/>
            <w:rFonts w:ascii="David" w:hAnsi="David" w:cs="David"/>
            <w:sz w:val="24"/>
            <w:szCs w:val="24"/>
            <w:rtl/>
          </w:rPr>
          <w:t xml:space="preserve"> </w:t>
        </w:r>
        <w:r w:rsidR="00880EF6" w:rsidRPr="00580294">
          <w:rPr>
            <w:rStyle w:val="Hyperlink"/>
            <w:rFonts w:ascii="David" w:hAnsi="David" w:cs="David"/>
            <w:b/>
            <w:bCs/>
            <w:sz w:val="24"/>
            <w:szCs w:val="24"/>
            <w:rtl/>
          </w:rPr>
          <w:t>מדינת ישראל נ' ג'ית</w:t>
        </w:r>
        <w:r w:rsidR="00A22B66">
          <w:rPr>
            <w:rStyle w:val="Hyperlink"/>
            <w:rFonts w:ascii="David" w:hAnsi="David" w:cs="David"/>
            <w:sz w:val="24"/>
            <w:szCs w:val="24"/>
            <w:rtl/>
          </w:rPr>
          <w:t xml:space="preserve"> </w:t>
        </w:r>
        <w:r w:rsidR="00880EF6" w:rsidRPr="00580294">
          <w:rPr>
            <w:rStyle w:val="Hyperlink"/>
            <w:rFonts w:ascii="David" w:hAnsi="David" w:cs="David"/>
            <w:sz w:val="24"/>
            <w:szCs w:val="24"/>
            <w:rtl/>
          </w:rPr>
          <w:t>(20.11.19)‏</w:t>
        </w:r>
      </w:hyperlink>
      <w:r w:rsidR="00880EF6" w:rsidRPr="00580294">
        <w:rPr>
          <w:rFonts w:ascii="David" w:hAnsi="David" w:cs="David"/>
          <w:sz w:val="24"/>
          <w:szCs w:val="24"/>
          <w:rtl/>
        </w:rPr>
        <w:t xml:space="preserve">‏ </w:t>
      </w:r>
      <w:r w:rsidR="00880EF6">
        <w:rPr>
          <w:rFonts w:ascii="David" w:hAnsi="David" w:cs="David" w:hint="cs"/>
          <w:sz w:val="24"/>
          <w:szCs w:val="24"/>
          <w:rtl/>
        </w:rPr>
        <w:t xml:space="preserve">נדון עניינו של מי שביצע התפרצות אחת לדירה, ממנה גנב אקדח ומחשבים. נפסק, </w:t>
      </w:r>
      <w:r w:rsidR="00880EF6">
        <w:rPr>
          <w:rFonts w:ascii="David" w:hAnsi="David" w:cs="David"/>
          <w:sz w:val="24"/>
          <w:szCs w:val="24"/>
          <w:rtl/>
        </w:rPr>
        <w:t xml:space="preserve">כי מתחם העונש ההולם </w:t>
      </w:r>
      <w:r w:rsidR="00880EF6">
        <w:rPr>
          <w:rFonts w:ascii="David" w:hAnsi="David" w:cs="David" w:hint="cs"/>
          <w:sz w:val="24"/>
          <w:szCs w:val="24"/>
          <w:rtl/>
        </w:rPr>
        <w:t xml:space="preserve">לאותו </w:t>
      </w:r>
      <w:r w:rsidR="00880EF6" w:rsidRPr="00580294">
        <w:rPr>
          <w:rFonts w:ascii="David" w:hAnsi="David" w:cs="David"/>
          <w:sz w:val="24"/>
          <w:szCs w:val="24"/>
          <w:rtl/>
        </w:rPr>
        <w:t xml:space="preserve">מקרה נע בין 12 </w:t>
      </w:r>
      <w:r w:rsidR="00880EF6">
        <w:rPr>
          <w:rFonts w:ascii="David" w:hAnsi="David" w:cs="David" w:hint="cs"/>
          <w:sz w:val="24"/>
          <w:szCs w:val="24"/>
          <w:rtl/>
        </w:rPr>
        <w:t xml:space="preserve">ל-36 </w:t>
      </w:r>
      <w:r w:rsidR="00880EF6" w:rsidRPr="00580294">
        <w:rPr>
          <w:rFonts w:ascii="David" w:hAnsi="David" w:cs="David"/>
          <w:sz w:val="24"/>
          <w:szCs w:val="24"/>
          <w:rtl/>
        </w:rPr>
        <w:t xml:space="preserve">חודשי מאסר בצירוף מאסר על תנאי ופיצוי. </w:t>
      </w:r>
      <w:r w:rsidR="00880EF6">
        <w:rPr>
          <w:rFonts w:ascii="David" w:hAnsi="David" w:cs="David" w:hint="cs"/>
          <w:sz w:val="24"/>
          <w:szCs w:val="24"/>
          <w:rtl/>
        </w:rPr>
        <w:t xml:space="preserve">בציון הרשעה קודמת מחד ונסיבות חיים קשות מאידך, נגזר שם </w:t>
      </w:r>
      <w:r w:rsidR="00880EF6" w:rsidRPr="00580294">
        <w:rPr>
          <w:rFonts w:ascii="David" w:hAnsi="David" w:cs="David"/>
          <w:sz w:val="24"/>
          <w:szCs w:val="24"/>
          <w:rtl/>
        </w:rPr>
        <w:t xml:space="preserve">עונש של 14 חודשי מאסר בפועל, מאסרים על תנאי ופיצוי </w:t>
      </w:r>
      <w:r w:rsidR="00880EF6">
        <w:rPr>
          <w:rFonts w:ascii="David" w:hAnsi="David" w:cs="David" w:hint="cs"/>
          <w:sz w:val="24"/>
          <w:szCs w:val="24"/>
          <w:rtl/>
        </w:rPr>
        <w:t>ב</w:t>
      </w:r>
      <w:r w:rsidR="00880EF6" w:rsidRPr="00580294">
        <w:rPr>
          <w:rFonts w:ascii="David" w:hAnsi="David" w:cs="David"/>
          <w:sz w:val="24"/>
          <w:szCs w:val="24"/>
          <w:rtl/>
        </w:rPr>
        <w:t xml:space="preserve">סך 2,000 ₪. </w:t>
      </w:r>
    </w:p>
    <w:p w14:paraId="73CC38E0" w14:textId="77777777" w:rsidR="00880EF6" w:rsidRDefault="00880EF6" w:rsidP="00880EF6">
      <w:pPr>
        <w:pStyle w:val="a9"/>
        <w:spacing w:before="120" w:after="120" w:line="360" w:lineRule="auto"/>
        <w:ind w:left="360"/>
        <w:contextualSpacing w:val="0"/>
        <w:jc w:val="both"/>
        <w:rPr>
          <w:rFonts w:ascii="David" w:hAnsi="David" w:cs="David"/>
          <w:sz w:val="24"/>
          <w:szCs w:val="24"/>
          <w:rtl/>
        </w:rPr>
      </w:pPr>
      <w:r>
        <w:rPr>
          <w:rFonts w:ascii="David" w:hAnsi="David" w:cs="David"/>
          <w:sz w:val="24"/>
          <w:szCs w:val="24"/>
          <w:rtl/>
        </w:rPr>
        <w:t>ב</w:t>
      </w:r>
      <w:hyperlink r:id="rId63" w:history="1">
        <w:r w:rsidR="00A22B66" w:rsidRPr="00A22B66">
          <w:rPr>
            <w:rFonts w:ascii="David" w:hAnsi="David" w:cs="David"/>
            <w:color w:val="0000FF"/>
            <w:sz w:val="24"/>
            <w:szCs w:val="24"/>
            <w:u w:val="single"/>
            <w:rtl/>
          </w:rPr>
          <w:t>ת"פ (מחוזי חי') 57218-12-15</w:t>
        </w:r>
      </w:hyperlink>
      <w:r>
        <w:rPr>
          <w:rFonts w:ascii="David" w:hAnsi="David" w:cs="David"/>
          <w:sz w:val="24"/>
          <w:szCs w:val="24"/>
          <w:rtl/>
        </w:rPr>
        <w:t xml:space="preserve"> </w:t>
      </w:r>
      <w:r>
        <w:rPr>
          <w:rFonts w:ascii="David" w:hAnsi="David" w:cs="David"/>
          <w:b/>
          <w:bCs/>
          <w:sz w:val="24"/>
          <w:szCs w:val="24"/>
          <w:rtl/>
        </w:rPr>
        <w:t>מדינת ישראל נ' ויסמן</w:t>
      </w:r>
      <w:r>
        <w:rPr>
          <w:rFonts w:ascii="David" w:hAnsi="David" w:cs="David"/>
          <w:sz w:val="24"/>
          <w:szCs w:val="24"/>
          <w:rtl/>
        </w:rPr>
        <w:t xml:space="preserve"> (16.6.16)‏‏ </w:t>
      </w:r>
      <w:r>
        <w:rPr>
          <w:rFonts w:ascii="David" w:hAnsi="David" w:cs="David" w:hint="cs"/>
          <w:sz w:val="24"/>
          <w:szCs w:val="24"/>
          <w:rtl/>
        </w:rPr>
        <w:t xml:space="preserve">נדון מי שביצע התפרצויות בשני מקרים: בראשון גנב אקדח ומחסנית עם כדורים לצד רכוש נוסף. בשני הורשע גם בעבירת שוד, שכן תוך-כדי ההתפרצות התעורר הדייר והנאשם כיוון עליו חפץ הנחזה לאקדח עד שנמלט. המקרה הראשון הוא הרלבנטי לענייננו, ולגביו נקבע מתחם עונש שבין 12-48 חודשי מאסר. לגבי המקרה השני נקבע מתחם שבין 18-50 חודשי מאסר. על אותו נאשם נגזרו 30 חודשי מאסר, לצד הפעלת מאסר מותנה במצטבר ומאסר מותנה. </w:t>
      </w:r>
    </w:p>
    <w:p w14:paraId="7CAEEE25" w14:textId="77777777" w:rsidR="00880EF6" w:rsidRDefault="00880EF6" w:rsidP="00880EF6">
      <w:pPr>
        <w:pStyle w:val="a9"/>
        <w:spacing w:before="120" w:after="120" w:line="360" w:lineRule="auto"/>
        <w:ind w:left="360"/>
        <w:contextualSpacing w:val="0"/>
        <w:jc w:val="both"/>
        <w:rPr>
          <w:rFonts w:ascii="David" w:hAnsi="David" w:cs="David"/>
          <w:sz w:val="24"/>
          <w:szCs w:val="24"/>
          <w:rtl/>
        </w:rPr>
      </w:pPr>
      <w:r>
        <w:rPr>
          <w:rFonts w:ascii="David" w:hAnsi="David" w:cs="David" w:hint="cs"/>
          <w:sz w:val="24"/>
          <w:szCs w:val="24"/>
          <w:rtl/>
        </w:rPr>
        <w:t xml:space="preserve">בת"פ (מחוזי י-ם) </w:t>
      </w:r>
      <w:hyperlink r:id="rId64" w:history="1">
        <w:r w:rsidR="00176AD8" w:rsidRPr="00176AD8">
          <w:rPr>
            <w:rFonts w:ascii="David" w:hAnsi="David" w:cs="David"/>
            <w:color w:val="0000FF"/>
            <w:sz w:val="24"/>
            <w:szCs w:val="24"/>
            <w:u w:val="single"/>
            <w:rtl/>
          </w:rPr>
          <w:t xml:space="preserve">48905-12-20 </w:t>
        </w:r>
      </w:hyperlink>
      <w:r>
        <w:rPr>
          <w:rFonts w:ascii="David" w:hAnsi="David" w:cs="David" w:hint="cs"/>
          <w:sz w:val="24"/>
          <w:szCs w:val="24"/>
          <w:rtl/>
        </w:rPr>
        <w:t xml:space="preserve"> </w:t>
      </w:r>
      <w:r w:rsidRPr="000B6C71">
        <w:rPr>
          <w:rFonts w:ascii="David" w:hAnsi="David" w:cs="David" w:hint="cs"/>
          <w:b/>
          <w:bCs/>
          <w:sz w:val="24"/>
          <w:szCs w:val="24"/>
          <w:rtl/>
        </w:rPr>
        <w:t>מדינת ישראל נ' כהן</w:t>
      </w:r>
      <w:r>
        <w:rPr>
          <w:rFonts w:ascii="David" w:hAnsi="David" w:cs="David" w:hint="cs"/>
          <w:sz w:val="24"/>
          <w:szCs w:val="24"/>
          <w:rtl/>
        </w:rPr>
        <w:t xml:space="preserve"> (2.10.22) נדון בין היתר נאשם 2 שם, שביצע עם אחרים שלוש התפרצויות שבאחת מהן גם גנב אקדח. נקבע מתחם לעבירות הרכוש שבין 32-70 חודשי מאסר, ולעבירות הנשק בין 30-42 חודשי מאסר. בהינתן עבר "נקי", הבעת חרטה ונסיבות אישיות מורכבות</w:t>
      </w:r>
      <w:r w:rsidRPr="000B6C71">
        <w:rPr>
          <w:rFonts w:ascii="David" w:hAnsi="David" w:cs="David" w:hint="cs"/>
          <w:sz w:val="24"/>
          <w:szCs w:val="24"/>
          <w:rtl/>
        </w:rPr>
        <w:t>, "נחפף" חלק מהעונשים שנגזרו בגין העבירות השונות, ונגזר על הנאשם לרצות</w:t>
      </w:r>
      <w:r>
        <w:rPr>
          <w:rFonts w:ascii="David" w:hAnsi="David" w:cs="David" w:hint="cs"/>
          <w:sz w:val="24"/>
          <w:szCs w:val="24"/>
          <w:rtl/>
        </w:rPr>
        <w:t xml:space="preserve"> עונש כולל של</w:t>
      </w:r>
      <w:r w:rsidRPr="000B6C71">
        <w:rPr>
          <w:rFonts w:ascii="David" w:hAnsi="David" w:cs="David" w:hint="cs"/>
          <w:sz w:val="24"/>
          <w:szCs w:val="24"/>
          <w:rtl/>
        </w:rPr>
        <w:t xml:space="preserve"> 36 חודשי מאסר</w:t>
      </w:r>
      <w:r>
        <w:rPr>
          <w:rFonts w:ascii="David" w:hAnsi="David" w:cs="David" w:hint="cs"/>
          <w:sz w:val="24"/>
          <w:szCs w:val="24"/>
          <w:rtl/>
        </w:rPr>
        <w:t xml:space="preserve">, מאסר על תנאי ופיצוי. </w:t>
      </w:r>
    </w:p>
    <w:p w14:paraId="5DF2FC8C" w14:textId="77777777" w:rsidR="00880EF6" w:rsidRPr="00D0075C" w:rsidRDefault="00880EF6" w:rsidP="00880EF6">
      <w:pPr>
        <w:pStyle w:val="a9"/>
        <w:spacing w:before="120" w:after="120" w:line="360" w:lineRule="auto"/>
        <w:ind w:left="360"/>
        <w:contextualSpacing w:val="0"/>
        <w:jc w:val="both"/>
        <w:rPr>
          <w:rFonts w:ascii="David" w:hAnsi="David" w:cs="David"/>
          <w:sz w:val="24"/>
          <w:szCs w:val="24"/>
          <w:rtl/>
        </w:rPr>
      </w:pPr>
      <w:r>
        <w:rPr>
          <w:rFonts w:ascii="David" w:hAnsi="David" w:cs="David" w:hint="cs"/>
          <w:sz w:val="24"/>
          <w:szCs w:val="24"/>
          <w:rtl/>
        </w:rPr>
        <w:t>ב</w:t>
      </w:r>
      <w:hyperlink r:id="rId65" w:history="1">
        <w:r w:rsidR="00A22B66" w:rsidRPr="00A22B66">
          <w:rPr>
            <w:rFonts w:ascii="David" w:hAnsi="David" w:cs="David"/>
            <w:color w:val="0000FF"/>
            <w:sz w:val="24"/>
            <w:szCs w:val="24"/>
            <w:u w:val="single"/>
            <w:rtl/>
          </w:rPr>
          <w:t>עפ"ג (מחוזי חי') 8342-05-21</w:t>
        </w:r>
      </w:hyperlink>
      <w:r>
        <w:rPr>
          <w:rFonts w:ascii="David" w:hAnsi="David" w:cs="David" w:hint="cs"/>
          <w:sz w:val="24"/>
          <w:szCs w:val="24"/>
          <w:rtl/>
        </w:rPr>
        <w:t xml:space="preserve"> </w:t>
      </w:r>
      <w:r>
        <w:rPr>
          <w:rFonts w:ascii="David" w:hAnsi="David" w:cs="David" w:hint="cs"/>
          <w:b/>
          <w:bCs/>
          <w:sz w:val="24"/>
          <w:szCs w:val="24"/>
          <w:rtl/>
        </w:rPr>
        <w:t xml:space="preserve">בדווי נ' מדינת ישראל </w:t>
      </w:r>
      <w:r>
        <w:rPr>
          <w:rFonts w:ascii="David" w:hAnsi="David" w:cs="David" w:hint="cs"/>
          <w:sz w:val="24"/>
          <w:szCs w:val="24"/>
          <w:rtl/>
        </w:rPr>
        <w:t xml:space="preserve">(24.6.21) נדון מי שהתפרץ לבית וגנב נשק של חייל שהתגורר בו, השליך את הנשק במהלך מנוסה משוטרים שהגיעו למקום, ונתפס. בית משפט השלום קבע מתחם שבין 18-36 חודשי מאסר, ובשל נסיבות אישיות מורכבות, העדר הרשעות עדכניות, הודאה ומאמצי שיקום גזר לנאשם 18 חודשי מאסר. מטעמים דומים וכדי לתמרץ את מהלך השיקום, החליט בית המשפט המחוזי להפחית את העונש ל-16 חודשי מאסר. </w:t>
      </w:r>
    </w:p>
    <w:p w14:paraId="4DCF717B"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בענייננו דובר, כאמור, בשילוב שבין מספר אלמנטים: הרשעה בארבעה מעשי התפרצות ובניסיון לבצע מעשה נוסף, בידי מי ששהה בישראל שלא כדין, וכן עבירות הנשק שנלוו לאחד ממעשי ההתפרצות. כל אלה יקבלו ביטוי בקביעת המתחם, וכך גם השיקולים לקולה שנדונו לעיל לרבות השבת הנשק ורוב הרכוש. </w:t>
      </w:r>
    </w:p>
    <w:p w14:paraId="2A4167BB"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על רקע כל אלה, אני קובע כי מתחם העונש ההולם לעבירות שביצע הנאשם, בנסיבות ביצוען, כולל מאסר בפועל לתקופה שבין 30 ל-60 חודשים, לצד מאסר מותנה ופיצוי (בהמשך יוסבר מדוע לא מצאתי לכלול קנס במתחם העונש). </w:t>
      </w:r>
    </w:p>
    <w:p w14:paraId="2A3547ED" w14:textId="77777777" w:rsidR="00880EF6" w:rsidRPr="00692442" w:rsidRDefault="00880EF6" w:rsidP="00880EF6">
      <w:pPr>
        <w:pStyle w:val="a9"/>
        <w:spacing w:before="120" w:after="120" w:line="360" w:lineRule="auto"/>
        <w:ind w:left="360"/>
        <w:contextualSpacing w:val="0"/>
        <w:jc w:val="both"/>
        <w:rPr>
          <w:rFonts w:ascii="David" w:hAnsi="David" w:cs="David"/>
          <w:sz w:val="24"/>
          <w:szCs w:val="24"/>
        </w:rPr>
      </w:pPr>
    </w:p>
    <w:p w14:paraId="59152484" w14:textId="77777777" w:rsidR="00880EF6" w:rsidRDefault="00880EF6" w:rsidP="00880EF6">
      <w:pPr>
        <w:bidi w:val="0"/>
        <w:rPr>
          <w:rFonts w:ascii="David" w:hAnsi="David"/>
          <w:b/>
          <w:bCs/>
          <w:rtl/>
        </w:rPr>
      </w:pPr>
      <w:r>
        <w:rPr>
          <w:rFonts w:ascii="David" w:hAnsi="David"/>
          <w:b/>
          <w:bCs/>
          <w:rtl/>
        </w:rPr>
        <w:br w:type="page"/>
      </w:r>
    </w:p>
    <w:p w14:paraId="1B26B87E" w14:textId="77777777" w:rsidR="00880EF6" w:rsidRDefault="00880EF6" w:rsidP="00880EF6">
      <w:pPr>
        <w:spacing w:before="120" w:after="120" w:line="360" w:lineRule="auto"/>
        <w:jc w:val="both"/>
        <w:rPr>
          <w:rFonts w:ascii="David" w:hAnsi="David"/>
          <w:b/>
          <w:bCs/>
          <w:rtl/>
        </w:rPr>
      </w:pPr>
      <w:r>
        <w:rPr>
          <w:rFonts w:ascii="David" w:hAnsi="David"/>
          <w:b/>
          <w:bCs/>
          <w:rtl/>
        </w:rPr>
        <w:t>קביעת העונש בתוך המתחם</w:t>
      </w:r>
    </w:p>
    <w:p w14:paraId="378079C3"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לחובת הנאשם יישקל עברו הפלילי, שלפי הגיליון שהוצג בפניי כולל שלוש הרשעות בעבירות של הפרת הוראה בדבר סגירת שטח, שבוצעו בשנים 2015, 2013 ו-2010. עוד הורשע בעבירות של ניסיון גניבת רכב, התפרצות וכניסה לישראל שלא כדין שבוצעו ב-2007, וריצה מאסר של 27 חודשים. כן הורשע במספר עבירות של סחר ברכב או חלקי רכב גנובים שבוצעו בשנים 2000-2001, וריצה חמש שנות מאסר. אין מדובר אפוא בכישלונו הראשון בעבירות רכוש. מנגד, הוא נמנע מעבירות ממין זה משך כחמש עשרה שנים, עד לאירועים מושא הליך זה. </w:t>
      </w:r>
    </w:p>
    <w:p w14:paraId="56CC0C53"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בקביעת העונש תישקלנה נסיבות נוספות לקולה, ובראשן אלמנט שיתוף הפעולה ונטילת האחריות. </w:t>
      </w:r>
    </w:p>
    <w:p w14:paraId="6D01A7DD" w14:textId="77777777" w:rsidR="00880EF6" w:rsidRDefault="00880EF6" w:rsidP="00880EF6">
      <w:pPr>
        <w:pStyle w:val="a9"/>
        <w:spacing w:before="120" w:after="120" w:line="360" w:lineRule="auto"/>
        <w:ind w:left="360"/>
        <w:contextualSpacing w:val="0"/>
        <w:jc w:val="both"/>
        <w:rPr>
          <w:rFonts w:ascii="David" w:hAnsi="David" w:cs="David"/>
          <w:sz w:val="24"/>
          <w:szCs w:val="24"/>
          <w:rtl/>
        </w:rPr>
      </w:pPr>
      <w:r>
        <w:rPr>
          <w:rFonts w:ascii="David" w:hAnsi="David" w:cs="David" w:hint="cs"/>
          <w:sz w:val="24"/>
          <w:szCs w:val="24"/>
          <w:rtl/>
        </w:rPr>
        <w:t xml:space="preserve">זו בוטאה תחילה בהודייתו של הנאשם בכתב האישום המתוקן, שייעלה את ההליך וחסכה מזמנם של הצדדים, העדים ובית המשפט. </w:t>
      </w:r>
    </w:p>
    <w:p w14:paraId="7391AFB6" w14:textId="77777777" w:rsidR="00880EF6" w:rsidRDefault="00880EF6" w:rsidP="00880EF6">
      <w:pPr>
        <w:pStyle w:val="a9"/>
        <w:spacing w:before="120" w:after="120" w:line="360" w:lineRule="auto"/>
        <w:ind w:left="360"/>
        <w:contextualSpacing w:val="0"/>
        <w:jc w:val="both"/>
        <w:rPr>
          <w:rFonts w:ascii="David" w:hAnsi="David" w:cs="David"/>
          <w:sz w:val="24"/>
          <w:szCs w:val="24"/>
        </w:rPr>
      </w:pPr>
      <w:r>
        <w:rPr>
          <w:rFonts w:ascii="David" w:hAnsi="David" w:cs="David" w:hint="cs"/>
          <w:sz w:val="24"/>
          <w:szCs w:val="24"/>
          <w:rtl/>
        </w:rPr>
        <w:t xml:space="preserve">נטילת האחריות לא התמצתה רק במילים וכללה, כבר בשלב החקירה, את האקט שתואר לעיל, של הסגרת הנשק לידי המשטרה. כפי שצוין לעיל, אקט זה רלבנטי לא רק לקביעת המתחם אלא גם לקביעת העונש במסגרתו. </w:t>
      </w:r>
    </w:p>
    <w:p w14:paraId="370EBEA5" w14:textId="77777777" w:rsidR="00880EF6" w:rsidRDefault="00880EF6" w:rsidP="00880EF6">
      <w:pPr>
        <w:pStyle w:val="a9"/>
        <w:spacing w:before="120" w:after="120" w:line="360" w:lineRule="auto"/>
        <w:ind w:left="360"/>
        <w:contextualSpacing w:val="0"/>
        <w:jc w:val="both"/>
        <w:rPr>
          <w:rFonts w:ascii="David" w:hAnsi="David" w:cs="David"/>
          <w:sz w:val="24"/>
          <w:szCs w:val="24"/>
          <w:rtl/>
        </w:rPr>
      </w:pPr>
      <w:r>
        <w:rPr>
          <w:rFonts w:ascii="David" w:hAnsi="David" w:cs="David" w:hint="cs"/>
          <w:sz w:val="24"/>
          <w:szCs w:val="24"/>
          <w:rtl/>
        </w:rPr>
        <w:t xml:space="preserve">בחירה זו של הנאשם, לתקן את תוצאות עבירת הנשק שביצע מבלי שקיבל תמורה או הבטחה מנגד, מתיישבת עם הבעת החרטה על המעשים, אותה הביע בבית המשפט. בנוסף, זו התנהלות שקיים אינטרס חברתי בולט לעודדה. זאת הן במבט רחב, משפעמים רבות מצויים בידי מבצעי עבירות האמצעים לתקן את תוצאות מעשיהם בדרך פשוטה ויעילה מזו לה תידרש המדינה לאותה מטרה. כך גם במבט פרטני העוסק בטיב המהלך, בשים לב לכך שדובר בהסגרתו של כלי נשק חם לידי המשטרה. זאת, בעיתוי בו מודגש ההכרח החברתי להילחם בנגע הנשק הבלתי חוקי ולמעט את מספר כלי הנשק מסוג זה אשר מוחזקים בידי מי שלא הורשו לכך. </w:t>
      </w:r>
    </w:p>
    <w:p w14:paraId="4BB49E93" w14:textId="77777777" w:rsidR="00880EF6" w:rsidRDefault="00880EF6" w:rsidP="00880EF6">
      <w:pPr>
        <w:pStyle w:val="a9"/>
        <w:spacing w:before="120" w:after="120" w:line="360" w:lineRule="auto"/>
        <w:ind w:left="360"/>
        <w:contextualSpacing w:val="0"/>
        <w:jc w:val="both"/>
        <w:rPr>
          <w:rFonts w:ascii="David" w:hAnsi="David" w:cs="David"/>
          <w:sz w:val="24"/>
          <w:szCs w:val="24"/>
        </w:rPr>
      </w:pPr>
      <w:r>
        <w:rPr>
          <w:rFonts w:ascii="David" w:hAnsi="David" w:cs="David" w:hint="cs"/>
          <w:sz w:val="24"/>
          <w:szCs w:val="24"/>
          <w:rtl/>
        </w:rPr>
        <w:t>אני מוצא לתת לשיקולים אלה משקל של ממש בגזירת הדין.</w:t>
      </w:r>
    </w:p>
    <w:p w14:paraId="6B34570D"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tl/>
        </w:rPr>
      </w:pPr>
      <w:r>
        <w:rPr>
          <w:rFonts w:ascii="David" w:hAnsi="David" w:cs="David" w:hint="cs"/>
          <w:sz w:val="24"/>
          <w:szCs w:val="24"/>
          <w:rtl/>
        </w:rPr>
        <w:t xml:space="preserve">עוד תישקלנה נסיבותיו האישיות של הנאשם כפי שהוצגו בידי בא-כוחו ונסקרו לעיל, לרבות הטיעון שלא נסתר בדבר מצוקה כלכלית שברקע העבירות והיות מפרנס יחיד למשפחתו. </w:t>
      </w:r>
    </w:p>
    <w:p w14:paraId="51FC6BE8" w14:textId="77777777" w:rsidR="00880EF6" w:rsidRDefault="00880EF6" w:rsidP="00880EF6">
      <w:pPr>
        <w:pStyle w:val="a9"/>
        <w:spacing w:before="120" w:after="120" w:line="360" w:lineRule="auto"/>
        <w:ind w:left="360"/>
        <w:contextualSpacing w:val="0"/>
        <w:jc w:val="both"/>
        <w:rPr>
          <w:rFonts w:ascii="David" w:hAnsi="David"/>
          <w:rtl/>
        </w:rPr>
      </w:pPr>
      <w:r>
        <w:rPr>
          <w:rFonts w:ascii="David" w:hAnsi="David" w:cs="David" w:hint="cs"/>
          <w:sz w:val="24"/>
          <w:szCs w:val="24"/>
          <w:rtl/>
        </w:rPr>
        <w:t xml:space="preserve">אציין שמטעם אחרון זה, וכן על מנת שמשאבים שיגייס הנאשם יופנו לפיצוי הנפגעים, ולמרות המניע הכלכלי לביצוע המעשים, לא מצאתי לחייב את הנאשם בקנס (או לכללו במתחם העונש ההולם </w:t>
      </w:r>
      <w:r>
        <w:rPr>
          <w:rFonts w:ascii="David" w:hAnsi="David" w:cs="David"/>
          <w:sz w:val="24"/>
          <w:szCs w:val="24"/>
          <w:rtl/>
        </w:rPr>
        <w:t>–</w:t>
      </w:r>
      <w:r>
        <w:rPr>
          <w:rFonts w:ascii="David" w:hAnsi="David" w:cs="David" w:hint="cs"/>
          <w:sz w:val="24"/>
          <w:szCs w:val="24"/>
          <w:rtl/>
        </w:rPr>
        <w:t xml:space="preserve"> וראו </w:t>
      </w:r>
      <w:hyperlink r:id="rId66" w:history="1">
        <w:r w:rsidR="00311829" w:rsidRPr="00311829">
          <w:rPr>
            <w:rStyle w:val="Hyperlink"/>
            <w:rFonts w:ascii="David" w:hAnsi="David" w:cs="David" w:hint="cs"/>
            <w:sz w:val="24"/>
            <w:szCs w:val="24"/>
            <w:rtl/>
          </w:rPr>
          <w:t>סעיף</w:t>
        </w:r>
        <w:r w:rsidR="00311829" w:rsidRPr="00311829">
          <w:rPr>
            <w:rStyle w:val="Hyperlink"/>
            <w:rFonts w:ascii="David" w:hAnsi="David" w:cs="David"/>
            <w:sz w:val="24"/>
            <w:szCs w:val="24"/>
            <w:rtl/>
          </w:rPr>
          <w:t xml:space="preserve"> 40ח</w:t>
        </w:r>
      </w:hyperlink>
      <w:r>
        <w:rPr>
          <w:rFonts w:ascii="David" w:hAnsi="David" w:cs="David" w:hint="cs"/>
          <w:sz w:val="24"/>
          <w:szCs w:val="24"/>
          <w:rtl/>
        </w:rPr>
        <w:t xml:space="preserve"> ל</w:t>
      </w:r>
      <w:hyperlink r:id="rId67" w:history="1">
        <w:r w:rsidR="00A22B66" w:rsidRPr="00A22B66">
          <w:rPr>
            <w:rFonts w:ascii="David" w:hAnsi="David" w:cs="David"/>
            <w:color w:val="0000FF"/>
            <w:sz w:val="24"/>
            <w:szCs w:val="24"/>
            <w:u w:val="single"/>
            <w:rtl/>
          </w:rPr>
          <w:t>חוק העונשין</w:t>
        </w:r>
      </w:hyperlink>
      <w:r>
        <w:rPr>
          <w:rFonts w:ascii="David" w:hAnsi="David" w:cs="David" w:hint="cs"/>
          <w:sz w:val="24"/>
          <w:szCs w:val="24"/>
          <w:rtl/>
        </w:rPr>
        <w:t xml:space="preserve">). </w:t>
      </w:r>
    </w:p>
    <w:p w14:paraId="5BC4898F"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הגם שבשל השיקולים לחומרה לא ניתן להעמידו על הרף הנמוך של המתחם, </w:t>
      </w:r>
      <w:r w:rsidRPr="00692442">
        <w:rPr>
          <w:rFonts w:ascii="David" w:hAnsi="David" w:cs="David"/>
          <w:sz w:val="24"/>
          <w:szCs w:val="24"/>
          <w:rtl/>
        </w:rPr>
        <w:t xml:space="preserve">מכלול </w:t>
      </w:r>
      <w:r>
        <w:rPr>
          <w:rFonts w:ascii="David" w:hAnsi="David" w:cs="David" w:hint="cs"/>
          <w:sz w:val="24"/>
          <w:szCs w:val="24"/>
          <w:rtl/>
        </w:rPr>
        <w:t xml:space="preserve">זה של נתונים מצדיק לשיטתי להימנע ממיצוי הדין עם הנאשם. כך בתקווה כי שובו לפשעי הרכוש לאחר שנים רבות בהן נמנע מכך, הייתה מעידה עליה לא ישוב. כדי לתמרץ זאת מצאתי גם לגזור עונשי מאסר מותנה, שיפורטו בהמשך. </w:t>
      </w:r>
    </w:p>
    <w:p w14:paraId="1DDE0A78" w14:textId="77777777" w:rsidR="00880EF6" w:rsidRDefault="00880EF6" w:rsidP="00880EF6">
      <w:pPr>
        <w:pStyle w:val="a9"/>
        <w:spacing w:before="120" w:after="120" w:line="360" w:lineRule="auto"/>
        <w:ind w:left="360"/>
        <w:contextualSpacing w:val="0"/>
        <w:jc w:val="both"/>
        <w:rPr>
          <w:rFonts w:ascii="David" w:hAnsi="David"/>
          <w:b/>
          <w:bCs/>
          <w:rtl/>
        </w:rPr>
      </w:pPr>
      <w:r>
        <w:rPr>
          <w:rFonts w:ascii="David" w:hAnsi="David" w:cs="David" w:hint="cs"/>
          <w:sz w:val="24"/>
          <w:szCs w:val="24"/>
          <w:rtl/>
        </w:rPr>
        <w:t xml:space="preserve">בנוסף, הולם לחייב את הנאשם בפיצוי לנפגעי העבירה, כביטוי נוסף לנזק שגרם להם. למיתון הסכום אשקול את שנמסר </w:t>
      </w:r>
      <w:r>
        <w:rPr>
          <w:rFonts w:ascii="David" w:hAnsi="David" w:cs="David"/>
          <w:sz w:val="24"/>
          <w:szCs w:val="24"/>
          <w:rtl/>
        </w:rPr>
        <w:t>–</w:t>
      </w:r>
      <w:r>
        <w:rPr>
          <w:rFonts w:ascii="David" w:hAnsi="David" w:cs="David" w:hint="cs"/>
          <w:sz w:val="24"/>
          <w:szCs w:val="24"/>
          <w:rtl/>
        </w:rPr>
        <w:t xml:space="preserve"> כי רוב הרכוש הוחזר להם.</w:t>
      </w:r>
    </w:p>
    <w:p w14:paraId="6A445710" w14:textId="77777777" w:rsidR="00880EF6" w:rsidRDefault="00880EF6" w:rsidP="00880EF6">
      <w:pPr>
        <w:pStyle w:val="a9"/>
        <w:spacing w:before="120" w:after="120" w:line="360" w:lineRule="auto"/>
        <w:ind w:left="360"/>
        <w:contextualSpacing w:val="0"/>
        <w:jc w:val="both"/>
        <w:rPr>
          <w:rFonts w:ascii="David" w:hAnsi="David"/>
          <w:b/>
          <w:bCs/>
          <w:rtl/>
        </w:rPr>
      </w:pPr>
    </w:p>
    <w:p w14:paraId="5ACCE6DD" w14:textId="77777777" w:rsidR="00880EF6" w:rsidRPr="00692442" w:rsidRDefault="00880EF6" w:rsidP="00880EF6">
      <w:pPr>
        <w:spacing w:before="120" w:after="120" w:line="360" w:lineRule="auto"/>
        <w:jc w:val="both"/>
        <w:rPr>
          <w:rFonts w:ascii="David" w:hAnsi="David"/>
        </w:rPr>
      </w:pPr>
      <w:r w:rsidRPr="00692442">
        <w:rPr>
          <w:rFonts w:ascii="David" w:hAnsi="David" w:hint="cs"/>
          <w:b/>
          <w:bCs/>
          <w:rtl/>
        </w:rPr>
        <w:t>הכרעה</w:t>
      </w:r>
    </w:p>
    <w:p w14:paraId="01C19544" w14:textId="77777777" w:rsidR="00880EF6" w:rsidRDefault="00880EF6" w:rsidP="00880EF6">
      <w:pPr>
        <w:pStyle w:val="a9"/>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במכלול השיקולים, נגזרים על הנאשם העונשים הבאים:</w:t>
      </w:r>
    </w:p>
    <w:p w14:paraId="7A87F12B" w14:textId="77777777" w:rsidR="00880EF6" w:rsidRDefault="00880EF6" w:rsidP="00880EF6">
      <w:pPr>
        <w:pStyle w:val="a9"/>
        <w:numPr>
          <w:ilvl w:val="0"/>
          <w:numId w:val="2"/>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38 חודשי מאסר, שיימנו מיום מעצרו של הנאשם </w:t>
      </w:r>
      <w:r>
        <w:rPr>
          <w:rFonts w:ascii="David" w:hAnsi="David" w:cs="David"/>
          <w:sz w:val="24"/>
          <w:szCs w:val="24"/>
          <w:rtl/>
        </w:rPr>
        <w:t>–</w:t>
      </w:r>
      <w:r>
        <w:rPr>
          <w:rFonts w:ascii="David" w:hAnsi="David" w:cs="David" w:hint="cs"/>
          <w:sz w:val="24"/>
          <w:szCs w:val="24"/>
          <w:rtl/>
        </w:rPr>
        <w:t xml:space="preserve"> 15.7.22. </w:t>
      </w:r>
    </w:p>
    <w:p w14:paraId="4C3C09EA" w14:textId="77777777" w:rsidR="00880EF6" w:rsidRDefault="00880EF6" w:rsidP="00880EF6">
      <w:pPr>
        <w:pStyle w:val="a9"/>
        <w:numPr>
          <w:ilvl w:val="0"/>
          <w:numId w:val="2"/>
        </w:numPr>
        <w:spacing w:before="120" w:after="120" w:line="360" w:lineRule="auto"/>
        <w:contextualSpacing w:val="0"/>
        <w:jc w:val="both"/>
        <w:rPr>
          <w:rFonts w:ascii="David" w:hAnsi="David" w:cs="David"/>
          <w:sz w:val="24"/>
          <w:szCs w:val="24"/>
        </w:rPr>
      </w:pPr>
      <w:r>
        <w:rPr>
          <w:rFonts w:ascii="David" w:hAnsi="David" w:cs="David" w:hint="cs"/>
          <w:sz w:val="24"/>
          <w:szCs w:val="24"/>
          <w:rtl/>
        </w:rPr>
        <w:t>8 חודשי מאסר, אותם ירצה הנאשם אם יעבור בתוך שלוש שנים מיום שחרורו ממאסר כל עבירת רכוש שהיא פשע, או עבירות של נשיאה או החזקה של נשק חם.</w:t>
      </w:r>
    </w:p>
    <w:p w14:paraId="36553A30" w14:textId="77777777" w:rsidR="00880EF6" w:rsidRDefault="00880EF6" w:rsidP="00880EF6">
      <w:pPr>
        <w:pStyle w:val="a9"/>
        <w:numPr>
          <w:ilvl w:val="0"/>
          <w:numId w:val="2"/>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פיצוי בסך 2,000 ₪ לכל אחד מהבאים: "המתלונן דניאל", "המתלונן אלקנה", "המתלוננים אלרום" ו"המתלונן עפר" הנזכרים באישומים הראשון והשלישי לכתב האישום המתוקן. המאשימה תעביר את פרטיהם המלאים למזכירות בתוך 7 ימים. הפיצוי ישולם עד 1.2.23. </w:t>
      </w:r>
    </w:p>
    <w:p w14:paraId="7EA617A7" w14:textId="77777777" w:rsidR="00880EF6" w:rsidRDefault="00880EF6" w:rsidP="00880EF6">
      <w:pPr>
        <w:rPr>
          <w:rFonts w:ascii="Arial" w:hAnsi="Arial"/>
          <w:b/>
          <w:bCs/>
          <w:sz w:val="26"/>
          <w:szCs w:val="26"/>
          <w:rtl/>
        </w:rPr>
      </w:pPr>
    </w:p>
    <w:p w14:paraId="44E6682A" w14:textId="77777777" w:rsidR="00880EF6" w:rsidRDefault="00A22B66" w:rsidP="00880EF6">
      <w:pPr>
        <w:rPr>
          <w:rFonts w:ascii="Arial" w:hAnsi="Arial"/>
          <w:sz w:val="26"/>
          <w:szCs w:val="26"/>
          <w:rtl/>
        </w:rPr>
      </w:pPr>
      <w:r w:rsidRPr="00A22B66">
        <w:rPr>
          <w:rFonts w:ascii="Arial" w:hAnsi="Arial"/>
          <w:color w:val="FFFFFF"/>
          <w:sz w:val="2"/>
          <w:szCs w:val="2"/>
          <w:rtl/>
        </w:rPr>
        <w:t>5129371</w:t>
      </w:r>
      <w:r w:rsidR="00880EF6" w:rsidRPr="008A4711">
        <w:rPr>
          <w:rFonts w:ascii="Arial" w:hAnsi="Arial" w:hint="cs"/>
          <w:sz w:val="26"/>
          <w:szCs w:val="26"/>
          <w:rtl/>
        </w:rPr>
        <w:t xml:space="preserve">המזכירות תשלח לנאשם העתק גזר הדין באמצעות שב"ס. </w:t>
      </w:r>
    </w:p>
    <w:p w14:paraId="5636EEE5" w14:textId="77777777" w:rsidR="00880EF6" w:rsidRPr="00A22B66" w:rsidRDefault="00A22B66" w:rsidP="00880EF6">
      <w:pPr>
        <w:rPr>
          <w:rFonts w:ascii="Arial" w:hAnsi="Arial"/>
          <w:color w:val="FFFFFF"/>
          <w:sz w:val="2"/>
          <w:szCs w:val="2"/>
          <w:rtl/>
        </w:rPr>
      </w:pPr>
      <w:r w:rsidRPr="00A22B66">
        <w:rPr>
          <w:rFonts w:ascii="Arial" w:hAnsi="Arial"/>
          <w:color w:val="FFFFFF"/>
          <w:sz w:val="2"/>
          <w:szCs w:val="2"/>
          <w:rtl/>
        </w:rPr>
        <w:t>54678313</w:t>
      </w:r>
    </w:p>
    <w:p w14:paraId="1477A6A7" w14:textId="77777777" w:rsidR="00880EF6" w:rsidRPr="000F2247" w:rsidRDefault="00880EF6" w:rsidP="00880EF6">
      <w:pPr>
        <w:rPr>
          <w:rFonts w:ascii="Arial" w:hAnsi="Arial"/>
          <w:b/>
          <w:bCs/>
          <w:sz w:val="26"/>
          <w:szCs w:val="26"/>
          <w:rtl/>
        </w:rPr>
      </w:pPr>
    </w:p>
    <w:p w14:paraId="4D4117E1" w14:textId="77777777" w:rsidR="00880EF6" w:rsidRPr="000F2247" w:rsidRDefault="00A22B66" w:rsidP="00880EF6">
      <w:pPr>
        <w:rPr>
          <w:rFonts w:ascii="Arial" w:hAnsi="Arial"/>
          <w:b/>
          <w:bCs/>
          <w:sz w:val="26"/>
          <w:szCs w:val="26"/>
          <w:rtl/>
        </w:rPr>
      </w:pPr>
      <w:bookmarkStart w:id="8" w:name="Nitan"/>
      <w:r>
        <w:rPr>
          <w:rFonts w:ascii="Arial" w:hAnsi="Arial"/>
          <w:b/>
          <w:bCs/>
          <w:sz w:val="26"/>
          <w:szCs w:val="26"/>
          <w:rtl/>
        </w:rPr>
        <w:t xml:space="preserve">ניתן היום,  י"ג כסלו תשפ"ג, 07 דצמבר 2022, במעמד הצדדים. </w:t>
      </w:r>
      <w:bookmarkEnd w:id="8"/>
    </w:p>
    <w:p w14:paraId="553DE9F4" w14:textId="77777777" w:rsidR="00880EF6" w:rsidRPr="000F2247" w:rsidRDefault="00880EF6" w:rsidP="00A22B6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3451FF7" w14:textId="77777777" w:rsidR="00880EF6" w:rsidRPr="000F2247" w:rsidRDefault="00880EF6" w:rsidP="00880EF6">
      <w:pPr>
        <w:jc w:val="center"/>
        <w:rPr>
          <w:rFonts w:ascii="Arial" w:hAnsi="Arial"/>
          <w:b/>
          <w:bCs/>
          <w:sz w:val="26"/>
          <w:szCs w:val="26"/>
          <w:rtl/>
        </w:rPr>
      </w:pPr>
    </w:p>
    <w:p w14:paraId="4DE816E7" w14:textId="77777777" w:rsidR="00AD6CBB" w:rsidRPr="00A22B66" w:rsidRDefault="00AD6CBB" w:rsidP="00A22B66">
      <w:pPr>
        <w:keepNext/>
        <w:rPr>
          <w:rFonts w:ascii="David" w:hAnsi="David"/>
          <w:color w:val="000000"/>
          <w:sz w:val="22"/>
          <w:szCs w:val="22"/>
          <w:rtl/>
        </w:rPr>
      </w:pPr>
    </w:p>
    <w:p w14:paraId="5BC38364" w14:textId="77777777" w:rsidR="00A22B66" w:rsidRPr="00A22B66" w:rsidRDefault="00A22B66" w:rsidP="00A22B66">
      <w:pPr>
        <w:keepNext/>
        <w:rPr>
          <w:rFonts w:ascii="David" w:hAnsi="David"/>
          <w:color w:val="000000"/>
          <w:sz w:val="22"/>
          <w:szCs w:val="22"/>
          <w:rtl/>
        </w:rPr>
      </w:pPr>
      <w:r w:rsidRPr="00A22B66">
        <w:rPr>
          <w:rFonts w:ascii="David" w:hAnsi="David"/>
          <w:color w:val="000000"/>
          <w:sz w:val="22"/>
          <w:szCs w:val="22"/>
          <w:rtl/>
        </w:rPr>
        <w:t>אוהד גורדון 54678313</w:t>
      </w:r>
    </w:p>
    <w:p w14:paraId="76948D9C" w14:textId="77777777" w:rsidR="00A22B66" w:rsidRDefault="00A22B66" w:rsidP="00A22B66">
      <w:r w:rsidRPr="00A22B66">
        <w:rPr>
          <w:color w:val="000000"/>
          <w:rtl/>
        </w:rPr>
        <w:t>נוסח מסמך זה כפוף לשינויי ניסוח ועריכה</w:t>
      </w:r>
    </w:p>
    <w:p w14:paraId="3C09844C" w14:textId="77777777" w:rsidR="00A22B66" w:rsidRDefault="00A22B66" w:rsidP="00A22B66">
      <w:pPr>
        <w:rPr>
          <w:rtl/>
        </w:rPr>
      </w:pPr>
    </w:p>
    <w:p w14:paraId="54251D5E" w14:textId="77777777" w:rsidR="00A22B66" w:rsidRDefault="00A22B66" w:rsidP="00A22B66">
      <w:pPr>
        <w:jc w:val="center"/>
        <w:rPr>
          <w:color w:val="0000FF"/>
          <w:u w:val="single"/>
        </w:rPr>
      </w:pPr>
      <w:hyperlink r:id="rId68" w:history="1">
        <w:r>
          <w:rPr>
            <w:color w:val="0000FF"/>
            <w:u w:val="single"/>
            <w:rtl/>
          </w:rPr>
          <w:t>בעניין עריכה ושינויים במסמכי פסיקה, חקיקה ועוד באתר נבו – הקש כאן</w:t>
        </w:r>
      </w:hyperlink>
    </w:p>
    <w:p w14:paraId="2EE47D1C" w14:textId="77777777" w:rsidR="00A22B66" w:rsidRPr="00A22B66" w:rsidRDefault="00A22B66" w:rsidP="00A22B66">
      <w:pPr>
        <w:jc w:val="center"/>
        <w:rPr>
          <w:color w:val="0000FF"/>
          <w:u w:val="single"/>
        </w:rPr>
      </w:pPr>
    </w:p>
    <w:sectPr w:rsidR="00A22B66" w:rsidRPr="00A22B66" w:rsidSect="00A22B66">
      <w:headerReference w:type="even" r:id="rId69"/>
      <w:headerReference w:type="default" r:id="rId70"/>
      <w:footerReference w:type="even" r:id="rId71"/>
      <w:footerReference w:type="default" r:id="rId7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6B173" w14:textId="77777777" w:rsidR="002B28F0" w:rsidRDefault="002B28F0" w:rsidP="003B4EBE">
      <w:r>
        <w:separator/>
      </w:r>
    </w:p>
  </w:endnote>
  <w:endnote w:type="continuationSeparator" w:id="0">
    <w:p w14:paraId="20BAB26C" w14:textId="77777777" w:rsidR="002B28F0" w:rsidRDefault="002B28F0" w:rsidP="003B4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0A171" w14:textId="77777777" w:rsidR="00A22B66" w:rsidRDefault="00A22B66" w:rsidP="00A22B6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A6E296A" w14:textId="77777777" w:rsidR="00CB4C99" w:rsidRPr="00A22B66" w:rsidRDefault="00A22B66" w:rsidP="00A22B6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99296" w14:textId="77777777" w:rsidR="00A22B66" w:rsidRDefault="00A22B66" w:rsidP="00A22B6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67997">
      <w:rPr>
        <w:rFonts w:ascii="FrankRuehl" w:hAnsi="FrankRuehl" w:cs="FrankRuehl"/>
        <w:noProof/>
        <w:rtl/>
      </w:rPr>
      <w:t>1</w:t>
    </w:r>
    <w:r>
      <w:rPr>
        <w:rFonts w:ascii="FrankRuehl" w:hAnsi="FrankRuehl" w:cs="FrankRuehl"/>
        <w:rtl/>
      </w:rPr>
      <w:fldChar w:fldCharType="end"/>
    </w:r>
  </w:p>
  <w:p w14:paraId="46996BD1" w14:textId="77777777" w:rsidR="00CB4C99" w:rsidRPr="00A22B66" w:rsidRDefault="00A22B66" w:rsidP="00A22B6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695DF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E1481" w14:textId="77777777" w:rsidR="002B28F0" w:rsidRDefault="002B28F0" w:rsidP="003B4EBE">
      <w:r>
        <w:separator/>
      </w:r>
    </w:p>
  </w:footnote>
  <w:footnote w:type="continuationSeparator" w:id="0">
    <w:p w14:paraId="1837258C" w14:textId="77777777" w:rsidR="002B28F0" w:rsidRDefault="002B28F0" w:rsidP="003B4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130F2" w14:textId="77777777" w:rsidR="00A22B66" w:rsidRPr="00A22B66" w:rsidRDefault="00A22B66" w:rsidP="00A22B6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58626-07-22</w:t>
    </w:r>
    <w:r>
      <w:rPr>
        <w:rFonts w:ascii="David" w:hAnsi="David"/>
        <w:color w:val="000000"/>
        <w:sz w:val="22"/>
        <w:szCs w:val="22"/>
        <w:rtl/>
      </w:rPr>
      <w:tab/>
      <w:t xml:space="preserve"> מדינת ישראל נ' פאדי עאצי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60F9E" w14:textId="77777777" w:rsidR="00A22B66" w:rsidRPr="00A22B66" w:rsidRDefault="00A22B66" w:rsidP="00A22B6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58626-07-22</w:t>
    </w:r>
    <w:r>
      <w:rPr>
        <w:rFonts w:ascii="David" w:hAnsi="David"/>
        <w:color w:val="000000"/>
        <w:sz w:val="22"/>
        <w:szCs w:val="22"/>
        <w:rtl/>
      </w:rPr>
      <w:tab/>
      <w:t xml:space="preserve"> מדינת ישראל נ' פאדי עאצי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E7B68"/>
    <w:multiLevelType w:val="hybridMultilevel"/>
    <w:tmpl w:val="37BEEB62"/>
    <w:lvl w:ilvl="0" w:tplc="E5489E6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01202B"/>
    <w:multiLevelType w:val="hybridMultilevel"/>
    <w:tmpl w:val="6292F7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78448098">
    <w:abstractNumId w:val="1"/>
  </w:num>
  <w:num w:numId="2" w16cid:durableId="190560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0EF6"/>
    <w:rsid w:val="00176AD8"/>
    <w:rsid w:val="001B5A3B"/>
    <w:rsid w:val="001E645F"/>
    <w:rsid w:val="00212849"/>
    <w:rsid w:val="0021642A"/>
    <w:rsid w:val="002B28F0"/>
    <w:rsid w:val="00311829"/>
    <w:rsid w:val="003B4EBE"/>
    <w:rsid w:val="00577DD3"/>
    <w:rsid w:val="006774E1"/>
    <w:rsid w:val="00880EF6"/>
    <w:rsid w:val="00A22B66"/>
    <w:rsid w:val="00AD6CBB"/>
    <w:rsid w:val="00AF3B9E"/>
    <w:rsid w:val="00C21D03"/>
    <w:rsid w:val="00CB4C99"/>
    <w:rsid w:val="00E67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4BC0DA"/>
  <w15:chartTrackingRefBased/>
  <w15:docId w15:val="{DDED9804-A2CE-47FB-AF94-231D1CE5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0EF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0EF6"/>
    <w:pPr>
      <w:tabs>
        <w:tab w:val="center" w:pos="4153"/>
        <w:tab w:val="right" w:pos="8306"/>
      </w:tabs>
    </w:pPr>
  </w:style>
  <w:style w:type="character" w:customStyle="1" w:styleId="a4">
    <w:name w:val="כותרת עליונה תו"/>
    <w:link w:val="a3"/>
    <w:rsid w:val="00880EF6"/>
    <w:rPr>
      <w:rFonts w:ascii="Times New Roman" w:eastAsia="Times New Roman" w:hAnsi="Times New Roman" w:cs="David"/>
      <w:sz w:val="24"/>
      <w:szCs w:val="24"/>
    </w:rPr>
  </w:style>
  <w:style w:type="paragraph" w:styleId="a5">
    <w:name w:val="footer"/>
    <w:basedOn w:val="a"/>
    <w:link w:val="a6"/>
    <w:rsid w:val="00880EF6"/>
    <w:pPr>
      <w:tabs>
        <w:tab w:val="center" w:pos="4153"/>
        <w:tab w:val="right" w:pos="8306"/>
      </w:tabs>
    </w:pPr>
  </w:style>
  <w:style w:type="character" w:customStyle="1" w:styleId="a6">
    <w:name w:val="כותרת תחתונה תו"/>
    <w:link w:val="a5"/>
    <w:rsid w:val="00880EF6"/>
    <w:rPr>
      <w:rFonts w:ascii="Times New Roman" w:eastAsia="Times New Roman" w:hAnsi="Times New Roman" w:cs="David"/>
      <w:sz w:val="24"/>
      <w:szCs w:val="24"/>
    </w:rPr>
  </w:style>
  <w:style w:type="table" w:styleId="a7">
    <w:name w:val="Table Grid"/>
    <w:basedOn w:val="a1"/>
    <w:rsid w:val="00880EF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80EF6"/>
  </w:style>
  <w:style w:type="paragraph" w:styleId="a9">
    <w:name w:val="List Paragraph"/>
    <w:basedOn w:val="a"/>
    <w:qFormat/>
    <w:rsid w:val="00880EF6"/>
    <w:pPr>
      <w:spacing w:after="160" w:line="256" w:lineRule="auto"/>
      <w:ind w:left="720"/>
      <w:contextualSpacing/>
    </w:pPr>
    <w:rPr>
      <w:rFonts w:ascii="Calibri" w:eastAsia="Calibri" w:hAnsi="Calibri" w:cs="Arial"/>
      <w:sz w:val="22"/>
      <w:szCs w:val="22"/>
    </w:rPr>
  </w:style>
  <w:style w:type="character" w:styleId="Hyperlink">
    <w:name w:val="Hyperlink"/>
    <w:rsid w:val="00880EF6"/>
    <w:rPr>
      <w:color w:val="0000FF"/>
      <w:u w:val="single"/>
    </w:rPr>
  </w:style>
  <w:style w:type="paragraph" w:customStyle="1" w:styleId="David">
    <w:name w:val="סגנון (עברית ושפות אחרות) David מיושר לשני הצדדים מרווח בין שורות..."/>
    <w:basedOn w:val="a"/>
    <w:rsid w:val="00880EF6"/>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84" TargetMode="External"/><Relationship Id="rId21" Type="http://schemas.openxmlformats.org/officeDocument/2006/relationships/hyperlink" Target="http://www.nevo.co.il/law/90721/12.1" TargetMode="External"/><Relationship Id="rId42" Type="http://schemas.openxmlformats.org/officeDocument/2006/relationships/hyperlink" Target="http://www.nevo.co.il/law/70301/406.b" TargetMode="External"/><Relationship Id="rId47" Type="http://schemas.openxmlformats.org/officeDocument/2006/relationships/hyperlink" Target="http://www.nevo.co.il/law/70301/40jc.a" TargetMode="External"/><Relationship Id="rId63" Type="http://schemas.openxmlformats.org/officeDocument/2006/relationships/hyperlink" Target="http://www.nevo.co.il/case/20829308" TargetMode="External"/><Relationship Id="rId68"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384a.c" TargetMode="External"/><Relationship Id="rId29" Type="http://schemas.openxmlformats.org/officeDocument/2006/relationships/hyperlink" Target="http://www.nevo.co.il/law/70301/144.b" TargetMode="External"/><Relationship Id="rId11" Type="http://schemas.openxmlformats.org/officeDocument/2006/relationships/hyperlink" Target="http://www.nevo.co.il/law/70301/25" TargetMode="External"/><Relationship Id="rId24" Type="http://schemas.openxmlformats.org/officeDocument/2006/relationships/hyperlink" Target="http://www.nevo.co.il/law/70301/406.b" TargetMode="External"/><Relationship Id="rId32" Type="http://schemas.openxmlformats.org/officeDocument/2006/relationships/hyperlink" Target="http://www.nevo.co.il/law/90721" TargetMode="External"/><Relationship Id="rId37" Type="http://schemas.openxmlformats.org/officeDocument/2006/relationships/hyperlink" Target="http://www.nevo.co.il/law/70301/383" TargetMode="External"/><Relationship Id="rId40" Type="http://schemas.openxmlformats.org/officeDocument/2006/relationships/hyperlink" Target="http://www.nevo.co.il/law/90721/12.4" TargetMode="External"/><Relationship Id="rId45" Type="http://schemas.openxmlformats.org/officeDocument/2006/relationships/hyperlink" Target="http://www.nevo.co.il/law/70301/383"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5786637" TargetMode="External"/><Relationship Id="rId66" Type="http://schemas.openxmlformats.org/officeDocument/2006/relationships/hyperlink" Target="http://www.nevo.co.il/law/70301/40h"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case/6020990" TargetMode="External"/><Relationship Id="rId19" Type="http://schemas.openxmlformats.org/officeDocument/2006/relationships/hyperlink" Target="http://www.nevo.co.il/law/70301/40jc.a" TargetMode="External"/><Relationship Id="rId14" Type="http://schemas.openxmlformats.org/officeDocument/2006/relationships/hyperlink" Target="http://www.nevo.co.il/law/70301/383" TargetMode="External"/><Relationship Id="rId22" Type="http://schemas.openxmlformats.org/officeDocument/2006/relationships/hyperlink" Target="http://www.nevo.co.il/law/90721/12.4" TargetMode="External"/><Relationship Id="rId27" Type="http://schemas.openxmlformats.org/officeDocument/2006/relationships/hyperlink" Target="http://www.nevo.co.il/law/70301/383" TargetMode="External"/><Relationship Id="rId30" Type="http://schemas.openxmlformats.org/officeDocument/2006/relationships/hyperlink" Target="http://www.nevo.co.il/law/90721/12.1"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29360882" TargetMode="External"/><Relationship Id="rId69" Type="http://schemas.openxmlformats.org/officeDocument/2006/relationships/header" Target="header1.xml"/><Relationship Id="rId8" Type="http://schemas.openxmlformats.org/officeDocument/2006/relationships/hyperlink" Target="http://www.nevo.co.il/law/90721/12.1" TargetMode="External"/><Relationship Id="rId51" Type="http://schemas.openxmlformats.org/officeDocument/2006/relationships/hyperlink" Target="http://www.nevo.co.il/case/13093721"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h" TargetMode="External"/><Relationship Id="rId17" Type="http://schemas.openxmlformats.org/officeDocument/2006/relationships/hyperlink" Target="http://www.nevo.co.il/law/70301/406.b"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06.b" TargetMode="External"/><Relationship Id="rId38" Type="http://schemas.openxmlformats.org/officeDocument/2006/relationships/hyperlink" Target="http://www.nevo.co.il/law/70301/25" TargetMode="External"/><Relationship Id="rId46" Type="http://schemas.openxmlformats.org/officeDocument/2006/relationships/hyperlink" Target="http://www.nevo.co.il/law/70301/409" TargetMode="External"/><Relationship Id="rId59" Type="http://schemas.openxmlformats.org/officeDocument/2006/relationships/hyperlink" Target="http://www.nevo.co.il/case/28533212"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40jc.b" TargetMode="External"/><Relationship Id="rId41" Type="http://schemas.openxmlformats.org/officeDocument/2006/relationships/hyperlink" Target="http://www.nevo.co.il/law/90721" TargetMode="External"/><Relationship Id="rId54" Type="http://schemas.openxmlformats.org/officeDocument/2006/relationships/hyperlink" Target="http://www.nevo.co.il/law/70301/40jc.b" TargetMode="External"/><Relationship Id="rId62" Type="http://schemas.openxmlformats.org/officeDocument/2006/relationships/hyperlink" Target="https://www.nevo.co.il/psika_html/mechozi/ME-19-03-38340-225.htm" TargetMode="External"/><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4" TargetMode="External"/><Relationship Id="rId23" Type="http://schemas.openxmlformats.org/officeDocument/2006/relationships/hyperlink" Target="http://www.nevo.co.il/law/90721" TargetMode="External"/><Relationship Id="rId28" Type="http://schemas.openxmlformats.org/officeDocument/2006/relationships/hyperlink" Target="http://www.nevo.co.il/law/70301/384a.c" TargetMode="External"/><Relationship Id="rId36" Type="http://schemas.openxmlformats.org/officeDocument/2006/relationships/hyperlink" Target="http://www.nevo.co.il/law/70301/384" TargetMode="External"/><Relationship Id="rId49" Type="http://schemas.openxmlformats.org/officeDocument/2006/relationships/hyperlink" Target="http://www.nevo.co.il/case/7958246" TargetMode="External"/><Relationship Id="rId57" Type="http://schemas.openxmlformats.org/officeDocument/2006/relationships/hyperlink" Target="http://www.nevo.co.il/case/5701236" TargetMode="External"/><Relationship Id="rId10" Type="http://schemas.openxmlformats.org/officeDocument/2006/relationships/hyperlink" Target="http://www.nevo.co.il/law/70301" TargetMode="External"/><Relationship Id="rId31" Type="http://schemas.openxmlformats.org/officeDocument/2006/relationships/hyperlink" Target="http://www.nevo.co.il/law/90721/12.4" TargetMode="External"/><Relationship Id="rId44" Type="http://schemas.openxmlformats.org/officeDocument/2006/relationships/hyperlink" Target="http://www.nevo.co.il/law/70301/384" TargetMode="External"/><Relationship Id="rId52" Type="http://schemas.openxmlformats.org/officeDocument/2006/relationships/hyperlink" Target="http://www.nevo.co.il/case/27513365" TargetMode="External"/><Relationship Id="rId60" Type="http://schemas.openxmlformats.org/officeDocument/2006/relationships/hyperlink" Target="http://www.nevo.co.il/case/18769715" TargetMode="External"/><Relationship Id="rId65" Type="http://schemas.openxmlformats.org/officeDocument/2006/relationships/hyperlink" Target="http://www.nevo.co.il/case/27595460"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90721/12.4"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law/70301/409" TargetMode="External"/><Relationship Id="rId39" Type="http://schemas.openxmlformats.org/officeDocument/2006/relationships/hyperlink" Target="http://www.nevo.co.il/law/90721/12.1" TargetMode="External"/><Relationship Id="rId34" Type="http://schemas.openxmlformats.org/officeDocument/2006/relationships/hyperlink" Target="http://www.nevo.co.il/law/70301/25" TargetMode="External"/><Relationship Id="rId50" Type="http://schemas.openxmlformats.org/officeDocument/2006/relationships/hyperlink" Target="http://www.nevo.co.il/case/20033641" TargetMode="External"/><Relationship Id="rId55" Type="http://schemas.openxmlformats.org/officeDocument/2006/relationships/hyperlink" Target="http://www.nevo.co.il/law/70301" TargetMode="External"/><Relationship Id="rId7" Type="http://schemas.openxmlformats.org/officeDocument/2006/relationships/hyperlink" Target="http://www.nevo.co.il/law/90721" TargetMode="External"/><Relationship Id="rId7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3780</Words>
  <Characters>18902</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22637</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6619233</vt:i4>
      </vt:variant>
      <vt:variant>
        <vt:i4>177</vt:i4>
      </vt:variant>
      <vt:variant>
        <vt:i4>0</vt:i4>
      </vt:variant>
      <vt:variant>
        <vt:i4>5</vt:i4>
      </vt:variant>
      <vt:variant>
        <vt:lpwstr>http://www.nevo.co.il/law/70301/40h</vt:lpwstr>
      </vt:variant>
      <vt:variant>
        <vt:lpwstr/>
      </vt:variant>
      <vt:variant>
        <vt:i4>3407998</vt:i4>
      </vt:variant>
      <vt:variant>
        <vt:i4>174</vt:i4>
      </vt:variant>
      <vt:variant>
        <vt:i4>0</vt:i4>
      </vt:variant>
      <vt:variant>
        <vt:i4>5</vt:i4>
      </vt:variant>
      <vt:variant>
        <vt:lpwstr>http://www.nevo.co.il/case/27595460</vt:lpwstr>
      </vt:variant>
      <vt:variant>
        <vt:lpwstr/>
      </vt:variant>
      <vt:variant>
        <vt:i4>3735667</vt:i4>
      </vt:variant>
      <vt:variant>
        <vt:i4>171</vt:i4>
      </vt:variant>
      <vt:variant>
        <vt:i4>0</vt:i4>
      </vt:variant>
      <vt:variant>
        <vt:i4>5</vt:i4>
      </vt:variant>
      <vt:variant>
        <vt:lpwstr>http://www.nevo.co.il/case/29360882</vt:lpwstr>
      </vt:variant>
      <vt:variant>
        <vt:lpwstr/>
      </vt:variant>
      <vt:variant>
        <vt:i4>3342453</vt:i4>
      </vt:variant>
      <vt:variant>
        <vt:i4>168</vt:i4>
      </vt:variant>
      <vt:variant>
        <vt:i4>0</vt:i4>
      </vt:variant>
      <vt:variant>
        <vt:i4>5</vt:i4>
      </vt:variant>
      <vt:variant>
        <vt:lpwstr>http://www.nevo.co.il/case/20829308</vt:lpwstr>
      </vt:variant>
      <vt:variant>
        <vt:lpwstr/>
      </vt:variant>
      <vt:variant>
        <vt:i4>1114149</vt:i4>
      </vt:variant>
      <vt:variant>
        <vt:i4>165</vt:i4>
      </vt:variant>
      <vt:variant>
        <vt:i4>0</vt:i4>
      </vt:variant>
      <vt:variant>
        <vt:i4>5</vt:i4>
      </vt:variant>
      <vt:variant>
        <vt:lpwstr>https://www.nevo.co.il/psika_html/mechozi/ME-19-03-38340-225.htm</vt:lpwstr>
      </vt:variant>
      <vt:variant>
        <vt:lpwstr/>
      </vt:variant>
      <vt:variant>
        <vt:i4>3997821</vt:i4>
      </vt:variant>
      <vt:variant>
        <vt:i4>162</vt:i4>
      </vt:variant>
      <vt:variant>
        <vt:i4>0</vt:i4>
      </vt:variant>
      <vt:variant>
        <vt:i4>5</vt:i4>
      </vt:variant>
      <vt:variant>
        <vt:lpwstr>http://www.nevo.co.il/case/6020990</vt:lpwstr>
      </vt:variant>
      <vt:variant>
        <vt:lpwstr/>
      </vt:variant>
      <vt:variant>
        <vt:i4>4063357</vt:i4>
      </vt:variant>
      <vt:variant>
        <vt:i4>159</vt:i4>
      </vt:variant>
      <vt:variant>
        <vt:i4>0</vt:i4>
      </vt:variant>
      <vt:variant>
        <vt:i4>5</vt:i4>
      </vt:variant>
      <vt:variant>
        <vt:lpwstr>http://www.nevo.co.il/case/18769715</vt:lpwstr>
      </vt:variant>
      <vt:variant>
        <vt:lpwstr/>
      </vt:variant>
      <vt:variant>
        <vt:i4>3473533</vt:i4>
      </vt:variant>
      <vt:variant>
        <vt:i4>156</vt:i4>
      </vt:variant>
      <vt:variant>
        <vt:i4>0</vt:i4>
      </vt:variant>
      <vt:variant>
        <vt:i4>5</vt:i4>
      </vt:variant>
      <vt:variant>
        <vt:lpwstr>http://www.nevo.co.il/case/28533212</vt:lpwstr>
      </vt:variant>
      <vt:variant>
        <vt:lpwstr/>
      </vt:variant>
      <vt:variant>
        <vt:i4>3932278</vt:i4>
      </vt:variant>
      <vt:variant>
        <vt:i4>153</vt:i4>
      </vt:variant>
      <vt:variant>
        <vt:i4>0</vt:i4>
      </vt:variant>
      <vt:variant>
        <vt:i4>5</vt:i4>
      </vt:variant>
      <vt:variant>
        <vt:lpwstr>http://www.nevo.co.il/case/5786637</vt:lpwstr>
      </vt:variant>
      <vt:variant>
        <vt:lpwstr/>
      </vt:variant>
      <vt:variant>
        <vt:i4>3211377</vt:i4>
      </vt:variant>
      <vt:variant>
        <vt:i4>150</vt:i4>
      </vt:variant>
      <vt:variant>
        <vt:i4>0</vt:i4>
      </vt:variant>
      <vt:variant>
        <vt:i4>5</vt:i4>
      </vt:variant>
      <vt:variant>
        <vt:lpwstr>http://www.nevo.co.il/case/5701236</vt:lpwstr>
      </vt:variant>
      <vt:variant>
        <vt:lpwstr/>
      </vt:variant>
      <vt:variant>
        <vt:i4>7995492</vt:i4>
      </vt:variant>
      <vt:variant>
        <vt:i4>147</vt:i4>
      </vt:variant>
      <vt:variant>
        <vt:i4>0</vt:i4>
      </vt:variant>
      <vt:variant>
        <vt:i4>5</vt:i4>
      </vt:variant>
      <vt:variant>
        <vt:lpwstr>http://www.nevo.co.il/law/70301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6553637</vt:i4>
      </vt:variant>
      <vt:variant>
        <vt:i4>141</vt:i4>
      </vt:variant>
      <vt:variant>
        <vt:i4>0</vt:i4>
      </vt:variant>
      <vt:variant>
        <vt:i4>5</vt:i4>
      </vt:variant>
      <vt:variant>
        <vt:lpwstr>http://www.nevo.co.il/law/70301/40jc.b</vt:lpwstr>
      </vt:variant>
      <vt:variant>
        <vt:lpwstr/>
      </vt:variant>
      <vt:variant>
        <vt:i4>7995492</vt:i4>
      </vt:variant>
      <vt:variant>
        <vt:i4>138</vt:i4>
      </vt:variant>
      <vt:variant>
        <vt:i4>0</vt:i4>
      </vt:variant>
      <vt:variant>
        <vt:i4>5</vt:i4>
      </vt:variant>
      <vt:variant>
        <vt:lpwstr>http://www.nevo.co.il/law/70301</vt:lpwstr>
      </vt:variant>
      <vt:variant>
        <vt:lpwstr/>
      </vt:variant>
      <vt:variant>
        <vt:i4>3276913</vt:i4>
      </vt:variant>
      <vt:variant>
        <vt:i4>135</vt:i4>
      </vt:variant>
      <vt:variant>
        <vt:i4>0</vt:i4>
      </vt:variant>
      <vt:variant>
        <vt:i4>5</vt:i4>
      </vt:variant>
      <vt:variant>
        <vt:lpwstr>http://www.nevo.co.il/case/27513365</vt:lpwstr>
      </vt:variant>
      <vt:variant>
        <vt:lpwstr/>
      </vt:variant>
      <vt:variant>
        <vt:i4>3145849</vt:i4>
      </vt:variant>
      <vt:variant>
        <vt:i4>132</vt:i4>
      </vt:variant>
      <vt:variant>
        <vt:i4>0</vt:i4>
      </vt:variant>
      <vt:variant>
        <vt:i4>5</vt:i4>
      </vt:variant>
      <vt:variant>
        <vt:lpwstr>http://www.nevo.co.il/case/13093721</vt:lpwstr>
      </vt:variant>
      <vt:variant>
        <vt:lpwstr/>
      </vt:variant>
      <vt:variant>
        <vt:i4>3473521</vt:i4>
      </vt:variant>
      <vt:variant>
        <vt:i4>129</vt:i4>
      </vt:variant>
      <vt:variant>
        <vt:i4>0</vt:i4>
      </vt:variant>
      <vt:variant>
        <vt:i4>5</vt:i4>
      </vt:variant>
      <vt:variant>
        <vt:lpwstr>http://www.nevo.co.il/case/20033641</vt:lpwstr>
      </vt:variant>
      <vt:variant>
        <vt:lpwstr/>
      </vt:variant>
      <vt:variant>
        <vt:i4>3539057</vt:i4>
      </vt:variant>
      <vt:variant>
        <vt:i4>126</vt:i4>
      </vt:variant>
      <vt:variant>
        <vt:i4>0</vt:i4>
      </vt:variant>
      <vt:variant>
        <vt:i4>5</vt:i4>
      </vt:variant>
      <vt:variant>
        <vt:lpwstr>http://www.nevo.co.il/case/7958246</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6750245</vt:i4>
      </vt:variant>
      <vt:variant>
        <vt:i4>120</vt:i4>
      </vt:variant>
      <vt:variant>
        <vt:i4>0</vt:i4>
      </vt:variant>
      <vt:variant>
        <vt:i4>5</vt:i4>
      </vt:variant>
      <vt:variant>
        <vt:lpwstr>http://www.nevo.co.il/law/70301/40jc.a</vt:lpwstr>
      </vt:variant>
      <vt:variant>
        <vt:lpwstr/>
      </vt:variant>
      <vt:variant>
        <vt:i4>6619233</vt:i4>
      </vt:variant>
      <vt:variant>
        <vt:i4>117</vt:i4>
      </vt:variant>
      <vt:variant>
        <vt:i4>0</vt:i4>
      </vt:variant>
      <vt:variant>
        <vt:i4>5</vt:i4>
      </vt:variant>
      <vt:variant>
        <vt:lpwstr>http://www.nevo.co.il/law/70301/409</vt:lpwstr>
      </vt:variant>
      <vt:variant>
        <vt:lpwstr/>
      </vt:variant>
      <vt:variant>
        <vt:i4>7143526</vt:i4>
      </vt:variant>
      <vt:variant>
        <vt:i4>114</vt:i4>
      </vt:variant>
      <vt:variant>
        <vt:i4>0</vt:i4>
      </vt:variant>
      <vt:variant>
        <vt:i4>5</vt:i4>
      </vt:variant>
      <vt:variant>
        <vt:lpwstr>http://www.nevo.co.il/law/70301/383</vt:lpwstr>
      </vt:variant>
      <vt:variant>
        <vt:lpwstr/>
      </vt:variant>
      <vt:variant>
        <vt:i4>7143526</vt:i4>
      </vt:variant>
      <vt:variant>
        <vt:i4>111</vt:i4>
      </vt:variant>
      <vt:variant>
        <vt:i4>0</vt:i4>
      </vt:variant>
      <vt:variant>
        <vt:i4>5</vt:i4>
      </vt:variant>
      <vt:variant>
        <vt:lpwstr>http://www.nevo.co.il/law/70301/384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4915287</vt:i4>
      </vt:variant>
      <vt:variant>
        <vt:i4>105</vt:i4>
      </vt:variant>
      <vt:variant>
        <vt:i4>0</vt:i4>
      </vt:variant>
      <vt:variant>
        <vt:i4>5</vt:i4>
      </vt:variant>
      <vt:variant>
        <vt:lpwstr>http://www.nevo.co.il/law/70301/406.b</vt:lpwstr>
      </vt:variant>
      <vt:variant>
        <vt:lpwstr/>
      </vt:variant>
      <vt:variant>
        <vt:i4>7864430</vt:i4>
      </vt:variant>
      <vt:variant>
        <vt:i4>102</vt:i4>
      </vt:variant>
      <vt:variant>
        <vt:i4>0</vt:i4>
      </vt:variant>
      <vt:variant>
        <vt:i4>5</vt:i4>
      </vt:variant>
      <vt:variant>
        <vt:lpwstr>http://www.nevo.co.il/law/90721</vt:lpwstr>
      </vt:variant>
      <vt:variant>
        <vt:lpwstr/>
      </vt:variant>
      <vt:variant>
        <vt:i4>5308480</vt:i4>
      </vt:variant>
      <vt:variant>
        <vt:i4>99</vt:i4>
      </vt:variant>
      <vt:variant>
        <vt:i4>0</vt:i4>
      </vt:variant>
      <vt:variant>
        <vt:i4>5</vt:i4>
      </vt:variant>
      <vt:variant>
        <vt:lpwstr>http://www.nevo.co.il/law/90721/12.4</vt:lpwstr>
      </vt:variant>
      <vt:variant>
        <vt:lpwstr/>
      </vt:variant>
      <vt:variant>
        <vt:i4>5505088</vt:i4>
      </vt:variant>
      <vt:variant>
        <vt:i4>96</vt:i4>
      </vt:variant>
      <vt:variant>
        <vt:i4>0</vt:i4>
      </vt:variant>
      <vt:variant>
        <vt:i4>5</vt:i4>
      </vt:variant>
      <vt:variant>
        <vt:lpwstr>http://www.nevo.co.il/law/90721/12.1</vt:lpwstr>
      </vt:variant>
      <vt:variant>
        <vt:lpwstr/>
      </vt:variant>
      <vt:variant>
        <vt:i4>6291559</vt:i4>
      </vt:variant>
      <vt:variant>
        <vt:i4>93</vt:i4>
      </vt:variant>
      <vt:variant>
        <vt:i4>0</vt:i4>
      </vt:variant>
      <vt:variant>
        <vt:i4>5</vt:i4>
      </vt:variant>
      <vt:variant>
        <vt:lpwstr>http://www.nevo.co.il/law/70301/25</vt:lpwstr>
      </vt:variant>
      <vt:variant>
        <vt:lpwstr/>
      </vt:variant>
      <vt:variant>
        <vt:i4>7143526</vt:i4>
      </vt:variant>
      <vt:variant>
        <vt:i4>90</vt:i4>
      </vt:variant>
      <vt:variant>
        <vt:i4>0</vt:i4>
      </vt:variant>
      <vt:variant>
        <vt:i4>5</vt:i4>
      </vt:variant>
      <vt:variant>
        <vt:lpwstr>http://www.nevo.co.il/law/70301/383</vt:lpwstr>
      </vt:variant>
      <vt:variant>
        <vt:lpwstr/>
      </vt:variant>
      <vt:variant>
        <vt:i4>7143526</vt:i4>
      </vt:variant>
      <vt:variant>
        <vt:i4>87</vt:i4>
      </vt:variant>
      <vt:variant>
        <vt:i4>0</vt:i4>
      </vt:variant>
      <vt:variant>
        <vt:i4>5</vt:i4>
      </vt:variant>
      <vt:variant>
        <vt:lpwstr>http://www.nevo.co.il/law/70301/384</vt:lpwstr>
      </vt:variant>
      <vt:variant>
        <vt:lpwstr/>
      </vt:variant>
      <vt:variant>
        <vt:i4>7995492</vt:i4>
      </vt:variant>
      <vt:variant>
        <vt:i4>84</vt:i4>
      </vt:variant>
      <vt:variant>
        <vt:i4>0</vt:i4>
      </vt:variant>
      <vt:variant>
        <vt:i4>5</vt:i4>
      </vt:variant>
      <vt:variant>
        <vt:lpwstr>http://www.nevo.co.il/law/70301</vt:lpwstr>
      </vt:variant>
      <vt:variant>
        <vt:lpwstr/>
      </vt:variant>
      <vt:variant>
        <vt:i4>6291559</vt:i4>
      </vt:variant>
      <vt:variant>
        <vt:i4>81</vt:i4>
      </vt:variant>
      <vt:variant>
        <vt:i4>0</vt:i4>
      </vt:variant>
      <vt:variant>
        <vt:i4>5</vt:i4>
      </vt:variant>
      <vt:variant>
        <vt:lpwstr>http://www.nevo.co.il/law/70301/25</vt:lpwstr>
      </vt:variant>
      <vt:variant>
        <vt:lpwstr/>
      </vt:variant>
      <vt:variant>
        <vt:i4>4915287</vt:i4>
      </vt:variant>
      <vt:variant>
        <vt:i4>78</vt:i4>
      </vt:variant>
      <vt:variant>
        <vt:i4>0</vt:i4>
      </vt:variant>
      <vt:variant>
        <vt:i4>5</vt:i4>
      </vt:variant>
      <vt:variant>
        <vt:lpwstr>http://www.nevo.co.il/law/70301/406.b</vt:lpwstr>
      </vt:variant>
      <vt:variant>
        <vt:lpwstr/>
      </vt:variant>
      <vt:variant>
        <vt:i4>7864430</vt:i4>
      </vt:variant>
      <vt:variant>
        <vt:i4>75</vt:i4>
      </vt:variant>
      <vt:variant>
        <vt:i4>0</vt:i4>
      </vt:variant>
      <vt:variant>
        <vt:i4>5</vt:i4>
      </vt:variant>
      <vt:variant>
        <vt:lpwstr>http://www.nevo.co.il/law/90721</vt:lpwstr>
      </vt:variant>
      <vt:variant>
        <vt:lpwstr/>
      </vt:variant>
      <vt:variant>
        <vt:i4>5308480</vt:i4>
      </vt:variant>
      <vt:variant>
        <vt:i4>72</vt:i4>
      </vt:variant>
      <vt:variant>
        <vt:i4>0</vt:i4>
      </vt:variant>
      <vt:variant>
        <vt:i4>5</vt:i4>
      </vt:variant>
      <vt:variant>
        <vt:lpwstr>http://www.nevo.co.il/law/90721/12.4</vt:lpwstr>
      </vt:variant>
      <vt:variant>
        <vt:lpwstr/>
      </vt:variant>
      <vt:variant>
        <vt:i4>5505088</vt:i4>
      </vt:variant>
      <vt:variant>
        <vt:i4>69</vt:i4>
      </vt:variant>
      <vt:variant>
        <vt:i4>0</vt:i4>
      </vt:variant>
      <vt:variant>
        <vt:i4>5</vt:i4>
      </vt:variant>
      <vt:variant>
        <vt:lpwstr>http://www.nevo.co.il/law/90721/12.1</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7274620</vt:i4>
      </vt:variant>
      <vt:variant>
        <vt:i4>63</vt:i4>
      </vt:variant>
      <vt:variant>
        <vt:i4>0</vt:i4>
      </vt:variant>
      <vt:variant>
        <vt:i4>5</vt:i4>
      </vt:variant>
      <vt:variant>
        <vt:lpwstr>http://www.nevo.co.il/law/70301/384a.c</vt:lpwstr>
      </vt:variant>
      <vt:variant>
        <vt:lpwstr/>
      </vt:variant>
      <vt:variant>
        <vt:i4>7143526</vt:i4>
      </vt:variant>
      <vt:variant>
        <vt:i4>60</vt:i4>
      </vt:variant>
      <vt:variant>
        <vt:i4>0</vt:i4>
      </vt:variant>
      <vt:variant>
        <vt:i4>5</vt:i4>
      </vt:variant>
      <vt:variant>
        <vt:lpwstr>http://www.nevo.co.il/law/70301/383</vt:lpwstr>
      </vt:variant>
      <vt:variant>
        <vt:lpwstr/>
      </vt:variant>
      <vt:variant>
        <vt:i4>7143526</vt:i4>
      </vt:variant>
      <vt:variant>
        <vt:i4>57</vt:i4>
      </vt:variant>
      <vt:variant>
        <vt:i4>0</vt:i4>
      </vt:variant>
      <vt:variant>
        <vt:i4>5</vt:i4>
      </vt:variant>
      <vt:variant>
        <vt:lpwstr>http://www.nevo.co.il/law/70301/384</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4915287</vt:i4>
      </vt:variant>
      <vt:variant>
        <vt:i4>51</vt:i4>
      </vt:variant>
      <vt:variant>
        <vt:i4>0</vt:i4>
      </vt:variant>
      <vt:variant>
        <vt:i4>5</vt:i4>
      </vt:variant>
      <vt:variant>
        <vt:lpwstr>http://www.nevo.co.il/law/70301/406.b</vt:lpwstr>
      </vt:variant>
      <vt:variant>
        <vt:lpwstr/>
      </vt:variant>
      <vt:variant>
        <vt:i4>7864430</vt:i4>
      </vt:variant>
      <vt:variant>
        <vt:i4>48</vt:i4>
      </vt:variant>
      <vt:variant>
        <vt:i4>0</vt:i4>
      </vt:variant>
      <vt:variant>
        <vt:i4>5</vt:i4>
      </vt:variant>
      <vt:variant>
        <vt:lpwstr>http://www.nevo.co.il/law/90721</vt:lpwstr>
      </vt:variant>
      <vt:variant>
        <vt:lpwstr/>
      </vt:variant>
      <vt:variant>
        <vt:i4>5308480</vt:i4>
      </vt:variant>
      <vt:variant>
        <vt:i4>45</vt:i4>
      </vt:variant>
      <vt:variant>
        <vt:i4>0</vt:i4>
      </vt:variant>
      <vt:variant>
        <vt:i4>5</vt:i4>
      </vt:variant>
      <vt:variant>
        <vt:lpwstr>http://www.nevo.co.il/law/90721/12.4</vt:lpwstr>
      </vt:variant>
      <vt:variant>
        <vt:lpwstr/>
      </vt:variant>
      <vt:variant>
        <vt:i4>5505088</vt:i4>
      </vt:variant>
      <vt:variant>
        <vt:i4>42</vt:i4>
      </vt:variant>
      <vt:variant>
        <vt:i4>0</vt:i4>
      </vt:variant>
      <vt:variant>
        <vt:i4>5</vt:i4>
      </vt:variant>
      <vt:variant>
        <vt:lpwstr>http://www.nevo.co.il/law/90721/12.1</vt:lpwstr>
      </vt:variant>
      <vt:variant>
        <vt:lpwstr/>
      </vt:variant>
      <vt:variant>
        <vt:i4>6553637</vt:i4>
      </vt:variant>
      <vt:variant>
        <vt:i4>39</vt:i4>
      </vt:variant>
      <vt:variant>
        <vt:i4>0</vt:i4>
      </vt:variant>
      <vt:variant>
        <vt:i4>5</vt:i4>
      </vt:variant>
      <vt:variant>
        <vt:lpwstr>http://www.nevo.co.il/law/70301/40jc.b</vt:lpwstr>
      </vt:variant>
      <vt:variant>
        <vt:lpwstr/>
      </vt:variant>
      <vt:variant>
        <vt:i4>6750245</vt:i4>
      </vt:variant>
      <vt:variant>
        <vt:i4>36</vt:i4>
      </vt:variant>
      <vt:variant>
        <vt:i4>0</vt:i4>
      </vt:variant>
      <vt:variant>
        <vt:i4>5</vt:i4>
      </vt:variant>
      <vt:variant>
        <vt:lpwstr>http://www.nevo.co.il/law/70301/40jc.a</vt:lpwstr>
      </vt:variant>
      <vt:variant>
        <vt:lpwstr/>
      </vt:variant>
      <vt:variant>
        <vt:i4>6619233</vt:i4>
      </vt:variant>
      <vt:variant>
        <vt:i4>33</vt:i4>
      </vt:variant>
      <vt:variant>
        <vt:i4>0</vt:i4>
      </vt:variant>
      <vt:variant>
        <vt:i4>5</vt:i4>
      </vt:variant>
      <vt:variant>
        <vt:lpwstr>http://www.nevo.co.il/law/70301/409</vt:lpwstr>
      </vt:variant>
      <vt:variant>
        <vt:lpwstr/>
      </vt:variant>
      <vt:variant>
        <vt:i4>4915287</vt:i4>
      </vt:variant>
      <vt:variant>
        <vt:i4>30</vt:i4>
      </vt:variant>
      <vt:variant>
        <vt:i4>0</vt:i4>
      </vt:variant>
      <vt:variant>
        <vt:i4>5</vt:i4>
      </vt:variant>
      <vt:variant>
        <vt:lpwstr>http://www.nevo.co.il/law/70301/406.b</vt:lpwstr>
      </vt:variant>
      <vt:variant>
        <vt:lpwstr/>
      </vt:variant>
      <vt:variant>
        <vt:i4>7274620</vt:i4>
      </vt:variant>
      <vt:variant>
        <vt:i4>27</vt:i4>
      </vt:variant>
      <vt:variant>
        <vt:i4>0</vt:i4>
      </vt:variant>
      <vt:variant>
        <vt:i4>5</vt:i4>
      </vt:variant>
      <vt:variant>
        <vt:lpwstr>http://www.nevo.co.il/law/70301/384a.c</vt:lpwstr>
      </vt:variant>
      <vt:variant>
        <vt:lpwstr/>
      </vt:variant>
      <vt:variant>
        <vt:i4>7143526</vt:i4>
      </vt:variant>
      <vt:variant>
        <vt:i4>24</vt:i4>
      </vt:variant>
      <vt:variant>
        <vt:i4>0</vt:i4>
      </vt:variant>
      <vt:variant>
        <vt:i4>5</vt:i4>
      </vt:variant>
      <vt:variant>
        <vt:lpwstr>http://www.nevo.co.il/law/70301/384</vt:lpwstr>
      </vt:variant>
      <vt:variant>
        <vt:lpwstr/>
      </vt:variant>
      <vt:variant>
        <vt:i4>7143526</vt:i4>
      </vt:variant>
      <vt:variant>
        <vt:i4>21</vt:i4>
      </vt:variant>
      <vt:variant>
        <vt:i4>0</vt:i4>
      </vt:variant>
      <vt:variant>
        <vt:i4>5</vt:i4>
      </vt:variant>
      <vt:variant>
        <vt:lpwstr>http://www.nevo.co.il/law/70301/383</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6619233</vt:i4>
      </vt:variant>
      <vt:variant>
        <vt:i4>15</vt:i4>
      </vt:variant>
      <vt:variant>
        <vt:i4>0</vt:i4>
      </vt:variant>
      <vt:variant>
        <vt:i4>5</vt:i4>
      </vt:variant>
      <vt:variant>
        <vt:lpwstr>http://www.nevo.co.il/law/70301/40h</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5308480</vt:i4>
      </vt:variant>
      <vt:variant>
        <vt:i4>6</vt:i4>
      </vt:variant>
      <vt:variant>
        <vt:i4>0</vt:i4>
      </vt:variant>
      <vt:variant>
        <vt:i4>5</vt:i4>
      </vt:variant>
      <vt:variant>
        <vt:lpwstr>http://www.nevo.co.il/law/90721/12.4</vt:lpwstr>
      </vt:variant>
      <vt:variant>
        <vt:lpwstr/>
      </vt:variant>
      <vt:variant>
        <vt:i4>5505088</vt:i4>
      </vt:variant>
      <vt:variant>
        <vt:i4>3</vt:i4>
      </vt:variant>
      <vt:variant>
        <vt:i4>0</vt:i4>
      </vt:variant>
      <vt:variant>
        <vt:i4>5</vt:i4>
      </vt:variant>
      <vt:variant>
        <vt:lpwstr>http://www.nevo.co.il/law/90721/12.1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2025-04-25T10:55:00Z</dcterms:created>
  <dcterms:modified xsi:type="dcterms:W3CDTF">2025-04-25T10:55:00Z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58626</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פאדי עאצי;פואד עבד אל גאני;מג'ד מוגרבי</vt:lpwstr>
  </property>
  <property fmtid="{D5CDD505-2E9C-101B-9397-08002B2CF9AE}" pid="10" name="LAWYER">
    <vt:lpwstr>ח' הדיה;ב' בן אדרת</vt:lpwstr>
  </property>
  <property fmtid="{D5CDD505-2E9C-101B-9397-08002B2CF9AE}" pid="11" name="JUDGE">
    <vt:lpwstr>אוהד גורדון</vt:lpwstr>
  </property>
  <property fmtid="{D5CDD505-2E9C-101B-9397-08002B2CF9AE}" pid="12" name="CITY">
    <vt:lpwstr>י-ם</vt:lpwstr>
  </property>
  <property fmtid="{D5CDD505-2E9C-101B-9397-08002B2CF9AE}" pid="13" name="DATE">
    <vt:lpwstr>20221207</vt:lpwstr>
  </property>
  <property fmtid="{D5CDD505-2E9C-101B-9397-08002B2CF9AE}" pid="14" name="TYPE_N_DATE">
    <vt:lpwstr>39020221207</vt:lpwstr>
  </property>
  <property fmtid="{D5CDD505-2E9C-101B-9397-08002B2CF9AE}" pid="15" name="WORDNUMPAGES">
    <vt:lpwstr>11</vt:lpwstr>
  </property>
  <property fmtid="{D5CDD505-2E9C-101B-9397-08002B2CF9AE}" pid="16" name="TYPE_ABS_DATE">
    <vt:lpwstr>390020221207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7958246;20033641;13093721;27513365;5701236;5786637;28533212;18769715;6020990;20829308;29360882;27595460</vt:lpwstr>
  </property>
  <property fmtid="{D5CDD505-2E9C-101B-9397-08002B2CF9AE}" pid="36" name="LAWLISTTMP1">
    <vt:lpwstr>90721/012.1:3;012.4:3</vt:lpwstr>
  </property>
  <property fmtid="{D5CDD505-2E9C-101B-9397-08002B2CF9AE}" pid="37" name="LAWLISTTMP2">
    <vt:lpwstr>70301/406.b:3;384:3;383:3;384a.c;144.b;025:2;409;40jc.a;40jc.b;040h</vt:lpwstr>
  </property>
</Properties>
</file>