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864AB" w:rsidRPr="00C767D4" w14:paraId="75D55684" w14:textId="77777777" w:rsidTr="00211BCE">
        <w:trPr>
          <w:trHeight w:hRule="exact" w:val="418"/>
          <w:jc w:val="center"/>
        </w:trPr>
        <w:tc>
          <w:tcPr>
            <w:tcW w:w="8721" w:type="dxa"/>
            <w:gridSpan w:val="2"/>
          </w:tcPr>
          <w:p w14:paraId="53E43BC2" w14:textId="77777777" w:rsidR="000864AB" w:rsidRPr="00C767D4" w:rsidRDefault="000864AB" w:rsidP="000D0A0C">
            <w:pPr>
              <w:pStyle w:val="a3"/>
              <w:jc w:val="center"/>
              <w:rPr>
                <w:rFonts w:ascii="Tahoma" w:hAnsi="Tahoma" w:cs="Tahoma"/>
                <w:color w:val="000080"/>
                <w:rtl/>
              </w:rPr>
            </w:pPr>
            <w:bookmarkStart w:id="0" w:name="LastJudge"/>
            <w:r w:rsidRPr="00C767D4">
              <w:rPr>
                <w:rFonts w:ascii="Tahoma" w:hAnsi="Tahoma" w:cs="Tahoma"/>
                <w:b/>
                <w:bCs/>
                <w:color w:val="000080"/>
                <w:rtl/>
              </w:rPr>
              <w:t>בית המשפט המחוזי בנצרת</w:t>
            </w:r>
          </w:p>
        </w:tc>
      </w:tr>
      <w:tr w:rsidR="000864AB" w:rsidRPr="00C767D4" w14:paraId="0A386EFF" w14:textId="77777777" w:rsidTr="00211BCE">
        <w:trPr>
          <w:trHeight w:val="337"/>
          <w:jc w:val="center"/>
        </w:trPr>
        <w:tc>
          <w:tcPr>
            <w:tcW w:w="5056" w:type="dxa"/>
          </w:tcPr>
          <w:p w14:paraId="14650C61" w14:textId="77777777" w:rsidR="000864AB" w:rsidRPr="00C767D4" w:rsidRDefault="000864AB" w:rsidP="000D0A0C">
            <w:pPr>
              <w:rPr>
                <w:rFonts w:cs="FrankRuehl"/>
                <w:sz w:val="28"/>
                <w:szCs w:val="28"/>
                <w:rtl/>
              </w:rPr>
            </w:pPr>
            <w:r w:rsidRPr="00C767D4">
              <w:rPr>
                <w:rFonts w:cs="FrankRuehl"/>
                <w:sz w:val="28"/>
                <w:szCs w:val="28"/>
                <w:rtl/>
              </w:rPr>
              <w:t>ת"פ</w:t>
            </w:r>
            <w:r w:rsidRPr="00C767D4">
              <w:rPr>
                <w:rFonts w:cs="FrankRuehl" w:hint="cs"/>
                <w:sz w:val="28"/>
                <w:szCs w:val="28"/>
                <w:rtl/>
              </w:rPr>
              <w:t xml:space="preserve"> </w:t>
            </w:r>
            <w:r w:rsidRPr="00C767D4">
              <w:rPr>
                <w:rFonts w:cs="FrankRuehl"/>
                <w:sz w:val="28"/>
                <w:szCs w:val="28"/>
                <w:rtl/>
              </w:rPr>
              <w:t>24257-09-22</w:t>
            </w:r>
            <w:r w:rsidRPr="00C767D4">
              <w:rPr>
                <w:rFonts w:cs="FrankRuehl" w:hint="cs"/>
                <w:sz w:val="28"/>
                <w:szCs w:val="28"/>
                <w:rtl/>
              </w:rPr>
              <w:t xml:space="preserve"> </w:t>
            </w:r>
            <w:r w:rsidRPr="00C767D4">
              <w:rPr>
                <w:rFonts w:cs="FrankRuehl"/>
                <w:sz w:val="28"/>
                <w:szCs w:val="28"/>
                <w:rtl/>
              </w:rPr>
              <w:t>מדינת ישראל נ' ג'מאמעה(עציר)</w:t>
            </w:r>
          </w:p>
          <w:p w14:paraId="0398939F" w14:textId="77777777" w:rsidR="000864AB" w:rsidRPr="00C767D4" w:rsidRDefault="000864AB" w:rsidP="000D0A0C">
            <w:pPr>
              <w:pStyle w:val="a3"/>
              <w:rPr>
                <w:rFonts w:cs="FrankRuehl"/>
                <w:sz w:val="28"/>
                <w:szCs w:val="28"/>
                <w:rtl/>
              </w:rPr>
            </w:pPr>
          </w:p>
        </w:tc>
        <w:tc>
          <w:tcPr>
            <w:tcW w:w="3665" w:type="dxa"/>
          </w:tcPr>
          <w:p w14:paraId="0F63FEF3" w14:textId="77777777" w:rsidR="000864AB" w:rsidRPr="00C767D4" w:rsidRDefault="000864AB" w:rsidP="000D0A0C">
            <w:pPr>
              <w:pStyle w:val="a3"/>
              <w:jc w:val="right"/>
              <w:rPr>
                <w:rFonts w:cs="FrankRuehl"/>
                <w:sz w:val="28"/>
                <w:szCs w:val="28"/>
                <w:rtl/>
              </w:rPr>
            </w:pPr>
            <w:r w:rsidRPr="00C767D4">
              <w:rPr>
                <w:rFonts w:cs="FrankRuehl"/>
                <w:sz w:val="28"/>
                <w:szCs w:val="28"/>
                <w:rtl/>
              </w:rPr>
              <w:t>22 יוני 2023</w:t>
            </w:r>
          </w:p>
        </w:tc>
      </w:tr>
    </w:tbl>
    <w:p w14:paraId="3206E163" w14:textId="77777777" w:rsidR="000864AB" w:rsidRPr="00C767D4" w:rsidRDefault="000864AB" w:rsidP="000864AB">
      <w:pPr>
        <w:pStyle w:val="a3"/>
        <w:rPr>
          <w:rtl/>
        </w:rPr>
      </w:pPr>
      <w:r w:rsidRPr="00C767D4">
        <w:rPr>
          <w:rFonts w:hint="cs"/>
          <w:rtl/>
        </w:rPr>
        <w:t xml:space="preserve"> </w:t>
      </w:r>
    </w:p>
    <w:p w14:paraId="4D016802" w14:textId="77777777" w:rsidR="000864AB" w:rsidRPr="00C767D4" w:rsidRDefault="000864AB" w:rsidP="000864AB">
      <w:pPr>
        <w:pStyle w:val="a3"/>
      </w:pPr>
      <w:r w:rsidRPr="00C767D4">
        <w:rPr>
          <w:rFonts w:cs="Times New Roman" w:hint="cs"/>
          <w:b/>
          <w:bCs/>
          <w:sz w:val="26"/>
          <w:szCs w:val="28"/>
          <w:rtl/>
        </w:rPr>
        <w:t xml:space="preserve"> </w:t>
      </w:r>
    </w:p>
    <w:p w14:paraId="49FFF4C9" w14:textId="77777777" w:rsidR="000864AB" w:rsidRPr="00C767D4" w:rsidRDefault="000864AB" w:rsidP="000864AB">
      <w:pPr>
        <w:spacing w:line="360" w:lineRule="auto"/>
        <w:jc w:val="both"/>
        <w:rPr>
          <w:rFonts w:ascii="David" w:hAnsi="David"/>
          <w:rtl/>
        </w:rPr>
      </w:pPr>
    </w:p>
    <w:p w14:paraId="7B5E979C" w14:textId="77777777" w:rsidR="000864AB" w:rsidRPr="00C767D4" w:rsidRDefault="000864AB" w:rsidP="000864AB">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0864AB" w:rsidRPr="00C767D4" w14:paraId="39CF2D43" w14:textId="77777777" w:rsidTr="000864AB">
        <w:trPr>
          <w:gridAfter w:val="1"/>
          <w:wAfter w:w="56" w:type="dxa"/>
        </w:trPr>
        <w:tc>
          <w:tcPr>
            <w:tcW w:w="8718" w:type="dxa"/>
            <w:gridSpan w:val="2"/>
            <w:shd w:val="clear" w:color="auto" w:fill="auto"/>
          </w:tcPr>
          <w:p w14:paraId="76EB3EA5" w14:textId="77777777" w:rsidR="000864AB" w:rsidRPr="00C767D4" w:rsidRDefault="000864AB" w:rsidP="000D0A0C">
            <w:pPr>
              <w:rPr>
                <w:rtl/>
              </w:rPr>
            </w:pPr>
            <w:r w:rsidRPr="00C767D4">
              <w:rPr>
                <w:rFonts w:hint="cs"/>
                <w:b/>
                <w:bCs/>
                <w:sz w:val="26"/>
                <w:szCs w:val="26"/>
                <w:rtl/>
              </w:rPr>
              <w:t>בפני כב' השופט חנא סבאג</w:t>
            </w:r>
          </w:p>
        </w:tc>
      </w:tr>
      <w:tr w:rsidR="000864AB" w:rsidRPr="00C767D4" w14:paraId="246077D8" w14:textId="77777777" w:rsidTr="000864AB">
        <w:trPr>
          <w:cantSplit/>
          <w:trHeight w:val="724"/>
        </w:trPr>
        <w:tc>
          <w:tcPr>
            <w:tcW w:w="2880" w:type="dxa"/>
            <w:shd w:val="clear" w:color="auto" w:fill="auto"/>
          </w:tcPr>
          <w:p w14:paraId="5C083DC7" w14:textId="77777777" w:rsidR="000864AB" w:rsidRPr="00C767D4" w:rsidRDefault="000864AB" w:rsidP="000864AB">
            <w:pPr>
              <w:ind w:left="26"/>
              <w:rPr>
                <w:b/>
                <w:bCs/>
                <w:sz w:val="26"/>
                <w:szCs w:val="26"/>
                <w:rtl/>
              </w:rPr>
            </w:pPr>
            <w:bookmarkStart w:id="1" w:name="FirstAppellant"/>
          </w:p>
          <w:p w14:paraId="4336DE59" w14:textId="77777777" w:rsidR="000864AB" w:rsidRPr="00C767D4" w:rsidRDefault="000864AB" w:rsidP="000864AB">
            <w:pPr>
              <w:ind w:left="26"/>
              <w:rPr>
                <w:b/>
                <w:bCs/>
                <w:sz w:val="26"/>
                <w:szCs w:val="26"/>
                <w:rtl/>
              </w:rPr>
            </w:pPr>
            <w:r w:rsidRPr="00C767D4">
              <w:rPr>
                <w:rFonts w:hint="cs"/>
                <w:b/>
                <w:bCs/>
                <w:sz w:val="26"/>
                <w:szCs w:val="26"/>
                <w:rtl/>
              </w:rPr>
              <w:t>ה</w:t>
            </w:r>
            <w:r w:rsidRPr="00C767D4">
              <w:rPr>
                <w:b/>
                <w:bCs/>
                <w:sz w:val="26"/>
                <w:szCs w:val="26"/>
                <w:rtl/>
              </w:rPr>
              <w:t>מאשימה</w:t>
            </w:r>
          </w:p>
        </w:tc>
        <w:tc>
          <w:tcPr>
            <w:tcW w:w="5922" w:type="dxa"/>
            <w:gridSpan w:val="2"/>
            <w:shd w:val="clear" w:color="auto" w:fill="auto"/>
          </w:tcPr>
          <w:p w14:paraId="2AFCDB1E" w14:textId="77777777" w:rsidR="000864AB" w:rsidRPr="00C767D4" w:rsidRDefault="000864AB" w:rsidP="000D0A0C">
            <w:pPr>
              <w:rPr>
                <w:rtl/>
              </w:rPr>
            </w:pPr>
          </w:p>
          <w:p w14:paraId="416EDF1F" w14:textId="77777777" w:rsidR="000864AB" w:rsidRPr="00C767D4" w:rsidRDefault="000864AB" w:rsidP="000D0A0C">
            <w:pPr>
              <w:rPr>
                <w:b/>
                <w:bCs/>
                <w:sz w:val="26"/>
                <w:szCs w:val="26"/>
                <w:rtl/>
              </w:rPr>
            </w:pPr>
            <w:r w:rsidRPr="00C767D4">
              <w:rPr>
                <w:rtl/>
              </w:rPr>
              <w:t xml:space="preserve"> </w:t>
            </w:r>
            <w:r w:rsidRPr="00C767D4">
              <w:rPr>
                <w:b/>
                <w:bCs/>
                <w:sz w:val="26"/>
                <w:szCs w:val="26"/>
                <w:rtl/>
              </w:rPr>
              <w:t>מדינת ישראל</w:t>
            </w:r>
          </w:p>
          <w:p w14:paraId="55727E34" w14:textId="77777777" w:rsidR="000864AB" w:rsidRPr="00C767D4" w:rsidRDefault="000864AB" w:rsidP="000D0A0C">
            <w:pPr>
              <w:rPr>
                <w:b/>
                <w:bCs/>
                <w:sz w:val="26"/>
                <w:szCs w:val="26"/>
                <w:rtl/>
              </w:rPr>
            </w:pPr>
          </w:p>
        </w:tc>
      </w:tr>
      <w:bookmarkEnd w:id="1"/>
      <w:tr w:rsidR="000864AB" w:rsidRPr="00C767D4" w14:paraId="62CFE7F0" w14:textId="77777777" w:rsidTr="000864AB">
        <w:tc>
          <w:tcPr>
            <w:tcW w:w="8802" w:type="dxa"/>
            <w:gridSpan w:val="3"/>
            <w:shd w:val="clear" w:color="auto" w:fill="auto"/>
            <w:vAlign w:val="center"/>
          </w:tcPr>
          <w:p w14:paraId="23E262FA" w14:textId="77777777" w:rsidR="000864AB" w:rsidRPr="00C767D4" w:rsidRDefault="000864AB" w:rsidP="000864AB">
            <w:pPr>
              <w:jc w:val="center"/>
              <w:rPr>
                <w:rFonts w:ascii="Arial" w:hAnsi="Arial"/>
                <w:b/>
                <w:bCs/>
                <w:sz w:val="26"/>
                <w:szCs w:val="26"/>
                <w:rtl/>
              </w:rPr>
            </w:pPr>
          </w:p>
          <w:p w14:paraId="3EFBCB91" w14:textId="77777777" w:rsidR="000864AB" w:rsidRPr="00C767D4" w:rsidRDefault="000864AB" w:rsidP="000864AB">
            <w:pPr>
              <w:jc w:val="center"/>
              <w:rPr>
                <w:rFonts w:ascii="Arial" w:hAnsi="Arial"/>
                <w:b/>
                <w:bCs/>
                <w:sz w:val="26"/>
                <w:szCs w:val="26"/>
                <w:rtl/>
              </w:rPr>
            </w:pPr>
            <w:r w:rsidRPr="00C767D4">
              <w:rPr>
                <w:rFonts w:ascii="Arial" w:hAnsi="Arial" w:hint="cs"/>
                <w:b/>
                <w:bCs/>
                <w:sz w:val="26"/>
                <w:szCs w:val="26"/>
                <w:rtl/>
              </w:rPr>
              <w:t>נגד</w:t>
            </w:r>
          </w:p>
          <w:p w14:paraId="5CBD3CBC" w14:textId="77777777" w:rsidR="000864AB" w:rsidRPr="00C767D4" w:rsidRDefault="000864AB" w:rsidP="000D0A0C">
            <w:pPr>
              <w:rPr>
                <w:rFonts w:ascii="Arial" w:hAnsi="Arial"/>
                <w:b/>
                <w:bCs/>
                <w:sz w:val="26"/>
                <w:szCs w:val="26"/>
                <w:rtl/>
              </w:rPr>
            </w:pPr>
          </w:p>
        </w:tc>
      </w:tr>
      <w:tr w:rsidR="000864AB" w:rsidRPr="00C767D4" w14:paraId="36FFD94A" w14:textId="77777777" w:rsidTr="000864AB">
        <w:tc>
          <w:tcPr>
            <w:tcW w:w="2880" w:type="dxa"/>
            <w:shd w:val="clear" w:color="auto" w:fill="auto"/>
          </w:tcPr>
          <w:p w14:paraId="5D01D4C0" w14:textId="77777777" w:rsidR="000864AB" w:rsidRPr="00C767D4" w:rsidRDefault="000864AB" w:rsidP="000864AB">
            <w:pPr>
              <w:ind w:left="26"/>
              <w:rPr>
                <w:b/>
                <w:bCs/>
                <w:sz w:val="26"/>
                <w:szCs w:val="26"/>
              </w:rPr>
            </w:pPr>
            <w:r w:rsidRPr="00C767D4">
              <w:rPr>
                <w:rFonts w:hint="cs"/>
                <w:b/>
                <w:bCs/>
                <w:sz w:val="26"/>
                <w:szCs w:val="26"/>
                <w:rtl/>
              </w:rPr>
              <w:t>ה</w:t>
            </w:r>
            <w:r w:rsidRPr="00C767D4">
              <w:rPr>
                <w:b/>
                <w:bCs/>
                <w:sz w:val="26"/>
                <w:szCs w:val="26"/>
                <w:rtl/>
              </w:rPr>
              <w:t>נאשם</w:t>
            </w:r>
          </w:p>
        </w:tc>
        <w:tc>
          <w:tcPr>
            <w:tcW w:w="5922" w:type="dxa"/>
            <w:gridSpan w:val="2"/>
            <w:shd w:val="clear" w:color="auto" w:fill="auto"/>
          </w:tcPr>
          <w:p w14:paraId="2A4BBF8A" w14:textId="77777777" w:rsidR="000864AB" w:rsidRPr="00C767D4" w:rsidRDefault="000864AB" w:rsidP="000D0A0C">
            <w:pPr>
              <w:rPr>
                <w:b/>
                <w:bCs/>
                <w:sz w:val="26"/>
                <w:szCs w:val="26"/>
                <w:rtl/>
              </w:rPr>
            </w:pPr>
            <w:r w:rsidRPr="00C767D4">
              <w:rPr>
                <w:rtl/>
              </w:rPr>
              <w:t xml:space="preserve"> </w:t>
            </w:r>
            <w:r w:rsidRPr="00C767D4">
              <w:rPr>
                <w:b/>
                <w:bCs/>
                <w:sz w:val="26"/>
                <w:szCs w:val="26"/>
                <w:rtl/>
              </w:rPr>
              <w:t>מוחמד ג'מאמעה (עציר)</w:t>
            </w:r>
            <w:r w:rsidRPr="00C767D4">
              <w:rPr>
                <w:rtl/>
              </w:rPr>
              <w:t xml:space="preserve"> </w:t>
            </w:r>
            <w:r w:rsidRPr="00C767D4">
              <w:rPr>
                <w:b/>
                <w:bCs/>
                <w:sz w:val="26"/>
                <w:szCs w:val="26"/>
                <w:rtl/>
              </w:rPr>
              <w:t>ת"ז</w:t>
            </w:r>
            <w:r w:rsidRPr="00C767D4">
              <w:rPr>
                <w:rFonts w:hint="cs"/>
                <w:b/>
                <w:bCs/>
                <w:sz w:val="26"/>
                <w:szCs w:val="26"/>
                <w:rtl/>
              </w:rPr>
              <w:t xml:space="preserve">  </w:t>
            </w:r>
            <w:r w:rsidR="00C767D4">
              <w:rPr>
                <w:b/>
                <w:bCs/>
                <w:sz w:val="26"/>
                <w:szCs w:val="26"/>
              </w:rPr>
              <w:t>xxxxxxxxxx</w:t>
            </w:r>
          </w:p>
        </w:tc>
      </w:tr>
    </w:tbl>
    <w:p w14:paraId="103FC2A7" w14:textId="77777777" w:rsidR="00BA5D6C" w:rsidRPr="00BA5D6C" w:rsidRDefault="00BA5D6C" w:rsidP="00BA5D6C">
      <w:pPr>
        <w:spacing w:before="120" w:after="120" w:line="240" w:lineRule="exact"/>
        <w:ind w:left="283" w:hanging="283"/>
        <w:jc w:val="both"/>
        <w:rPr>
          <w:rFonts w:ascii="FrankRuehl" w:hAnsi="FrankRuehl" w:cs="FrankRuehl"/>
          <w:rtl/>
        </w:rPr>
      </w:pPr>
    </w:p>
    <w:p w14:paraId="791B412E" w14:textId="77777777" w:rsidR="00E8449B" w:rsidRDefault="00E8449B" w:rsidP="00E8449B">
      <w:pPr>
        <w:rPr>
          <w:rFonts w:ascii="FrankRuehl" w:hAnsi="FrankRuehl" w:cs="FrankRuehl"/>
          <w:sz w:val="28"/>
          <w:szCs w:val="28"/>
          <w:rtl/>
        </w:rPr>
      </w:pPr>
      <w:bookmarkStart w:id="2" w:name="LawTable"/>
      <w:bookmarkEnd w:id="2"/>
    </w:p>
    <w:p w14:paraId="25A06A9D" w14:textId="77777777" w:rsidR="00E8449B" w:rsidRPr="00E8449B" w:rsidRDefault="00E8449B" w:rsidP="00E8449B">
      <w:pPr>
        <w:spacing w:before="120" w:after="120" w:line="240" w:lineRule="exact"/>
        <w:ind w:left="283" w:hanging="283"/>
        <w:jc w:val="both"/>
        <w:rPr>
          <w:rFonts w:ascii="FrankRuehl" w:hAnsi="FrankRuehl" w:cs="FrankRuehl"/>
          <w:rtl/>
        </w:rPr>
      </w:pPr>
    </w:p>
    <w:p w14:paraId="1626C7E7" w14:textId="77777777" w:rsidR="00E8449B" w:rsidRPr="00E8449B" w:rsidRDefault="00E8449B" w:rsidP="00E8449B">
      <w:pPr>
        <w:spacing w:before="120" w:after="120" w:line="240" w:lineRule="exact"/>
        <w:ind w:left="283" w:hanging="283"/>
        <w:jc w:val="both"/>
        <w:rPr>
          <w:rFonts w:ascii="FrankRuehl" w:hAnsi="FrankRuehl" w:cs="FrankRuehl"/>
          <w:rtl/>
        </w:rPr>
      </w:pPr>
    </w:p>
    <w:p w14:paraId="68CFAB9A" w14:textId="77777777" w:rsidR="00E8449B" w:rsidRPr="00E8449B" w:rsidRDefault="00E8449B" w:rsidP="00E8449B">
      <w:pPr>
        <w:spacing w:before="120" w:after="120" w:line="240" w:lineRule="exact"/>
        <w:ind w:left="283" w:hanging="283"/>
        <w:jc w:val="both"/>
        <w:rPr>
          <w:rFonts w:ascii="FrankRuehl" w:hAnsi="FrankRuehl" w:cs="FrankRuehl"/>
          <w:rtl/>
        </w:rPr>
      </w:pPr>
      <w:r w:rsidRPr="00E8449B">
        <w:rPr>
          <w:rFonts w:ascii="FrankRuehl" w:hAnsi="FrankRuehl" w:cs="FrankRuehl"/>
          <w:rtl/>
        </w:rPr>
        <w:t xml:space="preserve">חקיקה שאוזכרה: </w:t>
      </w:r>
    </w:p>
    <w:p w14:paraId="01F7261D" w14:textId="77777777" w:rsidR="00E8449B" w:rsidRPr="00E8449B" w:rsidRDefault="00E8449B" w:rsidP="00E8449B">
      <w:pPr>
        <w:spacing w:before="120" w:after="120" w:line="240" w:lineRule="exact"/>
        <w:ind w:left="283" w:hanging="283"/>
        <w:jc w:val="both"/>
        <w:rPr>
          <w:rFonts w:ascii="FrankRuehl" w:hAnsi="FrankRuehl" w:cs="FrankRuehl"/>
          <w:rtl/>
        </w:rPr>
      </w:pPr>
      <w:hyperlink r:id="rId7" w:history="1">
        <w:r w:rsidRPr="00E8449B">
          <w:rPr>
            <w:rFonts w:ascii="FrankRuehl" w:hAnsi="FrankRuehl" w:cs="FrankRuehl"/>
            <w:color w:val="0000FF"/>
            <w:rtl/>
          </w:rPr>
          <w:t>חוק העונשין, תשל"ז-1977</w:t>
        </w:r>
      </w:hyperlink>
      <w:r w:rsidRPr="00E8449B">
        <w:rPr>
          <w:rFonts w:ascii="FrankRuehl" w:hAnsi="FrankRuehl" w:cs="FrankRuehl"/>
          <w:rtl/>
        </w:rPr>
        <w:t xml:space="preserve">: סע'  </w:t>
      </w:r>
      <w:hyperlink r:id="rId8" w:history="1">
        <w:r w:rsidRPr="00E8449B">
          <w:rPr>
            <w:rFonts w:ascii="FrankRuehl" w:hAnsi="FrankRuehl" w:cs="FrankRuehl"/>
            <w:color w:val="0000FF"/>
            <w:rtl/>
          </w:rPr>
          <w:t>144(א)</w:t>
        </w:r>
      </w:hyperlink>
      <w:r w:rsidRPr="00E8449B">
        <w:rPr>
          <w:rFonts w:ascii="FrankRuehl" w:hAnsi="FrankRuehl" w:cs="FrankRuehl"/>
          <w:rtl/>
        </w:rPr>
        <w:t xml:space="preserve">, </w:t>
      </w:r>
      <w:hyperlink r:id="rId9" w:history="1">
        <w:r w:rsidRPr="00E8449B">
          <w:rPr>
            <w:rFonts w:ascii="FrankRuehl" w:hAnsi="FrankRuehl" w:cs="FrankRuehl"/>
            <w:color w:val="0000FF"/>
            <w:rtl/>
          </w:rPr>
          <w:t>144(ב2)</w:t>
        </w:r>
      </w:hyperlink>
    </w:p>
    <w:p w14:paraId="017DE0FC" w14:textId="77777777" w:rsidR="00E8449B" w:rsidRPr="00E8449B" w:rsidRDefault="00E8449B" w:rsidP="00E8449B">
      <w:pPr>
        <w:spacing w:before="120" w:after="120" w:line="240" w:lineRule="exact"/>
        <w:ind w:left="283" w:hanging="283"/>
        <w:jc w:val="both"/>
        <w:rPr>
          <w:rFonts w:ascii="FrankRuehl" w:hAnsi="FrankRuehl" w:cs="FrankRuehl"/>
          <w:rtl/>
        </w:rPr>
      </w:pPr>
      <w:hyperlink r:id="rId10" w:history="1">
        <w:r w:rsidRPr="00E8449B">
          <w:rPr>
            <w:rFonts w:ascii="FrankRuehl" w:hAnsi="FrankRuehl" w:cs="FrankRuehl"/>
            <w:color w:val="0000FF"/>
            <w:rtl/>
          </w:rPr>
          <w:t>פקודת הסמים המסוכנים [נוסח חדש], תשל"ג-1973</w:t>
        </w:r>
      </w:hyperlink>
      <w:r w:rsidRPr="00E8449B">
        <w:rPr>
          <w:rFonts w:ascii="FrankRuehl" w:hAnsi="FrankRuehl" w:cs="FrankRuehl"/>
          <w:rtl/>
        </w:rPr>
        <w:t xml:space="preserve">: סע'  </w:t>
      </w:r>
      <w:hyperlink r:id="rId11" w:history="1">
        <w:r w:rsidRPr="00E8449B">
          <w:rPr>
            <w:rFonts w:ascii="FrankRuehl" w:hAnsi="FrankRuehl" w:cs="FrankRuehl"/>
            <w:color w:val="0000FF"/>
            <w:rtl/>
          </w:rPr>
          <w:t>7(א)</w:t>
        </w:r>
      </w:hyperlink>
      <w:r w:rsidRPr="00E8449B">
        <w:rPr>
          <w:rFonts w:ascii="FrankRuehl" w:hAnsi="FrankRuehl" w:cs="FrankRuehl"/>
          <w:rtl/>
        </w:rPr>
        <w:t xml:space="preserve">, </w:t>
      </w:r>
      <w:hyperlink r:id="rId12" w:history="1">
        <w:r w:rsidRPr="00E8449B">
          <w:rPr>
            <w:rFonts w:ascii="FrankRuehl" w:hAnsi="FrankRuehl" w:cs="FrankRuehl"/>
            <w:color w:val="0000FF"/>
            <w:rtl/>
          </w:rPr>
          <w:t>7(ג)</w:t>
        </w:r>
      </w:hyperlink>
    </w:p>
    <w:p w14:paraId="552CCABC" w14:textId="77777777" w:rsidR="00E8449B" w:rsidRPr="00E8449B" w:rsidRDefault="00E8449B" w:rsidP="00E8449B">
      <w:pPr>
        <w:rPr>
          <w:rFonts w:ascii="FrankRuehl" w:hAnsi="FrankRuehl" w:cs="FrankRuehl"/>
          <w:sz w:val="28"/>
          <w:szCs w:val="28"/>
          <w:rtl/>
        </w:rPr>
      </w:pPr>
      <w:bookmarkStart w:id="3" w:name="LawTable_End"/>
      <w:bookmarkEnd w:id="3"/>
    </w:p>
    <w:p w14:paraId="326A7F0F" w14:textId="77777777" w:rsidR="000864AB" w:rsidRPr="00BA5D6C" w:rsidRDefault="000864AB" w:rsidP="00BA5D6C">
      <w:pPr>
        <w:rPr>
          <w:rFonts w:ascii="FrankRuehl" w:hAnsi="FrankRueh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64AB" w14:paraId="78B63830" w14:textId="77777777" w:rsidTr="000864AB">
        <w:trPr>
          <w:trHeight w:val="355"/>
          <w:jc w:val="center"/>
        </w:trPr>
        <w:tc>
          <w:tcPr>
            <w:tcW w:w="8820" w:type="dxa"/>
            <w:tcBorders>
              <w:top w:val="nil"/>
              <w:left w:val="nil"/>
              <w:bottom w:val="nil"/>
              <w:right w:val="nil"/>
            </w:tcBorders>
            <w:shd w:val="clear" w:color="auto" w:fill="auto"/>
          </w:tcPr>
          <w:p w14:paraId="3A993758" w14:textId="77777777" w:rsidR="00C767D4" w:rsidRPr="00C767D4" w:rsidRDefault="00C767D4" w:rsidP="00C767D4">
            <w:pPr>
              <w:jc w:val="center"/>
              <w:rPr>
                <w:rFonts w:ascii="Arial" w:hAnsi="Arial" w:cs="FrankRuehl"/>
                <w:b/>
                <w:bCs/>
                <w:sz w:val="32"/>
                <w:szCs w:val="32"/>
                <w:u w:val="single"/>
                <w:rtl/>
              </w:rPr>
            </w:pPr>
            <w:bookmarkStart w:id="4" w:name="PsakDin" w:colFirst="0" w:colLast="0"/>
            <w:bookmarkEnd w:id="0"/>
            <w:r w:rsidRPr="00C767D4">
              <w:rPr>
                <w:rFonts w:ascii="Arial" w:hAnsi="Arial" w:cs="FrankRuehl"/>
                <w:b/>
                <w:bCs/>
                <w:sz w:val="32"/>
                <w:szCs w:val="32"/>
                <w:u w:val="single"/>
                <w:rtl/>
              </w:rPr>
              <w:t>גזר דין</w:t>
            </w:r>
          </w:p>
          <w:p w14:paraId="22ECFD18" w14:textId="77777777" w:rsidR="000864AB" w:rsidRPr="00C767D4" w:rsidRDefault="000864AB" w:rsidP="00C767D4">
            <w:pPr>
              <w:jc w:val="center"/>
              <w:rPr>
                <w:rFonts w:ascii="Arial" w:hAnsi="Arial" w:cs="FrankRuehl"/>
                <w:bCs/>
                <w:sz w:val="32"/>
                <w:szCs w:val="32"/>
                <w:u w:val="single"/>
                <w:rtl/>
              </w:rPr>
            </w:pPr>
          </w:p>
        </w:tc>
      </w:tr>
      <w:bookmarkEnd w:id="4"/>
    </w:tbl>
    <w:p w14:paraId="01968BAB" w14:textId="77777777" w:rsidR="000864AB" w:rsidRDefault="000864AB" w:rsidP="000864AB">
      <w:pPr>
        <w:rPr>
          <w:rFonts w:ascii="FrankRuehl" w:hAnsi="FrankRuehl" w:cs="FrankRuehl"/>
          <w:sz w:val="28"/>
          <w:szCs w:val="28"/>
          <w:rtl/>
        </w:rPr>
      </w:pPr>
    </w:p>
    <w:p w14:paraId="0778C6E9" w14:textId="77777777" w:rsidR="000864AB" w:rsidRDefault="000864AB" w:rsidP="000864AB">
      <w:pPr>
        <w:spacing w:line="360" w:lineRule="auto"/>
        <w:jc w:val="both"/>
        <w:rPr>
          <w:rFonts w:ascii="Miriam" w:hAnsi="Miriam" w:cs="Miriam"/>
          <w:rtl/>
        </w:rPr>
      </w:pPr>
      <w:r>
        <w:rPr>
          <w:rFonts w:ascii="Miriam" w:hAnsi="Miriam" w:cs="Miriam"/>
          <w:rtl/>
        </w:rPr>
        <w:t>הרקע וכתב האישום המתוקן</w:t>
      </w:r>
    </w:p>
    <w:p w14:paraId="3F739D6E" w14:textId="77777777" w:rsidR="000864AB" w:rsidRDefault="000864AB" w:rsidP="000864AB">
      <w:pPr>
        <w:tabs>
          <w:tab w:val="left" w:pos="680"/>
        </w:tabs>
        <w:spacing w:line="360" w:lineRule="auto"/>
        <w:jc w:val="both"/>
        <w:rPr>
          <w:rFonts w:ascii="FrankRuehl" w:hAnsi="FrankRuehl" w:cs="FrankRuehl"/>
          <w:sz w:val="28"/>
          <w:szCs w:val="28"/>
        </w:rPr>
      </w:pPr>
    </w:p>
    <w:p w14:paraId="516B608F"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sz w:val="28"/>
          <w:szCs w:val="28"/>
          <w:rtl/>
        </w:rPr>
        <w:tab/>
      </w:r>
      <w:bookmarkStart w:id="5" w:name="ABSTRACT_START"/>
      <w:bookmarkEnd w:id="5"/>
      <w:r>
        <w:rPr>
          <w:rFonts w:ascii="FrankRuehl" w:hAnsi="FrankRuehl" w:cs="FrankRuehl"/>
          <w:sz w:val="28"/>
          <w:szCs w:val="28"/>
          <w:rtl/>
        </w:rPr>
        <w:t xml:space="preserve">הנאשם הורשע ביום 10.5.2023, על יסוד הודאתו בכתב אישום מתוקן, בעבירות בנשק (ייצור), עבירה לפי </w:t>
      </w:r>
      <w:hyperlink r:id="rId13" w:history="1">
        <w:r w:rsidR="00211BCE" w:rsidRPr="00211BCE">
          <w:rPr>
            <w:rStyle w:val="Hyperlink"/>
            <w:rFonts w:ascii="FrankRuehl" w:hAnsi="FrankRuehl" w:cs="FrankRuehl"/>
            <w:sz w:val="28"/>
            <w:szCs w:val="28"/>
            <w:rtl/>
          </w:rPr>
          <w:t>סעיף 144(ב2)</w:t>
        </w:r>
      </w:hyperlink>
      <w:r>
        <w:rPr>
          <w:rFonts w:ascii="FrankRuehl" w:hAnsi="FrankRuehl" w:cs="FrankRuehl"/>
          <w:sz w:val="28"/>
          <w:szCs w:val="28"/>
          <w:rtl/>
        </w:rPr>
        <w:t xml:space="preserve"> ל</w:t>
      </w:r>
      <w:hyperlink r:id="rId14"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התשל"ז- 1977 (להלן: </w:t>
      </w:r>
      <w:r>
        <w:rPr>
          <w:rFonts w:ascii="Miriam" w:hAnsi="Miriam" w:cs="Miriam"/>
          <w:rtl/>
        </w:rPr>
        <w:t>"חוק העונשין"</w:t>
      </w:r>
      <w:r>
        <w:rPr>
          <w:rFonts w:ascii="FrankRuehl" w:hAnsi="FrankRuehl" w:cs="FrankRuehl"/>
          <w:sz w:val="28"/>
          <w:szCs w:val="28"/>
          <w:rtl/>
        </w:rPr>
        <w:t xml:space="preserve">); עבירות בנשק (החזקה), עבירה לפי </w:t>
      </w:r>
      <w:hyperlink r:id="rId15" w:history="1">
        <w:r w:rsidR="00211BCE" w:rsidRPr="00211BCE">
          <w:rPr>
            <w:rStyle w:val="Hyperlink"/>
            <w:rFonts w:ascii="FrankRuehl" w:hAnsi="FrankRuehl" w:cs="FrankRuehl"/>
            <w:sz w:val="28"/>
            <w:szCs w:val="28"/>
            <w:rtl/>
          </w:rPr>
          <w:t>סעיף 144(א)</w:t>
        </w:r>
      </w:hyperlink>
      <w:r>
        <w:rPr>
          <w:rFonts w:ascii="FrankRuehl" w:hAnsi="FrankRuehl" w:cs="FrankRuehl"/>
          <w:sz w:val="28"/>
          <w:szCs w:val="28"/>
          <w:rtl/>
        </w:rPr>
        <w:t xml:space="preserve"> רישא לחוק העונשן; והחזקת סמים מסוכנים לצריכה עצמית, עבירה לפי </w:t>
      </w:r>
      <w:hyperlink r:id="rId16" w:history="1">
        <w:r w:rsidR="00211BCE" w:rsidRPr="00211BCE">
          <w:rPr>
            <w:rStyle w:val="Hyperlink"/>
            <w:rFonts w:ascii="FrankRuehl" w:hAnsi="FrankRuehl" w:cs="FrankRuehl"/>
            <w:sz w:val="28"/>
            <w:szCs w:val="28"/>
            <w:rtl/>
          </w:rPr>
          <w:t>סעיף 7(א)</w:t>
        </w:r>
      </w:hyperlink>
      <w:r>
        <w:rPr>
          <w:rFonts w:ascii="FrankRuehl" w:hAnsi="FrankRuehl" w:cs="FrankRuehl"/>
          <w:sz w:val="28"/>
          <w:szCs w:val="28"/>
          <w:rtl/>
        </w:rPr>
        <w:t xml:space="preserve"> </w:t>
      </w:r>
      <w:hyperlink r:id="rId17" w:history="1">
        <w:r w:rsidR="00211BCE" w:rsidRPr="00211BCE">
          <w:rPr>
            <w:rStyle w:val="Hyperlink"/>
            <w:rFonts w:ascii="FrankRuehl" w:hAnsi="FrankRuehl" w:cs="FrankRuehl"/>
            <w:sz w:val="28"/>
            <w:szCs w:val="28"/>
            <w:rtl/>
          </w:rPr>
          <w:t>וסעיף 7(ג)</w:t>
        </w:r>
      </w:hyperlink>
      <w:r>
        <w:rPr>
          <w:rFonts w:ascii="FrankRuehl" w:hAnsi="FrankRuehl" w:cs="FrankRuehl"/>
          <w:sz w:val="28"/>
          <w:szCs w:val="28"/>
          <w:rtl/>
        </w:rPr>
        <w:t xml:space="preserve"> סיפא ל</w:t>
      </w:r>
      <w:hyperlink r:id="rId18" w:history="1">
        <w:r w:rsidR="00C767D4" w:rsidRPr="00C767D4">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התשל"ג- 1973.</w:t>
      </w:r>
    </w:p>
    <w:p w14:paraId="1F643D25" w14:textId="77777777" w:rsidR="000864AB" w:rsidRDefault="000864AB" w:rsidP="000864AB">
      <w:pPr>
        <w:spacing w:line="360" w:lineRule="auto"/>
        <w:jc w:val="both"/>
        <w:rPr>
          <w:rFonts w:ascii="FrankRuehl" w:hAnsi="FrankRuehl" w:cs="FrankRuehl"/>
          <w:sz w:val="28"/>
          <w:szCs w:val="28"/>
          <w:rtl/>
        </w:rPr>
      </w:pPr>
      <w:bookmarkStart w:id="6" w:name="ABSTRACT_END"/>
      <w:bookmarkEnd w:id="6"/>
    </w:p>
    <w:p w14:paraId="638A7D32"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במסגרת הסדר הטיעון הסכימו הצדדים כי הנאשם יודה בעובדות כתב האישום</w:t>
      </w:r>
      <w:r>
        <w:rPr>
          <w:rFonts w:ascii="FrankRuehl" w:hAnsi="FrankRuehl" w:cs="FrankRuehl" w:hint="cs"/>
          <w:sz w:val="28"/>
          <w:szCs w:val="28"/>
          <w:rtl/>
        </w:rPr>
        <w:t>, לאחר שיתוקן,</w:t>
      </w:r>
      <w:r>
        <w:rPr>
          <w:rFonts w:ascii="FrankRuehl" w:hAnsi="FrankRuehl" w:cs="FrankRuehl"/>
          <w:sz w:val="28"/>
          <w:szCs w:val="28"/>
          <w:rtl/>
        </w:rPr>
        <w:t xml:space="preserve"> ויורשע על פיו, כאשר הצדדים יטענו לעונש באופן חופשי. </w:t>
      </w:r>
    </w:p>
    <w:p w14:paraId="52F1CF50" w14:textId="77777777" w:rsidR="000864AB" w:rsidRDefault="000864AB" w:rsidP="000864AB">
      <w:pPr>
        <w:spacing w:line="360" w:lineRule="auto"/>
        <w:jc w:val="both"/>
        <w:rPr>
          <w:rFonts w:ascii="FrankRuehl" w:hAnsi="FrankRuehl" w:cs="FrankRuehl"/>
          <w:sz w:val="28"/>
          <w:szCs w:val="28"/>
          <w:rtl/>
        </w:rPr>
      </w:pPr>
    </w:p>
    <w:p w14:paraId="21AB1C56" w14:textId="77777777" w:rsidR="000864AB" w:rsidRDefault="000864AB" w:rsidP="000864AB">
      <w:pPr>
        <w:spacing w:line="360" w:lineRule="auto"/>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 xml:space="preserve">על פי עובדות האישום המתוקן, הנאשם מתגורר בגפו בקומה השניה בבניין מגורים ביפיע (להלן: </w:t>
      </w:r>
      <w:r>
        <w:rPr>
          <w:rFonts w:ascii="Miriam" w:hAnsi="Miriam" w:cs="Miriam"/>
          <w:rtl/>
        </w:rPr>
        <w:t>"הבית"</w:t>
      </w:r>
      <w:r>
        <w:rPr>
          <w:rFonts w:ascii="FrankRuehl" w:hAnsi="FrankRuehl" w:cs="FrankRuehl"/>
          <w:sz w:val="28"/>
          <w:szCs w:val="28"/>
          <w:rtl/>
        </w:rPr>
        <w:t xml:space="preserve">). </w:t>
      </w:r>
    </w:p>
    <w:p w14:paraId="3C6AD4C7" w14:textId="77777777" w:rsidR="000864AB" w:rsidRDefault="000864AB" w:rsidP="000864AB">
      <w:pPr>
        <w:pStyle w:val="a8"/>
        <w:spacing w:line="360" w:lineRule="auto"/>
        <w:jc w:val="both"/>
        <w:rPr>
          <w:rFonts w:ascii="FrankRuehl" w:hAnsi="FrankRuehl" w:cs="FrankRuehl"/>
          <w:sz w:val="28"/>
          <w:szCs w:val="28"/>
          <w:rtl/>
        </w:rPr>
      </w:pPr>
    </w:p>
    <w:p w14:paraId="69719F59"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עובר ליום 1.9.22, במועד שאינו ידוע במדויק למאשימה, ייצר הנאשם בקבוקי תבערה, שהם כלי נשק שסוגל לפלוט חומר הנועד להזיק לאדם, כך שמילא הנאשם תשעה בקבוקי זכוכית בנוזל דליק מסוג בנזין וסגר את פיות הבקבוקים באמצעות רצועות בד  (להלן: </w:t>
      </w:r>
      <w:r>
        <w:rPr>
          <w:rFonts w:ascii="Miriam" w:hAnsi="Miriam" w:cs="Miriam"/>
          <w:sz w:val="24"/>
          <w:szCs w:val="24"/>
          <w:rtl/>
        </w:rPr>
        <w:t>"בקבוקי התבערה"</w:t>
      </w:r>
      <w:r>
        <w:rPr>
          <w:rFonts w:ascii="FrankRuehl" w:hAnsi="FrankRuehl" w:cs="FrankRuehl"/>
          <w:sz w:val="28"/>
          <w:szCs w:val="28"/>
          <w:rtl/>
        </w:rPr>
        <w:t xml:space="preserve">).  </w:t>
      </w:r>
    </w:p>
    <w:p w14:paraId="46FAF6FE" w14:textId="77777777" w:rsidR="000864AB" w:rsidRDefault="000864AB" w:rsidP="000864AB">
      <w:pPr>
        <w:pStyle w:val="a8"/>
        <w:spacing w:line="360" w:lineRule="auto"/>
        <w:jc w:val="both"/>
        <w:rPr>
          <w:rFonts w:ascii="FrankRuehl" w:hAnsi="FrankRuehl" w:cs="FrankRuehl"/>
          <w:sz w:val="28"/>
          <w:szCs w:val="28"/>
          <w:rtl/>
        </w:rPr>
      </w:pPr>
    </w:p>
    <w:p w14:paraId="24E24A10"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ביום 1.9.22</w:t>
      </w:r>
      <w:r>
        <w:rPr>
          <w:rFonts w:ascii="FrankRuehl" w:hAnsi="FrankRuehl" w:cs="FrankRuehl" w:hint="cs"/>
          <w:sz w:val="28"/>
          <w:szCs w:val="28"/>
          <w:rtl/>
        </w:rPr>
        <w:t>,</w:t>
      </w:r>
      <w:r>
        <w:rPr>
          <w:rFonts w:ascii="FrankRuehl" w:hAnsi="FrankRuehl" w:cs="FrankRuehl"/>
          <w:sz w:val="28"/>
          <w:szCs w:val="28"/>
          <w:rtl/>
        </w:rPr>
        <w:t xml:space="preserve"> ובמשך תקופה שאינה ידועה במדויק למאשימה</w:t>
      </w:r>
      <w:r>
        <w:rPr>
          <w:rFonts w:ascii="FrankRuehl" w:hAnsi="FrankRuehl" w:cs="FrankRuehl" w:hint="cs"/>
          <w:sz w:val="28"/>
          <w:szCs w:val="28"/>
          <w:rtl/>
        </w:rPr>
        <w:t>,</w:t>
      </w:r>
      <w:r>
        <w:rPr>
          <w:rFonts w:ascii="FrankRuehl" w:hAnsi="FrankRuehl" w:cs="FrankRuehl"/>
          <w:sz w:val="28"/>
          <w:szCs w:val="28"/>
          <w:rtl/>
        </w:rPr>
        <w:t xml:space="preserve"> החזיק הנאשם בביתו את בקבוקי התבערה בלא רשות על פי דין להחזקתם. בנוסף, בתאריך 1.9.22, החזיק הנאשם בביתו סם מסוכן מסוג קנבוס לצריכה עצמית במשקל של 15 גרם נטו. </w:t>
      </w:r>
    </w:p>
    <w:p w14:paraId="18400ED9" w14:textId="77777777" w:rsidR="000864AB" w:rsidRDefault="000864AB" w:rsidP="000864AB">
      <w:pPr>
        <w:pStyle w:val="a8"/>
        <w:spacing w:line="360" w:lineRule="auto"/>
        <w:jc w:val="both"/>
        <w:rPr>
          <w:rFonts w:ascii="FrankRuehl" w:hAnsi="FrankRuehl" w:cs="FrankRuehl"/>
          <w:sz w:val="28"/>
          <w:szCs w:val="28"/>
          <w:rtl/>
        </w:rPr>
      </w:pPr>
    </w:p>
    <w:p w14:paraId="6C8655CC" w14:textId="77777777" w:rsidR="000864AB" w:rsidRDefault="000864AB" w:rsidP="000864AB">
      <w:pPr>
        <w:pStyle w:val="a8"/>
        <w:spacing w:line="360" w:lineRule="auto"/>
        <w:jc w:val="both"/>
        <w:rPr>
          <w:rFonts w:ascii="Miriam" w:hAnsi="Miriam" w:cs="Miriam"/>
          <w:sz w:val="24"/>
          <w:szCs w:val="24"/>
          <w:rtl/>
        </w:rPr>
      </w:pPr>
      <w:r>
        <w:rPr>
          <w:rFonts w:ascii="Miriam" w:hAnsi="Miriam" w:cs="Miriam"/>
          <w:sz w:val="24"/>
          <w:szCs w:val="24"/>
          <w:rtl/>
        </w:rPr>
        <w:t>טיעוני הצדדים לעונש</w:t>
      </w:r>
    </w:p>
    <w:p w14:paraId="7896716F" w14:textId="77777777" w:rsidR="000864AB" w:rsidRDefault="000864AB" w:rsidP="000864AB">
      <w:pPr>
        <w:pStyle w:val="a8"/>
        <w:spacing w:line="360" w:lineRule="auto"/>
        <w:jc w:val="both"/>
        <w:rPr>
          <w:rFonts w:ascii="FrankRuehl" w:hAnsi="FrankRuehl" w:cs="FrankRuehl"/>
          <w:b/>
          <w:bCs/>
          <w:sz w:val="28"/>
          <w:szCs w:val="28"/>
          <w:u w:val="single"/>
          <w:rtl/>
        </w:rPr>
      </w:pPr>
    </w:p>
    <w:p w14:paraId="3E8AB91E"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3.        בטיעוניה הכתובים עמדה בא-כוח המאשימה על הערכים החברתיים המוגנים בהם פגע הנאשם במעשיו, ובהם פגיעה בשלטון החוק, הגנה על שלומו ובריאותו של הציבור ופגיעה בתחושת הביטחון האישי והציבורי. </w:t>
      </w:r>
    </w:p>
    <w:p w14:paraId="6AEC8F3C" w14:textId="77777777" w:rsidR="000864AB" w:rsidRDefault="000864AB" w:rsidP="000864AB">
      <w:pPr>
        <w:pStyle w:val="a8"/>
        <w:spacing w:line="360" w:lineRule="auto"/>
        <w:jc w:val="both"/>
        <w:rPr>
          <w:rFonts w:ascii="FrankRuehl" w:hAnsi="FrankRuehl" w:cs="FrankRuehl"/>
          <w:sz w:val="28"/>
          <w:szCs w:val="28"/>
          <w:rtl/>
        </w:rPr>
      </w:pPr>
    </w:p>
    <w:p w14:paraId="103FDAC0"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אשר לנסיבות הקשורות בביצוע העבירה, הפנתה בא-כוח המאשימה לתכנון שקדם לביצוע העבירות, לכמות בקבוקי התבערה הרבים שייצר הנאשם ולעובדה שאלו הוחזקו בביתו, מקום נגיש המאפשר שימוש מהיר. בא- כוח המאשימה הוסיפה כי אף שבפועל לא נגרם נזק בשל ייצור החזקת בקבוקי התבערה, הרי שפוטנציאל הנזק הטמון בעבירות אלו לגוף ולרכוש הינו משמעותי ואף קטלני. </w:t>
      </w:r>
    </w:p>
    <w:p w14:paraId="7CB7A53A" w14:textId="77777777" w:rsidR="000864AB" w:rsidRDefault="000864AB" w:rsidP="000864AB">
      <w:pPr>
        <w:pStyle w:val="a8"/>
        <w:spacing w:line="360" w:lineRule="auto"/>
        <w:jc w:val="both"/>
        <w:rPr>
          <w:rFonts w:ascii="FrankRuehl" w:hAnsi="FrankRuehl" w:cs="FrankRuehl"/>
          <w:sz w:val="28"/>
          <w:szCs w:val="28"/>
          <w:rtl/>
        </w:rPr>
      </w:pPr>
    </w:p>
    <w:p w14:paraId="2C4AAC17"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אשר למדיניות הענישה הנהוגה, הפנתה בא-כוח המאשימה לתופעה הקשה של שימוש בנשק לא חוקי בחברה הערבית, אשר מחייבת, בין היתר, החמרה בענישה אשר תרתיע עבריינים מלבצע עבירות מעין אלו. לעניין זה הוסיפה והפנתה לתיקון מס' 140 ל</w:t>
      </w:r>
      <w:hyperlink r:id="rId19"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שעניינו קביעת עונש מזערי בעבירות נשק, של רבע מהעונש הקבוע בצד העבירה, וזאת בהוראת שעה ולתקופה של 3 שנים. בא-כוח המאשימה הפנתה לפסקי דין המלמדים לשיטתה על מדיניות הענישה במקרים דומים, וטענה כי </w:t>
      </w:r>
      <w:r>
        <w:rPr>
          <w:rFonts w:ascii="FrankRuehl" w:hAnsi="FrankRuehl" w:cs="FrankRuehl"/>
          <w:b/>
          <w:bCs/>
          <w:sz w:val="28"/>
          <w:szCs w:val="28"/>
          <w:rtl/>
        </w:rPr>
        <w:t>מתחם העונש ההולם נע בין 36 ל-56 חודשי מאסר בפועל.</w:t>
      </w:r>
    </w:p>
    <w:p w14:paraId="47B8B84F" w14:textId="77777777" w:rsidR="000864AB" w:rsidRPr="000864AB" w:rsidRDefault="000864AB" w:rsidP="000864AB">
      <w:pPr>
        <w:spacing w:line="360" w:lineRule="auto"/>
        <w:jc w:val="both"/>
        <w:rPr>
          <w:rFonts w:ascii="FrankRuehl" w:eastAsia="Calibri" w:hAnsi="FrankRuehl" w:cs="FrankRuehl"/>
          <w:sz w:val="28"/>
          <w:szCs w:val="28"/>
          <w:rtl/>
        </w:rPr>
      </w:pPr>
    </w:p>
    <w:p w14:paraId="14839342"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ביחס לנסיבות שאינן קשורות בביצוע העבירה, ציינה בא-כוח המאשימה כי לזכות הנאשם עומדת העובדה שהודה בכתב האישום המתוקן ובכך חסך מזמנו של בית המשפט. מאידך הפנתה לעברו הפלילי, הכולל 3 הרשעות קודמות ולעובדה שלא התבקש תסקיר מבחן בעניינו, כאשר לאור מעשיו החמורים, עברו הפלילי ובהעדר אפיק שיקומי, עולה מהנאשם מסכונות ברורה. עוד הפנתה לצורך בהרתעת היחיד והרבים בכל הנוגע לעבירות בנשק.  </w:t>
      </w:r>
    </w:p>
    <w:p w14:paraId="16B4F550" w14:textId="77777777" w:rsidR="000864AB" w:rsidRDefault="000864AB" w:rsidP="000864AB">
      <w:pPr>
        <w:spacing w:line="360" w:lineRule="auto"/>
        <w:jc w:val="both"/>
        <w:rPr>
          <w:rFonts w:ascii="FrankRuehl" w:hAnsi="FrankRuehl" w:cs="FrankRuehl"/>
          <w:sz w:val="28"/>
          <w:szCs w:val="28"/>
          <w:rtl/>
        </w:rPr>
      </w:pPr>
    </w:p>
    <w:p w14:paraId="3733C997"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מכל האמור לעיל, מבקשת המאשימה להשית על הנאשם עונש מאסר המצוי באמצע מתחם העונש ההולם לו עתרה. בצד המאסר, ביקשה המאשימה להטיל על הנאשם מאסר מותנה מרתיע  וקנס כספי בסך 10,000 ₪. </w:t>
      </w:r>
    </w:p>
    <w:p w14:paraId="58C9834A" w14:textId="77777777" w:rsidR="000864AB" w:rsidRDefault="000864AB" w:rsidP="000864AB">
      <w:pPr>
        <w:spacing w:line="360" w:lineRule="auto"/>
        <w:jc w:val="both"/>
        <w:rPr>
          <w:rFonts w:ascii="FrankRuehl" w:hAnsi="FrankRuehl" w:cs="FrankRuehl"/>
          <w:sz w:val="28"/>
          <w:szCs w:val="28"/>
          <w:rtl/>
        </w:rPr>
      </w:pPr>
    </w:p>
    <w:p w14:paraId="45BE9B21"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4.         בא-כוח הנאשם אישר בתורו את הפגיעה בערכים המוגנים אליהם הפנתה המאשימה, אולם טען כי בעניינו של הנאשם אין בנמצא כל אינדיקציה למטרת הייצור וההחזקה של בקבוקי התבערה, כך שלא ניתן לומר על פניו כי הייתה לנאשם מטרה פלילת קונקרטית לשימוש בהם. </w:t>
      </w:r>
    </w:p>
    <w:p w14:paraId="3C521462" w14:textId="77777777" w:rsidR="000864AB" w:rsidRDefault="000864AB" w:rsidP="000864AB">
      <w:pPr>
        <w:spacing w:line="360" w:lineRule="auto"/>
        <w:jc w:val="both"/>
        <w:rPr>
          <w:rFonts w:ascii="FrankRuehl" w:hAnsi="FrankRuehl" w:cs="FrankRuehl"/>
          <w:sz w:val="28"/>
          <w:szCs w:val="28"/>
          <w:rtl/>
        </w:rPr>
      </w:pPr>
    </w:p>
    <w:p w14:paraId="33E4D3D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בא-כוח הנאשם הפנה למספר פסקי דין, המלמדים לשיטתו על מדינות הענישה, תוך שטען כי </w:t>
      </w:r>
      <w:r w:rsidRPr="00DD2834">
        <w:rPr>
          <w:rFonts w:ascii="FrankRuehl" w:hAnsi="FrankRuehl" w:cs="FrankRuehl"/>
          <w:b/>
          <w:bCs/>
          <w:sz w:val="28"/>
          <w:szCs w:val="28"/>
          <w:rtl/>
        </w:rPr>
        <w:t>מתחם העונש ההולם בעניינו של הנאשם</w:t>
      </w:r>
      <w:r>
        <w:rPr>
          <w:rFonts w:ascii="FrankRuehl" w:hAnsi="FrankRuehl" w:cs="FrankRuehl"/>
          <w:sz w:val="28"/>
          <w:szCs w:val="28"/>
          <w:rtl/>
        </w:rPr>
        <w:t xml:space="preserve"> </w:t>
      </w:r>
      <w:r>
        <w:rPr>
          <w:rFonts w:ascii="FrankRuehl" w:hAnsi="FrankRuehl" w:cs="FrankRuehl"/>
          <w:b/>
          <w:bCs/>
          <w:sz w:val="28"/>
          <w:szCs w:val="28"/>
          <w:rtl/>
        </w:rPr>
        <w:t>נע בין מספר חודשי מאסר שניתן לרצותם בעבודות שירות</w:t>
      </w:r>
      <w:r>
        <w:rPr>
          <w:rFonts w:ascii="FrankRuehl" w:hAnsi="FrankRuehl" w:cs="FrankRuehl" w:hint="cs"/>
          <w:b/>
          <w:bCs/>
          <w:sz w:val="28"/>
          <w:szCs w:val="28"/>
          <w:rtl/>
        </w:rPr>
        <w:t xml:space="preserve"> ועד </w:t>
      </w:r>
      <w:r>
        <w:rPr>
          <w:rFonts w:ascii="FrankRuehl" w:hAnsi="FrankRuehl" w:cs="FrankRuehl"/>
          <w:b/>
          <w:bCs/>
          <w:sz w:val="28"/>
          <w:szCs w:val="28"/>
          <w:rtl/>
        </w:rPr>
        <w:t xml:space="preserve"> ל- 18 חודשי מאסר.</w:t>
      </w:r>
      <w:r>
        <w:rPr>
          <w:rFonts w:ascii="FrankRuehl" w:hAnsi="FrankRuehl" w:cs="FrankRuehl"/>
          <w:sz w:val="28"/>
          <w:szCs w:val="28"/>
          <w:rtl/>
        </w:rPr>
        <w:t xml:space="preserve"> בא-כוח הנאשם הוסיף וטען כי בכל הנוגע לעבירת הסמים, נוכח סוג הסם והכמות המזערית שנתפסה, נע מתחם העונש ההולם בין אי הרשעה למאסר מותנה והתחייבות או קנס מזערי.</w:t>
      </w:r>
    </w:p>
    <w:p w14:paraId="6C9E8EBA" w14:textId="77777777" w:rsidR="000864AB" w:rsidRDefault="000864AB" w:rsidP="000864AB">
      <w:pPr>
        <w:spacing w:line="360" w:lineRule="auto"/>
        <w:jc w:val="both"/>
        <w:rPr>
          <w:rFonts w:ascii="FrankRuehl" w:hAnsi="FrankRuehl" w:cs="FrankRuehl"/>
          <w:sz w:val="28"/>
          <w:szCs w:val="28"/>
          <w:rtl/>
        </w:rPr>
      </w:pPr>
    </w:p>
    <w:p w14:paraId="19D6704E"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אשר לנסיבות שאינן קשורות בביצוע העבירה, הפנה בא-כוח הנאשם לנסיבות חייו של הנאשם, אשר התייתם מהוריו בגיל צעיר. לשיטתו, אף שלנאשם עבר פלילי הכולל 3 הרשעות קודמות, הרי שהוא מעולם לא הורשע בעבירות נשק או סמים, ומכאן שאלו אינן מצדיקות למקמו בצד הגבוה של המתחם. בא-כוח הנאשם הוסיף והפנה לעובדה שהנאשם הודה בכתב האישום המתוקן, חסך זמן שיפוטי ולקח אחריות מלאה על מעשיו, כמו גם לתקופה הארוכה בה הוא מצוי במעצר עד תום ההליכים, מאחורי סורג ובריח, על הקשיים העולים מכך.</w:t>
      </w:r>
    </w:p>
    <w:p w14:paraId="529F2831" w14:textId="77777777" w:rsidR="000864AB" w:rsidRDefault="000864AB" w:rsidP="000864AB">
      <w:pPr>
        <w:pStyle w:val="a8"/>
        <w:spacing w:line="360" w:lineRule="auto"/>
        <w:jc w:val="both"/>
        <w:rPr>
          <w:rFonts w:ascii="FrankRuehl" w:hAnsi="FrankRuehl" w:cs="FrankRuehl"/>
          <w:sz w:val="28"/>
          <w:szCs w:val="28"/>
          <w:rtl/>
        </w:rPr>
      </w:pPr>
    </w:p>
    <w:p w14:paraId="3ED5C10F"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מכל האמור ביקש בא-כוח הנאשם להתחשב בנאשם ולהימנע ממיצוי הדין עמו. הוסיף כי מצבו הכלכלי הקשה והעובדה כי לנאשם אין משפחה או תמיכה כלכלית, מטים את הכף להימנעות מהטלת קנס. </w:t>
      </w:r>
    </w:p>
    <w:p w14:paraId="295C2D73" w14:textId="77777777" w:rsidR="000864AB" w:rsidRDefault="000864AB" w:rsidP="000864AB">
      <w:pPr>
        <w:spacing w:line="360" w:lineRule="auto"/>
        <w:jc w:val="both"/>
        <w:rPr>
          <w:rFonts w:ascii="FrankRuehl" w:hAnsi="FrankRuehl" w:cs="FrankRuehl"/>
          <w:sz w:val="28"/>
          <w:szCs w:val="28"/>
          <w:rtl/>
        </w:rPr>
      </w:pPr>
    </w:p>
    <w:p w14:paraId="504855D0" w14:textId="77777777" w:rsidR="000864AB" w:rsidRDefault="000864AB" w:rsidP="000864AB">
      <w:pPr>
        <w:spacing w:line="360" w:lineRule="auto"/>
        <w:jc w:val="both"/>
        <w:rPr>
          <w:rFonts w:ascii="Miriam" w:hAnsi="Miriam" w:cs="Miriam"/>
          <w:rtl/>
        </w:rPr>
      </w:pPr>
      <w:r>
        <w:rPr>
          <w:rFonts w:ascii="Miriam" w:hAnsi="Miriam" w:cs="Miriam"/>
          <w:rtl/>
        </w:rPr>
        <w:t>דבר הנאשם</w:t>
      </w:r>
    </w:p>
    <w:p w14:paraId="0210FFE2" w14:textId="77777777" w:rsidR="000864AB" w:rsidRDefault="000864AB" w:rsidP="000864AB">
      <w:pPr>
        <w:spacing w:line="360" w:lineRule="auto"/>
        <w:jc w:val="both"/>
        <w:rPr>
          <w:rFonts w:ascii="FrankRuehl" w:hAnsi="FrankRuehl" w:cs="FrankRuehl"/>
          <w:sz w:val="28"/>
          <w:szCs w:val="28"/>
          <w:rtl/>
        </w:rPr>
      </w:pPr>
    </w:p>
    <w:p w14:paraId="6135231E"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5.       הנאשם טען כי טעה והפיק את הלקחים וביקש את הבנת בית המשפט. לטענתו, הכין את בקבוקי התבערה, אולם לא התכוון לעשות עמם דבר. </w:t>
      </w:r>
    </w:p>
    <w:p w14:paraId="4E912192" w14:textId="77777777" w:rsidR="000864AB" w:rsidRDefault="000864AB" w:rsidP="000864AB">
      <w:pPr>
        <w:spacing w:line="360" w:lineRule="auto"/>
        <w:jc w:val="both"/>
        <w:rPr>
          <w:rFonts w:ascii="FrankRuehl" w:hAnsi="FrankRuehl" w:cs="FrankRuehl"/>
          <w:sz w:val="28"/>
          <w:szCs w:val="28"/>
          <w:rtl/>
        </w:rPr>
      </w:pPr>
    </w:p>
    <w:p w14:paraId="30C1CF8F" w14:textId="77777777" w:rsidR="000864AB" w:rsidRDefault="000864AB" w:rsidP="000864AB">
      <w:pPr>
        <w:spacing w:line="360" w:lineRule="auto"/>
        <w:jc w:val="both"/>
        <w:rPr>
          <w:rFonts w:ascii="Miriam" w:hAnsi="Miriam" w:cs="Miriam"/>
          <w:rtl/>
        </w:rPr>
      </w:pPr>
      <w:r>
        <w:rPr>
          <w:rFonts w:ascii="Miriam" w:hAnsi="Miriam" w:cs="Miriam"/>
          <w:rtl/>
        </w:rPr>
        <w:t>דיון והכרעה</w:t>
      </w:r>
    </w:p>
    <w:p w14:paraId="16445B8C" w14:textId="77777777" w:rsidR="000864AB" w:rsidRDefault="000864AB" w:rsidP="000864AB">
      <w:pPr>
        <w:spacing w:line="360" w:lineRule="auto"/>
        <w:jc w:val="both"/>
        <w:rPr>
          <w:rFonts w:ascii="FrankRuehl" w:hAnsi="FrankRuehl" w:cs="FrankRuehl"/>
          <w:b/>
          <w:bCs/>
          <w:sz w:val="28"/>
          <w:szCs w:val="28"/>
          <w:rtl/>
        </w:rPr>
      </w:pPr>
    </w:p>
    <w:p w14:paraId="5778BEFC"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6.        טרם אפנה לקביעת מתחם העונש ההולם בעבירות הנשק בהן הורשע הנאשם, מצאתי להתייחס בתמצית לעבירת הסמים בה הורשע, לאחר שבביתו נמצא סם מסוג קנבוס במשקל של 15 גרם נטו, לצריכה עצמית. לנוכח סוג הסם והכמות המזערית שנתפסה, לא מצאתי בנסיבות העניין צורך לקבוע מתחם עונש הולם בשל ההרשעה בעבירה זו, אשר תילקח בחשבון בעת גזירת עונשו של הנאשם. </w:t>
      </w:r>
    </w:p>
    <w:p w14:paraId="4E439B11" w14:textId="77777777" w:rsidR="000864AB" w:rsidRDefault="000864AB" w:rsidP="000864AB">
      <w:pPr>
        <w:spacing w:line="360" w:lineRule="auto"/>
        <w:jc w:val="both"/>
        <w:rPr>
          <w:rFonts w:ascii="FrankRuehl" w:hAnsi="FrankRuehl" w:cs="FrankRuehl"/>
          <w:b/>
          <w:bCs/>
          <w:sz w:val="28"/>
          <w:szCs w:val="28"/>
          <w:rtl/>
        </w:rPr>
      </w:pPr>
    </w:p>
    <w:p w14:paraId="12A0CCFF" w14:textId="77777777" w:rsidR="000864AB" w:rsidRDefault="000864AB" w:rsidP="000864AB">
      <w:pPr>
        <w:spacing w:line="360" w:lineRule="auto"/>
        <w:jc w:val="both"/>
        <w:rPr>
          <w:rFonts w:ascii="Miriam" w:hAnsi="Miriam" w:cs="Miriam"/>
          <w:rtl/>
        </w:rPr>
      </w:pPr>
      <w:r>
        <w:rPr>
          <w:rFonts w:ascii="Miriam" w:hAnsi="Miriam" w:cs="Miriam"/>
          <w:rtl/>
        </w:rPr>
        <w:t>קביעת מתחם עונש הולם</w:t>
      </w:r>
    </w:p>
    <w:p w14:paraId="3DE502BE" w14:textId="77777777" w:rsidR="000864AB" w:rsidRDefault="000864AB" w:rsidP="000864AB">
      <w:pPr>
        <w:spacing w:line="360" w:lineRule="auto"/>
        <w:jc w:val="both"/>
        <w:rPr>
          <w:rFonts w:ascii="FrankRuehl" w:hAnsi="FrankRuehl" w:cs="FrankRuehl"/>
          <w:sz w:val="28"/>
          <w:szCs w:val="28"/>
          <w:rtl/>
        </w:rPr>
      </w:pPr>
    </w:p>
    <w:p w14:paraId="15A6FE08"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7.          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p>
    <w:p w14:paraId="426C2590" w14:textId="77777777" w:rsidR="000864AB" w:rsidRDefault="000864AB" w:rsidP="000864AB">
      <w:pPr>
        <w:spacing w:line="360" w:lineRule="auto"/>
        <w:jc w:val="both"/>
        <w:rPr>
          <w:rFonts w:ascii="FrankRuehl" w:hAnsi="FrankRuehl" w:cs="FrankRuehl"/>
          <w:sz w:val="28"/>
          <w:szCs w:val="28"/>
          <w:rtl/>
        </w:rPr>
      </w:pPr>
    </w:p>
    <w:p w14:paraId="49E9E90B" w14:textId="77777777" w:rsidR="000864AB" w:rsidRPr="00707AAC" w:rsidRDefault="000864AB" w:rsidP="000864AB">
      <w:pPr>
        <w:spacing w:line="360" w:lineRule="auto"/>
        <w:jc w:val="both"/>
        <w:rPr>
          <w:rFonts w:ascii="Miriam" w:hAnsi="Miriam" w:cs="Miriam"/>
          <w:sz w:val="28"/>
          <w:szCs w:val="28"/>
        </w:rPr>
      </w:pPr>
      <w:r w:rsidRPr="00707AAC">
        <w:rPr>
          <w:rFonts w:ascii="Miriam" w:hAnsi="Miriam" w:cs="Miriam"/>
          <w:rtl/>
        </w:rPr>
        <w:t>הערכים המוגנים שנפגעו ומידת הפגיעה בהם</w:t>
      </w:r>
    </w:p>
    <w:p w14:paraId="2D9E1BC5" w14:textId="77777777" w:rsidR="000864AB" w:rsidRPr="00707AAC" w:rsidRDefault="000864AB" w:rsidP="000864AB">
      <w:pPr>
        <w:spacing w:line="360" w:lineRule="auto"/>
        <w:jc w:val="both"/>
        <w:rPr>
          <w:rFonts w:ascii="FrankRuehl" w:hAnsi="FrankRuehl" w:cs="FrankRuehl"/>
          <w:sz w:val="28"/>
          <w:szCs w:val="28"/>
          <w:rtl/>
        </w:rPr>
      </w:pPr>
    </w:p>
    <w:p w14:paraId="259C271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8.        הערכים החברתיים המוגנים שנפגעו כתוצאה מהעבירות שביצע הנאשם עניינם ההגנה על גופו, שלומו, וקניינו של הציבור, כמו גם על תחושת הביטחון האישי במרחב הציבורי. זאת בשל הפוטנציאל הקטלני הטמון בהחזקת נשק בלתי חוקי, כולל בקבוקי תבערה, אשר זמינותם אף מעודדת את השימוש בהם. לעניין זה כבר נקבע:</w:t>
      </w:r>
    </w:p>
    <w:p w14:paraId="72936A20" w14:textId="77777777" w:rsidR="000864AB" w:rsidRDefault="000864AB" w:rsidP="000864AB">
      <w:pPr>
        <w:spacing w:line="360" w:lineRule="auto"/>
        <w:jc w:val="both"/>
        <w:rPr>
          <w:rFonts w:ascii="FrankRuehl" w:hAnsi="FrankRuehl" w:cs="FrankRuehl"/>
          <w:sz w:val="28"/>
          <w:szCs w:val="28"/>
          <w:rtl/>
        </w:rPr>
      </w:pPr>
    </w:p>
    <w:p w14:paraId="1C5B3B3F"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"על חומרתן הרבה של עבירות הנשק עמד בית משפט זה פעם אחר פעם. עבירות אלו הפכו זה מכבר ל"מכת מדינה" בחברה הישראלית (</w:t>
      </w:r>
      <w:hyperlink r:id="rId20" w:history="1">
        <w:r w:rsidR="00C767D4" w:rsidRPr="00C767D4">
          <w:rPr>
            <w:rFonts w:ascii="FrankRuehl" w:hAnsi="FrankRuehl" w:cs="FrankRuehl"/>
            <w:color w:val="0000FF"/>
            <w:spacing w:val="10"/>
            <w:sz w:val="28"/>
            <w:szCs w:val="28"/>
            <w:u w:val="single"/>
            <w:rtl/>
          </w:rPr>
          <w:t>ע"פ 4406/19</w:t>
        </w:r>
      </w:hyperlink>
      <w:r>
        <w:rPr>
          <w:rFonts w:ascii="FrankRuehl" w:hAnsi="FrankRuehl" w:cs="FrankRuehl"/>
          <w:color w:val="000000"/>
          <w:spacing w:val="10"/>
          <w:sz w:val="28"/>
          <w:szCs w:val="28"/>
          <w:rtl/>
        </w:rPr>
        <w:t xml:space="preserve"> מדינת ישראל נ' סובח, פסקה 16 [פורסם בנבו]</w:t>
      </w:r>
      <w:r>
        <w:rPr>
          <w:rFonts w:ascii="FrankRuehl" w:hAnsi="FrankRuehl" w:cs="FrankRuehl"/>
          <w:color w:val="000000"/>
          <w:spacing w:val="10"/>
          <w:sz w:val="28"/>
          <w:szCs w:val="28"/>
        </w:rPr>
        <w:t xml:space="preserve">(5.11.2019) </w:t>
      </w:r>
      <w:r>
        <w:rPr>
          <w:rFonts w:ascii="FrankRuehl" w:hAnsi="FrankRuehl" w:cs="FrankRuehl"/>
          <w:color w:val="000000"/>
          <w:spacing w:val="10"/>
          <w:sz w:val="28"/>
          <w:szCs w:val="28"/>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1" w:history="1">
        <w:r w:rsidR="00C767D4" w:rsidRPr="00C767D4">
          <w:rPr>
            <w:rFonts w:ascii="FrankRuehl" w:hAnsi="FrankRuehl" w:cs="FrankRuehl"/>
            <w:color w:val="0000FF"/>
            <w:spacing w:val="10"/>
            <w:sz w:val="28"/>
            <w:szCs w:val="28"/>
            <w:u w:val="single"/>
            <w:rtl/>
          </w:rPr>
          <w:t>ע"פ 2165/23</w:t>
        </w:r>
      </w:hyperlink>
      <w:r>
        <w:rPr>
          <w:rFonts w:ascii="FrankRuehl" w:hAnsi="FrankRuehl" w:cs="FrankRuehl"/>
          <w:color w:val="000000"/>
          <w:spacing w:val="10"/>
          <w:sz w:val="28"/>
          <w:szCs w:val="28"/>
          <w:rtl/>
        </w:rPr>
        <w:t xml:space="preserve"> </w:t>
      </w:r>
      <w:r>
        <w:rPr>
          <w:rFonts w:ascii="Miriam" w:hAnsi="Miriam" w:cs="Miriam"/>
          <w:color w:val="000000"/>
          <w:spacing w:val="10"/>
          <w:rtl/>
        </w:rPr>
        <w:t>מדינת ישראל נ' בלאל</w:t>
      </w:r>
      <w:r>
        <w:rPr>
          <w:rFonts w:ascii="FrankRuehl" w:hAnsi="FrankRuehl" w:cs="FrankRuehl"/>
          <w:color w:val="000000"/>
          <w:spacing w:val="10"/>
          <w:sz w:val="28"/>
          <w:szCs w:val="28"/>
          <w:rtl/>
        </w:rPr>
        <w:t xml:space="preserve"> (4.5.2023).</w:t>
      </w:r>
    </w:p>
    <w:p w14:paraId="72FCAFD5" w14:textId="77777777" w:rsidR="000864AB" w:rsidRDefault="000864AB" w:rsidP="000864AB">
      <w:pPr>
        <w:spacing w:line="360" w:lineRule="auto"/>
        <w:jc w:val="both"/>
        <w:rPr>
          <w:rFonts w:ascii="Miriam" w:hAnsi="Miriam" w:cs="Miriam"/>
          <w:b/>
          <w:bCs/>
          <w:rtl/>
        </w:rPr>
      </w:pPr>
    </w:p>
    <w:p w14:paraId="62F27750" w14:textId="77777777" w:rsidR="000864AB" w:rsidRDefault="000864AB" w:rsidP="000864AB">
      <w:pPr>
        <w:spacing w:line="360" w:lineRule="auto"/>
        <w:jc w:val="both"/>
        <w:rPr>
          <w:rFonts w:ascii="Miriam" w:hAnsi="Miriam" w:cs="Miriam"/>
          <w:b/>
          <w:bCs/>
          <w:rtl/>
        </w:rPr>
      </w:pPr>
    </w:p>
    <w:p w14:paraId="0AD81880" w14:textId="77777777" w:rsidR="000864AB" w:rsidRDefault="000864AB" w:rsidP="000864AB">
      <w:pPr>
        <w:spacing w:line="360" w:lineRule="auto"/>
        <w:jc w:val="both"/>
        <w:rPr>
          <w:rFonts w:ascii="Miriam" w:hAnsi="Miriam" w:cs="Miriam"/>
          <w:rtl/>
        </w:rPr>
      </w:pPr>
      <w:r>
        <w:rPr>
          <w:rFonts w:ascii="Miriam" w:hAnsi="Miriam" w:cs="Miriam"/>
          <w:rtl/>
        </w:rPr>
        <w:t>הנסיבות הקשורות בביצוע העבירה</w:t>
      </w:r>
    </w:p>
    <w:p w14:paraId="1F309136" w14:textId="77777777" w:rsidR="000864AB" w:rsidRDefault="000864AB" w:rsidP="000864AB">
      <w:pPr>
        <w:spacing w:line="360" w:lineRule="auto"/>
        <w:jc w:val="both"/>
        <w:rPr>
          <w:rFonts w:ascii="FrankRuehl" w:hAnsi="FrankRuehl" w:cs="FrankRuehl"/>
          <w:b/>
          <w:bCs/>
          <w:sz w:val="28"/>
          <w:szCs w:val="28"/>
          <w:rtl/>
        </w:rPr>
      </w:pPr>
    </w:p>
    <w:p w14:paraId="253F8CA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9.        לא יכול להיות חולק באשר לחומרת מעשיו של הנאשם, אשר ייצר מספר רב של בקבוקי תבערה והחזיק אותם בביתו, כשהם זמינים לשימוש מיידי. בשים לב להכנה המ</w:t>
      </w:r>
      <w:r>
        <w:rPr>
          <w:rFonts w:ascii="FrankRuehl" w:hAnsi="FrankRuehl" w:cs="FrankRuehl" w:hint="cs"/>
          <w:sz w:val="28"/>
          <w:szCs w:val="28"/>
          <w:rtl/>
        </w:rPr>
        <w:t>דו</w:t>
      </w:r>
      <w:r>
        <w:rPr>
          <w:rFonts w:ascii="FrankRuehl" w:hAnsi="FrankRuehl" w:cs="FrankRuehl"/>
          <w:sz w:val="28"/>
          <w:szCs w:val="28"/>
          <w:rtl/>
        </w:rPr>
        <w:t>קדקת ולכמות בקבוקי התבערה שנתפסו בביתו של הנאשם, חזקה כי אלו יוצרו על מנת לעשות בהם שימוש, ולא ניתן לקבל את טענת הנאשם, לפיה לא התכוון לעשות עם בקבוקי התבערה שייצר דבר.</w:t>
      </w:r>
    </w:p>
    <w:p w14:paraId="12029EF5" w14:textId="77777777" w:rsidR="000864AB" w:rsidRDefault="000864AB" w:rsidP="000864AB">
      <w:pPr>
        <w:spacing w:line="360" w:lineRule="auto"/>
        <w:jc w:val="both"/>
        <w:rPr>
          <w:rFonts w:ascii="FrankRuehl" w:hAnsi="FrankRuehl" w:cs="FrankRuehl"/>
          <w:sz w:val="28"/>
          <w:szCs w:val="28"/>
          <w:rtl/>
        </w:rPr>
      </w:pPr>
    </w:p>
    <w:p w14:paraId="0998E5C3"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אשר לנזק שנגרם או צפו</w:t>
      </w:r>
      <w:r>
        <w:rPr>
          <w:rFonts w:ascii="FrankRuehl" w:hAnsi="FrankRuehl" w:cs="FrankRuehl" w:hint="cs"/>
          <w:sz w:val="28"/>
          <w:szCs w:val="28"/>
          <w:rtl/>
        </w:rPr>
        <w:t>י</w:t>
      </w:r>
      <w:r>
        <w:rPr>
          <w:rFonts w:ascii="FrankRuehl" w:hAnsi="FrankRuehl" w:cs="FrankRuehl"/>
          <w:sz w:val="28"/>
          <w:szCs w:val="28"/>
          <w:rtl/>
        </w:rPr>
        <w:t xml:space="preserve"> היה להיגרם מביצוע העבירה, הרי שבפועל, מקום בו בקבוקי התבערה נתפסו בטרם נעשה בהם שימוש, לא נגרם כל נזק קונרקטי. עם זאת, ושוב, בשים לב לכמות הבקבוקים שנתפסה, ברור כי פוטנציאל הנזק לגוף ולרכוש הינו גבוה, כאשר עסקינן בנשק אשר השימוש בו עלול לגרום לפגיעה קשה </w:t>
      </w:r>
      <w:r>
        <w:rPr>
          <w:rFonts w:ascii="FrankRuehl" w:hAnsi="FrankRuehl" w:cs="FrankRuehl" w:hint="cs"/>
          <w:sz w:val="28"/>
          <w:szCs w:val="28"/>
          <w:rtl/>
        </w:rPr>
        <w:t>בגוף וברכוש.</w:t>
      </w:r>
    </w:p>
    <w:p w14:paraId="49B32BA0" w14:textId="77777777" w:rsidR="000864AB" w:rsidRDefault="000864AB" w:rsidP="000864AB">
      <w:pPr>
        <w:spacing w:line="360" w:lineRule="auto"/>
        <w:jc w:val="both"/>
        <w:rPr>
          <w:rFonts w:ascii="FrankRuehl" w:hAnsi="FrankRuehl" w:cs="FrankRuehl"/>
          <w:sz w:val="28"/>
          <w:szCs w:val="28"/>
          <w:rtl/>
        </w:rPr>
      </w:pPr>
    </w:p>
    <w:p w14:paraId="799D8565" w14:textId="77777777" w:rsidR="000864AB" w:rsidRDefault="000864AB" w:rsidP="000864AB">
      <w:pPr>
        <w:spacing w:line="360" w:lineRule="auto"/>
        <w:jc w:val="both"/>
        <w:rPr>
          <w:rFonts w:ascii="Miriam" w:hAnsi="Miriam" w:cs="Miriam"/>
          <w:rtl/>
        </w:rPr>
      </w:pPr>
      <w:r>
        <w:rPr>
          <w:rFonts w:ascii="Miriam" w:hAnsi="Miriam" w:cs="Miriam"/>
          <w:rtl/>
        </w:rPr>
        <w:t>מדיניות הענישה הנוהגת</w:t>
      </w:r>
    </w:p>
    <w:p w14:paraId="2B135F97" w14:textId="77777777" w:rsidR="000864AB" w:rsidRDefault="000864AB" w:rsidP="000864AB">
      <w:pPr>
        <w:spacing w:line="360" w:lineRule="auto"/>
        <w:jc w:val="both"/>
        <w:rPr>
          <w:rFonts w:ascii="FrankRuehl" w:hAnsi="FrankRuehl" w:cs="FrankRuehl"/>
          <w:sz w:val="28"/>
          <w:szCs w:val="28"/>
          <w:rtl/>
        </w:rPr>
      </w:pPr>
    </w:p>
    <w:p w14:paraId="2146ECEA"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10.      בפסיקה שניתנה לאחרונה, עמד בית המשפט העליון על מצב החירום בו מצויה מדינת ישראל בכל הקשור לעבירות בנשק, אשר מחייב החמרה בענישה המוטלת על המורשעים בהן:</w:t>
      </w:r>
    </w:p>
    <w:p w14:paraId="38FB844E" w14:textId="77777777" w:rsidR="000864AB" w:rsidRDefault="000864AB" w:rsidP="000864AB">
      <w:pPr>
        <w:pStyle w:val="Ruller4"/>
        <w:rPr>
          <w:rFonts w:ascii="FrankRuehl" w:hAnsi="FrankRuehl"/>
          <w:noProof/>
          <w:spacing w:val="0"/>
          <w:sz w:val="28"/>
          <w:rtl/>
        </w:rPr>
      </w:pPr>
    </w:p>
    <w:p w14:paraId="240F8020"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Pr>
      </w:pPr>
      <w:r>
        <w:rPr>
          <w:rFonts w:ascii="FrankRuehl" w:hAnsi="FrankRuehl" w:cs="FrankRuehl"/>
          <w:color w:val="000000"/>
          <w:spacing w:val="10"/>
          <w:sz w:val="28"/>
          <w:szCs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w:t>
      </w:r>
      <w:hyperlink r:id="rId22" w:history="1">
        <w:r w:rsidR="00C767D4" w:rsidRPr="00C767D4">
          <w:rPr>
            <w:rFonts w:ascii="FrankRuehl" w:hAnsi="FrankRuehl" w:cs="FrankRuehl"/>
            <w:color w:val="0000FF"/>
            <w:spacing w:val="10"/>
            <w:sz w:val="28"/>
            <w:szCs w:val="28"/>
            <w:u w:val="single"/>
            <w:rtl/>
          </w:rPr>
          <w:t>ע"פ 6383/21</w:t>
        </w:r>
      </w:hyperlink>
      <w:r>
        <w:rPr>
          <w:rFonts w:ascii="FrankRuehl" w:hAnsi="FrankRuehl" w:cs="FrankRuehl"/>
          <w:color w:val="000000"/>
          <w:spacing w:val="10"/>
          <w:sz w:val="28"/>
          <w:szCs w:val="28"/>
          <w:rtl/>
        </w:rPr>
        <w:t xml:space="preserve"> </w:t>
      </w:r>
      <w:r>
        <w:rPr>
          <w:rFonts w:ascii="Miriam" w:hAnsi="Miriam" w:cs="Miriam"/>
          <w:color w:val="000000"/>
          <w:spacing w:val="10"/>
          <w:rtl/>
        </w:rPr>
        <w:t>קרויף נ' מדינת ישראל</w:t>
      </w:r>
      <w:r>
        <w:rPr>
          <w:rFonts w:ascii="FrankRuehl" w:hAnsi="FrankRuehl" w:cs="FrankRuehl"/>
          <w:color w:val="000000"/>
          <w:spacing w:val="10"/>
          <w:sz w:val="28"/>
          <w:szCs w:val="28"/>
          <w:rtl/>
        </w:rPr>
        <w:t xml:space="preserve"> (13.2.202)).</w:t>
      </w:r>
    </w:p>
    <w:p w14:paraId="01B312A9" w14:textId="77777777" w:rsidR="000864AB" w:rsidRDefault="000864AB" w:rsidP="000864AB">
      <w:pPr>
        <w:pStyle w:val="ruller5"/>
        <w:bidi/>
        <w:spacing w:before="0" w:beforeAutospacing="0" w:after="0" w:afterAutospacing="0"/>
        <w:ind w:right="1282"/>
        <w:jc w:val="both"/>
        <w:rPr>
          <w:rFonts w:ascii="FrankRuehl" w:hAnsi="FrankRuehl" w:cs="FrankRuehl"/>
          <w:color w:val="000000"/>
          <w:spacing w:val="10"/>
          <w:sz w:val="28"/>
          <w:szCs w:val="28"/>
          <w:rtl/>
        </w:rPr>
      </w:pPr>
    </w:p>
    <w:p w14:paraId="4DDF985D" w14:textId="77777777" w:rsidR="000864AB" w:rsidRDefault="000864AB" w:rsidP="000864AB">
      <w:pPr>
        <w:pStyle w:val="ruller5"/>
        <w:bidi/>
        <w:spacing w:before="0" w:beforeAutospacing="0" w:after="0" w:afterAutospacing="0" w:line="360" w:lineRule="auto"/>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באופן ספציפי, אף נקבע כי עבירות נשק שעניינן בקבוקי תבערה, מחייבות ענישה מחמירה:</w:t>
      </w:r>
    </w:p>
    <w:p w14:paraId="15E4FFC2" w14:textId="77777777" w:rsidR="000864AB" w:rsidRDefault="000864AB" w:rsidP="000864AB">
      <w:pPr>
        <w:pStyle w:val="ruller5"/>
        <w:bidi/>
        <w:spacing w:before="0" w:beforeAutospacing="0" w:after="0" w:afterAutospacing="0"/>
        <w:ind w:right="1282"/>
        <w:jc w:val="both"/>
        <w:rPr>
          <w:rFonts w:ascii="David" w:hAnsi="David" w:cs="David"/>
          <w:noProof/>
          <w:rtl/>
        </w:rPr>
      </w:pPr>
    </w:p>
    <w:p w14:paraId="0D346309"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 (</w:t>
      </w:r>
      <w:hyperlink r:id="rId23" w:history="1">
        <w:r w:rsidR="00C767D4" w:rsidRPr="00C767D4">
          <w:rPr>
            <w:rFonts w:ascii="FrankRuehl" w:hAnsi="FrankRuehl" w:cs="FrankRuehl"/>
            <w:color w:val="0000FF"/>
            <w:spacing w:val="10"/>
            <w:sz w:val="28"/>
            <w:szCs w:val="28"/>
            <w:u w:val="single"/>
            <w:rtl/>
          </w:rPr>
          <w:t>ע"פ 262/06</w:t>
        </w:r>
      </w:hyperlink>
      <w:r>
        <w:rPr>
          <w:rFonts w:ascii="FrankRuehl" w:hAnsi="FrankRuehl" w:cs="FrankRuehl"/>
          <w:color w:val="000000"/>
          <w:spacing w:val="10"/>
          <w:sz w:val="28"/>
          <w:szCs w:val="28"/>
          <w:rtl/>
        </w:rPr>
        <w:t xml:space="preserve"> </w:t>
      </w:r>
      <w:r>
        <w:rPr>
          <w:rFonts w:ascii="Miriam" w:hAnsi="Miriam" w:cs="Miriam"/>
          <w:color w:val="000000"/>
          <w:spacing w:val="10"/>
          <w:rtl/>
        </w:rPr>
        <w:t>פלוני נ' מדינת ישראל</w:t>
      </w:r>
      <w:r>
        <w:rPr>
          <w:rFonts w:ascii="FrankRuehl" w:hAnsi="FrankRuehl" w:cs="FrankRuehl"/>
          <w:color w:val="000000"/>
          <w:spacing w:val="10"/>
          <w:sz w:val="28"/>
          <w:szCs w:val="28"/>
          <w:rtl/>
        </w:rPr>
        <w:t xml:space="preserve"> (6.7.2006)).</w:t>
      </w:r>
    </w:p>
    <w:p w14:paraId="2DC81488" w14:textId="77777777" w:rsidR="000864AB" w:rsidRDefault="000864AB" w:rsidP="000864AB">
      <w:pPr>
        <w:pStyle w:val="ruller5"/>
        <w:bidi/>
        <w:spacing w:before="0" w:beforeAutospacing="0" w:after="0" w:afterAutospacing="0"/>
        <w:ind w:right="1282"/>
        <w:jc w:val="both"/>
        <w:rPr>
          <w:rFonts w:ascii="David" w:hAnsi="David" w:cs="David"/>
          <w:noProof/>
          <w:rtl/>
        </w:rPr>
      </w:pPr>
    </w:p>
    <w:p w14:paraId="6FC86B16" w14:textId="77777777" w:rsidR="000864AB" w:rsidRDefault="000864AB" w:rsidP="000864AB">
      <w:pPr>
        <w:pStyle w:val="ruller5"/>
        <w:bidi/>
        <w:spacing w:before="0" w:beforeAutospacing="0" w:after="0" w:afterAutospacing="0"/>
        <w:ind w:right="1282"/>
        <w:jc w:val="both"/>
        <w:rPr>
          <w:rFonts w:ascii="FrankRuehl" w:hAnsi="FrankRuehl" w:cs="FrankRuehl"/>
          <w:color w:val="000000"/>
          <w:spacing w:val="10"/>
          <w:sz w:val="28"/>
          <w:szCs w:val="28"/>
          <w:rtl/>
        </w:rPr>
      </w:pPr>
    </w:p>
    <w:p w14:paraId="76C12858"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11.       על רקע המגמה להחמיר בעונשם של מבצעי עבירות נשק, נכנס לתוקף ביום 8.12.2021 תיקון 140 ל</w:t>
      </w:r>
      <w:hyperlink r:id="rId24"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w:t>
      </w:r>
      <w:r>
        <w:rPr>
          <w:rFonts w:ascii="FrankRuehl" w:hAnsi="FrankRuehl" w:cs="FrankRuehl" w:hint="cs"/>
          <w:sz w:val="28"/>
          <w:szCs w:val="28"/>
          <w:rtl/>
        </w:rPr>
        <w:t xml:space="preserve">החל בעניינינו, </w:t>
      </w:r>
      <w:r>
        <w:rPr>
          <w:rFonts w:ascii="FrankRuehl" w:hAnsi="FrankRuehl" w:cs="FrankRuehl"/>
          <w:sz w:val="28"/>
          <w:szCs w:val="28"/>
          <w:rtl/>
        </w:rPr>
        <w:t>הק</w:t>
      </w:r>
      <w:r>
        <w:rPr>
          <w:rFonts w:ascii="FrankRuehl" w:hAnsi="FrankRuehl" w:cs="FrankRuehl" w:hint="cs"/>
          <w:sz w:val="28"/>
          <w:szCs w:val="28"/>
          <w:rtl/>
        </w:rPr>
        <w:t>ו</w:t>
      </w:r>
      <w:r>
        <w:rPr>
          <w:rFonts w:ascii="FrankRuehl" w:hAnsi="FrankRuehl" w:cs="FrankRuehl"/>
          <w:sz w:val="28"/>
          <w:szCs w:val="28"/>
          <w:rtl/>
        </w:rPr>
        <w:t>בע עונש מ</w:t>
      </w:r>
      <w:r>
        <w:rPr>
          <w:rFonts w:ascii="FrankRuehl" w:hAnsi="FrankRuehl" w:cs="FrankRuehl" w:hint="cs"/>
          <w:sz w:val="28"/>
          <w:szCs w:val="28"/>
          <w:rtl/>
        </w:rPr>
        <w:t>זערי</w:t>
      </w:r>
      <w:r>
        <w:rPr>
          <w:rFonts w:ascii="FrankRuehl" w:hAnsi="FrankRuehl" w:cs="FrankRuehl"/>
          <w:sz w:val="28"/>
          <w:szCs w:val="28"/>
          <w:rtl/>
        </w:rPr>
        <w:t xml:space="preserve"> שלא יפחת מרבע העונש המרבי שנקבע </w:t>
      </w:r>
      <w:r>
        <w:rPr>
          <w:rFonts w:ascii="FrankRuehl" w:hAnsi="FrankRuehl" w:cs="FrankRuehl" w:hint="cs"/>
          <w:sz w:val="28"/>
          <w:szCs w:val="28"/>
          <w:rtl/>
        </w:rPr>
        <w:t>בצד ה</w:t>
      </w:r>
      <w:r>
        <w:rPr>
          <w:rFonts w:ascii="FrankRuehl" w:hAnsi="FrankRuehl" w:cs="FrankRuehl"/>
          <w:sz w:val="28"/>
          <w:szCs w:val="28"/>
          <w:rtl/>
        </w:rPr>
        <w:t xml:space="preserve">עבירה הספציפית. </w:t>
      </w:r>
    </w:p>
    <w:p w14:paraId="6B35B3D3" w14:textId="77777777" w:rsidR="000864AB" w:rsidRDefault="000864AB" w:rsidP="000864AB">
      <w:pPr>
        <w:spacing w:line="360" w:lineRule="auto"/>
        <w:jc w:val="both"/>
        <w:rPr>
          <w:rFonts w:ascii="FrankRuehl" w:hAnsi="FrankRuehl" w:cs="FrankRuehl"/>
          <w:sz w:val="28"/>
          <w:szCs w:val="28"/>
          <w:rtl/>
        </w:rPr>
      </w:pPr>
    </w:p>
    <w:p w14:paraId="0640893C"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12.       ב</w:t>
      </w:r>
      <w:hyperlink r:id="rId25" w:history="1">
        <w:r w:rsidR="00C767D4" w:rsidRPr="00C767D4">
          <w:rPr>
            <w:rFonts w:ascii="FrankRuehl" w:hAnsi="FrankRuehl" w:cs="FrankRuehl"/>
            <w:color w:val="0000FF"/>
            <w:sz w:val="28"/>
            <w:szCs w:val="28"/>
            <w:u w:val="single"/>
            <w:rtl/>
          </w:rPr>
          <w:t>ת"פ (מחוזי ים) 64303-01-22</w:t>
        </w:r>
      </w:hyperlink>
      <w:r>
        <w:rPr>
          <w:rFonts w:ascii="FrankRuehl" w:hAnsi="FrankRuehl" w:cs="FrankRuehl"/>
          <w:sz w:val="28"/>
          <w:szCs w:val="28"/>
          <w:rtl/>
        </w:rPr>
        <w:t xml:space="preserve"> </w:t>
      </w:r>
      <w:r>
        <w:rPr>
          <w:rFonts w:ascii="Miriam" w:hAnsi="Miriam" w:cs="Miriam"/>
          <w:rtl/>
        </w:rPr>
        <w:t>מדינת ישראל נ' חמאדה</w:t>
      </w:r>
      <w:r>
        <w:rPr>
          <w:rFonts w:ascii="FrankRuehl" w:hAnsi="FrankRuehl" w:cs="FrankRuehl"/>
          <w:sz w:val="28"/>
          <w:szCs w:val="28"/>
          <w:rtl/>
        </w:rPr>
        <w:t xml:space="preserve"> (28.9.2022), נדון עניינו של נאשם שהורשע בעבירות ייצור נשק, נסיון הצתה וחבלה במזיד ברכב, לאחר שבעקבות סכסוך שכנים, ייצר בקבוק תבערה והשליך אותו לעבר רכבו של המתלונן. בקבוק התבערה פגע ברכב, גרם לשריטה בו והתגלגל במורד הרחוב. בית המשפט קבע מתחם עונש הולם הנע בין 24 ל- 50 חודשי מאסר, והשית על הנאשם 30 חודשי מאסר בפועל, לצד עונשים נלווים.</w:t>
      </w:r>
    </w:p>
    <w:p w14:paraId="74DD85B4" w14:textId="77777777" w:rsidR="000864AB" w:rsidRDefault="000864AB" w:rsidP="000864AB">
      <w:pPr>
        <w:spacing w:line="360" w:lineRule="auto"/>
        <w:jc w:val="both"/>
        <w:rPr>
          <w:rFonts w:ascii="FrankRuehl" w:hAnsi="FrankRuehl" w:cs="FrankRuehl"/>
          <w:sz w:val="28"/>
          <w:szCs w:val="28"/>
          <w:rtl/>
        </w:rPr>
      </w:pPr>
    </w:p>
    <w:p w14:paraId="715F5275"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13.       ב</w:t>
      </w:r>
      <w:hyperlink r:id="rId26" w:history="1">
        <w:r w:rsidR="00C767D4" w:rsidRPr="00C767D4">
          <w:rPr>
            <w:rFonts w:ascii="FrankRuehl" w:hAnsi="FrankRuehl" w:cs="FrankRuehl"/>
            <w:color w:val="0000FF"/>
            <w:sz w:val="28"/>
            <w:szCs w:val="28"/>
            <w:u w:val="single"/>
            <w:rtl/>
          </w:rPr>
          <w:t>ת"פ (מחוזי מרכז) 63084-07-21</w:t>
        </w:r>
      </w:hyperlink>
      <w:r>
        <w:rPr>
          <w:rFonts w:ascii="FrankRuehl" w:hAnsi="FrankRuehl" w:cs="FrankRuehl"/>
          <w:sz w:val="28"/>
          <w:szCs w:val="28"/>
          <w:rtl/>
        </w:rPr>
        <w:t xml:space="preserve"> </w:t>
      </w:r>
      <w:r>
        <w:rPr>
          <w:rFonts w:ascii="Miriam" w:hAnsi="Miriam" w:cs="Miriam"/>
          <w:rtl/>
        </w:rPr>
        <w:t>מדינת ישראל נ' חסונה</w:t>
      </w:r>
      <w:r>
        <w:rPr>
          <w:rFonts w:ascii="FrankRuehl" w:hAnsi="FrankRuehl" w:cs="FrankRuehl"/>
          <w:sz w:val="28"/>
          <w:szCs w:val="28"/>
          <w:rtl/>
        </w:rPr>
        <w:t xml:space="preserve"> (30.4.2023), נדון עניינו של נאשם שהורשע בשתי עבירות של ייצור נשק- בקבוקי תבערה בצוותא, לאחר שעל רקע מהומות מבצע "שומר החומות", הכין 6 בקבוקי תבערה על מנת להשליכם לעבר רכבים בבעלות יהודית</w:t>
      </w:r>
      <w:r>
        <w:rPr>
          <w:rFonts w:ascii="FrankRuehl" w:hAnsi="FrankRuehl" w:cs="FrankRuehl" w:hint="cs"/>
          <w:sz w:val="28"/>
          <w:szCs w:val="28"/>
          <w:rtl/>
        </w:rPr>
        <w:t xml:space="preserve"> כנקמה על מותו של בן דודו</w:t>
      </w:r>
      <w:r>
        <w:rPr>
          <w:rFonts w:ascii="FrankRuehl" w:hAnsi="FrankRuehl" w:cs="FrankRuehl"/>
          <w:sz w:val="28"/>
          <w:szCs w:val="28"/>
          <w:rtl/>
        </w:rPr>
        <w:t>. בהמשך, עשו אחרים שימוש בבקבוקי התבערה שהכין הנאשם, עת השליכו אותם לעבר מכוניות שחנו בחניון וגרמו להן לנזקים משמעותיים. בית המשפט קבע מתחם עונש הולם הנע בין 25 ל- 40 חודשי מאסר, והשית על הנאשם, צעיר ללא עבר פלילי, 25 חודשי מאסר בפועל, לצד עונשים נלווים. ערעור הנאשם על חומרת העונש תלוי ועומד (</w:t>
      </w:r>
      <w:hyperlink r:id="rId27" w:history="1">
        <w:r w:rsidR="00C767D4" w:rsidRPr="00C767D4">
          <w:rPr>
            <w:rFonts w:ascii="FrankRuehl" w:hAnsi="FrankRuehl" w:cs="FrankRuehl"/>
            <w:color w:val="0000FF"/>
            <w:sz w:val="28"/>
            <w:szCs w:val="28"/>
            <w:u w:val="single"/>
            <w:rtl/>
          </w:rPr>
          <w:t>ע"פ 4436/23</w:t>
        </w:r>
      </w:hyperlink>
      <w:r>
        <w:rPr>
          <w:rFonts w:ascii="FrankRuehl" w:hAnsi="FrankRuehl" w:cs="FrankRuehl"/>
          <w:sz w:val="28"/>
          <w:szCs w:val="28"/>
          <w:rtl/>
        </w:rPr>
        <w:t>).</w:t>
      </w:r>
    </w:p>
    <w:p w14:paraId="70EB4D4F" w14:textId="77777777" w:rsidR="000864AB" w:rsidRDefault="000864AB" w:rsidP="000864AB">
      <w:pPr>
        <w:spacing w:line="360" w:lineRule="auto"/>
        <w:jc w:val="both"/>
        <w:rPr>
          <w:rFonts w:ascii="FrankRuehl" w:hAnsi="FrankRuehl" w:cs="FrankRuehl"/>
          <w:sz w:val="28"/>
          <w:szCs w:val="28"/>
          <w:rtl/>
        </w:rPr>
      </w:pPr>
    </w:p>
    <w:p w14:paraId="0E01C4D1"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14.      ב</w:t>
      </w:r>
      <w:hyperlink r:id="rId28" w:history="1">
        <w:r w:rsidR="00C767D4" w:rsidRPr="00C767D4">
          <w:rPr>
            <w:rFonts w:ascii="FrankRuehl" w:hAnsi="FrankRuehl" w:cs="FrankRuehl"/>
            <w:color w:val="0000FF"/>
            <w:sz w:val="28"/>
            <w:szCs w:val="28"/>
            <w:u w:val="single"/>
            <w:rtl/>
          </w:rPr>
          <w:t>ת"פ (מחוזי חיפה) 66385-03-22</w:t>
        </w:r>
      </w:hyperlink>
      <w:r>
        <w:rPr>
          <w:rFonts w:ascii="FrankRuehl" w:hAnsi="FrankRuehl" w:cs="FrankRuehl"/>
          <w:sz w:val="28"/>
          <w:szCs w:val="28"/>
          <w:rtl/>
        </w:rPr>
        <w:t xml:space="preserve"> </w:t>
      </w:r>
      <w:r>
        <w:rPr>
          <w:rFonts w:ascii="Miriam" w:hAnsi="Miriam" w:cs="Miriam"/>
          <w:rtl/>
        </w:rPr>
        <w:t>מדינת ישראל נ' זאודה</w:t>
      </w:r>
      <w:r>
        <w:rPr>
          <w:rFonts w:ascii="FrankRuehl" w:hAnsi="FrankRuehl" w:cs="FrankRuehl"/>
          <w:sz w:val="28"/>
          <w:szCs w:val="28"/>
          <w:rtl/>
        </w:rPr>
        <w:t xml:space="preserve"> (10.1.2023), נדון עניינו של נאשם שהורשע בעבירות בנשק (החזקה ונשיאה), ניסיון הצתה והחזקת סם מסוכן לצריכה עצמית, לאחר שהגיע לבית עסק אליו כניסתו סורבה קודם לכן, כשהוא אוחז בבקבוק תבערה אותו הכין, השליכו לעבר בית העסק ונמלט מהמקום. בקבוק התבערה פגע בקיר העסק והחל לבעור, כאשר בסמוך לאחר מכן האש כובתה. בית המשפט קבע מתחם עונש הולם הנע בין  20 ל- 45 חודשי מאסר, והשית על הנאשם 24 חודשי מאסר בפועל, לצד עונשים נלווים. ערעור הנאשם על חומרת העונש נדחה, לאחר שחזר בו מהערעור בהמלצת בית המשפט (</w:t>
      </w:r>
      <w:hyperlink r:id="rId29" w:history="1">
        <w:r w:rsidR="00C767D4" w:rsidRPr="00C767D4">
          <w:rPr>
            <w:rFonts w:ascii="FrankRuehl" w:hAnsi="FrankRuehl" w:cs="FrankRuehl"/>
            <w:color w:val="0000FF"/>
            <w:sz w:val="28"/>
            <w:szCs w:val="28"/>
            <w:u w:val="single"/>
            <w:rtl/>
          </w:rPr>
          <w:t>ע"פ 1554/23</w:t>
        </w:r>
      </w:hyperlink>
      <w:r>
        <w:rPr>
          <w:rFonts w:ascii="FrankRuehl" w:hAnsi="FrankRuehl" w:cs="FrankRuehl"/>
          <w:sz w:val="28"/>
          <w:szCs w:val="28"/>
          <w:rtl/>
        </w:rPr>
        <w:t>).</w:t>
      </w:r>
    </w:p>
    <w:p w14:paraId="74E835CD" w14:textId="77777777" w:rsidR="000864AB" w:rsidRDefault="000864AB" w:rsidP="000864AB">
      <w:pPr>
        <w:spacing w:line="360" w:lineRule="auto"/>
        <w:jc w:val="both"/>
        <w:rPr>
          <w:rFonts w:ascii="FrankRuehl" w:hAnsi="FrankRuehl" w:cs="FrankRuehl"/>
          <w:sz w:val="28"/>
          <w:szCs w:val="28"/>
          <w:rtl/>
        </w:rPr>
      </w:pPr>
    </w:p>
    <w:p w14:paraId="0B64FC4D"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15.         ב</w:t>
      </w:r>
      <w:hyperlink r:id="rId30" w:history="1">
        <w:r w:rsidR="00C767D4" w:rsidRPr="00C767D4">
          <w:rPr>
            <w:rFonts w:ascii="FrankRuehl" w:hAnsi="FrankRuehl" w:cs="FrankRuehl"/>
            <w:color w:val="0000FF"/>
            <w:sz w:val="28"/>
            <w:szCs w:val="28"/>
            <w:u w:val="single"/>
            <w:rtl/>
          </w:rPr>
          <w:t>ת"פ (מחוזי ים) 34579-05-20</w:t>
        </w:r>
      </w:hyperlink>
      <w:r>
        <w:rPr>
          <w:rFonts w:ascii="FrankRuehl" w:hAnsi="FrankRuehl" w:cs="FrankRuehl"/>
          <w:sz w:val="28"/>
          <w:szCs w:val="28"/>
          <w:rtl/>
        </w:rPr>
        <w:t xml:space="preserve"> </w:t>
      </w:r>
      <w:r>
        <w:rPr>
          <w:rFonts w:ascii="Miriam" w:hAnsi="Miriam" w:cs="Miriam"/>
          <w:rtl/>
        </w:rPr>
        <w:t>מדינת ישראל נ' מחמוד</w:t>
      </w:r>
      <w:r>
        <w:rPr>
          <w:rFonts w:ascii="FrankRuehl" w:hAnsi="FrankRuehl" w:cs="FrankRuehl"/>
          <w:sz w:val="28"/>
          <w:szCs w:val="28"/>
          <w:rtl/>
        </w:rPr>
        <w:t xml:space="preserve"> (23.11.2020), נדון עניינו של נאשם שהורשע בעבירה של ייצור נשק, לאחר שייצר לפחות בקבוק תבערה אחד מתוך מספר בקבוקי תבערה שנתפסו במהלך פעילות מג"ב. בית המשפט קבע מתחם עונש הולם הנע בין 14 ל- 36 חודשי מאסר, והשית על הנאשם, 17 חודשי מאסר בפועל, לצד עונשים נלווים.</w:t>
      </w:r>
    </w:p>
    <w:p w14:paraId="3C2FCF25" w14:textId="77777777" w:rsidR="000864AB" w:rsidRDefault="000864AB" w:rsidP="000864AB">
      <w:pPr>
        <w:spacing w:line="360" w:lineRule="auto"/>
        <w:jc w:val="both"/>
        <w:rPr>
          <w:rFonts w:ascii="FrankRuehl" w:hAnsi="FrankRuehl" w:cs="FrankRuehl"/>
          <w:sz w:val="28"/>
          <w:szCs w:val="28"/>
          <w:rtl/>
        </w:rPr>
      </w:pPr>
    </w:p>
    <w:p w14:paraId="112A88A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hint="cs"/>
          <w:sz w:val="28"/>
          <w:szCs w:val="28"/>
          <w:rtl/>
        </w:rPr>
        <w:t>6</w:t>
      </w:r>
      <w:r>
        <w:rPr>
          <w:rFonts w:ascii="FrankRuehl" w:hAnsi="FrankRuehl" w:cs="FrankRuehl"/>
          <w:sz w:val="28"/>
          <w:szCs w:val="28"/>
          <w:rtl/>
        </w:rPr>
        <w:t>.      בנסיבות העניין, תוך בחינת הערכים החברתיים המוגנים שנפגעו מהעבירה שביצע הנאשם ומידת הפגיעה בהם, בחינת הנסיבות הקשורות בביצוע העבירה ומדיניות הענישה הנהוגה,</w:t>
      </w:r>
      <w:r>
        <w:rPr>
          <w:rFonts w:ascii="FrankRuehl" w:hAnsi="FrankRuehl" w:cs="FrankRuehl"/>
          <w:b/>
          <w:bCs/>
          <w:sz w:val="28"/>
          <w:szCs w:val="28"/>
          <w:rtl/>
        </w:rPr>
        <w:t xml:space="preserve"> סבור אני כי מתחם העונש ההולם במקרה דנן נע בין 2</w:t>
      </w:r>
      <w:r>
        <w:rPr>
          <w:rFonts w:ascii="FrankRuehl" w:hAnsi="FrankRuehl" w:cs="FrankRuehl" w:hint="cs"/>
          <w:b/>
          <w:bCs/>
          <w:sz w:val="28"/>
          <w:szCs w:val="28"/>
          <w:rtl/>
        </w:rPr>
        <w:t>4</w:t>
      </w:r>
      <w:r>
        <w:rPr>
          <w:rFonts w:ascii="FrankRuehl" w:hAnsi="FrankRuehl" w:cs="FrankRuehl"/>
          <w:b/>
          <w:bCs/>
          <w:sz w:val="28"/>
          <w:szCs w:val="28"/>
          <w:rtl/>
        </w:rPr>
        <w:t xml:space="preserve"> ל- 4</w:t>
      </w:r>
      <w:r>
        <w:rPr>
          <w:rFonts w:ascii="FrankRuehl" w:hAnsi="FrankRuehl" w:cs="FrankRuehl" w:hint="cs"/>
          <w:b/>
          <w:bCs/>
          <w:sz w:val="28"/>
          <w:szCs w:val="28"/>
          <w:rtl/>
        </w:rPr>
        <w:t>8</w:t>
      </w:r>
      <w:r>
        <w:rPr>
          <w:rFonts w:ascii="FrankRuehl" w:hAnsi="FrankRuehl" w:cs="FrankRuehl"/>
          <w:b/>
          <w:bCs/>
          <w:sz w:val="28"/>
          <w:szCs w:val="28"/>
          <w:rtl/>
        </w:rPr>
        <w:t xml:space="preserve"> חודשי מאסר בפועל, לצד ענישה נלווית הכוללת מאסר מתונה וקנס.</w:t>
      </w:r>
    </w:p>
    <w:p w14:paraId="27C80EDC" w14:textId="77777777" w:rsidR="000864AB" w:rsidRDefault="000864AB" w:rsidP="000864AB">
      <w:pPr>
        <w:spacing w:line="360" w:lineRule="auto"/>
        <w:jc w:val="both"/>
        <w:rPr>
          <w:rFonts w:ascii="Miriam" w:hAnsi="Miriam" w:cs="Miriam"/>
          <w:rtl/>
        </w:rPr>
      </w:pPr>
    </w:p>
    <w:p w14:paraId="40EED242" w14:textId="77777777" w:rsidR="000864AB" w:rsidRDefault="000864AB" w:rsidP="000864AB">
      <w:pPr>
        <w:spacing w:line="360" w:lineRule="auto"/>
        <w:jc w:val="both"/>
        <w:rPr>
          <w:rFonts w:ascii="Miriam" w:hAnsi="Miriam" w:cs="Miriam"/>
          <w:color w:val="000000"/>
          <w:rtl/>
        </w:rPr>
      </w:pPr>
      <w:r>
        <w:rPr>
          <w:rFonts w:ascii="Miriam" w:hAnsi="Miriam" w:cs="Miriam"/>
          <w:color w:val="000000"/>
          <w:rtl/>
        </w:rPr>
        <w:t>קביעת העונש בתוך המתחם</w:t>
      </w:r>
    </w:p>
    <w:p w14:paraId="2504FAA1" w14:textId="77777777" w:rsidR="000864AB" w:rsidRDefault="000864AB" w:rsidP="000864AB">
      <w:pPr>
        <w:spacing w:line="360" w:lineRule="auto"/>
        <w:jc w:val="both"/>
        <w:rPr>
          <w:rFonts w:ascii="FrankRuehl" w:hAnsi="FrankRuehl" w:cs="FrankRuehl"/>
          <w:b/>
          <w:bCs/>
          <w:color w:val="000000"/>
          <w:sz w:val="28"/>
          <w:szCs w:val="28"/>
          <w:rtl/>
        </w:rPr>
      </w:pPr>
    </w:p>
    <w:p w14:paraId="4B0FC55C" w14:textId="77777777" w:rsidR="000864AB" w:rsidRPr="000864AB" w:rsidRDefault="000864AB" w:rsidP="000864AB">
      <w:pPr>
        <w:spacing w:line="360" w:lineRule="auto"/>
        <w:jc w:val="both"/>
        <w:rPr>
          <w:rFonts w:ascii="FrankRuehl" w:eastAsia="Calibri" w:hAnsi="FrankRuehl" w:cs="FrankRuehl"/>
          <w:sz w:val="28"/>
          <w:szCs w:val="28"/>
          <w:rtl/>
        </w:rPr>
      </w:pPr>
      <w:r>
        <w:rPr>
          <w:rFonts w:ascii="FrankRuehl" w:hAnsi="FrankRuehl" w:cs="FrankRuehl"/>
          <w:color w:val="000000"/>
          <w:sz w:val="28"/>
          <w:szCs w:val="28"/>
          <w:rtl/>
        </w:rPr>
        <w:t>1</w:t>
      </w:r>
      <w:r>
        <w:rPr>
          <w:rFonts w:ascii="FrankRuehl" w:hAnsi="FrankRuehl" w:cs="FrankRuehl" w:hint="cs"/>
          <w:color w:val="000000"/>
          <w:sz w:val="28"/>
          <w:szCs w:val="28"/>
          <w:rtl/>
        </w:rPr>
        <w:t>7</w:t>
      </w:r>
      <w:r>
        <w:rPr>
          <w:rFonts w:ascii="FrankRuehl" w:hAnsi="FrankRuehl" w:cs="FrankRuehl"/>
          <w:color w:val="000000"/>
          <w:sz w:val="28"/>
          <w:szCs w:val="28"/>
          <w:rtl/>
        </w:rPr>
        <w:t xml:space="preserve">.        </w:t>
      </w:r>
      <w:r w:rsidRPr="000864AB">
        <w:rPr>
          <w:rFonts w:ascii="FrankRuehl" w:eastAsia="Calibri" w:hAnsi="FrankRuehl" w:cs="FrankRuehl"/>
          <w:sz w:val="28"/>
          <w:szCs w:val="28"/>
          <w:rtl/>
        </w:rPr>
        <w:t>קביעת עונשו של נאשם תיעשה בתוך המתחם, אלא אם כן ישנן נסיבות המצדיקות סטייה ממנו. במקרה דנן, כלל לא התבקש תסקיר של שירות המבחן, אשר יבחן אפשרויות שיקום בעניינו של הנאשם. בהתאם מצאתי שיש לגזור את עונשו של הנאשם בתוך מתחם העונש ההולם שנקבע.</w:t>
      </w:r>
    </w:p>
    <w:p w14:paraId="37133037" w14:textId="77777777" w:rsidR="000864AB" w:rsidRPr="000864AB" w:rsidRDefault="000864AB" w:rsidP="000864AB">
      <w:pPr>
        <w:spacing w:line="360" w:lineRule="auto"/>
        <w:jc w:val="both"/>
        <w:rPr>
          <w:rFonts w:ascii="FrankRuehl" w:eastAsia="Calibri" w:hAnsi="FrankRuehl" w:cs="FrankRuehl"/>
          <w:sz w:val="28"/>
          <w:szCs w:val="28"/>
          <w:rtl/>
        </w:rPr>
      </w:pPr>
    </w:p>
    <w:p w14:paraId="762D86FE" w14:textId="77777777" w:rsidR="000864AB" w:rsidRPr="000864AB" w:rsidRDefault="000864AB" w:rsidP="000864AB">
      <w:pPr>
        <w:spacing w:line="360" w:lineRule="auto"/>
        <w:jc w:val="both"/>
        <w:rPr>
          <w:rFonts w:ascii="FrankRuehl" w:eastAsia="Calibri" w:hAnsi="FrankRuehl" w:cs="FrankRuehl"/>
          <w:sz w:val="28"/>
          <w:szCs w:val="28"/>
          <w:rtl/>
        </w:rPr>
      </w:pPr>
      <w:r w:rsidRPr="000864AB">
        <w:rPr>
          <w:rFonts w:ascii="FrankRuehl" w:eastAsia="Calibri" w:hAnsi="FrankRuehl" w:cs="FrankRuehl"/>
          <w:sz w:val="28"/>
          <w:szCs w:val="28"/>
          <w:rtl/>
        </w:rPr>
        <w:t>1</w:t>
      </w:r>
      <w:r w:rsidRPr="000864AB">
        <w:rPr>
          <w:rFonts w:ascii="FrankRuehl" w:eastAsia="Calibri" w:hAnsi="FrankRuehl" w:cs="FrankRuehl" w:hint="cs"/>
          <w:sz w:val="28"/>
          <w:szCs w:val="28"/>
          <w:rtl/>
        </w:rPr>
        <w:t>8</w:t>
      </w:r>
      <w:r w:rsidRPr="000864AB">
        <w:rPr>
          <w:rFonts w:ascii="FrankRuehl" w:eastAsia="Calibri" w:hAnsi="FrankRuehl" w:cs="FrankRuehl"/>
          <w:sz w:val="28"/>
          <w:szCs w:val="28"/>
          <w:rtl/>
        </w:rPr>
        <w:t>.</w:t>
      </w:r>
      <w:r w:rsidRPr="000864AB">
        <w:rPr>
          <w:rFonts w:ascii="David" w:eastAsia="Calibri" w:hAnsi="David"/>
          <w:rtl/>
        </w:rPr>
        <w:t xml:space="preserve"> </w:t>
      </w:r>
      <w:r w:rsidRPr="000864AB">
        <w:rPr>
          <w:rFonts w:ascii="FrankRuehl" w:eastAsia="Calibri" w:hAnsi="FrankRuehl" w:cs="FrankRuehl"/>
          <w:sz w:val="28"/>
          <w:szCs w:val="28"/>
          <w:rtl/>
        </w:rPr>
        <w:t xml:space="preserve">       העונש הראוי לנאשם נקבע על פי הנסיבות שאינן קשורות בביצוע העבירות.</w:t>
      </w:r>
      <w:r>
        <w:rPr>
          <w:rFonts w:ascii="FrankRuehl" w:hAnsi="FrankRuehl" w:cs="FrankRuehl"/>
          <w:sz w:val="28"/>
          <w:szCs w:val="28"/>
          <w:rtl/>
        </w:rPr>
        <w:t xml:space="preserve"> </w:t>
      </w:r>
      <w:r w:rsidRPr="000864AB">
        <w:rPr>
          <w:rFonts w:ascii="FrankRuehl" w:eastAsia="Calibri" w:hAnsi="FrankRuehl" w:cs="FrankRuehl"/>
          <w:sz w:val="28"/>
          <w:szCs w:val="28"/>
          <w:rtl/>
        </w:rPr>
        <w:t>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r>
        <w:rPr>
          <w:rFonts w:ascii="FrankRuehl" w:hAnsi="FrankRuehl" w:cs="FrankRuehl"/>
          <w:color w:val="000000"/>
          <w:sz w:val="28"/>
          <w:szCs w:val="28"/>
          <w:rtl/>
        </w:rPr>
        <w:t xml:space="preserve"> </w:t>
      </w:r>
    </w:p>
    <w:p w14:paraId="4BA0B662" w14:textId="77777777" w:rsidR="000864AB" w:rsidRDefault="000864AB" w:rsidP="000864AB">
      <w:pPr>
        <w:spacing w:line="360" w:lineRule="auto"/>
        <w:jc w:val="both"/>
        <w:rPr>
          <w:rFonts w:ascii="FrankRuehl" w:hAnsi="FrankRuehl" w:cs="FrankRuehl"/>
          <w:color w:val="000000"/>
          <w:sz w:val="28"/>
          <w:szCs w:val="28"/>
          <w:rtl/>
        </w:rPr>
      </w:pPr>
    </w:p>
    <w:p w14:paraId="6F81AE08"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hint="cs"/>
          <w:color w:val="000000"/>
          <w:sz w:val="28"/>
          <w:szCs w:val="28"/>
          <w:rtl/>
        </w:rPr>
        <w:t>19</w:t>
      </w:r>
      <w:r>
        <w:rPr>
          <w:rFonts w:ascii="FrankRuehl" w:hAnsi="FrankRuehl" w:cs="FrankRuehl"/>
          <w:color w:val="000000"/>
          <w:sz w:val="28"/>
          <w:szCs w:val="28"/>
          <w:rtl/>
        </w:rPr>
        <w:t xml:space="preserve">.        לזכותו של הנאשם ניתן </w:t>
      </w:r>
      <w:r>
        <w:rPr>
          <w:rFonts w:ascii="FrankRuehl" w:hAnsi="FrankRuehl" w:cs="FrankRuehl"/>
          <w:sz w:val="28"/>
          <w:szCs w:val="28"/>
          <w:rtl/>
        </w:rPr>
        <w:t xml:space="preserve">לציין כי הוא הודה בביצוע העבירה בשלב מוקדם וחסך מזמנו של בית המשפט. </w:t>
      </w:r>
      <w:r>
        <w:rPr>
          <w:rFonts w:ascii="FrankRuehl" w:hAnsi="FrankRuehl" w:cs="FrankRuehl"/>
          <w:sz w:val="28"/>
          <w:szCs w:val="28"/>
          <w:rtl/>
          <w:lang w:eastAsia="he-IL"/>
        </w:rPr>
        <w:t>מהודאתו של נאשם נודעת, על דרך הכלל, גם קבלת הדין, ובחובה היא טומנת קבלת אחריות למעשים והבעת חרטה עליהם.</w:t>
      </w:r>
    </w:p>
    <w:p w14:paraId="5CFE6057" w14:textId="77777777" w:rsidR="000864AB" w:rsidRDefault="000864AB" w:rsidP="000864AB">
      <w:pPr>
        <w:spacing w:line="360" w:lineRule="auto"/>
        <w:jc w:val="both"/>
        <w:rPr>
          <w:rFonts w:ascii="FrankRuehl" w:hAnsi="FrankRuehl" w:cs="FrankRuehl"/>
          <w:sz w:val="28"/>
          <w:szCs w:val="28"/>
          <w:rtl/>
          <w:lang w:eastAsia="he-IL"/>
        </w:rPr>
      </w:pPr>
    </w:p>
    <w:p w14:paraId="25C2D820"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0</w:t>
      </w:r>
      <w:r>
        <w:rPr>
          <w:rFonts w:ascii="FrankRuehl" w:hAnsi="FrankRuehl" w:cs="FrankRuehl"/>
          <w:sz w:val="28"/>
          <w:szCs w:val="28"/>
          <w:rtl/>
          <w:lang w:eastAsia="he-IL"/>
        </w:rPr>
        <w:t>.        מנגד, לחובתו של הנאשם 3 הרשעות קודמות, מהשנים 2018-202</w:t>
      </w:r>
      <w:r>
        <w:rPr>
          <w:rFonts w:ascii="FrankRuehl" w:hAnsi="FrankRuehl" w:cs="FrankRuehl" w:hint="cs"/>
          <w:sz w:val="28"/>
          <w:szCs w:val="28"/>
          <w:rtl/>
          <w:lang w:eastAsia="he-IL"/>
        </w:rPr>
        <w:t>2</w:t>
      </w:r>
      <w:r>
        <w:rPr>
          <w:rFonts w:ascii="FrankRuehl" w:hAnsi="FrankRuehl" w:cs="FrankRuehl"/>
          <w:sz w:val="28"/>
          <w:szCs w:val="28"/>
          <w:rtl/>
          <w:lang w:eastAsia="he-IL"/>
        </w:rPr>
        <w:t>, בעבירות של תקיפה הגורמת חבלה ממש, תקיפה הגורמת חבלה ממש- בן זוג, נסיון לתקיפה סתם, היזק לרכוש במזיד ואיומים. בגין הרשעות אלו, אף הוטלו על הנאשם שני מאסרים בפועל, בני 8 ו- 11 חודשים.</w:t>
      </w:r>
      <w:r>
        <w:rPr>
          <w:rFonts w:ascii="FrankRuehl" w:hAnsi="FrankRuehl" w:cs="FrankRuehl" w:hint="cs"/>
          <w:sz w:val="28"/>
          <w:szCs w:val="28"/>
          <w:rtl/>
          <w:lang w:eastAsia="he-IL"/>
        </w:rPr>
        <w:t xml:space="preserve"> </w:t>
      </w:r>
    </w:p>
    <w:p w14:paraId="3EEA1A64" w14:textId="77777777" w:rsidR="000864AB" w:rsidRDefault="000864AB" w:rsidP="000864AB">
      <w:pPr>
        <w:spacing w:line="360" w:lineRule="auto"/>
        <w:jc w:val="both"/>
        <w:rPr>
          <w:rFonts w:ascii="FrankRuehl" w:hAnsi="FrankRuehl" w:cs="FrankRuehl"/>
          <w:sz w:val="28"/>
          <w:szCs w:val="28"/>
          <w:rtl/>
          <w:lang w:eastAsia="he-IL"/>
        </w:rPr>
      </w:pPr>
    </w:p>
    <w:p w14:paraId="36035535"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אכן, כפי שציין בא-כוח הנאשם, הרשעותיו הקודמות של הנאשם לא היו בעבירות נשק או סמים כפי המקרה דנן</w:t>
      </w:r>
      <w:r>
        <w:rPr>
          <w:rFonts w:ascii="FrankRuehl" w:hAnsi="FrankRuehl" w:cs="FrankRuehl" w:hint="cs"/>
          <w:sz w:val="28"/>
          <w:szCs w:val="28"/>
          <w:rtl/>
          <w:lang w:eastAsia="he-IL"/>
        </w:rPr>
        <w:t>.</w:t>
      </w:r>
      <w:r>
        <w:rPr>
          <w:rFonts w:ascii="FrankRuehl" w:hAnsi="FrankRuehl" w:cs="FrankRuehl"/>
          <w:sz w:val="28"/>
          <w:szCs w:val="28"/>
          <w:rtl/>
          <w:lang w:eastAsia="he-IL"/>
        </w:rPr>
        <w:t xml:space="preserve"> </w:t>
      </w:r>
      <w:r>
        <w:rPr>
          <w:rFonts w:ascii="FrankRuehl" w:hAnsi="FrankRuehl" w:cs="FrankRuehl" w:hint="cs"/>
          <w:sz w:val="28"/>
          <w:szCs w:val="28"/>
          <w:rtl/>
          <w:lang w:eastAsia="he-IL"/>
        </w:rPr>
        <w:t>ו</w:t>
      </w:r>
      <w:r>
        <w:rPr>
          <w:rFonts w:ascii="FrankRuehl" w:hAnsi="FrankRuehl" w:cs="FrankRuehl"/>
          <w:sz w:val="28"/>
          <w:szCs w:val="28"/>
          <w:rtl/>
          <w:lang w:eastAsia="he-IL"/>
        </w:rPr>
        <w:t>אולם, עברו הפלילי העדכני של הנאשם מלמד בבירור שאין עסקינן באדם נורמטיבי ללא דפוסים עבריניים, אשר העבירות בגינן הורשע אינן מייצגות את אורחות חייו.</w:t>
      </w:r>
      <w:r w:rsidRPr="008A64E3">
        <w:rPr>
          <w:rFonts w:ascii="FrankRuehl" w:hAnsi="FrankRuehl" w:cs="FrankRuehl" w:hint="cs"/>
          <w:sz w:val="28"/>
          <w:szCs w:val="28"/>
          <w:rtl/>
          <w:lang w:eastAsia="he-IL"/>
        </w:rPr>
        <w:t xml:space="preserve"> </w:t>
      </w:r>
      <w:r>
        <w:rPr>
          <w:rFonts w:ascii="FrankRuehl" w:hAnsi="FrankRuehl" w:cs="FrankRuehl" w:hint="cs"/>
          <w:sz w:val="28"/>
          <w:szCs w:val="28"/>
          <w:rtl/>
          <w:lang w:eastAsia="he-IL"/>
        </w:rPr>
        <w:t>זאת ועוד, מאסרו האחרון של הנאשם למשך 11 חודשים הוטל ביום 17.01.2022 בגין עבירות שביצע הנאשם בחודש אוקטובר 2021 כך שהעבירות מושא האישום כאן בוצעו תקופה קצרה ביותר לאחר שחרורו של הנאשם ממאסרו האחרון, דבר המחייב החמרה בעונשו של הנאשם לצורך הרתעה.</w:t>
      </w:r>
    </w:p>
    <w:p w14:paraId="38E894CA" w14:textId="77777777" w:rsidR="000864AB" w:rsidRDefault="000864AB" w:rsidP="000864AB">
      <w:pPr>
        <w:spacing w:line="360" w:lineRule="auto"/>
        <w:jc w:val="both"/>
        <w:rPr>
          <w:rFonts w:ascii="FrankRuehl" w:hAnsi="FrankRuehl" w:cs="FrankRuehl"/>
          <w:sz w:val="28"/>
          <w:szCs w:val="28"/>
          <w:rtl/>
          <w:lang w:eastAsia="he-IL"/>
        </w:rPr>
      </w:pPr>
    </w:p>
    <w:p w14:paraId="4DA0EE9C"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1</w:t>
      </w:r>
      <w:r>
        <w:rPr>
          <w:rFonts w:ascii="FrankRuehl" w:hAnsi="FrankRuehl" w:cs="FrankRuehl"/>
          <w:sz w:val="28"/>
          <w:szCs w:val="28"/>
          <w:rtl/>
          <w:lang w:eastAsia="he-IL"/>
        </w:rPr>
        <w:t xml:space="preserve">.           משקל מסוים מצאתי לתת לנסיבות חייו הקשות של הנאשם, כפי שפורטו על ידי בא-כוחו, כמו גם </w:t>
      </w:r>
      <w:r>
        <w:rPr>
          <w:rFonts w:ascii="FrankRuehl" w:hAnsi="FrankRuehl" w:cs="FrankRuehl"/>
          <w:color w:val="000000"/>
          <w:sz w:val="28"/>
          <w:szCs w:val="28"/>
          <w:rtl/>
        </w:rPr>
        <w:t>לתקופה הממושכת בה שוהה הנאשם במעצר מאחורי סורג ובריח</w:t>
      </w:r>
      <w:r>
        <w:rPr>
          <w:rFonts w:ascii="FrankRuehl" w:hAnsi="FrankRuehl" w:cs="FrankRuehl"/>
          <w:sz w:val="28"/>
          <w:szCs w:val="28"/>
          <w:rtl/>
          <w:lang w:eastAsia="he-IL"/>
        </w:rPr>
        <w:t>.</w:t>
      </w:r>
    </w:p>
    <w:p w14:paraId="31EEBFB9" w14:textId="77777777" w:rsidR="000864AB" w:rsidRDefault="000864AB" w:rsidP="000864AB">
      <w:pPr>
        <w:spacing w:line="360" w:lineRule="auto"/>
        <w:jc w:val="both"/>
        <w:rPr>
          <w:rFonts w:ascii="FrankRuehl" w:hAnsi="FrankRuehl" w:cs="FrankRuehl"/>
          <w:sz w:val="28"/>
          <w:szCs w:val="28"/>
          <w:rtl/>
          <w:lang w:eastAsia="he-IL"/>
        </w:rPr>
      </w:pPr>
    </w:p>
    <w:p w14:paraId="2F3DE903"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2</w:t>
      </w:r>
      <w:r>
        <w:rPr>
          <w:rFonts w:ascii="FrankRuehl" w:hAnsi="FrankRuehl" w:cs="FrankRuehl"/>
          <w:sz w:val="28"/>
          <w:szCs w:val="28"/>
          <w:rtl/>
          <w:lang w:eastAsia="he-IL"/>
        </w:rPr>
        <w:t xml:space="preserve">.         </w:t>
      </w:r>
      <w:r>
        <w:rPr>
          <w:rFonts w:ascii="FrankRuehl" w:hAnsi="FrankRuehl" w:cs="FrankRuehl"/>
          <w:sz w:val="28"/>
          <w:szCs w:val="28"/>
          <w:rtl/>
        </w:rPr>
        <w:t>לאור המפורט לעיל, סבור אני כי נכון יהא לקבוע את מיקום עונשו של הנאשם בחלק האמצעי של מתחם העונש ההולם. עוד ראוי להשית על הנאשם מאסר מותנה וקנס כספי.</w:t>
      </w:r>
    </w:p>
    <w:p w14:paraId="7520D288" w14:textId="77777777" w:rsidR="000864AB" w:rsidRDefault="000864AB" w:rsidP="000864AB">
      <w:pPr>
        <w:spacing w:line="360" w:lineRule="auto"/>
        <w:jc w:val="both"/>
        <w:rPr>
          <w:rFonts w:ascii="FrankRuehl" w:hAnsi="FrankRuehl" w:cs="FrankRuehl"/>
          <w:sz w:val="28"/>
          <w:szCs w:val="28"/>
          <w:rtl/>
        </w:rPr>
      </w:pPr>
    </w:p>
    <w:p w14:paraId="07399F53" w14:textId="77777777" w:rsidR="000864AB" w:rsidRDefault="000864AB" w:rsidP="000864AB">
      <w:pPr>
        <w:spacing w:line="360" w:lineRule="auto"/>
        <w:jc w:val="both"/>
        <w:rPr>
          <w:rFonts w:ascii="FrankRuehl" w:hAnsi="FrankRuehl" w:cs="FrankRuehl"/>
          <w:sz w:val="28"/>
          <w:szCs w:val="28"/>
          <w:rtl/>
        </w:rPr>
      </w:pPr>
    </w:p>
    <w:p w14:paraId="48A1E6A1" w14:textId="77777777" w:rsidR="000864AB" w:rsidRDefault="000864AB" w:rsidP="000864AB">
      <w:pPr>
        <w:spacing w:line="360" w:lineRule="auto"/>
        <w:jc w:val="both"/>
        <w:rPr>
          <w:rFonts w:ascii="FrankRuehl" w:hAnsi="FrankRuehl" w:cs="FrankRuehl"/>
          <w:sz w:val="28"/>
          <w:szCs w:val="28"/>
          <w:rtl/>
        </w:rPr>
      </w:pPr>
    </w:p>
    <w:p w14:paraId="0619802A" w14:textId="77777777" w:rsidR="000864AB" w:rsidRDefault="000864AB" w:rsidP="000864AB">
      <w:pPr>
        <w:spacing w:line="360" w:lineRule="auto"/>
        <w:jc w:val="both"/>
        <w:rPr>
          <w:rFonts w:ascii="FrankRuehl" w:hAnsi="FrankRuehl" w:cs="FrankRuehl"/>
          <w:sz w:val="28"/>
          <w:szCs w:val="28"/>
          <w:rtl/>
        </w:rPr>
      </w:pPr>
    </w:p>
    <w:p w14:paraId="1B567E49" w14:textId="77777777" w:rsidR="000864AB" w:rsidRDefault="000864AB" w:rsidP="000864AB">
      <w:pPr>
        <w:spacing w:line="360" w:lineRule="auto"/>
        <w:jc w:val="both"/>
        <w:rPr>
          <w:rFonts w:ascii="Miriam" w:hAnsi="Miriam" w:cs="Miriam"/>
          <w:rtl/>
        </w:rPr>
      </w:pPr>
      <w:r>
        <w:rPr>
          <w:rFonts w:ascii="Miriam" w:hAnsi="Miriam" w:cs="Miriam"/>
          <w:rtl/>
        </w:rPr>
        <w:t>סיכום</w:t>
      </w:r>
    </w:p>
    <w:p w14:paraId="603784BE"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hint="cs"/>
          <w:sz w:val="28"/>
          <w:szCs w:val="28"/>
          <w:rtl/>
        </w:rPr>
        <w:t>3</w:t>
      </w:r>
      <w:r>
        <w:rPr>
          <w:rFonts w:ascii="FrankRuehl" w:hAnsi="FrankRuehl" w:cs="FrankRuehl"/>
          <w:sz w:val="28"/>
          <w:szCs w:val="28"/>
          <w:rtl/>
        </w:rPr>
        <w:t>.     נוכח כל האמור לעיל, אני גוזר על הנאשם את העונשים הבאים:</w:t>
      </w:r>
    </w:p>
    <w:p w14:paraId="4CEC5F24" w14:textId="77777777" w:rsidR="000864AB" w:rsidRDefault="000864AB" w:rsidP="000864AB">
      <w:pPr>
        <w:spacing w:line="360" w:lineRule="auto"/>
        <w:jc w:val="both"/>
        <w:rPr>
          <w:rFonts w:ascii="FrankRuehl" w:hAnsi="FrankRuehl" w:cs="FrankRuehl"/>
          <w:sz w:val="28"/>
          <w:szCs w:val="28"/>
          <w:rtl/>
        </w:rPr>
      </w:pPr>
    </w:p>
    <w:p w14:paraId="230AB40F" w14:textId="77777777" w:rsidR="000864AB" w:rsidRDefault="000864AB" w:rsidP="000864AB">
      <w:pPr>
        <w:pStyle w:val="a9"/>
        <w:numPr>
          <w:ilvl w:val="0"/>
          <w:numId w:val="1"/>
        </w:numPr>
        <w:spacing w:line="360" w:lineRule="auto"/>
        <w:jc w:val="both"/>
        <w:rPr>
          <w:rFonts w:ascii="FrankRuehl" w:hAnsi="FrankRuehl" w:cs="FrankRuehl"/>
          <w:b/>
          <w:bCs/>
          <w:sz w:val="28"/>
          <w:szCs w:val="28"/>
          <w:rtl/>
        </w:rPr>
      </w:pPr>
      <w:r w:rsidRPr="008A64E3">
        <w:rPr>
          <w:rFonts w:ascii="FrankRuehl" w:hAnsi="FrankRuehl" w:cs="FrankRuehl"/>
          <w:sz w:val="28"/>
          <w:szCs w:val="28"/>
          <w:rtl/>
        </w:rPr>
        <w:t>אני מטיל על הנאשם</w:t>
      </w:r>
      <w:r>
        <w:rPr>
          <w:rFonts w:ascii="FrankRuehl" w:hAnsi="FrankRuehl" w:cs="FrankRuehl"/>
          <w:b/>
          <w:bCs/>
          <w:sz w:val="28"/>
          <w:szCs w:val="28"/>
          <w:rtl/>
        </w:rPr>
        <w:t xml:space="preserve"> מאסר בפועל של 3</w:t>
      </w:r>
      <w:r>
        <w:rPr>
          <w:rFonts w:ascii="FrankRuehl" w:hAnsi="FrankRuehl" w:cs="FrankRuehl" w:hint="cs"/>
          <w:b/>
          <w:bCs/>
          <w:sz w:val="28"/>
          <w:szCs w:val="28"/>
          <w:rtl/>
        </w:rPr>
        <w:t>6</w:t>
      </w:r>
      <w:r>
        <w:rPr>
          <w:rFonts w:ascii="FrankRuehl" w:hAnsi="FrankRuehl" w:cs="FrankRuehl"/>
          <w:b/>
          <w:bCs/>
          <w:sz w:val="28"/>
          <w:szCs w:val="28"/>
          <w:rtl/>
        </w:rPr>
        <w:t xml:space="preserve"> חודשים, </w:t>
      </w:r>
      <w:r>
        <w:rPr>
          <w:rFonts w:ascii="FrankRuehl" w:hAnsi="FrankRuehl" w:cs="FrankRuehl"/>
          <w:sz w:val="28"/>
          <w:szCs w:val="28"/>
          <w:rtl/>
        </w:rPr>
        <w:t>החל מיום מעצרו- 1.9.2022.</w:t>
      </w:r>
    </w:p>
    <w:p w14:paraId="6CAA5DF7"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אני מטיל על הנאשם מאסר על תנאי של 12 חודשים, למשך 3 שנים, שלא יעבור כל עבירת נשק</w:t>
      </w:r>
      <w:r>
        <w:rPr>
          <w:rFonts w:ascii="FrankRuehl" w:hAnsi="FrankRuehl" w:cs="FrankRuehl" w:hint="cs"/>
          <w:sz w:val="28"/>
          <w:szCs w:val="28"/>
          <w:rtl/>
        </w:rPr>
        <w:t xml:space="preserve"> מסוג פשע</w:t>
      </w:r>
      <w:r>
        <w:rPr>
          <w:rFonts w:ascii="FrankRuehl" w:hAnsi="FrankRuehl" w:cs="FrankRuehl"/>
          <w:sz w:val="28"/>
          <w:szCs w:val="28"/>
          <w:rtl/>
        </w:rPr>
        <w:t>.</w:t>
      </w:r>
    </w:p>
    <w:p w14:paraId="5EE3C79C"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 xml:space="preserve">אני מטיל על הנאשם מאסר על תנאי של </w:t>
      </w:r>
      <w:r>
        <w:rPr>
          <w:rFonts w:ascii="FrankRuehl" w:hAnsi="FrankRuehl" w:cs="FrankRuehl" w:hint="cs"/>
          <w:sz w:val="28"/>
          <w:szCs w:val="28"/>
          <w:rtl/>
        </w:rPr>
        <w:t>6</w:t>
      </w:r>
      <w:r>
        <w:rPr>
          <w:rFonts w:ascii="FrankRuehl" w:hAnsi="FrankRuehl" w:cs="FrankRuehl"/>
          <w:sz w:val="28"/>
          <w:szCs w:val="28"/>
          <w:rtl/>
        </w:rPr>
        <w:t xml:space="preserve"> חודשים, למשך 3 שנים, שלא יעבור </w:t>
      </w:r>
      <w:r>
        <w:rPr>
          <w:rFonts w:ascii="FrankRuehl" w:hAnsi="FrankRuehl" w:cs="FrankRuehl" w:hint="cs"/>
          <w:sz w:val="28"/>
          <w:szCs w:val="28"/>
          <w:rtl/>
        </w:rPr>
        <w:t>על</w:t>
      </w:r>
      <w:r>
        <w:rPr>
          <w:rFonts w:ascii="FrankRuehl" w:hAnsi="FrankRuehl" w:cs="FrankRuehl"/>
          <w:sz w:val="28"/>
          <w:szCs w:val="28"/>
          <w:rtl/>
        </w:rPr>
        <w:t xml:space="preserve"> עבירה של החזקת סם מסוכן לצריכה עצמית</w:t>
      </w:r>
      <w:r>
        <w:rPr>
          <w:rFonts w:ascii="FrankRuehl" w:hAnsi="FrankRuehl" w:cs="FrankRuehl" w:hint="cs"/>
          <w:sz w:val="28"/>
          <w:szCs w:val="28"/>
          <w:rtl/>
        </w:rPr>
        <w:t xml:space="preserve"> או כל עבירת נשק מסוג עוון</w:t>
      </w:r>
      <w:r>
        <w:rPr>
          <w:rFonts w:ascii="FrankRuehl" w:hAnsi="FrankRuehl" w:cs="FrankRuehl"/>
          <w:sz w:val="28"/>
          <w:szCs w:val="28"/>
          <w:rtl/>
        </w:rPr>
        <w:t>.</w:t>
      </w:r>
    </w:p>
    <w:p w14:paraId="636DA7AD"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 xml:space="preserve">אני מטיל על הנאשם קנס בסך </w:t>
      </w:r>
      <w:r>
        <w:rPr>
          <w:rFonts w:ascii="FrankRuehl" w:hAnsi="FrankRuehl" w:cs="FrankRuehl" w:hint="cs"/>
          <w:sz w:val="28"/>
          <w:szCs w:val="28"/>
          <w:rtl/>
        </w:rPr>
        <w:t>3</w:t>
      </w:r>
      <w:r>
        <w:rPr>
          <w:rFonts w:ascii="FrankRuehl" w:hAnsi="FrankRuehl" w:cs="FrankRuehl"/>
          <w:sz w:val="28"/>
          <w:szCs w:val="28"/>
          <w:rtl/>
        </w:rPr>
        <w:t>,000 ₪ או 30 ימי מאסר תמורתו. הקנס ישולם תוך 6 חודשים.</w:t>
      </w:r>
    </w:p>
    <w:p w14:paraId="00C6894B" w14:textId="77777777" w:rsidR="000864AB" w:rsidRDefault="000864AB" w:rsidP="000864AB"/>
    <w:p w14:paraId="5B8DB5DF" w14:textId="77777777" w:rsidR="000864AB" w:rsidRDefault="000864AB" w:rsidP="000864AB">
      <w:pPr>
        <w:pStyle w:val="a8"/>
        <w:spacing w:line="360" w:lineRule="auto"/>
        <w:jc w:val="both"/>
        <w:rPr>
          <w:rFonts w:cs="David"/>
          <w:b/>
          <w:bCs/>
          <w:sz w:val="24"/>
          <w:szCs w:val="24"/>
        </w:rPr>
      </w:pPr>
      <w:r>
        <w:rPr>
          <w:rFonts w:cs="David"/>
          <w:b/>
          <w:bCs/>
          <w:sz w:val="24"/>
          <w:szCs w:val="24"/>
          <w:rtl/>
        </w:rPr>
        <w:t>החוב מועבר למרכז לגביית קנסות, אגרות והוצאות ברשות האכיפה והגבייה, בהתאם למועדים והתשלומים שקבע בית המשפט.</w:t>
      </w:r>
    </w:p>
    <w:p w14:paraId="66870B9F" w14:textId="77777777" w:rsidR="000864AB" w:rsidRDefault="000864AB" w:rsidP="000864AB">
      <w:pPr>
        <w:pStyle w:val="a8"/>
        <w:spacing w:line="360" w:lineRule="auto"/>
        <w:jc w:val="both"/>
        <w:rPr>
          <w:rFonts w:cs="David"/>
          <w:b/>
          <w:bCs/>
          <w:sz w:val="24"/>
          <w:szCs w:val="24"/>
        </w:rPr>
      </w:pPr>
      <w:r>
        <w:rPr>
          <w:rFonts w:cs="David"/>
          <w:b/>
          <w:bCs/>
          <w:sz w:val="24"/>
          <w:szCs w:val="24"/>
          <w:rtl/>
        </w:rPr>
        <w:t>ניתן יהיה לשלם את הקנס/ פיצוי/ ההוצאות כעבור שלושה ימים מיום מתן ההחלטה/</w:t>
      </w:r>
      <w:r w:rsidR="00C767D4">
        <w:rPr>
          <w:rFonts w:cs="David"/>
          <w:b/>
          <w:bCs/>
          <w:sz w:val="24"/>
          <w:szCs w:val="24"/>
          <w:rtl/>
        </w:rPr>
        <w:t xml:space="preserve"> </w:t>
      </w:r>
      <w:r>
        <w:rPr>
          <w:rFonts w:cs="David"/>
          <w:b/>
          <w:bCs/>
          <w:sz w:val="24"/>
          <w:szCs w:val="24"/>
          <w:rtl/>
        </w:rPr>
        <w:t xml:space="preserve"> גזר הדין לחשבון המרכז לגביית קנסות, אגרות והוצאות ברשות האכיפה והגבייה באחת מהדרכים הבאות:</w:t>
      </w:r>
    </w:p>
    <w:p w14:paraId="65D5AF5F" w14:textId="77777777" w:rsidR="000864AB" w:rsidRDefault="000864AB" w:rsidP="000864AB">
      <w:pPr>
        <w:pStyle w:val="a8"/>
        <w:spacing w:line="360" w:lineRule="auto"/>
        <w:jc w:val="both"/>
        <w:rPr>
          <w:rFonts w:cs="David"/>
          <w:b/>
          <w:bCs/>
          <w:sz w:val="24"/>
          <w:szCs w:val="24"/>
        </w:rPr>
      </w:pPr>
      <w:r>
        <w:rPr>
          <w:rFonts w:cs="David"/>
          <w:b/>
          <w:bCs/>
          <w:sz w:val="24"/>
          <w:szCs w:val="24"/>
          <w:rtl/>
        </w:rPr>
        <w:t xml:space="preserve">בכרטיס אשראי – באתר המקוון של רשות האכיפה והגבייה, </w:t>
      </w:r>
      <w:hyperlink r:id="rId31" w:history="1">
        <w:r>
          <w:rPr>
            <w:rStyle w:val="Hyperlink"/>
            <w:rFonts w:ascii="Arial" w:hAnsi="Arial" w:cs="David"/>
            <w:b/>
            <w:bCs/>
            <w:i/>
            <w:iCs/>
            <w:sz w:val="24"/>
            <w:szCs w:val="24"/>
          </w:rPr>
          <w:t>www.eca.gov.il</w:t>
        </w:r>
      </w:hyperlink>
      <w:r>
        <w:rPr>
          <w:rFonts w:cs="David"/>
          <w:b/>
          <w:bCs/>
          <w:sz w:val="24"/>
          <w:szCs w:val="24"/>
        </w:rPr>
        <w:t xml:space="preserve"> </w:t>
      </w:r>
      <w:r w:rsidR="00C767D4">
        <w:rPr>
          <w:rFonts w:cs="David"/>
          <w:b/>
          <w:bCs/>
          <w:sz w:val="24"/>
          <w:szCs w:val="24"/>
          <w:rtl/>
        </w:rPr>
        <w:t xml:space="preserve"> </w:t>
      </w:r>
    </w:p>
    <w:p w14:paraId="51B5BCD5" w14:textId="77777777" w:rsidR="000864AB" w:rsidRDefault="000864AB" w:rsidP="000864AB">
      <w:pPr>
        <w:pStyle w:val="a8"/>
        <w:spacing w:line="360" w:lineRule="auto"/>
        <w:jc w:val="both"/>
        <w:rPr>
          <w:rFonts w:cs="David"/>
          <w:b/>
          <w:bCs/>
          <w:sz w:val="24"/>
          <w:szCs w:val="24"/>
        </w:rPr>
      </w:pPr>
      <w:r>
        <w:rPr>
          <w:rFonts w:cs="David"/>
          <w:b/>
          <w:bCs/>
          <w:sz w:val="24"/>
          <w:szCs w:val="24"/>
          <w:rtl/>
        </w:rPr>
        <w:t>מוקד שירות טלפוני בשרות עצמי (מרכז גבייה)</w:t>
      </w:r>
      <w:r w:rsidR="00C767D4">
        <w:rPr>
          <w:rFonts w:cs="David"/>
          <w:b/>
          <w:bCs/>
          <w:sz w:val="24"/>
          <w:szCs w:val="24"/>
          <w:rtl/>
        </w:rPr>
        <w:t xml:space="preserve"> </w:t>
      </w:r>
      <w:r>
        <w:rPr>
          <w:rFonts w:cs="David"/>
          <w:b/>
          <w:bCs/>
          <w:sz w:val="24"/>
          <w:szCs w:val="24"/>
          <w:rtl/>
        </w:rPr>
        <w:t xml:space="preserve"> – בטלפון 35592* או בטלפון 073-2055000</w:t>
      </w:r>
    </w:p>
    <w:p w14:paraId="441A11BE" w14:textId="77777777" w:rsidR="000864AB" w:rsidRDefault="000864AB" w:rsidP="000864AB">
      <w:r>
        <w:rPr>
          <w:rFonts w:ascii="Calibri" w:hAnsi="Calibri"/>
          <w:b/>
          <w:bCs/>
          <w:rtl/>
        </w:rPr>
        <w:t>במזומן בכל סניף של בנק הדואר – בהצגת תעודת זהות בלבד (אין צורך בשוברי תשלום).</w:t>
      </w:r>
    </w:p>
    <w:p w14:paraId="3727821C" w14:textId="77777777" w:rsidR="000864AB" w:rsidRPr="00DD2834" w:rsidRDefault="000864AB" w:rsidP="000864AB">
      <w:pPr>
        <w:rPr>
          <w:rFonts w:cs="FrankRuehl"/>
          <w:sz w:val="28"/>
          <w:szCs w:val="28"/>
          <w:rtl/>
        </w:rPr>
      </w:pPr>
    </w:p>
    <w:p w14:paraId="01B74F15" w14:textId="77777777" w:rsidR="000864AB" w:rsidRDefault="000864AB" w:rsidP="000864AB">
      <w:pPr>
        <w:rPr>
          <w:rFonts w:cs="FrankRuehl"/>
          <w:sz w:val="28"/>
          <w:szCs w:val="28"/>
          <w:rtl/>
        </w:rPr>
      </w:pPr>
    </w:p>
    <w:p w14:paraId="7061831C" w14:textId="77777777" w:rsidR="000864AB" w:rsidRPr="006F1691" w:rsidRDefault="000864AB" w:rsidP="000864AB">
      <w:pPr>
        <w:spacing w:line="360" w:lineRule="auto"/>
        <w:jc w:val="both"/>
        <w:rPr>
          <w:rFonts w:ascii="David" w:hAnsi="David"/>
          <w:b/>
          <w:bCs/>
          <w:u w:val="single"/>
          <w:rtl/>
        </w:rPr>
      </w:pPr>
      <w:r w:rsidRPr="006F1691">
        <w:rPr>
          <w:rFonts w:ascii="David" w:hAnsi="David"/>
          <w:b/>
          <w:bCs/>
          <w:u w:val="single"/>
          <w:rtl/>
        </w:rPr>
        <w:t>זכות ערעור תוך 45 יום מהיום לבית המשפט העליון.</w:t>
      </w:r>
    </w:p>
    <w:p w14:paraId="67EFC900" w14:textId="77777777" w:rsidR="000864AB" w:rsidRPr="00C767D4" w:rsidRDefault="00C767D4" w:rsidP="000864AB">
      <w:pPr>
        <w:rPr>
          <w:color w:val="FFFFFF"/>
          <w:sz w:val="2"/>
          <w:szCs w:val="2"/>
        </w:rPr>
      </w:pPr>
      <w:r w:rsidRPr="00C767D4">
        <w:rPr>
          <w:color w:val="FFFFFF"/>
          <w:sz w:val="2"/>
          <w:szCs w:val="2"/>
          <w:rtl/>
        </w:rPr>
        <w:t>5129371</w:t>
      </w:r>
    </w:p>
    <w:p w14:paraId="74FEF145" w14:textId="77777777" w:rsidR="000864AB" w:rsidRDefault="00C767D4" w:rsidP="000864AB">
      <w:pPr>
        <w:rPr>
          <w:rFonts w:cs="FrankRuehl"/>
          <w:sz w:val="28"/>
          <w:szCs w:val="28"/>
          <w:rtl/>
        </w:rPr>
      </w:pPr>
      <w:bookmarkStart w:id="7" w:name="Nitan"/>
      <w:r w:rsidRPr="00C767D4">
        <w:rPr>
          <w:rFonts w:ascii="Arial" w:hAnsi="Arial"/>
          <w:b/>
          <w:bCs/>
          <w:color w:val="FFFFFF"/>
          <w:sz w:val="2"/>
          <w:szCs w:val="2"/>
          <w:rtl/>
        </w:rPr>
        <w:t>54678313</w:t>
      </w:r>
      <w:r>
        <w:rPr>
          <w:rFonts w:ascii="Arial" w:hAnsi="Arial"/>
          <w:b/>
          <w:bCs/>
          <w:rtl/>
        </w:rPr>
        <w:t xml:space="preserve">ניתן היום,  ג' תמוז תשפ"ג, 22 יוני 2023, במעמד הצדדים. </w:t>
      </w:r>
      <w:bookmarkEnd w:id="7"/>
    </w:p>
    <w:p w14:paraId="737ACFF6" w14:textId="77777777" w:rsidR="000864AB" w:rsidRDefault="000864AB" w:rsidP="000864AB"/>
    <w:p w14:paraId="4988FFC9" w14:textId="77777777" w:rsidR="000864AB" w:rsidRDefault="000864AB" w:rsidP="000864AB">
      <w:pPr>
        <w:rPr>
          <w:rFonts w:ascii="Arial" w:hAnsi="Arial" w:cs="FrankRuehl"/>
          <w:sz w:val="28"/>
          <w:szCs w:val="28"/>
          <w:rtl/>
        </w:rPr>
      </w:pPr>
    </w:p>
    <w:p w14:paraId="27C99FC2" w14:textId="77777777" w:rsidR="000864AB" w:rsidRDefault="000864AB" w:rsidP="000864AB">
      <w:pPr>
        <w:rPr>
          <w:rFonts w:cs="FrankRuehl"/>
          <w:sz w:val="28"/>
          <w:szCs w:val="28"/>
          <w:rtl/>
        </w:rPr>
      </w:pPr>
    </w:p>
    <w:p w14:paraId="7D0291DE" w14:textId="77777777" w:rsidR="000864AB" w:rsidRDefault="000864AB" w:rsidP="000864AB">
      <w:pPr>
        <w:pStyle w:val="a3"/>
        <w:jc w:val="center"/>
        <w:rPr>
          <w:rtl/>
        </w:rPr>
      </w:pPr>
    </w:p>
    <w:p w14:paraId="66A2DAEC" w14:textId="77777777" w:rsidR="00BD0E48" w:rsidRPr="00C767D4" w:rsidRDefault="00BD0E48" w:rsidP="00C767D4">
      <w:pPr>
        <w:keepNext/>
        <w:rPr>
          <w:rFonts w:ascii="David" w:hAnsi="David"/>
          <w:color w:val="000000"/>
          <w:sz w:val="22"/>
          <w:szCs w:val="22"/>
          <w:rtl/>
        </w:rPr>
      </w:pPr>
    </w:p>
    <w:p w14:paraId="10B57185" w14:textId="77777777" w:rsidR="00C767D4" w:rsidRPr="00C767D4" w:rsidRDefault="00C767D4" w:rsidP="00C767D4">
      <w:pPr>
        <w:keepNext/>
        <w:rPr>
          <w:rFonts w:ascii="David" w:hAnsi="David"/>
          <w:color w:val="000000"/>
          <w:sz w:val="22"/>
          <w:szCs w:val="22"/>
          <w:rtl/>
        </w:rPr>
      </w:pPr>
      <w:r w:rsidRPr="00C767D4">
        <w:rPr>
          <w:rFonts w:ascii="David" w:hAnsi="David"/>
          <w:color w:val="000000"/>
          <w:sz w:val="22"/>
          <w:szCs w:val="22"/>
          <w:rtl/>
        </w:rPr>
        <w:t>חנא סבאג 54678313</w:t>
      </w:r>
    </w:p>
    <w:p w14:paraId="1BD0B05E" w14:textId="77777777" w:rsidR="00C767D4" w:rsidRDefault="00C767D4" w:rsidP="00C767D4">
      <w:r w:rsidRPr="00C767D4">
        <w:rPr>
          <w:color w:val="000000"/>
          <w:rtl/>
        </w:rPr>
        <w:t>נוסח מסמך זה כפוף לשינויי ניסוח ועריכה</w:t>
      </w:r>
    </w:p>
    <w:p w14:paraId="300AD0B4" w14:textId="77777777" w:rsidR="00C767D4" w:rsidRDefault="00C767D4" w:rsidP="00C767D4">
      <w:pPr>
        <w:rPr>
          <w:rtl/>
        </w:rPr>
      </w:pPr>
    </w:p>
    <w:p w14:paraId="29F558F7" w14:textId="77777777" w:rsidR="00C767D4" w:rsidRDefault="00C767D4" w:rsidP="00C767D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462D1D3" w14:textId="77777777" w:rsidR="00C767D4" w:rsidRPr="00C767D4" w:rsidRDefault="00C767D4" w:rsidP="00C767D4">
      <w:pPr>
        <w:jc w:val="center"/>
        <w:rPr>
          <w:color w:val="0000FF"/>
          <w:u w:val="single"/>
        </w:rPr>
      </w:pPr>
    </w:p>
    <w:sectPr w:rsidR="00C767D4" w:rsidRPr="00C767D4" w:rsidSect="00C767D4">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CFBC7" w14:textId="77777777" w:rsidR="001E5CA6" w:rsidRDefault="001E5CA6" w:rsidP="00B83973">
      <w:r>
        <w:separator/>
      </w:r>
    </w:p>
  </w:endnote>
  <w:endnote w:type="continuationSeparator" w:id="0">
    <w:p w14:paraId="0003635B" w14:textId="77777777" w:rsidR="001E5CA6" w:rsidRDefault="001E5CA6" w:rsidP="00B8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DF27" w14:textId="77777777" w:rsidR="00C767D4" w:rsidRDefault="00C767D4" w:rsidP="00C7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B9D6B9" w14:textId="77777777" w:rsidR="00C767D4" w:rsidRPr="00C767D4" w:rsidRDefault="00C767D4" w:rsidP="00C7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483E" w14:textId="77777777" w:rsidR="00C767D4" w:rsidRDefault="00C767D4" w:rsidP="00C7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24D4">
      <w:rPr>
        <w:rFonts w:ascii="FrankRuehl" w:hAnsi="FrankRuehl" w:cs="FrankRuehl"/>
        <w:noProof/>
        <w:rtl/>
      </w:rPr>
      <w:t>1</w:t>
    </w:r>
    <w:r>
      <w:rPr>
        <w:rFonts w:ascii="FrankRuehl" w:hAnsi="FrankRuehl" w:cs="FrankRuehl"/>
        <w:rtl/>
      </w:rPr>
      <w:fldChar w:fldCharType="end"/>
    </w:r>
  </w:p>
  <w:p w14:paraId="6E024FE2" w14:textId="77777777" w:rsidR="00C767D4" w:rsidRPr="00C767D4" w:rsidRDefault="00C767D4" w:rsidP="00C7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8DF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857FA" w14:textId="77777777" w:rsidR="001E5CA6" w:rsidRDefault="001E5CA6" w:rsidP="00B83973">
      <w:r>
        <w:separator/>
      </w:r>
    </w:p>
  </w:footnote>
  <w:footnote w:type="continuationSeparator" w:id="0">
    <w:p w14:paraId="18C85872" w14:textId="77777777" w:rsidR="001E5CA6" w:rsidRDefault="001E5CA6" w:rsidP="00B83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1F749" w14:textId="77777777" w:rsidR="00C767D4" w:rsidRPr="00C767D4" w:rsidRDefault="00C767D4" w:rsidP="00C7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24257-09-22</w:t>
    </w:r>
    <w:r>
      <w:rPr>
        <w:rFonts w:ascii="David" w:hAnsi="David"/>
        <w:color w:val="000000"/>
        <w:sz w:val="22"/>
        <w:szCs w:val="22"/>
        <w:rtl/>
      </w:rPr>
      <w:tab/>
      <w:t xml:space="preserve"> מדינת ישראל נ' מוחמד ג'מאמעה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E9F6" w14:textId="77777777" w:rsidR="00C767D4" w:rsidRPr="00C767D4" w:rsidRDefault="00C767D4" w:rsidP="00C7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24257-09-22</w:t>
    </w:r>
    <w:r>
      <w:rPr>
        <w:rFonts w:ascii="David" w:hAnsi="David"/>
        <w:color w:val="000000"/>
        <w:sz w:val="22"/>
        <w:szCs w:val="22"/>
        <w:rtl/>
      </w:rPr>
      <w:tab/>
      <w:t xml:space="preserve"> מדינת ישראל נ' מוחמד ג'מאמעה  </w:t>
    </w:r>
    <w:r>
      <w:rPr>
        <w:rFonts w:ascii="David" w:hAnsi="David"/>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BFC"/>
    <w:multiLevelType w:val="hybridMultilevel"/>
    <w:tmpl w:val="79CAC9F0"/>
    <w:lvl w:ilvl="0" w:tplc="4B30EA3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8020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64AB"/>
    <w:rsid w:val="000864AB"/>
    <w:rsid w:val="000D0A0C"/>
    <w:rsid w:val="00111B3C"/>
    <w:rsid w:val="0018571D"/>
    <w:rsid w:val="001E5CA6"/>
    <w:rsid w:val="00211BCE"/>
    <w:rsid w:val="002926F8"/>
    <w:rsid w:val="003C24D4"/>
    <w:rsid w:val="00937E07"/>
    <w:rsid w:val="009849CB"/>
    <w:rsid w:val="009A4E4C"/>
    <w:rsid w:val="00B37243"/>
    <w:rsid w:val="00B83973"/>
    <w:rsid w:val="00BA5D6C"/>
    <w:rsid w:val="00BD0E48"/>
    <w:rsid w:val="00C767D4"/>
    <w:rsid w:val="00E84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D98BE9"/>
  <w15:chartTrackingRefBased/>
  <w15:docId w15:val="{1BB34D89-B5C1-4AC7-BB02-6DE0DF73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64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64AB"/>
    <w:pPr>
      <w:tabs>
        <w:tab w:val="center" w:pos="4153"/>
        <w:tab w:val="right" w:pos="8306"/>
      </w:tabs>
    </w:pPr>
  </w:style>
  <w:style w:type="character" w:customStyle="1" w:styleId="a4">
    <w:name w:val="כותרת עליונה תו"/>
    <w:link w:val="a3"/>
    <w:rsid w:val="000864AB"/>
    <w:rPr>
      <w:rFonts w:ascii="Times New Roman" w:eastAsia="Times New Roman" w:hAnsi="Times New Roman" w:cs="David"/>
      <w:sz w:val="24"/>
      <w:szCs w:val="24"/>
    </w:rPr>
  </w:style>
  <w:style w:type="paragraph" w:styleId="a5">
    <w:name w:val="footer"/>
    <w:basedOn w:val="a"/>
    <w:link w:val="a6"/>
    <w:rsid w:val="000864AB"/>
    <w:pPr>
      <w:tabs>
        <w:tab w:val="center" w:pos="4153"/>
        <w:tab w:val="right" w:pos="8306"/>
      </w:tabs>
    </w:pPr>
  </w:style>
  <w:style w:type="character" w:customStyle="1" w:styleId="a6">
    <w:name w:val="כותרת תחתונה תו"/>
    <w:link w:val="a5"/>
    <w:rsid w:val="000864AB"/>
    <w:rPr>
      <w:rFonts w:ascii="Times New Roman" w:eastAsia="Times New Roman" w:hAnsi="Times New Roman" w:cs="David"/>
      <w:sz w:val="24"/>
      <w:szCs w:val="24"/>
    </w:rPr>
  </w:style>
  <w:style w:type="table" w:styleId="a7">
    <w:name w:val="Table Grid"/>
    <w:basedOn w:val="a1"/>
    <w:rsid w:val="000864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qFormat/>
    <w:rsid w:val="000864AB"/>
    <w:pPr>
      <w:bidi/>
    </w:pPr>
    <w:rPr>
      <w:sz w:val="22"/>
      <w:szCs w:val="22"/>
    </w:rPr>
  </w:style>
  <w:style w:type="paragraph" w:styleId="a9">
    <w:name w:val="List Paragraph"/>
    <w:basedOn w:val="a"/>
    <w:qFormat/>
    <w:rsid w:val="000864AB"/>
    <w:pPr>
      <w:ind w:left="720"/>
      <w:contextualSpacing/>
    </w:pPr>
  </w:style>
  <w:style w:type="paragraph" w:customStyle="1" w:styleId="ruller5">
    <w:name w:val="ruller5"/>
    <w:basedOn w:val="a"/>
    <w:rsid w:val="000864AB"/>
    <w:pPr>
      <w:bidi w:val="0"/>
      <w:spacing w:before="100" w:beforeAutospacing="1" w:after="100" w:afterAutospacing="1"/>
    </w:pPr>
    <w:rPr>
      <w:rFonts w:cs="Times New Roman"/>
    </w:rPr>
  </w:style>
  <w:style w:type="paragraph" w:customStyle="1" w:styleId="Ruller4">
    <w:name w:val="Ruller4"/>
    <w:basedOn w:val="a"/>
    <w:rsid w:val="000864AB"/>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0864AB"/>
    <w:rPr>
      <w:noProof w:val="0"/>
      <w:color w:val="0000FF"/>
      <w:u w:val="single"/>
    </w:rPr>
  </w:style>
  <w:style w:type="character" w:styleId="aa">
    <w:name w:val="page number"/>
    <w:rsid w:val="00C7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821996" TargetMode="External"/><Relationship Id="rId21" Type="http://schemas.openxmlformats.org/officeDocument/2006/relationships/hyperlink" Target="http://www.nevo.co.il/case/2948673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827978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9433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6188919" TargetMode="External"/><Relationship Id="rId28" Type="http://schemas.openxmlformats.org/officeDocument/2006/relationships/hyperlink" Target="http://www.nevo.co.il/case/28442197" TargetMode="External"/><Relationship Id="rId36"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925239" TargetMode="External"/><Relationship Id="rId27" Type="http://schemas.openxmlformats.org/officeDocument/2006/relationships/hyperlink" Target="http://www.nevo.co.il/case/29740671" TargetMode="External"/><Relationship Id="rId30" Type="http://schemas.openxmlformats.org/officeDocument/2006/relationships/hyperlink" Target="http://www.nevo.co.il/case/26673856"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13866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3276925</vt:i4>
      </vt:variant>
      <vt:variant>
        <vt:i4>69</vt:i4>
      </vt:variant>
      <vt:variant>
        <vt:i4>0</vt:i4>
      </vt:variant>
      <vt:variant>
        <vt:i4>5</vt:i4>
      </vt:variant>
      <vt:variant>
        <vt:lpwstr>http://www.nevo.co.il/case/26673856</vt:lpwstr>
      </vt:variant>
      <vt:variant>
        <vt:lpwstr/>
      </vt:variant>
      <vt:variant>
        <vt:i4>3211391</vt:i4>
      </vt:variant>
      <vt:variant>
        <vt:i4>66</vt:i4>
      </vt:variant>
      <vt:variant>
        <vt:i4>0</vt:i4>
      </vt:variant>
      <vt:variant>
        <vt:i4>5</vt:i4>
      </vt:variant>
      <vt:variant>
        <vt:lpwstr>http://www.nevo.co.il/case/29433141</vt:lpwstr>
      </vt:variant>
      <vt:variant>
        <vt:lpwstr/>
      </vt:variant>
      <vt:variant>
        <vt:i4>3997817</vt:i4>
      </vt:variant>
      <vt:variant>
        <vt:i4>63</vt:i4>
      </vt:variant>
      <vt:variant>
        <vt:i4>0</vt:i4>
      </vt:variant>
      <vt:variant>
        <vt:i4>5</vt:i4>
      </vt:variant>
      <vt:variant>
        <vt:lpwstr>http://www.nevo.co.il/case/28442197</vt:lpwstr>
      </vt:variant>
      <vt:variant>
        <vt:lpwstr/>
      </vt:variant>
      <vt:variant>
        <vt:i4>3276927</vt:i4>
      </vt:variant>
      <vt:variant>
        <vt:i4>60</vt:i4>
      </vt:variant>
      <vt:variant>
        <vt:i4>0</vt:i4>
      </vt:variant>
      <vt:variant>
        <vt:i4>5</vt:i4>
      </vt:variant>
      <vt:variant>
        <vt:lpwstr>http://www.nevo.co.il/case/29740671</vt:lpwstr>
      </vt:variant>
      <vt:variant>
        <vt:lpwstr/>
      </vt:variant>
      <vt:variant>
        <vt:i4>3276920</vt:i4>
      </vt:variant>
      <vt:variant>
        <vt:i4>57</vt:i4>
      </vt:variant>
      <vt:variant>
        <vt:i4>0</vt:i4>
      </vt:variant>
      <vt:variant>
        <vt:i4>5</vt:i4>
      </vt:variant>
      <vt:variant>
        <vt:lpwstr>http://www.nevo.co.il/case/27821996</vt:lpwstr>
      </vt:variant>
      <vt:variant>
        <vt:lpwstr/>
      </vt:variant>
      <vt:variant>
        <vt:i4>3211388</vt:i4>
      </vt:variant>
      <vt:variant>
        <vt:i4>54</vt:i4>
      </vt:variant>
      <vt:variant>
        <vt:i4>0</vt:i4>
      </vt:variant>
      <vt:variant>
        <vt:i4>5</vt:i4>
      </vt:variant>
      <vt:variant>
        <vt:lpwstr>http://www.nevo.co.il/case/28279783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4063356</vt:i4>
      </vt:variant>
      <vt:variant>
        <vt:i4>48</vt:i4>
      </vt:variant>
      <vt:variant>
        <vt:i4>0</vt:i4>
      </vt:variant>
      <vt:variant>
        <vt:i4>5</vt:i4>
      </vt:variant>
      <vt:variant>
        <vt:lpwstr>http://www.nevo.co.il/case/6188919</vt:lpwstr>
      </vt:variant>
      <vt:variant>
        <vt:lpwstr/>
      </vt:variant>
      <vt:variant>
        <vt:i4>3997811</vt:i4>
      </vt:variant>
      <vt:variant>
        <vt:i4>45</vt:i4>
      </vt:variant>
      <vt:variant>
        <vt:i4>0</vt:i4>
      </vt:variant>
      <vt:variant>
        <vt:i4>5</vt:i4>
      </vt:variant>
      <vt:variant>
        <vt:lpwstr>http://www.nevo.co.il/case/27925239</vt:lpwstr>
      </vt:variant>
      <vt:variant>
        <vt:lpwstr/>
      </vt:variant>
      <vt:variant>
        <vt:i4>3342450</vt:i4>
      </vt:variant>
      <vt:variant>
        <vt:i4>42</vt:i4>
      </vt:variant>
      <vt:variant>
        <vt:i4>0</vt:i4>
      </vt:variant>
      <vt:variant>
        <vt:i4>5</vt:i4>
      </vt:variant>
      <vt:variant>
        <vt:lpwstr>http://www.nevo.co.il/case/29486731</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24257</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ג'מאמעה  x</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20230622</vt:lpwstr>
  </property>
  <property fmtid="{D5CDD505-2E9C-101B-9397-08002B2CF9AE}" pid="13" name="TYPE_N_DATE">
    <vt:lpwstr>39020230622</vt:lpwstr>
  </property>
  <property fmtid="{D5CDD505-2E9C-101B-9397-08002B2CF9AE}" pid="14" name="WORDNUMPAGES">
    <vt:lpwstr>9</vt:lpwstr>
  </property>
  <property fmtid="{D5CDD505-2E9C-101B-9397-08002B2CF9AE}" pid="15" name="TYPE_ABS_DATE">
    <vt:lpwstr>390020230622</vt:lpwstr>
  </property>
  <property fmtid="{D5CDD505-2E9C-101B-9397-08002B2CF9AE}" pid="16" name="ISABSTRACT">
    <vt:lpwstr>Y</vt:lpwstr>
  </property>
  <property fmtid="{D5CDD505-2E9C-101B-9397-08002B2CF9AE}" pid="17" name="CASESLISTTMP1">
    <vt:lpwstr>25824863;29486731;27925239;6188919;28279783;27821996;29740671;28442197;29433141;26673856</vt:lpwstr>
  </property>
  <property fmtid="{D5CDD505-2E9C-101B-9397-08002B2CF9AE}" pid="18" name="LAWLISTTMP1">
    <vt:lpwstr>70301/144.b2;144.a</vt:lpwstr>
  </property>
  <property fmtid="{D5CDD505-2E9C-101B-9397-08002B2CF9AE}" pid="19" name="LAWLISTTMP2">
    <vt:lpwstr>4216/007.a;007.c</vt:lpwstr>
  </property>
</Properties>
</file>