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651E3" w:rsidRPr="007D4DD1" w14:paraId="2A0FA9D1" w14:textId="77777777" w:rsidTr="007F16E2">
        <w:trPr>
          <w:trHeight w:hRule="exact" w:val="418"/>
          <w:jc w:val="center"/>
        </w:trPr>
        <w:tc>
          <w:tcPr>
            <w:tcW w:w="8721" w:type="dxa"/>
            <w:gridSpan w:val="2"/>
          </w:tcPr>
          <w:p w14:paraId="2D517C05" w14:textId="77777777" w:rsidR="00E651E3" w:rsidRPr="007D4DD1" w:rsidRDefault="00E651E3" w:rsidP="001626F8">
            <w:pPr>
              <w:pStyle w:val="a3"/>
              <w:jc w:val="center"/>
              <w:rPr>
                <w:rFonts w:ascii="Tahoma" w:hAnsi="Tahoma" w:cs="Tahoma"/>
                <w:color w:val="000080"/>
                <w:rtl/>
              </w:rPr>
            </w:pPr>
            <w:bookmarkStart w:id="0" w:name="FirstLawyer"/>
            <w:bookmarkStart w:id="1" w:name="LastJudge"/>
            <w:r w:rsidRPr="007D4DD1">
              <w:rPr>
                <w:rFonts w:ascii="Tahoma" w:hAnsi="Tahoma" w:cs="Tahoma"/>
                <w:b/>
                <w:bCs/>
                <w:color w:val="000080"/>
                <w:rtl/>
              </w:rPr>
              <w:t>בית המשפט המחוזי בירושלים</w:t>
            </w:r>
          </w:p>
        </w:tc>
      </w:tr>
      <w:tr w:rsidR="00E651E3" w:rsidRPr="007D4DD1" w14:paraId="7BA145C4" w14:textId="77777777" w:rsidTr="007F16E2">
        <w:trPr>
          <w:trHeight w:val="337"/>
          <w:jc w:val="center"/>
        </w:trPr>
        <w:tc>
          <w:tcPr>
            <w:tcW w:w="5054" w:type="dxa"/>
          </w:tcPr>
          <w:p w14:paraId="35F27887" w14:textId="77777777" w:rsidR="00E651E3" w:rsidRPr="007D4DD1" w:rsidRDefault="00E651E3" w:rsidP="001626F8">
            <w:pPr>
              <w:rPr>
                <w:rFonts w:cs="FrankRuehl"/>
                <w:sz w:val="28"/>
                <w:szCs w:val="28"/>
                <w:rtl/>
              </w:rPr>
            </w:pPr>
            <w:r w:rsidRPr="007D4DD1">
              <w:rPr>
                <w:rFonts w:cs="FrankRuehl"/>
                <w:sz w:val="28"/>
                <w:szCs w:val="28"/>
                <w:rtl/>
              </w:rPr>
              <w:t>ת"פ</w:t>
            </w:r>
            <w:r w:rsidRPr="007D4DD1">
              <w:rPr>
                <w:rFonts w:cs="FrankRuehl" w:hint="cs"/>
                <w:sz w:val="28"/>
                <w:szCs w:val="28"/>
                <w:rtl/>
              </w:rPr>
              <w:t xml:space="preserve"> </w:t>
            </w:r>
            <w:r w:rsidRPr="007D4DD1">
              <w:rPr>
                <w:rFonts w:cs="FrankRuehl"/>
                <w:sz w:val="28"/>
                <w:szCs w:val="28"/>
                <w:rtl/>
              </w:rPr>
              <w:t>53377-09-22</w:t>
            </w:r>
            <w:r w:rsidRPr="007D4DD1">
              <w:rPr>
                <w:rFonts w:cs="FrankRuehl" w:hint="cs"/>
                <w:sz w:val="28"/>
                <w:szCs w:val="28"/>
                <w:rtl/>
              </w:rPr>
              <w:t xml:space="preserve"> </w:t>
            </w:r>
            <w:r w:rsidRPr="007D4DD1">
              <w:rPr>
                <w:rFonts w:cs="FrankRuehl"/>
                <w:sz w:val="28"/>
                <w:szCs w:val="28"/>
                <w:rtl/>
              </w:rPr>
              <w:t>מדינת ישראל נ' עגלוני</w:t>
            </w:r>
          </w:p>
          <w:p w14:paraId="32069AB7" w14:textId="77777777" w:rsidR="00E651E3" w:rsidRPr="007D4DD1" w:rsidRDefault="00E651E3" w:rsidP="001626F8">
            <w:pPr>
              <w:pStyle w:val="a3"/>
              <w:rPr>
                <w:rFonts w:cs="FrankRuehl"/>
                <w:sz w:val="28"/>
                <w:szCs w:val="28"/>
                <w:rtl/>
              </w:rPr>
            </w:pPr>
          </w:p>
        </w:tc>
        <w:tc>
          <w:tcPr>
            <w:tcW w:w="3667" w:type="dxa"/>
          </w:tcPr>
          <w:p w14:paraId="426A1B2C" w14:textId="77777777" w:rsidR="00E651E3" w:rsidRPr="007D4DD1" w:rsidRDefault="00E651E3" w:rsidP="001626F8">
            <w:pPr>
              <w:pStyle w:val="a3"/>
              <w:jc w:val="right"/>
              <w:rPr>
                <w:rFonts w:cs="FrankRuehl"/>
                <w:sz w:val="28"/>
                <w:szCs w:val="28"/>
                <w:rtl/>
              </w:rPr>
            </w:pPr>
          </w:p>
        </w:tc>
      </w:tr>
    </w:tbl>
    <w:p w14:paraId="74FE67C9" w14:textId="77777777" w:rsidR="00E651E3" w:rsidRPr="007D4DD1" w:rsidRDefault="00E651E3" w:rsidP="00E651E3">
      <w:pPr>
        <w:pStyle w:val="a3"/>
        <w:rPr>
          <w:rtl/>
        </w:rPr>
      </w:pPr>
      <w:r w:rsidRPr="007D4DD1">
        <w:rPr>
          <w:rFonts w:hint="cs"/>
          <w:rtl/>
        </w:rPr>
        <w:t xml:space="preserve"> </w:t>
      </w:r>
    </w:p>
    <w:p w14:paraId="5EE08653" w14:textId="77777777" w:rsidR="00E651E3" w:rsidRPr="007D4DD1" w:rsidRDefault="00E651E3" w:rsidP="00E651E3">
      <w:pPr>
        <w:rPr>
          <w:sz w:val="26"/>
          <w:szCs w:val="26"/>
          <w:rtl/>
        </w:rPr>
      </w:pPr>
    </w:p>
    <w:p w14:paraId="668E052D" w14:textId="77777777" w:rsidR="00E651E3" w:rsidRPr="007D4DD1" w:rsidRDefault="00E651E3" w:rsidP="00E651E3">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485"/>
        <w:gridCol w:w="2412"/>
      </w:tblGrid>
      <w:tr w:rsidR="00E651E3" w:rsidRPr="007D4DD1" w14:paraId="52245C72" w14:textId="77777777" w:rsidTr="00E651E3">
        <w:trPr>
          <w:trHeight w:val="295"/>
          <w:jc w:val="center"/>
        </w:trPr>
        <w:tc>
          <w:tcPr>
            <w:tcW w:w="923" w:type="dxa"/>
            <w:tcBorders>
              <w:top w:val="nil"/>
              <w:left w:val="nil"/>
              <w:bottom w:val="nil"/>
              <w:right w:val="nil"/>
            </w:tcBorders>
            <w:shd w:val="clear" w:color="auto" w:fill="auto"/>
          </w:tcPr>
          <w:p w14:paraId="7169862E" w14:textId="77777777" w:rsidR="00E651E3" w:rsidRPr="007D4DD1" w:rsidRDefault="00E651E3" w:rsidP="00E651E3">
            <w:pPr>
              <w:jc w:val="both"/>
              <w:rPr>
                <w:rFonts w:ascii="FrankRuehl" w:hAnsi="FrankRuehl" w:cs="FrankRuehl"/>
                <w:sz w:val="30"/>
                <w:szCs w:val="30"/>
              </w:rPr>
            </w:pPr>
            <w:r w:rsidRPr="007D4DD1">
              <w:rPr>
                <w:rFonts w:ascii="FrankRuehl" w:hAnsi="FrankRuehl" w:cs="FrankRuehl"/>
                <w:sz w:val="30"/>
                <w:szCs w:val="30"/>
                <w:rtl/>
              </w:rPr>
              <w:t xml:space="preserve">בפני </w:t>
            </w:r>
          </w:p>
        </w:tc>
        <w:tc>
          <w:tcPr>
            <w:tcW w:w="7897" w:type="dxa"/>
            <w:gridSpan w:val="2"/>
            <w:tcBorders>
              <w:top w:val="nil"/>
              <w:left w:val="nil"/>
              <w:bottom w:val="nil"/>
              <w:right w:val="nil"/>
            </w:tcBorders>
            <w:shd w:val="clear" w:color="auto" w:fill="auto"/>
          </w:tcPr>
          <w:p w14:paraId="784D960F" w14:textId="77777777" w:rsidR="00E651E3" w:rsidRPr="007D4DD1" w:rsidRDefault="00E651E3" w:rsidP="001626F8">
            <w:pPr>
              <w:rPr>
                <w:rFonts w:ascii="FrankRuehl" w:hAnsi="FrankRuehl" w:cs="FrankRuehl"/>
                <w:b/>
                <w:bCs/>
                <w:sz w:val="30"/>
                <w:szCs w:val="30"/>
                <w:rtl/>
              </w:rPr>
            </w:pPr>
            <w:r w:rsidRPr="007D4DD1">
              <w:rPr>
                <w:rFonts w:ascii="FrankRuehl" w:hAnsi="FrankRuehl" w:cs="FrankRuehl"/>
                <w:b/>
                <w:bCs/>
                <w:sz w:val="30"/>
                <w:szCs w:val="30"/>
                <w:rtl/>
              </w:rPr>
              <w:t>כב' השופט  אילן סלע</w:t>
            </w:r>
          </w:p>
          <w:p w14:paraId="5382A752" w14:textId="77777777" w:rsidR="00E651E3" w:rsidRPr="007D4DD1" w:rsidRDefault="00E651E3" w:rsidP="001626F8">
            <w:pPr>
              <w:rPr>
                <w:rFonts w:ascii="FrankRuehl" w:hAnsi="FrankRuehl" w:cs="FrankRuehl"/>
                <w:sz w:val="30"/>
                <w:szCs w:val="30"/>
                <w:rtl/>
              </w:rPr>
            </w:pPr>
          </w:p>
          <w:p w14:paraId="5659E7F4" w14:textId="77777777" w:rsidR="00E651E3" w:rsidRPr="007D4DD1" w:rsidRDefault="00E651E3" w:rsidP="00E651E3">
            <w:pPr>
              <w:jc w:val="both"/>
              <w:rPr>
                <w:rFonts w:ascii="FrankRuehl" w:hAnsi="FrankRuehl" w:cs="FrankRuehl"/>
                <w:sz w:val="30"/>
                <w:szCs w:val="30"/>
              </w:rPr>
            </w:pPr>
          </w:p>
        </w:tc>
      </w:tr>
      <w:tr w:rsidR="00E651E3" w:rsidRPr="007D4DD1" w14:paraId="027DF759" w14:textId="77777777" w:rsidTr="00E651E3">
        <w:trPr>
          <w:trHeight w:val="355"/>
          <w:jc w:val="center"/>
        </w:trPr>
        <w:tc>
          <w:tcPr>
            <w:tcW w:w="923" w:type="dxa"/>
            <w:tcBorders>
              <w:top w:val="nil"/>
              <w:left w:val="nil"/>
              <w:bottom w:val="nil"/>
              <w:right w:val="nil"/>
            </w:tcBorders>
            <w:shd w:val="clear" w:color="auto" w:fill="auto"/>
          </w:tcPr>
          <w:p w14:paraId="57FB7554" w14:textId="77777777" w:rsidR="00E651E3" w:rsidRPr="007D4DD1" w:rsidRDefault="00E651E3" w:rsidP="00E651E3">
            <w:pPr>
              <w:jc w:val="both"/>
              <w:rPr>
                <w:rFonts w:ascii="FrankRuehl" w:hAnsi="FrankRuehl" w:cs="FrankRuehl"/>
                <w:sz w:val="30"/>
                <w:szCs w:val="30"/>
              </w:rPr>
            </w:pPr>
            <w:bookmarkStart w:id="2" w:name="FirstAppellant"/>
            <w:r w:rsidRPr="007D4DD1">
              <w:rPr>
                <w:rFonts w:ascii="FrankRuehl" w:hAnsi="FrankRuehl" w:cs="FrankRuehl"/>
                <w:sz w:val="30"/>
                <w:szCs w:val="30"/>
                <w:rtl/>
              </w:rPr>
              <w:t>בעניין:</w:t>
            </w:r>
          </w:p>
        </w:tc>
        <w:tc>
          <w:tcPr>
            <w:tcW w:w="5485" w:type="dxa"/>
            <w:tcBorders>
              <w:top w:val="nil"/>
              <w:left w:val="nil"/>
              <w:bottom w:val="nil"/>
              <w:right w:val="nil"/>
            </w:tcBorders>
            <w:shd w:val="clear" w:color="auto" w:fill="auto"/>
          </w:tcPr>
          <w:p w14:paraId="64D0F147" w14:textId="77777777" w:rsidR="00E651E3" w:rsidRPr="007D4DD1" w:rsidRDefault="00E651E3" w:rsidP="00E651E3">
            <w:pPr>
              <w:suppressLineNumbers/>
              <w:rPr>
                <w:rFonts w:ascii="FrankRuehl" w:hAnsi="FrankRuehl" w:cs="FrankRuehl"/>
                <w:b/>
                <w:bCs/>
                <w:sz w:val="30"/>
                <w:szCs w:val="30"/>
                <w:rtl/>
              </w:rPr>
            </w:pPr>
            <w:r w:rsidRPr="007D4DD1">
              <w:rPr>
                <w:rFonts w:ascii="FrankRuehl" w:hAnsi="FrankRuehl" w:cs="FrankRuehl" w:hint="cs"/>
                <w:b/>
                <w:bCs/>
                <w:sz w:val="30"/>
                <w:szCs w:val="30"/>
                <w:rtl/>
              </w:rPr>
              <w:t>מדינת ישראל</w:t>
            </w:r>
          </w:p>
          <w:p w14:paraId="3EC521DC" w14:textId="77777777" w:rsidR="00E651E3" w:rsidRPr="007D4DD1" w:rsidRDefault="00E651E3" w:rsidP="00E651E3">
            <w:pPr>
              <w:suppressLineNumbers/>
              <w:rPr>
                <w:rFonts w:ascii="FrankRuehl" w:hAnsi="FrankRuehl" w:cs="FrankRuehl"/>
                <w:b/>
                <w:bCs/>
                <w:sz w:val="30"/>
                <w:szCs w:val="30"/>
                <w:rtl/>
              </w:rPr>
            </w:pPr>
            <w:r w:rsidRPr="007D4DD1">
              <w:rPr>
                <w:rFonts w:ascii="FrankRuehl" w:hAnsi="FrankRuehl" w:cs="FrankRuehl" w:hint="cs"/>
                <w:b/>
                <w:bCs/>
                <w:sz w:val="30"/>
                <w:szCs w:val="30"/>
                <w:rtl/>
              </w:rPr>
              <w:t>באמצעות פרקליטות מחוז ירושלים (פלילי),</w:t>
            </w:r>
          </w:p>
          <w:p w14:paraId="2BB0D26F" w14:textId="77777777" w:rsidR="00E651E3" w:rsidRPr="007D4DD1" w:rsidRDefault="00E651E3" w:rsidP="00E651E3">
            <w:pPr>
              <w:suppressLineNumbers/>
              <w:rPr>
                <w:rFonts w:ascii="FrankRuehl" w:hAnsi="FrankRuehl" w:cs="FrankRuehl"/>
                <w:b/>
                <w:bCs/>
                <w:sz w:val="30"/>
                <w:szCs w:val="30"/>
              </w:rPr>
            </w:pPr>
            <w:r w:rsidRPr="007D4DD1">
              <w:rPr>
                <w:rFonts w:ascii="FrankRuehl" w:hAnsi="FrankRuehl" w:cs="FrankRuehl" w:hint="cs"/>
                <w:b/>
                <w:bCs/>
                <w:sz w:val="30"/>
                <w:szCs w:val="30"/>
                <w:rtl/>
              </w:rPr>
              <w:t>ע"י עו"ד אמיר קסנטיני</w:t>
            </w:r>
          </w:p>
          <w:p w14:paraId="3985BA2D" w14:textId="77777777" w:rsidR="00E651E3" w:rsidRPr="007D4DD1" w:rsidRDefault="00E651E3" w:rsidP="001626F8">
            <w:pPr>
              <w:rPr>
                <w:rFonts w:ascii="FrankRuehl" w:hAnsi="FrankRuehl" w:cs="FrankRuehl"/>
                <w:b/>
                <w:bCs/>
                <w:sz w:val="30"/>
                <w:szCs w:val="30"/>
              </w:rPr>
            </w:pPr>
          </w:p>
        </w:tc>
        <w:tc>
          <w:tcPr>
            <w:tcW w:w="2412" w:type="dxa"/>
            <w:tcBorders>
              <w:top w:val="nil"/>
              <w:left w:val="nil"/>
              <w:bottom w:val="nil"/>
              <w:right w:val="nil"/>
            </w:tcBorders>
            <w:shd w:val="clear" w:color="auto" w:fill="auto"/>
            <w:vAlign w:val="center"/>
          </w:tcPr>
          <w:p w14:paraId="5A441F9F" w14:textId="77777777" w:rsidR="00E651E3" w:rsidRPr="007D4DD1" w:rsidRDefault="00E651E3" w:rsidP="00E651E3">
            <w:pPr>
              <w:suppressLineNumbers/>
              <w:rPr>
                <w:rFonts w:ascii="FrankRuehl" w:hAnsi="FrankRuehl" w:cs="FrankRuehl"/>
                <w:sz w:val="30"/>
                <w:szCs w:val="30"/>
              </w:rPr>
            </w:pPr>
            <w:r w:rsidRPr="007D4DD1">
              <w:rPr>
                <w:rFonts w:ascii="FrankRuehl" w:hAnsi="FrankRuehl" w:cs="FrankRuehl"/>
                <w:b/>
                <w:bCs/>
                <w:sz w:val="30"/>
                <w:szCs w:val="30"/>
                <w:rtl/>
              </w:rPr>
              <w:br/>
            </w:r>
            <w:r w:rsidRPr="007D4DD1">
              <w:rPr>
                <w:rFonts w:ascii="FrankRuehl" w:hAnsi="FrankRuehl" w:cs="FrankRuehl"/>
                <w:b/>
                <w:bCs/>
                <w:sz w:val="30"/>
                <w:szCs w:val="30"/>
                <w:rtl/>
              </w:rPr>
              <w:br/>
            </w:r>
            <w:r w:rsidRPr="007D4DD1">
              <w:rPr>
                <w:rFonts w:ascii="FrankRuehl" w:hAnsi="FrankRuehl" w:cs="FrankRuehl" w:hint="cs"/>
                <w:b/>
                <w:bCs/>
                <w:sz w:val="30"/>
                <w:szCs w:val="30"/>
                <w:rtl/>
              </w:rPr>
              <w:t>המאשימה</w:t>
            </w:r>
          </w:p>
        </w:tc>
      </w:tr>
      <w:bookmarkEnd w:id="2"/>
      <w:tr w:rsidR="00E651E3" w:rsidRPr="007D4DD1" w14:paraId="7DB54D96" w14:textId="77777777" w:rsidTr="00E651E3">
        <w:trPr>
          <w:trHeight w:val="355"/>
          <w:jc w:val="center"/>
        </w:trPr>
        <w:tc>
          <w:tcPr>
            <w:tcW w:w="923" w:type="dxa"/>
            <w:tcBorders>
              <w:top w:val="nil"/>
              <w:left w:val="nil"/>
              <w:bottom w:val="nil"/>
              <w:right w:val="nil"/>
            </w:tcBorders>
            <w:shd w:val="clear" w:color="auto" w:fill="auto"/>
          </w:tcPr>
          <w:p w14:paraId="3586C9FB" w14:textId="77777777" w:rsidR="00E651E3" w:rsidRPr="007D4DD1" w:rsidRDefault="00E651E3" w:rsidP="00E651E3">
            <w:pPr>
              <w:jc w:val="both"/>
              <w:rPr>
                <w:rFonts w:ascii="FrankRuehl" w:hAnsi="FrankRuehl" w:cs="FrankRuehl"/>
                <w:sz w:val="30"/>
                <w:szCs w:val="30"/>
                <w:rtl/>
              </w:rPr>
            </w:pPr>
          </w:p>
        </w:tc>
        <w:tc>
          <w:tcPr>
            <w:tcW w:w="7897" w:type="dxa"/>
            <w:gridSpan w:val="2"/>
            <w:tcBorders>
              <w:top w:val="nil"/>
              <w:left w:val="nil"/>
              <w:bottom w:val="nil"/>
              <w:right w:val="nil"/>
            </w:tcBorders>
            <w:shd w:val="clear" w:color="auto" w:fill="auto"/>
          </w:tcPr>
          <w:p w14:paraId="0EFF61F4" w14:textId="77777777" w:rsidR="00E651E3" w:rsidRPr="007D4DD1" w:rsidRDefault="00E651E3" w:rsidP="00E651E3">
            <w:pPr>
              <w:jc w:val="center"/>
              <w:rPr>
                <w:rFonts w:ascii="FrankRuehl" w:hAnsi="FrankRuehl" w:cs="FrankRuehl"/>
                <w:b/>
                <w:bCs/>
                <w:sz w:val="30"/>
                <w:szCs w:val="30"/>
                <w:rtl/>
              </w:rPr>
            </w:pPr>
          </w:p>
          <w:p w14:paraId="765D87DB" w14:textId="77777777" w:rsidR="00E651E3" w:rsidRPr="007D4DD1" w:rsidRDefault="00E651E3" w:rsidP="00E651E3">
            <w:pPr>
              <w:jc w:val="center"/>
              <w:rPr>
                <w:rFonts w:ascii="FrankRuehl" w:hAnsi="FrankRuehl" w:cs="FrankRuehl"/>
                <w:b/>
                <w:bCs/>
                <w:sz w:val="30"/>
                <w:szCs w:val="30"/>
                <w:rtl/>
              </w:rPr>
            </w:pPr>
            <w:r w:rsidRPr="007D4DD1">
              <w:rPr>
                <w:rFonts w:ascii="FrankRuehl" w:hAnsi="FrankRuehl" w:cs="FrankRuehl"/>
                <w:b/>
                <w:bCs/>
                <w:sz w:val="30"/>
                <w:szCs w:val="30"/>
                <w:rtl/>
              </w:rPr>
              <w:t>נגד</w:t>
            </w:r>
          </w:p>
          <w:p w14:paraId="7D31E1ED" w14:textId="77777777" w:rsidR="00E651E3" w:rsidRPr="007D4DD1" w:rsidRDefault="00E651E3" w:rsidP="00E651E3">
            <w:pPr>
              <w:jc w:val="both"/>
              <w:rPr>
                <w:rFonts w:ascii="FrankRuehl" w:hAnsi="FrankRuehl" w:cs="FrankRuehl"/>
                <w:sz w:val="30"/>
                <w:szCs w:val="30"/>
              </w:rPr>
            </w:pPr>
          </w:p>
        </w:tc>
      </w:tr>
      <w:tr w:rsidR="00E651E3" w:rsidRPr="007D4DD1" w14:paraId="548E71C5" w14:textId="77777777" w:rsidTr="00E651E3">
        <w:trPr>
          <w:trHeight w:val="355"/>
          <w:jc w:val="center"/>
        </w:trPr>
        <w:tc>
          <w:tcPr>
            <w:tcW w:w="923" w:type="dxa"/>
            <w:tcBorders>
              <w:top w:val="nil"/>
              <w:left w:val="nil"/>
              <w:bottom w:val="nil"/>
              <w:right w:val="nil"/>
            </w:tcBorders>
            <w:shd w:val="clear" w:color="auto" w:fill="auto"/>
          </w:tcPr>
          <w:p w14:paraId="2F6E6383" w14:textId="77777777" w:rsidR="00E651E3" w:rsidRPr="007D4DD1" w:rsidRDefault="00E651E3" w:rsidP="001626F8">
            <w:pPr>
              <w:rPr>
                <w:rFonts w:ascii="FrankRuehl" w:hAnsi="FrankRuehl" w:cs="FrankRuehl"/>
                <w:sz w:val="30"/>
                <w:szCs w:val="30"/>
                <w:rtl/>
              </w:rPr>
            </w:pPr>
          </w:p>
        </w:tc>
        <w:tc>
          <w:tcPr>
            <w:tcW w:w="5485" w:type="dxa"/>
            <w:tcBorders>
              <w:top w:val="nil"/>
              <w:left w:val="nil"/>
              <w:bottom w:val="nil"/>
              <w:right w:val="nil"/>
            </w:tcBorders>
            <w:shd w:val="clear" w:color="auto" w:fill="auto"/>
          </w:tcPr>
          <w:p w14:paraId="38EC6159" w14:textId="77777777" w:rsidR="00E651E3" w:rsidRPr="007D4DD1" w:rsidRDefault="00E651E3" w:rsidP="00E651E3">
            <w:pPr>
              <w:suppressLineNumbers/>
              <w:rPr>
                <w:rFonts w:ascii="FrankRuehl" w:hAnsi="FrankRuehl" w:cs="FrankRuehl"/>
                <w:sz w:val="30"/>
                <w:szCs w:val="30"/>
              </w:rPr>
            </w:pPr>
            <w:r w:rsidRPr="007D4DD1">
              <w:rPr>
                <w:rFonts w:ascii="FrankRuehl" w:hAnsi="FrankRuehl" w:cs="FrankRuehl"/>
                <w:b/>
                <w:bCs/>
                <w:sz w:val="30"/>
                <w:szCs w:val="30"/>
                <w:rtl/>
              </w:rPr>
              <w:t>1. ג'ברין עגלוני</w:t>
            </w:r>
            <w:r w:rsidRPr="007D4DD1">
              <w:rPr>
                <w:rFonts w:ascii="FrankRuehl" w:hAnsi="FrankRuehl" w:cs="FrankRuehl"/>
                <w:b/>
                <w:bCs/>
                <w:sz w:val="30"/>
                <w:szCs w:val="30"/>
                <w:rtl/>
              </w:rPr>
              <w:br/>
              <w:t xml:space="preserve"> ע"י ב"כ עו"ד</w:t>
            </w:r>
            <w:r w:rsidRPr="007D4DD1">
              <w:rPr>
                <w:rFonts w:ascii="FrankRuehl" w:hAnsi="FrankRuehl" w:cs="FrankRuehl" w:hint="cs"/>
                <w:b/>
                <w:bCs/>
                <w:sz w:val="30"/>
                <w:szCs w:val="30"/>
                <w:rtl/>
              </w:rPr>
              <w:t xml:space="preserve"> לאה צמל</w:t>
            </w:r>
          </w:p>
          <w:p w14:paraId="5F5F551E" w14:textId="77777777" w:rsidR="00E651E3" w:rsidRPr="007D4DD1" w:rsidRDefault="00E651E3" w:rsidP="001626F8">
            <w:pPr>
              <w:rPr>
                <w:rFonts w:ascii="FrankRuehl" w:hAnsi="FrankRuehl" w:cs="FrankRuehl"/>
                <w:b/>
                <w:bCs/>
                <w:sz w:val="30"/>
                <w:szCs w:val="30"/>
                <w:rtl/>
              </w:rPr>
            </w:pPr>
            <w:r w:rsidRPr="007D4DD1">
              <w:rPr>
                <w:rFonts w:ascii="FrankRuehl" w:hAnsi="FrankRuehl" w:cs="FrankRuehl"/>
                <w:b/>
                <w:bCs/>
                <w:sz w:val="30"/>
                <w:szCs w:val="30"/>
                <w:rtl/>
              </w:rPr>
              <w:t>2. בהא אלדין אבו תאיה</w:t>
            </w:r>
            <w:r w:rsidRPr="007D4DD1">
              <w:rPr>
                <w:rFonts w:ascii="FrankRuehl" w:hAnsi="FrankRuehl" w:cs="FrankRuehl"/>
                <w:b/>
                <w:bCs/>
                <w:sz w:val="30"/>
                <w:szCs w:val="30"/>
                <w:rtl/>
              </w:rPr>
              <w:br/>
              <w:t xml:space="preserve"> ע"י ב"כ עו"ד</w:t>
            </w:r>
            <w:r w:rsidRPr="007D4DD1">
              <w:rPr>
                <w:rFonts w:ascii="FrankRuehl" w:hAnsi="FrankRuehl" w:cs="FrankRuehl" w:hint="cs"/>
                <w:b/>
                <w:bCs/>
                <w:sz w:val="30"/>
                <w:szCs w:val="30"/>
                <w:rtl/>
              </w:rPr>
              <w:t xml:space="preserve"> ראנם מזאל</w:t>
            </w:r>
          </w:p>
        </w:tc>
        <w:tc>
          <w:tcPr>
            <w:tcW w:w="2412" w:type="dxa"/>
            <w:tcBorders>
              <w:top w:val="nil"/>
              <w:left w:val="nil"/>
              <w:bottom w:val="nil"/>
              <w:right w:val="nil"/>
            </w:tcBorders>
            <w:shd w:val="clear" w:color="auto" w:fill="auto"/>
            <w:vAlign w:val="center"/>
          </w:tcPr>
          <w:p w14:paraId="67514C2B" w14:textId="77777777" w:rsidR="00E651E3" w:rsidRPr="007D4DD1" w:rsidRDefault="00E651E3" w:rsidP="001626F8">
            <w:pPr>
              <w:rPr>
                <w:rFonts w:ascii="FrankRuehl" w:hAnsi="FrankRuehl" w:cs="FrankRuehl"/>
                <w:sz w:val="30"/>
                <w:szCs w:val="30"/>
              </w:rPr>
            </w:pPr>
          </w:p>
          <w:p w14:paraId="34E3F985" w14:textId="77777777" w:rsidR="00E651E3" w:rsidRPr="007D4DD1" w:rsidRDefault="00E651E3" w:rsidP="00E651E3">
            <w:pPr>
              <w:suppressLineNumbers/>
              <w:rPr>
                <w:rFonts w:ascii="FrankRuehl" w:hAnsi="FrankRuehl" w:cs="FrankRuehl"/>
                <w:b/>
                <w:bCs/>
                <w:sz w:val="30"/>
                <w:szCs w:val="30"/>
                <w:rtl/>
              </w:rPr>
            </w:pPr>
          </w:p>
          <w:p w14:paraId="28E82C60" w14:textId="77777777" w:rsidR="00E651E3" w:rsidRPr="007D4DD1" w:rsidRDefault="00E651E3" w:rsidP="00E651E3">
            <w:pPr>
              <w:suppressLineNumbers/>
              <w:rPr>
                <w:rFonts w:ascii="FrankRuehl" w:hAnsi="FrankRuehl" w:cs="FrankRuehl"/>
                <w:b/>
                <w:bCs/>
                <w:sz w:val="30"/>
                <w:szCs w:val="30"/>
                <w:rtl/>
              </w:rPr>
            </w:pPr>
          </w:p>
          <w:p w14:paraId="6DFB162B" w14:textId="77777777" w:rsidR="00E651E3" w:rsidRPr="007D4DD1" w:rsidRDefault="00E651E3" w:rsidP="00E651E3">
            <w:pPr>
              <w:suppressLineNumbers/>
              <w:rPr>
                <w:rFonts w:ascii="FrankRuehl" w:hAnsi="FrankRuehl" w:cs="FrankRuehl"/>
                <w:sz w:val="30"/>
                <w:szCs w:val="30"/>
              </w:rPr>
            </w:pPr>
            <w:r w:rsidRPr="007D4DD1">
              <w:rPr>
                <w:rFonts w:ascii="FrankRuehl" w:hAnsi="FrankRuehl" w:cs="FrankRuehl" w:hint="cs"/>
                <w:b/>
                <w:bCs/>
                <w:sz w:val="30"/>
                <w:szCs w:val="30"/>
                <w:rtl/>
              </w:rPr>
              <w:t>הנאשמים</w:t>
            </w:r>
          </w:p>
        </w:tc>
      </w:tr>
    </w:tbl>
    <w:p w14:paraId="77AF8009" w14:textId="77777777" w:rsidR="007D4DD1" w:rsidRPr="007D4DD1" w:rsidRDefault="007D4DD1" w:rsidP="007D4DD1">
      <w:pPr>
        <w:spacing w:before="120" w:after="120" w:line="240" w:lineRule="exact"/>
        <w:ind w:left="283" w:hanging="283"/>
        <w:jc w:val="both"/>
        <w:rPr>
          <w:rFonts w:ascii="FrankRuehl" w:hAnsi="FrankRuehl" w:cs="FrankRuehl"/>
          <w:rtl/>
        </w:rPr>
      </w:pPr>
    </w:p>
    <w:p w14:paraId="22CFC192" w14:textId="77777777" w:rsidR="0006781A" w:rsidRPr="0006781A" w:rsidRDefault="0006781A" w:rsidP="0006781A">
      <w:pPr>
        <w:spacing w:before="120" w:after="120" w:line="240" w:lineRule="exact"/>
        <w:ind w:left="283" w:hanging="283"/>
        <w:jc w:val="both"/>
        <w:rPr>
          <w:rFonts w:ascii="FrankRuehl" w:hAnsi="FrankRuehl" w:cs="FrankRuehl"/>
          <w:rtl/>
        </w:rPr>
      </w:pPr>
    </w:p>
    <w:p w14:paraId="1741D1E3" w14:textId="77777777" w:rsidR="006A4B19" w:rsidRDefault="006A4B19" w:rsidP="006A4B19">
      <w:pPr>
        <w:rPr>
          <w:rFonts w:ascii="Arial" w:hAnsi="Arial"/>
          <w:sz w:val="26"/>
          <w:szCs w:val="26"/>
          <w:rtl/>
        </w:rPr>
      </w:pPr>
      <w:bookmarkStart w:id="3" w:name="LawTable"/>
      <w:bookmarkEnd w:id="3"/>
    </w:p>
    <w:p w14:paraId="531DAEC1" w14:textId="77777777" w:rsidR="006A4B19" w:rsidRPr="006A4B19" w:rsidRDefault="006A4B19" w:rsidP="006A4B19">
      <w:pPr>
        <w:spacing w:before="120" w:after="120" w:line="240" w:lineRule="exact"/>
        <w:ind w:left="283" w:hanging="283"/>
        <w:jc w:val="both"/>
        <w:rPr>
          <w:rFonts w:ascii="FrankRuehl" w:hAnsi="FrankRuehl" w:cs="FrankRuehl"/>
          <w:rtl/>
        </w:rPr>
      </w:pPr>
    </w:p>
    <w:p w14:paraId="34C61248" w14:textId="77777777" w:rsidR="006A4B19" w:rsidRPr="006A4B19" w:rsidRDefault="006A4B19" w:rsidP="006A4B19">
      <w:pPr>
        <w:spacing w:before="120" w:after="120" w:line="240" w:lineRule="exact"/>
        <w:ind w:left="283" w:hanging="283"/>
        <w:jc w:val="both"/>
        <w:rPr>
          <w:rFonts w:ascii="FrankRuehl" w:hAnsi="FrankRuehl" w:cs="FrankRuehl"/>
          <w:rtl/>
        </w:rPr>
      </w:pPr>
    </w:p>
    <w:p w14:paraId="2DB82AC6" w14:textId="77777777" w:rsidR="006A4B19" w:rsidRPr="006A4B19" w:rsidRDefault="006A4B19" w:rsidP="006A4B19">
      <w:pPr>
        <w:spacing w:before="120" w:after="120" w:line="240" w:lineRule="exact"/>
        <w:ind w:left="283" w:hanging="283"/>
        <w:jc w:val="both"/>
        <w:rPr>
          <w:rFonts w:ascii="FrankRuehl" w:hAnsi="FrankRuehl" w:cs="FrankRuehl"/>
          <w:rtl/>
        </w:rPr>
      </w:pPr>
      <w:r w:rsidRPr="006A4B19">
        <w:rPr>
          <w:rFonts w:ascii="FrankRuehl" w:hAnsi="FrankRuehl" w:cs="FrankRuehl"/>
          <w:rtl/>
        </w:rPr>
        <w:t xml:space="preserve">חקיקה שאוזכרה: </w:t>
      </w:r>
    </w:p>
    <w:p w14:paraId="0D4DC6DF" w14:textId="77777777" w:rsidR="006A4B19" w:rsidRPr="006A4B19" w:rsidRDefault="006A4B19" w:rsidP="006A4B19">
      <w:pPr>
        <w:spacing w:before="120" w:after="120" w:line="240" w:lineRule="exact"/>
        <w:ind w:left="283" w:hanging="283"/>
        <w:jc w:val="both"/>
        <w:rPr>
          <w:rFonts w:ascii="FrankRuehl" w:hAnsi="FrankRuehl" w:cs="FrankRuehl"/>
          <w:rtl/>
        </w:rPr>
      </w:pPr>
      <w:hyperlink r:id="rId7" w:history="1">
        <w:r w:rsidRPr="006A4B19">
          <w:rPr>
            <w:rFonts w:ascii="FrankRuehl" w:hAnsi="FrankRuehl" w:cs="FrankRuehl"/>
            <w:color w:val="0000FF"/>
            <w:rtl/>
          </w:rPr>
          <w:t>חוק העונשין, תשל"ז-1977</w:t>
        </w:r>
      </w:hyperlink>
      <w:r w:rsidRPr="006A4B19">
        <w:rPr>
          <w:rFonts w:ascii="FrankRuehl" w:hAnsi="FrankRuehl" w:cs="FrankRuehl"/>
          <w:rtl/>
        </w:rPr>
        <w:t xml:space="preserve">: סע'  </w:t>
      </w:r>
      <w:hyperlink r:id="rId8" w:history="1">
        <w:r w:rsidRPr="006A4B19">
          <w:rPr>
            <w:rFonts w:ascii="FrankRuehl" w:hAnsi="FrankRuehl" w:cs="FrankRuehl"/>
            <w:color w:val="0000FF"/>
            <w:rtl/>
          </w:rPr>
          <w:t>144(א)</w:t>
        </w:r>
      </w:hyperlink>
      <w:r w:rsidRPr="006A4B19">
        <w:rPr>
          <w:rFonts w:ascii="FrankRuehl" w:hAnsi="FrankRuehl" w:cs="FrankRuehl"/>
          <w:rtl/>
        </w:rPr>
        <w:t xml:space="preserve">, </w:t>
      </w:r>
      <w:hyperlink r:id="rId9" w:history="1">
        <w:r w:rsidRPr="006A4B19">
          <w:rPr>
            <w:rFonts w:ascii="FrankRuehl" w:hAnsi="FrankRuehl" w:cs="FrankRuehl"/>
            <w:color w:val="0000FF"/>
            <w:rtl/>
          </w:rPr>
          <w:t>144(ב2)</w:t>
        </w:r>
      </w:hyperlink>
    </w:p>
    <w:p w14:paraId="7BD323C9" w14:textId="77777777" w:rsidR="006A4B19" w:rsidRPr="006A4B19" w:rsidRDefault="006A4B19" w:rsidP="006A4B19">
      <w:pPr>
        <w:rPr>
          <w:rFonts w:ascii="Arial" w:hAnsi="Arial"/>
          <w:sz w:val="26"/>
          <w:szCs w:val="26"/>
          <w:rtl/>
        </w:rPr>
      </w:pPr>
      <w:bookmarkStart w:id="4" w:name="LawTable_End"/>
      <w:bookmarkEnd w:id="4"/>
    </w:p>
    <w:p w14:paraId="6E10E0DC" w14:textId="77777777" w:rsidR="00E651E3" w:rsidRPr="0006781A" w:rsidRDefault="00E651E3" w:rsidP="0006781A">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651E3" w14:paraId="2376B945" w14:textId="77777777" w:rsidTr="00E651E3">
        <w:trPr>
          <w:trHeight w:val="355"/>
          <w:jc w:val="center"/>
        </w:trPr>
        <w:tc>
          <w:tcPr>
            <w:tcW w:w="8820" w:type="dxa"/>
            <w:tcBorders>
              <w:top w:val="nil"/>
              <w:left w:val="nil"/>
              <w:bottom w:val="nil"/>
              <w:right w:val="nil"/>
            </w:tcBorders>
            <w:shd w:val="clear" w:color="auto" w:fill="auto"/>
          </w:tcPr>
          <w:p w14:paraId="188F4818" w14:textId="77777777" w:rsidR="007D4DD1" w:rsidRPr="007D4DD1" w:rsidRDefault="007D4DD1" w:rsidP="007D4DD1">
            <w:pPr>
              <w:jc w:val="center"/>
              <w:rPr>
                <w:rFonts w:ascii="FrankRuehl" w:hAnsi="FrankRuehl" w:cs="FrankRuehl"/>
                <w:b/>
                <w:bCs/>
                <w:sz w:val="36"/>
                <w:szCs w:val="36"/>
                <w:u w:val="single"/>
                <w:rtl/>
              </w:rPr>
            </w:pPr>
            <w:bookmarkStart w:id="5" w:name="PsakDin" w:colFirst="0" w:colLast="0"/>
            <w:bookmarkEnd w:id="0"/>
            <w:bookmarkEnd w:id="1"/>
            <w:r w:rsidRPr="007D4DD1">
              <w:rPr>
                <w:rFonts w:ascii="FrankRuehl" w:hAnsi="FrankRuehl" w:cs="FrankRuehl"/>
                <w:b/>
                <w:bCs/>
                <w:sz w:val="36"/>
                <w:szCs w:val="36"/>
                <w:u w:val="single"/>
                <w:rtl/>
              </w:rPr>
              <w:t>גזר דין</w:t>
            </w:r>
          </w:p>
          <w:p w14:paraId="4BCD710C" w14:textId="77777777" w:rsidR="00E651E3" w:rsidRPr="007D4DD1" w:rsidRDefault="00E651E3" w:rsidP="007D4DD1">
            <w:pPr>
              <w:jc w:val="center"/>
              <w:rPr>
                <w:rFonts w:ascii="FrankRuehl" w:hAnsi="FrankRuehl" w:cs="FrankRuehl"/>
                <w:bCs/>
                <w:sz w:val="36"/>
                <w:szCs w:val="36"/>
                <w:u w:val="single"/>
                <w:rtl/>
              </w:rPr>
            </w:pPr>
          </w:p>
        </w:tc>
      </w:tr>
      <w:bookmarkEnd w:id="5"/>
    </w:tbl>
    <w:p w14:paraId="1CAE52BA" w14:textId="77777777" w:rsidR="00E651E3" w:rsidRPr="000F2247" w:rsidRDefault="00E651E3" w:rsidP="00E651E3">
      <w:pPr>
        <w:rPr>
          <w:rFonts w:ascii="Arial" w:hAnsi="Arial"/>
          <w:b/>
          <w:bCs/>
          <w:sz w:val="26"/>
          <w:szCs w:val="26"/>
          <w:rtl/>
        </w:rPr>
      </w:pPr>
    </w:p>
    <w:p w14:paraId="66A8680F" w14:textId="77777777" w:rsidR="00E651E3" w:rsidRPr="000F2247" w:rsidRDefault="00E651E3" w:rsidP="00E651E3">
      <w:pPr>
        <w:rPr>
          <w:rFonts w:ascii="Arial" w:hAnsi="Arial"/>
          <w:b/>
          <w:bCs/>
          <w:sz w:val="26"/>
          <w:szCs w:val="26"/>
          <w:rtl/>
        </w:rPr>
      </w:pPr>
    </w:p>
    <w:p w14:paraId="65ACF405" w14:textId="77777777" w:rsidR="00E651E3" w:rsidRPr="00B20379" w:rsidRDefault="00E651E3" w:rsidP="00E651E3">
      <w:pPr>
        <w:spacing w:line="360" w:lineRule="auto"/>
        <w:jc w:val="both"/>
        <w:rPr>
          <w:rFonts w:ascii="FrankRuehl" w:hAnsi="FrankRuehl" w:cs="FrankRuehl"/>
          <w:b/>
          <w:bCs/>
          <w:sz w:val="28"/>
          <w:szCs w:val="28"/>
          <w:u w:val="single"/>
          <w:rtl/>
        </w:rPr>
      </w:pPr>
      <w:r w:rsidRPr="00B20379">
        <w:rPr>
          <w:rFonts w:ascii="FrankRuehl" w:hAnsi="FrankRuehl" w:cs="FrankRuehl" w:hint="cs"/>
          <w:b/>
          <w:bCs/>
          <w:sz w:val="28"/>
          <w:szCs w:val="28"/>
          <w:u w:val="single"/>
          <w:rtl/>
        </w:rPr>
        <w:t>הכרעת הדין</w:t>
      </w:r>
    </w:p>
    <w:p w14:paraId="371A4539" w14:textId="77777777" w:rsidR="00E651E3" w:rsidRDefault="00E651E3" w:rsidP="00E651E3">
      <w:pPr>
        <w:spacing w:line="360" w:lineRule="auto"/>
        <w:jc w:val="both"/>
        <w:rPr>
          <w:rFonts w:ascii="FrankRuehl" w:hAnsi="FrankRuehl" w:cs="FrankRuehl"/>
          <w:sz w:val="28"/>
          <w:szCs w:val="28"/>
        </w:rPr>
      </w:pPr>
      <w:r>
        <w:rPr>
          <w:rFonts w:ascii="FrankRuehl" w:hAnsi="FrankRuehl" w:cs="FrankRuehl" w:hint="cs"/>
          <w:sz w:val="28"/>
          <w:szCs w:val="28"/>
          <w:rtl/>
        </w:rPr>
        <w:t>1.</w:t>
      </w:r>
      <w:r>
        <w:rPr>
          <w:rFonts w:ascii="FrankRuehl" w:hAnsi="FrankRuehl" w:cs="FrankRuehl" w:hint="cs"/>
          <w:sz w:val="28"/>
          <w:szCs w:val="28"/>
          <w:rtl/>
        </w:rPr>
        <w:tab/>
      </w:r>
      <w:bookmarkStart w:id="6" w:name="ABSTRACT_START"/>
      <w:bookmarkEnd w:id="6"/>
      <w:r>
        <w:rPr>
          <w:rFonts w:ascii="FrankRuehl" w:hAnsi="FrankRuehl" w:cs="FrankRuehl"/>
          <w:sz w:val="28"/>
          <w:szCs w:val="28"/>
          <w:rtl/>
        </w:rPr>
        <w:t>הנאשמים הורשעו על פי הודאתם</w:t>
      </w:r>
      <w:r>
        <w:rPr>
          <w:rFonts w:ascii="FrankRuehl" w:hAnsi="FrankRuehl" w:cs="FrankRuehl" w:hint="cs"/>
          <w:sz w:val="28"/>
          <w:szCs w:val="28"/>
          <w:rtl/>
        </w:rPr>
        <w:t>, שניתנה במסגרת הסדר טיעון,</w:t>
      </w:r>
      <w:r>
        <w:rPr>
          <w:rFonts w:ascii="FrankRuehl" w:hAnsi="FrankRuehl" w:cs="FrankRuehl"/>
          <w:sz w:val="28"/>
          <w:szCs w:val="28"/>
          <w:rtl/>
        </w:rPr>
        <w:t xml:space="preserve"> בעבירות שיוחסו להם בכתב האישום שתוקן במסגרת </w:t>
      </w:r>
      <w:r>
        <w:rPr>
          <w:rFonts w:ascii="FrankRuehl" w:hAnsi="FrankRuehl" w:cs="FrankRuehl" w:hint="cs"/>
          <w:sz w:val="28"/>
          <w:szCs w:val="28"/>
          <w:rtl/>
        </w:rPr>
        <w:t>ה</w:t>
      </w:r>
      <w:r>
        <w:rPr>
          <w:rFonts w:ascii="FrankRuehl" w:hAnsi="FrankRuehl" w:cs="FrankRuehl"/>
          <w:sz w:val="28"/>
          <w:szCs w:val="28"/>
          <w:rtl/>
        </w:rPr>
        <w:t>הסדר</w:t>
      </w:r>
      <w:r>
        <w:rPr>
          <w:rFonts w:ascii="FrankRuehl" w:hAnsi="FrankRuehl" w:cs="FrankRuehl" w:hint="cs"/>
          <w:sz w:val="28"/>
          <w:szCs w:val="28"/>
          <w:rtl/>
        </w:rPr>
        <w:t>. נאשם 1 הורשע ב</w:t>
      </w:r>
      <w:r>
        <w:rPr>
          <w:rFonts w:ascii="FrankRuehl" w:hAnsi="FrankRuehl" w:cs="FrankRuehl"/>
          <w:sz w:val="28"/>
          <w:szCs w:val="28"/>
          <w:rtl/>
        </w:rPr>
        <w:t xml:space="preserve">עבירה של סחר בנשק ובאביזר נשק לפי </w:t>
      </w:r>
      <w:hyperlink r:id="rId10" w:history="1">
        <w:r w:rsidR="007F16E2" w:rsidRPr="007F16E2">
          <w:rPr>
            <w:rStyle w:val="Hyperlink"/>
            <w:rFonts w:ascii="FrankRuehl" w:hAnsi="FrankRuehl" w:cs="FrankRuehl"/>
            <w:sz w:val="28"/>
            <w:szCs w:val="28"/>
            <w:rtl/>
          </w:rPr>
          <w:t>סעיף 144(ב2)</w:t>
        </w:r>
      </w:hyperlink>
      <w:r>
        <w:rPr>
          <w:rFonts w:ascii="FrankRuehl" w:hAnsi="FrankRuehl" w:cs="FrankRuehl"/>
          <w:sz w:val="28"/>
          <w:szCs w:val="28"/>
          <w:rtl/>
        </w:rPr>
        <w:t xml:space="preserve"> ל</w:t>
      </w:r>
      <w:hyperlink r:id="rId11" w:history="1">
        <w:r w:rsidR="007D4DD1" w:rsidRPr="007D4DD1">
          <w:rPr>
            <w:rFonts w:ascii="FrankRuehl" w:hAnsi="FrankRuehl" w:cs="FrankRuehl"/>
            <w:color w:val="0000FF"/>
            <w:sz w:val="28"/>
            <w:szCs w:val="28"/>
            <w:u w:val="single"/>
            <w:rtl/>
          </w:rPr>
          <w:t>חוק העונשין</w:t>
        </w:r>
      </w:hyperlink>
      <w:r>
        <w:rPr>
          <w:rFonts w:ascii="FrankRuehl" w:hAnsi="FrankRuehl" w:cs="FrankRuehl"/>
          <w:sz w:val="28"/>
          <w:szCs w:val="28"/>
          <w:rtl/>
        </w:rPr>
        <w:t>, התשל"ז-1977</w:t>
      </w:r>
      <w:r>
        <w:rPr>
          <w:rFonts w:ascii="FrankRuehl" w:hAnsi="FrankRuehl" w:cs="FrankRuehl" w:hint="cs"/>
          <w:sz w:val="28"/>
          <w:szCs w:val="28"/>
          <w:rtl/>
        </w:rPr>
        <w:t xml:space="preserve"> </w:t>
      </w:r>
      <w:r>
        <w:rPr>
          <w:rFonts w:ascii="FrankRuehl" w:hAnsi="FrankRuehl" w:cs="FrankRuehl"/>
          <w:sz w:val="28"/>
          <w:szCs w:val="28"/>
          <w:rtl/>
        </w:rPr>
        <w:t>(להלן: "החוק")</w:t>
      </w:r>
      <w:r>
        <w:rPr>
          <w:rFonts w:ascii="FrankRuehl" w:hAnsi="FrankRuehl" w:cs="FrankRuehl" w:hint="cs"/>
          <w:sz w:val="28"/>
          <w:szCs w:val="28"/>
          <w:rtl/>
        </w:rPr>
        <w:t xml:space="preserve"> וב</w:t>
      </w:r>
      <w:r>
        <w:rPr>
          <w:rFonts w:ascii="FrankRuehl" w:hAnsi="FrankRuehl" w:cs="FrankRuehl"/>
          <w:sz w:val="28"/>
          <w:szCs w:val="28"/>
          <w:rtl/>
        </w:rPr>
        <w:t xml:space="preserve">עבירה של החזקת נשק </w:t>
      </w:r>
      <w:r>
        <w:rPr>
          <w:rFonts w:ascii="FrankRuehl" w:hAnsi="FrankRuehl" w:cs="FrankRuehl"/>
          <w:sz w:val="28"/>
          <w:szCs w:val="28"/>
          <w:rtl/>
        </w:rPr>
        <w:lastRenderedPageBreak/>
        <w:t>ותחמושת</w:t>
      </w:r>
      <w:r>
        <w:rPr>
          <w:rFonts w:ascii="FrankRuehl" w:hAnsi="FrankRuehl" w:cs="FrankRuehl" w:hint="cs"/>
          <w:sz w:val="28"/>
          <w:szCs w:val="28"/>
          <w:rtl/>
        </w:rPr>
        <w:t xml:space="preserve"> </w:t>
      </w:r>
      <w:r>
        <w:rPr>
          <w:rFonts w:ascii="FrankRuehl" w:hAnsi="FrankRuehl" w:cs="FrankRuehl"/>
          <w:sz w:val="28"/>
          <w:szCs w:val="28"/>
          <w:rtl/>
        </w:rPr>
        <w:t xml:space="preserve">(אביזר נשק) לפי </w:t>
      </w:r>
      <w:hyperlink r:id="rId12" w:history="1">
        <w:r w:rsidR="007F16E2" w:rsidRPr="007F16E2">
          <w:rPr>
            <w:rStyle w:val="Hyperlink"/>
            <w:rFonts w:ascii="FrankRuehl" w:hAnsi="FrankRuehl" w:cs="FrankRuehl"/>
            <w:sz w:val="28"/>
            <w:szCs w:val="28"/>
            <w:rtl/>
          </w:rPr>
          <w:t>סעיף 144(א)</w:t>
        </w:r>
      </w:hyperlink>
      <w:r>
        <w:rPr>
          <w:rFonts w:ascii="FrankRuehl" w:hAnsi="FrankRuehl" w:cs="FrankRuehl"/>
          <w:sz w:val="28"/>
          <w:szCs w:val="28"/>
          <w:rtl/>
        </w:rPr>
        <w:t xml:space="preserve"> רישא + סיפא לחוק</w:t>
      </w:r>
      <w:r>
        <w:rPr>
          <w:rFonts w:ascii="FrankRuehl" w:hAnsi="FrankRuehl" w:cs="FrankRuehl" w:hint="cs"/>
          <w:sz w:val="28"/>
          <w:szCs w:val="28"/>
          <w:rtl/>
        </w:rPr>
        <w:t>. נאשם 2 הורשע</w:t>
      </w:r>
      <w:r>
        <w:rPr>
          <w:rFonts w:ascii="FrankRuehl" w:hAnsi="FrankRuehl" w:cs="FrankRuehl"/>
          <w:sz w:val="28"/>
          <w:szCs w:val="28"/>
          <w:rtl/>
        </w:rPr>
        <w:t xml:space="preserve"> בעבירה של עסקה אחרת בנשק לפי </w:t>
      </w:r>
      <w:hyperlink r:id="rId13" w:history="1">
        <w:r w:rsidR="007F16E2" w:rsidRPr="007F16E2">
          <w:rPr>
            <w:rStyle w:val="Hyperlink"/>
            <w:rFonts w:ascii="FrankRuehl" w:hAnsi="FrankRuehl" w:cs="FrankRuehl"/>
            <w:sz w:val="28"/>
            <w:szCs w:val="28"/>
            <w:rtl/>
          </w:rPr>
          <w:t>סעיף 144(ב2)</w:t>
        </w:r>
      </w:hyperlink>
      <w:r>
        <w:rPr>
          <w:rFonts w:ascii="FrankRuehl" w:hAnsi="FrankRuehl" w:cs="FrankRuehl"/>
          <w:sz w:val="28"/>
          <w:szCs w:val="28"/>
          <w:rtl/>
        </w:rPr>
        <w:t xml:space="preserve"> לחוק. </w:t>
      </w:r>
    </w:p>
    <w:p w14:paraId="05DE7AA5" w14:textId="77777777" w:rsidR="00E651E3" w:rsidRDefault="00E651E3" w:rsidP="00E651E3">
      <w:pPr>
        <w:tabs>
          <w:tab w:val="left" w:pos="6635"/>
        </w:tabs>
        <w:spacing w:line="360" w:lineRule="auto"/>
        <w:jc w:val="both"/>
        <w:rPr>
          <w:rFonts w:ascii="FrankRuehl" w:hAnsi="FrankRuehl" w:cs="FrankRuehl"/>
          <w:sz w:val="28"/>
          <w:szCs w:val="28"/>
          <w:rtl/>
        </w:rPr>
      </w:pPr>
      <w:bookmarkStart w:id="7" w:name="ABSTRACT_END"/>
      <w:bookmarkEnd w:id="7"/>
      <w:r>
        <w:rPr>
          <w:rFonts w:ascii="FrankRuehl" w:hAnsi="FrankRuehl" w:cs="FrankRuehl"/>
          <w:sz w:val="28"/>
          <w:szCs w:val="28"/>
          <w:rtl/>
        </w:rPr>
        <w:tab/>
      </w:r>
    </w:p>
    <w:p w14:paraId="4313C4BD" w14:textId="77777777" w:rsidR="00E651E3" w:rsidRDefault="00E651E3" w:rsidP="00E651E3">
      <w:pPr>
        <w:spacing w:line="360" w:lineRule="auto"/>
        <w:jc w:val="both"/>
        <w:rPr>
          <w:rFonts w:ascii="FrankRuehl" w:hAnsi="FrankRuehl" w:cs="FrankRuehl"/>
          <w:sz w:val="28"/>
          <w:szCs w:val="28"/>
          <w:rtl/>
        </w:rPr>
      </w:pPr>
      <w:r>
        <w:rPr>
          <w:rFonts w:ascii="FrankRuehl" w:hAnsi="FrankRuehl" w:cs="FrankRuehl" w:hint="cs"/>
          <w:sz w:val="28"/>
          <w:szCs w:val="28"/>
          <w:rtl/>
        </w:rPr>
        <w:t>2.</w:t>
      </w:r>
      <w:r>
        <w:rPr>
          <w:rFonts w:ascii="FrankRuehl" w:hAnsi="FrankRuehl" w:cs="FrankRuehl" w:hint="cs"/>
          <w:sz w:val="28"/>
          <w:szCs w:val="28"/>
          <w:rtl/>
        </w:rPr>
        <w:tab/>
        <w:t xml:space="preserve">לפי המתואר בכתב האישום, </w:t>
      </w:r>
      <w:r>
        <w:rPr>
          <w:rFonts w:ascii="FrankRuehl" w:hAnsi="FrankRuehl" w:cs="FrankRuehl"/>
          <w:sz w:val="28"/>
          <w:szCs w:val="28"/>
          <w:rtl/>
        </w:rPr>
        <w:t xml:space="preserve">במהלך </w:t>
      </w:r>
      <w:r>
        <w:rPr>
          <w:rFonts w:ascii="FrankRuehl" w:hAnsi="FrankRuehl" w:cs="FrankRuehl" w:hint="cs"/>
          <w:sz w:val="28"/>
          <w:szCs w:val="28"/>
          <w:rtl/>
        </w:rPr>
        <w:t xml:space="preserve">חודש מרץ 2022 רכש אימן אבו תאיה (להלן: "אימן") - שהוא בן דודו של נאשם 2 ושל אשתו של נאשם 1 </w:t>
      </w:r>
      <w:r>
        <w:rPr>
          <w:rFonts w:ascii="FrankRuehl" w:hAnsi="FrankRuehl" w:cs="FrankRuehl"/>
          <w:sz w:val="28"/>
          <w:szCs w:val="28"/>
          <w:rtl/>
        </w:rPr>
        <w:t>–</w:t>
      </w:r>
      <w:r>
        <w:rPr>
          <w:rFonts w:ascii="FrankRuehl" w:hAnsi="FrankRuehl" w:cs="FrankRuehl" w:hint="cs"/>
          <w:sz w:val="28"/>
          <w:szCs w:val="28"/>
          <w:rtl/>
        </w:rPr>
        <w:t xml:space="preserve"> מנאשם 1 אקדח חצי אוטומטי מסוג </w:t>
      </w:r>
      <w:r w:rsidRPr="00334048">
        <w:rPr>
          <w:rFonts w:ascii="FrankRuehl" w:hAnsi="FrankRuehl" w:cs="FrankRuehl" w:hint="cs"/>
        </w:rPr>
        <w:t>FN</w:t>
      </w:r>
      <w:r>
        <w:rPr>
          <w:rFonts w:ascii="FrankRuehl" w:hAnsi="FrankRuehl" w:cs="FrankRuehl" w:hint="cs"/>
          <w:sz w:val="28"/>
          <w:szCs w:val="28"/>
          <w:rtl/>
        </w:rPr>
        <w:t xml:space="preserve"> תוצרת בלגיה מודל </w:t>
      </w:r>
      <w:r w:rsidRPr="00334048">
        <w:rPr>
          <w:rFonts w:ascii="FrankRuehl" w:hAnsi="FrankRuehl" w:cs="FrankRuehl" w:hint="cs"/>
        </w:rPr>
        <w:t>HP</w:t>
      </w:r>
      <w:r>
        <w:rPr>
          <w:rFonts w:ascii="FrankRuehl" w:hAnsi="FrankRuehl" w:cs="FrankRuehl" w:hint="cs"/>
          <w:sz w:val="28"/>
          <w:szCs w:val="28"/>
        </w:rPr>
        <w:t>-35</w:t>
      </w:r>
      <w:r>
        <w:rPr>
          <w:rFonts w:ascii="FrankRuehl" w:hAnsi="FrankRuehl" w:cs="FrankRuehl" w:hint="cs"/>
          <w:sz w:val="28"/>
          <w:szCs w:val="28"/>
          <w:rtl/>
        </w:rPr>
        <w:t xml:space="preserve"> קליבר 9 פאראבלום ושתי מחסניות ריקות תואמות בתמורה ל-20,000 ₪. במהלך חודש מאי של אותה שנה תיווך נאשם 2 בין אימן ל</w:t>
      </w:r>
      <w:r>
        <w:rPr>
          <w:rFonts w:ascii="FrankRuehl" w:hAnsi="FrankRuehl" w:cs="FrankRuehl"/>
          <w:sz w:val="28"/>
          <w:szCs w:val="28"/>
          <w:rtl/>
        </w:rPr>
        <w:t>אמיר סידאווי</w:t>
      </w:r>
      <w:r>
        <w:rPr>
          <w:rFonts w:ascii="FrankRuehl" w:hAnsi="FrankRuehl" w:cs="FrankRuehl" w:hint="cs"/>
          <w:sz w:val="28"/>
          <w:szCs w:val="28"/>
          <w:rtl/>
        </w:rPr>
        <w:t xml:space="preserve"> </w:t>
      </w:r>
      <w:r>
        <w:rPr>
          <w:rFonts w:ascii="FrankRuehl" w:hAnsi="FrankRuehl" w:cs="FrankRuehl"/>
          <w:sz w:val="28"/>
          <w:szCs w:val="28"/>
          <w:rtl/>
        </w:rPr>
        <w:t>(להלן: "</w:t>
      </w:r>
      <w:r>
        <w:rPr>
          <w:rFonts w:ascii="FrankRuehl" w:hAnsi="FrankRuehl" w:cs="FrankRuehl" w:hint="cs"/>
          <w:sz w:val="28"/>
          <w:szCs w:val="28"/>
          <w:rtl/>
        </w:rPr>
        <w:t>אמיר</w:t>
      </w:r>
      <w:r>
        <w:rPr>
          <w:rFonts w:ascii="FrankRuehl" w:hAnsi="FrankRuehl" w:cs="FrankRuehl"/>
          <w:sz w:val="28"/>
          <w:szCs w:val="28"/>
          <w:rtl/>
        </w:rPr>
        <w:t>")</w:t>
      </w:r>
      <w:r>
        <w:rPr>
          <w:rFonts w:ascii="FrankRuehl" w:hAnsi="FrankRuehl" w:cs="FrankRuehl" w:hint="cs"/>
          <w:sz w:val="28"/>
          <w:szCs w:val="28"/>
          <w:rtl/>
        </w:rPr>
        <w:t xml:space="preserve"> במכירת האקדח ושתי המחסניות בתמורה ל-30,000 ₪. נאשם 2 קיבל מאימן דמי תיווך בסך של 1,500 ₪. </w:t>
      </w:r>
    </w:p>
    <w:p w14:paraId="686F545C" w14:textId="77777777" w:rsidR="00E651E3" w:rsidRDefault="00E651E3" w:rsidP="00E651E3">
      <w:pPr>
        <w:spacing w:line="360" w:lineRule="auto"/>
        <w:jc w:val="both"/>
        <w:rPr>
          <w:rFonts w:ascii="FrankRuehl" w:hAnsi="FrankRuehl" w:cs="FrankRuehl"/>
          <w:sz w:val="28"/>
          <w:szCs w:val="28"/>
          <w:rtl/>
        </w:rPr>
      </w:pPr>
    </w:p>
    <w:p w14:paraId="12043520" w14:textId="77777777" w:rsidR="00E651E3" w:rsidRDefault="00E651E3" w:rsidP="00E651E3">
      <w:pPr>
        <w:spacing w:line="360" w:lineRule="auto"/>
        <w:jc w:val="both"/>
        <w:rPr>
          <w:rFonts w:ascii="FrankRuehl" w:hAnsi="FrankRuehl" w:cs="FrankRuehl"/>
          <w:sz w:val="28"/>
          <w:szCs w:val="28"/>
          <w:rtl/>
        </w:rPr>
      </w:pPr>
      <w:r>
        <w:rPr>
          <w:rFonts w:ascii="FrankRuehl" w:hAnsi="FrankRuehl" w:cs="FrankRuehl" w:hint="cs"/>
          <w:sz w:val="28"/>
          <w:szCs w:val="28"/>
          <w:rtl/>
        </w:rPr>
        <w:t>3.</w:t>
      </w:r>
      <w:r>
        <w:rPr>
          <w:rFonts w:ascii="FrankRuehl" w:hAnsi="FrankRuehl" w:cs="FrankRuehl" w:hint="cs"/>
          <w:sz w:val="28"/>
          <w:szCs w:val="28"/>
          <w:rtl/>
        </w:rPr>
        <w:tab/>
      </w:r>
      <w:r>
        <w:rPr>
          <w:rFonts w:ascii="FrankRuehl" w:hAnsi="FrankRuehl" w:cs="FrankRuehl"/>
          <w:sz w:val="28"/>
          <w:szCs w:val="28"/>
          <w:rtl/>
        </w:rPr>
        <w:t xml:space="preserve">ביום 14.08.22 שימשו </w:t>
      </w:r>
      <w:r>
        <w:rPr>
          <w:rFonts w:ascii="FrankRuehl" w:hAnsi="FrankRuehl" w:cs="FrankRuehl" w:hint="cs"/>
          <w:sz w:val="28"/>
          <w:szCs w:val="28"/>
          <w:rtl/>
        </w:rPr>
        <w:t xml:space="preserve">האקדח והמחסניות את אמיר </w:t>
      </w:r>
      <w:r>
        <w:rPr>
          <w:rFonts w:ascii="FrankRuehl" w:hAnsi="FrankRuehl" w:cs="FrankRuehl"/>
          <w:sz w:val="28"/>
          <w:szCs w:val="28"/>
          <w:rtl/>
        </w:rPr>
        <w:t xml:space="preserve">בניסיונו לגרום למותם של שבעה בני שלא כדין ממניע דתי לאומני ואידיאולוגי. כתוצאה מניסיון זה נגרמה חבלה חמורה לחמישה בני אדם ופציעה לשניים נוספים. </w:t>
      </w:r>
    </w:p>
    <w:p w14:paraId="4676CF16" w14:textId="77777777" w:rsidR="00E651E3" w:rsidRDefault="00E651E3" w:rsidP="00E651E3">
      <w:pPr>
        <w:spacing w:line="360" w:lineRule="auto"/>
        <w:jc w:val="both"/>
        <w:rPr>
          <w:rFonts w:ascii="FrankRuehl" w:hAnsi="FrankRuehl" w:cs="FrankRuehl"/>
          <w:sz w:val="28"/>
          <w:szCs w:val="28"/>
          <w:rtl/>
        </w:rPr>
      </w:pPr>
    </w:p>
    <w:p w14:paraId="56F35D40" w14:textId="77777777" w:rsidR="00E651E3" w:rsidRPr="00B20379" w:rsidRDefault="00E651E3" w:rsidP="00E651E3">
      <w:pPr>
        <w:spacing w:line="360" w:lineRule="auto"/>
        <w:jc w:val="both"/>
        <w:rPr>
          <w:rFonts w:ascii="FrankRuehl" w:hAnsi="FrankRuehl" w:cs="FrankRuehl"/>
          <w:b/>
          <w:bCs/>
          <w:sz w:val="28"/>
          <w:szCs w:val="28"/>
          <w:u w:val="single"/>
          <w:rtl/>
        </w:rPr>
      </w:pPr>
      <w:r w:rsidRPr="00B20379">
        <w:rPr>
          <w:rFonts w:ascii="FrankRuehl" w:hAnsi="FrankRuehl" w:cs="FrankRuehl"/>
          <w:b/>
          <w:bCs/>
          <w:sz w:val="28"/>
          <w:szCs w:val="28"/>
          <w:u w:val="single"/>
          <w:rtl/>
        </w:rPr>
        <w:t>טיעוני ב"כ הצדדים</w:t>
      </w:r>
    </w:p>
    <w:p w14:paraId="514D4D6B" w14:textId="77777777" w:rsidR="00E651E3" w:rsidRDefault="00E651E3" w:rsidP="00E651E3">
      <w:pPr>
        <w:spacing w:line="360" w:lineRule="auto"/>
        <w:jc w:val="both"/>
        <w:rPr>
          <w:rFonts w:ascii="FrankRuehl" w:hAnsi="FrankRuehl" w:cs="FrankRuehl"/>
          <w:sz w:val="28"/>
          <w:szCs w:val="28"/>
          <w:rtl/>
        </w:rPr>
      </w:pPr>
      <w:r>
        <w:rPr>
          <w:rFonts w:ascii="FrankRuehl" w:hAnsi="FrankRuehl" w:cs="FrankRuehl" w:hint="cs"/>
          <w:sz w:val="28"/>
          <w:szCs w:val="28"/>
          <w:rtl/>
        </w:rPr>
        <w:t>4.</w:t>
      </w:r>
      <w:r>
        <w:rPr>
          <w:rFonts w:ascii="FrankRuehl" w:hAnsi="FrankRuehl" w:cs="FrankRuehl" w:hint="cs"/>
          <w:sz w:val="28"/>
          <w:szCs w:val="28"/>
          <w:rtl/>
        </w:rPr>
        <w:tab/>
        <w:t xml:space="preserve">בטיעוניו לעונש עמד </w:t>
      </w:r>
      <w:r>
        <w:rPr>
          <w:rFonts w:ascii="FrankRuehl" w:hAnsi="FrankRuehl" w:cs="FrankRuehl"/>
          <w:sz w:val="28"/>
          <w:szCs w:val="28"/>
          <w:rtl/>
        </w:rPr>
        <w:t>ב"כ המאשימה</w:t>
      </w:r>
      <w:r>
        <w:rPr>
          <w:rFonts w:ascii="FrankRuehl" w:hAnsi="FrankRuehl" w:cs="FrankRuehl" w:hint="cs"/>
          <w:sz w:val="28"/>
          <w:szCs w:val="28"/>
          <w:rtl/>
        </w:rPr>
        <w:t xml:space="preserve"> על האינטרסים המוגנים שנפגעו, ועל כך ש</w:t>
      </w:r>
      <w:r>
        <w:rPr>
          <w:rFonts w:ascii="FrankRuehl" w:hAnsi="FrankRuehl" w:cs="FrankRuehl"/>
          <w:sz w:val="28"/>
          <w:szCs w:val="28"/>
          <w:rtl/>
        </w:rPr>
        <w:t>עבירות נשק הפכו למכת מדינה, ומייצרות סיכונים לשלום הציבור ובטחונו</w:t>
      </w:r>
      <w:r>
        <w:rPr>
          <w:rFonts w:ascii="FrankRuehl" w:hAnsi="FrankRuehl" w:cs="FrankRuehl" w:hint="cs"/>
          <w:sz w:val="28"/>
          <w:szCs w:val="28"/>
          <w:rtl/>
        </w:rPr>
        <w:t xml:space="preserve">, </w:t>
      </w:r>
      <w:r>
        <w:rPr>
          <w:rFonts w:ascii="FrankRuehl" w:hAnsi="FrankRuehl" w:cs="FrankRuehl"/>
          <w:sz w:val="28"/>
          <w:szCs w:val="28"/>
          <w:rtl/>
        </w:rPr>
        <w:t>הן ב</w:t>
      </w:r>
      <w:r>
        <w:rPr>
          <w:rFonts w:ascii="FrankRuehl" w:hAnsi="FrankRuehl" w:cs="FrankRuehl" w:hint="cs"/>
          <w:sz w:val="28"/>
          <w:szCs w:val="28"/>
          <w:rtl/>
        </w:rPr>
        <w:t xml:space="preserve">ביצוע </w:t>
      </w:r>
      <w:r>
        <w:rPr>
          <w:rFonts w:ascii="FrankRuehl" w:hAnsi="FrankRuehl" w:cs="FrankRuehl"/>
          <w:sz w:val="28"/>
          <w:szCs w:val="28"/>
          <w:rtl/>
        </w:rPr>
        <w:t>עבירות</w:t>
      </w:r>
      <w:r>
        <w:rPr>
          <w:rFonts w:ascii="FrankRuehl" w:hAnsi="FrankRuehl" w:cs="FrankRuehl" w:hint="cs"/>
          <w:sz w:val="28"/>
          <w:szCs w:val="28"/>
          <w:rtl/>
        </w:rPr>
        <w:t xml:space="preserve"> טרור </w:t>
      </w:r>
      <w:r>
        <w:rPr>
          <w:rFonts w:ascii="FrankRuehl" w:hAnsi="FrankRuehl" w:cs="FrankRuehl"/>
          <w:sz w:val="28"/>
          <w:szCs w:val="28"/>
          <w:rtl/>
        </w:rPr>
        <w:t>והן ב</w:t>
      </w:r>
      <w:r>
        <w:rPr>
          <w:rFonts w:ascii="FrankRuehl" w:hAnsi="FrankRuehl" w:cs="FrankRuehl" w:hint="cs"/>
          <w:sz w:val="28"/>
          <w:szCs w:val="28"/>
          <w:rtl/>
        </w:rPr>
        <w:t xml:space="preserve">ביצוע </w:t>
      </w:r>
      <w:r>
        <w:rPr>
          <w:rFonts w:ascii="FrankRuehl" w:hAnsi="FrankRuehl" w:cs="FrankRuehl"/>
          <w:sz w:val="28"/>
          <w:szCs w:val="28"/>
          <w:rtl/>
        </w:rPr>
        <w:t>עבירות פליליות</w:t>
      </w:r>
      <w:r>
        <w:rPr>
          <w:rFonts w:ascii="FrankRuehl" w:hAnsi="FrankRuehl" w:cs="FrankRuehl" w:hint="cs"/>
          <w:sz w:val="28"/>
          <w:szCs w:val="28"/>
          <w:rtl/>
        </w:rPr>
        <w:t xml:space="preserve">. בשל כך נקבע בפסיקה כי </w:t>
      </w:r>
      <w:r>
        <w:rPr>
          <w:rFonts w:ascii="FrankRuehl" w:hAnsi="FrankRuehl" w:cs="FrankRuehl"/>
          <w:sz w:val="28"/>
          <w:szCs w:val="28"/>
          <w:rtl/>
        </w:rPr>
        <w:t>יש להחמיר בענישה</w:t>
      </w:r>
      <w:r>
        <w:rPr>
          <w:rFonts w:ascii="FrankRuehl" w:hAnsi="FrankRuehl" w:cs="FrankRuehl" w:hint="cs"/>
          <w:sz w:val="28"/>
          <w:szCs w:val="28"/>
          <w:rtl/>
        </w:rPr>
        <w:t xml:space="preserve"> בעבירות אלו</w:t>
      </w:r>
      <w:r>
        <w:rPr>
          <w:rFonts w:ascii="FrankRuehl" w:hAnsi="FrankRuehl" w:cs="FrankRuehl"/>
          <w:sz w:val="28"/>
          <w:szCs w:val="28"/>
          <w:rtl/>
        </w:rPr>
        <w:t xml:space="preserve">, גם לשם הרתעת הרבים. </w:t>
      </w:r>
    </w:p>
    <w:p w14:paraId="1D9FF4AA" w14:textId="77777777" w:rsidR="00E651E3" w:rsidRDefault="00E651E3" w:rsidP="00E651E3">
      <w:pPr>
        <w:spacing w:line="360" w:lineRule="auto"/>
        <w:jc w:val="both"/>
        <w:rPr>
          <w:rFonts w:ascii="FrankRuehl" w:hAnsi="FrankRuehl" w:cs="FrankRuehl"/>
          <w:sz w:val="28"/>
          <w:szCs w:val="28"/>
          <w:rtl/>
        </w:rPr>
      </w:pPr>
    </w:p>
    <w:p w14:paraId="1C79DBBA" w14:textId="77777777" w:rsidR="00E651E3" w:rsidRDefault="00E651E3" w:rsidP="00E651E3">
      <w:pPr>
        <w:spacing w:line="360" w:lineRule="auto"/>
        <w:jc w:val="both"/>
        <w:rPr>
          <w:rFonts w:ascii="FrankRuehl" w:hAnsi="FrankRuehl" w:cs="FrankRuehl"/>
          <w:sz w:val="28"/>
          <w:szCs w:val="28"/>
          <w:rtl/>
        </w:rPr>
      </w:pPr>
      <w:r>
        <w:rPr>
          <w:rFonts w:ascii="FrankRuehl" w:hAnsi="FrankRuehl" w:cs="FrankRuehl" w:hint="cs"/>
          <w:sz w:val="28"/>
          <w:szCs w:val="28"/>
          <w:rtl/>
        </w:rPr>
        <w:t>5.</w:t>
      </w:r>
      <w:r>
        <w:rPr>
          <w:rFonts w:ascii="FrankRuehl" w:hAnsi="FrankRuehl" w:cs="FrankRuehl" w:hint="cs"/>
          <w:sz w:val="28"/>
          <w:szCs w:val="28"/>
          <w:rtl/>
        </w:rPr>
        <w:tab/>
      </w:r>
      <w:r>
        <w:rPr>
          <w:rFonts w:ascii="FrankRuehl" w:hAnsi="FrankRuehl" w:cs="FrankRuehl"/>
          <w:sz w:val="28"/>
          <w:szCs w:val="28"/>
          <w:rtl/>
        </w:rPr>
        <w:t>באשר לנסיבות ביצוע העבירה</w:t>
      </w:r>
      <w:r>
        <w:rPr>
          <w:rFonts w:ascii="FrankRuehl" w:hAnsi="FrankRuehl" w:cs="FrankRuehl" w:hint="cs"/>
          <w:sz w:val="28"/>
          <w:szCs w:val="28"/>
          <w:rtl/>
        </w:rPr>
        <w:t>, ציין ב"כ המאשימה את טובת ההנאה בסך של 20,000 ₪, את טובת ההנאה בסך של 1,500 ₪ שצמחה לנאשם 2 מהתיווך, ואת התוצאות החמורות של העסקה, אשר הובילה את האקדח לידיים טרוריסטיות אשר עשו בו שימוש לפיגוע טרור.</w:t>
      </w:r>
    </w:p>
    <w:p w14:paraId="09EF2A5E" w14:textId="77777777" w:rsidR="00E651E3" w:rsidRDefault="00E651E3" w:rsidP="00E651E3">
      <w:pPr>
        <w:spacing w:line="360" w:lineRule="auto"/>
        <w:jc w:val="both"/>
        <w:rPr>
          <w:rFonts w:ascii="FrankRuehl" w:hAnsi="FrankRuehl" w:cs="FrankRuehl"/>
          <w:sz w:val="28"/>
          <w:szCs w:val="28"/>
          <w:rtl/>
        </w:rPr>
      </w:pPr>
    </w:p>
    <w:p w14:paraId="373909AD" w14:textId="77777777" w:rsidR="00E651E3" w:rsidRDefault="00E651E3" w:rsidP="00E651E3">
      <w:pPr>
        <w:spacing w:line="360" w:lineRule="auto"/>
        <w:jc w:val="both"/>
        <w:rPr>
          <w:rFonts w:ascii="FrankRuehl" w:hAnsi="FrankRuehl" w:cs="FrankRuehl"/>
          <w:sz w:val="28"/>
          <w:szCs w:val="28"/>
          <w:rtl/>
        </w:rPr>
      </w:pPr>
      <w:r>
        <w:rPr>
          <w:rFonts w:ascii="FrankRuehl" w:hAnsi="FrankRuehl" w:cs="FrankRuehl" w:hint="cs"/>
          <w:sz w:val="28"/>
          <w:szCs w:val="28"/>
          <w:rtl/>
        </w:rPr>
        <w:t>6.</w:t>
      </w:r>
      <w:r>
        <w:rPr>
          <w:rFonts w:ascii="FrankRuehl" w:hAnsi="FrankRuehl" w:cs="FrankRuehl" w:hint="cs"/>
          <w:sz w:val="28"/>
          <w:szCs w:val="28"/>
          <w:rtl/>
        </w:rPr>
        <w:tab/>
        <w:t xml:space="preserve">ב"כ המאשימה </w:t>
      </w:r>
      <w:r>
        <w:rPr>
          <w:rFonts w:ascii="FrankRuehl" w:hAnsi="FrankRuehl" w:cs="FrankRuehl"/>
          <w:sz w:val="28"/>
          <w:szCs w:val="28"/>
          <w:rtl/>
        </w:rPr>
        <w:t xml:space="preserve">הפנה למספר </w:t>
      </w:r>
      <w:r>
        <w:rPr>
          <w:rFonts w:ascii="FrankRuehl" w:hAnsi="FrankRuehl" w:cs="FrankRuehl" w:hint="cs"/>
          <w:sz w:val="28"/>
          <w:szCs w:val="28"/>
          <w:rtl/>
        </w:rPr>
        <w:t>גזר</w:t>
      </w:r>
      <w:r>
        <w:rPr>
          <w:rFonts w:ascii="FrankRuehl" w:hAnsi="FrankRuehl" w:cs="FrankRuehl"/>
          <w:sz w:val="28"/>
          <w:szCs w:val="28"/>
          <w:rtl/>
        </w:rPr>
        <w:t>י דין</w:t>
      </w:r>
      <w:r>
        <w:rPr>
          <w:rFonts w:ascii="FrankRuehl" w:hAnsi="FrankRuehl" w:cs="FrankRuehl" w:hint="cs"/>
          <w:sz w:val="28"/>
          <w:szCs w:val="28"/>
          <w:rtl/>
        </w:rPr>
        <w:t xml:space="preserve"> שניתנו עובר ל</w:t>
      </w:r>
      <w:r>
        <w:rPr>
          <w:rFonts w:ascii="FrankRuehl" w:hAnsi="FrankRuehl" w:cs="FrankRuehl"/>
          <w:sz w:val="28"/>
          <w:szCs w:val="28"/>
          <w:rtl/>
        </w:rPr>
        <w:t>תיקון 140 לחוק</w:t>
      </w:r>
      <w:r>
        <w:rPr>
          <w:rFonts w:ascii="FrankRuehl" w:hAnsi="FrankRuehl" w:cs="FrankRuehl" w:hint="cs"/>
          <w:sz w:val="28"/>
          <w:szCs w:val="28"/>
          <w:rtl/>
        </w:rPr>
        <w:t xml:space="preserve"> ולאחריו,</w:t>
      </w:r>
      <w:r>
        <w:rPr>
          <w:rFonts w:ascii="FrankRuehl" w:hAnsi="FrankRuehl" w:cs="FrankRuehl"/>
          <w:sz w:val="28"/>
          <w:szCs w:val="28"/>
          <w:rtl/>
        </w:rPr>
        <w:t xml:space="preserve"> ובהם נקבע מתחם ענישה בעבירה של החזקה וסחר בנשק</w:t>
      </w:r>
      <w:r>
        <w:rPr>
          <w:rFonts w:ascii="FrankRuehl" w:hAnsi="FrankRuehl" w:cs="FrankRuehl" w:hint="cs"/>
          <w:sz w:val="28"/>
          <w:szCs w:val="28"/>
          <w:rtl/>
        </w:rPr>
        <w:t>,</w:t>
      </w:r>
      <w:r>
        <w:rPr>
          <w:rFonts w:ascii="FrankRuehl" w:hAnsi="FrankRuehl" w:cs="FrankRuehl"/>
          <w:sz w:val="28"/>
          <w:szCs w:val="28"/>
          <w:rtl/>
        </w:rPr>
        <w:t xml:space="preserve"> שנע בין שנתיים לחמש שנות מאסר בפועל. </w:t>
      </w:r>
      <w:r>
        <w:rPr>
          <w:rFonts w:ascii="FrankRuehl" w:hAnsi="FrankRuehl" w:cs="FrankRuehl" w:hint="cs"/>
          <w:sz w:val="28"/>
          <w:szCs w:val="28"/>
          <w:rtl/>
        </w:rPr>
        <w:t xml:space="preserve">במקרה זה, עתר </w:t>
      </w:r>
      <w:r>
        <w:rPr>
          <w:rFonts w:ascii="FrankRuehl" w:hAnsi="FrankRuehl" w:cs="FrankRuehl"/>
          <w:sz w:val="28"/>
          <w:szCs w:val="28"/>
          <w:rtl/>
        </w:rPr>
        <w:t xml:space="preserve">ב"כ המאשימה </w:t>
      </w:r>
      <w:r>
        <w:rPr>
          <w:rFonts w:ascii="FrankRuehl" w:hAnsi="FrankRuehl" w:cs="FrankRuehl" w:hint="cs"/>
          <w:sz w:val="28"/>
          <w:szCs w:val="28"/>
          <w:rtl/>
        </w:rPr>
        <w:t xml:space="preserve">למתחם </w:t>
      </w:r>
      <w:r>
        <w:rPr>
          <w:rFonts w:ascii="FrankRuehl" w:hAnsi="FrankRuehl" w:cs="FrankRuehl"/>
          <w:sz w:val="28"/>
          <w:szCs w:val="28"/>
          <w:rtl/>
        </w:rPr>
        <w:t xml:space="preserve">שנע מ-42 ועד 72 חודשי מאסר </w:t>
      </w:r>
      <w:r>
        <w:rPr>
          <w:rFonts w:ascii="FrankRuehl" w:hAnsi="FrankRuehl" w:cs="FrankRuehl" w:hint="cs"/>
          <w:sz w:val="28"/>
          <w:szCs w:val="28"/>
          <w:rtl/>
        </w:rPr>
        <w:t>בגין עבירת הסחר ולמת</w:t>
      </w:r>
      <w:r>
        <w:rPr>
          <w:rFonts w:ascii="FrankRuehl" w:hAnsi="FrankRuehl" w:cs="FrankRuehl"/>
          <w:sz w:val="28"/>
          <w:szCs w:val="28"/>
          <w:rtl/>
        </w:rPr>
        <w:t>חם שנע מ-18 עד 36 חודשי מאסר</w:t>
      </w:r>
      <w:r>
        <w:rPr>
          <w:rFonts w:ascii="FrankRuehl" w:hAnsi="FrankRuehl" w:cs="FrankRuehl" w:hint="cs"/>
          <w:sz w:val="28"/>
          <w:szCs w:val="28"/>
          <w:rtl/>
        </w:rPr>
        <w:t xml:space="preserve"> בגין עבירת ההחזקה</w:t>
      </w:r>
      <w:r>
        <w:rPr>
          <w:rFonts w:ascii="FrankRuehl" w:hAnsi="FrankRuehl" w:cs="FrankRuehl"/>
          <w:sz w:val="28"/>
          <w:szCs w:val="28"/>
          <w:rtl/>
        </w:rPr>
        <w:t xml:space="preserve">. </w:t>
      </w:r>
      <w:r>
        <w:rPr>
          <w:rFonts w:ascii="FrankRuehl" w:hAnsi="FrankRuehl" w:cs="FrankRuehl" w:hint="cs"/>
          <w:sz w:val="28"/>
          <w:szCs w:val="28"/>
          <w:rtl/>
        </w:rPr>
        <w:t xml:space="preserve">נתבקש לקבוע מתחם עונש הולם למעשיו של נאשם 1 הנע </w:t>
      </w:r>
      <w:r>
        <w:rPr>
          <w:rFonts w:ascii="FrankRuehl" w:hAnsi="FrankRuehl" w:cs="FrankRuehl"/>
          <w:sz w:val="28"/>
          <w:szCs w:val="28"/>
          <w:rtl/>
        </w:rPr>
        <w:t xml:space="preserve">בין 55 ל- 80 חודשי מאסר בפועל. </w:t>
      </w:r>
      <w:r>
        <w:rPr>
          <w:rFonts w:ascii="FrankRuehl" w:hAnsi="FrankRuehl" w:cs="FrankRuehl" w:hint="cs"/>
          <w:sz w:val="28"/>
          <w:szCs w:val="28"/>
          <w:rtl/>
        </w:rPr>
        <w:t>באשר למעשי נאשם 2</w:t>
      </w:r>
      <w:r>
        <w:rPr>
          <w:rFonts w:ascii="FrankRuehl" w:hAnsi="FrankRuehl" w:cs="FrankRuehl"/>
          <w:sz w:val="28"/>
          <w:szCs w:val="28"/>
          <w:rtl/>
        </w:rPr>
        <w:t xml:space="preserve"> עתר ב"כ המאשימה למתחם עונש </w:t>
      </w:r>
      <w:r>
        <w:rPr>
          <w:rFonts w:ascii="FrankRuehl" w:hAnsi="FrankRuehl" w:cs="FrankRuehl" w:hint="cs"/>
          <w:sz w:val="28"/>
          <w:szCs w:val="28"/>
          <w:rtl/>
        </w:rPr>
        <w:t xml:space="preserve">הנע </w:t>
      </w:r>
      <w:r>
        <w:rPr>
          <w:rFonts w:ascii="FrankRuehl" w:hAnsi="FrankRuehl" w:cs="FrankRuehl"/>
          <w:sz w:val="28"/>
          <w:szCs w:val="28"/>
          <w:rtl/>
        </w:rPr>
        <w:t>בין 42 ל-72 חודשי מאסר.</w:t>
      </w:r>
    </w:p>
    <w:p w14:paraId="22350E29" w14:textId="77777777" w:rsidR="00E651E3" w:rsidRDefault="00E651E3" w:rsidP="00E651E3">
      <w:pPr>
        <w:spacing w:line="360" w:lineRule="auto"/>
        <w:jc w:val="both"/>
        <w:rPr>
          <w:rFonts w:ascii="FrankRuehl" w:hAnsi="FrankRuehl" w:cs="FrankRuehl"/>
          <w:sz w:val="28"/>
          <w:szCs w:val="28"/>
          <w:rtl/>
        </w:rPr>
      </w:pPr>
    </w:p>
    <w:p w14:paraId="686D0C57" w14:textId="77777777" w:rsidR="00E651E3" w:rsidRDefault="00E651E3" w:rsidP="00E651E3">
      <w:pPr>
        <w:spacing w:line="360" w:lineRule="auto"/>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t xml:space="preserve">באשר לנאשם 1 נטען כי יש לתת משקל להודאת הנאשם ולכך שהוא נעדר עבר פלילי, </w:t>
      </w:r>
      <w:r>
        <w:rPr>
          <w:rFonts w:ascii="FrankRuehl" w:hAnsi="FrankRuehl" w:cs="FrankRuehl"/>
          <w:sz w:val="28"/>
          <w:szCs w:val="28"/>
          <w:rtl/>
        </w:rPr>
        <w:t>ולהשית עליו</w:t>
      </w:r>
      <w:r>
        <w:rPr>
          <w:rFonts w:ascii="FrankRuehl" w:hAnsi="FrankRuehl" w:cs="FrankRuehl" w:hint="cs"/>
          <w:sz w:val="28"/>
          <w:szCs w:val="28"/>
          <w:rtl/>
        </w:rPr>
        <w:t xml:space="preserve"> עונש ברף התחתון, של</w:t>
      </w:r>
      <w:r>
        <w:rPr>
          <w:rFonts w:ascii="FrankRuehl" w:hAnsi="FrankRuehl" w:cs="FrankRuehl"/>
          <w:sz w:val="28"/>
          <w:szCs w:val="28"/>
          <w:rtl/>
        </w:rPr>
        <w:t xml:space="preserve"> 55 חודשי מאסר בפועל ועונשים נילווים. </w:t>
      </w:r>
    </w:p>
    <w:p w14:paraId="3A7F5074" w14:textId="77777777" w:rsidR="00E651E3" w:rsidRDefault="00E651E3" w:rsidP="00E651E3">
      <w:pPr>
        <w:spacing w:line="360" w:lineRule="auto"/>
        <w:jc w:val="both"/>
        <w:rPr>
          <w:rFonts w:ascii="FrankRuehl" w:hAnsi="FrankRuehl" w:cs="FrankRuehl"/>
          <w:sz w:val="28"/>
          <w:szCs w:val="28"/>
          <w:rtl/>
        </w:rPr>
      </w:pPr>
    </w:p>
    <w:p w14:paraId="413E4CBB" w14:textId="77777777" w:rsidR="00E651E3" w:rsidRDefault="00E651E3" w:rsidP="00E651E3">
      <w:pPr>
        <w:spacing w:line="360" w:lineRule="auto"/>
        <w:jc w:val="both"/>
        <w:rPr>
          <w:rFonts w:ascii="FrankRuehl" w:hAnsi="FrankRuehl" w:cs="FrankRuehl"/>
          <w:sz w:val="28"/>
          <w:szCs w:val="28"/>
          <w:rtl/>
        </w:rPr>
      </w:pPr>
      <w:r>
        <w:rPr>
          <w:rFonts w:ascii="FrankRuehl" w:hAnsi="FrankRuehl" w:cs="FrankRuehl" w:hint="cs"/>
          <w:sz w:val="28"/>
          <w:szCs w:val="28"/>
          <w:rtl/>
        </w:rPr>
        <w:t>8.</w:t>
      </w:r>
      <w:r>
        <w:rPr>
          <w:rFonts w:ascii="FrankRuehl" w:hAnsi="FrankRuehl" w:cs="FrankRuehl" w:hint="cs"/>
          <w:sz w:val="28"/>
          <w:szCs w:val="28"/>
          <w:rtl/>
        </w:rPr>
        <w:tab/>
        <w:t xml:space="preserve">באשר לנאשם 2 ציין ב"כ המאשימה לקולא את הודאתו, ומאידך ציין את עברו הפלילי של נאשם 2 ואת העובדה שהעבירה בוצעה כשעונש מאסר מותנה תלוי ועומד כנגדו. נתבקש למקם את עונשו </w:t>
      </w:r>
      <w:r>
        <w:rPr>
          <w:rFonts w:ascii="FrankRuehl" w:hAnsi="FrankRuehl" w:cs="FrankRuehl"/>
          <w:sz w:val="28"/>
          <w:szCs w:val="28"/>
          <w:rtl/>
        </w:rPr>
        <w:t xml:space="preserve">בתחתית המתחם, </w:t>
      </w:r>
      <w:r>
        <w:rPr>
          <w:rFonts w:ascii="FrankRuehl" w:hAnsi="FrankRuehl" w:cs="FrankRuehl" w:hint="cs"/>
          <w:sz w:val="28"/>
          <w:szCs w:val="28"/>
          <w:rtl/>
        </w:rPr>
        <w:t>ו</w:t>
      </w:r>
      <w:r>
        <w:rPr>
          <w:rFonts w:ascii="FrankRuehl" w:hAnsi="FrankRuehl" w:cs="FrankRuehl"/>
          <w:sz w:val="28"/>
          <w:szCs w:val="28"/>
          <w:rtl/>
        </w:rPr>
        <w:t>להשית עליו עונש של 42 חודשי מאסר</w:t>
      </w:r>
      <w:r>
        <w:rPr>
          <w:rFonts w:ascii="FrankRuehl" w:hAnsi="FrankRuehl" w:cs="FrankRuehl" w:hint="cs"/>
          <w:sz w:val="28"/>
          <w:szCs w:val="28"/>
          <w:rtl/>
        </w:rPr>
        <w:t xml:space="preserve"> לצד עונשים נלווים, וכן </w:t>
      </w:r>
      <w:r>
        <w:rPr>
          <w:rFonts w:ascii="FrankRuehl" w:hAnsi="FrankRuehl" w:cs="FrankRuehl"/>
          <w:sz w:val="28"/>
          <w:szCs w:val="28"/>
          <w:rtl/>
        </w:rPr>
        <w:t>להפעיל את עונש המאסר על תנאי שעומד כנגדו</w:t>
      </w:r>
      <w:r>
        <w:rPr>
          <w:rFonts w:ascii="FrankRuehl" w:hAnsi="FrankRuehl" w:cs="FrankRuehl" w:hint="cs"/>
          <w:sz w:val="28"/>
          <w:szCs w:val="28"/>
          <w:rtl/>
        </w:rPr>
        <w:t xml:space="preserve"> לתקופה של 12 חודשים, מתוכם 10 חודשים במצטבר, כך שבסך הכל הוא ירצה 52 חודשי מאסר.</w:t>
      </w:r>
    </w:p>
    <w:p w14:paraId="0E126C91" w14:textId="77777777" w:rsidR="00E651E3" w:rsidRPr="00E651E3" w:rsidRDefault="00E651E3" w:rsidP="00E651E3">
      <w:pPr>
        <w:spacing w:line="360" w:lineRule="auto"/>
        <w:jc w:val="both"/>
        <w:rPr>
          <w:rFonts w:ascii="FrankRuehl" w:hAnsi="FrankRuehl" w:cs="FrankRuehl"/>
          <w:color w:val="5B9BD5"/>
          <w:sz w:val="28"/>
          <w:szCs w:val="28"/>
          <w:rtl/>
        </w:rPr>
      </w:pPr>
    </w:p>
    <w:p w14:paraId="73DBA6DA" w14:textId="77777777" w:rsidR="00E651E3" w:rsidRDefault="00E651E3" w:rsidP="00E651E3">
      <w:pPr>
        <w:spacing w:line="360" w:lineRule="auto"/>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r>
      <w:r w:rsidRPr="00924175">
        <w:rPr>
          <w:rFonts w:ascii="FrankRuehl" w:hAnsi="FrankRuehl" w:cs="FrankRuehl" w:hint="cs"/>
          <w:sz w:val="28"/>
          <w:szCs w:val="28"/>
          <w:rtl/>
        </w:rPr>
        <w:t xml:space="preserve">מנגד, </w:t>
      </w:r>
      <w:r w:rsidRPr="00924175">
        <w:rPr>
          <w:rFonts w:ascii="FrankRuehl" w:hAnsi="FrankRuehl" w:cs="FrankRuehl"/>
          <w:sz w:val="28"/>
          <w:szCs w:val="28"/>
          <w:rtl/>
        </w:rPr>
        <w:t xml:space="preserve">ב"כ נאשם 1 </w:t>
      </w:r>
      <w:r>
        <w:rPr>
          <w:rFonts w:ascii="FrankRuehl" w:hAnsi="FrankRuehl" w:cs="FrankRuehl"/>
          <w:sz w:val="28"/>
          <w:szCs w:val="28"/>
          <w:rtl/>
        </w:rPr>
        <w:t>טענה כי העונש</w:t>
      </w:r>
      <w:r>
        <w:rPr>
          <w:rFonts w:ascii="FrankRuehl" w:hAnsi="FrankRuehl" w:cs="FrankRuehl" w:hint="cs"/>
          <w:sz w:val="28"/>
          <w:szCs w:val="28"/>
          <w:rtl/>
        </w:rPr>
        <w:t xml:space="preserve"> לו עתרה המאשימה אינו הולם מקרה זה. היא הצביעה על כך שמדובר </w:t>
      </w:r>
      <w:r>
        <w:rPr>
          <w:rFonts w:ascii="FrankRuehl" w:hAnsi="FrankRuehl" w:cs="FrankRuehl"/>
          <w:sz w:val="28"/>
          <w:szCs w:val="28"/>
          <w:rtl/>
        </w:rPr>
        <w:t>באדם עם עבר נקי, אב למשפחה</w:t>
      </w:r>
      <w:r>
        <w:rPr>
          <w:rFonts w:ascii="FrankRuehl" w:hAnsi="FrankRuehl" w:cs="FrankRuehl" w:hint="cs"/>
          <w:sz w:val="28"/>
          <w:szCs w:val="28"/>
          <w:rtl/>
        </w:rPr>
        <w:t>,</w:t>
      </w:r>
      <w:r>
        <w:rPr>
          <w:rFonts w:ascii="FrankRuehl" w:hAnsi="FrankRuehl" w:cs="FrankRuehl"/>
          <w:sz w:val="28"/>
          <w:szCs w:val="28"/>
          <w:rtl/>
        </w:rPr>
        <w:t xml:space="preserve"> שאינו בריא</w:t>
      </w:r>
      <w:r>
        <w:rPr>
          <w:rFonts w:ascii="FrankRuehl" w:hAnsi="FrankRuehl" w:cs="FrankRuehl" w:hint="cs"/>
          <w:sz w:val="28"/>
          <w:szCs w:val="28"/>
          <w:rtl/>
        </w:rPr>
        <w:t>,</w:t>
      </w:r>
      <w:r>
        <w:rPr>
          <w:rFonts w:ascii="FrankRuehl" w:hAnsi="FrankRuehl" w:cs="FrankRuehl"/>
          <w:sz w:val="28"/>
          <w:szCs w:val="28"/>
          <w:rtl/>
        </w:rPr>
        <w:t xml:space="preserve"> ושעבד כפועל ניקיון בעיריית ירושלים.</w:t>
      </w:r>
      <w:r>
        <w:rPr>
          <w:rFonts w:ascii="FrankRuehl" w:hAnsi="FrankRuehl" w:cs="FrankRuehl" w:hint="cs"/>
          <w:sz w:val="28"/>
          <w:szCs w:val="28"/>
          <w:rtl/>
        </w:rPr>
        <w:t xml:space="preserve"> היא ציינה כי </w:t>
      </w:r>
      <w:r>
        <w:rPr>
          <w:rFonts w:ascii="FrankRuehl" w:hAnsi="FrankRuehl" w:cs="FrankRuehl"/>
          <w:sz w:val="28"/>
          <w:szCs w:val="28"/>
          <w:rtl/>
        </w:rPr>
        <w:t>האקדח ו</w:t>
      </w:r>
      <w:r>
        <w:rPr>
          <w:rFonts w:ascii="FrankRuehl" w:hAnsi="FrankRuehl" w:cs="FrankRuehl" w:hint="cs"/>
          <w:sz w:val="28"/>
          <w:szCs w:val="28"/>
          <w:rtl/>
        </w:rPr>
        <w:t>ה</w:t>
      </w:r>
      <w:r>
        <w:rPr>
          <w:rFonts w:ascii="FrankRuehl" w:hAnsi="FrankRuehl" w:cs="FrankRuehl"/>
          <w:sz w:val="28"/>
          <w:szCs w:val="28"/>
          <w:rtl/>
        </w:rPr>
        <w:t>מחסניות הגיעו אליו בירושה מאביו</w:t>
      </w:r>
      <w:r>
        <w:rPr>
          <w:rFonts w:ascii="FrankRuehl" w:hAnsi="FrankRuehl" w:cs="FrankRuehl" w:hint="cs"/>
          <w:sz w:val="28"/>
          <w:szCs w:val="28"/>
          <w:rtl/>
        </w:rPr>
        <w:t>, ומדובר למעשה ב</w:t>
      </w:r>
      <w:r>
        <w:rPr>
          <w:rFonts w:ascii="FrankRuehl" w:hAnsi="FrankRuehl" w:cs="FrankRuehl"/>
          <w:sz w:val="28"/>
          <w:szCs w:val="28"/>
          <w:rtl/>
        </w:rPr>
        <w:t>פריטים מוזיאוניים</w:t>
      </w:r>
      <w:r>
        <w:rPr>
          <w:rFonts w:ascii="FrankRuehl" w:hAnsi="FrankRuehl" w:cs="FrankRuehl" w:hint="cs"/>
          <w:sz w:val="28"/>
          <w:szCs w:val="28"/>
          <w:rtl/>
        </w:rPr>
        <w:t>. נטען, כי הנאשם כלל לא ניסה לעשות שימוש ב</w:t>
      </w:r>
      <w:r>
        <w:rPr>
          <w:rFonts w:ascii="FrankRuehl" w:hAnsi="FrankRuehl" w:cs="FrankRuehl"/>
          <w:sz w:val="28"/>
          <w:szCs w:val="28"/>
          <w:rtl/>
        </w:rPr>
        <w:t>אקדח</w:t>
      </w:r>
      <w:r>
        <w:rPr>
          <w:rFonts w:ascii="FrankRuehl" w:hAnsi="FrankRuehl" w:cs="FrankRuehl" w:hint="cs"/>
          <w:sz w:val="28"/>
          <w:szCs w:val="28"/>
          <w:rtl/>
        </w:rPr>
        <w:t xml:space="preserve">. נטען גם כי הנאשם לא ידע לאיזו מטרה נדרש האקדח, ופער הזמנים ממכירת האקדח </w:t>
      </w:r>
      <w:r>
        <w:rPr>
          <w:rFonts w:ascii="FrankRuehl" w:hAnsi="FrankRuehl" w:cs="FrankRuehl"/>
          <w:sz w:val="28"/>
          <w:szCs w:val="28"/>
          <w:rtl/>
        </w:rPr>
        <w:t xml:space="preserve">לביצוע הפיגוע מעיד על כך. </w:t>
      </w:r>
      <w:r>
        <w:rPr>
          <w:rFonts w:ascii="FrankRuehl" w:hAnsi="FrankRuehl" w:cs="FrankRuehl" w:hint="cs"/>
          <w:sz w:val="28"/>
          <w:szCs w:val="28"/>
          <w:rtl/>
        </w:rPr>
        <w:t xml:space="preserve">ב"כ נאשם 1 אף טענה כי חלקו של נאשם 2 אינו פחות חמור ואין מקום להחמיר בדינו של נאשם 1. צוין, כי נאשם 1 מפרנס גם את אמו החולה. בסופו של יום נתבקש להסתפק בתקופת מעצרו של הנאשם. </w:t>
      </w:r>
    </w:p>
    <w:p w14:paraId="4C9CF188" w14:textId="77777777" w:rsidR="00E651E3" w:rsidRDefault="00E651E3" w:rsidP="00E651E3">
      <w:pPr>
        <w:spacing w:line="360" w:lineRule="auto"/>
        <w:jc w:val="both"/>
        <w:rPr>
          <w:rFonts w:ascii="FrankRuehl" w:hAnsi="FrankRuehl" w:cs="FrankRuehl"/>
          <w:sz w:val="28"/>
          <w:szCs w:val="28"/>
          <w:rtl/>
        </w:rPr>
      </w:pPr>
    </w:p>
    <w:p w14:paraId="3BEABD75" w14:textId="77777777" w:rsidR="00E651E3" w:rsidRDefault="00E651E3" w:rsidP="00E651E3">
      <w:pPr>
        <w:spacing w:line="360" w:lineRule="auto"/>
        <w:jc w:val="both"/>
        <w:rPr>
          <w:rFonts w:ascii="FrankRuehl" w:hAnsi="FrankRuehl" w:cs="FrankRuehl"/>
          <w:sz w:val="28"/>
          <w:szCs w:val="28"/>
          <w:rtl/>
        </w:rPr>
      </w:pPr>
      <w:r>
        <w:rPr>
          <w:rFonts w:ascii="FrankRuehl" w:hAnsi="FrankRuehl" w:cs="FrankRuehl" w:hint="cs"/>
          <w:sz w:val="28"/>
          <w:szCs w:val="28"/>
          <w:rtl/>
        </w:rPr>
        <w:t>10.</w:t>
      </w:r>
      <w:r>
        <w:rPr>
          <w:rFonts w:ascii="FrankRuehl" w:hAnsi="FrankRuehl" w:cs="FrankRuehl" w:hint="cs"/>
          <w:sz w:val="28"/>
          <w:szCs w:val="28"/>
          <w:rtl/>
        </w:rPr>
        <w:tab/>
      </w:r>
      <w:r w:rsidRPr="007259B1">
        <w:rPr>
          <w:rFonts w:ascii="FrankRuehl" w:hAnsi="FrankRuehl" w:cs="FrankRuehl"/>
          <w:sz w:val="28"/>
          <w:szCs w:val="28"/>
          <w:rtl/>
        </w:rPr>
        <w:t>ב"כ נאשם 2 טען אף הוא כי המתחם לו עתר</w:t>
      </w:r>
      <w:r>
        <w:rPr>
          <w:rFonts w:ascii="FrankRuehl" w:hAnsi="FrankRuehl" w:cs="FrankRuehl" w:hint="cs"/>
          <w:sz w:val="28"/>
          <w:szCs w:val="28"/>
          <w:rtl/>
        </w:rPr>
        <w:t xml:space="preserve">ה </w:t>
      </w:r>
      <w:r w:rsidRPr="007259B1">
        <w:rPr>
          <w:rFonts w:ascii="FrankRuehl" w:hAnsi="FrankRuehl" w:cs="FrankRuehl"/>
          <w:sz w:val="28"/>
          <w:szCs w:val="28"/>
          <w:rtl/>
        </w:rPr>
        <w:t>המאשימה</w:t>
      </w:r>
      <w:r>
        <w:rPr>
          <w:rFonts w:ascii="FrankRuehl" w:hAnsi="FrankRuehl" w:cs="FrankRuehl" w:hint="cs"/>
          <w:sz w:val="28"/>
          <w:szCs w:val="28"/>
          <w:rtl/>
        </w:rPr>
        <w:t xml:space="preserve"> אינו תואם נסיבות מקרה זה. נטען, כי חלקו של הנאשם היה מינורי </w:t>
      </w:r>
      <w:r>
        <w:rPr>
          <w:rFonts w:ascii="FrankRuehl" w:hAnsi="FrankRuehl" w:cs="FrankRuehl"/>
          <w:sz w:val="28"/>
          <w:szCs w:val="28"/>
          <w:rtl/>
        </w:rPr>
        <w:t>והוא למעשה נגרר לעסקה</w:t>
      </w:r>
      <w:r>
        <w:rPr>
          <w:rFonts w:ascii="FrankRuehl" w:hAnsi="FrankRuehl" w:cs="FrankRuehl" w:hint="cs"/>
          <w:sz w:val="28"/>
          <w:szCs w:val="28"/>
          <w:rtl/>
        </w:rPr>
        <w:t>, שיכולה ה</w:t>
      </w:r>
      <w:r>
        <w:rPr>
          <w:rFonts w:ascii="FrankRuehl" w:hAnsi="FrankRuehl" w:cs="FrankRuehl"/>
          <w:sz w:val="28"/>
          <w:szCs w:val="28"/>
          <w:rtl/>
        </w:rPr>
        <w:t>ייתה להתבצע אף בלעדיו</w:t>
      </w:r>
      <w:r>
        <w:rPr>
          <w:rFonts w:ascii="FrankRuehl" w:hAnsi="FrankRuehl" w:cs="FrankRuehl" w:hint="cs"/>
          <w:sz w:val="28"/>
          <w:szCs w:val="28"/>
          <w:rtl/>
        </w:rPr>
        <w:t>. ה</w:t>
      </w:r>
      <w:r>
        <w:rPr>
          <w:rFonts w:ascii="FrankRuehl" w:hAnsi="FrankRuehl" w:cs="FrankRuehl"/>
          <w:sz w:val="28"/>
          <w:szCs w:val="28"/>
          <w:rtl/>
        </w:rPr>
        <w:t xml:space="preserve">וא </w:t>
      </w:r>
      <w:r>
        <w:rPr>
          <w:rFonts w:ascii="FrankRuehl" w:hAnsi="FrankRuehl" w:cs="FrankRuehl" w:hint="cs"/>
          <w:sz w:val="28"/>
          <w:szCs w:val="28"/>
          <w:rtl/>
        </w:rPr>
        <w:t xml:space="preserve">גם </w:t>
      </w:r>
      <w:r>
        <w:rPr>
          <w:rFonts w:ascii="FrankRuehl" w:hAnsi="FrankRuehl" w:cs="FrankRuehl"/>
          <w:sz w:val="28"/>
          <w:szCs w:val="28"/>
          <w:rtl/>
        </w:rPr>
        <w:t xml:space="preserve">לא ידע מה מטרת רכישת הנשק. </w:t>
      </w:r>
      <w:r>
        <w:rPr>
          <w:rFonts w:ascii="FrankRuehl" w:hAnsi="FrankRuehl" w:cs="FrankRuehl" w:hint="cs"/>
          <w:sz w:val="28"/>
          <w:szCs w:val="28"/>
          <w:rtl/>
        </w:rPr>
        <w:t xml:space="preserve">לדבריו, מתחם העונש ההולם מקרה זה נע מ-18 ועד 25 חודשי מאסר. צוין כי נאשם 2 הוא </w:t>
      </w:r>
      <w:r>
        <w:rPr>
          <w:rFonts w:ascii="FrankRuehl" w:hAnsi="FrankRuehl" w:cs="FrankRuehl"/>
          <w:sz w:val="28"/>
          <w:szCs w:val="28"/>
          <w:rtl/>
        </w:rPr>
        <w:t>בן למשפחה נורמטיבית ושני הוריו חולים</w:t>
      </w:r>
      <w:r>
        <w:rPr>
          <w:rFonts w:ascii="FrankRuehl" w:hAnsi="FrankRuehl" w:cs="FrankRuehl" w:hint="cs"/>
          <w:sz w:val="28"/>
          <w:szCs w:val="28"/>
          <w:rtl/>
        </w:rPr>
        <w:t xml:space="preserve">, ובנסיבות אלו נתבקש למקום את עונשו </w:t>
      </w:r>
      <w:r>
        <w:rPr>
          <w:rFonts w:ascii="FrankRuehl" w:hAnsi="FrankRuehl" w:cs="FrankRuehl"/>
          <w:sz w:val="28"/>
          <w:szCs w:val="28"/>
          <w:rtl/>
        </w:rPr>
        <w:t>בתחתית המתחם</w:t>
      </w:r>
      <w:r>
        <w:rPr>
          <w:rFonts w:ascii="FrankRuehl" w:hAnsi="FrankRuehl" w:cs="FrankRuehl" w:hint="cs"/>
          <w:sz w:val="28"/>
          <w:szCs w:val="28"/>
          <w:rtl/>
        </w:rPr>
        <w:t xml:space="preserve">, ולהפעיל את עונש </w:t>
      </w:r>
      <w:r>
        <w:rPr>
          <w:rFonts w:ascii="FrankRuehl" w:hAnsi="FrankRuehl" w:cs="FrankRuehl"/>
          <w:sz w:val="28"/>
          <w:szCs w:val="28"/>
          <w:rtl/>
        </w:rPr>
        <w:t>המאסר על תנאי שעומד נגדו, בחופף לעונש שיושת עליו.</w:t>
      </w:r>
    </w:p>
    <w:p w14:paraId="3772FD2F" w14:textId="77777777" w:rsidR="00E651E3" w:rsidRDefault="00E651E3" w:rsidP="00E651E3">
      <w:pPr>
        <w:spacing w:line="360" w:lineRule="auto"/>
        <w:jc w:val="both"/>
        <w:rPr>
          <w:rFonts w:ascii="FrankRuehl" w:hAnsi="FrankRuehl" w:cs="FrankRuehl"/>
          <w:sz w:val="28"/>
          <w:szCs w:val="28"/>
        </w:rPr>
      </w:pPr>
    </w:p>
    <w:p w14:paraId="5167B915" w14:textId="77777777" w:rsidR="00E651E3" w:rsidRPr="00392F3B" w:rsidRDefault="00E651E3" w:rsidP="00E651E3">
      <w:pPr>
        <w:spacing w:line="360" w:lineRule="auto"/>
        <w:jc w:val="both"/>
        <w:rPr>
          <w:rFonts w:ascii="FrankRuehl" w:hAnsi="FrankRuehl" w:cs="FrankRuehl"/>
          <w:sz w:val="28"/>
          <w:szCs w:val="28"/>
          <w:rtl/>
        </w:rPr>
      </w:pPr>
      <w:r>
        <w:rPr>
          <w:rFonts w:ascii="FrankRuehl" w:hAnsi="FrankRuehl" w:cs="FrankRuehl" w:hint="cs"/>
          <w:sz w:val="28"/>
          <w:szCs w:val="28"/>
          <w:rtl/>
        </w:rPr>
        <w:t>11.</w:t>
      </w:r>
      <w:r>
        <w:rPr>
          <w:rFonts w:ascii="FrankRuehl" w:hAnsi="FrankRuehl" w:cs="FrankRuehl" w:hint="cs"/>
          <w:sz w:val="28"/>
          <w:szCs w:val="28"/>
          <w:rtl/>
        </w:rPr>
        <w:tab/>
      </w:r>
      <w:r w:rsidRPr="00392F3B">
        <w:rPr>
          <w:rFonts w:ascii="FrankRuehl" w:hAnsi="FrankRuehl" w:cs="FrankRuehl"/>
          <w:sz w:val="28"/>
          <w:szCs w:val="28"/>
          <w:rtl/>
        </w:rPr>
        <w:t>נאשם 1 הביע את צערו על מעשיו, הבטיח לא לשוב עליהם וציין כי כל רצונו לגדל את ילדיו ולטפל באמו.</w:t>
      </w:r>
    </w:p>
    <w:p w14:paraId="13343FA3" w14:textId="77777777" w:rsidR="00E651E3" w:rsidRDefault="00E651E3" w:rsidP="00E651E3">
      <w:pPr>
        <w:spacing w:line="360" w:lineRule="auto"/>
        <w:jc w:val="both"/>
        <w:rPr>
          <w:rFonts w:ascii="FrankRuehl" w:hAnsi="FrankRuehl" w:cs="FrankRuehl"/>
          <w:sz w:val="28"/>
          <w:szCs w:val="28"/>
          <w:rtl/>
        </w:rPr>
      </w:pPr>
    </w:p>
    <w:p w14:paraId="5679FDFF" w14:textId="77777777" w:rsidR="00E651E3" w:rsidRDefault="00E651E3" w:rsidP="00E651E3">
      <w:pPr>
        <w:spacing w:line="360" w:lineRule="auto"/>
        <w:jc w:val="both"/>
        <w:rPr>
          <w:rFonts w:ascii="FrankRuehl" w:hAnsi="FrankRuehl" w:cs="FrankRuehl"/>
          <w:sz w:val="28"/>
          <w:szCs w:val="28"/>
          <w:rtl/>
        </w:rPr>
      </w:pPr>
      <w:r>
        <w:rPr>
          <w:rFonts w:ascii="FrankRuehl" w:hAnsi="FrankRuehl" w:cs="FrankRuehl" w:hint="cs"/>
          <w:sz w:val="28"/>
          <w:szCs w:val="28"/>
          <w:rtl/>
        </w:rPr>
        <w:t>12.</w:t>
      </w:r>
      <w:r>
        <w:rPr>
          <w:rFonts w:ascii="FrankRuehl" w:hAnsi="FrankRuehl" w:cs="FrankRuehl" w:hint="cs"/>
          <w:sz w:val="28"/>
          <w:szCs w:val="28"/>
          <w:rtl/>
        </w:rPr>
        <w:tab/>
      </w:r>
      <w:r w:rsidRPr="00392F3B">
        <w:rPr>
          <w:rFonts w:ascii="FrankRuehl" w:hAnsi="FrankRuehl" w:cs="FrankRuehl"/>
          <w:sz w:val="28"/>
          <w:szCs w:val="28"/>
          <w:rtl/>
        </w:rPr>
        <w:t xml:space="preserve">נאשם 2 הביע </w:t>
      </w:r>
      <w:r>
        <w:rPr>
          <w:rFonts w:ascii="FrankRuehl" w:hAnsi="FrankRuehl" w:cs="FrankRuehl" w:hint="cs"/>
          <w:sz w:val="28"/>
          <w:szCs w:val="28"/>
          <w:rtl/>
        </w:rPr>
        <w:t xml:space="preserve">אף הוא </w:t>
      </w:r>
      <w:r w:rsidRPr="00392F3B">
        <w:rPr>
          <w:rFonts w:ascii="FrankRuehl" w:hAnsi="FrankRuehl" w:cs="FrankRuehl"/>
          <w:sz w:val="28"/>
          <w:szCs w:val="28"/>
          <w:rtl/>
        </w:rPr>
        <w:t>חרטה על מעשיו ועל</w:t>
      </w:r>
      <w:r>
        <w:rPr>
          <w:rFonts w:ascii="FrankRuehl" w:hAnsi="FrankRuehl" w:cs="FrankRuehl"/>
          <w:sz w:val="28"/>
          <w:szCs w:val="28"/>
          <w:rtl/>
        </w:rPr>
        <w:t xml:space="preserve"> הבושה שגרם להוריו. </w:t>
      </w:r>
      <w:r>
        <w:rPr>
          <w:rFonts w:ascii="FrankRuehl" w:hAnsi="FrankRuehl" w:cs="FrankRuehl" w:hint="cs"/>
          <w:sz w:val="28"/>
          <w:szCs w:val="28"/>
          <w:rtl/>
        </w:rPr>
        <w:t xml:space="preserve">הוא </w:t>
      </w:r>
      <w:r w:rsidRPr="00392F3B">
        <w:rPr>
          <w:rFonts w:ascii="FrankRuehl" w:hAnsi="FrankRuehl" w:cs="FrankRuehl"/>
          <w:sz w:val="28"/>
          <w:szCs w:val="28"/>
          <w:rtl/>
        </w:rPr>
        <w:t xml:space="preserve">הוסיף כי הבין שעשה טעות ועליה הוא כבר משלם מחיר. </w:t>
      </w:r>
      <w:r>
        <w:rPr>
          <w:rFonts w:ascii="FrankRuehl" w:hAnsi="FrankRuehl" w:cs="FrankRuehl" w:hint="cs"/>
          <w:sz w:val="28"/>
          <w:szCs w:val="28"/>
          <w:rtl/>
        </w:rPr>
        <w:t xml:space="preserve">עוד ציין כי הוא </w:t>
      </w:r>
      <w:r w:rsidRPr="00392F3B">
        <w:rPr>
          <w:rFonts w:ascii="FrankRuehl" w:hAnsi="FrankRuehl" w:cs="FrankRuehl"/>
          <w:sz w:val="28"/>
          <w:szCs w:val="28"/>
          <w:rtl/>
        </w:rPr>
        <w:t xml:space="preserve">בן יחיד </w:t>
      </w:r>
      <w:r>
        <w:rPr>
          <w:rFonts w:ascii="FrankRuehl" w:hAnsi="FrankRuehl" w:cs="FrankRuehl" w:hint="cs"/>
          <w:sz w:val="28"/>
          <w:szCs w:val="28"/>
          <w:rtl/>
        </w:rPr>
        <w:t xml:space="preserve">לצד ארבע </w:t>
      </w:r>
      <w:r w:rsidRPr="00392F3B">
        <w:rPr>
          <w:rFonts w:ascii="FrankRuehl" w:hAnsi="FrankRuehl" w:cs="FrankRuehl"/>
          <w:sz w:val="28"/>
          <w:szCs w:val="28"/>
          <w:rtl/>
        </w:rPr>
        <w:t>בנות</w:t>
      </w:r>
      <w:r>
        <w:rPr>
          <w:rFonts w:ascii="FrankRuehl" w:hAnsi="FrankRuehl" w:cs="FrankRuehl" w:hint="cs"/>
          <w:sz w:val="28"/>
          <w:szCs w:val="28"/>
          <w:rtl/>
        </w:rPr>
        <w:t xml:space="preserve">, </w:t>
      </w:r>
      <w:r w:rsidRPr="00392F3B">
        <w:rPr>
          <w:rFonts w:ascii="FrankRuehl" w:hAnsi="FrankRuehl" w:cs="FrankRuehl"/>
          <w:sz w:val="28"/>
          <w:szCs w:val="28"/>
          <w:rtl/>
        </w:rPr>
        <w:t xml:space="preserve">הוא מאורס ומועד חתונתו קרב. הוא הביע </w:t>
      </w:r>
      <w:r>
        <w:rPr>
          <w:rFonts w:ascii="FrankRuehl" w:hAnsi="FrankRuehl" w:cs="FrankRuehl"/>
          <w:sz w:val="28"/>
          <w:szCs w:val="28"/>
          <w:rtl/>
        </w:rPr>
        <w:t>את רצונו להשתחרר</w:t>
      </w:r>
      <w:r>
        <w:rPr>
          <w:rFonts w:ascii="FrankRuehl" w:hAnsi="FrankRuehl" w:cs="FrankRuehl" w:hint="cs"/>
          <w:sz w:val="28"/>
          <w:szCs w:val="28"/>
          <w:rtl/>
        </w:rPr>
        <w:t>,</w:t>
      </w:r>
      <w:r>
        <w:rPr>
          <w:rFonts w:ascii="FrankRuehl" w:hAnsi="FrankRuehl" w:cs="FrankRuehl"/>
          <w:sz w:val="28"/>
          <w:szCs w:val="28"/>
          <w:rtl/>
        </w:rPr>
        <w:t xml:space="preserve"> להתחתן</w:t>
      </w:r>
      <w:r>
        <w:rPr>
          <w:rFonts w:ascii="FrankRuehl" w:hAnsi="FrankRuehl" w:cs="FrankRuehl" w:hint="cs"/>
          <w:sz w:val="28"/>
          <w:szCs w:val="28"/>
          <w:rtl/>
        </w:rPr>
        <w:t>,</w:t>
      </w:r>
      <w:r>
        <w:rPr>
          <w:rFonts w:ascii="FrankRuehl" w:hAnsi="FrankRuehl" w:cs="FrankRuehl"/>
          <w:sz w:val="28"/>
          <w:szCs w:val="28"/>
          <w:rtl/>
        </w:rPr>
        <w:t xml:space="preserve"> ולפרנס את המשפחה בכבוד.</w:t>
      </w:r>
    </w:p>
    <w:p w14:paraId="2111F8CE" w14:textId="77777777" w:rsidR="00E651E3" w:rsidRDefault="00E651E3" w:rsidP="00E651E3">
      <w:pPr>
        <w:spacing w:line="360" w:lineRule="auto"/>
        <w:jc w:val="both"/>
        <w:rPr>
          <w:rFonts w:ascii="FrankRuehl" w:hAnsi="FrankRuehl" w:cs="FrankRuehl"/>
          <w:sz w:val="28"/>
          <w:szCs w:val="28"/>
          <w:rtl/>
        </w:rPr>
      </w:pPr>
    </w:p>
    <w:p w14:paraId="4982B028" w14:textId="77777777" w:rsidR="00E651E3" w:rsidRPr="00392F3B" w:rsidRDefault="00E651E3" w:rsidP="00E651E3">
      <w:pPr>
        <w:spacing w:line="360" w:lineRule="auto"/>
        <w:jc w:val="both"/>
        <w:rPr>
          <w:rFonts w:ascii="FrankRuehl" w:hAnsi="FrankRuehl" w:cs="FrankRuehl"/>
          <w:b/>
          <w:bCs/>
          <w:sz w:val="28"/>
          <w:szCs w:val="28"/>
          <w:u w:val="single"/>
          <w:rtl/>
        </w:rPr>
      </w:pPr>
      <w:r w:rsidRPr="00392F3B">
        <w:rPr>
          <w:rFonts w:ascii="FrankRuehl" w:hAnsi="FrankRuehl" w:cs="FrankRuehl"/>
          <w:b/>
          <w:bCs/>
          <w:sz w:val="28"/>
          <w:szCs w:val="28"/>
          <w:u w:val="single"/>
          <w:rtl/>
        </w:rPr>
        <w:t>דיון והכרעה</w:t>
      </w:r>
    </w:p>
    <w:p w14:paraId="35ACC6A6" w14:textId="77777777" w:rsidR="00E651E3" w:rsidRPr="00E651E3" w:rsidRDefault="00E651E3" w:rsidP="00E651E3">
      <w:pPr>
        <w:spacing w:line="360" w:lineRule="auto"/>
        <w:jc w:val="both"/>
        <w:rPr>
          <w:rFonts w:ascii="FrankRuehl" w:eastAsia="Calibri" w:hAnsi="FrankRuehl" w:cs="FrankRuehl"/>
          <w:sz w:val="28"/>
          <w:szCs w:val="28"/>
          <w:rtl/>
        </w:rPr>
      </w:pPr>
      <w:r>
        <w:rPr>
          <w:rFonts w:ascii="FrankRuehl" w:hAnsi="FrankRuehl" w:cs="FrankRuehl" w:hint="cs"/>
          <w:sz w:val="28"/>
          <w:szCs w:val="28"/>
          <w:rtl/>
        </w:rPr>
        <w:t>13.</w:t>
      </w:r>
      <w:r>
        <w:rPr>
          <w:rFonts w:ascii="FrankRuehl" w:hAnsi="FrankRuehl" w:cs="FrankRuehl" w:hint="cs"/>
          <w:sz w:val="28"/>
          <w:szCs w:val="28"/>
          <w:rtl/>
        </w:rPr>
        <w:tab/>
      </w:r>
      <w:r>
        <w:rPr>
          <w:rFonts w:ascii="FrankRuehl" w:hAnsi="FrankRuehl" w:cs="FrankRuehl"/>
          <w:sz w:val="28"/>
          <w:szCs w:val="28"/>
          <w:rtl/>
        </w:rPr>
        <w:t>לא ניתן להפריז בחומרתן ובהשלכותיהן הקשות של עבירות הנשק</w:t>
      </w:r>
      <w:r>
        <w:rPr>
          <w:rFonts w:ascii="FrankRuehl" w:hAnsi="FrankRuehl" w:cs="FrankRuehl" w:hint="cs"/>
          <w:sz w:val="28"/>
          <w:szCs w:val="28"/>
          <w:rtl/>
        </w:rPr>
        <w:t xml:space="preserve">. מדובר בעבירות שנועדו להגן על הערכים הבסיסיים והחשובים ביותר של </w:t>
      </w:r>
      <w:r>
        <w:rPr>
          <w:rFonts w:ascii="FrankRuehl" w:hAnsi="FrankRuehl" w:cs="FrankRuehl"/>
          <w:sz w:val="28"/>
          <w:szCs w:val="28"/>
          <w:rtl/>
        </w:rPr>
        <w:t>שלמות הגוף וחיי אדם, שלום הציבור וביטחונו</w:t>
      </w:r>
      <w:r>
        <w:rPr>
          <w:rFonts w:ascii="FrankRuehl" w:hAnsi="FrankRuehl" w:cs="FrankRuehl" w:hint="cs"/>
          <w:sz w:val="28"/>
          <w:szCs w:val="28"/>
          <w:rtl/>
        </w:rPr>
        <w:t xml:space="preserve">. </w:t>
      </w:r>
      <w:r>
        <w:rPr>
          <w:rFonts w:ascii="FrankRuehl" w:hAnsi="FrankRuehl" w:cs="FrankRuehl"/>
          <w:sz w:val="28"/>
          <w:szCs w:val="28"/>
          <w:rtl/>
        </w:rPr>
        <w:t>סכנה אינהרנטית נשקפת מהחזקה ונשיאה של כלי נשק על ידי מי שאינם מורשים לכך, שלא למטרות ראויות, הן לב</w:t>
      </w:r>
      <w:r>
        <w:rPr>
          <w:rFonts w:ascii="FrankRuehl" w:hAnsi="FrankRuehl" w:cs="FrankRuehl" w:hint="cs"/>
          <w:sz w:val="28"/>
          <w:szCs w:val="28"/>
          <w:rtl/>
        </w:rPr>
        <w:t>י</w:t>
      </w:r>
      <w:r>
        <w:rPr>
          <w:rFonts w:ascii="FrankRuehl" w:hAnsi="FrankRuehl" w:cs="FrankRuehl"/>
          <w:sz w:val="28"/>
          <w:szCs w:val="28"/>
          <w:rtl/>
        </w:rPr>
        <w:t xml:space="preserve">טחון המדינה והן לשלום אזרחיה. מדובר בכלי שהשימוש העיקרי בו הוא לצורך המתת אדם, גרימת פגיעה גופנית חמורה לאדם או איום בפגיעה כזו. </w:t>
      </w:r>
      <w:r>
        <w:rPr>
          <w:rFonts w:ascii="FrankRuehl" w:hAnsi="FrankRuehl" w:cs="FrankRuehl" w:hint="cs"/>
          <w:sz w:val="28"/>
          <w:szCs w:val="28"/>
          <w:rtl/>
        </w:rPr>
        <w:t xml:space="preserve">חמורות עוד יותר העבירות הקשורות בסחר בנשק שעניינן במעבר נשק </w:t>
      </w:r>
      <w:r>
        <w:rPr>
          <w:rFonts w:ascii="FrankRuehl" w:hAnsi="FrankRuehl" w:cs="FrankRuehl"/>
          <w:sz w:val="28"/>
          <w:szCs w:val="28"/>
          <w:rtl/>
        </w:rPr>
        <w:t>מיד ליד</w:t>
      </w:r>
      <w:r>
        <w:rPr>
          <w:rFonts w:ascii="FrankRuehl" w:hAnsi="FrankRuehl" w:cs="FrankRuehl" w:hint="cs"/>
          <w:sz w:val="28"/>
          <w:szCs w:val="28"/>
          <w:rtl/>
        </w:rPr>
        <w:t xml:space="preserve">, כשבסופו של דבר, מוצא הנשק </w:t>
      </w:r>
      <w:r>
        <w:rPr>
          <w:rFonts w:ascii="FrankRuehl" w:hAnsi="FrankRuehl" w:cs="FrankRuehl"/>
          <w:sz w:val="28"/>
          <w:szCs w:val="28"/>
          <w:rtl/>
        </w:rPr>
        <w:t>את דרכו לידיים עברייניות שעושות בו שימוש פלילי ובטחוני</w:t>
      </w:r>
      <w:r>
        <w:rPr>
          <w:rFonts w:ascii="FrankRuehl" w:hAnsi="FrankRuehl" w:cs="FrankRuehl" w:hint="cs"/>
          <w:sz w:val="28"/>
          <w:szCs w:val="28"/>
          <w:rtl/>
        </w:rPr>
        <w:t>, כבמקרה זה</w:t>
      </w:r>
      <w:r>
        <w:rPr>
          <w:rFonts w:ascii="FrankRuehl" w:hAnsi="FrankRuehl" w:cs="FrankRuehl"/>
          <w:sz w:val="28"/>
          <w:szCs w:val="28"/>
          <w:rtl/>
        </w:rPr>
        <w:t>.</w:t>
      </w:r>
    </w:p>
    <w:p w14:paraId="404D9929" w14:textId="77777777" w:rsidR="00E651E3" w:rsidRPr="00E651E3" w:rsidRDefault="00E651E3" w:rsidP="00E651E3">
      <w:pPr>
        <w:spacing w:line="360" w:lineRule="auto"/>
        <w:jc w:val="both"/>
        <w:rPr>
          <w:rFonts w:ascii="FrankRuehl" w:hAnsi="FrankRuehl" w:cs="FrankRuehl"/>
          <w:color w:val="5B9BD5"/>
          <w:sz w:val="28"/>
          <w:szCs w:val="28"/>
          <w:rtl/>
        </w:rPr>
      </w:pPr>
      <w:r>
        <w:rPr>
          <w:rFonts w:ascii="FrankRuehl" w:hAnsi="FrankRuehl" w:cs="FrankRuehl"/>
          <w:sz w:val="28"/>
          <w:szCs w:val="28"/>
          <w:rtl/>
        </w:rPr>
        <w:t xml:space="preserve"> </w:t>
      </w:r>
    </w:p>
    <w:p w14:paraId="7BF97EFA" w14:textId="77777777" w:rsidR="00E651E3" w:rsidRDefault="00E651E3" w:rsidP="00E651E3">
      <w:pPr>
        <w:spacing w:line="360" w:lineRule="auto"/>
        <w:jc w:val="both"/>
        <w:rPr>
          <w:rFonts w:ascii="FrankRuehl" w:hAnsi="FrankRuehl" w:cs="FrankRuehl"/>
          <w:color w:val="000000"/>
          <w:sz w:val="28"/>
          <w:szCs w:val="28"/>
          <w:rtl/>
        </w:rPr>
      </w:pPr>
      <w:r>
        <w:rPr>
          <w:rFonts w:ascii="FrankRuehl" w:hAnsi="FrankRuehl" w:cs="FrankRuehl" w:hint="cs"/>
          <w:sz w:val="28"/>
          <w:szCs w:val="28"/>
          <w:rtl/>
        </w:rPr>
        <w:t>14.</w:t>
      </w:r>
      <w:r>
        <w:rPr>
          <w:rFonts w:ascii="FrankRuehl" w:hAnsi="FrankRuehl" w:cs="FrankRuehl" w:hint="cs"/>
          <w:sz w:val="28"/>
          <w:szCs w:val="28"/>
          <w:rtl/>
        </w:rPr>
        <w:tab/>
      </w:r>
      <w:r>
        <w:rPr>
          <w:rFonts w:ascii="FrankRuehl" w:hAnsi="FrankRuehl" w:cs="FrankRuehl"/>
          <w:sz w:val="28"/>
          <w:szCs w:val="28"/>
          <w:rtl/>
        </w:rPr>
        <w:t>בתי המשפט נדרשו פעמים רבות</w:t>
      </w:r>
      <w:r>
        <w:rPr>
          <w:rFonts w:ascii="FrankRuehl" w:hAnsi="FrankRuehl" w:cs="FrankRuehl" w:hint="cs"/>
          <w:sz w:val="28"/>
          <w:szCs w:val="28"/>
          <w:rtl/>
        </w:rPr>
        <w:t xml:space="preserve"> לענישה ב</w:t>
      </w:r>
      <w:r>
        <w:rPr>
          <w:rFonts w:ascii="FrankRuehl" w:hAnsi="FrankRuehl" w:cs="FrankRuehl"/>
          <w:sz w:val="28"/>
          <w:szCs w:val="28"/>
          <w:rtl/>
        </w:rPr>
        <w:t>עבירות אל</w:t>
      </w:r>
      <w:r>
        <w:rPr>
          <w:rFonts w:ascii="FrankRuehl" w:hAnsi="FrankRuehl" w:cs="FrankRuehl" w:hint="cs"/>
          <w:sz w:val="28"/>
          <w:szCs w:val="28"/>
          <w:rtl/>
        </w:rPr>
        <w:t>ו, ו</w:t>
      </w:r>
      <w:r>
        <w:rPr>
          <w:rFonts w:ascii="FrankRuehl" w:hAnsi="FrankRuehl" w:cs="FrankRuehl"/>
          <w:sz w:val="28"/>
          <w:szCs w:val="28"/>
          <w:rtl/>
        </w:rPr>
        <w:t>קבעו באופן עקבי, כי עבירות נשק לסוגיהן הן "מכת מדינה" המשקפ</w:t>
      </w:r>
      <w:r>
        <w:rPr>
          <w:rFonts w:ascii="FrankRuehl" w:hAnsi="FrankRuehl" w:cs="FrankRuehl" w:hint="cs"/>
          <w:sz w:val="28"/>
          <w:szCs w:val="28"/>
          <w:rtl/>
        </w:rPr>
        <w:t>ו</w:t>
      </w:r>
      <w:r>
        <w:rPr>
          <w:rFonts w:ascii="FrankRuehl" w:hAnsi="FrankRuehl" w:cs="FrankRuehl"/>
          <w:sz w:val="28"/>
          <w:szCs w:val="28"/>
          <w:rtl/>
        </w:rPr>
        <w:t>ת סכנה חמורה ומיידית לביטחון הציבור</w:t>
      </w:r>
      <w:r>
        <w:rPr>
          <w:rFonts w:ascii="FrankRuehl" w:hAnsi="FrankRuehl" w:cs="FrankRuehl"/>
          <w:color w:val="000000"/>
          <w:sz w:val="28"/>
          <w:szCs w:val="28"/>
          <w:rtl/>
        </w:rPr>
        <w:t xml:space="preserve"> ולשלומו</w:t>
      </w:r>
      <w:r>
        <w:rPr>
          <w:rFonts w:ascii="FrankRuehl" w:hAnsi="FrankRuehl" w:cs="FrankRuehl" w:hint="cs"/>
          <w:color w:val="000000"/>
          <w:sz w:val="28"/>
          <w:szCs w:val="28"/>
          <w:rtl/>
        </w:rPr>
        <w:t xml:space="preserve">, </w:t>
      </w:r>
      <w:r>
        <w:rPr>
          <w:rFonts w:ascii="FrankRuehl" w:hAnsi="FrankRuehl" w:cs="FrankRuehl"/>
          <w:color w:val="000000"/>
          <w:sz w:val="28"/>
          <w:szCs w:val="28"/>
          <w:rtl/>
        </w:rPr>
        <w:t xml:space="preserve">על הצורך בענישה מחמירה בעבירות אלו, ובהעלאת רף הענישה בעבירות הנשק לסוגיהן (ראו אך לדוגמה: </w:t>
      </w:r>
      <w:hyperlink r:id="rId14" w:history="1">
        <w:r w:rsidR="007D4DD1" w:rsidRPr="007D4DD1">
          <w:rPr>
            <w:rFonts w:ascii="FrankRuehl" w:hAnsi="FrankRuehl" w:cs="FrankRuehl"/>
            <w:color w:val="0000FF"/>
            <w:sz w:val="28"/>
            <w:szCs w:val="28"/>
            <w:u w:val="single"/>
            <w:rtl/>
          </w:rPr>
          <w:t>ע"פ 2761/21</w:t>
        </w:r>
      </w:hyperlink>
      <w:r w:rsidR="007D4DD1">
        <w:rPr>
          <w:rFonts w:ascii="FrankRuehl" w:hAnsi="FrankRuehl" w:cs="FrankRuehl"/>
          <w:color w:val="000000"/>
          <w:sz w:val="28"/>
          <w:szCs w:val="28"/>
          <w:rtl/>
        </w:rPr>
        <w:t xml:space="preserve"> </w:t>
      </w:r>
      <w:r>
        <w:rPr>
          <w:rFonts w:ascii="FrankRuehl" w:hAnsi="FrankRuehl" w:cs="FrankRuehl"/>
          <w:b/>
          <w:bCs/>
          <w:color w:val="000000"/>
          <w:sz w:val="28"/>
          <w:szCs w:val="28"/>
          <w:rtl/>
        </w:rPr>
        <w:t>עואלי נ' מדינת ישראל</w:t>
      </w:r>
      <w:r w:rsidR="007D4DD1">
        <w:rPr>
          <w:rFonts w:ascii="FrankRuehl" w:hAnsi="FrankRuehl" w:cs="FrankRuehl"/>
          <w:color w:val="000000"/>
          <w:sz w:val="28"/>
          <w:szCs w:val="28"/>
          <w:rtl/>
        </w:rPr>
        <w:t xml:space="preserve"> </w:t>
      </w:r>
      <w:r>
        <w:rPr>
          <w:rFonts w:ascii="FrankRuehl" w:hAnsi="FrankRuehl" w:cs="FrankRuehl"/>
          <w:color w:val="000000"/>
          <w:sz w:val="28"/>
          <w:szCs w:val="28"/>
          <w:rtl/>
        </w:rPr>
        <w:t xml:space="preserve">(22.08.21); </w:t>
      </w:r>
      <w:hyperlink r:id="rId15" w:history="1">
        <w:r w:rsidR="007D4DD1" w:rsidRPr="007D4DD1">
          <w:rPr>
            <w:rFonts w:ascii="FrankRuehl" w:hAnsi="FrankRuehl" w:cs="FrankRuehl"/>
            <w:color w:val="0000FF"/>
            <w:sz w:val="28"/>
            <w:szCs w:val="28"/>
            <w:u w:val="single"/>
            <w:rtl/>
          </w:rPr>
          <w:t>ע"פ 4207/21</w:t>
        </w:r>
      </w:hyperlink>
      <w:r w:rsidR="007D4DD1">
        <w:rPr>
          <w:rFonts w:ascii="FrankRuehl" w:hAnsi="FrankRuehl" w:cs="FrankRuehl"/>
          <w:color w:val="000000"/>
          <w:sz w:val="28"/>
          <w:szCs w:val="28"/>
          <w:rtl/>
        </w:rPr>
        <w:t xml:space="preserve"> </w:t>
      </w:r>
      <w:r>
        <w:rPr>
          <w:rFonts w:ascii="FrankRuehl" w:hAnsi="FrankRuehl" w:cs="FrankRuehl"/>
          <w:b/>
          <w:bCs/>
          <w:color w:val="000000"/>
          <w:sz w:val="28"/>
          <w:szCs w:val="28"/>
          <w:rtl/>
        </w:rPr>
        <w:t>עמאר בעראני נורי נ' מדינת ישראל</w:t>
      </w:r>
      <w:r w:rsidR="007D4DD1">
        <w:rPr>
          <w:rFonts w:ascii="FrankRuehl" w:hAnsi="FrankRuehl" w:cs="FrankRuehl"/>
          <w:color w:val="000000"/>
          <w:sz w:val="28"/>
          <w:szCs w:val="28"/>
          <w:rtl/>
        </w:rPr>
        <w:t xml:space="preserve"> </w:t>
      </w:r>
      <w:r>
        <w:rPr>
          <w:rFonts w:ascii="FrankRuehl" w:hAnsi="FrankRuehl" w:cs="FrankRuehl"/>
          <w:color w:val="000000"/>
          <w:sz w:val="28"/>
          <w:szCs w:val="28"/>
          <w:rtl/>
        </w:rPr>
        <w:t xml:space="preserve">(28.07.21); </w:t>
      </w:r>
      <w:hyperlink r:id="rId16" w:history="1">
        <w:r w:rsidR="007D4DD1" w:rsidRPr="007D4DD1">
          <w:rPr>
            <w:rFonts w:ascii="FrankRuehl" w:hAnsi="FrankRuehl" w:cs="FrankRuehl"/>
            <w:color w:val="0000FF"/>
            <w:sz w:val="28"/>
            <w:szCs w:val="28"/>
            <w:u w:val="single"/>
            <w:rtl/>
          </w:rPr>
          <w:t>ע"פ 3793/21</w:t>
        </w:r>
      </w:hyperlink>
      <w:r w:rsidR="007D4DD1">
        <w:rPr>
          <w:rFonts w:ascii="FrankRuehl" w:hAnsi="FrankRuehl" w:cs="FrankRuehl"/>
          <w:color w:val="000000"/>
          <w:sz w:val="28"/>
          <w:szCs w:val="28"/>
          <w:rtl/>
        </w:rPr>
        <w:t xml:space="preserve"> </w:t>
      </w:r>
      <w:r>
        <w:rPr>
          <w:rFonts w:ascii="FrankRuehl" w:hAnsi="FrankRuehl" w:cs="FrankRuehl"/>
          <w:b/>
          <w:bCs/>
          <w:color w:val="000000"/>
          <w:sz w:val="28"/>
          <w:szCs w:val="28"/>
          <w:rtl/>
        </w:rPr>
        <w:t>מורייחי נ' מדינת ישראל</w:t>
      </w:r>
      <w:r w:rsidR="007D4DD1">
        <w:rPr>
          <w:rFonts w:ascii="FrankRuehl" w:hAnsi="FrankRuehl" w:cs="FrankRuehl"/>
          <w:color w:val="000000"/>
          <w:sz w:val="28"/>
          <w:szCs w:val="28"/>
          <w:rtl/>
        </w:rPr>
        <w:t xml:space="preserve"> </w:t>
      </w:r>
      <w:r>
        <w:rPr>
          <w:rFonts w:ascii="FrankRuehl" w:hAnsi="FrankRuehl" w:cs="FrankRuehl"/>
          <w:color w:val="000000"/>
          <w:sz w:val="28"/>
          <w:szCs w:val="28"/>
          <w:rtl/>
        </w:rPr>
        <w:t xml:space="preserve">(23.11.20)). </w:t>
      </w:r>
      <w:r>
        <w:rPr>
          <w:rFonts w:ascii="FrankRuehl" w:hAnsi="FrankRuehl" w:cs="FrankRuehl" w:hint="cs"/>
          <w:color w:val="000000"/>
          <w:sz w:val="28"/>
          <w:szCs w:val="28"/>
          <w:rtl/>
        </w:rPr>
        <w:t>נ</w:t>
      </w:r>
      <w:r>
        <w:rPr>
          <w:rFonts w:ascii="FrankRuehl" w:hAnsi="FrankRuehl" w:cs="FrankRuehl"/>
          <w:color w:val="000000"/>
          <w:sz w:val="28"/>
          <w:szCs w:val="28"/>
          <w:rtl/>
        </w:rPr>
        <w:t>קבע</w:t>
      </w:r>
      <w:r>
        <w:rPr>
          <w:rFonts w:ascii="FrankRuehl" w:hAnsi="FrankRuehl" w:cs="FrankRuehl" w:hint="cs"/>
          <w:color w:val="000000"/>
          <w:sz w:val="28"/>
          <w:szCs w:val="28"/>
          <w:rtl/>
        </w:rPr>
        <w:t>,</w:t>
      </w:r>
      <w:r>
        <w:rPr>
          <w:rFonts w:ascii="FrankRuehl" w:hAnsi="FrankRuehl" w:cs="FrankRuehl"/>
          <w:color w:val="000000"/>
          <w:sz w:val="28"/>
          <w:szCs w:val="28"/>
          <w:rtl/>
        </w:rPr>
        <w:t xml:space="preserve"> כי החמרת הענישה בגין עבירות אלו היא אינטרס ציבורי מהמעלה הראשונה ותנאי הכרחי להרתעת הציבור מפני ביצוען</w:t>
      </w:r>
      <w:r>
        <w:rPr>
          <w:rFonts w:ascii="FrankRuehl" w:hAnsi="FrankRuehl" w:cs="FrankRuehl" w:hint="cs"/>
          <w:color w:val="000000"/>
          <w:sz w:val="28"/>
          <w:szCs w:val="28"/>
          <w:rtl/>
        </w:rPr>
        <w:t>,</w:t>
      </w:r>
      <w:r>
        <w:rPr>
          <w:rFonts w:ascii="FrankRuehl" w:hAnsi="FrankRuehl" w:cs="FrankRuehl"/>
          <w:color w:val="000000"/>
          <w:sz w:val="28"/>
          <w:szCs w:val="28"/>
          <w:rtl/>
        </w:rPr>
        <w:t xml:space="preserve"> ולמאבק בתופעות הפשיעה האלימה לסוגיה (ראו:</w:t>
      </w:r>
      <w:r w:rsidR="007D4DD1">
        <w:rPr>
          <w:rFonts w:ascii="FrankRuehl" w:hAnsi="FrankRuehl" w:cs="FrankRuehl"/>
          <w:color w:val="000000"/>
          <w:sz w:val="28"/>
          <w:szCs w:val="28"/>
          <w:rtl/>
        </w:rPr>
        <w:t xml:space="preserve"> </w:t>
      </w:r>
      <w:hyperlink r:id="rId17" w:history="1">
        <w:r w:rsidR="007D4DD1" w:rsidRPr="007D4DD1">
          <w:rPr>
            <w:rFonts w:ascii="FrankRuehl" w:hAnsi="FrankRuehl" w:cs="FrankRuehl"/>
            <w:color w:val="0000FF"/>
            <w:sz w:val="28"/>
            <w:szCs w:val="28"/>
            <w:u w:val="single"/>
            <w:rtl/>
          </w:rPr>
          <w:t>ע"פ 2880/23</w:t>
        </w:r>
      </w:hyperlink>
      <w:r>
        <w:rPr>
          <w:rFonts w:ascii="FrankRuehl" w:hAnsi="FrankRuehl" w:cs="FrankRuehl"/>
          <w:color w:val="000000"/>
          <w:sz w:val="28"/>
          <w:szCs w:val="28"/>
          <w:rtl/>
        </w:rPr>
        <w:t xml:space="preserve"> </w:t>
      </w:r>
      <w:r>
        <w:rPr>
          <w:rFonts w:ascii="FrankRuehl" w:hAnsi="FrankRuehl" w:cs="FrankRuehl"/>
          <w:b/>
          <w:bCs/>
          <w:color w:val="000000"/>
          <w:sz w:val="28"/>
          <w:szCs w:val="28"/>
          <w:rtl/>
        </w:rPr>
        <w:t>מדינת ישראל נ' עיסא</w:t>
      </w:r>
      <w:r>
        <w:rPr>
          <w:rFonts w:ascii="FrankRuehl" w:hAnsi="FrankRuehl" w:cs="FrankRuehl"/>
          <w:color w:val="000000"/>
          <w:sz w:val="28"/>
          <w:szCs w:val="28"/>
          <w:rtl/>
        </w:rPr>
        <w:t xml:space="preserve"> (25.04.23); </w:t>
      </w:r>
      <w:hyperlink r:id="rId18" w:history="1">
        <w:r w:rsidR="007D4DD1" w:rsidRPr="007D4DD1">
          <w:rPr>
            <w:rFonts w:ascii="FrankRuehl" w:hAnsi="FrankRuehl" w:cs="FrankRuehl"/>
            <w:color w:val="0000FF"/>
            <w:sz w:val="28"/>
            <w:szCs w:val="28"/>
            <w:u w:val="single"/>
            <w:rtl/>
          </w:rPr>
          <w:t>ע"פ 6068/21</w:t>
        </w:r>
      </w:hyperlink>
      <w:r>
        <w:rPr>
          <w:rFonts w:ascii="FrankRuehl" w:hAnsi="FrankRuehl" w:cs="FrankRuehl"/>
          <w:b/>
          <w:bCs/>
          <w:color w:val="000000"/>
          <w:sz w:val="28"/>
          <w:szCs w:val="28"/>
          <w:rtl/>
        </w:rPr>
        <w:t xml:space="preserve"> מדינת ישראל נ' פקיה</w:t>
      </w:r>
      <w:r w:rsidR="007D4DD1">
        <w:rPr>
          <w:rFonts w:ascii="FrankRuehl" w:hAnsi="FrankRuehl" w:cs="FrankRuehl"/>
          <w:color w:val="000000"/>
          <w:sz w:val="28"/>
          <w:szCs w:val="28"/>
          <w:rtl/>
        </w:rPr>
        <w:t xml:space="preserve"> </w:t>
      </w:r>
      <w:r>
        <w:rPr>
          <w:rFonts w:ascii="FrankRuehl" w:hAnsi="FrankRuehl" w:cs="FrankRuehl"/>
          <w:color w:val="000000"/>
          <w:sz w:val="28"/>
          <w:szCs w:val="28"/>
          <w:rtl/>
        </w:rPr>
        <w:t xml:space="preserve">(19.12.21); </w:t>
      </w:r>
      <w:hyperlink r:id="rId19" w:history="1">
        <w:r w:rsidR="007D4DD1" w:rsidRPr="007D4DD1">
          <w:rPr>
            <w:rFonts w:ascii="FrankRuehl" w:hAnsi="FrankRuehl" w:cs="FrankRuehl"/>
            <w:color w:val="0000FF"/>
            <w:sz w:val="28"/>
            <w:szCs w:val="28"/>
            <w:u w:val="single"/>
            <w:rtl/>
          </w:rPr>
          <w:t>ע"פ 4406/19</w:t>
        </w:r>
      </w:hyperlink>
      <w:r w:rsidR="007D4DD1">
        <w:rPr>
          <w:rFonts w:ascii="FrankRuehl" w:hAnsi="FrankRuehl" w:cs="FrankRuehl"/>
          <w:color w:val="000000"/>
          <w:sz w:val="28"/>
          <w:szCs w:val="28"/>
          <w:rtl/>
        </w:rPr>
        <w:t xml:space="preserve"> </w:t>
      </w:r>
      <w:r>
        <w:rPr>
          <w:rFonts w:ascii="FrankRuehl" w:hAnsi="FrankRuehl" w:cs="FrankRuehl"/>
          <w:b/>
          <w:bCs/>
          <w:color w:val="000000"/>
          <w:sz w:val="28"/>
          <w:szCs w:val="28"/>
          <w:rtl/>
        </w:rPr>
        <w:t>מדינת ישראל נ' סובח</w:t>
      </w:r>
      <w:r w:rsidR="007D4DD1">
        <w:rPr>
          <w:rFonts w:ascii="FrankRuehl" w:hAnsi="FrankRuehl" w:cs="FrankRuehl"/>
          <w:color w:val="000000"/>
          <w:sz w:val="28"/>
          <w:szCs w:val="28"/>
          <w:rtl/>
        </w:rPr>
        <w:t xml:space="preserve"> </w:t>
      </w:r>
      <w:r>
        <w:rPr>
          <w:rFonts w:ascii="FrankRuehl" w:hAnsi="FrankRuehl" w:cs="FrankRuehl"/>
          <w:color w:val="000000"/>
          <w:sz w:val="28"/>
          <w:szCs w:val="28"/>
          <w:rtl/>
        </w:rPr>
        <w:t>(5.11.19)). בשל כל האמור גם נקבע</w:t>
      </w:r>
      <w:r>
        <w:rPr>
          <w:rFonts w:ascii="FrankRuehl" w:hAnsi="FrankRuehl" w:cs="FrankRuehl" w:hint="cs"/>
          <w:color w:val="000000"/>
          <w:sz w:val="28"/>
          <w:szCs w:val="28"/>
          <w:rtl/>
        </w:rPr>
        <w:t>,</w:t>
      </w:r>
      <w:r>
        <w:rPr>
          <w:rFonts w:ascii="FrankRuehl" w:hAnsi="FrankRuehl" w:cs="FrankRuehl"/>
          <w:color w:val="000000"/>
          <w:sz w:val="28"/>
          <w:szCs w:val="28"/>
          <w:rtl/>
        </w:rPr>
        <w:t xml:space="preserve"> כי במסגרת שיקולי הענישה בעבירות נשק, יש לתת משקל רב לאינטרס הציבורי ולשיקולי ההרתעה </w:t>
      </w:r>
      <w:r>
        <w:rPr>
          <w:rFonts w:ascii="FrankRuehl" w:hAnsi="FrankRuehl" w:cs="FrankRuehl" w:hint="cs"/>
          <w:color w:val="000000"/>
          <w:sz w:val="28"/>
          <w:szCs w:val="28"/>
          <w:rtl/>
        </w:rPr>
        <w:t xml:space="preserve">ולהעדיפם </w:t>
      </w:r>
      <w:r>
        <w:rPr>
          <w:rFonts w:ascii="FrankRuehl" w:hAnsi="FrankRuehl" w:cs="FrankRuehl"/>
          <w:color w:val="000000"/>
          <w:sz w:val="28"/>
          <w:szCs w:val="28"/>
          <w:rtl/>
        </w:rPr>
        <w:t xml:space="preserve">על פני נסיבותיו של הנאשם (ראו: </w:t>
      </w:r>
      <w:hyperlink r:id="rId20" w:history="1">
        <w:r w:rsidR="007D4DD1" w:rsidRPr="007D4DD1">
          <w:rPr>
            <w:rFonts w:ascii="FrankRuehl" w:hAnsi="FrankRuehl" w:cs="FrankRuehl"/>
            <w:color w:val="0000FF"/>
            <w:sz w:val="28"/>
            <w:szCs w:val="28"/>
            <w:u w:val="single"/>
            <w:rtl/>
          </w:rPr>
          <w:t>ע"פ 2761/21</w:t>
        </w:r>
      </w:hyperlink>
      <w:r w:rsidR="007D4DD1">
        <w:rPr>
          <w:rFonts w:ascii="FrankRuehl" w:hAnsi="FrankRuehl" w:cs="FrankRuehl"/>
          <w:color w:val="000000"/>
          <w:sz w:val="28"/>
          <w:szCs w:val="28"/>
          <w:rtl/>
        </w:rPr>
        <w:t xml:space="preserve"> </w:t>
      </w:r>
      <w:r>
        <w:rPr>
          <w:rFonts w:ascii="FrankRuehl" w:hAnsi="FrankRuehl" w:cs="FrankRuehl"/>
          <w:color w:val="000000"/>
          <w:sz w:val="28"/>
          <w:szCs w:val="28"/>
          <w:rtl/>
        </w:rPr>
        <w:t>בעניין</w:t>
      </w:r>
      <w:r w:rsidR="007D4DD1">
        <w:rPr>
          <w:rFonts w:ascii="FrankRuehl" w:hAnsi="FrankRuehl" w:cs="FrankRuehl"/>
          <w:color w:val="000000"/>
          <w:sz w:val="28"/>
          <w:szCs w:val="28"/>
          <w:rtl/>
        </w:rPr>
        <w:t xml:space="preserve"> </w:t>
      </w:r>
      <w:r>
        <w:rPr>
          <w:rFonts w:ascii="FrankRuehl" w:hAnsi="FrankRuehl" w:cs="FrankRuehl"/>
          <w:b/>
          <w:bCs/>
          <w:color w:val="000000"/>
          <w:sz w:val="28"/>
          <w:szCs w:val="28"/>
          <w:rtl/>
        </w:rPr>
        <w:t>עואלי</w:t>
      </w:r>
      <w:r>
        <w:rPr>
          <w:rFonts w:ascii="FrankRuehl" w:hAnsi="FrankRuehl" w:cs="FrankRuehl"/>
          <w:color w:val="000000"/>
          <w:sz w:val="28"/>
          <w:szCs w:val="28"/>
          <w:rtl/>
        </w:rPr>
        <w:t>;</w:t>
      </w:r>
      <w:r w:rsidR="007D4DD1">
        <w:rPr>
          <w:rFonts w:ascii="FrankRuehl" w:hAnsi="FrankRuehl" w:cs="FrankRuehl"/>
          <w:color w:val="000000"/>
          <w:sz w:val="28"/>
          <w:szCs w:val="28"/>
          <w:rtl/>
        </w:rPr>
        <w:t xml:space="preserve"> </w:t>
      </w:r>
      <w:hyperlink r:id="rId21" w:history="1">
        <w:r w:rsidR="007D4DD1" w:rsidRPr="007D4DD1">
          <w:rPr>
            <w:rFonts w:ascii="FrankRuehl" w:hAnsi="FrankRuehl" w:cs="FrankRuehl"/>
            <w:color w:val="0000FF"/>
            <w:sz w:val="28"/>
            <w:szCs w:val="28"/>
            <w:u w:val="single"/>
            <w:rtl/>
          </w:rPr>
          <w:t>ע"פ 2251/21</w:t>
        </w:r>
      </w:hyperlink>
      <w:r w:rsidR="007D4DD1">
        <w:rPr>
          <w:rFonts w:ascii="FrankRuehl" w:hAnsi="FrankRuehl" w:cs="FrankRuehl"/>
          <w:color w:val="000000"/>
          <w:sz w:val="28"/>
          <w:szCs w:val="28"/>
          <w:rtl/>
        </w:rPr>
        <w:t xml:space="preserve"> </w:t>
      </w:r>
      <w:r>
        <w:rPr>
          <w:rFonts w:ascii="FrankRuehl" w:hAnsi="FrankRuehl" w:cs="FrankRuehl"/>
          <w:b/>
          <w:bCs/>
          <w:color w:val="000000"/>
          <w:sz w:val="28"/>
          <w:szCs w:val="28"/>
          <w:rtl/>
        </w:rPr>
        <w:t>אבו עראר נ' מדינת ישראל</w:t>
      </w:r>
      <w:r w:rsidR="007D4DD1">
        <w:rPr>
          <w:rFonts w:ascii="FrankRuehl" w:hAnsi="FrankRuehl" w:cs="FrankRuehl"/>
          <w:color w:val="000000"/>
          <w:sz w:val="28"/>
          <w:szCs w:val="28"/>
          <w:rtl/>
        </w:rPr>
        <w:t xml:space="preserve"> </w:t>
      </w:r>
      <w:r>
        <w:rPr>
          <w:rFonts w:ascii="FrankRuehl" w:hAnsi="FrankRuehl" w:cs="FrankRuehl"/>
          <w:color w:val="000000"/>
          <w:sz w:val="28"/>
          <w:szCs w:val="28"/>
          <w:rtl/>
        </w:rPr>
        <w:t>(15.12.21)).</w:t>
      </w:r>
      <w:r>
        <w:rPr>
          <w:rFonts w:ascii="FrankRuehl" w:hAnsi="FrankRuehl" w:cs="FrankRuehl" w:hint="cs"/>
          <w:color w:val="000000"/>
          <w:sz w:val="28"/>
          <w:szCs w:val="28"/>
          <w:rtl/>
        </w:rPr>
        <w:t xml:space="preserve"> </w:t>
      </w:r>
      <w:r>
        <w:rPr>
          <w:rFonts w:ascii="FrankRuehl" w:hAnsi="FrankRuehl" w:cs="FrankRuehl"/>
          <w:color w:val="000000"/>
          <w:sz w:val="28"/>
          <w:szCs w:val="28"/>
          <w:rtl/>
        </w:rPr>
        <w:t xml:space="preserve">לאחרונה </w:t>
      </w:r>
      <w:r>
        <w:rPr>
          <w:rFonts w:ascii="FrankRuehl" w:hAnsi="FrankRuehl" w:cs="FrankRuehl" w:hint="cs"/>
          <w:color w:val="000000"/>
          <w:sz w:val="28"/>
          <w:szCs w:val="28"/>
          <w:rtl/>
        </w:rPr>
        <w:t xml:space="preserve">אף </w:t>
      </w:r>
      <w:r>
        <w:rPr>
          <w:rFonts w:ascii="FrankRuehl" w:hAnsi="FrankRuehl" w:cs="FrankRuehl"/>
          <w:color w:val="000000"/>
          <w:sz w:val="28"/>
          <w:szCs w:val="28"/>
          <w:rtl/>
        </w:rPr>
        <w:t>צ</w:t>
      </w:r>
      <w:r>
        <w:rPr>
          <w:rFonts w:ascii="FrankRuehl" w:hAnsi="FrankRuehl" w:cs="FrankRuehl" w:hint="cs"/>
          <w:color w:val="000000"/>
          <w:sz w:val="28"/>
          <w:szCs w:val="28"/>
          <w:rtl/>
        </w:rPr>
        <w:t>ו</w:t>
      </w:r>
      <w:r>
        <w:rPr>
          <w:rFonts w:ascii="FrankRuehl" w:hAnsi="FrankRuehl" w:cs="FrankRuehl"/>
          <w:color w:val="000000"/>
          <w:sz w:val="28"/>
          <w:szCs w:val="28"/>
          <w:rtl/>
        </w:rPr>
        <w:t>ין, כי אנו מצויים במצב חירום של ממש ב</w:t>
      </w:r>
      <w:r>
        <w:rPr>
          <w:rFonts w:ascii="FrankRuehl" w:hAnsi="FrankRuehl" w:cs="FrankRuehl" w:hint="cs"/>
          <w:color w:val="000000"/>
          <w:sz w:val="28"/>
          <w:szCs w:val="28"/>
          <w:rtl/>
        </w:rPr>
        <w:t>כל הנוגע ל</w:t>
      </w:r>
      <w:r>
        <w:rPr>
          <w:rFonts w:ascii="FrankRuehl" w:hAnsi="FrankRuehl" w:cs="FrankRuehl"/>
          <w:color w:val="000000"/>
          <w:sz w:val="28"/>
          <w:szCs w:val="28"/>
          <w:rtl/>
        </w:rPr>
        <w:t>עבירות נשק (</w:t>
      </w:r>
      <w:hyperlink r:id="rId22" w:history="1">
        <w:r w:rsidR="007D4DD1" w:rsidRPr="007D4DD1">
          <w:rPr>
            <w:rFonts w:ascii="FrankRuehl" w:hAnsi="FrankRuehl" w:cs="FrankRuehl"/>
            <w:color w:val="0000FF"/>
            <w:sz w:val="28"/>
            <w:szCs w:val="28"/>
            <w:u w:val="single"/>
            <w:rtl/>
          </w:rPr>
          <w:t>ע"פ 2251/21</w:t>
        </w:r>
      </w:hyperlink>
      <w:r>
        <w:rPr>
          <w:rFonts w:ascii="FrankRuehl" w:hAnsi="FrankRuehl" w:cs="FrankRuehl"/>
          <w:color w:val="000000"/>
          <w:sz w:val="28"/>
          <w:szCs w:val="28"/>
          <w:rtl/>
        </w:rPr>
        <w:t xml:space="preserve"> בעניין</w:t>
      </w:r>
      <w:r w:rsidR="007D4DD1">
        <w:rPr>
          <w:rFonts w:ascii="FrankRuehl" w:hAnsi="FrankRuehl" w:cs="FrankRuehl"/>
          <w:color w:val="000000"/>
          <w:sz w:val="28"/>
          <w:szCs w:val="28"/>
          <w:rtl/>
        </w:rPr>
        <w:t xml:space="preserve"> </w:t>
      </w:r>
      <w:r>
        <w:rPr>
          <w:rFonts w:ascii="FrankRuehl" w:hAnsi="FrankRuehl" w:cs="FrankRuehl"/>
          <w:b/>
          <w:bCs/>
          <w:color w:val="000000"/>
          <w:sz w:val="28"/>
          <w:szCs w:val="28"/>
          <w:rtl/>
        </w:rPr>
        <w:t>אבו עראר</w:t>
      </w:r>
      <w:r>
        <w:rPr>
          <w:rFonts w:ascii="FrankRuehl" w:hAnsi="FrankRuehl" w:cs="FrankRuehl" w:hint="cs"/>
          <w:b/>
          <w:bCs/>
          <w:color w:val="000000"/>
          <w:sz w:val="28"/>
          <w:szCs w:val="28"/>
          <w:rtl/>
        </w:rPr>
        <w:t>)</w:t>
      </w:r>
      <w:r>
        <w:rPr>
          <w:rFonts w:ascii="FrankRuehl" w:hAnsi="FrankRuehl" w:cs="FrankRuehl"/>
          <w:color w:val="000000"/>
          <w:sz w:val="28"/>
          <w:szCs w:val="28"/>
          <w:rtl/>
        </w:rPr>
        <w:t>, ו</w:t>
      </w:r>
      <w:r>
        <w:rPr>
          <w:rFonts w:ascii="FrankRuehl" w:hAnsi="FrankRuehl" w:cs="FrankRuehl" w:hint="cs"/>
          <w:color w:val="000000"/>
          <w:sz w:val="28"/>
          <w:szCs w:val="28"/>
          <w:rtl/>
        </w:rPr>
        <w:t xml:space="preserve">בית המשפט אף </w:t>
      </w:r>
      <w:r>
        <w:rPr>
          <w:rFonts w:ascii="FrankRuehl" w:hAnsi="FrankRuehl" w:cs="FrankRuehl"/>
          <w:color w:val="000000"/>
          <w:sz w:val="28"/>
          <w:szCs w:val="28"/>
          <w:rtl/>
        </w:rPr>
        <w:t xml:space="preserve">הוסיף </w:t>
      </w:r>
      <w:r>
        <w:rPr>
          <w:rFonts w:ascii="FrankRuehl" w:hAnsi="FrankRuehl" w:cs="FrankRuehl" w:hint="cs"/>
          <w:color w:val="000000"/>
          <w:sz w:val="28"/>
          <w:szCs w:val="28"/>
          <w:rtl/>
        </w:rPr>
        <w:t>(</w:t>
      </w:r>
      <w:r>
        <w:rPr>
          <w:rFonts w:ascii="FrankRuehl" w:hAnsi="FrankRuehl" w:cs="FrankRuehl"/>
          <w:color w:val="000000"/>
          <w:sz w:val="28"/>
          <w:szCs w:val="28"/>
          <w:rtl/>
        </w:rPr>
        <w:t>ב</w:t>
      </w:r>
      <w:hyperlink r:id="rId23" w:history="1">
        <w:r w:rsidR="007D4DD1" w:rsidRPr="007D4DD1">
          <w:rPr>
            <w:rFonts w:ascii="FrankRuehl" w:hAnsi="FrankRuehl" w:cs="FrankRuehl"/>
            <w:color w:val="0000FF"/>
            <w:sz w:val="28"/>
            <w:szCs w:val="28"/>
            <w:u w:val="single"/>
            <w:rtl/>
          </w:rPr>
          <w:t>ע"פ 6383/21</w:t>
        </w:r>
      </w:hyperlink>
      <w:r>
        <w:rPr>
          <w:rFonts w:ascii="FrankRuehl" w:hAnsi="FrankRuehl" w:cs="FrankRuehl"/>
          <w:color w:val="000000"/>
          <w:sz w:val="28"/>
          <w:szCs w:val="28"/>
          <w:rtl/>
        </w:rPr>
        <w:t xml:space="preserve"> </w:t>
      </w:r>
      <w:r>
        <w:rPr>
          <w:rFonts w:ascii="FrankRuehl" w:hAnsi="FrankRuehl" w:cs="FrankRuehl"/>
          <w:b/>
          <w:bCs/>
          <w:color w:val="000000"/>
          <w:sz w:val="28"/>
          <w:szCs w:val="28"/>
          <w:rtl/>
        </w:rPr>
        <w:t>קריף נ' מדינת ישראל</w:t>
      </w:r>
      <w:r>
        <w:rPr>
          <w:rFonts w:ascii="FrankRuehl" w:hAnsi="FrankRuehl" w:cs="FrankRuehl"/>
          <w:color w:val="000000"/>
          <w:sz w:val="28"/>
          <w:szCs w:val="28"/>
          <w:rtl/>
        </w:rPr>
        <w:t xml:space="preserve"> (13.02.22)</w:t>
      </w:r>
      <w:r>
        <w:rPr>
          <w:rFonts w:ascii="FrankRuehl" w:hAnsi="FrankRuehl" w:cs="FrankRuehl" w:hint="cs"/>
          <w:color w:val="000000"/>
          <w:sz w:val="28"/>
          <w:szCs w:val="28"/>
          <w:rtl/>
        </w:rPr>
        <w:t>)</w:t>
      </w:r>
      <w:r>
        <w:rPr>
          <w:rFonts w:ascii="FrankRuehl" w:hAnsi="FrankRuehl" w:cs="FrankRuehl"/>
          <w:color w:val="000000"/>
          <w:sz w:val="28"/>
          <w:szCs w:val="28"/>
          <w:rtl/>
        </w:rPr>
        <w:t xml:space="preserve"> כי: </w:t>
      </w:r>
    </w:p>
    <w:p w14:paraId="2D8928CB" w14:textId="77777777" w:rsidR="00E651E3" w:rsidRPr="004B419B" w:rsidRDefault="00E651E3" w:rsidP="00E651E3">
      <w:pPr>
        <w:spacing w:line="360" w:lineRule="auto"/>
        <w:ind w:left="680" w:right="680"/>
        <w:jc w:val="both"/>
        <w:rPr>
          <w:rFonts w:ascii="Miriam" w:eastAsia="FrankRuehl" w:hAnsi="Miriam" w:cs="Miriam"/>
          <w:sz w:val="28"/>
          <w:rtl/>
        </w:rPr>
      </w:pPr>
      <w:r>
        <w:rPr>
          <w:rFonts w:ascii="Miriam" w:eastAsia="FrankRuehl" w:hAnsi="Miriam" w:cs="Miriam"/>
          <w:sz w:val="28"/>
          <w:rtl/>
        </w:rPr>
        <w:t>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w:t>
      </w:r>
    </w:p>
    <w:p w14:paraId="01EEC3D9" w14:textId="77777777" w:rsidR="00E651E3" w:rsidRDefault="00E651E3" w:rsidP="00E651E3">
      <w:pPr>
        <w:spacing w:line="360" w:lineRule="auto"/>
        <w:ind w:right="680"/>
        <w:jc w:val="both"/>
        <w:rPr>
          <w:rFonts w:ascii="Miriam" w:eastAsia="FrankRuehl" w:hAnsi="Miriam" w:cs="Miriam"/>
          <w:sz w:val="28"/>
          <w:rtl/>
        </w:rPr>
      </w:pPr>
    </w:p>
    <w:p w14:paraId="3FDC15FA" w14:textId="77777777" w:rsidR="00E651E3" w:rsidRDefault="00E651E3" w:rsidP="00E651E3">
      <w:pPr>
        <w:spacing w:line="360" w:lineRule="auto"/>
        <w:jc w:val="both"/>
        <w:rPr>
          <w:rFonts w:ascii="FrankRuehl" w:hAnsi="FrankRuehl" w:cs="FrankRuehl"/>
          <w:color w:val="000000"/>
          <w:sz w:val="28"/>
          <w:szCs w:val="28"/>
          <w:rtl/>
        </w:rPr>
      </w:pPr>
      <w:r w:rsidRPr="0096510B">
        <w:rPr>
          <w:rFonts w:ascii="FrankRuehl" w:hAnsi="FrankRuehl" w:cs="FrankRuehl" w:hint="cs"/>
          <w:sz w:val="28"/>
          <w:szCs w:val="28"/>
          <w:rtl/>
        </w:rPr>
        <w:t xml:space="preserve">בעניין אחר </w:t>
      </w:r>
      <w:r w:rsidRPr="0096510B">
        <w:rPr>
          <w:rFonts w:ascii="FrankRuehl" w:hAnsi="FrankRuehl" w:cs="FrankRuehl"/>
          <w:sz w:val="28"/>
          <w:szCs w:val="28"/>
          <w:rtl/>
        </w:rPr>
        <w:t>(</w:t>
      </w:r>
      <w:hyperlink r:id="rId24" w:history="1">
        <w:r w:rsidR="007D4DD1" w:rsidRPr="007D4DD1">
          <w:rPr>
            <w:rFonts w:ascii="FrankRuehl" w:hAnsi="FrankRuehl" w:cs="FrankRuehl"/>
            <w:color w:val="0000FF"/>
            <w:sz w:val="28"/>
            <w:szCs w:val="28"/>
            <w:u w:val="single"/>
            <w:rtl/>
          </w:rPr>
          <w:t>ע"פ 2733/20</w:t>
        </w:r>
      </w:hyperlink>
      <w:r w:rsidRPr="0096510B">
        <w:rPr>
          <w:rFonts w:ascii="FrankRuehl" w:hAnsi="FrankRuehl" w:cs="FrankRuehl"/>
          <w:sz w:val="28"/>
          <w:szCs w:val="28"/>
          <w:rtl/>
        </w:rPr>
        <w:t xml:space="preserve"> </w:t>
      </w:r>
      <w:r w:rsidRPr="0096510B">
        <w:rPr>
          <w:rFonts w:ascii="FrankRuehl" w:hAnsi="FrankRuehl" w:cs="FrankRuehl"/>
          <w:b/>
          <w:bCs/>
          <w:sz w:val="28"/>
          <w:szCs w:val="28"/>
          <w:rtl/>
        </w:rPr>
        <w:t>אבו זיאד נ' מדינת ישראל</w:t>
      </w:r>
      <w:r w:rsidRPr="0096510B">
        <w:rPr>
          <w:rFonts w:ascii="FrankRuehl" w:hAnsi="FrankRuehl" w:cs="FrankRuehl"/>
          <w:sz w:val="28"/>
          <w:szCs w:val="28"/>
          <w:rtl/>
        </w:rPr>
        <w:t xml:space="preserve"> (24.10.21)</w:t>
      </w:r>
      <w:r w:rsidRPr="0096510B">
        <w:rPr>
          <w:rFonts w:ascii="FrankRuehl" w:hAnsi="FrankRuehl" w:cs="FrankRuehl" w:hint="cs"/>
          <w:sz w:val="28"/>
          <w:szCs w:val="28"/>
          <w:rtl/>
        </w:rPr>
        <w:t xml:space="preserve">) צוין </w:t>
      </w:r>
      <w:r>
        <w:rPr>
          <w:rFonts w:ascii="FrankRuehl" w:hAnsi="FrankRuehl" w:cs="FrankRuehl"/>
          <w:color w:val="000000"/>
          <w:sz w:val="28"/>
          <w:szCs w:val="28"/>
          <w:rtl/>
        </w:rPr>
        <w:t>כי:</w:t>
      </w:r>
    </w:p>
    <w:p w14:paraId="7943EFDC" w14:textId="77777777" w:rsidR="00E651E3" w:rsidRPr="004B419B" w:rsidRDefault="00E651E3" w:rsidP="00E651E3">
      <w:pPr>
        <w:spacing w:line="360" w:lineRule="auto"/>
        <w:ind w:left="680" w:right="680"/>
        <w:jc w:val="both"/>
        <w:rPr>
          <w:rFonts w:ascii="Miriam" w:eastAsia="FrankRuehl" w:hAnsi="Miriam" w:cs="Miriam"/>
          <w:sz w:val="28"/>
          <w:rtl/>
        </w:rPr>
      </w:pPr>
      <w:r w:rsidRPr="004B419B">
        <w:rPr>
          <w:rFonts w:ascii="Miriam" w:eastAsia="FrankRuehl" w:hAnsi="Miriam" w:cs="Miriam"/>
          <w:sz w:val="28"/>
          <w:rtl/>
        </w:rPr>
        <w:t>רעה חולה זו פוקדת את מדינתנו מזה זמן, והיא מזינה, דבר יום ביומו, את פעולות הטרור ואת עורקי הפשיעה החמורה, המסכנים את הציבור הישראלי, סכנת נפשות ממש, בכוח ובפועל. הקלות שאפיינה את מעשי הסחר במקרה דנן, וההתעלמות של השניים מפוטנציאל הנזק האדיר של מעשיהם החמורים, למען בצע כסף, אכן ראויים לגינוי רועם וענישה מחמירה. לא זו אף זו, גל האלימות הגואה בתוככי המגזר הערבי, מצריך אף הוא מאיתנו להיענות לצו השעה, ולנקוט יד קשה כלפי מבצעי עבירות בנשק; לבטח כך, כאשר בעבירות של סחר</w:t>
      </w:r>
      <w:r w:rsidR="007D4DD1">
        <w:rPr>
          <w:rFonts w:ascii="Miriam" w:eastAsia="FrankRuehl" w:hAnsi="Miriam" w:cs="Miriam"/>
          <w:sz w:val="28"/>
          <w:rtl/>
        </w:rPr>
        <w:t xml:space="preserve"> </w:t>
      </w:r>
      <w:r w:rsidRPr="004B419B">
        <w:rPr>
          <w:rFonts w:ascii="Miriam" w:eastAsia="FrankRuehl" w:hAnsi="Miriam" w:cs="Miriam"/>
          <w:sz w:val="28"/>
          <w:rtl/>
        </w:rPr>
        <w:t>בנשק עסקינן, כבעניין דנן</w:t>
      </w:r>
      <w:r w:rsidRPr="004B419B">
        <w:rPr>
          <w:rFonts w:ascii="Miriam" w:eastAsia="FrankRuehl" w:hAnsi="Miriam" w:cs="Miriam"/>
          <w:sz w:val="28"/>
        </w:rPr>
        <w:t>.</w:t>
      </w:r>
    </w:p>
    <w:p w14:paraId="3E55CC2C" w14:textId="77777777" w:rsidR="00E651E3" w:rsidRDefault="00E651E3" w:rsidP="00E651E3">
      <w:pPr>
        <w:spacing w:line="360" w:lineRule="auto"/>
        <w:jc w:val="both"/>
        <w:rPr>
          <w:rFonts w:ascii="FrankRuehl" w:hAnsi="FrankRuehl" w:cs="FrankRuehl"/>
          <w:color w:val="000000"/>
          <w:sz w:val="28"/>
          <w:szCs w:val="28"/>
          <w:rtl/>
        </w:rPr>
      </w:pPr>
    </w:p>
    <w:p w14:paraId="7C869A8F" w14:textId="77777777" w:rsidR="00E651E3" w:rsidRDefault="00E651E3" w:rsidP="00E651E3">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15.</w:t>
      </w:r>
      <w:r>
        <w:rPr>
          <w:rFonts w:ascii="FrankRuehl" w:hAnsi="FrankRuehl" w:cs="FrankRuehl" w:hint="cs"/>
          <w:color w:val="000000"/>
          <w:sz w:val="28"/>
          <w:szCs w:val="28"/>
          <w:rtl/>
        </w:rPr>
        <w:tab/>
        <w:t xml:space="preserve">אף </w:t>
      </w:r>
      <w:r>
        <w:rPr>
          <w:rFonts w:ascii="FrankRuehl" w:hAnsi="FrankRuehl" w:cs="FrankRuehl"/>
          <w:color w:val="000000"/>
          <w:sz w:val="28"/>
          <w:szCs w:val="28"/>
          <w:rtl/>
        </w:rPr>
        <w:t>המחוקק  בחר לעגן את הצורך בהחמרת הענישה בחקיקה, במסגרת תיקון 140 ל</w:t>
      </w:r>
      <w:hyperlink r:id="rId25" w:history="1">
        <w:r w:rsidR="007D4DD1" w:rsidRPr="007D4DD1">
          <w:rPr>
            <w:rFonts w:ascii="FrankRuehl" w:hAnsi="FrankRuehl" w:cs="FrankRuehl"/>
            <w:color w:val="0000FF"/>
            <w:sz w:val="28"/>
            <w:szCs w:val="28"/>
            <w:u w:val="single"/>
            <w:rtl/>
          </w:rPr>
          <w:t>חוק העונשין</w:t>
        </w:r>
      </w:hyperlink>
      <w:r>
        <w:rPr>
          <w:rFonts w:ascii="FrankRuehl" w:hAnsi="FrankRuehl" w:cs="FrankRuehl"/>
          <w:color w:val="000000"/>
          <w:sz w:val="28"/>
          <w:szCs w:val="28"/>
          <w:rtl/>
        </w:rPr>
        <w:t xml:space="preserve">, בדרך של קביעת עונש מינימום של רבע מהעונש המרבי, למי שהורשע בעבירות של החזקה, נשיאה וסחר בנשק. לפי דברי ההסבר לתיקון, התיקון לחוק נעשה נוכח התפשטות ההתחמשות של קבוצות גדולות באוכלוסייה בנשק בלתי חוקי, ייחודיות התופעה והשלכותיה החמורות, ובפרט המחיר שהיא גובה בחיי אדם. אכן, בתי המשפט הביאו לידי ביטוי את מגמת ההחמרה אליה כיוון המחוקק במסגרת תיקון זה לחוק, גם במקרים לגביהם לא חל התיקון בשל כך שהעבירות בוצעו עובר לתיקון, אך משמדובר על מקרה שהתיקון לחוק חל עליו, הדבר דורש החמרה נוספת מהענישה שנהגה באותם מקרים עליהם לא חל התיקון. </w:t>
      </w:r>
    </w:p>
    <w:p w14:paraId="52E45357" w14:textId="77777777" w:rsidR="00E651E3" w:rsidRDefault="00E651E3" w:rsidP="00E651E3">
      <w:pPr>
        <w:spacing w:line="360" w:lineRule="auto"/>
        <w:jc w:val="both"/>
        <w:rPr>
          <w:rFonts w:ascii="FrankRuehl" w:hAnsi="FrankRuehl" w:cs="FrankRuehl"/>
          <w:color w:val="000000"/>
          <w:sz w:val="28"/>
          <w:szCs w:val="28"/>
          <w:shd w:val="clear" w:color="auto" w:fill="FFFFFF"/>
          <w:rtl/>
        </w:rPr>
      </w:pPr>
    </w:p>
    <w:p w14:paraId="1C5DFFF5" w14:textId="77777777" w:rsidR="00E651E3" w:rsidRDefault="00E651E3" w:rsidP="00E651E3">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16.</w:t>
      </w:r>
      <w:r>
        <w:rPr>
          <w:rFonts w:ascii="FrankRuehl" w:hAnsi="FrankRuehl" w:cs="FrankRuehl" w:hint="cs"/>
          <w:color w:val="000000"/>
          <w:sz w:val="28"/>
          <w:szCs w:val="28"/>
          <w:rtl/>
        </w:rPr>
        <w:tab/>
      </w:r>
      <w:r>
        <w:rPr>
          <w:rFonts w:ascii="FrankRuehl" w:hAnsi="FrankRuehl" w:cs="FrankRuehl"/>
          <w:color w:val="000000"/>
          <w:sz w:val="28"/>
          <w:szCs w:val="28"/>
          <w:rtl/>
        </w:rPr>
        <w:t>בחינת מדיניות הענישה הנוהגת מעלה מנעד רחב של עונשים בעבירות נשק שונות, אשר נגזרים, בין היתר, מנסיבות ביצוע העבירה, בכלל זה סוג הנשק, היקף העסקאות, הצדדים לעסקה ועוד, ולצד זאת הנסיבות האישיות השונות של העבריין.</w:t>
      </w:r>
    </w:p>
    <w:p w14:paraId="5D311B31" w14:textId="77777777" w:rsidR="00E651E3" w:rsidRDefault="00E651E3" w:rsidP="00E651E3">
      <w:pPr>
        <w:spacing w:line="360" w:lineRule="auto"/>
        <w:jc w:val="both"/>
        <w:rPr>
          <w:rFonts w:ascii="FrankRuehl" w:hAnsi="FrankRuehl" w:cs="FrankRuehl"/>
          <w:color w:val="000000"/>
          <w:sz w:val="28"/>
          <w:szCs w:val="28"/>
          <w:rtl/>
        </w:rPr>
      </w:pPr>
    </w:p>
    <w:p w14:paraId="3FED01B0" w14:textId="77777777" w:rsidR="00E651E3" w:rsidRDefault="00E651E3" w:rsidP="00E651E3">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17.</w:t>
      </w:r>
      <w:r>
        <w:rPr>
          <w:rFonts w:ascii="FrankRuehl" w:hAnsi="FrankRuehl" w:cs="FrankRuehl" w:hint="cs"/>
          <w:color w:val="000000"/>
          <w:sz w:val="28"/>
          <w:szCs w:val="28"/>
          <w:rtl/>
        </w:rPr>
        <w:tab/>
      </w:r>
      <w:r>
        <w:rPr>
          <w:rFonts w:ascii="FrankRuehl" w:hAnsi="FrankRuehl" w:cs="FrankRuehl"/>
          <w:color w:val="000000"/>
          <w:sz w:val="28"/>
          <w:szCs w:val="28"/>
          <w:rtl/>
        </w:rPr>
        <w:t>במסגרת גזר הדין ב</w:t>
      </w:r>
      <w:hyperlink r:id="rId26" w:history="1">
        <w:r w:rsidR="007D4DD1" w:rsidRPr="007D4DD1">
          <w:rPr>
            <w:rFonts w:ascii="FrankRuehl" w:hAnsi="FrankRuehl" w:cs="FrankRuehl"/>
            <w:color w:val="0000FF"/>
            <w:sz w:val="28"/>
            <w:szCs w:val="28"/>
            <w:u w:val="single"/>
            <w:rtl/>
          </w:rPr>
          <w:t>ת"פ (מחוזי-ים) 7196-03-21</w:t>
        </w:r>
      </w:hyperlink>
      <w:r>
        <w:rPr>
          <w:rFonts w:ascii="FrankRuehl" w:hAnsi="FrankRuehl" w:cs="FrankRuehl"/>
          <w:color w:val="000000"/>
          <w:sz w:val="28"/>
          <w:szCs w:val="28"/>
          <w:rtl/>
        </w:rPr>
        <w:t xml:space="preserve"> </w:t>
      </w:r>
      <w:r>
        <w:rPr>
          <w:rFonts w:ascii="FrankRuehl" w:hAnsi="FrankRuehl" w:cs="FrankRuehl"/>
          <w:b/>
          <w:bCs/>
          <w:color w:val="000000"/>
          <w:sz w:val="28"/>
          <w:szCs w:val="28"/>
          <w:rtl/>
        </w:rPr>
        <w:t>מדינת ישראל נ' אגנימאת</w:t>
      </w:r>
      <w:r>
        <w:rPr>
          <w:rFonts w:ascii="FrankRuehl" w:hAnsi="FrankRuehl" w:cs="FrankRuehl"/>
          <w:color w:val="000000"/>
          <w:sz w:val="28"/>
          <w:szCs w:val="28"/>
          <w:rtl/>
        </w:rPr>
        <w:t xml:space="preserve"> (28.02.22)               סקרתי חלק מהפסיקה הנוהגת, כדלהלן: </w:t>
      </w:r>
    </w:p>
    <w:p w14:paraId="0266A372" w14:textId="77777777" w:rsidR="00E651E3" w:rsidRDefault="00E651E3" w:rsidP="00E651E3">
      <w:pPr>
        <w:pStyle w:val="a9"/>
        <w:numPr>
          <w:ilvl w:val="0"/>
          <w:numId w:val="1"/>
        </w:numPr>
        <w:spacing w:after="160" w:line="360" w:lineRule="auto"/>
        <w:jc w:val="both"/>
        <w:rPr>
          <w:rFonts w:ascii="FrankRuehl" w:hAnsi="FrankRuehl" w:cs="FrankRuehl"/>
          <w:color w:val="000000"/>
          <w:sz w:val="28"/>
          <w:szCs w:val="28"/>
          <w:shd w:val="clear" w:color="auto" w:fill="FFFFFF"/>
          <w:rtl/>
        </w:rPr>
      </w:pPr>
      <w:r>
        <w:rPr>
          <w:rFonts w:ascii="FrankRuehl" w:hAnsi="FrankRuehl" w:cs="FrankRuehl"/>
          <w:color w:val="000000"/>
          <w:sz w:val="28"/>
          <w:szCs w:val="28"/>
          <w:shd w:val="clear" w:color="auto" w:fill="FFFFFF"/>
          <w:rtl/>
        </w:rPr>
        <w:t>ב</w:t>
      </w:r>
      <w:hyperlink r:id="rId27" w:history="1">
        <w:r w:rsidR="007D4DD1" w:rsidRPr="007D4DD1">
          <w:rPr>
            <w:rFonts w:ascii="FrankRuehl" w:hAnsi="FrankRuehl" w:cs="FrankRuehl"/>
            <w:color w:val="0000FF"/>
            <w:sz w:val="28"/>
            <w:szCs w:val="28"/>
            <w:u w:val="single"/>
            <w:shd w:val="clear" w:color="auto" w:fill="FFFFFF"/>
            <w:rtl/>
          </w:rPr>
          <w:t>ע"פ 6383/21</w:t>
        </w:r>
      </w:hyperlink>
      <w:r>
        <w:rPr>
          <w:rFonts w:ascii="FrankRuehl" w:hAnsi="FrankRuehl" w:cs="FrankRuehl"/>
          <w:color w:val="000000"/>
          <w:sz w:val="28"/>
          <w:szCs w:val="28"/>
          <w:rtl/>
        </w:rPr>
        <w:t xml:space="preserve"> בעניין </w:t>
      </w:r>
      <w:r>
        <w:rPr>
          <w:rFonts w:ascii="FrankRuehl" w:hAnsi="FrankRuehl" w:cs="FrankRuehl"/>
          <w:b/>
          <w:bCs/>
          <w:color w:val="000000"/>
          <w:sz w:val="28"/>
          <w:szCs w:val="28"/>
          <w:rtl/>
        </w:rPr>
        <w:t>קריף</w:t>
      </w:r>
      <w:r>
        <w:rPr>
          <w:rFonts w:ascii="FrankRuehl" w:hAnsi="FrankRuehl" w:cs="FrankRuehl"/>
          <w:color w:val="000000"/>
          <w:sz w:val="28"/>
          <w:szCs w:val="28"/>
          <w:rtl/>
        </w:rPr>
        <w:t xml:space="preserve">, אושר עונש של 25 חודש לנאשמים שהורשעו במעשה אחד של הובלה ונשיאה של נשק – אקדח הזנקה מוסב ועונש של 36 חודש לנאשם נוסף שהורשע בעבירה אחת של עסקה אחרת בנשק. על מי שסייע לו בעסקה זו הושת עונש של 28 חודשים; </w:t>
      </w:r>
    </w:p>
    <w:p w14:paraId="3698EC1C" w14:textId="77777777" w:rsidR="00E651E3" w:rsidRPr="004B419B" w:rsidRDefault="00E651E3" w:rsidP="00E651E3">
      <w:pPr>
        <w:pStyle w:val="a9"/>
        <w:numPr>
          <w:ilvl w:val="0"/>
          <w:numId w:val="1"/>
        </w:numPr>
        <w:spacing w:after="160" w:line="360" w:lineRule="auto"/>
        <w:jc w:val="both"/>
        <w:rPr>
          <w:rFonts w:ascii="FrankRuehl" w:hAnsi="FrankRuehl" w:cs="FrankRuehl"/>
          <w:sz w:val="28"/>
          <w:szCs w:val="28"/>
          <w:shd w:val="clear" w:color="auto" w:fill="FFFFFF"/>
          <w:rtl/>
        </w:rPr>
      </w:pPr>
      <w:r>
        <w:rPr>
          <w:rFonts w:ascii="FrankRuehl" w:hAnsi="FrankRuehl" w:cs="FrankRuehl"/>
          <w:color w:val="000000"/>
          <w:sz w:val="28"/>
          <w:szCs w:val="28"/>
          <w:rtl/>
        </w:rPr>
        <w:t>ב</w:t>
      </w:r>
      <w:hyperlink r:id="rId28" w:history="1">
        <w:r w:rsidR="007D4DD1" w:rsidRPr="007D4DD1">
          <w:rPr>
            <w:rFonts w:ascii="FrankRuehl" w:hAnsi="FrankRuehl" w:cs="FrankRuehl"/>
            <w:color w:val="0000FF"/>
            <w:sz w:val="28"/>
            <w:szCs w:val="28"/>
            <w:u w:val="single"/>
            <w:rtl/>
          </w:rPr>
          <w:t>ת"פ (מחוזי-י-ם) 58524-11-19</w:t>
        </w:r>
      </w:hyperlink>
      <w:r w:rsidR="007D4DD1">
        <w:rPr>
          <w:rFonts w:ascii="FrankRuehl" w:hAnsi="FrankRuehl" w:cs="FrankRuehl"/>
          <w:color w:val="000000"/>
          <w:sz w:val="28"/>
          <w:szCs w:val="28"/>
          <w:rtl/>
        </w:rPr>
        <w:t xml:space="preserve"> </w:t>
      </w:r>
      <w:r>
        <w:rPr>
          <w:rFonts w:ascii="FrankRuehl" w:hAnsi="FrankRuehl" w:cs="FrankRuehl"/>
          <w:b/>
          <w:bCs/>
          <w:color w:val="000000"/>
          <w:sz w:val="28"/>
          <w:szCs w:val="28"/>
          <w:rtl/>
        </w:rPr>
        <w:t>מדינת ישראל נ' עודה</w:t>
      </w:r>
      <w:r w:rsidR="007D4DD1">
        <w:rPr>
          <w:rFonts w:ascii="FrankRuehl" w:hAnsi="FrankRuehl" w:cs="FrankRuehl"/>
          <w:color w:val="000000"/>
          <w:sz w:val="28"/>
          <w:szCs w:val="28"/>
          <w:rtl/>
        </w:rPr>
        <w:t xml:space="preserve"> </w:t>
      </w:r>
      <w:r>
        <w:rPr>
          <w:rFonts w:ascii="FrankRuehl" w:hAnsi="FrankRuehl" w:cs="FrankRuehl"/>
          <w:color w:val="000000"/>
          <w:sz w:val="28"/>
          <w:szCs w:val="28"/>
          <w:rtl/>
        </w:rPr>
        <w:t>(2.12.20), נקבע מתחם שנ</w:t>
      </w:r>
      <w:r w:rsidRPr="004B419B">
        <w:rPr>
          <w:rFonts w:ascii="FrankRuehl" w:hAnsi="FrankRuehl" w:cs="FrankRuehl"/>
          <w:sz w:val="28"/>
          <w:szCs w:val="28"/>
          <w:rtl/>
        </w:rPr>
        <w:t xml:space="preserve">ע בין 20-40 חודש, לגבי עבירת סחר בודד באקדח שנמכר לסוכן משטרה; </w:t>
      </w:r>
    </w:p>
    <w:p w14:paraId="23A6C1A5" w14:textId="77777777" w:rsidR="00E651E3" w:rsidRDefault="00E651E3" w:rsidP="00E651E3">
      <w:pPr>
        <w:pStyle w:val="a9"/>
        <w:numPr>
          <w:ilvl w:val="0"/>
          <w:numId w:val="1"/>
        </w:numPr>
        <w:spacing w:after="160" w:line="360" w:lineRule="auto"/>
        <w:jc w:val="both"/>
        <w:rPr>
          <w:rFonts w:ascii="FrankRuehl" w:hAnsi="FrankRuehl" w:cs="FrankRuehl"/>
          <w:color w:val="000000"/>
          <w:sz w:val="28"/>
          <w:szCs w:val="28"/>
          <w:shd w:val="clear" w:color="auto" w:fill="FFFFFF"/>
          <w:rtl/>
        </w:rPr>
      </w:pPr>
      <w:r w:rsidRPr="004B419B">
        <w:rPr>
          <w:rFonts w:ascii="FrankRuehl" w:hAnsi="FrankRuehl" w:cs="FrankRuehl"/>
          <w:sz w:val="28"/>
          <w:szCs w:val="28"/>
          <w:shd w:val="clear" w:color="auto" w:fill="FFFFFF"/>
          <w:rtl/>
        </w:rPr>
        <w:t>ב</w:t>
      </w:r>
      <w:hyperlink r:id="rId29" w:history="1">
        <w:r w:rsidR="007D4DD1" w:rsidRPr="007D4DD1">
          <w:rPr>
            <w:rFonts w:ascii="FrankRuehl" w:hAnsi="FrankRuehl" w:cs="FrankRuehl"/>
            <w:color w:val="0000FF"/>
            <w:sz w:val="28"/>
            <w:szCs w:val="28"/>
            <w:u w:val="single"/>
            <w:shd w:val="clear" w:color="auto" w:fill="FFFFFF"/>
            <w:rtl/>
          </w:rPr>
          <w:t>ע"פ 3793/20</w:t>
        </w:r>
      </w:hyperlink>
      <w:r w:rsidRPr="004B419B">
        <w:rPr>
          <w:rFonts w:ascii="FrankRuehl" w:hAnsi="FrankRuehl" w:cs="FrankRuehl"/>
          <w:b/>
          <w:bCs/>
          <w:sz w:val="28"/>
          <w:szCs w:val="28"/>
          <w:rtl/>
        </w:rPr>
        <w:t xml:space="preserve"> מורייחי נ' מדינת ישראל</w:t>
      </w:r>
      <w:r w:rsidR="007D4DD1">
        <w:rPr>
          <w:rFonts w:ascii="FrankRuehl" w:hAnsi="FrankRuehl" w:cs="FrankRuehl"/>
          <w:b/>
          <w:bCs/>
          <w:sz w:val="28"/>
          <w:szCs w:val="28"/>
          <w:rtl/>
        </w:rPr>
        <w:t xml:space="preserve"> </w:t>
      </w:r>
      <w:r>
        <w:rPr>
          <w:rFonts w:ascii="FrankRuehl" w:hAnsi="FrankRuehl" w:cs="FrankRuehl"/>
          <w:sz w:val="28"/>
          <w:szCs w:val="28"/>
          <w:rtl/>
        </w:rPr>
        <w:t>(</w:t>
      </w:r>
      <w:r w:rsidRPr="004B419B">
        <w:rPr>
          <w:rFonts w:ascii="FrankRuehl" w:hAnsi="FrankRuehl" w:cs="FrankRuehl"/>
          <w:sz w:val="28"/>
          <w:szCs w:val="28"/>
          <w:rtl/>
        </w:rPr>
        <w:t>23.11.20)</w:t>
      </w:r>
      <w:r w:rsidR="007D4DD1">
        <w:rPr>
          <w:rFonts w:ascii="FrankRuehl" w:hAnsi="FrankRuehl" w:cs="FrankRuehl"/>
          <w:sz w:val="28"/>
          <w:szCs w:val="28"/>
          <w:rtl/>
        </w:rPr>
        <w:t xml:space="preserve"> </w:t>
      </w:r>
      <w:r w:rsidRPr="004B419B">
        <w:rPr>
          <w:rFonts w:ascii="FrankRuehl" w:hAnsi="FrankRuehl" w:cs="FrankRuehl"/>
          <w:sz w:val="28"/>
          <w:szCs w:val="28"/>
          <w:rtl/>
        </w:rPr>
        <w:t>אושר עונש של 30 חודשי מ</w:t>
      </w:r>
      <w:r>
        <w:rPr>
          <w:rFonts w:ascii="FrankRuehl" w:hAnsi="FrankRuehl" w:cs="FrankRuehl"/>
          <w:color w:val="000000"/>
          <w:sz w:val="28"/>
          <w:szCs w:val="28"/>
          <w:rtl/>
        </w:rPr>
        <w:t>אסר בגין הרשעה בעבירה אחת של ניסיון לעסקה אחרת בנשק;</w:t>
      </w:r>
      <w:r w:rsidR="007D4DD1">
        <w:rPr>
          <w:rFonts w:ascii="FrankRuehl" w:hAnsi="FrankRuehl" w:cs="FrankRuehl"/>
          <w:color w:val="000000"/>
          <w:sz w:val="28"/>
          <w:szCs w:val="28"/>
          <w:rtl/>
        </w:rPr>
        <w:t xml:space="preserve"> </w:t>
      </w:r>
    </w:p>
    <w:p w14:paraId="4F5FAEC2" w14:textId="77777777" w:rsidR="00E651E3" w:rsidRDefault="00E651E3" w:rsidP="00E651E3">
      <w:pPr>
        <w:pStyle w:val="a9"/>
        <w:numPr>
          <w:ilvl w:val="0"/>
          <w:numId w:val="1"/>
        </w:numPr>
        <w:spacing w:after="160" w:line="360" w:lineRule="auto"/>
        <w:jc w:val="both"/>
        <w:rPr>
          <w:rFonts w:ascii="FrankRuehl" w:hAnsi="FrankRuehl" w:cs="FrankRuehl"/>
          <w:color w:val="000000"/>
          <w:sz w:val="28"/>
          <w:szCs w:val="28"/>
          <w:rtl/>
        </w:rPr>
      </w:pPr>
      <w:r>
        <w:rPr>
          <w:rFonts w:ascii="FrankRuehl" w:hAnsi="FrankRuehl" w:cs="FrankRuehl"/>
          <w:color w:val="000000"/>
          <w:sz w:val="28"/>
          <w:szCs w:val="28"/>
          <w:shd w:val="clear" w:color="auto" w:fill="FFFFFF"/>
          <w:rtl/>
        </w:rPr>
        <w:t>ב</w:t>
      </w:r>
      <w:hyperlink r:id="rId30" w:history="1">
        <w:r w:rsidR="007D4DD1" w:rsidRPr="007D4DD1">
          <w:rPr>
            <w:rFonts w:ascii="FrankRuehl" w:hAnsi="FrankRuehl" w:cs="FrankRuehl"/>
            <w:color w:val="0000FF"/>
            <w:sz w:val="28"/>
            <w:szCs w:val="28"/>
            <w:u w:val="single"/>
            <w:rtl/>
          </w:rPr>
          <w:t>ע"פ 500/21</w:t>
        </w:r>
      </w:hyperlink>
      <w:r>
        <w:rPr>
          <w:rFonts w:ascii="FrankRuehl" w:hAnsi="FrankRuehl" w:cs="FrankRuehl"/>
          <w:b/>
          <w:bCs/>
          <w:color w:val="000000"/>
          <w:sz w:val="28"/>
          <w:szCs w:val="28"/>
          <w:rtl/>
        </w:rPr>
        <w:t xml:space="preserve"> פלוני נ' מדינת ישראל</w:t>
      </w:r>
      <w:r w:rsidR="007D4DD1">
        <w:rPr>
          <w:rFonts w:ascii="FrankRuehl" w:hAnsi="FrankRuehl" w:cs="FrankRuehl"/>
          <w:b/>
          <w:bCs/>
          <w:color w:val="000000"/>
          <w:sz w:val="28"/>
          <w:szCs w:val="28"/>
          <w:rtl/>
        </w:rPr>
        <w:t xml:space="preserve"> </w:t>
      </w:r>
      <w:r>
        <w:rPr>
          <w:rFonts w:ascii="FrankRuehl" w:hAnsi="FrankRuehl" w:cs="FrankRuehl"/>
          <w:color w:val="000000"/>
          <w:sz w:val="28"/>
          <w:szCs w:val="28"/>
          <w:rtl/>
        </w:rPr>
        <w:t>(31.</w:t>
      </w:r>
      <w:r>
        <w:rPr>
          <w:rFonts w:ascii="FrankRuehl" w:hAnsi="FrankRuehl" w:cs="FrankRuehl" w:hint="cs"/>
          <w:color w:val="000000"/>
          <w:sz w:val="28"/>
          <w:szCs w:val="28"/>
          <w:rtl/>
        </w:rPr>
        <w:t>0</w:t>
      </w:r>
      <w:r>
        <w:rPr>
          <w:rFonts w:ascii="FrankRuehl" w:hAnsi="FrankRuehl" w:cs="FrankRuehl"/>
          <w:color w:val="000000"/>
          <w:sz w:val="28"/>
          <w:szCs w:val="28"/>
          <w:rtl/>
        </w:rPr>
        <w:t xml:space="preserve">5.21), אושר עונש של 50 חודשים בגין שתי עבירות של סחר בנשק לסוכן משטרתי; </w:t>
      </w:r>
    </w:p>
    <w:p w14:paraId="24C01DD2" w14:textId="77777777" w:rsidR="00E651E3" w:rsidRDefault="00E651E3" w:rsidP="00E651E3">
      <w:pPr>
        <w:pStyle w:val="a9"/>
        <w:numPr>
          <w:ilvl w:val="0"/>
          <w:numId w:val="1"/>
        </w:numPr>
        <w:spacing w:after="160" w:line="360" w:lineRule="auto"/>
        <w:jc w:val="both"/>
        <w:rPr>
          <w:rFonts w:ascii="FrankRuehl" w:hAnsi="FrankRuehl" w:cs="FrankRuehl"/>
          <w:color w:val="000000"/>
          <w:sz w:val="28"/>
          <w:szCs w:val="28"/>
        </w:rPr>
      </w:pPr>
      <w:r>
        <w:rPr>
          <w:rFonts w:ascii="FrankRuehl" w:hAnsi="FrankRuehl" w:cs="FrankRuehl"/>
          <w:color w:val="000000"/>
          <w:sz w:val="28"/>
          <w:szCs w:val="28"/>
          <w:rtl/>
        </w:rPr>
        <w:t>ב</w:t>
      </w:r>
      <w:hyperlink r:id="rId31" w:history="1">
        <w:r w:rsidR="007D4DD1" w:rsidRPr="007D4DD1">
          <w:rPr>
            <w:rFonts w:ascii="FrankRuehl" w:hAnsi="FrankRuehl" w:cs="FrankRuehl"/>
            <w:color w:val="0000FF"/>
            <w:sz w:val="28"/>
            <w:szCs w:val="28"/>
            <w:u w:val="single"/>
            <w:rtl/>
          </w:rPr>
          <w:t>ת"פ (מחוזי-י-ם) 35608-04-18</w:t>
        </w:r>
      </w:hyperlink>
      <w:r w:rsidR="007D4DD1">
        <w:rPr>
          <w:rFonts w:ascii="FrankRuehl" w:hAnsi="FrankRuehl" w:cs="FrankRuehl"/>
          <w:color w:val="000000"/>
          <w:sz w:val="28"/>
          <w:szCs w:val="28"/>
          <w:rtl/>
        </w:rPr>
        <w:t xml:space="preserve"> </w:t>
      </w:r>
      <w:r>
        <w:rPr>
          <w:rFonts w:ascii="FrankRuehl" w:hAnsi="FrankRuehl" w:cs="FrankRuehl"/>
          <w:b/>
          <w:bCs/>
          <w:color w:val="000000"/>
          <w:sz w:val="28"/>
          <w:szCs w:val="28"/>
          <w:rtl/>
        </w:rPr>
        <w:t>מדינת ישראל נ' יזן קורד</w:t>
      </w:r>
      <w:r w:rsidR="007D4DD1">
        <w:rPr>
          <w:rFonts w:ascii="FrankRuehl" w:hAnsi="FrankRuehl" w:cs="FrankRuehl"/>
          <w:color w:val="000000"/>
          <w:sz w:val="28"/>
          <w:szCs w:val="28"/>
          <w:rtl/>
        </w:rPr>
        <w:t xml:space="preserve"> </w:t>
      </w:r>
      <w:r>
        <w:rPr>
          <w:rFonts w:ascii="FrankRuehl" w:hAnsi="FrankRuehl" w:cs="FrankRuehl"/>
          <w:color w:val="000000"/>
          <w:sz w:val="28"/>
          <w:szCs w:val="28"/>
          <w:rtl/>
        </w:rPr>
        <w:t>(28.</w:t>
      </w:r>
      <w:r>
        <w:rPr>
          <w:rFonts w:ascii="FrankRuehl" w:hAnsi="FrankRuehl" w:cs="FrankRuehl" w:hint="cs"/>
          <w:color w:val="000000"/>
          <w:sz w:val="28"/>
          <w:szCs w:val="28"/>
          <w:rtl/>
        </w:rPr>
        <w:t>0</w:t>
      </w:r>
      <w:r>
        <w:rPr>
          <w:rFonts w:ascii="FrankRuehl" w:hAnsi="FrankRuehl" w:cs="FrankRuehl"/>
          <w:color w:val="000000"/>
          <w:sz w:val="28"/>
          <w:szCs w:val="28"/>
          <w:rtl/>
        </w:rPr>
        <w:t xml:space="preserve">2.19) הוטלו על נאשם 34 חודשי מאסר בפועל, בגין עסקה לרכישת אקדח ועסקה לרכישת רובה </w:t>
      </w:r>
      <w:r w:rsidRPr="00E651E3">
        <w:rPr>
          <w:rFonts w:cs="Times New Roman"/>
          <w:sz w:val="22"/>
          <w:szCs w:val="22"/>
        </w:rPr>
        <w:t>M</w:t>
      </w:r>
      <w:r>
        <w:rPr>
          <w:rFonts w:ascii="FrankRuehl" w:hAnsi="FrankRuehl" w:cs="FrankRuehl"/>
          <w:sz w:val="28"/>
          <w:szCs w:val="28"/>
        </w:rPr>
        <w:t>16</w:t>
      </w:r>
      <w:r>
        <w:rPr>
          <w:rFonts w:ascii="FrankRuehl" w:hAnsi="FrankRuehl" w:cs="FrankRuehl"/>
          <w:sz w:val="28"/>
          <w:szCs w:val="28"/>
          <w:rtl/>
        </w:rPr>
        <w:t>.</w:t>
      </w:r>
      <w:r>
        <w:rPr>
          <w:rFonts w:ascii="FrankRuehl" w:hAnsi="FrankRuehl" w:cs="FrankRuehl"/>
          <w:color w:val="000000"/>
          <w:sz w:val="28"/>
          <w:szCs w:val="28"/>
          <w:rtl/>
        </w:rPr>
        <w:t xml:space="preserve"> באותו עניין נקבע כי המתחם עבור שתי העבירות נע משנתיים ועד שש שנות מאסר בפועל</w:t>
      </w:r>
      <w:r>
        <w:rPr>
          <w:rFonts w:ascii="FrankRuehl" w:hAnsi="FrankRuehl" w:cs="FrankRuehl" w:hint="cs"/>
          <w:color w:val="000000"/>
          <w:sz w:val="28"/>
          <w:szCs w:val="28"/>
          <w:rtl/>
        </w:rPr>
        <w:t>;</w:t>
      </w:r>
    </w:p>
    <w:p w14:paraId="7944D6DB" w14:textId="77777777" w:rsidR="00E651E3" w:rsidRDefault="00E651E3" w:rsidP="00E651E3">
      <w:pPr>
        <w:pStyle w:val="a9"/>
        <w:numPr>
          <w:ilvl w:val="0"/>
          <w:numId w:val="1"/>
        </w:numPr>
        <w:spacing w:after="160" w:line="360" w:lineRule="auto"/>
        <w:jc w:val="both"/>
        <w:rPr>
          <w:rFonts w:ascii="FrankRuehl" w:hAnsi="FrankRuehl" w:cs="FrankRuehl"/>
          <w:color w:val="000000"/>
          <w:sz w:val="28"/>
          <w:szCs w:val="28"/>
        </w:rPr>
      </w:pPr>
      <w:r>
        <w:rPr>
          <w:rFonts w:ascii="FrankRuehl" w:hAnsi="FrankRuehl" w:cs="FrankRuehl"/>
          <w:color w:val="000000"/>
          <w:sz w:val="28"/>
          <w:szCs w:val="28"/>
          <w:rtl/>
        </w:rPr>
        <w:t>ב</w:t>
      </w:r>
      <w:hyperlink r:id="rId32" w:history="1">
        <w:r w:rsidR="007D4DD1" w:rsidRPr="007D4DD1">
          <w:rPr>
            <w:rFonts w:ascii="FrankRuehl" w:hAnsi="FrankRuehl" w:cs="FrankRuehl"/>
            <w:color w:val="0000FF"/>
            <w:sz w:val="28"/>
            <w:szCs w:val="28"/>
            <w:u w:val="single"/>
            <w:rtl/>
          </w:rPr>
          <w:t>ע"פ 2834/18</w:t>
        </w:r>
      </w:hyperlink>
      <w:r>
        <w:rPr>
          <w:rFonts w:ascii="FrankRuehl" w:hAnsi="FrankRuehl" w:cs="FrankRuehl"/>
          <w:color w:val="000000"/>
          <w:sz w:val="28"/>
          <w:szCs w:val="28"/>
          <w:rtl/>
        </w:rPr>
        <w:t xml:space="preserve"> </w:t>
      </w:r>
      <w:r>
        <w:rPr>
          <w:rFonts w:ascii="FrankRuehl" w:hAnsi="FrankRuehl" w:cs="FrankRuehl"/>
          <w:b/>
          <w:bCs/>
          <w:color w:val="000000"/>
          <w:sz w:val="28"/>
          <w:szCs w:val="28"/>
          <w:rtl/>
        </w:rPr>
        <w:t>ג'אבר נ' מדינת ישראל</w:t>
      </w:r>
      <w:r>
        <w:rPr>
          <w:rFonts w:ascii="FrankRuehl" w:hAnsi="FrankRuehl" w:cs="FrankRuehl"/>
          <w:color w:val="000000"/>
          <w:sz w:val="28"/>
          <w:szCs w:val="28"/>
          <w:rtl/>
        </w:rPr>
        <w:t xml:space="preserve"> (15.01.19) אושר עונש של שבע שנות מאסר שהושת על מי שהורשע בשלוש עבירות של סחר בנשק, בעבירה של נשיאת נשק וסחר בסמים מול סוכן משטרתי</w:t>
      </w:r>
      <w:r>
        <w:rPr>
          <w:rFonts w:ascii="FrankRuehl" w:hAnsi="FrankRuehl" w:cs="FrankRuehl"/>
          <w:color w:val="000000"/>
          <w:sz w:val="28"/>
          <w:szCs w:val="28"/>
          <w:shd w:val="clear" w:color="auto" w:fill="FFFFFF"/>
          <w:rtl/>
        </w:rPr>
        <w:t xml:space="preserve">; </w:t>
      </w:r>
    </w:p>
    <w:p w14:paraId="60F37A08" w14:textId="77777777" w:rsidR="00E651E3" w:rsidRDefault="00E651E3" w:rsidP="00E651E3">
      <w:pPr>
        <w:pStyle w:val="a9"/>
        <w:numPr>
          <w:ilvl w:val="0"/>
          <w:numId w:val="1"/>
        </w:numPr>
        <w:spacing w:after="160" w:line="360" w:lineRule="auto"/>
        <w:jc w:val="both"/>
        <w:rPr>
          <w:rFonts w:ascii="FrankRuehl" w:hAnsi="FrankRuehl" w:cs="FrankRuehl"/>
          <w:color w:val="000000"/>
          <w:sz w:val="28"/>
          <w:szCs w:val="28"/>
        </w:rPr>
      </w:pPr>
      <w:r>
        <w:rPr>
          <w:rFonts w:ascii="FrankRuehl" w:hAnsi="FrankRuehl" w:cs="FrankRuehl"/>
          <w:color w:val="000000"/>
          <w:sz w:val="28"/>
          <w:szCs w:val="28"/>
          <w:rtl/>
        </w:rPr>
        <w:t>ב</w:t>
      </w:r>
      <w:hyperlink r:id="rId33" w:history="1">
        <w:r w:rsidR="007D4DD1" w:rsidRPr="007D4DD1">
          <w:rPr>
            <w:rFonts w:ascii="FrankRuehl" w:hAnsi="FrankRuehl" w:cs="FrankRuehl"/>
            <w:color w:val="0000FF"/>
            <w:sz w:val="28"/>
            <w:szCs w:val="28"/>
            <w:u w:val="single"/>
            <w:rtl/>
          </w:rPr>
          <w:t>ע"פ 1944/20</w:t>
        </w:r>
      </w:hyperlink>
      <w:r w:rsidR="007D4DD1">
        <w:rPr>
          <w:rFonts w:ascii="FrankRuehl" w:hAnsi="FrankRuehl" w:cs="FrankRuehl"/>
          <w:b/>
          <w:bCs/>
          <w:color w:val="000000"/>
          <w:sz w:val="28"/>
          <w:szCs w:val="28"/>
          <w:rtl/>
        </w:rPr>
        <w:t xml:space="preserve"> </w:t>
      </w:r>
      <w:r>
        <w:rPr>
          <w:rFonts w:ascii="FrankRuehl" w:hAnsi="FrankRuehl" w:cs="FrankRuehl"/>
          <w:b/>
          <w:bCs/>
          <w:color w:val="000000"/>
          <w:sz w:val="28"/>
          <w:szCs w:val="28"/>
          <w:rtl/>
        </w:rPr>
        <w:t>מדינת ישראל נ' אמארה</w:t>
      </w:r>
      <w:r w:rsidR="007D4DD1">
        <w:rPr>
          <w:rFonts w:ascii="FrankRuehl" w:hAnsi="FrankRuehl" w:cs="FrankRuehl"/>
          <w:b/>
          <w:bCs/>
          <w:color w:val="000000"/>
          <w:sz w:val="28"/>
          <w:szCs w:val="28"/>
          <w:rtl/>
        </w:rPr>
        <w:t xml:space="preserve"> </w:t>
      </w:r>
      <w:r>
        <w:rPr>
          <w:rFonts w:ascii="FrankRuehl" w:hAnsi="FrankRuehl" w:cs="FrankRuehl"/>
          <w:color w:val="000000"/>
          <w:sz w:val="28"/>
          <w:szCs w:val="28"/>
          <w:rtl/>
        </w:rPr>
        <w:t xml:space="preserve">(2.09.20) אושר עונש של 6 שנות מאסר בגין עבירות של סחר בנשק שלא כדין ועבירות החזקה ונשיאה; </w:t>
      </w:r>
    </w:p>
    <w:p w14:paraId="779D6317" w14:textId="77777777" w:rsidR="00E651E3" w:rsidRDefault="00E651E3" w:rsidP="00E651E3">
      <w:pPr>
        <w:pStyle w:val="a9"/>
        <w:numPr>
          <w:ilvl w:val="0"/>
          <w:numId w:val="1"/>
        </w:numPr>
        <w:spacing w:after="160" w:line="360" w:lineRule="auto"/>
        <w:jc w:val="both"/>
        <w:rPr>
          <w:rFonts w:ascii="FrankRuehl" w:hAnsi="FrankRuehl" w:cs="FrankRuehl"/>
          <w:color w:val="000000"/>
          <w:sz w:val="28"/>
          <w:szCs w:val="28"/>
        </w:rPr>
      </w:pPr>
      <w:r>
        <w:rPr>
          <w:rFonts w:ascii="FrankRuehl" w:hAnsi="FrankRuehl" w:cs="FrankRuehl"/>
          <w:color w:val="000000"/>
          <w:sz w:val="28"/>
          <w:szCs w:val="28"/>
          <w:rtl/>
        </w:rPr>
        <w:t>ב</w:t>
      </w:r>
      <w:hyperlink r:id="rId34" w:history="1">
        <w:r w:rsidR="007D4DD1" w:rsidRPr="007D4DD1">
          <w:rPr>
            <w:rFonts w:ascii="FrankRuehl" w:hAnsi="FrankRuehl" w:cs="FrankRuehl"/>
            <w:color w:val="0000FF"/>
            <w:sz w:val="28"/>
            <w:szCs w:val="28"/>
            <w:u w:val="single"/>
            <w:rtl/>
          </w:rPr>
          <w:t>ע"פ 4077/22</w:t>
        </w:r>
      </w:hyperlink>
      <w:r>
        <w:rPr>
          <w:rFonts w:ascii="FrankRuehl" w:hAnsi="FrankRuehl" w:cs="FrankRuehl"/>
          <w:color w:val="000000"/>
          <w:sz w:val="28"/>
          <w:szCs w:val="28"/>
          <w:rtl/>
        </w:rPr>
        <w:t xml:space="preserve"> </w:t>
      </w:r>
      <w:r>
        <w:rPr>
          <w:rFonts w:ascii="FrankRuehl" w:hAnsi="FrankRuehl" w:cs="FrankRuehl"/>
          <w:b/>
          <w:bCs/>
          <w:color w:val="000000"/>
          <w:sz w:val="28"/>
          <w:szCs w:val="28"/>
          <w:rtl/>
        </w:rPr>
        <w:t>פלוני נ' מדינת ישראל</w:t>
      </w:r>
      <w:r>
        <w:rPr>
          <w:rFonts w:ascii="FrankRuehl" w:hAnsi="FrankRuehl" w:cs="FrankRuehl"/>
          <w:color w:val="000000"/>
          <w:sz w:val="28"/>
          <w:szCs w:val="28"/>
          <w:rtl/>
        </w:rPr>
        <w:t xml:space="preserve"> (28.07.22) נדון נאשם שהורשע בשתי עבירות של סחר בנשק ובשתי עבירות של החזקת נשק ל-5 שנות מאסר. נאשם נוסף שהורשע בשתי עבירות של סחר בנשק ובשתי עבירות של החזקה נדון ל-36 חודשי מאסר. נאשם שהורשע בעבירה אחת של סחר בנשק ובעבירה אחת של החזקה נדון ל-30 חודשי מאסר. ונאשם שהורשע בעבירה אחת של סיוע לסחר ועבירה נוספת של החזקה נדון ל-19 חודשי מאסר. בית המשפט דחה את הערעורים של הנאשמים, לבד מהפחתת עונשו של הנאשם שנדון ל-5 שנים באופן שימי מעצרו יקוזזו ממאסרו, וקיבל את ערעור המדינה תוך החמרת העונשים ל-46 חודשים, 36 חודשים ו-25 חודשים בהתאמה. בית המשפט ציין כי מאסר בפועל לתקופה של 3 שנים בגין עבירות הקשורות לנשק התקפי מצוי ברף הנמוך של הענישה הראויה. </w:t>
      </w:r>
    </w:p>
    <w:p w14:paraId="6BEF4F8E" w14:textId="77777777" w:rsidR="00E651E3" w:rsidRDefault="00E651E3" w:rsidP="00E651E3">
      <w:pPr>
        <w:spacing w:line="360" w:lineRule="auto"/>
        <w:jc w:val="both"/>
        <w:rPr>
          <w:rFonts w:ascii="FrankRuehl" w:hAnsi="FrankRuehl" w:cs="FrankRuehl"/>
          <w:color w:val="000000"/>
          <w:sz w:val="28"/>
          <w:szCs w:val="28"/>
        </w:rPr>
      </w:pPr>
      <w:r>
        <w:rPr>
          <w:rFonts w:ascii="FrankRuehl" w:hAnsi="FrankRuehl" w:cs="FrankRuehl"/>
          <w:color w:val="000000"/>
          <w:sz w:val="28"/>
          <w:szCs w:val="28"/>
          <w:rtl/>
        </w:rPr>
        <w:t xml:space="preserve">וראו גם בת"פ (מחוזי-י-ם) 13177-04-21 </w:t>
      </w:r>
      <w:r>
        <w:rPr>
          <w:rFonts w:ascii="FrankRuehl" w:hAnsi="FrankRuehl" w:cs="FrankRuehl"/>
          <w:b/>
          <w:bCs/>
          <w:color w:val="000000"/>
          <w:sz w:val="28"/>
          <w:szCs w:val="28"/>
          <w:rtl/>
        </w:rPr>
        <w:t>מדינת ישראל נ' אלעתאיקה</w:t>
      </w:r>
      <w:r>
        <w:rPr>
          <w:rFonts w:ascii="FrankRuehl" w:hAnsi="FrankRuehl" w:cs="FrankRuehl"/>
          <w:color w:val="000000"/>
          <w:sz w:val="28"/>
          <w:szCs w:val="28"/>
          <w:rtl/>
        </w:rPr>
        <w:t xml:space="preserve"> (29.12.21) והפסיקה שפורטה שם.  </w:t>
      </w:r>
    </w:p>
    <w:p w14:paraId="56CBF17F" w14:textId="77777777" w:rsidR="00E651E3" w:rsidRDefault="00E651E3" w:rsidP="00E651E3">
      <w:pPr>
        <w:spacing w:line="360" w:lineRule="auto"/>
        <w:jc w:val="both"/>
        <w:rPr>
          <w:rFonts w:ascii="FrankRuehl" w:hAnsi="FrankRuehl" w:cs="FrankRuehl"/>
          <w:color w:val="000000"/>
          <w:sz w:val="28"/>
          <w:szCs w:val="28"/>
          <w:rtl/>
        </w:rPr>
      </w:pPr>
    </w:p>
    <w:p w14:paraId="68FC792A" w14:textId="77777777" w:rsidR="00E651E3" w:rsidRDefault="00E651E3" w:rsidP="00E651E3">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18.</w:t>
      </w:r>
      <w:r>
        <w:rPr>
          <w:rFonts w:ascii="FrankRuehl" w:hAnsi="FrankRuehl" w:cs="FrankRuehl" w:hint="cs"/>
          <w:color w:val="000000"/>
          <w:sz w:val="28"/>
          <w:szCs w:val="28"/>
          <w:rtl/>
        </w:rPr>
        <w:tab/>
      </w:r>
      <w:r>
        <w:rPr>
          <w:rFonts w:ascii="FrankRuehl" w:hAnsi="FrankRuehl" w:cs="FrankRuehl"/>
          <w:color w:val="000000"/>
          <w:sz w:val="28"/>
          <w:szCs w:val="28"/>
          <w:rtl/>
        </w:rPr>
        <w:t>יש לשים לב, כי כלל פסקי הדין הנזכרים ניתנו לנאשמים שביצעו עבירות עובר לתחולת תיקון 140 ל</w:t>
      </w:r>
      <w:hyperlink r:id="rId35" w:history="1">
        <w:r w:rsidR="007D4DD1" w:rsidRPr="007D4DD1">
          <w:rPr>
            <w:rFonts w:ascii="FrankRuehl" w:hAnsi="FrankRuehl" w:cs="FrankRuehl"/>
            <w:color w:val="0000FF"/>
            <w:sz w:val="28"/>
            <w:szCs w:val="28"/>
            <w:u w:val="single"/>
            <w:rtl/>
          </w:rPr>
          <w:t>חוק העונשין</w:t>
        </w:r>
      </w:hyperlink>
      <w:r>
        <w:rPr>
          <w:rFonts w:ascii="FrankRuehl" w:hAnsi="FrankRuehl" w:cs="FrankRuehl"/>
          <w:color w:val="000000"/>
          <w:sz w:val="28"/>
          <w:szCs w:val="28"/>
          <w:rtl/>
        </w:rPr>
        <w:t xml:space="preserve">, ועל אף שכאמור, בתי המשפט ציינו כי גם מקום בו תחולת התיקון אינה בתוקף, יש לפעול בהתאם למגמת ההחמרה, מכל מקום, משעה שהתיקון חל בעניינם של הנאשמים, יש לתת ביטוי נוסף להחמרה זו של המחוקק. </w:t>
      </w:r>
    </w:p>
    <w:p w14:paraId="38C12CE8" w14:textId="77777777" w:rsidR="00E651E3" w:rsidRDefault="00E651E3" w:rsidP="00E651E3">
      <w:pPr>
        <w:spacing w:line="360" w:lineRule="auto"/>
        <w:jc w:val="both"/>
        <w:rPr>
          <w:rFonts w:ascii="FrankRuehl" w:hAnsi="FrankRuehl" w:cs="FrankRuehl"/>
          <w:color w:val="000000"/>
          <w:sz w:val="28"/>
          <w:szCs w:val="28"/>
          <w:rtl/>
        </w:rPr>
      </w:pPr>
    </w:p>
    <w:p w14:paraId="65E4824B" w14:textId="77777777" w:rsidR="00E651E3" w:rsidRDefault="00E651E3" w:rsidP="00E651E3">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19.</w:t>
      </w:r>
      <w:r>
        <w:rPr>
          <w:rFonts w:ascii="FrankRuehl" w:hAnsi="FrankRuehl" w:cs="FrankRuehl" w:hint="cs"/>
          <w:color w:val="000000"/>
          <w:sz w:val="28"/>
          <w:szCs w:val="28"/>
          <w:rtl/>
        </w:rPr>
        <w:tab/>
      </w:r>
      <w:r>
        <w:rPr>
          <w:rFonts w:ascii="FrankRuehl" w:hAnsi="FrankRuehl" w:cs="FrankRuehl"/>
          <w:color w:val="000000"/>
          <w:sz w:val="28"/>
          <w:szCs w:val="28"/>
          <w:rtl/>
        </w:rPr>
        <w:t>הנה כי כן, החשש שהובע פעמים אין ספור, בפסקי הדין השונים, על כך שכלי הנשק בהם מבוצע סחר בלתי חוקי עלולים לשמש באירועים פליליים או ביטחוניים חמורים, התגשם בשימוש שבוצע בנשק שנמכר, מספר חודשים לאחר שנרכש על ידי המפגע סידאווי, לצורך פיגוע ירי בו נגרמה חבלה חמורה לחמישה בני אדם ופציעה לשניים נוספים.</w:t>
      </w:r>
      <w:r>
        <w:rPr>
          <w:rFonts w:ascii="FrankRuehl" w:hAnsi="FrankRuehl" w:cs="FrankRuehl" w:hint="cs"/>
          <w:color w:val="000000"/>
          <w:sz w:val="28"/>
          <w:szCs w:val="28"/>
          <w:rtl/>
        </w:rPr>
        <w:t xml:space="preserve"> הנאשמים טענו כי לא ידעו לאיזו מטרה נרכש האקדח, וברי כי אין ממש בטענה זו, שכן תכליתו של כלי זה ידועה לכל.</w:t>
      </w:r>
    </w:p>
    <w:p w14:paraId="0A675210" w14:textId="77777777" w:rsidR="00E651E3" w:rsidRDefault="00E651E3" w:rsidP="00E651E3">
      <w:pPr>
        <w:spacing w:line="360" w:lineRule="auto"/>
        <w:jc w:val="both"/>
        <w:rPr>
          <w:rFonts w:ascii="FrankRuehl" w:hAnsi="FrankRuehl" w:cs="FrankRuehl"/>
          <w:color w:val="000000"/>
          <w:sz w:val="28"/>
          <w:szCs w:val="28"/>
          <w:rtl/>
        </w:rPr>
      </w:pPr>
    </w:p>
    <w:p w14:paraId="38C3E8FC" w14:textId="77777777" w:rsidR="00E651E3" w:rsidRDefault="00E651E3" w:rsidP="00E651E3">
      <w:pPr>
        <w:spacing w:line="360" w:lineRule="auto"/>
        <w:jc w:val="both"/>
        <w:rPr>
          <w:rFonts w:ascii="FrankRuehl" w:hAnsi="FrankRuehl" w:cs="FrankRuehl"/>
          <w:color w:val="000000"/>
          <w:sz w:val="28"/>
          <w:szCs w:val="28"/>
          <w:rtl/>
        </w:rPr>
      </w:pPr>
      <w:r>
        <w:rPr>
          <w:rFonts w:ascii="FrankRuehl" w:hAnsi="FrankRuehl" w:cs="FrankRuehl"/>
          <w:color w:val="000000"/>
          <w:sz w:val="28"/>
          <w:szCs w:val="28"/>
          <w:rtl/>
        </w:rPr>
        <w:t>מכאן יש לקבוע את מתחם העונש ההולם ביחס לכל אחד מהנאשמים ואת עונשו בתוך המתחם.</w:t>
      </w:r>
    </w:p>
    <w:p w14:paraId="4ECDD5BA" w14:textId="77777777" w:rsidR="00E651E3" w:rsidRPr="00E47F54" w:rsidRDefault="00E651E3" w:rsidP="00E651E3">
      <w:pPr>
        <w:spacing w:line="360" w:lineRule="auto"/>
        <w:jc w:val="both"/>
        <w:rPr>
          <w:rFonts w:ascii="FrankRuehl" w:hAnsi="FrankRuehl" w:cs="FrankRuehl"/>
          <w:color w:val="000000"/>
          <w:sz w:val="28"/>
          <w:szCs w:val="28"/>
          <w:rtl/>
        </w:rPr>
      </w:pPr>
    </w:p>
    <w:p w14:paraId="498D13AA" w14:textId="77777777" w:rsidR="00E651E3" w:rsidRDefault="00E651E3" w:rsidP="00E651E3">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20.</w:t>
      </w:r>
      <w:r>
        <w:rPr>
          <w:rFonts w:ascii="FrankRuehl" w:hAnsi="FrankRuehl" w:cs="FrankRuehl" w:hint="cs"/>
          <w:color w:val="000000"/>
          <w:sz w:val="28"/>
          <w:szCs w:val="28"/>
          <w:rtl/>
        </w:rPr>
        <w:tab/>
      </w:r>
      <w:r w:rsidRPr="00E47F54">
        <w:rPr>
          <w:rFonts w:ascii="FrankRuehl" w:hAnsi="FrankRuehl" w:cs="FrankRuehl"/>
          <w:color w:val="000000"/>
          <w:sz w:val="28"/>
          <w:szCs w:val="28"/>
          <w:rtl/>
        </w:rPr>
        <w:t xml:space="preserve">נאשם 1 </w:t>
      </w:r>
      <w:r w:rsidRPr="00E47F54">
        <w:rPr>
          <w:rFonts w:ascii="FrankRuehl" w:hAnsi="FrankRuehl" w:cs="FrankRuehl" w:hint="cs"/>
          <w:color w:val="000000"/>
          <w:sz w:val="28"/>
          <w:szCs w:val="28"/>
          <w:rtl/>
        </w:rPr>
        <w:t xml:space="preserve">הוא אשר ממנו החל "מסעו" של האקדח, </w:t>
      </w:r>
      <w:r w:rsidRPr="00E47F54">
        <w:rPr>
          <w:rFonts w:ascii="FrankRuehl" w:hAnsi="FrankRuehl" w:cs="FrankRuehl"/>
          <w:color w:val="000000"/>
          <w:sz w:val="28"/>
          <w:szCs w:val="28"/>
          <w:rtl/>
        </w:rPr>
        <w:t>ששימש כעבור מספר חודשים לביצוע פיגוע ירי ופציעת שבעה יהודים</w:t>
      </w:r>
      <w:r w:rsidRPr="00E47F54">
        <w:rPr>
          <w:rFonts w:ascii="FrankRuehl" w:hAnsi="FrankRuehl" w:cs="FrankRuehl" w:hint="cs"/>
          <w:color w:val="000000"/>
          <w:sz w:val="28"/>
          <w:szCs w:val="28"/>
          <w:rtl/>
        </w:rPr>
        <w:t xml:space="preserve">, כשאך </w:t>
      </w:r>
      <w:r w:rsidRPr="00E47F54">
        <w:rPr>
          <w:rFonts w:ascii="FrankRuehl" w:hAnsi="FrankRuehl" w:cs="FrankRuehl"/>
          <w:color w:val="000000"/>
          <w:sz w:val="28"/>
          <w:szCs w:val="28"/>
          <w:rtl/>
        </w:rPr>
        <w:t xml:space="preserve">בנס </w:t>
      </w:r>
      <w:r w:rsidRPr="00E47F54">
        <w:rPr>
          <w:rFonts w:ascii="FrankRuehl" w:hAnsi="FrankRuehl" w:cs="FrankRuehl" w:hint="cs"/>
          <w:color w:val="000000"/>
          <w:sz w:val="28"/>
          <w:szCs w:val="28"/>
          <w:rtl/>
        </w:rPr>
        <w:t xml:space="preserve">תוצאות הירי </w:t>
      </w:r>
      <w:r w:rsidRPr="00E47F54">
        <w:rPr>
          <w:rFonts w:ascii="FrankRuehl" w:hAnsi="FrankRuehl" w:cs="FrankRuehl"/>
          <w:color w:val="000000"/>
          <w:sz w:val="28"/>
          <w:szCs w:val="28"/>
          <w:rtl/>
        </w:rPr>
        <w:t xml:space="preserve">לא </w:t>
      </w:r>
      <w:r w:rsidRPr="00E47F54">
        <w:rPr>
          <w:rFonts w:ascii="FrankRuehl" w:hAnsi="FrankRuehl" w:cs="FrankRuehl" w:hint="cs"/>
          <w:color w:val="000000"/>
          <w:sz w:val="28"/>
          <w:szCs w:val="28"/>
          <w:rtl/>
        </w:rPr>
        <w:t xml:space="preserve">היו </w:t>
      </w:r>
      <w:r w:rsidRPr="00E47F54">
        <w:rPr>
          <w:rFonts w:ascii="FrankRuehl" w:hAnsi="FrankRuehl" w:cs="FrankRuehl"/>
          <w:color w:val="000000"/>
          <w:sz w:val="28"/>
          <w:szCs w:val="28"/>
          <w:rtl/>
        </w:rPr>
        <w:t xml:space="preserve">קשות יותר. </w:t>
      </w:r>
      <w:r w:rsidRPr="00E47F54">
        <w:rPr>
          <w:rFonts w:ascii="FrankRuehl" w:hAnsi="FrankRuehl" w:cs="FrankRuehl" w:hint="cs"/>
          <w:color w:val="000000"/>
          <w:sz w:val="28"/>
          <w:szCs w:val="28"/>
          <w:rtl/>
        </w:rPr>
        <w:t xml:space="preserve">המחיר שקיבל נאשם 1 עבור האקדח והמחסניות מלמד על חלקו המשמעותי בעסקה. </w:t>
      </w:r>
      <w:r>
        <w:rPr>
          <w:rFonts w:ascii="FrankRuehl" w:hAnsi="FrankRuehl" w:cs="FrankRuehl" w:hint="cs"/>
          <w:color w:val="000000"/>
          <w:sz w:val="28"/>
          <w:szCs w:val="28"/>
          <w:rtl/>
        </w:rPr>
        <w:t>בשים לב למכלול הנסיבות ולפסיקה הנוהגת, לעונש הקבוע לצד עבירת הסחר והוראת תיקון 140 כי עונשו של המורשע בעבירה מעין זו לא יפחת מרבע העונש הקבוע לצדה, אני סבור כי מתחם העונש ההולם נע מ-40 ל-66 חודשי מאסר.</w:t>
      </w:r>
    </w:p>
    <w:p w14:paraId="44384B75" w14:textId="77777777" w:rsidR="00E651E3" w:rsidRPr="00E47F54" w:rsidRDefault="00E651E3" w:rsidP="00E651E3">
      <w:pPr>
        <w:spacing w:line="360" w:lineRule="auto"/>
        <w:jc w:val="both"/>
        <w:rPr>
          <w:rFonts w:ascii="FrankRuehl" w:hAnsi="FrankRuehl" w:cs="FrankRuehl"/>
          <w:color w:val="000000"/>
          <w:sz w:val="28"/>
          <w:szCs w:val="28"/>
          <w:rtl/>
        </w:rPr>
      </w:pPr>
    </w:p>
    <w:p w14:paraId="3EB39428" w14:textId="77777777" w:rsidR="00E651E3" w:rsidRDefault="00E651E3" w:rsidP="00E651E3">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21.</w:t>
      </w:r>
      <w:r>
        <w:rPr>
          <w:rFonts w:ascii="FrankRuehl" w:hAnsi="FrankRuehl" w:cs="FrankRuehl" w:hint="cs"/>
          <w:color w:val="000000"/>
          <w:sz w:val="28"/>
          <w:szCs w:val="28"/>
          <w:rtl/>
        </w:rPr>
        <w:tab/>
        <w:t>ה</w:t>
      </w:r>
      <w:r w:rsidRPr="00FB1304">
        <w:rPr>
          <w:rFonts w:ascii="FrankRuehl" w:hAnsi="FrankRuehl" w:cs="FrankRuehl" w:hint="cs"/>
          <w:color w:val="000000"/>
          <w:sz w:val="28"/>
          <w:szCs w:val="28"/>
          <w:rtl/>
        </w:rPr>
        <w:t xml:space="preserve">מעשה של </w:t>
      </w:r>
      <w:r w:rsidRPr="00FB1304">
        <w:rPr>
          <w:rFonts w:ascii="FrankRuehl" w:hAnsi="FrankRuehl" w:cs="FrankRuehl"/>
          <w:color w:val="000000"/>
          <w:sz w:val="28"/>
          <w:szCs w:val="28"/>
          <w:rtl/>
        </w:rPr>
        <w:t xml:space="preserve">נאשם 2 </w:t>
      </w:r>
      <w:r w:rsidRPr="00FB1304">
        <w:rPr>
          <w:rFonts w:ascii="FrankRuehl" w:hAnsi="FrankRuehl" w:cs="FrankRuehl" w:hint="cs"/>
          <w:color w:val="000000"/>
          <w:sz w:val="28"/>
          <w:szCs w:val="28"/>
          <w:rtl/>
        </w:rPr>
        <w:t xml:space="preserve">חמור מעט פחות, שכן הוא "אך" תיווך בעסקה וקיבל "דמי תיווך", אך גם הוא </w:t>
      </w:r>
      <w:r>
        <w:rPr>
          <w:rFonts w:ascii="FrankRuehl" w:hAnsi="FrankRuehl" w:cs="FrankRuehl" w:hint="cs"/>
          <w:color w:val="000000"/>
          <w:sz w:val="28"/>
          <w:szCs w:val="28"/>
          <w:rtl/>
        </w:rPr>
        <w:t xml:space="preserve">היה חלק בשרשרת שהובילה את האקדח לידיו של סידואויי שניסה לרצוח באמצעותו יהודים. סידאויי כאמור בכתב האישום, ידע היטב למי הוא פונה בתורו אחר נשק, ואכן, נאשם 2 לא אכזב ודאג לו לנשק. </w:t>
      </w:r>
      <w:r>
        <w:rPr>
          <w:rFonts w:ascii="FrankRuehl" w:hAnsi="FrankRuehl" w:cs="FrankRuehl"/>
          <w:color w:val="000000"/>
          <w:sz w:val="28"/>
          <w:szCs w:val="28"/>
          <w:rtl/>
        </w:rPr>
        <w:t>כבר נפסק</w:t>
      </w:r>
      <w:r>
        <w:rPr>
          <w:rFonts w:ascii="FrankRuehl" w:hAnsi="FrankRuehl" w:cs="FrankRuehl" w:hint="cs"/>
          <w:color w:val="000000"/>
          <w:sz w:val="28"/>
          <w:szCs w:val="28"/>
          <w:rtl/>
        </w:rPr>
        <w:t>,</w:t>
      </w:r>
      <w:r>
        <w:rPr>
          <w:rFonts w:ascii="FrankRuehl" w:hAnsi="FrankRuehl" w:cs="FrankRuehl"/>
          <w:color w:val="000000"/>
          <w:sz w:val="28"/>
          <w:szCs w:val="28"/>
          <w:rtl/>
        </w:rPr>
        <w:t xml:space="preserve"> כי נדרשת </w:t>
      </w:r>
      <w:r>
        <w:rPr>
          <w:rFonts w:ascii="FrankRuehl" w:hAnsi="FrankRuehl" w:cs="FrankRuehl"/>
          <w:sz w:val="28"/>
          <w:szCs w:val="28"/>
          <w:rtl/>
        </w:rPr>
        <w:t>ענישה מחמירה לכל חוליה בשרשרת של עבירת הסחר בנשק, ובכלל זה גם מי שתיווך בעסקה ותרם תרומה מכרעת לביצועה</w:t>
      </w:r>
      <w:r>
        <w:rPr>
          <w:rFonts w:ascii="FrankRuehl" w:hAnsi="FrankRuehl" w:cs="FrankRuehl" w:hint="cs"/>
          <w:sz w:val="28"/>
          <w:szCs w:val="28"/>
          <w:rtl/>
        </w:rPr>
        <w:t xml:space="preserve"> </w:t>
      </w:r>
      <w:r>
        <w:rPr>
          <w:rFonts w:ascii="FrankRuehl" w:hAnsi="FrankRuehl" w:cs="FrankRuehl"/>
          <w:color w:val="000000"/>
          <w:sz w:val="28"/>
          <w:szCs w:val="28"/>
          <w:rtl/>
        </w:rPr>
        <w:t xml:space="preserve">(ראו: </w:t>
      </w:r>
      <w:hyperlink r:id="rId36" w:history="1">
        <w:r w:rsidR="007D4DD1" w:rsidRPr="007D4DD1">
          <w:rPr>
            <w:rFonts w:ascii="FrankRuehl" w:hAnsi="FrankRuehl" w:cs="FrankRuehl"/>
            <w:color w:val="0000FF"/>
            <w:sz w:val="28"/>
            <w:szCs w:val="28"/>
            <w:u w:val="single"/>
            <w:rtl/>
          </w:rPr>
          <w:t>ע"פ 8045/17</w:t>
        </w:r>
      </w:hyperlink>
      <w:r>
        <w:rPr>
          <w:rFonts w:ascii="FrankRuehl" w:hAnsi="FrankRuehl" w:cs="FrankRuehl"/>
          <w:color w:val="000000"/>
          <w:sz w:val="28"/>
          <w:szCs w:val="28"/>
          <w:rtl/>
        </w:rPr>
        <w:t xml:space="preserve"> </w:t>
      </w:r>
      <w:r w:rsidRPr="004442F8">
        <w:rPr>
          <w:rFonts w:ascii="FrankRuehl" w:hAnsi="FrankRuehl" w:cs="FrankRuehl"/>
          <w:b/>
          <w:bCs/>
          <w:color w:val="000000"/>
          <w:sz w:val="28"/>
          <w:szCs w:val="28"/>
          <w:rtl/>
        </w:rPr>
        <w:t>בראנסי נ' מדינת ישראל</w:t>
      </w:r>
      <w:r>
        <w:rPr>
          <w:rFonts w:ascii="FrankRuehl" w:hAnsi="FrankRuehl" w:cs="FrankRuehl" w:hint="cs"/>
          <w:color w:val="000000"/>
          <w:sz w:val="28"/>
          <w:szCs w:val="28"/>
          <w:rtl/>
        </w:rPr>
        <w:t xml:space="preserve"> </w:t>
      </w:r>
      <w:r>
        <w:rPr>
          <w:rFonts w:ascii="FrankRuehl" w:hAnsi="FrankRuehl" w:cs="FrankRuehl"/>
          <w:color w:val="000000"/>
          <w:sz w:val="28"/>
          <w:szCs w:val="28"/>
          <w:rtl/>
        </w:rPr>
        <w:t xml:space="preserve">(16.08.18); </w:t>
      </w:r>
      <w:hyperlink r:id="rId37" w:history="1">
        <w:r w:rsidR="007D4DD1" w:rsidRPr="007D4DD1">
          <w:rPr>
            <w:rFonts w:ascii="FrankRuehl" w:hAnsi="FrankRuehl" w:cs="FrankRuehl"/>
            <w:color w:val="0000FF"/>
            <w:sz w:val="28"/>
            <w:szCs w:val="28"/>
            <w:u w:val="single"/>
            <w:rtl/>
          </w:rPr>
          <w:t>ע"פ 3793/20</w:t>
        </w:r>
      </w:hyperlink>
      <w:r>
        <w:rPr>
          <w:rFonts w:ascii="FrankRuehl" w:hAnsi="FrankRuehl" w:cs="FrankRuehl"/>
          <w:color w:val="000000"/>
          <w:sz w:val="28"/>
          <w:szCs w:val="28"/>
          <w:rtl/>
        </w:rPr>
        <w:t xml:space="preserve"> </w:t>
      </w:r>
      <w:r>
        <w:rPr>
          <w:rFonts w:ascii="FrankRuehl" w:hAnsi="FrankRuehl" w:cs="FrankRuehl" w:hint="cs"/>
          <w:color w:val="000000"/>
          <w:sz w:val="28"/>
          <w:szCs w:val="28"/>
          <w:rtl/>
        </w:rPr>
        <w:t xml:space="preserve">בעניין </w:t>
      </w:r>
      <w:r w:rsidRPr="004442F8">
        <w:rPr>
          <w:rFonts w:ascii="FrankRuehl" w:hAnsi="FrankRuehl" w:cs="FrankRuehl"/>
          <w:b/>
          <w:bCs/>
          <w:color w:val="000000"/>
          <w:sz w:val="28"/>
          <w:szCs w:val="28"/>
          <w:rtl/>
        </w:rPr>
        <w:t>מורייחי</w:t>
      </w:r>
      <w:r>
        <w:rPr>
          <w:rFonts w:ascii="FrankRuehl" w:hAnsi="FrankRuehl" w:cs="FrankRuehl"/>
          <w:color w:val="000000"/>
          <w:sz w:val="28"/>
          <w:szCs w:val="28"/>
          <w:rtl/>
        </w:rPr>
        <w:t xml:space="preserve">) וכך גם </w:t>
      </w:r>
      <w:r>
        <w:rPr>
          <w:rFonts w:ascii="FrankRuehl" w:hAnsi="FrankRuehl" w:cs="FrankRuehl" w:hint="cs"/>
          <w:color w:val="000000"/>
          <w:sz w:val="28"/>
          <w:szCs w:val="28"/>
          <w:rtl/>
        </w:rPr>
        <w:t xml:space="preserve">מורה </w:t>
      </w:r>
      <w:r>
        <w:rPr>
          <w:rFonts w:ascii="FrankRuehl" w:hAnsi="FrankRuehl" w:cs="FrankRuehl"/>
          <w:color w:val="000000"/>
          <w:sz w:val="28"/>
          <w:szCs w:val="28"/>
          <w:rtl/>
        </w:rPr>
        <w:t xml:space="preserve">לשון </w:t>
      </w:r>
      <w:hyperlink r:id="rId38" w:history="1">
        <w:r w:rsidR="00FE2815" w:rsidRPr="00FE2815">
          <w:rPr>
            <w:rStyle w:val="Hyperlink"/>
            <w:rFonts w:ascii="FrankRuehl" w:hAnsi="FrankRuehl" w:cs="FrankRuehl"/>
            <w:sz w:val="28"/>
            <w:szCs w:val="28"/>
            <w:rtl/>
          </w:rPr>
          <w:t>סעיף 144(ב2)</w:t>
        </w:r>
      </w:hyperlink>
      <w:r>
        <w:rPr>
          <w:rFonts w:ascii="FrankRuehl" w:hAnsi="FrankRuehl" w:cs="FrankRuehl"/>
          <w:color w:val="000000"/>
          <w:sz w:val="28"/>
          <w:szCs w:val="28"/>
          <w:rtl/>
        </w:rPr>
        <w:t xml:space="preserve"> לחוק </w:t>
      </w:r>
      <w:r>
        <w:rPr>
          <w:rFonts w:ascii="FrankRuehl" w:hAnsi="FrankRuehl" w:cs="FrankRuehl" w:hint="cs"/>
          <w:color w:val="000000"/>
          <w:sz w:val="28"/>
          <w:szCs w:val="28"/>
          <w:rtl/>
        </w:rPr>
        <w:t>שהנאשם הודה כי עבר על שנאסר בו. בשים לב למכלול הנסיבות ולפסיקה הנוהגת, לעונש הקבוע לצד עבירת הסחר והוראת תיקון 140 כי עונשו של המורשע בעבירה מעין זו לא יפחת מרבע העונש הקבוע לצדה, אני סבור כי מתחם העונש ההולם נע מ-32 ל-60 חודשי מאסר.</w:t>
      </w:r>
    </w:p>
    <w:p w14:paraId="0A479568" w14:textId="77777777" w:rsidR="00E651E3" w:rsidRDefault="00E651E3" w:rsidP="00E651E3">
      <w:pPr>
        <w:spacing w:line="360" w:lineRule="auto"/>
        <w:jc w:val="both"/>
        <w:rPr>
          <w:rFonts w:ascii="FrankRuehl" w:hAnsi="FrankRuehl" w:cs="FrankRuehl"/>
          <w:color w:val="000000"/>
          <w:sz w:val="28"/>
          <w:szCs w:val="28"/>
          <w:rtl/>
        </w:rPr>
      </w:pPr>
    </w:p>
    <w:p w14:paraId="773B6635" w14:textId="77777777" w:rsidR="00E651E3" w:rsidRDefault="00E651E3" w:rsidP="00E651E3">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22.</w:t>
      </w:r>
      <w:r>
        <w:rPr>
          <w:rFonts w:ascii="FrankRuehl" w:hAnsi="FrankRuehl" w:cs="FrankRuehl" w:hint="cs"/>
          <w:color w:val="000000"/>
          <w:sz w:val="28"/>
          <w:szCs w:val="28"/>
          <w:rtl/>
        </w:rPr>
        <w:tab/>
      </w:r>
      <w:r>
        <w:rPr>
          <w:rFonts w:ascii="FrankRuehl" w:hAnsi="FrankRuehl" w:cs="FrankRuehl"/>
          <w:color w:val="000000"/>
          <w:sz w:val="28"/>
          <w:szCs w:val="28"/>
          <w:rtl/>
        </w:rPr>
        <w:t>באשר לעונשו של נאשם 1 בתוך המתחם, יש ל</w:t>
      </w:r>
      <w:r>
        <w:rPr>
          <w:rFonts w:ascii="FrankRuehl" w:hAnsi="FrankRuehl" w:cs="FrankRuehl" w:hint="cs"/>
          <w:color w:val="000000"/>
          <w:sz w:val="28"/>
          <w:szCs w:val="28"/>
          <w:rtl/>
        </w:rPr>
        <w:t>זקוף לזכותו את הודאתו והבעת החרטה, ואת העובדה כי מדובר בעבירה ראשונה, ולקבוע את עונשו בתחתית המתחם.</w:t>
      </w:r>
    </w:p>
    <w:p w14:paraId="3CCCFEA2" w14:textId="77777777" w:rsidR="00E651E3" w:rsidRDefault="00E651E3" w:rsidP="00E651E3">
      <w:pPr>
        <w:spacing w:line="360" w:lineRule="auto"/>
        <w:jc w:val="both"/>
        <w:rPr>
          <w:rFonts w:ascii="FrankRuehl" w:hAnsi="FrankRuehl" w:cs="FrankRuehl"/>
          <w:color w:val="000000"/>
          <w:sz w:val="28"/>
          <w:szCs w:val="28"/>
          <w:rtl/>
        </w:rPr>
      </w:pPr>
    </w:p>
    <w:p w14:paraId="1F515E9A" w14:textId="77777777" w:rsidR="00E651E3" w:rsidRDefault="00E651E3" w:rsidP="00E651E3">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23.</w:t>
      </w:r>
      <w:r>
        <w:rPr>
          <w:rFonts w:ascii="FrankRuehl" w:hAnsi="FrankRuehl" w:cs="FrankRuehl" w:hint="cs"/>
          <w:color w:val="000000"/>
          <w:sz w:val="28"/>
          <w:szCs w:val="28"/>
          <w:rtl/>
        </w:rPr>
        <w:tab/>
        <w:t xml:space="preserve">באשר לעונשו של נאשם 2, גם הוא הודה במיוחס לו והביע חרטה על מעשיו, אך בניגוד לנאשם 1, לנאשם זה עבר פלילי בעבירות נשק, ואף עונש המאסר המותנה שהיה תלוי ועומד כנגדו לא הרתיע אותו מלשוב על מעשיו. בנסיבות אלו, קשה לקבל את בקשתו להקל בעונשו תוך התחשבות בבני משפחתו, שעה שהוא עצמו לא חש לכך. מה גם, שכאמור, לנסיבותיו האישיות של מי שמורשע בעבירות נשק יש לתת משקל מועט. את עונשו של נאשם 2 יש אפוא לגזור בחלק התחתון של המתחם אך לא בתחתיתו. גם לא נשמע כל טעם, ואין כל הצדקה לחפוף את עונש המאסר על תנאי שיש להפעיל לעונש שהושת עליו בהליך זה, ואך בשל כך שהמאשימה הסכימה לחפיפה של שני חודשים, לא אסטה מכך. </w:t>
      </w:r>
    </w:p>
    <w:p w14:paraId="0FA6F3F1" w14:textId="77777777" w:rsidR="00E651E3" w:rsidRDefault="00E651E3" w:rsidP="00E651E3">
      <w:pPr>
        <w:spacing w:line="360" w:lineRule="auto"/>
        <w:jc w:val="both"/>
        <w:rPr>
          <w:rFonts w:ascii="FrankRuehl" w:hAnsi="FrankRuehl" w:cs="FrankRuehl"/>
          <w:color w:val="000000"/>
          <w:sz w:val="28"/>
          <w:szCs w:val="28"/>
          <w:rtl/>
        </w:rPr>
      </w:pPr>
    </w:p>
    <w:p w14:paraId="12E92EA8" w14:textId="77777777" w:rsidR="00E651E3" w:rsidRDefault="00E651E3" w:rsidP="00E651E3">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24.</w:t>
      </w:r>
      <w:r>
        <w:rPr>
          <w:rFonts w:ascii="FrankRuehl" w:hAnsi="FrankRuehl" w:cs="FrankRuehl" w:hint="cs"/>
          <w:color w:val="000000"/>
          <w:sz w:val="28"/>
          <w:szCs w:val="28"/>
          <w:rtl/>
        </w:rPr>
        <w:tab/>
      </w:r>
      <w:r>
        <w:rPr>
          <w:rFonts w:ascii="FrankRuehl" w:hAnsi="FrankRuehl" w:cs="FrankRuehl"/>
          <w:color w:val="000000"/>
          <w:sz w:val="28"/>
          <w:szCs w:val="28"/>
          <w:rtl/>
        </w:rPr>
        <w:t>בסופו של יום</w:t>
      </w:r>
      <w:r>
        <w:rPr>
          <w:rFonts w:ascii="FrankRuehl" w:hAnsi="FrankRuehl" w:cs="FrankRuehl" w:hint="cs"/>
          <w:color w:val="000000"/>
          <w:sz w:val="28"/>
          <w:szCs w:val="28"/>
          <w:rtl/>
        </w:rPr>
        <w:t xml:space="preserve"> אפוא,</w:t>
      </w:r>
      <w:r>
        <w:rPr>
          <w:rFonts w:ascii="FrankRuehl" w:hAnsi="FrankRuehl" w:cs="FrankRuehl"/>
          <w:color w:val="000000"/>
          <w:sz w:val="28"/>
          <w:szCs w:val="28"/>
          <w:rtl/>
        </w:rPr>
        <w:t xml:space="preserve"> אני משית על הנאשמים את העונשים הבאים:</w:t>
      </w:r>
    </w:p>
    <w:p w14:paraId="16AFAF29" w14:textId="77777777" w:rsidR="00E651E3" w:rsidRPr="0054279A" w:rsidRDefault="00E651E3" w:rsidP="00E651E3">
      <w:pPr>
        <w:spacing w:line="360" w:lineRule="auto"/>
        <w:ind w:firstLine="360"/>
        <w:jc w:val="both"/>
        <w:rPr>
          <w:rFonts w:ascii="FrankRuehl" w:hAnsi="FrankRuehl" w:cs="FrankRuehl"/>
          <w:b/>
          <w:bCs/>
          <w:color w:val="000000"/>
          <w:sz w:val="28"/>
          <w:szCs w:val="28"/>
          <w:u w:val="single"/>
          <w:rtl/>
        </w:rPr>
      </w:pPr>
      <w:r w:rsidRPr="0054279A">
        <w:rPr>
          <w:rFonts w:ascii="FrankRuehl" w:hAnsi="FrankRuehl" w:cs="FrankRuehl"/>
          <w:b/>
          <w:bCs/>
          <w:color w:val="000000"/>
          <w:sz w:val="28"/>
          <w:szCs w:val="28"/>
          <w:u w:val="single"/>
          <w:rtl/>
        </w:rPr>
        <w:t>נאשם 1</w:t>
      </w:r>
      <w:r w:rsidRPr="0054279A">
        <w:rPr>
          <w:rFonts w:ascii="FrankRuehl" w:hAnsi="FrankRuehl" w:cs="FrankRuehl"/>
          <w:b/>
          <w:bCs/>
          <w:color w:val="000000"/>
          <w:sz w:val="28"/>
          <w:szCs w:val="28"/>
          <w:rtl/>
        </w:rPr>
        <w:t xml:space="preserve"> </w:t>
      </w:r>
      <w:r w:rsidRPr="0054279A">
        <w:rPr>
          <w:rFonts w:ascii="FrankRuehl" w:hAnsi="FrankRuehl" w:cs="FrankRuehl" w:hint="cs"/>
          <w:b/>
          <w:bCs/>
          <w:color w:val="000000"/>
          <w:sz w:val="28"/>
          <w:szCs w:val="28"/>
          <w:rtl/>
        </w:rPr>
        <w:t>-</w:t>
      </w:r>
      <w:r w:rsidRPr="0054279A">
        <w:rPr>
          <w:rFonts w:ascii="FrankRuehl" w:hAnsi="FrankRuehl" w:cs="FrankRuehl"/>
          <w:b/>
          <w:bCs/>
          <w:color w:val="000000"/>
          <w:sz w:val="28"/>
          <w:szCs w:val="28"/>
          <w:u w:val="single"/>
          <w:rtl/>
        </w:rPr>
        <w:t xml:space="preserve"> </w:t>
      </w:r>
    </w:p>
    <w:p w14:paraId="6CDF8059" w14:textId="77777777" w:rsidR="00E651E3" w:rsidRDefault="00E651E3" w:rsidP="00E651E3">
      <w:pPr>
        <w:pStyle w:val="a9"/>
        <w:numPr>
          <w:ilvl w:val="0"/>
          <w:numId w:val="2"/>
        </w:num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40</w:t>
      </w:r>
      <w:r>
        <w:rPr>
          <w:rFonts w:ascii="FrankRuehl" w:hAnsi="FrankRuehl" w:cs="FrankRuehl"/>
          <w:color w:val="000000"/>
          <w:sz w:val="28"/>
          <w:szCs w:val="28"/>
          <w:rtl/>
        </w:rPr>
        <w:t xml:space="preserve">  חודשי מאסר בפועל אשר יימנו מיום מעצרו 19.09.22.</w:t>
      </w:r>
    </w:p>
    <w:p w14:paraId="554BC8F9" w14:textId="77777777" w:rsidR="00E651E3" w:rsidRDefault="00E651E3" w:rsidP="00E651E3">
      <w:pPr>
        <w:pStyle w:val="a9"/>
        <w:numPr>
          <w:ilvl w:val="0"/>
          <w:numId w:val="2"/>
        </w:numPr>
        <w:spacing w:line="360" w:lineRule="auto"/>
        <w:jc w:val="both"/>
        <w:rPr>
          <w:rFonts w:ascii="FrankRuehl" w:hAnsi="FrankRuehl" w:cs="FrankRuehl"/>
          <w:sz w:val="28"/>
          <w:szCs w:val="28"/>
        </w:rPr>
      </w:pPr>
      <w:r>
        <w:rPr>
          <w:rFonts w:ascii="FrankRuehl" w:hAnsi="FrankRuehl" w:cs="FrankRuehl"/>
          <w:sz w:val="28"/>
          <w:szCs w:val="28"/>
          <w:rtl/>
        </w:rPr>
        <w:t>12 חודשי מאסר על תנאי אשר לא ירוצו אלא אם כן הנאשם יעבור בתוך שלוש שנים מיום שחרורו ממאסר עבירת נשק</w:t>
      </w:r>
      <w:r>
        <w:rPr>
          <w:rFonts w:ascii="FrankRuehl" w:hAnsi="FrankRuehl" w:cs="FrankRuehl" w:hint="cs"/>
          <w:sz w:val="28"/>
          <w:szCs w:val="28"/>
          <w:rtl/>
        </w:rPr>
        <w:t xml:space="preserve">. </w:t>
      </w:r>
    </w:p>
    <w:p w14:paraId="5769CF00" w14:textId="77777777" w:rsidR="00E651E3" w:rsidRDefault="00E651E3" w:rsidP="00E651E3">
      <w:pPr>
        <w:spacing w:line="360" w:lineRule="auto"/>
        <w:jc w:val="both"/>
        <w:rPr>
          <w:rFonts w:ascii="FrankRuehl" w:hAnsi="FrankRuehl" w:cs="FrankRuehl"/>
          <w:color w:val="000000"/>
          <w:sz w:val="28"/>
          <w:szCs w:val="28"/>
          <w:rtl/>
        </w:rPr>
      </w:pPr>
      <w:r>
        <w:rPr>
          <w:rFonts w:ascii="FrankRuehl" w:hAnsi="FrankRuehl" w:cs="FrankRuehl"/>
          <w:sz w:val="28"/>
          <w:szCs w:val="28"/>
          <w:rtl/>
        </w:rPr>
        <w:t xml:space="preserve">      </w:t>
      </w:r>
      <w:r>
        <w:rPr>
          <w:rFonts w:ascii="FrankRuehl" w:hAnsi="FrankRuehl" w:cs="FrankRuehl" w:hint="cs"/>
          <w:sz w:val="28"/>
          <w:szCs w:val="28"/>
          <w:rtl/>
        </w:rPr>
        <w:t>ג</w:t>
      </w:r>
      <w:r>
        <w:rPr>
          <w:rFonts w:ascii="FrankRuehl" w:hAnsi="FrankRuehl" w:cs="FrankRuehl"/>
          <w:sz w:val="28"/>
          <w:szCs w:val="28"/>
          <w:rtl/>
        </w:rPr>
        <w:t>.</w:t>
      </w:r>
      <w:r w:rsidR="007D4DD1">
        <w:rPr>
          <w:rFonts w:ascii="FrankRuehl" w:hAnsi="FrankRuehl" w:cs="FrankRuehl"/>
          <w:sz w:val="28"/>
          <w:szCs w:val="28"/>
          <w:rtl/>
        </w:rPr>
        <w:t xml:space="preserve"> </w:t>
      </w:r>
      <w:r>
        <w:rPr>
          <w:rFonts w:ascii="FrankRuehl" w:hAnsi="FrankRuehl" w:cs="FrankRuehl"/>
          <w:sz w:val="28"/>
          <w:szCs w:val="28"/>
          <w:rtl/>
        </w:rPr>
        <w:tab/>
        <w:t>קנס בסך</w:t>
      </w:r>
      <w:r>
        <w:rPr>
          <w:rFonts w:ascii="FrankRuehl" w:hAnsi="FrankRuehl" w:cs="FrankRuehl" w:hint="cs"/>
          <w:sz w:val="28"/>
          <w:szCs w:val="28"/>
          <w:rtl/>
        </w:rPr>
        <w:t xml:space="preserve"> 5,000 ₪ או 45 ימי מאסר תחתיו. הקנס ישולם עד ליום 1.01.24. </w:t>
      </w:r>
    </w:p>
    <w:p w14:paraId="113704FA" w14:textId="77777777" w:rsidR="00E651E3" w:rsidRDefault="00E651E3" w:rsidP="00E651E3">
      <w:pPr>
        <w:spacing w:line="360" w:lineRule="auto"/>
        <w:jc w:val="both"/>
        <w:rPr>
          <w:rFonts w:ascii="FrankRuehl" w:hAnsi="FrankRuehl" w:cs="FrankRuehl"/>
          <w:color w:val="000000"/>
          <w:sz w:val="28"/>
          <w:szCs w:val="28"/>
          <w:rtl/>
        </w:rPr>
      </w:pPr>
    </w:p>
    <w:p w14:paraId="06C6935C" w14:textId="77777777" w:rsidR="00E651E3" w:rsidRPr="00EA1F8D" w:rsidRDefault="00E651E3" w:rsidP="00E651E3">
      <w:pPr>
        <w:spacing w:line="360" w:lineRule="auto"/>
        <w:ind w:firstLine="360"/>
        <w:jc w:val="both"/>
        <w:rPr>
          <w:rFonts w:ascii="FrankRuehl" w:hAnsi="FrankRuehl" w:cs="FrankRuehl"/>
          <w:b/>
          <w:bCs/>
          <w:color w:val="000000"/>
          <w:sz w:val="28"/>
          <w:szCs w:val="28"/>
          <w:rtl/>
        </w:rPr>
      </w:pPr>
      <w:r w:rsidRPr="00EA1F8D">
        <w:rPr>
          <w:rFonts w:ascii="FrankRuehl" w:hAnsi="FrankRuehl" w:cs="FrankRuehl"/>
          <w:b/>
          <w:bCs/>
          <w:color w:val="000000"/>
          <w:sz w:val="28"/>
          <w:szCs w:val="28"/>
          <w:u w:val="single"/>
          <w:rtl/>
        </w:rPr>
        <w:t>נאשם 2</w:t>
      </w:r>
      <w:r w:rsidRPr="00EA1F8D">
        <w:rPr>
          <w:rFonts w:ascii="FrankRuehl" w:hAnsi="FrankRuehl" w:cs="FrankRuehl" w:hint="cs"/>
          <w:b/>
          <w:bCs/>
          <w:color w:val="000000"/>
          <w:sz w:val="28"/>
          <w:szCs w:val="28"/>
          <w:rtl/>
        </w:rPr>
        <w:t xml:space="preserve"> - </w:t>
      </w:r>
    </w:p>
    <w:p w14:paraId="0B0FEE2B" w14:textId="77777777" w:rsidR="00E651E3" w:rsidRDefault="00E651E3" w:rsidP="00E651E3">
      <w:pPr>
        <w:pStyle w:val="a9"/>
        <w:numPr>
          <w:ilvl w:val="0"/>
          <w:numId w:val="3"/>
        </w:num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40</w:t>
      </w:r>
      <w:r>
        <w:rPr>
          <w:rFonts w:ascii="FrankRuehl" w:hAnsi="FrankRuehl" w:cs="FrankRuehl"/>
          <w:color w:val="000000"/>
          <w:sz w:val="28"/>
          <w:szCs w:val="28"/>
          <w:rtl/>
        </w:rPr>
        <w:t xml:space="preserve"> חודשי מאסר בפועל אשר יימנו מיום מעצרו 30.08.22.</w:t>
      </w:r>
    </w:p>
    <w:p w14:paraId="7D308E81" w14:textId="77777777" w:rsidR="00E651E3" w:rsidRDefault="00E651E3" w:rsidP="00E651E3">
      <w:pPr>
        <w:pStyle w:val="a9"/>
        <w:numPr>
          <w:ilvl w:val="0"/>
          <w:numId w:val="3"/>
        </w:numPr>
        <w:spacing w:line="360" w:lineRule="auto"/>
        <w:jc w:val="both"/>
        <w:rPr>
          <w:rFonts w:ascii="FrankRuehl" w:hAnsi="FrankRuehl" w:cs="FrankRuehl"/>
          <w:color w:val="000000"/>
          <w:sz w:val="28"/>
          <w:szCs w:val="28"/>
        </w:rPr>
      </w:pPr>
      <w:r>
        <w:rPr>
          <w:rFonts w:ascii="FrankRuehl" w:hAnsi="FrankRuehl" w:cs="FrankRuehl"/>
          <w:color w:val="000000"/>
          <w:sz w:val="28"/>
          <w:szCs w:val="28"/>
          <w:rtl/>
        </w:rPr>
        <w:t>אני מפעיל את עונש המאסר על תנאי למשך 12 חודשים שהוטל על</w:t>
      </w:r>
      <w:r>
        <w:rPr>
          <w:rFonts w:ascii="FrankRuehl" w:hAnsi="FrankRuehl" w:cs="FrankRuehl" w:hint="cs"/>
          <w:color w:val="000000"/>
          <w:sz w:val="28"/>
          <w:szCs w:val="28"/>
          <w:rtl/>
        </w:rPr>
        <w:t xml:space="preserve"> נאשם 2</w:t>
      </w:r>
      <w:r>
        <w:rPr>
          <w:rFonts w:ascii="FrankRuehl" w:hAnsi="FrankRuehl" w:cs="FrankRuehl"/>
          <w:color w:val="000000"/>
          <w:sz w:val="28"/>
          <w:szCs w:val="28"/>
          <w:rtl/>
        </w:rPr>
        <w:t xml:space="preserve"> ב</w:t>
      </w:r>
      <w:hyperlink r:id="rId39" w:history="1">
        <w:r w:rsidR="007D4DD1" w:rsidRPr="007D4DD1">
          <w:rPr>
            <w:rFonts w:ascii="FrankRuehl" w:hAnsi="FrankRuehl" w:cs="FrankRuehl"/>
            <w:color w:val="0000FF"/>
            <w:sz w:val="28"/>
            <w:szCs w:val="28"/>
            <w:u w:val="single"/>
            <w:rtl/>
          </w:rPr>
          <w:t>ת"פ (מחוזי י-ם) 14593-04-20</w:t>
        </w:r>
      </w:hyperlink>
      <w:r>
        <w:rPr>
          <w:rFonts w:ascii="FrankRuehl" w:hAnsi="FrankRuehl" w:cs="FrankRuehl"/>
          <w:color w:val="000000"/>
          <w:sz w:val="28"/>
          <w:szCs w:val="28"/>
          <w:rtl/>
        </w:rPr>
        <w:t xml:space="preserve"> ביום 9.08.20. הנאשם יירצה </w:t>
      </w:r>
      <w:r>
        <w:rPr>
          <w:rFonts w:ascii="FrankRuehl" w:hAnsi="FrankRuehl" w:cs="FrankRuehl" w:hint="cs"/>
          <w:color w:val="000000"/>
          <w:sz w:val="28"/>
          <w:szCs w:val="28"/>
          <w:rtl/>
        </w:rPr>
        <w:t xml:space="preserve">10 חודשים מתוך עונש זה </w:t>
      </w:r>
      <w:r>
        <w:rPr>
          <w:rFonts w:ascii="FrankRuehl" w:hAnsi="FrankRuehl" w:cs="FrankRuehl"/>
          <w:color w:val="000000"/>
          <w:sz w:val="28"/>
          <w:szCs w:val="28"/>
          <w:rtl/>
        </w:rPr>
        <w:t>במצטבר לעונש המאסר שהושת עליו ב</w:t>
      </w:r>
      <w:r>
        <w:rPr>
          <w:rFonts w:ascii="FrankRuehl" w:hAnsi="FrankRuehl" w:cs="FrankRuehl" w:hint="cs"/>
          <w:color w:val="000000"/>
          <w:sz w:val="28"/>
          <w:szCs w:val="28"/>
          <w:rtl/>
        </w:rPr>
        <w:t xml:space="preserve">הליך זה, לעיל סעיף א, וחודשיים </w:t>
      </w:r>
      <w:r>
        <w:rPr>
          <w:rFonts w:ascii="FrankRuehl" w:hAnsi="FrankRuehl" w:cs="FrankRuehl"/>
          <w:color w:val="000000"/>
          <w:sz w:val="28"/>
          <w:szCs w:val="28"/>
          <w:rtl/>
        </w:rPr>
        <w:t>–</w:t>
      </w:r>
      <w:r>
        <w:rPr>
          <w:rFonts w:ascii="FrankRuehl" w:hAnsi="FrankRuehl" w:cs="FrankRuehl" w:hint="cs"/>
          <w:color w:val="000000"/>
          <w:sz w:val="28"/>
          <w:szCs w:val="28"/>
          <w:rtl/>
        </w:rPr>
        <w:t xml:space="preserve"> בחופף לעונש שהושת עליו בהליך זה. </w:t>
      </w:r>
      <w:r>
        <w:rPr>
          <w:rFonts w:ascii="FrankRuehl" w:hAnsi="FrankRuehl" w:cs="FrankRuehl"/>
          <w:color w:val="000000"/>
          <w:sz w:val="28"/>
          <w:szCs w:val="28"/>
          <w:rtl/>
        </w:rPr>
        <w:t xml:space="preserve">לאמור הוא ירצה </w:t>
      </w:r>
      <w:r>
        <w:rPr>
          <w:rFonts w:ascii="FrankRuehl" w:hAnsi="FrankRuehl" w:cs="FrankRuehl" w:hint="cs"/>
          <w:color w:val="000000"/>
          <w:sz w:val="28"/>
          <w:szCs w:val="28"/>
          <w:rtl/>
        </w:rPr>
        <w:t>50</w:t>
      </w:r>
      <w:r>
        <w:rPr>
          <w:rFonts w:ascii="FrankRuehl" w:hAnsi="FrankRuehl" w:cs="FrankRuehl"/>
          <w:color w:val="000000"/>
          <w:sz w:val="28"/>
          <w:szCs w:val="28"/>
          <w:rtl/>
        </w:rPr>
        <w:t xml:space="preserve"> חודשי מאסר בפועל אשר יימנו מיום מעצרו.</w:t>
      </w:r>
    </w:p>
    <w:p w14:paraId="4AD7F57B" w14:textId="77777777" w:rsidR="00E651E3" w:rsidRPr="00EA1F8D" w:rsidRDefault="00E651E3" w:rsidP="00E651E3">
      <w:pPr>
        <w:pStyle w:val="a9"/>
        <w:numPr>
          <w:ilvl w:val="0"/>
          <w:numId w:val="3"/>
        </w:numPr>
        <w:spacing w:line="360" w:lineRule="auto"/>
        <w:jc w:val="both"/>
        <w:rPr>
          <w:rFonts w:ascii="FrankRuehl" w:hAnsi="FrankRuehl" w:cs="FrankRuehl"/>
          <w:sz w:val="28"/>
          <w:szCs w:val="28"/>
        </w:rPr>
      </w:pPr>
      <w:r w:rsidRPr="00EA1F8D">
        <w:rPr>
          <w:rFonts w:ascii="FrankRuehl" w:hAnsi="FrankRuehl" w:cs="FrankRuehl"/>
          <w:sz w:val="28"/>
          <w:szCs w:val="28"/>
          <w:rtl/>
        </w:rPr>
        <w:t>12 חודשי מאסר על תנאי אשר לא ירוצו אלא אם כן הנאשם יעבור בתוך שלוש שנים מיום שחרורו ממאסר עבירת נשק</w:t>
      </w:r>
      <w:r w:rsidRPr="00EA1F8D">
        <w:rPr>
          <w:rFonts w:ascii="FrankRuehl" w:hAnsi="FrankRuehl" w:cs="FrankRuehl" w:hint="cs"/>
          <w:sz w:val="28"/>
          <w:szCs w:val="28"/>
          <w:rtl/>
        </w:rPr>
        <w:t xml:space="preserve">. </w:t>
      </w:r>
    </w:p>
    <w:p w14:paraId="59F14B05" w14:textId="77777777" w:rsidR="00E651E3" w:rsidRDefault="00E651E3" w:rsidP="00E651E3">
      <w:pPr>
        <w:pStyle w:val="a9"/>
        <w:numPr>
          <w:ilvl w:val="0"/>
          <w:numId w:val="3"/>
        </w:numPr>
        <w:spacing w:line="360" w:lineRule="auto"/>
        <w:jc w:val="both"/>
        <w:rPr>
          <w:rFonts w:ascii="FrankRuehl" w:hAnsi="FrankRuehl" w:cs="FrankRuehl"/>
          <w:color w:val="000000"/>
          <w:sz w:val="28"/>
          <w:szCs w:val="28"/>
          <w:rtl/>
        </w:rPr>
      </w:pPr>
      <w:r>
        <w:rPr>
          <w:rFonts w:ascii="FrankRuehl" w:hAnsi="FrankRuehl" w:cs="FrankRuehl"/>
          <w:color w:val="000000"/>
          <w:sz w:val="28"/>
          <w:szCs w:val="28"/>
          <w:rtl/>
        </w:rPr>
        <w:t>קנס בסך</w:t>
      </w:r>
      <w:r>
        <w:rPr>
          <w:rFonts w:ascii="FrankRuehl" w:hAnsi="FrankRuehl" w:cs="FrankRuehl" w:hint="cs"/>
          <w:color w:val="000000"/>
          <w:sz w:val="28"/>
          <w:szCs w:val="28"/>
          <w:rtl/>
        </w:rPr>
        <w:t xml:space="preserve"> 1,500 ₪ או 10 ימי מאסר תחתם. הקנס ישולם עד ליום 1.01.24. </w:t>
      </w:r>
    </w:p>
    <w:p w14:paraId="18D7E8C5" w14:textId="77777777" w:rsidR="00E651E3" w:rsidRPr="007D4DD1" w:rsidRDefault="007D4DD1" w:rsidP="00E651E3">
      <w:pPr>
        <w:spacing w:line="360" w:lineRule="auto"/>
        <w:jc w:val="both"/>
        <w:rPr>
          <w:rFonts w:ascii="FrankRuehl" w:hAnsi="FrankRuehl" w:cs="FrankRuehl"/>
          <w:color w:val="FFFFFF"/>
          <w:sz w:val="2"/>
          <w:szCs w:val="2"/>
          <w:rtl/>
        </w:rPr>
      </w:pPr>
      <w:r w:rsidRPr="007D4DD1">
        <w:rPr>
          <w:rFonts w:ascii="FrankRuehl" w:hAnsi="FrankRuehl" w:cs="FrankRuehl"/>
          <w:color w:val="FFFFFF"/>
          <w:sz w:val="2"/>
          <w:szCs w:val="2"/>
          <w:rtl/>
        </w:rPr>
        <w:t>5129371</w:t>
      </w:r>
    </w:p>
    <w:p w14:paraId="2E097AE6" w14:textId="77777777" w:rsidR="00E651E3" w:rsidRPr="00EA1F8D" w:rsidRDefault="007D4DD1" w:rsidP="00E651E3">
      <w:pPr>
        <w:spacing w:line="360" w:lineRule="auto"/>
        <w:jc w:val="both"/>
        <w:rPr>
          <w:rFonts w:ascii="FrankRuehl" w:hAnsi="FrankRuehl" w:cs="FrankRuehl"/>
          <w:sz w:val="28"/>
          <w:szCs w:val="28"/>
          <w:rtl/>
        </w:rPr>
      </w:pPr>
      <w:r w:rsidRPr="007D4DD1">
        <w:rPr>
          <w:rFonts w:ascii="FrankRuehl" w:hAnsi="FrankRuehl" w:cs="FrankRuehl"/>
          <w:color w:val="FFFFFF"/>
          <w:sz w:val="2"/>
          <w:szCs w:val="2"/>
          <w:rtl/>
        </w:rPr>
        <w:t>54678313</w:t>
      </w:r>
      <w:r w:rsidR="00E651E3" w:rsidRPr="00EA1F8D">
        <w:rPr>
          <w:rFonts w:ascii="FrankRuehl" w:hAnsi="FrankRuehl" w:cs="FrankRuehl" w:hint="cs"/>
          <w:sz w:val="28"/>
          <w:szCs w:val="28"/>
          <w:rtl/>
        </w:rPr>
        <w:t>זכות ערעור לבית המשפט העליון בתוך 45 יום מהיום</w:t>
      </w:r>
      <w:r w:rsidR="00E651E3">
        <w:rPr>
          <w:rFonts w:ascii="FrankRuehl" w:hAnsi="FrankRuehl" w:cs="FrankRuehl" w:hint="cs"/>
          <w:sz w:val="28"/>
          <w:szCs w:val="28"/>
          <w:rtl/>
        </w:rPr>
        <w:t>.</w:t>
      </w:r>
    </w:p>
    <w:p w14:paraId="3CBC9F46" w14:textId="77777777" w:rsidR="00E651E3" w:rsidRPr="00EA1F8D" w:rsidRDefault="00E651E3" w:rsidP="00E651E3">
      <w:pPr>
        <w:spacing w:line="360" w:lineRule="auto"/>
        <w:jc w:val="both"/>
        <w:rPr>
          <w:rFonts w:ascii="FrankRuehl" w:hAnsi="FrankRuehl" w:cs="FrankRuehl"/>
          <w:sz w:val="28"/>
          <w:szCs w:val="28"/>
        </w:rPr>
      </w:pPr>
    </w:p>
    <w:p w14:paraId="2B37127A" w14:textId="77777777" w:rsidR="00E651E3" w:rsidRPr="000F2247" w:rsidRDefault="007D4DD1" w:rsidP="00E651E3">
      <w:pPr>
        <w:spacing w:line="360" w:lineRule="auto"/>
        <w:jc w:val="both"/>
        <w:rPr>
          <w:rFonts w:ascii="Arial" w:hAnsi="Arial"/>
          <w:b/>
          <w:bCs/>
          <w:sz w:val="26"/>
          <w:szCs w:val="26"/>
          <w:rtl/>
        </w:rPr>
      </w:pPr>
      <w:bookmarkStart w:id="8" w:name="Nitan"/>
      <w:r>
        <w:rPr>
          <w:rFonts w:ascii="FrankRuehl" w:hAnsi="FrankRuehl" w:cs="FrankRuehl"/>
          <w:sz w:val="28"/>
          <w:szCs w:val="28"/>
          <w:rtl/>
        </w:rPr>
        <w:t xml:space="preserve">ניתן היום,  כ' אלול תשפ"ג, 06 ספטמבר 2023, במעמד המתייצבים. </w:t>
      </w:r>
      <w:bookmarkEnd w:id="8"/>
      <w:r w:rsidR="00E651E3">
        <w:rPr>
          <w:rFonts w:ascii="Arial" w:hAnsi="Arial"/>
          <w:b/>
          <w:bCs/>
          <w:sz w:val="26"/>
          <w:szCs w:val="26"/>
          <w:rtl/>
        </w:rPr>
        <w:tab/>
      </w:r>
      <w:r w:rsidR="00E651E3">
        <w:rPr>
          <w:rFonts w:ascii="Arial" w:hAnsi="Arial"/>
          <w:b/>
          <w:bCs/>
          <w:sz w:val="26"/>
          <w:szCs w:val="26"/>
          <w:rtl/>
        </w:rPr>
        <w:tab/>
      </w:r>
      <w:r w:rsidR="00E651E3">
        <w:rPr>
          <w:rFonts w:ascii="Arial" w:hAnsi="Arial"/>
          <w:b/>
          <w:bCs/>
          <w:sz w:val="26"/>
          <w:szCs w:val="26"/>
          <w:rtl/>
        </w:rPr>
        <w:tab/>
      </w:r>
      <w:r w:rsidR="00E651E3">
        <w:rPr>
          <w:rFonts w:ascii="Arial" w:hAnsi="Arial"/>
          <w:b/>
          <w:bCs/>
          <w:sz w:val="26"/>
          <w:szCs w:val="26"/>
          <w:rtl/>
        </w:rPr>
        <w:tab/>
      </w:r>
      <w:r w:rsidR="00E651E3">
        <w:rPr>
          <w:rFonts w:ascii="Arial" w:hAnsi="Arial"/>
          <w:b/>
          <w:bCs/>
          <w:sz w:val="26"/>
          <w:szCs w:val="26"/>
          <w:rtl/>
        </w:rPr>
        <w:tab/>
      </w:r>
      <w:r w:rsidR="00E651E3">
        <w:rPr>
          <w:rFonts w:ascii="Arial" w:hAnsi="Arial"/>
          <w:b/>
          <w:bCs/>
          <w:sz w:val="26"/>
          <w:szCs w:val="26"/>
          <w:rtl/>
        </w:rPr>
        <w:tab/>
      </w:r>
      <w:r w:rsidR="00E651E3">
        <w:rPr>
          <w:rFonts w:ascii="Arial" w:hAnsi="Arial"/>
          <w:b/>
          <w:bCs/>
          <w:sz w:val="26"/>
          <w:szCs w:val="26"/>
          <w:rtl/>
        </w:rPr>
        <w:tab/>
      </w:r>
      <w:r w:rsidR="00E651E3">
        <w:rPr>
          <w:rFonts w:ascii="Arial" w:hAnsi="Arial" w:hint="cs"/>
          <w:b/>
          <w:bCs/>
          <w:sz w:val="26"/>
          <w:szCs w:val="26"/>
          <w:rtl/>
        </w:rPr>
        <w:t xml:space="preserve">         </w:t>
      </w:r>
    </w:p>
    <w:p w14:paraId="7ACCA82F" w14:textId="77777777" w:rsidR="00E651E3" w:rsidRPr="000F2247" w:rsidRDefault="00E651E3" w:rsidP="007D4DD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85D196C" w14:textId="77777777" w:rsidR="00E651E3" w:rsidRPr="000F2247" w:rsidRDefault="00E651E3" w:rsidP="00E651E3">
      <w:pPr>
        <w:jc w:val="center"/>
        <w:rPr>
          <w:rFonts w:ascii="Arial" w:hAnsi="Arial"/>
          <w:b/>
          <w:bCs/>
          <w:sz w:val="26"/>
          <w:szCs w:val="26"/>
          <w:rtl/>
        </w:rPr>
      </w:pPr>
    </w:p>
    <w:p w14:paraId="46A511EF" w14:textId="77777777" w:rsidR="00443222" w:rsidRPr="007D4DD1" w:rsidRDefault="00443222" w:rsidP="007D4DD1">
      <w:pPr>
        <w:keepNext/>
        <w:rPr>
          <w:rFonts w:ascii="David" w:hAnsi="David"/>
          <w:color w:val="000000"/>
          <w:sz w:val="22"/>
          <w:szCs w:val="22"/>
          <w:rtl/>
        </w:rPr>
      </w:pPr>
    </w:p>
    <w:p w14:paraId="45ADE586" w14:textId="77777777" w:rsidR="007D4DD1" w:rsidRPr="007D4DD1" w:rsidRDefault="007D4DD1" w:rsidP="007D4DD1">
      <w:pPr>
        <w:keepNext/>
        <w:rPr>
          <w:rFonts w:ascii="David" w:hAnsi="David"/>
          <w:color w:val="000000"/>
          <w:sz w:val="22"/>
          <w:szCs w:val="22"/>
          <w:rtl/>
        </w:rPr>
      </w:pPr>
      <w:r w:rsidRPr="007D4DD1">
        <w:rPr>
          <w:rFonts w:ascii="David" w:hAnsi="David"/>
          <w:color w:val="000000"/>
          <w:sz w:val="22"/>
          <w:szCs w:val="22"/>
          <w:rtl/>
        </w:rPr>
        <w:t>אילן סלע 54678313</w:t>
      </w:r>
    </w:p>
    <w:p w14:paraId="3B4B2E81" w14:textId="77777777" w:rsidR="007D4DD1" w:rsidRDefault="007D4DD1" w:rsidP="007D4DD1">
      <w:r w:rsidRPr="007D4DD1">
        <w:rPr>
          <w:color w:val="000000"/>
          <w:rtl/>
        </w:rPr>
        <w:t>נוסח מסמך זה כפוף לשינויי ניסוח ועריכה</w:t>
      </w:r>
    </w:p>
    <w:p w14:paraId="4E43E91F" w14:textId="77777777" w:rsidR="007D4DD1" w:rsidRDefault="007D4DD1" w:rsidP="007D4DD1">
      <w:pPr>
        <w:rPr>
          <w:rtl/>
        </w:rPr>
      </w:pPr>
    </w:p>
    <w:p w14:paraId="1E53376F" w14:textId="77777777" w:rsidR="007D4DD1" w:rsidRDefault="007D4DD1" w:rsidP="007D4DD1">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798269BF" w14:textId="77777777" w:rsidR="007D4DD1" w:rsidRPr="007D4DD1" w:rsidRDefault="007D4DD1" w:rsidP="007D4DD1">
      <w:pPr>
        <w:jc w:val="center"/>
        <w:rPr>
          <w:color w:val="0000FF"/>
          <w:u w:val="single"/>
        </w:rPr>
      </w:pPr>
    </w:p>
    <w:sectPr w:rsidR="007D4DD1" w:rsidRPr="007D4DD1" w:rsidSect="007D4DD1">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34711" w14:textId="77777777" w:rsidR="00734FDF" w:rsidRDefault="00734FDF" w:rsidP="00CE1773">
      <w:r>
        <w:separator/>
      </w:r>
    </w:p>
  </w:endnote>
  <w:endnote w:type="continuationSeparator" w:id="0">
    <w:p w14:paraId="635D382E" w14:textId="77777777" w:rsidR="00734FDF" w:rsidRDefault="00734FDF" w:rsidP="00CE1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E12F4" w14:textId="77777777" w:rsidR="007D4DD1" w:rsidRDefault="007D4DD1" w:rsidP="007D4DD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B9F947" w14:textId="77777777" w:rsidR="001626F8" w:rsidRPr="007D4DD1" w:rsidRDefault="007D4DD1" w:rsidP="007D4DD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3C973" w14:textId="77777777" w:rsidR="007D4DD1" w:rsidRDefault="007D4DD1" w:rsidP="007D4DD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17890">
      <w:rPr>
        <w:rFonts w:ascii="FrankRuehl" w:hAnsi="FrankRuehl" w:cs="FrankRuehl"/>
        <w:noProof/>
        <w:rtl/>
      </w:rPr>
      <w:t>1</w:t>
    </w:r>
    <w:r>
      <w:rPr>
        <w:rFonts w:ascii="FrankRuehl" w:hAnsi="FrankRuehl" w:cs="FrankRuehl"/>
        <w:rtl/>
      </w:rPr>
      <w:fldChar w:fldCharType="end"/>
    </w:r>
  </w:p>
  <w:p w14:paraId="0444270F" w14:textId="77777777" w:rsidR="001626F8" w:rsidRPr="007D4DD1" w:rsidRDefault="007D4DD1" w:rsidP="007D4DD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C033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8147F" w14:textId="77777777" w:rsidR="00734FDF" w:rsidRDefault="00734FDF" w:rsidP="00CE1773">
      <w:r>
        <w:separator/>
      </w:r>
    </w:p>
  </w:footnote>
  <w:footnote w:type="continuationSeparator" w:id="0">
    <w:p w14:paraId="07D950D5" w14:textId="77777777" w:rsidR="00734FDF" w:rsidRDefault="00734FDF" w:rsidP="00CE1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8B2C4" w14:textId="77777777" w:rsidR="007D4DD1" w:rsidRPr="007D4DD1" w:rsidRDefault="007D4DD1" w:rsidP="007D4DD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53377-09-22</w:t>
    </w:r>
    <w:r>
      <w:rPr>
        <w:rFonts w:ascii="David" w:hAnsi="David"/>
        <w:color w:val="000000"/>
        <w:sz w:val="22"/>
        <w:szCs w:val="22"/>
        <w:rtl/>
      </w:rPr>
      <w:tab/>
      <w:t xml:space="preserve"> מדינת ישראל נ' ג'ברין עגלוני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CD39A" w14:textId="77777777" w:rsidR="007D4DD1" w:rsidRPr="007D4DD1" w:rsidRDefault="007D4DD1" w:rsidP="007D4DD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53377-09-22</w:t>
    </w:r>
    <w:r>
      <w:rPr>
        <w:rFonts w:ascii="David" w:hAnsi="David"/>
        <w:color w:val="000000"/>
        <w:sz w:val="22"/>
        <w:szCs w:val="22"/>
        <w:rtl/>
      </w:rPr>
      <w:tab/>
      <w:t xml:space="preserve"> מדינת ישראל נ' ג'ברין עגלוני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B07D4"/>
    <w:multiLevelType w:val="hybridMultilevel"/>
    <w:tmpl w:val="E7287CAC"/>
    <w:lvl w:ilvl="0" w:tplc="BFEAF1D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5B73DA1"/>
    <w:multiLevelType w:val="hybridMultilevel"/>
    <w:tmpl w:val="5A66934C"/>
    <w:lvl w:ilvl="0" w:tplc="30E66696">
      <w:start w:val="1"/>
      <w:numFmt w:val="hebrew1"/>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AF00E54"/>
    <w:multiLevelType w:val="hybridMultilevel"/>
    <w:tmpl w:val="73CE016C"/>
    <w:lvl w:ilvl="0" w:tplc="D6342F68">
      <w:start w:val="50"/>
      <w:numFmt w:val="bullet"/>
      <w:lvlText w:val=""/>
      <w:lvlJc w:val="left"/>
      <w:pPr>
        <w:ind w:left="720" w:hanging="360"/>
      </w:pPr>
      <w:rPr>
        <w:rFonts w:ascii="Symbol" w:eastAsia="Times New Roman" w:hAnsi="Symbol" w:cs="FrankRuehl" w:hint="default"/>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80863354">
    <w:abstractNumId w:val="2"/>
  </w:num>
  <w:num w:numId="2" w16cid:durableId="21085029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96648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651E3"/>
    <w:rsid w:val="0006781A"/>
    <w:rsid w:val="001626F8"/>
    <w:rsid w:val="00322869"/>
    <w:rsid w:val="003B016F"/>
    <w:rsid w:val="00405574"/>
    <w:rsid w:val="00443222"/>
    <w:rsid w:val="00485897"/>
    <w:rsid w:val="005966A0"/>
    <w:rsid w:val="006A4B19"/>
    <w:rsid w:val="00734FDF"/>
    <w:rsid w:val="007D4DD1"/>
    <w:rsid w:val="007F16E2"/>
    <w:rsid w:val="00817890"/>
    <w:rsid w:val="00916AE7"/>
    <w:rsid w:val="00CE1773"/>
    <w:rsid w:val="00CF6BE0"/>
    <w:rsid w:val="00E651E3"/>
    <w:rsid w:val="00FE28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A803BE"/>
  <w15:chartTrackingRefBased/>
  <w15:docId w15:val="{CB465B13-D981-457D-A131-A73DC568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51E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651E3"/>
    <w:pPr>
      <w:tabs>
        <w:tab w:val="center" w:pos="4153"/>
        <w:tab w:val="right" w:pos="8306"/>
      </w:tabs>
    </w:pPr>
  </w:style>
  <w:style w:type="character" w:customStyle="1" w:styleId="a4">
    <w:name w:val="כותרת עליונה תו"/>
    <w:link w:val="a3"/>
    <w:rsid w:val="00E651E3"/>
    <w:rPr>
      <w:rFonts w:ascii="Times New Roman" w:eastAsia="Times New Roman" w:hAnsi="Times New Roman" w:cs="David"/>
      <w:sz w:val="24"/>
      <w:szCs w:val="24"/>
    </w:rPr>
  </w:style>
  <w:style w:type="paragraph" w:styleId="a5">
    <w:name w:val="footer"/>
    <w:basedOn w:val="a"/>
    <w:link w:val="a6"/>
    <w:rsid w:val="00E651E3"/>
    <w:pPr>
      <w:tabs>
        <w:tab w:val="center" w:pos="4153"/>
        <w:tab w:val="right" w:pos="8306"/>
      </w:tabs>
    </w:pPr>
  </w:style>
  <w:style w:type="character" w:customStyle="1" w:styleId="a6">
    <w:name w:val="כותרת תחתונה תו"/>
    <w:link w:val="a5"/>
    <w:rsid w:val="00E651E3"/>
    <w:rPr>
      <w:rFonts w:ascii="Times New Roman" w:eastAsia="Times New Roman" w:hAnsi="Times New Roman" w:cs="David"/>
      <w:sz w:val="24"/>
      <w:szCs w:val="24"/>
    </w:rPr>
  </w:style>
  <w:style w:type="table" w:styleId="a7">
    <w:name w:val="Table Grid"/>
    <w:basedOn w:val="a1"/>
    <w:rsid w:val="00E651E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651E3"/>
  </w:style>
  <w:style w:type="paragraph" w:styleId="a9">
    <w:name w:val="List Paragraph"/>
    <w:basedOn w:val="a"/>
    <w:qFormat/>
    <w:rsid w:val="00E651E3"/>
    <w:pPr>
      <w:ind w:left="720"/>
      <w:contextualSpacing/>
    </w:pPr>
  </w:style>
  <w:style w:type="character" w:styleId="Hyperlink">
    <w:name w:val="Hyperlink"/>
    <w:rsid w:val="007D4D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case/27915710" TargetMode="External"/><Relationship Id="rId26" Type="http://schemas.openxmlformats.org/officeDocument/2006/relationships/hyperlink" Target="http://www.nevo.co.il/case/27445046" TargetMode="External"/><Relationship Id="rId39" Type="http://schemas.openxmlformats.org/officeDocument/2006/relationships/hyperlink" Target="http://www.nevo.co.il/case/26599030" TargetMode="External"/><Relationship Id="rId21" Type="http://schemas.openxmlformats.org/officeDocument/2006/relationships/hyperlink" Target="http://www.nevo.co.il/case/27513376" TargetMode="External"/><Relationship Id="rId34" Type="http://schemas.openxmlformats.org/officeDocument/2006/relationships/hyperlink" Target="http://www.nevo.co.il/case/28697227"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7665277" TargetMode="External"/><Relationship Id="rId29" Type="http://schemas.openxmlformats.org/officeDocument/2006/relationships/hyperlink" Target="http://www.nevo.co.il/case/267478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6630169" TargetMode="External"/><Relationship Id="rId32" Type="http://schemas.openxmlformats.org/officeDocument/2006/relationships/hyperlink" Target="http://www.nevo.co.il/case/23850993" TargetMode="External"/><Relationship Id="rId37" Type="http://schemas.openxmlformats.org/officeDocument/2006/relationships/hyperlink" Target="http://www.nevo.co.il/case/26747892"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7708542" TargetMode="External"/><Relationship Id="rId23" Type="http://schemas.openxmlformats.org/officeDocument/2006/relationships/hyperlink" Target="http://www.nevo.co.il/case/27925239" TargetMode="External"/><Relationship Id="rId28" Type="http://schemas.openxmlformats.org/officeDocument/2006/relationships/hyperlink" Target="http://www.nevo.co.il/case/26216601" TargetMode="External"/><Relationship Id="rId36" Type="http://schemas.openxmlformats.org/officeDocument/2006/relationships/hyperlink" Target="http://www.nevo.co.il/case/23750625" TargetMode="External"/><Relationship Id="rId10" Type="http://schemas.openxmlformats.org/officeDocument/2006/relationships/hyperlink" Target="http://www.nevo.co.il/law/70301/144.b2" TargetMode="External"/><Relationship Id="rId19" Type="http://schemas.openxmlformats.org/officeDocument/2006/relationships/hyperlink" Target="http://www.nevo.co.il/case/25824863" TargetMode="External"/><Relationship Id="rId31" Type="http://schemas.openxmlformats.org/officeDocument/2006/relationships/hyperlink" Target="http://www.nevo.co.il/case/23877165"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case/27567095" TargetMode="External"/><Relationship Id="rId22" Type="http://schemas.openxmlformats.org/officeDocument/2006/relationships/hyperlink" Target="http://www.nevo.co.il/case/27513376" TargetMode="External"/><Relationship Id="rId27" Type="http://schemas.openxmlformats.org/officeDocument/2006/relationships/hyperlink" Target="http://www.nevo.co.il/case/27925239" TargetMode="External"/><Relationship Id="rId30" Type="http://schemas.openxmlformats.org/officeDocument/2006/relationships/hyperlink" Target="http://www.nevo.co.il/case/27347604" TargetMode="External"/><Relationship Id="rId35" Type="http://schemas.openxmlformats.org/officeDocument/2006/relationships/hyperlink" Target="http://www.nevo.co.il/law/70301" TargetMode="External"/><Relationship Id="rId43" Type="http://schemas.openxmlformats.org/officeDocument/2006/relationships/footer" Target="footer1.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2956482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6538254" TargetMode="External"/><Relationship Id="rId38" Type="http://schemas.openxmlformats.org/officeDocument/2006/relationships/hyperlink" Target="http://www.nevo.co.il/law/70301/144.b2" TargetMode="External"/><Relationship Id="rId46" Type="http://schemas.openxmlformats.org/officeDocument/2006/relationships/theme" Target="theme/theme1.xml"/><Relationship Id="rId20" Type="http://schemas.openxmlformats.org/officeDocument/2006/relationships/hyperlink" Target="http://www.nevo.co.il/case/27567095"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2534</Words>
  <Characters>12670</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15174</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3997819</vt:i4>
      </vt:variant>
      <vt:variant>
        <vt:i4>96</vt:i4>
      </vt:variant>
      <vt:variant>
        <vt:i4>0</vt:i4>
      </vt:variant>
      <vt:variant>
        <vt:i4>5</vt:i4>
      </vt:variant>
      <vt:variant>
        <vt:lpwstr>http://www.nevo.co.il/case/26599030</vt:lpwstr>
      </vt:variant>
      <vt:variant>
        <vt:lpwstr/>
      </vt:variant>
      <vt:variant>
        <vt:i4>8192050</vt:i4>
      </vt:variant>
      <vt:variant>
        <vt:i4>93</vt:i4>
      </vt:variant>
      <vt:variant>
        <vt:i4>0</vt:i4>
      </vt:variant>
      <vt:variant>
        <vt:i4>5</vt:i4>
      </vt:variant>
      <vt:variant>
        <vt:lpwstr>http://www.nevo.co.il/law/70301/144.b2</vt:lpwstr>
      </vt:variant>
      <vt:variant>
        <vt:lpwstr/>
      </vt:variant>
      <vt:variant>
        <vt:i4>3866750</vt:i4>
      </vt:variant>
      <vt:variant>
        <vt:i4>90</vt:i4>
      </vt:variant>
      <vt:variant>
        <vt:i4>0</vt:i4>
      </vt:variant>
      <vt:variant>
        <vt:i4>5</vt:i4>
      </vt:variant>
      <vt:variant>
        <vt:lpwstr>http://www.nevo.co.il/case/26747892</vt:lpwstr>
      </vt:variant>
      <vt:variant>
        <vt:lpwstr/>
      </vt:variant>
      <vt:variant>
        <vt:i4>3604596</vt:i4>
      </vt:variant>
      <vt:variant>
        <vt:i4>87</vt:i4>
      </vt:variant>
      <vt:variant>
        <vt:i4>0</vt:i4>
      </vt:variant>
      <vt:variant>
        <vt:i4>5</vt:i4>
      </vt:variant>
      <vt:variant>
        <vt:lpwstr>http://www.nevo.co.il/case/23750625</vt:lpwstr>
      </vt:variant>
      <vt:variant>
        <vt:lpwstr/>
      </vt:variant>
      <vt:variant>
        <vt:i4>7995492</vt:i4>
      </vt:variant>
      <vt:variant>
        <vt:i4>84</vt:i4>
      </vt:variant>
      <vt:variant>
        <vt:i4>0</vt:i4>
      </vt:variant>
      <vt:variant>
        <vt:i4>5</vt:i4>
      </vt:variant>
      <vt:variant>
        <vt:lpwstr>http://www.nevo.co.il/law/70301</vt:lpwstr>
      </vt:variant>
      <vt:variant>
        <vt:lpwstr/>
      </vt:variant>
      <vt:variant>
        <vt:i4>3211383</vt:i4>
      </vt:variant>
      <vt:variant>
        <vt:i4>81</vt:i4>
      </vt:variant>
      <vt:variant>
        <vt:i4>0</vt:i4>
      </vt:variant>
      <vt:variant>
        <vt:i4>5</vt:i4>
      </vt:variant>
      <vt:variant>
        <vt:lpwstr>http://www.nevo.co.il/case/28697227</vt:lpwstr>
      </vt:variant>
      <vt:variant>
        <vt:lpwstr/>
      </vt:variant>
      <vt:variant>
        <vt:i4>3801203</vt:i4>
      </vt:variant>
      <vt:variant>
        <vt:i4>78</vt:i4>
      </vt:variant>
      <vt:variant>
        <vt:i4>0</vt:i4>
      </vt:variant>
      <vt:variant>
        <vt:i4>5</vt:i4>
      </vt:variant>
      <vt:variant>
        <vt:lpwstr>http://www.nevo.co.il/case/26538254</vt:lpwstr>
      </vt:variant>
      <vt:variant>
        <vt:lpwstr/>
      </vt:variant>
      <vt:variant>
        <vt:i4>3342459</vt:i4>
      </vt:variant>
      <vt:variant>
        <vt:i4>75</vt:i4>
      </vt:variant>
      <vt:variant>
        <vt:i4>0</vt:i4>
      </vt:variant>
      <vt:variant>
        <vt:i4>5</vt:i4>
      </vt:variant>
      <vt:variant>
        <vt:lpwstr>http://www.nevo.co.il/case/23850993</vt:lpwstr>
      </vt:variant>
      <vt:variant>
        <vt:lpwstr/>
      </vt:variant>
      <vt:variant>
        <vt:i4>3866737</vt:i4>
      </vt:variant>
      <vt:variant>
        <vt:i4>72</vt:i4>
      </vt:variant>
      <vt:variant>
        <vt:i4>0</vt:i4>
      </vt:variant>
      <vt:variant>
        <vt:i4>5</vt:i4>
      </vt:variant>
      <vt:variant>
        <vt:lpwstr>http://www.nevo.co.il/case/23877165</vt:lpwstr>
      </vt:variant>
      <vt:variant>
        <vt:lpwstr/>
      </vt:variant>
      <vt:variant>
        <vt:i4>3539057</vt:i4>
      </vt:variant>
      <vt:variant>
        <vt:i4>69</vt:i4>
      </vt:variant>
      <vt:variant>
        <vt:i4>0</vt:i4>
      </vt:variant>
      <vt:variant>
        <vt:i4>5</vt:i4>
      </vt:variant>
      <vt:variant>
        <vt:lpwstr>http://www.nevo.co.il/case/27347604</vt:lpwstr>
      </vt:variant>
      <vt:variant>
        <vt:lpwstr/>
      </vt:variant>
      <vt:variant>
        <vt:i4>3866750</vt:i4>
      </vt:variant>
      <vt:variant>
        <vt:i4>66</vt:i4>
      </vt:variant>
      <vt:variant>
        <vt:i4>0</vt:i4>
      </vt:variant>
      <vt:variant>
        <vt:i4>5</vt:i4>
      </vt:variant>
      <vt:variant>
        <vt:lpwstr>http://www.nevo.co.il/case/26747892</vt:lpwstr>
      </vt:variant>
      <vt:variant>
        <vt:lpwstr/>
      </vt:variant>
      <vt:variant>
        <vt:i4>3539061</vt:i4>
      </vt:variant>
      <vt:variant>
        <vt:i4>63</vt:i4>
      </vt:variant>
      <vt:variant>
        <vt:i4>0</vt:i4>
      </vt:variant>
      <vt:variant>
        <vt:i4>5</vt:i4>
      </vt:variant>
      <vt:variant>
        <vt:lpwstr>http://www.nevo.co.il/case/26216601</vt:lpwstr>
      </vt:variant>
      <vt:variant>
        <vt:lpwstr/>
      </vt:variant>
      <vt:variant>
        <vt:i4>3997811</vt:i4>
      </vt:variant>
      <vt:variant>
        <vt:i4>60</vt:i4>
      </vt:variant>
      <vt:variant>
        <vt:i4>0</vt:i4>
      </vt:variant>
      <vt:variant>
        <vt:i4>5</vt:i4>
      </vt:variant>
      <vt:variant>
        <vt:lpwstr>http://www.nevo.co.il/case/27925239</vt:lpwstr>
      </vt:variant>
      <vt:variant>
        <vt:lpwstr/>
      </vt:variant>
      <vt:variant>
        <vt:i4>3604599</vt:i4>
      </vt:variant>
      <vt:variant>
        <vt:i4>57</vt:i4>
      </vt:variant>
      <vt:variant>
        <vt:i4>0</vt:i4>
      </vt:variant>
      <vt:variant>
        <vt:i4>5</vt:i4>
      </vt:variant>
      <vt:variant>
        <vt:lpwstr>http://www.nevo.co.il/case/27445046</vt:lpwstr>
      </vt:variant>
      <vt:variant>
        <vt:lpwstr/>
      </vt:variant>
      <vt:variant>
        <vt:i4>7995492</vt:i4>
      </vt:variant>
      <vt:variant>
        <vt:i4>54</vt:i4>
      </vt:variant>
      <vt:variant>
        <vt:i4>0</vt:i4>
      </vt:variant>
      <vt:variant>
        <vt:i4>5</vt:i4>
      </vt:variant>
      <vt:variant>
        <vt:lpwstr>http://www.nevo.co.il/law/70301</vt:lpwstr>
      </vt:variant>
      <vt:variant>
        <vt:lpwstr/>
      </vt:variant>
      <vt:variant>
        <vt:i4>3276912</vt:i4>
      </vt:variant>
      <vt:variant>
        <vt:i4>51</vt:i4>
      </vt:variant>
      <vt:variant>
        <vt:i4>0</vt:i4>
      </vt:variant>
      <vt:variant>
        <vt:i4>5</vt:i4>
      </vt:variant>
      <vt:variant>
        <vt:lpwstr>http://www.nevo.co.il/case/26630169</vt:lpwstr>
      </vt:variant>
      <vt:variant>
        <vt:lpwstr/>
      </vt:variant>
      <vt:variant>
        <vt:i4>3997811</vt:i4>
      </vt:variant>
      <vt:variant>
        <vt:i4>48</vt:i4>
      </vt:variant>
      <vt:variant>
        <vt:i4>0</vt:i4>
      </vt:variant>
      <vt:variant>
        <vt:i4>5</vt:i4>
      </vt:variant>
      <vt:variant>
        <vt:lpwstr>http://www.nevo.co.il/case/27925239</vt:lpwstr>
      </vt:variant>
      <vt:variant>
        <vt:lpwstr/>
      </vt:variant>
      <vt:variant>
        <vt:i4>3342449</vt:i4>
      </vt:variant>
      <vt:variant>
        <vt:i4>45</vt:i4>
      </vt:variant>
      <vt:variant>
        <vt:i4>0</vt:i4>
      </vt:variant>
      <vt:variant>
        <vt:i4>5</vt:i4>
      </vt:variant>
      <vt:variant>
        <vt:lpwstr>http://www.nevo.co.il/case/27513376</vt:lpwstr>
      </vt:variant>
      <vt:variant>
        <vt:lpwstr/>
      </vt:variant>
      <vt:variant>
        <vt:i4>3342449</vt:i4>
      </vt:variant>
      <vt:variant>
        <vt:i4>42</vt:i4>
      </vt:variant>
      <vt:variant>
        <vt:i4>0</vt:i4>
      </vt:variant>
      <vt:variant>
        <vt:i4>5</vt:i4>
      </vt:variant>
      <vt:variant>
        <vt:lpwstr>http://www.nevo.co.il/case/27513376</vt:lpwstr>
      </vt:variant>
      <vt:variant>
        <vt:lpwstr/>
      </vt:variant>
      <vt:variant>
        <vt:i4>3735669</vt:i4>
      </vt:variant>
      <vt:variant>
        <vt:i4>39</vt:i4>
      </vt:variant>
      <vt:variant>
        <vt:i4>0</vt:i4>
      </vt:variant>
      <vt:variant>
        <vt:i4>5</vt:i4>
      </vt:variant>
      <vt:variant>
        <vt:lpwstr>http://www.nevo.co.il/case/27567095</vt:lpwstr>
      </vt:variant>
      <vt:variant>
        <vt:lpwstr/>
      </vt:variant>
      <vt:variant>
        <vt:i4>3670139</vt:i4>
      </vt:variant>
      <vt:variant>
        <vt:i4>36</vt:i4>
      </vt:variant>
      <vt:variant>
        <vt:i4>0</vt:i4>
      </vt:variant>
      <vt:variant>
        <vt:i4>5</vt:i4>
      </vt:variant>
      <vt:variant>
        <vt:lpwstr>http://www.nevo.co.il/case/25824863</vt:lpwstr>
      </vt:variant>
      <vt:variant>
        <vt:lpwstr/>
      </vt:variant>
      <vt:variant>
        <vt:i4>4128885</vt:i4>
      </vt:variant>
      <vt:variant>
        <vt:i4>33</vt:i4>
      </vt:variant>
      <vt:variant>
        <vt:i4>0</vt:i4>
      </vt:variant>
      <vt:variant>
        <vt:i4>5</vt:i4>
      </vt:variant>
      <vt:variant>
        <vt:lpwstr>http://www.nevo.co.il/case/27915710</vt:lpwstr>
      </vt:variant>
      <vt:variant>
        <vt:lpwstr/>
      </vt:variant>
      <vt:variant>
        <vt:i4>3211379</vt:i4>
      </vt:variant>
      <vt:variant>
        <vt:i4>30</vt:i4>
      </vt:variant>
      <vt:variant>
        <vt:i4>0</vt:i4>
      </vt:variant>
      <vt:variant>
        <vt:i4>5</vt:i4>
      </vt:variant>
      <vt:variant>
        <vt:lpwstr>http://www.nevo.co.il/case/29564821</vt:lpwstr>
      </vt:variant>
      <vt:variant>
        <vt:lpwstr/>
      </vt:variant>
      <vt:variant>
        <vt:i4>3539063</vt:i4>
      </vt:variant>
      <vt:variant>
        <vt:i4>27</vt:i4>
      </vt:variant>
      <vt:variant>
        <vt:i4>0</vt:i4>
      </vt:variant>
      <vt:variant>
        <vt:i4>5</vt:i4>
      </vt:variant>
      <vt:variant>
        <vt:lpwstr>http://www.nevo.co.il/case/27665277</vt:lpwstr>
      </vt:variant>
      <vt:variant>
        <vt:lpwstr/>
      </vt:variant>
      <vt:variant>
        <vt:i4>3735670</vt:i4>
      </vt:variant>
      <vt:variant>
        <vt:i4>24</vt:i4>
      </vt:variant>
      <vt:variant>
        <vt:i4>0</vt:i4>
      </vt:variant>
      <vt:variant>
        <vt:i4>5</vt:i4>
      </vt:variant>
      <vt:variant>
        <vt:lpwstr>http://www.nevo.co.il/case/27708542</vt:lpwstr>
      </vt:variant>
      <vt:variant>
        <vt:lpwstr/>
      </vt:variant>
      <vt:variant>
        <vt:i4>3735669</vt:i4>
      </vt:variant>
      <vt:variant>
        <vt:i4>21</vt:i4>
      </vt:variant>
      <vt:variant>
        <vt:i4>0</vt:i4>
      </vt:variant>
      <vt:variant>
        <vt:i4>5</vt:i4>
      </vt:variant>
      <vt:variant>
        <vt:lpwstr>http://www.nevo.co.il/case/27567095</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2025-04-25T10:56:00Z</dcterms:created>
  <dcterms:modified xsi:type="dcterms:W3CDTF">2025-04-25T10:56:00Z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53377</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ג'ברין עגלוני;בהא אלדין אבו תאיה</vt:lpwstr>
  </property>
  <property fmtid="{D5CDD505-2E9C-101B-9397-08002B2CF9AE}" pid="10" name="LAWYER">
    <vt:lpwstr>לאה צמל;אמיר קסנטיני;ראנם מזאל</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20230906</vt:lpwstr>
  </property>
  <property fmtid="{D5CDD505-2E9C-101B-9397-08002B2CF9AE}" pid="14" name="TYPE_N_DATE">
    <vt:lpwstr>39020230906</vt:lpwstr>
  </property>
  <property fmtid="{D5CDD505-2E9C-101B-9397-08002B2CF9AE}" pid="15" name="WORDNUMPAGES">
    <vt:lpwstr>9</vt:lpwstr>
  </property>
  <property fmtid="{D5CDD505-2E9C-101B-9397-08002B2CF9AE}" pid="16" name="TYPE_ABS_DATE">
    <vt:lpwstr>390020230906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27567095:2;27708542;27665277;29564821;27915710;25824863;27513376:2;27925239:2;26630169;27445046;26216601;26747892:2;27347604;23877165;23850993;26538254;28697227;23750625;26599030</vt:lpwstr>
  </property>
  <property fmtid="{D5CDD505-2E9C-101B-9397-08002B2CF9AE}" pid="36" name="LAWLISTTMP1">
    <vt:lpwstr>70301/144.b2:3;144.a</vt:lpwstr>
  </property>
</Properties>
</file>