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8098C" w:rsidRPr="007E1236" w14:paraId="65493C92" w14:textId="77777777" w:rsidTr="006A449B">
        <w:trPr>
          <w:trHeight w:hRule="exact" w:val="418"/>
          <w:jc w:val="center"/>
        </w:trPr>
        <w:tc>
          <w:tcPr>
            <w:tcW w:w="8721" w:type="dxa"/>
            <w:gridSpan w:val="2"/>
          </w:tcPr>
          <w:p w14:paraId="54BCAD17" w14:textId="77777777" w:rsidR="0018098C" w:rsidRPr="007E1236" w:rsidRDefault="0018098C" w:rsidP="00EE73E0">
            <w:pPr>
              <w:pStyle w:val="a3"/>
              <w:jc w:val="center"/>
              <w:rPr>
                <w:rFonts w:ascii="Tahoma" w:hAnsi="Tahoma" w:cs="Tahoma"/>
                <w:color w:val="000080"/>
                <w:rtl/>
              </w:rPr>
            </w:pPr>
            <w:bookmarkStart w:id="0" w:name="LastJudge"/>
            <w:r w:rsidRPr="007E1236">
              <w:rPr>
                <w:rFonts w:ascii="Tahoma" w:hAnsi="Tahoma" w:cs="Tahoma"/>
                <w:b/>
                <w:bCs/>
                <w:color w:val="000080"/>
                <w:rtl/>
              </w:rPr>
              <w:t>בית המשפט המחוזי בירושלים</w:t>
            </w:r>
          </w:p>
        </w:tc>
      </w:tr>
      <w:tr w:rsidR="0018098C" w:rsidRPr="007E1236" w14:paraId="424945A5" w14:textId="77777777" w:rsidTr="006A449B">
        <w:trPr>
          <w:trHeight w:val="287"/>
          <w:jc w:val="center"/>
        </w:trPr>
        <w:tc>
          <w:tcPr>
            <w:tcW w:w="5054" w:type="dxa"/>
          </w:tcPr>
          <w:p w14:paraId="45A5987C" w14:textId="77777777" w:rsidR="0018098C" w:rsidRPr="007E1236" w:rsidRDefault="0018098C" w:rsidP="00EE73E0">
            <w:pPr>
              <w:rPr>
                <w:rFonts w:cs="FrankRuehl"/>
                <w:sz w:val="28"/>
                <w:szCs w:val="28"/>
                <w:rtl/>
              </w:rPr>
            </w:pPr>
            <w:r w:rsidRPr="007E1236">
              <w:rPr>
                <w:rFonts w:cs="FrankRuehl"/>
                <w:sz w:val="28"/>
                <w:szCs w:val="28"/>
                <w:rtl/>
              </w:rPr>
              <w:t>ת"פ</w:t>
            </w:r>
            <w:r w:rsidRPr="007E1236">
              <w:rPr>
                <w:rFonts w:cs="FrankRuehl" w:hint="cs"/>
                <w:sz w:val="28"/>
                <w:szCs w:val="28"/>
                <w:rtl/>
              </w:rPr>
              <w:t xml:space="preserve"> </w:t>
            </w:r>
            <w:r w:rsidRPr="007E1236">
              <w:rPr>
                <w:rFonts w:cs="FrankRuehl"/>
                <w:sz w:val="28"/>
                <w:szCs w:val="28"/>
                <w:rtl/>
              </w:rPr>
              <w:t>16020-10-22</w:t>
            </w:r>
            <w:r w:rsidRPr="007E1236">
              <w:rPr>
                <w:rFonts w:cs="FrankRuehl" w:hint="cs"/>
                <w:sz w:val="28"/>
                <w:szCs w:val="28"/>
                <w:rtl/>
              </w:rPr>
              <w:t xml:space="preserve"> </w:t>
            </w:r>
            <w:r w:rsidRPr="007E1236">
              <w:rPr>
                <w:rFonts w:cs="FrankRuehl"/>
                <w:sz w:val="28"/>
                <w:szCs w:val="28"/>
                <w:rtl/>
              </w:rPr>
              <w:t>מדינת ישראל נ' מאלחי</w:t>
            </w:r>
            <w:r w:rsidRPr="007E1236">
              <w:rPr>
                <w:rFonts w:cs="FrankRuehl" w:hint="cs"/>
                <w:sz w:val="28"/>
                <w:szCs w:val="28"/>
                <w:rtl/>
              </w:rPr>
              <w:t xml:space="preserve"> </w:t>
            </w:r>
            <w:r w:rsidRPr="007E1236">
              <w:rPr>
                <w:rFonts w:cs="FrankRuehl"/>
                <w:sz w:val="28"/>
                <w:szCs w:val="28"/>
                <w:rtl/>
              </w:rPr>
              <w:t>(עציר)</w:t>
            </w:r>
          </w:p>
          <w:p w14:paraId="7CD7B904" w14:textId="77777777" w:rsidR="0018098C" w:rsidRPr="007E1236" w:rsidRDefault="0018098C" w:rsidP="00EE73E0">
            <w:pPr>
              <w:rPr>
                <w:rFonts w:cs="FrankRuehl"/>
                <w:rtl/>
              </w:rPr>
            </w:pPr>
          </w:p>
        </w:tc>
        <w:tc>
          <w:tcPr>
            <w:tcW w:w="3667" w:type="dxa"/>
          </w:tcPr>
          <w:p w14:paraId="7AE1C4D6" w14:textId="77777777" w:rsidR="0018098C" w:rsidRPr="007E1236" w:rsidRDefault="0018098C" w:rsidP="00EE73E0">
            <w:pPr>
              <w:pStyle w:val="a3"/>
              <w:jc w:val="right"/>
              <w:rPr>
                <w:rFonts w:cs="FrankRuehl"/>
                <w:sz w:val="28"/>
                <w:szCs w:val="28"/>
                <w:rtl/>
              </w:rPr>
            </w:pPr>
          </w:p>
        </w:tc>
      </w:tr>
    </w:tbl>
    <w:p w14:paraId="1001A72E" w14:textId="77777777" w:rsidR="0018098C" w:rsidRPr="007E1236" w:rsidRDefault="0018098C" w:rsidP="0018098C">
      <w:pPr>
        <w:pStyle w:val="a3"/>
        <w:rPr>
          <w:rtl/>
        </w:rPr>
      </w:pPr>
      <w:r w:rsidRPr="007E1236">
        <w:rPr>
          <w:rFonts w:hint="cs"/>
          <w:rtl/>
        </w:rPr>
        <w:t xml:space="preserve"> </w:t>
      </w:r>
    </w:p>
    <w:p w14:paraId="2A775A31" w14:textId="77777777" w:rsidR="0018098C" w:rsidRPr="007E1236" w:rsidRDefault="0018098C" w:rsidP="0018098C">
      <w:pPr>
        <w:rPr>
          <w:rtl/>
        </w:rPr>
      </w:pPr>
    </w:p>
    <w:p w14:paraId="3FCBD268" w14:textId="77777777" w:rsidR="0018098C" w:rsidRPr="007E1236" w:rsidRDefault="0018098C" w:rsidP="0018098C">
      <w:pPr>
        <w:rPr>
          <w:rtl/>
        </w:rPr>
      </w:pPr>
    </w:p>
    <w:tbl>
      <w:tblPr>
        <w:bidiVisual/>
        <w:tblW w:w="8802" w:type="dxa"/>
        <w:tblInd w:w="-28" w:type="dxa"/>
        <w:tblLook w:val="01E0" w:firstRow="1" w:lastRow="1" w:firstColumn="1" w:lastColumn="1" w:noHBand="0" w:noVBand="0"/>
      </w:tblPr>
      <w:tblGrid>
        <w:gridCol w:w="3697"/>
        <w:gridCol w:w="5105"/>
      </w:tblGrid>
      <w:tr w:rsidR="0018098C" w:rsidRPr="007E1236" w14:paraId="6C1339C9" w14:textId="77777777" w:rsidTr="0018098C">
        <w:tc>
          <w:tcPr>
            <w:tcW w:w="8802" w:type="dxa"/>
            <w:gridSpan w:val="2"/>
            <w:shd w:val="clear" w:color="auto" w:fill="auto"/>
          </w:tcPr>
          <w:p w14:paraId="0953BA00" w14:textId="77777777" w:rsidR="0018098C" w:rsidRPr="007E1236" w:rsidRDefault="0018098C" w:rsidP="0018098C">
            <w:pPr>
              <w:jc w:val="right"/>
              <w:rPr>
                <w:b/>
                <w:bCs/>
                <w:sz w:val="26"/>
                <w:szCs w:val="26"/>
                <w:rtl/>
              </w:rPr>
            </w:pPr>
            <w:r w:rsidRPr="007E1236">
              <w:rPr>
                <w:rFonts w:hint="cs"/>
                <w:b/>
                <w:bCs/>
                <w:sz w:val="26"/>
                <w:szCs w:val="26"/>
                <w:rtl/>
              </w:rPr>
              <w:t>6.8.2023</w:t>
            </w:r>
          </w:p>
        </w:tc>
      </w:tr>
      <w:tr w:rsidR="0018098C" w:rsidRPr="007E1236" w14:paraId="4BCDB3AB" w14:textId="77777777" w:rsidTr="0018098C">
        <w:tc>
          <w:tcPr>
            <w:tcW w:w="8802" w:type="dxa"/>
            <w:gridSpan w:val="2"/>
            <w:shd w:val="clear" w:color="auto" w:fill="auto"/>
          </w:tcPr>
          <w:p w14:paraId="389CBF2B" w14:textId="77777777" w:rsidR="0018098C" w:rsidRPr="007E1236" w:rsidRDefault="0018098C" w:rsidP="00EE73E0">
            <w:pPr>
              <w:rPr>
                <w:b/>
                <w:bCs/>
                <w:sz w:val="26"/>
                <w:szCs w:val="26"/>
                <w:rtl/>
              </w:rPr>
            </w:pPr>
            <w:r w:rsidRPr="007E1236">
              <w:rPr>
                <w:rFonts w:hint="cs"/>
                <w:b/>
                <w:bCs/>
                <w:sz w:val="26"/>
                <w:szCs w:val="26"/>
                <w:rtl/>
              </w:rPr>
              <w:t>לפני כבוד השופטת תמר בר-אשר</w:t>
            </w:r>
          </w:p>
          <w:p w14:paraId="705EA4DE" w14:textId="77777777" w:rsidR="0018098C" w:rsidRPr="007E1236" w:rsidRDefault="0018098C" w:rsidP="00EE73E0">
            <w:pPr>
              <w:rPr>
                <w:b/>
                <w:bCs/>
                <w:sz w:val="26"/>
                <w:szCs w:val="26"/>
                <w:rtl/>
              </w:rPr>
            </w:pPr>
          </w:p>
          <w:p w14:paraId="79E7C717" w14:textId="77777777" w:rsidR="0018098C" w:rsidRPr="007E1236" w:rsidRDefault="0018098C" w:rsidP="00EE73E0">
            <w:pPr>
              <w:rPr>
                <w:b/>
                <w:bCs/>
                <w:sz w:val="26"/>
                <w:szCs w:val="26"/>
                <w:rtl/>
              </w:rPr>
            </w:pPr>
          </w:p>
        </w:tc>
      </w:tr>
      <w:tr w:rsidR="0018098C" w:rsidRPr="007E1236" w14:paraId="3913B685" w14:textId="77777777" w:rsidTr="0018098C">
        <w:tc>
          <w:tcPr>
            <w:tcW w:w="3697" w:type="dxa"/>
            <w:shd w:val="clear" w:color="auto" w:fill="auto"/>
          </w:tcPr>
          <w:p w14:paraId="2D7279C5" w14:textId="77777777" w:rsidR="0018098C" w:rsidRPr="007E1236" w:rsidRDefault="0018098C" w:rsidP="00EE73E0">
            <w:pPr>
              <w:rPr>
                <w:b/>
                <w:bCs/>
                <w:sz w:val="26"/>
                <w:szCs w:val="26"/>
              </w:rPr>
            </w:pPr>
            <w:bookmarkStart w:id="1" w:name="FirstAppellant"/>
            <w:r w:rsidRPr="007E1236">
              <w:rPr>
                <w:rFonts w:hint="cs"/>
                <w:b/>
                <w:bCs/>
                <w:sz w:val="26"/>
                <w:szCs w:val="26"/>
                <w:rtl/>
              </w:rPr>
              <w:t>המאשימה</w:t>
            </w:r>
          </w:p>
        </w:tc>
        <w:tc>
          <w:tcPr>
            <w:tcW w:w="5105" w:type="dxa"/>
            <w:shd w:val="clear" w:color="auto" w:fill="auto"/>
          </w:tcPr>
          <w:p w14:paraId="1BB63B75" w14:textId="77777777" w:rsidR="0018098C" w:rsidRPr="007E1236" w:rsidRDefault="0018098C" w:rsidP="00EE73E0">
            <w:pPr>
              <w:rPr>
                <w:b/>
                <w:bCs/>
                <w:sz w:val="26"/>
                <w:szCs w:val="26"/>
                <w:rtl/>
              </w:rPr>
            </w:pPr>
            <w:r w:rsidRPr="007E1236">
              <w:rPr>
                <w:rFonts w:hint="cs"/>
                <w:b/>
                <w:bCs/>
                <w:sz w:val="26"/>
                <w:szCs w:val="26"/>
                <w:rtl/>
              </w:rPr>
              <w:t>מדינת ישראל</w:t>
            </w:r>
          </w:p>
        </w:tc>
      </w:tr>
      <w:bookmarkEnd w:id="1"/>
      <w:tr w:rsidR="0018098C" w:rsidRPr="007E1236" w14:paraId="04CF7198" w14:textId="77777777" w:rsidTr="0018098C">
        <w:tc>
          <w:tcPr>
            <w:tcW w:w="8802" w:type="dxa"/>
            <w:gridSpan w:val="2"/>
            <w:shd w:val="clear" w:color="auto" w:fill="auto"/>
          </w:tcPr>
          <w:p w14:paraId="444DDCF0" w14:textId="77777777" w:rsidR="0018098C" w:rsidRPr="007E1236" w:rsidRDefault="0018098C" w:rsidP="00EE73E0">
            <w:pPr>
              <w:rPr>
                <w:b/>
                <w:bCs/>
                <w:sz w:val="26"/>
                <w:szCs w:val="26"/>
                <w:rtl/>
              </w:rPr>
            </w:pPr>
          </w:p>
          <w:p w14:paraId="7A21CE1B" w14:textId="77777777" w:rsidR="0018098C" w:rsidRPr="007E1236" w:rsidRDefault="0018098C" w:rsidP="0018098C">
            <w:pPr>
              <w:jc w:val="center"/>
              <w:rPr>
                <w:b/>
                <w:bCs/>
                <w:sz w:val="26"/>
                <w:szCs w:val="26"/>
                <w:rtl/>
              </w:rPr>
            </w:pPr>
            <w:r w:rsidRPr="007E1236">
              <w:rPr>
                <w:rFonts w:hint="cs"/>
                <w:b/>
                <w:bCs/>
                <w:sz w:val="26"/>
                <w:szCs w:val="26"/>
                <w:rtl/>
              </w:rPr>
              <w:t>נגד</w:t>
            </w:r>
          </w:p>
          <w:p w14:paraId="7DECE9BA" w14:textId="77777777" w:rsidR="0018098C" w:rsidRPr="007E1236" w:rsidRDefault="0018098C" w:rsidP="00EE73E0">
            <w:pPr>
              <w:rPr>
                <w:b/>
                <w:bCs/>
                <w:sz w:val="26"/>
                <w:szCs w:val="26"/>
                <w:rtl/>
              </w:rPr>
            </w:pPr>
          </w:p>
        </w:tc>
      </w:tr>
      <w:tr w:rsidR="0018098C" w:rsidRPr="007E1236" w14:paraId="671DB973" w14:textId="77777777" w:rsidTr="0018098C">
        <w:tc>
          <w:tcPr>
            <w:tcW w:w="3697" w:type="dxa"/>
            <w:shd w:val="clear" w:color="auto" w:fill="auto"/>
          </w:tcPr>
          <w:p w14:paraId="254592C9" w14:textId="77777777" w:rsidR="0018098C" w:rsidRPr="007E1236" w:rsidRDefault="0018098C" w:rsidP="00EE73E0">
            <w:pPr>
              <w:rPr>
                <w:b/>
                <w:bCs/>
                <w:sz w:val="26"/>
                <w:szCs w:val="26"/>
              </w:rPr>
            </w:pPr>
            <w:r w:rsidRPr="007E1236">
              <w:rPr>
                <w:rFonts w:hint="cs"/>
                <w:b/>
                <w:bCs/>
                <w:sz w:val="26"/>
                <w:szCs w:val="26"/>
                <w:rtl/>
              </w:rPr>
              <w:t>הנאשם</w:t>
            </w:r>
          </w:p>
        </w:tc>
        <w:tc>
          <w:tcPr>
            <w:tcW w:w="5105" w:type="dxa"/>
            <w:shd w:val="clear" w:color="auto" w:fill="auto"/>
          </w:tcPr>
          <w:p w14:paraId="791CF631" w14:textId="77777777" w:rsidR="0018098C" w:rsidRPr="007E1236" w:rsidRDefault="0018098C" w:rsidP="00EE73E0">
            <w:pPr>
              <w:rPr>
                <w:b/>
                <w:bCs/>
                <w:sz w:val="26"/>
                <w:szCs w:val="26"/>
                <w:rtl/>
              </w:rPr>
            </w:pPr>
            <w:r w:rsidRPr="007E1236">
              <w:rPr>
                <w:rFonts w:hint="cs"/>
                <w:b/>
                <w:bCs/>
                <w:sz w:val="26"/>
                <w:szCs w:val="26"/>
                <w:rtl/>
              </w:rPr>
              <w:t>מחמד מאלחי (עציר)</w:t>
            </w:r>
          </w:p>
        </w:tc>
      </w:tr>
    </w:tbl>
    <w:p w14:paraId="7A605028" w14:textId="77777777" w:rsidR="0018098C" w:rsidRPr="007E1236" w:rsidRDefault="0018098C" w:rsidP="0018098C">
      <w:pPr>
        <w:rPr>
          <w:rtl/>
        </w:rPr>
      </w:pPr>
    </w:p>
    <w:p w14:paraId="5BF01780" w14:textId="77777777" w:rsidR="0018098C" w:rsidRPr="007E1236" w:rsidRDefault="0018098C" w:rsidP="0018098C">
      <w:pPr>
        <w:rPr>
          <w:rtl/>
        </w:rPr>
      </w:pPr>
    </w:p>
    <w:p w14:paraId="24C264D7" w14:textId="77777777" w:rsidR="0018098C" w:rsidRPr="007E1236" w:rsidRDefault="0018098C" w:rsidP="0018098C">
      <w:pPr>
        <w:rPr>
          <w:rtl/>
        </w:rPr>
      </w:pPr>
      <w:bookmarkStart w:id="2" w:name="FirstLawyer"/>
      <w:r w:rsidRPr="007E1236">
        <w:rPr>
          <w:rtl/>
        </w:rPr>
        <w:t>ב</w:t>
      </w:r>
      <w:r w:rsidRPr="007E1236">
        <w:rPr>
          <w:rFonts w:hint="cs"/>
          <w:rtl/>
        </w:rPr>
        <w:t>את-כ</w:t>
      </w:r>
      <w:bookmarkEnd w:id="2"/>
      <w:r w:rsidRPr="007E1236">
        <w:rPr>
          <w:rFonts w:hint="cs"/>
          <w:rtl/>
        </w:rPr>
        <w:t>וח המאשימה:</w:t>
      </w:r>
      <w:r w:rsidRPr="007E1236">
        <w:rPr>
          <w:rtl/>
        </w:rPr>
        <w:tab/>
        <w:t>עו"ד יעל ריצ'קר</w:t>
      </w:r>
      <w:r w:rsidRPr="007E1236">
        <w:rPr>
          <w:rFonts w:hint="cs"/>
          <w:rtl/>
        </w:rPr>
        <w:t xml:space="preserve"> (פרקליטות מחוז ירושלים (פלילי))</w:t>
      </w:r>
    </w:p>
    <w:p w14:paraId="50A34FB1" w14:textId="77777777" w:rsidR="0018098C" w:rsidRPr="007E1236" w:rsidRDefault="0018098C" w:rsidP="0018098C">
      <w:pPr>
        <w:rPr>
          <w:rtl/>
        </w:rPr>
      </w:pPr>
      <w:r w:rsidRPr="007E1236">
        <w:rPr>
          <w:rFonts w:hint="cs"/>
          <w:rtl/>
        </w:rPr>
        <w:t xml:space="preserve">בא-כוח </w:t>
      </w:r>
      <w:r w:rsidRPr="007E1236">
        <w:rPr>
          <w:rtl/>
        </w:rPr>
        <w:t>הנאשם</w:t>
      </w:r>
      <w:r w:rsidRPr="007E1236">
        <w:rPr>
          <w:rFonts w:hint="cs"/>
          <w:rtl/>
        </w:rPr>
        <w:t>:</w:t>
      </w:r>
      <w:r w:rsidRPr="007E1236">
        <w:rPr>
          <w:rtl/>
        </w:rPr>
        <w:tab/>
      </w:r>
      <w:r w:rsidRPr="007E1236">
        <w:rPr>
          <w:rtl/>
        </w:rPr>
        <w:tab/>
        <w:t>עו"ד עיסא מוחמדיה</w:t>
      </w:r>
    </w:p>
    <w:p w14:paraId="24350CFF" w14:textId="77777777" w:rsidR="0018098C" w:rsidRPr="007E1236" w:rsidRDefault="0018098C" w:rsidP="0018098C">
      <w:pPr>
        <w:rPr>
          <w:rtl/>
        </w:rPr>
      </w:pPr>
    </w:p>
    <w:p w14:paraId="2240685B" w14:textId="77777777" w:rsidR="006A449B" w:rsidRPr="007E1236" w:rsidRDefault="006A449B" w:rsidP="007E1236">
      <w:pPr>
        <w:spacing w:before="120" w:after="120" w:line="240" w:lineRule="exact"/>
        <w:ind w:left="283" w:hanging="283"/>
        <w:jc w:val="both"/>
        <w:rPr>
          <w:rFonts w:ascii="FrankRuehl" w:hAnsi="FrankRuehl" w:cs="FrankRuehl"/>
          <w:rtl/>
        </w:rPr>
      </w:pPr>
    </w:p>
    <w:p w14:paraId="1BF03D1C" w14:textId="77777777" w:rsidR="006A449B" w:rsidRPr="006A449B" w:rsidRDefault="006A449B" w:rsidP="006A449B">
      <w:pPr>
        <w:spacing w:before="120" w:after="120" w:line="240" w:lineRule="exact"/>
        <w:ind w:left="283" w:hanging="283"/>
        <w:jc w:val="both"/>
        <w:rPr>
          <w:rFonts w:ascii="FrankRuehl" w:hAnsi="FrankRuehl" w:cs="FrankRuehl"/>
          <w:rtl/>
        </w:rPr>
      </w:pPr>
    </w:p>
    <w:p w14:paraId="6A650AAD" w14:textId="77777777" w:rsidR="003C5DD6" w:rsidRPr="003C5DD6" w:rsidRDefault="003C5DD6" w:rsidP="003C5DD6">
      <w:pPr>
        <w:spacing w:before="120" w:after="120" w:line="240" w:lineRule="exact"/>
        <w:ind w:left="283" w:hanging="283"/>
        <w:jc w:val="both"/>
        <w:rPr>
          <w:rFonts w:ascii="FrankRuehl" w:hAnsi="FrankRuehl" w:cs="FrankRuehl"/>
          <w:rtl/>
        </w:rPr>
      </w:pPr>
    </w:p>
    <w:p w14:paraId="41576ED5" w14:textId="77777777" w:rsidR="00750246" w:rsidRDefault="00750246" w:rsidP="00750246">
      <w:pPr>
        <w:jc w:val="center"/>
        <w:rPr>
          <w:rFonts w:ascii="David" w:hAnsi="David"/>
          <w:sz w:val="28"/>
          <w:szCs w:val="28"/>
          <w:rtl/>
        </w:rPr>
      </w:pPr>
      <w:bookmarkStart w:id="3" w:name="LawTable"/>
      <w:bookmarkEnd w:id="3"/>
    </w:p>
    <w:p w14:paraId="5243AF01" w14:textId="77777777" w:rsidR="00750246" w:rsidRPr="00750246" w:rsidRDefault="00750246" w:rsidP="00750246">
      <w:pPr>
        <w:spacing w:before="120" w:after="120" w:line="240" w:lineRule="exact"/>
        <w:ind w:left="283" w:hanging="283"/>
        <w:jc w:val="both"/>
        <w:rPr>
          <w:rFonts w:ascii="FrankRuehl" w:hAnsi="FrankRuehl" w:cs="FrankRuehl"/>
          <w:rtl/>
        </w:rPr>
      </w:pPr>
    </w:p>
    <w:p w14:paraId="099D9A19" w14:textId="77777777" w:rsidR="00750246" w:rsidRPr="00750246" w:rsidRDefault="00750246" w:rsidP="00750246">
      <w:pPr>
        <w:spacing w:before="120" w:after="120" w:line="240" w:lineRule="exact"/>
        <w:ind w:left="283" w:hanging="283"/>
        <w:jc w:val="both"/>
        <w:rPr>
          <w:rFonts w:ascii="FrankRuehl" w:hAnsi="FrankRuehl" w:cs="FrankRuehl"/>
          <w:rtl/>
        </w:rPr>
      </w:pPr>
    </w:p>
    <w:p w14:paraId="7E2D77A9" w14:textId="77777777" w:rsidR="00750246" w:rsidRPr="00750246" w:rsidRDefault="00750246" w:rsidP="00750246">
      <w:pPr>
        <w:spacing w:before="120" w:after="120" w:line="240" w:lineRule="exact"/>
        <w:ind w:left="283" w:hanging="283"/>
        <w:jc w:val="both"/>
        <w:rPr>
          <w:rFonts w:ascii="FrankRuehl" w:hAnsi="FrankRuehl" w:cs="FrankRuehl"/>
          <w:rtl/>
        </w:rPr>
      </w:pPr>
      <w:r w:rsidRPr="00750246">
        <w:rPr>
          <w:rFonts w:ascii="FrankRuehl" w:hAnsi="FrankRuehl" w:cs="FrankRuehl"/>
          <w:rtl/>
        </w:rPr>
        <w:t xml:space="preserve">חקיקה שאוזכרה: </w:t>
      </w:r>
    </w:p>
    <w:p w14:paraId="315492A5" w14:textId="77777777" w:rsidR="00750246" w:rsidRPr="00750246" w:rsidRDefault="00750246" w:rsidP="00750246">
      <w:pPr>
        <w:spacing w:before="120" w:after="120" w:line="240" w:lineRule="exact"/>
        <w:ind w:left="283" w:hanging="283"/>
        <w:jc w:val="both"/>
        <w:rPr>
          <w:rFonts w:ascii="FrankRuehl" w:hAnsi="FrankRuehl" w:cs="FrankRuehl"/>
          <w:rtl/>
        </w:rPr>
      </w:pPr>
      <w:hyperlink r:id="rId6" w:history="1">
        <w:r w:rsidRPr="00750246">
          <w:rPr>
            <w:rFonts w:ascii="FrankRuehl" w:hAnsi="FrankRuehl" w:cs="FrankRuehl"/>
            <w:color w:val="0000FF"/>
            <w:rtl/>
          </w:rPr>
          <w:t>חוק העונשין, תשל"ז-1977</w:t>
        </w:r>
      </w:hyperlink>
      <w:r w:rsidRPr="00750246">
        <w:rPr>
          <w:rFonts w:ascii="FrankRuehl" w:hAnsi="FrankRuehl" w:cs="FrankRuehl"/>
          <w:rtl/>
        </w:rPr>
        <w:t xml:space="preserve">: סע'  </w:t>
      </w:r>
      <w:hyperlink r:id="rId7" w:history="1">
        <w:r w:rsidRPr="00750246">
          <w:rPr>
            <w:rFonts w:ascii="FrankRuehl" w:hAnsi="FrankRuehl" w:cs="FrankRuehl"/>
            <w:color w:val="0000FF"/>
            <w:rtl/>
          </w:rPr>
          <w:t>7(א)</w:t>
        </w:r>
      </w:hyperlink>
      <w:r w:rsidRPr="00750246">
        <w:rPr>
          <w:rFonts w:ascii="FrankRuehl" w:hAnsi="FrankRuehl" w:cs="FrankRuehl"/>
          <w:rtl/>
        </w:rPr>
        <w:t xml:space="preserve">, </w:t>
      </w:r>
      <w:hyperlink r:id="rId8" w:history="1">
        <w:r w:rsidRPr="00750246">
          <w:rPr>
            <w:rFonts w:ascii="FrankRuehl" w:hAnsi="FrankRuehl" w:cs="FrankRuehl"/>
            <w:color w:val="0000FF"/>
            <w:rtl/>
          </w:rPr>
          <w:t>144(א)</w:t>
        </w:r>
      </w:hyperlink>
      <w:r w:rsidRPr="00750246">
        <w:rPr>
          <w:rFonts w:ascii="FrankRuehl" w:hAnsi="FrankRuehl" w:cs="FrankRuehl"/>
          <w:rtl/>
        </w:rPr>
        <w:t xml:space="preserve">, </w:t>
      </w:r>
      <w:hyperlink r:id="rId9" w:history="1">
        <w:r w:rsidRPr="00750246">
          <w:rPr>
            <w:rFonts w:ascii="FrankRuehl" w:hAnsi="FrankRuehl" w:cs="FrankRuehl"/>
            <w:color w:val="0000FF"/>
            <w:rtl/>
          </w:rPr>
          <w:t>144(ז)</w:t>
        </w:r>
      </w:hyperlink>
    </w:p>
    <w:p w14:paraId="148A8E59" w14:textId="77777777" w:rsidR="00750246" w:rsidRPr="00750246" w:rsidRDefault="00750246" w:rsidP="00750246">
      <w:pPr>
        <w:spacing w:before="120" w:after="120" w:line="240" w:lineRule="exact"/>
        <w:ind w:left="283" w:hanging="283"/>
        <w:jc w:val="both"/>
        <w:rPr>
          <w:rFonts w:ascii="FrankRuehl" w:hAnsi="FrankRuehl" w:cs="FrankRuehl"/>
          <w:rtl/>
        </w:rPr>
      </w:pPr>
      <w:hyperlink r:id="rId10" w:history="1">
        <w:r w:rsidRPr="00750246">
          <w:rPr>
            <w:rFonts w:ascii="FrankRuehl" w:hAnsi="FrankRuehl" w:cs="FrankRuehl"/>
            <w:color w:val="0000FF"/>
            <w:rtl/>
          </w:rPr>
          <w:t>פקודת הסמים המסוכנים [נוסח חדש], תשל"ג-1973</w:t>
        </w:r>
      </w:hyperlink>
      <w:r w:rsidRPr="00750246">
        <w:rPr>
          <w:rFonts w:ascii="FrankRuehl" w:hAnsi="FrankRuehl" w:cs="FrankRuehl"/>
          <w:rtl/>
        </w:rPr>
        <w:t xml:space="preserve">: סע'  </w:t>
      </w:r>
      <w:hyperlink r:id="rId11" w:history="1">
        <w:r w:rsidRPr="00750246">
          <w:rPr>
            <w:rFonts w:ascii="FrankRuehl" w:hAnsi="FrankRuehl" w:cs="FrankRuehl"/>
            <w:color w:val="0000FF"/>
            <w:rtl/>
          </w:rPr>
          <w:t>ג</w:t>
        </w:r>
      </w:hyperlink>
    </w:p>
    <w:p w14:paraId="2283ADF9" w14:textId="77777777" w:rsidR="00750246" w:rsidRPr="00750246" w:rsidRDefault="00750246" w:rsidP="00750246">
      <w:pPr>
        <w:jc w:val="center"/>
        <w:rPr>
          <w:rFonts w:ascii="David" w:hAnsi="David"/>
          <w:sz w:val="28"/>
          <w:szCs w:val="28"/>
          <w:rtl/>
        </w:rPr>
      </w:pPr>
      <w:bookmarkStart w:id="4" w:name="LawTable_End"/>
      <w:bookmarkEnd w:id="4"/>
    </w:p>
    <w:p w14:paraId="30B5E16E" w14:textId="77777777" w:rsidR="006A449B" w:rsidRPr="003C5DD6" w:rsidRDefault="006A449B" w:rsidP="003C5DD6">
      <w:pPr>
        <w:jc w:val="center"/>
        <w:rPr>
          <w:rFonts w:ascii="David" w:hAnsi="David"/>
          <w:sz w:val="28"/>
          <w:szCs w:val="28"/>
          <w:rtl/>
        </w:rPr>
      </w:pPr>
    </w:p>
    <w:p w14:paraId="4C9606BC" w14:textId="77777777" w:rsidR="006A449B" w:rsidRPr="007E1236" w:rsidRDefault="006A449B" w:rsidP="007E1236">
      <w:pPr>
        <w:jc w:val="center"/>
        <w:rPr>
          <w:rFonts w:ascii="David" w:hAnsi="David"/>
          <w:b/>
          <w:bCs/>
          <w:sz w:val="28"/>
          <w:szCs w:val="28"/>
          <w:u w:val="single"/>
          <w:rtl/>
        </w:rPr>
      </w:pPr>
      <w:bookmarkStart w:id="5" w:name="PsakDin"/>
      <w:r w:rsidRPr="007E1236">
        <w:rPr>
          <w:rFonts w:ascii="David" w:hAnsi="David"/>
          <w:b/>
          <w:bCs/>
          <w:sz w:val="28"/>
          <w:szCs w:val="28"/>
          <w:u w:val="single"/>
          <w:rtl/>
        </w:rPr>
        <w:t>גזר דין</w:t>
      </w:r>
    </w:p>
    <w:bookmarkEnd w:id="5"/>
    <w:p w14:paraId="328D48F8" w14:textId="77777777" w:rsidR="006A449B" w:rsidRPr="0018098C" w:rsidRDefault="006A449B" w:rsidP="0018098C">
      <w:pPr>
        <w:jc w:val="center"/>
        <w:rPr>
          <w:rFonts w:ascii="David" w:hAnsi="David"/>
          <w:sz w:val="28"/>
          <w:szCs w:val="28"/>
          <w:u w:val="single"/>
          <w:rtl/>
        </w:rPr>
      </w:pPr>
    </w:p>
    <w:p w14:paraId="7135106E" w14:textId="77777777" w:rsidR="0018098C" w:rsidRPr="00167BC8" w:rsidRDefault="0018098C" w:rsidP="0018098C">
      <w:pPr>
        <w:spacing w:line="360" w:lineRule="auto"/>
        <w:jc w:val="both"/>
        <w:rPr>
          <w:rFonts w:ascii="Arial" w:hAnsi="Arial"/>
          <w:rtl/>
        </w:rPr>
      </w:pPr>
      <w:bookmarkStart w:id="6" w:name="ABSTRACT_START"/>
      <w:bookmarkEnd w:id="0"/>
      <w:bookmarkEnd w:id="6"/>
      <w:r w:rsidRPr="00167BC8">
        <w:rPr>
          <w:rFonts w:ascii="Arial" w:hAnsi="Arial"/>
          <w:rtl/>
        </w:rPr>
        <w:t xml:space="preserve">על-פי הכרעת הדין מיום 20.7.2023, הנאשם, יליד שנת 1993 (כבן 30) הורשע בהתאם להודאתו בעבירת </w:t>
      </w:r>
      <w:r w:rsidRPr="00167BC8">
        <w:rPr>
          <w:rFonts w:ascii="Arial" w:hAnsi="Arial"/>
          <w:b/>
          <w:bCs/>
          <w:rtl/>
        </w:rPr>
        <w:t>החזקת נשק, אביזרי נשק ותחמושת</w:t>
      </w:r>
      <w:r w:rsidRPr="00167BC8">
        <w:rPr>
          <w:rFonts w:ascii="Arial" w:hAnsi="Arial"/>
          <w:rtl/>
        </w:rPr>
        <w:t xml:space="preserve">, לפי </w:t>
      </w:r>
      <w:hyperlink r:id="rId12" w:history="1">
        <w:r w:rsidR="006A449B" w:rsidRPr="006A449B">
          <w:rPr>
            <w:rStyle w:val="Hyperlink"/>
            <w:rFonts w:ascii="Arial" w:hAnsi="Arial"/>
            <w:rtl/>
          </w:rPr>
          <w:t>סעיף 144(א)</w:t>
        </w:r>
      </w:hyperlink>
      <w:r w:rsidRPr="00167BC8">
        <w:rPr>
          <w:rFonts w:ascii="Arial" w:hAnsi="Arial"/>
          <w:rtl/>
        </w:rPr>
        <w:t xml:space="preserve"> רישה וסיפה ב</w:t>
      </w:r>
      <w:hyperlink r:id="rId13" w:history="1">
        <w:r w:rsidR="007E1236" w:rsidRPr="007E1236">
          <w:rPr>
            <w:rFonts w:ascii="Arial" w:hAnsi="Arial"/>
            <w:color w:val="0000FF"/>
            <w:u w:val="single"/>
            <w:rtl/>
          </w:rPr>
          <w:t>חוק העונשין</w:t>
        </w:r>
      </w:hyperlink>
      <w:r w:rsidRPr="00167BC8">
        <w:rPr>
          <w:rFonts w:ascii="Arial" w:hAnsi="Arial"/>
          <w:rtl/>
        </w:rPr>
        <w:t xml:space="preserve">, התשל"ז-1977 (להלן – </w:t>
      </w:r>
      <w:r w:rsidRPr="00167BC8">
        <w:rPr>
          <w:rFonts w:ascii="Arial" w:hAnsi="Arial"/>
          <w:b/>
          <w:bCs/>
          <w:rtl/>
        </w:rPr>
        <w:t>חוק העונשין</w:t>
      </w:r>
      <w:r w:rsidRPr="00167BC8">
        <w:rPr>
          <w:rFonts w:ascii="Arial" w:hAnsi="Arial"/>
          <w:rtl/>
        </w:rPr>
        <w:t xml:space="preserve">) וכן בעבירת </w:t>
      </w:r>
      <w:r w:rsidRPr="00167BC8">
        <w:rPr>
          <w:rFonts w:ascii="Arial" w:hAnsi="Arial"/>
          <w:b/>
          <w:bCs/>
          <w:rtl/>
        </w:rPr>
        <w:t>החזקת סמים מסוכנים שלא לצריכה עצמית</w:t>
      </w:r>
      <w:r w:rsidRPr="00167BC8">
        <w:rPr>
          <w:rFonts w:ascii="Arial" w:hAnsi="Arial"/>
          <w:rtl/>
        </w:rPr>
        <w:t xml:space="preserve"> לפי </w:t>
      </w:r>
      <w:hyperlink r:id="rId14" w:history="1">
        <w:r w:rsidR="006A449B" w:rsidRPr="006A449B">
          <w:rPr>
            <w:rStyle w:val="Hyperlink"/>
            <w:rFonts w:ascii="Arial" w:hAnsi="Arial"/>
            <w:rtl/>
          </w:rPr>
          <w:t>סעיף 7(א)</w:t>
        </w:r>
      </w:hyperlink>
      <w:r w:rsidRPr="00167BC8">
        <w:rPr>
          <w:rFonts w:ascii="Arial" w:hAnsi="Arial"/>
          <w:rtl/>
        </w:rPr>
        <w:t xml:space="preserve"> ו-(</w:t>
      </w:r>
      <w:hyperlink r:id="rId15" w:history="1">
        <w:r w:rsidR="006A449B" w:rsidRPr="006A449B">
          <w:rPr>
            <w:rStyle w:val="Hyperlink"/>
            <w:rFonts w:ascii="Arial" w:hAnsi="Arial"/>
            <w:rtl/>
          </w:rPr>
          <w:t>ג</w:t>
        </w:r>
      </w:hyperlink>
      <w:r w:rsidRPr="00167BC8">
        <w:rPr>
          <w:rFonts w:ascii="Arial" w:hAnsi="Arial"/>
          <w:rtl/>
        </w:rPr>
        <w:t>) ב</w:t>
      </w:r>
      <w:hyperlink r:id="rId16" w:history="1">
        <w:r w:rsidR="007E1236" w:rsidRPr="007E1236">
          <w:rPr>
            <w:rFonts w:ascii="Arial" w:hAnsi="Arial"/>
            <w:color w:val="0000FF"/>
            <w:u w:val="single"/>
            <w:rtl/>
          </w:rPr>
          <w:t>פקודת הסמים המסוכנים</w:t>
        </w:r>
      </w:hyperlink>
      <w:r w:rsidRPr="00167BC8">
        <w:rPr>
          <w:rFonts w:ascii="Arial" w:hAnsi="Arial"/>
          <w:rtl/>
        </w:rPr>
        <w:t xml:space="preserve"> (נוסח חדש), התשל"ג-1973. ההודאה הייתה במסגרת הסכמת הצדדים לתיקון עובדות כתב האישום, אך לא במסגרת הסדר טיעון הכולל הסכמה בעניין העונש. הטיעונים לעונש נשמעו במועד מתן הכרעת הדין.</w:t>
      </w:r>
    </w:p>
    <w:p w14:paraId="1BC450F6" w14:textId="77777777" w:rsidR="0018098C" w:rsidRPr="00167BC8" w:rsidRDefault="0018098C" w:rsidP="0018098C">
      <w:pPr>
        <w:spacing w:line="360" w:lineRule="auto"/>
        <w:jc w:val="both"/>
        <w:rPr>
          <w:rFonts w:ascii="Arial" w:hAnsi="Arial"/>
          <w:rtl/>
        </w:rPr>
      </w:pPr>
      <w:bookmarkStart w:id="7" w:name="ABSTRACT_END"/>
      <w:bookmarkEnd w:id="7"/>
    </w:p>
    <w:p w14:paraId="5562B0BA" w14:textId="77777777" w:rsidR="0018098C" w:rsidRPr="00167BC8" w:rsidRDefault="0018098C" w:rsidP="0018098C">
      <w:pPr>
        <w:spacing w:line="360" w:lineRule="auto"/>
        <w:jc w:val="both"/>
        <w:rPr>
          <w:rFonts w:ascii="Arial" w:hAnsi="Arial"/>
          <w:b/>
          <w:bCs/>
          <w:u w:val="single"/>
          <w:rtl/>
        </w:rPr>
      </w:pPr>
      <w:r w:rsidRPr="00167BC8">
        <w:rPr>
          <w:rFonts w:ascii="Arial" w:hAnsi="Arial"/>
          <w:b/>
          <w:bCs/>
          <w:u w:val="single"/>
          <w:rtl/>
        </w:rPr>
        <w:t>עובדות כתב האישום המתוקן</w:t>
      </w:r>
    </w:p>
    <w:p w14:paraId="4622B4B9" w14:textId="77777777" w:rsidR="0018098C" w:rsidRPr="00167BC8" w:rsidRDefault="0018098C" w:rsidP="0018098C">
      <w:pPr>
        <w:spacing w:line="360" w:lineRule="auto"/>
        <w:jc w:val="both"/>
        <w:rPr>
          <w:rFonts w:ascii="Arial" w:hAnsi="Arial"/>
          <w:sz w:val="16"/>
          <w:szCs w:val="16"/>
          <w:rtl/>
        </w:rPr>
      </w:pPr>
    </w:p>
    <w:p w14:paraId="3C7BFF4A" w14:textId="77777777" w:rsidR="0018098C" w:rsidRPr="00167BC8" w:rsidRDefault="0018098C" w:rsidP="0018098C">
      <w:pPr>
        <w:spacing w:line="360" w:lineRule="auto"/>
        <w:jc w:val="both"/>
        <w:rPr>
          <w:rFonts w:ascii="Arial" w:hAnsi="Arial"/>
          <w:rtl/>
        </w:rPr>
      </w:pPr>
      <w:r w:rsidRPr="00167BC8">
        <w:rPr>
          <w:rFonts w:ascii="Arial" w:hAnsi="Arial"/>
          <w:rtl/>
        </w:rPr>
        <w:t>2.</w:t>
      </w:r>
      <w:r w:rsidRPr="00167BC8">
        <w:rPr>
          <w:rFonts w:ascii="Arial" w:hAnsi="Arial"/>
          <w:rtl/>
        </w:rPr>
        <w:tab/>
        <w:t xml:space="preserve">על-פי </w:t>
      </w:r>
      <w:r w:rsidRPr="00167BC8">
        <w:rPr>
          <w:rFonts w:ascii="Arial" w:hAnsi="Arial"/>
          <w:b/>
          <w:bCs/>
          <w:u w:val="single"/>
          <w:rtl/>
        </w:rPr>
        <w:t>האישום הראשון</w:t>
      </w:r>
      <w:r w:rsidRPr="00167BC8">
        <w:rPr>
          <w:rFonts w:ascii="Arial" w:hAnsi="Arial"/>
          <w:rtl/>
        </w:rPr>
        <w:t xml:space="preserve">, במשך כחודשיים ועד יום 19.9.2022, החזיק הנאשם בביתו בשכונת עזרייה בירושלים אקדח חצי אוטומטי מסוג </w:t>
      </w:r>
      <w:r w:rsidRPr="00167BC8">
        <w:rPr>
          <w:rFonts w:ascii="Arial" w:hAnsi="Arial"/>
        </w:rPr>
        <w:t>Ghost Compact</w:t>
      </w:r>
      <w:r w:rsidRPr="00167BC8">
        <w:rPr>
          <w:rFonts w:ascii="Arial" w:hAnsi="Arial"/>
          <w:rtl/>
        </w:rPr>
        <w:t xml:space="preserve">, קליבר 9 מ"מ (מספר </w:t>
      </w:r>
      <w:r w:rsidRPr="00167BC8">
        <w:rPr>
          <w:rFonts w:ascii="Arial" w:hAnsi="Arial"/>
          <w:rtl/>
        </w:rPr>
        <w:lastRenderedPageBreak/>
        <w:t xml:space="preserve">סידורי </w:t>
      </w:r>
      <w:r w:rsidRPr="00167BC8">
        <w:rPr>
          <w:rFonts w:ascii="Arial" w:hAnsi="Arial"/>
        </w:rPr>
        <w:t>P101900895</w:t>
      </w:r>
      <w:r w:rsidRPr="00167BC8">
        <w:rPr>
          <w:rFonts w:ascii="Arial" w:hAnsi="Arial"/>
          <w:rtl/>
        </w:rPr>
        <w:t xml:space="preserve">), שבכוחו להמית אדם. כמו כן החזיק אקדח חצי אוטומטי מסוג </w:t>
      </w:r>
      <w:r w:rsidRPr="00167BC8">
        <w:rPr>
          <w:rFonts w:ascii="Arial" w:hAnsi="Arial"/>
        </w:rPr>
        <w:t>DDG</w:t>
      </w:r>
      <w:r w:rsidRPr="00167BC8">
        <w:rPr>
          <w:rFonts w:ascii="Arial" w:hAnsi="Arial"/>
          <w:rtl/>
        </w:rPr>
        <w:t xml:space="preserve">, קליבר 9 מ"מ (מספר סידורי </w:t>
      </w:r>
      <w:r w:rsidRPr="00167BC8">
        <w:rPr>
          <w:rFonts w:ascii="Arial" w:hAnsi="Arial"/>
        </w:rPr>
        <w:t>209066G</w:t>
      </w:r>
      <w:r w:rsidRPr="00167BC8">
        <w:rPr>
          <w:rFonts w:ascii="Arial" w:hAnsi="Arial"/>
          <w:rtl/>
        </w:rPr>
        <w:t>), שבכוחו להמית אדם, מחסנית מתאימה לאקדח זה ובה 9 כדורי תחמושת 9 מ"מ ומחסנית גדולה המתאימה לאקדח זה, שבה 8 כדורי תחמושת 9 מ"מ. כלי הנשק, אביזרי הנשק והתחמושת הוחזקו בתוך תיק בארון שמתחת לכיור המטבח.</w:t>
      </w:r>
    </w:p>
    <w:p w14:paraId="7BFD8ACD" w14:textId="77777777" w:rsidR="0018098C" w:rsidRPr="00167BC8" w:rsidRDefault="0018098C" w:rsidP="0018098C">
      <w:pPr>
        <w:spacing w:line="360" w:lineRule="auto"/>
        <w:jc w:val="both"/>
        <w:rPr>
          <w:rFonts w:ascii="Arial" w:hAnsi="Arial"/>
          <w:rtl/>
        </w:rPr>
      </w:pPr>
    </w:p>
    <w:p w14:paraId="48C2E145" w14:textId="77777777" w:rsidR="0018098C" w:rsidRPr="00167BC8" w:rsidRDefault="0018098C" w:rsidP="0018098C">
      <w:pPr>
        <w:spacing w:line="360" w:lineRule="auto"/>
        <w:jc w:val="both"/>
        <w:rPr>
          <w:rFonts w:ascii="Arial" w:hAnsi="Arial"/>
          <w:rtl/>
        </w:rPr>
      </w:pPr>
      <w:r w:rsidRPr="00167BC8">
        <w:rPr>
          <w:rFonts w:ascii="Arial" w:hAnsi="Arial"/>
          <w:rtl/>
        </w:rPr>
        <w:t xml:space="preserve">על-פי </w:t>
      </w:r>
      <w:r w:rsidRPr="00167BC8">
        <w:rPr>
          <w:rFonts w:ascii="Arial" w:hAnsi="Arial"/>
          <w:b/>
          <w:bCs/>
          <w:u w:val="single"/>
          <w:rtl/>
        </w:rPr>
        <w:t>האישום השני</w:t>
      </w:r>
      <w:r w:rsidRPr="00167BC8">
        <w:rPr>
          <w:rFonts w:ascii="Arial" w:hAnsi="Arial"/>
          <w:rtl/>
        </w:rPr>
        <w:t xml:space="preserve">, במהלך התקופה האמורה, החזיק הנאשם בביתו סמים מסוכנים שלא לצריכה עצמית, אשר כללו 6,000 טבליות סם מסוכן מסוג </w:t>
      </w:r>
      <w:r w:rsidRPr="00167BC8">
        <w:rPr>
          <w:rFonts w:ascii="Arial" w:hAnsi="Arial"/>
        </w:rPr>
        <w:t>MDMA</w:t>
      </w:r>
      <w:r w:rsidRPr="00167BC8">
        <w:rPr>
          <w:rFonts w:ascii="Arial" w:hAnsi="Arial"/>
          <w:rtl/>
        </w:rPr>
        <w:t xml:space="preserve"> מחולקות לאריזות; סם מסוכן מסוג קנבוס במשקל 800 גרם נטו; וסם מסוכן מסוג חשיש במשקל 3,000 גרם ברוטו.</w:t>
      </w:r>
    </w:p>
    <w:p w14:paraId="7748E536" w14:textId="77777777" w:rsidR="0018098C" w:rsidRPr="00167BC8" w:rsidRDefault="0018098C" w:rsidP="0018098C">
      <w:pPr>
        <w:spacing w:line="360" w:lineRule="auto"/>
        <w:jc w:val="both"/>
        <w:rPr>
          <w:rFonts w:ascii="Arial" w:hAnsi="Arial"/>
          <w:rtl/>
        </w:rPr>
      </w:pPr>
    </w:p>
    <w:p w14:paraId="428E3DF4" w14:textId="77777777" w:rsidR="0018098C" w:rsidRPr="00167BC8" w:rsidRDefault="0018098C" w:rsidP="0018098C">
      <w:pPr>
        <w:spacing w:line="360" w:lineRule="auto"/>
        <w:jc w:val="both"/>
        <w:rPr>
          <w:rFonts w:ascii="Arial" w:hAnsi="Arial"/>
          <w:rtl/>
        </w:rPr>
      </w:pPr>
      <w:r w:rsidRPr="00167BC8">
        <w:rPr>
          <w:rFonts w:ascii="Arial" w:hAnsi="Arial"/>
          <w:b/>
          <w:bCs/>
          <w:u w:val="single"/>
          <w:rtl/>
        </w:rPr>
        <w:t>טענות הצדדים בעניין העונש ודברי הנאשם</w:t>
      </w:r>
    </w:p>
    <w:p w14:paraId="65EBA4DC" w14:textId="77777777" w:rsidR="0018098C" w:rsidRPr="00167BC8" w:rsidRDefault="0018098C" w:rsidP="0018098C">
      <w:pPr>
        <w:spacing w:line="360" w:lineRule="auto"/>
        <w:jc w:val="both"/>
        <w:rPr>
          <w:rFonts w:ascii="Arial" w:hAnsi="Arial"/>
          <w:sz w:val="16"/>
          <w:szCs w:val="16"/>
          <w:rtl/>
        </w:rPr>
      </w:pPr>
    </w:p>
    <w:p w14:paraId="1C20895B" w14:textId="77777777" w:rsidR="0018098C" w:rsidRPr="00167BC8" w:rsidRDefault="0018098C" w:rsidP="0018098C">
      <w:pPr>
        <w:spacing w:line="360" w:lineRule="auto"/>
        <w:jc w:val="both"/>
        <w:rPr>
          <w:rFonts w:ascii="Arial" w:hAnsi="Arial"/>
          <w:rtl/>
        </w:rPr>
      </w:pPr>
      <w:r w:rsidRPr="00167BC8">
        <w:rPr>
          <w:rFonts w:ascii="Arial" w:hAnsi="Arial"/>
          <w:rtl/>
        </w:rPr>
        <w:t>3.</w:t>
      </w:r>
      <w:r w:rsidRPr="00167BC8">
        <w:rPr>
          <w:rFonts w:ascii="Arial" w:hAnsi="Arial"/>
          <w:rtl/>
        </w:rPr>
        <w:tab/>
      </w:r>
      <w:r w:rsidRPr="00167BC8">
        <w:rPr>
          <w:rFonts w:ascii="Arial" w:hAnsi="Arial"/>
          <w:b/>
          <w:bCs/>
          <w:u w:val="single"/>
          <w:rtl/>
        </w:rPr>
        <w:t>טענות המאשימה</w:t>
      </w:r>
      <w:r w:rsidRPr="00167BC8">
        <w:rPr>
          <w:rFonts w:ascii="Arial" w:hAnsi="Arial"/>
          <w:b/>
          <w:bCs/>
          <w:rtl/>
        </w:rPr>
        <w:t>:</w:t>
      </w:r>
      <w:r w:rsidRPr="00167BC8">
        <w:rPr>
          <w:rFonts w:ascii="Arial" w:hAnsi="Arial"/>
          <w:rtl/>
        </w:rPr>
        <w:t xml:space="preserve"> באת-כוח המאשימה עמדה על כך שעבירות הנשק והסמים פוגעות בערכים החברתיים שעניינם ביטחון הציבור, שלטון החוק והסדר ציבורי. לטענתה, אלו עבירות שנזקם עצום ושהן בגדר </w:t>
      </w:r>
      <w:r w:rsidRPr="00167BC8">
        <w:rPr>
          <w:rFonts w:ascii="Arial" w:hAnsi="Arial"/>
          <w:b/>
          <w:bCs/>
          <w:rtl/>
        </w:rPr>
        <w:t>"מכת מדינה"</w:t>
      </w:r>
      <w:r w:rsidRPr="00167BC8">
        <w:rPr>
          <w:rFonts w:ascii="Arial" w:hAnsi="Arial"/>
          <w:rtl/>
        </w:rPr>
        <w:t xml:space="preserve">, כפי שנקבע לא אחת בפסיקת בית המשפט העליון. </w:t>
      </w:r>
    </w:p>
    <w:p w14:paraId="27421E15" w14:textId="77777777" w:rsidR="0018098C" w:rsidRPr="00167BC8" w:rsidRDefault="0018098C" w:rsidP="0018098C">
      <w:pPr>
        <w:spacing w:line="360" w:lineRule="auto"/>
        <w:jc w:val="both"/>
        <w:rPr>
          <w:rFonts w:ascii="Arial" w:hAnsi="Arial"/>
          <w:rtl/>
        </w:rPr>
      </w:pPr>
    </w:p>
    <w:p w14:paraId="2E88E40C" w14:textId="77777777" w:rsidR="0018098C" w:rsidRPr="00167BC8" w:rsidRDefault="0018098C" w:rsidP="0018098C">
      <w:pPr>
        <w:spacing w:line="360" w:lineRule="auto"/>
        <w:jc w:val="both"/>
        <w:rPr>
          <w:rFonts w:ascii="Arial" w:hAnsi="Arial"/>
          <w:rtl/>
        </w:rPr>
      </w:pPr>
      <w:r w:rsidRPr="00167BC8">
        <w:rPr>
          <w:rFonts w:ascii="Arial" w:hAnsi="Arial"/>
          <w:rtl/>
        </w:rPr>
        <w:t xml:space="preserve">בעניין נסיבות העבירות נטען, כי הנאשם עבר אותן באופן בלעדי. עבירות הנשק כללו החזקת שני כלי נשק שביכולתם להמית וכי מדובר בשני אקדחים, מחסניות ותחמושת שהיו מוכנים לשימוש מידי. פוטנציאל הנזק מהחזקת נשק הוא עצום, בשל הסיכון הנובע מהשימוש שעשוי היה להיעשות בנשק, באמצעות הנאשם או באמצעות אחר, אילו הנשק הועבר אליו וכן ובשל התוצאה הקטלנית האפשרית משימוש בנשק. בעניין עבירות הסמים נטען, כי חומרת נסיבות העבירה נובעת מהכמות העצומה של סמים מסוגים שונים שהנאשם החזיק במשך תקופה ממושכת, בת כחודשים. אמנם הפסיקה הבחינה בין סוגי סמים, אך הנאשם החזיק גם אלפי כדורי </w:t>
      </w:r>
      <w:r w:rsidRPr="00167BC8">
        <w:rPr>
          <w:rFonts w:ascii="Arial" w:hAnsi="Arial"/>
        </w:rPr>
        <w:t>MDMA</w:t>
      </w:r>
      <w:r w:rsidRPr="00167BC8">
        <w:rPr>
          <w:rFonts w:ascii="Arial" w:hAnsi="Arial"/>
          <w:rtl/>
        </w:rPr>
        <w:t>. בכל הנוגע למדיניות הענישה הנוהגת, המאשימה הפנתה אל מספר פסקי-דין, אשר יפורטו בהמשך הדברים.</w:t>
      </w:r>
    </w:p>
    <w:p w14:paraId="54A160B9" w14:textId="77777777" w:rsidR="0018098C" w:rsidRPr="00167BC8" w:rsidRDefault="0018098C" w:rsidP="0018098C">
      <w:pPr>
        <w:spacing w:line="360" w:lineRule="auto"/>
        <w:jc w:val="both"/>
        <w:rPr>
          <w:rFonts w:ascii="Arial" w:hAnsi="Arial"/>
          <w:rtl/>
        </w:rPr>
      </w:pPr>
    </w:p>
    <w:p w14:paraId="4E08742B" w14:textId="77777777" w:rsidR="0018098C" w:rsidRPr="00167BC8" w:rsidRDefault="0018098C" w:rsidP="0018098C">
      <w:pPr>
        <w:spacing w:line="360" w:lineRule="auto"/>
        <w:jc w:val="both"/>
        <w:rPr>
          <w:rFonts w:ascii="Arial" w:hAnsi="Arial"/>
          <w:rtl/>
        </w:rPr>
      </w:pPr>
      <w:r w:rsidRPr="00167BC8">
        <w:rPr>
          <w:rFonts w:ascii="Arial" w:hAnsi="Arial"/>
          <w:rtl/>
        </w:rPr>
        <w:t xml:space="preserve">לנוכח האמור, עמדת המאשימה היא כי על מתחם העונש בעניין עבירות הנשק להיקבע בין 24 ל-48 חודשי מאסר בפועל ובעניין עבירות הסמים בין 42 ל-60 חודשי מאסר. זאת לצד ענישה נלווית. </w:t>
      </w:r>
    </w:p>
    <w:p w14:paraId="355D8318" w14:textId="77777777" w:rsidR="0018098C" w:rsidRPr="00167BC8" w:rsidRDefault="0018098C" w:rsidP="0018098C">
      <w:pPr>
        <w:spacing w:line="360" w:lineRule="auto"/>
        <w:jc w:val="both"/>
        <w:rPr>
          <w:rFonts w:ascii="Arial" w:hAnsi="Arial"/>
          <w:rtl/>
        </w:rPr>
      </w:pPr>
    </w:p>
    <w:p w14:paraId="5F7AF1A7" w14:textId="77777777" w:rsidR="0018098C" w:rsidRPr="00167BC8" w:rsidRDefault="0018098C" w:rsidP="0018098C">
      <w:pPr>
        <w:spacing w:line="360" w:lineRule="auto"/>
        <w:jc w:val="both"/>
        <w:rPr>
          <w:rFonts w:ascii="Arial" w:hAnsi="Arial"/>
          <w:rtl/>
        </w:rPr>
      </w:pPr>
      <w:r w:rsidRPr="00167BC8">
        <w:rPr>
          <w:rFonts w:ascii="Arial" w:hAnsi="Arial"/>
          <w:rtl/>
        </w:rPr>
        <w:t xml:space="preserve">בעניין נסיבותיו של הנאשם הצביעה המאשימה על כך שהנאשם הודה, חסך זמן שיפוטי, הכיר באחריותו למעשים וכי הוא נעדר הרשעות קודמות. עם זאת, לנוכח חומרת עבירות הנשק והסמים, נדרשת הרתעת היחיד והרתעת הרבים ולפיכך עתרה המאשימה למקם את עונשו של הנאשם מעט מעל תחתית מתחמי הענישה ולאחר חפיפה מסוימת של שני העונשים, להשית עליו 60 חודשי מאסר בפועל, מאסר מותנה מרתיע, קנס ופסילת רישיון נהיגה. כן התבקש חילוט או השמדת כלי הנשק והסמים, בהתאם לשיקול דעת קצין משטרה מוסמך. </w:t>
      </w:r>
    </w:p>
    <w:p w14:paraId="0A958DE1" w14:textId="77777777" w:rsidR="0018098C" w:rsidRPr="00167BC8" w:rsidRDefault="0018098C" w:rsidP="0018098C">
      <w:pPr>
        <w:spacing w:line="360" w:lineRule="auto"/>
        <w:jc w:val="both"/>
        <w:rPr>
          <w:rFonts w:ascii="Arial" w:hAnsi="Arial"/>
          <w:rtl/>
        </w:rPr>
      </w:pPr>
    </w:p>
    <w:p w14:paraId="2670AE08" w14:textId="77777777" w:rsidR="0018098C" w:rsidRPr="00167BC8" w:rsidRDefault="0018098C" w:rsidP="0018098C">
      <w:pPr>
        <w:spacing w:line="360" w:lineRule="auto"/>
        <w:jc w:val="both"/>
        <w:rPr>
          <w:rFonts w:ascii="Arial" w:hAnsi="Arial"/>
          <w:rtl/>
        </w:rPr>
      </w:pPr>
      <w:r w:rsidRPr="00167BC8">
        <w:rPr>
          <w:rFonts w:ascii="Arial" w:hAnsi="Arial"/>
          <w:rtl/>
        </w:rPr>
        <w:t>4.</w:t>
      </w:r>
      <w:r w:rsidRPr="00167BC8">
        <w:rPr>
          <w:rFonts w:ascii="Arial" w:hAnsi="Arial"/>
          <w:rtl/>
        </w:rPr>
        <w:tab/>
      </w:r>
      <w:r w:rsidRPr="00167BC8">
        <w:rPr>
          <w:rFonts w:ascii="Arial" w:hAnsi="Arial"/>
          <w:b/>
          <w:bCs/>
          <w:u w:val="single"/>
          <w:rtl/>
        </w:rPr>
        <w:t>טענות ההגנה</w:t>
      </w:r>
      <w:r w:rsidRPr="00167BC8">
        <w:rPr>
          <w:rFonts w:ascii="Arial" w:hAnsi="Arial"/>
          <w:b/>
          <w:bCs/>
          <w:rtl/>
        </w:rPr>
        <w:t>:</w:t>
      </w:r>
      <w:r w:rsidRPr="00167BC8">
        <w:rPr>
          <w:rFonts w:ascii="Arial" w:hAnsi="Arial"/>
          <w:rtl/>
        </w:rPr>
        <w:t xml:space="preserve"> בא-כוח הנאשם טען כי עמדתה העונשית של המאשימה אינה מידתית, אינה הולמת ואף אינה מתיישבת עם עיקרון ההלימה. לטענתו, יש לקבוע מתחם ענישה אחד, מאחר שמדובר במעשה אחד, בהחזקה אחת, באותן נסיבות ובאותה תקופה, אפילו הוחזקו שני דברים שונים, נשק וסמים. לטענתו, יש לשקול את תקופת החזקתם הקצרה, בת כחודשיים בלבד וכי </w:t>
      </w:r>
      <w:r w:rsidRPr="00167BC8">
        <w:rPr>
          <w:rFonts w:ascii="Arial" w:hAnsi="Arial"/>
          <w:rtl/>
        </w:rPr>
        <w:lastRenderedPageBreak/>
        <w:t>לתקופה זו יש לתת משקל בעת קביעת העונש. עם זאת, אם ייקבע כי יש לקבוע שני מתחמי ענישה נפרדים, אזי לנוכח כלל הנסיבות, יש לקבוע חפיפה מלאה, או כמעט מלאה בין העונשים.</w:t>
      </w:r>
    </w:p>
    <w:p w14:paraId="4BD132B6" w14:textId="77777777" w:rsidR="0018098C" w:rsidRPr="00167BC8" w:rsidRDefault="0018098C" w:rsidP="0018098C">
      <w:pPr>
        <w:spacing w:line="360" w:lineRule="auto"/>
        <w:jc w:val="both"/>
        <w:rPr>
          <w:rFonts w:ascii="Arial" w:hAnsi="Arial"/>
          <w:rtl/>
        </w:rPr>
      </w:pPr>
    </w:p>
    <w:p w14:paraId="339346BC" w14:textId="77777777" w:rsidR="0018098C" w:rsidRPr="00167BC8" w:rsidRDefault="0018098C" w:rsidP="0018098C">
      <w:pPr>
        <w:spacing w:line="360" w:lineRule="auto"/>
        <w:jc w:val="both"/>
        <w:rPr>
          <w:rFonts w:ascii="Arial" w:hAnsi="Arial"/>
          <w:rtl/>
        </w:rPr>
      </w:pPr>
      <w:r w:rsidRPr="00167BC8">
        <w:rPr>
          <w:rFonts w:ascii="Arial" w:hAnsi="Arial"/>
          <w:rtl/>
        </w:rPr>
        <w:t>בעניין נסיבות עבירות הנשק טען בא-כוח הנאשם, כי כידוע, נקבע מדרג חומרה לעבירות ולסוגי הנשק. כך, החזקת נשק היא הפחות חמורה, לעומת נשיאת נשק וסחר בנשק. בדומה, מדובר באקדח, שהחזקתו פחות חמורה מהחזקת תת מקלע או רובה סער ואף כמות התחמושת שנתפסה מועטה, בסך הכול 17 כדורי</w:t>
      </w:r>
      <w:r>
        <w:rPr>
          <w:rFonts w:ascii="Arial" w:hAnsi="Arial" w:hint="cs"/>
          <w:rtl/>
        </w:rPr>
        <w:t>ם</w:t>
      </w:r>
      <w:r w:rsidRPr="00167BC8">
        <w:rPr>
          <w:rFonts w:ascii="Arial" w:hAnsi="Arial"/>
          <w:rtl/>
        </w:rPr>
        <w:t xml:space="preserve">. לגבי עבירות הסמים טען, כי אמנם מדובר ב-6,000 טבליות מסוג </w:t>
      </w:r>
      <w:r w:rsidRPr="00167BC8">
        <w:rPr>
          <w:rFonts w:ascii="Arial" w:hAnsi="Arial"/>
        </w:rPr>
        <w:t>MDMA</w:t>
      </w:r>
      <w:r w:rsidRPr="00167BC8">
        <w:rPr>
          <w:rFonts w:ascii="Arial" w:hAnsi="Arial"/>
          <w:rtl/>
        </w:rPr>
        <w:t xml:space="preserve">, אך מעל כמות מסוימת </w:t>
      </w:r>
      <w:r>
        <w:rPr>
          <w:rFonts w:ascii="Arial" w:hAnsi="Arial" w:hint="cs"/>
          <w:rtl/>
        </w:rPr>
        <w:t xml:space="preserve">כבר </w:t>
      </w:r>
      <w:r w:rsidRPr="00167BC8">
        <w:rPr>
          <w:rFonts w:ascii="Arial" w:hAnsi="Arial"/>
          <w:rtl/>
        </w:rPr>
        <w:t xml:space="preserve">אין חשיבות רבה לכמות המדויקת. </w:t>
      </w:r>
      <w:r>
        <w:rPr>
          <w:rFonts w:ascii="Arial" w:hAnsi="Arial" w:hint="cs"/>
          <w:rtl/>
        </w:rPr>
        <w:t xml:space="preserve">כן הדגיש כי צוין משקל ברוטו של </w:t>
      </w:r>
      <w:r w:rsidRPr="00167BC8">
        <w:rPr>
          <w:rFonts w:ascii="Arial" w:hAnsi="Arial"/>
          <w:rtl/>
        </w:rPr>
        <w:t xml:space="preserve">החשיש. בעניין מדיניות הענישה הנוהגת, הפנה </w:t>
      </w:r>
      <w:r>
        <w:rPr>
          <w:rFonts w:ascii="Arial" w:hAnsi="Arial" w:hint="cs"/>
          <w:rtl/>
        </w:rPr>
        <w:t xml:space="preserve">בא-כוח הנאשם </w:t>
      </w:r>
      <w:r w:rsidRPr="00167BC8">
        <w:rPr>
          <w:rFonts w:ascii="Arial" w:hAnsi="Arial"/>
          <w:rtl/>
        </w:rPr>
        <w:t xml:space="preserve">אל מספר פסקי-דין, </w:t>
      </w:r>
      <w:r>
        <w:rPr>
          <w:rFonts w:ascii="Arial" w:hAnsi="Arial" w:hint="cs"/>
          <w:rtl/>
        </w:rPr>
        <w:t>ש</w:t>
      </w:r>
      <w:r w:rsidRPr="00167BC8">
        <w:rPr>
          <w:rFonts w:ascii="Arial" w:hAnsi="Arial"/>
          <w:rtl/>
        </w:rPr>
        <w:t>יפורטו בהמשך הדברים.</w:t>
      </w:r>
    </w:p>
    <w:p w14:paraId="340D733D" w14:textId="77777777" w:rsidR="0018098C" w:rsidRPr="00167BC8" w:rsidRDefault="0018098C" w:rsidP="0018098C">
      <w:pPr>
        <w:spacing w:line="360" w:lineRule="auto"/>
        <w:jc w:val="both"/>
        <w:rPr>
          <w:rFonts w:ascii="Arial" w:hAnsi="Arial"/>
          <w:rtl/>
        </w:rPr>
      </w:pPr>
    </w:p>
    <w:p w14:paraId="030AB5F1" w14:textId="77777777" w:rsidR="0018098C" w:rsidRDefault="0018098C" w:rsidP="0018098C">
      <w:pPr>
        <w:spacing w:line="360" w:lineRule="auto"/>
        <w:jc w:val="both"/>
        <w:rPr>
          <w:rFonts w:ascii="Arial" w:hAnsi="Arial"/>
          <w:rtl/>
        </w:rPr>
      </w:pPr>
      <w:r w:rsidRPr="00167BC8">
        <w:rPr>
          <w:rFonts w:ascii="Arial" w:hAnsi="Arial"/>
          <w:rtl/>
        </w:rPr>
        <w:t xml:space="preserve">בכל הנוגע לנסיבותיו של הנאשם ציין בא-כוחו, כי הנאשם הודה בהזדמנות הראשונה ובכך חסך מזמנם של בית המשפט ושל התביעה. הוא בחור צעיר, שהעונש שיושת ישליך עליו, על משפחתו ובמיוחד על ילדיו הקטנים, בני 4 ו-6, שהנזק שייגרם להם בל יתואר. הוא כבן 30, שמעולם לא הסתבך בפלילים ובפועל, גם אם הדבר לא צוין בכתב האישום, דובר במי שהחזיק את הסמים ואת הנשק עבור אחרים וכי הוא לא עבר את העבירות לבדו. עוד טען, כי יש לשקול את העובדה שבפועל לא נגרם נזק וכן כי מקובל לראות בחשיש ובקנבוס סמים קלים, שהעונש על החזקתם בדרך כלל מקל. הנאשם עצור כבר תקופה ממושכת ולדברי בא-כוחו, הוא ביקש לקבל דיווח על תפקודו משב"ס, אך הדבר לא התאפשר. מכל מקום, הוא מתפקד היטב בבית הסוהר, משתלב בקבוצות טיפוליות ובקרוב ישמש אסיר תומך. עד מעצרו ניהל אורח חיים נורמטיבי, עבד בבתי קפה ובדיור מוגן בעבודות מטבח. </w:t>
      </w:r>
    </w:p>
    <w:p w14:paraId="4CF29CAA" w14:textId="77777777" w:rsidR="0018098C" w:rsidRDefault="0018098C" w:rsidP="0018098C">
      <w:pPr>
        <w:spacing w:line="360" w:lineRule="auto"/>
        <w:jc w:val="both"/>
        <w:rPr>
          <w:rFonts w:ascii="Arial" w:hAnsi="Arial"/>
          <w:rtl/>
        </w:rPr>
      </w:pPr>
    </w:p>
    <w:p w14:paraId="127115DB" w14:textId="77777777" w:rsidR="0018098C" w:rsidRPr="00167BC8" w:rsidRDefault="0018098C" w:rsidP="0018098C">
      <w:pPr>
        <w:spacing w:line="360" w:lineRule="auto"/>
        <w:jc w:val="both"/>
        <w:rPr>
          <w:rFonts w:ascii="Arial" w:hAnsi="Arial"/>
          <w:rtl/>
        </w:rPr>
      </w:pPr>
      <w:r>
        <w:rPr>
          <w:rFonts w:ascii="Arial" w:hAnsi="Arial" w:hint="cs"/>
          <w:rtl/>
        </w:rPr>
        <w:t xml:space="preserve">לנוכח כלל טענותיו, טען בא-כוח הנאשם </w:t>
      </w:r>
      <w:r w:rsidRPr="00167BC8">
        <w:rPr>
          <w:rFonts w:ascii="Arial" w:hAnsi="Arial"/>
          <w:rtl/>
        </w:rPr>
        <w:t>כי יש למקם את עונשו של הנאשם בתחתית מתחם העונש ולהשית עליו עונש שיפיח תקווה בו ובמשפחתו. בכל הנוגע להרתעתו האישית של הנאשם טען, כי עצם המעצר משמש גורם מרתיע משמעותי. לפיכך עתר להסתפק בתקופת מעצרו של הנאשם.</w:t>
      </w:r>
    </w:p>
    <w:p w14:paraId="176032DA" w14:textId="77777777" w:rsidR="0018098C" w:rsidRPr="00167BC8" w:rsidRDefault="0018098C" w:rsidP="0018098C">
      <w:pPr>
        <w:spacing w:line="360" w:lineRule="auto"/>
        <w:jc w:val="both"/>
        <w:rPr>
          <w:rFonts w:ascii="Arial" w:hAnsi="Arial"/>
          <w:rtl/>
        </w:rPr>
      </w:pPr>
    </w:p>
    <w:p w14:paraId="608B82D3" w14:textId="77777777" w:rsidR="0018098C" w:rsidRPr="00167BC8" w:rsidRDefault="0018098C" w:rsidP="0018098C">
      <w:pPr>
        <w:spacing w:line="360" w:lineRule="auto"/>
        <w:jc w:val="both"/>
        <w:rPr>
          <w:rFonts w:ascii="Arial" w:hAnsi="Arial"/>
          <w:rtl/>
        </w:rPr>
      </w:pPr>
      <w:r w:rsidRPr="00167BC8">
        <w:rPr>
          <w:rFonts w:ascii="Arial" w:hAnsi="Arial"/>
          <w:rtl/>
        </w:rPr>
        <w:t>5.</w:t>
      </w:r>
      <w:r w:rsidRPr="00167BC8">
        <w:rPr>
          <w:rFonts w:ascii="Arial" w:hAnsi="Arial"/>
          <w:rtl/>
        </w:rPr>
        <w:tab/>
      </w:r>
      <w:r w:rsidRPr="00167BC8">
        <w:rPr>
          <w:rFonts w:ascii="Arial" w:hAnsi="Arial"/>
          <w:b/>
          <w:bCs/>
          <w:u w:val="single"/>
          <w:rtl/>
        </w:rPr>
        <w:t>דברי הנאשם</w:t>
      </w:r>
      <w:r w:rsidRPr="00167BC8">
        <w:rPr>
          <w:rFonts w:ascii="Arial" w:hAnsi="Arial"/>
          <w:b/>
          <w:bCs/>
          <w:rtl/>
        </w:rPr>
        <w:t>:</w:t>
      </w:r>
      <w:r w:rsidRPr="00167BC8">
        <w:rPr>
          <w:rFonts w:ascii="Arial" w:hAnsi="Arial"/>
          <w:rtl/>
        </w:rPr>
        <w:t xml:space="preserve"> הנאשם אמר, </w:t>
      </w:r>
      <w:r w:rsidRPr="00167BC8">
        <w:rPr>
          <w:rFonts w:ascii="Arial" w:hAnsi="Arial"/>
          <w:b/>
          <w:bCs/>
          <w:rtl/>
        </w:rPr>
        <w:t>"אני לא איש של בית סוהר, אני איש של בית. אני עובד כל הזמן. זה המעצר הראשון שלי וזה גורם נזק למשפחה"</w:t>
      </w:r>
      <w:r w:rsidRPr="00167BC8">
        <w:rPr>
          <w:rFonts w:ascii="Arial" w:hAnsi="Arial"/>
          <w:rtl/>
        </w:rPr>
        <w:t xml:space="preserve">. לדבריו, בבית הסוהר הוא עושה כל מה שניתן כדי לעשות טוב לשיקומו. הוא משתתף בקבוצות טיפוליות ובלימודים. העובדת הסוציאלית אמרה לו שגורמי המודיעין והיא המליצו שהוא ישמש אסיר תומך והוא עומד לשמש בתפקיד הזה. הוא רוצה לסיים את מאסרו ולשוב אל משפחתו וילדיו. הוא מתחרט על מעשיו ומצטער עליהם, אך לצערו, אינו יכול לחזור אחורה. כואב לו המצב שאליו נקלע והוא רוצה להתקדם. </w:t>
      </w:r>
    </w:p>
    <w:p w14:paraId="6326CA3E" w14:textId="77777777" w:rsidR="0018098C" w:rsidRPr="00167BC8" w:rsidRDefault="0018098C" w:rsidP="0018098C">
      <w:pPr>
        <w:spacing w:line="360" w:lineRule="auto"/>
        <w:jc w:val="both"/>
        <w:rPr>
          <w:rFonts w:ascii="Arial" w:hAnsi="Arial"/>
          <w:rtl/>
        </w:rPr>
      </w:pPr>
    </w:p>
    <w:p w14:paraId="62299472" w14:textId="77777777" w:rsidR="0018098C" w:rsidRPr="00167BC8" w:rsidRDefault="0018098C" w:rsidP="0018098C">
      <w:pPr>
        <w:spacing w:line="360" w:lineRule="auto"/>
        <w:jc w:val="both"/>
        <w:rPr>
          <w:rFonts w:ascii="Arial" w:hAnsi="Arial"/>
          <w:b/>
          <w:bCs/>
          <w:u w:val="single"/>
          <w:rtl/>
        </w:rPr>
      </w:pPr>
      <w:r w:rsidRPr="00167BC8">
        <w:rPr>
          <w:rFonts w:ascii="Arial" w:hAnsi="Arial"/>
          <w:b/>
          <w:bCs/>
          <w:u w:val="single"/>
          <w:rtl/>
        </w:rPr>
        <w:t>דיון והכרעה</w:t>
      </w:r>
    </w:p>
    <w:p w14:paraId="7030D724" w14:textId="77777777" w:rsidR="0018098C" w:rsidRPr="00624287" w:rsidRDefault="0018098C" w:rsidP="0018098C">
      <w:pPr>
        <w:spacing w:line="360" w:lineRule="auto"/>
        <w:jc w:val="both"/>
        <w:rPr>
          <w:rFonts w:ascii="Arial" w:hAnsi="Arial"/>
          <w:b/>
          <w:bCs/>
          <w:sz w:val="16"/>
          <w:szCs w:val="16"/>
          <w:u w:val="single"/>
          <w:rtl/>
        </w:rPr>
      </w:pPr>
    </w:p>
    <w:p w14:paraId="1CBA7857" w14:textId="77777777" w:rsidR="0018098C" w:rsidRPr="00167BC8" w:rsidRDefault="0018098C" w:rsidP="0018098C">
      <w:pPr>
        <w:spacing w:line="360" w:lineRule="auto"/>
        <w:ind w:firstLine="720"/>
        <w:jc w:val="both"/>
        <w:rPr>
          <w:rFonts w:ascii="Arial" w:hAnsi="Arial"/>
          <w:u w:val="single"/>
          <w:rtl/>
        </w:rPr>
      </w:pPr>
      <w:r w:rsidRPr="00167BC8">
        <w:rPr>
          <w:rFonts w:ascii="Arial" w:hAnsi="Arial"/>
          <w:b/>
          <w:bCs/>
          <w:u w:val="single"/>
          <w:rtl/>
        </w:rPr>
        <w:t>קביעת מתחם העונש ההולם</w:t>
      </w:r>
    </w:p>
    <w:p w14:paraId="38A7699D" w14:textId="77777777" w:rsidR="0018098C" w:rsidRPr="00624287" w:rsidRDefault="0018098C" w:rsidP="0018098C">
      <w:pPr>
        <w:spacing w:line="360" w:lineRule="auto"/>
        <w:jc w:val="both"/>
        <w:rPr>
          <w:rFonts w:ascii="Arial" w:hAnsi="Arial"/>
          <w:sz w:val="16"/>
          <w:szCs w:val="16"/>
          <w:u w:val="single"/>
          <w:rtl/>
        </w:rPr>
      </w:pPr>
    </w:p>
    <w:p w14:paraId="098B74DE" w14:textId="77777777" w:rsidR="0018098C" w:rsidRPr="00167BC8" w:rsidRDefault="0018098C" w:rsidP="0018098C">
      <w:pPr>
        <w:spacing w:line="360" w:lineRule="auto"/>
        <w:jc w:val="both"/>
        <w:rPr>
          <w:rFonts w:ascii="Arial" w:hAnsi="Arial"/>
          <w:rtl/>
        </w:rPr>
      </w:pPr>
      <w:r w:rsidRPr="00167BC8">
        <w:rPr>
          <w:rFonts w:ascii="Arial" w:hAnsi="Arial"/>
          <w:rtl/>
        </w:rPr>
        <w:t>6.</w:t>
      </w:r>
      <w:r w:rsidRPr="00167BC8">
        <w:rPr>
          <w:rFonts w:ascii="Arial" w:hAnsi="Arial"/>
          <w:rtl/>
        </w:rPr>
        <w:tab/>
      </w:r>
      <w:r w:rsidRPr="00167BC8">
        <w:rPr>
          <w:rFonts w:ascii="Arial" w:hAnsi="Arial"/>
          <w:b/>
          <w:bCs/>
          <w:u w:val="single"/>
          <w:rtl/>
        </w:rPr>
        <w:t>הערכים החברתיים שנפגעו מהעבירות</w:t>
      </w:r>
      <w:r w:rsidRPr="00167BC8">
        <w:rPr>
          <w:rFonts w:ascii="Arial" w:hAnsi="Arial"/>
          <w:u w:val="single"/>
          <w:rtl/>
        </w:rPr>
        <w:t xml:space="preserve"> </w:t>
      </w:r>
      <w:r w:rsidRPr="00167BC8">
        <w:rPr>
          <w:rFonts w:ascii="Arial" w:hAnsi="Arial"/>
          <w:b/>
          <w:bCs/>
          <w:u w:val="single"/>
          <w:rtl/>
        </w:rPr>
        <w:t>ומידת הפגיעה בהם</w:t>
      </w:r>
      <w:r w:rsidRPr="00167BC8">
        <w:rPr>
          <w:rFonts w:ascii="Arial" w:hAnsi="Arial"/>
          <w:b/>
          <w:bCs/>
          <w:rtl/>
        </w:rPr>
        <w:t>:</w:t>
      </w:r>
      <w:r w:rsidRPr="00167BC8">
        <w:rPr>
          <w:rFonts w:ascii="Arial" w:hAnsi="Arial"/>
          <w:rtl/>
        </w:rPr>
        <w:t xml:space="preserve"> העבירות שעבר הנאשם, עבירת </w:t>
      </w:r>
      <w:r>
        <w:rPr>
          <w:rFonts w:ascii="Arial" w:hAnsi="Arial" w:hint="cs"/>
          <w:rtl/>
        </w:rPr>
        <w:t>ה</w:t>
      </w:r>
      <w:r w:rsidRPr="00167BC8">
        <w:rPr>
          <w:rFonts w:ascii="Arial" w:hAnsi="Arial"/>
          <w:rtl/>
        </w:rPr>
        <w:t xml:space="preserve">נשק ועבירת </w:t>
      </w:r>
      <w:r>
        <w:rPr>
          <w:rFonts w:ascii="Arial" w:hAnsi="Arial" w:hint="cs"/>
          <w:rtl/>
        </w:rPr>
        <w:t>ה</w:t>
      </w:r>
      <w:r w:rsidRPr="00167BC8">
        <w:rPr>
          <w:rFonts w:ascii="Arial" w:hAnsi="Arial"/>
          <w:rtl/>
        </w:rPr>
        <w:t>סמים, הן עבירות חמורות הפוגעות בביטחון הציבור, בשלומו, בשלטון החוק ובסדר הציבורי. לנוכח חומרתן, נפיצותן ופגיעתן ה</w:t>
      </w:r>
      <w:r>
        <w:rPr>
          <w:rFonts w:ascii="Arial" w:hAnsi="Arial" w:hint="cs"/>
          <w:rtl/>
        </w:rPr>
        <w:t>קש</w:t>
      </w:r>
      <w:r w:rsidRPr="00167BC8">
        <w:rPr>
          <w:rFonts w:ascii="Arial" w:hAnsi="Arial"/>
          <w:rtl/>
        </w:rPr>
        <w:t xml:space="preserve">ה, נקבע זה מכבר כי עבירות אלו זה בגדר </w:t>
      </w:r>
      <w:r w:rsidRPr="00167BC8">
        <w:rPr>
          <w:rFonts w:ascii="Arial" w:hAnsi="Arial"/>
          <w:b/>
          <w:bCs/>
          <w:rtl/>
        </w:rPr>
        <w:t>"מכת מדינה"</w:t>
      </w:r>
      <w:r w:rsidRPr="00167BC8">
        <w:rPr>
          <w:rFonts w:ascii="Arial" w:hAnsi="Arial"/>
          <w:rtl/>
        </w:rPr>
        <w:t xml:space="preserve">, אשר כבר מטעם זה ישנה הצדקה להחמרת ענישתם של עובריהן. שכן, </w:t>
      </w:r>
      <w:r w:rsidRPr="00167BC8">
        <w:rPr>
          <w:rFonts w:ascii="Arial" w:hAnsi="Arial"/>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w:t>
      </w:r>
      <w:r w:rsidRPr="00167BC8">
        <w:rPr>
          <w:rFonts w:ascii="Arial" w:hAnsi="Arial"/>
          <w:rtl/>
        </w:rPr>
        <w:t>(</w:t>
      </w:r>
      <w:hyperlink r:id="rId17" w:history="1">
        <w:r w:rsidR="007E1236" w:rsidRPr="007E1236">
          <w:rPr>
            <w:rFonts w:ascii="Arial" w:hAnsi="Arial"/>
            <w:color w:val="0000FF"/>
            <w:u w:val="single"/>
            <w:rtl/>
          </w:rPr>
          <w:t>ע"פ 6383/21</w:t>
        </w:r>
      </w:hyperlink>
      <w:r w:rsidR="007E1236">
        <w:rPr>
          <w:rFonts w:ascii="Arial" w:hAnsi="Arial"/>
          <w:rtl/>
        </w:rPr>
        <w:t xml:space="preserve"> </w:t>
      </w:r>
      <w:r w:rsidRPr="00167BC8">
        <w:rPr>
          <w:rFonts w:ascii="Arial" w:hAnsi="Arial"/>
          <w:b/>
          <w:bCs/>
          <w:rtl/>
        </w:rPr>
        <w:t>קריף נ' מדינת ישראל</w:t>
      </w:r>
      <w:r w:rsidRPr="00167BC8">
        <w:rPr>
          <w:rFonts w:ascii="Arial" w:hAnsi="Arial"/>
          <w:rtl/>
        </w:rPr>
        <w:t xml:space="preserve"> (13.2.2022)‏‏, כבוד השופט נ' הנדל, פסקה 3 (להלן </w:t>
      </w:r>
      <w:r w:rsidRPr="00167BC8">
        <w:rPr>
          <w:rFonts w:ascii="Arial" w:hAnsi="Arial"/>
          <w:b/>
          <w:bCs/>
          <w:rtl/>
        </w:rPr>
        <w:t>– עניין קריף</w:t>
      </w:r>
      <w:r w:rsidRPr="00167BC8">
        <w:rPr>
          <w:rFonts w:ascii="Arial" w:hAnsi="Arial"/>
          <w:rtl/>
        </w:rPr>
        <w:t xml:space="preserve">). ראו גם: </w:t>
      </w:r>
      <w:hyperlink r:id="rId18" w:history="1">
        <w:r w:rsidR="007E1236" w:rsidRPr="007E1236">
          <w:rPr>
            <w:rFonts w:ascii="Arial" w:hAnsi="Arial"/>
            <w:color w:val="0000FF"/>
            <w:u w:val="single"/>
            <w:rtl/>
          </w:rPr>
          <w:t>ע"פ 1127/13</w:t>
        </w:r>
      </w:hyperlink>
      <w:r w:rsidRPr="00167BC8">
        <w:rPr>
          <w:rFonts w:ascii="Arial" w:hAnsi="Arial"/>
          <w:rtl/>
        </w:rPr>
        <w:t xml:space="preserve"> </w:t>
      </w:r>
      <w:r w:rsidRPr="00167BC8">
        <w:rPr>
          <w:rFonts w:ascii="Arial" w:hAnsi="Arial"/>
          <w:b/>
          <w:bCs/>
          <w:rtl/>
        </w:rPr>
        <w:t>גברזגיי נ' מדינת ישראל</w:t>
      </w:r>
      <w:r w:rsidRPr="00167BC8">
        <w:rPr>
          <w:rFonts w:ascii="Arial" w:hAnsi="Arial"/>
          <w:rtl/>
        </w:rPr>
        <w:t xml:space="preserve"> (15.1.2014), כבוד השופט ס' ג'ובראן, פסקה 34).</w:t>
      </w:r>
    </w:p>
    <w:p w14:paraId="460F3167" w14:textId="77777777" w:rsidR="0018098C" w:rsidRPr="00167BC8" w:rsidRDefault="0018098C" w:rsidP="0018098C">
      <w:pPr>
        <w:spacing w:line="360" w:lineRule="auto"/>
        <w:jc w:val="both"/>
        <w:rPr>
          <w:rFonts w:ascii="Arial" w:hAnsi="Arial"/>
          <w:rtl/>
        </w:rPr>
      </w:pPr>
    </w:p>
    <w:p w14:paraId="4FE72491" w14:textId="77777777" w:rsidR="0018098C" w:rsidRPr="00167BC8" w:rsidRDefault="0018098C" w:rsidP="0018098C">
      <w:pPr>
        <w:spacing w:line="360" w:lineRule="auto"/>
        <w:jc w:val="both"/>
        <w:rPr>
          <w:rFonts w:ascii="Arial" w:hAnsi="Arial"/>
          <w:b/>
          <w:rtl/>
        </w:rPr>
      </w:pPr>
      <w:r w:rsidRPr="00167BC8">
        <w:rPr>
          <w:rFonts w:ascii="Arial" w:hAnsi="Arial"/>
          <w:rtl/>
        </w:rPr>
        <w:t xml:space="preserve">בעניין </w:t>
      </w:r>
      <w:r w:rsidRPr="00167BC8">
        <w:rPr>
          <w:rFonts w:ascii="Arial" w:hAnsi="Arial"/>
          <w:b/>
          <w:bCs/>
          <w:rtl/>
        </w:rPr>
        <w:t>עבירות נשק</w:t>
      </w:r>
      <w:r w:rsidRPr="00167BC8">
        <w:rPr>
          <w:rFonts w:ascii="Arial" w:hAnsi="Arial"/>
          <w:rtl/>
        </w:rPr>
        <w:t xml:space="preserve"> למיניהן ולסוגיהן ובכלל זה, </w:t>
      </w:r>
      <w:r w:rsidRPr="00167BC8">
        <w:rPr>
          <w:rFonts w:ascii="Arial" w:hAnsi="Arial"/>
          <w:b/>
          <w:bCs/>
          <w:rtl/>
        </w:rPr>
        <w:t>עבירת החזקת נשק, אביזרי נשק ותחמושת</w:t>
      </w:r>
      <w:r w:rsidRPr="00167BC8">
        <w:rPr>
          <w:rFonts w:ascii="Arial" w:hAnsi="Arial"/>
          <w:rtl/>
        </w:rPr>
        <w:t>, שבה הורשע הנאשם, קבע בית המשפט העליון בפסקי דין רבים, לרבות מהעת האחרונה, כי עבירות חמורות אלו הפכו זה מכבר ל</w:t>
      </w:r>
      <w:r w:rsidRPr="00167BC8">
        <w:rPr>
          <w:rFonts w:ascii="Arial" w:hAnsi="Arial"/>
          <w:b/>
          <w:bCs/>
          <w:rtl/>
        </w:rPr>
        <w:t>"מכת מדינה"</w:t>
      </w:r>
      <w:r w:rsidRPr="00167BC8">
        <w:rPr>
          <w:rFonts w:ascii="Arial" w:hAnsi="Arial"/>
          <w:rtl/>
        </w:rPr>
        <w:t xml:space="preserve"> (עניין </w:t>
      </w:r>
      <w:r w:rsidRPr="00167BC8">
        <w:rPr>
          <w:rFonts w:ascii="Arial" w:hAnsi="Arial"/>
          <w:b/>
          <w:bCs/>
          <w:rtl/>
        </w:rPr>
        <w:t>קריף</w:t>
      </w:r>
      <w:r w:rsidRPr="00167BC8">
        <w:rPr>
          <w:rFonts w:ascii="Arial" w:hAnsi="Arial"/>
          <w:rtl/>
        </w:rPr>
        <w:t xml:space="preserve">, שם; </w:t>
      </w:r>
      <w:hyperlink r:id="rId19" w:history="1">
        <w:r w:rsidR="007E1236" w:rsidRPr="007E1236">
          <w:rPr>
            <w:rFonts w:ascii="Arial" w:hAnsi="Arial"/>
            <w:color w:val="0000FF"/>
            <w:u w:val="single"/>
            <w:rtl/>
          </w:rPr>
          <w:t>ע"פ 587/22</w:t>
        </w:r>
      </w:hyperlink>
      <w:r w:rsidR="007E1236">
        <w:rPr>
          <w:rFonts w:ascii="Arial" w:hAnsi="Arial"/>
          <w:rtl/>
        </w:rPr>
        <w:t xml:space="preserve"> </w:t>
      </w:r>
      <w:r w:rsidRPr="00167BC8">
        <w:rPr>
          <w:rFonts w:ascii="Arial" w:hAnsi="Arial"/>
          <w:b/>
          <w:bCs/>
          <w:rtl/>
        </w:rPr>
        <w:t xml:space="preserve">אבו נאעסה נ' מדינת ישראל </w:t>
      </w:r>
      <w:r w:rsidRPr="00167BC8">
        <w:rPr>
          <w:rFonts w:ascii="Arial" w:hAnsi="Arial"/>
          <w:rtl/>
        </w:rPr>
        <w:t xml:space="preserve">(22.5.2022)‏‏, כבוד השופט י' אלרון, פסקה 9; </w:t>
      </w:r>
      <w:hyperlink r:id="rId20" w:history="1">
        <w:r w:rsidR="007E1236" w:rsidRPr="007E1236">
          <w:rPr>
            <w:rFonts w:ascii="Arial" w:hAnsi="Arial"/>
            <w:color w:val="0000FF"/>
            <w:u w:val="single"/>
            <w:rtl/>
          </w:rPr>
          <w:t>ע"פ 2251/21</w:t>
        </w:r>
      </w:hyperlink>
      <w:r w:rsidR="007E1236">
        <w:rPr>
          <w:rFonts w:ascii="Arial" w:hAnsi="Arial"/>
          <w:rtl/>
        </w:rPr>
        <w:t xml:space="preserve"> </w:t>
      </w:r>
      <w:r w:rsidRPr="00167BC8">
        <w:rPr>
          <w:rFonts w:ascii="Arial" w:hAnsi="Arial"/>
          <w:bCs/>
          <w:rtl/>
        </w:rPr>
        <w:t>אבו עראר נ' מדינת ישראל</w:t>
      </w:r>
      <w:r w:rsidRPr="00167BC8">
        <w:rPr>
          <w:rFonts w:ascii="Arial" w:hAnsi="Arial"/>
          <w:b/>
          <w:rtl/>
        </w:rPr>
        <w:t xml:space="preserve"> (15.12.2021); </w:t>
      </w:r>
      <w:hyperlink r:id="rId21" w:history="1">
        <w:r w:rsidR="007E1236" w:rsidRPr="007E1236">
          <w:rPr>
            <w:rFonts w:ascii="Arial" w:hAnsi="Arial"/>
            <w:color w:val="0000FF"/>
            <w:u w:val="single"/>
            <w:rtl/>
          </w:rPr>
          <w:t>ע"פ 2482/22</w:t>
        </w:r>
      </w:hyperlink>
      <w:r w:rsidR="007E1236">
        <w:rPr>
          <w:rFonts w:ascii="Arial" w:hAnsi="Arial"/>
          <w:rtl/>
        </w:rPr>
        <w:t xml:space="preserve"> </w:t>
      </w:r>
      <w:r w:rsidRPr="00167BC8">
        <w:rPr>
          <w:rFonts w:ascii="Arial" w:hAnsi="Arial"/>
          <w:b/>
          <w:bCs/>
          <w:rtl/>
        </w:rPr>
        <w:t xml:space="preserve">מדינת ישראל נ' קדורה </w:t>
      </w:r>
      <w:r w:rsidRPr="00167BC8">
        <w:rPr>
          <w:rFonts w:ascii="Arial" w:hAnsi="Arial"/>
          <w:rtl/>
        </w:rPr>
        <w:t xml:space="preserve">(14.4.2022), כבוד השופט י' עמית, פסקה 6). אף הודגש פעמים רבות הצורך בהחמרת ענישתם של עוברי עבירות נשק, בשל נפיצותן ובשל השלכותיהן הקשות, לרבות הפגיעה הקשה בחיי אדם, גם תמימים שנקלעו באקראי למקום זה או אחר. לכן פעם אחר פעם מודגש הצורך לשרש את תופעת החזקת הנשק ואת השימוש בו שלא כדין, לרבות באמצעות החמרת הענישה, אשר תשמש גורם מרתיע ממשי (ראו בין השאר: ע"פ </w:t>
      </w:r>
      <w:hyperlink r:id="rId22" w:history="1">
        <w:r w:rsidR="003C5DD6" w:rsidRPr="003C5DD6">
          <w:rPr>
            <w:rFonts w:ascii="Arial" w:hAnsi="Arial"/>
            <w:color w:val="0000FF"/>
            <w:u w:val="single"/>
            <w:rtl/>
          </w:rPr>
          <w:t xml:space="preserve">578/22 </w:t>
        </w:r>
      </w:hyperlink>
      <w:r w:rsidRPr="00167BC8">
        <w:rPr>
          <w:rFonts w:ascii="Arial" w:hAnsi="Arial"/>
          <w:rtl/>
        </w:rPr>
        <w:t xml:space="preserve"> </w:t>
      </w:r>
      <w:r w:rsidRPr="00167BC8">
        <w:rPr>
          <w:rFonts w:ascii="Arial" w:hAnsi="Arial"/>
          <w:b/>
          <w:bCs/>
          <w:rtl/>
        </w:rPr>
        <w:t xml:space="preserve">אבו נאעסה נ' מדינת ישראל </w:t>
      </w:r>
      <w:r w:rsidRPr="00167BC8">
        <w:rPr>
          <w:rFonts w:ascii="Arial" w:hAnsi="Arial"/>
          <w:rtl/>
        </w:rPr>
        <w:t>(22.5.2022)‏‏, כבוד השופט י' אלרון, פסקה 9 ופסקי הדין הרבים המובאים שם).</w:t>
      </w:r>
      <w:r w:rsidRPr="00167BC8">
        <w:rPr>
          <w:rFonts w:ascii="Arial" w:hAnsi="Arial"/>
          <w:b/>
          <w:rtl/>
        </w:rPr>
        <w:t xml:space="preserve"> מטעם זה וכידוע, אף נקבע אחרונה </w:t>
      </w:r>
      <w:hyperlink r:id="rId23" w:history="1">
        <w:r w:rsidR="006A449B" w:rsidRPr="006A449B">
          <w:rPr>
            <w:rStyle w:val="Hyperlink"/>
            <w:rFonts w:ascii="Arial" w:hAnsi="Arial"/>
            <w:b/>
            <w:rtl/>
          </w:rPr>
          <w:t>בסעיף 144(ז)</w:t>
        </w:r>
      </w:hyperlink>
      <w:r w:rsidRPr="00167BC8">
        <w:rPr>
          <w:rFonts w:ascii="Arial" w:hAnsi="Arial"/>
          <w:b/>
          <w:rtl/>
        </w:rPr>
        <w:t xml:space="preserve"> ב</w:t>
      </w:r>
      <w:hyperlink r:id="rId24" w:history="1">
        <w:r w:rsidR="007E1236" w:rsidRPr="007E1236">
          <w:rPr>
            <w:rFonts w:ascii="Arial" w:hAnsi="Arial"/>
            <w:b/>
            <w:color w:val="0000FF"/>
            <w:u w:val="single"/>
            <w:rtl/>
          </w:rPr>
          <w:t>חוק העונשין</w:t>
        </w:r>
      </w:hyperlink>
      <w:r w:rsidRPr="00167BC8">
        <w:rPr>
          <w:rFonts w:ascii="Arial" w:hAnsi="Arial"/>
          <w:b/>
          <w:rtl/>
        </w:rPr>
        <w:t xml:space="preserve"> עונש חובה מזערי לעבירות הנשק, אשר נוסף כהוראת שעה (תיקון מס' 140 של חוק העונשין (חוק העונשין (תיקון מס' 140 – הוראת שעה), התשפ"ב-2021 (ס"ח 2938, 8.12.2021, עמ' 472)).</w:t>
      </w:r>
    </w:p>
    <w:p w14:paraId="7172BAF2" w14:textId="77777777" w:rsidR="0018098C" w:rsidRPr="00167BC8" w:rsidRDefault="0018098C" w:rsidP="0018098C">
      <w:pPr>
        <w:spacing w:line="360" w:lineRule="auto"/>
        <w:jc w:val="both"/>
        <w:rPr>
          <w:rFonts w:ascii="Arial" w:hAnsi="Arial"/>
          <w:rtl/>
        </w:rPr>
      </w:pPr>
    </w:p>
    <w:p w14:paraId="597AC1CF" w14:textId="77777777" w:rsidR="0018098C" w:rsidRPr="00167BC8" w:rsidRDefault="0018098C" w:rsidP="0018098C">
      <w:pPr>
        <w:spacing w:line="360" w:lineRule="auto"/>
        <w:jc w:val="both"/>
        <w:rPr>
          <w:rFonts w:ascii="Arial" w:hAnsi="Arial"/>
          <w:rtl/>
        </w:rPr>
      </w:pPr>
      <w:r w:rsidRPr="00167BC8">
        <w:rPr>
          <w:rFonts w:ascii="Arial" w:hAnsi="Arial"/>
          <w:rtl/>
        </w:rPr>
        <w:t xml:space="preserve">הקביעה כי </w:t>
      </w:r>
      <w:r w:rsidRPr="00167BC8">
        <w:rPr>
          <w:rFonts w:ascii="Arial" w:hAnsi="Arial"/>
          <w:b/>
          <w:bCs/>
          <w:rtl/>
        </w:rPr>
        <w:t>עבירות סמים</w:t>
      </w:r>
      <w:r w:rsidRPr="00167BC8">
        <w:rPr>
          <w:rFonts w:ascii="Arial" w:hAnsi="Arial"/>
          <w:rtl/>
        </w:rPr>
        <w:t xml:space="preserve">, לרבות עבירת </w:t>
      </w:r>
      <w:r w:rsidRPr="00167BC8">
        <w:rPr>
          <w:rFonts w:ascii="Arial" w:hAnsi="Arial"/>
          <w:b/>
          <w:bCs/>
          <w:rtl/>
        </w:rPr>
        <w:t>החזקת סמים מסוכנים שלא לצריכה עצמית</w:t>
      </w:r>
      <w:r w:rsidRPr="00167BC8">
        <w:rPr>
          <w:rFonts w:ascii="Arial" w:hAnsi="Arial"/>
          <w:rtl/>
        </w:rPr>
        <w:t xml:space="preserve">, שבה הורשע הנאשם, הן בגדר </w:t>
      </w:r>
      <w:r w:rsidRPr="00167BC8">
        <w:rPr>
          <w:rFonts w:ascii="Arial" w:hAnsi="Arial"/>
          <w:b/>
          <w:bCs/>
          <w:rtl/>
        </w:rPr>
        <w:t>"מכת מדינה"</w:t>
      </w:r>
      <w:r w:rsidRPr="00167BC8">
        <w:rPr>
          <w:rFonts w:ascii="Arial" w:hAnsi="Arial"/>
          <w:rtl/>
        </w:rPr>
        <w:t xml:space="preserve">, נקבעה זה מכבר, לפני שנים רבות. כך למשל, אגב הדיון בענישת מי שהורשע כי עבר עבירת ייבוא סמים, הודגש כי כל עבירות הסמים לסוגיהן הן בגדר </w:t>
      </w:r>
      <w:r w:rsidRPr="00167BC8">
        <w:rPr>
          <w:rFonts w:ascii="Arial" w:hAnsi="Arial"/>
          <w:b/>
          <w:bCs/>
          <w:rtl/>
        </w:rPr>
        <w:t>"מכת מדינה"</w:t>
      </w:r>
      <w:r w:rsidRPr="00167BC8">
        <w:rPr>
          <w:rFonts w:ascii="Arial" w:hAnsi="Arial"/>
          <w:rtl/>
        </w:rPr>
        <w:t xml:space="preserve">, כאמור שם, </w:t>
      </w:r>
      <w:r w:rsidRPr="00167BC8">
        <w:rPr>
          <w:rFonts w:ascii="Arial" w:hAnsi="Arial"/>
          <w:b/>
          <w:bCs/>
          <w:rtl/>
        </w:rPr>
        <w:t>"יבוא הסם הוא אבי אבות הפשע הנתעב הזה, והוא ראשיתה של שרשרת עבירות הבאות לאחר מכן בהפצת הסם ובשימוש בו. כל אלה היו למכת מדינה המתפשטת כמגיפה, ועל בתי המשפט לענוש מבצעי פשע זה בכל חומרת הדין"</w:t>
      </w:r>
      <w:r w:rsidRPr="00167BC8">
        <w:rPr>
          <w:rFonts w:ascii="Arial" w:hAnsi="Arial"/>
          <w:rtl/>
        </w:rPr>
        <w:t xml:space="preserve"> (</w:t>
      </w:r>
      <w:hyperlink r:id="rId25" w:history="1">
        <w:r w:rsidR="007E1236" w:rsidRPr="007E1236">
          <w:rPr>
            <w:rFonts w:ascii="Arial" w:hAnsi="Arial"/>
            <w:color w:val="0000FF"/>
            <w:u w:val="single"/>
            <w:rtl/>
          </w:rPr>
          <w:t>ע"פ 257/89</w:t>
        </w:r>
      </w:hyperlink>
      <w:r w:rsidR="007E1236">
        <w:rPr>
          <w:rFonts w:ascii="Arial" w:hAnsi="Arial"/>
          <w:rtl/>
        </w:rPr>
        <w:t xml:space="preserve"> </w:t>
      </w:r>
      <w:r w:rsidRPr="00167BC8">
        <w:rPr>
          <w:rFonts w:ascii="Arial" w:hAnsi="Arial"/>
          <w:b/>
          <w:bCs/>
          <w:rtl/>
        </w:rPr>
        <w:t>סבג נ' מדינת ישראל</w:t>
      </w:r>
      <w:r w:rsidRPr="00167BC8">
        <w:rPr>
          <w:rFonts w:ascii="Arial" w:hAnsi="Arial"/>
          <w:rtl/>
        </w:rPr>
        <w:t xml:space="preserve">, פ"ד מד(3) 746 (1990)‏‏, כבוד המשנה לנשיא מ' אלון, פסקה 4). בדומה נקבע, כי </w:t>
      </w:r>
      <w:r w:rsidRPr="00167BC8">
        <w:rPr>
          <w:rFonts w:ascii="Arial" w:hAnsi="Arial"/>
          <w:b/>
          <w:bCs/>
          <w:rtl/>
        </w:rPr>
        <w:t>"עבירות הסמים הפכו לנגע שפשה כמגיפה בחברה והוגדרו לא פעם כ'מכת מדינה', באשר ההתמכרות לסם פוגעת בתפקודו הנורמטיבי של הצורך אותו, ולעיתים יש והיא דוחפת אותו לעולם של פשע כדי לממן את רכישתו או כדי להימלט מרשויות החוק, כפי שארע בענייננו. על כן, ברי כי יש להתייחס למבצעיהן בחומרה רבה, על מנת לבער נגע זה מקרבנו"</w:t>
      </w:r>
      <w:r w:rsidRPr="00167BC8">
        <w:rPr>
          <w:rFonts w:ascii="Arial" w:hAnsi="Arial"/>
          <w:rtl/>
        </w:rPr>
        <w:t xml:space="preserve"> (</w:t>
      </w:r>
      <w:hyperlink r:id="rId26" w:history="1">
        <w:r w:rsidR="007E1236" w:rsidRPr="007E1236">
          <w:rPr>
            <w:rFonts w:ascii="Arial" w:hAnsi="Arial"/>
            <w:color w:val="0000FF"/>
            <w:u w:val="single"/>
            <w:rtl/>
          </w:rPr>
          <w:t>בש"פ 6861/07</w:t>
        </w:r>
      </w:hyperlink>
      <w:r w:rsidRPr="00167BC8">
        <w:rPr>
          <w:rFonts w:ascii="Arial" w:hAnsi="Arial"/>
          <w:rtl/>
        </w:rPr>
        <w:t xml:space="preserve"> </w:t>
      </w:r>
      <w:r w:rsidRPr="00167BC8">
        <w:rPr>
          <w:rFonts w:ascii="Arial" w:hAnsi="Arial"/>
          <w:b/>
          <w:bCs/>
          <w:rtl/>
        </w:rPr>
        <w:t>נאסר נ' מדינת ישראל</w:t>
      </w:r>
      <w:r w:rsidR="007E1236">
        <w:rPr>
          <w:rFonts w:ascii="Arial" w:hAnsi="Arial"/>
          <w:rtl/>
        </w:rPr>
        <w:t xml:space="preserve"> </w:t>
      </w:r>
      <w:r w:rsidRPr="00167BC8">
        <w:rPr>
          <w:rFonts w:ascii="Arial" w:hAnsi="Arial"/>
          <w:rtl/>
        </w:rPr>
        <w:t xml:space="preserve">(26.8.2007)‏‏, כבוד השופטת ע' ארבל, פסקה 5. ראו גם: </w:t>
      </w:r>
      <w:hyperlink r:id="rId27" w:history="1">
        <w:r w:rsidR="007E1236" w:rsidRPr="007E1236">
          <w:rPr>
            <w:rFonts w:ascii="Arial" w:hAnsi="Arial"/>
            <w:color w:val="0000FF"/>
            <w:u w:val="single"/>
            <w:rtl/>
          </w:rPr>
          <w:t>ב"ש 297/85</w:t>
        </w:r>
      </w:hyperlink>
      <w:r w:rsidR="007E1236">
        <w:rPr>
          <w:rFonts w:ascii="Arial" w:hAnsi="Arial"/>
          <w:rtl/>
        </w:rPr>
        <w:t xml:space="preserve"> </w:t>
      </w:r>
      <w:r w:rsidRPr="00167BC8">
        <w:rPr>
          <w:rFonts w:ascii="Arial" w:hAnsi="Arial"/>
          <w:b/>
          <w:bCs/>
          <w:rtl/>
        </w:rPr>
        <w:t>עבליני נ' מדינת ישראל</w:t>
      </w:r>
      <w:r w:rsidRPr="00167BC8">
        <w:rPr>
          <w:rFonts w:ascii="Arial" w:hAnsi="Arial"/>
          <w:rtl/>
        </w:rPr>
        <w:t xml:space="preserve">, פ"ד לט(1) 807 (1985)‏‏, כבוד השופט א' חלימה, פסקה 4; </w:t>
      </w:r>
      <w:hyperlink r:id="rId28" w:history="1">
        <w:r w:rsidR="007E1236" w:rsidRPr="007E1236">
          <w:rPr>
            <w:rFonts w:ascii="Arial" w:hAnsi="Arial"/>
            <w:color w:val="0000FF"/>
            <w:u w:val="single"/>
            <w:rtl/>
          </w:rPr>
          <w:t>ע"פ 3931/13</w:t>
        </w:r>
      </w:hyperlink>
      <w:r w:rsidR="007E1236">
        <w:rPr>
          <w:rFonts w:ascii="Arial" w:hAnsi="Arial"/>
          <w:rtl/>
        </w:rPr>
        <w:t xml:space="preserve"> </w:t>
      </w:r>
      <w:r w:rsidRPr="00167BC8">
        <w:rPr>
          <w:rFonts w:ascii="Arial" w:hAnsi="Arial"/>
          <w:b/>
          <w:bCs/>
          <w:rtl/>
        </w:rPr>
        <w:t>באום נ' מדינת ישראל</w:t>
      </w:r>
      <w:r w:rsidR="007E1236">
        <w:rPr>
          <w:rFonts w:ascii="Arial" w:hAnsi="Arial"/>
          <w:rtl/>
        </w:rPr>
        <w:t xml:space="preserve"> </w:t>
      </w:r>
      <w:r w:rsidRPr="00167BC8">
        <w:rPr>
          <w:rFonts w:ascii="Arial" w:hAnsi="Arial"/>
          <w:rtl/>
        </w:rPr>
        <w:t xml:space="preserve">(10.6.2014)‏‏, כבוד השופט ס' ג'ובראן, פסקה 15 (להלן – </w:t>
      </w:r>
      <w:r w:rsidRPr="00167BC8">
        <w:rPr>
          <w:rFonts w:ascii="Arial" w:hAnsi="Arial"/>
          <w:b/>
          <w:bCs/>
          <w:rtl/>
        </w:rPr>
        <w:t>עניין באום</w:t>
      </w:r>
      <w:r w:rsidRPr="00167BC8">
        <w:rPr>
          <w:rFonts w:ascii="Arial" w:hAnsi="Arial"/>
          <w:rtl/>
        </w:rPr>
        <w:t>)).</w:t>
      </w:r>
    </w:p>
    <w:p w14:paraId="556A119E" w14:textId="77777777" w:rsidR="0018098C" w:rsidRPr="00167BC8" w:rsidRDefault="0018098C" w:rsidP="0018098C">
      <w:pPr>
        <w:spacing w:line="360" w:lineRule="auto"/>
        <w:jc w:val="both"/>
        <w:rPr>
          <w:rFonts w:ascii="Arial" w:hAnsi="Arial"/>
          <w:rtl/>
        </w:rPr>
      </w:pPr>
    </w:p>
    <w:p w14:paraId="6132B80F" w14:textId="77777777" w:rsidR="0018098C" w:rsidRPr="00167BC8" w:rsidRDefault="0018098C" w:rsidP="0018098C">
      <w:pPr>
        <w:spacing w:line="360" w:lineRule="auto"/>
        <w:jc w:val="both"/>
        <w:rPr>
          <w:rFonts w:ascii="Arial" w:hAnsi="Arial"/>
          <w:rtl/>
        </w:rPr>
      </w:pPr>
      <w:r w:rsidRPr="00167BC8">
        <w:rPr>
          <w:rFonts w:ascii="Arial" w:hAnsi="Arial"/>
          <w:rtl/>
        </w:rPr>
        <w:t>די אפוא, בתפיסת שני כלי נשק הכשירים לשימוש ובתפיסת כמות הסמים הגדולה, כדי שניתן יהיה לומר כי עוצמת הפגיעה בערכים המוגנים היא במדרג גבוה.</w:t>
      </w:r>
    </w:p>
    <w:p w14:paraId="71CBF33C" w14:textId="77777777" w:rsidR="0018098C" w:rsidRPr="00167BC8" w:rsidRDefault="0018098C" w:rsidP="0018098C">
      <w:pPr>
        <w:spacing w:line="360" w:lineRule="auto"/>
        <w:jc w:val="both"/>
        <w:rPr>
          <w:rFonts w:ascii="Arial" w:hAnsi="Arial"/>
          <w:rtl/>
        </w:rPr>
      </w:pPr>
    </w:p>
    <w:p w14:paraId="383F3231" w14:textId="77777777" w:rsidR="0018098C" w:rsidRPr="00167BC8" w:rsidRDefault="0018098C" w:rsidP="0018098C">
      <w:pPr>
        <w:spacing w:line="360" w:lineRule="auto"/>
        <w:jc w:val="both"/>
        <w:rPr>
          <w:rFonts w:ascii="Arial" w:hAnsi="Arial"/>
          <w:b/>
          <w:bCs/>
          <w:rtl/>
        </w:rPr>
      </w:pPr>
      <w:r w:rsidRPr="00167BC8">
        <w:rPr>
          <w:rFonts w:ascii="Arial" w:hAnsi="Arial"/>
          <w:rtl/>
        </w:rPr>
        <w:t>7.</w:t>
      </w:r>
      <w:r w:rsidRPr="00167BC8">
        <w:rPr>
          <w:rFonts w:ascii="Arial" w:hAnsi="Arial"/>
          <w:rtl/>
        </w:rPr>
        <w:tab/>
      </w:r>
      <w:r w:rsidRPr="00167BC8">
        <w:rPr>
          <w:rFonts w:ascii="Arial" w:hAnsi="Arial"/>
          <w:b/>
          <w:bCs/>
          <w:u w:val="single"/>
          <w:rtl/>
        </w:rPr>
        <w:t>פסקי הדין מטעם המאשימה בעניין מדיניות הענישה</w:t>
      </w:r>
      <w:r w:rsidRPr="00167BC8">
        <w:rPr>
          <w:rFonts w:ascii="Arial" w:hAnsi="Arial"/>
          <w:b/>
          <w:bCs/>
          <w:rtl/>
        </w:rPr>
        <w:t>:</w:t>
      </w:r>
      <w:r w:rsidRPr="00167BC8">
        <w:rPr>
          <w:rFonts w:ascii="Arial" w:hAnsi="Arial"/>
          <w:rtl/>
        </w:rPr>
        <w:t xml:space="preserve"> באת-כוח המאשימה הגישה פסק-דין שעניינו עבירות נשק וסמים (מס' (1) להלן); שלושה פסקי דין שעניינם עבירת הנשק (מס' (2)-(4) להלן); שלושה פסקי דין בעניין עבירת הסמים (מס' (5)-(7) להלן).</w:t>
      </w:r>
    </w:p>
    <w:p w14:paraId="6B756321" w14:textId="77777777" w:rsidR="0018098C" w:rsidRPr="00167BC8" w:rsidRDefault="0018098C" w:rsidP="0018098C">
      <w:pPr>
        <w:spacing w:line="360" w:lineRule="auto"/>
        <w:jc w:val="both"/>
        <w:rPr>
          <w:rFonts w:ascii="Arial" w:hAnsi="Arial"/>
          <w:rtl/>
        </w:rPr>
      </w:pPr>
    </w:p>
    <w:p w14:paraId="1168E752" w14:textId="77777777" w:rsidR="0018098C" w:rsidRPr="00167BC8" w:rsidRDefault="0018098C" w:rsidP="0018098C">
      <w:pPr>
        <w:spacing w:line="360" w:lineRule="auto"/>
        <w:jc w:val="both"/>
        <w:rPr>
          <w:rFonts w:ascii="Arial" w:hAnsi="Arial"/>
          <w:rtl/>
        </w:rPr>
      </w:pPr>
      <w:r w:rsidRPr="00167BC8">
        <w:rPr>
          <w:rFonts w:ascii="Arial" w:hAnsi="Arial"/>
          <w:rtl/>
        </w:rPr>
        <w:t>(1)</w:t>
      </w:r>
      <w:r w:rsidRPr="00167BC8">
        <w:rPr>
          <w:rFonts w:ascii="Arial" w:hAnsi="Arial"/>
          <w:rtl/>
        </w:rPr>
        <w:tab/>
      </w:r>
      <w:hyperlink r:id="rId29" w:history="1">
        <w:r w:rsidR="007E1236" w:rsidRPr="007E1236">
          <w:rPr>
            <w:rFonts w:ascii="Arial" w:hAnsi="Arial"/>
            <w:color w:val="0000FF"/>
            <w:u w:val="single"/>
            <w:rtl/>
          </w:rPr>
          <w:t>ת"פ (שלום ירושלים) 57425-01-22</w:t>
        </w:r>
      </w:hyperlink>
      <w:r w:rsidRPr="00167BC8">
        <w:rPr>
          <w:rFonts w:ascii="Arial" w:hAnsi="Arial"/>
          <w:rtl/>
        </w:rPr>
        <w:t xml:space="preserve"> </w:t>
      </w:r>
      <w:r w:rsidRPr="00167BC8">
        <w:rPr>
          <w:rFonts w:ascii="Arial" w:hAnsi="Arial"/>
          <w:b/>
          <w:bCs/>
          <w:rtl/>
        </w:rPr>
        <w:t>מדינת ישראל נ' 1. געואן</w:t>
      </w:r>
      <w:r w:rsidRPr="00167BC8">
        <w:rPr>
          <w:rFonts w:ascii="Arial" w:hAnsi="Arial"/>
          <w:rtl/>
        </w:rPr>
        <w:t xml:space="preserve"> (מיום 13.2.2023);</w:t>
      </w:r>
      <w:r w:rsidRPr="00167BC8">
        <w:rPr>
          <w:rFonts w:ascii="Arial" w:hAnsi="Arial"/>
          <w:b/>
          <w:bCs/>
          <w:rtl/>
        </w:rPr>
        <w:t xml:space="preserve"> 2.  דעאגלה</w:t>
      </w:r>
      <w:r w:rsidRPr="00167BC8">
        <w:rPr>
          <w:rFonts w:ascii="Arial" w:hAnsi="Arial"/>
          <w:rtl/>
        </w:rPr>
        <w:t xml:space="preserve"> (מיום 4.1.2023) – שני הנאשמים הורשעו על-פי הודאותיהם בבית משפט השלום בעבירת החזקת נשק, אביזרי נשק ותחמושת, אשר כללו שני אקדחים, מחסניות וכדורים ובעבירות החזקת סמים שלא לצריכה עצמית וסחר בסמים. דובר בטבליות </w:t>
      </w:r>
      <w:r w:rsidRPr="00167BC8">
        <w:rPr>
          <w:rFonts w:ascii="Arial" w:hAnsi="Arial"/>
        </w:rPr>
        <w:t>MDMA</w:t>
      </w:r>
      <w:r w:rsidRPr="00167BC8">
        <w:rPr>
          <w:rFonts w:ascii="Arial" w:hAnsi="Arial"/>
          <w:rtl/>
        </w:rPr>
        <w:t>, חשיש, קנבוס והחזקת אביזרים רבים להכנת מנות סם. שניהם צעירים ללא הרשעות קודמות. דובר בהליך אחד, אך ענייניהם נדונו לפני שני מותבים, כלהלן: בעניין הנאשם 1 (געואן) – לעבירות הנשק נקבע מתחם עונש בין 24 ל-48 חודשי מאסר ולעבירות הסמים בין 36 ל-60 והושתו 48 חודשי מאסר בפועל ומאסר מותנה; בעניין הנאשם 2 (דעאגלה)</w:t>
      </w:r>
      <w:r w:rsidRPr="00167BC8">
        <w:rPr>
          <w:rFonts w:ascii="Arial" w:hAnsi="Arial"/>
        </w:rPr>
        <w:t xml:space="preserve"> </w:t>
      </w:r>
      <w:r w:rsidRPr="00167BC8">
        <w:rPr>
          <w:rFonts w:ascii="Arial" w:hAnsi="Arial"/>
          <w:rtl/>
        </w:rPr>
        <w:t>– לעבירות הנשק נקבע מתחם עונש בין 18 ל-36 חודשי מאסר ולעבירות הסמים בין 24 ל-50 והושתו עליו 60 חודשי מאסר בפועל ומאסר מותנה. במסגרת ערעורו הופחת מאסרו ל-50 חודש (</w:t>
      </w:r>
      <w:hyperlink r:id="rId30" w:history="1">
        <w:r w:rsidR="007E1236" w:rsidRPr="007E1236">
          <w:rPr>
            <w:rFonts w:ascii="Arial" w:hAnsi="Arial"/>
            <w:color w:val="0000FF"/>
            <w:u w:val="single"/>
            <w:rtl/>
          </w:rPr>
          <w:t>עפ"ג (מחוזי ירושלים) 30958-02-23</w:t>
        </w:r>
      </w:hyperlink>
      <w:r w:rsidRPr="00167BC8">
        <w:rPr>
          <w:rFonts w:ascii="Arial" w:hAnsi="Arial"/>
          <w:rtl/>
        </w:rPr>
        <w:t xml:space="preserve"> </w:t>
      </w:r>
      <w:r w:rsidRPr="00167BC8">
        <w:rPr>
          <w:rFonts w:ascii="Arial" w:hAnsi="Arial"/>
          <w:b/>
          <w:bCs/>
          <w:rtl/>
        </w:rPr>
        <w:t>דעאגלה נ' מדינת ישראל</w:t>
      </w:r>
      <w:r w:rsidRPr="00167BC8">
        <w:rPr>
          <w:rFonts w:ascii="Arial" w:hAnsi="Arial"/>
          <w:rtl/>
        </w:rPr>
        <w:t xml:space="preserve"> (1.6.2023)).</w:t>
      </w:r>
    </w:p>
    <w:p w14:paraId="007EF1DC" w14:textId="77777777" w:rsidR="0018098C" w:rsidRPr="00167BC8" w:rsidRDefault="0018098C" w:rsidP="0018098C">
      <w:pPr>
        <w:spacing w:line="360" w:lineRule="auto"/>
        <w:jc w:val="both"/>
        <w:rPr>
          <w:rFonts w:ascii="Arial" w:hAnsi="Arial"/>
          <w:rtl/>
        </w:rPr>
      </w:pPr>
    </w:p>
    <w:p w14:paraId="211139D3" w14:textId="77777777" w:rsidR="0018098C" w:rsidRPr="00167BC8" w:rsidRDefault="0018098C" w:rsidP="0018098C">
      <w:pPr>
        <w:spacing w:line="360" w:lineRule="auto"/>
        <w:jc w:val="both"/>
        <w:rPr>
          <w:rFonts w:ascii="Arial" w:hAnsi="Arial"/>
          <w:rtl/>
        </w:rPr>
      </w:pPr>
      <w:r w:rsidRPr="00167BC8">
        <w:rPr>
          <w:rFonts w:ascii="Arial" w:hAnsi="Arial"/>
          <w:rtl/>
        </w:rPr>
        <w:t>(2)</w:t>
      </w:r>
      <w:r w:rsidRPr="00167BC8">
        <w:rPr>
          <w:rFonts w:ascii="Arial" w:hAnsi="Arial"/>
          <w:rtl/>
        </w:rPr>
        <w:tab/>
        <w:t xml:space="preserve">ת"פ (שלום באר שבע) 35396-0422 </w:t>
      </w:r>
      <w:r w:rsidRPr="00167BC8">
        <w:rPr>
          <w:rFonts w:ascii="Arial" w:hAnsi="Arial"/>
          <w:b/>
          <w:bCs/>
          <w:rtl/>
        </w:rPr>
        <w:t xml:space="preserve">מדינת ישראל נ' אלהזייל </w:t>
      </w:r>
      <w:r w:rsidRPr="00167BC8">
        <w:rPr>
          <w:rFonts w:ascii="Arial" w:hAnsi="Arial"/>
          <w:rtl/>
        </w:rPr>
        <w:t>(29.12.2022) –  הרשעה על-פי הודאה בעבירת החזקת נשק ותחמושת, שכללו אקדח ומחסנית טעונה בכדורים וכן בעבירת התנגדות למעצר. נקבע מתחם עונש בין 20 ל-40 חודשי מאסר. הנאשם כבן 30 ונעדר הרשעות קודמות. הושתו 24 חודשי מאסר בפועל ומאסר מותנה.</w:t>
      </w:r>
    </w:p>
    <w:p w14:paraId="2CE41046" w14:textId="77777777" w:rsidR="0018098C" w:rsidRPr="00167BC8" w:rsidRDefault="0018098C" w:rsidP="0018098C">
      <w:pPr>
        <w:spacing w:line="360" w:lineRule="auto"/>
        <w:jc w:val="both"/>
        <w:rPr>
          <w:rFonts w:ascii="Arial" w:hAnsi="Arial"/>
          <w:rtl/>
        </w:rPr>
      </w:pPr>
    </w:p>
    <w:p w14:paraId="44510A62" w14:textId="77777777" w:rsidR="0018098C" w:rsidRPr="00167BC8" w:rsidRDefault="0018098C" w:rsidP="0018098C">
      <w:pPr>
        <w:spacing w:line="360" w:lineRule="auto"/>
        <w:jc w:val="both"/>
        <w:rPr>
          <w:rFonts w:ascii="Arial" w:hAnsi="Arial"/>
          <w:rtl/>
        </w:rPr>
      </w:pPr>
      <w:r w:rsidRPr="00167BC8">
        <w:rPr>
          <w:rFonts w:ascii="Arial" w:hAnsi="Arial"/>
          <w:rtl/>
        </w:rPr>
        <w:t>(3)</w:t>
      </w:r>
      <w:r w:rsidRPr="00167BC8">
        <w:rPr>
          <w:rFonts w:ascii="Arial" w:hAnsi="Arial"/>
          <w:rtl/>
        </w:rPr>
        <w:tab/>
      </w:r>
      <w:hyperlink r:id="rId31" w:history="1">
        <w:r w:rsidR="007E1236" w:rsidRPr="007E1236">
          <w:rPr>
            <w:rFonts w:ascii="Arial" w:hAnsi="Arial"/>
            <w:color w:val="0000FF"/>
            <w:u w:val="single"/>
            <w:rtl/>
          </w:rPr>
          <w:t>ת"פ (מחוזי באר שבע) 55185-02-20</w:t>
        </w:r>
      </w:hyperlink>
      <w:r w:rsidRPr="00167BC8">
        <w:rPr>
          <w:rFonts w:ascii="Arial" w:hAnsi="Arial"/>
          <w:rtl/>
        </w:rPr>
        <w:t xml:space="preserve"> </w:t>
      </w:r>
      <w:r w:rsidRPr="00167BC8">
        <w:rPr>
          <w:rFonts w:ascii="Arial" w:hAnsi="Arial"/>
          <w:b/>
          <w:bCs/>
          <w:rtl/>
        </w:rPr>
        <w:t xml:space="preserve">מדינת ישראל נ' אלנבארי </w:t>
      </w:r>
      <w:r w:rsidRPr="00167BC8">
        <w:rPr>
          <w:rFonts w:ascii="Arial" w:hAnsi="Arial"/>
          <w:rtl/>
        </w:rPr>
        <w:t xml:space="preserve">(30.1.2022) – הרשעה על-פי הודאה בעבירת החזקת נשק ותחמושת שכללו אקדח ומחסנית עם כדורים. נקבע מתחם עונש בין 15 ל-36 חודשי מאסר. הנאשם כבן 26, נשוי ואב לילדים ללא הרשעות קודמות. הושתו 20 חודשי מאסר בפועל ומאסר מותנה. </w:t>
      </w:r>
    </w:p>
    <w:p w14:paraId="74083597" w14:textId="77777777" w:rsidR="0018098C" w:rsidRPr="00167BC8" w:rsidRDefault="0018098C" w:rsidP="0018098C">
      <w:pPr>
        <w:spacing w:line="360" w:lineRule="auto"/>
        <w:jc w:val="both"/>
        <w:rPr>
          <w:rFonts w:ascii="Arial" w:hAnsi="Arial"/>
          <w:rtl/>
        </w:rPr>
      </w:pPr>
    </w:p>
    <w:p w14:paraId="79FCDE3C" w14:textId="77777777" w:rsidR="0018098C" w:rsidRPr="00167BC8" w:rsidRDefault="0018098C" w:rsidP="0018098C">
      <w:pPr>
        <w:spacing w:line="360" w:lineRule="auto"/>
        <w:jc w:val="both"/>
        <w:rPr>
          <w:rFonts w:ascii="Arial" w:hAnsi="Arial"/>
          <w:rtl/>
        </w:rPr>
      </w:pPr>
      <w:r w:rsidRPr="00167BC8">
        <w:rPr>
          <w:rFonts w:ascii="Arial" w:hAnsi="Arial"/>
          <w:rtl/>
        </w:rPr>
        <w:t>(4)</w:t>
      </w:r>
      <w:r w:rsidRPr="00167BC8">
        <w:rPr>
          <w:rFonts w:ascii="Arial" w:hAnsi="Arial"/>
          <w:rtl/>
        </w:rPr>
        <w:tab/>
        <w:t xml:space="preserve">ת"פ שלום באר שבע) </w:t>
      </w:r>
      <w:hyperlink r:id="rId32" w:history="1">
        <w:r w:rsidR="003C5DD6" w:rsidRPr="003C5DD6">
          <w:rPr>
            <w:rFonts w:ascii="Arial" w:hAnsi="Arial"/>
            <w:color w:val="0000FF"/>
            <w:u w:val="single"/>
            <w:rtl/>
          </w:rPr>
          <w:t xml:space="preserve">52091-02-20 </w:t>
        </w:r>
      </w:hyperlink>
      <w:r w:rsidRPr="00167BC8">
        <w:rPr>
          <w:rFonts w:ascii="Arial" w:hAnsi="Arial"/>
          <w:rtl/>
        </w:rPr>
        <w:t xml:space="preserve"> </w:t>
      </w:r>
      <w:r w:rsidRPr="00167BC8">
        <w:rPr>
          <w:rFonts w:ascii="Arial" w:hAnsi="Arial"/>
          <w:b/>
          <w:bCs/>
          <w:rtl/>
        </w:rPr>
        <w:t xml:space="preserve">מדינת ישראל נ' אלעאסם </w:t>
      </w:r>
      <w:r w:rsidRPr="00167BC8">
        <w:rPr>
          <w:rFonts w:ascii="Arial" w:hAnsi="Arial"/>
          <w:rtl/>
        </w:rPr>
        <w:t>(15.3.2021) – הנאשם הורשע על-פי הודאתו בעבירת החזקת נשק מסוג תת מקלע מאולתר וכדורים. נקבע מתחם עונש בין 18 ל-36 חודש. הנאשם כבן 45, נשוי ואב לשבעה ילדים ללא הרשעות קודמות. הושתו 18 חודשי מאסר בפועל, מאסר מותנה וקנס.</w:t>
      </w:r>
    </w:p>
    <w:p w14:paraId="74E691B7" w14:textId="77777777" w:rsidR="0018098C" w:rsidRPr="00167BC8" w:rsidRDefault="0018098C" w:rsidP="0018098C">
      <w:pPr>
        <w:spacing w:line="360" w:lineRule="auto"/>
        <w:jc w:val="both"/>
        <w:rPr>
          <w:rFonts w:ascii="Arial" w:hAnsi="Arial"/>
          <w:rtl/>
        </w:rPr>
      </w:pPr>
    </w:p>
    <w:p w14:paraId="4C71054D" w14:textId="77777777" w:rsidR="0018098C" w:rsidRPr="00167BC8" w:rsidRDefault="0018098C" w:rsidP="0018098C">
      <w:pPr>
        <w:spacing w:line="360" w:lineRule="auto"/>
        <w:jc w:val="both"/>
        <w:rPr>
          <w:rFonts w:ascii="Arial" w:hAnsi="Arial"/>
          <w:rtl/>
        </w:rPr>
      </w:pPr>
      <w:r w:rsidRPr="00167BC8">
        <w:rPr>
          <w:rFonts w:ascii="Arial" w:hAnsi="Arial"/>
          <w:rtl/>
        </w:rPr>
        <w:t>(5)</w:t>
      </w:r>
      <w:r w:rsidRPr="00167BC8">
        <w:rPr>
          <w:rFonts w:ascii="Arial" w:hAnsi="Arial"/>
          <w:rtl/>
        </w:rPr>
        <w:tab/>
        <w:t xml:space="preserve"> </w:t>
      </w:r>
      <w:hyperlink r:id="rId33" w:history="1">
        <w:r w:rsidR="007E1236" w:rsidRPr="007E1236">
          <w:rPr>
            <w:rFonts w:ascii="Arial" w:hAnsi="Arial"/>
            <w:color w:val="0000FF"/>
            <w:u w:val="single"/>
            <w:rtl/>
          </w:rPr>
          <w:t>ת"פ (מחוזי חיפה) 4886-11-18</w:t>
        </w:r>
      </w:hyperlink>
      <w:r w:rsidRPr="00167BC8">
        <w:rPr>
          <w:rFonts w:ascii="Arial" w:hAnsi="Arial"/>
          <w:rtl/>
        </w:rPr>
        <w:t xml:space="preserve"> </w:t>
      </w:r>
      <w:r w:rsidRPr="00167BC8">
        <w:rPr>
          <w:rFonts w:ascii="Arial" w:hAnsi="Arial"/>
          <w:b/>
          <w:bCs/>
          <w:rtl/>
        </w:rPr>
        <w:t xml:space="preserve">מדינת ישראל נ' מיעארי </w:t>
      </w:r>
      <w:r w:rsidRPr="00167BC8">
        <w:rPr>
          <w:rFonts w:ascii="Arial" w:hAnsi="Arial"/>
          <w:rtl/>
        </w:rPr>
        <w:t xml:space="preserve">(28.4.2019) – בעניין הנאשם 1 – הרשעה על-פי הודאה בעבירות סמים אשר כללו החזקת כ-2,500 טבליות </w:t>
      </w:r>
      <w:r w:rsidRPr="00167BC8">
        <w:rPr>
          <w:rFonts w:ascii="Arial" w:hAnsi="Arial"/>
        </w:rPr>
        <w:t>MDMA</w:t>
      </w:r>
      <w:r w:rsidRPr="00167BC8">
        <w:rPr>
          <w:rFonts w:ascii="Arial" w:hAnsi="Arial"/>
          <w:rtl/>
        </w:rPr>
        <w:t>, 7.75 גרם קוקאין, כ-3 ק"ג חשיש וכ-2.8 ק"ג קנבוס. נקבע מתחם עונש בין 33 ל-60 חודשי מאסר. לחובת הנאשם הרשעות קודמות והוא אף צירף הליך נוסף, שהעונש נקבע בעניין שני ההליכים.</w:t>
      </w:r>
    </w:p>
    <w:p w14:paraId="26E54380" w14:textId="77777777" w:rsidR="0018098C" w:rsidRPr="00167BC8" w:rsidRDefault="0018098C" w:rsidP="0018098C">
      <w:pPr>
        <w:spacing w:line="360" w:lineRule="auto"/>
        <w:jc w:val="both"/>
        <w:rPr>
          <w:rFonts w:ascii="Arial" w:hAnsi="Arial"/>
          <w:rtl/>
        </w:rPr>
      </w:pPr>
    </w:p>
    <w:p w14:paraId="445B47E3" w14:textId="77777777" w:rsidR="0018098C" w:rsidRPr="00167BC8" w:rsidRDefault="0018098C" w:rsidP="0018098C">
      <w:pPr>
        <w:spacing w:line="360" w:lineRule="auto"/>
        <w:jc w:val="both"/>
        <w:rPr>
          <w:rFonts w:ascii="Arial" w:hAnsi="Arial"/>
          <w:rtl/>
        </w:rPr>
      </w:pPr>
      <w:r w:rsidRPr="00167BC8">
        <w:rPr>
          <w:rFonts w:ascii="Arial" w:hAnsi="Arial"/>
          <w:rtl/>
        </w:rPr>
        <w:t>(6)</w:t>
      </w:r>
      <w:r w:rsidRPr="00167BC8">
        <w:rPr>
          <w:rFonts w:ascii="Arial" w:hAnsi="Arial"/>
          <w:rtl/>
        </w:rPr>
        <w:tab/>
      </w:r>
      <w:hyperlink r:id="rId34" w:history="1">
        <w:r w:rsidR="007E1236" w:rsidRPr="007E1236">
          <w:rPr>
            <w:rFonts w:ascii="Arial" w:hAnsi="Arial"/>
            <w:color w:val="0000FF"/>
            <w:u w:val="single"/>
            <w:rtl/>
          </w:rPr>
          <w:t>ת"פ (מחוזי חיפה) 701-12-16</w:t>
        </w:r>
      </w:hyperlink>
      <w:r w:rsidRPr="00167BC8">
        <w:rPr>
          <w:rFonts w:ascii="Arial" w:hAnsi="Arial"/>
          <w:rtl/>
        </w:rPr>
        <w:t xml:space="preserve"> </w:t>
      </w:r>
      <w:r w:rsidRPr="00167BC8">
        <w:rPr>
          <w:rFonts w:ascii="Arial" w:hAnsi="Arial"/>
          <w:b/>
          <w:bCs/>
          <w:rtl/>
        </w:rPr>
        <w:t>מדינת ישראל נ' עומאר</w:t>
      </w:r>
      <w:r w:rsidRPr="00167BC8">
        <w:rPr>
          <w:rFonts w:ascii="Arial" w:hAnsi="Arial"/>
          <w:rtl/>
        </w:rPr>
        <w:t xml:space="preserve"> (1.10.2017) – הרשעה על-פי הודאה בעבירת החזקת סמים שלא לצריכה עצמית שכללו 7 אריזות של 700 טבליות </w:t>
      </w:r>
      <w:r w:rsidRPr="00167BC8">
        <w:rPr>
          <w:rFonts w:ascii="Arial" w:hAnsi="Arial"/>
        </w:rPr>
        <w:t>MDMA</w:t>
      </w:r>
      <w:r w:rsidRPr="00167BC8">
        <w:rPr>
          <w:rFonts w:ascii="Arial" w:hAnsi="Arial"/>
          <w:rtl/>
        </w:rPr>
        <w:t>. נקבע מתחם עונש בין 15 ל-36 חודשי מאסר. הנאשם צעיר ללא הרשעות קודמות. הושתו 18 חודשי מאסר, מאסר מותנה, פסילת רישיון נהיגה וקנס.</w:t>
      </w:r>
    </w:p>
    <w:p w14:paraId="7CE1A6C1" w14:textId="77777777" w:rsidR="0018098C" w:rsidRPr="00167BC8" w:rsidRDefault="0018098C" w:rsidP="0018098C">
      <w:pPr>
        <w:spacing w:line="360" w:lineRule="auto"/>
        <w:jc w:val="both"/>
        <w:rPr>
          <w:rFonts w:ascii="Arial" w:hAnsi="Arial"/>
          <w:rtl/>
        </w:rPr>
      </w:pPr>
    </w:p>
    <w:p w14:paraId="77C72B67" w14:textId="77777777" w:rsidR="0018098C" w:rsidRPr="00167BC8" w:rsidRDefault="0018098C" w:rsidP="0018098C">
      <w:pPr>
        <w:spacing w:line="360" w:lineRule="auto"/>
        <w:jc w:val="both"/>
        <w:rPr>
          <w:rFonts w:ascii="Arial" w:hAnsi="Arial"/>
          <w:rtl/>
        </w:rPr>
      </w:pPr>
      <w:r w:rsidRPr="00167BC8">
        <w:rPr>
          <w:rFonts w:ascii="Arial" w:hAnsi="Arial"/>
          <w:rtl/>
        </w:rPr>
        <w:t>(7)</w:t>
      </w:r>
      <w:r w:rsidRPr="00167BC8">
        <w:rPr>
          <w:rFonts w:ascii="Arial" w:hAnsi="Arial"/>
          <w:rtl/>
        </w:rPr>
        <w:tab/>
      </w:r>
      <w:hyperlink r:id="rId35" w:history="1">
        <w:r w:rsidR="007E1236" w:rsidRPr="007E1236">
          <w:rPr>
            <w:rFonts w:ascii="Arial" w:hAnsi="Arial"/>
            <w:color w:val="0000FF"/>
            <w:u w:val="single"/>
            <w:rtl/>
          </w:rPr>
          <w:t>ת"פ (מחוזי חיפה) 26524-10-14</w:t>
        </w:r>
      </w:hyperlink>
      <w:r w:rsidRPr="00167BC8">
        <w:rPr>
          <w:rFonts w:ascii="Arial" w:hAnsi="Arial"/>
          <w:rtl/>
        </w:rPr>
        <w:t xml:space="preserve"> </w:t>
      </w:r>
      <w:r w:rsidRPr="00167BC8">
        <w:rPr>
          <w:rFonts w:ascii="Arial" w:hAnsi="Arial"/>
          <w:b/>
          <w:bCs/>
          <w:rtl/>
        </w:rPr>
        <w:t>מדינת ישראל נ' ביטון</w:t>
      </w:r>
      <w:r w:rsidRPr="00167BC8">
        <w:rPr>
          <w:rFonts w:ascii="Arial" w:hAnsi="Arial"/>
          <w:rtl/>
        </w:rPr>
        <w:t xml:space="preserve"> (15.4.2015) – הרשעה על-פי הודאה בעבירת החזקת סמים שלא לצריכה עצמית שכללו כ-500 גרם </w:t>
      </w:r>
      <w:r w:rsidRPr="00167BC8">
        <w:rPr>
          <w:rFonts w:ascii="Arial" w:hAnsi="Arial"/>
        </w:rPr>
        <w:t>MDMA</w:t>
      </w:r>
      <w:r w:rsidRPr="00167BC8">
        <w:rPr>
          <w:rFonts w:ascii="Arial" w:hAnsi="Arial"/>
          <w:rtl/>
        </w:rPr>
        <w:t xml:space="preserve"> </w:t>
      </w:r>
      <w:r w:rsidRPr="00167BC8">
        <w:rPr>
          <w:rFonts w:ascii="Arial" w:hAnsi="Arial" w:hint="cs"/>
          <w:rtl/>
        </w:rPr>
        <w:t xml:space="preserve">גולמי. נקבע מתחם עונש בין 3 ל-5 שנות מאסר. לחובת הנאשם הרשעות קודמות רבות והוא אף נשא בעונשי מאסר בפועל. הוא נדון ל-36 חודשי מאסר, מאסר מותנה, קנס ופסילת רישיון נהיגה. </w:t>
      </w:r>
    </w:p>
    <w:p w14:paraId="2ED900D6" w14:textId="77777777" w:rsidR="0018098C" w:rsidRPr="00167BC8" w:rsidRDefault="0018098C" w:rsidP="0018098C">
      <w:pPr>
        <w:spacing w:line="360" w:lineRule="auto"/>
        <w:jc w:val="both"/>
        <w:rPr>
          <w:rFonts w:ascii="Arial" w:hAnsi="Arial"/>
          <w:rtl/>
        </w:rPr>
      </w:pPr>
    </w:p>
    <w:p w14:paraId="5601D34E" w14:textId="77777777" w:rsidR="0018098C" w:rsidRPr="00167BC8" w:rsidRDefault="0018098C" w:rsidP="0018098C">
      <w:pPr>
        <w:spacing w:line="360" w:lineRule="auto"/>
        <w:jc w:val="both"/>
        <w:rPr>
          <w:rFonts w:ascii="Arial" w:hAnsi="Arial"/>
          <w:b/>
          <w:bCs/>
          <w:rtl/>
        </w:rPr>
      </w:pPr>
      <w:r w:rsidRPr="00167BC8">
        <w:rPr>
          <w:rFonts w:ascii="Arial" w:hAnsi="Arial"/>
          <w:rtl/>
        </w:rPr>
        <w:t>8.</w:t>
      </w:r>
      <w:r w:rsidRPr="00167BC8">
        <w:rPr>
          <w:rFonts w:ascii="Arial" w:hAnsi="Arial"/>
          <w:rtl/>
        </w:rPr>
        <w:tab/>
      </w:r>
      <w:r w:rsidRPr="00167BC8">
        <w:rPr>
          <w:rFonts w:ascii="Arial" w:hAnsi="Arial"/>
          <w:b/>
          <w:bCs/>
          <w:u w:val="single"/>
          <w:rtl/>
        </w:rPr>
        <w:t>פסקי דין מטעם ההגנה בעניין מדיניות הענישה</w:t>
      </w:r>
      <w:r w:rsidRPr="00167BC8">
        <w:rPr>
          <w:rFonts w:ascii="Arial" w:hAnsi="Arial"/>
          <w:b/>
          <w:bCs/>
          <w:rtl/>
        </w:rPr>
        <w:t>:</w:t>
      </w:r>
      <w:r w:rsidRPr="00167BC8">
        <w:rPr>
          <w:rFonts w:ascii="Arial" w:hAnsi="Arial"/>
          <w:rtl/>
        </w:rPr>
        <w:t xml:space="preserve"> בא-כוח הנאשם הגיש שלושה פסקי דין בעניין עבירת הנשק (מס' (1)-(3) להלן) ושלושה בעניין עבירות הסמים (מס' (4)-(6) להלן).</w:t>
      </w:r>
    </w:p>
    <w:p w14:paraId="1F142EB4" w14:textId="77777777" w:rsidR="0018098C" w:rsidRPr="00167BC8" w:rsidRDefault="0018098C" w:rsidP="0018098C">
      <w:pPr>
        <w:spacing w:line="360" w:lineRule="auto"/>
        <w:jc w:val="both"/>
        <w:rPr>
          <w:rFonts w:ascii="Arial" w:hAnsi="Arial"/>
          <w:rtl/>
        </w:rPr>
      </w:pPr>
    </w:p>
    <w:p w14:paraId="64508149" w14:textId="77777777" w:rsidR="0018098C" w:rsidRPr="00167BC8" w:rsidRDefault="0018098C" w:rsidP="0018098C">
      <w:pPr>
        <w:spacing w:line="360" w:lineRule="auto"/>
        <w:jc w:val="both"/>
        <w:rPr>
          <w:rFonts w:ascii="Arial" w:hAnsi="Arial"/>
          <w:rtl/>
        </w:rPr>
      </w:pPr>
      <w:r w:rsidRPr="00167BC8">
        <w:rPr>
          <w:rFonts w:ascii="Arial" w:hAnsi="Arial"/>
          <w:rtl/>
        </w:rPr>
        <w:t>(1)</w:t>
      </w:r>
      <w:r w:rsidRPr="00167BC8">
        <w:rPr>
          <w:rFonts w:ascii="Arial" w:hAnsi="Arial"/>
          <w:rtl/>
        </w:rPr>
        <w:tab/>
        <w:t xml:space="preserve"> </w:t>
      </w:r>
      <w:hyperlink r:id="rId36" w:history="1">
        <w:r w:rsidR="007E1236" w:rsidRPr="007E1236">
          <w:rPr>
            <w:rFonts w:ascii="Arial" w:hAnsi="Arial"/>
            <w:color w:val="0000FF"/>
            <w:u w:val="single"/>
            <w:rtl/>
          </w:rPr>
          <w:t>ת"פ (מחוזי ירושלים) 35397-07-21</w:t>
        </w:r>
      </w:hyperlink>
      <w:r w:rsidRPr="00167BC8">
        <w:rPr>
          <w:rFonts w:ascii="Arial" w:hAnsi="Arial"/>
          <w:rtl/>
        </w:rPr>
        <w:t xml:space="preserve"> </w:t>
      </w:r>
      <w:r w:rsidRPr="00167BC8">
        <w:rPr>
          <w:rFonts w:ascii="Arial" w:hAnsi="Arial"/>
          <w:b/>
          <w:bCs/>
          <w:rtl/>
        </w:rPr>
        <w:t>מדינת ישראל נ' עאצי</w:t>
      </w:r>
      <w:r w:rsidRPr="00167BC8">
        <w:rPr>
          <w:rFonts w:ascii="Arial" w:hAnsi="Arial"/>
          <w:rtl/>
        </w:rPr>
        <w:t xml:space="preserve"> (27.12.2022) – הרשעה על-פי הודאה בעבירות החזקת נשק שכלל אקדח ובירי מנשק חם. נקבע מתחם עונש בין 12 ל-30 חודשי מאסר. הנאשם כבן 21 ללא הרשעות קודמות. הושתו 12 חודשי מאסר בפועל ומאסר מותנה.</w:t>
      </w:r>
    </w:p>
    <w:p w14:paraId="7F7CBBCF" w14:textId="77777777" w:rsidR="0018098C" w:rsidRPr="00167BC8" w:rsidRDefault="0018098C" w:rsidP="0018098C">
      <w:pPr>
        <w:spacing w:line="360" w:lineRule="auto"/>
        <w:jc w:val="both"/>
        <w:rPr>
          <w:rFonts w:ascii="Arial" w:hAnsi="Arial"/>
          <w:rtl/>
        </w:rPr>
      </w:pPr>
    </w:p>
    <w:p w14:paraId="6F3E02C9" w14:textId="77777777" w:rsidR="0018098C" w:rsidRPr="00167BC8" w:rsidRDefault="0018098C" w:rsidP="0018098C">
      <w:pPr>
        <w:spacing w:line="360" w:lineRule="auto"/>
        <w:jc w:val="both"/>
        <w:rPr>
          <w:rFonts w:ascii="Arial" w:hAnsi="Arial"/>
          <w:rtl/>
        </w:rPr>
      </w:pPr>
      <w:r w:rsidRPr="00167BC8">
        <w:rPr>
          <w:rFonts w:ascii="Arial" w:hAnsi="Arial"/>
          <w:rtl/>
        </w:rPr>
        <w:t>(2)</w:t>
      </w:r>
      <w:r w:rsidRPr="00167BC8">
        <w:rPr>
          <w:rFonts w:ascii="Arial" w:hAnsi="Arial"/>
          <w:rtl/>
        </w:rPr>
        <w:tab/>
      </w:r>
      <w:hyperlink r:id="rId37" w:history="1">
        <w:r w:rsidR="007E1236" w:rsidRPr="007E1236">
          <w:rPr>
            <w:rFonts w:ascii="Arial" w:hAnsi="Arial"/>
            <w:color w:val="0000FF"/>
            <w:u w:val="single"/>
            <w:rtl/>
          </w:rPr>
          <w:t>ת"פ (מחוזי ירושלים) 66542-05-20</w:t>
        </w:r>
      </w:hyperlink>
      <w:r w:rsidRPr="00167BC8">
        <w:rPr>
          <w:rFonts w:ascii="Arial" w:hAnsi="Arial"/>
          <w:rtl/>
        </w:rPr>
        <w:t xml:space="preserve"> </w:t>
      </w:r>
      <w:r w:rsidRPr="00167BC8">
        <w:rPr>
          <w:rFonts w:ascii="Arial" w:hAnsi="Arial"/>
          <w:b/>
          <w:bCs/>
          <w:rtl/>
        </w:rPr>
        <w:t>מדינת ישראל נ' אבו נאב</w:t>
      </w:r>
      <w:r w:rsidRPr="00167BC8">
        <w:rPr>
          <w:rFonts w:ascii="Arial" w:hAnsi="Arial"/>
          <w:rtl/>
        </w:rPr>
        <w:t xml:space="preserve"> (25.1.2021) – הרשעה על-פי הודאה בעבירות רכישת תחמושת, החזקת נשק, החזקת תחמושת וירי מנשק חם. דובר באקדח. נקבע מתחם עונש בין 8 ל-24 חודשי מאסר. הנאשם נשוי ואב לחמישה ילדים, נעדר הרשעות קודמות. הושתו 10 חודשי מאסר בפועל ומאסר מותנה. </w:t>
      </w:r>
    </w:p>
    <w:p w14:paraId="38FDCC56" w14:textId="77777777" w:rsidR="0018098C" w:rsidRPr="00167BC8" w:rsidRDefault="0018098C" w:rsidP="0018098C">
      <w:pPr>
        <w:spacing w:line="360" w:lineRule="auto"/>
        <w:jc w:val="both"/>
        <w:rPr>
          <w:rFonts w:ascii="Arial" w:hAnsi="Arial"/>
          <w:rtl/>
        </w:rPr>
      </w:pPr>
    </w:p>
    <w:p w14:paraId="7B94C7B2" w14:textId="77777777" w:rsidR="0018098C" w:rsidRPr="00167BC8" w:rsidRDefault="0018098C" w:rsidP="0018098C">
      <w:pPr>
        <w:spacing w:line="360" w:lineRule="auto"/>
        <w:jc w:val="both"/>
        <w:rPr>
          <w:rFonts w:ascii="Arial" w:hAnsi="Arial"/>
          <w:rtl/>
        </w:rPr>
      </w:pPr>
      <w:r w:rsidRPr="00167BC8">
        <w:rPr>
          <w:rFonts w:ascii="Arial" w:hAnsi="Arial"/>
          <w:rtl/>
        </w:rPr>
        <w:t>(3)</w:t>
      </w:r>
      <w:r w:rsidRPr="00167BC8">
        <w:rPr>
          <w:rFonts w:ascii="Arial" w:hAnsi="Arial"/>
          <w:rtl/>
        </w:rPr>
        <w:tab/>
      </w:r>
      <w:hyperlink r:id="rId38" w:history="1">
        <w:r w:rsidR="007E1236" w:rsidRPr="007E1236">
          <w:rPr>
            <w:rFonts w:ascii="Arial" w:hAnsi="Arial"/>
            <w:color w:val="0000FF"/>
            <w:u w:val="single"/>
            <w:rtl/>
          </w:rPr>
          <w:t>ת"פ (שלום ירושלים) 29111-11-21</w:t>
        </w:r>
      </w:hyperlink>
      <w:r w:rsidRPr="00167BC8">
        <w:rPr>
          <w:rFonts w:ascii="Arial" w:hAnsi="Arial"/>
          <w:rtl/>
        </w:rPr>
        <w:t xml:space="preserve"> </w:t>
      </w:r>
      <w:r w:rsidRPr="00167BC8">
        <w:rPr>
          <w:rFonts w:ascii="Arial" w:hAnsi="Arial"/>
          <w:b/>
          <w:bCs/>
          <w:rtl/>
        </w:rPr>
        <w:t xml:space="preserve">מדינת ישראל נ' פחורי </w:t>
      </w:r>
      <w:r w:rsidRPr="00167BC8">
        <w:rPr>
          <w:rFonts w:ascii="Arial" w:hAnsi="Arial"/>
          <w:rtl/>
        </w:rPr>
        <w:t>(2.3.2022) – הרשעה על-פי הודאה בעבירת החזקת נשק, שכלל אקדח וכדורים. בהתאם להסכמה בעניין העונש, הושתו 12 חודשי מאסר בפועל, מאסר מותנה וקנס.</w:t>
      </w:r>
    </w:p>
    <w:p w14:paraId="15BDEA4F" w14:textId="77777777" w:rsidR="0018098C" w:rsidRPr="00167BC8" w:rsidRDefault="0018098C" w:rsidP="0018098C">
      <w:pPr>
        <w:spacing w:line="360" w:lineRule="auto"/>
        <w:jc w:val="both"/>
        <w:rPr>
          <w:rFonts w:ascii="Arial" w:hAnsi="Arial"/>
          <w:rtl/>
        </w:rPr>
      </w:pPr>
      <w:r w:rsidRPr="00167BC8">
        <w:rPr>
          <w:rFonts w:ascii="Arial" w:hAnsi="Arial"/>
          <w:rtl/>
        </w:rPr>
        <w:t xml:space="preserve"> </w:t>
      </w:r>
    </w:p>
    <w:p w14:paraId="31D288E1" w14:textId="77777777" w:rsidR="0018098C" w:rsidRPr="00167BC8" w:rsidRDefault="0018098C" w:rsidP="0018098C">
      <w:pPr>
        <w:spacing w:line="360" w:lineRule="auto"/>
        <w:jc w:val="both"/>
        <w:rPr>
          <w:rFonts w:ascii="Arial" w:hAnsi="Arial"/>
          <w:rtl/>
        </w:rPr>
      </w:pPr>
      <w:r w:rsidRPr="00167BC8">
        <w:rPr>
          <w:rFonts w:ascii="Arial" w:hAnsi="Arial"/>
          <w:rtl/>
        </w:rPr>
        <w:t>(4)</w:t>
      </w:r>
      <w:r w:rsidRPr="00167BC8">
        <w:rPr>
          <w:rFonts w:ascii="Arial" w:hAnsi="Arial"/>
          <w:rtl/>
        </w:rPr>
        <w:tab/>
      </w:r>
      <w:hyperlink r:id="rId39" w:history="1">
        <w:r w:rsidR="007E1236" w:rsidRPr="007E1236">
          <w:rPr>
            <w:rFonts w:ascii="Arial" w:hAnsi="Arial"/>
            <w:color w:val="0000FF"/>
            <w:u w:val="single"/>
            <w:rtl/>
          </w:rPr>
          <w:t>ת"פ (מחוזי תל אביב) 24514-09-15</w:t>
        </w:r>
      </w:hyperlink>
      <w:r w:rsidRPr="00167BC8">
        <w:rPr>
          <w:rFonts w:ascii="Arial" w:hAnsi="Arial"/>
          <w:rtl/>
        </w:rPr>
        <w:t xml:space="preserve"> </w:t>
      </w:r>
      <w:r w:rsidRPr="00167BC8">
        <w:rPr>
          <w:rFonts w:ascii="Arial" w:hAnsi="Arial"/>
          <w:b/>
          <w:bCs/>
          <w:rtl/>
        </w:rPr>
        <w:t xml:space="preserve">מדינת ישראל נ' פורת </w:t>
      </w:r>
      <w:r w:rsidRPr="00167BC8">
        <w:rPr>
          <w:rFonts w:ascii="Arial" w:hAnsi="Arial"/>
          <w:rtl/>
        </w:rPr>
        <w:t xml:space="preserve">(02.01.2017) – הרשעה על-פי הודאה בעבירת החזקת סמים שלא לצריכה עצמית שכללו כ-900 גרם </w:t>
      </w:r>
      <w:r w:rsidRPr="00167BC8">
        <w:rPr>
          <w:rFonts w:ascii="Arial" w:hAnsi="Arial"/>
        </w:rPr>
        <w:t>MDMA</w:t>
      </w:r>
      <w:r w:rsidRPr="00167BC8">
        <w:rPr>
          <w:rFonts w:ascii="Arial" w:hAnsi="Arial"/>
          <w:rtl/>
        </w:rPr>
        <w:t>, 108 גרם קנבוס ו-0.85 גרם קוקאין. נקבע מתחם עונש בין 18 ל-36 חודשי מאסר. בשל תהליך שיקום מרשים, הושתו 6 חודשי עבודות שירות, הופעל מאסר מותנה בחופף, מאסר מותנה נוסף, פסילת רישיון נהיגה וצו מבחן.</w:t>
      </w:r>
    </w:p>
    <w:p w14:paraId="74D9F1B5" w14:textId="77777777" w:rsidR="0018098C" w:rsidRPr="00167BC8" w:rsidRDefault="0018098C" w:rsidP="0018098C">
      <w:pPr>
        <w:spacing w:line="360" w:lineRule="auto"/>
        <w:jc w:val="both"/>
        <w:rPr>
          <w:rFonts w:ascii="Arial" w:hAnsi="Arial"/>
          <w:rtl/>
        </w:rPr>
      </w:pPr>
    </w:p>
    <w:p w14:paraId="681AA204" w14:textId="77777777" w:rsidR="0018098C" w:rsidRPr="00167BC8" w:rsidRDefault="0018098C" w:rsidP="0018098C">
      <w:pPr>
        <w:spacing w:line="360" w:lineRule="auto"/>
        <w:jc w:val="both"/>
        <w:rPr>
          <w:rFonts w:ascii="Arial" w:hAnsi="Arial"/>
          <w:rtl/>
        </w:rPr>
      </w:pPr>
      <w:r w:rsidRPr="00167BC8">
        <w:rPr>
          <w:rFonts w:ascii="Arial" w:hAnsi="Arial"/>
          <w:rtl/>
        </w:rPr>
        <w:t>(5)</w:t>
      </w:r>
      <w:r w:rsidRPr="00167BC8">
        <w:rPr>
          <w:rFonts w:ascii="Arial" w:hAnsi="Arial"/>
          <w:rtl/>
        </w:rPr>
        <w:tab/>
      </w:r>
      <w:hyperlink r:id="rId40" w:history="1">
        <w:r w:rsidR="007E1236" w:rsidRPr="007E1236">
          <w:rPr>
            <w:rFonts w:ascii="Arial" w:hAnsi="Arial"/>
            <w:color w:val="0000FF"/>
            <w:u w:val="single"/>
            <w:rtl/>
          </w:rPr>
          <w:t>ת"פ (מחוזי ירושלים) 691-09-19</w:t>
        </w:r>
      </w:hyperlink>
      <w:r w:rsidRPr="00167BC8">
        <w:rPr>
          <w:rFonts w:ascii="Arial" w:hAnsi="Arial"/>
          <w:rtl/>
        </w:rPr>
        <w:t xml:space="preserve"> </w:t>
      </w:r>
      <w:r w:rsidRPr="00167BC8">
        <w:rPr>
          <w:rFonts w:ascii="Arial" w:hAnsi="Arial"/>
          <w:b/>
          <w:bCs/>
          <w:rtl/>
        </w:rPr>
        <w:t>מדינת ישראל נ' אידריס</w:t>
      </w:r>
      <w:r w:rsidRPr="00167BC8">
        <w:rPr>
          <w:rFonts w:ascii="Arial" w:hAnsi="Arial"/>
          <w:rtl/>
        </w:rPr>
        <w:t xml:space="preserve"> (19.10.2020) – הרשעה על-פי הודאה בעבירת החזקת סמים שלא לצריכה עצמית שכללו 600 טבליות </w:t>
      </w:r>
      <w:r w:rsidRPr="00167BC8">
        <w:rPr>
          <w:rFonts w:ascii="Arial" w:hAnsi="Arial"/>
        </w:rPr>
        <w:t>MDMA</w:t>
      </w:r>
      <w:r w:rsidRPr="00167BC8">
        <w:rPr>
          <w:rFonts w:ascii="Arial" w:hAnsi="Arial"/>
          <w:rtl/>
        </w:rPr>
        <w:t xml:space="preserve"> ארוזות בשקיות. נקבע מתחם עונש בין 10 ל-36 חודשי מאסר. מדובר בנאשם צעיר נעדר הרשעות קודמות. בשל ההליך השיקומי, הושתו 10 חודשי מאסר בפועל ומאסר מותנה. הרכב חולט.</w:t>
      </w:r>
    </w:p>
    <w:p w14:paraId="60C657A1" w14:textId="77777777" w:rsidR="0018098C" w:rsidRPr="00167BC8" w:rsidRDefault="0018098C" w:rsidP="0018098C">
      <w:pPr>
        <w:spacing w:line="360" w:lineRule="auto"/>
        <w:jc w:val="both"/>
        <w:rPr>
          <w:rFonts w:ascii="Arial" w:hAnsi="Arial"/>
          <w:rtl/>
        </w:rPr>
      </w:pPr>
      <w:r w:rsidRPr="00167BC8">
        <w:rPr>
          <w:rFonts w:ascii="Arial" w:hAnsi="Arial"/>
          <w:rtl/>
        </w:rPr>
        <w:t xml:space="preserve"> </w:t>
      </w:r>
    </w:p>
    <w:p w14:paraId="341CB612" w14:textId="77777777" w:rsidR="0018098C" w:rsidRPr="00167BC8" w:rsidRDefault="0018098C" w:rsidP="0018098C">
      <w:pPr>
        <w:spacing w:line="360" w:lineRule="auto"/>
        <w:jc w:val="both"/>
        <w:rPr>
          <w:rFonts w:ascii="Arial" w:hAnsi="Arial"/>
          <w:rtl/>
        </w:rPr>
      </w:pPr>
      <w:r w:rsidRPr="00167BC8">
        <w:rPr>
          <w:rFonts w:ascii="Arial" w:hAnsi="Arial"/>
          <w:rtl/>
        </w:rPr>
        <w:t>(6)</w:t>
      </w:r>
      <w:r w:rsidRPr="00167BC8">
        <w:rPr>
          <w:rFonts w:ascii="Arial" w:hAnsi="Arial"/>
          <w:rtl/>
        </w:rPr>
        <w:tab/>
      </w:r>
      <w:hyperlink r:id="rId41" w:history="1">
        <w:r w:rsidR="007E1236" w:rsidRPr="007E1236">
          <w:rPr>
            <w:rFonts w:ascii="Arial" w:hAnsi="Arial"/>
            <w:color w:val="0000FF"/>
            <w:u w:val="single"/>
            <w:rtl/>
          </w:rPr>
          <w:t>עפ"ג (מחוזי ירושלים) 58109-07-20</w:t>
        </w:r>
      </w:hyperlink>
      <w:r w:rsidRPr="00167BC8">
        <w:rPr>
          <w:rFonts w:ascii="Arial" w:hAnsi="Arial"/>
          <w:rtl/>
        </w:rPr>
        <w:t xml:space="preserve"> </w:t>
      </w:r>
      <w:r w:rsidRPr="00167BC8">
        <w:rPr>
          <w:rFonts w:ascii="Arial" w:hAnsi="Arial"/>
          <w:b/>
          <w:bCs/>
          <w:rtl/>
        </w:rPr>
        <w:t>סיאם נ' מדינת ישראל</w:t>
      </w:r>
      <w:r w:rsidRPr="00167BC8">
        <w:rPr>
          <w:rFonts w:ascii="Arial" w:hAnsi="Arial"/>
          <w:rtl/>
        </w:rPr>
        <w:t xml:space="preserve"> (19.10.2020) – הרשעה על-פי הודאה בעבירת החזקת סמים שלא לצריכה עצמית. דובר ב-600 טבליות </w:t>
      </w:r>
      <w:r w:rsidRPr="00167BC8">
        <w:rPr>
          <w:rFonts w:ascii="Arial" w:hAnsi="Arial"/>
        </w:rPr>
        <w:t>MDMA</w:t>
      </w:r>
      <w:r w:rsidRPr="00167BC8">
        <w:rPr>
          <w:rFonts w:ascii="Arial" w:hAnsi="Arial"/>
          <w:rtl/>
        </w:rPr>
        <w:t xml:space="preserve">. בבית משפט השלום נקבע מתחם עונש בין 9 חודשי מאסר, לרבות בעבודות שירות לבין 18 חודשי מאסר. הושתו 9 חודשי עבודות שירות, מאסר מותנה וצו מבחן. הערעור נדחה. </w:t>
      </w:r>
    </w:p>
    <w:p w14:paraId="4C81B0AC" w14:textId="77777777" w:rsidR="0018098C" w:rsidRPr="00167BC8" w:rsidRDefault="0018098C" w:rsidP="0018098C">
      <w:pPr>
        <w:spacing w:line="360" w:lineRule="auto"/>
        <w:jc w:val="both"/>
        <w:rPr>
          <w:rFonts w:ascii="Arial" w:hAnsi="Arial"/>
          <w:rtl/>
        </w:rPr>
      </w:pPr>
    </w:p>
    <w:p w14:paraId="2663920C" w14:textId="77777777" w:rsidR="0018098C" w:rsidRPr="00167BC8" w:rsidRDefault="0018098C" w:rsidP="0018098C">
      <w:pPr>
        <w:spacing w:line="360" w:lineRule="auto"/>
        <w:jc w:val="both"/>
        <w:rPr>
          <w:rFonts w:ascii="Arial" w:hAnsi="Arial"/>
          <w:rtl/>
        </w:rPr>
      </w:pPr>
      <w:r w:rsidRPr="00167BC8">
        <w:rPr>
          <w:rFonts w:ascii="Arial" w:hAnsi="Arial"/>
          <w:rtl/>
        </w:rPr>
        <w:t>9.</w:t>
      </w:r>
      <w:r w:rsidRPr="00167BC8">
        <w:rPr>
          <w:rFonts w:ascii="Arial" w:hAnsi="Arial"/>
          <w:rtl/>
        </w:rPr>
        <w:tab/>
      </w:r>
      <w:r w:rsidRPr="00167BC8">
        <w:rPr>
          <w:rFonts w:ascii="Arial" w:hAnsi="Arial"/>
          <w:b/>
          <w:bCs/>
          <w:u w:val="single"/>
          <w:rtl/>
        </w:rPr>
        <w:t>מדיניות הענישה הנוהגת – פסיקה נוספת</w:t>
      </w:r>
      <w:r w:rsidRPr="00167BC8">
        <w:rPr>
          <w:rFonts w:ascii="Arial" w:hAnsi="Arial"/>
          <w:b/>
          <w:bCs/>
          <w:rtl/>
        </w:rPr>
        <w:t>:</w:t>
      </w:r>
      <w:r w:rsidRPr="00167BC8">
        <w:rPr>
          <w:rFonts w:ascii="Arial" w:hAnsi="Arial"/>
          <w:rtl/>
        </w:rPr>
        <w:t xml:space="preserve"> במהלך ישיבת הטיעונים לעונש הפניתי את באי-כוח הצדדים אל גזר דין שנתתי, שנסיבותיו דומות לנסיבות הנדונות, כלהלן. </w:t>
      </w:r>
    </w:p>
    <w:p w14:paraId="54E6AED9" w14:textId="77777777" w:rsidR="0018098C" w:rsidRPr="00167BC8" w:rsidRDefault="0018098C" w:rsidP="0018098C">
      <w:pPr>
        <w:spacing w:line="360" w:lineRule="auto"/>
        <w:jc w:val="both"/>
        <w:rPr>
          <w:rFonts w:ascii="Arial" w:hAnsi="Arial"/>
          <w:rtl/>
        </w:rPr>
      </w:pPr>
    </w:p>
    <w:p w14:paraId="30CEA887" w14:textId="77777777" w:rsidR="0018098C" w:rsidRPr="00167BC8" w:rsidRDefault="007E1236" w:rsidP="0018098C">
      <w:pPr>
        <w:spacing w:line="360" w:lineRule="auto"/>
        <w:jc w:val="both"/>
        <w:rPr>
          <w:rFonts w:ascii="Arial" w:hAnsi="Arial"/>
          <w:rtl/>
        </w:rPr>
      </w:pPr>
      <w:hyperlink r:id="rId42" w:history="1">
        <w:r w:rsidRPr="007E1236">
          <w:rPr>
            <w:rFonts w:ascii="Arial" w:hAnsi="Arial"/>
            <w:color w:val="0000FF"/>
            <w:u w:val="single"/>
            <w:rtl/>
          </w:rPr>
          <w:t>ת"פ (מחוזי ירושלים) 1136-11-21</w:t>
        </w:r>
      </w:hyperlink>
      <w:r w:rsidR="0018098C" w:rsidRPr="00167BC8">
        <w:rPr>
          <w:rFonts w:ascii="Arial" w:hAnsi="Arial"/>
          <w:rtl/>
        </w:rPr>
        <w:t xml:space="preserve"> </w:t>
      </w:r>
      <w:r w:rsidR="0018098C" w:rsidRPr="00167BC8">
        <w:rPr>
          <w:rFonts w:ascii="Arial" w:hAnsi="Arial"/>
          <w:b/>
          <w:bCs/>
          <w:rtl/>
        </w:rPr>
        <w:t>מדינת ישראל נ' שאריף</w:t>
      </w:r>
      <w:r w:rsidR="0018098C" w:rsidRPr="00167BC8">
        <w:rPr>
          <w:rFonts w:ascii="Arial" w:hAnsi="Arial"/>
          <w:rtl/>
        </w:rPr>
        <w:t xml:space="preserve"> (20.7.2022) (להלן – </w:t>
      </w:r>
      <w:r w:rsidR="0018098C" w:rsidRPr="00167BC8">
        <w:rPr>
          <w:rFonts w:ascii="Arial" w:hAnsi="Arial"/>
          <w:b/>
          <w:bCs/>
          <w:rtl/>
        </w:rPr>
        <w:t>עניין שאריף</w:t>
      </w:r>
      <w:r w:rsidR="0018098C" w:rsidRPr="00167BC8">
        <w:rPr>
          <w:rFonts w:ascii="Arial" w:hAnsi="Arial"/>
          <w:rtl/>
        </w:rPr>
        <w:t>) – הרשעה על-פי הודעה בעבירת החזקת סמים שלא לצריכה עצמית, שכללה 2 ק"ג חשיש מחולק לאריזות, 600 גרם קנבוס וכסף מזומן ובעבירות נשיאת נשק והחזקת נשק ותחמושת, שכללו אקדח, שתי מחסניות וכדורים. נקבע מתחם עונש בין 35 ל-60 חודשי מאסר. הנאשם כבן 27, נעדר הרשעות קודמות. הושתו 40 חודשי מאסר בפועל ומאסר מותנה. הכסף שנתפס חולט.</w:t>
      </w:r>
    </w:p>
    <w:p w14:paraId="032419E4" w14:textId="77777777" w:rsidR="0018098C" w:rsidRPr="00167BC8" w:rsidRDefault="0018098C" w:rsidP="0018098C">
      <w:pPr>
        <w:spacing w:line="360" w:lineRule="auto"/>
        <w:jc w:val="both"/>
        <w:rPr>
          <w:rFonts w:ascii="Arial" w:hAnsi="Arial"/>
          <w:rtl/>
        </w:rPr>
      </w:pPr>
      <w:r w:rsidRPr="00167BC8">
        <w:rPr>
          <w:rFonts w:ascii="Arial" w:hAnsi="Arial"/>
          <w:rtl/>
        </w:rPr>
        <w:t xml:space="preserve"> </w:t>
      </w:r>
    </w:p>
    <w:p w14:paraId="1B01E0F3" w14:textId="77777777" w:rsidR="0018098C" w:rsidRPr="00167BC8" w:rsidRDefault="0018098C" w:rsidP="0018098C">
      <w:pPr>
        <w:spacing w:line="360" w:lineRule="auto"/>
        <w:jc w:val="both"/>
        <w:rPr>
          <w:rFonts w:ascii="Arial" w:hAnsi="Arial"/>
          <w:rtl/>
        </w:rPr>
      </w:pPr>
      <w:r w:rsidRPr="00167BC8">
        <w:rPr>
          <w:rFonts w:ascii="Arial" w:hAnsi="Arial"/>
          <w:rtl/>
        </w:rPr>
        <w:t>10.</w:t>
      </w:r>
      <w:r w:rsidRPr="00167BC8">
        <w:rPr>
          <w:rFonts w:ascii="Arial" w:hAnsi="Arial"/>
          <w:rtl/>
        </w:rPr>
        <w:tab/>
      </w:r>
      <w:r w:rsidRPr="00167BC8">
        <w:rPr>
          <w:rFonts w:ascii="Arial" w:hAnsi="Arial"/>
          <w:b/>
          <w:bCs/>
          <w:u w:val="single"/>
          <w:rtl/>
        </w:rPr>
        <w:t>נסיבות העבירות הנדונות</w:t>
      </w:r>
      <w:r w:rsidRPr="00167BC8">
        <w:rPr>
          <w:rFonts w:ascii="Arial" w:hAnsi="Arial"/>
          <w:b/>
          <w:bCs/>
          <w:rtl/>
        </w:rPr>
        <w:t>:</w:t>
      </w:r>
      <w:r w:rsidRPr="00167BC8">
        <w:rPr>
          <w:rFonts w:ascii="Arial" w:hAnsi="Arial"/>
          <w:rtl/>
        </w:rPr>
        <w:t xml:space="preserve"> על-פי עובדות כתב האישום שבהן הודה הנאשם, הוא עבר את העבירה בעצמו ולבדו. אפילו כטענתו היו מעורבים גורמים נוספים (טענה שהמאשימה התנגדה להעלאתה), בכל מקרה, לא נראה כי יש בכך כדי לשנות. מדובר בעבירות נשק אשר כללו החזקת שני אקדחים עם מחסנית וכדורים, תקינים ומוכנים לשימוש. כמו כן, הנאשם החזיק סמים אשר כללו 6,000 טבליות </w:t>
      </w:r>
      <w:r w:rsidRPr="00167BC8">
        <w:rPr>
          <w:rFonts w:ascii="Arial" w:hAnsi="Arial"/>
        </w:rPr>
        <w:t>MDMA</w:t>
      </w:r>
      <w:r w:rsidRPr="00167BC8">
        <w:rPr>
          <w:rFonts w:ascii="Arial" w:hAnsi="Arial"/>
          <w:rtl/>
        </w:rPr>
        <w:t xml:space="preserve"> מחולקות לאריזות, קנבוס במשקל 800 גרם נטו וחשיש במשקל 3,000 גרם ברוטו. אכן נקבע, כי </w:t>
      </w:r>
      <w:r w:rsidRPr="00167BC8">
        <w:rPr>
          <w:rFonts w:ascii="Arial" w:hAnsi="Arial"/>
          <w:b/>
          <w:bCs/>
          <w:rtl/>
        </w:rPr>
        <w:t>"הענישה בעבירות סמים מאופיינת בשונות רבה... במסגרת זו יש ליחס משקל גם לסוג הסכם ולכמותו"</w:t>
      </w:r>
      <w:r w:rsidRPr="00167BC8">
        <w:rPr>
          <w:rFonts w:ascii="Arial" w:hAnsi="Arial"/>
          <w:rtl/>
        </w:rPr>
        <w:t xml:space="preserve"> (</w:t>
      </w:r>
      <w:hyperlink r:id="rId43" w:history="1">
        <w:r w:rsidR="007E1236" w:rsidRPr="007E1236">
          <w:rPr>
            <w:rFonts w:ascii="Arial" w:hAnsi="Arial"/>
            <w:color w:val="0000FF"/>
            <w:u w:val="single"/>
            <w:rtl/>
          </w:rPr>
          <w:t>ע"פ 4522/18</w:t>
        </w:r>
      </w:hyperlink>
      <w:r w:rsidR="007E1236">
        <w:rPr>
          <w:rFonts w:ascii="Arial" w:hAnsi="Arial"/>
          <w:rtl/>
        </w:rPr>
        <w:t xml:space="preserve"> </w:t>
      </w:r>
      <w:r w:rsidRPr="00167BC8">
        <w:rPr>
          <w:rFonts w:ascii="Arial" w:hAnsi="Arial"/>
          <w:b/>
          <w:bCs/>
          <w:rtl/>
        </w:rPr>
        <w:t>אסאבן נ' מדינת ישראל</w:t>
      </w:r>
      <w:r w:rsidR="007E1236">
        <w:rPr>
          <w:rFonts w:ascii="Arial" w:hAnsi="Arial"/>
          <w:rtl/>
        </w:rPr>
        <w:t xml:space="preserve"> </w:t>
      </w:r>
      <w:r w:rsidRPr="00167BC8">
        <w:rPr>
          <w:rFonts w:ascii="Arial" w:hAnsi="Arial"/>
          <w:rtl/>
        </w:rPr>
        <w:t xml:space="preserve">(11.11.2018)‏‏, כבוד השופט נ' סולברג, פסקה 10. ראו גם: עניין </w:t>
      </w:r>
      <w:r w:rsidRPr="00167BC8">
        <w:rPr>
          <w:rFonts w:ascii="Arial" w:hAnsi="Arial"/>
          <w:b/>
          <w:bCs/>
          <w:rtl/>
        </w:rPr>
        <w:t>באום</w:t>
      </w:r>
      <w:r w:rsidRPr="00167BC8">
        <w:rPr>
          <w:rFonts w:ascii="Arial" w:hAnsi="Arial"/>
          <w:rtl/>
        </w:rPr>
        <w:t xml:space="preserve">, פסקה 13)). בהתאם לכך, יש ניתן משקל לכך שסם מסוג </w:t>
      </w:r>
      <w:r w:rsidRPr="00167BC8">
        <w:rPr>
          <w:rFonts w:ascii="Arial" w:hAnsi="Arial"/>
        </w:rPr>
        <w:t>MDMA</w:t>
      </w:r>
      <w:r w:rsidRPr="00167BC8">
        <w:rPr>
          <w:rFonts w:ascii="Arial" w:hAnsi="Arial"/>
          <w:rtl/>
        </w:rPr>
        <w:t xml:space="preserve"> (המכונה גם "אקסטזי"), נחשב מסוכן ובמדרג חמור (ראו למשל: ת"פ (מחוזי בא"ש) </w:t>
      </w:r>
      <w:hyperlink r:id="rId44" w:history="1">
        <w:r w:rsidR="003C5DD6" w:rsidRPr="003C5DD6">
          <w:rPr>
            <w:rFonts w:ascii="Arial" w:hAnsi="Arial"/>
            <w:color w:val="0000FF"/>
            <w:u w:val="single"/>
            <w:rtl/>
          </w:rPr>
          <w:t xml:space="preserve">8113/08 </w:t>
        </w:r>
      </w:hyperlink>
      <w:r w:rsidR="007E1236">
        <w:rPr>
          <w:rFonts w:ascii="Arial" w:hAnsi="Arial"/>
          <w:rtl/>
        </w:rPr>
        <w:t xml:space="preserve"> </w:t>
      </w:r>
      <w:r w:rsidRPr="00167BC8">
        <w:rPr>
          <w:rFonts w:ascii="Arial" w:hAnsi="Arial"/>
          <w:b/>
          <w:bCs/>
          <w:rtl/>
        </w:rPr>
        <w:t>מדינת ישראל נ' בודרם</w:t>
      </w:r>
      <w:r w:rsidR="007E1236">
        <w:rPr>
          <w:rFonts w:ascii="Arial" w:hAnsi="Arial"/>
          <w:rtl/>
        </w:rPr>
        <w:t xml:space="preserve"> </w:t>
      </w:r>
      <w:r w:rsidRPr="00167BC8">
        <w:rPr>
          <w:rFonts w:ascii="Arial" w:hAnsi="Arial"/>
          <w:rtl/>
        </w:rPr>
        <w:t>(30.11.2008), כבוד השופט א' ביתן, פסקאות 4-1 בחלק "דיון והכרעה" (הערעור נדחה:</w:t>
      </w:r>
      <w:r w:rsidRPr="00167BC8">
        <w:rPr>
          <w:rFonts w:ascii="Arial" w:hAnsi="Arial"/>
          <w:b/>
          <w:bCs/>
          <w:rtl/>
        </w:rPr>
        <w:t xml:space="preserve"> </w:t>
      </w:r>
      <w:hyperlink r:id="rId45" w:history="1">
        <w:r w:rsidR="007E1236" w:rsidRPr="007E1236">
          <w:rPr>
            <w:rFonts w:ascii="Arial" w:hAnsi="Arial"/>
            <w:color w:val="0000FF"/>
            <w:u w:val="single"/>
            <w:rtl/>
          </w:rPr>
          <w:t>ע"פ 9979/08</w:t>
        </w:r>
      </w:hyperlink>
      <w:r w:rsidRPr="00167BC8">
        <w:rPr>
          <w:rFonts w:ascii="Arial" w:hAnsi="Arial"/>
          <w:rtl/>
        </w:rPr>
        <w:t xml:space="preserve"> </w:t>
      </w:r>
      <w:r w:rsidRPr="00167BC8">
        <w:rPr>
          <w:rFonts w:ascii="Arial" w:hAnsi="Arial"/>
          <w:b/>
          <w:bCs/>
          <w:rtl/>
        </w:rPr>
        <w:t>בודרם נ' מדינת ישראל</w:t>
      </w:r>
      <w:r w:rsidRPr="00167BC8">
        <w:rPr>
          <w:rFonts w:ascii="Arial" w:hAnsi="Arial"/>
          <w:rtl/>
        </w:rPr>
        <w:t xml:space="preserve"> (21.4.2009)).</w:t>
      </w:r>
    </w:p>
    <w:p w14:paraId="321F88B2" w14:textId="77777777" w:rsidR="0018098C" w:rsidRPr="00167BC8" w:rsidRDefault="0018098C" w:rsidP="0018098C">
      <w:pPr>
        <w:spacing w:line="360" w:lineRule="auto"/>
        <w:jc w:val="both"/>
        <w:rPr>
          <w:rFonts w:ascii="Arial" w:hAnsi="Arial"/>
          <w:rtl/>
        </w:rPr>
      </w:pPr>
    </w:p>
    <w:p w14:paraId="7ECBEAE7" w14:textId="77777777" w:rsidR="0018098C" w:rsidRPr="00167BC8" w:rsidRDefault="0018098C" w:rsidP="0018098C">
      <w:pPr>
        <w:spacing w:line="360" w:lineRule="auto"/>
        <w:jc w:val="both"/>
        <w:rPr>
          <w:rFonts w:ascii="Arial" w:hAnsi="Arial"/>
          <w:rtl/>
        </w:rPr>
      </w:pPr>
      <w:r w:rsidRPr="00167BC8">
        <w:rPr>
          <w:rFonts w:ascii="Arial" w:hAnsi="Arial"/>
          <w:rtl/>
        </w:rPr>
        <w:t>מדובר אפוא, בשני סוגי עבירות אשר פוטנציאל הנזק הנשקף מהם הוא עצום, אפילו לא התממש בפועל. אף לא נמצא מקום לייחס משמעות רבה לעובדה שהחזקת הנשק והסמים נמשכה כחודשיים. בעניין זה לא ירדתי לסוף דעתו של בא-כוח הנאשם אשר טען כי זו תקופה קצרה. לבסוף, כאמור, קודם לעבירות הנדונות ניהל הנאשם אורח חיים נורמטיבי, כך שחזקה עליו כי הבין היטב את מעשיו, את הפסול בהם ואת משמעותם, כך שיכול היה להימנע מעשייתן.</w:t>
      </w:r>
    </w:p>
    <w:p w14:paraId="6FFFA2BD" w14:textId="77777777" w:rsidR="0018098C" w:rsidRPr="00167BC8" w:rsidRDefault="0018098C" w:rsidP="0018098C">
      <w:pPr>
        <w:spacing w:line="360" w:lineRule="auto"/>
        <w:jc w:val="both"/>
        <w:rPr>
          <w:rFonts w:ascii="Arial" w:hAnsi="Arial"/>
          <w:rtl/>
        </w:rPr>
      </w:pPr>
    </w:p>
    <w:p w14:paraId="3D13328F" w14:textId="77777777" w:rsidR="0018098C" w:rsidRPr="00167BC8" w:rsidRDefault="0018098C" w:rsidP="0018098C">
      <w:pPr>
        <w:spacing w:line="360" w:lineRule="auto"/>
        <w:jc w:val="both"/>
        <w:rPr>
          <w:rFonts w:ascii="Arial" w:hAnsi="Arial"/>
          <w:rtl/>
        </w:rPr>
      </w:pPr>
      <w:r w:rsidRPr="00167BC8">
        <w:rPr>
          <w:rFonts w:ascii="Arial" w:hAnsi="Arial"/>
          <w:rtl/>
        </w:rPr>
        <w:t>11.</w:t>
      </w:r>
      <w:r w:rsidRPr="00167BC8">
        <w:rPr>
          <w:rFonts w:ascii="Arial" w:hAnsi="Arial"/>
          <w:rtl/>
        </w:rPr>
        <w:tab/>
      </w:r>
      <w:r w:rsidRPr="00167BC8">
        <w:rPr>
          <w:rFonts w:ascii="Arial" w:hAnsi="Arial"/>
          <w:b/>
          <w:bCs/>
          <w:u w:val="single"/>
          <w:rtl/>
        </w:rPr>
        <w:t>קביעת מתחם העונש ההולם</w:t>
      </w:r>
      <w:r w:rsidRPr="00167BC8">
        <w:rPr>
          <w:rFonts w:ascii="Arial" w:hAnsi="Arial"/>
          <w:b/>
          <w:bCs/>
          <w:rtl/>
        </w:rPr>
        <w:t>:</w:t>
      </w:r>
      <w:r w:rsidRPr="00167BC8">
        <w:rPr>
          <w:rFonts w:ascii="Arial" w:hAnsi="Arial"/>
          <w:rtl/>
        </w:rPr>
        <w:t xml:space="preserve"> במסגרת זו נבחנה גם שאלת מספר מתחמי הענישה שיש לקבוע וכן נבחנה השלכת הוראת השעה שעוגנה </w:t>
      </w:r>
      <w:hyperlink r:id="rId46" w:history="1">
        <w:r w:rsidR="006A449B" w:rsidRPr="006A449B">
          <w:rPr>
            <w:rStyle w:val="Hyperlink"/>
            <w:rFonts w:ascii="Arial" w:hAnsi="Arial"/>
            <w:rtl/>
          </w:rPr>
          <w:t>בסעיף 144(ז)</w:t>
        </w:r>
      </w:hyperlink>
      <w:r w:rsidRPr="00167BC8">
        <w:rPr>
          <w:rFonts w:ascii="Arial" w:hAnsi="Arial"/>
          <w:rtl/>
        </w:rPr>
        <w:t xml:space="preserve"> ב</w:t>
      </w:r>
      <w:hyperlink r:id="rId47" w:history="1">
        <w:r w:rsidR="007E1236" w:rsidRPr="007E1236">
          <w:rPr>
            <w:rFonts w:ascii="Arial" w:hAnsi="Arial"/>
            <w:color w:val="0000FF"/>
            <w:u w:val="single"/>
            <w:rtl/>
          </w:rPr>
          <w:t>חוק העונשין</w:t>
        </w:r>
      </w:hyperlink>
      <w:r w:rsidRPr="00167BC8">
        <w:rPr>
          <w:rFonts w:ascii="Arial" w:hAnsi="Arial"/>
          <w:rtl/>
        </w:rPr>
        <w:t>, כמוסבר לעיל.</w:t>
      </w:r>
    </w:p>
    <w:p w14:paraId="24876235" w14:textId="77777777" w:rsidR="0018098C" w:rsidRPr="00167BC8" w:rsidRDefault="0018098C" w:rsidP="0018098C">
      <w:pPr>
        <w:spacing w:line="360" w:lineRule="auto"/>
        <w:jc w:val="both"/>
        <w:rPr>
          <w:rFonts w:ascii="Arial" w:hAnsi="Arial"/>
          <w:rtl/>
        </w:rPr>
      </w:pPr>
    </w:p>
    <w:p w14:paraId="78CF3EF4" w14:textId="77777777" w:rsidR="0018098C" w:rsidRPr="00167BC8" w:rsidRDefault="0018098C" w:rsidP="0018098C">
      <w:pPr>
        <w:spacing w:line="360" w:lineRule="auto"/>
        <w:jc w:val="both"/>
        <w:rPr>
          <w:rFonts w:ascii="Arial" w:hAnsi="Arial"/>
          <w:rtl/>
        </w:rPr>
      </w:pPr>
      <w:r w:rsidRPr="00167BC8">
        <w:rPr>
          <w:rFonts w:ascii="Arial" w:hAnsi="Arial"/>
          <w:b/>
          <w:bCs/>
          <w:u w:val="single"/>
          <w:rtl/>
        </w:rPr>
        <w:t>מספר מתחמי הענישה</w:t>
      </w:r>
      <w:r w:rsidRPr="00167BC8">
        <w:rPr>
          <w:rFonts w:ascii="Arial" w:hAnsi="Arial"/>
          <w:b/>
          <w:bCs/>
          <w:rtl/>
        </w:rPr>
        <w:t>:</w:t>
      </w:r>
      <w:r w:rsidRPr="00167BC8">
        <w:rPr>
          <w:rFonts w:ascii="Arial" w:hAnsi="Arial"/>
          <w:rtl/>
        </w:rPr>
        <w:t xml:space="preserve"> בא-כוח הנאשם טען כי הנאשם הורשע בהחזקת שני סוגי דברים האסורים בהחזקה, נשק וסמים, אשר הוחזקו באותה תקופה ובאותו מקום ולכן יש לקבוע מתחם עונש הולם אחד. מנגד טענה המאשימה כי נכון לקבוע שני מתחמי ענישה נפרדים לכל אחת מהעבירות, תוך חפיפה מסוימת ביניהם. </w:t>
      </w:r>
    </w:p>
    <w:p w14:paraId="41AEFD38" w14:textId="77777777" w:rsidR="0018098C" w:rsidRPr="00167BC8" w:rsidRDefault="0018098C" w:rsidP="0018098C">
      <w:pPr>
        <w:spacing w:line="360" w:lineRule="auto"/>
        <w:jc w:val="both"/>
        <w:rPr>
          <w:rFonts w:ascii="Arial" w:hAnsi="Arial"/>
          <w:rtl/>
        </w:rPr>
      </w:pPr>
    </w:p>
    <w:p w14:paraId="71351A71" w14:textId="77777777" w:rsidR="0018098C" w:rsidRPr="00167BC8" w:rsidRDefault="0018098C" w:rsidP="0018098C">
      <w:pPr>
        <w:spacing w:line="360" w:lineRule="auto"/>
        <w:jc w:val="both"/>
        <w:rPr>
          <w:rFonts w:ascii="Arial" w:hAnsi="Arial"/>
          <w:rtl/>
        </w:rPr>
      </w:pPr>
      <w:r w:rsidRPr="00167BC8">
        <w:rPr>
          <w:rFonts w:ascii="Arial" w:hAnsi="Arial"/>
          <w:rtl/>
        </w:rPr>
        <w:t xml:space="preserve">דומה כי בנסיבות הנדונות שתי האפשרויות קיימות. כך למשל, בעניין </w:t>
      </w:r>
      <w:r w:rsidRPr="00167BC8">
        <w:rPr>
          <w:rFonts w:ascii="Arial" w:hAnsi="Arial"/>
          <w:b/>
          <w:bCs/>
          <w:rtl/>
        </w:rPr>
        <w:t>שאריף</w:t>
      </w:r>
      <w:r w:rsidRPr="00167BC8">
        <w:rPr>
          <w:rFonts w:ascii="Arial" w:hAnsi="Arial"/>
          <w:rtl/>
        </w:rPr>
        <w:t xml:space="preserve">, שנסיבותיו בעניין תפיסת הסמים והנשק במקום אחד דומות לנסיבות הנדונות, לא הייתה מחלוקת בין הצדדים כי יש לקבוע מתחם עונש אחד. בהתאם לכך, באותו עניין נקבע מתחם עונש לכל אחד מסוגי העבירות ולאחר מכן נקבע מתחם עונש כולל לכל העבירות, תוך חפיפה מסוימת בין מתחמי הענישה. </w:t>
      </w:r>
    </w:p>
    <w:p w14:paraId="1D445DBC" w14:textId="77777777" w:rsidR="0018098C" w:rsidRPr="00167BC8" w:rsidRDefault="0018098C" w:rsidP="0018098C">
      <w:pPr>
        <w:spacing w:line="360" w:lineRule="auto"/>
        <w:jc w:val="both"/>
        <w:rPr>
          <w:rFonts w:ascii="Arial" w:hAnsi="Arial"/>
          <w:rtl/>
        </w:rPr>
      </w:pPr>
    </w:p>
    <w:p w14:paraId="62CCB25D" w14:textId="77777777" w:rsidR="0018098C" w:rsidRPr="00167BC8" w:rsidRDefault="0018098C" w:rsidP="0018098C">
      <w:pPr>
        <w:spacing w:line="360" w:lineRule="auto"/>
        <w:jc w:val="both"/>
        <w:rPr>
          <w:rFonts w:ascii="Arial" w:hAnsi="Arial"/>
          <w:rtl/>
        </w:rPr>
      </w:pPr>
      <w:r w:rsidRPr="00167BC8">
        <w:rPr>
          <w:rFonts w:ascii="Arial" w:hAnsi="Arial"/>
          <w:b/>
          <w:bCs/>
          <w:u w:val="single"/>
          <w:rtl/>
        </w:rPr>
        <w:t xml:space="preserve">השלכות הוראות </w:t>
      </w:r>
      <w:hyperlink r:id="rId48" w:history="1">
        <w:r w:rsidR="006A449B" w:rsidRPr="006A449B">
          <w:rPr>
            <w:rStyle w:val="Hyperlink"/>
            <w:rFonts w:ascii="Arial" w:hAnsi="Arial"/>
            <w:b/>
            <w:bCs/>
            <w:rtl/>
          </w:rPr>
          <w:t>סעיף 144(ז)</w:t>
        </w:r>
      </w:hyperlink>
      <w:r w:rsidRPr="00167BC8">
        <w:rPr>
          <w:rFonts w:ascii="Arial" w:hAnsi="Arial"/>
          <w:b/>
          <w:bCs/>
          <w:u w:val="single"/>
          <w:rtl/>
        </w:rPr>
        <w:t xml:space="preserve"> ב</w:t>
      </w:r>
      <w:hyperlink r:id="rId49" w:history="1">
        <w:r w:rsidR="007E1236" w:rsidRPr="007E1236">
          <w:rPr>
            <w:rFonts w:ascii="Arial" w:hAnsi="Arial"/>
            <w:b/>
            <w:bCs/>
            <w:color w:val="0000FF"/>
            <w:u w:val="single"/>
            <w:rtl/>
          </w:rPr>
          <w:t>חוק העונשין</w:t>
        </w:r>
      </w:hyperlink>
      <w:r w:rsidRPr="00167BC8">
        <w:rPr>
          <w:rFonts w:ascii="Arial" w:hAnsi="Arial"/>
          <w:b/>
          <w:bCs/>
          <w:rtl/>
        </w:rPr>
        <w:t xml:space="preserve">: </w:t>
      </w:r>
      <w:r w:rsidRPr="00167BC8">
        <w:rPr>
          <w:rFonts w:ascii="Arial" w:hAnsi="Arial"/>
          <w:rtl/>
        </w:rPr>
        <w:t xml:space="preserve">בנסיבות הנדונות חל </w:t>
      </w:r>
      <w:hyperlink r:id="rId50" w:history="1">
        <w:r w:rsidR="006A449B" w:rsidRPr="006A449B">
          <w:rPr>
            <w:rStyle w:val="Hyperlink"/>
            <w:rFonts w:ascii="Arial" w:hAnsi="Arial"/>
            <w:rtl/>
          </w:rPr>
          <w:t>סעיף 144(ז)</w:t>
        </w:r>
      </w:hyperlink>
      <w:r w:rsidRPr="00167BC8">
        <w:rPr>
          <w:rFonts w:ascii="Arial" w:hAnsi="Arial"/>
          <w:rtl/>
        </w:rPr>
        <w:t xml:space="preserve"> בחוק העונשין, אשר כמוסבר לעיל, נוסף כהוראת שעה במסגרת תיקון מס' 140 של חוק העונשין. על-פי הוראתו, עונשו של נאשם אשר הורשע בעבירת הנשק הנדונה, </w:t>
      </w:r>
      <w:r w:rsidRPr="00167BC8">
        <w:rPr>
          <w:rFonts w:ascii="Arial" w:hAnsi="Arial"/>
          <w:b/>
          <w:bCs/>
          <w:rtl/>
        </w:rPr>
        <w:t>"לא יפחת... מרבע העונש המרבי שנקבע לאותה עבירה, אלא אם כן החליט בית המשפט, מטעמים מיוחדים שיירשמו, להקל בעונשו; עונש מאסר לפי סעיף זה לא יהיה, בהיעדר טעמים מיוחדים, כולו על-תנאי"</w:t>
      </w:r>
      <w:r w:rsidRPr="00167BC8">
        <w:rPr>
          <w:rFonts w:ascii="Arial" w:hAnsi="Arial"/>
          <w:rtl/>
        </w:rPr>
        <w:t>. לפיכך יש לשקול את עונש החובה המזערי גם בעת קביעת מתחם העונש ההולם (</w:t>
      </w:r>
      <w:hyperlink r:id="rId51" w:history="1">
        <w:r w:rsidR="007E1236" w:rsidRPr="007E1236">
          <w:rPr>
            <w:rFonts w:ascii="Arial" w:hAnsi="Arial"/>
            <w:color w:val="0000FF"/>
            <w:u w:val="single"/>
            <w:rtl/>
          </w:rPr>
          <w:t>ע"פ 4876/15</w:t>
        </w:r>
      </w:hyperlink>
      <w:r w:rsidR="007E1236">
        <w:rPr>
          <w:rFonts w:ascii="Arial" w:hAnsi="Arial"/>
          <w:rtl/>
        </w:rPr>
        <w:t xml:space="preserve"> </w:t>
      </w:r>
      <w:r w:rsidRPr="00167BC8">
        <w:rPr>
          <w:rFonts w:ascii="Arial" w:hAnsi="Arial"/>
          <w:b/>
          <w:bCs/>
          <w:rtl/>
        </w:rPr>
        <w:t>פלוני נ' מדינת ישראל</w:t>
      </w:r>
      <w:r w:rsidRPr="00167BC8">
        <w:rPr>
          <w:rFonts w:ascii="Arial" w:hAnsi="Arial"/>
          <w:rtl/>
        </w:rPr>
        <w:t xml:space="preserve"> (3.12.2015)‏‏, כבוד השופט נ' סולברג, פסקאות 36-31; </w:t>
      </w:r>
      <w:hyperlink r:id="rId52" w:history="1">
        <w:r w:rsidR="007E1236" w:rsidRPr="007E1236">
          <w:rPr>
            <w:rFonts w:ascii="Arial" w:hAnsi="Arial"/>
            <w:color w:val="0000FF"/>
            <w:u w:val="single"/>
            <w:rtl/>
          </w:rPr>
          <w:t>ע"פ 1288/17</w:t>
        </w:r>
      </w:hyperlink>
      <w:r w:rsidRPr="00167BC8">
        <w:rPr>
          <w:rFonts w:ascii="Arial" w:hAnsi="Arial"/>
          <w:rtl/>
        </w:rPr>
        <w:t xml:space="preserve"> </w:t>
      </w:r>
      <w:r w:rsidRPr="00167BC8">
        <w:rPr>
          <w:rFonts w:ascii="Arial" w:hAnsi="Arial"/>
          <w:b/>
          <w:bCs/>
          <w:rtl/>
        </w:rPr>
        <w:t>מדינת ישראל נ' שנהר</w:t>
      </w:r>
      <w:r w:rsidRPr="00167BC8">
        <w:rPr>
          <w:rFonts w:ascii="Arial" w:hAnsi="Arial"/>
          <w:rtl/>
        </w:rPr>
        <w:t xml:space="preserve"> (3.10.2017)‏‏, כבוד השופט א' שהם, פסקה 23).</w:t>
      </w:r>
      <w:r w:rsidRPr="00167BC8">
        <w:rPr>
          <w:rFonts w:ascii="Arial" w:hAnsi="Arial"/>
          <w:b/>
          <w:bCs/>
          <w:rtl/>
        </w:rPr>
        <w:t xml:space="preserve"> </w:t>
      </w:r>
      <w:r w:rsidRPr="00167BC8">
        <w:rPr>
          <w:rFonts w:ascii="Arial" w:hAnsi="Arial"/>
          <w:rtl/>
        </w:rPr>
        <w:t xml:space="preserve">עם זאת, </w:t>
      </w:r>
      <w:hyperlink r:id="rId53" w:history="1">
        <w:r w:rsidR="006A449B" w:rsidRPr="006A449B">
          <w:rPr>
            <w:rStyle w:val="Hyperlink"/>
            <w:rFonts w:ascii="Arial" w:hAnsi="Arial"/>
            <w:rtl/>
          </w:rPr>
          <w:t>סעיף 144(ז)</w:t>
        </w:r>
      </w:hyperlink>
      <w:r w:rsidRPr="00167BC8">
        <w:rPr>
          <w:rFonts w:ascii="Arial" w:hAnsi="Arial"/>
          <w:rtl/>
        </w:rPr>
        <w:t xml:space="preserve"> אינו שולל אפשרות שחלק מעונש מאסר החובה ייקבע כמאסר מותנה. שכן, </w:t>
      </w:r>
      <w:r w:rsidRPr="00167BC8">
        <w:rPr>
          <w:rFonts w:ascii="Arial" w:hAnsi="Arial"/>
          <w:b/>
          <w:bCs/>
          <w:rtl/>
        </w:rPr>
        <w:t>"טעמים מיוחדים"</w:t>
      </w:r>
      <w:r w:rsidRPr="00167BC8">
        <w:rPr>
          <w:rFonts w:ascii="Arial" w:hAnsi="Arial"/>
          <w:rtl/>
        </w:rPr>
        <w:t xml:space="preserve"> נדרשים רק אם כל העונש המזערי נקבע כמאסר מותנה.</w:t>
      </w:r>
    </w:p>
    <w:p w14:paraId="61E3750C" w14:textId="77777777" w:rsidR="0018098C" w:rsidRPr="00167BC8" w:rsidRDefault="0018098C" w:rsidP="0018098C">
      <w:pPr>
        <w:spacing w:line="360" w:lineRule="auto"/>
        <w:jc w:val="both"/>
        <w:rPr>
          <w:rFonts w:ascii="Arial" w:hAnsi="Arial"/>
          <w:rtl/>
        </w:rPr>
      </w:pPr>
    </w:p>
    <w:p w14:paraId="6E0E3056" w14:textId="77777777" w:rsidR="0018098C" w:rsidRPr="00167BC8" w:rsidRDefault="0018098C" w:rsidP="0018098C">
      <w:pPr>
        <w:spacing w:line="360" w:lineRule="auto"/>
        <w:jc w:val="both"/>
        <w:rPr>
          <w:rFonts w:ascii="Arial" w:hAnsi="Arial"/>
          <w:b/>
          <w:bCs/>
          <w:rtl/>
        </w:rPr>
      </w:pPr>
      <w:r w:rsidRPr="00167BC8">
        <w:rPr>
          <w:rFonts w:ascii="Arial" w:hAnsi="Arial"/>
          <w:b/>
          <w:bCs/>
          <w:u w:val="single"/>
          <w:rtl/>
        </w:rPr>
        <w:t>קביעת מתחם העונש ההולם – סיכום</w:t>
      </w:r>
      <w:r w:rsidRPr="00167BC8">
        <w:rPr>
          <w:rFonts w:ascii="Arial" w:hAnsi="Arial"/>
          <w:b/>
          <w:bCs/>
          <w:rtl/>
        </w:rPr>
        <w:t>:</w:t>
      </w:r>
      <w:r w:rsidRPr="00167BC8">
        <w:rPr>
          <w:rFonts w:ascii="Arial" w:hAnsi="Arial"/>
          <w:rtl/>
        </w:rPr>
        <w:t xml:space="preserve"> בהתאם לאמור ולנוכח כלל השיקולים שנדונו ובכלל זה הערכים החברתיים שנפגעו מהעבירות ומידת הפגיעה בהם, מדיניות הענישה הנהוגה ונסיבות העבירות, מתחמי הענישה ההולמים הם כלהלן: בעניין </w:t>
      </w:r>
      <w:r w:rsidRPr="00167BC8">
        <w:rPr>
          <w:rFonts w:ascii="Arial" w:hAnsi="Arial"/>
          <w:b/>
          <w:bCs/>
          <w:u w:val="single"/>
          <w:rtl/>
        </w:rPr>
        <w:t>עבירת הנשק</w:t>
      </w:r>
      <w:r w:rsidRPr="00167BC8">
        <w:rPr>
          <w:rFonts w:ascii="Arial" w:hAnsi="Arial"/>
          <w:rtl/>
        </w:rPr>
        <w:t xml:space="preserve"> – </w:t>
      </w:r>
      <w:r w:rsidRPr="00167BC8">
        <w:rPr>
          <w:rFonts w:ascii="Arial" w:hAnsi="Arial"/>
          <w:b/>
          <w:bCs/>
          <w:rtl/>
        </w:rPr>
        <w:t xml:space="preserve">בין עשרים וארבעה לארבעים </w:t>
      </w:r>
      <w:r w:rsidRPr="00167BC8">
        <w:rPr>
          <w:rFonts w:ascii="Arial" w:hAnsi="Arial"/>
          <w:rtl/>
        </w:rPr>
        <w:t>חודשי מאסר בפועל; בעניין</w:t>
      </w:r>
      <w:r w:rsidRPr="00167BC8">
        <w:rPr>
          <w:rFonts w:ascii="Arial" w:hAnsi="Arial"/>
          <w:b/>
          <w:bCs/>
          <w:rtl/>
        </w:rPr>
        <w:t xml:space="preserve"> </w:t>
      </w:r>
      <w:r w:rsidRPr="00167BC8">
        <w:rPr>
          <w:rFonts w:ascii="Arial" w:hAnsi="Arial"/>
          <w:b/>
          <w:bCs/>
          <w:u w:val="single"/>
          <w:rtl/>
        </w:rPr>
        <w:t>עבירת הסמים</w:t>
      </w:r>
      <w:r w:rsidRPr="00167BC8">
        <w:rPr>
          <w:rFonts w:ascii="Arial" w:hAnsi="Arial"/>
          <w:rtl/>
        </w:rPr>
        <w:t xml:space="preserve"> – </w:t>
      </w:r>
      <w:r w:rsidRPr="00167BC8">
        <w:rPr>
          <w:rFonts w:ascii="Arial" w:hAnsi="Arial"/>
          <w:b/>
          <w:bCs/>
          <w:rtl/>
        </w:rPr>
        <w:t>בין שלושים לחמישים</w:t>
      </w:r>
      <w:r w:rsidRPr="00167BC8">
        <w:rPr>
          <w:rFonts w:ascii="Arial" w:hAnsi="Arial"/>
          <w:rtl/>
        </w:rPr>
        <w:t xml:space="preserve"> חודשי מאסר בפועל. לאחר חפיפה מסוימת של שני מתחמי הענישה, מתחם העונש ההולם הכולל יהיה בין </w:t>
      </w:r>
      <w:r w:rsidRPr="00167BC8">
        <w:rPr>
          <w:rFonts w:ascii="Arial" w:hAnsi="Arial"/>
          <w:b/>
          <w:bCs/>
          <w:rtl/>
        </w:rPr>
        <w:t>ארבעים לשישים</w:t>
      </w:r>
      <w:r w:rsidRPr="00167BC8">
        <w:rPr>
          <w:rFonts w:ascii="Arial" w:hAnsi="Arial"/>
          <w:rtl/>
        </w:rPr>
        <w:t xml:space="preserve"> חודשי מאסר בפועל, לצד מאסר מותנה.</w:t>
      </w:r>
    </w:p>
    <w:p w14:paraId="3161516C" w14:textId="77777777" w:rsidR="0018098C" w:rsidRPr="00167BC8" w:rsidRDefault="0018098C" w:rsidP="0018098C">
      <w:pPr>
        <w:spacing w:line="360" w:lineRule="auto"/>
        <w:jc w:val="both"/>
        <w:rPr>
          <w:rFonts w:ascii="Arial" w:hAnsi="Arial"/>
        </w:rPr>
      </w:pPr>
    </w:p>
    <w:p w14:paraId="7D7D7193" w14:textId="77777777" w:rsidR="0018098C" w:rsidRPr="00167BC8" w:rsidRDefault="0018098C" w:rsidP="0018098C">
      <w:pPr>
        <w:spacing w:line="360" w:lineRule="auto"/>
        <w:ind w:firstLine="720"/>
        <w:jc w:val="both"/>
        <w:rPr>
          <w:rFonts w:ascii="Arial" w:hAnsi="Arial"/>
          <w:u w:val="single"/>
          <w:rtl/>
        </w:rPr>
      </w:pPr>
      <w:r w:rsidRPr="00167BC8">
        <w:rPr>
          <w:rFonts w:ascii="Arial" w:hAnsi="Arial"/>
          <w:b/>
          <w:bCs/>
          <w:u w:val="single"/>
          <w:rtl/>
        </w:rPr>
        <w:t>גזירת עונשו של הנאשם</w:t>
      </w:r>
      <w:r w:rsidRPr="00167BC8">
        <w:rPr>
          <w:rFonts w:ascii="Arial" w:hAnsi="Arial"/>
          <w:rtl/>
        </w:rPr>
        <w:t xml:space="preserve">  </w:t>
      </w:r>
    </w:p>
    <w:p w14:paraId="507B1055" w14:textId="77777777" w:rsidR="0018098C" w:rsidRPr="00624287" w:rsidRDefault="0018098C" w:rsidP="0018098C">
      <w:pPr>
        <w:spacing w:line="360" w:lineRule="auto"/>
        <w:jc w:val="both"/>
        <w:rPr>
          <w:rFonts w:ascii="Arial" w:hAnsi="Arial"/>
          <w:sz w:val="16"/>
          <w:szCs w:val="16"/>
          <w:u w:val="single"/>
          <w:rtl/>
        </w:rPr>
      </w:pPr>
    </w:p>
    <w:p w14:paraId="1C2E7781" w14:textId="77777777" w:rsidR="0018098C" w:rsidRPr="00167BC8" w:rsidRDefault="0018098C" w:rsidP="0018098C">
      <w:pPr>
        <w:spacing w:line="360" w:lineRule="auto"/>
        <w:jc w:val="both"/>
        <w:rPr>
          <w:rFonts w:ascii="Arial" w:hAnsi="Arial"/>
          <w:rtl/>
        </w:rPr>
      </w:pPr>
      <w:r w:rsidRPr="00167BC8">
        <w:rPr>
          <w:rFonts w:ascii="Arial" w:hAnsi="Arial"/>
          <w:rtl/>
        </w:rPr>
        <w:t>12.</w:t>
      </w:r>
      <w:r w:rsidRPr="00167BC8">
        <w:rPr>
          <w:rFonts w:ascii="Arial" w:hAnsi="Arial"/>
          <w:rtl/>
        </w:rPr>
        <w:tab/>
      </w:r>
      <w:r w:rsidRPr="00167BC8">
        <w:rPr>
          <w:rFonts w:ascii="Arial" w:hAnsi="Arial"/>
          <w:b/>
          <w:bCs/>
          <w:u w:val="single"/>
          <w:rtl/>
        </w:rPr>
        <w:t>נסיבותיו של הנאשם (שאינן קשורות במעשיי העבירות)</w:t>
      </w:r>
      <w:r w:rsidRPr="00167BC8">
        <w:rPr>
          <w:rFonts w:ascii="Arial" w:hAnsi="Arial"/>
          <w:b/>
          <w:bCs/>
          <w:rtl/>
        </w:rPr>
        <w:t>:</w:t>
      </w:r>
      <w:r w:rsidRPr="00167BC8">
        <w:rPr>
          <w:rFonts w:ascii="Arial" w:hAnsi="Arial"/>
          <w:rtl/>
        </w:rPr>
        <w:t xml:space="preserve"> הנאשם הורשע על-פי הודאתו במעשיי העבירות, הוא הכיר באחריותו למעשים, הביע צער וחרטה כנים על הסתבכותו בעבירות וכן הביע משאלה לשוב במהרה אל חיק משפחתו ואל עבודתו. הוא הסביר כי במשך כל חייו עד מעצרו, הוא עבד לפרנסתו ולפרנסת משפחתו וכי מעשיי העבירות שאליהם נקלע, כלל אינם אופייניים לו. כן הוסיף, כי הוא מנסה לנצל את שהותו בבית הסוהר רק לעשיית דברים טובים. בכלל זה ל</w:t>
      </w:r>
      <w:r>
        <w:rPr>
          <w:rFonts w:ascii="Arial" w:hAnsi="Arial" w:hint="cs"/>
          <w:rtl/>
        </w:rPr>
        <w:t>הת</w:t>
      </w:r>
      <w:r w:rsidRPr="00167BC8">
        <w:rPr>
          <w:rFonts w:ascii="Arial" w:hAnsi="Arial"/>
          <w:rtl/>
        </w:rPr>
        <w:t>קדם ב</w:t>
      </w:r>
      <w:r>
        <w:rPr>
          <w:rFonts w:ascii="Arial" w:hAnsi="Arial" w:hint="cs"/>
          <w:rtl/>
        </w:rPr>
        <w:t xml:space="preserve">אמצעות </w:t>
      </w:r>
      <w:r w:rsidRPr="00167BC8">
        <w:rPr>
          <w:rFonts w:ascii="Arial" w:hAnsi="Arial"/>
          <w:rtl/>
        </w:rPr>
        <w:t xml:space="preserve">השתתפות בלימודים ובתכניות טיפול </w:t>
      </w:r>
      <w:r>
        <w:rPr>
          <w:rFonts w:ascii="Arial" w:hAnsi="Arial" w:hint="cs"/>
          <w:rtl/>
        </w:rPr>
        <w:t xml:space="preserve">במסגרת המאסר </w:t>
      </w:r>
      <w:r w:rsidRPr="00167BC8">
        <w:rPr>
          <w:rFonts w:ascii="Arial" w:hAnsi="Arial"/>
          <w:rtl/>
        </w:rPr>
        <w:t xml:space="preserve">ובקרוב </w:t>
      </w:r>
      <w:r>
        <w:rPr>
          <w:rFonts w:ascii="Arial" w:hAnsi="Arial" w:hint="cs"/>
          <w:rtl/>
        </w:rPr>
        <w:t xml:space="preserve">אף </w:t>
      </w:r>
      <w:r w:rsidRPr="00167BC8">
        <w:rPr>
          <w:rFonts w:ascii="Arial" w:hAnsi="Arial"/>
          <w:rtl/>
        </w:rPr>
        <w:t>יתחיל לשמש אסיר תומך (סיוע צמוד לאסיר נזקק).</w:t>
      </w:r>
    </w:p>
    <w:p w14:paraId="3DAB558C" w14:textId="77777777" w:rsidR="0018098C" w:rsidRPr="00167BC8" w:rsidRDefault="0018098C" w:rsidP="0018098C">
      <w:pPr>
        <w:spacing w:line="360" w:lineRule="auto"/>
        <w:jc w:val="both"/>
        <w:rPr>
          <w:rFonts w:ascii="Arial" w:hAnsi="Arial"/>
          <w:rtl/>
        </w:rPr>
      </w:pPr>
    </w:p>
    <w:p w14:paraId="70FDB2D9" w14:textId="77777777" w:rsidR="0018098C" w:rsidRPr="00167BC8" w:rsidRDefault="0018098C" w:rsidP="0018098C">
      <w:pPr>
        <w:spacing w:line="360" w:lineRule="auto"/>
        <w:jc w:val="both"/>
        <w:rPr>
          <w:rFonts w:ascii="Arial" w:hAnsi="Arial"/>
          <w:rtl/>
        </w:rPr>
      </w:pPr>
      <w:r w:rsidRPr="00167BC8">
        <w:rPr>
          <w:rFonts w:ascii="Arial" w:hAnsi="Arial"/>
          <w:rtl/>
        </w:rPr>
        <w:t>הנאשם כבן 30, נעדר הרשעות קודמות, נשוי ואב לשני ילדים בני 4 ו-6, שעול פרנסת המשפחה היה עליו. כפי שטען בא-כוח הנאשם, עצם מעצרו הממושך וריחוקו מילדיו ללא ספק מקשה עליו מאד ומשמש עבורו גורם מרתיע ממשי. כמו כן ניתן משקל לפגיעה הנגרמת למשפחת הנאשם ולילדיו הקטנים מעצם הריחוק מאבי המשפחה, בשל עצם ממאסרו ומהפגיעה הכללית בשל כך. לא מן הנמנע כי הדבר אף עלול להקשות על שיבת הנאשם בבוא העת אל מעגל החיים הנורמטיבי.</w:t>
      </w:r>
    </w:p>
    <w:p w14:paraId="4FC32A9D" w14:textId="77777777" w:rsidR="0018098C" w:rsidRPr="00167BC8" w:rsidRDefault="0018098C" w:rsidP="0018098C">
      <w:pPr>
        <w:spacing w:line="360" w:lineRule="auto"/>
        <w:jc w:val="both"/>
        <w:rPr>
          <w:rFonts w:ascii="Arial" w:hAnsi="Arial"/>
          <w:rtl/>
        </w:rPr>
      </w:pPr>
    </w:p>
    <w:p w14:paraId="0D46A593" w14:textId="77777777" w:rsidR="0018098C" w:rsidRDefault="0018098C" w:rsidP="0018098C">
      <w:pPr>
        <w:spacing w:line="360" w:lineRule="auto"/>
        <w:jc w:val="both"/>
        <w:rPr>
          <w:rFonts w:ascii="Arial" w:hAnsi="Arial"/>
          <w:rtl/>
        </w:rPr>
      </w:pPr>
      <w:r w:rsidRPr="00167BC8">
        <w:rPr>
          <w:rFonts w:ascii="Arial" w:hAnsi="Arial"/>
          <w:rtl/>
        </w:rPr>
        <w:t>13.</w:t>
      </w:r>
      <w:r w:rsidRPr="00167BC8">
        <w:rPr>
          <w:rFonts w:ascii="Arial" w:hAnsi="Arial"/>
          <w:rtl/>
        </w:rPr>
        <w:tab/>
      </w:r>
      <w:r w:rsidRPr="00167BC8">
        <w:rPr>
          <w:rFonts w:ascii="Arial" w:hAnsi="Arial"/>
          <w:b/>
          <w:bCs/>
          <w:u w:val="single"/>
          <w:rtl/>
        </w:rPr>
        <w:t>גזירת עונשו של הנאשם</w:t>
      </w:r>
      <w:r w:rsidRPr="00167BC8">
        <w:rPr>
          <w:rFonts w:ascii="Arial" w:hAnsi="Arial"/>
          <w:b/>
          <w:bCs/>
          <w:rtl/>
        </w:rPr>
        <w:t>:</w:t>
      </w:r>
      <w:r w:rsidRPr="00167BC8">
        <w:rPr>
          <w:rFonts w:ascii="Arial" w:hAnsi="Arial"/>
          <w:rtl/>
        </w:rPr>
        <w:t xml:space="preserve"> לאחר איזון כלל השיקולים, מצאתי לנכון להעמיד את עונש המאסר בפועל שיושת על הנאשם בחלקו התחתון של מתחם העונש ההולם. בשל חומרת עבירות הנשק והסמים והצורך במתן משקל ממשי לשיקולי הרתעה אישית ולשיקולי הרתעת הרבים, העונש לא ימוקם בקצה התחתון של מתחם העונש. </w:t>
      </w:r>
    </w:p>
    <w:p w14:paraId="6A4AB864" w14:textId="77777777" w:rsidR="0018098C" w:rsidRDefault="0018098C" w:rsidP="0018098C">
      <w:pPr>
        <w:spacing w:line="360" w:lineRule="auto"/>
        <w:jc w:val="both"/>
        <w:rPr>
          <w:rFonts w:ascii="Arial" w:hAnsi="Arial"/>
          <w:rtl/>
        </w:rPr>
      </w:pPr>
    </w:p>
    <w:p w14:paraId="4F90B2D0" w14:textId="77777777" w:rsidR="0018098C" w:rsidRPr="00167BC8" w:rsidRDefault="0018098C" w:rsidP="0018098C">
      <w:pPr>
        <w:spacing w:line="360" w:lineRule="auto"/>
        <w:jc w:val="both"/>
        <w:rPr>
          <w:rFonts w:ascii="Arial" w:hAnsi="Arial"/>
          <w:rtl/>
        </w:rPr>
      </w:pPr>
      <w:r w:rsidRPr="00167BC8">
        <w:rPr>
          <w:rFonts w:ascii="Arial" w:hAnsi="Arial"/>
          <w:rtl/>
        </w:rPr>
        <w:t xml:space="preserve">לצד </w:t>
      </w:r>
      <w:r>
        <w:rPr>
          <w:rFonts w:ascii="Arial" w:hAnsi="Arial" w:hint="cs"/>
          <w:rtl/>
        </w:rPr>
        <w:t xml:space="preserve">עונש המאסר בפועל, </w:t>
      </w:r>
      <w:r w:rsidRPr="00167BC8">
        <w:rPr>
          <w:rFonts w:ascii="Arial" w:hAnsi="Arial"/>
          <w:rtl/>
        </w:rPr>
        <w:t xml:space="preserve">יושתו </w:t>
      </w:r>
      <w:r>
        <w:rPr>
          <w:rFonts w:ascii="Arial" w:hAnsi="Arial" w:hint="cs"/>
          <w:rtl/>
        </w:rPr>
        <w:t xml:space="preserve">על הנאשם גם </w:t>
      </w:r>
      <w:r w:rsidRPr="00167BC8">
        <w:rPr>
          <w:rFonts w:ascii="Arial" w:hAnsi="Arial"/>
          <w:rtl/>
        </w:rPr>
        <w:t>מאסר מותנה</w:t>
      </w:r>
      <w:r>
        <w:rPr>
          <w:rFonts w:ascii="Arial" w:hAnsi="Arial" w:hint="cs"/>
          <w:rtl/>
        </w:rPr>
        <w:t xml:space="preserve">, כענישה מרתיעה וכן </w:t>
      </w:r>
      <w:r w:rsidRPr="00167BC8">
        <w:rPr>
          <w:rFonts w:ascii="Arial" w:hAnsi="Arial"/>
          <w:rtl/>
        </w:rPr>
        <w:t>קנס</w:t>
      </w:r>
      <w:r>
        <w:rPr>
          <w:rFonts w:ascii="Arial" w:hAnsi="Arial" w:hint="cs"/>
          <w:rtl/>
        </w:rPr>
        <w:t>. עם זאת</w:t>
      </w:r>
      <w:r w:rsidRPr="00167BC8">
        <w:rPr>
          <w:rFonts w:ascii="Arial" w:hAnsi="Arial"/>
          <w:rtl/>
        </w:rPr>
        <w:t>, בנסיבות הנדונות ובהתחשב גם ב</w:t>
      </w:r>
      <w:r>
        <w:rPr>
          <w:rFonts w:ascii="Arial" w:hAnsi="Arial" w:hint="cs"/>
          <w:rtl/>
        </w:rPr>
        <w:t xml:space="preserve">השלכות הענישה על </w:t>
      </w:r>
      <w:r w:rsidRPr="00167BC8">
        <w:rPr>
          <w:rFonts w:ascii="Arial" w:hAnsi="Arial"/>
          <w:rtl/>
        </w:rPr>
        <w:t>משפחת הנאשם, לא מצאתי הצדקה לפסילת רישיון הנהיגה.</w:t>
      </w:r>
    </w:p>
    <w:p w14:paraId="7D28B145" w14:textId="77777777" w:rsidR="0018098C" w:rsidRDefault="0018098C" w:rsidP="0018098C">
      <w:pPr>
        <w:spacing w:line="360" w:lineRule="auto"/>
        <w:jc w:val="both"/>
        <w:rPr>
          <w:rFonts w:ascii="Arial" w:hAnsi="Arial"/>
          <w:rtl/>
        </w:rPr>
      </w:pPr>
    </w:p>
    <w:p w14:paraId="1D25B0DC" w14:textId="77777777" w:rsidR="0018098C" w:rsidRDefault="0018098C" w:rsidP="0018098C">
      <w:pPr>
        <w:spacing w:line="360" w:lineRule="auto"/>
        <w:jc w:val="both"/>
        <w:rPr>
          <w:rFonts w:ascii="Arial" w:hAnsi="Arial"/>
          <w:rtl/>
        </w:rPr>
      </w:pPr>
    </w:p>
    <w:p w14:paraId="49FEA716" w14:textId="77777777" w:rsidR="0018098C" w:rsidRPr="00167BC8" w:rsidRDefault="0018098C" w:rsidP="0018098C">
      <w:pPr>
        <w:spacing w:line="360" w:lineRule="auto"/>
        <w:jc w:val="both"/>
        <w:rPr>
          <w:rFonts w:ascii="Arial" w:hAnsi="Arial"/>
          <w:rtl/>
        </w:rPr>
      </w:pPr>
    </w:p>
    <w:p w14:paraId="495CD58D" w14:textId="77777777" w:rsidR="0018098C" w:rsidRPr="00167BC8" w:rsidRDefault="0018098C" w:rsidP="0018098C">
      <w:pPr>
        <w:spacing w:line="360" w:lineRule="auto"/>
        <w:jc w:val="both"/>
        <w:rPr>
          <w:rFonts w:ascii="Arial" w:hAnsi="Arial"/>
          <w:rtl/>
        </w:rPr>
      </w:pPr>
      <w:r w:rsidRPr="00167BC8">
        <w:rPr>
          <w:rFonts w:ascii="Arial" w:hAnsi="Arial"/>
          <w:b/>
          <w:bCs/>
          <w:u w:val="single"/>
          <w:rtl/>
        </w:rPr>
        <w:t>גזר הדין – סיכום</w:t>
      </w:r>
    </w:p>
    <w:p w14:paraId="097964E8" w14:textId="77777777" w:rsidR="0018098C" w:rsidRPr="00624287" w:rsidRDefault="0018098C" w:rsidP="0018098C">
      <w:pPr>
        <w:spacing w:line="360" w:lineRule="auto"/>
        <w:jc w:val="both"/>
        <w:rPr>
          <w:rFonts w:ascii="Arial" w:hAnsi="Arial"/>
          <w:sz w:val="16"/>
          <w:szCs w:val="16"/>
          <w:rtl/>
        </w:rPr>
      </w:pPr>
    </w:p>
    <w:p w14:paraId="1120D43A" w14:textId="77777777" w:rsidR="0018098C" w:rsidRPr="00167BC8" w:rsidRDefault="0018098C" w:rsidP="0018098C">
      <w:pPr>
        <w:spacing w:line="360" w:lineRule="auto"/>
        <w:jc w:val="both"/>
        <w:rPr>
          <w:rFonts w:ascii="Arial" w:hAnsi="Arial"/>
          <w:rtl/>
        </w:rPr>
      </w:pPr>
      <w:r w:rsidRPr="00167BC8">
        <w:rPr>
          <w:rFonts w:ascii="Arial" w:hAnsi="Arial"/>
          <w:rtl/>
        </w:rPr>
        <w:t>14.</w:t>
      </w:r>
      <w:r w:rsidRPr="00167BC8">
        <w:rPr>
          <w:rFonts w:ascii="Arial" w:hAnsi="Arial"/>
          <w:rtl/>
        </w:rPr>
        <w:tab/>
        <w:t>בהתאם לכל האמור, על הנאשם נגזרים העונשים הבאים:</w:t>
      </w:r>
    </w:p>
    <w:p w14:paraId="337A7489" w14:textId="77777777" w:rsidR="0018098C" w:rsidRPr="00167BC8" w:rsidRDefault="0018098C" w:rsidP="0018098C">
      <w:pPr>
        <w:spacing w:line="360" w:lineRule="auto"/>
        <w:jc w:val="both"/>
        <w:rPr>
          <w:rFonts w:ascii="Arial" w:hAnsi="Arial"/>
          <w:rtl/>
        </w:rPr>
      </w:pPr>
    </w:p>
    <w:p w14:paraId="7BD57FD6" w14:textId="77777777" w:rsidR="0018098C" w:rsidRPr="00167BC8" w:rsidRDefault="0018098C" w:rsidP="0018098C">
      <w:pPr>
        <w:spacing w:line="360" w:lineRule="auto"/>
        <w:ind w:left="1440" w:hanging="720"/>
        <w:jc w:val="both"/>
        <w:rPr>
          <w:rFonts w:ascii="Arial" w:hAnsi="Arial"/>
          <w:rtl/>
        </w:rPr>
      </w:pPr>
      <w:r w:rsidRPr="00167BC8">
        <w:rPr>
          <w:rFonts w:ascii="Arial" w:hAnsi="Arial"/>
          <w:rtl/>
        </w:rPr>
        <w:t>א.</w:t>
      </w:r>
      <w:r w:rsidRPr="00167BC8">
        <w:rPr>
          <w:rFonts w:ascii="Arial" w:hAnsi="Arial"/>
          <w:rtl/>
        </w:rPr>
        <w:tab/>
      </w:r>
      <w:r w:rsidRPr="00167BC8">
        <w:rPr>
          <w:rFonts w:ascii="Arial" w:hAnsi="Arial"/>
          <w:b/>
          <w:bCs/>
          <w:rtl/>
        </w:rPr>
        <w:t>מאסר בפועל למשך</w:t>
      </w:r>
      <w:r w:rsidRPr="00167BC8">
        <w:rPr>
          <w:rFonts w:ascii="Arial" w:hAnsi="Arial"/>
          <w:rtl/>
        </w:rPr>
        <w:t xml:space="preserve"> </w:t>
      </w:r>
      <w:r w:rsidRPr="00167BC8">
        <w:rPr>
          <w:rFonts w:ascii="Arial" w:hAnsi="Arial"/>
          <w:b/>
          <w:bCs/>
          <w:rtl/>
        </w:rPr>
        <w:t>ארבעים ושניים חודש</w:t>
      </w:r>
      <w:r w:rsidRPr="00167BC8">
        <w:rPr>
          <w:rFonts w:ascii="Arial" w:hAnsi="Arial"/>
          <w:rtl/>
        </w:rPr>
        <w:t>, החל מיום מעצרו ביום 19.9.2022 (במקרה של סתירה לרישומי שב"ס, יש לפעול על-פי רישומיו).</w:t>
      </w:r>
    </w:p>
    <w:p w14:paraId="48962D4D" w14:textId="77777777" w:rsidR="0018098C" w:rsidRPr="00167BC8" w:rsidRDefault="0018098C" w:rsidP="0018098C">
      <w:pPr>
        <w:spacing w:line="360" w:lineRule="auto"/>
        <w:ind w:left="1440" w:hanging="1440"/>
        <w:jc w:val="both"/>
        <w:rPr>
          <w:rFonts w:ascii="Arial" w:hAnsi="Arial"/>
          <w:rtl/>
        </w:rPr>
      </w:pPr>
    </w:p>
    <w:p w14:paraId="4454C6DA" w14:textId="77777777" w:rsidR="0018098C" w:rsidRPr="00167BC8" w:rsidRDefault="0018098C" w:rsidP="0018098C">
      <w:pPr>
        <w:spacing w:line="360" w:lineRule="auto"/>
        <w:ind w:left="1440" w:hanging="720"/>
        <w:jc w:val="both"/>
        <w:rPr>
          <w:rFonts w:ascii="Arial" w:hAnsi="Arial"/>
          <w:rtl/>
        </w:rPr>
      </w:pPr>
      <w:r w:rsidRPr="00167BC8">
        <w:rPr>
          <w:rFonts w:ascii="Arial" w:hAnsi="Arial"/>
          <w:rtl/>
        </w:rPr>
        <w:t>ב.</w:t>
      </w:r>
      <w:r w:rsidRPr="00167BC8">
        <w:rPr>
          <w:rFonts w:ascii="Arial" w:hAnsi="Arial"/>
          <w:rtl/>
        </w:rPr>
        <w:tab/>
      </w:r>
      <w:r w:rsidRPr="00167BC8">
        <w:rPr>
          <w:rFonts w:ascii="Arial" w:hAnsi="Arial"/>
          <w:b/>
          <w:bCs/>
          <w:rtl/>
        </w:rPr>
        <w:t>מאסר מותנה למשך</w:t>
      </w:r>
      <w:r w:rsidRPr="00167BC8">
        <w:rPr>
          <w:rFonts w:ascii="Arial" w:hAnsi="Arial"/>
          <w:rtl/>
        </w:rPr>
        <w:t xml:space="preserve"> </w:t>
      </w:r>
      <w:r w:rsidRPr="00167BC8">
        <w:rPr>
          <w:rFonts w:ascii="Arial" w:hAnsi="Arial"/>
          <w:b/>
          <w:bCs/>
          <w:rtl/>
        </w:rPr>
        <w:t>ש</w:t>
      </w:r>
      <w:r>
        <w:rPr>
          <w:rFonts w:ascii="Arial" w:hAnsi="Arial" w:hint="cs"/>
          <w:b/>
          <w:bCs/>
          <w:rtl/>
        </w:rPr>
        <w:t>ישה</w:t>
      </w:r>
      <w:r w:rsidRPr="00167BC8">
        <w:rPr>
          <w:rFonts w:ascii="Arial" w:hAnsi="Arial"/>
          <w:b/>
          <w:bCs/>
          <w:rtl/>
        </w:rPr>
        <w:t xml:space="preserve"> חודשים</w:t>
      </w:r>
      <w:r w:rsidRPr="00167BC8">
        <w:rPr>
          <w:rFonts w:ascii="Arial" w:hAnsi="Arial"/>
          <w:rtl/>
        </w:rPr>
        <w:t>. הנאשם יישא עונש זה אם תוך שלוש שנים מיום שחרורו מן המאסר יעבור עבירת נשק או עבירת סמים מסוג פשע, או ניסיון לעבור עבירה כאמור.</w:t>
      </w:r>
    </w:p>
    <w:p w14:paraId="035D77E9" w14:textId="77777777" w:rsidR="0018098C" w:rsidRPr="00167BC8" w:rsidRDefault="0018098C" w:rsidP="0018098C">
      <w:pPr>
        <w:spacing w:line="360" w:lineRule="auto"/>
        <w:ind w:left="1440" w:hanging="1440"/>
        <w:jc w:val="both"/>
        <w:rPr>
          <w:rFonts w:ascii="Arial" w:hAnsi="Arial"/>
          <w:rtl/>
        </w:rPr>
      </w:pPr>
    </w:p>
    <w:p w14:paraId="33CDC989" w14:textId="77777777" w:rsidR="0018098C" w:rsidRPr="00167BC8" w:rsidRDefault="0018098C" w:rsidP="0018098C">
      <w:pPr>
        <w:spacing w:line="360" w:lineRule="auto"/>
        <w:ind w:left="1440" w:hanging="720"/>
        <w:jc w:val="both"/>
        <w:rPr>
          <w:rFonts w:ascii="Arial" w:hAnsi="Arial"/>
          <w:rtl/>
        </w:rPr>
      </w:pPr>
      <w:r w:rsidRPr="00167BC8">
        <w:rPr>
          <w:rFonts w:ascii="Arial" w:hAnsi="Arial"/>
          <w:rtl/>
        </w:rPr>
        <w:t>ג.</w:t>
      </w:r>
      <w:r w:rsidRPr="00167BC8">
        <w:rPr>
          <w:rFonts w:ascii="Arial" w:hAnsi="Arial"/>
          <w:rtl/>
        </w:rPr>
        <w:tab/>
      </w:r>
      <w:r w:rsidRPr="00167BC8">
        <w:rPr>
          <w:rFonts w:ascii="Arial" w:hAnsi="Arial"/>
          <w:b/>
          <w:bCs/>
          <w:rtl/>
        </w:rPr>
        <w:t>מאסר מותנה למשך</w:t>
      </w:r>
      <w:r w:rsidRPr="00167BC8">
        <w:rPr>
          <w:rFonts w:ascii="Arial" w:hAnsi="Arial"/>
          <w:rtl/>
        </w:rPr>
        <w:t xml:space="preserve"> </w:t>
      </w:r>
      <w:r>
        <w:rPr>
          <w:rFonts w:ascii="Arial" w:hAnsi="Arial" w:hint="cs"/>
          <w:b/>
          <w:bCs/>
          <w:rtl/>
        </w:rPr>
        <w:t>שלוש</w:t>
      </w:r>
      <w:r w:rsidRPr="00167BC8">
        <w:rPr>
          <w:rFonts w:ascii="Arial" w:hAnsi="Arial"/>
          <w:b/>
          <w:bCs/>
          <w:rtl/>
        </w:rPr>
        <w:t>ה חודשים</w:t>
      </w:r>
      <w:r w:rsidRPr="00167BC8">
        <w:rPr>
          <w:rFonts w:ascii="Arial" w:hAnsi="Arial"/>
          <w:rtl/>
        </w:rPr>
        <w:t>. הנאשם יישא עונש זה אם תוך שלוש שנים מיום שחרורו מן המאסר יעבור עבירת נשק או עבירת סמים מסוג עוון, או ניסיון לעבור עבירה כאמור.</w:t>
      </w:r>
    </w:p>
    <w:p w14:paraId="78B966D5" w14:textId="77777777" w:rsidR="0018098C" w:rsidRPr="00167BC8" w:rsidRDefault="0018098C" w:rsidP="0018098C">
      <w:pPr>
        <w:spacing w:line="360" w:lineRule="auto"/>
        <w:ind w:left="1440" w:hanging="1440"/>
        <w:jc w:val="both"/>
        <w:rPr>
          <w:rFonts w:ascii="Arial" w:hAnsi="Arial"/>
          <w:rtl/>
        </w:rPr>
      </w:pPr>
    </w:p>
    <w:p w14:paraId="7BAADFF4" w14:textId="77777777" w:rsidR="0018098C" w:rsidRPr="00167BC8" w:rsidRDefault="0018098C" w:rsidP="0018098C">
      <w:pPr>
        <w:spacing w:line="360" w:lineRule="auto"/>
        <w:ind w:left="1440" w:hanging="720"/>
        <w:jc w:val="both"/>
        <w:rPr>
          <w:rFonts w:ascii="Arial" w:hAnsi="Arial"/>
          <w:rtl/>
        </w:rPr>
      </w:pPr>
      <w:r w:rsidRPr="00167BC8">
        <w:rPr>
          <w:rFonts w:ascii="Arial" w:hAnsi="Arial"/>
          <w:rtl/>
        </w:rPr>
        <w:t>ד.</w:t>
      </w:r>
      <w:r w:rsidRPr="00167BC8">
        <w:rPr>
          <w:rFonts w:ascii="Arial" w:hAnsi="Arial"/>
          <w:rtl/>
        </w:rPr>
        <w:tab/>
      </w:r>
      <w:r w:rsidRPr="00167BC8">
        <w:rPr>
          <w:rFonts w:ascii="Arial" w:hAnsi="Arial"/>
          <w:b/>
          <w:bCs/>
          <w:rtl/>
        </w:rPr>
        <w:t>קנס בסך 4,000 ₪,</w:t>
      </w:r>
      <w:r w:rsidRPr="00167BC8">
        <w:rPr>
          <w:rFonts w:ascii="Arial" w:hAnsi="Arial"/>
          <w:rtl/>
        </w:rPr>
        <w:t xml:space="preserve"> שישולם בארבעים תשלומים שווים, עוקבים ורצופים החל מיום 1.9.2023 או 32 ימי מאסר תמורתו.</w:t>
      </w:r>
    </w:p>
    <w:p w14:paraId="655E871A" w14:textId="77777777" w:rsidR="0018098C" w:rsidRPr="00167BC8" w:rsidRDefault="0018098C" w:rsidP="0018098C">
      <w:pPr>
        <w:spacing w:line="360" w:lineRule="auto"/>
        <w:jc w:val="both"/>
        <w:rPr>
          <w:rFonts w:ascii="Arial" w:hAnsi="Arial"/>
          <w:rtl/>
        </w:rPr>
      </w:pPr>
    </w:p>
    <w:p w14:paraId="7671ED33" w14:textId="77777777" w:rsidR="0018098C" w:rsidRPr="00167BC8" w:rsidRDefault="0018098C" w:rsidP="0018098C">
      <w:pPr>
        <w:spacing w:line="360" w:lineRule="auto"/>
        <w:jc w:val="both"/>
        <w:rPr>
          <w:rFonts w:ascii="Arial" w:hAnsi="Arial"/>
          <w:rtl/>
        </w:rPr>
      </w:pPr>
      <w:bookmarkStart w:id="8" w:name="Nitan"/>
      <w:r w:rsidRPr="00167BC8">
        <w:rPr>
          <w:rFonts w:ascii="Arial" w:hAnsi="Arial"/>
          <w:rtl/>
        </w:rPr>
        <w:t>15.</w:t>
      </w:r>
      <w:r w:rsidRPr="00167BC8">
        <w:rPr>
          <w:rFonts w:ascii="Arial" w:hAnsi="Arial"/>
          <w:rtl/>
        </w:rPr>
        <w:tab/>
      </w:r>
      <w:r w:rsidRPr="00167BC8">
        <w:rPr>
          <w:rFonts w:ascii="Arial" w:hAnsi="Arial"/>
          <w:b/>
          <w:bCs/>
          <w:u w:val="single"/>
          <w:rtl/>
        </w:rPr>
        <w:t>צו לחילוט או השמדה</w:t>
      </w:r>
      <w:r w:rsidRPr="00167BC8">
        <w:rPr>
          <w:rFonts w:ascii="Arial" w:hAnsi="Arial"/>
          <w:b/>
          <w:bCs/>
          <w:rtl/>
        </w:rPr>
        <w:t>:</w:t>
      </w:r>
      <w:r w:rsidRPr="00167BC8">
        <w:rPr>
          <w:rFonts w:ascii="Arial" w:hAnsi="Arial"/>
          <w:rtl/>
        </w:rPr>
        <w:t xml:space="preserve"> ניתן צו המורה על חילוט הסמים והנשק שנתפסו או על השמדתם, </w:t>
      </w:r>
      <w:bookmarkEnd w:id="8"/>
      <w:r w:rsidRPr="00167BC8">
        <w:rPr>
          <w:rFonts w:ascii="Arial" w:hAnsi="Arial"/>
          <w:rtl/>
        </w:rPr>
        <w:t>בהתאם לשיקול דעתו של קצין משטרה מוסמך.</w:t>
      </w:r>
    </w:p>
    <w:p w14:paraId="0BA5A7EE" w14:textId="77777777" w:rsidR="0018098C" w:rsidRPr="00167BC8" w:rsidRDefault="0018098C" w:rsidP="0018098C">
      <w:pPr>
        <w:spacing w:line="360" w:lineRule="auto"/>
        <w:jc w:val="both"/>
        <w:rPr>
          <w:rFonts w:ascii="Arial" w:hAnsi="Arial"/>
          <w:rtl/>
        </w:rPr>
      </w:pPr>
    </w:p>
    <w:p w14:paraId="6D28063D" w14:textId="77777777" w:rsidR="0018098C" w:rsidRPr="00167BC8" w:rsidRDefault="0018098C" w:rsidP="0018098C">
      <w:pPr>
        <w:spacing w:line="360" w:lineRule="auto"/>
        <w:jc w:val="both"/>
        <w:rPr>
          <w:rFonts w:ascii="Arial" w:hAnsi="Arial"/>
          <w:b/>
          <w:bCs/>
          <w:rtl/>
        </w:rPr>
      </w:pPr>
      <w:r w:rsidRPr="00167BC8">
        <w:rPr>
          <w:rFonts w:ascii="Arial" w:hAnsi="Arial"/>
          <w:b/>
          <w:bCs/>
          <w:rtl/>
        </w:rPr>
        <w:t>זכות ערעור לבית המשפט העליון תוך ארבעים וחמישה יום.</w:t>
      </w:r>
    </w:p>
    <w:p w14:paraId="33843584" w14:textId="77777777" w:rsidR="0018098C" w:rsidRPr="00167BC8" w:rsidRDefault="0018098C" w:rsidP="0018098C">
      <w:pPr>
        <w:spacing w:line="360" w:lineRule="auto"/>
        <w:jc w:val="both"/>
        <w:rPr>
          <w:rFonts w:ascii="Arial" w:hAnsi="Arial"/>
          <w:rtl/>
        </w:rPr>
      </w:pPr>
    </w:p>
    <w:p w14:paraId="7205DD65" w14:textId="77777777" w:rsidR="0018098C" w:rsidRPr="00167BC8" w:rsidRDefault="0018098C" w:rsidP="0018098C">
      <w:pPr>
        <w:spacing w:line="360" w:lineRule="auto"/>
        <w:jc w:val="both"/>
        <w:rPr>
          <w:rFonts w:ascii="Arial" w:hAnsi="Arial"/>
          <w:rtl/>
        </w:rPr>
      </w:pPr>
    </w:p>
    <w:p w14:paraId="660B60BA" w14:textId="77777777" w:rsidR="0018098C" w:rsidRPr="00167BC8" w:rsidRDefault="0018098C" w:rsidP="0018098C">
      <w:pPr>
        <w:spacing w:line="360" w:lineRule="auto"/>
        <w:jc w:val="both"/>
        <w:rPr>
          <w:rFonts w:ascii="Arial" w:hAnsi="Arial"/>
          <w:rtl/>
        </w:rPr>
      </w:pPr>
    </w:p>
    <w:p w14:paraId="5D8AB548" w14:textId="77777777" w:rsidR="0018098C" w:rsidRPr="007E1236" w:rsidRDefault="007E1236" w:rsidP="0018098C">
      <w:pPr>
        <w:spacing w:line="360" w:lineRule="auto"/>
        <w:jc w:val="both"/>
        <w:rPr>
          <w:rFonts w:ascii="Arial" w:hAnsi="Arial"/>
          <w:color w:val="FFFFFF"/>
          <w:sz w:val="2"/>
          <w:szCs w:val="2"/>
          <w:rtl/>
        </w:rPr>
      </w:pPr>
      <w:r w:rsidRPr="007E1236">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18098C" w14:paraId="5B9264A4" w14:textId="77777777" w:rsidTr="0018098C">
        <w:trPr>
          <w:jc w:val="right"/>
        </w:trPr>
        <w:tc>
          <w:tcPr>
            <w:tcW w:w="2392" w:type="dxa"/>
            <w:tcBorders>
              <w:top w:val="nil"/>
              <w:left w:val="nil"/>
              <w:bottom w:val="single" w:sz="4" w:space="0" w:color="auto"/>
              <w:right w:val="nil"/>
            </w:tcBorders>
            <w:shd w:val="clear" w:color="auto" w:fill="auto"/>
            <w:vAlign w:val="center"/>
          </w:tcPr>
          <w:p w14:paraId="2D5972B5" w14:textId="77777777" w:rsidR="0018098C" w:rsidRPr="0018098C" w:rsidRDefault="007E1236" w:rsidP="007E1236">
            <w:pPr>
              <w:spacing w:before="40" w:after="40"/>
              <w:jc w:val="center"/>
              <w:rPr>
                <w:rFonts w:ascii="Courier New" w:hAnsi="Courier New"/>
                <w:b/>
                <w:bCs/>
                <w:rtl/>
              </w:rPr>
            </w:pPr>
            <w:r w:rsidRPr="007E1236">
              <w:rPr>
                <w:rFonts w:ascii="Arial" w:hAnsi="Arial"/>
                <w:color w:val="FFFFFF"/>
                <w:sz w:val="2"/>
                <w:szCs w:val="2"/>
                <w:rtl/>
              </w:rPr>
              <w:t>54678313</w:t>
            </w:r>
            <w:r>
              <w:rPr>
                <w:rFonts w:ascii="Arial" w:hAnsi="Arial"/>
                <w:rtl/>
              </w:rPr>
              <w:t xml:space="preserve">ניתן היום, י"ט באב </w:t>
            </w:r>
            <w:r w:rsidR="0018098C">
              <w:rPr>
                <w:rFonts w:ascii="Arial" w:hAnsi="Arial" w:hint="cs"/>
                <w:rtl/>
              </w:rPr>
              <w:t>ה</w:t>
            </w:r>
            <w:r w:rsidR="0018098C" w:rsidRPr="00167BC8">
              <w:rPr>
                <w:rFonts w:ascii="Arial" w:hAnsi="Arial"/>
                <w:rtl/>
              </w:rPr>
              <w:t xml:space="preserve">תשפ"ג, </w:t>
            </w:r>
            <w:r w:rsidR="0018098C">
              <w:rPr>
                <w:rFonts w:ascii="Arial" w:hAnsi="Arial" w:hint="cs"/>
                <w:rtl/>
              </w:rPr>
              <w:t>6 באוגוסט</w:t>
            </w:r>
            <w:r w:rsidR="0018098C" w:rsidRPr="00167BC8">
              <w:rPr>
                <w:rFonts w:ascii="Arial" w:hAnsi="Arial"/>
                <w:rtl/>
              </w:rPr>
              <w:t xml:space="preserve"> 2023, ב</w:t>
            </w:r>
            <w:r w:rsidR="0018098C">
              <w:rPr>
                <w:rFonts w:ascii="Arial" w:hAnsi="Arial" w:hint="cs"/>
                <w:rtl/>
              </w:rPr>
              <w:t xml:space="preserve">מעמד הנאשם ובאי-כוח שני הצדדים כמפורט </w:t>
            </w:r>
            <w:r>
              <w:rPr>
                <w:rFonts w:ascii="Arial" w:hAnsi="Arial"/>
                <w:rtl/>
              </w:rPr>
              <w:t xml:space="preserve">בפרוטוקול הדיון מהיום. </w:t>
            </w:r>
          </w:p>
        </w:tc>
      </w:tr>
      <w:tr w:rsidR="0018098C" w14:paraId="1D8DC1B0" w14:textId="77777777" w:rsidTr="0018098C">
        <w:trPr>
          <w:jc w:val="right"/>
        </w:trPr>
        <w:tc>
          <w:tcPr>
            <w:tcW w:w="2392" w:type="dxa"/>
            <w:tcBorders>
              <w:top w:val="single" w:sz="4" w:space="0" w:color="auto"/>
              <w:left w:val="nil"/>
              <w:bottom w:val="nil"/>
              <w:right w:val="nil"/>
            </w:tcBorders>
            <w:shd w:val="clear" w:color="auto" w:fill="auto"/>
          </w:tcPr>
          <w:p w14:paraId="1A2BCE15" w14:textId="77777777" w:rsidR="0018098C" w:rsidRPr="0018098C" w:rsidRDefault="0018098C" w:rsidP="0018098C">
            <w:pPr>
              <w:pStyle w:val="3"/>
              <w:spacing w:before="40" w:after="40" w:line="240" w:lineRule="auto"/>
              <w:jc w:val="center"/>
              <w:rPr>
                <w:sz w:val="28"/>
                <w:rtl/>
              </w:rPr>
            </w:pPr>
            <w:r w:rsidRPr="0018098C">
              <w:rPr>
                <w:rFonts w:hint="cs"/>
                <w:sz w:val="28"/>
                <w:rtl/>
              </w:rPr>
              <w:t>תמר בר-אשר, שופטת</w:t>
            </w:r>
          </w:p>
        </w:tc>
      </w:tr>
    </w:tbl>
    <w:p w14:paraId="624C5068" w14:textId="77777777" w:rsidR="0018098C" w:rsidRDefault="0018098C" w:rsidP="0018098C">
      <w:pPr>
        <w:jc w:val="center"/>
        <w:rPr>
          <w:rtl/>
        </w:rPr>
      </w:pPr>
    </w:p>
    <w:p w14:paraId="24B58CF6" w14:textId="77777777" w:rsidR="0018098C" w:rsidRPr="006A449B" w:rsidRDefault="006A449B" w:rsidP="0018098C">
      <w:pPr>
        <w:spacing w:line="360" w:lineRule="auto"/>
        <w:jc w:val="both"/>
        <w:rPr>
          <w:rFonts w:ascii="Arial" w:hAnsi="Arial"/>
          <w:color w:val="FFFFFF"/>
          <w:sz w:val="2"/>
          <w:szCs w:val="2"/>
          <w:rtl/>
        </w:rPr>
      </w:pPr>
      <w:r w:rsidRPr="006A449B">
        <w:rPr>
          <w:rFonts w:ascii="Arial" w:hAnsi="Arial"/>
          <w:color w:val="FFFFFF"/>
          <w:sz w:val="2"/>
          <w:szCs w:val="2"/>
          <w:rtl/>
        </w:rPr>
        <w:t>5129371</w:t>
      </w:r>
    </w:p>
    <w:p w14:paraId="63ED7169" w14:textId="77777777" w:rsidR="00C53604" w:rsidRPr="006A449B" w:rsidRDefault="006A449B" w:rsidP="007E1236">
      <w:pPr>
        <w:keepNext/>
        <w:rPr>
          <w:rFonts w:ascii="David" w:hAnsi="David"/>
          <w:color w:val="FFFFFF"/>
          <w:sz w:val="2"/>
          <w:szCs w:val="2"/>
          <w:rtl/>
        </w:rPr>
      </w:pPr>
      <w:r w:rsidRPr="006A449B">
        <w:rPr>
          <w:rFonts w:ascii="David" w:hAnsi="David"/>
          <w:color w:val="FFFFFF"/>
          <w:sz w:val="2"/>
          <w:szCs w:val="2"/>
          <w:rtl/>
        </w:rPr>
        <w:t>512937154678313</w:t>
      </w:r>
    </w:p>
    <w:p w14:paraId="2724C441" w14:textId="77777777" w:rsidR="007E1236" w:rsidRDefault="007E1236" w:rsidP="007E1236">
      <w:pPr>
        <w:rPr>
          <w:rtl/>
        </w:rPr>
      </w:pPr>
    </w:p>
    <w:p w14:paraId="4889B5CC" w14:textId="77777777" w:rsidR="007E1236" w:rsidRDefault="007E1236" w:rsidP="007E1236">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66103830" w14:textId="77777777" w:rsidR="006A449B" w:rsidRPr="006A449B" w:rsidRDefault="006A449B" w:rsidP="006A449B">
      <w:pPr>
        <w:keepNext/>
        <w:rPr>
          <w:rFonts w:ascii="David" w:hAnsi="David"/>
          <w:color w:val="000000"/>
          <w:sz w:val="22"/>
          <w:szCs w:val="22"/>
          <w:rtl/>
        </w:rPr>
      </w:pPr>
    </w:p>
    <w:p w14:paraId="1748648E" w14:textId="77777777" w:rsidR="006A449B" w:rsidRPr="006A449B" w:rsidRDefault="006A449B" w:rsidP="006A449B">
      <w:pPr>
        <w:keepNext/>
        <w:rPr>
          <w:rFonts w:ascii="David" w:hAnsi="David"/>
          <w:color w:val="000000"/>
          <w:sz w:val="22"/>
          <w:szCs w:val="22"/>
          <w:rtl/>
        </w:rPr>
      </w:pPr>
    </w:p>
    <w:p w14:paraId="4F464A44" w14:textId="77777777" w:rsidR="006A449B" w:rsidRPr="006A449B" w:rsidRDefault="006A449B" w:rsidP="006A449B">
      <w:pPr>
        <w:keepNext/>
        <w:rPr>
          <w:rFonts w:ascii="David" w:hAnsi="David"/>
          <w:color w:val="000000"/>
          <w:sz w:val="22"/>
          <w:szCs w:val="22"/>
          <w:rtl/>
        </w:rPr>
      </w:pPr>
      <w:r w:rsidRPr="006A449B">
        <w:rPr>
          <w:rFonts w:ascii="David" w:hAnsi="David"/>
          <w:color w:val="000000"/>
          <w:sz w:val="22"/>
          <w:szCs w:val="22"/>
          <w:rtl/>
        </w:rPr>
        <w:t>תמר בר אשר 54678313-/</w:t>
      </w:r>
    </w:p>
    <w:p w14:paraId="569BF2C3" w14:textId="77777777" w:rsidR="007E1236" w:rsidRPr="007E1236" w:rsidRDefault="006A449B" w:rsidP="006A449B">
      <w:pPr>
        <w:rPr>
          <w:color w:val="0000FF"/>
          <w:u w:val="single"/>
        </w:rPr>
      </w:pPr>
      <w:r w:rsidRPr="006A449B">
        <w:rPr>
          <w:color w:val="000000"/>
          <w:u w:val="single"/>
          <w:rtl/>
        </w:rPr>
        <w:t>נוסח מסמך זה כפוף לשינויי ניסוח ועריכה</w:t>
      </w:r>
    </w:p>
    <w:sectPr w:rsidR="007E1236" w:rsidRPr="007E1236" w:rsidSect="006A449B">
      <w:headerReference w:type="even" r:id="rId55"/>
      <w:headerReference w:type="default" r:id="rId56"/>
      <w:footerReference w:type="even" r:id="rId57"/>
      <w:footerReference w:type="default" r:id="rId5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F5EA3" w14:textId="77777777" w:rsidR="001D1445" w:rsidRDefault="001D1445" w:rsidP="00945593">
      <w:r>
        <w:separator/>
      </w:r>
    </w:p>
  </w:endnote>
  <w:endnote w:type="continuationSeparator" w:id="0">
    <w:p w14:paraId="6D21510F" w14:textId="77777777" w:rsidR="001D1445" w:rsidRDefault="001D1445" w:rsidP="00945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49898" w14:textId="77777777" w:rsidR="006A449B" w:rsidRDefault="006A449B" w:rsidP="006A44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050ECE32" w14:textId="77777777" w:rsidR="00EE73E0" w:rsidRPr="006A449B" w:rsidRDefault="006A449B" w:rsidP="006A449B">
    <w:pPr>
      <w:pStyle w:val="a5"/>
      <w:pBdr>
        <w:top w:val="single" w:sz="4" w:space="1" w:color="auto"/>
        <w:between w:val="single" w:sz="4" w:space="0" w:color="auto"/>
      </w:pBdr>
      <w:spacing w:after="60"/>
      <w:jc w:val="center"/>
      <w:rPr>
        <w:rFonts w:ascii="FrankRuehl" w:hAnsi="FrankRuehl" w:cs="FrankRuehl"/>
        <w:color w:val="000000"/>
      </w:rPr>
    </w:pPr>
    <w:r w:rsidRPr="006A44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1282" w14:textId="77777777" w:rsidR="006A449B" w:rsidRDefault="006A449B" w:rsidP="006A44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2CDA">
      <w:rPr>
        <w:rFonts w:ascii="FrankRuehl" w:hAnsi="FrankRuehl" w:cs="FrankRuehl"/>
        <w:noProof/>
        <w:rtl/>
      </w:rPr>
      <w:t>1</w:t>
    </w:r>
    <w:r>
      <w:rPr>
        <w:rFonts w:ascii="FrankRuehl" w:hAnsi="FrankRuehl" w:cs="FrankRuehl"/>
        <w:rtl/>
      </w:rPr>
      <w:fldChar w:fldCharType="end"/>
    </w:r>
  </w:p>
  <w:p w14:paraId="462EC37E" w14:textId="77777777" w:rsidR="00EE73E0" w:rsidRPr="006A449B" w:rsidRDefault="006A449B" w:rsidP="006A449B">
    <w:pPr>
      <w:pStyle w:val="a5"/>
      <w:pBdr>
        <w:top w:val="single" w:sz="4" w:space="1" w:color="auto"/>
        <w:between w:val="single" w:sz="4" w:space="0" w:color="auto"/>
      </w:pBdr>
      <w:spacing w:after="60"/>
      <w:jc w:val="center"/>
      <w:rPr>
        <w:rFonts w:ascii="FrankRuehl" w:hAnsi="FrankRuehl" w:cs="FrankRuehl"/>
        <w:color w:val="000000"/>
      </w:rPr>
    </w:pPr>
    <w:r w:rsidRPr="006A449B">
      <w:rPr>
        <w:rFonts w:ascii="FrankRuehl" w:hAnsi="FrankRuehl" w:cs="FrankRuehl"/>
        <w:color w:val="000000"/>
      </w:rPr>
      <w:pict w14:anchorId="3CAC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D39EF" w14:textId="77777777" w:rsidR="001D1445" w:rsidRDefault="001D1445" w:rsidP="00945593">
      <w:r>
        <w:separator/>
      </w:r>
    </w:p>
  </w:footnote>
  <w:footnote w:type="continuationSeparator" w:id="0">
    <w:p w14:paraId="16D22CCF" w14:textId="77777777" w:rsidR="001D1445" w:rsidRDefault="001D1445" w:rsidP="00945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2DC2C" w14:textId="77777777" w:rsidR="007E1236" w:rsidRPr="006A449B" w:rsidRDefault="006A449B" w:rsidP="006A44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16020-10-22</w:t>
    </w:r>
    <w:r>
      <w:rPr>
        <w:rFonts w:ascii="David" w:hAnsi="David"/>
        <w:color w:val="000000"/>
        <w:sz w:val="22"/>
        <w:szCs w:val="22"/>
        <w:rtl/>
      </w:rPr>
      <w:tab/>
      <w:t xml:space="preserve"> מדינת ישראל נ' מחמד מאלחי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6B096" w14:textId="77777777" w:rsidR="007E1236" w:rsidRPr="006A449B" w:rsidRDefault="006A449B" w:rsidP="006A44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16020-10-22</w:t>
    </w:r>
    <w:r>
      <w:rPr>
        <w:rFonts w:ascii="David" w:hAnsi="David"/>
        <w:color w:val="000000"/>
        <w:sz w:val="22"/>
        <w:szCs w:val="22"/>
        <w:rtl/>
      </w:rPr>
      <w:tab/>
      <w:t xml:space="preserve"> מדינת ישראל נ' מחמד מאלחי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098C"/>
    <w:rsid w:val="0018098C"/>
    <w:rsid w:val="001B5A3B"/>
    <w:rsid w:val="001D1445"/>
    <w:rsid w:val="001F5EFB"/>
    <w:rsid w:val="003C5DD6"/>
    <w:rsid w:val="005A5D25"/>
    <w:rsid w:val="005B2CDA"/>
    <w:rsid w:val="006A449B"/>
    <w:rsid w:val="00750246"/>
    <w:rsid w:val="007E1236"/>
    <w:rsid w:val="00945593"/>
    <w:rsid w:val="00B52A6E"/>
    <w:rsid w:val="00B94CD3"/>
    <w:rsid w:val="00C53604"/>
    <w:rsid w:val="00EE73E0"/>
    <w:rsid w:val="00FF3B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1EC62D"/>
  <w15:chartTrackingRefBased/>
  <w15:docId w15:val="{976781E0-1900-45CF-88DA-8D2AC08F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98C"/>
    <w:pPr>
      <w:bidi/>
    </w:pPr>
    <w:rPr>
      <w:rFonts w:ascii="Times New Roman" w:eastAsia="Times New Roman" w:hAnsi="Times New Roman" w:cs="David"/>
      <w:sz w:val="24"/>
      <w:szCs w:val="24"/>
    </w:rPr>
  </w:style>
  <w:style w:type="paragraph" w:styleId="3">
    <w:name w:val="heading 3"/>
    <w:basedOn w:val="a"/>
    <w:next w:val="a"/>
    <w:link w:val="30"/>
    <w:qFormat/>
    <w:rsid w:val="0018098C"/>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18098C"/>
    <w:rPr>
      <w:rFonts w:ascii="Times New Roman" w:eastAsia="Times New Roman" w:hAnsi="Times New Roman" w:cs="David"/>
      <w:b/>
      <w:bCs/>
      <w:noProof/>
      <w:sz w:val="20"/>
      <w:szCs w:val="24"/>
      <w:lang w:eastAsia="he-IL"/>
    </w:rPr>
  </w:style>
  <w:style w:type="paragraph" w:styleId="a3">
    <w:name w:val="header"/>
    <w:basedOn w:val="a"/>
    <w:link w:val="a4"/>
    <w:rsid w:val="0018098C"/>
    <w:pPr>
      <w:tabs>
        <w:tab w:val="center" w:pos="4153"/>
        <w:tab w:val="right" w:pos="8306"/>
      </w:tabs>
    </w:pPr>
  </w:style>
  <w:style w:type="character" w:customStyle="1" w:styleId="a4">
    <w:name w:val="כותרת עליונה תו"/>
    <w:link w:val="a3"/>
    <w:rsid w:val="0018098C"/>
    <w:rPr>
      <w:rFonts w:ascii="Times New Roman" w:eastAsia="Times New Roman" w:hAnsi="Times New Roman" w:cs="David"/>
      <w:sz w:val="24"/>
      <w:szCs w:val="24"/>
    </w:rPr>
  </w:style>
  <w:style w:type="paragraph" w:styleId="a5">
    <w:name w:val="footer"/>
    <w:basedOn w:val="a"/>
    <w:link w:val="a6"/>
    <w:rsid w:val="0018098C"/>
    <w:pPr>
      <w:tabs>
        <w:tab w:val="center" w:pos="4153"/>
        <w:tab w:val="right" w:pos="8306"/>
      </w:tabs>
    </w:pPr>
  </w:style>
  <w:style w:type="character" w:customStyle="1" w:styleId="a6">
    <w:name w:val="כותרת תחתונה תו"/>
    <w:link w:val="a5"/>
    <w:rsid w:val="0018098C"/>
    <w:rPr>
      <w:rFonts w:ascii="Times New Roman" w:eastAsia="Times New Roman" w:hAnsi="Times New Roman" w:cs="David"/>
      <w:sz w:val="24"/>
      <w:szCs w:val="24"/>
    </w:rPr>
  </w:style>
  <w:style w:type="table" w:styleId="a7">
    <w:name w:val="Table Grid"/>
    <w:basedOn w:val="a1"/>
    <w:rsid w:val="0018098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098C"/>
  </w:style>
  <w:style w:type="character" w:styleId="Hyperlink">
    <w:name w:val="Hyperlink"/>
    <w:rsid w:val="007E1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18516" TargetMode="External"/><Relationship Id="rId26" Type="http://schemas.openxmlformats.org/officeDocument/2006/relationships/hyperlink" Target="http://www.nevo.co.il/case/6087296" TargetMode="External"/><Relationship Id="rId39" Type="http://schemas.openxmlformats.org/officeDocument/2006/relationships/hyperlink" Target="http://www.nevo.co.il/case/20571533" TargetMode="External"/><Relationship Id="rId21" Type="http://schemas.openxmlformats.org/officeDocument/2006/relationships/hyperlink" Target="http://www.nevo.co.il/case/28513828" TargetMode="External"/><Relationship Id="rId34" Type="http://schemas.openxmlformats.org/officeDocument/2006/relationships/hyperlink" Target="http://www.nevo.co.il/case/21702945" TargetMode="External"/><Relationship Id="rId42" Type="http://schemas.openxmlformats.org/officeDocument/2006/relationships/hyperlink" Target="http://www.nevo.co.il/case/28053021"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144.g" TargetMode="External"/><Relationship Id="rId55" Type="http://schemas.openxmlformats.org/officeDocument/2006/relationships/header" Target="header1.xml"/><Relationship Id="rId7" Type="http://schemas.openxmlformats.org/officeDocument/2006/relationships/hyperlink" Target="http://www.nevo.co.il/law/70301/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28272909"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6478630" TargetMode="External"/><Relationship Id="rId37" Type="http://schemas.openxmlformats.org/officeDocument/2006/relationships/hyperlink" Target="http://www.nevo.co.il/case/26714559" TargetMode="External"/><Relationship Id="rId40" Type="http://schemas.openxmlformats.org/officeDocument/2006/relationships/hyperlink" Target="http://www.nevo.co.il/case/25999719" TargetMode="External"/><Relationship Id="rId45" Type="http://schemas.openxmlformats.org/officeDocument/2006/relationships/hyperlink" Target="http://www.nevo.co.il/case/6162970" TargetMode="External"/><Relationship Id="rId53" Type="http://schemas.openxmlformats.org/officeDocument/2006/relationships/hyperlink" Target="http://www.nevo.co.il/law/70301/144.g"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case/28268880" TargetMode="External"/><Relationship Id="rId4" Type="http://schemas.openxmlformats.org/officeDocument/2006/relationships/footnotes" Target="footnotes.xml"/><Relationship Id="rId9" Type="http://schemas.openxmlformats.org/officeDocument/2006/relationships/hyperlink" Target="http://www.nevo.co.il/law/70301/144.g" TargetMode="External"/><Relationship Id="rId14" Type="http://schemas.openxmlformats.org/officeDocument/2006/relationships/hyperlink" Target="http://www.nevo.co.il/law/70301/7.a" TargetMode="External"/><Relationship Id="rId22" Type="http://schemas.openxmlformats.org/officeDocument/2006/relationships/hyperlink" Target="http://www.nevo.co.il/case/28268880" TargetMode="External"/><Relationship Id="rId27" Type="http://schemas.openxmlformats.org/officeDocument/2006/relationships/hyperlink" Target="http://www.nevo.co.il/case/17918053" TargetMode="External"/><Relationship Id="rId30" Type="http://schemas.openxmlformats.org/officeDocument/2006/relationships/hyperlink" Target="http://www.nevo.co.il/case/29397508" TargetMode="External"/><Relationship Id="rId35" Type="http://schemas.openxmlformats.org/officeDocument/2006/relationships/hyperlink" Target="http://www.nevo.co.il/case/18100338" TargetMode="External"/><Relationship Id="rId43" Type="http://schemas.openxmlformats.org/officeDocument/2006/relationships/hyperlink" Target="http://www.nevo.co.il/case/24287803" TargetMode="External"/><Relationship Id="rId48" Type="http://schemas.openxmlformats.org/officeDocument/2006/relationships/hyperlink" Target="http://www.nevo.co.il/law/70301/144.g" TargetMode="External"/><Relationship Id="rId56" Type="http://schemas.openxmlformats.org/officeDocument/2006/relationships/header" Target="header2.xml"/><Relationship Id="rId8" Type="http://schemas.openxmlformats.org/officeDocument/2006/relationships/hyperlink" Target="http://www.nevo.co.il/law/70301/144.a" TargetMode="External"/><Relationship Id="rId51" Type="http://schemas.openxmlformats.org/officeDocument/2006/relationships/hyperlink" Target="http://www.nevo.co.il/case/20513526"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case/27925239" TargetMode="External"/><Relationship Id="rId25" Type="http://schemas.openxmlformats.org/officeDocument/2006/relationships/hyperlink" Target="http://www.nevo.co.il/case/17938496" TargetMode="External"/><Relationship Id="rId33" Type="http://schemas.openxmlformats.org/officeDocument/2006/relationships/hyperlink" Target="http://www.nevo.co.il/case/25110469" TargetMode="External"/><Relationship Id="rId38" Type="http://schemas.openxmlformats.org/officeDocument/2006/relationships/hyperlink" Target="http://www.nevo.co.il/case/28087604" TargetMode="External"/><Relationship Id="rId46" Type="http://schemas.openxmlformats.org/officeDocument/2006/relationships/hyperlink" Target="http://www.nevo.co.il/law/70301/144.g" TargetMode="External"/><Relationship Id="rId59" Type="http://schemas.openxmlformats.org/officeDocument/2006/relationships/fontTable" Target="fontTable.xml"/><Relationship Id="rId20" Type="http://schemas.openxmlformats.org/officeDocument/2006/relationships/hyperlink" Target="http://www.nevo.co.il/case/27513376" TargetMode="External"/><Relationship Id="rId41" Type="http://schemas.openxmlformats.org/officeDocument/2006/relationships/hyperlink" Target="http://www.nevo.co.il/case/26874913"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c" TargetMode="External"/><Relationship Id="rId23" Type="http://schemas.openxmlformats.org/officeDocument/2006/relationships/hyperlink" Target="http://www.nevo.co.il/law/70301/144.g" TargetMode="External"/><Relationship Id="rId28" Type="http://schemas.openxmlformats.org/officeDocument/2006/relationships/hyperlink" Target="http://www.nevo.co.il/case/7653052" TargetMode="External"/><Relationship Id="rId36" Type="http://schemas.openxmlformats.org/officeDocument/2006/relationships/hyperlink" Target="http://www.nevo.co.il/case/27790673" TargetMode="External"/><Relationship Id="rId49" Type="http://schemas.openxmlformats.org/officeDocument/2006/relationships/hyperlink" Target="http://www.nevo.co.il/law/70301" TargetMode="External"/><Relationship Id="rId57" Type="http://schemas.openxmlformats.org/officeDocument/2006/relationships/footer" Target="footer1.xml"/><Relationship Id="rId10" Type="http://schemas.openxmlformats.org/officeDocument/2006/relationships/hyperlink" Target="http://www.nevo.co.il/law/4216" TargetMode="External"/><Relationship Id="rId31" Type="http://schemas.openxmlformats.org/officeDocument/2006/relationships/hyperlink" Target="http://www.nevo.co.il/case/26483432" TargetMode="External"/><Relationship Id="rId44" Type="http://schemas.openxmlformats.org/officeDocument/2006/relationships/hyperlink" Target="http://www.nevo.co.il/case/2243617" TargetMode="External"/><Relationship Id="rId52" Type="http://schemas.openxmlformats.org/officeDocument/2006/relationships/hyperlink" Target="http://www.nevo.co.il/case/23129184"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3714</Words>
  <Characters>18574</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22244</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5177424</vt:i4>
      </vt:variant>
      <vt:variant>
        <vt:i4>141</vt:i4>
      </vt:variant>
      <vt:variant>
        <vt:i4>0</vt:i4>
      </vt:variant>
      <vt:variant>
        <vt:i4>5</vt:i4>
      </vt:variant>
      <vt:variant>
        <vt:lpwstr>http://www.nevo.co.il/law/70301/144.g</vt:lpwstr>
      </vt:variant>
      <vt:variant>
        <vt:lpwstr/>
      </vt:variant>
      <vt:variant>
        <vt:i4>3276916</vt:i4>
      </vt:variant>
      <vt:variant>
        <vt:i4>138</vt:i4>
      </vt:variant>
      <vt:variant>
        <vt:i4>0</vt:i4>
      </vt:variant>
      <vt:variant>
        <vt:i4>5</vt:i4>
      </vt:variant>
      <vt:variant>
        <vt:lpwstr>http://www.nevo.co.il/case/23129184</vt:lpwstr>
      </vt:variant>
      <vt:variant>
        <vt:lpwstr/>
      </vt:variant>
      <vt:variant>
        <vt:i4>3539056</vt:i4>
      </vt:variant>
      <vt:variant>
        <vt:i4>135</vt:i4>
      </vt:variant>
      <vt:variant>
        <vt:i4>0</vt:i4>
      </vt:variant>
      <vt:variant>
        <vt:i4>5</vt:i4>
      </vt:variant>
      <vt:variant>
        <vt:lpwstr>http://www.nevo.co.il/case/20513526</vt:lpwstr>
      </vt:variant>
      <vt:variant>
        <vt:lpwstr/>
      </vt:variant>
      <vt:variant>
        <vt:i4>5177424</vt:i4>
      </vt:variant>
      <vt:variant>
        <vt:i4>132</vt:i4>
      </vt:variant>
      <vt:variant>
        <vt:i4>0</vt:i4>
      </vt:variant>
      <vt:variant>
        <vt:i4>5</vt:i4>
      </vt:variant>
      <vt:variant>
        <vt:lpwstr>http://www.nevo.co.il/law/70301/144.g</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5177424</vt:i4>
      </vt:variant>
      <vt:variant>
        <vt:i4>126</vt:i4>
      </vt:variant>
      <vt:variant>
        <vt:i4>0</vt:i4>
      </vt:variant>
      <vt:variant>
        <vt:i4>5</vt:i4>
      </vt:variant>
      <vt:variant>
        <vt:lpwstr>http://www.nevo.co.il/law/70301/144.g</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http://www.nevo.co.il/law/70301/144.g</vt:lpwstr>
      </vt:variant>
      <vt:variant>
        <vt:lpwstr/>
      </vt:variant>
      <vt:variant>
        <vt:i4>3735664</vt:i4>
      </vt:variant>
      <vt:variant>
        <vt:i4>117</vt:i4>
      </vt:variant>
      <vt:variant>
        <vt:i4>0</vt:i4>
      </vt:variant>
      <vt:variant>
        <vt:i4>5</vt:i4>
      </vt:variant>
      <vt:variant>
        <vt:lpwstr>http://www.nevo.co.il/case/6162970</vt:lpwstr>
      </vt:variant>
      <vt:variant>
        <vt:lpwstr/>
      </vt:variant>
      <vt:variant>
        <vt:i4>3604596</vt:i4>
      </vt:variant>
      <vt:variant>
        <vt:i4>114</vt:i4>
      </vt:variant>
      <vt:variant>
        <vt:i4>0</vt:i4>
      </vt:variant>
      <vt:variant>
        <vt:i4>5</vt:i4>
      </vt:variant>
      <vt:variant>
        <vt:lpwstr>http://www.nevo.co.il/case/2243617</vt:lpwstr>
      </vt:variant>
      <vt:variant>
        <vt:lpwstr/>
      </vt:variant>
      <vt:variant>
        <vt:i4>3604592</vt:i4>
      </vt:variant>
      <vt:variant>
        <vt:i4>111</vt:i4>
      </vt:variant>
      <vt:variant>
        <vt:i4>0</vt:i4>
      </vt:variant>
      <vt:variant>
        <vt:i4>5</vt:i4>
      </vt:variant>
      <vt:variant>
        <vt:lpwstr>http://www.nevo.co.il/case/24287803</vt:lpwstr>
      </vt:variant>
      <vt:variant>
        <vt:lpwstr/>
      </vt:variant>
      <vt:variant>
        <vt:i4>3342457</vt:i4>
      </vt:variant>
      <vt:variant>
        <vt:i4>108</vt:i4>
      </vt:variant>
      <vt:variant>
        <vt:i4>0</vt:i4>
      </vt:variant>
      <vt:variant>
        <vt:i4>5</vt:i4>
      </vt:variant>
      <vt:variant>
        <vt:lpwstr>http://www.nevo.co.il/case/28053021</vt:lpwstr>
      </vt:variant>
      <vt:variant>
        <vt:lpwstr/>
      </vt:variant>
      <vt:variant>
        <vt:i4>4128892</vt:i4>
      </vt:variant>
      <vt:variant>
        <vt:i4>105</vt:i4>
      </vt:variant>
      <vt:variant>
        <vt:i4>0</vt:i4>
      </vt:variant>
      <vt:variant>
        <vt:i4>5</vt:i4>
      </vt:variant>
      <vt:variant>
        <vt:lpwstr>http://www.nevo.co.il/case/26874913</vt:lpwstr>
      </vt:variant>
      <vt:variant>
        <vt:lpwstr/>
      </vt:variant>
      <vt:variant>
        <vt:i4>3342463</vt:i4>
      </vt:variant>
      <vt:variant>
        <vt:i4>102</vt:i4>
      </vt:variant>
      <vt:variant>
        <vt:i4>0</vt:i4>
      </vt:variant>
      <vt:variant>
        <vt:i4>5</vt:i4>
      </vt:variant>
      <vt:variant>
        <vt:lpwstr>http://www.nevo.co.il/case/25999719</vt:lpwstr>
      </vt:variant>
      <vt:variant>
        <vt:lpwstr/>
      </vt:variant>
      <vt:variant>
        <vt:i4>3473526</vt:i4>
      </vt:variant>
      <vt:variant>
        <vt:i4>99</vt:i4>
      </vt:variant>
      <vt:variant>
        <vt:i4>0</vt:i4>
      </vt:variant>
      <vt:variant>
        <vt:i4>5</vt:i4>
      </vt:variant>
      <vt:variant>
        <vt:lpwstr>http://www.nevo.co.il/case/20571533</vt:lpwstr>
      </vt:variant>
      <vt:variant>
        <vt:lpwstr/>
      </vt:variant>
      <vt:variant>
        <vt:i4>3473522</vt:i4>
      </vt:variant>
      <vt:variant>
        <vt:i4>96</vt:i4>
      </vt:variant>
      <vt:variant>
        <vt:i4>0</vt:i4>
      </vt:variant>
      <vt:variant>
        <vt:i4>5</vt:i4>
      </vt:variant>
      <vt:variant>
        <vt:lpwstr>http://www.nevo.co.il/case/28087604</vt:lpwstr>
      </vt:variant>
      <vt:variant>
        <vt:lpwstr/>
      </vt:variant>
      <vt:variant>
        <vt:i4>3407990</vt:i4>
      </vt:variant>
      <vt:variant>
        <vt:i4>93</vt:i4>
      </vt:variant>
      <vt:variant>
        <vt:i4>0</vt:i4>
      </vt:variant>
      <vt:variant>
        <vt:i4>5</vt:i4>
      </vt:variant>
      <vt:variant>
        <vt:lpwstr>http://www.nevo.co.il/case/26714559</vt:lpwstr>
      </vt:variant>
      <vt:variant>
        <vt:lpwstr/>
      </vt:variant>
      <vt:variant>
        <vt:i4>3276924</vt:i4>
      </vt:variant>
      <vt:variant>
        <vt:i4>90</vt:i4>
      </vt:variant>
      <vt:variant>
        <vt:i4>0</vt:i4>
      </vt:variant>
      <vt:variant>
        <vt:i4>5</vt:i4>
      </vt:variant>
      <vt:variant>
        <vt:lpwstr>http://www.nevo.co.il/case/27790673</vt:lpwstr>
      </vt:variant>
      <vt:variant>
        <vt:lpwstr/>
      </vt:variant>
      <vt:variant>
        <vt:i4>3342463</vt:i4>
      </vt:variant>
      <vt:variant>
        <vt:i4>87</vt:i4>
      </vt:variant>
      <vt:variant>
        <vt:i4>0</vt:i4>
      </vt:variant>
      <vt:variant>
        <vt:i4>5</vt:i4>
      </vt:variant>
      <vt:variant>
        <vt:lpwstr>http://www.nevo.co.il/case/18100338</vt:lpwstr>
      </vt:variant>
      <vt:variant>
        <vt:lpwstr/>
      </vt:variant>
      <vt:variant>
        <vt:i4>3342460</vt:i4>
      </vt:variant>
      <vt:variant>
        <vt:i4>84</vt:i4>
      </vt:variant>
      <vt:variant>
        <vt:i4>0</vt:i4>
      </vt:variant>
      <vt:variant>
        <vt:i4>5</vt:i4>
      </vt:variant>
      <vt:variant>
        <vt:lpwstr>http://www.nevo.co.il/case/21702945</vt:lpwstr>
      </vt:variant>
      <vt:variant>
        <vt:lpwstr/>
      </vt:variant>
      <vt:variant>
        <vt:i4>3473524</vt:i4>
      </vt:variant>
      <vt:variant>
        <vt:i4>81</vt:i4>
      </vt:variant>
      <vt:variant>
        <vt:i4>0</vt:i4>
      </vt:variant>
      <vt:variant>
        <vt:i4>5</vt:i4>
      </vt:variant>
      <vt:variant>
        <vt:lpwstr>http://www.nevo.co.il/case/25110469</vt:lpwstr>
      </vt:variant>
      <vt:variant>
        <vt:lpwstr/>
      </vt:variant>
      <vt:variant>
        <vt:i4>3997811</vt:i4>
      </vt:variant>
      <vt:variant>
        <vt:i4>78</vt:i4>
      </vt:variant>
      <vt:variant>
        <vt:i4>0</vt:i4>
      </vt:variant>
      <vt:variant>
        <vt:i4>5</vt:i4>
      </vt:variant>
      <vt:variant>
        <vt:lpwstr>http://www.nevo.co.il/case/26478630</vt:lpwstr>
      </vt:variant>
      <vt:variant>
        <vt:lpwstr/>
      </vt:variant>
      <vt:variant>
        <vt:i4>3539070</vt:i4>
      </vt:variant>
      <vt:variant>
        <vt:i4>75</vt:i4>
      </vt:variant>
      <vt:variant>
        <vt:i4>0</vt:i4>
      </vt:variant>
      <vt:variant>
        <vt:i4>5</vt:i4>
      </vt:variant>
      <vt:variant>
        <vt:lpwstr>http://www.nevo.co.il/case/26483432</vt:lpwstr>
      </vt:variant>
      <vt:variant>
        <vt:lpwstr/>
      </vt:variant>
      <vt:variant>
        <vt:i4>3539057</vt:i4>
      </vt:variant>
      <vt:variant>
        <vt:i4>72</vt:i4>
      </vt:variant>
      <vt:variant>
        <vt:i4>0</vt:i4>
      </vt:variant>
      <vt:variant>
        <vt:i4>5</vt:i4>
      </vt:variant>
      <vt:variant>
        <vt:lpwstr>http://www.nevo.co.il/case/29397508</vt:lpwstr>
      </vt:variant>
      <vt:variant>
        <vt:lpwstr/>
      </vt:variant>
      <vt:variant>
        <vt:i4>3276914</vt:i4>
      </vt:variant>
      <vt:variant>
        <vt:i4>69</vt:i4>
      </vt:variant>
      <vt:variant>
        <vt:i4>0</vt:i4>
      </vt:variant>
      <vt:variant>
        <vt:i4>5</vt:i4>
      </vt:variant>
      <vt:variant>
        <vt:lpwstr>http://www.nevo.co.il/case/28272909</vt:lpwstr>
      </vt:variant>
      <vt:variant>
        <vt:lpwstr/>
      </vt:variant>
      <vt:variant>
        <vt:i4>3145844</vt:i4>
      </vt:variant>
      <vt:variant>
        <vt:i4>66</vt:i4>
      </vt:variant>
      <vt:variant>
        <vt:i4>0</vt:i4>
      </vt:variant>
      <vt:variant>
        <vt:i4>5</vt:i4>
      </vt:variant>
      <vt:variant>
        <vt:lpwstr>http://www.nevo.co.il/case/7653052</vt:lpwstr>
      </vt:variant>
      <vt:variant>
        <vt:lpwstr/>
      </vt:variant>
      <vt:variant>
        <vt:i4>3473522</vt:i4>
      </vt:variant>
      <vt:variant>
        <vt:i4>63</vt:i4>
      </vt:variant>
      <vt:variant>
        <vt:i4>0</vt:i4>
      </vt:variant>
      <vt:variant>
        <vt:i4>5</vt:i4>
      </vt:variant>
      <vt:variant>
        <vt:lpwstr>http://www.nevo.co.il/case/17918053</vt:lpwstr>
      </vt:variant>
      <vt:variant>
        <vt:lpwstr/>
      </vt:variant>
      <vt:variant>
        <vt:i4>3801210</vt:i4>
      </vt:variant>
      <vt:variant>
        <vt:i4>60</vt:i4>
      </vt:variant>
      <vt:variant>
        <vt:i4>0</vt:i4>
      </vt:variant>
      <vt:variant>
        <vt:i4>5</vt:i4>
      </vt:variant>
      <vt:variant>
        <vt:lpwstr>http://www.nevo.co.il/case/6087296</vt:lpwstr>
      </vt:variant>
      <vt:variant>
        <vt:lpwstr/>
      </vt:variant>
      <vt:variant>
        <vt:i4>3735668</vt:i4>
      </vt:variant>
      <vt:variant>
        <vt:i4>57</vt:i4>
      </vt:variant>
      <vt:variant>
        <vt:i4>0</vt:i4>
      </vt:variant>
      <vt:variant>
        <vt:i4>5</vt:i4>
      </vt:variant>
      <vt:variant>
        <vt:lpwstr>http://www.nevo.co.il/case/17938496</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3145842</vt:i4>
      </vt:variant>
      <vt:variant>
        <vt:i4>48</vt:i4>
      </vt:variant>
      <vt:variant>
        <vt:i4>0</vt:i4>
      </vt:variant>
      <vt:variant>
        <vt:i4>5</vt:i4>
      </vt:variant>
      <vt:variant>
        <vt:lpwstr>http://www.nevo.co.il/case/28268880</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3342449</vt:i4>
      </vt:variant>
      <vt:variant>
        <vt:i4>42</vt:i4>
      </vt:variant>
      <vt:variant>
        <vt:i4>0</vt:i4>
      </vt:variant>
      <vt:variant>
        <vt:i4>5</vt:i4>
      </vt:variant>
      <vt:variant>
        <vt:lpwstr>http://www.nevo.co.il/case/27513376</vt:lpwstr>
      </vt:variant>
      <vt:variant>
        <vt:lpwstr/>
      </vt:variant>
      <vt:variant>
        <vt:i4>3145842</vt:i4>
      </vt:variant>
      <vt:variant>
        <vt:i4>39</vt:i4>
      </vt:variant>
      <vt:variant>
        <vt:i4>0</vt:i4>
      </vt:variant>
      <vt:variant>
        <vt:i4>5</vt:i4>
      </vt:variant>
      <vt:variant>
        <vt:lpwstr>http://www.nevo.co.il/case/28268880</vt:lpwstr>
      </vt:variant>
      <vt:variant>
        <vt:lpwstr/>
      </vt:variant>
      <vt:variant>
        <vt:i4>3407997</vt:i4>
      </vt:variant>
      <vt:variant>
        <vt:i4>36</vt:i4>
      </vt:variant>
      <vt:variant>
        <vt:i4>0</vt:i4>
      </vt:variant>
      <vt:variant>
        <vt:i4>5</vt:i4>
      </vt:variant>
      <vt:variant>
        <vt:lpwstr>http://www.nevo.co.il/case/6018516</vt:lpwstr>
      </vt:variant>
      <vt:variant>
        <vt:lpwstr/>
      </vt:variant>
      <vt:variant>
        <vt:i4>3997811</vt:i4>
      </vt:variant>
      <vt:variant>
        <vt:i4>33</vt:i4>
      </vt:variant>
      <vt:variant>
        <vt:i4>0</vt:i4>
      </vt:variant>
      <vt:variant>
        <vt:i4>5</vt:i4>
      </vt:variant>
      <vt:variant>
        <vt:lpwstr>http://www.nevo.co.il/case/27925239</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8061026</vt:i4>
      </vt:variant>
      <vt:variant>
        <vt:i4>24</vt:i4>
      </vt:variant>
      <vt:variant>
        <vt:i4>0</vt:i4>
      </vt:variant>
      <vt:variant>
        <vt:i4>5</vt:i4>
      </vt:variant>
      <vt:variant>
        <vt:lpwstr>http://www.nevo.co.il/law/70301/7.a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8061026</vt:i4>
      </vt:variant>
      <vt:variant>
        <vt:i4>3</vt:i4>
      </vt:variant>
      <vt:variant>
        <vt:i4>0</vt:i4>
      </vt:variant>
      <vt:variant>
        <vt:i4>5</vt:i4>
      </vt:variant>
      <vt:variant>
        <vt:lpwstr>http://www.nevo.co.il/law/70301/7.a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2025-01-19T16:56:00Z</dcterms:created>
  <dcterms:modified xsi:type="dcterms:W3CDTF">2025-01-19T16:56:00Z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16020</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מאלחי</vt:lpwstr>
  </property>
  <property fmtid="{D5CDD505-2E9C-101B-9397-08002B2CF9AE}" pid="10" name="LAWYER">
    <vt:lpwstr>יעל ריצ'קר;עיסא מוחמדיה</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3901900001</vt:lpwstr>
  </property>
  <property fmtid="{D5CDD505-2E9C-101B-9397-08002B2CF9AE}" pid="14" name="WORDNUMPAGES">
    <vt:lpwstr>10</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20230806</vt:lpwstr>
  </property>
  <property fmtid="{D5CDD505-2E9C-101B-9397-08002B2CF9AE}" pid="33" name="ISABSTRACT">
    <vt:lpwstr>Y</vt:lpwstr>
  </property>
  <property fmtid="{D5CDD505-2E9C-101B-9397-08002B2CF9AE}" pid="34" name="CASESLISTTMP1">
    <vt:lpwstr>27925239;6018516;28268880:2;27513376;28513828;17938496;6087296;17918053;7653052;28272909;29397508;26483432;26478630;25110469;21702945;18100338;27790673;26714559;28087604;20571533;25999719;26874913;28053021;24287803;2243617;6162970;20513526;23129184</vt:lpwstr>
  </property>
  <property fmtid="{D5CDD505-2E9C-101B-9397-08002B2CF9AE}" pid="35" name="LAWLISTTMP1">
    <vt:lpwstr>70301/144.a;007.a;144.g:5</vt:lpwstr>
  </property>
  <property fmtid="{D5CDD505-2E9C-101B-9397-08002B2CF9AE}" pid="36" name="LAWLISTTMP2">
    <vt:lpwstr>4216/007.c</vt:lpwstr>
  </property>
</Properties>
</file>