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B936FD" w:rsidRPr="00A369AF" w14:paraId="4C94A99C" w14:textId="77777777" w:rsidTr="00725520">
        <w:trPr>
          <w:gridAfter w:val="1"/>
          <w:wAfter w:w="99" w:type="dxa"/>
          <w:trHeight w:hRule="exact" w:val="418"/>
          <w:jc w:val="center"/>
        </w:trPr>
        <w:tc>
          <w:tcPr>
            <w:tcW w:w="8721" w:type="dxa"/>
            <w:gridSpan w:val="4"/>
          </w:tcPr>
          <w:p w14:paraId="2190D6FF" w14:textId="77777777" w:rsidR="00B936FD" w:rsidRPr="00A369AF" w:rsidRDefault="00B936FD" w:rsidP="00F512B2">
            <w:pPr>
              <w:pStyle w:val="a3"/>
              <w:jc w:val="center"/>
              <w:rPr>
                <w:rFonts w:ascii="Tahoma" w:hAnsi="Tahoma" w:cs="Tahoma"/>
                <w:color w:val="000080"/>
                <w:rtl/>
              </w:rPr>
            </w:pPr>
            <w:bookmarkStart w:id="0" w:name="FirstLawyer"/>
            <w:bookmarkStart w:id="1" w:name="LastJudge"/>
            <w:r w:rsidRPr="00A369AF">
              <w:rPr>
                <w:rFonts w:ascii="Tahoma" w:hAnsi="Tahoma" w:cs="Tahoma"/>
                <w:b/>
                <w:bCs/>
                <w:color w:val="000080"/>
                <w:rtl/>
              </w:rPr>
              <w:t>בית המשפט המחוזי בחיפה</w:t>
            </w:r>
          </w:p>
        </w:tc>
      </w:tr>
      <w:tr w:rsidR="00B936FD" w:rsidRPr="00A369AF" w14:paraId="4408ECA0" w14:textId="77777777" w:rsidTr="00725520">
        <w:trPr>
          <w:gridAfter w:val="1"/>
          <w:wAfter w:w="99" w:type="dxa"/>
          <w:trHeight w:val="337"/>
          <w:jc w:val="center"/>
        </w:trPr>
        <w:tc>
          <w:tcPr>
            <w:tcW w:w="5058" w:type="dxa"/>
            <w:gridSpan w:val="3"/>
          </w:tcPr>
          <w:p w14:paraId="7E3BAF9E" w14:textId="77777777" w:rsidR="00B936FD" w:rsidRPr="00A369AF" w:rsidRDefault="00B936FD" w:rsidP="00F512B2">
            <w:pPr>
              <w:rPr>
                <w:rFonts w:cs="FrankRuehl"/>
                <w:sz w:val="28"/>
                <w:szCs w:val="28"/>
                <w:rtl/>
              </w:rPr>
            </w:pPr>
            <w:r w:rsidRPr="00A369AF">
              <w:rPr>
                <w:rFonts w:cs="FrankRuehl"/>
                <w:sz w:val="28"/>
                <w:szCs w:val="28"/>
                <w:rtl/>
              </w:rPr>
              <w:t>ת"פ</w:t>
            </w:r>
            <w:r w:rsidRPr="00A369AF">
              <w:rPr>
                <w:rFonts w:cs="FrankRuehl" w:hint="cs"/>
                <w:sz w:val="28"/>
                <w:szCs w:val="28"/>
                <w:rtl/>
              </w:rPr>
              <w:t xml:space="preserve"> </w:t>
            </w:r>
            <w:r w:rsidRPr="00A369AF">
              <w:rPr>
                <w:rFonts w:cs="FrankRuehl"/>
                <w:sz w:val="28"/>
                <w:szCs w:val="28"/>
                <w:rtl/>
              </w:rPr>
              <w:t>17573-10-22</w:t>
            </w:r>
            <w:r w:rsidRPr="00A369AF">
              <w:rPr>
                <w:rFonts w:cs="FrankRuehl" w:hint="cs"/>
                <w:sz w:val="28"/>
                <w:szCs w:val="28"/>
                <w:rtl/>
              </w:rPr>
              <w:t xml:space="preserve"> </w:t>
            </w:r>
            <w:r w:rsidRPr="00A369AF">
              <w:rPr>
                <w:rFonts w:cs="FrankRuehl"/>
                <w:sz w:val="28"/>
                <w:szCs w:val="28"/>
                <w:rtl/>
              </w:rPr>
              <w:t>מדינת ישראל נ' זועבי(עציר) ואח'</w:t>
            </w:r>
          </w:p>
          <w:p w14:paraId="52CD3A75" w14:textId="77777777" w:rsidR="00B936FD" w:rsidRPr="00A369AF" w:rsidRDefault="00B936FD" w:rsidP="00F512B2">
            <w:pPr>
              <w:pStyle w:val="a3"/>
              <w:rPr>
                <w:rFonts w:cs="FrankRuehl"/>
                <w:sz w:val="28"/>
                <w:szCs w:val="28"/>
                <w:rtl/>
              </w:rPr>
            </w:pPr>
          </w:p>
        </w:tc>
        <w:tc>
          <w:tcPr>
            <w:tcW w:w="3663" w:type="dxa"/>
          </w:tcPr>
          <w:p w14:paraId="2648704C" w14:textId="77777777" w:rsidR="00B936FD" w:rsidRPr="00A369AF" w:rsidRDefault="00B936FD" w:rsidP="00F512B2">
            <w:pPr>
              <w:pStyle w:val="a3"/>
              <w:jc w:val="right"/>
              <w:rPr>
                <w:rFonts w:cs="FrankRuehl"/>
                <w:sz w:val="28"/>
                <w:szCs w:val="28"/>
                <w:rtl/>
              </w:rPr>
            </w:pPr>
          </w:p>
        </w:tc>
      </w:tr>
      <w:tr w:rsidR="00B936FD" w:rsidRPr="00A369AF" w14:paraId="62C57380" w14:textId="77777777" w:rsidTr="007255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56A87E0" w14:textId="77777777" w:rsidR="00B936FD" w:rsidRPr="00A369AF" w:rsidRDefault="00B936FD" w:rsidP="00B936FD">
            <w:pPr>
              <w:jc w:val="both"/>
              <w:rPr>
                <w:rFonts w:ascii="David" w:hAnsi="David"/>
                <w:sz w:val="26"/>
                <w:szCs w:val="26"/>
              </w:rPr>
            </w:pPr>
            <w:r w:rsidRPr="00A369AF">
              <w:rPr>
                <w:rFonts w:hint="cs"/>
                <w:rtl/>
              </w:rPr>
              <w:t xml:space="preserve"> </w:t>
            </w:r>
            <w:r w:rsidRPr="00A369A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2EB5660" w14:textId="77777777" w:rsidR="00B936FD" w:rsidRPr="00A369AF" w:rsidRDefault="00B936FD" w:rsidP="00F512B2">
            <w:pPr>
              <w:rPr>
                <w:rFonts w:ascii="David" w:hAnsi="David"/>
                <w:b/>
                <w:bCs/>
                <w:sz w:val="26"/>
                <w:szCs w:val="26"/>
                <w:rtl/>
              </w:rPr>
            </w:pPr>
            <w:r w:rsidRPr="00A369AF">
              <w:rPr>
                <w:rFonts w:ascii="David" w:hAnsi="David"/>
                <w:b/>
                <w:bCs/>
                <w:sz w:val="26"/>
                <w:szCs w:val="26"/>
                <w:rtl/>
              </w:rPr>
              <w:t>כבוד השופט  גיל קרזבום</w:t>
            </w:r>
          </w:p>
          <w:p w14:paraId="195D449E" w14:textId="77777777" w:rsidR="00B936FD" w:rsidRPr="00A369AF" w:rsidRDefault="00B936FD" w:rsidP="00F512B2">
            <w:pPr>
              <w:rPr>
                <w:rFonts w:ascii="David" w:hAnsi="David"/>
                <w:sz w:val="26"/>
                <w:szCs w:val="26"/>
                <w:rtl/>
              </w:rPr>
            </w:pPr>
          </w:p>
          <w:p w14:paraId="2A1E2D88" w14:textId="77777777" w:rsidR="00B936FD" w:rsidRPr="00A369AF" w:rsidRDefault="00B936FD" w:rsidP="00B936FD">
            <w:pPr>
              <w:jc w:val="both"/>
              <w:rPr>
                <w:rFonts w:ascii="David" w:hAnsi="David"/>
                <w:sz w:val="26"/>
                <w:szCs w:val="26"/>
              </w:rPr>
            </w:pPr>
          </w:p>
        </w:tc>
      </w:tr>
      <w:tr w:rsidR="00B936FD" w:rsidRPr="00A369AF" w14:paraId="77E0AEE6" w14:textId="77777777" w:rsidTr="007255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ECDF13" w14:textId="77777777" w:rsidR="00B936FD" w:rsidRPr="00A369AF" w:rsidRDefault="00B936FD" w:rsidP="00B936FD">
            <w:pPr>
              <w:jc w:val="both"/>
              <w:rPr>
                <w:rFonts w:ascii="David" w:hAnsi="David"/>
                <w:sz w:val="26"/>
                <w:szCs w:val="26"/>
              </w:rPr>
            </w:pPr>
            <w:bookmarkStart w:id="2" w:name="FirstAppellant"/>
            <w:r w:rsidRPr="00A369AF">
              <w:rPr>
                <w:rFonts w:ascii="David" w:hAnsi="David"/>
                <w:sz w:val="26"/>
                <w:szCs w:val="26"/>
                <w:rtl/>
              </w:rPr>
              <w:t>בעניין:</w:t>
            </w:r>
          </w:p>
        </w:tc>
        <w:tc>
          <w:tcPr>
            <w:tcW w:w="3219" w:type="dxa"/>
            <w:tcBorders>
              <w:top w:val="nil"/>
              <w:left w:val="nil"/>
              <w:bottom w:val="nil"/>
              <w:right w:val="nil"/>
            </w:tcBorders>
            <w:shd w:val="clear" w:color="auto" w:fill="auto"/>
          </w:tcPr>
          <w:p w14:paraId="5936B31E" w14:textId="77777777" w:rsidR="00B936FD" w:rsidRPr="00A369AF" w:rsidRDefault="00B936FD" w:rsidP="00B936FD">
            <w:pPr>
              <w:suppressLineNumbers/>
            </w:pPr>
            <w:r w:rsidRPr="00A369AF">
              <w:rPr>
                <w:rFonts w:ascii="Arial" w:hAnsi="Arial" w:hint="cs"/>
                <w:b/>
                <w:bCs/>
                <w:sz w:val="26"/>
                <w:szCs w:val="26"/>
                <w:rtl/>
              </w:rPr>
              <w:t>ה</w:t>
            </w:r>
            <w:r w:rsidRPr="00A369AF">
              <w:rPr>
                <w:rFonts w:ascii="Arial" w:hAnsi="Arial"/>
                <w:b/>
                <w:bCs/>
                <w:sz w:val="26"/>
                <w:szCs w:val="26"/>
                <w:rtl/>
              </w:rPr>
              <w:t>מאשימה</w:t>
            </w:r>
          </w:p>
          <w:p w14:paraId="22827039" w14:textId="77777777" w:rsidR="00B936FD" w:rsidRPr="00A369AF" w:rsidRDefault="00B936FD" w:rsidP="00F512B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1180AE2" w14:textId="77777777" w:rsidR="00B936FD" w:rsidRPr="00A369AF" w:rsidRDefault="00B936FD" w:rsidP="00B936FD">
            <w:pPr>
              <w:suppressLineNumbers/>
            </w:pPr>
            <w:r w:rsidRPr="00A369AF">
              <w:rPr>
                <w:rFonts w:ascii="Arial" w:hAnsi="Arial"/>
                <w:b/>
                <w:bCs/>
                <w:sz w:val="26"/>
                <w:szCs w:val="26"/>
                <w:rtl/>
              </w:rPr>
              <w:t>מדינת ישראל</w:t>
            </w:r>
            <w:r w:rsidRPr="00A369AF">
              <w:rPr>
                <w:rFonts w:ascii="Arial" w:hAnsi="Arial" w:hint="cs"/>
                <w:b/>
                <w:bCs/>
                <w:sz w:val="26"/>
                <w:szCs w:val="26"/>
                <w:rtl/>
              </w:rPr>
              <w:t xml:space="preserve"> </w:t>
            </w:r>
            <w:r w:rsidRPr="00A369AF">
              <w:rPr>
                <w:rFonts w:ascii="Arial" w:hAnsi="Arial"/>
                <w:b/>
                <w:bCs/>
                <w:sz w:val="26"/>
                <w:szCs w:val="26"/>
                <w:rtl/>
              </w:rPr>
              <w:t>ע"י ב"כ עוה"ד</w:t>
            </w:r>
          </w:p>
          <w:p w14:paraId="12664138" w14:textId="77777777" w:rsidR="00B936FD" w:rsidRPr="00A369AF" w:rsidRDefault="00B936FD" w:rsidP="00F512B2">
            <w:pPr>
              <w:rPr>
                <w:rFonts w:ascii="David" w:hAnsi="David"/>
                <w:sz w:val="26"/>
                <w:szCs w:val="26"/>
              </w:rPr>
            </w:pPr>
          </w:p>
        </w:tc>
      </w:tr>
      <w:bookmarkEnd w:id="2"/>
      <w:tr w:rsidR="00B936FD" w:rsidRPr="00A369AF" w14:paraId="7E765577" w14:textId="77777777" w:rsidTr="007255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A2A3AF" w14:textId="77777777" w:rsidR="00B936FD" w:rsidRPr="00A369AF" w:rsidRDefault="00B936FD" w:rsidP="00B936F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76E1EA7" w14:textId="77777777" w:rsidR="00B936FD" w:rsidRPr="00A369AF" w:rsidRDefault="00B936FD" w:rsidP="00B936FD">
            <w:pPr>
              <w:jc w:val="center"/>
              <w:rPr>
                <w:rFonts w:ascii="David" w:hAnsi="David"/>
                <w:b/>
                <w:bCs/>
                <w:sz w:val="26"/>
                <w:szCs w:val="26"/>
                <w:rtl/>
              </w:rPr>
            </w:pPr>
          </w:p>
          <w:p w14:paraId="369AE1B5" w14:textId="77777777" w:rsidR="00B936FD" w:rsidRPr="00A369AF" w:rsidRDefault="00B936FD" w:rsidP="00B936FD">
            <w:pPr>
              <w:jc w:val="center"/>
              <w:rPr>
                <w:rFonts w:ascii="David" w:hAnsi="David"/>
                <w:b/>
                <w:bCs/>
                <w:sz w:val="26"/>
                <w:szCs w:val="26"/>
                <w:rtl/>
              </w:rPr>
            </w:pPr>
            <w:r w:rsidRPr="00A369AF">
              <w:rPr>
                <w:rFonts w:ascii="David" w:hAnsi="David"/>
                <w:b/>
                <w:bCs/>
                <w:sz w:val="26"/>
                <w:szCs w:val="26"/>
                <w:rtl/>
              </w:rPr>
              <w:t>נגד</w:t>
            </w:r>
          </w:p>
          <w:p w14:paraId="6ED1B76A" w14:textId="77777777" w:rsidR="00B936FD" w:rsidRPr="00A369AF" w:rsidRDefault="00B936FD" w:rsidP="00B936FD">
            <w:pPr>
              <w:jc w:val="both"/>
              <w:rPr>
                <w:rFonts w:ascii="David" w:hAnsi="David"/>
                <w:sz w:val="26"/>
                <w:szCs w:val="26"/>
              </w:rPr>
            </w:pPr>
          </w:p>
        </w:tc>
      </w:tr>
      <w:tr w:rsidR="00B936FD" w:rsidRPr="00A369AF" w14:paraId="5530984E" w14:textId="77777777" w:rsidTr="007255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B9AF18" w14:textId="77777777" w:rsidR="00B936FD" w:rsidRPr="00A369AF" w:rsidRDefault="00B936FD" w:rsidP="00F512B2">
            <w:pPr>
              <w:rPr>
                <w:rFonts w:ascii="David" w:hAnsi="David"/>
                <w:sz w:val="26"/>
                <w:szCs w:val="26"/>
                <w:rtl/>
              </w:rPr>
            </w:pPr>
          </w:p>
        </w:tc>
        <w:tc>
          <w:tcPr>
            <w:tcW w:w="3219" w:type="dxa"/>
            <w:tcBorders>
              <w:top w:val="nil"/>
              <w:left w:val="nil"/>
              <w:bottom w:val="nil"/>
              <w:right w:val="nil"/>
            </w:tcBorders>
            <w:shd w:val="clear" w:color="auto" w:fill="auto"/>
          </w:tcPr>
          <w:p w14:paraId="1A7EDEBF" w14:textId="77777777" w:rsidR="00B936FD" w:rsidRPr="00A369AF" w:rsidRDefault="00B936FD" w:rsidP="00F512B2">
            <w:pPr>
              <w:rPr>
                <w:rFonts w:ascii="Arial" w:hAnsi="Arial"/>
                <w:b/>
                <w:bCs/>
                <w:sz w:val="26"/>
                <w:szCs w:val="26"/>
                <w:rtl/>
              </w:rPr>
            </w:pPr>
            <w:r w:rsidRPr="00A369AF">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1034139D" w14:textId="77777777" w:rsidR="00B936FD" w:rsidRPr="00A369AF" w:rsidRDefault="00B936FD" w:rsidP="00F512B2">
            <w:pPr>
              <w:rPr>
                <w:rFonts w:ascii="David" w:hAnsi="David"/>
                <w:sz w:val="26"/>
                <w:szCs w:val="26"/>
              </w:rPr>
            </w:pPr>
          </w:p>
          <w:p w14:paraId="38E139CA" w14:textId="77777777" w:rsidR="00B936FD" w:rsidRPr="00A369AF" w:rsidRDefault="00B936FD" w:rsidP="00B936FD">
            <w:pPr>
              <w:suppressLineNumbers/>
            </w:pPr>
            <w:r w:rsidRPr="00A369AF">
              <w:rPr>
                <w:rFonts w:ascii="Arial" w:hAnsi="Arial"/>
                <w:b/>
                <w:bCs/>
                <w:sz w:val="26"/>
                <w:szCs w:val="26"/>
                <w:rtl/>
              </w:rPr>
              <w:t>1. סולטאן זועבי (עציר)</w:t>
            </w:r>
            <w:r w:rsidRPr="00A369AF">
              <w:rPr>
                <w:rFonts w:ascii="Arial" w:hAnsi="Arial" w:hint="cs"/>
                <w:b/>
                <w:bCs/>
                <w:sz w:val="26"/>
                <w:szCs w:val="26"/>
                <w:rtl/>
              </w:rPr>
              <w:t xml:space="preserve"> </w:t>
            </w:r>
          </w:p>
          <w:p w14:paraId="3372C65C" w14:textId="77777777" w:rsidR="00B936FD" w:rsidRPr="00A369AF" w:rsidRDefault="00B936FD" w:rsidP="00B936FD">
            <w:pPr>
              <w:suppressLineNumbers/>
            </w:pPr>
            <w:r w:rsidRPr="00A369AF">
              <w:rPr>
                <w:rFonts w:ascii="Arial" w:hAnsi="Arial"/>
                <w:b/>
                <w:bCs/>
                <w:sz w:val="26"/>
                <w:szCs w:val="26"/>
                <w:rtl/>
              </w:rPr>
              <w:t>2. עימאד זועבי (עצור/אסיר בפיקוח)</w:t>
            </w:r>
            <w:r w:rsidRPr="00A369AF">
              <w:rPr>
                <w:rFonts w:ascii="Arial" w:hAnsi="Arial" w:hint="cs"/>
                <w:b/>
                <w:bCs/>
                <w:sz w:val="26"/>
                <w:szCs w:val="26"/>
                <w:rtl/>
              </w:rPr>
              <w:t xml:space="preserve"> </w:t>
            </w:r>
          </w:p>
        </w:tc>
      </w:tr>
    </w:tbl>
    <w:p w14:paraId="444FBCDB" w14:textId="77777777" w:rsidR="00A369AF" w:rsidRPr="00A369AF" w:rsidRDefault="00A369AF" w:rsidP="00A369AF">
      <w:pPr>
        <w:spacing w:before="120" w:after="120" w:line="240" w:lineRule="exact"/>
        <w:ind w:left="283" w:hanging="283"/>
        <w:jc w:val="both"/>
        <w:rPr>
          <w:rFonts w:ascii="FrankRuehl" w:hAnsi="FrankRuehl" w:cs="FrankRuehl"/>
          <w:rtl/>
        </w:rPr>
      </w:pPr>
    </w:p>
    <w:p w14:paraId="420CF334" w14:textId="77777777" w:rsidR="00A369AF" w:rsidRPr="00A369AF" w:rsidRDefault="00A369AF" w:rsidP="00A369AF">
      <w:pPr>
        <w:rPr>
          <w:sz w:val="26"/>
          <w:szCs w:val="26"/>
          <w:rtl/>
        </w:rPr>
      </w:pPr>
    </w:p>
    <w:p w14:paraId="05DADCF9" w14:textId="77777777" w:rsidR="00725520" w:rsidRPr="00725520" w:rsidRDefault="00725520" w:rsidP="00725520">
      <w:pPr>
        <w:spacing w:before="120" w:after="120" w:line="240" w:lineRule="exact"/>
        <w:ind w:left="283" w:hanging="283"/>
        <w:jc w:val="both"/>
        <w:rPr>
          <w:rFonts w:ascii="FrankRuehl" w:hAnsi="FrankRuehl" w:cs="FrankRuehl"/>
          <w:rtl/>
        </w:rPr>
      </w:pPr>
    </w:p>
    <w:p w14:paraId="385BF015" w14:textId="77777777" w:rsidR="00567CC8" w:rsidRPr="00567CC8" w:rsidRDefault="00567CC8" w:rsidP="00567CC8">
      <w:pPr>
        <w:spacing w:before="120" w:after="120" w:line="240" w:lineRule="exact"/>
        <w:ind w:left="283" w:hanging="283"/>
        <w:jc w:val="both"/>
        <w:rPr>
          <w:rFonts w:ascii="FrankRuehl" w:hAnsi="FrankRuehl" w:cs="FrankRuehl"/>
          <w:rtl/>
        </w:rPr>
      </w:pPr>
    </w:p>
    <w:p w14:paraId="3A16353D" w14:textId="77777777" w:rsidR="00171FCC" w:rsidRDefault="00171FCC" w:rsidP="00171FCC">
      <w:pPr>
        <w:rPr>
          <w:sz w:val="26"/>
          <w:szCs w:val="26"/>
          <w:rtl/>
        </w:rPr>
      </w:pPr>
      <w:bookmarkStart w:id="3" w:name="LawTable"/>
      <w:bookmarkEnd w:id="3"/>
    </w:p>
    <w:p w14:paraId="01053650" w14:textId="77777777" w:rsidR="00171FCC" w:rsidRPr="00171FCC" w:rsidRDefault="00171FCC" w:rsidP="00171FCC">
      <w:pPr>
        <w:spacing w:before="120" w:after="120" w:line="240" w:lineRule="exact"/>
        <w:ind w:left="283" w:hanging="283"/>
        <w:jc w:val="both"/>
        <w:rPr>
          <w:rFonts w:ascii="FrankRuehl" w:hAnsi="FrankRuehl" w:cs="FrankRuehl"/>
          <w:rtl/>
        </w:rPr>
      </w:pPr>
    </w:p>
    <w:p w14:paraId="400143AD" w14:textId="77777777" w:rsidR="00171FCC" w:rsidRPr="00171FCC" w:rsidRDefault="00171FCC" w:rsidP="00171FCC">
      <w:pPr>
        <w:spacing w:before="120" w:after="120" w:line="240" w:lineRule="exact"/>
        <w:ind w:left="283" w:hanging="283"/>
        <w:jc w:val="both"/>
        <w:rPr>
          <w:rFonts w:ascii="FrankRuehl" w:hAnsi="FrankRuehl" w:cs="FrankRuehl"/>
          <w:rtl/>
        </w:rPr>
      </w:pPr>
    </w:p>
    <w:p w14:paraId="0B8E0890" w14:textId="77777777" w:rsidR="00171FCC" w:rsidRPr="00171FCC" w:rsidRDefault="00171FCC" w:rsidP="00171FCC">
      <w:pPr>
        <w:spacing w:before="120" w:after="120" w:line="240" w:lineRule="exact"/>
        <w:ind w:left="283" w:hanging="283"/>
        <w:jc w:val="both"/>
        <w:rPr>
          <w:rFonts w:ascii="FrankRuehl" w:hAnsi="FrankRuehl" w:cs="FrankRuehl"/>
          <w:rtl/>
        </w:rPr>
      </w:pPr>
      <w:r w:rsidRPr="00171FCC">
        <w:rPr>
          <w:rFonts w:ascii="FrankRuehl" w:hAnsi="FrankRuehl" w:cs="FrankRuehl"/>
          <w:rtl/>
        </w:rPr>
        <w:t xml:space="preserve">חקיקה שאוזכרה: </w:t>
      </w:r>
    </w:p>
    <w:p w14:paraId="62EB2A8B" w14:textId="77777777" w:rsidR="00171FCC" w:rsidRPr="00171FCC" w:rsidRDefault="00171FCC" w:rsidP="00171FCC">
      <w:pPr>
        <w:spacing w:before="120" w:after="120" w:line="240" w:lineRule="exact"/>
        <w:ind w:left="283" w:hanging="283"/>
        <w:jc w:val="both"/>
        <w:rPr>
          <w:rFonts w:ascii="FrankRuehl" w:hAnsi="FrankRuehl" w:cs="FrankRuehl"/>
          <w:rtl/>
        </w:rPr>
      </w:pPr>
      <w:hyperlink r:id="rId7" w:history="1">
        <w:r w:rsidRPr="00171FCC">
          <w:rPr>
            <w:rFonts w:ascii="FrankRuehl" w:hAnsi="FrankRuehl" w:cs="FrankRuehl"/>
            <w:color w:val="0000FF"/>
            <w:rtl/>
          </w:rPr>
          <w:t>חוק העונשין, תשל"ז-1977</w:t>
        </w:r>
      </w:hyperlink>
      <w:r w:rsidRPr="00171FCC">
        <w:rPr>
          <w:rFonts w:ascii="FrankRuehl" w:hAnsi="FrankRuehl" w:cs="FrankRuehl"/>
          <w:rtl/>
        </w:rPr>
        <w:t xml:space="preserve">: סע'  </w:t>
      </w:r>
      <w:hyperlink r:id="rId8" w:history="1">
        <w:r w:rsidRPr="00171FCC">
          <w:rPr>
            <w:rFonts w:ascii="FrankRuehl" w:hAnsi="FrankRuehl" w:cs="FrankRuehl"/>
            <w:color w:val="0000FF"/>
            <w:rtl/>
          </w:rPr>
          <w:t>29</w:t>
        </w:r>
      </w:hyperlink>
      <w:r w:rsidRPr="00171FCC">
        <w:rPr>
          <w:rFonts w:ascii="FrankRuehl" w:hAnsi="FrankRuehl" w:cs="FrankRuehl"/>
          <w:rtl/>
        </w:rPr>
        <w:t xml:space="preserve">, </w:t>
      </w:r>
      <w:hyperlink r:id="rId9" w:history="1">
        <w:r w:rsidRPr="00171FCC">
          <w:rPr>
            <w:rFonts w:ascii="FrankRuehl" w:hAnsi="FrankRuehl" w:cs="FrankRuehl"/>
            <w:color w:val="0000FF"/>
            <w:rtl/>
          </w:rPr>
          <w:t>טו</w:t>
        </w:r>
      </w:hyperlink>
      <w:r w:rsidRPr="00171FCC">
        <w:rPr>
          <w:rFonts w:ascii="FrankRuehl" w:hAnsi="FrankRuehl" w:cs="FrankRuehl"/>
          <w:rtl/>
        </w:rPr>
        <w:t xml:space="preserve">, </w:t>
      </w:r>
      <w:hyperlink r:id="rId10" w:history="1">
        <w:r w:rsidRPr="00171FCC">
          <w:rPr>
            <w:rFonts w:ascii="FrankRuehl" w:hAnsi="FrankRuehl" w:cs="FrankRuehl"/>
            <w:color w:val="0000FF"/>
            <w:rtl/>
          </w:rPr>
          <w:t>40א</w:t>
        </w:r>
      </w:hyperlink>
      <w:r w:rsidRPr="00171FCC">
        <w:rPr>
          <w:rFonts w:ascii="FrankRuehl" w:hAnsi="FrankRuehl" w:cs="FrankRuehl"/>
          <w:rtl/>
        </w:rPr>
        <w:t xml:space="preserve">, </w:t>
      </w:r>
      <w:hyperlink r:id="rId11" w:history="1">
        <w:r w:rsidRPr="00171FCC">
          <w:rPr>
            <w:rFonts w:ascii="FrankRuehl" w:hAnsi="FrankRuehl" w:cs="FrankRuehl"/>
            <w:color w:val="0000FF"/>
            <w:rtl/>
          </w:rPr>
          <w:t>144(א)</w:t>
        </w:r>
      </w:hyperlink>
      <w:r w:rsidRPr="00171FCC">
        <w:rPr>
          <w:rFonts w:ascii="FrankRuehl" w:hAnsi="FrankRuehl" w:cs="FrankRuehl"/>
          <w:rtl/>
        </w:rPr>
        <w:t xml:space="preserve">, </w:t>
      </w:r>
      <w:hyperlink r:id="rId12" w:history="1">
        <w:r w:rsidRPr="00171FCC">
          <w:rPr>
            <w:rFonts w:ascii="FrankRuehl" w:hAnsi="FrankRuehl" w:cs="FrankRuehl"/>
            <w:color w:val="0000FF"/>
            <w:rtl/>
          </w:rPr>
          <w:t>ו'  א' 1</w:t>
        </w:r>
      </w:hyperlink>
    </w:p>
    <w:p w14:paraId="72CBF31B" w14:textId="77777777" w:rsidR="00171FCC" w:rsidRPr="00171FCC" w:rsidRDefault="00171FCC" w:rsidP="00171FCC">
      <w:pPr>
        <w:spacing w:before="120" w:after="120" w:line="240" w:lineRule="exact"/>
        <w:ind w:left="283" w:hanging="283"/>
        <w:jc w:val="both"/>
        <w:rPr>
          <w:rFonts w:ascii="FrankRuehl" w:hAnsi="FrankRuehl" w:cs="FrankRuehl"/>
          <w:rtl/>
        </w:rPr>
      </w:pPr>
      <w:hyperlink r:id="rId13" w:history="1">
        <w:r w:rsidRPr="00171FCC">
          <w:rPr>
            <w:rFonts w:ascii="FrankRuehl" w:hAnsi="FrankRuehl" w:cs="FrankRuehl"/>
            <w:color w:val="0000FF"/>
            <w:rtl/>
          </w:rPr>
          <w:t>פקודת סדר הדין הפלילי (מעצר וחיפוש) [נוסח חדש], תשכ"ט-1969</w:t>
        </w:r>
      </w:hyperlink>
      <w:r w:rsidRPr="00171FCC">
        <w:rPr>
          <w:rFonts w:ascii="FrankRuehl" w:hAnsi="FrankRuehl" w:cs="FrankRuehl"/>
          <w:rtl/>
        </w:rPr>
        <w:t xml:space="preserve">: סע'  </w:t>
      </w:r>
      <w:hyperlink r:id="rId14" w:history="1">
        <w:r w:rsidRPr="00171FCC">
          <w:rPr>
            <w:rFonts w:ascii="FrankRuehl" w:hAnsi="FrankRuehl" w:cs="FrankRuehl"/>
            <w:color w:val="0000FF"/>
            <w:rtl/>
          </w:rPr>
          <w:t>32</w:t>
        </w:r>
      </w:hyperlink>
      <w:r w:rsidRPr="00171FCC">
        <w:rPr>
          <w:rFonts w:ascii="FrankRuehl" w:hAnsi="FrankRuehl" w:cs="FrankRuehl"/>
          <w:rtl/>
        </w:rPr>
        <w:t xml:space="preserve">, </w:t>
      </w:r>
      <w:hyperlink r:id="rId15" w:history="1">
        <w:r w:rsidRPr="00171FCC">
          <w:rPr>
            <w:rFonts w:ascii="FrankRuehl" w:hAnsi="FrankRuehl" w:cs="FrankRuehl"/>
            <w:color w:val="0000FF"/>
            <w:rtl/>
          </w:rPr>
          <w:t>34(א)</w:t>
        </w:r>
      </w:hyperlink>
      <w:r w:rsidRPr="00171FCC">
        <w:rPr>
          <w:rFonts w:ascii="FrankRuehl" w:hAnsi="FrankRuehl" w:cs="FrankRuehl"/>
          <w:rtl/>
        </w:rPr>
        <w:t xml:space="preserve">, </w:t>
      </w:r>
      <w:hyperlink r:id="rId16" w:history="1">
        <w:r w:rsidRPr="00171FCC">
          <w:rPr>
            <w:rFonts w:ascii="FrankRuehl" w:hAnsi="FrankRuehl" w:cs="FrankRuehl"/>
            <w:color w:val="0000FF"/>
            <w:rtl/>
          </w:rPr>
          <w:t>39</w:t>
        </w:r>
      </w:hyperlink>
    </w:p>
    <w:p w14:paraId="153A4022" w14:textId="77777777" w:rsidR="00171FCC" w:rsidRPr="00171FCC" w:rsidRDefault="00171FCC" w:rsidP="00171FCC">
      <w:pPr>
        <w:rPr>
          <w:sz w:val="26"/>
          <w:szCs w:val="26"/>
          <w:rtl/>
        </w:rPr>
      </w:pPr>
      <w:bookmarkStart w:id="4" w:name="LawTable_End"/>
      <w:bookmarkEnd w:id="4"/>
    </w:p>
    <w:p w14:paraId="76BB0C6C" w14:textId="77777777" w:rsidR="00725520" w:rsidRPr="00567CC8" w:rsidRDefault="00725520" w:rsidP="00567CC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36FD" w14:paraId="1336581C" w14:textId="77777777" w:rsidTr="00B936FD">
        <w:trPr>
          <w:trHeight w:val="355"/>
          <w:jc w:val="center"/>
        </w:trPr>
        <w:tc>
          <w:tcPr>
            <w:tcW w:w="8820" w:type="dxa"/>
            <w:tcBorders>
              <w:top w:val="nil"/>
              <w:left w:val="nil"/>
              <w:bottom w:val="nil"/>
              <w:right w:val="nil"/>
            </w:tcBorders>
            <w:shd w:val="clear" w:color="auto" w:fill="auto"/>
          </w:tcPr>
          <w:p w14:paraId="00D894A8" w14:textId="77777777" w:rsidR="00A369AF" w:rsidRPr="00A369AF" w:rsidRDefault="00A369AF" w:rsidP="00A369AF">
            <w:pPr>
              <w:jc w:val="center"/>
              <w:rPr>
                <w:rFonts w:ascii="David" w:hAnsi="David"/>
                <w:bCs/>
                <w:sz w:val="32"/>
                <w:szCs w:val="32"/>
                <w:u w:val="single"/>
                <w:rtl/>
              </w:rPr>
            </w:pPr>
            <w:bookmarkStart w:id="5" w:name="PsakDin" w:colFirst="0" w:colLast="0"/>
            <w:bookmarkEnd w:id="0"/>
            <w:bookmarkEnd w:id="1"/>
            <w:r w:rsidRPr="00A369AF">
              <w:rPr>
                <w:rFonts w:ascii="David" w:hAnsi="David"/>
                <w:bCs/>
                <w:sz w:val="32"/>
                <w:szCs w:val="32"/>
                <w:u w:val="single"/>
                <w:rtl/>
              </w:rPr>
              <w:t>גזר דין   נאשם 1</w:t>
            </w:r>
          </w:p>
          <w:p w14:paraId="0FCBA99B" w14:textId="77777777" w:rsidR="00B936FD" w:rsidRPr="00A369AF" w:rsidRDefault="00B936FD" w:rsidP="00A369AF">
            <w:pPr>
              <w:jc w:val="center"/>
              <w:rPr>
                <w:rFonts w:ascii="David" w:hAnsi="David"/>
                <w:bCs/>
                <w:sz w:val="32"/>
                <w:szCs w:val="32"/>
                <w:u w:val="single"/>
                <w:rtl/>
              </w:rPr>
            </w:pPr>
          </w:p>
        </w:tc>
      </w:tr>
      <w:bookmarkEnd w:id="5"/>
    </w:tbl>
    <w:p w14:paraId="26DEDD03" w14:textId="77777777" w:rsidR="00B936FD" w:rsidRPr="000F2247" w:rsidRDefault="00B936FD" w:rsidP="00B936FD">
      <w:pPr>
        <w:rPr>
          <w:rFonts w:ascii="Arial" w:hAnsi="Arial"/>
          <w:b/>
          <w:bCs/>
          <w:sz w:val="26"/>
          <w:szCs w:val="26"/>
          <w:rtl/>
        </w:rPr>
      </w:pPr>
    </w:p>
    <w:p w14:paraId="4ED18C13" w14:textId="77777777" w:rsidR="00B936FD" w:rsidRPr="00337B81" w:rsidRDefault="00B936FD" w:rsidP="00B936FD">
      <w:pPr>
        <w:rPr>
          <w:rFonts w:ascii="David" w:eastAsia="David" w:hAnsi="David"/>
          <w:b/>
          <w:bCs/>
          <w:sz w:val="14"/>
          <w:szCs w:val="14"/>
        </w:rPr>
      </w:pPr>
    </w:p>
    <w:p w14:paraId="57F79E23" w14:textId="77777777" w:rsidR="00B936FD" w:rsidRPr="00D01FA0" w:rsidRDefault="00B936FD" w:rsidP="00B936FD">
      <w:pPr>
        <w:spacing w:line="360" w:lineRule="auto"/>
        <w:ind w:left="360"/>
        <w:jc w:val="both"/>
        <w:rPr>
          <w:rFonts w:ascii="David" w:eastAsia="David" w:hAnsi="David"/>
          <w:b/>
          <w:bCs/>
          <w:u w:val="single"/>
          <w:rtl/>
        </w:rPr>
      </w:pPr>
      <w:r w:rsidRPr="00D01FA0">
        <w:rPr>
          <w:rFonts w:ascii="David" w:eastAsia="David" w:hAnsi="David"/>
          <w:b/>
          <w:bCs/>
          <w:u w:val="single"/>
          <w:rtl/>
        </w:rPr>
        <w:t>כללי</w:t>
      </w:r>
    </w:p>
    <w:p w14:paraId="517A9628" w14:textId="77777777" w:rsidR="00B936FD" w:rsidRPr="00D01FA0" w:rsidRDefault="00B936FD" w:rsidP="00B936FD">
      <w:pPr>
        <w:numPr>
          <w:ilvl w:val="0"/>
          <w:numId w:val="1"/>
        </w:numPr>
        <w:spacing w:after="160" w:line="360" w:lineRule="auto"/>
        <w:contextualSpacing/>
        <w:jc w:val="both"/>
        <w:rPr>
          <w:rFonts w:ascii="David" w:hAnsi="David"/>
          <w:rtl/>
        </w:rPr>
      </w:pPr>
      <w:bookmarkStart w:id="6" w:name="ABSTRACT_START"/>
      <w:bookmarkEnd w:id="6"/>
      <w:r w:rsidRPr="00D01FA0">
        <w:rPr>
          <w:rFonts w:ascii="David" w:eastAsia="David" w:hAnsi="David"/>
          <w:rtl/>
        </w:rPr>
        <w:t xml:space="preserve">הנאשם הודה והורשע במסגרת הסדר טיעון בכתב אישום מתוקן בעבירה של החזקת נשק, עבירה לפי עבירה לפי </w:t>
      </w:r>
      <w:hyperlink r:id="rId17" w:history="1">
        <w:r w:rsidR="00725520" w:rsidRPr="00725520">
          <w:rPr>
            <w:rStyle w:val="Hyperlink"/>
            <w:rFonts w:ascii="David" w:eastAsia="David" w:hAnsi="David"/>
            <w:rtl/>
          </w:rPr>
          <w:t>סעיף 144(א)</w:t>
        </w:r>
      </w:hyperlink>
      <w:r w:rsidRPr="00D01FA0">
        <w:rPr>
          <w:rFonts w:ascii="David" w:eastAsia="David" w:hAnsi="David"/>
          <w:rtl/>
        </w:rPr>
        <w:t xml:space="preserve"> רישא וסיפא + </w:t>
      </w:r>
      <w:hyperlink r:id="rId18" w:history="1">
        <w:r w:rsidR="00725520" w:rsidRPr="00725520">
          <w:rPr>
            <w:rStyle w:val="Hyperlink"/>
            <w:rFonts w:ascii="David" w:eastAsia="David" w:hAnsi="David"/>
            <w:rtl/>
          </w:rPr>
          <w:t>סעיף 29</w:t>
        </w:r>
      </w:hyperlink>
      <w:r w:rsidRPr="00D01FA0">
        <w:rPr>
          <w:rFonts w:ascii="David" w:eastAsia="David" w:hAnsi="David"/>
          <w:rtl/>
        </w:rPr>
        <w:t xml:space="preserve"> ל</w:t>
      </w:r>
      <w:hyperlink r:id="rId19" w:history="1">
        <w:r w:rsidR="00A369AF" w:rsidRPr="00A369AF">
          <w:rPr>
            <w:rFonts w:ascii="David" w:eastAsia="David" w:hAnsi="David"/>
            <w:color w:val="0000FF"/>
            <w:u w:val="single"/>
            <w:rtl/>
          </w:rPr>
          <w:t>חוק העונשין</w:t>
        </w:r>
      </w:hyperlink>
      <w:r w:rsidRPr="00D01FA0">
        <w:rPr>
          <w:rFonts w:ascii="David" w:eastAsia="David" w:hAnsi="David"/>
          <w:rtl/>
        </w:rPr>
        <w:t xml:space="preserve">. </w:t>
      </w:r>
    </w:p>
    <w:p w14:paraId="66DF5685" w14:textId="77777777" w:rsidR="00B936FD" w:rsidRPr="0063133D" w:rsidRDefault="00B936FD" w:rsidP="00B936FD">
      <w:pPr>
        <w:spacing w:line="360" w:lineRule="auto"/>
        <w:ind w:left="720"/>
        <w:contextualSpacing/>
        <w:jc w:val="both"/>
        <w:rPr>
          <w:rFonts w:ascii="David" w:eastAsia="David" w:hAnsi="David"/>
          <w:sz w:val="14"/>
          <w:szCs w:val="14"/>
        </w:rPr>
      </w:pPr>
    </w:p>
    <w:p w14:paraId="21070BED" w14:textId="77777777" w:rsidR="00B936FD" w:rsidRPr="00D01FA0" w:rsidRDefault="00B936FD" w:rsidP="00B936FD">
      <w:pPr>
        <w:spacing w:line="360" w:lineRule="auto"/>
        <w:ind w:left="720"/>
        <w:contextualSpacing/>
        <w:jc w:val="both"/>
        <w:rPr>
          <w:rFonts w:ascii="David" w:eastAsia="David" w:hAnsi="David"/>
        </w:rPr>
      </w:pPr>
      <w:r w:rsidRPr="00D01FA0">
        <w:rPr>
          <w:rFonts w:ascii="David" w:eastAsia="David" w:hAnsi="David"/>
          <w:rtl/>
        </w:rPr>
        <w:t>הסדר הטעון מתייחס לתיקון כתב האישום ואינו כולל הסכמות לעניין העונש שיוטל על הנאשם.</w:t>
      </w:r>
    </w:p>
    <w:p w14:paraId="2661543F" w14:textId="77777777" w:rsidR="00B936FD" w:rsidRPr="00337B81" w:rsidRDefault="00B936FD" w:rsidP="00B936FD">
      <w:pPr>
        <w:spacing w:line="360" w:lineRule="auto"/>
        <w:jc w:val="both"/>
        <w:rPr>
          <w:rFonts w:ascii="David" w:eastAsia="David" w:hAnsi="David"/>
          <w:sz w:val="16"/>
          <w:szCs w:val="16"/>
          <w:rtl/>
        </w:rPr>
      </w:pPr>
    </w:p>
    <w:p w14:paraId="7EE9C3DC" w14:textId="77777777" w:rsidR="00B936FD" w:rsidRPr="00D01FA0" w:rsidRDefault="00B936FD" w:rsidP="00B936FD">
      <w:pPr>
        <w:spacing w:line="360" w:lineRule="auto"/>
        <w:ind w:firstLine="360"/>
        <w:jc w:val="both"/>
        <w:rPr>
          <w:rFonts w:ascii="David" w:eastAsia="David" w:hAnsi="David"/>
          <w:b/>
          <w:bCs/>
          <w:u w:val="single"/>
        </w:rPr>
      </w:pPr>
      <w:bookmarkStart w:id="7" w:name="ABSTRACT_END"/>
      <w:bookmarkEnd w:id="7"/>
      <w:r w:rsidRPr="00D01FA0">
        <w:rPr>
          <w:rFonts w:ascii="David" w:eastAsia="David" w:hAnsi="David"/>
          <w:b/>
          <w:bCs/>
          <w:u w:val="single"/>
          <w:rtl/>
        </w:rPr>
        <w:t xml:space="preserve">עובדות כתב האישום המתוקן </w:t>
      </w:r>
    </w:p>
    <w:p w14:paraId="690BB9FE" w14:textId="77777777" w:rsidR="00B936FD" w:rsidRPr="00337B81" w:rsidRDefault="00B936FD" w:rsidP="00B936FD">
      <w:pPr>
        <w:spacing w:line="360" w:lineRule="auto"/>
        <w:ind w:firstLine="360"/>
        <w:jc w:val="both"/>
        <w:rPr>
          <w:rFonts w:ascii="David" w:eastAsia="David" w:hAnsi="David"/>
          <w:b/>
          <w:bCs/>
          <w:sz w:val="12"/>
          <w:szCs w:val="12"/>
          <w:u w:val="single"/>
          <w:rtl/>
        </w:rPr>
      </w:pPr>
    </w:p>
    <w:p w14:paraId="01EB34D9" w14:textId="77777777" w:rsidR="00B936FD" w:rsidRPr="00D01FA0" w:rsidRDefault="00B936FD" w:rsidP="00B936FD">
      <w:pPr>
        <w:numPr>
          <w:ilvl w:val="0"/>
          <w:numId w:val="1"/>
        </w:numPr>
        <w:spacing w:after="160" w:line="360" w:lineRule="auto"/>
        <w:ind w:left="708"/>
        <w:contextualSpacing/>
        <w:jc w:val="both"/>
        <w:rPr>
          <w:rFonts w:ascii="David" w:eastAsia="David" w:hAnsi="David"/>
          <w:b/>
          <w:bCs/>
          <w:u w:val="single"/>
        </w:rPr>
      </w:pPr>
      <w:r w:rsidRPr="00D01FA0">
        <w:rPr>
          <w:rFonts w:ascii="David" w:eastAsia="Calibri" w:hAnsi="David"/>
          <w:color w:val="000000"/>
          <w:rtl/>
        </w:rPr>
        <w:t xml:space="preserve">בתאריך 2.10.22, בסמוך </w:t>
      </w:r>
      <w:r>
        <w:rPr>
          <w:rFonts w:ascii="David" w:eastAsia="Calibri" w:hAnsi="David" w:hint="cs"/>
          <w:color w:val="000000"/>
          <w:rtl/>
        </w:rPr>
        <w:t>ל</w:t>
      </w:r>
      <w:r w:rsidRPr="00D01FA0">
        <w:rPr>
          <w:rFonts w:ascii="David" w:eastAsia="Calibri" w:hAnsi="David"/>
          <w:color w:val="000000"/>
          <w:rtl/>
        </w:rPr>
        <w:t xml:space="preserve">שעה 20:15 בכיכר אום אל פחם שהו הנאשם 1 והנאשם 2 ברכב מסוג "טויוטה" מ"ר 45226401 הרשום על שם אשת </w:t>
      </w:r>
      <w:r>
        <w:rPr>
          <w:rFonts w:ascii="David" w:eastAsia="Calibri" w:hAnsi="David" w:hint="cs"/>
          <w:color w:val="000000"/>
          <w:rtl/>
        </w:rPr>
        <w:t>ה</w:t>
      </w:r>
      <w:r w:rsidRPr="00D01FA0">
        <w:rPr>
          <w:rFonts w:ascii="David" w:eastAsia="Calibri" w:hAnsi="David"/>
          <w:color w:val="000000"/>
          <w:rtl/>
        </w:rPr>
        <w:t>נאשם</w:t>
      </w:r>
      <w:r>
        <w:rPr>
          <w:rFonts w:ascii="David" w:eastAsia="Calibri" w:hAnsi="David" w:hint="cs"/>
          <w:color w:val="000000"/>
          <w:rtl/>
        </w:rPr>
        <w:t xml:space="preserve"> 1.</w:t>
      </w:r>
      <w:r w:rsidRPr="00D01FA0">
        <w:rPr>
          <w:rFonts w:ascii="David" w:eastAsia="Calibri" w:hAnsi="David"/>
          <w:color w:val="000000"/>
          <w:rtl/>
        </w:rPr>
        <w:t xml:space="preserve"> במועד האמור החזיקו </w:t>
      </w:r>
      <w:r w:rsidRPr="00D01FA0">
        <w:rPr>
          <w:rFonts w:ascii="David" w:eastAsia="Calibri" w:hAnsi="David"/>
          <w:color w:val="000000"/>
          <w:rtl/>
        </w:rPr>
        <w:lastRenderedPageBreak/>
        <w:t xml:space="preserve">הנאשמים בצוותא ברכב רובה סער דמוי </w:t>
      </w:r>
      <w:r w:rsidRPr="00D01FA0">
        <w:rPr>
          <w:rFonts w:ascii="David" w:eastAsia="Calibri" w:hAnsi="David"/>
          <w:color w:val="000000"/>
        </w:rPr>
        <w:t>16</w:t>
      </w:r>
      <w:r w:rsidRPr="00D01FA0">
        <w:rPr>
          <w:rFonts w:ascii="David" w:eastAsia="Calibri" w:hAnsi="David"/>
          <w:color w:val="000000"/>
          <w:rtl/>
        </w:rPr>
        <w:t xml:space="preserve"> </w:t>
      </w:r>
      <w:r w:rsidRPr="00D01FA0">
        <w:rPr>
          <w:rFonts w:ascii="David" w:eastAsia="Calibri" w:hAnsi="David"/>
          <w:color w:val="000000"/>
        </w:rPr>
        <w:t>M</w:t>
      </w:r>
      <w:r w:rsidRPr="00D01FA0">
        <w:rPr>
          <w:rFonts w:ascii="David" w:eastAsia="Calibri" w:hAnsi="David"/>
          <w:color w:val="000000"/>
          <w:rtl/>
        </w:rPr>
        <w:t xml:space="preserve"> טעון במחסנית ריקה מתאימה כשהוא עטוף בניילון כחול, מאחורי מושב הנהג, כל זאת בלא רשות על פי דין להחזקתו.</w:t>
      </w:r>
    </w:p>
    <w:p w14:paraId="375707B4" w14:textId="77777777" w:rsidR="00B936FD" w:rsidRPr="0063133D" w:rsidRDefault="00B936FD" w:rsidP="00B936FD">
      <w:pPr>
        <w:spacing w:line="360" w:lineRule="auto"/>
        <w:ind w:left="360"/>
        <w:contextualSpacing/>
        <w:jc w:val="both"/>
        <w:rPr>
          <w:rFonts w:ascii="David" w:eastAsia="David" w:hAnsi="David"/>
          <w:b/>
          <w:bCs/>
          <w:u w:val="single"/>
        </w:rPr>
      </w:pPr>
    </w:p>
    <w:p w14:paraId="20CF57F1" w14:textId="77777777" w:rsidR="00B936FD" w:rsidRPr="00D01FA0" w:rsidRDefault="00B936FD" w:rsidP="00B936FD">
      <w:pPr>
        <w:spacing w:line="360" w:lineRule="auto"/>
        <w:ind w:left="360"/>
        <w:contextualSpacing/>
        <w:jc w:val="both"/>
        <w:rPr>
          <w:rFonts w:ascii="David" w:eastAsia="David" w:hAnsi="David"/>
          <w:b/>
          <w:bCs/>
          <w:u w:val="single"/>
        </w:rPr>
      </w:pPr>
      <w:r w:rsidRPr="00D01FA0">
        <w:rPr>
          <w:rFonts w:ascii="David" w:eastAsia="David" w:hAnsi="David"/>
          <w:b/>
          <w:bCs/>
          <w:u w:val="single"/>
          <w:rtl/>
        </w:rPr>
        <w:t>ראיות המאשימה לעונש</w:t>
      </w:r>
    </w:p>
    <w:p w14:paraId="4D6D70F9" w14:textId="77777777" w:rsidR="00B936FD" w:rsidRPr="00D01FA0" w:rsidRDefault="00B936FD" w:rsidP="00B936FD">
      <w:pPr>
        <w:numPr>
          <w:ilvl w:val="0"/>
          <w:numId w:val="1"/>
        </w:numPr>
        <w:spacing w:after="160" w:line="360" w:lineRule="auto"/>
        <w:contextualSpacing/>
        <w:jc w:val="both"/>
        <w:rPr>
          <w:rFonts w:ascii="David" w:eastAsia="David" w:hAnsi="David"/>
          <w:rtl/>
        </w:rPr>
      </w:pPr>
      <w:r>
        <w:rPr>
          <w:rFonts w:ascii="David" w:eastAsia="David" w:hAnsi="David" w:hint="cs"/>
          <w:rtl/>
        </w:rPr>
        <w:t xml:space="preserve">הוגש </w:t>
      </w:r>
      <w:r w:rsidRPr="00D01FA0">
        <w:rPr>
          <w:rFonts w:ascii="David" w:eastAsia="David" w:hAnsi="David"/>
          <w:rtl/>
        </w:rPr>
        <w:t>גיליון הרשעות פלילי</w:t>
      </w:r>
      <w:r>
        <w:rPr>
          <w:rFonts w:ascii="David" w:eastAsia="David" w:hAnsi="David" w:hint="cs"/>
          <w:rtl/>
        </w:rPr>
        <w:t xml:space="preserve"> של הנאשם 1.</w:t>
      </w:r>
      <w:r w:rsidRPr="00D01FA0">
        <w:rPr>
          <w:rFonts w:ascii="David" w:eastAsia="David" w:hAnsi="David"/>
          <w:rtl/>
        </w:rPr>
        <w:t xml:space="preserve"> </w:t>
      </w:r>
    </w:p>
    <w:p w14:paraId="7A93D1AD" w14:textId="77777777" w:rsidR="00B936FD" w:rsidRPr="007517E8" w:rsidRDefault="00B936FD" w:rsidP="00B936FD">
      <w:pPr>
        <w:spacing w:line="360" w:lineRule="auto"/>
        <w:ind w:left="360"/>
        <w:contextualSpacing/>
        <w:jc w:val="both"/>
        <w:rPr>
          <w:rFonts w:ascii="David" w:eastAsia="David" w:hAnsi="David"/>
          <w:b/>
          <w:bCs/>
          <w:sz w:val="14"/>
          <w:szCs w:val="14"/>
          <w:u w:val="single"/>
          <w:rtl/>
        </w:rPr>
      </w:pPr>
    </w:p>
    <w:p w14:paraId="13DFD628" w14:textId="77777777" w:rsidR="00B936FD" w:rsidRPr="00D01FA0" w:rsidRDefault="00B936FD" w:rsidP="00B936FD">
      <w:pPr>
        <w:spacing w:line="360" w:lineRule="auto"/>
        <w:ind w:left="360"/>
        <w:contextualSpacing/>
        <w:jc w:val="both"/>
        <w:rPr>
          <w:rFonts w:ascii="David" w:eastAsia="David" w:hAnsi="David"/>
          <w:b/>
          <w:bCs/>
          <w:u w:val="single"/>
          <w:rtl/>
        </w:rPr>
      </w:pPr>
      <w:r w:rsidRPr="00D01FA0">
        <w:rPr>
          <w:rFonts w:ascii="David" w:eastAsia="David" w:hAnsi="David"/>
          <w:b/>
          <w:bCs/>
          <w:u w:val="single"/>
          <w:rtl/>
        </w:rPr>
        <w:t>עיקר טיעוני המאשימה לעונש</w:t>
      </w:r>
    </w:p>
    <w:p w14:paraId="0D277D33" w14:textId="77777777" w:rsidR="00B936FD" w:rsidRPr="007517E8" w:rsidRDefault="00B936FD" w:rsidP="00B936FD">
      <w:pPr>
        <w:spacing w:line="360" w:lineRule="auto"/>
        <w:jc w:val="both"/>
        <w:rPr>
          <w:rFonts w:ascii="David" w:eastAsia="David" w:hAnsi="David"/>
          <w:sz w:val="14"/>
          <w:szCs w:val="14"/>
          <w:rtl/>
        </w:rPr>
      </w:pPr>
    </w:p>
    <w:p w14:paraId="3EFAB7A3" w14:textId="77777777" w:rsidR="00B936FD" w:rsidRPr="00D46191" w:rsidRDefault="00B936FD" w:rsidP="00B936FD">
      <w:pPr>
        <w:numPr>
          <w:ilvl w:val="0"/>
          <w:numId w:val="1"/>
        </w:numPr>
        <w:spacing w:after="160" w:line="360" w:lineRule="auto"/>
        <w:ind w:left="567"/>
        <w:contextualSpacing/>
        <w:jc w:val="both"/>
        <w:rPr>
          <w:rFonts w:ascii="David" w:eastAsia="David" w:hAnsi="David"/>
          <w:b/>
          <w:bCs/>
          <w:u w:val="single"/>
        </w:rPr>
      </w:pPr>
      <w:r w:rsidRPr="003775A2">
        <w:rPr>
          <w:rFonts w:ascii="David" w:eastAsia="Calibri" w:hAnsi="David"/>
          <w:rtl/>
        </w:rPr>
        <w:t>המאשימה בטיעוניה הדגישה את חומרת העבירה בה הורשע הנאשם תוך מתן דגש על תופעת האלימות באמצעות נשק והצורך להחמיר בעבירות נשק, כאשר המטרה היא להגן על שלום הציבור וביטחונו, על חיי אדם והרכוש, שכן זמינות נשק תורמת להגדלת מעגל האלימות ולתוצאות הקשות הנובעות מכך. המאשימה ציינה כי מדובר במכת מדינה שיש להוקיעה מהשורש, והפנתה לתיקון 140 ל</w:t>
      </w:r>
      <w:hyperlink r:id="rId20" w:history="1">
        <w:r w:rsidR="00A369AF" w:rsidRPr="00A369AF">
          <w:rPr>
            <w:rFonts w:ascii="David" w:eastAsia="Calibri" w:hAnsi="David"/>
            <w:color w:val="0000FF"/>
            <w:u w:val="single"/>
            <w:rtl/>
          </w:rPr>
          <w:t>חוק העונשין</w:t>
        </w:r>
      </w:hyperlink>
      <w:r w:rsidRPr="003775A2">
        <w:rPr>
          <w:rFonts w:ascii="David" w:eastAsia="Calibri" w:hAnsi="David"/>
          <w:rtl/>
        </w:rPr>
        <w:t xml:space="preserve"> בדבר קביעת עונש</w:t>
      </w:r>
      <w:r>
        <w:rPr>
          <w:rFonts w:ascii="David" w:eastAsia="Calibri" w:hAnsi="David" w:hint="cs"/>
          <w:rtl/>
        </w:rPr>
        <w:t>י</w:t>
      </w:r>
      <w:r w:rsidRPr="003775A2">
        <w:rPr>
          <w:rFonts w:ascii="David" w:eastAsia="Calibri" w:hAnsi="David"/>
          <w:rtl/>
        </w:rPr>
        <w:t xml:space="preserve"> מינימום בעבירות נשק</w:t>
      </w:r>
      <w:r w:rsidRPr="003775A2">
        <w:rPr>
          <w:rFonts w:ascii="David" w:eastAsia="Calibri" w:hAnsi="David" w:hint="cs"/>
          <w:rtl/>
        </w:rPr>
        <w:t>,</w:t>
      </w:r>
      <w:r w:rsidRPr="003775A2">
        <w:rPr>
          <w:rFonts w:ascii="David" w:eastAsia="Calibri" w:hAnsi="David"/>
          <w:rtl/>
        </w:rPr>
        <w:t xml:space="preserve"> תיקון שיש בו כדי להצביע על רצון המחוקק והצורך להחמיר בעבירות נשק. בכל הקשור לנסיבות הקשורות בביצוע העבירה, הדגישה כי </w:t>
      </w:r>
      <w:r w:rsidRPr="003775A2">
        <w:rPr>
          <w:rFonts w:ascii="David" w:eastAsia="Calibri" w:hAnsi="David" w:hint="cs"/>
          <w:rtl/>
        </w:rPr>
        <w:t>מ</w:t>
      </w:r>
      <w:r w:rsidRPr="003775A2">
        <w:rPr>
          <w:rFonts w:ascii="David" w:eastAsia="Calibri" w:hAnsi="David"/>
          <w:rtl/>
        </w:rPr>
        <w:t xml:space="preserve">דובר במעשה מתוכנן,  כאשר </w:t>
      </w:r>
      <w:r w:rsidRPr="003775A2">
        <w:rPr>
          <w:rFonts w:ascii="David" w:eastAsia="Calibri" w:hAnsi="David" w:hint="cs"/>
          <w:rtl/>
        </w:rPr>
        <w:t xml:space="preserve">נסיבות </w:t>
      </w:r>
      <w:r w:rsidRPr="003775A2">
        <w:rPr>
          <w:rFonts w:ascii="David" w:eastAsia="Calibri" w:hAnsi="David"/>
          <w:rtl/>
        </w:rPr>
        <w:t xml:space="preserve">ומטרת החזקת הנשק נותרו בערפל. עוד הפנתה </w:t>
      </w:r>
      <w:r w:rsidRPr="003775A2">
        <w:rPr>
          <w:rFonts w:ascii="David" w:eastAsia="Calibri" w:hAnsi="David" w:hint="cs"/>
          <w:rtl/>
        </w:rPr>
        <w:t xml:space="preserve"> לכך ש</w:t>
      </w:r>
      <w:r w:rsidRPr="003775A2">
        <w:rPr>
          <w:rFonts w:ascii="David" w:eastAsia="Calibri" w:hAnsi="David"/>
          <w:rtl/>
        </w:rPr>
        <w:t xml:space="preserve">הנאשם </w:t>
      </w:r>
      <w:r w:rsidRPr="003775A2">
        <w:rPr>
          <w:rFonts w:ascii="David" w:eastAsia="Calibri" w:hAnsi="David" w:hint="cs"/>
          <w:rtl/>
        </w:rPr>
        <w:t>הינו אדם בגיר ולא מתקיימת כל קרבה ל</w:t>
      </w:r>
      <w:r w:rsidRPr="003775A2">
        <w:rPr>
          <w:rFonts w:ascii="David" w:eastAsia="Calibri" w:hAnsi="David"/>
          <w:rtl/>
        </w:rPr>
        <w:t>סייג לאחריות פלילית,</w:t>
      </w:r>
      <w:r w:rsidRPr="003775A2">
        <w:rPr>
          <w:rFonts w:ascii="David" w:eastAsia="Calibri" w:hAnsi="David" w:hint="cs"/>
          <w:rtl/>
        </w:rPr>
        <w:t xml:space="preserve"> הנאשם</w:t>
      </w:r>
      <w:r w:rsidRPr="003775A2">
        <w:rPr>
          <w:rFonts w:ascii="David" w:eastAsia="Calibri" w:hAnsi="David"/>
          <w:rtl/>
        </w:rPr>
        <w:t xml:space="preserve"> הבין היטב את מעשיו והשלכותיהן, לא היה מצוי במצוקה נפשית ולא קדמה למעשיו התגרות. בכל הקשור לנסיבות שאינן קשורות בביצוע העבירה, הפנתה להודאת הנאשם בכתב אישום מתוקן לאחר שנשמעו חלק מהראיות ולעברו הפלילי הכולל הרשעה אחת משנת 2017 בגין עבירה של זיוף סימני רכב. בכל הקשור למדיניות הענישה, הפנתה לפסיקה רלוונטית וטענה למתחם עונש הולם אשר נע בין 2.5 ועד 4.5 שנות מאסר בפועל בצד ענישה נלווית. לאור כל האמור לעיל, ביקשה למקם את עונשו של הנאשם ברף הנמוך בינוני של המתחם לצד מאסר מותנה ארוך ומשמעותי וקנס כספי. בנוסף, המאשימה ביקשה לחלט את הרכב בו בוצעה העבירה, וציינה כי הגם שהרכב רשום על שמה של אשתו של הנאשם, קיימת זיקה משמעותית בין הרכב ל</w:t>
      </w:r>
      <w:r>
        <w:rPr>
          <w:rFonts w:ascii="David" w:eastAsia="Calibri" w:hAnsi="David"/>
          <w:rtl/>
        </w:rPr>
        <w:t>ביצוע העבירה,</w:t>
      </w:r>
      <w:r>
        <w:rPr>
          <w:rFonts w:ascii="David" w:eastAsia="Calibri" w:hAnsi="David" w:hint="cs"/>
          <w:rtl/>
        </w:rPr>
        <w:t xml:space="preserve"> ובין הנאשם לרכב בהיותו המחזיק והמשתמש בו.</w:t>
      </w:r>
    </w:p>
    <w:p w14:paraId="3363C534" w14:textId="77777777" w:rsidR="00B936FD" w:rsidRPr="00F30BFB" w:rsidRDefault="00B936FD" w:rsidP="00B936FD">
      <w:pPr>
        <w:spacing w:after="160" w:line="360" w:lineRule="auto"/>
        <w:ind w:left="360"/>
        <w:contextualSpacing/>
        <w:jc w:val="both"/>
        <w:rPr>
          <w:rFonts w:ascii="David" w:eastAsia="David" w:hAnsi="David"/>
          <w:b/>
          <w:bCs/>
          <w:sz w:val="10"/>
          <w:szCs w:val="10"/>
          <w:u w:val="single"/>
          <w:rtl/>
        </w:rPr>
      </w:pPr>
    </w:p>
    <w:p w14:paraId="15911F54" w14:textId="77777777" w:rsidR="00B936FD" w:rsidRPr="00D01FA0" w:rsidRDefault="00B936FD" w:rsidP="00B936FD">
      <w:pPr>
        <w:spacing w:line="360" w:lineRule="auto"/>
        <w:ind w:left="360"/>
        <w:jc w:val="both"/>
        <w:rPr>
          <w:rFonts w:ascii="David" w:eastAsia="David" w:hAnsi="David"/>
          <w:b/>
          <w:bCs/>
          <w:u w:val="single"/>
          <w:rtl/>
        </w:rPr>
      </w:pPr>
      <w:r>
        <w:rPr>
          <w:rFonts w:ascii="David" w:eastAsia="David" w:hAnsi="David"/>
          <w:b/>
          <w:bCs/>
          <w:u w:val="single"/>
          <w:rtl/>
        </w:rPr>
        <w:t>עיקר טיעוני ה</w:t>
      </w:r>
      <w:r>
        <w:rPr>
          <w:rFonts w:ascii="David" w:eastAsia="David" w:hAnsi="David" w:hint="cs"/>
          <w:b/>
          <w:bCs/>
          <w:u w:val="single"/>
          <w:rtl/>
        </w:rPr>
        <w:t>הגנה לעונש</w:t>
      </w:r>
    </w:p>
    <w:p w14:paraId="7B6B9F45" w14:textId="77777777" w:rsidR="00B936FD" w:rsidRPr="007517E8" w:rsidRDefault="00B936FD" w:rsidP="00B936FD">
      <w:pPr>
        <w:spacing w:line="360" w:lineRule="auto"/>
        <w:ind w:left="360"/>
        <w:jc w:val="both"/>
        <w:rPr>
          <w:rFonts w:ascii="David" w:eastAsia="David" w:hAnsi="David"/>
          <w:b/>
          <w:bCs/>
          <w:sz w:val="12"/>
          <w:szCs w:val="12"/>
          <w:u w:val="single"/>
          <w:rtl/>
        </w:rPr>
      </w:pPr>
    </w:p>
    <w:p w14:paraId="6ACA1E63" w14:textId="77777777" w:rsidR="00B936FD" w:rsidRPr="00D01FA0" w:rsidRDefault="00B936FD" w:rsidP="00B936FD">
      <w:pPr>
        <w:numPr>
          <w:ilvl w:val="0"/>
          <w:numId w:val="1"/>
        </w:numPr>
        <w:spacing w:after="160" w:line="360" w:lineRule="auto"/>
        <w:contextualSpacing/>
        <w:jc w:val="both"/>
        <w:rPr>
          <w:rFonts w:ascii="David" w:eastAsia="Calibri" w:hAnsi="David"/>
        </w:rPr>
      </w:pPr>
      <w:r w:rsidRPr="00D01FA0">
        <w:rPr>
          <w:rFonts w:ascii="David" w:eastAsia="Calibri" w:hAnsi="David"/>
          <w:rtl/>
        </w:rPr>
        <w:t xml:space="preserve">ב"כ </w:t>
      </w:r>
      <w:r>
        <w:rPr>
          <w:rFonts w:ascii="David" w:eastAsia="Calibri" w:hAnsi="David"/>
          <w:rtl/>
        </w:rPr>
        <w:t>הנאשם</w:t>
      </w:r>
      <w:r w:rsidRPr="00D01FA0">
        <w:rPr>
          <w:rFonts w:ascii="David" w:eastAsia="Calibri" w:hAnsi="David"/>
          <w:rtl/>
        </w:rPr>
        <w:t xml:space="preserve"> הפנה להודאתו של הנאשם, לקבלת האחריות, </w:t>
      </w:r>
      <w:r>
        <w:rPr>
          <w:rFonts w:ascii="David" w:eastAsia="Calibri" w:hAnsi="David" w:hint="cs"/>
          <w:rtl/>
        </w:rPr>
        <w:t>ל</w:t>
      </w:r>
      <w:r w:rsidRPr="00D01FA0">
        <w:rPr>
          <w:rFonts w:ascii="David" w:eastAsia="Calibri" w:hAnsi="David"/>
          <w:rtl/>
        </w:rPr>
        <w:t xml:space="preserve">הבעת החרטה, </w:t>
      </w:r>
      <w:r>
        <w:rPr>
          <w:rFonts w:ascii="David" w:eastAsia="Calibri" w:hAnsi="David" w:hint="cs"/>
          <w:rtl/>
        </w:rPr>
        <w:t>ולכך שהפנים את</w:t>
      </w:r>
      <w:r>
        <w:rPr>
          <w:rFonts w:ascii="David" w:eastAsia="Calibri" w:hAnsi="David"/>
          <w:rtl/>
        </w:rPr>
        <w:t xml:space="preserve"> טעותו</w:t>
      </w:r>
      <w:r>
        <w:rPr>
          <w:rFonts w:ascii="David" w:eastAsia="Calibri" w:hAnsi="David" w:hint="cs"/>
          <w:rtl/>
        </w:rPr>
        <w:t>.</w:t>
      </w:r>
      <w:r>
        <w:rPr>
          <w:rFonts w:ascii="David" w:eastAsia="Calibri" w:hAnsi="David"/>
          <w:rtl/>
        </w:rPr>
        <w:t xml:space="preserve"> </w:t>
      </w:r>
      <w:r>
        <w:rPr>
          <w:rFonts w:ascii="David" w:eastAsia="Calibri" w:hAnsi="David" w:hint="cs"/>
          <w:rtl/>
        </w:rPr>
        <w:t>עוד ציין כי הגם שהחלה שמיעת הראיות בתיק,  בהודאתו הנאשם חסך</w:t>
      </w:r>
      <w:r w:rsidRPr="00D01FA0">
        <w:rPr>
          <w:rFonts w:ascii="David" w:eastAsia="Calibri" w:hAnsi="David"/>
          <w:rtl/>
        </w:rPr>
        <w:t xml:space="preserve"> בזמן שיפוטי יקר </w:t>
      </w:r>
      <w:r>
        <w:rPr>
          <w:rFonts w:ascii="David" w:eastAsia="Calibri" w:hAnsi="David" w:hint="cs"/>
          <w:rtl/>
        </w:rPr>
        <w:t xml:space="preserve"> מה בפרט שמרבית הראיות </w:t>
      </w:r>
      <w:r w:rsidRPr="00D01FA0">
        <w:rPr>
          <w:rFonts w:ascii="David" w:eastAsia="Calibri" w:hAnsi="David"/>
          <w:rtl/>
        </w:rPr>
        <w:t xml:space="preserve"> הוגשו ב</w:t>
      </w:r>
      <w:r>
        <w:rPr>
          <w:rFonts w:ascii="David" w:eastAsia="Calibri" w:hAnsi="David" w:hint="cs"/>
          <w:rtl/>
        </w:rPr>
        <w:t>ה</w:t>
      </w:r>
      <w:r w:rsidRPr="00D01FA0">
        <w:rPr>
          <w:rFonts w:ascii="David" w:eastAsia="Calibri" w:hAnsi="David"/>
          <w:rtl/>
        </w:rPr>
        <w:t>סכמה. בכל הקשור לנסיבות ביצוע העבירה, ומבלי להמעיט מח</w:t>
      </w:r>
      <w:r>
        <w:rPr>
          <w:rFonts w:ascii="David" w:eastAsia="Calibri" w:hAnsi="David"/>
          <w:rtl/>
        </w:rPr>
        <w:t>ומרת</w:t>
      </w:r>
      <w:r>
        <w:rPr>
          <w:rFonts w:ascii="David" w:eastAsia="Calibri" w:hAnsi="David" w:hint="cs"/>
          <w:rtl/>
        </w:rPr>
        <w:t xml:space="preserve">ה </w:t>
      </w:r>
      <w:r w:rsidRPr="00D01FA0">
        <w:rPr>
          <w:rFonts w:ascii="David" w:eastAsia="Calibri" w:hAnsi="David"/>
          <w:rtl/>
        </w:rPr>
        <w:t xml:space="preserve">ציין כי </w:t>
      </w:r>
      <w:r>
        <w:rPr>
          <w:rFonts w:ascii="David" w:eastAsia="Calibri" w:hAnsi="David" w:hint="cs"/>
          <w:rtl/>
        </w:rPr>
        <w:t>לא קיימת נסיבה</w:t>
      </w:r>
      <w:r w:rsidRPr="00D01FA0">
        <w:rPr>
          <w:rFonts w:ascii="David" w:eastAsia="Calibri" w:hAnsi="David"/>
          <w:rtl/>
        </w:rPr>
        <w:t xml:space="preserve"> מחמירה, לא בפן האישי ולא בפן המשפחתי, שכן מדובר בנאשם שאינו נמנה על משפחת פשע, אין אינדיקציה לכך כי הנשק הוחזק למטרות עבריינות, כאשר זה נרכש דקות ספורות לפני התפיסה, קרי, מדובר בהחזקה </w:t>
      </w:r>
      <w:r>
        <w:rPr>
          <w:rFonts w:ascii="David" w:eastAsia="Calibri" w:hAnsi="David" w:hint="cs"/>
          <w:rtl/>
        </w:rPr>
        <w:t xml:space="preserve">לפרק זמן קצר </w:t>
      </w:r>
      <w:r w:rsidRPr="00D01FA0">
        <w:rPr>
          <w:rFonts w:ascii="David" w:eastAsia="Calibri" w:hAnsi="David"/>
          <w:rtl/>
        </w:rPr>
        <w:t>כשהוא עטוף בניילון עם מחסנית ריקה,</w:t>
      </w:r>
      <w:r>
        <w:rPr>
          <w:rFonts w:ascii="David" w:eastAsia="Calibri" w:hAnsi="David" w:hint="cs"/>
          <w:rtl/>
        </w:rPr>
        <w:t xml:space="preserve"> </w:t>
      </w:r>
      <w:r w:rsidRPr="00D01FA0">
        <w:rPr>
          <w:rFonts w:ascii="David" w:eastAsia="Calibri" w:hAnsi="David"/>
          <w:rtl/>
        </w:rPr>
        <w:t xml:space="preserve"> לא טעון וללא כדורים </w:t>
      </w:r>
      <w:r>
        <w:rPr>
          <w:rFonts w:ascii="David" w:eastAsia="Calibri" w:hAnsi="David" w:hint="cs"/>
          <w:rtl/>
        </w:rPr>
        <w:t>כך שלא היה מוכן לשימוש מידי, ו</w:t>
      </w:r>
      <w:r w:rsidRPr="00D01FA0">
        <w:rPr>
          <w:rFonts w:ascii="David" w:eastAsia="Calibri" w:hAnsi="David"/>
          <w:rtl/>
        </w:rPr>
        <w:t>בהתאם מדובר ברף החומרה הנמוך ביחס לעבירה</w:t>
      </w:r>
      <w:r>
        <w:rPr>
          <w:rFonts w:ascii="David" w:eastAsia="Calibri" w:hAnsi="David" w:hint="cs"/>
          <w:rtl/>
        </w:rPr>
        <w:t xml:space="preserve"> של </w:t>
      </w:r>
      <w:r>
        <w:rPr>
          <w:rFonts w:ascii="David" w:eastAsia="Calibri" w:hAnsi="David" w:hint="cs"/>
          <w:rtl/>
        </w:rPr>
        <w:lastRenderedPageBreak/>
        <w:t>החזקת נשק</w:t>
      </w:r>
      <w:r w:rsidRPr="00D01FA0">
        <w:rPr>
          <w:rFonts w:ascii="David" w:eastAsia="Calibri" w:hAnsi="David"/>
          <w:rtl/>
        </w:rPr>
        <w:t>. בכל הקשור לתיקון 140 ל</w:t>
      </w:r>
      <w:hyperlink r:id="rId21" w:history="1">
        <w:r w:rsidR="00A369AF" w:rsidRPr="00A369AF">
          <w:rPr>
            <w:rFonts w:ascii="David" w:eastAsia="Calibri" w:hAnsi="David"/>
            <w:color w:val="0000FF"/>
            <w:u w:val="single"/>
            <w:rtl/>
          </w:rPr>
          <w:t>חוק העונשין</w:t>
        </w:r>
      </w:hyperlink>
      <w:r w:rsidRPr="00D01FA0">
        <w:rPr>
          <w:rFonts w:ascii="David" w:eastAsia="Calibri" w:hAnsi="David"/>
          <w:rtl/>
        </w:rPr>
        <w:t xml:space="preserve">, ציין כי עונשי מינימום כוללים גם מאסרים מותנים, ואין חובה שכל התקופה תהיה בדרך של מאסר בפועל, </w:t>
      </w:r>
      <w:r>
        <w:rPr>
          <w:rFonts w:ascii="David" w:eastAsia="Calibri" w:hAnsi="David" w:hint="cs"/>
          <w:rtl/>
        </w:rPr>
        <w:t xml:space="preserve"> ונכון במקרה זה </w:t>
      </w:r>
      <w:r w:rsidRPr="00D01FA0">
        <w:rPr>
          <w:rFonts w:ascii="David" w:eastAsia="Calibri" w:hAnsi="David"/>
          <w:rtl/>
        </w:rPr>
        <w:t xml:space="preserve">להגדיל את תקופת המאסר המותנה </w:t>
      </w:r>
      <w:r>
        <w:rPr>
          <w:rFonts w:ascii="David" w:eastAsia="Calibri" w:hAnsi="David" w:hint="cs"/>
          <w:rtl/>
        </w:rPr>
        <w:t xml:space="preserve">על חשבון </w:t>
      </w:r>
      <w:r>
        <w:rPr>
          <w:rFonts w:ascii="David" w:eastAsia="Calibri" w:hAnsi="David"/>
          <w:rtl/>
        </w:rPr>
        <w:t xml:space="preserve">תקופת המאסר בפועל. </w:t>
      </w:r>
      <w:r>
        <w:rPr>
          <w:rFonts w:ascii="David" w:eastAsia="Calibri" w:hAnsi="David" w:hint="cs"/>
          <w:rtl/>
        </w:rPr>
        <w:t>אשר ל</w:t>
      </w:r>
      <w:r w:rsidRPr="00D01FA0">
        <w:rPr>
          <w:rFonts w:ascii="David" w:eastAsia="Calibri" w:hAnsi="David"/>
          <w:rtl/>
        </w:rPr>
        <w:t xml:space="preserve">מדיניות הענישה, </w:t>
      </w:r>
      <w:r>
        <w:rPr>
          <w:rFonts w:ascii="David" w:eastAsia="Calibri" w:hAnsi="David" w:hint="cs"/>
          <w:rtl/>
        </w:rPr>
        <w:t xml:space="preserve">ביקש לאבחן את פסיקת </w:t>
      </w:r>
      <w:r w:rsidRPr="00D01FA0">
        <w:rPr>
          <w:rFonts w:ascii="David" w:eastAsia="Calibri" w:hAnsi="David"/>
          <w:rtl/>
        </w:rPr>
        <w:t xml:space="preserve">המאשימה, הפנה לפסיקה </w:t>
      </w:r>
      <w:r>
        <w:rPr>
          <w:rFonts w:ascii="David" w:eastAsia="Calibri" w:hAnsi="David" w:hint="cs"/>
          <w:rtl/>
        </w:rPr>
        <w:t xml:space="preserve">אחרת </w:t>
      </w:r>
      <w:r w:rsidRPr="00D01FA0">
        <w:rPr>
          <w:rFonts w:ascii="David" w:eastAsia="Calibri" w:hAnsi="David"/>
          <w:rtl/>
        </w:rPr>
        <w:t xml:space="preserve">וטען למתחם עונש הולם </w:t>
      </w:r>
      <w:r>
        <w:rPr>
          <w:rFonts w:ascii="David" w:eastAsia="Calibri" w:hAnsi="David" w:hint="cs"/>
          <w:rtl/>
        </w:rPr>
        <w:t xml:space="preserve">שבין 8-18 </w:t>
      </w:r>
      <w:r w:rsidRPr="00D01FA0">
        <w:rPr>
          <w:rFonts w:ascii="David" w:eastAsia="Calibri" w:hAnsi="David"/>
          <w:rtl/>
        </w:rPr>
        <w:t xml:space="preserve">חודשי </w:t>
      </w:r>
      <w:r>
        <w:rPr>
          <w:rFonts w:ascii="David" w:eastAsia="Calibri" w:hAnsi="David"/>
          <w:rtl/>
        </w:rPr>
        <w:t>מאסר בפועל. לאור כל האמור לעיל</w:t>
      </w:r>
      <w:r>
        <w:rPr>
          <w:rFonts w:ascii="David" w:eastAsia="Calibri" w:hAnsi="David" w:hint="cs"/>
          <w:rtl/>
        </w:rPr>
        <w:t xml:space="preserve"> </w:t>
      </w:r>
      <w:r w:rsidRPr="00D01FA0">
        <w:rPr>
          <w:rFonts w:ascii="David" w:eastAsia="Calibri" w:hAnsi="David"/>
          <w:rtl/>
        </w:rPr>
        <w:t>ביקש למקם את עונש</w:t>
      </w:r>
      <w:r>
        <w:rPr>
          <w:rFonts w:ascii="David" w:eastAsia="Calibri" w:hAnsi="David"/>
          <w:rtl/>
        </w:rPr>
        <w:t>ו של הנאשם ברף התחתון של המתחם</w:t>
      </w:r>
      <w:r>
        <w:rPr>
          <w:rFonts w:ascii="David" w:eastAsia="Calibri" w:hAnsi="David" w:hint="cs"/>
          <w:rtl/>
        </w:rPr>
        <w:t xml:space="preserve"> ו</w:t>
      </w:r>
      <w:r w:rsidRPr="00D01FA0">
        <w:rPr>
          <w:rFonts w:ascii="David" w:eastAsia="Calibri" w:hAnsi="David"/>
          <w:rtl/>
        </w:rPr>
        <w:t xml:space="preserve">להטיל על הנאשם קנס מתון הנע בין 3000 ועד 4000 ₪. בכל הקשור לעתירת המאשימה </w:t>
      </w:r>
      <w:r>
        <w:rPr>
          <w:rFonts w:ascii="David" w:eastAsia="Calibri" w:hAnsi="David" w:hint="cs"/>
          <w:rtl/>
        </w:rPr>
        <w:t xml:space="preserve">לחילוט </w:t>
      </w:r>
      <w:r w:rsidRPr="00D01FA0">
        <w:rPr>
          <w:rFonts w:ascii="David" w:eastAsia="Calibri" w:hAnsi="David"/>
          <w:rtl/>
        </w:rPr>
        <w:t xml:space="preserve">הרכב בו בוצעה העבירה, ציין כי מדובר ברכב </w:t>
      </w:r>
      <w:r>
        <w:rPr>
          <w:rFonts w:ascii="David" w:eastAsia="Calibri" w:hAnsi="David" w:hint="cs"/>
          <w:rtl/>
        </w:rPr>
        <w:t xml:space="preserve">השייך </w:t>
      </w:r>
      <w:r w:rsidRPr="00D01FA0">
        <w:rPr>
          <w:rFonts w:ascii="David" w:eastAsia="Calibri" w:hAnsi="David"/>
          <w:rtl/>
        </w:rPr>
        <w:t xml:space="preserve">לאשת הנאשם אשר נרכש </w:t>
      </w:r>
      <w:r>
        <w:rPr>
          <w:rFonts w:ascii="David" w:eastAsia="Calibri" w:hAnsi="David" w:hint="cs"/>
          <w:rtl/>
        </w:rPr>
        <w:t xml:space="preserve">על ידה </w:t>
      </w:r>
      <w:r w:rsidRPr="00D01FA0">
        <w:rPr>
          <w:rFonts w:ascii="David" w:eastAsia="Calibri" w:hAnsi="David"/>
          <w:rtl/>
        </w:rPr>
        <w:t>טרם נישואיה, כך</w:t>
      </w:r>
      <w:r>
        <w:rPr>
          <w:rFonts w:ascii="David" w:eastAsia="Calibri" w:hAnsi="David"/>
          <w:rtl/>
        </w:rPr>
        <w:t xml:space="preserve"> שלא מדובר ברישום בעלות פיקטיבי</w:t>
      </w:r>
      <w:r>
        <w:rPr>
          <w:rFonts w:ascii="David" w:eastAsia="Calibri" w:hAnsi="David" w:hint="cs"/>
          <w:rtl/>
        </w:rPr>
        <w:t xml:space="preserve">. עוד </w:t>
      </w:r>
      <w:r w:rsidRPr="00D01FA0">
        <w:rPr>
          <w:rFonts w:ascii="David" w:eastAsia="Calibri" w:hAnsi="David"/>
          <w:rtl/>
        </w:rPr>
        <w:t xml:space="preserve"> ציין כי הרכב נלקח על ידי הנאשם </w:t>
      </w:r>
      <w:r>
        <w:rPr>
          <w:rFonts w:ascii="David" w:eastAsia="Calibri" w:hAnsi="David"/>
          <w:rtl/>
        </w:rPr>
        <w:t>בזמן שא</w:t>
      </w:r>
      <w:r w:rsidRPr="00D01FA0">
        <w:rPr>
          <w:rFonts w:ascii="David" w:eastAsia="Calibri" w:hAnsi="David"/>
          <w:rtl/>
        </w:rPr>
        <w:t>שתו חזרה מעבודתה וישנה</w:t>
      </w:r>
      <w:r>
        <w:rPr>
          <w:rFonts w:ascii="David" w:eastAsia="Calibri" w:hAnsi="David" w:hint="cs"/>
          <w:rtl/>
        </w:rPr>
        <w:t xml:space="preserve">, </w:t>
      </w:r>
      <w:r>
        <w:rPr>
          <w:rFonts w:ascii="David" w:eastAsia="Calibri" w:hAnsi="David"/>
          <w:rtl/>
        </w:rPr>
        <w:t>לא</w:t>
      </w:r>
      <w:r>
        <w:rPr>
          <w:rFonts w:ascii="David" w:eastAsia="Calibri" w:hAnsi="David" w:hint="cs"/>
          <w:rtl/>
        </w:rPr>
        <w:t xml:space="preserve"> ידעה ולא יכולה הייתה לדעת את מטרת הנסיעה, </w:t>
      </w:r>
      <w:r w:rsidRPr="00D01FA0">
        <w:rPr>
          <w:rFonts w:ascii="David" w:eastAsia="Calibri" w:hAnsi="David"/>
          <w:rtl/>
        </w:rPr>
        <w:t>מה בפרט שמדובר בפעם הראשונה בה הנאשם מעורב בעבירות נשק. הדגיש</w:t>
      </w:r>
      <w:r>
        <w:rPr>
          <w:rFonts w:ascii="David" w:eastAsia="Calibri" w:hAnsi="David"/>
          <w:rtl/>
        </w:rPr>
        <w:t xml:space="preserve"> את הנזק הנפשי והכלכלי שנגרם לא</w:t>
      </w:r>
      <w:r w:rsidRPr="00D01FA0">
        <w:rPr>
          <w:rFonts w:ascii="David" w:eastAsia="Calibri" w:hAnsi="David"/>
          <w:rtl/>
        </w:rPr>
        <w:t xml:space="preserve">שתו של הנאשם, העובדה כי איבדה את מקום עבודתה, וכי לא קיבלה קצבה מהביטוח הלאומי בהיותה בעלת רכב.  </w:t>
      </w:r>
      <w:r>
        <w:rPr>
          <w:rFonts w:ascii="David" w:eastAsia="Calibri" w:hAnsi="David" w:hint="cs"/>
          <w:rtl/>
        </w:rPr>
        <w:t>בנסיבות אלו נטען כי חילוט הרכב אינו מידתי ופוגע בזכויות הקניין של אשת הנאשם שהיא בעלת הרכב.</w:t>
      </w:r>
      <w:r w:rsidRPr="00D01FA0">
        <w:rPr>
          <w:rFonts w:ascii="David" w:eastAsia="Calibri" w:hAnsi="David"/>
          <w:rtl/>
        </w:rPr>
        <w:t xml:space="preserve"> </w:t>
      </w:r>
    </w:p>
    <w:p w14:paraId="66FCB3C6" w14:textId="77777777" w:rsidR="00B936FD" w:rsidRPr="007517E8" w:rsidRDefault="00B936FD" w:rsidP="00B936FD">
      <w:pPr>
        <w:spacing w:line="360" w:lineRule="auto"/>
        <w:contextualSpacing/>
        <w:jc w:val="both"/>
        <w:rPr>
          <w:rFonts w:ascii="David" w:eastAsia="Calibri" w:hAnsi="David"/>
          <w:sz w:val="8"/>
          <w:szCs w:val="8"/>
        </w:rPr>
      </w:pPr>
    </w:p>
    <w:p w14:paraId="07899DDB" w14:textId="77777777" w:rsidR="00B936FD" w:rsidRPr="000F14E2" w:rsidRDefault="00B936FD" w:rsidP="00B936FD">
      <w:pPr>
        <w:pStyle w:val="a9"/>
        <w:numPr>
          <w:ilvl w:val="0"/>
          <w:numId w:val="1"/>
        </w:numPr>
        <w:spacing w:line="360" w:lineRule="auto"/>
        <w:jc w:val="both"/>
        <w:rPr>
          <w:rFonts w:ascii="David" w:eastAsia="Calibri" w:hAnsi="David"/>
        </w:rPr>
      </w:pPr>
      <w:r w:rsidRPr="000F14E2">
        <w:rPr>
          <w:rFonts w:ascii="David" w:eastAsia="Calibri" w:hAnsi="David"/>
          <w:rtl/>
        </w:rPr>
        <w:t>העידה</w:t>
      </w:r>
      <w:r>
        <w:rPr>
          <w:rFonts w:ascii="David" w:eastAsia="Calibri" w:hAnsi="David"/>
          <w:rtl/>
        </w:rPr>
        <w:t xml:space="preserve"> גב' אלאא זועבי, אישתו של הנאשם</w:t>
      </w:r>
      <w:r>
        <w:rPr>
          <w:rFonts w:ascii="David" w:eastAsia="Calibri" w:hAnsi="David" w:hint="cs"/>
          <w:rtl/>
        </w:rPr>
        <w:t xml:space="preserve"> ש</w:t>
      </w:r>
      <w:r w:rsidRPr="000F14E2">
        <w:rPr>
          <w:rFonts w:ascii="David" w:eastAsia="Calibri" w:hAnsi="David"/>
          <w:rtl/>
        </w:rPr>
        <w:t xml:space="preserve">ביקשה להחזיר את הרכב בו בוצעה העבירה, </w:t>
      </w:r>
      <w:r>
        <w:rPr>
          <w:rFonts w:ascii="David" w:eastAsia="Calibri" w:hAnsi="David" w:hint="cs"/>
          <w:rtl/>
        </w:rPr>
        <w:t>והעידה כי הרכב נ</w:t>
      </w:r>
      <w:r w:rsidRPr="000F14E2">
        <w:rPr>
          <w:rFonts w:ascii="David" w:eastAsia="Calibri" w:hAnsi="David"/>
          <w:rtl/>
        </w:rPr>
        <w:t>רכש טרם נישואיה</w:t>
      </w:r>
      <w:r>
        <w:rPr>
          <w:rFonts w:ascii="David" w:eastAsia="Calibri" w:hAnsi="David" w:hint="cs"/>
          <w:rtl/>
        </w:rPr>
        <w:t xml:space="preserve"> עם</w:t>
      </w:r>
      <w:r w:rsidRPr="000F14E2">
        <w:rPr>
          <w:rFonts w:ascii="David" w:eastAsia="Calibri" w:hAnsi="David"/>
          <w:rtl/>
        </w:rPr>
        <w:t xml:space="preserve"> הנאשם והיא המשתמשת העיקרית בו. הפנתה לנסיבותיה האישיות, </w:t>
      </w:r>
      <w:r>
        <w:rPr>
          <w:rFonts w:ascii="David" w:eastAsia="Calibri" w:hAnsi="David" w:hint="cs"/>
          <w:rtl/>
        </w:rPr>
        <w:t>ל</w:t>
      </w:r>
      <w:r w:rsidRPr="000F14E2">
        <w:rPr>
          <w:rFonts w:ascii="David" w:eastAsia="Calibri" w:hAnsi="David"/>
          <w:rtl/>
        </w:rPr>
        <w:t xml:space="preserve">טיפולי </w:t>
      </w:r>
      <w:r>
        <w:rPr>
          <w:rFonts w:ascii="David" w:eastAsia="Calibri" w:hAnsi="David" w:hint="cs"/>
          <w:rtl/>
        </w:rPr>
        <w:t>ה</w:t>
      </w:r>
      <w:r>
        <w:rPr>
          <w:rFonts w:ascii="David" w:eastAsia="Calibri" w:hAnsi="David"/>
          <w:rtl/>
        </w:rPr>
        <w:t>פוריות</w:t>
      </w:r>
      <w:r>
        <w:rPr>
          <w:rFonts w:ascii="David" w:eastAsia="Calibri" w:hAnsi="David" w:hint="cs"/>
          <w:rtl/>
        </w:rPr>
        <w:t>, ה</w:t>
      </w:r>
      <w:r w:rsidRPr="000F14E2">
        <w:rPr>
          <w:rFonts w:ascii="David" w:eastAsia="Calibri" w:hAnsi="David"/>
          <w:rtl/>
        </w:rPr>
        <w:t>עזרה והתמיכה אותם הנאשם מעניק לה ול</w:t>
      </w:r>
      <w:r>
        <w:rPr>
          <w:rFonts w:ascii="David" w:eastAsia="Calibri" w:hAnsi="David"/>
          <w:rtl/>
        </w:rPr>
        <w:t>משפח</w:t>
      </w:r>
      <w:r>
        <w:rPr>
          <w:rFonts w:ascii="David" w:eastAsia="Calibri" w:hAnsi="David" w:hint="cs"/>
          <w:rtl/>
        </w:rPr>
        <w:t>תה</w:t>
      </w:r>
      <w:r w:rsidRPr="000F14E2">
        <w:rPr>
          <w:rFonts w:ascii="David" w:eastAsia="Calibri" w:hAnsi="David"/>
          <w:rtl/>
        </w:rPr>
        <w:t xml:space="preserve">. הביעה סלידה ממעשיו של הנאשם, עם זאת ציינה כי </w:t>
      </w:r>
      <w:r>
        <w:rPr>
          <w:rFonts w:ascii="David" w:eastAsia="Calibri" w:hAnsi="David" w:hint="cs"/>
          <w:rtl/>
        </w:rPr>
        <w:t xml:space="preserve">הוא </w:t>
      </w:r>
      <w:r w:rsidRPr="000F14E2">
        <w:rPr>
          <w:rFonts w:ascii="David" w:eastAsia="Calibri" w:hAnsi="David"/>
          <w:rtl/>
        </w:rPr>
        <w:t xml:space="preserve">הביע בפניה חרטה כנה ועמוקה. הדגישה את המחיר הכבד שהמשפחה שילמה בעקבות מעשיו של הנאשם. ביקשה להתחשב בו, </w:t>
      </w:r>
      <w:r>
        <w:rPr>
          <w:rFonts w:ascii="David" w:eastAsia="Calibri" w:hAnsi="David" w:hint="cs"/>
          <w:rtl/>
        </w:rPr>
        <w:t>ו</w:t>
      </w:r>
      <w:r w:rsidRPr="000F14E2">
        <w:rPr>
          <w:rFonts w:ascii="David" w:eastAsia="Calibri" w:hAnsi="David"/>
          <w:rtl/>
        </w:rPr>
        <w:t xml:space="preserve">לאפשר לו לחזור </w:t>
      </w:r>
      <w:r>
        <w:rPr>
          <w:rFonts w:ascii="David" w:eastAsia="Calibri" w:hAnsi="David" w:hint="cs"/>
          <w:rtl/>
        </w:rPr>
        <w:t>ל</w:t>
      </w:r>
      <w:r w:rsidRPr="000F14E2">
        <w:rPr>
          <w:rFonts w:ascii="David" w:eastAsia="Calibri" w:hAnsi="David"/>
          <w:rtl/>
        </w:rPr>
        <w:t xml:space="preserve">חיים נורמטיביים. </w:t>
      </w:r>
    </w:p>
    <w:p w14:paraId="457995C0" w14:textId="77777777" w:rsidR="00B936FD" w:rsidRPr="007517E8" w:rsidRDefault="00B936FD" w:rsidP="00B936FD">
      <w:pPr>
        <w:spacing w:line="360" w:lineRule="auto"/>
        <w:ind w:left="720"/>
        <w:contextualSpacing/>
        <w:jc w:val="both"/>
        <w:rPr>
          <w:rFonts w:ascii="David" w:eastAsia="Calibri" w:hAnsi="David"/>
          <w:sz w:val="12"/>
          <w:szCs w:val="12"/>
        </w:rPr>
      </w:pPr>
    </w:p>
    <w:p w14:paraId="6472D39E" w14:textId="77777777" w:rsidR="00B936FD" w:rsidRPr="00BD7D0E" w:rsidRDefault="00B936FD" w:rsidP="00B936FD">
      <w:pPr>
        <w:pStyle w:val="a9"/>
        <w:numPr>
          <w:ilvl w:val="0"/>
          <w:numId w:val="1"/>
        </w:numPr>
        <w:spacing w:line="360" w:lineRule="auto"/>
        <w:jc w:val="both"/>
        <w:rPr>
          <w:rFonts w:ascii="David" w:eastAsia="Calibri" w:hAnsi="David"/>
        </w:rPr>
      </w:pPr>
      <w:r w:rsidRPr="00BD7D0E">
        <w:rPr>
          <w:rFonts w:ascii="David" w:eastAsia="Calibri" w:hAnsi="David"/>
          <w:rtl/>
        </w:rPr>
        <w:t>העידה, ג</w:t>
      </w:r>
      <w:r>
        <w:rPr>
          <w:rFonts w:ascii="David" w:eastAsia="Calibri" w:hAnsi="David"/>
          <w:rtl/>
        </w:rPr>
        <w:t>ב' סאידה סילאווי, חמתו של הנאשם</w:t>
      </w:r>
      <w:r>
        <w:rPr>
          <w:rFonts w:ascii="David" w:eastAsia="Calibri" w:hAnsi="David" w:hint="cs"/>
          <w:rtl/>
        </w:rPr>
        <w:t xml:space="preserve"> ש</w:t>
      </w:r>
      <w:r w:rsidRPr="00BD7D0E">
        <w:rPr>
          <w:rFonts w:ascii="David" w:eastAsia="Calibri" w:hAnsi="David"/>
          <w:rtl/>
        </w:rPr>
        <w:t xml:space="preserve">ביקשה לאפשר לנאשם </w:t>
      </w:r>
      <w:r>
        <w:rPr>
          <w:rFonts w:ascii="David" w:eastAsia="Calibri" w:hAnsi="David"/>
          <w:rtl/>
        </w:rPr>
        <w:t>לחזור לא</w:t>
      </w:r>
      <w:r w:rsidRPr="00BD7D0E">
        <w:rPr>
          <w:rFonts w:ascii="David" w:eastAsia="Calibri" w:hAnsi="David"/>
          <w:rtl/>
        </w:rPr>
        <w:t>שתו ולמשפחתו וקיוותה שתזכה לראותם כהורים לילדי</w:t>
      </w:r>
      <w:r>
        <w:rPr>
          <w:rFonts w:ascii="David" w:eastAsia="Calibri" w:hAnsi="David"/>
          <w:rtl/>
        </w:rPr>
        <w:t>ם. הפנתה למצבה הנפשי הירוד של א</w:t>
      </w:r>
      <w:r w:rsidRPr="00BD7D0E">
        <w:rPr>
          <w:rFonts w:ascii="David" w:eastAsia="Calibri" w:hAnsi="David"/>
          <w:rtl/>
        </w:rPr>
        <w:t>שתו של הנ</w:t>
      </w:r>
      <w:r>
        <w:rPr>
          <w:rFonts w:ascii="David" w:eastAsia="Calibri" w:hAnsi="David"/>
          <w:rtl/>
        </w:rPr>
        <w:t xml:space="preserve">אשם ועל העזרה שהיא קיבלה </w:t>
      </w:r>
      <w:r>
        <w:rPr>
          <w:rFonts w:ascii="David" w:eastAsia="Calibri" w:hAnsi="David" w:hint="cs"/>
          <w:rtl/>
        </w:rPr>
        <w:t xml:space="preserve">מהם, </w:t>
      </w:r>
      <w:r w:rsidRPr="00BD7D0E">
        <w:rPr>
          <w:rFonts w:ascii="David" w:eastAsia="Calibri" w:hAnsi="David"/>
          <w:rtl/>
        </w:rPr>
        <w:t xml:space="preserve">ואת הקושי </w:t>
      </w:r>
      <w:r>
        <w:rPr>
          <w:rFonts w:ascii="David" w:eastAsia="Calibri" w:hAnsi="David" w:hint="cs"/>
          <w:rtl/>
        </w:rPr>
        <w:t xml:space="preserve">הרב </w:t>
      </w:r>
      <w:r w:rsidRPr="00BD7D0E">
        <w:rPr>
          <w:rFonts w:ascii="David" w:eastAsia="Calibri" w:hAnsi="David"/>
          <w:rtl/>
        </w:rPr>
        <w:t>בעקבות מעצרו של הנאשם. ביקשה להתחשב בנאשם ול</w:t>
      </w:r>
      <w:r>
        <w:rPr>
          <w:rFonts w:ascii="David" w:eastAsia="Calibri" w:hAnsi="David" w:hint="cs"/>
          <w:rtl/>
        </w:rPr>
        <w:t>אפשר לו ל</w:t>
      </w:r>
      <w:r w:rsidRPr="00BD7D0E">
        <w:rPr>
          <w:rFonts w:ascii="David" w:eastAsia="Calibri" w:hAnsi="David"/>
          <w:rtl/>
        </w:rPr>
        <w:t xml:space="preserve">חזור לחיים נורמטיביים. </w:t>
      </w:r>
    </w:p>
    <w:p w14:paraId="242D51AE" w14:textId="77777777" w:rsidR="00B936FD" w:rsidRPr="00D01FA0" w:rsidRDefault="00B936FD" w:rsidP="00B936FD">
      <w:pPr>
        <w:spacing w:line="360" w:lineRule="auto"/>
        <w:contextualSpacing/>
        <w:jc w:val="both"/>
        <w:rPr>
          <w:rFonts w:ascii="David" w:eastAsia="Calibri" w:hAnsi="David"/>
        </w:rPr>
      </w:pPr>
    </w:p>
    <w:p w14:paraId="79A34EA8" w14:textId="77777777" w:rsidR="00B936FD" w:rsidRDefault="00B936FD" w:rsidP="00B936FD">
      <w:pPr>
        <w:pStyle w:val="a9"/>
        <w:numPr>
          <w:ilvl w:val="0"/>
          <w:numId w:val="1"/>
        </w:numPr>
        <w:spacing w:line="360" w:lineRule="auto"/>
        <w:jc w:val="both"/>
        <w:rPr>
          <w:rFonts w:ascii="David" w:eastAsia="Calibri" w:hAnsi="David"/>
        </w:rPr>
      </w:pPr>
      <w:r w:rsidRPr="00BD7D0E">
        <w:rPr>
          <w:rFonts w:ascii="David" w:eastAsia="Calibri" w:hAnsi="David"/>
          <w:rtl/>
        </w:rPr>
        <w:t>הנאשם עצמו הודה בביצוע העבירה, לקח אחריות על ביצועה, הביע חרטה, טען כי הפנים את טעותו ו</w:t>
      </w:r>
      <w:r w:rsidRPr="00BD7D0E">
        <w:rPr>
          <w:rFonts w:ascii="David" w:eastAsia="Calibri" w:hAnsi="David" w:hint="cs"/>
          <w:rtl/>
        </w:rPr>
        <w:t>כל רצונו להקים משפחה עם אשתו</w:t>
      </w:r>
      <w:r w:rsidRPr="00BD7D0E">
        <w:rPr>
          <w:rFonts w:ascii="David" w:eastAsia="Calibri" w:hAnsi="David"/>
          <w:rtl/>
        </w:rPr>
        <w:t xml:space="preserve">. </w:t>
      </w:r>
      <w:r w:rsidRPr="00BD7D0E">
        <w:rPr>
          <w:rFonts w:ascii="David" w:eastAsia="Calibri" w:hAnsi="David" w:hint="cs"/>
          <w:rtl/>
        </w:rPr>
        <w:t>עו</w:t>
      </w:r>
      <w:r>
        <w:rPr>
          <w:rFonts w:ascii="David" w:eastAsia="Calibri" w:hAnsi="David" w:hint="cs"/>
          <w:rtl/>
        </w:rPr>
        <w:t>ד</w:t>
      </w:r>
      <w:r w:rsidRPr="00BD7D0E">
        <w:rPr>
          <w:rFonts w:ascii="David" w:eastAsia="Calibri" w:hAnsi="David" w:hint="cs"/>
          <w:rtl/>
        </w:rPr>
        <w:t xml:space="preserve"> </w:t>
      </w:r>
      <w:r w:rsidRPr="00BD7D0E">
        <w:rPr>
          <w:rFonts w:ascii="David" w:eastAsia="Calibri" w:hAnsi="David"/>
          <w:rtl/>
        </w:rPr>
        <w:t xml:space="preserve">ציין כי אשתו לא הייתה מודעת </w:t>
      </w:r>
      <w:r>
        <w:rPr>
          <w:rFonts w:ascii="David" w:eastAsia="Calibri" w:hAnsi="David" w:hint="cs"/>
          <w:rtl/>
        </w:rPr>
        <w:t>למעשיו.</w:t>
      </w:r>
    </w:p>
    <w:p w14:paraId="090D8A0E" w14:textId="77777777" w:rsidR="00B936FD" w:rsidRPr="007225DA" w:rsidRDefault="00B936FD" w:rsidP="00B936FD">
      <w:pPr>
        <w:pStyle w:val="a9"/>
        <w:rPr>
          <w:rFonts w:ascii="David" w:eastAsia="Calibri" w:hAnsi="David"/>
          <w:rtl/>
        </w:rPr>
      </w:pPr>
    </w:p>
    <w:p w14:paraId="6775FAD9" w14:textId="77777777" w:rsidR="00B936FD" w:rsidRPr="00D01FA0" w:rsidRDefault="00B936FD" w:rsidP="00B936FD">
      <w:pPr>
        <w:spacing w:after="160" w:line="360" w:lineRule="auto"/>
        <w:ind w:left="391"/>
        <w:contextualSpacing/>
        <w:jc w:val="both"/>
        <w:rPr>
          <w:rFonts w:ascii="David" w:eastAsia="David" w:hAnsi="David"/>
          <w:b/>
          <w:bCs/>
          <w:u w:val="single"/>
        </w:rPr>
      </w:pPr>
      <w:r w:rsidRPr="00D01FA0">
        <w:rPr>
          <w:rFonts w:ascii="David" w:eastAsia="David" w:hAnsi="David"/>
          <w:b/>
          <w:bCs/>
          <w:u w:val="single"/>
          <w:rtl/>
        </w:rPr>
        <w:t>דיון</w:t>
      </w:r>
    </w:p>
    <w:p w14:paraId="342546C7" w14:textId="77777777" w:rsidR="00B936FD" w:rsidRPr="00D01FA0" w:rsidRDefault="00B936FD" w:rsidP="00B936FD">
      <w:pPr>
        <w:spacing w:after="160" w:line="360" w:lineRule="auto"/>
        <w:ind w:firstLine="360"/>
        <w:jc w:val="both"/>
        <w:rPr>
          <w:rFonts w:ascii="David" w:eastAsia="David" w:hAnsi="David"/>
          <w:b/>
          <w:bCs/>
          <w:u w:val="single"/>
          <w:rtl/>
        </w:rPr>
      </w:pPr>
      <w:r w:rsidRPr="00D01FA0">
        <w:rPr>
          <w:rFonts w:ascii="David" w:eastAsia="David" w:hAnsi="David"/>
          <w:b/>
          <w:bCs/>
          <w:u w:val="single"/>
          <w:rtl/>
        </w:rPr>
        <w:t>קביעת מתחם העונש ההולם</w:t>
      </w:r>
    </w:p>
    <w:p w14:paraId="15190202" w14:textId="77777777" w:rsidR="00B936FD" w:rsidRPr="00D01FA0" w:rsidRDefault="00B936FD" w:rsidP="00B936FD">
      <w:pPr>
        <w:numPr>
          <w:ilvl w:val="0"/>
          <w:numId w:val="1"/>
        </w:numPr>
        <w:spacing w:after="160" w:line="360" w:lineRule="auto"/>
        <w:contextualSpacing/>
        <w:jc w:val="both"/>
        <w:rPr>
          <w:rFonts w:ascii="David" w:hAnsi="David"/>
          <w:b/>
          <w:bCs/>
          <w:u w:val="single"/>
          <w:rtl/>
        </w:rPr>
      </w:pPr>
      <w:r w:rsidRPr="00D01FA0">
        <w:rPr>
          <w:rFonts w:ascii="David" w:eastAsia="David" w:hAnsi="David"/>
          <w:rtl/>
        </w:rPr>
        <w:t xml:space="preserve">פרק </w:t>
      </w:r>
      <w:hyperlink r:id="rId22" w:history="1">
        <w:r w:rsidR="00725520" w:rsidRPr="00725520">
          <w:rPr>
            <w:rStyle w:val="Hyperlink"/>
            <w:rFonts w:ascii="David" w:eastAsia="David" w:hAnsi="David"/>
            <w:rtl/>
          </w:rPr>
          <w:t xml:space="preserve">ו' סימן א' 1 </w:t>
        </w:r>
      </w:hyperlink>
      <w:r w:rsidRPr="00D01FA0">
        <w:rPr>
          <w:rFonts w:ascii="David" w:eastAsia="David" w:hAnsi="David"/>
          <w:rtl/>
        </w:rPr>
        <w:t xml:space="preserve">  ל</w:t>
      </w:r>
      <w:hyperlink r:id="rId23" w:history="1">
        <w:r w:rsidR="00A369AF" w:rsidRPr="00A369AF">
          <w:rPr>
            <w:rFonts w:ascii="David" w:eastAsia="David" w:hAnsi="David"/>
            <w:color w:val="0000FF"/>
            <w:u w:val="single"/>
            <w:rtl/>
          </w:rPr>
          <w:t>חוק העונשין</w:t>
        </w:r>
      </w:hyperlink>
      <w:r w:rsidRPr="00D01FA0">
        <w:rPr>
          <w:rFonts w:ascii="David" w:eastAsia="David" w:hAnsi="David"/>
          <w:rtl/>
        </w:rPr>
        <w:t xml:space="preserve"> דן בהבניית שיפוט הדעת השיפוטי בענישה (סעיפים </w:t>
      </w:r>
      <w:hyperlink r:id="rId24" w:history="1">
        <w:r w:rsidR="00725520" w:rsidRPr="00725520">
          <w:rPr>
            <w:rStyle w:val="Hyperlink"/>
            <w:rFonts w:ascii="David" w:eastAsia="David" w:hAnsi="David"/>
            <w:rtl/>
          </w:rPr>
          <w:t>40א</w:t>
        </w:r>
      </w:hyperlink>
      <w:r w:rsidRPr="00D01FA0">
        <w:rPr>
          <w:rFonts w:ascii="David" w:eastAsia="David" w:hAnsi="David"/>
          <w:rtl/>
        </w:rPr>
        <w:t>-</w:t>
      </w:r>
      <w:hyperlink r:id="rId25" w:history="1">
        <w:r w:rsidR="00725520" w:rsidRPr="00725520">
          <w:rPr>
            <w:rStyle w:val="Hyperlink"/>
            <w:rFonts w:ascii="David" w:eastAsia="David" w:hAnsi="David"/>
            <w:rtl/>
          </w:rPr>
          <w:t>טו</w:t>
        </w:r>
      </w:hyperlink>
      <w:r w:rsidRPr="00D01FA0">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6" w:history="1">
        <w:r w:rsidR="00725520" w:rsidRPr="00725520">
          <w:rPr>
            <w:rStyle w:val="Hyperlink"/>
            <w:rFonts w:ascii="David" w:eastAsia="David" w:hAnsi="David"/>
            <w:rtl/>
          </w:rPr>
          <w:t>40 א</w:t>
        </w:r>
      </w:hyperlink>
      <w:r w:rsidRPr="00D01FA0">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7B6EC5AA" w14:textId="77777777" w:rsidR="00B936FD" w:rsidRPr="007517E8" w:rsidRDefault="00B936FD" w:rsidP="00B936FD">
      <w:pPr>
        <w:shd w:val="clear" w:color="auto" w:fill="FFFFFF"/>
        <w:spacing w:after="160" w:line="360" w:lineRule="auto"/>
        <w:ind w:left="720"/>
        <w:contextualSpacing/>
        <w:jc w:val="both"/>
        <w:rPr>
          <w:rFonts w:ascii="David" w:eastAsia="David" w:hAnsi="David"/>
          <w:b/>
          <w:bCs/>
          <w:sz w:val="14"/>
          <w:szCs w:val="14"/>
          <w:u w:val="single"/>
        </w:rPr>
      </w:pPr>
    </w:p>
    <w:p w14:paraId="63A1FAC6" w14:textId="77777777" w:rsidR="00B936FD" w:rsidRPr="00D01FA0" w:rsidRDefault="00B936FD" w:rsidP="00B936FD">
      <w:pPr>
        <w:shd w:val="clear" w:color="auto" w:fill="FFFFFF"/>
        <w:spacing w:after="160" w:line="360" w:lineRule="auto"/>
        <w:ind w:left="391"/>
        <w:contextualSpacing/>
        <w:jc w:val="both"/>
        <w:rPr>
          <w:rFonts w:ascii="David" w:eastAsia="Calibri" w:hAnsi="David"/>
        </w:rPr>
      </w:pPr>
      <w:r w:rsidRPr="00D01FA0">
        <w:rPr>
          <w:rFonts w:ascii="David" w:eastAsia="David" w:hAnsi="David"/>
          <w:b/>
          <w:bCs/>
          <w:u w:val="single"/>
          <w:rtl/>
        </w:rPr>
        <w:t>הערכים החברתיים עליהם יש להגן</w:t>
      </w:r>
    </w:p>
    <w:p w14:paraId="581E6D0C" w14:textId="77777777" w:rsidR="00B936FD" w:rsidRPr="007517E8" w:rsidRDefault="00B936FD" w:rsidP="00B936FD">
      <w:pPr>
        <w:shd w:val="clear" w:color="auto" w:fill="FFFFFF"/>
        <w:spacing w:after="160" w:line="360" w:lineRule="auto"/>
        <w:ind w:left="720"/>
        <w:contextualSpacing/>
        <w:jc w:val="both"/>
        <w:rPr>
          <w:rFonts w:ascii="David" w:eastAsia="Calibri" w:hAnsi="David"/>
          <w:sz w:val="12"/>
          <w:szCs w:val="12"/>
          <w:rtl/>
        </w:rPr>
      </w:pPr>
    </w:p>
    <w:p w14:paraId="224A4D83" w14:textId="77777777" w:rsidR="00B936FD" w:rsidRPr="00D01FA0" w:rsidRDefault="00B936FD" w:rsidP="00B936FD">
      <w:pPr>
        <w:numPr>
          <w:ilvl w:val="0"/>
          <w:numId w:val="1"/>
        </w:numPr>
        <w:spacing w:after="160" w:line="360" w:lineRule="auto"/>
        <w:contextualSpacing/>
        <w:jc w:val="both"/>
        <w:rPr>
          <w:rFonts w:ascii="David" w:hAnsi="David"/>
          <w:rtl/>
        </w:rPr>
      </w:pPr>
      <w:r w:rsidRPr="00D01FA0">
        <w:rPr>
          <w:rFonts w:ascii="David" w:eastAsia="David" w:hAnsi="David"/>
          <w:rtl/>
        </w:rPr>
        <w:t xml:space="preserve">הערכים המוגנים שנפגעו כתוצאה מביצוע העבירות נשוא כתב האישום המתוקן הינם: </w:t>
      </w:r>
      <w:r w:rsidRPr="00D01FA0">
        <w:rPr>
          <w:rFonts w:ascii="David" w:eastAsia="David" w:hAnsi="David"/>
          <w:spacing w:val="10"/>
          <w:rtl/>
        </w:rPr>
        <w:t>הצורך בשמירה על חיי אדם ושלמות הגוף</w:t>
      </w:r>
      <w:r w:rsidRPr="00D01FA0">
        <w:rPr>
          <w:rFonts w:ascii="David" w:eastAsia="David" w:hAnsi="David"/>
          <w:rtl/>
          <w:lang w:eastAsia="he-IL"/>
        </w:rPr>
        <w:t>,  שלום הציבור ותחושת בטחונו מפני פגיעות בגוף ובנפש ו</w:t>
      </w:r>
      <w:r>
        <w:rPr>
          <w:rFonts w:ascii="David" w:eastAsia="David" w:hAnsi="David" w:hint="cs"/>
          <w:rtl/>
          <w:lang w:eastAsia="he-IL"/>
        </w:rPr>
        <w:t xml:space="preserve">הצורך בשמירה על </w:t>
      </w:r>
      <w:r w:rsidRPr="00D01FA0">
        <w:rPr>
          <w:rFonts w:ascii="David" w:eastAsia="David" w:hAnsi="David"/>
          <w:rtl/>
          <w:lang w:eastAsia="he-IL"/>
        </w:rPr>
        <w:t>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w:t>
      </w:r>
      <w:r>
        <w:rPr>
          <w:rFonts w:ascii="David" w:eastAsia="David" w:hAnsi="David" w:hint="cs"/>
          <w:rtl/>
          <w:lang w:eastAsia="he-IL"/>
        </w:rPr>
        <w:t xml:space="preserve">החזיק </w:t>
      </w:r>
      <w:r w:rsidRPr="00D01FA0">
        <w:rPr>
          <w:rFonts w:ascii="David" w:eastAsia="David" w:hAnsi="David"/>
          <w:rtl/>
          <w:lang w:eastAsia="he-IL"/>
        </w:rPr>
        <w:t xml:space="preserve"> </w:t>
      </w:r>
      <w:r>
        <w:rPr>
          <w:rFonts w:ascii="David" w:eastAsia="David" w:hAnsi="David" w:hint="cs"/>
          <w:rtl/>
          <w:lang w:eastAsia="he-IL"/>
        </w:rPr>
        <w:t>ב</w:t>
      </w:r>
      <w:r w:rsidRPr="00D01FA0">
        <w:rPr>
          <w:rFonts w:ascii="David" w:eastAsia="David" w:hAnsi="David"/>
          <w:rtl/>
          <w:lang w:eastAsia="he-IL"/>
        </w:rPr>
        <w:t xml:space="preserve">נשק,  ושיקולי הרשות במתן היתר לנשיאת נשק נועדו להבטיח את שלום הציבור וניתנים במשורה ביחס לאזרחים מן השורה. </w:t>
      </w:r>
      <w:r w:rsidRPr="00D01FA0">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178C6080" w14:textId="77777777" w:rsidR="00B936FD" w:rsidRPr="00E64692" w:rsidRDefault="00B936FD" w:rsidP="00B936FD">
      <w:pPr>
        <w:spacing w:line="360" w:lineRule="auto"/>
        <w:jc w:val="both"/>
        <w:rPr>
          <w:rFonts w:ascii="David" w:eastAsia="David" w:hAnsi="David"/>
          <w:sz w:val="10"/>
          <w:szCs w:val="10"/>
          <w:rtl/>
        </w:rPr>
      </w:pPr>
    </w:p>
    <w:p w14:paraId="7F5ED408" w14:textId="77777777" w:rsidR="00B936FD" w:rsidRPr="00D01FA0" w:rsidRDefault="00B936FD" w:rsidP="00B936FD">
      <w:pPr>
        <w:spacing w:line="360" w:lineRule="auto"/>
        <w:ind w:left="720"/>
        <w:contextualSpacing/>
        <w:jc w:val="both"/>
        <w:rPr>
          <w:rFonts w:ascii="David" w:eastAsia="David" w:hAnsi="David"/>
          <w:b/>
          <w:bCs/>
        </w:rPr>
      </w:pPr>
      <w:r w:rsidRPr="00D01FA0">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A369AF">
        <w:rPr>
          <w:rFonts w:ascii="David" w:eastAsia="David" w:hAnsi="David"/>
          <w:rtl/>
        </w:rPr>
        <w:t xml:space="preserve"> </w:t>
      </w:r>
      <w:r w:rsidRPr="00D01FA0">
        <w:rPr>
          <w:rFonts w:ascii="David" w:eastAsia="David" w:hAnsi="David"/>
          <w:rtl/>
        </w:rPr>
        <w:t xml:space="preserve"> </w:t>
      </w:r>
      <w:hyperlink r:id="rId27" w:history="1">
        <w:r w:rsidR="00A369AF" w:rsidRPr="00A369AF">
          <w:rPr>
            <w:rFonts w:ascii="David" w:eastAsia="David" w:hAnsi="David"/>
            <w:color w:val="0000FF"/>
            <w:u w:val="single"/>
            <w:rtl/>
          </w:rPr>
          <w:t>חוק העונשין</w:t>
        </w:r>
      </w:hyperlink>
      <w:r w:rsidRPr="00D01FA0">
        <w:rPr>
          <w:rFonts w:ascii="David" w:eastAsia="David" w:hAnsi="David"/>
          <w:rtl/>
        </w:rPr>
        <w:t xml:space="preserve"> (תיקון מס' 140 – הוראת שעה), התשפ"ב-2021, אשר נכנס לתוקף בדצמבר 2021. ר' </w:t>
      </w:r>
      <w:r w:rsidRPr="00D01FA0">
        <w:rPr>
          <w:rFonts w:ascii="David" w:eastAsia="David" w:hAnsi="David"/>
        </w:rPr>
        <w:t xml:space="preserve"> </w:t>
      </w:r>
      <w:hyperlink r:id="rId28" w:history="1">
        <w:r w:rsidR="00A369AF" w:rsidRPr="00A369AF">
          <w:rPr>
            <w:rFonts w:ascii="David" w:eastAsia="David" w:hAnsi="David"/>
            <w:b/>
            <w:bCs/>
            <w:color w:val="0000FF"/>
            <w:u w:val="single"/>
            <w:rtl/>
          </w:rPr>
          <w:t>ע"פ 5813/21</w:t>
        </w:r>
      </w:hyperlink>
      <w:r w:rsidRPr="00D01FA0">
        <w:rPr>
          <w:rFonts w:ascii="David" w:eastAsia="David" w:hAnsi="David"/>
          <w:b/>
          <w:bCs/>
          <w:rtl/>
        </w:rPr>
        <w:t xml:space="preserve"> </w:t>
      </w:r>
      <w:r w:rsidRPr="00D01FA0">
        <w:rPr>
          <w:rFonts w:ascii="David" w:eastAsia="David" w:hAnsi="David"/>
          <w:b/>
          <w:bCs/>
          <w:u w:val="single"/>
          <w:rtl/>
        </w:rPr>
        <w:t>ג'בארין נ' מדינת ישראל</w:t>
      </w:r>
      <w:r w:rsidRPr="00D01FA0">
        <w:rPr>
          <w:rFonts w:ascii="David" w:eastAsia="David" w:hAnsi="David"/>
          <w:rtl/>
        </w:rPr>
        <w:t xml:space="preserve"> שם נאמר בין היתר: "</w:t>
      </w:r>
      <w:r w:rsidRPr="00D01FA0">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9" w:history="1">
        <w:r w:rsidR="00A369AF" w:rsidRPr="00A369AF">
          <w:rPr>
            <w:rFonts w:ascii="David" w:eastAsia="David" w:hAnsi="David"/>
            <w:b/>
            <w:bCs/>
            <w:color w:val="0000FF"/>
            <w:u w:val="single"/>
            <w:rtl/>
          </w:rPr>
          <w:t>ע"פ 8320/21</w:t>
        </w:r>
      </w:hyperlink>
      <w:r w:rsidRPr="00D01FA0">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 (ראו לאחרונה: </w:t>
      </w:r>
      <w:hyperlink r:id="rId30" w:history="1">
        <w:r w:rsidR="00A369AF" w:rsidRPr="00A369AF">
          <w:rPr>
            <w:rFonts w:ascii="David" w:eastAsia="David" w:hAnsi="David"/>
            <w:b/>
            <w:bCs/>
            <w:color w:val="0000FF"/>
            <w:u w:val="single"/>
            <w:rtl/>
          </w:rPr>
          <w:t>ע"פ 7473/20</w:t>
        </w:r>
      </w:hyperlink>
      <w:r w:rsidRPr="00D01FA0">
        <w:rPr>
          <w:rFonts w:ascii="David" w:eastAsia="David" w:hAnsi="David"/>
          <w:b/>
          <w:bCs/>
          <w:rtl/>
        </w:rPr>
        <w:t xml:space="preserve"> מדינת ישראל נ' מחאמיד, פסקה 24 [פורסם בנבו] (29.6.2021); </w:t>
      </w:r>
      <w:hyperlink r:id="rId31" w:history="1">
        <w:r w:rsidR="00A369AF" w:rsidRPr="00A369AF">
          <w:rPr>
            <w:rFonts w:ascii="David" w:eastAsia="David" w:hAnsi="David"/>
            <w:b/>
            <w:bCs/>
            <w:color w:val="0000FF"/>
            <w:u w:val="single"/>
            <w:rtl/>
          </w:rPr>
          <w:t>ע"פ 5993/21</w:t>
        </w:r>
      </w:hyperlink>
      <w:r w:rsidRPr="00D01FA0">
        <w:rPr>
          <w:rFonts w:ascii="David" w:eastAsia="David" w:hAnsi="David"/>
          <w:b/>
          <w:bCs/>
          <w:rtl/>
        </w:rPr>
        <w:t xml:space="preserve"> סאלח נ' מדינת ישראל, פסקה 8 [פורסם בנבו] (29.11.2021); </w:t>
      </w:r>
      <w:hyperlink r:id="rId32" w:history="1">
        <w:r w:rsidR="00A369AF" w:rsidRPr="00A369AF">
          <w:rPr>
            <w:rFonts w:ascii="David" w:eastAsia="David" w:hAnsi="David"/>
            <w:b/>
            <w:bCs/>
            <w:color w:val="0000FF"/>
            <w:u w:val="single"/>
            <w:rtl/>
          </w:rPr>
          <w:t>ע"פ 8416/20</w:t>
        </w:r>
      </w:hyperlink>
      <w:r w:rsidRPr="00D01FA0">
        <w:rPr>
          <w:rFonts w:ascii="David" w:eastAsia="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3" w:history="1">
        <w:r w:rsidR="00A369AF" w:rsidRPr="00A369AF">
          <w:rPr>
            <w:rFonts w:ascii="David" w:eastAsia="David" w:hAnsi="David"/>
            <w:b/>
            <w:bCs/>
            <w:color w:val="0000FF"/>
            <w:u w:val="single"/>
            <w:rtl/>
          </w:rPr>
          <w:t>חוק העונשין</w:t>
        </w:r>
      </w:hyperlink>
      <w:r w:rsidRPr="00D01FA0">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D01FA0">
        <w:rPr>
          <w:rFonts w:ascii="David" w:eastAsia="David" w:hAnsi="David"/>
          <w:b/>
          <w:bCs/>
          <w:rtl/>
          <w:lang w:eastAsia="he-IL"/>
        </w:rPr>
        <w:t xml:space="preserve"> ב</w:t>
      </w:r>
      <w:hyperlink r:id="rId34" w:history="1">
        <w:r w:rsidR="00A369AF" w:rsidRPr="00A369AF">
          <w:rPr>
            <w:rFonts w:ascii="David" w:eastAsia="David" w:hAnsi="David"/>
            <w:b/>
            <w:bCs/>
            <w:color w:val="0000FF"/>
            <w:u w:val="single"/>
            <w:rtl/>
            <w:lang w:eastAsia="he-IL"/>
          </w:rPr>
          <w:t>ע"פ 7502/12</w:t>
        </w:r>
      </w:hyperlink>
      <w:r w:rsidRPr="00D01FA0">
        <w:rPr>
          <w:rFonts w:ascii="David" w:eastAsia="David" w:hAnsi="David"/>
          <w:b/>
          <w:bCs/>
          <w:rtl/>
          <w:lang w:eastAsia="he-IL"/>
        </w:rPr>
        <w:t xml:space="preserve"> </w:t>
      </w:r>
      <w:r w:rsidRPr="00D01FA0">
        <w:rPr>
          <w:rFonts w:ascii="David" w:eastAsia="David" w:hAnsi="David"/>
          <w:b/>
          <w:bCs/>
          <w:u w:val="single"/>
          <w:rtl/>
          <w:lang w:eastAsia="he-IL"/>
        </w:rPr>
        <w:t>כוויס נ' מדינת ישראל</w:t>
      </w:r>
      <w:r w:rsidRPr="00D01FA0">
        <w:rPr>
          <w:rFonts w:ascii="David" w:eastAsia="David" w:hAnsi="David"/>
          <w:b/>
          <w:bCs/>
          <w:rtl/>
          <w:lang w:eastAsia="he-IL"/>
        </w:rPr>
        <w:t xml:space="preserve">  (בימ"ש העליון)</w:t>
      </w:r>
      <w:r w:rsidRPr="00D01FA0">
        <w:rPr>
          <w:rFonts w:ascii="David" w:eastAsia="David" w:hAnsi="David"/>
          <w:rtl/>
          <w:lang w:eastAsia="he-IL"/>
        </w:rPr>
        <w:t xml:space="preserve"> נקבע בין היתר כי: </w:t>
      </w:r>
      <w:r w:rsidRPr="00D01FA0">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5" w:history="1">
        <w:r w:rsidR="00A369AF" w:rsidRPr="00A369AF">
          <w:rPr>
            <w:rFonts w:ascii="David" w:eastAsia="David" w:hAnsi="David"/>
            <w:b/>
            <w:bCs/>
            <w:color w:val="0000FF"/>
            <w:u w:val="single"/>
            <w:rtl/>
            <w:lang w:eastAsia="he-IL"/>
          </w:rPr>
          <w:t>ע"פ 5833/07</w:t>
        </w:r>
      </w:hyperlink>
      <w:r w:rsidRPr="00D01FA0">
        <w:rPr>
          <w:rFonts w:ascii="David" w:eastAsia="David" w:hAnsi="David"/>
          <w:rtl/>
          <w:lang w:eastAsia="he-IL"/>
        </w:rPr>
        <w:t xml:space="preserve"> </w:t>
      </w:r>
      <w:r w:rsidRPr="00D01FA0">
        <w:rPr>
          <w:rFonts w:ascii="David" w:eastAsia="David" w:hAnsi="David"/>
          <w:b/>
          <w:bCs/>
          <w:u w:val="single"/>
          <w:rtl/>
          <w:lang w:eastAsia="he-IL"/>
        </w:rPr>
        <w:t>ח'ורי נ' מדינת ישראל</w:t>
      </w:r>
      <w:r w:rsidRPr="00D01FA0">
        <w:rPr>
          <w:rFonts w:ascii="David" w:eastAsia="David" w:hAnsi="David"/>
          <w:b/>
          <w:bCs/>
          <w:rtl/>
          <w:lang w:eastAsia="he-IL"/>
        </w:rPr>
        <w:t xml:space="preserve">  (בימ"ש העליון)</w:t>
      </w:r>
      <w:r w:rsidRPr="00D01FA0">
        <w:rPr>
          <w:rFonts w:ascii="David" w:eastAsia="David" w:hAnsi="David"/>
          <w:rtl/>
          <w:lang w:eastAsia="he-IL"/>
        </w:rPr>
        <w:t xml:space="preserve"> נקבע כי: </w:t>
      </w:r>
      <w:r w:rsidRPr="00D01FA0">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D01FA0">
        <w:rPr>
          <w:rFonts w:ascii="David" w:eastAsia="David" w:hAnsi="David"/>
          <w:rtl/>
        </w:rPr>
        <w:t xml:space="preserve"> עבירות הנשק, הפכו למרבה הצער, ל"מכת מדינה" של ממש:  ראו לעניין זה דבריו של כב' הש' אלרון </w:t>
      </w:r>
      <w:r w:rsidRPr="00D01FA0">
        <w:rPr>
          <w:rFonts w:ascii="David" w:eastAsia="David" w:hAnsi="David"/>
          <w:b/>
          <w:bCs/>
          <w:rtl/>
        </w:rPr>
        <w:t>ב</w:t>
      </w:r>
      <w:hyperlink r:id="rId36" w:history="1">
        <w:r w:rsidR="00A369AF" w:rsidRPr="00A369AF">
          <w:rPr>
            <w:rFonts w:ascii="David" w:eastAsia="David" w:hAnsi="David"/>
            <w:b/>
            <w:bCs/>
            <w:color w:val="0000FF"/>
            <w:u w:val="single"/>
            <w:rtl/>
          </w:rPr>
          <w:t>רע"פ 5613/20</w:t>
        </w:r>
      </w:hyperlink>
      <w:r w:rsidRPr="00D01FA0">
        <w:rPr>
          <w:rFonts w:ascii="David" w:eastAsia="David" w:hAnsi="David"/>
          <w:b/>
          <w:bCs/>
          <w:rtl/>
        </w:rPr>
        <w:t xml:space="preserve"> </w:t>
      </w:r>
      <w:r w:rsidRPr="00D01FA0">
        <w:rPr>
          <w:rFonts w:ascii="David" w:eastAsia="David" w:hAnsi="David"/>
          <w:b/>
          <w:bCs/>
          <w:u w:val="single"/>
          <w:rtl/>
        </w:rPr>
        <w:t>אלהוזייל</w:t>
      </w:r>
      <w:r w:rsidRPr="00D01FA0">
        <w:rPr>
          <w:rFonts w:ascii="David" w:eastAsia="David" w:hAnsi="David"/>
          <w:b/>
          <w:bCs/>
          <w:rtl/>
        </w:rPr>
        <w:t xml:space="preserve">  </w:t>
      </w:r>
      <w:r w:rsidRPr="00D01FA0">
        <w:rPr>
          <w:rFonts w:ascii="David" w:eastAsia="David" w:hAnsi="David"/>
          <w:rtl/>
        </w:rPr>
        <w:t>כדלהלן:</w:t>
      </w:r>
      <w:r w:rsidRPr="00D01FA0">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37" w:history="1">
        <w:r w:rsidR="00A369AF" w:rsidRPr="00A369AF">
          <w:rPr>
            <w:rFonts w:ascii="David" w:eastAsia="David" w:hAnsi="David"/>
            <w:b/>
            <w:bCs/>
            <w:color w:val="0000FF"/>
            <w:u w:val="single"/>
            <w:rtl/>
          </w:rPr>
          <w:t>ע"פ  4406/19</w:t>
        </w:r>
      </w:hyperlink>
      <w:r w:rsidRPr="00D01FA0">
        <w:rPr>
          <w:rFonts w:ascii="David" w:eastAsia="David" w:hAnsi="David"/>
          <w:b/>
          <w:bCs/>
          <w:rtl/>
        </w:rPr>
        <w:t xml:space="preserve"> מדינת ישראל נ' סובח, פסקאות 16–17 לחוות דעתי (5.11.2019); </w:t>
      </w:r>
      <w:hyperlink r:id="rId38" w:history="1">
        <w:r w:rsidR="00A369AF" w:rsidRPr="00A369AF">
          <w:rPr>
            <w:rFonts w:ascii="David" w:eastAsia="David" w:hAnsi="David"/>
            <w:b/>
            <w:bCs/>
            <w:color w:val="0000FF"/>
            <w:u w:val="single"/>
            <w:rtl/>
          </w:rPr>
          <w:t>רע"פ 7344/18</w:t>
        </w:r>
      </w:hyperlink>
      <w:r w:rsidRPr="00D01FA0">
        <w:rPr>
          <w:rFonts w:ascii="David" w:eastAsia="David" w:hAnsi="David"/>
          <w:b/>
          <w:bCs/>
          <w:rtl/>
        </w:rPr>
        <w:t xml:space="preserve"> מג'יד נ' מדינת ישראל, פסקה 10 (21.10.2018))."</w:t>
      </w:r>
      <w:r w:rsidRPr="00D01FA0">
        <w:rPr>
          <w:rFonts w:ascii="David" w:eastAsia="David" w:hAnsi="David"/>
          <w:rtl/>
        </w:rPr>
        <w:t xml:space="preserve">  </w:t>
      </w:r>
    </w:p>
    <w:p w14:paraId="73F92652" w14:textId="77777777" w:rsidR="00B936FD" w:rsidRPr="00337B81" w:rsidRDefault="00B936FD" w:rsidP="00B936FD">
      <w:pPr>
        <w:spacing w:line="360" w:lineRule="auto"/>
        <w:ind w:firstLine="360"/>
        <w:jc w:val="both"/>
        <w:rPr>
          <w:rFonts w:ascii="David" w:eastAsia="David" w:hAnsi="David"/>
          <w:b/>
          <w:bCs/>
          <w:sz w:val="12"/>
          <w:szCs w:val="12"/>
          <w:u w:val="single"/>
        </w:rPr>
      </w:pPr>
    </w:p>
    <w:p w14:paraId="38401BE3" w14:textId="77777777" w:rsidR="00B936FD" w:rsidRPr="00D01FA0" w:rsidRDefault="00B936FD" w:rsidP="00B936FD">
      <w:pPr>
        <w:spacing w:line="360" w:lineRule="auto"/>
        <w:ind w:firstLine="360"/>
        <w:jc w:val="both"/>
        <w:rPr>
          <w:rFonts w:ascii="David" w:eastAsia="David" w:hAnsi="David"/>
          <w:b/>
          <w:bCs/>
          <w:u w:val="single"/>
        </w:rPr>
      </w:pPr>
      <w:r w:rsidRPr="00D01FA0">
        <w:rPr>
          <w:rFonts w:ascii="David" w:eastAsia="David" w:hAnsi="David"/>
          <w:b/>
          <w:bCs/>
          <w:u w:val="single"/>
          <w:rtl/>
        </w:rPr>
        <w:t>נסיבות ביצוע העבירות</w:t>
      </w:r>
    </w:p>
    <w:p w14:paraId="0E7AB64C" w14:textId="77777777" w:rsidR="00B936FD" w:rsidRPr="007517E8" w:rsidRDefault="00B936FD" w:rsidP="00B936FD">
      <w:pPr>
        <w:spacing w:line="360" w:lineRule="auto"/>
        <w:ind w:firstLine="360"/>
        <w:jc w:val="both"/>
        <w:rPr>
          <w:rFonts w:ascii="David" w:eastAsia="David" w:hAnsi="David"/>
          <w:b/>
          <w:bCs/>
          <w:sz w:val="16"/>
          <w:szCs w:val="16"/>
          <w:u w:val="single"/>
          <w:rtl/>
        </w:rPr>
      </w:pPr>
    </w:p>
    <w:p w14:paraId="14B04B7E" w14:textId="77777777" w:rsidR="00B936FD" w:rsidRPr="00D01FA0" w:rsidRDefault="00B936FD" w:rsidP="00B936FD">
      <w:pPr>
        <w:numPr>
          <w:ilvl w:val="0"/>
          <w:numId w:val="1"/>
        </w:numPr>
        <w:spacing w:after="160" w:line="360" w:lineRule="auto"/>
        <w:jc w:val="both"/>
        <w:rPr>
          <w:rFonts w:ascii="David" w:eastAsia="David" w:hAnsi="David"/>
          <w:rtl/>
        </w:rPr>
      </w:pPr>
      <w:r w:rsidRPr="00D01FA0">
        <w:rPr>
          <w:rFonts w:ascii="David" w:eastAsia="David" w:hAnsi="David"/>
          <w:rtl/>
        </w:rPr>
        <w:t xml:space="preserve">נסיבות ביצוע העבירה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D01FA0">
        <w:rPr>
          <w:rFonts w:ascii="David" w:eastAsia="David" w:hAnsi="David"/>
          <w:b/>
          <w:bCs/>
          <w:rtl/>
        </w:rPr>
        <w:t xml:space="preserve">ע"פ </w:t>
      </w:r>
      <w:r w:rsidR="00567CC8" w:rsidRPr="00567CC8">
        <w:rPr>
          <w:rFonts w:ascii="David" w:eastAsia="David" w:hAnsi="David"/>
          <w:b/>
          <w:bCs/>
          <w:rtl/>
        </w:rPr>
        <w:t xml:space="preserve">1530/04 </w:t>
      </w:r>
      <w:r w:rsidRPr="00D01FA0">
        <w:rPr>
          <w:rFonts w:ascii="David" w:eastAsia="David" w:hAnsi="David"/>
          <w:b/>
          <w:bCs/>
          <w:rtl/>
        </w:rPr>
        <w:t xml:space="preserve"> + </w:t>
      </w:r>
      <w:hyperlink r:id="rId39" w:history="1">
        <w:r w:rsidR="00567CC8" w:rsidRPr="00567CC8">
          <w:rPr>
            <w:rFonts w:ascii="David" w:eastAsia="David" w:hAnsi="David"/>
            <w:b/>
            <w:bCs/>
            <w:color w:val="0000FF"/>
            <w:u w:val="single"/>
            <w:rtl/>
          </w:rPr>
          <w:t xml:space="preserve">1332/04 </w:t>
        </w:r>
      </w:hyperlink>
      <w:r w:rsidRPr="00D01FA0">
        <w:rPr>
          <w:rFonts w:ascii="David" w:eastAsia="David" w:hAnsi="David"/>
          <w:b/>
          <w:bCs/>
          <w:rtl/>
        </w:rPr>
        <w:t xml:space="preserve"> </w:t>
      </w:r>
      <w:r w:rsidRPr="00D01FA0">
        <w:rPr>
          <w:rFonts w:ascii="David" w:eastAsia="David" w:hAnsi="David"/>
          <w:b/>
          <w:bCs/>
          <w:u w:val="single"/>
          <w:rtl/>
        </w:rPr>
        <w:t>יצחק רפאל פס ואח' נגד מדינת ישראל</w:t>
      </w:r>
      <w:r w:rsidRPr="00D01FA0">
        <w:rPr>
          <w:rFonts w:ascii="David" w:eastAsia="David" w:hAnsi="David"/>
          <w:b/>
          <w:bCs/>
          <w:rtl/>
        </w:rPr>
        <w:t xml:space="preserve"> (בימ"ש העליון).</w:t>
      </w:r>
    </w:p>
    <w:p w14:paraId="4A4CD7FF" w14:textId="77777777" w:rsidR="00B936FD" w:rsidRPr="0000604D" w:rsidRDefault="00B936FD" w:rsidP="00B936FD">
      <w:pPr>
        <w:spacing w:line="360" w:lineRule="auto"/>
        <w:ind w:left="720"/>
        <w:jc w:val="both"/>
        <w:rPr>
          <w:rFonts w:ascii="David" w:eastAsia="David" w:hAnsi="David"/>
          <w:sz w:val="4"/>
          <w:szCs w:val="4"/>
        </w:rPr>
      </w:pPr>
    </w:p>
    <w:p w14:paraId="01072676" w14:textId="77777777" w:rsidR="00B936FD" w:rsidRPr="0000604D" w:rsidRDefault="00B936FD" w:rsidP="00B936FD">
      <w:pPr>
        <w:pStyle w:val="a9"/>
        <w:numPr>
          <w:ilvl w:val="0"/>
          <w:numId w:val="1"/>
        </w:numPr>
        <w:spacing w:line="360" w:lineRule="auto"/>
        <w:jc w:val="both"/>
        <w:rPr>
          <w:rFonts w:ascii="David" w:eastAsia="Calibri" w:hAnsi="David"/>
          <w:rtl/>
        </w:rPr>
      </w:pPr>
      <w:r w:rsidRPr="0000604D">
        <w:rPr>
          <w:rFonts w:ascii="David" w:eastAsia="Calibri" w:hAnsi="David"/>
          <w:rtl/>
        </w:rPr>
        <w:t xml:space="preserve">כאמור הנאשם החזיק בצוותא עם נאשם 2 ברכב נשק מסוג רובה סער דמוי </w:t>
      </w:r>
      <w:r w:rsidRPr="0000604D">
        <w:rPr>
          <w:rFonts w:ascii="David" w:eastAsia="Calibri" w:hAnsi="David"/>
        </w:rPr>
        <w:t>M</w:t>
      </w:r>
      <w:r w:rsidRPr="0000604D">
        <w:rPr>
          <w:rFonts w:ascii="David" w:eastAsia="Calibri" w:hAnsi="David"/>
          <w:rtl/>
        </w:rPr>
        <w:t xml:space="preserve">-16, טעון במחסנית ריקה מתאימה, כשהוא עטוף בניילון מאחורי מושב הנהג. </w:t>
      </w:r>
    </w:p>
    <w:p w14:paraId="0A5B21A9" w14:textId="77777777" w:rsidR="00B936FD" w:rsidRPr="007517E8" w:rsidRDefault="00B936FD" w:rsidP="00B936FD">
      <w:pPr>
        <w:spacing w:line="360" w:lineRule="auto"/>
        <w:contextualSpacing/>
        <w:jc w:val="both"/>
        <w:rPr>
          <w:rFonts w:ascii="David" w:eastAsia="Calibri" w:hAnsi="David"/>
          <w:sz w:val="10"/>
          <w:szCs w:val="10"/>
        </w:rPr>
      </w:pPr>
    </w:p>
    <w:p w14:paraId="65270AFD" w14:textId="77777777" w:rsidR="00B936FD" w:rsidRPr="00D01FA0" w:rsidRDefault="00B936FD" w:rsidP="00B936FD">
      <w:pPr>
        <w:spacing w:line="360" w:lineRule="auto"/>
        <w:ind w:left="720"/>
        <w:contextualSpacing/>
        <w:jc w:val="both"/>
        <w:rPr>
          <w:rFonts w:ascii="David" w:eastAsia="Calibri" w:hAnsi="David"/>
          <w:rtl/>
        </w:rPr>
      </w:pPr>
      <w:r w:rsidRPr="00D01FA0">
        <w:rPr>
          <w:rFonts w:ascii="David" w:eastAsia="Calibri" w:hAnsi="David"/>
          <w:rtl/>
        </w:rPr>
        <w:t xml:space="preserve">הנאשם אינו מורשה כדין להחזיק בנשק, לא עבר כל הכשרה </w:t>
      </w:r>
      <w:r>
        <w:rPr>
          <w:rFonts w:ascii="David" w:eastAsia="Calibri" w:hAnsi="David" w:hint="cs"/>
          <w:rtl/>
        </w:rPr>
        <w:t xml:space="preserve">מותרת </w:t>
      </w:r>
      <w:r w:rsidRPr="00D01FA0">
        <w:rPr>
          <w:rFonts w:ascii="David" w:eastAsia="Calibri" w:hAnsi="David"/>
          <w:rtl/>
        </w:rPr>
        <w:t xml:space="preserve">ויש בעצם החזקתו של הנשק </w:t>
      </w:r>
      <w:r w:rsidRPr="00D01FA0">
        <w:rPr>
          <w:rFonts w:ascii="David" w:hAnsi="David"/>
          <w:rtl/>
        </w:rPr>
        <w:t>כדי להוות סכנה לציבור ללא קשר למטרות החזקתו.</w:t>
      </w:r>
      <w:r>
        <w:rPr>
          <w:rFonts w:ascii="David" w:hAnsi="David" w:hint="cs"/>
          <w:rtl/>
        </w:rPr>
        <w:t xml:space="preserve"> </w:t>
      </w:r>
      <w:r w:rsidRPr="00D01FA0">
        <w:rPr>
          <w:rFonts w:ascii="David" w:eastAsia="Calibri" w:hAnsi="David"/>
          <w:rtl/>
        </w:rPr>
        <w:t xml:space="preserve">לא מדובר באירוע ספונטני, כי אם באירוע מתוכנן והנאשם היה מודע היטב לאיסור שבהחזקת נשק, וחלקו בביצוע העבירה הינו מרכזי. בנוסף הנאשם היה יכול בנקל להימנע מביצוע העבירה, אך הוא לא עשה כן. </w:t>
      </w:r>
    </w:p>
    <w:p w14:paraId="25DD72E7" w14:textId="77777777" w:rsidR="00B936FD" w:rsidRPr="00196942" w:rsidRDefault="00B936FD" w:rsidP="00B936FD">
      <w:pPr>
        <w:spacing w:line="360" w:lineRule="auto"/>
        <w:ind w:left="720"/>
        <w:contextualSpacing/>
        <w:jc w:val="both"/>
        <w:rPr>
          <w:rFonts w:ascii="David" w:eastAsia="Calibri" w:hAnsi="David"/>
          <w:sz w:val="6"/>
          <w:szCs w:val="6"/>
        </w:rPr>
      </w:pPr>
    </w:p>
    <w:p w14:paraId="3B8DC1C3" w14:textId="77777777" w:rsidR="00B936FD" w:rsidRPr="00D01FA0" w:rsidRDefault="00B936FD" w:rsidP="00B936FD">
      <w:pPr>
        <w:spacing w:line="360" w:lineRule="auto"/>
        <w:ind w:left="720"/>
        <w:contextualSpacing/>
        <w:jc w:val="both"/>
        <w:rPr>
          <w:rFonts w:ascii="David" w:eastAsia="Calibri" w:hAnsi="David"/>
          <w:rtl/>
        </w:rPr>
      </w:pPr>
      <w:r w:rsidRPr="00D01FA0">
        <w:rPr>
          <w:rFonts w:ascii="David" w:eastAsia="Calibri" w:hAnsi="David"/>
          <w:rtl/>
        </w:rPr>
        <w:t xml:space="preserve">מדובר בנשק מסוג רובה סער שעוצמתו רבה ופוטנציאל הנזק הנשקף ממנו רב ביותר וקטלני בהיותו כלי נשק מסוג תת-מקלע. מדובר בנסיבה שחומרתה רבה. </w:t>
      </w:r>
    </w:p>
    <w:p w14:paraId="484F385F" w14:textId="77777777" w:rsidR="00B936FD" w:rsidRPr="0000604D" w:rsidRDefault="00B936FD" w:rsidP="00B936FD">
      <w:pPr>
        <w:spacing w:line="360" w:lineRule="auto"/>
        <w:contextualSpacing/>
        <w:jc w:val="both"/>
        <w:rPr>
          <w:rFonts w:ascii="David" w:eastAsia="Calibri" w:hAnsi="David"/>
          <w:sz w:val="14"/>
          <w:szCs w:val="14"/>
          <w:rtl/>
        </w:rPr>
      </w:pPr>
    </w:p>
    <w:p w14:paraId="223268E2" w14:textId="77777777" w:rsidR="00B936FD" w:rsidRDefault="00B936FD" w:rsidP="00B936FD">
      <w:pPr>
        <w:spacing w:line="360" w:lineRule="auto"/>
        <w:ind w:left="720"/>
        <w:contextualSpacing/>
        <w:jc w:val="both"/>
        <w:rPr>
          <w:rFonts w:ascii="David" w:eastAsia="Calibri" w:hAnsi="David"/>
          <w:rtl/>
        </w:rPr>
      </w:pPr>
      <w:r w:rsidRPr="00D01FA0">
        <w:rPr>
          <w:rFonts w:ascii="David" w:eastAsia="Calibri" w:hAnsi="David"/>
          <w:rtl/>
        </w:rPr>
        <w:t xml:space="preserve">אמנם הנשק נתפס עם מחסנית ריקה עטוף בניילון, אך מטרת ההחזקה לא הובררה והנאשם לא נתן כל הסבר בהקשר זה, ואין להניח לטובת הנאשם כי מטרת החזקת הנשק הייתה "תמימה". רובה סער הינו נשק תקיפה רב עצמה שעלול היה למצוא את דרכו לידי עבריינים שהיו עושים בו שימוש פוגעני וקטלני. </w:t>
      </w:r>
    </w:p>
    <w:p w14:paraId="02EE6DD0" w14:textId="77777777" w:rsidR="00B936FD" w:rsidRPr="003A1911" w:rsidRDefault="00B936FD" w:rsidP="00B936FD">
      <w:pPr>
        <w:spacing w:line="360" w:lineRule="auto"/>
        <w:ind w:left="720"/>
        <w:contextualSpacing/>
        <w:jc w:val="both"/>
        <w:rPr>
          <w:rFonts w:ascii="David" w:eastAsia="Calibri" w:hAnsi="David"/>
          <w:sz w:val="14"/>
          <w:szCs w:val="14"/>
          <w:rtl/>
        </w:rPr>
      </w:pPr>
    </w:p>
    <w:p w14:paraId="0FF77186" w14:textId="77777777" w:rsidR="00B936FD" w:rsidRPr="00D01FA0" w:rsidRDefault="00B936FD" w:rsidP="00B936FD">
      <w:pPr>
        <w:spacing w:line="360" w:lineRule="auto"/>
        <w:ind w:left="720"/>
        <w:contextualSpacing/>
        <w:jc w:val="both"/>
        <w:rPr>
          <w:rFonts w:ascii="David" w:eastAsia="Calibri" w:hAnsi="David"/>
          <w:rtl/>
        </w:rPr>
      </w:pPr>
      <w:r>
        <w:rPr>
          <w:rFonts w:ascii="David" w:eastAsia="Calibri" w:hAnsi="David" w:hint="cs"/>
          <w:rtl/>
        </w:rPr>
        <w:t xml:space="preserve">חומרה נוספת יש לייחס לעובדה שהנשק הוחזק ברכב במרכז העיר, זאת מבלי להתעלם מהעובדה שהנאשם לא הורשע בעבירה של נשיאה והובלת נשק, אלא בעבירה הפחות חמורה של החזקת נשק. </w:t>
      </w:r>
    </w:p>
    <w:p w14:paraId="22CAD48F" w14:textId="77777777" w:rsidR="00B936FD" w:rsidRPr="00F438B6" w:rsidRDefault="00B936FD" w:rsidP="00B936FD">
      <w:pPr>
        <w:spacing w:line="360" w:lineRule="auto"/>
        <w:contextualSpacing/>
        <w:jc w:val="both"/>
        <w:rPr>
          <w:rFonts w:ascii="David" w:eastAsia="Calibri" w:hAnsi="David"/>
          <w:sz w:val="8"/>
          <w:szCs w:val="8"/>
          <w:rtl/>
        </w:rPr>
      </w:pPr>
    </w:p>
    <w:p w14:paraId="5A49493D" w14:textId="77777777" w:rsidR="00B936FD" w:rsidRDefault="00B936FD" w:rsidP="00B936FD">
      <w:pPr>
        <w:pStyle w:val="a9"/>
        <w:numPr>
          <w:ilvl w:val="0"/>
          <w:numId w:val="1"/>
        </w:numPr>
        <w:spacing w:line="360" w:lineRule="auto"/>
        <w:jc w:val="both"/>
        <w:rPr>
          <w:rFonts w:ascii="David" w:eastAsia="Calibri" w:hAnsi="David"/>
        </w:rPr>
      </w:pPr>
      <w:r w:rsidRPr="0000604D">
        <w:rPr>
          <w:rFonts w:ascii="David" w:eastAsia="Calibri" w:hAnsi="David"/>
          <w:rtl/>
        </w:rPr>
        <w:t xml:space="preserve">מאחר וכתב האישום לא מציין את פרק הזמן </w:t>
      </w:r>
      <w:r>
        <w:rPr>
          <w:rFonts w:ascii="David" w:eastAsia="Calibri" w:hAnsi="David" w:hint="cs"/>
          <w:rtl/>
        </w:rPr>
        <w:t xml:space="preserve"> בו </w:t>
      </w:r>
      <w:r w:rsidRPr="0000604D">
        <w:rPr>
          <w:rFonts w:ascii="David" w:eastAsia="Calibri" w:hAnsi="David"/>
          <w:rtl/>
        </w:rPr>
        <w:t xml:space="preserve">החזיק הנאשם </w:t>
      </w:r>
      <w:r>
        <w:rPr>
          <w:rFonts w:ascii="David" w:eastAsia="Calibri" w:hAnsi="David" w:hint="cs"/>
          <w:rtl/>
        </w:rPr>
        <w:t>ב</w:t>
      </w:r>
      <w:r w:rsidRPr="0000604D">
        <w:rPr>
          <w:rFonts w:ascii="David" w:eastAsia="Calibri" w:hAnsi="David"/>
          <w:rtl/>
        </w:rPr>
        <w:t>נשק, יש להניח לטובתו כ</w:t>
      </w:r>
      <w:r>
        <w:rPr>
          <w:rFonts w:ascii="David" w:eastAsia="Calibri" w:hAnsi="David" w:hint="cs"/>
          <w:rtl/>
        </w:rPr>
        <w:t xml:space="preserve">פי טענתו </w:t>
      </w:r>
      <w:r w:rsidRPr="0000604D">
        <w:rPr>
          <w:rFonts w:ascii="David" w:eastAsia="Calibri" w:hAnsi="David"/>
          <w:rtl/>
        </w:rPr>
        <w:t>כי הוא עשה כן לפרק זמן קצר</w:t>
      </w:r>
      <w:r w:rsidRPr="0000604D">
        <w:rPr>
          <w:rFonts w:ascii="David" w:eastAsia="Calibri" w:hAnsi="David" w:hint="cs"/>
          <w:rtl/>
        </w:rPr>
        <w:t xml:space="preserve"> שלא עלה על זמן הנסיעה ברכב.</w:t>
      </w:r>
      <w:r>
        <w:rPr>
          <w:rFonts w:ascii="David" w:eastAsia="Calibri" w:hAnsi="David" w:hint="cs"/>
          <w:rtl/>
        </w:rPr>
        <w:t xml:space="preserve"> יצוין כי הנשק הוחזק ללא כדורים, כך שלא ניתן היה לעשות בו שימוש באופן מידי.</w:t>
      </w:r>
    </w:p>
    <w:p w14:paraId="488B9A74" w14:textId="77777777" w:rsidR="00B936FD" w:rsidRPr="00F438B6" w:rsidRDefault="00B936FD" w:rsidP="00B936FD">
      <w:pPr>
        <w:spacing w:line="360" w:lineRule="auto"/>
        <w:ind w:left="720"/>
        <w:contextualSpacing/>
        <w:jc w:val="both"/>
        <w:rPr>
          <w:rFonts w:ascii="David" w:eastAsia="David" w:hAnsi="David"/>
          <w:sz w:val="14"/>
          <w:szCs w:val="14"/>
          <w:rtl/>
        </w:rPr>
      </w:pPr>
    </w:p>
    <w:p w14:paraId="2EB12032" w14:textId="77777777" w:rsidR="00B936FD" w:rsidRPr="0000604D" w:rsidRDefault="00B936FD" w:rsidP="00B936FD">
      <w:pPr>
        <w:pStyle w:val="a9"/>
        <w:numPr>
          <w:ilvl w:val="0"/>
          <w:numId w:val="1"/>
        </w:numPr>
        <w:spacing w:line="360" w:lineRule="auto"/>
        <w:jc w:val="both"/>
        <w:rPr>
          <w:rFonts w:ascii="David" w:eastAsia="David" w:hAnsi="David"/>
          <w:rtl/>
        </w:rPr>
      </w:pPr>
      <w:r w:rsidRPr="0000604D">
        <w:rPr>
          <w:rFonts w:ascii="David" w:eastAsia="David" w:hAnsi="David"/>
          <w:rtl/>
        </w:rPr>
        <w:t xml:space="preserve">במכלול הנסיבות, אני סבור כי במקרה זה מידת הפגיעה בערכים המוגנים מצויה ברף הבינוני. </w:t>
      </w:r>
    </w:p>
    <w:p w14:paraId="5C2CDFA6" w14:textId="77777777" w:rsidR="00B936FD" w:rsidRPr="00F438B6" w:rsidRDefault="00B936FD" w:rsidP="00B936FD">
      <w:pPr>
        <w:spacing w:line="360" w:lineRule="atLeast"/>
        <w:jc w:val="both"/>
        <w:rPr>
          <w:rFonts w:ascii="David" w:eastAsia="David" w:hAnsi="David"/>
          <w:sz w:val="36"/>
          <w:szCs w:val="36"/>
        </w:rPr>
      </w:pPr>
    </w:p>
    <w:p w14:paraId="408CDA11" w14:textId="77777777" w:rsidR="00B936FD" w:rsidRDefault="00B936FD" w:rsidP="00B936FD">
      <w:pPr>
        <w:spacing w:after="160" w:line="360" w:lineRule="auto"/>
        <w:ind w:firstLine="360"/>
        <w:jc w:val="both"/>
        <w:rPr>
          <w:rFonts w:ascii="David" w:hAnsi="David"/>
          <w:b/>
          <w:bCs/>
          <w:u w:val="single"/>
          <w:rtl/>
        </w:rPr>
      </w:pPr>
    </w:p>
    <w:p w14:paraId="76969431" w14:textId="77777777" w:rsidR="00B936FD" w:rsidRDefault="00B936FD" w:rsidP="00B936FD">
      <w:pPr>
        <w:spacing w:after="160" w:line="360" w:lineRule="auto"/>
        <w:ind w:firstLine="360"/>
        <w:jc w:val="both"/>
        <w:rPr>
          <w:rFonts w:ascii="David" w:hAnsi="David"/>
          <w:b/>
          <w:bCs/>
          <w:u w:val="single"/>
          <w:rtl/>
        </w:rPr>
      </w:pPr>
    </w:p>
    <w:p w14:paraId="09C009B9" w14:textId="77777777" w:rsidR="00B936FD" w:rsidRPr="00D01FA0" w:rsidRDefault="00B936FD" w:rsidP="00B936FD">
      <w:pPr>
        <w:spacing w:after="160" w:line="360" w:lineRule="auto"/>
        <w:ind w:firstLine="360"/>
        <w:jc w:val="both"/>
        <w:rPr>
          <w:rFonts w:ascii="David" w:hAnsi="David"/>
          <w:b/>
          <w:bCs/>
          <w:u w:val="single"/>
          <w:rtl/>
        </w:rPr>
      </w:pPr>
      <w:r w:rsidRPr="00D01FA0">
        <w:rPr>
          <w:rFonts w:ascii="David" w:hAnsi="David"/>
          <w:b/>
          <w:bCs/>
          <w:u w:val="single"/>
          <w:rtl/>
        </w:rPr>
        <w:t>מדיניות הענישה והפסיקה הנהוגה</w:t>
      </w:r>
    </w:p>
    <w:p w14:paraId="2741C3AB" w14:textId="77777777" w:rsidR="00B936FD" w:rsidRDefault="00B936FD" w:rsidP="00B936FD">
      <w:pPr>
        <w:numPr>
          <w:ilvl w:val="0"/>
          <w:numId w:val="1"/>
        </w:numPr>
        <w:spacing w:after="160" w:line="360" w:lineRule="auto"/>
        <w:contextualSpacing/>
        <w:jc w:val="both"/>
        <w:rPr>
          <w:rFonts w:ascii="David" w:eastAsia="Calibri" w:hAnsi="David"/>
        </w:rPr>
      </w:pPr>
      <w:r w:rsidRPr="00A13B17">
        <w:rPr>
          <w:rFonts w:ascii="David" w:hAnsi="David"/>
          <w:rtl/>
        </w:rPr>
        <w:t>ב</w:t>
      </w:r>
      <w:hyperlink r:id="rId40" w:history="1">
        <w:r w:rsidR="00A369AF" w:rsidRPr="00A369AF">
          <w:rPr>
            <w:rFonts w:ascii="David" w:hAnsi="David"/>
            <w:b/>
            <w:bCs/>
            <w:color w:val="0000FF"/>
            <w:u w:val="single"/>
            <w:rtl/>
          </w:rPr>
          <w:t>ע"פ 2482/22</w:t>
        </w:r>
      </w:hyperlink>
      <w:r w:rsidRPr="00A13B17">
        <w:rPr>
          <w:rFonts w:ascii="David" w:hAnsi="David"/>
          <w:b/>
          <w:bCs/>
          <w:rtl/>
        </w:rPr>
        <w:t xml:space="preserve"> </w:t>
      </w:r>
      <w:r w:rsidRPr="00A13B17">
        <w:rPr>
          <w:rFonts w:ascii="David" w:hAnsi="David" w:hint="cs"/>
          <w:b/>
          <w:bCs/>
          <w:u w:val="single"/>
          <w:rtl/>
        </w:rPr>
        <w:t>מדינת ישראל נ' קדורה</w:t>
      </w:r>
      <w:r w:rsidRPr="00A13B17">
        <w:rPr>
          <w:rFonts w:ascii="David" w:hAnsi="David" w:hint="cs"/>
          <w:b/>
          <w:bCs/>
          <w:rtl/>
        </w:rPr>
        <w:t>,</w:t>
      </w:r>
      <w:r w:rsidRPr="00A13B17">
        <w:rPr>
          <w:rFonts w:ascii="David" w:hAnsi="David"/>
          <w:rtl/>
        </w:rPr>
        <w:t xml:space="preserve"> הנאשם בן 19 ללא עבר פלילי הורשע בעבירה של החזקת נשק מסוג אקדח גלוק, מחסנית, כדורים לאקדח ורימון הלם בצוותא עם אחר. נקבע מתחם עונש הולם אשר נע בין 10 ועד 36 חודשי מאסר בפועל. על הנאשם הוטלו 10 חודשי מאסר בפועל וזאת בין היתר לאור</w:t>
      </w:r>
      <w:r w:rsidRPr="00A13B17">
        <w:rPr>
          <w:rFonts w:ascii="David" w:eastAsia="Calibri" w:hAnsi="David"/>
          <w:rtl/>
        </w:rPr>
        <w:t xml:space="preserve"> התקופה הקצרה שבה הוחזק הנשק. </w:t>
      </w:r>
      <w:r w:rsidRPr="00A13B17">
        <w:rPr>
          <w:rFonts w:ascii="David" w:hAnsi="David"/>
          <w:rtl/>
        </w:rPr>
        <w:t>ערעור על קולת העונש התקבל באופן שעונשו הוחמר ל-18 חודשי מאסר בפועל. ב</w:t>
      </w:r>
      <w:hyperlink r:id="rId41" w:history="1">
        <w:r w:rsidR="00A369AF" w:rsidRPr="00A369AF">
          <w:rPr>
            <w:rFonts w:ascii="David" w:eastAsia="Calibri" w:hAnsi="David"/>
            <w:b/>
            <w:bCs/>
            <w:color w:val="0000FF"/>
            <w:u w:val="single"/>
            <w:rtl/>
          </w:rPr>
          <w:t>רע"פ 3355/22</w:t>
        </w:r>
      </w:hyperlink>
      <w:r w:rsidRPr="00A13B17">
        <w:rPr>
          <w:rFonts w:ascii="David" w:eastAsia="Calibri" w:hAnsi="David"/>
          <w:b/>
          <w:bCs/>
          <w:rtl/>
        </w:rPr>
        <w:t xml:space="preserve"> </w:t>
      </w:r>
      <w:r w:rsidRPr="00A13B17">
        <w:rPr>
          <w:rFonts w:ascii="David" w:eastAsia="Calibri" w:hAnsi="David" w:hint="cs"/>
          <w:b/>
          <w:bCs/>
          <w:u w:val="single"/>
          <w:rtl/>
        </w:rPr>
        <w:t>עלאא סלאמה נ' מדינת ישראל</w:t>
      </w:r>
      <w:r w:rsidRPr="00A13B17">
        <w:rPr>
          <w:rFonts w:ascii="David" w:eastAsia="Calibri" w:hAnsi="David"/>
          <w:rtl/>
        </w:rPr>
        <w:t xml:space="preserve">, הנאשם הורשע בעבירת החזקת נשק ותקיפת שוטר לאחר שהחזיק בחצר ביתו לתקופה שאינה ידועה למאשימה, שני תתי מקלע מאולתרים, מחסנית ריקה תואמת ותרמיל 9 מ"מ. על הנאשם הוטלו 10  חודשי מאסר בפועל. ערעור המדינה על קולת העונש התקבל ונקבע מתחם עונש הולם שבין 24 ל- 50 חודשי מאסר </w:t>
      </w:r>
      <w:r>
        <w:rPr>
          <w:rFonts w:ascii="David" w:eastAsia="Calibri" w:hAnsi="David" w:hint="cs"/>
          <w:rtl/>
        </w:rPr>
        <w:t xml:space="preserve">ועונשו של </w:t>
      </w:r>
      <w:r w:rsidRPr="00A13B17">
        <w:rPr>
          <w:rFonts w:ascii="David" w:eastAsia="Calibri" w:hAnsi="David"/>
          <w:rtl/>
        </w:rPr>
        <w:t xml:space="preserve">הנאשם </w:t>
      </w:r>
      <w:r>
        <w:rPr>
          <w:rFonts w:ascii="David" w:eastAsia="Calibri" w:hAnsi="David" w:hint="cs"/>
          <w:rtl/>
        </w:rPr>
        <w:t xml:space="preserve">הועמד </w:t>
      </w:r>
      <w:r w:rsidRPr="00A13B17">
        <w:rPr>
          <w:rFonts w:ascii="David" w:eastAsia="Calibri" w:hAnsi="David"/>
          <w:rtl/>
        </w:rPr>
        <w:t xml:space="preserve">על 28 חודשי מאסר. בקשת רשות ערעור נדחתה. </w:t>
      </w:r>
      <w:r w:rsidRPr="00A13B17">
        <w:rPr>
          <w:rFonts w:ascii="David" w:hAnsi="David"/>
          <w:rtl/>
        </w:rPr>
        <w:t>ב</w:t>
      </w:r>
      <w:hyperlink r:id="rId42" w:history="1">
        <w:r w:rsidR="00A369AF" w:rsidRPr="00A369AF">
          <w:rPr>
            <w:rFonts w:ascii="David" w:eastAsia="Calibri" w:hAnsi="David"/>
            <w:b/>
            <w:bCs/>
            <w:color w:val="0000FF"/>
            <w:u w:val="single"/>
            <w:rtl/>
          </w:rPr>
          <w:t>ע"פ 8320/21</w:t>
        </w:r>
      </w:hyperlink>
      <w:r w:rsidRPr="00A13B17">
        <w:rPr>
          <w:rFonts w:ascii="David" w:eastAsia="Calibri" w:hAnsi="David"/>
          <w:b/>
          <w:bCs/>
          <w:rtl/>
        </w:rPr>
        <w:t xml:space="preserve"> </w:t>
      </w:r>
      <w:r w:rsidRPr="00A13B17">
        <w:rPr>
          <w:rFonts w:ascii="David" w:eastAsia="Calibri" w:hAnsi="David" w:hint="cs"/>
          <w:b/>
          <w:bCs/>
          <w:rtl/>
        </w:rPr>
        <w:t>‏</w:t>
      </w:r>
      <w:r w:rsidRPr="00A13B17">
        <w:rPr>
          <w:rFonts w:ascii="David" w:eastAsia="Calibri" w:hAnsi="David" w:hint="cs"/>
          <w:b/>
          <w:bCs/>
          <w:u w:val="single"/>
          <w:rtl/>
        </w:rPr>
        <w:t>מדינת ישראל נ' מחמד בסילה</w:t>
      </w:r>
      <w:r w:rsidRPr="00A13B17">
        <w:rPr>
          <w:rFonts w:ascii="David" w:eastAsia="Calibri" w:hAnsi="David"/>
          <w:rtl/>
        </w:rPr>
        <w:t xml:space="preserve"> הנאשם הורשע בעבירת החזקת נשק ואביזרי תחמושת, בכך שהסתירם בחדר השינה. על הנאשם הוטלו 7 חודשי מאסר בפועל. ערעור על קולת העונש התקבל באופן שעונשו הועמד על 14 חודשי מאסר בפועל. ב</w:t>
      </w:r>
      <w:hyperlink r:id="rId43" w:history="1">
        <w:r w:rsidR="00A369AF" w:rsidRPr="00A369AF">
          <w:rPr>
            <w:rFonts w:ascii="David" w:eastAsia="Calibri" w:hAnsi="David"/>
            <w:b/>
            <w:bCs/>
            <w:color w:val="0000FF"/>
            <w:u w:val="single"/>
            <w:rtl/>
          </w:rPr>
          <w:t>ע"פ 2141/21</w:t>
        </w:r>
      </w:hyperlink>
      <w:r w:rsidRPr="00A13B17">
        <w:rPr>
          <w:rFonts w:ascii="David" w:eastAsia="Calibri" w:hAnsi="David"/>
          <w:b/>
          <w:bCs/>
          <w:rtl/>
        </w:rPr>
        <w:t xml:space="preserve"> </w:t>
      </w:r>
      <w:r w:rsidRPr="00A13B17">
        <w:rPr>
          <w:rFonts w:ascii="David" w:eastAsia="Calibri" w:hAnsi="David" w:hint="cs"/>
          <w:b/>
          <w:bCs/>
          <w:u w:val="single"/>
          <w:rtl/>
        </w:rPr>
        <w:t>איתן חניני נ' מדינת ישראל</w:t>
      </w:r>
      <w:r w:rsidRPr="00A13B17">
        <w:rPr>
          <w:rFonts w:ascii="David" w:eastAsia="Calibri" w:hAnsi="David" w:hint="cs"/>
          <w:b/>
          <w:bCs/>
          <w:rtl/>
        </w:rPr>
        <w:t xml:space="preserve"> </w:t>
      </w:r>
      <w:r w:rsidRPr="00A13B17">
        <w:rPr>
          <w:rFonts w:ascii="David" w:eastAsia="Calibri" w:hAnsi="David"/>
          <w:rtl/>
        </w:rPr>
        <w:t>הנאשם הורשע בהחזקת נשק ותחמושת, בכך שהצטייד באקדח אוויר שבוצעו בו שינויים שמאפשרים ירי של תחמושת בקליבר 7.65 מ"מ ובכדורים תואמים –ללא רישיון כדין. הנשק נתפס בחצר קרובה לביתו, כשהוא נושא את האקדח על גופו ובתוכו ארבעה כדורים. נקבע מתחם עונש הולם אשר נע בין 12 ל-30 חודשי מאסר בפועל. על הנאשם נגזרו 20 חודשי מאסר בפועל. ערעור על חומרת העונש נדחה.</w:t>
      </w:r>
      <w:r w:rsidRPr="00A13B17">
        <w:rPr>
          <w:rFonts w:ascii="David" w:eastAsia="Calibri" w:hAnsi="David"/>
        </w:rPr>
        <w:t xml:space="preserve"> </w:t>
      </w:r>
      <w:r w:rsidRPr="00A13B17">
        <w:rPr>
          <w:rFonts w:ascii="David" w:eastAsia="Calibri" w:hAnsi="David"/>
          <w:rtl/>
        </w:rPr>
        <w:t>ב</w:t>
      </w:r>
      <w:hyperlink r:id="rId44" w:history="1">
        <w:r w:rsidR="00A369AF" w:rsidRPr="00A369AF">
          <w:rPr>
            <w:rFonts w:ascii="David" w:eastAsia="Calibri" w:hAnsi="David"/>
            <w:b/>
            <w:bCs/>
            <w:color w:val="0000FF"/>
            <w:u w:val="single"/>
            <w:rtl/>
          </w:rPr>
          <w:t>עפ"ג 4673-08-19</w:t>
        </w:r>
      </w:hyperlink>
      <w:r w:rsidRPr="00A13B17">
        <w:rPr>
          <w:rFonts w:ascii="David" w:eastAsia="Calibri" w:hAnsi="David"/>
          <w:b/>
          <w:bCs/>
          <w:rtl/>
        </w:rPr>
        <w:t xml:space="preserve"> </w:t>
      </w:r>
      <w:r w:rsidRPr="00A13B17">
        <w:rPr>
          <w:rFonts w:ascii="David" w:eastAsia="Calibri" w:hAnsi="David" w:hint="cs"/>
          <w:b/>
          <w:bCs/>
          <w:u w:val="single"/>
          <w:rtl/>
        </w:rPr>
        <w:t>אבו מוסא נ' מדינת ישראל</w:t>
      </w:r>
      <w:r w:rsidRPr="00A13B17">
        <w:rPr>
          <w:rFonts w:ascii="David" w:eastAsia="Calibri" w:hAnsi="David"/>
          <w:rtl/>
        </w:rPr>
        <w:t xml:space="preserve"> הנאשם הורשע בעבירה של החזקת תת מקלע מאולתר מתחת למיטה בביתו. נקבע מתחם העונש ההולם אשר נע בין שנה וחצי ועד שלוש שנות מאסר בפועל. על הנאשם ללא עבר פלילי, הושת עונש של 18 חודשי מאסר בפועל וענישה נלווית. ערעור על חומרת העונש נדחה. </w:t>
      </w:r>
      <w:r w:rsidRPr="00A13B17">
        <w:rPr>
          <w:rFonts w:ascii="David" w:eastAsia="Calibri" w:hAnsi="David"/>
          <w:b/>
          <w:bCs/>
          <w:rtl/>
        </w:rPr>
        <w:t>ב</w:t>
      </w:r>
      <w:hyperlink r:id="rId45" w:history="1">
        <w:r w:rsidR="00A369AF" w:rsidRPr="00A369AF">
          <w:rPr>
            <w:rFonts w:ascii="David" w:eastAsia="Calibri" w:hAnsi="David"/>
            <w:b/>
            <w:bCs/>
            <w:color w:val="0000FF"/>
            <w:u w:val="single"/>
            <w:rtl/>
          </w:rPr>
          <w:t>עפ"ג 22885-05-17</w:t>
        </w:r>
      </w:hyperlink>
      <w:r w:rsidRPr="00A13B17">
        <w:rPr>
          <w:rFonts w:ascii="David" w:eastAsia="Calibri" w:hAnsi="David"/>
          <w:b/>
          <w:bCs/>
          <w:rtl/>
        </w:rPr>
        <w:t xml:space="preserve"> </w:t>
      </w:r>
      <w:r w:rsidRPr="00A13B17">
        <w:rPr>
          <w:rFonts w:ascii="David" w:eastAsia="Calibri" w:hAnsi="David" w:hint="cs"/>
          <w:b/>
          <w:bCs/>
          <w:u w:val="single"/>
          <w:rtl/>
        </w:rPr>
        <w:t>אלאסד נ' מדינת ישראל</w:t>
      </w:r>
      <w:r w:rsidRPr="00A13B17">
        <w:rPr>
          <w:rFonts w:ascii="David" w:eastAsia="Calibri" w:hAnsi="David"/>
          <w:rtl/>
        </w:rPr>
        <w:t xml:space="preserve">  הנאשם הורשע בעבירה של החזקת נשק בכך שהחזיק </w:t>
      </w:r>
      <w:r>
        <w:rPr>
          <w:rFonts w:ascii="David" w:eastAsia="Calibri" w:hAnsi="David" w:hint="cs"/>
          <w:rtl/>
        </w:rPr>
        <w:t>ב</w:t>
      </w:r>
      <w:r w:rsidRPr="00A13B17">
        <w:rPr>
          <w:rFonts w:ascii="David" w:eastAsia="Calibri" w:hAnsi="David"/>
          <w:rtl/>
        </w:rPr>
        <w:t>תת מקלע מאולתר ומחסנית המכילה 10 קליעים. נקבע מתחם עונש הולם נע בין 13 ועד 36 חודשי מאסר בפועל. על הנאשם, בעל עבר פלילי שאינו מכביד, הושת עונש מאסר בפועל בן 21 חדשים. ערעור על חומרת העונש נדחה.  ב</w:t>
      </w:r>
      <w:hyperlink r:id="rId46" w:history="1">
        <w:r w:rsidR="00A369AF" w:rsidRPr="00A369AF">
          <w:rPr>
            <w:rFonts w:ascii="David" w:eastAsia="Calibri" w:hAnsi="David"/>
            <w:b/>
            <w:bCs/>
            <w:color w:val="0000FF"/>
            <w:u w:val="single"/>
            <w:rtl/>
          </w:rPr>
          <w:t>עפ"ג 26133-06-22</w:t>
        </w:r>
      </w:hyperlink>
      <w:r w:rsidRPr="00A13B17">
        <w:rPr>
          <w:rFonts w:ascii="David" w:eastAsia="Calibri" w:hAnsi="David"/>
          <w:b/>
          <w:bCs/>
          <w:rtl/>
        </w:rPr>
        <w:t xml:space="preserve"> </w:t>
      </w:r>
      <w:r w:rsidRPr="00A13B17">
        <w:rPr>
          <w:rFonts w:ascii="David" w:eastAsia="Calibri" w:hAnsi="David" w:hint="cs"/>
          <w:b/>
          <w:bCs/>
          <w:u w:val="single"/>
          <w:rtl/>
        </w:rPr>
        <w:t>מדינת ישראל נ' כחלול</w:t>
      </w:r>
      <w:r w:rsidRPr="00A13B17">
        <w:rPr>
          <w:rFonts w:ascii="David" w:eastAsia="Calibri" w:hAnsi="David"/>
          <w:rtl/>
        </w:rPr>
        <w:t xml:space="preserve"> הנאשם הורשע בהחזקת תת מקלע מאלתר דמוי קרלו, 2 מחסניות ו- 44 כדורים בתוך תיק שהוחבא מתחת לגרוטאת רכב נטוש סמוך לביתו. נקבע מתחם עונש הולם נע בין 10- 24 חודשי מאסר בפועל לצד עונשים נלווים. על הנאש נגזר, לאור גילו הצעיר, העדר עבר פלילי והמלצת שירות המבחן עונש של 10 חודשי מאסר בפועל וענישה נלוות. ערעור על קולת העונש התקבל באופן שעונשו של הנאשם הוחמר ל- 18 חודשי מאסר בפועל. </w:t>
      </w:r>
    </w:p>
    <w:p w14:paraId="20FC3936" w14:textId="77777777" w:rsidR="00B936FD" w:rsidRPr="00F438B6" w:rsidRDefault="00B936FD" w:rsidP="00B936FD">
      <w:pPr>
        <w:spacing w:after="160" w:line="360" w:lineRule="auto"/>
        <w:ind w:left="720"/>
        <w:contextualSpacing/>
        <w:jc w:val="both"/>
        <w:rPr>
          <w:rFonts w:ascii="David" w:eastAsia="Calibri" w:hAnsi="David"/>
          <w:sz w:val="2"/>
          <w:szCs w:val="2"/>
          <w:rtl/>
        </w:rPr>
      </w:pPr>
    </w:p>
    <w:p w14:paraId="072B880A" w14:textId="77777777" w:rsidR="00B936FD" w:rsidRPr="00A13B17" w:rsidRDefault="00B936FD" w:rsidP="00B936FD">
      <w:pPr>
        <w:pStyle w:val="a9"/>
        <w:numPr>
          <w:ilvl w:val="0"/>
          <w:numId w:val="1"/>
        </w:numPr>
        <w:spacing w:line="360" w:lineRule="auto"/>
        <w:jc w:val="both"/>
        <w:rPr>
          <w:rFonts w:ascii="David" w:eastAsia="Calibri" w:hAnsi="David"/>
        </w:rPr>
      </w:pPr>
      <w:r w:rsidRPr="00A13B17">
        <w:rPr>
          <w:rFonts w:ascii="David" w:hAnsi="David"/>
          <w:rtl/>
        </w:rPr>
        <w:t xml:space="preserve">המאשימה הפנתה למספר פסקי דין כאשר מתחמי העונש שנקבעו נעים בין 12 ועד 36 חודשי מאסר בפועל והעונשים </w:t>
      </w:r>
      <w:r>
        <w:rPr>
          <w:rFonts w:ascii="David" w:hAnsi="David" w:hint="cs"/>
          <w:rtl/>
        </w:rPr>
        <w:t>שהוטלו  היו בטווח ש</w:t>
      </w:r>
      <w:r w:rsidRPr="00A13B17">
        <w:rPr>
          <w:rFonts w:ascii="David" w:hAnsi="David"/>
          <w:rtl/>
        </w:rPr>
        <w:t xml:space="preserve">בין 12 </w:t>
      </w:r>
      <w:r>
        <w:rPr>
          <w:rFonts w:ascii="David" w:hAnsi="David" w:hint="cs"/>
          <w:rtl/>
        </w:rPr>
        <w:t xml:space="preserve"> ל-</w:t>
      </w:r>
      <w:r w:rsidRPr="00A13B17">
        <w:rPr>
          <w:rFonts w:ascii="David" w:hAnsi="David"/>
          <w:rtl/>
        </w:rPr>
        <w:t xml:space="preserve">20 חודשים. </w:t>
      </w:r>
    </w:p>
    <w:p w14:paraId="2C0E9CAF" w14:textId="77777777" w:rsidR="00B936FD" w:rsidRPr="00F438B6" w:rsidRDefault="00B936FD" w:rsidP="00B936FD">
      <w:pPr>
        <w:spacing w:after="160" w:line="360" w:lineRule="auto"/>
        <w:ind w:left="720"/>
        <w:contextualSpacing/>
        <w:jc w:val="both"/>
        <w:rPr>
          <w:rFonts w:ascii="David" w:hAnsi="David"/>
          <w:sz w:val="2"/>
          <w:szCs w:val="2"/>
        </w:rPr>
      </w:pPr>
    </w:p>
    <w:p w14:paraId="479DB021" w14:textId="77777777" w:rsidR="00B936FD" w:rsidRPr="00A13B17" w:rsidRDefault="00B936FD" w:rsidP="00B936FD">
      <w:pPr>
        <w:pStyle w:val="a9"/>
        <w:numPr>
          <w:ilvl w:val="0"/>
          <w:numId w:val="1"/>
        </w:numPr>
        <w:spacing w:line="360" w:lineRule="auto"/>
        <w:jc w:val="both"/>
        <w:rPr>
          <w:rFonts w:ascii="David" w:hAnsi="David"/>
          <w:rtl/>
        </w:rPr>
      </w:pPr>
      <w:r w:rsidRPr="00A13B17">
        <w:rPr>
          <w:rFonts w:ascii="David" w:hAnsi="David"/>
          <w:rtl/>
        </w:rPr>
        <w:t xml:space="preserve">ב"כ הנאשם הפנה למספר פסקי דין כאשר </w:t>
      </w:r>
      <w:r w:rsidRPr="00A13B17">
        <w:rPr>
          <w:rFonts w:ascii="David" w:hAnsi="David" w:hint="cs"/>
          <w:rtl/>
        </w:rPr>
        <w:t>מתחמי הענישה נעים בין מספר חודשי מאסר בעבודות שירות ועד 36 חודשי מאסר בפועל, ו</w:t>
      </w:r>
      <w:r>
        <w:rPr>
          <w:rFonts w:ascii="David" w:hAnsi="David"/>
          <w:rtl/>
        </w:rPr>
        <w:t xml:space="preserve">העונשים </w:t>
      </w:r>
      <w:r w:rsidRPr="00A13B17">
        <w:rPr>
          <w:rFonts w:ascii="David" w:hAnsi="David"/>
          <w:rtl/>
        </w:rPr>
        <w:t xml:space="preserve"> בין 6</w:t>
      </w:r>
      <w:r w:rsidRPr="00A13B17">
        <w:rPr>
          <w:rFonts w:ascii="David" w:hAnsi="David" w:hint="cs"/>
          <w:rtl/>
        </w:rPr>
        <w:t xml:space="preserve"> חודשים בעבודות שירות</w:t>
      </w:r>
      <w:r w:rsidRPr="00A13B17">
        <w:rPr>
          <w:rFonts w:ascii="David" w:hAnsi="David"/>
          <w:rtl/>
        </w:rPr>
        <w:t xml:space="preserve"> ועד </w:t>
      </w:r>
      <w:r w:rsidRPr="00A13B17">
        <w:rPr>
          <w:rFonts w:ascii="David" w:hAnsi="David" w:hint="cs"/>
          <w:rtl/>
        </w:rPr>
        <w:t xml:space="preserve">12 </w:t>
      </w:r>
      <w:r w:rsidRPr="00A13B17">
        <w:rPr>
          <w:rFonts w:ascii="David" w:hAnsi="David"/>
          <w:rtl/>
        </w:rPr>
        <w:t xml:space="preserve">חודשי מאסר בפועל. </w:t>
      </w:r>
    </w:p>
    <w:p w14:paraId="077AB191" w14:textId="77777777" w:rsidR="00B936FD" w:rsidRPr="00F438B6" w:rsidRDefault="00B936FD" w:rsidP="00B936FD">
      <w:pPr>
        <w:spacing w:after="160" w:line="360" w:lineRule="auto"/>
        <w:ind w:left="391"/>
        <w:jc w:val="both"/>
        <w:rPr>
          <w:rFonts w:ascii="David" w:eastAsia="David" w:hAnsi="David"/>
          <w:b/>
          <w:bCs/>
          <w:sz w:val="6"/>
          <w:szCs w:val="6"/>
          <w:u w:val="single"/>
        </w:rPr>
      </w:pPr>
    </w:p>
    <w:p w14:paraId="08FAB769" w14:textId="77777777" w:rsidR="00B936FD" w:rsidRPr="00D01FA0" w:rsidRDefault="00B936FD" w:rsidP="00B936FD">
      <w:pPr>
        <w:spacing w:after="160" w:line="360" w:lineRule="auto"/>
        <w:ind w:left="391"/>
        <w:jc w:val="both"/>
        <w:rPr>
          <w:rFonts w:ascii="David" w:eastAsia="David" w:hAnsi="David"/>
          <w:b/>
          <w:bCs/>
          <w:u w:val="single"/>
          <w:rtl/>
        </w:rPr>
      </w:pPr>
      <w:r w:rsidRPr="00D01FA0">
        <w:rPr>
          <w:rFonts w:ascii="David" w:eastAsia="David" w:hAnsi="David"/>
          <w:b/>
          <w:bCs/>
          <w:u w:val="single"/>
          <w:rtl/>
        </w:rPr>
        <w:t>לסיכום מתחם העונש ההולם</w:t>
      </w:r>
    </w:p>
    <w:p w14:paraId="155ADF4F" w14:textId="77777777" w:rsidR="00B936FD" w:rsidRPr="00D01FA0" w:rsidRDefault="00B936FD" w:rsidP="00B936FD">
      <w:pPr>
        <w:numPr>
          <w:ilvl w:val="0"/>
          <w:numId w:val="1"/>
        </w:numPr>
        <w:spacing w:after="160" w:line="360" w:lineRule="auto"/>
        <w:contextualSpacing/>
        <w:jc w:val="both"/>
        <w:rPr>
          <w:rFonts w:ascii="David" w:hAnsi="David"/>
          <w:b/>
          <w:bCs/>
          <w:u w:val="single"/>
          <w:rtl/>
        </w:rPr>
      </w:pPr>
      <w:r w:rsidRPr="00D01FA0">
        <w:rPr>
          <w:rFonts w:ascii="David" w:eastAsia="Calibri" w:hAnsi="David"/>
          <w:rtl/>
        </w:rPr>
        <w:t xml:space="preserve">העונש המרבי הקבוע בחוק ביחס לעבירה של החזקת נשק הוא 7 שנות מאסר </w:t>
      </w:r>
      <w:r w:rsidRPr="00D01FA0">
        <w:rPr>
          <w:rFonts w:ascii="David" w:eastAsia="David" w:hAnsi="David"/>
          <w:rtl/>
        </w:rPr>
        <w:t xml:space="preserve">ולא פחות מ- 21 חודשי מאסר (עונש המינימום הקבוע בחוק שאינו יכול להיות כולו על תנאי). </w:t>
      </w:r>
    </w:p>
    <w:p w14:paraId="5A359AF6" w14:textId="77777777" w:rsidR="00B936FD" w:rsidRPr="0000604D" w:rsidRDefault="00B936FD" w:rsidP="00B936FD">
      <w:pPr>
        <w:spacing w:line="360" w:lineRule="auto"/>
        <w:ind w:left="720"/>
        <w:contextualSpacing/>
        <w:jc w:val="both"/>
        <w:rPr>
          <w:rFonts w:ascii="David" w:hAnsi="David"/>
          <w:b/>
          <w:bCs/>
          <w:sz w:val="14"/>
          <w:szCs w:val="14"/>
          <w:u w:val="single"/>
        </w:rPr>
      </w:pPr>
    </w:p>
    <w:p w14:paraId="5586B139" w14:textId="77777777" w:rsidR="00B936FD" w:rsidRPr="00D01FA0" w:rsidRDefault="00B936FD" w:rsidP="00B936FD">
      <w:pPr>
        <w:spacing w:line="360" w:lineRule="auto"/>
        <w:ind w:left="720"/>
        <w:contextualSpacing/>
        <w:jc w:val="both"/>
        <w:rPr>
          <w:rFonts w:ascii="David" w:eastAsia="David" w:hAnsi="David"/>
        </w:rPr>
      </w:pPr>
      <w:r w:rsidRPr="00D01FA0">
        <w:rPr>
          <w:rFonts w:ascii="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w:t>
      </w:r>
      <w:r>
        <w:rPr>
          <w:rFonts w:ascii="David" w:hAnsi="David" w:hint="cs"/>
          <w:rtl/>
        </w:rPr>
        <w:t>20</w:t>
      </w:r>
      <w:r w:rsidRPr="00D01FA0">
        <w:rPr>
          <w:rFonts w:ascii="David" w:hAnsi="David"/>
          <w:rtl/>
        </w:rPr>
        <w:t xml:space="preserve"> חודשים ולא יעלה על </w:t>
      </w:r>
      <w:r>
        <w:rPr>
          <w:rFonts w:ascii="David" w:hAnsi="David" w:hint="cs"/>
          <w:rtl/>
        </w:rPr>
        <w:t>36</w:t>
      </w:r>
      <w:r w:rsidRPr="00D01FA0">
        <w:rPr>
          <w:rFonts w:ascii="David" w:hAnsi="David"/>
          <w:rtl/>
        </w:rPr>
        <w:t xml:space="preserve"> חודשים בצד עונשים נלווים. </w:t>
      </w:r>
    </w:p>
    <w:p w14:paraId="2B49BA17" w14:textId="77777777" w:rsidR="00B936FD" w:rsidRPr="00D01FA0" w:rsidRDefault="00B936FD" w:rsidP="00B936FD">
      <w:pPr>
        <w:spacing w:after="160" w:line="252" w:lineRule="auto"/>
        <w:jc w:val="both"/>
        <w:rPr>
          <w:rFonts w:ascii="David" w:eastAsia="David" w:hAnsi="David"/>
          <w:b/>
          <w:bCs/>
          <w:u w:val="single"/>
          <w:rtl/>
        </w:rPr>
      </w:pPr>
    </w:p>
    <w:p w14:paraId="4674CACA" w14:textId="77777777" w:rsidR="00B936FD" w:rsidRPr="00D01FA0" w:rsidRDefault="00B936FD" w:rsidP="00B936FD">
      <w:pPr>
        <w:spacing w:after="160" w:line="360" w:lineRule="auto"/>
        <w:ind w:firstLine="360"/>
        <w:jc w:val="both"/>
        <w:rPr>
          <w:rFonts w:ascii="David" w:eastAsia="Calibri" w:hAnsi="David"/>
          <w:b/>
          <w:bCs/>
          <w:u w:val="single"/>
        </w:rPr>
      </w:pPr>
      <w:r w:rsidRPr="00D01FA0">
        <w:rPr>
          <w:rFonts w:ascii="David" w:eastAsia="Calibri" w:hAnsi="David"/>
          <w:b/>
          <w:bCs/>
          <w:u w:val="single"/>
          <w:rtl/>
        </w:rPr>
        <w:t>נסיבות שאינן קשורות בביצוע העבירות</w:t>
      </w:r>
    </w:p>
    <w:p w14:paraId="09947756" w14:textId="77777777" w:rsidR="00B936FD" w:rsidRDefault="00B936FD" w:rsidP="00B936FD">
      <w:pPr>
        <w:numPr>
          <w:ilvl w:val="0"/>
          <w:numId w:val="1"/>
        </w:numPr>
        <w:spacing w:after="160" w:line="360" w:lineRule="auto"/>
        <w:jc w:val="both"/>
        <w:rPr>
          <w:rFonts w:ascii="David" w:eastAsia="Calibri" w:hAnsi="David"/>
        </w:rPr>
      </w:pPr>
      <w:r w:rsidRPr="00F438B6">
        <w:rPr>
          <w:rFonts w:ascii="David" w:eastAsia="Calibri" w:hAnsi="David"/>
          <w:rtl/>
        </w:rPr>
        <w:t>לקולה אני מביא בחשבון את: הודאתו של הנאשם בכתב האישום המתוקן; החיסכון בזמן שיפוטי</w:t>
      </w:r>
      <w:r>
        <w:rPr>
          <w:rFonts w:ascii="David" w:eastAsia="Calibri" w:hAnsi="David" w:hint="cs"/>
          <w:rtl/>
        </w:rPr>
        <w:t>, הגם שהתקיימו מספר דיוני הוכחות</w:t>
      </w:r>
      <w:r w:rsidRPr="00F438B6">
        <w:rPr>
          <w:rFonts w:ascii="David" w:eastAsia="Calibri" w:hAnsi="David"/>
          <w:rtl/>
        </w:rPr>
        <w:t>; קבלת האחריות; הבעת החרטה; תקופת המעצר בה הנאשם היה נתון עד היום (כידוע תנאי מעצר קשים מתנאי מאסר); והשלכות המאסר על הנאשם ומשפחתו</w:t>
      </w:r>
      <w:r w:rsidRPr="00F438B6">
        <w:rPr>
          <w:rFonts w:ascii="David" w:eastAsia="Calibri" w:hAnsi="David" w:hint="cs"/>
          <w:rtl/>
        </w:rPr>
        <w:t xml:space="preserve"> ובפרט על אשתו  ועל מאמציהם להרחיב את התא המשפחתי.</w:t>
      </w:r>
    </w:p>
    <w:p w14:paraId="1FB2CA74" w14:textId="77777777" w:rsidR="00B936FD" w:rsidRPr="00F438B6" w:rsidRDefault="00B936FD" w:rsidP="00B936FD">
      <w:pPr>
        <w:numPr>
          <w:ilvl w:val="0"/>
          <w:numId w:val="1"/>
        </w:numPr>
        <w:spacing w:after="160" w:line="360" w:lineRule="auto"/>
        <w:jc w:val="both"/>
        <w:rPr>
          <w:rFonts w:ascii="David" w:eastAsia="Calibri" w:hAnsi="David"/>
        </w:rPr>
      </w:pPr>
      <w:r>
        <w:rPr>
          <w:rFonts w:ascii="David" w:eastAsia="Calibri" w:hAnsi="David" w:hint="cs"/>
          <w:rtl/>
        </w:rPr>
        <w:t>ל</w:t>
      </w:r>
      <w:r w:rsidRPr="00F438B6">
        <w:rPr>
          <w:rFonts w:ascii="David" w:eastAsia="Calibri" w:hAnsi="David"/>
          <w:rtl/>
        </w:rPr>
        <w:t xml:space="preserve">חומרה אני מביא בחשבון את עברו הפלילי של הנאשם הכולל הרשעה אחת משנת 2017 בגין עבירה של זיוף סימני רכב. </w:t>
      </w:r>
      <w:r>
        <w:rPr>
          <w:rFonts w:ascii="David" w:eastAsia="Calibri" w:hAnsi="David" w:hint="cs"/>
          <w:rtl/>
        </w:rPr>
        <w:t>יצוין כי לא מדובר בנסיבה שחומרתה רבה נוכח מהות העבירה והזמן שחלף מאז ביצועה.</w:t>
      </w:r>
    </w:p>
    <w:p w14:paraId="290D7E10" w14:textId="77777777" w:rsidR="00B936FD" w:rsidRPr="00F438B6" w:rsidRDefault="00B936FD" w:rsidP="00B936FD">
      <w:pPr>
        <w:pStyle w:val="a9"/>
        <w:spacing w:after="160" w:line="360" w:lineRule="auto"/>
        <w:jc w:val="both"/>
        <w:rPr>
          <w:rFonts w:ascii="David" w:eastAsia="David" w:hAnsi="David"/>
          <w:sz w:val="2"/>
          <w:szCs w:val="2"/>
          <w:u w:val="single"/>
        </w:rPr>
      </w:pPr>
    </w:p>
    <w:p w14:paraId="05A9EEF4" w14:textId="77777777" w:rsidR="00B936FD" w:rsidRPr="00327826" w:rsidRDefault="00B936FD" w:rsidP="00B936FD">
      <w:pPr>
        <w:pStyle w:val="a9"/>
        <w:numPr>
          <w:ilvl w:val="0"/>
          <w:numId w:val="1"/>
        </w:numPr>
        <w:spacing w:before="100" w:beforeAutospacing="1" w:after="100" w:afterAutospacing="1" w:line="360" w:lineRule="auto"/>
        <w:jc w:val="both"/>
        <w:rPr>
          <w:rFonts w:ascii="David" w:hAnsi="David"/>
        </w:rPr>
      </w:pPr>
      <w:r w:rsidRPr="00327826">
        <w:rPr>
          <w:rFonts w:ascii="David" w:eastAsia="Calibri" w:hAnsi="David"/>
          <w:rtl/>
        </w:rPr>
        <w:t>במכלול הנסיבות,</w:t>
      </w:r>
      <w:r w:rsidR="00A369AF">
        <w:rPr>
          <w:rFonts w:ascii="David" w:eastAsia="Calibri" w:hAnsi="David"/>
          <w:rtl/>
        </w:rPr>
        <w:t xml:space="preserve"> </w:t>
      </w:r>
      <w:r w:rsidRPr="00327826">
        <w:rPr>
          <w:rFonts w:ascii="David" w:eastAsia="Calibri" w:hAnsi="David"/>
          <w:rtl/>
        </w:rPr>
        <w:t xml:space="preserve"> </w:t>
      </w:r>
      <w:r>
        <w:rPr>
          <w:rFonts w:ascii="David" w:eastAsia="Calibri" w:hAnsi="David" w:hint="cs"/>
          <w:rtl/>
        </w:rPr>
        <w:t xml:space="preserve">ובהתחשב בנסיבות לקולה, </w:t>
      </w:r>
      <w:r w:rsidRPr="00327826">
        <w:rPr>
          <w:rFonts w:ascii="David" w:eastAsia="Calibri" w:hAnsi="David"/>
          <w:rtl/>
        </w:rPr>
        <w:t>אני סבור שנכון לגזור על הנאשם עונש מאסר בפועל</w:t>
      </w:r>
      <w:r>
        <w:rPr>
          <w:rFonts w:ascii="David" w:hAnsi="David" w:hint="cs"/>
          <w:rtl/>
        </w:rPr>
        <w:t xml:space="preserve"> ברף התחתון של מתחם העונש ההולם</w:t>
      </w:r>
      <w:r w:rsidRPr="00327826">
        <w:rPr>
          <w:rFonts w:ascii="David" w:hAnsi="David" w:hint="cs"/>
          <w:rtl/>
        </w:rPr>
        <w:t xml:space="preserve">. </w:t>
      </w:r>
    </w:p>
    <w:p w14:paraId="6340B086" w14:textId="77777777" w:rsidR="00B936FD" w:rsidRPr="00327826" w:rsidRDefault="00B936FD" w:rsidP="00B936FD">
      <w:pPr>
        <w:pStyle w:val="a9"/>
        <w:rPr>
          <w:rFonts w:ascii="David" w:hAnsi="David"/>
          <w:b/>
          <w:bCs/>
          <w:sz w:val="8"/>
          <w:szCs w:val="8"/>
          <w:u w:val="single"/>
          <w:rtl/>
        </w:rPr>
      </w:pPr>
    </w:p>
    <w:p w14:paraId="43C0F320" w14:textId="77777777" w:rsidR="00B936FD" w:rsidRPr="00327826" w:rsidRDefault="00B936FD" w:rsidP="00B936FD">
      <w:pPr>
        <w:spacing w:before="100" w:beforeAutospacing="1" w:after="100" w:afterAutospacing="1" w:line="360" w:lineRule="auto"/>
        <w:ind w:firstLine="360"/>
        <w:jc w:val="both"/>
        <w:rPr>
          <w:rFonts w:ascii="David" w:hAnsi="David"/>
        </w:rPr>
      </w:pPr>
      <w:r w:rsidRPr="00327826">
        <w:rPr>
          <w:rFonts w:ascii="David" w:hAnsi="David"/>
          <w:b/>
          <w:bCs/>
          <w:u w:val="single"/>
          <w:rtl/>
        </w:rPr>
        <w:t>עתירת המאשימה לחילוט הרכב</w:t>
      </w:r>
    </w:p>
    <w:p w14:paraId="5C3BE26C" w14:textId="77777777" w:rsidR="00B936FD" w:rsidRPr="00D01FA0" w:rsidRDefault="00B936FD" w:rsidP="00B936FD">
      <w:pPr>
        <w:numPr>
          <w:ilvl w:val="0"/>
          <w:numId w:val="1"/>
        </w:numPr>
        <w:spacing w:after="160" w:line="360" w:lineRule="auto"/>
        <w:contextualSpacing/>
        <w:jc w:val="both"/>
        <w:rPr>
          <w:rFonts w:ascii="David" w:eastAsia="David" w:hAnsi="David"/>
        </w:rPr>
      </w:pPr>
      <w:r>
        <w:rPr>
          <w:rFonts w:ascii="David" w:eastAsia="David" w:hAnsi="David" w:hint="cs"/>
          <w:rtl/>
        </w:rPr>
        <w:t xml:space="preserve">כאמור </w:t>
      </w:r>
      <w:r w:rsidRPr="00D01FA0">
        <w:rPr>
          <w:rFonts w:ascii="David" w:eastAsia="David" w:hAnsi="David"/>
          <w:rtl/>
        </w:rPr>
        <w:t>המאשימה עתרה לחילוט הר</w:t>
      </w:r>
      <w:r>
        <w:rPr>
          <w:rFonts w:ascii="David" w:eastAsia="David" w:hAnsi="David"/>
          <w:rtl/>
        </w:rPr>
        <w:t>כב בו בוצעה העבירה</w:t>
      </w:r>
      <w:r>
        <w:rPr>
          <w:rFonts w:ascii="David" w:eastAsia="David" w:hAnsi="David" w:hint="cs"/>
          <w:rtl/>
        </w:rPr>
        <w:t xml:space="preserve"> וההגנה התנגדה לכך מהטעמים שפורטו לעיל</w:t>
      </w:r>
      <w:r w:rsidRPr="00D01FA0">
        <w:rPr>
          <w:rFonts w:ascii="David" w:eastAsia="David" w:hAnsi="David"/>
          <w:rtl/>
        </w:rPr>
        <w:t xml:space="preserve">. </w:t>
      </w:r>
    </w:p>
    <w:p w14:paraId="006A343C" w14:textId="77777777" w:rsidR="00B936FD" w:rsidRPr="000E5C67" w:rsidRDefault="00B936FD" w:rsidP="00B936FD">
      <w:pPr>
        <w:spacing w:line="360" w:lineRule="auto"/>
        <w:ind w:left="720"/>
        <w:jc w:val="both"/>
        <w:rPr>
          <w:rFonts w:ascii="David" w:eastAsia="David" w:hAnsi="David"/>
          <w:sz w:val="10"/>
          <w:szCs w:val="10"/>
          <w:rtl/>
        </w:rPr>
      </w:pPr>
    </w:p>
    <w:p w14:paraId="0562A3F6" w14:textId="77777777" w:rsidR="00B936FD" w:rsidRPr="00327826" w:rsidRDefault="00725520" w:rsidP="00B936FD">
      <w:pPr>
        <w:pStyle w:val="a9"/>
        <w:numPr>
          <w:ilvl w:val="0"/>
          <w:numId w:val="1"/>
        </w:numPr>
        <w:spacing w:line="360" w:lineRule="auto"/>
        <w:jc w:val="both"/>
        <w:rPr>
          <w:rFonts w:ascii="David" w:hAnsi="David"/>
          <w:rtl/>
        </w:rPr>
      </w:pPr>
      <w:hyperlink r:id="rId47" w:history="1">
        <w:r w:rsidRPr="00725520">
          <w:rPr>
            <w:rStyle w:val="Hyperlink"/>
            <w:rFonts w:ascii="David" w:hAnsi="David"/>
            <w:rtl/>
          </w:rPr>
          <w:t>סעיף 39</w:t>
        </w:r>
      </w:hyperlink>
      <w:r w:rsidR="00B936FD" w:rsidRPr="00327826">
        <w:rPr>
          <w:rFonts w:ascii="David" w:hAnsi="David"/>
          <w:rtl/>
        </w:rPr>
        <w:t xml:space="preserve"> ל</w:t>
      </w:r>
      <w:hyperlink r:id="rId48" w:history="1">
        <w:r w:rsidR="00A369AF" w:rsidRPr="00A369AF">
          <w:rPr>
            <w:rFonts w:ascii="David" w:hAnsi="David"/>
            <w:color w:val="0000FF"/>
            <w:u w:val="single"/>
            <w:rtl/>
          </w:rPr>
          <w:t>פקודת סדר הדין הפלילי (מעצר וחיפוש)</w:t>
        </w:r>
      </w:hyperlink>
      <w:r w:rsidR="00B936FD" w:rsidRPr="00327826">
        <w:rPr>
          <w:rFonts w:ascii="David" w:hAnsi="David"/>
          <w:rtl/>
        </w:rPr>
        <w:t xml:space="preserve"> [נוסח חדש], תשכ"ט-1969 קובע כי:</w:t>
      </w:r>
      <w:r w:rsidR="00B936FD" w:rsidRPr="00327826">
        <w:rPr>
          <w:rFonts w:ascii="David" w:hAnsi="David"/>
          <w:b/>
          <w:bCs/>
          <w:rtl/>
        </w:rPr>
        <w:t xml:space="preserve">"על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w:t>
      </w:r>
      <w:r w:rsidR="00B936FD" w:rsidRPr="00327826">
        <w:rPr>
          <w:rFonts w:ascii="David" w:hAnsi="David"/>
          <w:b/>
          <w:bCs/>
          <w:u w:val="single"/>
          <w:rtl/>
        </w:rPr>
        <w:t>הוא בעל החפץ</w:t>
      </w:r>
      <w:r w:rsidR="00B936FD" w:rsidRPr="00327826">
        <w:rPr>
          <w:rFonts w:ascii="David" w:hAnsi="David"/>
          <w:b/>
          <w:bCs/>
          <w:rtl/>
        </w:rPr>
        <w:t xml:space="preserve">; דין צו זה כדין עונש שהוטל על הנאשם" </w:t>
      </w:r>
      <w:r w:rsidR="00B936FD" w:rsidRPr="00327826">
        <w:rPr>
          <w:rFonts w:ascii="David" w:hAnsi="David"/>
          <w:rtl/>
        </w:rPr>
        <w:t xml:space="preserve">(ההדגשה שלי ג.ק). </w:t>
      </w:r>
    </w:p>
    <w:p w14:paraId="3438D6C2" w14:textId="77777777" w:rsidR="00B936FD" w:rsidRPr="000E5C67" w:rsidRDefault="00B936FD" w:rsidP="00B936FD">
      <w:pPr>
        <w:spacing w:line="360" w:lineRule="auto"/>
        <w:ind w:left="720"/>
        <w:contextualSpacing/>
        <w:jc w:val="both"/>
        <w:rPr>
          <w:rFonts w:ascii="David" w:hAnsi="David"/>
          <w:sz w:val="10"/>
          <w:szCs w:val="10"/>
          <w:rtl/>
        </w:rPr>
      </w:pPr>
    </w:p>
    <w:p w14:paraId="03938CE8" w14:textId="77777777" w:rsidR="00B936FD" w:rsidRPr="00D01FA0" w:rsidRDefault="00B936FD" w:rsidP="00B936FD">
      <w:pPr>
        <w:spacing w:line="360" w:lineRule="auto"/>
        <w:ind w:left="720"/>
        <w:contextualSpacing/>
        <w:jc w:val="both"/>
        <w:rPr>
          <w:rFonts w:ascii="David" w:hAnsi="David"/>
          <w:b/>
          <w:bCs/>
          <w:rtl/>
        </w:rPr>
      </w:pPr>
      <w:r w:rsidRPr="00D01FA0">
        <w:rPr>
          <w:rFonts w:ascii="David" w:hAnsi="David"/>
          <w:rtl/>
        </w:rPr>
        <w:t>סמכות החילוט נתונה לבית המשפט והיא סמכות שברשות ר' בהקשר זה דברי כב' השופט י. אלרון ב</w:t>
      </w:r>
      <w:hyperlink r:id="rId49" w:history="1">
        <w:r w:rsidR="00A369AF" w:rsidRPr="00A369AF">
          <w:rPr>
            <w:rFonts w:ascii="David" w:hAnsi="David"/>
            <w:b/>
            <w:bCs/>
            <w:color w:val="0000FF"/>
            <w:u w:val="single"/>
            <w:rtl/>
          </w:rPr>
          <w:t>ע"פ 9104-20</w:t>
        </w:r>
      </w:hyperlink>
      <w:r w:rsidRPr="00D01FA0">
        <w:rPr>
          <w:rFonts w:ascii="David" w:hAnsi="David"/>
          <w:b/>
          <w:bCs/>
          <w:rtl/>
        </w:rPr>
        <w:t xml:space="preserve"> </w:t>
      </w:r>
      <w:r w:rsidRPr="00D01FA0">
        <w:rPr>
          <w:rFonts w:ascii="David" w:hAnsi="David"/>
          <w:b/>
          <w:bCs/>
          <w:u w:val="single"/>
          <w:rtl/>
        </w:rPr>
        <w:t>מדינת ישראל נ' דוד טבצ'ניקוב</w:t>
      </w:r>
      <w:r w:rsidRPr="00D01FA0">
        <w:rPr>
          <w:rFonts w:ascii="David" w:hAnsi="David"/>
          <w:rtl/>
        </w:rPr>
        <w:t xml:space="preserve"> : </w:t>
      </w:r>
      <w:r w:rsidRPr="00D01FA0">
        <w:rPr>
          <w:rFonts w:ascii="David" w:hAnsi="David"/>
          <w:b/>
          <w:bCs/>
          <w:rtl/>
        </w:rPr>
        <w:t>"</w:t>
      </w:r>
      <w:r>
        <w:rPr>
          <w:rFonts w:ascii="David" w:hAnsi="David" w:hint="cs"/>
          <w:b/>
          <w:bCs/>
          <w:rtl/>
        </w:rPr>
        <w:t>...</w:t>
      </w:r>
      <w:r w:rsidRPr="00D01FA0">
        <w:rPr>
          <w:rFonts w:ascii="David" w:hAnsi="David"/>
          <w:b/>
          <w:bCs/>
          <w:rtl/>
        </w:rPr>
        <w:t xml:space="preserve"> סמכותו של בית המשפט להורות על חילוט רכוש על פי סעיפים 32 ו-39 ל</w:t>
      </w:r>
      <w:hyperlink r:id="rId50" w:history="1">
        <w:r w:rsidR="00A369AF" w:rsidRPr="00A369AF">
          <w:rPr>
            <w:rFonts w:ascii="David" w:hAnsi="David"/>
            <w:b/>
            <w:bCs/>
            <w:color w:val="0000FF"/>
            <w:u w:val="single"/>
            <w:rtl/>
          </w:rPr>
          <w:t>פקודת סדר הדין הפלילי (מעצר וחיפוש)</w:t>
        </w:r>
      </w:hyperlink>
      <w:r w:rsidRPr="00D01FA0">
        <w:rPr>
          <w:rFonts w:ascii="David" w:hAnsi="David"/>
          <w:b/>
          <w:bCs/>
          <w:rtl/>
        </w:rPr>
        <w:t xml:space="preserve"> [נוסח חדש], התשכ"ט–1969, היא סמכות שבשיקול דעת, אשר הפעלתה תלויה בין היתר בהשלכות חילוט הרכוש ובהשתלבותו במע</w:t>
      </w:r>
      <w:r>
        <w:rPr>
          <w:rFonts w:ascii="David" w:hAnsi="David"/>
          <w:b/>
          <w:bCs/>
          <w:rtl/>
        </w:rPr>
        <w:t>רך הענישה הכולל שיושת על הנאשם</w:t>
      </w:r>
      <w:r>
        <w:rPr>
          <w:rFonts w:ascii="David" w:hAnsi="David" w:hint="cs"/>
          <w:b/>
          <w:bCs/>
          <w:rtl/>
        </w:rPr>
        <w:t>...".</w:t>
      </w:r>
      <w:r w:rsidRPr="00D01FA0">
        <w:rPr>
          <w:rFonts w:ascii="David" w:hAnsi="David"/>
          <w:b/>
          <w:bCs/>
          <w:rtl/>
        </w:rPr>
        <w:t xml:space="preserve"> </w:t>
      </w:r>
    </w:p>
    <w:p w14:paraId="4E914BDA" w14:textId="77777777" w:rsidR="00B936FD" w:rsidRPr="00DE1DEF" w:rsidRDefault="00B936FD" w:rsidP="00B936FD">
      <w:pPr>
        <w:spacing w:line="360" w:lineRule="auto"/>
        <w:ind w:left="720"/>
        <w:jc w:val="both"/>
        <w:rPr>
          <w:rFonts w:ascii="David" w:eastAsia="David" w:hAnsi="David"/>
          <w:sz w:val="12"/>
          <w:szCs w:val="12"/>
        </w:rPr>
      </w:pPr>
    </w:p>
    <w:p w14:paraId="3717C8CB" w14:textId="77777777" w:rsidR="00B936FD" w:rsidRDefault="00B936FD" w:rsidP="00B936FD">
      <w:pPr>
        <w:pStyle w:val="a9"/>
        <w:numPr>
          <w:ilvl w:val="0"/>
          <w:numId w:val="1"/>
        </w:numPr>
        <w:spacing w:line="360" w:lineRule="auto"/>
        <w:jc w:val="both"/>
        <w:rPr>
          <w:rFonts w:ascii="David" w:hAnsi="David"/>
        </w:rPr>
      </w:pPr>
      <w:r w:rsidRPr="000E5C67">
        <w:rPr>
          <w:rFonts w:ascii="David" w:hAnsi="David"/>
          <w:rtl/>
        </w:rPr>
        <w:t>אמת-המידה למתן צו-חילוט היא על-פי "</w:t>
      </w:r>
      <w:r w:rsidRPr="000E5C67">
        <w:rPr>
          <w:rFonts w:ascii="David" w:hAnsi="David"/>
          <w:b/>
          <w:bCs/>
          <w:rtl/>
        </w:rPr>
        <w:t>מהותה ועוצמתה של הזיקה</w:t>
      </w:r>
      <w:r w:rsidRPr="000E5C67">
        <w:rPr>
          <w:rFonts w:ascii="David" w:hAnsi="David"/>
          <w:rtl/>
        </w:rPr>
        <w:t>" בין ביצוע העבירות לבין רכבו של הנאשם. ראה בהקשר זה -</w:t>
      </w:r>
      <w:hyperlink r:id="rId51" w:history="1">
        <w:r w:rsidR="00A369AF" w:rsidRPr="00A369AF">
          <w:rPr>
            <w:rFonts w:ascii="David" w:hAnsi="David"/>
            <w:b/>
            <w:bCs/>
            <w:color w:val="0000FF"/>
            <w:u w:val="single"/>
            <w:rtl/>
          </w:rPr>
          <w:t>ע"פ 4148/92</w:t>
        </w:r>
      </w:hyperlink>
      <w:r w:rsidRPr="000E5C67">
        <w:rPr>
          <w:rFonts w:ascii="David" w:hAnsi="David"/>
          <w:b/>
          <w:bCs/>
          <w:rtl/>
        </w:rPr>
        <w:t xml:space="preserve"> </w:t>
      </w:r>
      <w:r w:rsidRPr="000E5C67">
        <w:rPr>
          <w:rFonts w:ascii="David" w:hAnsi="David"/>
          <w:b/>
          <w:bCs/>
          <w:u w:val="single"/>
          <w:rtl/>
        </w:rPr>
        <w:t>מועד נ' מדינת ישראל</w:t>
      </w:r>
      <w:r w:rsidRPr="000E5C67">
        <w:rPr>
          <w:rFonts w:ascii="David" w:hAnsi="David"/>
          <w:rtl/>
        </w:rPr>
        <w:t xml:space="preserve"> :  "</w:t>
      </w:r>
      <w:r w:rsidRPr="000E5C67">
        <w:rPr>
          <w:rFonts w:ascii="David" w:hAnsi="David"/>
          <w:b/>
          <w:bCs/>
          <w:rtl/>
        </w:rPr>
        <w:t>אין צריך לומר כי בעבירות שבפנינו מן הראוי להחליט על חילוט. 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w:t>
      </w:r>
      <w:r w:rsidRPr="000E5C67">
        <w:rPr>
          <w:rFonts w:ascii="David" w:hAnsi="David"/>
          <w:rtl/>
        </w:rPr>
        <w:t>".</w:t>
      </w:r>
    </w:p>
    <w:p w14:paraId="267EE6C5" w14:textId="77777777" w:rsidR="00B936FD" w:rsidRPr="006E76AF" w:rsidRDefault="00B936FD" w:rsidP="00B936FD">
      <w:pPr>
        <w:pStyle w:val="a9"/>
        <w:spacing w:line="360" w:lineRule="auto"/>
        <w:jc w:val="both"/>
        <w:rPr>
          <w:rFonts w:ascii="David" w:hAnsi="David"/>
          <w:sz w:val="14"/>
          <w:szCs w:val="14"/>
          <w:rtl/>
        </w:rPr>
      </w:pPr>
    </w:p>
    <w:p w14:paraId="6D67D0EE" w14:textId="77777777" w:rsidR="00B936FD" w:rsidRPr="000E5C67" w:rsidRDefault="00B936FD" w:rsidP="00B936FD">
      <w:pPr>
        <w:pStyle w:val="a9"/>
        <w:spacing w:line="360" w:lineRule="auto"/>
        <w:jc w:val="both"/>
        <w:rPr>
          <w:rFonts w:ascii="David" w:hAnsi="David"/>
          <w:rtl/>
        </w:rPr>
      </w:pPr>
      <w:r w:rsidRPr="000E5C67">
        <w:rPr>
          <w:rFonts w:ascii="David" w:hAnsi="David"/>
          <w:rtl/>
        </w:rPr>
        <w:t>במקרה הנדון מתקיימת זיקה ישירה</w:t>
      </w:r>
      <w:r>
        <w:rPr>
          <w:rFonts w:ascii="David" w:hAnsi="David"/>
          <w:rtl/>
        </w:rPr>
        <w:t xml:space="preserve"> בין העבירה בה הנאשם הורשע לרכב</w:t>
      </w:r>
      <w:r>
        <w:rPr>
          <w:rFonts w:ascii="David" w:hAnsi="David" w:hint="cs"/>
          <w:rtl/>
        </w:rPr>
        <w:t xml:space="preserve"> מאחר והנשק הוחזק על ידי הנאשמים בתוך הרכב.</w:t>
      </w:r>
    </w:p>
    <w:p w14:paraId="42C73199" w14:textId="77777777" w:rsidR="00B936FD" w:rsidRPr="00F438B6" w:rsidRDefault="00B936FD" w:rsidP="00B936FD">
      <w:pPr>
        <w:pStyle w:val="a9"/>
        <w:spacing w:before="100" w:beforeAutospacing="1" w:after="100" w:afterAutospacing="1" w:line="360" w:lineRule="auto"/>
        <w:jc w:val="both"/>
        <w:rPr>
          <w:rFonts w:ascii="David" w:hAnsi="David"/>
          <w:sz w:val="12"/>
          <w:szCs w:val="12"/>
        </w:rPr>
      </w:pPr>
    </w:p>
    <w:p w14:paraId="6EC68D3A" w14:textId="77777777" w:rsidR="00B936FD" w:rsidRPr="006E76AF" w:rsidRDefault="00B936FD" w:rsidP="00B936FD">
      <w:pPr>
        <w:pStyle w:val="a9"/>
        <w:numPr>
          <w:ilvl w:val="0"/>
          <w:numId w:val="1"/>
        </w:numPr>
        <w:spacing w:before="100" w:beforeAutospacing="1" w:after="100" w:afterAutospacing="1" w:line="360" w:lineRule="auto"/>
        <w:jc w:val="both"/>
        <w:rPr>
          <w:rFonts w:ascii="David" w:hAnsi="David"/>
          <w:rtl/>
        </w:rPr>
      </w:pPr>
      <w:r>
        <w:rPr>
          <w:rFonts w:ascii="David" w:hAnsi="David" w:hint="cs"/>
          <w:rtl/>
        </w:rPr>
        <w:t xml:space="preserve">לצורך </w:t>
      </w:r>
      <w:r w:rsidRPr="006E76AF">
        <w:rPr>
          <w:rFonts w:ascii="David" w:hAnsi="David"/>
          <w:rtl/>
        </w:rPr>
        <w:t>חילוט הרכב על המאשימה להוכיח כי הרכב מצוי בבעלותו של הנאשם. ב</w:t>
      </w:r>
      <w:hyperlink r:id="rId52" w:history="1">
        <w:r w:rsidR="00A369AF" w:rsidRPr="00A369AF">
          <w:rPr>
            <w:rFonts w:ascii="David" w:hAnsi="David"/>
            <w:b/>
            <w:bCs/>
            <w:color w:val="0000FF"/>
            <w:u w:val="single"/>
            <w:rtl/>
          </w:rPr>
          <w:t>ע"פ 6234/03</w:t>
        </w:r>
      </w:hyperlink>
      <w:r w:rsidRPr="006E76AF">
        <w:rPr>
          <w:rFonts w:ascii="David" w:hAnsi="David"/>
          <w:b/>
          <w:bCs/>
          <w:rtl/>
        </w:rPr>
        <w:t xml:space="preserve"> </w:t>
      </w:r>
      <w:r w:rsidRPr="006E76AF">
        <w:rPr>
          <w:rFonts w:ascii="David" w:hAnsi="David"/>
          <w:b/>
          <w:bCs/>
          <w:u w:val="single"/>
          <w:rtl/>
        </w:rPr>
        <w:t>מדינת ישראל נ' זיתאווי</w:t>
      </w:r>
      <w:r w:rsidRPr="006E76AF">
        <w:rPr>
          <w:rFonts w:ascii="David" w:hAnsi="David"/>
          <w:rtl/>
        </w:rPr>
        <w:t xml:space="preserve"> סיכם השופט א' א' לוי את תנאי החילוט הקבועים </w:t>
      </w:r>
      <w:hyperlink r:id="rId53" w:history="1">
        <w:r w:rsidR="00725520" w:rsidRPr="00725520">
          <w:rPr>
            <w:rStyle w:val="Hyperlink"/>
            <w:rFonts w:ascii="David" w:hAnsi="David"/>
            <w:rtl/>
          </w:rPr>
          <w:t>בסעיפים 32</w:t>
        </w:r>
      </w:hyperlink>
      <w:r w:rsidRPr="006E76AF">
        <w:rPr>
          <w:rFonts w:ascii="David" w:hAnsi="David"/>
          <w:rtl/>
        </w:rPr>
        <w:t xml:space="preserve"> ו-</w:t>
      </w:r>
      <w:hyperlink r:id="rId54" w:history="1">
        <w:r w:rsidR="00725520" w:rsidRPr="00725520">
          <w:rPr>
            <w:rStyle w:val="Hyperlink"/>
            <w:rFonts w:ascii="David" w:hAnsi="David"/>
            <w:rtl/>
          </w:rPr>
          <w:t>34(א)</w:t>
        </w:r>
      </w:hyperlink>
      <w:r w:rsidRPr="006E76AF">
        <w:rPr>
          <w:rFonts w:ascii="David" w:hAnsi="David"/>
          <w:rtl/>
        </w:rPr>
        <w:t xml:space="preserve"> לפקודה: "</w:t>
      </w:r>
      <w:r w:rsidRPr="006E76AF">
        <w:rPr>
          <w:rFonts w:ascii="David" w:hAnsi="David"/>
          <w:b/>
          <w:bCs/>
          <w:rtl/>
        </w:rPr>
        <w:t>סעיף 39(א) 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55" w:history="1">
        <w:r w:rsidR="00A369AF" w:rsidRPr="00A369AF">
          <w:rPr>
            <w:rFonts w:ascii="David" w:hAnsi="David"/>
            <w:b/>
            <w:bCs/>
            <w:color w:val="0000FF"/>
            <w:u w:val="single"/>
            <w:rtl/>
          </w:rPr>
          <w:t>ע"פ1982/93</w:t>
        </w:r>
      </w:hyperlink>
      <w:r w:rsidRPr="006E76AF">
        <w:rPr>
          <w:rFonts w:ascii="David" w:hAnsi="David"/>
          <w:b/>
          <w:bCs/>
          <w:rtl/>
        </w:rPr>
        <w:t xml:space="preserve"> בנק לאומי לישראל בע"מ נ' מדינת ישראל פ"ד מח(3), 238)"</w:t>
      </w:r>
      <w:r w:rsidRPr="006E76AF">
        <w:rPr>
          <w:rFonts w:ascii="David" w:hAnsi="David"/>
          <w:rtl/>
        </w:rPr>
        <w:t>.</w:t>
      </w:r>
    </w:p>
    <w:p w14:paraId="5224D152" w14:textId="77777777" w:rsidR="00B936FD" w:rsidRDefault="00B936FD" w:rsidP="00B936FD">
      <w:pPr>
        <w:spacing w:before="100" w:beforeAutospacing="1" w:after="100" w:afterAutospacing="1" w:line="360" w:lineRule="auto"/>
        <w:ind w:left="720"/>
        <w:jc w:val="both"/>
        <w:rPr>
          <w:rFonts w:ascii="David" w:hAnsi="David"/>
          <w:rtl/>
        </w:rPr>
      </w:pPr>
      <w:r w:rsidRPr="00D01FA0">
        <w:rPr>
          <w:rFonts w:ascii="David" w:eastAsia="David" w:hAnsi="David"/>
          <w:rtl/>
        </w:rPr>
        <w:t xml:space="preserve">אין חולק כי הנאשם אינו הבעלים הרשום של הרכב, </w:t>
      </w:r>
      <w:r>
        <w:rPr>
          <w:rFonts w:ascii="David" w:eastAsia="David" w:hAnsi="David" w:hint="cs"/>
          <w:rtl/>
        </w:rPr>
        <w:t>אלא ש</w:t>
      </w:r>
      <w:r w:rsidRPr="00D01FA0">
        <w:rPr>
          <w:rFonts w:ascii="David" w:eastAsia="David" w:hAnsi="David"/>
          <w:rtl/>
        </w:rPr>
        <w:t xml:space="preserve">אין בעובדה </w:t>
      </w:r>
      <w:r>
        <w:rPr>
          <w:rFonts w:ascii="David" w:eastAsia="David" w:hAnsi="David" w:hint="cs"/>
          <w:rtl/>
        </w:rPr>
        <w:t xml:space="preserve">זו </w:t>
      </w:r>
      <w:r w:rsidRPr="00D01FA0">
        <w:rPr>
          <w:rFonts w:ascii="David" w:eastAsia="David" w:hAnsi="David"/>
          <w:rtl/>
        </w:rPr>
        <w:t>כדי לחסום את אפשרות חילוטו. עם זאת, יש להצביע על זיקה ברורה בין הרכב לנאשם. קרי, שהנאשם עשה שימוש תכוף ברכב או נהג בו מנהג בעלים וכד'.</w:t>
      </w:r>
      <w:r>
        <w:rPr>
          <w:rFonts w:ascii="David" w:hAnsi="David" w:hint="cs"/>
          <w:color w:val="000000"/>
          <w:rtl/>
        </w:rPr>
        <w:t xml:space="preserve"> ע</w:t>
      </w:r>
      <w:r w:rsidRPr="00D01FA0">
        <w:rPr>
          <w:rFonts w:ascii="David" w:hAnsi="David"/>
          <w:color w:val="000000"/>
          <w:rtl/>
        </w:rPr>
        <w:t>ל המאשימה המבקשת את חילוטו של רכב, להוכיח את מידת הזיקה של הנאשם לרכב (ראו</w:t>
      </w:r>
      <w:r w:rsidR="00A369AF">
        <w:rPr>
          <w:rFonts w:ascii="David" w:hAnsi="David"/>
          <w:color w:val="000000"/>
          <w:rtl/>
        </w:rPr>
        <w:t xml:space="preserve"> </w:t>
      </w:r>
      <w:hyperlink r:id="rId56" w:history="1">
        <w:r w:rsidR="00A369AF" w:rsidRPr="00A369AF">
          <w:rPr>
            <w:rFonts w:ascii="David" w:hAnsi="David"/>
            <w:b/>
            <w:bCs/>
            <w:color w:val="0000FF"/>
            <w:u w:val="single"/>
            <w:rtl/>
          </w:rPr>
          <w:t>ע"פ 4148/92</w:t>
        </w:r>
      </w:hyperlink>
      <w:r w:rsidR="00A369AF">
        <w:rPr>
          <w:rFonts w:ascii="David" w:hAnsi="David"/>
          <w:b/>
          <w:bCs/>
        </w:rPr>
        <w:t xml:space="preserve"> </w:t>
      </w:r>
      <w:r w:rsidRPr="00D01FA0">
        <w:rPr>
          <w:rFonts w:ascii="David" w:hAnsi="David"/>
          <w:b/>
          <w:bCs/>
          <w:u w:val="single"/>
          <w:rtl/>
        </w:rPr>
        <w:t>חוסין מועד נ' מדינת ישראל</w:t>
      </w:r>
      <w:r w:rsidRPr="00D01FA0">
        <w:rPr>
          <w:rFonts w:ascii="David" w:hAnsi="David"/>
          <w:b/>
          <w:bCs/>
          <w:rtl/>
        </w:rPr>
        <w:t>).</w:t>
      </w:r>
      <w:r w:rsidRPr="00D01FA0">
        <w:rPr>
          <w:rFonts w:ascii="David" w:hAnsi="David"/>
          <w:rtl/>
        </w:rPr>
        <w:t xml:space="preserve">  </w:t>
      </w:r>
    </w:p>
    <w:p w14:paraId="697F1C51" w14:textId="77777777" w:rsidR="00B936FD" w:rsidRDefault="00B936FD" w:rsidP="00B936FD">
      <w:pPr>
        <w:spacing w:before="100" w:beforeAutospacing="1" w:after="100" w:afterAutospacing="1" w:line="360" w:lineRule="auto"/>
        <w:ind w:left="720"/>
        <w:jc w:val="both"/>
        <w:rPr>
          <w:rFonts w:ascii="David" w:hAnsi="David"/>
          <w:rtl/>
        </w:rPr>
      </w:pPr>
      <w:r>
        <w:rPr>
          <w:rFonts w:ascii="David" w:hAnsi="David"/>
          <w:rtl/>
        </w:rPr>
        <w:t xml:space="preserve">הטענה </w:t>
      </w:r>
      <w:r>
        <w:rPr>
          <w:rFonts w:ascii="David" w:hAnsi="David" w:hint="cs"/>
          <w:rtl/>
        </w:rPr>
        <w:t xml:space="preserve">לפיה </w:t>
      </w:r>
      <w:r>
        <w:rPr>
          <w:rFonts w:ascii="David" w:hAnsi="David"/>
          <w:rtl/>
        </w:rPr>
        <w:t>הרכב נרכש על ידי א</w:t>
      </w:r>
      <w:r w:rsidRPr="00D01FA0">
        <w:rPr>
          <w:rFonts w:ascii="David" w:hAnsi="David"/>
          <w:rtl/>
        </w:rPr>
        <w:t>ש</w:t>
      </w:r>
      <w:r>
        <w:rPr>
          <w:rFonts w:ascii="David" w:hAnsi="David"/>
          <w:rtl/>
        </w:rPr>
        <w:t>תו של הנאשם טרם נישואיה לא נסתר</w:t>
      </w:r>
      <w:r>
        <w:rPr>
          <w:rFonts w:ascii="David" w:hAnsi="David" w:hint="cs"/>
          <w:rtl/>
        </w:rPr>
        <w:t>ה ואף הוגש אישור לפיו הרכב הוזמן על ידה כבר בשנת 2018</w:t>
      </w:r>
      <w:r w:rsidRPr="00D01FA0">
        <w:rPr>
          <w:rFonts w:ascii="David" w:hAnsi="David"/>
          <w:rtl/>
        </w:rPr>
        <w:t>.</w:t>
      </w:r>
      <w:r>
        <w:rPr>
          <w:rFonts w:ascii="David" w:hAnsi="David" w:hint="cs"/>
          <w:rtl/>
        </w:rPr>
        <w:t xml:space="preserve">  </w:t>
      </w:r>
    </w:p>
    <w:p w14:paraId="4C6E2DFC" w14:textId="77777777" w:rsidR="00B936FD" w:rsidRDefault="00B936FD" w:rsidP="00B936FD">
      <w:pPr>
        <w:spacing w:before="100" w:beforeAutospacing="1" w:after="100" w:afterAutospacing="1" w:line="360" w:lineRule="auto"/>
        <w:ind w:left="720"/>
        <w:jc w:val="both"/>
        <w:rPr>
          <w:rFonts w:ascii="David" w:hAnsi="David"/>
          <w:rtl/>
        </w:rPr>
      </w:pPr>
      <w:r>
        <w:rPr>
          <w:rFonts w:ascii="David" w:hAnsi="David" w:hint="cs"/>
          <w:rtl/>
        </w:rPr>
        <w:t>עם זאת הרכב שישמש את התא המשפחתי ואת הנאשם עצמו כפי שעל גם מעדותה של אשתו, והנאשם נהג בו מנהג בעלים, כך שאין בעובדת רישום הרכב על שם אשתו והעובדה שנקנה טרם נישואיהם כדי לחסום את אפשרות חילוטו.</w:t>
      </w:r>
    </w:p>
    <w:p w14:paraId="39E6FF3A" w14:textId="77777777" w:rsidR="00B936FD" w:rsidRDefault="00B936FD" w:rsidP="00B936FD">
      <w:pPr>
        <w:spacing w:before="100" w:beforeAutospacing="1" w:after="100" w:afterAutospacing="1" w:line="360" w:lineRule="auto"/>
        <w:ind w:left="720"/>
        <w:jc w:val="both"/>
        <w:rPr>
          <w:rFonts w:ascii="David" w:hAnsi="David"/>
          <w:rtl/>
        </w:rPr>
      </w:pPr>
    </w:p>
    <w:p w14:paraId="6DDA3660" w14:textId="77777777" w:rsidR="00B936FD" w:rsidRDefault="00B936FD" w:rsidP="00B936FD">
      <w:pPr>
        <w:pStyle w:val="a9"/>
        <w:numPr>
          <w:ilvl w:val="0"/>
          <w:numId w:val="1"/>
        </w:numPr>
        <w:spacing w:before="100" w:beforeAutospacing="1" w:after="100" w:afterAutospacing="1" w:line="360" w:lineRule="auto"/>
        <w:jc w:val="both"/>
        <w:rPr>
          <w:rFonts w:ascii="David" w:hAnsi="David"/>
          <w:sz w:val="16"/>
          <w:szCs w:val="16"/>
        </w:rPr>
      </w:pPr>
      <w:r w:rsidRPr="000F1827">
        <w:rPr>
          <w:rFonts w:ascii="David" w:hAnsi="David" w:hint="cs"/>
          <w:rtl/>
        </w:rPr>
        <w:t>במכלול הנסיבות</w:t>
      </w:r>
      <w:r>
        <w:rPr>
          <w:rFonts w:ascii="David" w:hAnsi="David" w:hint="cs"/>
          <w:rtl/>
        </w:rPr>
        <w:t>,</w:t>
      </w:r>
      <w:r w:rsidRPr="000F1827">
        <w:rPr>
          <w:rFonts w:ascii="David" w:hAnsi="David" w:hint="cs"/>
          <w:rtl/>
        </w:rPr>
        <w:t xml:space="preserve">  ובפרט העובדה שהרכב נרכש על ידי אשת הנאשם לפני נישואיהם, העובדה שהיא לא ידעה על לקיחת הרכב בזמן שישנה וממילא לא הייתה מודעת למטרת הנסיעה, העובדה שהרכב תפוס במשטרה מזה תקופה לא מבוטלת במהלכה ירד ערכו, ו</w:t>
      </w:r>
      <w:r>
        <w:rPr>
          <w:rFonts w:ascii="David" w:hAnsi="David" w:hint="cs"/>
          <w:rtl/>
        </w:rPr>
        <w:t>העובדה ש</w:t>
      </w:r>
      <w:r w:rsidRPr="000F1827">
        <w:rPr>
          <w:rFonts w:ascii="David" w:hAnsi="David" w:hint="cs"/>
          <w:rtl/>
        </w:rPr>
        <w:t xml:space="preserve">אשת הנאשם אף לא הייתה זכאית להטבות מביטוח לאומי (הבטחת הכנסה) מפאת עובדת בעלותה ברכב, אני סבור כי חילוטו של הרכב ששוויו אינו מבוטל, </w:t>
      </w:r>
      <w:r>
        <w:rPr>
          <w:rFonts w:ascii="David" w:hAnsi="David" w:hint="cs"/>
          <w:rtl/>
        </w:rPr>
        <w:t>י</w:t>
      </w:r>
      <w:r w:rsidRPr="000F1827">
        <w:rPr>
          <w:rFonts w:ascii="David" w:hAnsi="David" w:hint="cs"/>
          <w:rtl/>
        </w:rPr>
        <w:t xml:space="preserve">ביא לפגיעה בלתי מידתית באשת הנאשם. </w:t>
      </w:r>
    </w:p>
    <w:p w14:paraId="6764E6B3" w14:textId="77777777" w:rsidR="00B936FD" w:rsidRPr="009D239B" w:rsidRDefault="00B936FD" w:rsidP="00B936FD">
      <w:pPr>
        <w:pStyle w:val="a9"/>
        <w:spacing w:before="100" w:beforeAutospacing="1" w:after="100" w:afterAutospacing="1" w:line="360" w:lineRule="auto"/>
        <w:jc w:val="both"/>
        <w:rPr>
          <w:rFonts w:ascii="David" w:hAnsi="David"/>
          <w:sz w:val="8"/>
          <w:szCs w:val="8"/>
          <w:rtl/>
        </w:rPr>
      </w:pPr>
    </w:p>
    <w:p w14:paraId="24F35B89" w14:textId="77777777" w:rsidR="00B936FD" w:rsidRDefault="00B936FD" w:rsidP="00B936FD">
      <w:pPr>
        <w:pStyle w:val="a9"/>
        <w:spacing w:before="100" w:beforeAutospacing="1" w:after="100" w:afterAutospacing="1" w:line="360" w:lineRule="auto"/>
        <w:jc w:val="both"/>
        <w:rPr>
          <w:rFonts w:ascii="David" w:hAnsi="David"/>
          <w:rtl/>
        </w:rPr>
      </w:pPr>
      <w:r>
        <w:rPr>
          <w:rFonts w:ascii="David" w:hAnsi="David" w:hint="cs"/>
          <w:rtl/>
        </w:rPr>
        <w:t>בהתאם, אין מקום להורות על חילוט הרכב והבקשה לחילוטו נדחית.</w:t>
      </w:r>
    </w:p>
    <w:p w14:paraId="270B6FF0" w14:textId="77777777" w:rsidR="00B936FD" w:rsidRPr="00A66653" w:rsidRDefault="00B936FD" w:rsidP="00B936FD">
      <w:pPr>
        <w:pStyle w:val="a9"/>
        <w:spacing w:before="100" w:beforeAutospacing="1" w:after="100" w:afterAutospacing="1" w:line="360" w:lineRule="auto"/>
        <w:jc w:val="both"/>
        <w:rPr>
          <w:rFonts w:ascii="David" w:hAnsi="David"/>
          <w:sz w:val="18"/>
          <w:szCs w:val="18"/>
          <w:rtl/>
        </w:rPr>
      </w:pPr>
    </w:p>
    <w:p w14:paraId="7CD20381" w14:textId="77777777" w:rsidR="00B936FD" w:rsidRDefault="00B936FD" w:rsidP="00B936FD">
      <w:pPr>
        <w:pStyle w:val="a9"/>
        <w:numPr>
          <w:ilvl w:val="0"/>
          <w:numId w:val="1"/>
        </w:numPr>
        <w:spacing w:after="160" w:line="360" w:lineRule="auto"/>
        <w:jc w:val="both"/>
        <w:rPr>
          <w:rFonts w:ascii="David" w:eastAsia="Calibri" w:hAnsi="David"/>
        </w:rPr>
      </w:pPr>
      <w:r>
        <w:rPr>
          <w:rFonts w:ascii="David" w:eastAsia="Calibri" w:hAnsi="David" w:hint="cs"/>
          <w:rtl/>
        </w:rPr>
        <w:t>בכל הנוגע לגובה הקנס, אני סבור שיש להטיל קנס גבוה אשר ישקף את חומרת העבירה וסוג הנשק שהוחזק על ידי הנאשם, ואת העובדה שנמנעתי מחילוט הרכב, חילוט שהיה בו כדי להביא לפגיעה כלכלית משמעותית בנאשם ובאשתו.</w:t>
      </w:r>
    </w:p>
    <w:p w14:paraId="1FDD6A58" w14:textId="77777777" w:rsidR="00B936FD" w:rsidRPr="007B6671" w:rsidRDefault="00B936FD" w:rsidP="00B936FD">
      <w:pPr>
        <w:pStyle w:val="a9"/>
        <w:spacing w:after="160" w:line="360" w:lineRule="auto"/>
        <w:jc w:val="both"/>
        <w:rPr>
          <w:rFonts w:ascii="David" w:eastAsia="Calibri" w:hAnsi="David"/>
          <w:sz w:val="8"/>
          <w:szCs w:val="8"/>
        </w:rPr>
      </w:pPr>
    </w:p>
    <w:p w14:paraId="0C457CD3" w14:textId="77777777" w:rsidR="00B936FD" w:rsidRDefault="00B936FD" w:rsidP="00B936FD">
      <w:pPr>
        <w:pStyle w:val="a9"/>
        <w:numPr>
          <w:ilvl w:val="0"/>
          <w:numId w:val="1"/>
        </w:numPr>
        <w:spacing w:after="160" w:line="360" w:lineRule="auto"/>
        <w:jc w:val="both"/>
        <w:rPr>
          <w:rFonts w:ascii="David" w:eastAsia="Calibri" w:hAnsi="David"/>
        </w:rPr>
      </w:pPr>
      <w:r w:rsidRPr="00327826">
        <w:rPr>
          <w:rFonts w:ascii="David" w:eastAsia="Calibri" w:hAnsi="David"/>
          <w:rtl/>
        </w:rPr>
        <w:t>לאור כל האמור לעיל, אני גוזר על הנאשם</w:t>
      </w:r>
      <w:r w:rsidR="00A369AF">
        <w:rPr>
          <w:rFonts w:ascii="David" w:eastAsia="Calibri" w:hAnsi="David"/>
          <w:rtl/>
        </w:rPr>
        <w:t xml:space="preserve"> </w:t>
      </w:r>
      <w:r w:rsidRPr="00327826">
        <w:rPr>
          <w:rFonts w:ascii="David" w:eastAsia="Calibri" w:hAnsi="David"/>
          <w:rtl/>
        </w:rPr>
        <w:t xml:space="preserve"> את העונשים הבאים:</w:t>
      </w:r>
    </w:p>
    <w:p w14:paraId="60D26FBC" w14:textId="77777777" w:rsidR="00B936FD" w:rsidRPr="009224B2" w:rsidRDefault="00B936FD" w:rsidP="00B936FD">
      <w:pPr>
        <w:pStyle w:val="a9"/>
        <w:rPr>
          <w:rFonts w:ascii="David" w:eastAsia="Calibri" w:hAnsi="David"/>
          <w:sz w:val="2"/>
          <w:szCs w:val="2"/>
          <w:rtl/>
        </w:rPr>
      </w:pPr>
    </w:p>
    <w:p w14:paraId="04156B46" w14:textId="77777777" w:rsidR="00B936FD" w:rsidRPr="000F1827" w:rsidRDefault="00B936FD" w:rsidP="00B936FD">
      <w:pPr>
        <w:spacing w:after="160" w:line="256" w:lineRule="auto"/>
        <w:jc w:val="both"/>
        <w:rPr>
          <w:rFonts w:ascii="David" w:hAnsi="David"/>
          <w:b/>
          <w:bCs/>
          <w:sz w:val="2"/>
          <w:szCs w:val="2"/>
        </w:rPr>
      </w:pPr>
    </w:p>
    <w:p w14:paraId="44C10617" w14:textId="77777777" w:rsidR="00B936FD" w:rsidRPr="00D01FA0" w:rsidRDefault="00B936FD" w:rsidP="00B936FD">
      <w:pPr>
        <w:spacing w:after="160" w:line="360" w:lineRule="auto"/>
        <w:ind w:left="708" w:firstLine="12"/>
        <w:jc w:val="both"/>
        <w:rPr>
          <w:rFonts w:ascii="David" w:eastAsia="Calibri" w:hAnsi="David"/>
          <w:b/>
          <w:bCs/>
          <w:u w:val="single"/>
          <w:rtl/>
        </w:rPr>
      </w:pPr>
      <w:r w:rsidRPr="00D01FA0">
        <w:rPr>
          <w:rFonts w:ascii="David" w:eastAsia="Calibri" w:hAnsi="David"/>
          <w:b/>
          <w:bCs/>
          <w:rtl/>
        </w:rPr>
        <w:t>אני גוזר על הנאשם מאסר בפועל לתקופה של</w:t>
      </w:r>
      <w:r w:rsidR="00A369AF">
        <w:rPr>
          <w:rFonts w:ascii="David" w:eastAsia="Calibri" w:hAnsi="David"/>
          <w:b/>
          <w:bCs/>
          <w:rtl/>
        </w:rPr>
        <w:t xml:space="preserve"> </w:t>
      </w:r>
      <w:r w:rsidRPr="00D01FA0">
        <w:rPr>
          <w:rFonts w:ascii="David" w:eastAsia="Calibri" w:hAnsi="David"/>
          <w:b/>
          <w:bCs/>
          <w:rtl/>
        </w:rPr>
        <w:t xml:space="preserve"> </w:t>
      </w:r>
      <w:r>
        <w:rPr>
          <w:rFonts w:ascii="David" w:eastAsia="Calibri" w:hAnsi="David" w:hint="cs"/>
          <w:b/>
          <w:bCs/>
          <w:rtl/>
        </w:rPr>
        <w:t xml:space="preserve">20 </w:t>
      </w:r>
      <w:r w:rsidRPr="00D01FA0">
        <w:rPr>
          <w:rFonts w:ascii="David" w:eastAsia="Calibri" w:hAnsi="David"/>
          <w:b/>
          <w:bCs/>
          <w:rtl/>
        </w:rPr>
        <w:t>חודשים בניכוי ימי מעצרו מתאריך 02.10.22 ועד היום.</w:t>
      </w:r>
    </w:p>
    <w:p w14:paraId="3C1379E5" w14:textId="77777777" w:rsidR="00B936FD" w:rsidRDefault="00A369AF" w:rsidP="00B936FD">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B936FD" w:rsidRPr="00D01FA0">
        <w:rPr>
          <w:rFonts w:ascii="David" w:eastAsia="Calibri" w:hAnsi="David"/>
          <w:b/>
          <w:bCs/>
          <w:rtl/>
        </w:rPr>
        <w:t xml:space="preserve"> אני גוזר על הנאשם עונש מאסר על תנאי לתקופה של </w:t>
      </w:r>
      <w:r w:rsidR="00B936FD">
        <w:rPr>
          <w:rFonts w:ascii="David" w:eastAsia="Calibri" w:hAnsi="David" w:hint="cs"/>
          <w:b/>
          <w:bCs/>
          <w:rtl/>
        </w:rPr>
        <w:t>10</w:t>
      </w:r>
      <w:r w:rsidR="00B936FD" w:rsidRPr="00D01FA0">
        <w:rPr>
          <w:rFonts w:ascii="David" w:eastAsia="Calibri" w:hAnsi="David"/>
          <w:b/>
          <w:bCs/>
          <w:rtl/>
        </w:rPr>
        <w:t xml:space="preserve"> חודשים והתנאי הוא</w:t>
      </w:r>
      <w:r>
        <w:rPr>
          <w:rFonts w:ascii="David" w:eastAsia="Calibri" w:hAnsi="David"/>
          <w:b/>
          <w:bCs/>
          <w:rtl/>
        </w:rPr>
        <w:t xml:space="preserve"> </w:t>
      </w:r>
      <w:r w:rsidR="00B936FD" w:rsidRPr="00D01FA0">
        <w:rPr>
          <w:rFonts w:ascii="David" w:eastAsia="Calibri" w:hAnsi="David"/>
          <w:b/>
          <w:bCs/>
          <w:rtl/>
        </w:rPr>
        <w:t xml:space="preserve"> שלא יעבור בתוך 3 שנים מיום שחרורו ממאסרו עבירת נשק מסוג פשע ויורשע בגינה.</w:t>
      </w:r>
    </w:p>
    <w:p w14:paraId="5238225A" w14:textId="77777777" w:rsidR="00B936FD" w:rsidRPr="007B6671" w:rsidRDefault="00B936FD" w:rsidP="00B936FD">
      <w:pPr>
        <w:snapToGrid w:val="0"/>
        <w:spacing w:after="160" w:line="360" w:lineRule="auto"/>
        <w:ind w:left="707" w:hanging="425"/>
        <w:contextualSpacing/>
        <w:jc w:val="both"/>
        <w:rPr>
          <w:rFonts w:ascii="David" w:eastAsia="Calibri" w:hAnsi="David"/>
          <w:b/>
          <w:bCs/>
          <w:sz w:val="12"/>
          <w:szCs w:val="12"/>
          <w:rtl/>
        </w:rPr>
      </w:pPr>
    </w:p>
    <w:p w14:paraId="4E8AC092" w14:textId="77777777" w:rsidR="00B936FD" w:rsidRPr="00D01FA0" w:rsidRDefault="00A369AF" w:rsidP="00B936FD">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B936FD" w:rsidRPr="00D01FA0">
        <w:rPr>
          <w:rFonts w:ascii="David" w:eastAsia="Calibri" w:hAnsi="David"/>
          <w:b/>
          <w:bCs/>
          <w:rtl/>
        </w:rPr>
        <w:t xml:space="preserve"> אני גוזר על הנאשם עונש מאסר על תנאי לתקופה של </w:t>
      </w:r>
      <w:r w:rsidR="00B936FD">
        <w:rPr>
          <w:rFonts w:ascii="David" w:eastAsia="Calibri" w:hAnsi="David" w:hint="cs"/>
          <w:b/>
          <w:bCs/>
          <w:rtl/>
        </w:rPr>
        <w:t>6</w:t>
      </w:r>
      <w:r w:rsidR="00B936FD" w:rsidRPr="00D01FA0">
        <w:rPr>
          <w:rFonts w:ascii="David" w:eastAsia="Calibri" w:hAnsi="David"/>
          <w:b/>
          <w:bCs/>
          <w:rtl/>
        </w:rPr>
        <w:t xml:space="preserve"> חודשים והתנאי הוא</w:t>
      </w:r>
      <w:r>
        <w:rPr>
          <w:rFonts w:ascii="David" w:eastAsia="Calibri" w:hAnsi="David"/>
          <w:b/>
          <w:bCs/>
          <w:rtl/>
        </w:rPr>
        <w:t xml:space="preserve"> </w:t>
      </w:r>
      <w:r w:rsidR="00B936FD" w:rsidRPr="00D01FA0">
        <w:rPr>
          <w:rFonts w:ascii="David" w:eastAsia="Calibri" w:hAnsi="David"/>
          <w:b/>
          <w:bCs/>
          <w:rtl/>
        </w:rPr>
        <w:t xml:space="preserve"> שלא יעבור בתוך 3 שנים מיום שחרורו ממאסרו עבירת נשק מסוג</w:t>
      </w:r>
      <w:r w:rsidR="00B936FD">
        <w:rPr>
          <w:rFonts w:ascii="David" w:eastAsia="Calibri" w:hAnsi="David" w:hint="cs"/>
          <w:b/>
          <w:bCs/>
          <w:rtl/>
        </w:rPr>
        <w:t xml:space="preserve"> עוון </w:t>
      </w:r>
      <w:r w:rsidR="00B936FD" w:rsidRPr="00D01FA0">
        <w:rPr>
          <w:rFonts w:ascii="David" w:eastAsia="Calibri" w:hAnsi="David"/>
          <w:b/>
          <w:bCs/>
          <w:rtl/>
        </w:rPr>
        <w:t xml:space="preserve"> ויורשע בגינה.</w:t>
      </w:r>
    </w:p>
    <w:p w14:paraId="3C0A6DC4" w14:textId="77777777" w:rsidR="00B936FD" w:rsidRPr="007B6671" w:rsidRDefault="00B936FD" w:rsidP="00B936FD">
      <w:pPr>
        <w:snapToGrid w:val="0"/>
        <w:spacing w:after="160" w:line="360" w:lineRule="auto"/>
        <w:jc w:val="both"/>
        <w:rPr>
          <w:rFonts w:ascii="David" w:eastAsia="Calibri" w:hAnsi="David"/>
          <w:b/>
          <w:bCs/>
          <w:sz w:val="8"/>
          <w:szCs w:val="8"/>
          <w:rtl/>
        </w:rPr>
      </w:pPr>
    </w:p>
    <w:p w14:paraId="7721D20A" w14:textId="77777777" w:rsidR="00B936FD" w:rsidRPr="00D01FA0" w:rsidRDefault="00A369AF" w:rsidP="00B936FD">
      <w:pPr>
        <w:snapToGrid w:val="0"/>
        <w:spacing w:after="160" w:line="360" w:lineRule="auto"/>
        <w:jc w:val="both"/>
        <w:rPr>
          <w:rFonts w:ascii="David" w:eastAsia="Calibri" w:hAnsi="David"/>
          <w:b/>
          <w:bCs/>
          <w:rtl/>
        </w:rPr>
      </w:pPr>
      <w:r>
        <w:rPr>
          <w:rFonts w:ascii="David" w:eastAsia="Calibri" w:hAnsi="David"/>
          <w:b/>
          <w:bCs/>
          <w:rtl/>
        </w:rPr>
        <w:t xml:space="preserve">           </w:t>
      </w:r>
      <w:r w:rsidR="00B936FD" w:rsidRPr="00D01FA0">
        <w:rPr>
          <w:rFonts w:ascii="David" w:eastAsia="Calibri" w:hAnsi="David"/>
          <w:b/>
          <w:bCs/>
          <w:rtl/>
        </w:rPr>
        <w:t xml:space="preserve"> אני גוזר על הנאשם קנס בסך </w:t>
      </w:r>
      <w:r w:rsidR="00B936FD">
        <w:rPr>
          <w:rFonts w:ascii="David" w:eastAsia="Calibri" w:hAnsi="David" w:hint="cs"/>
          <w:b/>
          <w:bCs/>
          <w:rtl/>
        </w:rPr>
        <w:t xml:space="preserve">30,000 </w:t>
      </w:r>
      <w:r w:rsidR="00B936FD" w:rsidRPr="00D01FA0">
        <w:rPr>
          <w:rFonts w:ascii="David" w:eastAsia="Calibri" w:hAnsi="David"/>
          <w:b/>
          <w:bCs/>
          <w:rtl/>
        </w:rPr>
        <w:t>₪</w:t>
      </w:r>
      <w:r>
        <w:rPr>
          <w:rFonts w:ascii="David" w:eastAsia="Calibri" w:hAnsi="David"/>
          <w:b/>
          <w:bCs/>
          <w:rtl/>
        </w:rPr>
        <w:t xml:space="preserve"> </w:t>
      </w:r>
      <w:r w:rsidR="00B936FD" w:rsidRPr="00D01FA0">
        <w:rPr>
          <w:rFonts w:ascii="David" w:eastAsia="Calibri" w:hAnsi="David"/>
          <w:b/>
          <w:bCs/>
          <w:rtl/>
        </w:rPr>
        <w:t xml:space="preserve"> או </w:t>
      </w:r>
      <w:r w:rsidR="00B936FD">
        <w:rPr>
          <w:rFonts w:ascii="David" w:eastAsia="Calibri" w:hAnsi="David" w:hint="cs"/>
          <w:b/>
          <w:bCs/>
          <w:rtl/>
        </w:rPr>
        <w:t xml:space="preserve">180  </w:t>
      </w:r>
      <w:r w:rsidR="00B936FD" w:rsidRPr="00D01FA0">
        <w:rPr>
          <w:rFonts w:ascii="David" w:eastAsia="Calibri" w:hAnsi="David"/>
          <w:b/>
          <w:bCs/>
          <w:rtl/>
        </w:rPr>
        <w:t xml:space="preserve"> ימי מאסר.</w:t>
      </w:r>
    </w:p>
    <w:p w14:paraId="6783C1AA" w14:textId="77777777" w:rsidR="00B936FD" w:rsidRPr="00D01FA0" w:rsidRDefault="00A369AF" w:rsidP="00B936FD">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B936FD" w:rsidRPr="00D01FA0">
        <w:rPr>
          <w:rFonts w:ascii="David" w:eastAsia="Calibri" w:hAnsi="David"/>
          <w:b/>
          <w:bCs/>
          <w:rtl/>
        </w:rPr>
        <w:t xml:space="preserve"> הקנס שהוטל על הנאשם</w:t>
      </w:r>
      <w:r>
        <w:rPr>
          <w:rFonts w:ascii="David" w:eastAsia="Calibri" w:hAnsi="David"/>
          <w:b/>
          <w:bCs/>
          <w:rtl/>
        </w:rPr>
        <w:t xml:space="preserve"> </w:t>
      </w:r>
      <w:r w:rsidR="00B936FD" w:rsidRPr="00D01FA0">
        <w:rPr>
          <w:rFonts w:ascii="David" w:eastAsia="Calibri" w:hAnsi="David"/>
          <w:b/>
          <w:bCs/>
          <w:rtl/>
        </w:rPr>
        <w:t xml:space="preserve"> ישולם עד ליום</w:t>
      </w:r>
      <w:r w:rsidR="00B936FD">
        <w:rPr>
          <w:rFonts w:ascii="David" w:eastAsia="Calibri" w:hAnsi="David" w:hint="cs"/>
          <w:b/>
          <w:bCs/>
          <w:rtl/>
        </w:rPr>
        <w:t xml:space="preserve"> 01.01.2024 </w:t>
      </w:r>
      <w:r w:rsidR="00B936FD" w:rsidRPr="00D01FA0">
        <w:rPr>
          <w:rFonts w:ascii="David" w:eastAsia="Calibri" w:hAnsi="David"/>
          <w:b/>
          <w:bCs/>
          <w:rtl/>
        </w:rPr>
        <w:t>.</w:t>
      </w:r>
    </w:p>
    <w:p w14:paraId="44A996A9" w14:textId="77777777" w:rsidR="00B936FD" w:rsidRPr="00D01FA0" w:rsidRDefault="00B936FD" w:rsidP="00B936FD">
      <w:pPr>
        <w:spacing w:after="160" w:line="360" w:lineRule="auto"/>
        <w:ind w:left="707"/>
        <w:contextualSpacing/>
        <w:jc w:val="both"/>
        <w:rPr>
          <w:rFonts w:ascii="David" w:eastAsia="Calibri" w:hAnsi="David"/>
          <w:rtl/>
        </w:rPr>
      </w:pPr>
      <w:r w:rsidRPr="00D01FA0">
        <w:rPr>
          <w:rFonts w:ascii="David" w:eastAsia="Calibri"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3905AD8F" w14:textId="77777777" w:rsidR="00B936FD" w:rsidRPr="00D01FA0" w:rsidRDefault="00B936FD" w:rsidP="00B936FD">
      <w:pPr>
        <w:spacing w:after="160" w:line="360" w:lineRule="auto"/>
        <w:ind w:left="707"/>
        <w:jc w:val="both"/>
        <w:rPr>
          <w:rFonts w:ascii="David" w:eastAsia="Calibri" w:hAnsi="David"/>
          <w:rtl/>
        </w:rPr>
      </w:pPr>
      <w:r w:rsidRPr="00D01FA0">
        <w:rPr>
          <w:rFonts w:ascii="David" w:eastAsia="Calibri" w:hAnsi="David"/>
          <w:rtl/>
        </w:rPr>
        <w:t xml:space="preserve">בכרטיס אשראי – באתר המקוון של רשות האכיפה והגבייה, </w:t>
      </w:r>
      <w:hyperlink r:id="rId57" w:history="1">
        <w:r w:rsidRPr="00D01FA0">
          <w:rPr>
            <w:rFonts w:ascii="David" w:eastAsia="Calibri" w:hAnsi="David"/>
            <w:color w:val="0563C1"/>
            <w:u w:val="single"/>
          </w:rPr>
          <w:t>www.eca.gov.il</w:t>
        </w:r>
      </w:hyperlink>
      <w:r w:rsidRPr="00D01FA0">
        <w:rPr>
          <w:rFonts w:ascii="David" w:eastAsia="Calibri" w:hAnsi="David"/>
        </w:rPr>
        <w:t xml:space="preserve"> </w:t>
      </w:r>
      <w:r w:rsidR="00A369AF">
        <w:rPr>
          <w:rFonts w:ascii="David" w:eastAsia="Calibri" w:hAnsi="David"/>
          <w:rtl/>
        </w:rPr>
        <w:t xml:space="preserve"> </w:t>
      </w:r>
      <w:r w:rsidRPr="00D01FA0">
        <w:rPr>
          <w:rFonts w:ascii="David" w:eastAsia="Calibri" w:hAnsi="David"/>
          <w:rtl/>
        </w:rPr>
        <w:t>או חפש בגוגל " תשלום גביית קנסות".</w:t>
      </w:r>
    </w:p>
    <w:p w14:paraId="29E00A76" w14:textId="77777777" w:rsidR="00B936FD" w:rsidRPr="00D01FA0" w:rsidRDefault="00B936FD" w:rsidP="00B936FD">
      <w:pPr>
        <w:spacing w:after="160" w:line="360" w:lineRule="auto"/>
        <w:ind w:left="720"/>
        <w:jc w:val="both"/>
        <w:rPr>
          <w:rFonts w:ascii="David" w:eastAsia="Calibri" w:hAnsi="David"/>
          <w:rtl/>
        </w:rPr>
      </w:pPr>
      <w:r w:rsidRPr="00D01FA0">
        <w:rPr>
          <w:rFonts w:ascii="David" w:eastAsia="Calibri" w:hAnsi="David"/>
          <w:rtl/>
        </w:rPr>
        <w:t>מוקד שירות טלפוני בשרות עצמי (מרכז גבייה)</w:t>
      </w:r>
      <w:r w:rsidR="00A369AF">
        <w:rPr>
          <w:rFonts w:ascii="David" w:eastAsia="Calibri" w:hAnsi="David"/>
          <w:rtl/>
        </w:rPr>
        <w:t xml:space="preserve"> </w:t>
      </w:r>
      <w:r w:rsidRPr="00D01FA0">
        <w:rPr>
          <w:rFonts w:ascii="David" w:eastAsia="Calibri" w:hAnsi="David"/>
          <w:rtl/>
        </w:rPr>
        <w:t xml:space="preserve"> – בטלפון 35592* או בטלפון 073-2055000 (ניתן לפנות לנציגים לקבלת מידע במספרים הללו).</w:t>
      </w:r>
    </w:p>
    <w:p w14:paraId="12FE1D99" w14:textId="77777777" w:rsidR="00B936FD" w:rsidRPr="00D01FA0" w:rsidRDefault="00B936FD" w:rsidP="00B936FD">
      <w:pPr>
        <w:spacing w:after="160" w:line="360" w:lineRule="auto"/>
        <w:ind w:left="720"/>
        <w:jc w:val="both"/>
        <w:rPr>
          <w:rFonts w:ascii="David" w:eastAsia="Calibri" w:hAnsi="David"/>
          <w:rtl/>
        </w:rPr>
      </w:pPr>
      <w:r w:rsidRPr="00D01FA0">
        <w:rPr>
          <w:rFonts w:ascii="David" w:eastAsia="Calibri" w:hAnsi="David"/>
          <w:rtl/>
        </w:rPr>
        <w:t>במזומן בכל סניף של בנק הדואר – בהצגת תעודת זהות בלבד (אין צורך בשוברי תשלום).</w:t>
      </w:r>
    </w:p>
    <w:p w14:paraId="39C22A0F" w14:textId="77777777" w:rsidR="00B936FD" w:rsidRPr="00D01FA0" w:rsidRDefault="00A369AF" w:rsidP="00B936FD">
      <w:pPr>
        <w:spacing w:after="160" w:line="256" w:lineRule="auto"/>
        <w:jc w:val="both"/>
        <w:rPr>
          <w:rFonts w:ascii="David" w:eastAsia="Calibri" w:hAnsi="David"/>
          <w:b/>
          <w:bCs/>
          <w:rtl/>
        </w:rPr>
      </w:pPr>
      <w:r w:rsidRPr="00A369AF">
        <w:rPr>
          <w:rFonts w:ascii="David" w:eastAsia="Calibri" w:hAnsi="David"/>
          <w:b/>
          <w:bCs/>
          <w:color w:val="FFFFFF"/>
          <w:sz w:val="2"/>
          <w:szCs w:val="2"/>
          <w:rtl/>
        </w:rPr>
        <w:t>5129371</w:t>
      </w:r>
      <w:r w:rsidR="00B936FD" w:rsidRPr="00D01FA0">
        <w:rPr>
          <w:rFonts w:ascii="David" w:eastAsia="Calibri" w:hAnsi="David"/>
          <w:b/>
          <w:bCs/>
          <w:rtl/>
        </w:rPr>
        <w:t>זכות ערעור לבית המשפט העליון בתוך 45 יום מהיום.</w:t>
      </w:r>
    </w:p>
    <w:p w14:paraId="68D4531E" w14:textId="77777777" w:rsidR="00B936FD" w:rsidRPr="00A369AF" w:rsidRDefault="00A369AF" w:rsidP="00B936FD">
      <w:pPr>
        <w:rPr>
          <w:rFonts w:ascii="Arial" w:hAnsi="Arial"/>
          <w:b/>
          <w:bCs/>
          <w:color w:val="FFFFFF"/>
          <w:sz w:val="2"/>
          <w:szCs w:val="2"/>
          <w:rtl/>
        </w:rPr>
      </w:pPr>
      <w:r w:rsidRPr="00A369AF">
        <w:rPr>
          <w:rFonts w:ascii="Arial" w:hAnsi="Arial"/>
          <w:b/>
          <w:bCs/>
          <w:color w:val="FFFFFF"/>
          <w:sz w:val="2"/>
          <w:szCs w:val="2"/>
          <w:rtl/>
        </w:rPr>
        <w:t>54678313</w:t>
      </w:r>
    </w:p>
    <w:p w14:paraId="3485A5A7" w14:textId="77777777" w:rsidR="00B936FD" w:rsidRPr="000F2247" w:rsidRDefault="00B936FD" w:rsidP="00B936FD">
      <w:pPr>
        <w:rPr>
          <w:rFonts w:ascii="Arial" w:hAnsi="Arial"/>
          <w:b/>
          <w:bCs/>
          <w:sz w:val="26"/>
          <w:szCs w:val="26"/>
          <w:rtl/>
        </w:rPr>
      </w:pPr>
    </w:p>
    <w:p w14:paraId="0630C5E6" w14:textId="77777777" w:rsidR="00B936FD" w:rsidRPr="000F2247" w:rsidRDefault="00A369AF" w:rsidP="00B936F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תמוז תשפ"ג, 10 יולי 2023, בהעדר הצדדים. </w:t>
      </w:r>
      <w:bookmarkEnd w:id="8"/>
      <w:r w:rsidR="00B936FD">
        <w:rPr>
          <w:rFonts w:ascii="Arial" w:hAnsi="Arial"/>
          <w:b/>
          <w:bCs/>
          <w:sz w:val="26"/>
          <w:szCs w:val="26"/>
          <w:rtl/>
        </w:rPr>
        <w:tab/>
      </w:r>
      <w:r w:rsidR="00B936FD">
        <w:rPr>
          <w:rFonts w:ascii="Arial" w:hAnsi="Arial"/>
          <w:b/>
          <w:bCs/>
          <w:sz w:val="26"/>
          <w:szCs w:val="26"/>
          <w:rtl/>
        </w:rPr>
        <w:tab/>
      </w:r>
      <w:r w:rsidR="00B936FD">
        <w:rPr>
          <w:rFonts w:ascii="Arial" w:hAnsi="Arial"/>
          <w:b/>
          <w:bCs/>
          <w:sz w:val="26"/>
          <w:szCs w:val="26"/>
          <w:rtl/>
        </w:rPr>
        <w:tab/>
      </w:r>
      <w:r w:rsidR="00B936FD">
        <w:rPr>
          <w:rFonts w:ascii="Arial" w:hAnsi="Arial"/>
          <w:b/>
          <w:bCs/>
          <w:sz w:val="26"/>
          <w:szCs w:val="26"/>
          <w:rtl/>
        </w:rPr>
        <w:tab/>
      </w:r>
      <w:r w:rsidR="00B936FD">
        <w:rPr>
          <w:rFonts w:ascii="Arial" w:hAnsi="Arial"/>
          <w:b/>
          <w:bCs/>
          <w:sz w:val="26"/>
          <w:szCs w:val="26"/>
          <w:rtl/>
        </w:rPr>
        <w:tab/>
      </w:r>
      <w:r w:rsidR="00B936FD">
        <w:rPr>
          <w:rFonts w:ascii="Arial" w:hAnsi="Arial"/>
          <w:b/>
          <w:bCs/>
          <w:sz w:val="26"/>
          <w:szCs w:val="26"/>
          <w:rtl/>
        </w:rPr>
        <w:tab/>
      </w:r>
      <w:r w:rsidR="00B936FD">
        <w:rPr>
          <w:rFonts w:ascii="Arial" w:hAnsi="Arial"/>
          <w:b/>
          <w:bCs/>
          <w:sz w:val="26"/>
          <w:szCs w:val="26"/>
          <w:rtl/>
        </w:rPr>
        <w:tab/>
      </w:r>
      <w:r w:rsidR="00B936FD">
        <w:rPr>
          <w:rFonts w:ascii="Arial" w:hAnsi="Arial" w:hint="cs"/>
          <w:b/>
          <w:bCs/>
          <w:sz w:val="26"/>
          <w:szCs w:val="26"/>
          <w:rtl/>
        </w:rPr>
        <w:t xml:space="preserve">         </w:t>
      </w:r>
    </w:p>
    <w:p w14:paraId="1824ADF2" w14:textId="77777777" w:rsidR="00B936FD" w:rsidRPr="000F2247" w:rsidRDefault="00B936FD" w:rsidP="00A369A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31E8E4" w14:textId="77777777" w:rsidR="00B936FD" w:rsidRPr="00725520" w:rsidRDefault="00725520" w:rsidP="00B936FD">
      <w:pPr>
        <w:jc w:val="center"/>
        <w:rPr>
          <w:rFonts w:ascii="Arial" w:hAnsi="Arial"/>
          <w:b/>
          <w:bCs/>
          <w:color w:val="FFFFFF"/>
          <w:sz w:val="2"/>
          <w:szCs w:val="2"/>
          <w:rtl/>
        </w:rPr>
      </w:pPr>
      <w:r w:rsidRPr="00725520">
        <w:rPr>
          <w:rFonts w:ascii="Arial" w:hAnsi="Arial"/>
          <w:b/>
          <w:bCs/>
          <w:color w:val="FFFFFF"/>
          <w:sz w:val="2"/>
          <w:szCs w:val="2"/>
          <w:rtl/>
        </w:rPr>
        <w:t>5129371</w:t>
      </w:r>
    </w:p>
    <w:p w14:paraId="5FC053B5" w14:textId="77777777" w:rsidR="0065564C" w:rsidRPr="00725520" w:rsidRDefault="00725520" w:rsidP="00A369AF">
      <w:pPr>
        <w:keepNext/>
        <w:rPr>
          <w:rFonts w:ascii="David" w:hAnsi="David"/>
          <w:color w:val="FFFFFF"/>
          <w:sz w:val="2"/>
          <w:szCs w:val="2"/>
          <w:rtl/>
        </w:rPr>
      </w:pPr>
      <w:r w:rsidRPr="00725520">
        <w:rPr>
          <w:rFonts w:ascii="David" w:hAnsi="David"/>
          <w:color w:val="FFFFFF"/>
          <w:sz w:val="2"/>
          <w:szCs w:val="2"/>
          <w:rtl/>
        </w:rPr>
        <w:t>54678313</w:t>
      </w:r>
    </w:p>
    <w:p w14:paraId="705841A2" w14:textId="77777777" w:rsidR="00A369AF" w:rsidRDefault="00A369AF" w:rsidP="00A369AF">
      <w:pPr>
        <w:rPr>
          <w:rtl/>
        </w:rPr>
      </w:pPr>
    </w:p>
    <w:p w14:paraId="04DADFDD" w14:textId="77777777" w:rsidR="00A369AF" w:rsidRDefault="00A369AF" w:rsidP="00A369AF">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5BCAC613" w14:textId="77777777" w:rsidR="00725520" w:rsidRPr="00725520" w:rsidRDefault="00725520" w:rsidP="00725520">
      <w:pPr>
        <w:keepNext/>
        <w:rPr>
          <w:rFonts w:ascii="David" w:hAnsi="David"/>
          <w:color w:val="000000"/>
          <w:sz w:val="22"/>
          <w:szCs w:val="22"/>
          <w:rtl/>
        </w:rPr>
      </w:pPr>
    </w:p>
    <w:p w14:paraId="0D1DA7DD" w14:textId="77777777" w:rsidR="00725520" w:rsidRPr="00725520" w:rsidRDefault="00725520" w:rsidP="00725520">
      <w:pPr>
        <w:keepNext/>
        <w:rPr>
          <w:rFonts w:ascii="David" w:hAnsi="David"/>
          <w:color w:val="000000"/>
          <w:sz w:val="22"/>
          <w:szCs w:val="22"/>
          <w:rtl/>
        </w:rPr>
      </w:pPr>
      <w:r w:rsidRPr="00725520">
        <w:rPr>
          <w:rFonts w:ascii="David" w:hAnsi="David"/>
          <w:color w:val="000000"/>
          <w:sz w:val="22"/>
          <w:szCs w:val="22"/>
          <w:rtl/>
        </w:rPr>
        <w:t>גיל קרזבום 54678313-/</w:t>
      </w:r>
    </w:p>
    <w:p w14:paraId="45BD7E69" w14:textId="77777777" w:rsidR="00A369AF" w:rsidRPr="00A369AF" w:rsidRDefault="00725520" w:rsidP="00725520">
      <w:pPr>
        <w:rPr>
          <w:color w:val="0000FF"/>
          <w:u w:val="single"/>
        </w:rPr>
      </w:pPr>
      <w:r w:rsidRPr="00725520">
        <w:rPr>
          <w:color w:val="000000"/>
          <w:u w:val="single"/>
          <w:rtl/>
        </w:rPr>
        <w:t>נוסח מסמך זה כפוף לשינויי ניסוח ועריכה</w:t>
      </w:r>
    </w:p>
    <w:sectPr w:rsidR="00A369AF" w:rsidRPr="00A369AF" w:rsidSect="00725520">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D0A8F" w14:textId="77777777" w:rsidR="00FA31A5" w:rsidRDefault="00FA31A5" w:rsidP="008E3D36">
      <w:r>
        <w:separator/>
      </w:r>
    </w:p>
  </w:endnote>
  <w:endnote w:type="continuationSeparator" w:id="0">
    <w:p w14:paraId="438DD2D1" w14:textId="77777777" w:rsidR="00FA31A5" w:rsidRDefault="00FA31A5" w:rsidP="008E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3867" w14:textId="77777777" w:rsidR="00725520" w:rsidRDefault="00725520" w:rsidP="007255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E2903F" w14:textId="77777777" w:rsidR="00F512B2" w:rsidRPr="00725520" w:rsidRDefault="00725520" w:rsidP="00725520">
    <w:pPr>
      <w:pStyle w:val="a5"/>
      <w:pBdr>
        <w:top w:val="single" w:sz="4" w:space="1" w:color="auto"/>
        <w:between w:val="single" w:sz="4" w:space="0" w:color="auto"/>
      </w:pBdr>
      <w:spacing w:after="60"/>
      <w:jc w:val="center"/>
      <w:rPr>
        <w:rFonts w:ascii="FrankRuehl" w:hAnsi="FrankRuehl" w:cs="FrankRuehl"/>
        <w:color w:val="000000"/>
      </w:rPr>
    </w:pPr>
    <w:r w:rsidRPr="007255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0FE97" w14:textId="77777777" w:rsidR="00725520" w:rsidRDefault="00725520" w:rsidP="007255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519E">
      <w:rPr>
        <w:rFonts w:ascii="FrankRuehl" w:hAnsi="FrankRuehl" w:cs="FrankRuehl"/>
        <w:noProof/>
        <w:rtl/>
      </w:rPr>
      <w:t>1</w:t>
    </w:r>
    <w:r>
      <w:rPr>
        <w:rFonts w:ascii="FrankRuehl" w:hAnsi="FrankRuehl" w:cs="FrankRuehl"/>
        <w:rtl/>
      </w:rPr>
      <w:fldChar w:fldCharType="end"/>
    </w:r>
  </w:p>
  <w:p w14:paraId="7353B3BB" w14:textId="77777777" w:rsidR="00F512B2" w:rsidRPr="00725520" w:rsidRDefault="00725520" w:rsidP="00725520">
    <w:pPr>
      <w:pStyle w:val="a5"/>
      <w:pBdr>
        <w:top w:val="single" w:sz="4" w:space="1" w:color="auto"/>
        <w:between w:val="single" w:sz="4" w:space="0" w:color="auto"/>
      </w:pBdr>
      <w:spacing w:after="60"/>
      <w:jc w:val="center"/>
      <w:rPr>
        <w:rFonts w:ascii="FrankRuehl" w:hAnsi="FrankRuehl" w:cs="FrankRuehl"/>
        <w:color w:val="000000"/>
      </w:rPr>
    </w:pPr>
    <w:r w:rsidRPr="00725520">
      <w:rPr>
        <w:rFonts w:ascii="FrankRuehl" w:hAnsi="FrankRuehl" w:cs="FrankRuehl"/>
        <w:color w:val="000000"/>
      </w:rPr>
      <w:pict w14:anchorId="7581B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19293" w14:textId="77777777" w:rsidR="00FA31A5" w:rsidRDefault="00FA31A5" w:rsidP="008E3D36">
      <w:r>
        <w:separator/>
      </w:r>
    </w:p>
  </w:footnote>
  <w:footnote w:type="continuationSeparator" w:id="0">
    <w:p w14:paraId="20EC2104" w14:textId="77777777" w:rsidR="00FA31A5" w:rsidRDefault="00FA31A5" w:rsidP="008E3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078DB" w14:textId="77777777" w:rsidR="00A369AF" w:rsidRPr="00725520" w:rsidRDefault="00725520" w:rsidP="007255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17573-10-22</w:t>
    </w:r>
    <w:r>
      <w:rPr>
        <w:rFonts w:ascii="David" w:hAnsi="David"/>
        <w:color w:val="000000"/>
        <w:sz w:val="22"/>
        <w:szCs w:val="22"/>
        <w:rtl/>
      </w:rPr>
      <w:tab/>
      <w:t xml:space="preserve"> מדינת ישראל נ' סולטאן זועבי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BD8D" w14:textId="77777777" w:rsidR="00A369AF" w:rsidRPr="00725520" w:rsidRDefault="00725520" w:rsidP="007255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17573-10-22</w:t>
    </w:r>
    <w:r>
      <w:rPr>
        <w:rFonts w:ascii="David" w:hAnsi="David"/>
        <w:color w:val="000000"/>
        <w:sz w:val="22"/>
        <w:szCs w:val="22"/>
        <w:rtl/>
      </w:rPr>
      <w:tab/>
      <w:t xml:space="preserve"> מדינת ישראל נ' סולטאן זועבי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E7A0A600"/>
    <w:lvl w:ilvl="0" w:tplc="F5A686F2">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456953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36FD"/>
    <w:rsid w:val="00171FCC"/>
    <w:rsid w:val="001B5A3B"/>
    <w:rsid w:val="00567CC8"/>
    <w:rsid w:val="005D1BB2"/>
    <w:rsid w:val="00640402"/>
    <w:rsid w:val="0065564C"/>
    <w:rsid w:val="00725520"/>
    <w:rsid w:val="007A519E"/>
    <w:rsid w:val="008E3D36"/>
    <w:rsid w:val="009A656B"/>
    <w:rsid w:val="00A369AF"/>
    <w:rsid w:val="00B879F9"/>
    <w:rsid w:val="00B936FD"/>
    <w:rsid w:val="00CB122B"/>
    <w:rsid w:val="00F512B2"/>
    <w:rsid w:val="00FA31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DE7505"/>
  <w15:chartTrackingRefBased/>
  <w15:docId w15:val="{E22E3F08-77D0-4A78-BC28-4F4E947C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6F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36FD"/>
    <w:pPr>
      <w:tabs>
        <w:tab w:val="center" w:pos="4153"/>
        <w:tab w:val="right" w:pos="8306"/>
      </w:tabs>
    </w:pPr>
  </w:style>
  <w:style w:type="character" w:customStyle="1" w:styleId="a4">
    <w:name w:val="כותרת עליונה תו"/>
    <w:link w:val="a3"/>
    <w:rsid w:val="00B936FD"/>
    <w:rPr>
      <w:rFonts w:ascii="Times New Roman" w:eastAsia="Times New Roman" w:hAnsi="Times New Roman" w:cs="David"/>
      <w:sz w:val="24"/>
      <w:szCs w:val="24"/>
    </w:rPr>
  </w:style>
  <w:style w:type="paragraph" w:styleId="a5">
    <w:name w:val="footer"/>
    <w:basedOn w:val="a"/>
    <w:link w:val="a6"/>
    <w:rsid w:val="00B936FD"/>
    <w:pPr>
      <w:tabs>
        <w:tab w:val="center" w:pos="4153"/>
        <w:tab w:val="right" w:pos="8306"/>
      </w:tabs>
    </w:pPr>
  </w:style>
  <w:style w:type="character" w:customStyle="1" w:styleId="a6">
    <w:name w:val="כותרת תחתונה תו"/>
    <w:link w:val="a5"/>
    <w:rsid w:val="00B936FD"/>
    <w:rPr>
      <w:rFonts w:ascii="Times New Roman" w:eastAsia="Times New Roman" w:hAnsi="Times New Roman" w:cs="David"/>
      <w:sz w:val="24"/>
      <w:szCs w:val="24"/>
    </w:rPr>
  </w:style>
  <w:style w:type="table" w:styleId="a7">
    <w:name w:val="Table Grid"/>
    <w:basedOn w:val="a1"/>
    <w:rsid w:val="00B936F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36FD"/>
  </w:style>
  <w:style w:type="paragraph" w:styleId="a9">
    <w:name w:val="List Paragraph"/>
    <w:basedOn w:val="a"/>
    <w:qFormat/>
    <w:rsid w:val="00B936FD"/>
    <w:pPr>
      <w:ind w:left="720"/>
      <w:contextualSpacing/>
    </w:pPr>
  </w:style>
  <w:style w:type="character" w:styleId="Hyperlink">
    <w:name w:val="Hyperlink"/>
    <w:rsid w:val="00A36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0301/40a" TargetMode="External"/><Relationship Id="rId39" Type="http://schemas.openxmlformats.org/officeDocument/2006/relationships/hyperlink" Target="http://www.nevo.co.il/case/576268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601503" TargetMode="External"/><Relationship Id="rId42" Type="http://schemas.openxmlformats.org/officeDocument/2006/relationships/hyperlink" Target="http://www.nevo.co.il/case/28152132" TargetMode="External"/><Relationship Id="rId47" Type="http://schemas.openxmlformats.org/officeDocument/2006/relationships/hyperlink" Target="http://www.nevo.co.il/law/74918/39" TargetMode="External"/><Relationship Id="rId50" Type="http://schemas.openxmlformats.org/officeDocument/2006/relationships/hyperlink" Target="http://www.nevo.co.il/law/74918" TargetMode="External"/><Relationship Id="rId55" Type="http://schemas.openxmlformats.org/officeDocument/2006/relationships/hyperlink" Target="http://www.nevo.co.il/case/17914099"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9" TargetMode="External"/><Relationship Id="rId29" Type="http://schemas.openxmlformats.org/officeDocument/2006/relationships/hyperlink" Target="http://www.nevo.co.il/case/2815213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a" TargetMode="External"/><Relationship Id="rId32" Type="http://schemas.openxmlformats.org/officeDocument/2006/relationships/hyperlink" Target="http://www.nevo.co.il/case/27207408" TargetMode="External"/><Relationship Id="rId37" Type="http://schemas.openxmlformats.org/officeDocument/2006/relationships/hyperlink" Target="http://www.nevo.co.il/case/25824863" TargetMode="External"/><Relationship Id="rId40" Type="http://schemas.openxmlformats.org/officeDocument/2006/relationships/hyperlink" Target="http://www.nevo.co.il/case/28513828" TargetMode="External"/><Relationship Id="rId45" Type="http://schemas.openxmlformats.org/officeDocument/2006/relationships/hyperlink" Target="http://www.nevo.co.il/case/22607175" TargetMode="External"/><Relationship Id="rId53" Type="http://schemas.openxmlformats.org/officeDocument/2006/relationships/hyperlink" Target="http://www.nevo.co.il/law/74918/32"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 TargetMode="External"/><Relationship Id="rId14" Type="http://schemas.openxmlformats.org/officeDocument/2006/relationships/hyperlink" Target="http://www.nevo.co.il/law/74918/32" TargetMode="External"/><Relationship Id="rId22" Type="http://schemas.openxmlformats.org/officeDocument/2006/relationships/hyperlink" Target="http://www.nevo.co.il/law/70301/fCa(1)S2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115374" TargetMode="External"/><Relationship Id="rId35" Type="http://schemas.openxmlformats.org/officeDocument/2006/relationships/hyperlink" Target="http://www.nevo.co.il/case/6034921" TargetMode="External"/><Relationship Id="rId43" Type="http://schemas.openxmlformats.org/officeDocument/2006/relationships/hyperlink" Target="http://www.nevo.co.il/case/27502726" TargetMode="External"/><Relationship Id="rId48" Type="http://schemas.openxmlformats.org/officeDocument/2006/relationships/hyperlink" Target="http://www.nevo.co.il/law/74918" TargetMode="External"/><Relationship Id="rId56" Type="http://schemas.openxmlformats.org/officeDocument/2006/relationships/hyperlink" Target="http://www.nevo.co.il/case/17922225" TargetMode="External"/><Relationship Id="rId64"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case/17922225" TargetMode="External"/><Relationship Id="rId3" Type="http://schemas.openxmlformats.org/officeDocument/2006/relationships/settings" Target="settings.xml"/><Relationship Id="rId12" Type="http://schemas.openxmlformats.org/officeDocument/2006/relationships/hyperlink" Target="http://www.nevo.co.il/law/70301/fCa(1)S29"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40.if"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5063920" TargetMode="External"/><Relationship Id="rId46" Type="http://schemas.openxmlformats.org/officeDocument/2006/relationships/hyperlink" Target="http://www.nevo.co.il/case/28684447"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8619472" TargetMode="External"/><Relationship Id="rId54" Type="http://schemas.openxmlformats.org/officeDocument/2006/relationships/hyperlink" Target="http://www.nevo.co.il/law/74918/34.a"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4.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894608" TargetMode="External"/><Relationship Id="rId36" Type="http://schemas.openxmlformats.org/officeDocument/2006/relationships/hyperlink" Target="http://www.nevo.co.il/case/26913995" TargetMode="External"/><Relationship Id="rId49" Type="http://schemas.openxmlformats.org/officeDocument/2006/relationships/hyperlink" Target="http://www.nevo.co.il/case/27272576" TargetMode="External"/><Relationship Id="rId57" Type="http://schemas.openxmlformats.org/officeDocument/2006/relationships/hyperlink" Target="http://www.eca.gov.il" TargetMode="External"/><Relationship Id="rId10" Type="http://schemas.openxmlformats.org/officeDocument/2006/relationships/hyperlink" Target="http://www.nevo.co.il/law/70301/40a" TargetMode="External"/><Relationship Id="rId31" Type="http://schemas.openxmlformats.org/officeDocument/2006/relationships/hyperlink" Target="http://www.nevo.co.il/case/27907602" TargetMode="External"/><Relationship Id="rId44" Type="http://schemas.openxmlformats.org/officeDocument/2006/relationships/hyperlink" Target="http://www.nevo.co.il/case/25923515" TargetMode="External"/><Relationship Id="rId52" Type="http://schemas.openxmlformats.org/officeDocument/2006/relationships/hyperlink" Target="http://www.nevo.co.il/case/6055128"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20970</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7864368</vt:i4>
      </vt:variant>
      <vt:variant>
        <vt:i4>150</vt:i4>
      </vt:variant>
      <vt:variant>
        <vt:i4>0</vt:i4>
      </vt:variant>
      <vt:variant>
        <vt:i4>5</vt:i4>
      </vt:variant>
      <vt:variant>
        <vt:lpwstr>http://www.eca.gov.il/</vt:lpwstr>
      </vt:variant>
      <vt:variant>
        <vt:lpwstr/>
      </vt:variant>
      <vt:variant>
        <vt:i4>3670131</vt:i4>
      </vt:variant>
      <vt:variant>
        <vt:i4>147</vt:i4>
      </vt:variant>
      <vt:variant>
        <vt:i4>0</vt:i4>
      </vt:variant>
      <vt:variant>
        <vt:i4>5</vt:i4>
      </vt:variant>
      <vt:variant>
        <vt:lpwstr>http://www.nevo.co.il/case/17922225</vt:lpwstr>
      </vt:variant>
      <vt:variant>
        <vt:lpwstr/>
      </vt:variant>
      <vt:variant>
        <vt:i4>3473522</vt:i4>
      </vt:variant>
      <vt:variant>
        <vt:i4>144</vt:i4>
      </vt:variant>
      <vt:variant>
        <vt:i4>0</vt:i4>
      </vt:variant>
      <vt:variant>
        <vt:i4>5</vt:i4>
      </vt:variant>
      <vt:variant>
        <vt:lpwstr>http://www.nevo.co.il/case/17914099</vt:lpwstr>
      </vt:variant>
      <vt:variant>
        <vt:lpwstr/>
      </vt:variant>
      <vt:variant>
        <vt:i4>327755</vt:i4>
      </vt:variant>
      <vt:variant>
        <vt:i4>141</vt:i4>
      </vt:variant>
      <vt:variant>
        <vt:i4>0</vt:i4>
      </vt:variant>
      <vt:variant>
        <vt:i4>5</vt:i4>
      </vt:variant>
      <vt:variant>
        <vt:lpwstr>http://www.nevo.co.il/law/74918/34.a</vt:lpwstr>
      </vt:variant>
      <vt:variant>
        <vt:lpwstr/>
      </vt:variant>
      <vt:variant>
        <vt:i4>6422629</vt:i4>
      </vt:variant>
      <vt:variant>
        <vt:i4>138</vt:i4>
      </vt:variant>
      <vt:variant>
        <vt:i4>0</vt:i4>
      </vt:variant>
      <vt:variant>
        <vt:i4>5</vt:i4>
      </vt:variant>
      <vt:variant>
        <vt:lpwstr>http://www.nevo.co.il/law/74918/32</vt:lpwstr>
      </vt:variant>
      <vt:variant>
        <vt:lpwstr/>
      </vt:variant>
      <vt:variant>
        <vt:i4>3801203</vt:i4>
      </vt:variant>
      <vt:variant>
        <vt:i4>135</vt:i4>
      </vt:variant>
      <vt:variant>
        <vt:i4>0</vt:i4>
      </vt:variant>
      <vt:variant>
        <vt:i4>5</vt:i4>
      </vt:variant>
      <vt:variant>
        <vt:lpwstr>http://www.nevo.co.il/case/6055128</vt:lpwstr>
      </vt:variant>
      <vt:variant>
        <vt:lpwstr/>
      </vt:variant>
      <vt:variant>
        <vt:i4>3670131</vt:i4>
      </vt:variant>
      <vt:variant>
        <vt:i4>132</vt:i4>
      </vt:variant>
      <vt:variant>
        <vt:i4>0</vt:i4>
      </vt:variant>
      <vt:variant>
        <vt:i4>5</vt:i4>
      </vt:variant>
      <vt:variant>
        <vt:lpwstr>http://www.nevo.co.il/case/17922225</vt:lpwstr>
      </vt:variant>
      <vt:variant>
        <vt:lpwstr/>
      </vt:variant>
      <vt:variant>
        <vt:i4>8323182</vt:i4>
      </vt:variant>
      <vt:variant>
        <vt:i4>129</vt:i4>
      </vt:variant>
      <vt:variant>
        <vt:i4>0</vt:i4>
      </vt:variant>
      <vt:variant>
        <vt:i4>5</vt:i4>
      </vt:variant>
      <vt:variant>
        <vt:lpwstr>http://www.nevo.co.il/law/74918</vt:lpwstr>
      </vt:variant>
      <vt:variant>
        <vt:lpwstr/>
      </vt:variant>
      <vt:variant>
        <vt:i4>3473521</vt:i4>
      </vt:variant>
      <vt:variant>
        <vt:i4>126</vt:i4>
      </vt:variant>
      <vt:variant>
        <vt:i4>0</vt:i4>
      </vt:variant>
      <vt:variant>
        <vt:i4>5</vt:i4>
      </vt:variant>
      <vt:variant>
        <vt:lpwstr>http://www.nevo.co.il/case/27272576</vt:lpwstr>
      </vt:variant>
      <vt:variant>
        <vt:lpwstr/>
      </vt:variant>
      <vt:variant>
        <vt:i4>8323182</vt:i4>
      </vt:variant>
      <vt:variant>
        <vt:i4>123</vt:i4>
      </vt:variant>
      <vt:variant>
        <vt:i4>0</vt:i4>
      </vt:variant>
      <vt:variant>
        <vt:i4>5</vt:i4>
      </vt:variant>
      <vt:variant>
        <vt:lpwstr>http://www.nevo.co.il/law/74918</vt:lpwstr>
      </vt:variant>
      <vt:variant>
        <vt:lpwstr/>
      </vt:variant>
      <vt:variant>
        <vt:i4>6881381</vt:i4>
      </vt:variant>
      <vt:variant>
        <vt:i4>120</vt:i4>
      </vt:variant>
      <vt:variant>
        <vt:i4>0</vt:i4>
      </vt:variant>
      <vt:variant>
        <vt:i4>5</vt:i4>
      </vt:variant>
      <vt:variant>
        <vt:lpwstr>http://www.nevo.co.il/law/74918/39</vt:lpwstr>
      </vt:variant>
      <vt:variant>
        <vt:lpwstr/>
      </vt:variant>
      <vt:variant>
        <vt:i4>3407984</vt:i4>
      </vt:variant>
      <vt:variant>
        <vt:i4>117</vt:i4>
      </vt:variant>
      <vt:variant>
        <vt:i4>0</vt:i4>
      </vt:variant>
      <vt:variant>
        <vt:i4>5</vt:i4>
      </vt:variant>
      <vt:variant>
        <vt:lpwstr>http://www.nevo.co.il/case/28684447</vt:lpwstr>
      </vt:variant>
      <vt:variant>
        <vt:lpwstr/>
      </vt:variant>
      <vt:variant>
        <vt:i4>3407991</vt:i4>
      </vt:variant>
      <vt:variant>
        <vt:i4>114</vt:i4>
      </vt:variant>
      <vt:variant>
        <vt:i4>0</vt:i4>
      </vt:variant>
      <vt:variant>
        <vt:i4>5</vt:i4>
      </vt:variant>
      <vt:variant>
        <vt:lpwstr>http://www.nevo.co.il/case/22607175</vt:lpwstr>
      </vt:variant>
      <vt:variant>
        <vt:lpwstr/>
      </vt:variant>
      <vt:variant>
        <vt:i4>3735670</vt:i4>
      </vt:variant>
      <vt:variant>
        <vt:i4>111</vt:i4>
      </vt:variant>
      <vt:variant>
        <vt:i4>0</vt:i4>
      </vt:variant>
      <vt:variant>
        <vt:i4>5</vt:i4>
      </vt:variant>
      <vt:variant>
        <vt:lpwstr>http://www.nevo.co.il/case/25923515</vt:lpwstr>
      </vt:variant>
      <vt:variant>
        <vt:lpwstr/>
      </vt:variant>
      <vt:variant>
        <vt:i4>3604596</vt:i4>
      </vt:variant>
      <vt:variant>
        <vt:i4>108</vt:i4>
      </vt:variant>
      <vt:variant>
        <vt:i4>0</vt:i4>
      </vt:variant>
      <vt:variant>
        <vt:i4>5</vt:i4>
      </vt:variant>
      <vt:variant>
        <vt:lpwstr>http://www.nevo.co.il/case/27502726</vt:lpwstr>
      </vt:variant>
      <vt:variant>
        <vt:lpwstr/>
      </vt:variant>
      <vt:variant>
        <vt:i4>3276920</vt:i4>
      </vt:variant>
      <vt:variant>
        <vt:i4>105</vt:i4>
      </vt:variant>
      <vt:variant>
        <vt:i4>0</vt:i4>
      </vt:variant>
      <vt:variant>
        <vt:i4>5</vt:i4>
      </vt:variant>
      <vt:variant>
        <vt:lpwstr>http://www.nevo.co.il/case/28152132</vt:lpwstr>
      </vt:variant>
      <vt:variant>
        <vt:lpwstr/>
      </vt:variant>
      <vt:variant>
        <vt:i4>3801209</vt:i4>
      </vt:variant>
      <vt:variant>
        <vt:i4>102</vt:i4>
      </vt:variant>
      <vt:variant>
        <vt:i4>0</vt:i4>
      </vt:variant>
      <vt:variant>
        <vt:i4>5</vt:i4>
      </vt:variant>
      <vt:variant>
        <vt:lpwstr>http://www.nevo.co.il/case/28619472</vt:lpwstr>
      </vt:variant>
      <vt:variant>
        <vt:lpwstr/>
      </vt:variant>
      <vt:variant>
        <vt:i4>3539061</vt:i4>
      </vt:variant>
      <vt:variant>
        <vt:i4>99</vt:i4>
      </vt:variant>
      <vt:variant>
        <vt:i4>0</vt:i4>
      </vt:variant>
      <vt:variant>
        <vt:i4>5</vt:i4>
      </vt:variant>
      <vt:variant>
        <vt:lpwstr>http://www.nevo.co.il/case/28513828</vt:lpwstr>
      </vt:variant>
      <vt:variant>
        <vt:lpwstr/>
      </vt:variant>
      <vt:variant>
        <vt:i4>3342457</vt:i4>
      </vt:variant>
      <vt:variant>
        <vt:i4>96</vt:i4>
      </vt:variant>
      <vt:variant>
        <vt:i4>0</vt:i4>
      </vt:variant>
      <vt:variant>
        <vt:i4>5</vt:i4>
      </vt:variant>
      <vt:variant>
        <vt:lpwstr>http://www.nevo.co.il/case/5762686</vt:lpwstr>
      </vt:variant>
      <vt:variant>
        <vt:lpwstr/>
      </vt:variant>
      <vt:variant>
        <vt:i4>3342462</vt:i4>
      </vt:variant>
      <vt:variant>
        <vt:i4>93</vt:i4>
      </vt:variant>
      <vt:variant>
        <vt:i4>0</vt:i4>
      </vt:variant>
      <vt:variant>
        <vt:i4>5</vt:i4>
      </vt:variant>
      <vt:variant>
        <vt:lpwstr>http://www.nevo.co.il/case/25063920</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3211386</vt:i4>
      </vt:variant>
      <vt:variant>
        <vt:i4>87</vt:i4>
      </vt:variant>
      <vt:variant>
        <vt:i4>0</vt:i4>
      </vt:variant>
      <vt:variant>
        <vt:i4>5</vt:i4>
      </vt:variant>
      <vt:variant>
        <vt:lpwstr>http://www.nevo.co.il/case/26913995</vt:lpwstr>
      </vt:variant>
      <vt:variant>
        <vt:lpwstr/>
      </vt:variant>
      <vt:variant>
        <vt:i4>3997810</vt:i4>
      </vt:variant>
      <vt:variant>
        <vt:i4>84</vt:i4>
      </vt:variant>
      <vt:variant>
        <vt:i4>0</vt:i4>
      </vt:variant>
      <vt:variant>
        <vt:i4>5</vt:i4>
      </vt:variant>
      <vt:variant>
        <vt:lpwstr>http://www.nevo.co.il/case/6034921</vt:lpwstr>
      </vt:variant>
      <vt:variant>
        <vt:lpwstr/>
      </vt:variant>
      <vt:variant>
        <vt:i4>3342451</vt:i4>
      </vt:variant>
      <vt:variant>
        <vt:i4>81</vt:i4>
      </vt:variant>
      <vt:variant>
        <vt:i4>0</vt:i4>
      </vt:variant>
      <vt:variant>
        <vt:i4>5</vt:i4>
      </vt:variant>
      <vt:variant>
        <vt:lpwstr>http://www.nevo.co.il/case/5601503</vt:lpwstr>
      </vt:variant>
      <vt:variant>
        <vt:lpwstr/>
      </vt:variant>
      <vt:variant>
        <vt:i4>7995492</vt:i4>
      </vt:variant>
      <vt:variant>
        <vt:i4>78</vt:i4>
      </vt:variant>
      <vt:variant>
        <vt:i4>0</vt:i4>
      </vt:variant>
      <vt:variant>
        <vt:i4>5</vt:i4>
      </vt:variant>
      <vt:variant>
        <vt:lpwstr>http://www.nevo.co.il/law/70301</vt:lpwstr>
      </vt:variant>
      <vt:variant>
        <vt:lpwstr/>
      </vt:variant>
      <vt:variant>
        <vt:i4>3604599</vt:i4>
      </vt:variant>
      <vt:variant>
        <vt:i4>75</vt:i4>
      </vt:variant>
      <vt:variant>
        <vt:i4>0</vt:i4>
      </vt:variant>
      <vt:variant>
        <vt:i4>5</vt:i4>
      </vt:variant>
      <vt:variant>
        <vt:lpwstr>http://www.nevo.co.il/case/27207408</vt:lpwstr>
      </vt:variant>
      <vt:variant>
        <vt:lpwstr/>
      </vt:variant>
      <vt:variant>
        <vt:i4>3932277</vt:i4>
      </vt:variant>
      <vt:variant>
        <vt:i4>72</vt:i4>
      </vt:variant>
      <vt:variant>
        <vt:i4>0</vt:i4>
      </vt:variant>
      <vt:variant>
        <vt:i4>5</vt:i4>
      </vt:variant>
      <vt:variant>
        <vt:lpwstr>http://www.nevo.co.il/case/27907602</vt:lpwstr>
      </vt:variant>
      <vt:variant>
        <vt:lpwstr/>
      </vt:variant>
      <vt:variant>
        <vt:i4>3211377</vt:i4>
      </vt:variant>
      <vt:variant>
        <vt:i4>69</vt:i4>
      </vt:variant>
      <vt:variant>
        <vt:i4>0</vt:i4>
      </vt:variant>
      <vt:variant>
        <vt:i4>5</vt:i4>
      </vt:variant>
      <vt:variant>
        <vt:lpwstr>http://www.nevo.co.il/case/27115374</vt:lpwstr>
      </vt:variant>
      <vt:variant>
        <vt:lpwstr/>
      </vt:variant>
      <vt:variant>
        <vt:i4>3276920</vt:i4>
      </vt:variant>
      <vt:variant>
        <vt:i4>66</vt:i4>
      </vt:variant>
      <vt:variant>
        <vt:i4>0</vt:i4>
      </vt:variant>
      <vt:variant>
        <vt:i4>5</vt:i4>
      </vt:variant>
      <vt:variant>
        <vt:lpwstr>http://www.nevo.co.il/case/28152132</vt:lpwstr>
      </vt:variant>
      <vt:variant>
        <vt:lpwstr/>
      </vt:variant>
      <vt:variant>
        <vt:i4>4063356</vt:i4>
      </vt:variant>
      <vt:variant>
        <vt:i4>63</vt:i4>
      </vt:variant>
      <vt:variant>
        <vt:i4>0</vt:i4>
      </vt:variant>
      <vt:variant>
        <vt:i4>5</vt:i4>
      </vt:variant>
      <vt:variant>
        <vt:lpwstr>http://www.nevo.co.il/case/27894608</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http://www.nevo.co.il/law/70301/40a</vt:lpwstr>
      </vt:variant>
      <vt:variant>
        <vt:lpwstr/>
      </vt:variant>
      <vt:variant>
        <vt:i4>786511</vt:i4>
      </vt:variant>
      <vt:variant>
        <vt:i4>54</vt:i4>
      </vt:variant>
      <vt:variant>
        <vt:i4>0</vt:i4>
      </vt:variant>
      <vt:variant>
        <vt:i4>5</vt:i4>
      </vt:variant>
      <vt:variant>
        <vt:lpwstr>http://www.nevo.co.il/law/70301/40.if</vt:lpwstr>
      </vt:variant>
      <vt:variant>
        <vt:lpwstr/>
      </vt:variant>
      <vt:variant>
        <vt:i4>6619233</vt:i4>
      </vt:variant>
      <vt:variant>
        <vt:i4>51</vt:i4>
      </vt:variant>
      <vt:variant>
        <vt:i4>0</vt:i4>
      </vt:variant>
      <vt:variant>
        <vt:i4>5</vt:i4>
      </vt:variant>
      <vt:variant>
        <vt:lpwstr>http://www.nevo.co.il/law/70301/40a</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327696</vt:i4>
      </vt:variant>
      <vt:variant>
        <vt:i4>45</vt:i4>
      </vt:variant>
      <vt:variant>
        <vt:i4>0</vt:i4>
      </vt:variant>
      <vt:variant>
        <vt:i4>5</vt:i4>
      </vt:variant>
      <vt:variant>
        <vt:lpwstr>http://www.nevo.co.il/law/70301/fCa(1)S29</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6881381</vt:i4>
      </vt:variant>
      <vt:variant>
        <vt:i4>27</vt:i4>
      </vt:variant>
      <vt:variant>
        <vt:i4>0</vt:i4>
      </vt:variant>
      <vt:variant>
        <vt:i4>5</vt:i4>
      </vt:variant>
      <vt:variant>
        <vt:lpwstr>http://www.nevo.co.il/law/74918/39</vt:lpwstr>
      </vt:variant>
      <vt:variant>
        <vt:lpwstr/>
      </vt:variant>
      <vt:variant>
        <vt:i4>327755</vt:i4>
      </vt:variant>
      <vt:variant>
        <vt:i4>24</vt:i4>
      </vt:variant>
      <vt:variant>
        <vt:i4>0</vt:i4>
      </vt:variant>
      <vt:variant>
        <vt:i4>5</vt:i4>
      </vt:variant>
      <vt:variant>
        <vt:lpwstr>http://www.nevo.co.il/law/74918/34.a</vt:lpwstr>
      </vt:variant>
      <vt:variant>
        <vt:lpwstr/>
      </vt:variant>
      <vt:variant>
        <vt:i4>6422629</vt:i4>
      </vt:variant>
      <vt:variant>
        <vt:i4>21</vt:i4>
      </vt:variant>
      <vt:variant>
        <vt:i4>0</vt:i4>
      </vt:variant>
      <vt:variant>
        <vt:i4>5</vt:i4>
      </vt:variant>
      <vt:variant>
        <vt:lpwstr>http://www.nevo.co.il/law/74918/32</vt:lpwstr>
      </vt:variant>
      <vt:variant>
        <vt:lpwstr/>
      </vt:variant>
      <vt:variant>
        <vt:i4>8323182</vt:i4>
      </vt:variant>
      <vt:variant>
        <vt:i4>18</vt:i4>
      </vt:variant>
      <vt:variant>
        <vt:i4>0</vt:i4>
      </vt:variant>
      <vt:variant>
        <vt:i4>5</vt:i4>
      </vt:variant>
      <vt:variant>
        <vt:lpwstr>http://www.nevo.co.il/law/74918</vt:lpwstr>
      </vt:variant>
      <vt:variant>
        <vt:lpwstr/>
      </vt:variant>
      <vt:variant>
        <vt:i4>327696</vt:i4>
      </vt:variant>
      <vt:variant>
        <vt:i4>15</vt:i4>
      </vt:variant>
      <vt:variant>
        <vt:i4>0</vt:i4>
      </vt:variant>
      <vt:variant>
        <vt:i4>5</vt:i4>
      </vt:variant>
      <vt:variant>
        <vt:lpwstr>http://www.nevo.co.il/law/70301/fCa(1)S29</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17573</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סולטאן זועבי;עימאד זועבי </vt:lpwstr>
  </property>
  <property fmtid="{D5CDD505-2E9C-101B-9397-08002B2CF9AE}" pid="10" name="LAWYER">
    <vt:lpwstr/>
  </property>
  <property fmtid="{D5CDD505-2E9C-101B-9397-08002B2CF9AE}" pid="11" name="JUDGE">
    <vt:lpwstr>גיל קרזבום</vt:lpwstr>
  </property>
  <property fmtid="{D5CDD505-2E9C-101B-9397-08002B2CF9AE}" pid="12" name="CITY">
    <vt:lpwstr>חי'</vt:lpwstr>
  </property>
  <property fmtid="{D5CDD505-2E9C-101B-9397-08002B2CF9AE}" pid="13" name="DATE">
    <vt:lpwstr>20230710</vt:lpwstr>
  </property>
  <property fmtid="{D5CDD505-2E9C-101B-9397-08002B2CF9AE}" pid="14" name="TYPE_N_DATE">
    <vt:lpwstr>39020230710</vt:lpwstr>
  </property>
  <property fmtid="{D5CDD505-2E9C-101B-9397-08002B2CF9AE}" pid="15" name="WORDNUMPAGES">
    <vt:lpwstr>10</vt:lpwstr>
  </property>
  <property fmtid="{D5CDD505-2E9C-101B-9397-08002B2CF9AE}" pid="16" name="TYPE_ABS_DATE">
    <vt:lpwstr>390020230710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27894608;28152132:2;27115374;27907602;27207408;5601503;6034921;26913995;25824863;25063920;5762686;28513828;28619472;27502726;25923515;22607175;28684447;27272576;17922225:2;6055128;17914099</vt:lpwstr>
  </property>
  <property fmtid="{D5CDD505-2E9C-101B-9397-08002B2CF9AE}" pid="36" name="LAWLISTTMP1">
    <vt:lpwstr>70301/144.a;029;fCa(1)S29;040a:2;040.if</vt:lpwstr>
  </property>
  <property fmtid="{D5CDD505-2E9C-101B-9397-08002B2CF9AE}" pid="37" name="LAWLISTTMP2">
    <vt:lpwstr>74918/039;032;034.a</vt:lpwstr>
  </property>
</Properties>
</file>