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C094A" w:rsidRPr="00662EBB" w14:paraId="37896EC7" w14:textId="77777777" w:rsidTr="005362F5">
        <w:trPr>
          <w:trHeight w:hRule="exact" w:val="418"/>
          <w:jc w:val="center"/>
        </w:trPr>
        <w:tc>
          <w:tcPr>
            <w:tcW w:w="8721" w:type="dxa"/>
            <w:gridSpan w:val="2"/>
          </w:tcPr>
          <w:p w14:paraId="324FB96E" w14:textId="77777777" w:rsidR="005C094A" w:rsidRPr="00662EBB" w:rsidRDefault="005C094A" w:rsidP="00E5587B">
            <w:pPr>
              <w:pStyle w:val="a3"/>
              <w:jc w:val="center"/>
              <w:rPr>
                <w:rFonts w:ascii="Tahoma" w:hAnsi="Tahoma" w:cs="Tahoma"/>
                <w:color w:val="000080"/>
                <w:rtl/>
              </w:rPr>
            </w:pPr>
            <w:bookmarkStart w:id="0" w:name="LastJudge"/>
            <w:r w:rsidRPr="00662EBB">
              <w:rPr>
                <w:rFonts w:ascii="Tahoma" w:hAnsi="Tahoma" w:cs="Tahoma"/>
                <w:b/>
                <w:bCs/>
                <w:color w:val="000080"/>
                <w:rtl/>
              </w:rPr>
              <w:t>בית המשפט המחוזי בחיפה</w:t>
            </w:r>
          </w:p>
        </w:tc>
      </w:tr>
      <w:tr w:rsidR="005C094A" w:rsidRPr="007E24B1" w14:paraId="11C6EDC6" w14:textId="77777777" w:rsidTr="005362F5">
        <w:trPr>
          <w:trHeight w:val="337"/>
          <w:jc w:val="center"/>
        </w:trPr>
        <w:tc>
          <w:tcPr>
            <w:tcW w:w="5054" w:type="dxa"/>
          </w:tcPr>
          <w:p w14:paraId="2E6B9C84" w14:textId="77777777" w:rsidR="005C094A" w:rsidRPr="007E24B1" w:rsidRDefault="005C094A" w:rsidP="007E24B1">
            <w:pPr>
              <w:pStyle w:val="a3"/>
              <w:spacing w:before="120" w:after="120" w:line="240" w:lineRule="exact"/>
              <w:rPr>
                <w:rFonts w:ascii="David" w:hAnsi="David"/>
                <w:b/>
                <w:bCs/>
                <w:sz w:val="26"/>
                <w:szCs w:val="26"/>
                <w:rtl/>
              </w:rPr>
            </w:pPr>
            <w:r w:rsidRPr="007E24B1">
              <w:rPr>
                <w:rFonts w:ascii="David" w:hAnsi="David"/>
                <w:b/>
                <w:bCs/>
                <w:sz w:val="26"/>
                <w:szCs w:val="26"/>
                <w:rtl/>
              </w:rPr>
              <w:t>ת"פ 19302-10-22 מדינת ישראל נ' שאהין ואח'</w:t>
            </w:r>
          </w:p>
        </w:tc>
        <w:tc>
          <w:tcPr>
            <w:tcW w:w="3667" w:type="dxa"/>
          </w:tcPr>
          <w:p w14:paraId="71602DB8" w14:textId="77777777" w:rsidR="005C094A" w:rsidRPr="007E24B1" w:rsidRDefault="005C094A" w:rsidP="007E24B1">
            <w:pPr>
              <w:pStyle w:val="a3"/>
              <w:spacing w:before="120" w:after="120" w:line="240" w:lineRule="exact"/>
              <w:jc w:val="right"/>
              <w:rPr>
                <w:rFonts w:ascii="David" w:hAnsi="David"/>
                <w:b/>
                <w:bCs/>
                <w:sz w:val="26"/>
                <w:szCs w:val="26"/>
                <w:rtl/>
              </w:rPr>
            </w:pPr>
          </w:p>
        </w:tc>
      </w:tr>
    </w:tbl>
    <w:p w14:paraId="179C7736" w14:textId="77777777" w:rsidR="005C094A" w:rsidRPr="007E24B1" w:rsidRDefault="005C094A" w:rsidP="007E24B1">
      <w:pPr>
        <w:pStyle w:val="a3"/>
        <w:spacing w:before="120" w:after="120" w:line="240" w:lineRule="exact"/>
        <w:rPr>
          <w:rtl/>
        </w:rPr>
      </w:pPr>
      <w:r w:rsidRPr="007E24B1">
        <w:rPr>
          <w:rtl/>
        </w:rPr>
        <w:t xml:space="preserve"> </w:t>
      </w:r>
    </w:p>
    <w:tbl>
      <w:tblPr>
        <w:bidiVisual/>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5815"/>
      </w:tblGrid>
      <w:tr w:rsidR="005C094A" w:rsidRPr="007E24B1" w14:paraId="5DC54047" w14:textId="77777777" w:rsidTr="005C094A">
        <w:trPr>
          <w:trHeight w:val="295"/>
          <w:jc w:val="center"/>
        </w:trPr>
        <w:tc>
          <w:tcPr>
            <w:tcW w:w="8368" w:type="dxa"/>
            <w:gridSpan w:val="2"/>
            <w:tcBorders>
              <w:top w:val="nil"/>
              <w:left w:val="nil"/>
              <w:bottom w:val="nil"/>
              <w:right w:val="nil"/>
            </w:tcBorders>
            <w:shd w:val="clear" w:color="auto" w:fill="auto"/>
          </w:tcPr>
          <w:p w14:paraId="68960185" w14:textId="77777777" w:rsidR="005C094A" w:rsidRPr="007E24B1" w:rsidRDefault="005C094A" w:rsidP="007E24B1">
            <w:pPr>
              <w:spacing w:before="120" w:after="120" w:line="240" w:lineRule="exact"/>
              <w:rPr>
                <w:rFonts w:ascii="David" w:hAnsi="David"/>
                <w:b/>
                <w:bCs/>
                <w:sz w:val="26"/>
                <w:szCs w:val="26"/>
              </w:rPr>
            </w:pPr>
            <w:r w:rsidRPr="007E24B1">
              <w:rPr>
                <w:rFonts w:ascii="David" w:hAnsi="David"/>
                <w:b/>
                <w:bCs/>
                <w:sz w:val="26"/>
                <w:szCs w:val="26"/>
                <w:rtl/>
              </w:rPr>
              <w:t>לפני כבוד השופט  דניאל פיש</w:t>
            </w:r>
          </w:p>
        </w:tc>
      </w:tr>
      <w:tr w:rsidR="005C094A" w:rsidRPr="007E24B1" w14:paraId="59EF9EDB" w14:textId="77777777" w:rsidTr="005C094A">
        <w:trPr>
          <w:trHeight w:val="355"/>
          <w:jc w:val="center"/>
        </w:trPr>
        <w:tc>
          <w:tcPr>
            <w:tcW w:w="2553" w:type="dxa"/>
            <w:tcBorders>
              <w:top w:val="nil"/>
              <w:left w:val="nil"/>
              <w:bottom w:val="nil"/>
              <w:right w:val="nil"/>
            </w:tcBorders>
            <w:shd w:val="clear" w:color="auto" w:fill="auto"/>
          </w:tcPr>
          <w:p w14:paraId="733FD262" w14:textId="77777777" w:rsidR="005C094A" w:rsidRPr="007E24B1" w:rsidRDefault="005C094A" w:rsidP="007E24B1">
            <w:pPr>
              <w:spacing w:before="120" w:after="120" w:line="240" w:lineRule="exact"/>
              <w:rPr>
                <w:rFonts w:ascii="David" w:hAnsi="David"/>
                <w:b/>
                <w:bCs/>
                <w:sz w:val="26"/>
                <w:szCs w:val="26"/>
                <w:rtl/>
              </w:rPr>
            </w:pPr>
            <w:bookmarkStart w:id="1" w:name="FirstAppellant"/>
            <w:r w:rsidRPr="007E24B1">
              <w:rPr>
                <w:rFonts w:ascii="David" w:hAnsi="David"/>
                <w:b/>
                <w:bCs/>
                <w:sz w:val="26"/>
                <w:szCs w:val="26"/>
                <w:rtl/>
              </w:rPr>
              <w:t>המאשימה</w:t>
            </w:r>
          </w:p>
        </w:tc>
        <w:tc>
          <w:tcPr>
            <w:tcW w:w="5815" w:type="dxa"/>
            <w:tcBorders>
              <w:top w:val="nil"/>
              <w:left w:val="nil"/>
              <w:bottom w:val="nil"/>
              <w:right w:val="nil"/>
            </w:tcBorders>
            <w:shd w:val="clear" w:color="auto" w:fill="auto"/>
            <w:vAlign w:val="center"/>
          </w:tcPr>
          <w:p w14:paraId="7276FDB3" w14:textId="77777777" w:rsidR="005C094A" w:rsidRPr="007E24B1" w:rsidRDefault="005C094A" w:rsidP="007E24B1">
            <w:pPr>
              <w:spacing w:before="120" w:after="120" w:line="240" w:lineRule="exact"/>
              <w:rPr>
                <w:rFonts w:ascii="David" w:hAnsi="David"/>
                <w:b/>
                <w:bCs/>
                <w:sz w:val="26"/>
                <w:szCs w:val="26"/>
              </w:rPr>
            </w:pPr>
            <w:r w:rsidRPr="007E24B1">
              <w:rPr>
                <w:rFonts w:ascii="David" w:hAnsi="David"/>
                <w:b/>
                <w:bCs/>
                <w:sz w:val="26"/>
                <w:szCs w:val="26"/>
                <w:rtl/>
              </w:rPr>
              <w:t xml:space="preserve">מדינת ישראל </w:t>
            </w:r>
          </w:p>
        </w:tc>
      </w:tr>
      <w:bookmarkEnd w:id="1"/>
      <w:tr w:rsidR="005C094A" w:rsidRPr="007E24B1" w14:paraId="2C3CA0EE" w14:textId="77777777" w:rsidTr="005C094A">
        <w:trPr>
          <w:trHeight w:val="355"/>
          <w:jc w:val="center"/>
        </w:trPr>
        <w:tc>
          <w:tcPr>
            <w:tcW w:w="8368" w:type="dxa"/>
            <w:gridSpan w:val="2"/>
            <w:tcBorders>
              <w:top w:val="nil"/>
              <w:left w:val="nil"/>
              <w:bottom w:val="nil"/>
              <w:right w:val="nil"/>
            </w:tcBorders>
            <w:shd w:val="clear" w:color="auto" w:fill="auto"/>
          </w:tcPr>
          <w:p w14:paraId="58AE27E0" w14:textId="77777777" w:rsidR="005C094A" w:rsidRPr="007E24B1" w:rsidRDefault="005C094A" w:rsidP="007E24B1">
            <w:pPr>
              <w:spacing w:before="240" w:after="240" w:line="240" w:lineRule="exact"/>
              <w:jc w:val="center"/>
              <w:rPr>
                <w:rFonts w:ascii="David" w:hAnsi="David" w:hint="cs"/>
                <w:b/>
                <w:bCs/>
                <w:sz w:val="26"/>
                <w:szCs w:val="26"/>
              </w:rPr>
            </w:pPr>
            <w:r w:rsidRPr="007E24B1">
              <w:rPr>
                <w:rFonts w:ascii="David" w:hAnsi="David"/>
                <w:b/>
                <w:bCs/>
                <w:sz w:val="26"/>
                <w:szCs w:val="26"/>
                <w:rtl/>
              </w:rPr>
              <w:t>נגד</w:t>
            </w:r>
          </w:p>
        </w:tc>
      </w:tr>
      <w:tr w:rsidR="005C094A" w:rsidRPr="007E24B1" w14:paraId="5144C98B" w14:textId="77777777" w:rsidTr="005C094A">
        <w:trPr>
          <w:trHeight w:val="355"/>
          <w:jc w:val="center"/>
        </w:trPr>
        <w:tc>
          <w:tcPr>
            <w:tcW w:w="2553" w:type="dxa"/>
            <w:tcBorders>
              <w:top w:val="nil"/>
              <w:left w:val="nil"/>
              <w:bottom w:val="nil"/>
              <w:right w:val="nil"/>
            </w:tcBorders>
            <w:shd w:val="clear" w:color="auto" w:fill="auto"/>
          </w:tcPr>
          <w:p w14:paraId="2CF69B29" w14:textId="77777777" w:rsidR="005C094A" w:rsidRPr="007E24B1" w:rsidRDefault="005C094A" w:rsidP="007E24B1">
            <w:pPr>
              <w:spacing w:before="120" w:after="120" w:line="240" w:lineRule="exact"/>
              <w:rPr>
                <w:rFonts w:ascii="David" w:hAnsi="David"/>
                <w:b/>
                <w:bCs/>
                <w:sz w:val="26"/>
                <w:szCs w:val="26"/>
                <w:rtl/>
              </w:rPr>
            </w:pPr>
            <w:r w:rsidRPr="007E24B1">
              <w:rPr>
                <w:rFonts w:ascii="David" w:hAnsi="David"/>
                <w:b/>
                <w:bCs/>
                <w:sz w:val="26"/>
                <w:szCs w:val="26"/>
                <w:rtl/>
              </w:rPr>
              <w:t>הנאשמים</w:t>
            </w:r>
          </w:p>
        </w:tc>
        <w:tc>
          <w:tcPr>
            <w:tcW w:w="5815" w:type="dxa"/>
            <w:tcBorders>
              <w:top w:val="nil"/>
              <w:left w:val="nil"/>
              <w:bottom w:val="nil"/>
              <w:right w:val="nil"/>
            </w:tcBorders>
            <w:shd w:val="clear" w:color="auto" w:fill="auto"/>
            <w:vAlign w:val="center"/>
          </w:tcPr>
          <w:p w14:paraId="0BAB3F6D" w14:textId="77777777" w:rsidR="005C094A" w:rsidRPr="007E24B1" w:rsidRDefault="005C094A" w:rsidP="007E24B1">
            <w:pPr>
              <w:suppressLineNumbers/>
              <w:spacing w:before="120" w:after="120" w:line="240" w:lineRule="exact"/>
              <w:rPr>
                <w:rFonts w:ascii="David" w:hAnsi="David"/>
                <w:b/>
                <w:bCs/>
                <w:sz w:val="26"/>
                <w:szCs w:val="26"/>
                <w:rtl/>
              </w:rPr>
            </w:pPr>
            <w:r w:rsidRPr="007E24B1">
              <w:rPr>
                <w:rFonts w:ascii="David" w:hAnsi="David"/>
                <w:b/>
                <w:bCs/>
                <w:sz w:val="26"/>
                <w:szCs w:val="26"/>
                <w:rtl/>
              </w:rPr>
              <w:t>1. סאמח שאהין</w:t>
            </w:r>
          </w:p>
          <w:p w14:paraId="43ACEFAC" w14:textId="77777777" w:rsidR="005C094A" w:rsidRPr="007E24B1" w:rsidRDefault="005C094A" w:rsidP="007E24B1">
            <w:pPr>
              <w:suppressLineNumbers/>
              <w:spacing w:before="120" w:after="120" w:line="240" w:lineRule="exact"/>
              <w:rPr>
                <w:rFonts w:ascii="David" w:hAnsi="David"/>
                <w:b/>
                <w:bCs/>
                <w:sz w:val="26"/>
                <w:szCs w:val="26"/>
              </w:rPr>
            </w:pPr>
            <w:r w:rsidRPr="007E24B1">
              <w:rPr>
                <w:rFonts w:ascii="David" w:hAnsi="David"/>
                <w:b/>
                <w:bCs/>
                <w:sz w:val="26"/>
                <w:szCs w:val="26"/>
                <w:rtl/>
              </w:rPr>
              <w:t>2. מאהר קיס</w:t>
            </w:r>
          </w:p>
          <w:p w14:paraId="5C73605D" w14:textId="77777777" w:rsidR="005C094A" w:rsidRPr="007E24B1" w:rsidRDefault="005C094A" w:rsidP="007E24B1">
            <w:pPr>
              <w:suppressLineNumbers/>
              <w:spacing w:before="120" w:after="120" w:line="240" w:lineRule="exact"/>
              <w:rPr>
                <w:rFonts w:ascii="David" w:hAnsi="David"/>
                <w:b/>
                <w:bCs/>
                <w:sz w:val="26"/>
                <w:szCs w:val="26"/>
                <w:rtl/>
              </w:rPr>
            </w:pPr>
            <w:r w:rsidRPr="007E24B1">
              <w:rPr>
                <w:rFonts w:ascii="David" w:hAnsi="David"/>
                <w:b/>
                <w:bCs/>
                <w:sz w:val="26"/>
                <w:szCs w:val="26"/>
                <w:rtl/>
              </w:rPr>
              <w:t xml:space="preserve">3. רפיק סעב (עצור/אסיר בפיקוח) </w:t>
            </w:r>
          </w:p>
        </w:tc>
      </w:tr>
    </w:tbl>
    <w:p w14:paraId="56F4B9B4" w14:textId="77777777" w:rsidR="005C094A" w:rsidRDefault="005C094A" w:rsidP="005362F5">
      <w:pPr>
        <w:rPr>
          <w:rFonts w:ascii="FrankRuehl" w:hAnsi="FrankRuehl" w:cs="FrankRuehl" w:hint="cs"/>
          <w:rtl/>
        </w:rPr>
      </w:pPr>
    </w:p>
    <w:p w14:paraId="058510ED" w14:textId="77777777" w:rsidR="007E24B1" w:rsidRPr="007E24B1" w:rsidRDefault="007E24B1" w:rsidP="007E24B1">
      <w:pPr>
        <w:spacing w:before="120" w:after="120" w:line="240" w:lineRule="exact"/>
        <w:ind w:left="283" w:hanging="283"/>
        <w:jc w:val="both"/>
        <w:rPr>
          <w:rFonts w:ascii="FrankRuehl" w:hAnsi="FrankRuehl" w:cs="FrankRuehl"/>
          <w:rtl/>
        </w:rPr>
      </w:pPr>
      <w:bookmarkStart w:id="2" w:name="LawTable"/>
      <w:bookmarkEnd w:id="2"/>
      <w:r w:rsidRPr="007E24B1">
        <w:rPr>
          <w:rFonts w:ascii="FrankRuehl" w:hAnsi="FrankRuehl" w:cs="FrankRuehl"/>
          <w:rtl/>
        </w:rPr>
        <w:t xml:space="preserve">חקיקה שאוזכרה: </w:t>
      </w:r>
    </w:p>
    <w:p w14:paraId="5CE7021A" w14:textId="77777777" w:rsidR="007E24B1" w:rsidRPr="007E24B1" w:rsidRDefault="007E24B1" w:rsidP="007E24B1">
      <w:pPr>
        <w:spacing w:before="120" w:after="120" w:line="240" w:lineRule="exact"/>
        <w:ind w:left="283" w:hanging="283"/>
        <w:jc w:val="both"/>
        <w:rPr>
          <w:rFonts w:ascii="FrankRuehl" w:hAnsi="FrankRuehl" w:cs="FrankRuehl"/>
          <w:color w:val="0000FF"/>
          <w:rtl/>
        </w:rPr>
      </w:pPr>
      <w:hyperlink r:id="rId7" w:history="1">
        <w:r w:rsidRPr="007E24B1">
          <w:rPr>
            <w:rStyle w:val="Hyperlink"/>
            <w:rFonts w:ascii="FrankRuehl" w:hAnsi="FrankRuehl" w:cs="FrankRuehl"/>
            <w:u w:val="none"/>
            <w:rtl/>
          </w:rPr>
          <w:t>חוק העונשין, תשל"ז-1977</w:t>
        </w:r>
      </w:hyperlink>
      <w:r w:rsidRPr="007E24B1">
        <w:rPr>
          <w:rFonts w:ascii="FrankRuehl" w:hAnsi="FrankRuehl" w:cs="FrankRuehl"/>
          <w:color w:val="0000FF"/>
          <w:rtl/>
        </w:rPr>
        <w:t xml:space="preserve">: סע'  </w:t>
      </w:r>
      <w:hyperlink r:id="rId8" w:history="1">
        <w:r w:rsidRPr="007E24B1">
          <w:rPr>
            <w:rStyle w:val="Hyperlink"/>
            <w:rFonts w:ascii="FrankRuehl" w:hAnsi="FrankRuehl" w:cs="FrankRuehl"/>
            <w:u w:val="none"/>
          </w:rPr>
          <w:t>144</w:t>
        </w:r>
      </w:hyperlink>
      <w:r w:rsidRPr="007E24B1">
        <w:rPr>
          <w:rFonts w:ascii="FrankRuehl" w:hAnsi="FrankRuehl" w:cs="FrankRuehl"/>
          <w:color w:val="0000FF"/>
          <w:rtl/>
        </w:rPr>
        <w:t xml:space="preserve">(א), </w:t>
      </w:r>
      <w:hyperlink r:id="rId9" w:history="1">
        <w:r w:rsidRPr="007E24B1">
          <w:rPr>
            <w:rStyle w:val="Hyperlink"/>
            <w:rFonts w:ascii="FrankRuehl" w:hAnsi="FrankRuehl" w:cs="FrankRuehl"/>
            <w:u w:val="none"/>
          </w:rPr>
          <w:t>144</w:t>
        </w:r>
      </w:hyperlink>
      <w:r w:rsidRPr="007E24B1">
        <w:rPr>
          <w:rFonts w:ascii="FrankRuehl" w:hAnsi="FrankRuehl" w:cs="FrankRuehl"/>
          <w:color w:val="0000FF"/>
          <w:rtl/>
        </w:rPr>
        <w:t xml:space="preserve">(ב), </w:t>
      </w:r>
      <w:hyperlink r:id="rId10" w:history="1">
        <w:r w:rsidRPr="007E24B1">
          <w:rPr>
            <w:rStyle w:val="Hyperlink"/>
            <w:rFonts w:ascii="FrankRuehl" w:hAnsi="FrankRuehl" w:cs="FrankRuehl"/>
            <w:u w:val="none"/>
          </w:rPr>
          <w:t>383</w:t>
        </w:r>
      </w:hyperlink>
      <w:r w:rsidRPr="007E24B1">
        <w:rPr>
          <w:rFonts w:ascii="FrankRuehl" w:hAnsi="FrankRuehl" w:cs="FrankRuehl"/>
          <w:color w:val="0000FF"/>
          <w:rtl/>
        </w:rPr>
        <w:t xml:space="preserve">, </w:t>
      </w:r>
      <w:hyperlink r:id="rId11" w:history="1">
        <w:r w:rsidRPr="007E24B1">
          <w:rPr>
            <w:rStyle w:val="Hyperlink"/>
            <w:rFonts w:ascii="FrankRuehl" w:hAnsi="FrankRuehl" w:cs="FrankRuehl"/>
            <w:u w:val="none"/>
          </w:rPr>
          <w:t>390</w:t>
        </w:r>
      </w:hyperlink>
      <w:r w:rsidRPr="007E24B1">
        <w:rPr>
          <w:rFonts w:ascii="FrankRuehl" w:hAnsi="FrankRuehl" w:cs="FrankRuehl"/>
          <w:color w:val="0000FF"/>
          <w:rtl/>
        </w:rPr>
        <w:t xml:space="preserve">, </w:t>
      </w:r>
      <w:hyperlink r:id="rId12" w:history="1">
        <w:r w:rsidRPr="007E24B1">
          <w:rPr>
            <w:rStyle w:val="Hyperlink"/>
            <w:rFonts w:ascii="FrankRuehl" w:hAnsi="FrankRuehl" w:cs="FrankRuehl"/>
            <w:u w:val="none"/>
          </w:rPr>
          <w:t>40</w:t>
        </w:r>
        <w:r w:rsidRPr="007E24B1">
          <w:rPr>
            <w:rStyle w:val="Hyperlink"/>
            <w:rFonts w:ascii="FrankRuehl" w:hAnsi="FrankRuehl" w:cs="FrankRuehl"/>
            <w:u w:val="none"/>
            <w:rtl/>
          </w:rPr>
          <w:t>יג</w:t>
        </w:r>
      </w:hyperlink>
      <w:r w:rsidRPr="007E24B1">
        <w:rPr>
          <w:rFonts w:ascii="FrankRuehl" w:hAnsi="FrankRuehl" w:cs="FrankRuehl"/>
          <w:color w:val="0000FF"/>
          <w:rtl/>
        </w:rPr>
        <w:t>(ב)</w:t>
      </w:r>
    </w:p>
    <w:p w14:paraId="25488D84" w14:textId="77777777" w:rsidR="007E24B1" w:rsidRDefault="007E24B1" w:rsidP="007E24B1">
      <w:pPr>
        <w:rPr>
          <w:rFonts w:hint="cs"/>
          <w:rtl/>
        </w:rPr>
      </w:pPr>
      <w:bookmarkStart w:id="3" w:name="LawTable_End"/>
      <w:bookmarkEnd w:id="3"/>
    </w:p>
    <w:p w14:paraId="6B69D445"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bookmarkStart w:id="4" w:name="ABSTRACT_START"/>
      <w:bookmarkEnd w:id="4"/>
      <w:r>
        <w:rPr>
          <w:rFonts w:cs="FrankRuehl" w:hint="cs"/>
          <w:szCs w:val="26"/>
          <w:rtl/>
        </w:rPr>
        <w:t>מיני-</w:t>
      </w:r>
      <w:r w:rsidRPr="00584B0E">
        <w:rPr>
          <w:rFonts w:cs="FrankRuehl" w:hint="cs"/>
          <w:szCs w:val="26"/>
          <w:rtl/>
        </w:rPr>
        <w:t>רציו:</w:t>
      </w:r>
    </w:p>
    <w:p w14:paraId="56015AAB"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84B0E">
        <w:rPr>
          <w:rFonts w:cs="FrankRuehl" w:hint="cs"/>
          <w:szCs w:val="26"/>
          <w:rtl/>
        </w:rPr>
        <w:t xml:space="preserve">בית המשפט גזר את דינו של </w:t>
      </w:r>
      <w:r w:rsidRPr="00584B0E">
        <w:rPr>
          <w:rFonts w:cs="FrankRuehl"/>
          <w:szCs w:val="26"/>
          <w:rtl/>
        </w:rPr>
        <w:t xml:space="preserve">נאשם </w:t>
      </w:r>
      <w:r w:rsidRPr="00584B0E">
        <w:rPr>
          <w:rFonts w:cs="FrankRuehl" w:hint="cs"/>
          <w:szCs w:val="26"/>
          <w:rtl/>
        </w:rPr>
        <w:t>שהורשע ב</w:t>
      </w:r>
      <w:r w:rsidRPr="00584B0E">
        <w:rPr>
          <w:rFonts w:cs="FrankRuehl"/>
          <w:szCs w:val="26"/>
          <w:rtl/>
        </w:rPr>
        <w:t>עביר</w:t>
      </w:r>
      <w:r w:rsidRPr="00584B0E">
        <w:rPr>
          <w:rFonts w:cs="FrankRuehl" w:hint="cs"/>
          <w:szCs w:val="26"/>
          <w:rtl/>
        </w:rPr>
        <w:t xml:space="preserve">ות </w:t>
      </w:r>
      <w:r w:rsidRPr="00584B0E">
        <w:rPr>
          <w:rFonts w:cs="FrankRuehl"/>
          <w:szCs w:val="26"/>
          <w:rtl/>
        </w:rPr>
        <w:t xml:space="preserve">נשק (רכישה נשיאה והובלה) </w:t>
      </w:r>
      <w:r w:rsidRPr="00584B0E">
        <w:rPr>
          <w:rFonts w:cs="FrankRuehl" w:hint="cs"/>
          <w:szCs w:val="26"/>
          <w:rtl/>
        </w:rPr>
        <w:t>ו</w:t>
      </w:r>
      <w:r w:rsidRPr="00584B0E">
        <w:rPr>
          <w:rFonts w:cs="FrankRuehl"/>
          <w:szCs w:val="26"/>
          <w:rtl/>
        </w:rPr>
        <w:t>גניבה בידי עובד ציבור</w:t>
      </w:r>
      <w:r w:rsidRPr="00584B0E">
        <w:rPr>
          <w:rFonts w:cs="FrankRuehl" w:hint="cs"/>
          <w:szCs w:val="26"/>
          <w:rtl/>
        </w:rPr>
        <w:t xml:space="preserve">, והטיל עליו </w:t>
      </w:r>
      <w:r w:rsidRPr="00584B0E">
        <w:rPr>
          <w:rFonts w:cs="FrankRuehl"/>
          <w:szCs w:val="26"/>
          <w:rtl/>
        </w:rPr>
        <w:t>30 חודשי מאסר בפועל, 12 חודשי מאסר על תנאי וקנס בסך של 7,000 ₪.</w:t>
      </w:r>
    </w:p>
    <w:p w14:paraId="0D0038DA"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84B0E">
        <w:rPr>
          <w:rFonts w:cs="FrankRuehl" w:hint="cs"/>
          <w:szCs w:val="26"/>
          <w:rtl/>
        </w:rPr>
        <w:t xml:space="preserve">עונשין </w:t>
      </w:r>
      <w:r w:rsidRPr="00584B0E">
        <w:rPr>
          <w:rFonts w:cs="FrankRuehl"/>
          <w:szCs w:val="26"/>
          <w:rtl/>
        </w:rPr>
        <w:t>–</w:t>
      </w:r>
      <w:r w:rsidRPr="00584B0E">
        <w:rPr>
          <w:rFonts w:cs="FrankRuehl" w:hint="cs"/>
          <w:szCs w:val="26"/>
          <w:rtl/>
        </w:rPr>
        <w:t xml:space="preserve"> ענישה </w:t>
      </w:r>
      <w:r w:rsidRPr="00584B0E">
        <w:rPr>
          <w:rFonts w:cs="FrankRuehl"/>
          <w:szCs w:val="26"/>
          <w:rtl/>
        </w:rPr>
        <w:t>–</w:t>
      </w:r>
      <w:r w:rsidRPr="00584B0E">
        <w:rPr>
          <w:rFonts w:cs="FrankRuehl" w:hint="cs"/>
          <w:szCs w:val="26"/>
          <w:rtl/>
        </w:rPr>
        <w:t xml:space="preserve"> מדיניות ענישה: עבירות נשק </w:t>
      </w:r>
    </w:p>
    <w:p w14:paraId="5C91B7CB"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84B0E">
        <w:rPr>
          <w:rFonts w:cs="FrankRuehl" w:hint="cs"/>
          <w:szCs w:val="26"/>
          <w:rtl/>
        </w:rPr>
        <w:t xml:space="preserve">עונשין </w:t>
      </w:r>
      <w:r w:rsidRPr="00584B0E">
        <w:rPr>
          <w:rFonts w:cs="FrankRuehl"/>
          <w:szCs w:val="26"/>
          <w:rtl/>
        </w:rPr>
        <w:t>–</w:t>
      </w:r>
      <w:r w:rsidRPr="00584B0E">
        <w:rPr>
          <w:rFonts w:cs="FrankRuehl" w:hint="cs"/>
          <w:szCs w:val="26"/>
          <w:rtl/>
        </w:rPr>
        <w:t xml:space="preserve"> ענישה </w:t>
      </w:r>
      <w:r w:rsidRPr="00584B0E">
        <w:rPr>
          <w:rFonts w:cs="FrankRuehl"/>
          <w:szCs w:val="26"/>
          <w:rtl/>
        </w:rPr>
        <w:t>–</w:t>
      </w:r>
      <w:r w:rsidRPr="00584B0E">
        <w:rPr>
          <w:rFonts w:cs="FrankRuehl" w:hint="cs"/>
          <w:szCs w:val="26"/>
          <w:rtl/>
        </w:rPr>
        <w:t xml:space="preserve"> מדיניות ענישה: </w:t>
      </w:r>
      <w:r w:rsidRPr="00584B0E">
        <w:rPr>
          <w:rFonts w:cs="FrankRuehl"/>
          <w:szCs w:val="26"/>
          <w:rtl/>
        </w:rPr>
        <w:t>גניבה בידי עובד</w:t>
      </w:r>
    </w:p>
    <w:p w14:paraId="5D44D437" w14:textId="77777777" w:rsidR="00291F72" w:rsidRPr="00584B0E" w:rsidRDefault="00291F72" w:rsidP="00291F7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48E2A48"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r w:rsidRPr="00584B0E">
        <w:rPr>
          <w:rFonts w:cs="FrankRuehl"/>
          <w:szCs w:val="26"/>
          <w:rtl/>
        </w:rPr>
        <w:t xml:space="preserve">הנאשם הורשע על פי הודאתו בעבירות של עבירה בנשק (רכישה), גניבה בידי עובד ציבור ועבירות בנשק (נשיאה והובלה). </w:t>
      </w:r>
    </w:p>
    <w:p w14:paraId="4CF8E000" w14:textId="77777777" w:rsidR="00291F72" w:rsidRDefault="00291F72" w:rsidP="00291F7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2B643A9"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tl/>
        </w:rPr>
      </w:pPr>
      <w:r w:rsidRPr="00584B0E">
        <w:rPr>
          <w:rFonts w:cs="FrankRuehl"/>
          <w:szCs w:val="26"/>
          <w:rtl/>
        </w:rPr>
        <w:t>בית המשפט גזר את הדין כדלהלן:</w:t>
      </w:r>
    </w:p>
    <w:p w14:paraId="254E4DD6" w14:textId="77777777" w:rsidR="00291F72" w:rsidRPr="00584B0E" w:rsidRDefault="00291F72" w:rsidP="00291F72">
      <w:pPr>
        <w:pBdr>
          <w:top w:val="single" w:sz="4" w:space="1" w:color="auto"/>
          <w:bottom w:val="single" w:sz="4" w:space="1" w:color="auto"/>
        </w:pBdr>
        <w:spacing w:after="120" w:line="320" w:lineRule="exact"/>
        <w:jc w:val="both"/>
        <w:rPr>
          <w:rFonts w:cs="FrankRuehl"/>
          <w:szCs w:val="26"/>
        </w:rPr>
      </w:pPr>
      <w:r w:rsidRPr="00584B0E">
        <w:rPr>
          <w:rFonts w:cs="FrankRuehl"/>
          <w:szCs w:val="26"/>
          <w:rtl/>
        </w:rPr>
        <w:t>במקרה דנן הערכים החברתיים שנפגעו על ידי מעשי הנאשם 3 היו שמירה על שלום הציבור, שלמות הגוף והגנה על החיים ועל קניין הציבורי. עסקינן בשלושה אירועים נפרדים, אשר בגין כל אחד מהם יש לקבוע מתחם ענישה נפרד ועצמאי, אך בנסיבות דנן קיימת הצדקה להשתת עונש כולל אחד בגין מכלול העבירות הנדונות. בהתחשב בכלל הנסיבות והשיקולים יש להטיל על הנאשם 30 חודשי מאסר בפועל, 12 חודשי מאסר על תנאי וקנס בסך של 7,000 ₪.</w:t>
      </w:r>
    </w:p>
    <w:p w14:paraId="480CE15D" w14:textId="77777777" w:rsidR="00291F72" w:rsidRPr="00291F72" w:rsidRDefault="00291F72" w:rsidP="007E24B1">
      <w:pPr>
        <w:rPr>
          <w:rFonts w:hint="cs"/>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094A" w:rsidRPr="00E84347" w14:paraId="64709E39" w14:textId="77777777" w:rsidTr="005C094A">
        <w:trPr>
          <w:trHeight w:val="355"/>
          <w:jc w:val="center"/>
        </w:trPr>
        <w:tc>
          <w:tcPr>
            <w:tcW w:w="8820" w:type="dxa"/>
            <w:tcBorders>
              <w:top w:val="nil"/>
              <w:left w:val="nil"/>
              <w:bottom w:val="nil"/>
              <w:right w:val="nil"/>
            </w:tcBorders>
            <w:shd w:val="clear" w:color="auto" w:fill="auto"/>
          </w:tcPr>
          <w:p w14:paraId="312E765E" w14:textId="77777777" w:rsidR="00662EBB" w:rsidRPr="00662EBB" w:rsidRDefault="00662EBB" w:rsidP="00662EBB">
            <w:pPr>
              <w:jc w:val="center"/>
              <w:rPr>
                <w:rFonts w:ascii="David" w:hAnsi="David"/>
                <w:b/>
                <w:bCs/>
                <w:u w:val="single"/>
                <w:rtl/>
              </w:rPr>
            </w:pPr>
            <w:bookmarkStart w:id="6" w:name="PsakDin"/>
            <w:bookmarkEnd w:id="0"/>
            <w:r w:rsidRPr="00662EBB">
              <w:rPr>
                <w:rFonts w:ascii="David" w:hAnsi="David"/>
                <w:b/>
                <w:bCs/>
                <w:u w:val="single"/>
                <w:rtl/>
              </w:rPr>
              <w:t xml:space="preserve">גזר דין   </w:t>
            </w:r>
            <w:bookmarkEnd w:id="6"/>
            <w:r w:rsidRPr="00662EBB">
              <w:rPr>
                <w:rFonts w:ascii="David" w:hAnsi="David"/>
                <w:b/>
                <w:bCs/>
                <w:u w:val="single"/>
                <w:rtl/>
              </w:rPr>
              <w:t>נאשם 3</w:t>
            </w:r>
          </w:p>
          <w:p w14:paraId="5E7FB5DC" w14:textId="77777777" w:rsidR="005C094A" w:rsidRPr="00662EBB" w:rsidRDefault="005C094A" w:rsidP="00662EBB">
            <w:pPr>
              <w:jc w:val="center"/>
              <w:rPr>
                <w:rFonts w:ascii="David" w:hAnsi="David"/>
                <w:bCs/>
                <w:u w:val="single"/>
                <w:rtl/>
              </w:rPr>
            </w:pPr>
          </w:p>
        </w:tc>
      </w:tr>
    </w:tbl>
    <w:p w14:paraId="4F72E0B9" w14:textId="77777777" w:rsidR="005C094A" w:rsidRPr="00E84347" w:rsidRDefault="005C094A" w:rsidP="005C094A">
      <w:pPr>
        <w:rPr>
          <w:rFonts w:ascii="Arial" w:hAnsi="Arial"/>
          <w:b/>
          <w:bCs/>
          <w:rtl/>
        </w:rPr>
      </w:pPr>
    </w:p>
    <w:p w14:paraId="05240841" w14:textId="77777777" w:rsidR="005C094A" w:rsidRPr="00E84347" w:rsidRDefault="005C094A" w:rsidP="005C094A">
      <w:pPr>
        <w:rPr>
          <w:rFonts w:ascii="Arial" w:hAnsi="Arial"/>
          <w:b/>
          <w:bCs/>
          <w:rtl/>
        </w:rPr>
      </w:pPr>
    </w:p>
    <w:p w14:paraId="525D606E" w14:textId="77777777" w:rsidR="005C094A" w:rsidRDefault="005C094A" w:rsidP="005C094A">
      <w:pPr>
        <w:pStyle w:val="ListParagraph"/>
        <w:numPr>
          <w:ilvl w:val="0"/>
          <w:numId w:val="1"/>
        </w:numPr>
        <w:spacing w:line="360" w:lineRule="auto"/>
        <w:jc w:val="both"/>
        <w:rPr>
          <w:rFonts w:ascii="Arial" w:hAnsi="Arial"/>
          <w:b/>
          <w:bCs/>
        </w:rPr>
      </w:pPr>
      <w:r w:rsidRPr="00E84347">
        <w:rPr>
          <w:rFonts w:ascii="Arial" w:hAnsi="Arial" w:hint="cs"/>
          <w:rtl/>
        </w:rPr>
        <w:t xml:space="preserve">הנאשם הורשע על פי הודאתו בעובדות כתב האישום המתוקן בעבירות של עבירה בנשק (רכישה) לפי </w:t>
      </w:r>
      <w:hyperlink r:id="rId13" w:history="1">
        <w:r w:rsidR="005362F5" w:rsidRPr="005362F5">
          <w:rPr>
            <w:rStyle w:val="Hyperlink"/>
            <w:rFonts w:ascii="Arial" w:hAnsi="Arial" w:hint="eastAsia"/>
            <w:rtl/>
          </w:rPr>
          <w:t>סעיף</w:t>
        </w:r>
        <w:r w:rsidR="005362F5" w:rsidRPr="005362F5">
          <w:rPr>
            <w:rStyle w:val="Hyperlink"/>
            <w:rFonts w:ascii="Arial" w:hAnsi="Arial"/>
            <w:rtl/>
          </w:rPr>
          <w:t xml:space="preserve"> 144(א)</w:t>
        </w:r>
      </w:hyperlink>
      <w:r w:rsidRPr="00E84347">
        <w:rPr>
          <w:rFonts w:ascii="Arial" w:hAnsi="Arial" w:hint="cs"/>
          <w:rtl/>
        </w:rPr>
        <w:t xml:space="preserve"> סיפא ל</w:t>
      </w:r>
      <w:hyperlink r:id="rId14" w:history="1">
        <w:r w:rsidR="00662EBB" w:rsidRPr="00662EBB">
          <w:rPr>
            <w:rFonts w:ascii="Arial" w:hAnsi="Arial"/>
            <w:color w:val="0000FF"/>
            <w:u w:val="single"/>
            <w:rtl/>
          </w:rPr>
          <w:t>חוק העונשין</w:t>
        </w:r>
      </w:hyperlink>
      <w:r w:rsidRPr="00E84347">
        <w:rPr>
          <w:rFonts w:ascii="Arial" w:hAnsi="Arial" w:hint="cs"/>
          <w:rtl/>
        </w:rPr>
        <w:t xml:space="preserve"> (2 עבירות), תשל"ז-1977</w:t>
      </w:r>
      <w:r w:rsidRPr="00E84347">
        <w:rPr>
          <w:rFonts w:ascii="Arial" w:hAnsi="Arial" w:hint="cs"/>
          <w:b/>
          <w:bCs/>
          <w:rtl/>
        </w:rPr>
        <w:t xml:space="preserve"> </w:t>
      </w:r>
      <w:r w:rsidRPr="00E84347">
        <w:rPr>
          <w:rFonts w:ascii="Arial" w:hAnsi="Arial" w:hint="cs"/>
          <w:rtl/>
        </w:rPr>
        <w:t>(להלן: "</w:t>
      </w:r>
      <w:r w:rsidRPr="00E84347">
        <w:rPr>
          <w:rFonts w:ascii="Arial" w:hAnsi="Arial" w:hint="cs"/>
          <w:b/>
          <w:bCs/>
          <w:rtl/>
        </w:rPr>
        <w:t>חוק העונשין</w:t>
      </w:r>
      <w:r w:rsidRPr="00E84347">
        <w:rPr>
          <w:rFonts w:ascii="Arial" w:hAnsi="Arial" w:hint="cs"/>
          <w:rtl/>
        </w:rPr>
        <w:t xml:space="preserve">"), גניבה בידי עובד ציבור לפי </w:t>
      </w:r>
      <w:hyperlink r:id="rId15" w:history="1">
        <w:r w:rsidR="005362F5" w:rsidRPr="005362F5">
          <w:rPr>
            <w:rStyle w:val="Hyperlink"/>
            <w:rFonts w:ascii="Arial" w:hAnsi="Arial" w:hint="eastAsia"/>
            <w:rtl/>
          </w:rPr>
          <w:t>סעיף</w:t>
        </w:r>
        <w:r w:rsidR="005362F5" w:rsidRPr="005362F5">
          <w:rPr>
            <w:rStyle w:val="Hyperlink"/>
            <w:rFonts w:ascii="Arial" w:hAnsi="Arial"/>
            <w:rtl/>
          </w:rPr>
          <w:t xml:space="preserve"> 390+383</w:t>
        </w:r>
      </w:hyperlink>
      <w:r w:rsidRPr="00E84347">
        <w:rPr>
          <w:rFonts w:ascii="Arial" w:hAnsi="Arial" w:hint="cs"/>
          <w:rtl/>
        </w:rPr>
        <w:t xml:space="preserve"> לחוק העונשין ועבירות בנשק (נשיאה והובלה) לפי </w:t>
      </w:r>
      <w:hyperlink r:id="rId16" w:history="1">
        <w:r w:rsidR="005362F5" w:rsidRPr="005362F5">
          <w:rPr>
            <w:rStyle w:val="Hyperlink"/>
            <w:rFonts w:ascii="Arial" w:hAnsi="Arial" w:hint="eastAsia"/>
            <w:rtl/>
          </w:rPr>
          <w:t>סעיף</w:t>
        </w:r>
        <w:r w:rsidR="005362F5" w:rsidRPr="005362F5">
          <w:rPr>
            <w:rStyle w:val="Hyperlink"/>
            <w:rFonts w:ascii="Arial" w:hAnsi="Arial"/>
            <w:rtl/>
          </w:rPr>
          <w:t xml:space="preserve"> 144(א)</w:t>
        </w:r>
      </w:hyperlink>
      <w:r w:rsidRPr="00E84347">
        <w:rPr>
          <w:rFonts w:ascii="Arial" w:hAnsi="Arial" w:hint="cs"/>
          <w:rtl/>
        </w:rPr>
        <w:t xml:space="preserve"> סיפא </w:t>
      </w:r>
      <w:r>
        <w:rPr>
          <w:rFonts w:ascii="Arial" w:hAnsi="Arial" w:hint="cs"/>
          <w:rtl/>
        </w:rPr>
        <w:t xml:space="preserve">, </w:t>
      </w:r>
      <w:hyperlink r:id="rId17" w:history="1">
        <w:r w:rsidR="005362F5" w:rsidRPr="005362F5">
          <w:rPr>
            <w:rStyle w:val="Hyperlink"/>
            <w:rFonts w:ascii="Arial" w:hAnsi="Arial"/>
            <w:rtl/>
          </w:rPr>
          <w:t>144(ב)</w:t>
        </w:r>
      </w:hyperlink>
      <w:r w:rsidRPr="00E84347">
        <w:rPr>
          <w:rFonts w:ascii="Arial" w:hAnsi="Arial" w:hint="cs"/>
          <w:rtl/>
        </w:rPr>
        <w:t xml:space="preserve"> סיפא לחוק העונשין. </w:t>
      </w:r>
    </w:p>
    <w:p w14:paraId="63494C5A" w14:textId="77777777" w:rsidR="005C094A" w:rsidRPr="00E84347" w:rsidRDefault="005C094A" w:rsidP="005C094A">
      <w:pPr>
        <w:pStyle w:val="ListParagraph"/>
        <w:spacing w:line="360" w:lineRule="auto"/>
        <w:jc w:val="both"/>
        <w:rPr>
          <w:rFonts w:ascii="Arial" w:hAnsi="Arial"/>
          <w:b/>
          <w:bCs/>
        </w:rPr>
      </w:pPr>
    </w:p>
    <w:p w14:paraId="0E030439" w14:textId="77777777" w:rsidR="005C094A" w:rsidRDefault="005C094A" w:rsidP="005C094A">
      <w:pPr>
        <w:pStyle w:val="ListParagraph"/>
        <w:numPr>
          <w:ilvl w:val="0"/>
          <w:numId w:val="1"/>
        </w:numPr>
        <w:spacing w:line="360" w:lineRule="auto"/>
        <w:jc w:val="both"/>
        <w:rPr>
          <w:rFonts w:ascii="Arial" w:hAnsi="Arial"/>
          <w:b/>
          <w:bCs/>
        </w:rPr>
      </w:pPr>
      <w:r w:rsidRPr="00E84347">
        <w:rPr>
          <w:rFonts w:ascii="Arial" w:hAnsi="Arial" w:hint="cs"/>
          <w:rtl/>
        </w:rPr>
        <w:t xml:space="preserve">על פי עובדות כתב האישום המתוקן, בין נאשם 3 לבין הנאשמים 1 ו </w:t>
      </w:r>
      <w:r w:rsidRPr="00E84347">
        <w:rPr>
          <w:rFonts w:ascii="Arial" w:hAnsi="Arial"/>
          <w:rtl/>
        </w:rPr>
        <w:t>–</w:t>
      </w:r>
      <w:r w:rsidRPr="00E84347">
        <w:rPr>
          <w:rFonts w:ascii="Arial" w:hAnsi="Arial" w:hint="cs"/>
          <w:rtl/>
        </w:rPr>
        <w:t xml:space="preserve"> 2 היכרות מוקדמת. החל מחודש אוגוסט 2021</w:t>
      </w:r>
      <w:r w:rsidRPr="00E84347">
        <w:rPr>
          <w:rFonts w:ascii="Arial" w:hAnsi="Arial" w:hint="cs"/>
          <w:b/>
          <w:bCs/>
          <w:rtl/>
        </w:rPr>
        <w:t xml:space="preserve"> </w:t>
      </w:r>
      <w:r w:rsidRPr="00E84347">
        <w:rPr>
          <w:rFonts w:ascii="Arial" w:hAnsi="Arial" w:hint="cs"/>
          <w:rtl/>
        </w:rPr>
        <w:t>ועד חודש ספטמבר 2022 פעל נאשם 3 להשיג כדורים לנשק בקוטר 5.56</w:t>
      </w:r>
      <w:r>
        <w:rPr>
          <w:rFonts w:ascii="Arial" w:hAnsi="Arial" w:hint="cs"/>
          <w:rtl/>
        </w:rPr>
        <w:t>,</w:t>
      </w:r>
      <w:r w:rsidRPr="00E84347">
        <w:rPr>
          <w:rFonts w:ascii="Arial" w:hAnsi="Arial" w:hint="cs"/>
          <w:rtl/>
        </w:rPr>
        <w:t xml:space="preserve"> בי</w:t>
      </w:r>
      <w:r>
        <w:rPr>
          <w:rFonts w:ascii="Arial" w:hAnsi="Arial" w:hint="cs"/>
          <w:rtl/>
        </w:rPr>
        <w:t>ן</w:t>
      </w:r>
      <w:r w:rsidRPr="00E84347">
        <w:rPr>
          <w:rFonts w:ascii="Arial" w:hAnsi="Arial" w:hint="cs"/>
          <w:rtl/>
        </w:rPr>
        <w:t xml:space="preserve"> היתר באמצעות רכישת תחמושת מהנאשמים 1 ו- 2 ומכירתם לאחרים. </w:t>
      </w:r>
    </w:p>
    <w:p w14:paraId="24C5A4EC" w14:textId="77777777" w:rsidR="005C094A" w:rsidRPr="00F84A62" w:rsidRDefault="005C094A" w:rsidP="005C094A">
      <w:pPr>
        <w:pStyle w:val="ListParagraph"/>
        <w:rPr>
          <w:rFonts w:ascii="Arial" w:hAnsi="Arial"/>
          <w:b/>
          <w:bCs/>
          <w:rtl/>
        </w:rPr>
      </w:pPr>
    </w:p>
    <w:p w14:paraId="4D54BDA3" w14:textId="77777777" w:rsidR="005C094A" w:rsidRDefault="005C094A" w:rsidP="005C094A">
      <w:pPr>
        <w:pStyle w:val="ListParagraph"/>
        <w:spacing w:line="360" w:lineRule="auto"/>
        <w:jc w:val="both"/>
        <w:rPr>
          <w:rFonts w:ascii="Arial" w:hAnsi="Arial"/>
          <w:b/>
          <w:bCs/>
        </w:rPr>
      </w:pPr>
      <w:r w:rsidRPr="00E84347">
        <w:rPr>
          <w:rFonts w:ascii="Arial" w:hAnsi="Arial" w:hint="cs"/>
          <w:rtl/>
        </w:rPr>
        <w:t xml:space="preserve">במהלך התקופה הרלוונטית, שוחח נאשם 3 עם נאשמים 1 ו- 2 ואחרים באמצעות מכשירי הטלפון שברשותם וכן דרך הוואטסאפ אודות החזקה, העברה, מכירה וקניית תחמושת. בחלק מהשיחות שוחחו הנאשמים בקודים. </w:t>
      </w:r>
    </w:p>
    <w:p w14:paraId="46FBF021" w14:textId="77777777" w:rsidR="005C094A" w:rsidRPr="00F84A62" w:rsidRDefault="005C094A" w:rsidP="005C094A">
      <w:pPr>
        <w:pStyle w:val="ListParagraph"/>
        <w:rPr>
          <w:rFonts w:ascii="Arial" w:hAnsi="Arial"/>
          <w:b/>
          <w:bCs/>
          <w:rtl/>
        </w:rPr>
      </w:pPr>
    </w:p>
    <w:p w14:paraId="4A37FAA1" w14:textId="77777777" w:rsidR="005C094A" w:rsidRPr="00E84347" w:rsidRDefault="005C094A" w:rsidP="005C094A">
      <w:pPr>
        <w:pStyle w:val="ListParagraph"/>
        <w:spacing w:line="360" w:lineRule="auto"/>
        <w:jc w:val="both"/>
        <w:rPr>
          <w:rFonts w:ascii="Arial" w:hAnsi="Arial"/>
          <w:b/>
          <w:bCs/>
        </w:rPr>
      </w:pPr>
      <w:r w:rsidRPr="00E84347">
        <w:rPr>
          <w:rFonts w:ascii="Arial" w:hAnsi="Arial" w:hint="cs"/>
          <w:rtl/>
        </w:rPr>
        <w:t xml:space="preserve">באישום הראשון עולה כי ביום 28.03.2022 בעת ששירת במחנה צה"ל בשומרה, נטל נאשם 2 יחד עם אחר 2400 כדורים לנשק בקוטר 5.56 שהינם רכוש צה"ל וללא הסכמה, הכל לפי בקשת נאשם 3 ובתיאום עמו כי נאשם 2 ימכור לו את התחמושת תמורת סכום של כ </w:t>
      </w:r>
      <w:r w:rsidRPr="00E84347">
        <w:rPr>
          <w:rFonts w:ascii="Arial" w:hAnsi="Arial"/>
          <w:rtl/>
        </w:rPr>
        <w:t>–</w:t>
      </w:r>
      <w:r w:rsidRPr="00E84347">
        <w:rPr>
          <w:rFonts w:ascii="Arial" w:hAnsi="Arial" w:hint="cs"/>
          <w:rtl/>
        </w:rPr>
        <w:t xml:space="preserve"> 6,000 ₪. בהתאם לכך, נטל נאשם 2 את התחמושת ונסע עמה לביתו של נאשם 3 באבו סנאן ומכר לו אותה ב 6,000 ₪. </w:t>
      </w:r>
    </w:p>
    <w:p w14:paraId="6096C7C1" w14:textId="77777777" w:rsidR="005C094A" w:rsidRDefault="005C094A" w:rsidP="005C094A">
      <w:pPr>
        <w:pStyle w:val="ListParagraph"/>
        <w:spacing w:line="360" w:lineRule="auto"/>
        <w:jc w:val="both"/>
        <w:rPr>
          <w:rFonts w:ascii="Arial" w:hAnsi="Arial"/>
          <w:rtl/>
        </w:rPr>
      </w:pPr>
    </w:p>
    <w:p w14:paraId="137A2C14" w14:textId="77777777" w:rsidR="005C094A" w:rsidRPr="00E84347" w:rsidRDefault="005C094A" w:rsidP="005C094A">
      <w:pPr>
        <w:pStyle w:val="ListParagraph"/>
        <w:spacing w:line="360" w:lineRule="auto"/>
        <w:jc w:val="both"/>
        <w:rPr>
          <w:rFonts w:ascii="Arial" w:hAnsi="Arial"/>
          <w:b/>
          <w:bCs/>
        </w:rPr>
      </w:pPr>
      <w:r w:rsidRPr="00E84347">
        <w:rPr>
          <w:rFonts w:ascii="Arial" w:hAnsi="Arial" w:hint="cs"/>
          <w:rtl/>
        </w:rPr>
        <w:t xml:space="preserve">באישום השני עולה כי החל מיום 16.05.2022 ועד ליום 18.06.2022 שירת נאשם 3 שירת מילואים פעיל במסגרת גדוד מילואים 299 ושהה באותה העת במחנה אליקים. עובר ליום 19.05.2022 ובמסגרת שירות המילואים הפעיל, נטל נאשם 3 ללא הסכמה ארבעה ארגזי מתכת (ברוסים) המכילים בסך הכל </w:t>
      </w:r>
      <w:r>
        <w:rPr>
          <w:rFonts w:ascii="Arial" w:hAnsi="Arial" w:hint="cs"/>
          <w:rtl/>
        </w:rPr>
        <w:t>3,960 כדורים לנשק בקוטר 5.56 ש</w:t>
      </w:r>
      <w:r w:rsidRPr="00E84347">
        <w:rPr>
          <w:rFonts w:ascii="Arial" w:hAnsi="Arial" w:hint="cs"/>
          <w:rtl/>
        </w:rPr>
        <w:t>ה</w:t>
      </w:r>
      <w:r>
        <w:rPr>
          <w:rFonts w:ascii="Arial" w:hAnsi="Arial" w:hint="cs"/>
          <w:rtl/>
        </w:rPr>
        <w:t>ינ</w:t>
      </w:r>
      <w:r w:rsidRPr="00E84347">
        <w:rPr>
          <w:rFonts w:ascii="Arial" w:hAnsi="Arial" w:hint="cs"/>
          <w:rtl/>
        </w:rPr>
        <w:t>ם רכוש צה"ל ושלל את הכדורים מצה"ל שלילת קבע כשהוא נושא ומוביל את הכדורים בלא רשות על פי דין לעשות כן. ביום 19.05.2023 בשעה 23:34 נתפסו ארגזי התחמושת ברשותו וברכבו של אחמד מקלד במעבר הביטחונ</w:t>
      </w:r>
      <w:r w:rsidRPr="00E84347">
        <w:rPr>
          <w:rFonts w:ascii="Arial" w:hAnsi="Arial" w:hint="eastAsia"/>
          <w:rtl/>
        </w:rPr>
        <w:t>י</w:t>
      </w:r>
      <w:r w:rsidRPr="00E84347">
        <w:rPr>
          <w:rFonts w:ascii="Arial" w:hAnsi="Arial" w:hint="cs"/>
          <w:rtl/>
        </w:rPr>
        <w:t xml:space="preserve"> ריחן כאשר כיוון נסיעתו מכביש 596 בשטח ישראל לכיוון שטחי האזור. </w:t>
      </w:r>
    </w:p>
    <w:p w14:paraId="50F9C37F" w14:textId="77777777" w:rsidR="005C094A" w:rsidRPr="00E84347" w:rsidRDefault="005C094A" w:rsidP="005C094A">
      <w:pPr>
        <w:pStyle w:val="ListParagraph"/>
        <w:spacing w:line="360" w:lineRule="auto"/>
        <w:jc w:val="both"/>
        <w:rPr>
          <w:rFonts w:ascii="Arial" w:hAnsi="Arial"/>
          <w:b/>
          <w:bCs/>
        </w:rPr>
      </w:pPr>
      <w:r w:rsidRPr="00E84347">
        <w:rPr>
          <w:rFonts w:ascii="Arial" w:hAnsi="Arial" w:hint="cs"/>
          <w:rtl/>
        </w:rPr>
        <w:t xml:space="preserve">בהתאם לאישום השלישי, עולה כי החל מיום 11.09.2022 ועד ליום 15.09.2022 שירת נאשם 1 שירות מילואים פעיל במסגרת חטיבת 55 בצה"ל ושהה במחנה צאלים. במסגרת השירות נטל נאשם 1 ללא הסכמה, 3 ארגזי מתכת (ברוסים) המכילים בסך הכל כ- 3,000 כדורים לנשק בקוטר 5.56 שהינן רכוש צה"ל. נאשם 1 מכר את התחמושת לנאשם 3 תמורת סכום שמוערך באלפי שקלים. </w:t>
      </w:r>
    </w:p>
    <w:p w14:paraId="18CDBCE0" w14:textId="77777777" w:rsidR="005C094A" w:rsidRPr="00E84347" w:rsidRDefault="005C094A" w:rsidP="005C094A">
      <w:pPr>
        <w:spacing w:line="360" w:lineRule="auto"/>
        <w:ind w:left="360"/>
        <w:jc w:val="both"/>
        <w:rPr>
          <w:rFonts w:ascii="Arial" w:hAnsi="Arial"/>
          <w:b/>
          <w:bCs/>
          <w:rtl/>
        </w:rPr>
      </w:pPr>
    </w:p>
    <w:p w14:paraId="27D399C5" w14:textId="77777777" w:rsidR="005C094A" w:rsidRPr="00E84347" w:rsidRDefault="005C094A" w:rsidP="005C094A">
      <w:pPr>
        <w:spacing w:line="360" w:lineRule="auto"/>
        <w:ind w:left="360"/>
        <w:jc w:val="both"/>
        <w:rPr>
          <w:rFonts w:ascii="Arial" w:hAnsi="Arial"/>
          <w:b/>
          <w:bCs/>
          <w:u w:val="single"/>
          <w:rtl/>
        </w:rPr>
      </w:pPr>
      <w:r w:rsidRPr="00E84347">
        <w:rPr>
          <w:rFonts w:ascii="Arial" w:hAnsi="Arial" w:hint="cs"/>
          <w:b/>
          <w:bCs/>
          <w:u w:val="single"/>
          <w:rtl/>
        </w:rPr>
        <w:t>טיעוני המאשימה לעונש</w:t>
      </w:r>
    </w:p>
    <w:p w14:paraId="7BBEDD79" w14:textId="77777777" w:rsidR="005C094A" w:rsidRPr="00E84347" w:rsidRDefault="005C094A" w:rsidP="005C094A">
      <w:pPr>
        <w:pStyle w:val="ListParagraph"/>
        <w:spacing w:line="360" w:lineRule="auto"/>
        <w:jc w:val="both"/>
        <w:rPr>
          <w:rFonts w:ascii="Arial" w:hAnsi="Arial"/>
        </w:rPr>
      </w:pPr>
    </w:p>
    <w:p w14:paraId="64437306"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lastRenderedPageBreak/>
        <w:t xml:space="preserve">צוין </w:t>
      </w:r>
      <w:r w:rsidRPr="00E84347">
        <w:rPr>
          <w:rFonts w:ascii="Arial" w:hAnsi="Arial" w:hint="cs"/>
          <w:rtl/>
        </w:rPr>
        <w:t xml:space="preserve"> כי תופעת החזקת ונשיאת הנשק הפכה להיות "מכת מדינה של ממש" </w:t>
      </w:r>
      <w:r w:rsidRPr="00E84347">
        <w:rPr>
          <w:rFonts w:ascii="Arial" w:hAnsi="Arial"/>
          <w:rtl/>
        </w:rPr>
        <w:t>ו</w:t>
      </w:r>
      <w:r w:rsidRPr="00E84347">
        <w:rPr>
          <w:rFonts w:ascii="Arial" w:hAnsi="Arial" w:hint="cs"/>
          <w:rtl/>
        </w:rPr>
        <w:t>כי בית המשפט העליון עמד על הסכנות הגלומות בסחר בלתי חוקי</w:t>
      </w:r>
      <w:r>
        <w:rPr>
          <w:rFonts w:ascii="Arial" w:hAnsi="Arial" w:hint="cs"/>
          <w:rtl/>
        </w:rPr>
        <w:t xml:space="preserve"> בנשק</w:t>
      </w:r>
      <w:r w:rsidRPr="00E84347">
        <w:rPr>
          <w:rFonts w:ascii="Arial" w:hAnsi="Arial" w:hint="cs"/>
          <w:rtl/>
        </w:rPr>
        <w:t xml:space="preserve"> (</w:t>
      </w:r>
      <w:hyperlink r:id="rId18" w:history="1">
        <w:r w:rsidR="00662EBB" w:rsidRPr="00662EBB">
          <w:rPr>
            <w:rFonts w:ascii="Arial" w:hAnsi="Arial"/>
            <w:color w:val="0000FF"/>
            <w:u w:val="single"/>
            <w:rtl/>
          </w:rPr>
          <w:t>ע"פ 2251/11</w:t>
        </w:r>
      </w:hyperlink>
      <w:r w:rsidRPr="00E84347">
        <w:rPr>
          <w:rFonts w:ascii="Arial" w:hAnsi="Arial" w:hint="cs"/>
          <w:rtl/>
        </w:rPr>
        <w:t xml:space="preserve"> </w:t>
      </w:r>
      <w:r w:rsidRPr="00E84347">
        <w:rPr>
          <w:rFonts w:ascii="Arial" w:hAnsi="Arial" w:hint="cs"/>
          <w:b/>
          <w:bCs/>
          <w:rtl/>
        </w:rPr>
        <w:t xml:space="preserve">מדינת ישראל נ' נפעא </w:t>
      </w:r>
      <w:r w:rsidR="007E24B1">
        <w:rPr>
          <w:rFonts w:ascii="Arial" w:hAnsi="Arial"/>
          <w:b/>
          <w:bCs/>
          <w:rtl/>
        </w:rPr>
        <w:t>[נבו]</w:t>
      </w:r>
      <w:r w:rsidR="007E24B1">
        <w:rPr>
          <w:rFonts w:ascii="Arial" w:hAnsi="Arial" w:hint="cs"/>
          <w:b/>
          <w:bCs/>
          <w:rtl/>
        </w:rPr>
        <w:t xml:space="preserve"> </w:t>
      </w:r>
      <w:r w:rsidRPr="00E84347">
        <w:rPr>
          <w:rFonts w:ascii="Arial" w:hAnsi="Arial" w:hint="cs"/>
          <w:rtl/>
        </w:rPr>
        <w:t xml:space="preserve">(04.12.2011). </w:t>
      </w:r>
      <w:r w:rsidRPr="00E84347">
        <w:rPr>
          <w:rFonts w:ascii="Arial" w:hAnsi="Arial"/>
          <w:rtl/>
        </w:rPr>
        <w:t>כמו כן הודגש הצורך להילחם למיגור התופעה (</w:t>
      </w:r>
      <w:hyperlink r:id="rId19" w:history="1">
        <w:r w:rsidR="00662EBB" w:rsidRPr="00662EBB">
          <w:rPr>
            <w:rFonts w:ascii="Arial" w:hAnsi="Arial"/>
            <w:color w:val="0000FF"/>
            <w:u w:val="single"/>
            <w:rtl/>
          </w:rPr>
          <w:t>ע"פ  4439/19</w:t>
        </w:r>
      </w:hyperlink>
      <w:r w:rsidRPr="00E84347">
        <w:rPr>
          <w:rFonts w:ascii="Arial" w:hAnsi="Arial" w:hint="cs"/>
          <w:rtl/>
        </w:rPr>
        <w:t xml:space="preserve"> </w:t>
      </w:r>
      <w:r w:rsidRPr="00E84347">
        <w:rPr>
          <w:rFonts w:ascii="Arial" w:hAnsi="Arial" w:hint="cs"/>
          <w:b/>
          <w:bCs/>
          <w:rtl/>
        </w:rPr>
        <w:t xml:space="preserve">מדינת ישראל נ' סובח </w:t>
      </w:r>
      <w:r w:rsidR="007E24B1">
        <w:rPr>
          <w:rFonts w:ascii="Arial" w:hAnsi="Arial"/>
          <w:b/>
          <w:bCs/>
          <w:rtl/>
        </w:rPr>
        <w:t>[נבו]</w:t>
      </w:r>
      <w:r w:rsidR="007E24B1">
        <w:rPr>
          <w:rFonts w:ascii="Arial" w:hAnsi="Arial" w:hint="cs"/>
          <w:b/>
          <w:bCs/>
          <w:rtl/>
        </w:rPr>
        <w:t xml:space="preserve"> </w:t>
      </w:r>
      <w:r w:rsidRPr="00E84347">
        <w:rPr>
          <w:rFonts w:ascii="Arial" w:hAnsi="Arial" w:hint="cs"/>
          <w:rtl/>
        </w:rPr>
        <w:t>(05.11.2019)</w:t>
      </w:r>
      <w:r w:rsidRPr="00E84347">
        <w:rPr>
          <w:rFonts w:ascii="Arial" w:hAnsi="Arial"/>
          <w:rtl/>
        </w:rPr>
        <w:t xml:space="preserve">). צוין עוד שלצורך כך יש להחמיר בענישה. </w:t>
      </w:r>
    </w:p>
    <w:p w14:paraId="0AA0A7FE" w14:textId="77777777" w:rsidR="005C094A" w:rsidRPr="00E84347" w:rsidRDefault="005C094A" w:rsidP="005C094A">
      <w:pPr>
        <w:pStyle w:val="ListParagraph"/>
        <w:spacing w:line="360" w:lineRule="auto"/>
        <w:jc w:val="both"/>
        <w:rPr>
          <w:rFonts w:ascii="Arial" w:hAnsi="Arial"/>
          <w:rtl/>
        </w:rPr>
      </w:pPr>
    </w:p>
    <w:p w14:paraId="50596396"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ב"כ</w:t>
      </w:r>
      <w:r w:rsidRPr="00E84347">
        <w:rPr>
          <w:rFonts w:ascii="Arial" w:hAnsi="Arial"/>
          <w:rtl/>
        </w:rPr>
        <w:t xml:space="preserve"> המאשימה </w:t>
      </w:r>
      <w:r>
        <w:rPr>
          <w:rFonts w:ascii="Arial" w:hAnsi="Arial" w:hint="cs"/>
          <w:rtl/>
        </w:rPr>
        <w:t>הדגישה</w:t>
      </w:r>
      <w:r w:rsidRPr="00E84347">
        <w:rPr>
          <w:rFonts w:ascii="Arial" w:hAnsi="Arial"/>
          <w:rtl/>
        </w:rPr>
        <w:t xml:space="preserve"> כי המקרה דנן עוסק בשלושה אירועים נפרדים, אשר התרחשו במועדים שונים ובהרכבים שונים של נאשמים. לפיכך, היא טוענת לקיומם של שלושה מתחמי ענישה נפרדים.</w:t>
      </w:r>
    </w:p>
    <w:p w14:paraId="104E40B2" w14:textId="77777777" w:rsidR="005C094A" w:rsidRPr="00E84347" w:rsidRDefault="005C094A" w:rsidP="005C094A">
      <w:pPr>
        <w:pStyle w:val="ListParagraph"/>
        <w:spacing w:line="360" w:lineRule="auto"/>
        <w:jc w:val="both"/>
        <w:rPr>
          <w:rFonts w:ascii="Arial" w:hAnsi="Arial"/>
          <w:rtl/>
        </w:rPr>
      </w:pPr>
    </w:p>
    <w:p w14:paraId="25149FEB"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 xml:space="preserve">באשר לחומרת המעשים, </w:t>
      </w:r>
      <w:r w:rsidRPr="00E84347">
        <w:rPr>
          <w:rFonts w:ascii="Arial" w:hAnsi="Arial" w:hint="cs"/>
          <w:rtl/>
        </w:rPr>
        <w:t>הודגש</w:t>
      </w:r>
      <w:r w:rsidRPr="00E84347">
        <w:rPr>
          <w:rFonts w:ascii="Arial" w:hAnsi="Arial"/>
          <w:rtl/>
        </w:rPr>
        <w:t xml:space="preserve"> אלמנט התכנון המוקדם, השולל את הטענה כי מדובר בהחלטה ספונטנית. כמו כן, </w:t>
      </w:r>
      <w:r w:rsidRPr="00E84347">
        <w:rPr>
          <w:rFonts w:ascii="Arial" w:hAnsi="Arial" w:hint="cs"/>
          <w:rtl/>
        </w:rPr>
        <w:t xml:space="preserve">ציינה המאשימה </w:t>
      </w:r>
      <w:r w:rsidRPr="00E84347">
        <w:rPr>
          <w:rFonts w:ascii="Arial" w:hAnsi="Arial"/>
          <w:rtl/>
        </w:rPr>
        <w:t xml:space="preserve">את מעורבותו הדומיננטית של הנאשם </w:t>
      </w:r>
      <w:r>
        <w:rPr>
          <w:rFonts w:ascii="Arial" w:hAnsi="Arial" w:hint="cs"/>
          <w:rtl/>
        </w:rPr>
        <w:t xml:space="preserve">3 </w:t>
      </w:r>
      <w:r w:rsidRPr="00E84347">
        <w:rPr>
          <w:rFonts w:ascii="Arial" w:hAnsi="Arial"/>
          <w:rtl/>
        </w:rPr>
        <w:t>בכל האירועים.</w:t>
      </w:r>
    </w:p>
    <w:p w14:paraId="2347B724" w14:textId="77777777" w:rsidR="005C094A" w:rsidRPr="00E84347" w:rsidRDefault="005C094A" w:rsidP="005C094A">
      <w:pPr>
        <w:pStyle w:val="ListParagraph"/>
        <w:spacing w:line="360" w:lineRule="auto"/>
        <w:jc w:val="both"/>
        <w:rPr>
          <w:rFonts w:ascii="Arial" w:hAnsi="Arial"/>
          <w:rtl/>
        </w:rPr>
      </w:pPr>
    </w:p>
    <w:p w14:paraId="11499F78"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עוד הודגש ב</w:t>
      </w:r>
      <w:r w:rsidRPr="00E84347">
        <w:rPr>
          <w:rFonts w:ascii="Arial" w:hAnsi="Arial"/>
          <w:rtl/>
        </w:rPr>
        <w:t>עניין הנזק</w:t>
      </w:r>
      <w:r w:rsidRPr="00E84347">
        <w:rPr>
          <w:rFonts w:ascii="Arial" w:hAnsi="Arial" w:hint="cs"/>
          <w:rtl/>
        </w:rPr>
        <w:t xml:space="preserve"> </w:t>
      </w:r>
      <w:r w:rsidRPr="00E84347">
        <w:rPr>
          <w:rFonts w:ascii="Arial" w:hAnsi="Arial"/>
          <w:rtl/>
        </w:rPr>
        <w:t>חומרת הסיכון הנובע מהעברת התחמושת לגורמים בלתי ידועים, תוך הדגשת הפוטנציאל לשימוש בה לצרכים פליליים ואף ביטחוניים, המסכנים את ביטחון המדינה והציבור.</w:t>
      </w:r>
    </w:p>
    <w:p w14:paraId="50778BB2" w14:textId="77777777" w:rsidR="005C094A" w:rsidRPr="00E84347" w:rsidRDefault="005C094A" w:rsidP="005C094A">
      <w:pPr>
        <w:pStyle w:val="ListParagraph"/>
        <w:spacing w:line="360" w:lineRule="auto"/>
        <w:jc w:val="both"/>
        <w:rPr>
          <w:rFonts w:ascii="Arial" w:hAnsi="Arial"/>
          <w:rtl/>
        </w:rPr>
      </w:pPr>
    </w:p>
    <w:p w14:paraId="153701FC"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 xml:space="preserve">באשר למדיניות הענישה, </w:t>
      </w:r>
      <w:r w:rsidRPr="00E84347">
        <w:rPr>
          <w:rFonts w:ascii="Arial" w:hAnsi="Arial" w:hint="cs"/>
          <w:rtl/>
        </w:rPr>
        <w:t>ב"כ</w:t>
      </w:r>
      <w:r w:rsidRPr="00E84347">
        <w:rPr>
          <w:rFonts w:ascii="Arial" w:hAnsi="Arial"/>
          <w:rtl/>
        </w:rPr>
        <w:t xml:space="preserve"> המאשימה </w:t>
      </w:r>
      <w:r w:rsidRPr="00E84347">
        <w:rPr>
          <w:rFonts w:ascii="Arial" w:hAnsi="Arial" w:hint="cs"/>
          <w:rtl/>
        </w:rPr>
        <w:t>הפנתה</w:t>
      </w:r>
      <w:r w:rsidRPr="00E84347">
        <w:rPr>
          <w:rFonts w:ascii="Arial" w:hAnsi="Arial"/>
          <w:rtl/>
        </w:rPr>
        <w:t xml:space="preserve"> לפסיקה</w:t>
      </w:r>
      <w:r w:rsidRPr="00E84347">
        <w:rPr>
          <w:rFonts w:ascii="Arial" w:hAnsi="Arial" w:hint="cs"/>
          <w:rtl/>
        </w:rPr>
        <w:t xml:space="preserve"> שלהלן: </w:t>
      </w:r>
    </w:p>
    <w:p w14:paraId="7A53DD9C" w14:textId="77777777" w:rsidR="005C094A" w:rsidRPr="00E84347" w:rsidRDefault="005C094A" w:rsidP="005C094A">
      <w:pPr>
        <w:pStyle w:val="ListParagraph"/>
        <w:rPr>
          <w:rFonts w:ascii="Arial" w:hAnsi="Arial"/>
          <w:rtl/>
        </w:rPr>
      </w:pPr>
    </w:p>
    <w:p w14:paraId="7E69AB4B" w14:textId="77777777" w:rsidR="005C094A" w:rsidRPr="00E84347" w:rsidRDefault="00662EBB" w:rsidP="005C094A">
      <w:pPr>
        <w:pStyle w:val="ListParagraph"/>
        <w:numPr>
          <w:ilvl w:val="0"/>
          <w:numId w:val="3"/>
        </w:numPr>
        <w:spacing w:line="360" w:lineRule="auto"/>
        <w:jc w:val="both"/>
        <w:rPr>
          <w:rFonts w:ascii="Arial" w:hAnsi="Arial"/>
        </w:rPr>
      </w:pPr>
      <w:hyperlink r:id="rId20" w:history="1">
        <w:r w:rsidRPr="00662EBB">
          <w:rPr>
            <w:rFonts w:ascii="Arial" w:hAnsi="Arial"/>
            <w:color w:val="0000FF"/>
            <w:u w:val="single"/>
            <w:rtl/>
          </w:rPr>
          <w:t>ת"פ 47048-02-20</w:t>
        </w:r>
      </w:hyperlink>
      <w:r w:rsidR="005C094A" w:rsidRPr="00E84347">
        <w:rPr>
          <w:rFonts w:ascii="Arial" w:hAnsi="Arial" w:hint="cs"/>
          <w:rtl/>
        </w:rPr>
        <w:t xml:space="preserve"> </w:t>
      </w:r>
      <w:r w:rsidR="005C094A" w:rsidRPr="00E84347">
        <w:rPr>
          <w:rFonts w:ascii="Arial" w:hAnsi="Arial" w:hint="cs"/>
          <w:b/>
          <w:bCs/>
          <w:rtl/>
        </w:rPr>
        <w:t xml:space="preserve">מדינת ישראל נ' באסם נסר אלדין </w:t>
      </w:r>
      <w:r w:rsidR="007E24B1">
        <w:rPr>
          <w:rFonts w:ascii="Arial" w:hAnsi="Arial"/>
          <w:b/>
          <w:bCs/>
          <w:rtl/>
        </w:rPr>
        <w:t>[נבו]</w:t>
      </w:r>
      <w:r w:rsidR="007E24B1">
        <w:rPr>
          <w:rFonts w:ascii="Arial" w:hAnsi="Arial" w:hint="cs"/>
          <w:b/>
          <w:bCs/>
          <w:rtl/>
        </w:rPr>
        <w:t xml:space="preserve"> </w:t>
      </w:r>
      <w:r w:rsidR="005C094A" w:rsidRPr="00E84347">
        <w:rPr>
          <w:rFonts w:ascii="Arial" w:hAnsi="Arial" w:hint="cs"/>
          <w:rtl/>
        </w:rPr>
        <w:t>(01.02.2021), שם הורשע הנאשם בעבירות של נשיאה והובלת נשק וסחר בתחמוש</w:t>
      </w:r>
      <w:r w:rsidR="005C094A" w:rsidRPr="00E84347">
        <w:rPr>
          <w:rFonts w:ascii="Arial" w:hAnsi="Arial" w:hint="eastAsia"/>
          <w:rtl/>
        </w:rPr>
        <w:t>ת</w:t>
      </w:r>
      <w:r w:rsidR="005C094A" w:rsidRPr="00E84347">
        <w:rPr>
          <w:rFonts w:ascii="Arial" w:hAnsi="Arial" w:hint="cs"/>
          <w:rtl/>
        </w:rPr>
        <w:t xml:space="preserve"> בכמות כוללת של כ- 950 כדורים בקוטר 5.56 בשלוש הזדמנויות שונות. בית המשפט קבע מתחם ענישה שנע בין 12 </w:t>
      </w:r>
      <w:r w:rsidR="005C094A" w:rsidRPr="00E84347">
        <w:rPr>
          <w:rFonts w:ascii="Arial" w:hAnsi="Arial"/>
          <w:rtl/>
        </w:rPr>
        <w:t>–</w:t>
      </w:r>
      <w:r w:rsidR="005C094A" w:rsidRPr="00E84347">
        <w:rPr>
          <w:rFonts w:ascii="Arial" w:hAnsi="Arial" w:hint="cs"/>
          <w:rtl/>
        </w:rPr>
        <w:t xml:space="preserve"> 24 חודשי מאסר בפועל והטיל על הנאשם 16 חודשי מאסר בפועל. </w:t>
      </w:r>
    </w:p>
    <w:p w14:paraId="36DD65BE" w14:textId="77777777" w:rsidR="005C094A" w:rsidRPr="00E84347" w:rsidRDefault="005C094A" w:rsidP="005C094A">
      <w:pPr>
        <w:pStyle w:val="ListParagraph"/>
        <w:spacing w:line="360" w:lineRule="auto"/>
        <w:ind w:left="1080"/>
        <w:jc w:val="both"/>
        <w:rPr>
          <w:rFonts w:ascii="Arial" w:hAnsi="Arial"/>
        </w:rPr>
      </w:pPr>
    </w:p>
    <w:p w14:paraId="6694E97C" w14:textId="77777777" w:rsidR="005C094A" w:rsidRPr="00E84347" w:rsidRDefault="007E24B1" w:rsidP="005C094A">
      <w:pPr>
        <w:pStyle w:val="ListParagraph"/>
        <w:numPr>
          <w:ilvl w:val="0"/>
          <w:numId w:val="3"/>
        </w:numPr>
        <w:spacing w:line="360" w:lineRule="auto"/>
        <w:jc w:val="both"/>
        <w:rPr>
          <w:rFonts w:ascii="Arial" w:hAnsi="Arial"/>
        </w:rPr>
      </w:pPr>
      <w:hyperlink r:id="rId21" w:history="1">
        <w:r w:rsidRPr="007E24B1">
          <w:rPr>
            <w:rStyle w:val="Hyperlink"/>
            <w:rFonts w:ascii="Arial" w:hAnsi="Arial" w:hint="eastAsia"/>
            <w:rtl/>
          </w:rPr>
          <w:t>ת</w:t>
        </w:r>
        <w:r w:rsidRPr="007E24B1">
          <w:rPr>
            <w:rStyle w:val="Hyperlink"/>
            <w:rFonts w:ascii="Arial" w:hAnsi="Arial"/>
            <w:rtl/>
          </w:rPr>
          <w:t>"פ 6999-09-22</w:t>
        </w:r>
      </w:hyperlink>
      <w:r>
        <w:rPr>
          <w:rFonts w:ascii="Arial" w:hAnsi="Arial" w:hint="cs"/>
          <w:rtl/>
        </w:rPr>
        <w:t xml:space="preserve"> </w:t>
      </w:r>
      <w:r w:rsidR="005C094A" w:rsidRPr="00E84347">
        <w:rPr>
          <w:rFonts w:ascii="Arial" w:hAnsi="Arial" w:hint="cs"/>
          <w:b/>
          <w:bCs/>
          <w:rtl/>
        </w:rPr>
        <w:t xml:space="preserve">מדינת ישראל נ' קאסם </w:t>
      </w:r>
      <w:r>
        <w:rPr>
          <w:rFonts w:ascii="Arial" w:hAnsi="Arial"/>
          <w:b/>
          <w:bCs/>
          <w:rtl/>
        </w:rPr>
        <w:t>[נבו]</w:t>
      </w:r>
      <w:r>
        <w:rPr>
          <w:rFonts w:ascii="Arial" w:hAnsi="Arial" w:hint="cs"/>
          <w:b/>
          <w:bCs/>
          <w:rtl/>
        </w:rPr>
        <w:t xml:space="preserve"> </w:t>
      </w:r>
      <w:r w:rsidR="005C094A" w:rsidRPr="00E84347">
        <w:rPr>
          <w:rFonts w:ascii="Arial" w:hAnsi="Arial" w:hint="cs"/>
          <w:rtl/>
        </w:rPr>
        <w:t xml:space="preserve">(17.04.2023), הנאשם הורשע על פי הודאתו בעבירות של החזקה, נשיאה והובלה של חלק של נשק ותחמושת בכך שנהג הנאשם לשטחי הרשות הפלסטינית ברכב ובו 6 מכלולים של נשק מסוג </w:t>
      </w:r>
      <w:r w:rsidR="005C094A" w:rsidRPr="00E84347">
        <w:rPr>
          <w:rFonts w:ascii="Arial" w:hAnsi="Arial" w:hint="cs"/>
        </w:rPr>
        <w:t>M</w:t>
      </w:r>
      <w:r w:rsidR="005C094A" w:rsidRPr="00E84347">
        <w:rPr>
          <w:rFonts w:ascii="Arial" w:hAnsi="Arial" w:hint="cs"/>
          <w:rtl/>
        </w:rPr>
        <w:t xml:space="preserve">16 וכן שבעה ארגז תחמושת וארגז קרטון כאשר הכילו כ- 9,000 כדורים בקוטר 5.56. בית המשפט קבע מתחם עונש הולם שנע בין 12-24 חודשי מאסר בפועל והטיל בסופו של יום על הנאשם עונש של 16 חודשי מאסר בפועל. </w:t>
      </w:r>
    </w:p>
    <w:p w14:paraId="79CE347A" w14:textId="77777777" w:rsidR="005C094A" w:rsidRPr="00E84347" w:rsidRDefault="005C094A" w:rsidP="005C094A">
      <w:pPr>
        <w:pStyle w:val="ListParagraph"/>
        <w:spacing w:line="360" w:lineRule="auto"/>
        <w:ind w:left="1080"/>
        <w:jc w:val="both"/>
        <w:rPr>
          <w:rFonts w:ascii="Arial" w:hAnsi="Arial"/>
        </w:rPr>
      </w:pPr>
    </w:p>
    <w:p w14:paraId="76C024E0" w14:textId="77777777" w:rsidR="005C094A" w:rsidRPr="00E84347" w:rsidRDefault="00662EBB" w:rsidP="005C094A">
      <w:pPr>
        <w:pStyle w:val="ListParagraph"/>
        <w:numPr>
          <w:ilvl w:val="0"/>
          <w:numId w:val="3"/>
        </w:numPr>
        <w:spacing w:line="360" w:lineRule="auto"/>
        <w:jc w:val="both"/>
        <w:rPr>
          <w:rFonts w:ascii="Arial" w:hAnsi="Arial"/>
        </w:rPr>
      </w:pPr>
      <w:hyperlink r:id="rId22" w:history="1">
        <w:r w:rsidRPr="00662EBB">
          <w:rPr>
            <w:rFonts w:ascii="Arial" w:hAnsi="Arial"/>
            <w:color w:val="0000FF"/>
            <w:u w:val="single"/>
            <w:rtl/>
          </w:rPr>
          <w:t>ת"פ 45050-09-20</w:t>
        </w:r>
      </w:hyperlink>
      <w:r w:rsidR="005C094A" w:rsidRPr="00E84347">
        <w:rPr>
          <w:rFonts w:ascii="Arial" w:hAnsi="Arial" w:hint="cs"/>
          <w:rtl/>
        </w:rPr>
        <w:t xml:space="preserve"> </w:t>
      </w:r>
      <w:r w:rsidR="005C094A" w:rsidRPr="00E84347">
        <w:rPr>
          <w:rFonts w:ascii="Arial" w:hAnsi="Arial" w:hint="cs"/>
          <w:b/>
          <w:bCs/>
          <w:rtl/>
        </w:rPr>
        <w:t>מדינת ישראל נ' ח'מיס</w:t>
      </w:r>
      <w:r w:rsidR="005C094A" w:rsidRPr="00E84347">
        <w:rPr>
          <w:rFonts w:ascii="Arial" w:hAnsi="Arial" w:hint="cs"/>
          <w:rtl/>
        </w:rPr>
        <w:t xml:space="preserve"> </w:t>
      </w:r>
      <w:r w:rsidR="007E24B1">
        <w:rPr>
          <w:rFonts w:ascii="Arial" w:hAnsi="Arial"/>
          <w:rtl/>
        </w:rPr>
        <w:t>[נבו]</w:t>
      </w:r>
      <w:r w:rsidR="007E24B1">
        <w:rPr>
          <w:rFonts w:ascii="Arial" w:hAnsi="Arial" w:hint="cs"/>
          <w:rtl/>
        </w:rPr>
        <w:t xml:space="preserve"> </w:t>
      </w:r>
      <w:r w:rsidR="005C094A" w:rsidRPr="00E84347">
        <w:rPr>
          <w:rFonts w:ascii="Arial" w:hAnsi="Arial" w:hint="cs"/>
          <w:rtl/>
        </w:rPr>
        <w:t>(24.12.2020), הנאשם הורשע על פי הודאת</w:t>
      </w:r>
      <w:r w:rsidR="005C094A" w:rsidRPr="00E84347">
        <w:rPr>
          <w:rFonts w:ascii="Arial" w:hAnsi="Arial" w:hint="eastAsia"/>
          <w:rtl/>
        </w:rPr>
        <w:t>ו</w:t>
      </w:r>
      <w:r w:rsidR="005C094A" w:rsidRPr="00E84347">
        <w:rPr>
          <w:rFonts w:ascii="Arial" w:hAnsi="Arial" w:hint="cs"/>
          <w:rtl/>
        </w:rPr>
        <w:t xml:space="preserve"> בעבירות של רכישת נשק והחזקתו לאחר שרכש אותו מחייל צה"ל שכללו 40 ארגז ובו 40 מחסניות טעונות כדורים 5.56 מ"מ והכילו מעל ל 1,000 כדורים. בית המשפט קבע מתחם ענישה שנע בין מספר חודשי מאסר בפועל ועד 15 חודשי מאסר בפועל וכן </w:t>
      </w:r>
      <w:r w:rsidR="005C094A">
        <w:rPr>
          <w:rFonts w:ascii="Arial" w:hAnsi="Arial" w:hint="cs"/>
          <w:rtl/>
        </w:rPr>
        <w:t>גזר</w:t>
      </w:r>
      <w:r w:rsidR="005C094A" w:rsidRPr="00E84347">
        <w:rPr>
          <w:rFonts w:ascii="Arial" w:hAnsi="Arial" w:hint="cs"/>
          <w:rtl/>
        </w:rPr>
        <w:t xml:space="preserve"> עליו 10 חודשי מאסר בפועל. </w:t>
      </w:r>
    </w:p>
    <w:p w14:paraId="4453AF9E" w14:textId="77777777" w:rsidR="005C094A" w:rsidRPr="00E84347" w:rsidRDefault="005C094A" w:rsidP="005C094A">
      <w:pPr>
        <w:pStyle w:val="ListParagraph"/>
        <w:rPr>
          <w:rFonts w:ascii="Arial" w:hAnsi="Arial"/>
          <w:rtl/>
        </w:rPr>
      </w:pPr>
    </w:p>
    <w:p w14:paraId="59851F2E" w14:textId="77777777" w:rsidR="005C094A" w:rsidRPr="00E84347" w:rsidRDefault="005C094A" w:rsidP="005C094A">
      <w:pPr>
        <w:pStyle w:val="ListParagraph"/>
        <w:rPr>
          <w:rFonts w:ascii="Arial" w:hAnsi="Arial"/>
          <w:rtl/>
        </w:rPr>
      </w:pPr>
    </w:p>
    <w:p w14:paraId="630A1F4B"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על כן ביקשה המאשימה להטיל</w:t>
      </w:r>
      <w:r w:rsidRPr="00E84347">
        <w:rPr>
          <w:rFonts w:ascii="Arial" w:hAnsi="Arial"/>
          <w:rtl/>
        </w:rPr>
        <w:t xml:space="preserve"> מתחמי ענישה כדלקמן: לאישום הראשון - 9 עד 15 חודשי מאסר בפועל; לאישום השני - 24 עד 55 חודשי מאסר בפועל; ולאישום השלישי - 6 עד 15 חודשי מאסר בפועל. בנוסף, היא מבקשת להטיל עונשים נלווים של מאסר על תנאי וקנס.</w:t>
      </w:r>
    </w:p>
    <w:p w14:paraId="165F7C8E" w14:textId="77777777" w:rsidR="005C094A" w:rsidRPr="00E84347" w:rsidRDefault="005C094A" w:rsidP="005C094A">
      <w:pPr>
        <w:pStyle w:val="ListParagraph"/>
        <w:spacing w:line="360" w:lineRule="auto"/>
        <w:jc w:val="both"/>
        <w:rPr>
          <w:rFonts w:ascii="Arial" w:hAnsi="Arial"/>
          <w:rtl/>
        </w:rPr>
      </w:pPr>
    </w:p>
    <w:p w14:paraId="683A142C"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 xml:space="preserve">בהתייחס לנסיבות הספציפיות לקביעת העונש בתוך המתחם, </w:t>
      </w:r>
      <w:r w:rsidRPr="00E84347">
        <w:rPr>
          <w:rFonts w:ascii="Arial" w:hAnsi="Arial" w:hint="cs"/>
          <w:rtl/>
        </w:rPr>
        <w:t>ציינה ב"כ המאשימה</w:t>
      </w:r>
      <w:r w:rsidRPr="00E84347">
        <w:rPr>
          <w:rFonts w:ascii="Arial" w:hAnsi="Arial"/>
          <w:rtl/>
        </w:rPr>
        <w:t xml:space="preserve"> את היעדר עברו הפלילי של הנאשם ואת הודאתו, אשר חסכה זמן שיפוטי. עם זאת, היא </w:t>
      </w:r>
      <w:r w:rsidRPr="00E84347">
        <w:rPr>
          <w:rFonts w:ascii="Arial" w:hAnsi="Arial" w:hint="cs"/>
          <w:rtl/>
        </w:rPr>
        <w:t>הפנתה</w:t>
      </w:r>
      <w:r w:rsidRPr="00E84347">
        <w:rPr>
          <w:rFonts w:ascii="Arial" w:hAnsi="Arial"/>
          <w:rtl/>
        </w:rPr>
        <w:t xml:space="preserve"> לתסקיר שירות המבחן, המצביע על לקיחת אחריות חלקית בלבד ועל קושי בזיהוי צורך טיפולי אמיתי. לאור זאת, שירות המבחן העריך את רמת המסוכנות כבינונית ונמנע מהמלצה טיפולית.</w:t>
      </w:r>
    </w:p>
    <w:p w14:paraId="1724CBDB" w14:textId="77777777" w:rsidR="005C094A" w:rsidRPr="00E84347" w:rsidRDefault="005C094A" w:rsidP="005C094A">
      <w:pPr>
        <w:pStyle w:val="ListParagraph"/>
        <w:spacing w:line="360" w:lineRule="auto"/>
        <w:jc w:val="both"/>
        <w:rPr>
          <w:rFonts w:ascii="Arial" w:hAnsi="Arial"/>
          <w:rtl/>
        </w:rPr>
      </w:pPr>
    </w:p>
    <w:p w14:paraId="79AD4B4D"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 xml:space="preserve">לסיכום, בהתחשב בכל האמור לעיל ובשים לב לצורך בהרתעה בעבירות נשק, ובפרט בגניבה מבסיסי צה"ל, </w:t>
      </w:r>
      <w:r w:rsidRPr="00E84347">
        <w:rPr>
          <w:rFonts w:ascii="Arial" w:hAnsi="Arial" w:hint="cs"/>
          <w:rtl/>
        </w:rPr>
        <w:t>עתרה המאשימה</w:t>
      </w:r>
      <w:r w:rsidRPr="00E84347">
        <w:rPr>
          <w:rFonts w:ascii="Arial" w:hAnsi="Arial"/>
          <w:rtl/>
        </w:rPr>
        <w:t xml:space="preserve"> להטלת עונש מאסר בחלק</w:t>
      </w:r>
      <w:r w:rsidRPr="00E84347">
        <w:rPr>
          <w:rFonts w:ascii="Arial" w:hAnsi="Arial" w:hint="cs"/>
          <w:rtl/>
        </w:rPr>
        <w:t>ו</w:t>
      </w:r>
      <w:r w:rsidRPr="00E84347">
        <w:rPr>
          <w:rFonts w:ascii="Arial" w:hAnsi="Arial"/>
          <w:rtl/>
        </w:rPr>
        <w:t xml:space="preserve"> האמצעי-תחתון של כל אחד מהמתחמים המוצעים, במצטבר, בתוספת ענישה נלווית.</w:t>
      </w:r>
    </w:p>
    <w:p w14:paraId="082EB267" w14:textId="77777777" w:rsidR="005C094A" w:rsidRPr="00E84347" w:rsidRDefault="005C094A" w:rsidP="005C094A">
      <w:pPr>
        <w:pStyle w:val="ListParagraph"/>
        <w:rPr>
          <w:rFonts w:ascii="Arial" w:hAnsi="Arial"/>
          <w:rtl/>
        </w:rPr>
      </w:pPr>
    </w:p>
    <w:p w14:paraId="027EBC6A" w14:textId="77777777" w:rsidR="005C094A" w:rsidRPr="00E84347" w:rsidRDefault="005C094A" w:rsidP="005C094A">
      <w:pPr>
        <w:spacing w:line="360" w:lineRule="auto"/>
        <w:jc w:val="both"/>
        <w:rPr>
          <w:rFonts w:ascii="Arial" w:hAnsi="Arial"/>
          <w:b/>
          <w:bCs/>
          <w:u w:val="single"/>
          <w:rtl/>
        </w:rPr>
      </w:pPr>
      <w:r w:rsidRPr="00E84347">
        <w:rPr>
          <w:rFonts w:ascii="Arial" w:hAnsi="Arial" w:hint="cs"/>
          <w:b/>
          <w:bCs/>
          <w:u w:val="single"/>
          <w:rtl/>
        </w:rPr>
        <w:t>טיעוני ההגנה לעונש:</w:t>
      </w:r>
    </w:p>
    <w:p w14:paraId="530EDB50" w14:textId="77777777" w:rsidR="005C094A" w:rsidRPr="00E84347" w:rsidRDefault="005C094A" w:rsidP="005C094A">
      <w:pPr>
        <w:pStyle w:val="ListParagraph"/>
        <w:spacing w:line="360" w:lineRule="auto"/>
        <w:jc w:val="both"/>
        <w:rPr>
          <w:rFonts w:ascii="Arial" w:hAnsi="Arial"/>
          <w:rtl/>
        </w:rPr>
      </w:pPr>
    </w:p>
    <w:p w14:paraId="7C007DBA"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ב"כ הנאשם</w:t>
      </w:r>
      <w:r w:rsidRPr="00E84347">
        <w:rPr>
          <w:rFonts w:ascii="Arial" w:hAnsi="Arial"/>
          <w:rtl/>
        </w:rPr>
        <w:t xml:space="preserve"> פתח את טיעוניו בהתייחסות לתסקירי המבחן שהוגשו בעניינו של הנאשם. הוא הצביע על סתירות לכאורה בין תסקירי המעצר לבין תסקיר העונש, תוך שהוא מדגיש את הפער המשמעותי בהערכת התקדמותו של הנאשם בהליך הטיפולי ובלקיחת האחריות על מעשיו. לאור זאת, ביקש בא כוח הנאשם כי בית המשפט יורה על הגשת תסקיר משלים לשם הבהרת סוגיית המסוכנות והערכת התקדמותו של הנאשם.</w:t>
      </w:r>
    </w:p>
    <w:p w14:paraId="39E44E78" w14:textId="77777777" w:rsidR="005C094A" w:rsidRPr="00E84347" w:rsidRDefault="005C094A" w:rsidP="005C094A">
      <w:pPr>
        <w:pStyle w:val="ListParagraph"/>
        <w:spacing w:line="360" w:lineRule="auto"/>
        <w:jc w:val="both"/>
        <w:rPr>
          <w:rFonts w:ascii="Arial" w:hAnsi="Arial"/>
          <w:rtl/>
        </w:rPr>
      </w:pPr>
    </w:p>
    <w:p w14:paraId="06A31BDA"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 xml:space="preserve">בהמשך, הציג </w:t>
      </w:r>
      <w:r w:rsidRPr="00E84347">
        <w:rPr>
          <w:rFonts w:ascii="Arial" w:hAnsi="Arial" w:hint="cs"/>
          <w:rtl/>
        </w:rPr>
        <w:t>ב"כ</w:t>
      </w:r>
      <w:r w:rsidRPr="00E84347">
        <w:rPr>
          <w:rFonts w:ascii="Arial" w:hAnsi="Arial"/>
          <w:rtl/>
        </w:rPr>
        <w:t xml:space="preserve"> הנאשם את נסיבותיו האישיות של </w:t>
      </w:r>
      <w:r w:rsidRPr="00E84347">
        <w:rPr>
          <w:rFonts w:ascii="Arial" w:hAnsi="Arial" w:hint="cs"/>
          <w:rtl/>
        </w:rPr>
        <w:t>הנאשם</w:t>
      </w:r>
      <w:r w:rsidRPr="00E84347">
        <w:rPr>
          <w:rFonts w:ascii="Arial" w:hAnsi="Arial"/>
          <w:rtl/>
        </w:rPr>
        <w:t>, לרבות היעדר עבר פלילי והיותו אב לילדים. הוא הדגיש את תקופת המעצר הממושכת שעבר הנאשם, הן במעצר ממשי והן בפיקוח אלקטרוני, וביקש כי בית המשפט ייתן לכך משקל בגזירת העונש.</w:t>
      </w:r>
    </w:p>
    <w:p w14:paraId="3A702DE6" w14:textId="77777777" w:rsidR="005C094A" w:rsidRPr="00E84347" w:rsidRDefault="005C094A" w:rsidP="005C094A">
      <w:pPr>
        <w:pStyle w:val="ListParagraph"/>
        <w:spacing w:line="360" w:lineRule="auto"/>
        <w:jc w:val="both"/>
        <w:rPr>
          <w:rFonts w:ascii="Arial" w:hAnsi="Arial"/>
          <w:rtl/>
        </w:rPr>
      </w:pPr>
    </w:p>
    <w:p w14:paraId="7C9D90C4"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ב"כ הנאשם</w:t>
      </w:r>
      <w:r w:rsidRPr="00E84347">
        <w:rPr>
          <w:rFonts w:ascii="Arial" w:hAnsi="Arial"/>
          <w:rtl/>
        </w:rPr>
        <w:t xml:space="preserve"> הפנה את תשומת לב בית המשפט לתיקון המשמעותי שנערך בכתב האישום, אשר הפחית מחו</w:t>
      </w:r>
      <w:r>
        <w:rPr>
          <w:rFonts w:ascii="Arial" w:hAnsi="Arial"/>
          <w:rtl/>
        </w:rPr>
        <w:t xml:space="preserve">מרת העבירות המיוחסות לנאשם. </w:t>
      </w:r>
      <w:r>
        <w:rPr>
          <w:rFonts w:ascii="Arial" w:hAnsi="Arial" w:hint="cs"/>
          <w:rtl/>
        </w:rPr>
        <w:t>נ</w:t>
      </w:r>
      <w:r w:rsidRPr="00E84347">
        <w:rPr>
          <w:rFonts w:ascii="Arial" w:hAnsi="Arial"/>
          <w:rtl/>
        </w:rPr>
        <w:t>טען כי חלקו של הנאשם היה פסיבי ביחס לשותפיו לעבירה, וכי יש לראות בכך נסיבה מקלה.</w:t>
      </w:r>
    </w:p>
    <w:p w14:paraId="43C7A298" w14:textId="77777777" w:rsidR="005C094A" w:rsidRPr="00E84347" w:rsidRDefault="005C094A" w:rsidP="005C094A">
      <w:pPr>
        <w:pStyle w:val="ListParagraph"/>
        <w:spacing w:line="360" w:lineRule="auto"/>
        <w:jc w:val="both"/>
        <w:rPr>
          <w:rFonts w:ascii="Arial" w:hAnsi="Arial"/>
          <w:rtl/>
        </w:rPr>
      </w:pPr>
    </w:p>
    <w:p w14:paraId="5CB57091" w14:textId="77777777" w:rsidR="005C094A" w:rsidRPr="00E84347" w:rsidRDefault="005C094A" w:rsidP="005C094A">
      <w:pPr>
        <w:pStyle w:val="ListParagraph"/>
        <w:numPr>
          <w:ilvl w:val="0"/>
          <w:numId w:val="1"/>
        </w:numPr>
        <w:spacing w:line="360" w:lineRule="auto"/>
        <w:jc w:val="both"/>
        <w:rPr>
          <w:rFonts w:ascii="Arial" w:hAnsi="Arial"/>
          <w:rtl/>
        </w:rPr>
      </w:pPr>
      <w:r>
        <w:rPr>
          <w:rFonts w:ascii="Arial" w:hAnsi="Arial"/>
          <w:rtl/>
        </w:rPr>
        <w:t>בנוסף</w:t>
      </w:r>
      <w:r>
        <w:rPr>
          <w:rFonts w:ascii="Arial" w:hAnsi="Arial" w:hint="cs"/>
          <w:rtl/>
        </w:rPr>
        <w:t>, ב"כ</w:t>
      </w:r>
      <w:r w:rsidRPr="00E84347">
        <w:rPr>
          <w:rFonts w:ascii="Arial" w:hAnsi="Arial"/>
          <w:rtl/>
        </w:rPr>
        <w:t xml:space="preserve"> הנאשם הדגיש את שיתוף הפעולה של </w:t>
      </w:r>
      <w:r w:rsidRPr="00E84347">
        <w:rPr>
          <w:rFonts w:ascii="Arial" w:hAnsi="Arial" w:hint="cs"/>
          <w:rtl/>
        </w:rPr>
        <w:t>הנאשם</w:t>
      </w:r>
      <w:r w:rsidRPr="00E84347">
        <w:rPr>
          <w:rFonts w:ascii="Arial" w:hAnsi="Arial"/>
          <w:rtl/>
        </w:rPr>
        <w:t xml:space="preserve"> עם רשויות האכיפה, את הבעת החרטה הכנה שלו לאורך כל ההליך, ואת החיסכון בזמן שיפוטי שנבע מהודאתו. הוא אף הפנה לגזרי דין של </w:t>
      </w:r>
      <w:r>
        <w:rPr>
          <w:rFonts w:ascii="Arial" w:hAnsi="Arial" w:hint="cs"/>
          <w:rtl/>
        </w:rPr>
        <w:t>ה</w:t>
      </w:r>
      <w:r w:rsidRPr="00E84347">
        <w:rPr>
          <w:rFonts w:ascii="Arial" w:hAnsi="Arial"/>
          <w:rtl/>
        </w:rPr>
        <w:t xml:space="preserve">נאשמים </w:t>
      </w:r>
      <w:r>
        <w:rPr>
          <w:rFonts w:ascii="Arial" w:hAnsi="Arial" w:hint="cs"/>
          <w:rtl/>
        </w:rPr>
        <w:t>ה</w:t>
      </w:r>
      <w:r w:rsidRPr="00E84347">
        <w:rPr>
          <w:rFonts w:ascii="Arial" w:hAnsi="Arial"/>
          <w:rtl/>
        </w:rPr>
        <w:t xml:space="preserve">אחרים בפרשה, בטענה כי יש להשוות את עונשו של </w:t>
      </w:r>
      <w:r w:rsidRPr="00E84347">
        <w:rPr>
          <w:rFonts w:ascii="Arial" w:hAnsi="Arial" w:hint="cs"/>
          <w:rtl/>
        </w:rPr>
        <w:t>נאשם 3</w:t>
      </w:r>
      <w:r w:rsidRPr="00E84347">
        <w:rPr>
          <w:rFonts w:ascii="Arial" w:hAnsi="Arial"/>
          <w:rtl/>
        </w:rPr>
        <w:t xml:space="preserve"> לעונשים שהוטלו עליהם.</w:t>
      </w:r>
    </w:p>
    <w:p w14:paraId="37AC523A" w14:textId="77777777" w:rsidR="005C094A" w:rsidRPr="00E84347" w:rsidRDefault="005C094A" w:rsidP="005C094A">
      <w:pPr>
        <w:pStyle w:val="ListParagraph"/>
        <w:spacing w:line="360" w:lineRule="auto"/>
        <w:jc w:val="both"/>
        <w:rPr>
          <w:rFonts w:ascii="Arial" w:hAnsi="Arial"/>
          <w:rtl/>
        </w:rPr>
      </w:pPr>
    </w:p>
    <w:p w14:paraId="68DB55F5"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 xml:space="preserve">לסיכום, ביקש </w:t>
      </w:r>
      <w:r w:rsidRPr="00E84347">
        <w:rPr>
          <w:rFonts w:ascii="Arial" w:hAnsi="Arial" w:hint="cs"/>
          <w:rtl/>
        </w:rPr>
        <w:t xml:space="preserve">הסנגור </w:t>
      </w:r>
      <w:r w:rsidRPr="00E84347">
        <w:rPr>
          <w:rFonts w:ascii="Arial" w:hAnsi="Arial"/>
          <w:rtl/>
        </w:rPr>
        <w:t>לקבוע מתחם ענישה של 9 עד 24 חודשי מאסר, תוך שהוא מבקש כי בית המשפט ישקול להמיר חלק מתקופת המאסר בעבודות שירות. הוא הדגיש כי יש להתחשב בתקופת המעצר והפיקוח האלקטרוני שכבר ריצה הנאשם, ולבחון את האפשרות לקבל חוות דעת מהממונה על עבודות השירות טרם גזירת העונש הסופי.</w:t>
      </w:r>
    </w:p>
    <w:p w14:paraId="417D7E82" w14:textId="77777777" w:rsidR="005C094A" w:rsidRPr="00E84347" w:rsidRDefault="005C094A" w:rsidP="005C094A">
      <w:pPr>
        <w:pStyle w:val="ListParagraph"/>
        <w:rPr>
          <w:rFonts w:ascii="Arial" w:hAnsi="Arial"/>
          <w:rtl/>
        </w:rPr>
      </w:pPr>
    </w:p>
    <w:p w14:paraId="066B074A" w14:textId="77777777" w:rsidR="005C094A" w:rsidRPr="00E84347" w:rsidRDefault="005C094A" w:rsidP="005C094A">
      <w:pPr>
        <w:spacing w:line="360" w:lineRule="auto"/>
        <w:jc w:val="both"/>
        <w:rPr>
          <w:rFonts w:ascii="Arial" w:hAnsi="Arial"/>
          <w:b/>
          <w:bCs/>
          <w:u w:val="single"/>
          <w:rtl/>
        </w:rPr>
      </w:pPr>
      <w:r w:rsidRPr="00E84347">
        <w:rPr>
          <w:rFonts w:ascii="Arial" w:hAnsi="Arial" w:hint="cs"/>
          <w:b/>
          <w:bCs/>
          <w:u w:val="single"/>
          <w:rtl/>
        </w:rPr>
        <w:t>דברי הנאשם</w:t>
      </w:r>
    </w:p>
    <w:p w14:paraId="53034EFD"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hint="cs"/>
          <w:rtl/>
        </w:rPr>
        <w:t xml:space="preserve">הנאשם הצטער על מעשיו, ביקש מבית המשפט להתחשב בעובדה כי הינו אב לשני ילדים וביקש כי בית המשפט ייתן לו הזדמנות נוספת. </w:t>
      </w:r>
    </w:p>
    <w:p w14:paraId="40FA2716" w14:textId="77777777" w:rsidR="005C094A" w:rsidRPr="00E84347" w:rsidRDefault="005C094A" w:rsidP="005C094A">
      <w:pPr>
        <w:spacing w:line="360" w:lineRule="auto"/>
        <w:jc w:val="both"/>
        <w:rPr>
          <w:rFonts w:ascii="Arial" w:hAnsi="Arial"/>
          <w:rtl/>
        </w:rPr>
      </w:pPr>
    </w:p>
    <w:p w14:paraId="57BA5567" w14:textId="77777777" w:rsidR="005C094A" w:rsidRPr="00E84347" w:rsidRDefault="005C094A" w:rsidP="005C094A">
      <w:pPr>
        <w:spacing w:line="360" w:lineRule="auto"/>
        <w:jc w:val="both"/>
        <w:rPr>
          <w:rFonts w:ascii="Arial" w:hAnsi="Arial"/>
          <w:rtl/>
        </w:rPr>
      </w:pPr>
    </w:p>
    <w:p w14:paraId="226B252A" w14:textId="77777777" w:rsidR="005C094A" w:rsidRPr="00E84347" w:rsidRDefault="005C094A" w:rsidP="005C094A">
      <w:pPr>
        <w:spacing w:line="360" w:lineRule="auto"/>
        <w:jc w:val="both"/>
        <w:rPr>
          <w:rFonts w:ascii="Arial" w:hAnsi="Arial"/>
          <w:b/>
          <w:bCs/>
          <w:u w:val="single"/>
          <w:rtl/>
        </w:rPr>
      </w:pPr>
      <w:r w:rsidRPr="00E84347">
        <w:rPr>
          <w:rFonts w:ascii="Arial" w:hAnsi="Arial" w:hint="cs"/>
          <w:b/>
          <w:bCs/>
          <w:u w:val="single"/>
          <w:rtl/>
        </w:rPr>
        <w:t>תסקיר שירות המבחן</w:t>
      </w:r>
    </w:p>
    <w:p w14:paraId="037D8072"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 xml:space="preserve">התסקיר שהוגש בעניינו של </w:t>
      </w:r>
      <w:r w:rsidRPr="00E84347">
        <w:rPr>
          <w:rFonts w:ascii="Arial" w:hAnsi="Arial" w:hint="cs"/>
          <w:rtl/>
        </w:rPr>
        <w:t>נאשם 3</w:t>
      </w:r>
      <w:r w:rsidRPr="00E84347">
        <w:rPr>
          <w:rFonts w:ascii="Arial" w:hAnsi="Arial"/>
          <w:rtl/>
        </w:rPr>
        <w:t xml:space="preserve"> התייחס למכלול נסיבותיו האישיות </w:t>
      </w:r>
      <w:r w:rsidRPr="00E84347">
        <w:rPr>
          <w:rFonts w:ascii="Arial" w:hAnsi="Arial" w:hint="cs"/>
          <w:rtl/>
        </w:rPr>
        <w:t>אשר מטעם צנעת הפרט לא אפרט אודותיהם</w:t>
      </w:r>
      <w:r w:rsidRPr="00E84347">
        <w:rPr>
          <w:rFonts w:ascii="Arial" w:hAnsi="Arial"/>
          <w:rtl/>
        </w:rPr>
        <w:t xml:space="preserve">. </w:t>
      </w:r>
      <w:r w:rsidRPr="00E84347">
        <w:rPr>
          <w:rFonts w:ascii="Arial" w:hAnsi="Arial" w:hint="cs"/>
          <w:rtl/>
        </w:rPr>
        <w:t>שירות המבחן</w:t>
      </w:r>
      <w:r w:rsidRPr="00E84347">
        <w:rPr>
          <w:rFonts w:ascii="Arial" w:hAnsi="Arial"/>
          <w:rtl/>
        </w:rPr>
        <w:t xml:space="preserve"> ציין כי הנאשם, נעדר עבר פלילי, הביע חרטה חלקית על מעשיו והפגין מודעות מוגבלת להשלכותיהם. התסקיר הצביע על כך שהנאשם השתתף בהליך טיפולי במסגרת מעצר הבית, אך ההתקדמות שהושגה הייתה מוגבלת. </w:t>
      </w:r>
      <w:r w:rsidRPr="00E84347">
        <w:rPr>
          <w:rFonts w:ascii="Arial" w:hAnsi="Arial" w:hint="cs"/>
          <w:rtl/>
        </w:rPr>
        <w:t>שיר</w:t>
      </w:r>
      <w:r>
        <w:rPr>
          <w:rFonts w:ascii="Arial" w:hAnsi="Arial" w:hint="cs"/>
          <w:rtl/>
        </w:rPr>
        <w:t>ו</w:t>
      </w:r>
      <w:r w:rsidRPr="00E84347">
        <w:rPr>
          <w:rFonts w:ascii="Arial" w:hAnsi="Arial" w:hint="cs"/>
          <w:rtl/>
        </w:rPr>
        <w:t xml:space="preserve">ת המבחן </w:t>
      </w:r>
      <w:r w:rsidRPr="00E84347">
        <w:rPr>
          <w:rFonts w:ascii="Arial" w:hAnsi="Arial"/>
          <w:rtl/>
        </w:rPr>
        <w:t xml:space="preserve">העריך כי קיים סיכון בינוני להישנות ביצוע עבירות ברמת חומרה נמוכה, וציין כי המוטיבציה של הנאשם לטיפול נבעה בעיקר מגורמים חיצוניים. לאור זאת, ובהתחשב בהערכה כי הנאשם אינו בשל דיו לטיפול בשלב זה, </w:t>
      </w:r>
      <w:r w:rsidRPr="00E84347">
        <w:rPr>
          <w:rFonts w:ascii="Arial" w:hAnsi="Arial" w:hint="cs"/>
          <w:rtl/>
        </w:rPr>
        <w:t>שירות המבחן</w:t>
      </w:r>
      <w:r w:rsidRPr="00E84347">
        <w:rPr>
          <w:rFonts w:ascii="Arial" w:hAnsi="Arial"/>
          <w:rtl/>
        </w:rPr>
        <w:t xml:space="preserve"> נמנע מלהמליץ על תכנית טיפולית ספציפית.</w:t>
      </w:r>
    </w:p>
    <w:p w14:paraId="00B55422" w14:textId="77777777" w:rsidR="005C094A" w:rsidRPr="00E84347" w:rsidRDefault="005C094A" w:rsidP="005C094A">
      <w:pPr>
        <w:spacing w:line="360" w:lineRule="auto"/>
        <w:jc w:val="both"/>
        <w:rPr>
          <w:rFonts w:ascii="Arial" w:hAnsi="Arial"/>
          <w:b/>
          <w:bCs/>
          <w:u w:val="single"/>
          <w:rtl/>
        </w:rPr>
      </w:pPr>
      <w:r w:rsidRPr="00E84347">
        <w:rPr>
          <w:rFonts w:ascii="Arial" w:hAnsi="Arial" w:hint="cs"/>
          <w:b/>
          <w:bCs/>
          <w:u w:val="single"/>
          <w:rtl/>
        </w:rPr>
        <w:t xml:space="preserve">דיון </w:t>
      </w:r>
    </w:p>
    <w:p w14:paraId="4769511A" w14:textId="77777777" w:rsidR="005C094A" w:rsidRPr="00E84347" w:rsidRDefault="005C094A" w:rsidP="005C094A">
      <w:pPr>
        <w:spacing w:line="360" w:lineRule="auto"/>
        <w:jc w:val="both"/>
        <w:rPr>
          <w:rFonts w:ascii="Arial" w:hAnsi="Arial"/>
          <w:b/>
          <w:bCs/>
          <w:u w:val="single"/>
          <w:rtl/>
        </w:rPr>
      </w:pPr>
    </w:p>
    <w:p w14:paraId="2E59277E"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hint="cs"/>
          <w:rtl/>
        </w:rPr>
        <w:t>נאשם 3, בן 33, נשוי ואב לשני ילדים בגילאים 4 ו- 7 שנים. ללא עבר פלילי. הוא נעצר בתאריך 19.09.2022 ועד 28.12.2022, ואז</w:t>
      </w:r>
      <w:r w:rsidRPr="00E84347">
        <w:rPr>
          <w:rFonts w:ascii="Arial" w:hAnsi="Arial"/>
          <w:rtl/>
        </w:rPr>
        <w:t xml:space="preserve"> נעצר בפיקוח אלקטרוני.</w:t>
      </w:r>
    </w:p>
    <w:p w14:paraId="2D4CD1EF" w14:textId="77777777" w:rsidR="005C094A" w:rsidRPr="00E84347" w:rsidRDefault="005C094A" w:rsidP="005C094A">
      <w:pPr>
        <w:spacing w:line="360" w:lineRule="auto"/>
        <w:jc w:val="both"/>
        <w:rPr>
          <w:rFonts w:ascii="Arial" w:hAnsi="Arial"/>
        </w:rPr>
      </w:pPr>
    </w:p>
    <w:p w14:paraId="771E8A66"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 xml:space="preserve">במקרה דנן הערכים החברתיים שנפגעו על ידי מעשי הנאשם </w:t>
      </w:r>
      <w:r w:rsidRPr="00E84347">
        <w:rPr>
          <w:rFonts w:ascii="Arial" w:hAnsi="Arial" w:hint="cs"/>
          <w:rtl/>
        </w:rPr>
        <w:t>3</w:t>
      </w:r>
      <w:r w:rsidRPr="00E84347">
        <w:rPr>
          <w:rFonts w:ascii="Arial" w:hAnsi="Arial"/>
          <w:rtl/>
        </w:rPr>
        <w:t xml:space="preserve"> היו שמירה על שלום הציבור, שלמות הגוף והגנה על החיים. הייתה גם פגיעה בקניין הציבורי.</w:t>
      </w:r>
    </w:p>
    <w:p w14:paraId="69B05D51" w14:textId="77777777" w:rsidR="005C094A" w:rsidRPr="00E84347" w:rsidRDefault="005C094A" w:rsidP="005C094A">
      <w:pPr>
        <w:pStyle w:val="ListParagraph"/>
        <w:rPr>
          <w:rFonts w:ascii="David" w:hAnsi="David"/>
          <w:rtl/>
        </w:rPr>
      </w:pPr>
    </w:p>
    <w:p w14:paraId="2DF8ECC8" w14:textId="77777777" w:rsidR="005C094A" w:rsidRPr="00E84347" w:rsidRDefault="005C094A" w:rsidP="005C094A">
      <w:pPr>
        <w:spacing w:line="360" w:lineRule="auto"/>
        <w:jc w:val="both"/>
        <w:rPr>
          <w:rFonts w:ascii="Arial" w:hAnsi="Arial"/>
          <w:rtl/>
        </w:rPr>
      </w:pPr>
    </w:p>
    <w:p w14:paraId="41A06DE7"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לאור</w:t>
      </w:r>
      <w:r w:rsidRPr="00E84347">
        <w:rPr>
          <w:rFonts w:ascii="Arial" w:hAnsi="Arial" w:hint="cs"/>
          <w:rtl/>
        </w:rPr>
        <w:t xml:space="preserve"> האמור, הגעתי</w:t>
      </w:r>
      <w:r w:rsidRPr="00E84347">
        <w:rPr>
          <w:rFonts w:ascii="Arial" w:hAnsi="Arial"/>
          <w:rtl/>
        </w:rPr>
        <w:t xml:space="preserve"> </w:t>
      </w:r>
      <w:r w:rsidRPr="00E84347">
        <w:rPr>
          <w:rFonts w:ascii="Arial" w:hAnsi="Arial" w:hint="cs"/>
          <w:rtl/>
        </w:rPr>
        <w:t>ל</w:t>
      </w:r>
      <w:r w:rsidRPr="00E84347">
        <w:rPr>
          <w:rFonts w:ascii="Arial" w:hAnsi="Arial"/>
          <w:rtl/>
        </w:rPr>
        <w:t>מסקנה כי עסקינן בשלושה אירועים נ</w:t>
      </w:r>
      <w:r w:rsidRPr="00E84347">
        <w:rPr>
          <w:rFonts w:ascii="Arial" w:hAnsi="Arial" w:hint="cs"/>
          <w:rtl/>
        </w:rPr>
        <w:t>פרדים</w:t>
      </w:r>
      <w:r w:rsidRPr="00E84347">
        <w:rPr>
          <w:rFonts w:ascii="Arial" w:hAnsi="Arial"/>
          <w:rtl/>
        </w:rPr>
        <w:t xml:space="preserve">, אשר בגין כל אחד מהם יש לקבוע מתחם ענישה נפרד ועצמאי, בהתאם להוראות </w:t>
      </w:r>
      <w:hyperlink r:id="rId23" w:history="1">
        <w:r w:rsidR="005362F5" w:rsidRPr="005362F5">
          <w:rPr>
            <w:rStyle w:val="Hyperlink"/>
            <w:rFonts w:ascii="Arial" w:hAnsi="Arial"/>
            <w:rtl/>
          </w:rPr>
          <w:t>סעיף 40יג(ב)</w:t>
        </w:r>
      </w:hyperlink>
      <w:r w:rsidRPr="00E84347">
        <w:rPr>
          <w:rFonts w:ascii="Arial" w:hAnsi="Arial"/>
          <w:rtl/>
        </w:rPr>
        <w:t xml:space="preserve"> ל</w:t>
      </w:r>
      <w:hyperlink r:id="rId24" w:history="1">
        <w:r w:rsidR="00662EBB" w:rsidRPr="00662EBB">
          <w:rPr>
            <w:rFonts w:ascii="Arial" w:hAnsi="Arial"/>
            <w:color w:val="0000FF"/>
            <w:u w:val="single"/>
            <w:rtl/>
          </w:rPr>
          <w:t>חוק העונשין</w:t>
        </w:r>
      </w:hyperlink>
      <w:r w:rsidRPr="00E84347">
        <w:rPr>
          <w:rFonts w:ascii="Arial" w:hAnsi="Arial" w:hint="cs"/>
          <w:rtl/>
        </w:rPr>
        <w:t xml:space="preserve">. </w:t>
      </w:r>
    </w:p>
    <w:p w14:paraId="42A50811" w14:textId="77777777" w:rsidR="005C094A" w:rsidRPr="00E84347" w:rsidRDefault="005C094A" w:rsidP="005C094A">
      <w:pPr>
        <w:spacing w:line="360" w:lineRule="auto"/>
        <w:jc w:val="both"/>
        <w:rPr>
          <w:rFonts w:ascii="Arial" w:hAnsi="Arial"/>
          <w:rtl/>
        </w:rPr>
      </w:pPr>
    </w:p>
    <w:p w14:paraId="50334326"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 xml:space="preserve">באשר לאישום הראשון, מתחם </w:t>
      </w:r>
      <w:r w:rsidRPr="00E84347">
        <w:rPr>
          <w:rFonts w:ascii="Arial" w:hAnsi="Arial" w:hint="cs"/>
          <w:rtl/>
        </w:rPr>
        <w:t>העונש</w:t>
      </w:r>
      <w:r w:rsidRPr="00E84347">
        <w:rPr>
          <w:rFonts w:ascii="Arial" w:hAnsi="Arial"/>
          <w:rtl/>
        </w:rPr>
        <w:t xml:space="preserve"> ההולם ינוע בין </w:t>
      </w:r>
      <w:r>
        <w:rPr>
          <w:rFonts w:ascii="Arial" w:hAnsi="Arial" w:hint="cs"/>
          <w:rtl/>
        </w:rPr>
        <w:t>9-15</w:t>
      </w:r>
      <w:r w:rsidRPr="00E84347">
        <w:rPr>
          <w:rFonts w:ascii="Arial" w:hAnsi="Arial"/>
          <w:rtl/>
        </w:rPr>
        <w:t xml:space="preserve"> חודשי מאסר בפועל; ביחס לאישום השני, </w:t>
      </w:r>
      <w:r w:rsidRPr="00E84347">
        <w:rPr>
          <w:rFonts w:ascii="Arial" w:hAnsi="Arial" w:hint="cs"/>
          <w:rtl/>
        </w:rPr>
        <w:t>המחם</w:t>
      </w:r>
      <w:r w:rsidRPr="00E84347">
        <w:rPr>
          <w:rFonts w:ascii="Arial" w:hAnsi="Arial"/>
          <w:rtl/>
        </w:rPr>
        <w:t xml:space="preserve"> ישתרע </w:t>
      </w:r>
      <w:r>
        <w:rPr>
          <w:rFonts w:ascii="Arial" w:hAnsi="Arial" w:hint="cs"/>
          <w:rtl/>
        </w:rPr>
        <w:t>בין 20-50</w:t>
      </w:r>
      <w:r w:rsidRPr="00E84347">
        <w:rPr>
          <w:rFonts w:ascii="Arial" w:hAnsi="Arial"/>
          <w:rtl/>
        </w:rPr>
        <w:t xml:space="preserve"> חודשי מאסר בפועל; ואילו בנוגע לאישום השלישי, מתחם הענישה ההולם </w:t>
      </w:r>
      <w:r w:rsidRPr="00E84347">
        <w:rPr>
          <w:rFonts w:ascii="Arial" w:hAnsi="Arial" w:hint="cs"/>
          <w:rtl/>
        </w:rPr>
        <w:t>יהיה</w:t>
      </w:r>
      <w:r w:rsidRPr="00E84347">
        <w:rPr>
          <w:rFonts w:ascii="Arial" w:hAnsi="Arial"/>
          <w:rtl/>
        </w:rPr>
        <w:t xml:space="preserve"> </w:t>
      </w:r>
      <w:r w:rsidRPr="00E84347">
        <w:rPr>
          <w:rFonts w:ascii="Arial" w:hAnsi="Arial" w:hint="cs"/>
          <w:rtl/>
        </w:rPr>
        <w:t>בין</w:t>
      </w:r>
      <w:r w:rsidRPr="00E84347">
        <w:rPr>
          <w:rFonts w:ascii="Arial" w:hAnsi="Arial"/>
          <w:rtl/>
        </w:rPr>
        <w:t xml:space="preserve"> </w:t>
      </w:r>
      <w:r>
        <w:rPr>
          <w:rFonts w:ascii="Arial" w:hAnsi="Arial" w:hint="cs"/>
          <w:rtl/>
        </w:rPr>
        <w:t>9-15</w:t>
      </w:r>
      <w:r w:rsidRPr="00E84347">
        <w:rPr>
          <w:rFonts w:ascii="Arial" w:hAnsi="Arial"/>
          <w:rtl/>
        </w:rPr>
        <w:t xml:space="preserve"> חודשי מאסר בפועל.</w:t>
      </w:r>
    </w:p>
    <w:p w14:paraId="59A3F3E0" w14:textId="77777777" w:rsidR="005C094A" w:rsidRPr="00E84347" w:rsidRDefault="005C094A" w:rsidP="005C094A">
      <w:pPr>
        <w:spacing w:line="360" w:lineRule="auto"/>
        <w:jc w:val="both"/>
        <w:rPr>
          <w:rFonts w:ascii="Arial" w:hAnsi="Arial"/>
          <w:rtl/>
        </w:rPr>
      </w:pPr>
    </w:p>
    <w:p w14:paraId="01CFC7DF" w14:textId="77777777" w:rsidR="005C094A" w:rsidRPr="00E84347" w:rsidRDefault="005C094A" w:rsidP="005C094A">
      <w:pPr>
        <w:pStyle w:val="ListParagraph"/>
        <w:numPr>
          <w:ilvl w:val="0"/>
          <w:numId w:val="1"/>
        </w:numPr>
        <w:spacing w:line="360" w:lineRule="auto"/>
        <w:jc w:val="both"/>
        <w:rPr>
          <w:rFonts w:ascii="Arial" w:hAnsi="Arial"/>
        </w:rPr>
      </w:pPr>
      <w:r w:rsidRPr="00E84347">
        <w:rPr>
          <w:rFonts w:ascii="Arial" w:hAnsi="Arial"/>
          <w:rtl/>
        </w:rPr>
        <w:t>בנסיבות המקרה דנן, קיימת הצדקה להשתת עונש כולל אחד בגין מכלול העבירות הנדונות</w:t>
      </w:r>
      <w:r w:rsidRPr="00E84347">
        <w:rPr>
          <w:rFonts w:ascii="Arial" w:hAnsi="Arial" w:hint="cs"/>
          <w:rtl/>
        </w:rPr>
        <w:t>.</w:t>
      </w:r>
    </w:p>
    <w:p w14:paraId="1B337448" w14:textId="77777777" w:rsidR="005C094A" w:rsidRPr="00E84347" w:rsidRDefault="005C094A" w:rsidP="005C094A">
      <w:pPr>
        <w:pStyle w:val="ListParagraph"/>
        <w:spacing w:line="360" w:lineRule="auto"/>
        <w:jc w:val="both"/>
        <w:rPr>
          <w:rFonts w:ascii="Arial" w:hAnsi="Arial"/>
          <w:rtl/>
        </w:rPr>
      </w:pPr>
    </w:p>
    <w:p w14:paraId="20009F77" w14:textId="77777777" w:rsidR="005C094A" w:rsidRDefault="005C094A" w:rsidP="005C094A">
      <w:pPr>
        <w:pStyle w:val="ListParagraph"/>
        <w:numPr>
          <w:ilvl w:val="0"/>
          <w:numId w:val="1"/>
        </w:numPr>
        <w:spacing w:line="360" w:lineRule="auto"/>
        <w:jc w:val="both"/>
        <w:rPr>
          <w:rFonts w:ascii="Arial" w:hAnsi="Arial"/>
        </w:rPr>
      </w:pPr>
      <w:r w:rsidRPr="00E84347">
        <w:rPr>
          <w:rFonts w:ascii="Arial" w:hAnsi="Arial"/>
          <w:rtl/>
        </w:rPr>
        <w:t>באשר לנסיבות שאינן קשורות לביצוע העבירה, י</w:t>
      </w:r>
      <w:r>
        <w:rPr>
          <w:rFonts w:ascii="Arial" w:hAnsi="Arial"/>
          <w:rtl/>
        </w:rPr>
        <w:t>ש להביא בחשבון לקולא את העובד</w:t>
      </w:r>
      <w:r>
        <w:rPr>
          <w:rFonts w:ascii="Arial" w:hAnsi="Arial" w:hint="cs"/>
          <w:rtl/>
        </w:rPr>
        <w:t>ה</w:t>
      </w:r>
      <w:r w:rsidRPr="00E84347">
        <w:rPr>
          <w:rFonts w:ascii="Arial" w:hAnsi="Arial"/>
          <w:rtl/>
        </w:rPr>
        <w:t xml:space="preserve"> </w:t>
      </w:r>
      <w:r w:rsidRPr="00E84347">
        <w:rPr>
          <w:rFonts w:ascii="Arial" w:hAnsi="Arial" w:hint="cs"/>
          <w:rtl/>
        </w:rPr>
        <w:t xml:space="preserve">כי </w:t>
      </w:r>
      <w:r w:rsidRPr="00E84347">
        <w:rPr>
          <w:rFonts w:ascii="Arial" w:hAnsi="Arial"/>
          <w:rtl/>
        </w:rPr>
        <w:t xml:space="preserve"> הנאשם הינו אב לשני קטינים, כפי שצוין לעיל</w:t>
      </w:r>
      <w:r w:rsidRPr="00E84347">
        <w:rPr>
          <w:rFonts w:ascii="Arial" w:hAnsi="Arial" w:hint="cs"/>
          <w:rtl/>
        </w:rPr>
        <w:t xml:space="preserve">, </w:t>
      </w:r>
      <w:r>
        <w:rPr>
          <w:rFonts w:ascii="Arial" w:hAnsi="Arial" w:hint="cs"/>
          <w:rtl/>
        </w:rPr>
        <w:t xml:space="preserve">והוא </w:t>
      </w:r>
      <w:r w:rsidRPr="00E84347">
        <w:rPr>
          <w:rFonts w:ascii="Arial" w:hAnsi="Arial"/>
          <w:rtl/>
        </w:rPr>
        <w:t>נעדר עבר פלילי</w:t>
      </w:r>
      <w:r>
        <w:rPr>
          <w:rFonts w:ascii="Arial" w:hAnsi="Arial" w:hint="cs"/>
          <w:rtl/>
        </w:rPr>
        <w:t xml:space="preserve"> </w:t>
      </w:r>
      <w:r w:rsidRPr="00E84347">
        <w:rPr>
          <w:rFonts w:ascii="Arial" w:hAnsi="Arial" w:hint="cs"/>
          <w:rtl/>
        </w:rPr>
        <w:t xml:space="preserve"> </w:t>
      </w:r>
      <w:r>
        <w:rPr>
          <w:rFonts w:ascii="Arial" w:hAnsi="Arial" w:hint="cs"/>
          <w:rtl/>
        </w:rPr>
        <w:t>ו</w:t>
      </w:r>
      <w:r w:rsidRPr="00E84347">
        <w:rPr>
          <w:rFonts w:ascii="Arial" w:hAnsi="Arial" w:hint="cs"/>
          <w:rtl/>
        </w:rPr>
        <w:t xml:space="preserve">הודה וסך זמן שיפוטי. </w:t>
      </w:r>
    </w:p>
    <w:p w14:paraId="52F25047" w14:textId="77777777" w:rsidR="005C094A" w:rsidRPr="00746792" w:rsidRDefault="005C094A" w:rsidP="005C094A">
      <w:pPr>
        <w:pStyle w:val="ListParagraph"/>
        <w:rPr>
          <w:rFonts w:ascii="Arial" w:hAnsi="Arial"/>
          <w:rtl/>
        </w:rPr>
      </w:pPr>
    </w:p>
    <w:p w14:paraId="34FE888A" w14:textId="77777777" w:rsidR="005C094A" w:rsidRPr="00E84347" w:rsidRDefault="005C094A" w:rsidP="005C094A">
      <w:pPr>
        <w:pStyle w:val="ListParagraph"/>
        <w:spacing w:line="360" w:lineRule="auto"/>
        <w:jc w:val="both"/>
        <w:rPr>
          <w:rFonts w:ascii="Arial" w:hAnsi="Arial"/>
          <w:rtl/>
        </w:rPr>
      </w:pPr>
    </w:p>
    <w:p w14:paraId="23C8DA52"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מאידך גיסא, אין להתעלם מן העובדה כי תסקיר שירות המבחן שהוגש בעניינו של הנאשם היה בעל אופי שלילי מובהק</w:t>
      </w:r>
      <w:r w:rsidRPr="00E84347">
        <w:rPr>
          <w:rFonts w:ascii="Arial" w:hAnsi="Arial" w:hint="cs"/>
          <w:rtl/>
        </w:rPr>
        <w:t>, וחבל שכך.</w:t>
      </w:r>
      <w:r w:rsidRPr="00E84347">
        <w:rPr>
          <w:rFonts w:ascii="Arial" w:hAnsi="Arial"/>
          <w:rtl/>
        </w:rPr>
        <w:t xml:space="preserve"> התסקיר הצביע על קיומה של מסוכנות מצד הנאשם, וכן קבע כי הנאשם אינו מועמד מתאים להליך טיפולי במסגרת שירות המבחן.</w:t>
      </w:r>
    </w:p>
    <w:p w14:paraId="6B6C3A80" w14:textId="77777777" w:rsidR="005C094A" w:rsidRPr="008F0C06" w:rsidRDefault="005C094A" w:rsidP="005C094A">
      <w:pPr>
        <w:rPr>
          <w:rFonts w:ascii="Arial" w:hAnsi="Arial"/>
          <w:rtl/>
        </w:rPr>
      </w:pPr>
    </w:p>
    <w:p w14:paraId="320D41FA" w14:textId="77777777" w:rsidR="005C094A" w:rsidRPr="00E84347" w:rsidRDefault="005C094A" w:rsidP="005C094A">
      <w:pPr>
        <w:pStyle w:val="ListParagraph"/>
        <w:numPr>
          <w:ilvl w:val="0"/>
          <w:numId w:val="1"/>
        </w:numPr>
        <w:spacing w:line="360" w:lineRule="auto"/>
        <w:jc w:val="both"/>
        <w:rPr>
          <w:rFonts w:ascii="Arial" w:hAnsi="Arial"/>
          <w:rtl/>
        </w:rPr>
      </w:pPr>
      <w:r w:rsidRPr="00E84347">
        <w:rPr>
          <w:rFonts w:ascii="Arial" w:hAnsi="Arial"/>
          <w:rtl/>
        </w:rPr>
        <w:t>אשר על כן אני מטיל ענישה כדלקמן:</w:t>
      </w:r>
    </w:p>
    <w:p w14:paraId="41A8E8DD" w14:textId="77777777" w:rsidR="005C094A" w:rsidRPr="00E84347" w:rsidRDefault="005C094A" w:rsidP="005C094A">
      <w:pPr>
        <w:pStyle w:val="ListParagraph"/>
        <w:rPr>
          <w:rFonts w:ascii="Arial" w:hAnsi="Arial"/>
          <w:rtl/>
        </w:rPr>
      </w:pPr>
    </w:p>
    <w:p w14:paraId="07FA4659" w14:textId="77777777" w:rsidR="005C094A" w:rsidRPr="00E84347" w:rsidRDefault="005C094A" w:rsidP="005C094A">
      <w:pPr>
        <w:pStyle w:val="ListParagraph"/>
        <w:numPr>
          <w:ilvl w:val="0"/>
          <w:numId w:val="2"/>
        </w:numPr>
        <w:spacing w:line="360" w:lineRule="auto"/>
        <w:jc w:val="both"/>
        <w:rPr>
          <w:rFonts w:ascii="Arial" w:hAnsi="Arial"/>
          <w:rtl/>
        </w:rPr>
      </w:pPr>
      <w:r w:rsidRPr="00E84347">
        <w:rPr>
          <w:rFonts w:ascii="Arial" w:hAnsi="Arial"/>
          <w:rtl/>
        </w:rPr>
        <w:t xml:space="preserve"> </w:t>
      </w:r>
      <w:r>
        <w:rPr>
          <w:rFonts w:ascii="Arial" w:hAnsi="Arial" w:hint="cs"/>
          <w:rtl/>
        </w:rPr>
        <w:t>30</w:t>
      </w:r>
      <w:r w:rsidRPr="00E84347">
        <w:rPr>
          <w:rFonts w:ascii="Arial" w:hAnsi="Arial" w:hint="cs"/>
          <w:rtl/>
        </w:rPr>
        <w:t xml:space="preserve"> </w:t>
      </w:r>
      <w:r w:rsidRPr="00E84347">
        <w:rPr>
          <w:rFonts w:ascii="Arial" w:hAnsi="Arial"/>
          <w:rtl/>
        </w:rPr>
        <w:t xml:space="preserve">חודשי מאסר </w:t>
      </w:r>
      <w:r w:rsidRPr="00E84347">
        <w:rPr>
          <w:rFonts w:ascii="Arial" w:hAnsi="Arial" w:hint="cs"/>
          <w:rtl/>
        </w:rPr>
        <w:t>בפועל, בניכוי ימי מעצרו מיום 19.</w:t>
      </w:r>
      <w:r>
        <w:rPr>
          <w:rFonts w:ascii="Arial" w:hAnsi="Arial" w:hint="cs"/>
          <w:rtl/>
        </w:rPr>
        <w:t>09</w:t>
      </w:r>
      <w:r w:rsidRPr="00E84347">
        <w:rPr>
          <w:rFonts w:ascii="Arial" w:hAnsi="Arial" w:hint="cs"/>
          <w:rtl/>
        </w:rPr>
        <w:t xml:space="preserve">.2022 ועד 28.12.2022. </w:t>
      </w:r>
    </w:p>
    <w:p w14:paraId="27697291" w14:textId="77777777" w:rsidR="005C094A" w:rsidRPr="00E84347" w:rsidRDefault="005C094A" w:rsidP="005C094A">
      <w:pPr>
        <w:pStyle w:val="ListParagraph"/>
        <w:numPr>
          <w:ilvl w:val="0"/>
          <w:numId w:val="2"/>
        </w:numPr>
        <w:spacing w:line="360" w:lineRule="auto"/>
        <w:jc w:val="both"/>
        <w:rPr>
          <w:rFonts w:ascii="Arial" w:hAnsi="Arial"/>
          <w:rtl/>
        </w:rPr>
      </w:pPr>
      <w:r w:rsidRPr="00E84347">
        <w:rPr>
          <w:rFonts w:ascii="Arial" w:hAnsi="Arial"/>
          <w:rtl/>
        </w:rPr>
        <w:t>12 חודשי מאסר על תנאי</w:t>
      </w:r>
      <w:r w:rsidRPr="00E84347">
        <w:rPr>
          <w:rFonts w:ascii="Arial" w:hAnsi="Arial" w:hint="cs"/>
          <w:rtl/>
        </w:rPr>
        <w:t>, לאחר שחרורו,</w:t>
      </w:r>
      <w:r w:rsidRPr="00E84347">
        <w:rPr>
          <w:rFonts w:ascii="Arial" w:hAnsi="Arial"/>
          <w:rtl/>
        </w:rPr>
        <w:t xml:space="preserve"> </w:t>
      </w:r>
      <w:r w:rsidRPr="00E84347">
        <w:rPr>
          <w:rFonts w:ascii="Arial" w:hAnsi="Arial" w:hint="cs"/>
          <w:rtl/>
        </w:rPr>
        <w:t>ל</w:t>
      </w:r>
      <w:r w:rsidRPr="00E84347">
        <w:rPr>
          <w:rFonts w:ascii="Arial" w:hAnsi="Arial"/>
          <w:rtl/>
        </w:rPr>
        <w:t>משך 3 שנים כאשר התנאי יופעל במידה והנאשם יבצע עבירות נשק או אלימות מסוג פשע.</w:t>
      </w:r>
    </w:p>
    <w:p w14:paraId="135CDAED" w14:textId="77777777" w:rsidR="005C094A" w:rsidRDefault="005C094A" w:rsidP="005C094A">
      <w:pPr>
        <w:pStyle w:val="ListParagraph"/>
        <w:numPr>
          <w:ilvl w:val="0"/>
          <w:numId w:val="2"/>
        </w:numPr>
        <w:spacing w:line="360" w:lineRule="auto"/>
        <w:jc w:val="both"/>
        <w:rPr>
          <w:rFonts w:ascii="Arial" w:hAnsi="Arial"/>
        </w:rPr>
      </w:pPr>
      <w:r w:rsidRPr="00E84347">
        <w:rPr>
          <w:rFonts w:ascii="Arial" w:hAnsi="Arial"/>
          <w:rtl/>
        </w:rPr>
        <w:t>קנס בסך של 7,000 ₪ לתשלום עד</w:t>
      </w:r>
      <w:r w:rsidRPr="00E84347">
        <w:rPr>
          <w:rFonts w:ascii="Arial" w:hAnsi="Arial" w:hint="cs"/>
          <w:rtl/>
        </w:rPr>
        <w:t xml:space="preserve"> 01.02.2025 . </w:t>
      </w:r>
    </w:p>
    <w:p w14:paraId="6C477D0D" w14:textId="77777777" w:rsidR="005C094A" w:rsidRPr="00E84347" w:rsidRDefault="005C094A" w:rsidP="005C094A">
      <w:pPr>
        <w:pStyle w:val="ListParagraph"/>
        <w:numPr>
          <w:ilvl w:val="0"/>
          <w:numId w:val="2"/>
        </w:numPr>
        <w:spacing w:line="360" w:lineRule="auto"/>
        <w:jc w:val="both"/>
        <w:rPr>
          <w:rFonts w:ascii="Arial" w:hAnsi="Arial"/>
        </w:rPr>
      </w:pPr>
      <w:r w:rsidRPr="00320014">
        <w:rPr>
          <w:rFonts w:ascii="Arial" w:hAnsi="Arial" w:hint="cs"/>
          <w:rtl/>
        </w:rPr>
        <w:t>הנאשם יתיצב לתחילת ריצוי עונשו ביום</w:t>
      </w:r>
      <w:r>
        <w:rPr>
          <w:rFonts w:ascii="Arial" w:hAnsi="Arial" w:hint="cs"/>
          <w:rtl/>
        </w:rPr>
        <w:t>: 25.11.24 בשעה 10:00.</w:t>
      </w:r>
    </w:p>
    <w:p w14:paraId="0D955C74" w14:textId="77777777" w:rsidR="005C094A" w:rsidRPr="00E84347" w:rsidRDefault="005C094A" w:rsidP="005C094A">
      <w:pPr>
        <w:pStyle w:val="ListParagraph"/>
        <w:spacing w:line="360" w:lineRule="auto"/>
        <w:jc w:val="both"/>
        <w:rPr>
          <w:rFonts w:ascii="Arial" w:hAnsi="Arial"/>
          <w:rtl/>
        </w:rPr>
      </w:pPr>
    </w:p>
    <w:p w14:paraId="36088404" w14:textId="77777777" w:rsidR="005C094A" w:rsidRPr="00E84347" w:rsidRDefault="005C094A" w:rsidP="005C094A">
      <w:pPr>
        <w:spacing w:line="360" w:lineRule="auto"/>
        <w:ind w:left="360"/>
        <w:jc w:val="both"/>
        <w:rPr>
          <w:rFonts w:ascii="Arial" w:hAnsi="Arial"/>
          <w:b/>
          <w:bCs/>
          <w:rtl/>
        </w:rPr>
      </w:pPr>
    </w:p>
    <w:p w14:paraId="7FBD57EE" w14:textId="77777777" w:rsidR="005C094A" w:rsidRPr="00E84347" w:rsidRDefault="005C094A" w:rsidP="005C094A">
      <w:pPr>
        <w:spacing w:line="360" w:lineRule="auto"/>
        <w:ind w:left="360"/>
        <w:jc w:val="both"/>
        <w:rPr>
          <w:rFonts w:ascii="Arial" w:hAnsi="Arial"/>
          <w:b/>
          <w:bCs/>
          <w:rtl/>
        </w:rPr>
      </w:pPr>
    </w:p>
    <w:p w14:paraId="1DE3346F" w14:textId="77777777" w:rsidR="005C094A" w:rsidRPr="00E84347" w:rsidRDefault="00662EBB" w:rsidP="005C094A">
      <w:pPr>
        <w:spacing w:line="360" w:lineRule="auto"/>
        <w:ind w:left="360"/>
        <w:jc w:val="both"/>
        <w:rPr>
          <w:rFonts w:ascii="Arial" w:hAnsi="Arial"/>
          <w:b/>
          <w:bCs/>
          <w:u w:val="single"/>
          <w:rtl/>
        </w:rPr>
      </w:pPr>
      <w:r w:rsidRPr="00662EBB">
        <w:rPr>
          <w:rFonts w:ascii="Arial" w:hAnsi="Arial"/>
          <w:b/>
          <w:bCs/>
          <w:color w:val="FFFFFF"/>
          <w:sz w:val="2"/>
          <w:szCs w:val="2"/>
          <w:u w:val="single"/>
          <w:rtl/>
        </w:rPr>
        <w:t>5129371</w:t>
      </w:r>
      <w:r w:rsidR="005C094A" w:rsidRPr="00E84347">
        <w:rPr>
          <w:rFonts w:ascii="Arial" w:hAnsi="Arial" w:hint="cs"/>
          <w:b/>
          <w:bCs/>
          <w:u w:val="single"/>
          <w:rtl/>
        </w:rPr>
        <w:t xml:space="preserve">זכות ערעור תוך 45 ימים. </w:t>
      </w:r>
    </w:p>
    <w:p w14:paraId="305F3A40" w14:textId="77777777" w:rsidR="005C094A" w:rsidRPr="00662EBB" w:rsidRDefault="00662EBB" w:rsidP="005C094A">
      <w:pPr>
        <w:spacing w:line="360" w:lineRule="auto"/>
        <w:ind w:left="360"/>
        <w:jc w:val="both"/>
        <w:rPr>
          <w:rFonts w:ascii="Arial" w:hAnsi="Arial"/>
          <w:color w:val="FFFFFF"/>
          <w:sz w:val="2"/>
          <w:szCs w:val="2"/>
          <w:u w:val="single"/>
          <w:rtl/>
        </w:rPr>
      </w:pPr>
      <w:r w:rsidRPr="00662EBB">
        <w:rPr>
          <w:rFonts w:ascii="Arial" w:hAnsi="Arial"/>
          <w:color w:val="FFFFFF"/>
          <w:sz w:val="2"/>
          <w:szCs w:val="2"/>
          <w:u w:val="single"/>
          <w:rtl/>
        </w:rPr>
        <w:t>54678313</w:t>
      </w:r>
    </w:p>
    <w:p w14:paraId="504A7E5E" w14:textId="77777777" w:rsidR="005C094A" w:rsidRPr="00E84347" w:rsidRDefault="005C094A" w:rsidP="005C094A">
      <w:pPr>
        <w:rPr>
          <w:rFonts w:ascii="Arial" w:hAnsi="Arial"/>
          <w:b/>
          <w:bCs/>
          <w:rtl/>
        </w:rPr>
      </w:pPr>
    </w:p>
    <w:p w14:paraId="54DEC32D" w14:textId="77777777" w:rsidR="005C094A" w:rsidRPr="00E84347" w:rsidRDefault="00662EBB" w:rsidP="005C094A">
      <w:pPr>
        <w:spacing w:line="360" w:lineRule="auto"/>
        <w:jc w:val="both"/>
        <w:rPr>
          <w:rFonts w:ascii="Arial" w:hAnsi="Arial"/>
          <w:b/>
          <w:bCs/>
          <w:rtl/>
        </w:rPr>
      </w:pPr>
      <w:bookmarkStart w:id="7" w:name="Nitan"/>
      <w:r>
        <w:rPr>
          <w:rFonts w:ascii="Arial" w:hAnsi="Arial"/>
          <w:b/>
          <w:bCs/>
          <w:rtl/>
        </w:rPr>
        <w:t xml:space="preserve">ניתן היום,  י"ג תשרי תשפ"ה, 15 אוקטובר 2024, בהעדר הצדדים. </w:t>
      </w:r>
      <w:bookmarkEnd w:id="7"/>
      <w:r w:rsidR="005C094A" w:rsidRPr="00E84347">
        <w:rPr>
          <w:rFonts w:ascii="Arial" w:hAnsi="Arial"/>
          <w:b/>
          <w:bCs/>
          <w:rtl/>
        </w:rPr>
        <w:tab/>
      </w:r>
      <w:r w:rsidR="005C094A" w:rsidRPr="00E84347">
        <w:rPr>
          <w:rFonts w:ascii="Arial" w:hAnsi="Arial"/>
          <w:b/>
          <w:bCs/>
          <w:rtl/>
        </w:rPr>
        <w:tab/>
      </w:r>
      <w:r w:rsidR="005C094A" w:rsidRPr="00E84347">
        <w:rPr>
          <w:rFonts w:ascii="Arial" w:hAnsi="Arial"/>
          <w:b/>
          <w:bCs/>
          <w:rtl/>
        </w:rPr>
        <w:tab/>
      </w:r>
      <w:r w:rsidR="005C094A" w:rsidRPr="00E84347">
        <w:rPr>
          <w:rFonts w:ascii="Arial" w:hAnsi="Arial"/>
          <w:b/>
          <w:bCs/>
          <w:rtl/>
        </w:rPr>
        <w:tab/>
      </w:r>
      <w:r w:rsidR="005C094A" w:rsidRPr="00E84347">
        <w:rPr>
          <w:rFonts w:ascii="Arial" w:hAnsi="Arial"/>
          <w:b/>
          <w:bCs/>
          <w:rtl/>
        </w:rPr>
        <w:tab/>
      </w:r>
      <w:r w:rsidR="005C094A" w:rsidRPr="00E84347">
        <w:rPr>
          <w:rFonts w:ascii="Arial" w:hAnsi="Arial"/>
          <w:b/>
          <w:bCs/>
          <w:rtl/>
        </w:rPr>
        <w:tab/>
      </w:r>
      <w:r w:rsidR="005C094A" w:rsidRPr="00E84347">
        <w:rPr>
          <w:rFonts w:ascii="Arial" w:hAnsi="Arial"/>
          <w:b/>
          <w:bCs/>
          <w:rtl/>
        </w:rPr>
        <w:tab/>
      </w:r>
      <w:r w:rsidR="005C094A" w:rsidRPr="00E84347">
        <w:rPr>
          <w:rFonts w:ascii="Arial" w:hAnsi="Arial" w:hint="cs"/>
          <w:b/>
          <w:bCs/>
          <w:rtl/>
        </w:rPr>
        <w:t xml:space="preserve">         </w:t>
      </w:r>
    </w:p>
    <w:p w14:paraId="00F265D3" w14:textId="77777777" w:rsidR="005C094A" w:rsidRPr="00E84347" w:rsidRDefault="005C094A" w:rsidP="00662EBB">
      <w:pPr>
        <w:jc w:val="center"/>
      </w:pPr>
      <w:r w:rsidRPr="00E84347">
        <w:rPr>
          <w:rFonts w:ascii="Arial" w:hAnsi="Arial"/>
          <w:b/>
          <w:bCs/>
          <w:rtl/>
        </w:rPr>
        <w:t xml:space="preserve">   </w:t>
      </w:r>
      <w:r w:rsidRPr="00E84347">
        <w:rPr>
          <w:rFonts w:ascii="Arial" w:hAnsi="Arial"/>
          <w:b/>
          <w:bCs/>
          <w:rtl/>
        </w:rPr>
        <w:tab/>
      </w:r>
      <w:r w:rsidRPr="00E84347">
        <w:rPr>
          <w:rFonts w:ascii="Arial" w:hAnsi="Arial"/>
          <w:b/>
          <w:bCs/>
          <w:rtl/>
        </w:rPr>
        <w:tab/>
      </w:r>
      <w:r w:rsidRPr="00E84347">
        <w:rPr>
          <w:rFonts w:ascii="Arial" w:hAnsi="Arial"/>
          <w:b/>
          <w:bCs/>
          <w:rtl/>
        </w:rPr>
        <w:tab/>
      </w:r>
      <w:r w:rsidRPr="00E84347">
        <w:rPr>
          <w:rFonts w:ascii="Arial" w:hAnsi="Arial"/>
          <w:b/>
          <w:bCs/>
          <w:rtl/>
        </w:rPr>
        <w:tab/>
      </w:r>
      <w:r w:rsidRPr="00E84347">
        <w:rPr>
          <w:rFonts w:ascii="Arial" w:hAnsi="Arial"/>
          <w:b/>
          <w:bCs/>
          <w:rtl/>
        </w:rPr>
        <w:tab/>
      </w:r>
    </w:p>
    <w:p w14:paraId="6E390646" w14:textId="77777777" w:rsidR="005C094A" w:rsidRPr="00E84347" w:rsidRDefault="005C094A" w:rsidP="005C094A">
      <w:pPr>
        <w:jc w:val="center"/>
        <w:rPr>
          <w:rFonts w:ascii="Arial" w:hAnsi="Arial"/>
          <w:b/>
          <w:bCs/>
          <w:rtl/>
        </w:rPr>
      </w:pPr>
    </w:p>
    <w:p w14:paraId="1CB2953B" w14:textId="77777777" w:rsidR="00C12542" w:rsidRPr="00662EBB" w:rsidRDefault="00C12542" w:rsidP="00662EBB">
      <w:pPr>
        <w:keepNext/>
        <w:rPr>
          <w:rFonts w:ascii="David" w:hAnsi="David"/>
          <w:color w:val="000000"/>
          <w:sz w:val="22"/>
          <w:szCs w:val="22"/>
          <w:rtl/>
        </w:rPr>
      </w:pPr>
    </w:p>
    <w:p w14:paraId="0A13C9BC" w14:textId="77777777" w:rsidR="00662EBB" w:rsidRPr="00662EBB" w:rsidRDefault="00662EBB" w:rsidP="00662EBB">
      <w:pPr>
        <w:keepNext/>
        <w:rPr>
          <w:rFonts w:ascii="David" w:hAnsi="David"/>
          <w:color w:val="000000"/>
          <w:sz w:val="22"/>
          <w:szCs w:val="22"/>
          <w:rtl/>
        </w:rPr>
      </w:pPr>
      <w:r w:rsidRPr="00662EBB">
        <w:rPr>
          <w:rFonts w:ascii="David" w:hAnsi="David"/>
          <w:color w:val="000000"/>
          <w:sz w:val="22"/>
          <w:szCs w:val="22"/>
          <w:rtl/>
        </w:rPr>
        <w:t>דניאל פיש 54678313</w:t>
      </w:r>
    </w:p>
    <w:p w14:paraId="342EE7D9" w14:textId="77777777" w:rsidR="00662EBB" w:rsidRDefault="00662EBB" w:rsidP="00662EBB">
      <w:r w:rsidRPr="00662EBB">
        <w:rPr>
          <w:color w:val="000000"/>
          <w:rtl/>
        </w:rPr>
        <w:t>נוסח מסמך זה כפוף לשינויי ניסוח ועריכה</w:t>
      </w:r>
    </w:p>
    <w:p w14:paraId="06812C4E" w14:textId="77777777" w:rsidR="00662EBB" w:rsidRDefault="00662EBB" w:rsidP="00662EBB">
      <w:pPr>
        <w:rPr>
          <w:rtl/>
        </w:rPr>
      </w:pPr>
    </w:p>
    <w:p w14:paraId="248D4FDB" w14:textId="77777777" w:rsidR="00662EBB" w:rsidRDefault="00662EBB" w:rsidP="00662EB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C3D3BC8" w14:textId="77777777" w:rsidR="00662EBB" w:rsidRPr="00662EBB" w:rsidRDefault="00662EBB" w:rsidP="00662EBB">
      <w:pPr>
        <w:jc w:val="center"/>
        <w:rPr>
          <w:color w:val="0000FF"/>
          <w:u w:val="single"/>
        </w:rPr>
      </w:pPr>
    </w:p>
    <w:sectPr w:rsidR="00662EBB" w:rsidRPr="00662EBB" w:rsidSect="00662EBB">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C2CA2" w14:textId="77777777" w:rsidR="002D4632" w:rsidRDefault="002D4632" w:rsidP="00864738">
      <w:r>
        <w:separator/>
      </w:r>
    </w:p>
  </w:endnote>
  <w:endnote w:type="continuationSeparator" w:id="0">
    <w:p w14:paraId="795A2AB6" w14:textId="77777777" w:rsidR="002D4632" w:rsidRDefault="002D4632" w:rsidP="0086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2C443" w14:textId="77777777" w:rsidR="00662EBB" w:rsidRDefault="00662EBB" w:rsidP="00662E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E02776" w14:textId="77777777" w:rsidR="00E5587B" w:rsidRPr="00662EBB" w:rsidRDefault="00662EBB" w:rsidP="00662E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2C0A3" w14:textId="77777777" w:rsidR="00662EBB" w:rsidRDefault="00662EBB" w:rsidP="00662E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1E33">
      <w:rPr>
        <w:rFonts w:ascii="FrankRuehl" w:hAnsi="FrankRuehl" w:cs="FrankRuehl"/>
        <w:noProof/>
        <w:rtl/>
      </w:rPr>
      <w:t>3</w:t>
    </w:r>
    <w:r>
      <w:rPr>
        <w:rFonts w:ascii="FrankRuehl" w:hAnsi="FrankRuehl" w:cs="FrankRuehl"/>
        <w:rtl/>
      </w:rPr>
      <w:fldChar w:fldCharType="end"/>
    </w:r>
  </w:p>
  <w:p w14:paraId="4774D7A0" w14:textId="77777777" w:rsidR="00E5587B" w:rsidRPr="00662EBB" w:rsidRDefault="00662EBB" w:rsidP="00662E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88C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BDF78" w14:textId="77777777" w:rsidR="002D4632" w:rsidRDefault="002D4632" w:rsidP="00864738">
      <w:r>
        <w:separator/>
      </w:r>
    </w:p>
  </w:footnote>
  <w:footnote w:type="continuationSeparator" w:id="0">
    <w:p w14:paraId="38E4BDA5" w14:textId="77777777" w:rsidR="002D4632" w:rsidRDefault="002D4632" w:rsidP="00864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B9417" w14:textId="77777777" w:rsidR="00662EBB" w:rsidRPr="00662EBB" w:rsidRDefault="00662EBB" w:rsidP="00662E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19302-10-22</w:t>
    </w:r>
    <w:r>
      <w:rPr>
        <w:rFonts w:ascii="David" w:hAnsi="David"/>
        <w:color w:val="000000"/>
        <w:sz w:val="22"/>
        <w:szCs w:val="22"/>
        <w:rtl/>
      </w:rPr>
      <w:tab/>
      <w:t xml:space="preserve"> מדינת ישראל נ' סאמח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D4524" w14:textId="77777777" w:rsidR="00662EBB" w:rsidRPr="00662EBB" w:rsidRDefault="00662EBB" w:rsidP="00662E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19302-10-22</w:t>
    </w:r>
    <w:r>
      <w:rPr>
        <w:rFonts w:ascii="David" w:hAnsi="David"/>
        <w:color w:val="000000"/>
        <w:sz w:val="22"/>
        <w:szCs w:val="22"/>
        <w:rtl/>
      </w:rPr>
      <w:tab/>
      <w:t xml:space="preserve"> מדינת ישראל נ' סאמח שאהין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E0208"/>
    <w:multiLevelType w:val="hybridMultilevel"/>
    <w:tmpl w:val="D5AA7A02"/>
    <w:lvl w:ilvl="0" w:tplc="FE5499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6650C"/>
    <w:multiLevelType w:val="hybridMultilevel"/>
    <w:tmpl w:val="C59206E2"/>
    <w:lvl w:ilvl="0" w:tplc="C86C70C6">
      <w:start w:val="27"/>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42308"/>
    <w:multiLevelType w:val="hybridMultilevel"/>
    <w:tmpl w:val="ECF61A22"/>
    <w:lvl w:ilvl="0" w:tplc="07CC96F6">
      <w:start w:val="27"/>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0013117">
    <w:abstractNumId w:val="0"/>
  </w:num>
  <w:num w:numId="2" w16cid:durableId="852456043">
    <w:abstractNumId w:val="1"/>
  </w:num>
  <w:num w:numId="3" w16cid:durableId="115968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094A"/>
    <w:rsid w:val="00171E33"/>
    <w:rsid w:val="00291F72"/>
    <w:rsid w:val="002C2CAC"/>
    <w:rsid w:val="002D4632"/>
    <w:rsid w:val="00447550"/>
    <w:rsid w:val="005362F5"/>
    <w:rsid w:val="005C094A"/>
    <w:rsid w:val="00662EBB"/>
    <w:rsid w:val="007E24B1"/>
    <w:rsid w:val="00864738"/>
    <w:rsid w:val="00A912ED"/>
    <w:rsid w:val="00C12542"/>
    <w:rsid w:val="00C64A55"/>
    <w:rsid w:val="00D63628"/>
    <w:rsid w:val="00E132E9"/>
    <w:rsid w:val="00E558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264449"/>
  <w15:chartTrackingRefBased/>
  <w15:docId w15:val="{ACF8C07A-9716-427B-B627-1D99C947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09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094A"/>
    <w:pPr>
      <w:tabs>
        <w:tab w:val="center" w:pos="4153"/>
        <w:tab w:val="right" w:pos="8306"/>
      </w:tabs>
    </w:pPr>
  </w:style>
  <w:style w:type="character" w:customStyle="1" w:styleId="a4">
    <w:name w:val="כותרת עליונה תו"/>
    <w:link w:val="a3"/>
    <w:rsid w:val="005C094A"/>
    <w:rPr>
      <w:rFonts w:ascii="Times New Roman" w:eastAsia="Times New Roman" w:hAnsi="Times New Roman" w:cs="David"/>
      <w:sz w:val="24"/>
      <w:szCs w:val="24"/>
    </w:rPr>
  </w:style>
  <w:style w:type="paragraph" w:styleId="a5">
    <w:name w:val="footer"/>
    <w:basedOn w:val="a"/>
    <w:link w:val="a6"/>
    <w:rsid w:val="005C094A"/>
    <w:pPr>
      <w:tabs>
        <w:tab w:val="center" w:pos="4153"/>
        <w:tab w:val="right" w:pos="8306"/>
      </w:tabs>
    </w:pPr>
  </w:style>
  <w:style w:type="character" w:customStyle="1" w:styleId="a6">
    <w:name w:val="כותרת תחתונה תו"/>
    <w:link w:val="a5"/>
    <w:rsid w:val="005C094A"/>
    <w:rPr>
      <w:rFonts w:ascii="Times New Roman" w:eastAsia="Times New Roman" w:hAnsi="Times New Roman" w:cs="David"/>
      <w:sz w:val="24"/>
      <w:szCs w:val="24"/>
    </w:rPr>
  </w:style>
  <w:style w:type="table" w:styleId="a7">
    <w:name w:val="Table Grid"/>
    <w:basedOn w:val="a1"/>
    <w:rsid w:val="005C09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094A"/>
  </w:style>
  <w:style w:type="paragraph" w:customStyle="1" w:styleId="ListParagraph">
    <w:name w:val="List Paragraph"/>
    <w:basedOn w:val="a"/>
    <w:qFormat/>
    <w:rsid w:val="005C094A"/>
    <w:pPr>
      <w:ind w:left="720"/>
      <w:contextualSpacing/>
    </w:pPr>
  </w:style>
  <w:style w:type="character" w:styleId="Hyperlink">
    <w:name w:val="Hyperlink"/>
    <w:rsid w:val="00662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582132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91473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2647296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90"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390;383" TargetMode="External"/><Relationship Id="rId23" Type="http://schemas.openxmlformats.org/officeDocument/2006/relationships/hyperlink" Target="http://www.nevo.co.il/law/70301/40jc.b" TargetMode="External"/><Relationship Id="rId28" Type="http://schemas.openxmlformats.org/officeDocument/2006/relationships/footer" Target="footer1.xml"/><Relationship Id="rId10" Type="http://schemas.openxmlformats.org/officeDocument/2006/relationships/hyperlink" Target="http://www.nevo.co.il/law/70301/383" TargetMode="External"/><Relationship Id="rId19" Type="http://schemas.openxmlformats.org/officeDocument/2006/relationships/hyperlink" Target="http://www.nevo.co.il/case/2582489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01644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1733</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10379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3145846</vt:i4>
      </vt:variant>
      <vt:variant>
        <vt:i4>45</vt:i4>
      </vt:variant>
      <vt:variant>
        <vt:i4>0</vt:i4>
      </vt:variant>
      <vt:variant>
        <vt:i4>5</vt:i4>
      </vt:variant>
      <vt:variant>
        <vt:lpwstr>http://www.nevo.co.il/case/27016446</vt:lpwstr>
      </vt:variant>
      <vt:variant>
        <vt:lpwstr/>
      </vt:variant>
      <vt:variant>
        <vt:i4>3932282</vt:i4>
      </vt:variant>
      <vt:variant>
        <vt:i4>42</vt:i4>
      </vt:variant>
      <vt:variant>
        <vt:i4>0</vt:i4>
      </vt:variant>
      <vt:variant>
        <vt:i4>5</vt:i4>
      </vt:variant>
      <vt:variant>
        <vt:lpwstr>http://www.nevo.co.il/case/28914731</vt:lpwstr>
      </vt:variant>
      <vt:variant>
        <vt:lpwstr/>
      </vt:variant>
      <vt:variant>
        <vt:i4>3276924</vt:i4>
      </vt:variant>
      <vt:variant>
        <vt:i4>39</vt:i4>
      </vt:variant>
      <vt:variant>
        <vt:i4>0</vt:i4>
      </vt:variant>
      <vt:variant>
        <vt:i4>5</vt:i4>
      </vt:variant>
      <vt:variant>
        <vt:lpwstr>http://www.nevo.co.il/case/26472965</vt:lpwstr>
      </vt:variant>
      <vt:variant>
        <vt:lpwstr/>
      </vt:variant>
      <vt:variant>
        <vt:i4>3604603</vt:i4>
      </vt:variant>
      <vt:variant>
        <vt:i4>36</vt:i4>
      </vt:variant>
      <vt:variant>
        <vt:i4>0</vt:i4>
      </vt:variant>
      <vt:variant>
        <vt:i4>5</vt:i4>
      </vt:variant>
      <vt:variant>
        <vt:lpwstr>http://www.nevo.co.il/case/25824897</vt:lpwstr>
      </vt:variant>
      <vt:variant>
        <vt:lpwstr/>
      </vt:variant>
      <vt:variant>
        <vt:i4>3342463</vt:i4>
      </vt:variant>
      <vt:variant>
        <vt:i4>33</vt:i4>
      </vt:variant>
      <vt:variant>
        <vt:i4>0</vt:i4>
      </vt:variant>
      <vt:variant>
        <vt:i4>5</vt:i4>
      </vt:variant>
      <vt:variant>
        <vt:lpwstr>http://www.nevo.co.il/case/5821327</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7274597</vt:i4>
      </vt:variant>
      <vt:variant>
        <vt:i4>24</vt:i4>
      </vt:variant>
      <vt:variant>
        <vt:i4>0</vt:i4>
      </vt:variant>
      <vt:variant>
        <vt:i4>5</vt:i4>
      </vt:variant>
      <vt:variant>
        <vt:lpwstr>http://www.nevo.co.il/law/70301/390;383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7077990</vt:i4>
      </vt:variant>
      <vt:variant>
        <vt:i4>12</vt:i4>
      </vt:variant>
      <vt:variant>
        <vt:i4>0</vt:i4>
      </vt:variant>
      <vt:variant>
        <vt:i4>5</vt:i4>
      </vt:variant>
      <vt:variant>
        <vt:lpwstr>http://www.nevo.co.il/law/70301/390</vt:lpwstr>
      </vt:variant>
      <vt:variant>
        <vt:lpwstr/>
      </vt:variant>
      <vt:variant>
        <vt:i4>7143526</vt:i4>
      </vt:variant>
      <vt:variant>
        <vt:i4>9</vt:i4>
      </vt:variant>
      <vt:variant>
        <vt:i4>0</vt:i4>
      </vt:variant>
      <vt:variant>
        <vt:i4>5</vt:i4>
      </vt:variant>
      <vt:variant>
        <vt:lpwstr>http://www.nevo.co.il/law/70301/383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19302</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סאמח שאהין;מאהר קיס;רפיק סעב</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20241015</vt:lpwstr>
  </property>
  <property fmtid="{D5CDD505-2E9C-101B-9397-08002B2CF9AE}" pid="13" name="TYPE_N_DATE">
    <vt:lpwstr>39020241015</vt:lpwstr>
  </property>
  <property fmtid="{D5CDD505-2E9C-101B-9397-08002B2CF9AE}" pid="14" name="WORDNUMPAGES">
    <vt:lpwstr>6</vt:lpwstr>
  </property>
  <property fmtid="{D5CDD505-2E9C-101B-9397-08002B2CF9AE}" pid="15" name="TYPE_ABS_DATE">
    <vt:lpwstr>390120241015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5821327;25824897;26472965;28914731;27016446</vt:lpwstr>
  </property>
  <property fmtid="{D5CDD505-2E9C-101B-9397-08002B2CF9AE}" pid="36" name="LAWLISTTMP1">
    <vt:lpwstr>70301/144.a:2;390;383;144.b;40jc.b</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13800;19004</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גניבה בידי עובד</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20241028</vt:lpwstr>
  </property>
  <property fmtid="{D5CDD505-2E9C-101B-9397-08002B2CF9AE}" pid="71" name="METAKZER">
    <vt:lpwstr>מיכל</vt:lpwstr>
  </property>
</Properties>
</file>