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81EC5" w:rsidRPr="00824D02" w14:paraId="37A5454F" w14:textId="77777777" w:rsidTr="00824D02">
        <w:trPr>
          <w:trHeight w:hRule="exact" w:val="418"/>
          <w:jc w:val="center"/>
        </w:trPr>
        <w:tc>
          <w:tcPr>
            <w:tcW w:w="8721" w:type="dxa"/>
            <w:gridSpan w:val="2"/>
          </w:tcPr>
          <w:p w14:paraId="4DF12856" w14:textId="77777777" w:rsidR="00681EC5" w:rsidRPr="00824D02" w:rsidRDefault="00681EC5" w:rsidP="001F710C">
            <w:pPr>
              <w:pStyle w:val="a3"/>
              <w:jc w:val="center"/>
              <w:rPr>
                <w:rFonts w:ascii="Tahoma" w:hAnsi="Tahoma"/>
                <w:color w:val="000080"/>
                <w:rtl/>
              </w:rPr>
            </w:pPr>
            <w:bookmarkStart w:id="0" w:name="LastJudge"/>
            <w:r w:rsidRPr="00824D02">
              <w:rPr>
                <w:rFonts w:ascii="Tahoma" w:hAnsi="Tahoma"/>
                <w:b/>
                <w:bCs/>
                <w:color w:val="000080"/>
                <w:rtl/>
              </w:rPr>
              <w:t>בית המשפט המחוזי בחיפה</w:t>
            </w:r>
          </w:p>
        </w:tc>
      </w:tr>
      <w:tr w:rsidR="00681EC5" w:rsidRPr="00824D02" w14:paraId="460FADF3" w14:textId="77777777" w:rsidTr="00824D02">
        <w:trPr>
          <w:trHeight w:val="337"/>
          <w:jc w:val="center"/>
        </w:trPr>
        <w:tc>
          <w:tcPr>
            <w:tcW w:w="5060" w:type="dxa"/>
          </w:tcPr>
          <w:p w14:paraId="5A60A7E9" w14:textId="77777777" w:rsidR="00681EC5" w:rsidRPr="00824D02" w:rsidRDefault="00681EC5" w:rsidP="001F710C">
            <w:pPr>
              <w:rPr>
                <w:sz w:val="28"/>
                <w:szCs w:val="28"/>
                <w:rtl/>
              </w:rPr>
            </w:pPr>
            <w:r w:rsidRPr="00824D02">
              <w:rPr>
                <w:sz w:val="28"/>
                <w:szCs w:val="28"/>
                <w:rtl/>
              </w:rPr>
              <w:t>ת"פ</w:t>
            </w:r>
            <w:r w:rsidRPr="00824D02">
              <w:rPr>
                <w:rFonts w:hint="cs"/>
                <w:sz w:val="28"/>
                <w:szCs w:val="28"/>
                <w:rtl/>
              </w:rPr>
              <w:t xml:space="preserve"> </w:t>
            </w:r>
            <w:r w:rsidRPr="00824D02">
              <w:rPr>
                <w:sz w:val="28"/>
                <w:szCs w:val="28"/>
                <w:rtl/>
              </w:rPr>
              <w:t>1716-11-22</w:t>
            </w:r>
            <w:r w:rsidRPr="00824D02">
              <w:rPr>
                <w:rFonts w:hint="cs"/>
                <w:sz w:val="28"/>
                <w:szCs w:val="28"/>
                <w:rtl/>
              </w:rPr>
              <w:t xml:space="preserve"> </w:t>
            </w:r>
            <w:r w:rsidRPr="00824D02">
              <w:rPr>
                <w:sz w:val="28"/>
                <w:szCs w:val="28"/>
                <w:rtl/>
              </w:rPr>
              <w:t>מדינת ישראל נ' מחאג'נה(עציר)</w:t>
            </w:r>
          </w:p>
          <w:p w14:paraId="49168909" w14:textId="77777777" w:rsidR="00681EC5" w:rsidRPr="00824D02" w:rsidRDefault="00681EC5" w:rsidP="001F710C">
            <w:pPr>
              <w:pStyle w:val="a3"/>
              <w:rPr>
                <w:sz w:val="28"/>
                <w:szCs w:val="28"/>
                <w:rtl/>
              </w:rPr>
            </w:pPr>
          </w:p>
        </w:tc>
        <w:tc>
          <w:tcPr>
            <w:tcW w:w="3661" w:type="dxa"/>
          </w:tcPr>
          <w:p w14:paraId="0093ED9F" w14:textId="77777777" w:rsidR="00681EC5" w:rsidRPr="00824D02" w:rsidRDefault="00681EC5" w:rsidP="001F710C">
            <w:pPr>
              <w:pStyle w:val="a3"/>
              <w:jc w:val="right"/>
              <w:rPr>
                <w:sz w:val="28"/>
                <w:szCs w:val="28"/>
                <w:rtl/>
              </w:rPr>
            </w:pPr>
          </w:p>
        </w:tc>
      </w:tr>
    </w:tbl>
    <w:p w14:paraId="62911E2A" w14:textId="77777777" w:rsidR="00681EC5" w:rsidRPr="00824D02" w:rsidRDefault="00681EC5" w:rsidP="00824D02">
      <w:pPr>
        <w:pStyle w:val="a3"/>
        <w:rPr>
          <w:sz w:val="26"/>
          <w:szCs w:val="26"/>
          <w:rtl/>
        </w:rPr>
      </w:pPr>
      <w:r w:rsidRPr="00824D02">
        <w:rPr>
          <w:rFonts w:hint="cs"/>
          <w:rtl/>
        </w:rPr>
        <w:t xml:space="preserve"> </w:t>
      </w:r>
    </w:p>
    <w:tbl>
      <w:tblPr>
        <w:bidiVisual/>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128"/>
        <w:gridCol w:w="4511"/>
      </w:tblGrid>
      <w:tr w:rsidR="00681EC5" w:rsidRPr="00824D02" w14:paraId="53ABDC61" w14:textId="77777777" w:rsidTr="00681EC5">
        <w:trPr>
          <w:trHeight w:val="295"/>
          <w:jc w:val="center"/>
        </w:trPr>
        <w:tc>
          <w:tcPr>
            <w:tcW w:w="8510" w:type="dxa"/>
            <w:gridSpan w:val="3"/>
            <w:tcBorders>
              <w:top w:val="nil"/>
              <w:left w:val="nil"/>
              <w:bottom w:val="nil"/>
              <w:right w:val="nil"/>
            </w:tcBorders>
            <w:shd w:val="clear" w:color="auto" w:fill="auto"/>
          </w:tcPr>
          <w:p w14:paraId="743F2339" w14:textId="77777777" w:rsidR="00681EC5" w:rsidRPr="00824D02" w:rsidRDefault="00681EC5" w:rsidP="00681EC5">
            <w:pPr>
              <w:jc w:val="both"/>
              <w:rPr>
                <w:rFonts w:ascii="David" w:hAnsi="David"/>
                <w:b/>
                <w:bCs/>
                <w:sz w:val="26"/>
                <w:szCs w:val="26"/>
                <w:rtl/>
              </w:rPr>
            </w:pPr>
            <w:r w:rsidRPr="00824D02">
              <w:rPr>
                <w:rFonts w:ascii="David" w:hAnsi="David" w:hint="cs"/>
                <w:b/>
                <w:bCs/>
                <w:sz w:val="26"/>
                <w:szCs w:val="26"/>
                <w:rtl/>
              </w:rPr>
              <w:t>ל</w:t>
            </w:r>
            <w:r w:rsidRPr="00824D02">
              <w:rPr>
                <w:rFonts w:ascii="David" w:hAnsi="David"/>
                <w:b/>
                <w:bCs/>
                <w:sz w:val="26"/>
                <w:szCs w:val="26"/>
                <w:rtl/>
              </w:rPr>
              <w:t>פני כבוד השופט  מוחמד עלי</w:t>
            </w:r>
          </w:p>
          <w:p w14:paraId="3537261D" w14:textId="77777777" w:rsidR="00681EC5" w:rsidRPr="00824D02" w:rsidRDefault="00681EC5" w:rsidP="001F710C">
            <w:pPr>
              <w:rPr>
                <w:rFonts w:ascii="David" w:hAnsi="David"/>
                <w:b/>
                <w:bCs/>
                <w:sz w:val="26"/>
                <w:szCs w:val="26"/>
                <w:rtl/>
              </w:rPr>
            </w:pPr>
          </w:p>
          <w:p w14:paraId="1FBDE94C" w14:textId="77777777" w:rsidR="00681EC5" w:rsidRPr="00824D02" w:rsidRDefault="00681EC5" w:rsidP="00681EC5">
            <w:pPr>
              <w:jc w:val="both"/>
              <w:rPr>
                <w:rFonts w:ascii="David" w:hAnsi="David"/>
                <w:b/>
                <w:bCs/>
                <w:sz w:val="26"/>
                <w:szCs w:val="26"/>
              </w:rPr>
            </w:pPr>
          </w:p>
        </w:tc>
      </w:tr>
      <w:tr w:rsidR="00681EC5" w:rsidRPr="00824D02" w14:paraId="4EC065B3" w14:textId="77777777" w:rsidTr="00681EC5">
        <w:trPr>
          <w:trHeight w:val="355"/>
          <w:jc w:val="center"/>
        </w:trPr>
        <w:tc>
          <w:tcPr>
            <w:tcW w:w="871" w:type="dxa"/>
            <w:tcBorders>
              <w:top w:val="nil"/>
              <w:left w:val="nil"/>
              <w:bottom w:val="nil"/>
              <w:right w:val="nil"/>
            </w:tcBorders>
            <w:shd w:val="clear" w:color="auto" w:fill="auto"/>
          </w:tcPr>
          <w:p w14:paraId="033251EE" w14:textId="77777777" w:rsidR="00681EC5" w:rsidRPr="00824D02" w:rsidRDefault="00681EC5" w:rsidP="00681EC5">
            <w:pPr>
              <w:jc w:val="both"/>
              <w:rPr>
                <w:rFonts w:ascii="David" w:hAnsi="David"/>
                <w:sz w:val="26"/>
                <w:szCs w:val="26"/>
              </w:rPr>
            </w:pPr>
            <w:bookmarkStart w:id="1" w:name="FirstAppellant"/>
            <w:r w:rsidRPr="00824D02">
              <w:rPr>
                <w:rFonts w:ascii="David" w:hAnsi="David"/>
                <w:sz w:val="26"/>
                <w:szCs w:val="26"/>
                <w:rtl/>
              </w:rPr>
              <w:t>בעניין:</w:t>
            </w:r>
          </w:p>
        </w:tc>
        <w:tc>
          <w:tcPr>
            <w:tcW w:w="3128" w:type="dxa"/>
            <w:tcBorders>
              <w:top w:val="nil"/>
              <w:left w:val="nil"/>
              <w:bottom w:val="nil"/>
              <w:right w:val="nil"/>
            </w:tcBorders>
            <w:shd w:val="clear" w:color="auto" w:fill="auto"/>
          </w:tcPr>
          <w:p w14:paraId="3C7DBF06" w14:textId="77777777" w:rsidR="00681EC5" w:rsidRPr="00824D02" w:rsidRDefault="00681EC5" w:rsidP="00681EC5">
            <w:pPr>
              <w:suppressLineNumbers/>
              <w:rPr>
                <w:rFonts w:ascii="David" w:hAnsi="David"/>
                <w:sz w:val="26"/>
                <w:szCs w:val="26"/>
              </w:rPr>
            </w:pPr>
            <w:r w:rsidRPr="00824D02">
              <w:rPr>
                <w:rFonts w:ascii="Arial" w:hAnsi="Arial" w:hint="cs"/>
                <w:b/>
                <w:bCs/>
                <w:sz w:val="26"/>
                <w:szCs w:val="26"/>
                <w:rtl/>
              </w:rPr>
              <w:t>ה</w:t>
            </w:r>
            <w:r w:rsidRPr="00824D02">
              <w:rPr>
                <w:rFonts w:ascii="Arial" w:hAnsi="Arial"/>
                <w:b/>
                <w:bCs/>
                <w:sz w:val="26"/>
                <w:szCs w:val="26"/>
                <w:rtl/>
              </w:rPr>
              <w:t>מאשימה</w:t>
            </w:r>
          </w:p>
        </w:tc>
        <w:tc>
          <w:tcPr>
            <w:tcW w:w="4511" w:type="dxa"/>
            <w:tcBorders>
              <w:top w:val="nil"/>
              <w:left w:val="nil"/>
              <w:bottom w:val="nil"/>
              <w:right w:val="nil"/>
            </w:tcBorders>
            <w:shd w:val="clear" w:color="auto" w:fill="auto"/>
            <w:vAlign w:val="center"/>
          </w:tcPr>
          <w:p w14:paraId="3F161F6D" w14:textId="77777777" w:rsidR="00681EC5" w:rsidRPr="00824D02" w:rsidRDefault="00681EC5" w:rsidP="00681EC5">
            <w:pPr>
              <w:suppressLineNumbers/>
              <w:rPr>
                <w:rFonts w:ascii="David" w:hAnsi="David"/>
                <w:sz w:val="26"/>
                <w:szCs w:val="26"/>
              </w:rPr>
            </w:pPr>
            <w:r w:rsidRPr="00824D02">
              <w:rPr>
                <w:rFonts w:ascii="Arial" w:hAnsi="Arial"/>
                <w:b/>
                <w:bCs/>
                <w:sz w:val="26"/>
                <w:szCs w:val="26"/>
                <w:rtl/>
              </w:rPr>
              <w:t>מדינת ישראל</w:t>
            </w:r>
            <w:r w:rsidRPr="00824D02">
              <w:rPr>
                <w:rFonts w:ascii="Arial" w:hAnsi="Arial" w:hint="cs"/>
                <w:b/>
                <w:bCs/>
                <w:sz w:val="26"/>
                <w:szCs w:val="26"/>
                <w:rtl/>
              </w:rPr>
              <w:t xml:space="preserve"> </w:t>
            </w:r>
          </w:p>
        </w:tc>
      </w:tr>
      <w:bookmarkEnd w:id="1"/>
      <w:tr w:rsidR="00681EC5" w:rsidRPr="00824D02" w14:paraId="78ADC767" w14:textId="77777777" w:rsidTr="00681EC5">
        <w:trPr>
          <w:trHeight w:val="355"/>
          <w:jc w:val="center"/>
        </w:trPr>
        <w:tc>
          <w:tcPr>
            <w:tcW w:w="871" w:type="dxa"/>
            <w:tcBorders>
              <w:top w:val="nil"/>
              <w:left w:val="nil"/>
              <w:bottom w:val="nil"/>
              <w:right w:val="nil"/>
            </w:tcBorders>
            <w:shd w:val="clear" w:color="auto" w:fill="auto"/>
          </w:tcPr>
          <w:p w14:paraId="460A5A58" w14:textId="77777777" w:rsidR="00681EC5" w:rsidRPr="00824D02" w:rsidRDefault="00681EC5" w:rsidP="00681EC5">
            <w:pPr>
              <w:jc w:val="both"/>
              <w:rPr>
                <w:rFonts w:ascii="David" w:hAnsi="David"/>
                <w:sz w:val="26"/>
                <w:szCs w:val="26"/>
                <w:rtl/>
              </w:rPr>
            </w:pPr>
          </w:p>
        </w:tc>
        <w:tc>
          <w:tcPr>
            <w:tcW w:w="3128" w:type="dxa"/>
            <w:tcBorders>
              <w:top w:val="nil"/>
              <w:left w:val="nil"/>
              <w:bottom w:val="nil"/>
              <w:right w:val="nil"/>
            </w:tcBorders>
            <w:shd w:val="clear" w:color="auto" w:fill="auto"/>
          </w:tcPr>
          <w:p w14:paraId="1638C567" w14:textId="77777777" w:rsidR="00681EC5" w:rsidRPr="00824D02" w:rsidRDefault="00681EC5" w:rsidP="00681EC5">
            <w:pPr>
              <w:suppressLineNumbers/>
              <w:rPr>
                <w:rFonts w:ascii="Arial" w:hAnsi="Arial"/>
                <w:b/>
                <w:bCs/>
                <w:sz w:val="26"/>
                <w:szCs w:val="26"/>
                <w:rtl/>
              </w:rPr>
            </w:pPr>
          </w:p>
        </w:tc>
        <w:tc>
          <w:tcPr>
            <w:tcW w:w="4511" w:type="dxa"/>
            <w:tcBorders>
              <w:top w:val="nil"/>
              <w:left w:val="nil"/>
              <w:bottom w:val="nil"/>
              <w:right w:val="nil"/>
            </w:tcBorders>
            <w:shd w:val="clear" w:color="auto" w:fill="auto"/>
            <w:vAlign w:val="center"/>
          </w:tcPr>
          <w:p w14:paraId="1AF9B552" w14:textId="77777777" w:rsidR="00681EC5" w:rsidRPr="00824D02" w:rsidRDefault="00681EC5" w:rsidP="00681EC5">
            <w:pPr>
              <w:suppressLineNumbers/>
              <w:rPr>
                <w:rFonts w:ascii="Arial" w:hAnsi="Arial"/>
                <w:sz w:val="26"/>
                <w:szCs w:val="26"/>
                <w:rtl/>
              </w:rPr>
            </w:pPr>
          </w:p>
        </w:tc>
      </w:tr>
      <w:tr w:rsidR="00681EC5" w:rsidRPr="00824D02" w14:paraId="44E2EC8C" w14:textId="77777777" w:rsidTr="00681EC5">
        <w:trPr>
          <w:trHeight w:val="355"/>
          <w:jc w:val="center"/>
        </w:trPr>
        <w:tc>
          <w:tcPr>
            <w:tcW w:w="871" w:type="dxa"/>
            <w:tcBorders>
              <w:top w:val="nil"/>
              <w:left w:val="nil"/>
              <w:bottom w:val="nil"/>
              <w:right w:val="nil"/>
            </w:tcBorders>
            <w:shd w:val="clear" w:color="auto" w:fill="auto"/>
          </w:tcPr>
          <w:p w14:paraId="3DC7B899" w14:textId="77777777" w:rsidR="00681EC5" w:rsidRPr="00824D02" w:rsidRDefault="00681EC5" w:rsidP="00681EC5">
            <w:pPr>
              <w:jc w:val="both"/>
              <w:rPr>
                <w:rFonts w:ascii="David" w:hAnsi="David"/>
                <w:sz w:val="26"/>
                <w:szCs w:val="26"/>
                <w:rtl/>
              </w:rPr>
            </w:pPr>
          </w:p>
        </w:tc>
        <w:tc>
          <w:tcPr>
            <w:tcW w:w="7639" w:type="dxa"/>
            <w:gridSpan w:val="2"/>
            <w:tcBorders>
              <w:top w:val="nil"/>
              <w:left w:val="nil"/>
              <w:bottom w:val="nil"/>
              <w:right w:val="nil"/>
            </w:tcBorders>
            <w:shd w:val="clear" w:color="auto" w:fill="auto"/>
          </w:tcPr>
          <w:p w14:paraId="32019AED" w14:textId="77777777" w:rsidR="00681EC5" w:rsidRPr="00824D02" w:rsidRDefault="00681EC5" w:rsidP="00681EC5">
            <w:pPr>
              <w:jc w:val="center"/>
              <w:rPr>
                <w:rFonts w:ascii="David" w:hAnsi="David"/>
                <w:b/>
                <w:bCs/>
                <w:sz w:val="26"/>
                <w:szCs w:val="26"/>
                <w:rtl/>
              </w:rPr>
            </w:pPr>
          </w:p>
          <w:p w14:paraId="02A14BAB" w14:textId="77777777" w:rsidR="00681EC5" w:rsidRPr="00824D02" w:rsidRDefault="00681EC5" w:rsidP="00681EC5">
            <w:pPr>
              <w:jc w:val="center"/>
              <w:rPr>
                <w:rFonts w:ascii="David" w:hAnsi="David"/>
                <w:b/>
                <w:bCs/>
                <w:sz w:val="26"/>
                <w:szCs w:val="26"/>
                <w:rtl/>
              </w:rPr>
            </w:pPr>
            <w:r w:rsidRPr="00824D02">
              <w:rPr>
                <w:rFonts w:ascii="David" w:hAnsi="David"/>
                <w:b/>
                <w:bCs/>
                <w:sz w:val="26"/>
                <w:szCs w:val="26"/>
                <w:rtl/>
              </w:rPr>
              <w:t>נגד</w:t>
            </w:r>
          </w:p>
          <w:p w14:paraId="00E0A33C" w14:textId="77777777" w:rsidR="00681EC5" w:rsidRPr="00824D02" w:rsidRDefault="00681EC5" w:rsidP="00681EC5">
            <w:pPr>
              <w:jc w:val="both"/>
              <w:rPr>
                <w:rFonts w:ascii="David" w:hAnsi="David"/>
                <w:sz w:val="26"/>
                <w:szCs w:val="26"/>
              </w:rPr>
            </w:pPr>
          </w:p>
        </w:tc>
      </w:tr>
      <w:tr w:rsidR="00681EC5" w:rsidRPr="00824D02" w14:paraId="6E24F9FD" w14:textId="77777777" w:rsidTr="00681EC5">
        <w:trPr>
          <w:trHeight w:val="355"/>
          <w:jc w:val="center"/>
        </w:trPr>
        <w:tc>
          <w:tcPr>
            <w:tcW w:w="871" w:type="dxa"/>
            <w:tcBorders>
              <w:top w:val="nil"/>
              <w:left w:val="nil"/>
              <w:bottom w:val="nil"/>
              <w:right w:val="nil"/>
            </w:tcBorders>
            <w:shd w:val="clear" w:color="auto" w:fill="auto"/>
          </w:tcPr>
          <w:p w14:paraId="509986BA" w14:textId="77777777" w:rsidR="00681EC5" w:rsidRPr="00824D02" w:rsidRDefault="00681EC5" w:rsidP="001F710C">
            <w:pPr>
              <w:rPr>
                <w:rFonts w:ascii="David" w:hAnsi="David"/>
                <w:sz w:val="26"/>
                <w:szCs w:val="26"/>
                <w:rtl/>
              </w:rPr>
            </w:pPr>
          </w:p>
        </w:tc>
        <w:tc>
          <w:tcPr>
            <w:tcW w:w="3128" w:type="dxa"/>
            <w:tcBorders>
              <w:top w:val="nil"/>
              <w:left w:val="nil"/>
              <w:bottom w:val="nil"/>
              <w:right w:val="nil"/>
            </w:tcBorders>
            <w:shd w:val="clear" w:color="auto" w:fill="auto"/>
          </w:tcPr>
          <w:p w14:paraId="2CD26C6E" w14:textId="77777777" w:rsidR="00681EC5" w:rsidRPr="00824D02" w:rsidRDefault="00681EC5" w:rsidP="001F710C">
            <w:pPr>
              <w:rPr>
                <w:rFonts w:ascii="Arial" w:hAnsi="Arial"/>
                <w:b/>
                <w:bCs/>
                <w:sz w:val="26"/>
                <w:szCs w:val="26"/>
                <w:rtl/>
              </w:rPr>
            </w:pPr>
            <w:r w:rsidRPr="00824D02">
              <w:rPr>
                <w:rFonts w:ascii="Arial" w:hAnsi="Arial"/>
                <w:b/>
                <w:bCs/>
                <w:sz w:val="26"/>
                <w:szCs w:val="26"/>
                <w:rtl/>
              </w:rPr>
              <w:t>הנאשם</w:t>
            </w:r>
          </w:p>
        </w:tc>
        <w:tc>
          <w:tcPr>
            <w:tcW w:w="4511" w:type="dxa"/>
            <w:tcBorders>
              <w:top w:val="nil"/>
              <w:left w:val="nil"/>
              <w:bottom w:val="nil"/>
              <w:right w:val="nil"/>
            </w:tcBorders>
            <w:shd w:val="clear" w:color="auto" w:fill="auto"/>
            <w:vAlign w:val="center"/>
          </w:tcPr>
          <w:p w14:paraId="1F969027" w14:textId="77777777" w:rsidR="00681EC5" w:rsidRPr="00824D02" w:rsidRDefault="00681EC5" w:rsidP="00681EC5">
            <w:pPr>
              <w:suppressLineNumbers/>
              <w:rPr>
                <w:rFonts w:ascii="David" w:hAnsi="David"/>
                <w:sz w:val="26"/>
                <w:szCs w:val="26"/>
              </w:rPr>
            </w:pPr>
            <w:r w:rsidRPr="00824D02">
              <w:rPr>
                <w:rFonts w:ascii="Arial" w:hAnsi="Arial"/>
                <w:b/>
                <w:bCs/>
                <w:sz w:val="26"/>
                <w:szCs w:val="26"/>
                <w:rtl/>
              </w:rPr>
              <w:t>אחמד מחאג'נה (עציר)</w:t>
            </w:r>
          </w:p>
        </w:tc>
      </w:tr>
    </w:tbl>
    <w:p w14:paraId="1B97463D" w14:textId="77777777" w:rsidR="00824D02" w:rsidRDefault="00824D02" w:rsidP="00780420">
      <w:pPr>
        <w:rPr>
          <w:rFonts w:ascii="Arial" w:hAnsi="Arial"/>
          <w:sz w:val="26"/>
          <w:szCs w:val="26"/>
          <w:rtl/>
        </w:rPr>
      </w:pPr>
    </w:p>
    <w:p w14:paraId="156E5839" w14:textId="77777777" w:rsidR="00824D02" w:rsidRPr="00824D02" w:rsidRDefault="00824D02" w:rsidP="00824D02">
      <w:pPr>
        <w:spacing w:after="120" w:line="240" w:lineRule="exact"/>
        <w:ind w:left="283" w:hanging="283"/>
        <w:jc w:val="both"/>
        <w:rPr>
          <w:rFonts w:ascii="FrankRuehl" w:hAnsi="FrankRuehl" w:cs="FrankRuehl"/>
          <w:rtl/>
        </w:rPr>
      </w:pPr>
    </w:p>
    <w:p w14:paraId="453B2FD0" w14:textId="77777777" w:rsidR="00810E34" w:rsidRPr="00810E34" w:rsidRDefault="00810E34" w:rsidP="00810E34">
      <w:pPr>
        <w:spacing w:before="120" w:after="120" w:line="240" w:lineRule="exact"/>
        <w:ind w:left="283" w:hanging="283"/>
        <w:jc w:val="both"/>
        <w:rPr>
          <w:rFonts w:ascii="FrankRuehl" w:hAnsi="FrankRuehl" w:cs="FrankRuehl"/>
          <w:rtl/>
        </w:rPr>
      </w:pPr>
    </w:p>
    <w:p w14:paraId="0AA625BE" w14:textId="77777777" w:rsidR="00984EB2" w:rsidRDefault="00984EB2" w:rsidP="00984EB2">
      <w:pPr>
        <w:rPr>
          <w:rFonts w:ascii="Arial" w:hAnsi="Arial"/>
          <w:sz w:val="26"/>
          <w:szCs w:val="26"/>
          <w:rtl/>
        </w:rPr>
      </w:pPr>
      <w:bookmarkStart w:id="2" w:name="LawTable"/>
      <w:bookmarkEnd w:id="2"/>
    </w:p>
    <w:p w14:paraId="2302A212" w14:textId="77777777" w:rsidR="00984EB2" w:rsidRPr="00984EB2" w:rsidRDefault="00984EB2" w:rsidP="00984EB2">
      <w:pPr>
        <w:spacing w:before="120" w:after="120" w:line="240" w:lineRule="exact"/>
        <w:ind w:left="283" w:hanging="283"/>
        <w:jc w:val="both"/>
        <w:rPr>
          <w:rFonts w:ascii="FrankRuehl" w:hAnsi="FrankRuehl" w:cs="FrankRuehl"/>
          <w:rtl/>
        </w:rPr>
      </w:pPr>
    </w:p>
    <w:p w14:paraId="37106149" w14:textId="77777777" w:rsidR="00984EB2" w:rsidRPr="00984EB2" w:rsidRDefault="00984EB2" w:rsidP="00984EB2">
      <w:pPr>
        <w:spacing w:before="120" w:after="120" w:line="240" w:lineRule="exact"/>
        <w:ind w:left="283" w:hanging="283"/>
        <w:jc w:val="both"/>
        <w:rPr>
          <w:rFonts w:ascii="FrankRuehl" w:hAnsi="FrankRuehl" w:cs="FrankRuehl"/>
          <w:rtl/>
        </w:rPr>
      </w:pPr>
    </w:p>
    <w:p w14:paraId="0A70F1B5" w14:textId="77777777" w:rsidR="00984EB2" w:rsidRPr="00984EB2" w:rsidRDefault="00984EB2" w:rsidP="00984EB2">
      <w:pPr>
        <w:spacing w:before="120" w:after="120" w:line="240" w:lineRule="exact"/>
        <w:ind w:left="283" w:hanging="283"/>
        <w:jc w:val="both"/>
        <w:rPr>
          <w:rFonts w:ascii="FrankRuehl" w:hAnsi="FrankRuehl" w:cs="FrankRuehl"/>
          <w:rtl/>
        </w:rPr>
      </w:pPr>
      <w:r w:rsidRPr="00984EB2">
        <w:rPr>
          <w:rFonts w:ascii="FrankRuehl" w:hAnsi="FrankRuehl" w:cs="FrankRuehl"/>
          <w:rtl/>
        </w:rPr>
        <w:t xml:space="preserve">חקיקה שאוזכרה: </w:t>
      </w:r>
    </w:p>
    <w:p w14:paraId="29F56B78" w14:textId="77777777" w:rsidR="00984EB2" w:rsidRPr="00984EB2" w:rsidRDefault="00984EB2" w:rsidP="00984EB2">
      <w:pPr>
        <w:spacing w:before="120" w:after="120" w:line="240" w:lineRule="exact"/>
        <w:ind w:left="283" w:hanging="283"/>
        <w:jc w:val="both"/>
        <w:rPr>
          <w:rFonts w:ascii="FrankRuehl" w:hAnsi="FrankRuehl" w:cs="FrankRuehl"/>
          <w:rtl/>
        </w:rPr>
      </w:pPr>
      <w:hyperlink r:id="rId7" w:history="1">
        <w:r w:rsidRPr="00984EB2">
          <w:rPr>
            <w:rFonts w:ascii="FrankRuehl" w:hAnsi="FrankRuehl" w:cs="FrankRuehl"/>
            <w:color w:val="0000FF"/>
            <w:rtl/>
          </w:rPr>
          <w:t>חוק העונשין, תשל"ז-1977</w:t>
        </w:r>
      </w:hyperlink>
      <w:r w:rsidRPr="00984EB2">
        <w:rPr>
          <w:rFonts w:ascii="FrankRuehl" w:hAnsi="FrankRuehl" w:cs="FrankRuehl"/>
          <w:rtl/>
        </w:rPr>
        <w:t xml:space="preserve">: סע'  </w:t>
      </w:r>
      <w:hyperlink r:id="rId8" w:history="1">
        <w:r w:rsidRPr="00984EB2">
          <w:rPr>
            <w:rFonts w:ascii="FrankRuehl" w:hAnsi="FrankRuehl" w:cs="FrankRuehl"/>
            <w:color w:val="0000FF"/>
            <w:rtl/>
          </w:rPr>
          <w:t>40ג'</w:t>
        </w:r>
      </w:hyperlink>
      <w:r w:rsidRPr="00984EB2">
        <w:rPr>
          <w:rFonts w:ascii="FrankRuehl" w:hAnsi="FrankRuehl" w:cs="FrankRuehl"/>
          <w:rtl/>
        </w:rPr>
        <w:t xml:space="preserve">, </w:t>
      </w:r>
      <w:hyperlink r:id="rId9" w:history="1">
        <w:r w:rsidRPr="00984EB2">
          <w:rPr>
            <w:rFonts w:ascii="FrankRuehl" w:hAnsi="FrankRuehl" w:cs="FrankRuehl"/>
            <w:color w:val="0000FF"/>
            <w:rtl/>
          </w:rPr>
          <w:t>40ט'</w:t>
        </w:r>
      </w:hyperlink>
      <w:r w:rsidRPr="00984EB2">
        <w:rPr>
          <w:rFonts w:ascii="FrankRuehl" w:hAnsi="FrankRuehl" w:cs="FrankRuehl"/>
          <w:rtl/>
        </w:rPr>
        <w:t xml:space="preserve">, </w:t>
      </w:r>
      <w:hyperlink r:id="rId10" w:history="1">
        <w:r w:rsidRPr="00984EB2">
          <w:rPr>
            <w:rFonts w:ascii="FrankRuehl" w:hAnsi="FrankRuehl" w:cs="FrankRuehl"/>
            <w:color w:val="0000FF"/>
            <w:rtl/>
          </w:rPr>
          <w:t>144(א)</w:t>
        </w:r>
      </w:hyperlink>
      <w:r w:rsidRPr="00984EB2">
        <w:rPr>
          <w:rFonts w:ascii="FrankRuehl" w:hAnsi="FrankRuehl" w:cs="FrankRuehl"/>
          <w:rtl/>
        </w:rPr>
        <w:t xml:space="preserve">, </w:t>
      </w:r>
      <w:hyperlink r:id="rId11" w:history="1">
        <w:r w:rsidRPr="00984EB2">
          <w:rPr>
            <w:rFonts w:ascii="FrankRuehl" w:hAnsi="FrankRuehl" w:cs="FrankRuehl"/>
            <w:color w:val="0000FF"/>
            <w:rtl/>
          </w:rPr>
          <w:t>144(ז)</w:t>
        </w:r>
      </w:hyperlink>
      <w:r w:rsidRPr="00984EB2">
        <w:rPr>
          <w:rFonts w:ascii="FrankRuehl" w:hAnsi="FrankRuehl" w:cs="FrankRuehl"/>
          <w:rtl/>
        </w:rPr>
        <w:t xml:space="preserve">, </w:t>
      </w:r>
      <w:hyperlink r:id="rId12" w:history="1">
        <w:r w:rsidRPr="00984EB2">
          <w:rPr>
            <w:rFonts w:ascii="FrankRuehl" w:hAnsi="FrankRuehl" w:cs="FrankRuehl"/>
            <w:color w:val="0000FF"/>
            <w:rtl/>
          </w:rPr>
          <w:t>40 יא'</w:t>
        </w:r>
      </w:hyperlink>
    </w:p>
    <w:p w14:paraId="4728B5B5" w14:textId="77777777" w:rsidR="00984EB2" w:rsidRPr="00984EB2" w:rsidRDefault="00984EB2" w:rsidP="00984EB2">
      <w:pPr>
        <w:rPr>
          <w:rFonts w:ascii="Arial" w:hAnsi="Arial"/>
          <w:sz w:val="26"/>
          <w:szCs w:val="26"/>
          <w:rtl/>
        </w:rPr>
      </w:pPr>
      <w:bookmarkStart w:id="3" w:name="LawTable_End"/>
      <w:bookmarkEnd w:id="3"/>
    </w:p>
    <w:p w14:paraId="7FCFB5CB" w14:textId="77777777" w:rsidR="00681EC5" w:rsidRPr="00810E34" w:rsidRDefault="00681EC5" w:rsidP="00810E34">
      <w:pPr>
        <w:rPr>
          <w:rFonts w:ascii="Arial" w:hAnsi="Arial"/>
          <w:sz w:val="26"/>
          <w:szCs w:val="26"/>
          <w:rtl/>
        </w:rPr>
      </w:pPr>
    </w:p>
    <w:tbl>
      <w:tblPr>
        <w:bidiVisual/>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0"/>
      </w:tblGrid>
      <w:tr w:rsidR="00681EC5" w:rsidRPr="00824D02" w14:paraId="373C5356" w14:textId="77777777" w:rsidTr="00681EC5">
        <w:trPr>
          <w:trHeight w:val="355"/>
          <w:jc w:val="center"/>
        </w:trPr>
        <w:tc>
          <w:tcPr>
            <w:tcW w:w="8510" w:type="dxa"/>
            <w:tcBorders>
              <w:top w:val="nil"/>
              <w:left w:val="nil"/>
              <w:bottom w:val="nil"/>
              <w:right w:val="nil"/>
            </w:tcBorders>
            <w:shd w:val="clear" w:color="auto" w:fill="auto"/>
          </w:tcPr>
          <w:p w14:paraId="5E7E332A" w14:textId="77777777" w:rsidR="00780420" w:rsidRPr="00824D02" w:rsidRDefault="00780420" w:rsidP="00780420">
            <w:pPr>
              <w:jc w:val="center"/>
              <w:rPr>
                <w:rFonts w:ascii="David" w:hAnsi="David"/>
                <w:b/>
                <w:bCs/>
                <w:sz w:val="32"/>
                <w:szCs w:val="32"/>
                <w:u w:val="single"/>
                <w:rtl/>
              </w:rPr>
            </w:pPr>
            <w:bookmarkStart w:id="4" w:name="PsakDin" w:colFirst="0" w:colLast="0"/>
            <w:bookmarkEnd w:id="0"/>
            <w:r w:rsidRPr="00824D02">
              <w:rPr>
                <w:rFonts w:ascii="David" w:hAnsi="David"/>
                <w:b/>
                <w:bCs/>
                <w:sz w:val="32"/>
                <w:szCs w:val="32"/>
                <w:u w:val="single"/>
                <w:rtl/>
              </w:rPr>
              <w:t>גזר דין</w:t>
            </w:r>
          </w:p>
          <w:p w14:paraId="2A7DCD5E" w14:textId="77777777" w:rsidR="00681EC5" w:rsidRPr="00824D02" w:rsidRDefault="00681EC5" w:rsidP="00780420">
            <w:pPr>
              <w:jc w:val="center"/>
              <w:rPr>
                <w:rFonts w:ascii="David" w:hAnsi="David"/>
                <w:bCs/>
                <w:sz w:val="32"/>
                <w:szCs w:val="32"/>
                <w:u w:val="single"/>
                <w:rtl/>
              </w:rPr>
            </w:pPr>
          </w:p>
        </w:tc>
      </w:tr>
      <w:bookmarkEnd w:id="4"/>
    </w:tbl>
    <w:p w14:paraId="2055C8F6" w14:textId="77777777" w:rsidR="00681EC5" w:rsidRPr="00824D02" w:rsidRDefault="00681EC5" w:rsidP="00681EC5">
      <w:pPr>
        <w:rPr>
          <w:rFonts w:ascii="Arial" w:hAnsi="Arial"/>
          <w:b/>
          <w:bCs/>
          <w:sz w:val="26"/>
          <w:szCs w:val="26"/>
          <w:rtl/>
        </w:rPr>
      </w:pPr>
    </w:p>
    <w:p w14:paraId="160B3A1F" w14:textId="77777777" w:rsidR="00681EC5" w:rsidRPr="00824D02" w:rsidRDefault="00681EC5" w:rsidP="00681EC5">
      <w:pPr>
        <w:rPr>
          <w:rFonts w:ascii="Arial" w:hAnsi="Arial"/>
          <w:b/>
          <w:bCs/>
          <w:sz w:val="26"/>
          <w:szCs w:val="26"/>
          <w:rtl/>
        </w:rPr>
      </w:pPr>
    </w:p>
    <w:p w14:paraId="47C165F1" w14:textId="77777777" w:rsidR="00681EC5" w:rsidRPr="00824D02" w:rsidRDefault="00681EC5" w:rsidP="00681EC5">
      <w:pPr>
        <w:rPr>
          <w:rFonts w:ascii="Arial" w:hAnsi="Arial"/>
          <w:b/>
          <w:bCs/>
          <w:sz w:val="26"/>
          <w:szCs w:val="26"/>
          <w:rtl/>
        </w:rPr>
      </w:pPr>
    </w:p>
    <w:p w14:paraId="6170AE9B" w14:textId="77777777" w:rsidR="00681EC5" w:rsidRPr="00824D02" w:rsidRDefault="00681EC5" w:rsidP="00681EC5">
      <w:pPr>
        <w:rPr>
          <w:rFonts w:ascii="Arial" w:hAnsi="Arial"/>
          <w:b/>
          <w:bCs/>
        </w:rPr>
      </w:pPr>
      <w:r w:rsidRPr="00824D02">
        <w:rPr>
          <w:rFonts w:ascii="Arial" w:hAnsi="Arial"/>
          <w:b/>
          <w:bCs/>
          <w:rtl/>
        </w:rPr>
        <w:t>כתב האישום ומהלך הדיון</w:t>
      </w:r>
    </w:p>
    <w:p w14:paraId="3AE76B44" w14:textId="77777777" w:rsidR="00681EC5" w:rsidRPr="00824D02" w:rsidRDefault="00681EC5" w:rsidP="00681EC5">
      <w:pPr>
        <w:rPr>
          <w:rFonts w:ascii="Arial" w:hAnsi="Arial"/>
          <w:b/>
          <w:bCs/>
          <w:rtl/>
        </w:rPr>
      </w:pPr>
    </w:p>
    <w:p w14:paraId="5B0AEC50" w14:textId="77777777" w:rsidR="00681EC5" w:rsidRPr="00824D02" w:rsidRDefault="00681EC5" w:rsidP="00681EC5">
      <w:pPr>
        <w:rPr>
          <w:rFonts w:ascii="Arial" w:hAnsi="Arial"/>
          <w:b/>
          <w:bCs/>
          <w:rtl/>
        </w:rPr>
      </w:pPr>
    </w:p>
    <w:p w14:paraId="4D18A662" w14:textId="77777777" w:rsidR="00681EC5" w:rsidRPr="00824D02" w:rsidRDefault="00681EC5" w:rsidP="00681EC5">
      <w:pPr>
        <w:pStyle w:val="a9"/>
        <w:numPr>
          <w:ilvl w:val="0"/>
          <w:numId w:val="1"/>
        </w:numPr>
        <w:spacing w:line="360" w:lineRule="auto"/>
        <w:jc w:val="both"/>
        <w:rPr>
          <w:rFonts w:ascii="Arial" w:hAnsi="Arial"/>
        </w:rPr>
      </w:pPr>
      <w:bookmarkStart w:id="5" w:name="ABSTRACT_START"/>
      <w:bookmarkEnd w:id="5"/>
      <w:r w:rsidRPr="00824D02">
        <w:rPr>
          <w:rFonts w:ascii="Arial" w:hAnsi="Arial"/>
          <w:rtl/>
        </w:rPr>
        <w:t>הנאשם</w:t>
      </w:r>
      <w:r w:rsidRPr="00824D02">
        <w:rPr>
          <w:rFonts w:ascii="Arial" w:hAnsi="Arial" w:hint="cs"/>
          <w:rtl/>
        </w:rPr>
        <w:t xml:space="preserve"> </w:t>
      </w:r>
      <w:r w:rsidRPr="00824D02">
        <w:rPr>
          <w:rFonts w:ascii="Arial" w:hAnsi="Arial"/>
          <w:rtl/>
        </w:rPr>
        <w:t>הורשע על פי הודאתו בכתב אישום מתוקן</w:t>
      </w:r>
      <w:r w:rsidRPr="00824D02">
        <w:rPr>
          <w:rFonts w:ascii="Arial" w:hAnsi="Arial" w:hint="cs"/>
          <w:rtl/>
        </w:rPr>
        <w:t xml:space="preserve"> </w:t>
      </w:r>
      <w:r w:rsidRPr="00824D02">
        <w:rPr>
          <w:rFonts w:ascii="Arial" w:hAnsi="Arial"/>
          <w:rtl/>
        </w:rPr>
        <w:t>בעביר</w:t>
      </w:r>
      <w:r w:rsidRPr="00824D02">
        <w:rPr>
          <w:rFonts w:ascii="Arial" w:hAnsi="Arial" w:hint="cs"/>
          <w:rtl/>
        </w:rPr>
        <w:t xml:space="preserve">ה של החזקת נשק </w:t>
      </w:r>
      <w:r w:rsidRPr="00824D02">
        <w:rPr>
          <w:rFonts w:ascii="Arial" w:hAnsi="Arial"/>
          <w:rtl/>
        </w:rPr>
        <w:t xml:space="preserve">לפי </w:t>
      </w:r>
      <w:hyperlink r:id="rId13" w:history="1">
        <w:r w:rsidR="00824D02" w:rsidRPr="00824D02">
          <w:rPr>
            <w:rStyle w:val="Hyperlink"/>
            <w:rFonts w:ascii="Arial" w:hAnsi="Arial"/>
            <w:rtl/>
          </w:rPr>
          <w:t>סעיף 144(א)</w:t>
        </w:r>
      </w:hyperlink>
      <w:r w:rsidRPr="00824D02">
        <w:rPr>
          <w:rFonts w:ascii="Arial" w:hAnsi="Arial" w:hint="cs"/>
          <w:rtl/>
        </w:rPr>
        <w:t xml:space="preserve"> רישא וסיפא </w:t>
      </w:r>
      <w:r w:rsidRPr="00824D02">
        <w:rPr>
          <w:rFonts w:ascii="Arial" w:hAnsi="Arial"/>
          <w:rtl/>
        </w:rPr>
        <w:t>ל</w:t>
      </w:r>
      <w:hyperlink r:id="rId14" w:history="1">
        <w:r w:rsidR="00780420" w:rsidRPr="00824D02">
          <w:rPr>
            <w:rFonts w:ascii="Arial" w:hAnsi="Arial"/>
            <w:color w:val="0000FF"/>
            <w:u w:val="single"/>
            <w:rtl/>
          </w:rPr>
          <w:t>חוק העונשין</w:t>
        </w:r>
      </w:hyperlink>
      <w:r w:rsidRPr="00824D02">
        <w:rPr>
          <w:rFonts w:ascii="Arial" w:hAnsi="Arial"/>
          <w:rtl/>
        </w:rPr>
        <w:t xml:space="preserve">, התשל"ז-1977 (להלן: </w:t>
      </w:r>
      <w:r w:rsidRPr="00824D02">
        <w:rPr>
          <w:rFonts w:ascii="Arial" w:hAnsi="Arial"/>
          <w:b/>
          <w:bCs/>
          <w:rtl/>
        </w:rPr>
        <w:t>חוק העונשין</w:t>
      </w:r>
      <w:r w:rsidRPr="00824D02">
        <w:rPr>
          <w:rFonts w:ascii="Arial" w:hAnsi="Arial"/>
          <w:rtl/>
        </w:rPr>
        <w:t>)</w:t>
      </w:r>
      <w:r w:rsidRPr="00824D02">
        <w:rPr>
          <w:rFonts w:ascii="Arial" w:hAnsi="Arial" w:hint="cs"/>
          <w:rtl/>
        </w:rPr>
        <w:t xml:space="preserve">; יצוין כי כתב האישום המקורי כלל  גם  עבירה חמורה יותר של נשיאה והובלת נשק, אך בשל קשיים ראייתיים הושמטו עבירות אלה מכתב האישום  </w:t>
      </w:r>
      <w:r w:rsidRPr="00824D02">
        <w:rPr>
          <w:rFonts w:ascii="Arial" w:hAnsi="Arial"/>
          <w:rtl/>
        </w:rPr>
        <w:t>–</w:t>
      </w:r>
      <w:r w:rsidRPr="00824D02">
        <w:rPr>
          <w:rFonts w:ascii="Arial" w:hAnsi="Arial" w:hint="cs"/>
          <w:rtl/>
        </w:rPr>
        <w:t xml:space="preserve"> ועל כך בהמשך.</w:t>
      </w:r>
    </w:p>
    <w:p w14:paraId="45B3D7F7" w14:textId="77777777" w:rsidR="00681EC5" w:rsidRPr="00824D02" w:rsidRDefault="00681EC5" w:rsidP="00681EC5">
      <w:pPr>
        <w:pStyle w:val="a9"/>
        <w:spacing w:line="360" w:lineRule="auto"/>
        <w:ind w:left="0"/>
        <w:jc w:val="both"/>
        <w:rPr>
          <w:rFonts w:ascii="Arial" w:hAnsi="Arial"/>
        </w:rPr>
      </w:pPr>
    </w:p>
    <w:p w14:paraId="1F70FAD2" w14:textId="77777777" w:rsidR="00681EC5" w:rsidRPr="00824D02" w:rsidRDefault="00681EC5" w:rsidP="00681EC5">
      <w:pPr>
        <w:pStyle w:val="a9"/>
        <w:numPr>
          <w:ilvl w:val="0"/>
          <w:numId w:val="1"/>
        </w:numPr>
        <w:spacing w:line="360" w:lineRule="auto"/>
        <w:jc w:val="both"/>
        <w:rPr>
          <w:rFonts w:ascii="Arial" w:hAnsi="Arial"/>
        </w:rPr>
      </w:pPr>
      <w:bookmarkStart w:id="6" w:name="ABSTRACT_END"/>
      <w:bookmarkEnd w:id="6"/>
      <w:r w:rsidRPr="00824D02">
        <w:rPr>
          <w:rFonts w:ascii="Arial" w:hAnsi="Arial" w:hint="cs"/>
          <w:rtl/>
        </w:rPr>
        <w:t xml:space="preserve">בפתח כתב האישום המתוקן צוין כי במועד הרלוונטי לאישום עשה הנאשם שימוש ברכב מסוג יונדאי בצבע לבן (להלן: </w:t>
      </w:r>
      <w:r w:rsidRPr="00824D02">
        <w:rPr>
          <w:rFonts w:ascii="Arial" w:hAnsi="Arial" w:hint="cs"/>
          <w:b/>
          <w:bCs/>
          <w:rtl/>
        </w:rPr>
        <w:t>הרכב</w:t>
      </w:r>
      <w:r w:rsidRPr="00824D02">
        <w:rPr>
          <w:rFonts w:ascii="Arial" w:hAnsi="Arial" w:hint="cs"/>
          <w:rtl/>
        </w:rPr>
        <w:t>), כאשר הרכב היה בשימושו ובשליטתו והוא נהג בו מנהג בעלים. על פי עובדות כתב האישום, ביום 21.10.2022 סמוך לשעה 01:20, סמוך למתחם "</w:t>
      </w:r>
      <w:r w:rsidRPr="00824D02">
        <w:rPr>
          <w:rFonts w:ascii="Arial" w:hAnsi="Arial"/>
        </w:rPr>
        <w:t>seven</w:t>
      </w:r>
      <w:r w:rsidRPr="00824D02">
        <w:rPr>
          <w:rFonts w:ascii="Arial" w:hAnsi="Arial" w:hint="cs"/>
          <w:rtl/>
        </w:rPr>
        <w:t xml:space="preserve">" באום אל פאחם, נהג הנאשם ברכב, בעוד אשתו יושבת במושב שלצד הנהג, כאשר הוא מחזיק ברכב, </w:t>
      </w:r>
      <w:r w:rsidRPr="00824D02">
        <w:rPr>
          <w:rFonts w:ascii="Arial" w:hAnsi="Arial" w:hint="cs"/>
          <w:rtl/>
        </w:rPr>
        <w:lastRenderedPageBreak/>
        <w:t xml:space="preserve">ללא רשות על פי דין, אקדח חצי אוטומטי מסוג </w:t>
      </w:r>
      <w:r w:rsidRPr="00824D02">
        <w:rPr>
          <w:rFonts w:ascii="Arial" w:hAnsi="Arial" w:hint="cs"/>
        </w:rPr>
        <w:t>FN</w:t>
      </w:r>
      <w:r w:rsidRPr="00824D02">
        <w:rPr>
          <w:rFonts w:ascii="Arial" w:hAnsi="Arial" w:hint="cs"/>
          <w:rtl/>
        </w:rPr>
        <w:t xml:space="preserve"> מודל </w:t>
      </w:r>
      <w:r w:rsidRPr="00824D02">
        <w:rPr>
          <w:rFonts w:ascii="Arial" w:hAnsi="Arial" w:hint="cs"/>
        </w:rPr>
        <w:t>HP-35</w:t>
      </w:r>
      <w:r w:rsidRPr="00824D02">
        <w:rPr>
          <w:rFonts w:ascii="Arial" w:hAnsi="Arial" w:hint="cs"/>
          <w:rtl/>
        </w:rPr>
        <w:t xml:space="preserve">, 9 מ"מ פאראבלום (להלן: </w:t>
      </w:r>
      <w:r w:rsidRPr="00824D02">
        <w:rPr>
          <w:rFonts w:ascii="Arial" w:hAnsi="Arial" w:hint="cs"/>
          <w:b/>
          <w:bCs/>
          <w:rtl/>
        </w:rPr>
        <w:t>האקדח</w:t>
      </w:r>
      <w:r w:rsidRPr="00824D02">
        <w:rPr>
          <w:rFonts w:ascii="Arial" w:hAnsi="Arial" w:hint="cs"/>
          <w:rtl/>
        </w:rPr>
        <w:t>). עוד צוין כי בתוך האקדח הייתה מחסנית תואמת שהכילה 10 כדורים.</w:t>
      </w:r>
    </w:p>
    <w:p w14:paraId="4C5306D5" w14:textId="77777777" w:rsidR="00681EC5" w:rsidRPr="00824D02" w:rsidRDefault="00681EC5" w:rsidP="00681EC5">
      <w:pPr>
        <w:pStyle w:val="a9"/>
        <w:rPr>
          <w:rFonts w:ascii="Arial" w:hAnsi="Arial"/>
          <w:rtl/>
        </w:rPr>
      </w:pPr>
    </w:p>
    <w:p w14:paraId="2839EA3A"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hint="cs"/>
          <w:rtl/>
        </w:rPr>
        <w:t xml:space="preserve">יוער כי כתב האישום כלל בקשה לחילוט הרכב, אך המאשימה לא עמדה עוד על בקשת החילוט. </w:t>
      </w:r>
    </w:p>
    <w:p w14:paraId="50DB8C89" w14:textId="77777777" w:rsidR="00681EC5" w:rsidRPr="00824D02" w:rsidRDefault="00681EC5" w:rsidP="00681EC5">
      <w:pPr>
        <w:pStyle w:val="a9"/>
        <w:spacing w:line="360" w:lineRule="auto"/>
        <w:ind w:left="0"/>
        <w:jc w:val="both"/>
        <w:rPr>
          <w:rFonts w:ascii="Arial" w:hAnsi="Arial"/>
        </w:rPr>
      </w:pPr>
    </w:p>
    <w:p w14:paraId="11AB38F7"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rtl/>
        </w:rPr>
        <w:t xml:space="preserve">בדיון שהתקיים ביום </w:t>
      </w:r>
      <w:r w:rsidRPr="00824D02">
        <w:rPr>
          <w:rFonts w:ascii="Arial" w:hAnsi="Arial" w:hint="cs"/>
          <w:rtl/>
        </w:rPr>
        <w:t>26.12.2022</w:t>
      </w:r>
      <w:r w:rsidRPr="00824D02">
        <w:rPr>
          <w:rFonts w:ascii="Arial" w:hAnsi="Arial"/>
          <w:rtl/>
        </w:rPr>
        <w:t xml:space="preserve"> כפר הנאשם בעובדות כתב האישום</w:t>
      </w:r>
      <w:r w:rsidRPr="00824D02">
        <w:rPr>
          <w:rFonts w:ascii="Arial" w:hAnsi="Arial" w:hint="cs"/>
          <w:rtl/>
        </w:rPr>
        <w:t xml:space="preserve"> ונקבעו מספר ישיבות לשמיעת ראיות. בישיבה הראשונה שנועדה ל</w:t>
      </w:r>
      <w:r w:rsidRPr="00824D02">
        <w:rPr>
          <w:rFonts w:ascii="Arial" w:hAnsi="Arial"/>
          <w:rtl/>
        </w:rPr>
        <w:t xml:space="preserve">יום </w:t>
      </w:r>
      <w:r w:rsidRPr="00824D02">
        <w:rPr>
          <w:rFonts w:ascii="Arial" w:hAnsi="Arial" w:hint="cs"/>
          <w:rtl/>
        </w:rPr>
        <w:t>8.2.2023</w:t>
      </w:r>
      <w:r w:rsidRPr="00824D02">
        <w:rPr>
          <w:rFonts w:ascii="Arial" w:hAnsi="Arial"/>
          <w:rtl/>
        </w:rPr>
        <w:t xml:space="preserve"> </w:t>
      </w:r>
      <w:r w:rsidRPr="00824D02">
        <w:rPr>
          <w:rFonts w:ascii="Arial" w:hAnsi="Arial" w:hint="cs"/>
          <w:rtl/>
        </w:rPr>
        <w:t xml:space="preserve">לא התייצב אף עד מאלה שהוזמנו לאותה ישיבה. באותה ישיבה ועוד לפני שנשמעו עדים, </w:t>
      </w:r>
      <w:r w:rsidRPr="00824D02">
        <w:rPr>
          <w:rFonts w:ascii="Arial" w:hAnsi="Arial"/>
          <w:rtl/>
        </w:rPr>
        <w:t>הודיעו הצדדים כי הגיעו להסדר טיעון לפיו הנאשם הודה בכתב אישום מתוקן, מבלי שתהיינה הסכמות לעניין העונש.</w:t>
      </w:r>
      <w:r w:rsidRPr="00824D02">
        <w:rPr>
          <w:rFonts w:ascii="Arial" w:hAnsi="Arial" w:hint="cs"/>
          <w:rtl/>
        </w:rPr>
        <w:t xml:space="preserve"> במהלך הצגת ההסדר, ציין ב"כ המאשימה כי הסדר הטיעון הוא תולדה של קשיים ראייתיים. לאחר שהנאשם הודה בכתב האישום המתוקן הורשע וישיבת הטיעונים לעונש התקיימה ביום 9.3.2023. </w:t>
      </w:r>
    </w:p>
    <w:p w14:paraId="70B5235C" w14:textId="77777777" w:rsidR="00681EC5" w:rsidRPr="00824D02" w:rsidRDefault="00681EC5" w:rsidP="00681EC5">
      <w:pPr>
        <w:pStyle w:val="a9"/>
        <w:rPr>
          <w:rFonts w:ascii="Arial" w:hAnsi="Arial"/>
          <w:rtl/>
        </w:rPr>
      </w:pPr>
    </w:p>
    <w:p w14:paraId="701A7322" w14:textId="77777777" w:rsidR="00681EC5" w:rsidRPr="00824D02" w:rsidRDefault="00681EC5" w:rsidP="00681EC5">
      <w:pPr>
        <w:rPr>
          <w:rFonts w:ascii="Arial" w:hAnsi="Arial"/>
          <w:b/>
          <w:bCs/>
        </w:rPr>
      </w:pPr>
      <w:r w:rsidRPr="00824D02">
        <w:rPr>
          <w:rFonts w:ascii="Arial" w:hAnsi="Arial"/>
          <w:b/>
          <w:bCs/>
          <w:rtl/>
        </w:rPr>
        <w:t>טיעוני הצדדים לעונש</w:t>
      </w:r>
    </w:p>
    <w:p w14:paraId="41BFE327" w14:textId="77777777" w:rsidR="00681EC5" w:rsidRPr="00824D02" w:rsidRDefault="00681EC5" w:rsidP="00681EC5">
      <w:pPr>
        <w:rPr>
          <w:rFonts w:ascii="Arial" w:hAnsi="Arial"/>
          <w:b/>
          <w:bCs/>
          <w:sz w:val="26"/>
          <w:szCs w:val="26"/>
          <w:rtl/>
        </w:rPr>
      </w:pPr>
    </w:p>
    <w:p w14:paraId="797A161F"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hint="cs"/>
          <w:rtl/>
        </w:rPr>
        <w:t>המאשימה הגישה טיעון בכתב לעונש והוסיפה וטענה בע"פ. המאשימה התייחסה בטיעוניה לערכים המוגנים בעבירות הנשק; הפנתה לחומרה של עבירות הנשק; ולהחמרה שחלה בענישה בגין עבירות אלה נוכח נפיצותן והסיכון הטמון בהן לשלום הציבור. כמו כן, הפנתה המאשימה לתיקון ל</w:t>
      </w:r>
      <w:hyperlink r:id="rId15" w:history="1">
        <w:r w:rsidR="00780420" w:rsidRPr="00824D02">
          <w:rPr>
            <w:rFonts w:ascii="Arial" w:hAnsi="Arial"/>
            <w:color w:val="0000FF"/>
            <w:u w:val="single"/>
            <w:rtl/>
          </w:rPr>
          <w:t>חוק העונשין</w:t>
        </w:r>
      </w:hyperlink>
      <w:r w:rsidRPr="00824D02">
        <w:rPr>
          <w:rFonts w:ascii="Arial" w:hAnsi="Arial" w:hint="cs"/>
          <w:rtl/>
        </w:rPr>
        <w:t xml:space="preserve"> שבו עוגנה חובת הטלת עונשים מזעריים על מבצעי עבירות נשק, ולהנחיות פרקליט המדינה.</w:t>
      </w:r>
    </w:p>
    <w:p w14:paraId="5BAFA3FD" w14:textId="77777777" w:rsidR="00681EC5" w:rsidRPr="00824D02" w:rsidRDefault="00681EC5" w:rsidP="00681EC5">
      <w:pPr>
        <w:pStyle w:val="a9"/>
        <w:spacing w:line="360" w:lineRule="auto"/>
        <w:ind w:left="0"/>
        <w:jc w:val="both"/>
        <w:rPr>
          <w:rFonts w:ascii="Arial" w:hAnsi="Arial"/>
        </w:rPr>
      </w:pPr>
    </w:p>
    <w:p w14:paraId="7C32FD25" w14:textId="77777777" w:rsidR="00681EC5" w:rsidRPr="00824D02" w:rsidRDefault="00681EC5" w:rsidP="00681EC5">
      <w:pPr>
        <w:pStyle w:val="a9"/>
        <w:spacing w:line="360" w:lineRule="auto"/>
        <w:ind w:left="0" w:firstLine="567"/>
        <w:jc w:val="both"/>
        <w:rPr>
          <w:rFonts w:ascii="Arial" w:hAnsi="Arial"/>
          <w:rtl/>
        </w:rPr>
      </w:pPr>
      <w:r w:rsidRPr="00824D02">
        <w:rPr>
          <w:rFonts w:ascii="Arial" w:hAnsi="Arial" w:hint="cs"/>
          <w:rtl/>
        </w:rPr>
        <w:t xml:space="preserve">במסגרת הנסיבות הקשורות בביצוע העבירה, המאשימה טענה כי הנאשם ביצע את המעשה לבד ואחריותו הייתה מלאה מתוקף היותו בגיר ומבין את מעשיו והשלכותיהם; כי יחד עם הנזק הוחזקה גם מחסנית ובה תחמושת </w:t>
      </w:r>
      <w:r w:rsidRPr="00824D02">
        <w:rPr>
          <w:rFonts w:ascii="Arial" w:hAnsi="Arial"/>
          <w:rtl/>
        </w:rPr>
        <w:t>–</w:t>
      </w:r>
      <w:r w:rsidRPr="00824D02">
        <w:rPr>
          <w:rFonts w:ascii="Arial" w:hAnsi="Arial" w:hint="cs"/>
          <w:rtl/>
        </w:rPr>
        <w:t xml:space="preserve"> מה שעשוי ללמד על זמינות אפשרות השימוש בנשק. </w:t>
      </w:r>
    </w:p>
    <w:p w14:paraId="4B266548" w14:textId="77777777" w:rsidR="00681EC5" w:rsidRPr="00824D02" w:rsidRDefault="00681EC5" w:rsidP="00681EC5">
      <w:pPr>
        <w:pStyle w:val="a9"/>
        <w:spacing w:line="360" w:lineRule="auto"/>
        <w:ind w:left="0" w:firstLine="567"/>
        <w:jc w:val="both"/>
        <w:rPr>
          <w:rFonts w:ascii="Arial" w:hAnsi="Arial"/>
          <w:rtl/>
        </w:rPr>
      </w:pPr>
    </w:p>
    <w:p w14:paraId="1B086A47" w14:textId="77777777" w:rsidR="00681EC5" w:rsidRPr="00824D02" w:rsidRDefault="00681EC5" w:rsidP="00681EC5">
      <w:pPr>
        <w:pStyle w:val="a9"/>
        <w:spacing w:line="360" w:lineRule="auto"/>
        <w:ind w:left="0" w:firstLine="567"/>
        <w:jc w:val="both"/>
        <w:rPr>
          <w:rFonts w:ascii="Arial" w:hAnsi="Arial"/>
          <w:rtl/>
        </w:rPr>
      </w:pPr>
      <w:r w:rsidRPr="00824D02">
        <w:rPr>
          <w:rFonts w:ascii="Arial" w:hAnsi="Arial" w:hint="cs"/>
          <w:rtl/>
        </w:rPr>
        <w:t xml:space="preserve">על רקע טיעונים אלו, טענה המאשימה כי מתחם העונש ההולם נע בין 18 עד 36 חודשי מאסר בפועל. לתמיכה במתחם הנטען על ידה, הפנתה המאשימה לפסיקה. </w:t>
      </w:r>
    </w:p>
    <w:p w14:paraId="2CE1E795" w14:textId="77777777" w:rsidR="00681EC5" w:rsidRPr="00824D02" w:rsidRDefault="00681EC5" w:rsidP="00681EC5">
      <w:pPr>
        <w:pStyle w:val="a9"/>
        <w:spacing w:line="360" w:lineRule="auto"/>
        <w:ind w:left="0" w:firstLine="567"/>
        <w:jc w:val="both"/>
        <w:rPr>
          <w:rFonts w:ascii="Arial" w:hAnsi="Arial"/>
          <w:rtl/>
        </w:rPr>
      </w:pPr>
    </w:p>
    <w:p w14:paraId="717E0509" w14:textId="77777777" w:rsidR="00681EC5" w:rsidRPr="00824D02" w:rsidRDefault="00681EC5" w:rsidP="00681EC5">
      <w:pPr>
        <w:pStyle w:val="a9"/>
        <w:spacing w:line="360" w:lineRule="auto"/>
        <w:ind w:left="0" w:firstLine="567"/>
        <w:jc w:val="both"/>
        <w:rPr>
          <w:rFonts w:ascii="Arial" w:hAnsi="Arial"/>
        </w:rPr>
      </w:pPr>
      <w:r w:rsidRPr="00824D02">
        <w:rPr>
          <w:rFonts w:ascii="Arial" w:hAnsi="Arial" w:hint="cs"/>
          <w:rtl/>
        </w:rPr>
        <w:t>אשר לשיקולים שאינם קשורים בביצע העבירה, צוין כי אין לנאשם הרשעות קודמות, הודה בהזדמנות הראשונה, חסך זמן שיפוטי והביע חרטה על מעשיו.</w:t>
      </w:r>
    </w:p>
    <w:p w14:paraId="0A94162B" w14:textId="77777777" w:rsidR="00681EC5" w:rsidRPr="00824D02" w:rsidRDefault="00681EC5" w:rsidP="00681EC5">
      <w:pPr>
        <w:pStyle w:val="a9"/>
        <w:spacing w:line="360" w:lineRule="auto"/>
        <w:ind w:left="0"/>
        <w:jc w:val="both"/>
        <w:rPr>
          <w:rFonts w:ascii="Arial" w:hAnsi="Arial"/>
        </w:rPr>
      </w:pPr>
    </w:p>
    <w:p w14:paraId="6E2338AC"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hint="cs"/>
          <w:rtl/>
        </w:rPr>
        <w:t>בטיעוניו לעונש התמקד הסנגור בהצגת פסיקה מערכאות שונות שלדידו מצביעה על מדיניות הענישה הנוהגת בעבירה של אחזקת נשק, תוך בידולה מהענישה בגין עבירה של נשיאת והובלת נשק. נוסף לכך, הסנגור ביקש לאבחן את הפסיקה שהוגשה על ידי המאשימה ובהקשר לכך נטען כי המקרים שהוצגו על ידי המאשימה נושאים חומרה שלא קיימת במקרה שלפנינו.</w:t>
      </w:r>
    </w:p>
    <w:p w14:paraId="58422282" w14:textId="77777777" w:rsidR="00681EC5" w:rsidRPr="00824D02" w:rsidRDefault="00681EC5" w:rsidP="00681EC5">
      <w:pPr>
        <w:pStyle w:val="a9"/>
        <w:spacing w:line="360" w:lineRule="auto"/>
        <w:ind w:left="0"/>
        <w:jc w:val="both"/>
        <w:rPr>
          <w:rFonts w:ascii="Arial" w:hAnsi="Arial"/>
        </w:rPr>
      </w:pPr>
    </w:p>
    <w:p w14:paraId="7C32B129" w14:textId="77777777" w:rsidR="00681EC5" w:rsidRPr="00824D02" w:rsidRDefault="00681EC5" w:rsidP="00681EC5">
      <w:pPr>
        <w:pStyle w:val="a9"/>
        <w:spacing w:line="360" w:lineRule="auto"/>
        <w:ind w:left="0" w:firstLine="567"/>
        <w:jc w:val="both"/>
        <w:rPr>
          <w:rFonts w:ascii="Arial" w:hAnsi="Arial"/>
        </w:rPr>
      </w:pPr>
      <w:r w:rsidRPr="00824D02">
        <w:rPr>
          <w:rFonts w:ascii="Arial" w:hAnsi="Arial" w:hint="cs"/>
          <w:rtl/>
        </w:rPr>
        <w:t>הסנגור ביקש לתת דגש על התיקון המשמעותי שהיה בכתב האישום במסגרתו חלף העבירה של נשיאה והובלה של נשק הורשע הנאשם בעבירה של החזקת נשק, שמצויה בסמכות בית משפט השלום.</w:t>
      </w:r>
    </w:p>
    <w:p w14:paraId="3FC36D3A" w14:textId="77777777" w:rsidR="00681EC5" w:rsidRPr="00824D02" w:rsidRDefault="00681EC5" w:rsidP="00681EC5">
      <w:pPr>
        <w:pStyle w:val="a9"/>
        <w:spacing w:line="360" w:lineRule="auto"/>
        <w:ind w:left="0"/>
        <w:jc w:val="both"/>
        <w:rPr>
          <w:rFonts w:ascii="Arial" w:hAnsi="Arial"/>
        </w:rPr>
      </w:pPr>
    </w:p>
    <w:p w14:paraId="4742234F" w14:textId="77777777" w:rsidR="00681EC5" w:rsidRPr="00824D02" w:rsidRDefault="00681EC5" w:rsidP="00681EC5">
      <w:pPr>
        <w:pStyle w:val="a9"/>
        <w:spacing w:line="360" w:lineRule="auto"/>
        <w:ind w:left="0" w:firstLine="567"/>
        <w:jc w:val="both"/>
        <w:rPr>
          <w:rFonts w:ascii="Arial" w:hAnsi="Arial"/>
        </w:rPr>
      </w:pPr>
      <w:r w:rsidRPr="00824D02">
        <w:rPr>
          <w:rFonts w:ascii="Arial" w:hAnsi="Arial" w:hint="cs"/>
          <w:rtl/>
        </w:rPr>
        <w:t>על רקע טענות אלו, ביקש הסנגור לא למצות את הדין עם הנאשם. הסנגור טען כי המדובר בנאשם צעיר כבן 22 שאין לחובתו הרשעות קודמות. כן הפנה הסנגור להודאת הנאשם ולחסכון בזמן השיפוטי.</w:t>
      </w:r>
    </w:p>
    <w:p w14:paraId="4F51745A" w14:textId="77777777" w:rsidR="00681EC5" w:rsidRPr="00824D02" w:rsidRDefault="00681EC5" w:rsidP="00681EC5">
      <w:pPr>
        <w:pStyle w:val="a9"/>
        <w:spacing w:line="360" w:lineRule="auto"/>
        <w:ind w:left="0"/>
        <w:jc w:val="both"/>
        <w:rPr>
          <w:rFonts w:ascii="Arial" w:hAnsi="Arial"/>
        </w:rPr>
      </w:pPr>
      <w:r w:rsidRPr="00824D02">
        <w:rPr>
          <w:rFonts w:ascii="Arial" w:hAnsi="Arial" w:hint="cs"/>
          <w:rtl/>
        </w:rPr>
        <w:t xml:space="preserve"> </w:t>
      </w:r>
    </w:p>
    <w:p w14:paraId="02E974B2" w14:textId="77777777" w:rsidR="00681EC5" w:rsidRPr="00824D02" w:rsidRDefault="00681EC5" w:rsidP="00681EC5">
      <w:pPr>
        <w:pStyle w:val="a9"/>
        <w:numPr>
          <w:ilvl w:val="0"/>
          <w:numId w:val="1"/>
        </w:numPr>
        <w:spacing w:line="360" w:lineRule="auto"/>
        <w:rPr>
          <w:rFonts w:ascii="Arial" w:hAnsi="Arial"/>
          <w:b/>
          <w:bCs/>
          <w:rtl/>
        </w:rPr>
      </w:pPr>
      <w:r w:rsidRPr="00824D02">
        <w:rPr>
          <w:rFonts w:ascii="Arial" w:hAnsi="Arial"/>
          <w:rtl/>
        </w:rPr>
        <w:t xml:space="preserve">בדברו לפניי </w:t>
      </w:r>
      <w:r w:rsidRPr="00824D02">
        <w:rPr>
          <w:rFonts w:ascii="Arial" w:hAnsi="Arial" w:hint="cs"/>
          <w:rtl/>
        </w:rPr>
        <w:t>ציין הנאשם כי הוא עשה טעות וכי הוא מבין שזו לא דרך נכונה להתנהל. הנאשם הביע את תקוותו לסיים את העניין ולחזור לביתו.</w:t>
      </w:r>
    </w:p>
    <w:p w14:paraId="512E7587" w14:textId="77777777" w:rsidR="00681EC5" w:rsidRPr="00824D02" w:rsidRDefault="00681EC5" w:rsidP="00681EC5">
      <w:pPr>
        <w:rPr>
          <w:rFonts w:ascii="Arial" w:hAnsi="Arial"/>
          <w:b/>
          <w:bCs/>
          <w:sz w:val="26"/>
          <w:szCs w:val="26"/>
          <w:rtl/>
        </w:rPr>
      </w:pPr>
    </w:p>
    <w:p w14:paraId="7E5FA3F8" w14:textId="77777777" w:rsidR="00681EC5" w:rsidRPr="00824D02" w:rsidRDefault="00681EC5" w:rsidP="00681EC5">
      <w:pPr>
        <w:spacing w:line="360" w:lineRule="auto"/>
        <w:jc w:val="both"/>
        <w:rPr>
          <w:rFonts w:ascii="Arial" w:hAnsi="Arial"/>
          <w:b/>
          <w:bCs/>
        </w:rPr>
      </w:pPr>
      <w:r w:rsidRPr="00824D02">
        <w:rPr>
          <w:rFonts w:ascii="Arial" w:hAnsi="Arial" w:hint="cs"/>
          <w:b/>
          <w:bCs/>
          <w:rtl/>
        </w:rPr>
        <w:t>דיון</w:t>
      </w:r>
    </w:p>
    <w:p w14:paraId="36224F77" w14:textId="77777777" w:rsidR="00681EC5" w:rsidRPr="00824D02" w:rsidRDefault="00681EC5" w:rsidP="00681EC5">
      <w:pPr>
        <w:spacing w:line="360" w:lineRule="auto"/>
        <w:jc w:val="both"/>
        <w:rPr>
          <w:rFonts w:ascii="Arial" w:hAnsi="Arial"/>
          <w:rtl/>
        </w:rPr>
      </w:pPr>
    </w:p>
    <w:p w14:paraId="5D4F5122"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rtl/>
        </w:rPr>
        <w:t>כידוע, גזירת הדין נעשית, בדרך כלל, בשני שלבים עיקריים: קביעת מתחם עונש הולם ולאחר מכן גזירת העונש בתוך המתחם (</w:t>
      </w:r>
      <w:hyperlink r:id="rId16" w:history="1">
        <w:r w:rsidR="00824D02" w:rsidRPr="00824D02">
          <w:rPr>
            <w:rStyle w:val="Hyperlink"/>
            <w:rFonts w:ascii="Arial" w:hAnsi="Arial"/>
            <w:rtl/>
          </w:rPr>
          <w:t>סעיף 40ג'</w:t>
        </w:r>
      </w:hyperlink>
      <w:r w:rsidRPr="00824D02">
        <w:rPr>
          <w:rFonts w:ascii="Arial" w:hAnsi="Arial"/>
          <w:rtl/>
        </w:rPr>
        <w:t xml:space="preserve"> ל</w:t>
      </w:r>
      <w:hyperlink r:id="rId17" w:history="1">
        <w:r w:rsidR="00780420" w:rsidRPr="00824D02">
          <w:rPr>
            <w:rFonts w:ascii="Arial" w:hAnsi="Arial"/>
            <w:color w:val="0000FF"/>
            <w:u w:val="single"/>
            <w:rtl/>
          </w:rPr>
          <w:t>חוק העונשין</w:t>
        </w:r>
      </w:hyperlink>
      <w:r w:rsidRPr="00824D02">
        <w:rPr>
          <w:rFonts w:ascii="Arial" w:hAnsi="Arial"/>
          <w:rtl/>
        </w:rPr>
        <w:t xml:space="preserve">).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18" w:history="1">
        <w:r w:rsidR="00824D02" w:rsidRPr="00824D02">
          <w:rPr>
            <w:rStyle w:val="Hyperlink"/>
            <w:rFonts w:ascii="Arial" w:hAnsi="Arial"/>
            <w:rtl/>
          </w:rPr>
          <w:t>בסעיף 40ט'</w:t>
        </w:r>
      </w:hyperlink>
      <w:r w:rsidRPr="00824D02">
        <w:rPr>
          <w:rFonts w:ascii="Arial" w:hAnsi="Arial"/>
          <w:rtl/>
        </w:rPr>
        <w:t xml:space="preserve"> ל</w:t>
      </w:r>
      <w:hyperlink r:id="rId19" w:history="1">
        <w:r w:rsidR="00780420" w:rsidRPr="00824D02">
          <w:rPr>
            <w:rFonts w:ascii="Arial" w:hAnsi="Arial"/>
            <w:color w:val="0000FF"/>
            <w:u w:val="single"/>
            <w:rtl/>
          </w:rPr>
          <w:t>חוק העונשין</w:t>
        </w:r>
      </w:hyperlink>
      <w:r w:rsidRPr="00824D02">
        <w:rPr>
          <w:rFonts w:ascii="Arial" w:hAnsi="Arial"/>
          <w:rtl/>
        </w:rPr>
        <w:t>.</w:t>
      </w:r>
    </w:p>
    <w:p w14:paraId="46E87B70" w14:textId="77777777" w:rsidR="00681EC5" w:rsidRPr="00824D02" w:rsidRDefault="00681EC5" w:rsidP="00681EC5">
      <w:pPr>
        <w:pStyle w:val="a9"/>
        <w:spacing w:line="360" w:lineRule="auto"/>
        <w:ind w:left="0"/>
        <w:jc w:val="both"/>
        <w:rPr>
          <w:rFonts w:ascii="Arial" w:hAnsi="Arial"/>
        </w:rPr>
      </w:pPr>
    </w:p>
    <w:p w14:paraId="5FD45BB7" w14:textId="77777777" w:rsidR="00681EC5" w:rsidRPr="00824D02" w:rsidRDefault="00681EC5" w:rsidP="00681EC5">
      <w:pPr>
        <w:pStyle w:val="a9"/>
        <w:numPr>
          <w:ilvl w:val="0"/>
          <w:numId w:val="1"/>
        </w:numPr>
        <w:spacing w:line="360" w:lineRule="auto"/>
        <w:jc w:val="both"/>
        <w:rPr>
          <w:rFonts w:ascii="Arial" w:hAnsi="Arial"/>
          <w:rtl/>
        </w:rPr>
      </w:pPr>
      <w:r w:rsidRPr="00824D02">
        <w:rPr>
          <w:rFonts w:ascii="Arial" w:hAnsi="Arial" w:hint="cs"/>
          <w:rtl/>
        </w:rPr>
        <w:t>לפני שפרט את השיקולים לצורך קביעת המתחם, יודגש כי כתב האישום כלל מלכתחילה עבירה של נשיאת והובלת נשק, אך בכתב האישום נערך תיקון ולנאשם יוחסה עבירה של החזקת נשק. בדיון שהתקיים ביום 8.2.2023 ציין ב"כ המאשימה כי תיקון כתב האישום נבע מקיומם של קשיים ראייתיים. ועתה לקביעת המתחם.</w:t>
      </w:r>
    </w:p>
    <w:p w14:paraId="70CF6820" w14:textId="77777777" w:rsidR="00681EC5" w:rsidRPr="00824D02" w:rsidRDefault="00681EC5" w:rsidP="00681EC5">
      <w:pPr>
        <w:pStyle w:val="a9"/>
        <w:spacing w:line="360" w:lineRule="auto"/>
        <w:ind w:left="0"/>
        <w:jc w:val="both"/>
        <w:rPr>
          <w:rFonts w:ascii="Arial" w:hAnsi="Arial"/>
        </w:rPr>
      </w:pPr>
    </w:p>
    <w:p w14:paraId="5FDA7C00"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rtl/>
        </w:rPr>
        <w:t>הנאשם הורשע בעבירה של החזקת נשק</w:t>
      </w:r>
      <w:r w:rsidRPr="00824D02">
        <w:rPr>
          <w:rFonts w:ascii="Arial" w:hAnsi="Arial" w:hint="cs"/>
          <w:rtl/>
        </w:rPr>
        <w:t xml:space="preserve">. </w:t>
      </w:r>
      <w:r w:rsidRPr="00824D02">
        <w:rPr>
          <w:rFonts w:ascii="Arial" w:hAnsi="Arial"/>
          <w:rtl/>
        </w:rPr>
        <w:t>הערכים החברתיים המוגנים בעבירות הנשק ברורים ועניינם הגנה על שלום הציבור ובטחונו האישי, מתוך ראיית הפוטנציאל הקטלני שטמון בהחזקת נשק</w:t>
      </w:r>
      <w:r w:rsidRPr="00824D02">
        <w:rPr>
          <w:rFonts w:ascii="Arial" w:hAnsi="Arial" w:hint="cs"/>
          <w:rtl/>
        </w:rPr>
        <w:t>.</w:t>
      </w:r>
      <w:r w:rsidRPr="00824D02">
        <w:rPr>
          <w:rFonts w:ascii="Arial" w:hAnsi="Arial"/>
          <w:rtl/>
        </w:rPr>
        <w:t xml:space="preserve"> בית המשפט העליון שב ועמד פעם אחר פעם על חומרתן של עבירות הנשק, המסכנות את שלום הציבור ומביאות לפגיעות בגוף ובנפש</w:t>
      </w:r>
      <w:r w:rsidRPr="00824D02">
        <w:rPr>
          <w:rFonts w:ascii="Arial" w:hAnsi="Arial" w:hint="cs"/>
          <w:rtl/>
        </w:rPr>
        <w:t>, לפיכך המגמה המסתמנת היא של החמרה בענישה בעבירות נשק</w:t>
      </w:r>
      <w:r w:rsidRPr="00824D02">
        <w:rPr>
          <w:rFonts w:ascii="Arial" w:hAnsi="Arial"/>
          <w:rtl/>
        </w:rPr>
        <w:t xml:space="preserve"> (</w:t>
      </w:r>
      <w:r w:rsidRPr="00824D02">
        <w:rPr>
          <w:rFonts w:ascii="Arial" w:hAnsi="Arial" w:hint="cs"/>
          <w:rtl/>
        </w:rPr>
        <w:t xml:space="preserve">ראו מני רבים </w:t>
      </w:r>
      <w:hyperlink r:id="rId20" w:history="1">
        <w:r w:rsidR="00780420" w:rsidRPr="00824D02">
          <w:rPr>
            <w:rFonts w:ascii="Arial" w:hAnsi="Arial"/>
            <w:color w:val="0000FF"/>
            <w:u w:val="single"/>
            <w:rtl/>
          </w:rPr>
          <w:t>ע"פ 579/22</w:t>
        </w:r>
      </w:hyperlink>
      <w:r w:rsidRPr="00824D02">
        <w:rPr>
          <w:rFonts w:ascii="Arial" w:hAnsi="Arial"/>
          <w:rtl/>
        </w:rPr>
        <w:t xml:space="preserve"> </w:t>
      </w:r>
      <w:r w:rsidRPr="00824D02">
        <w:rPr>
          <w:rFonts w:ascii="Arial" w:hAnsi="Arial"/>
          <w:b/>
          <w:bCs/>
          <w:rtl/>
        </w:rPr>
        <w:t>מדינת ישראל נ' טחאינה</w:t>
      </w:r>
      <w:r w:rsidRPr="00824D02">
        <w:rPr>
          <w:rFonts w:ascii="Arial" w:hAnsi="Arial"/>
          <w:rtl/>
        </w:rPr>
        <w:t>, פסקה 15 (13.6.2022)</w:t>
      </w:r>
      <w:r w:rsidRPr="00824D02">
        <w:rPr>
          <w:rFonts w:ascii="Arial" w:hAnsi="Arial" w:hint="cs"/>
          <w:rtl/>
        </w:rPr>
        <w:t xml:space="preserve">; </w:t>
      </w:r>
      <w:hyperlink r:id="rId21" w:history="1">
        <w:r w:rsidR="00780420" w:rsidRPr="00824D02">
          <w:rPr>
            <w:rFonts w:ascii="Arial" w:hAnsi="Arial"/>
            <w:color w:val="0000FF"/>
            <w:u w:val="single"/>
            <w:rtl/>
          </w:rPr>
          <w:t>ע"פ 5602/22</w:t>
        </w:r>
      </w:hyperlink>
      <w:r w:rsidRPr="00824D02">
        <w:rPr>
          <w:rFonts w:ascii="Arial" w:hAnsi="Arial"/>
          <w:rtl/>
        </w:rPr>
        <w:t xml:space="preserve"> </w:t>
      </w:r>
      <w:r w:rsidRPr="00824D02">
        <w:rPr>
          <w:rFonts w:ascii="Arial" w:hAnsi="Arial"/>
          <w:b/>
          <w:bCs/>
          <w:rtl/>
        </w:rPr>
        <w:t>מדינת ישראל נ' פלוני</w:t>
      </w:r>
      <w:r w:rsidRPr="00824D02">
        <w:rPr>
          <w:rFonts w:ascii="Arial" w:hAnsi="Arial"/>
          <w:rtl/>
        </w:rPr>
        <w:t xml:space="preserve"> (14.9.2022) (להלן: עניין </w:t>
      </w:r>
      <w:r w:rsidRPr="00824D02">
        <w:rPr>
          <w:rFonts w:ascii="Arial" w:hAnsi="Arial"/>
          <w:b/>
          <w:bCs/>
          <w:rtl/>
        </w:rPr>
        <w:t>פלוני</w:t>
      </w:r>
      <w:r w:rsidRPr="00824D02">
        <w:rPr>
          <w:rFonts w:ascii="Arial" w:hAnsi="Arial"/>
          <w:rtl/>
        </w:rPr>
        <w:t>)</w:t>
      </w:r>
      <w:r w:rsidRPr="00824D02">
        <w:rPr>
          <w:rFonts w:ascii="Arial" w:hAnsi="Arial" w:hint="cs"/>
          <w:rtl/>
        </w:rPr>
        <w:t>).</w:t>
      </w:r>
    </w:p>
    <w:p w14:paraId="5BD3E6E3" w14:textId="77777777" w:rsidR="00681EC5" w:rsidRPr="00824D02" w:rsidRDefault="00681EC5" w:rsidP="00681EC5">
      <w:pPr>
        <w:pStyle w:val="a9"/>
        <w:spacing w:line="360" w:lineRule="auto"/>
        <w:ind w:left="57"/>
        <w:jc w:val="both"/>
        <w:rPr>
          <w:rFonts w:ascii="Arial" w:hAnsi="Arial"/>
        </w:rPr>
      </w:pPr>
    </w:p>
    <w:p w14:paraId="6B4D78F7" w14:textId="77777777" w:rsidR="00681EC5" w:rsidRPr="00824D02" w:rsidRDefault="00681EC5" w:rsidP="00681EC5">
      <w:pPr>
        <w:pStyle w:val="a9"/>
        <w:numPr>
          <w:ilvl w:val="0"/>
          <w:numId w:val="1"/>
        </w:numPr>
        <w:spacing w:line="360" w:lineRule="auto"/>
        <w:ind w:left="57"/>
        <w:jc w:val="both"/>
        <w:rPr>
          <w:rFonts w:ascii="Arial" w:hAnsi="Arial"/>
        </w:rPr>
      </w:pPr>
      <w:r w:rsidRPr="00824D02">
        <w:rPr>
          <w:rFonts w:ascii="Arial" w:hAnsi="Arial" w:hint="cs"/>
          <w:rtl/>
        </w:rPr>
        <w:t xml:space="preserve">גם </w:t>
      </w:r>
      <w:r w:rsidRPr="00824D02">
        <w:rPr>
          <w:rFonts w:ascii="Arial" w:hAnsi="Arial"/>
          <w:rtl/>
        </w:rPr>
        <w:t>המחוקק נתן את דעתו לצורך בהחמרה בענישה בעבירות נשק. במסגרת תיקון 140 ל</w:t>
      </w:r>
      <w:hyperlink r:id="rId22" w:history="1">
        <w:r w:rsidR="00780420" w:rsidRPr="00824D02">
          <w:rPr>
            <w:rFonts w:ascii="Arial" w:hAnsi="Arial"/>
            <w:color w:val="0000FF"/>
            <w:u w:val="single"/>
            <w:rtl/>
          </w:rPr>
          <w:t>חוק העונשין</w:t>
        </w:r>
      </w:hyperlink>
      <w:r w:rsidRPr="00824D02">
        <w:rPr>
          <w:rFonts w:ascii="Arial" w:hAnsi="Arial"/>
          <w:rtl/>
        </w:rPr>
        <w:t xml:space="preserve"> (חוק העונשין (תיקון מס' 140 – הוראת שעה), התשפ"ב-2021, ס"ח 2938), הוסף </w:t>
      </w:r>
      <w:hyperlink r:id="rId23" w:history="1">
        <w:r w:rsidR="00824D02" w:rsidRPr="00824D02">
          <w:rPr>
            <w:rStyle w:val="Hyperlink"/>
            <w:rFonts w:ascii="Arial" w:hAnsi="Arial"/>
            <w:rtl/>
          </w:rPr>
          <w:t>סעיף  144(ז)</w:t>
        </w:r>
      </w:hyperlink>
      <w:r w:rsidRPr="00824D02">
        <w:rPr>
          <w:rFonts w:ascii="Arial" w:hAnsi="Arial"/>
          <w:rtl/>
        </w:rPr>
        <w:t xml:space="preserve"> לחוק העונשין, שבו נקבע </w:t>
      </w:r>
      <w:r w:rsidRPr="00824D02">
        <w:rPr>
          <w:rFonts w:ascii="Arial" w:hAnsi="Arial" w:hint="cs"/>
          <w:rtl/>
        </w:rPr>
        <w:t xml:space="preserve">עונשו של מבצע עבירת נשק לא יפחת מרבע העונש המרבי שנקבע לאותה עבירה, אלא </w:t>
      </w:r>
      <w:r w:rsidRPr="00824D02">
        <w:rPr>
          <w:rFonts w:ascii="Arial" w:hAnsi="Arial"/>
          <w:rtl/>
        </w:rPr>
        <w:t>אם כן החליט בית המשפט, מטעמים מיוחדים שיירשמו, להקל בעונשו</w:t>
      </w:r>
      <w:r w:rsidRPr="00824D02">
        <w:rPr>
          <w:rFonts w:ascii="Arial" w:hAnsi="Arial" w:hint="cs"/>
          <w:rtl/>
        </w:rPr>
        <w:t xml:space="preserve">. יצוין כי לפי </w:t>
      </w:r>
      <w:hyperlink r:id="rId24" w:history="1">
        <w:r w:rsidR="00824D02" w:rsidRPr="00824D02">
          <w:rPr>
            <w:rStyle w:val="Hyperlink"/>
            <w:rFonts w:ascii="Arial" w:hAnsi="Arial" w:hint="eastAsia"/>
            <w:rtl/>
          </w:rPr>
          <w:t>סע</w:t>
        </w:r>
        <w:r w:rsidR="00824D02" w:rsidRPr="00824D02">
          <w:rPr>
            <w:rStyle w:val="Hyperlink"/>
            <w:rFonts w:ascii="Arial" w:hAnsi="Arial"/>
            <w:rtl/>
          </w:rPr>
          <w:t>' 144(ז)</w:t>
        </w:r>
      </w:hyperlink>
      <w:r w:rsidRPr="00824D02">
        <w:rPr>
          <w:rFonts w:ascii="Arial" w:hAnsi="Arial" w:hint="cs"/>
          <w:rtl/>
        </w:rPr>
        <w:t xml:space="preserve"> </w:t>
      </w:r>
      <w:r w:rsidRPr="00824D02">
        <w:rPr>
          <w:rFonts w:ascii="Arial" w:hAnsi="Arial"/>
          <w:rtl/>
        </w:rPr>
        <w:t>–</w:t>
      </w:r>
      <w:r w:rsidRPr="00824D02">
        <w:rPr>
          <w:rFonts w:ascii="Arial" w:hAnsi="Arial" w:hint="cs"/>
          <w:rtl/>
        </w:rPr>
        <w:t xml:space="preserve"> "</w:t>
      </w:r>
      <w:r w:rsidRPr="00824D02">
        <w:rPr>
          <w:rFonts w:ascii="Arial" w:hAnsi="Arial"/>
          <w:rtl/>
        </w:rPr>
        <w:t>עונש מאסר לפי סעיף קטן זה לא יהיה, בהעדר טעמים מיוחדים, כולו על-תנאי"</w:t>
      </w:r>
      <w:r w:rsidRPr="00824D02">
        <w:rPr>
          <w:rFonts w:ascii="Arial" w:hAnsi="Arial" w:hint="cs"/>
          <w:rtl/>
        </w:rPr>
        <w:t xml:space="preserve">. העונש בגין </w:t>
      </w:r>
      <w:r w:rsidRPr="00824D02">
        <w:rPr>
          <w:rFonts w:ascii="Arial" w:hAnsi="Arial"/>
          <w:rtl/>
        </w:rPr>
        <w:t>עביר</w:t>
      </w:r>
      <w:r w:rsidRPr="00824D02">
        <w:rPr>
          <w:rFonts w:ascii="Arial" w:hAnsi="Arial" w:hint="cs"/>
          <w:rtl/>
        </w:rPr>
        <w:t>ה של</w:t>
      </w:r>
      <w:r w:rsidRPr="00824D02">
        <w:rPr>
          <w:rFonts w:ascii="Arial" w:hAnsi="Arial"/>
          <w:rtl/>
        </w:rPr>
        <w:t xml:space="preserve"> רכישת או החזקת נשק שלא כדין </w:t>
      </w:r>
      <w:r w:rsidRPr="00824D02">
        <w:rPr>
          <w:rFonts w:ascii="Arial" w:hAnsi="Arial" w:hint="cs"/>
          <w:rtl/>
        </w:rPr>
        <w:t xml:space="preserve">הוא </w:t>
      </w:r>
      <w:r w:rsidRPr="00824D02">
        <w:rPr>
          <w:rFonts w:ascii="Arial" w:hAnsi="Arial"/>
          <w:rtl/>
        </w:rPr>
        <w:t>7 שנות מאסר</w:t>
      </w:r>
      <w:r w:rsidRPr="00824D02">
        <w:rPr>
          <w:rFonts w:ascii="Arial" w:hAnsi="Arial" w:hint="cs"/>
          <w:rtl/>
        </w:rPr>
        <w:t>. ומשכך, ובהתאם לתיקון 140 ל</w:t>
      </w:r>
      <w:hyperlink r:id="rId25" w:history="1">
        <w:r w:rsidR="00780420" w:rsidRPr="00824D02">
          <w:rPr>
            <w:rFonts w:ascii="Arial" w:hAnsi="Arial"/>
            <w:color w:val="0000FF"/>
            <w:u w:val="single"/>
            <w:rtl/>
          </w:rPr>
          <w:t>חוק העונשין</w:t>
        </w:r>
      </w:hyperlink>
      <w:r w:rsidRPr="00824D02">
        <w:rPr>
          <w:rFonts w:ascii="Arial" w:hAnsi="Arial" w:hint="cs"/>
          <w:rtl/>
        </w:rPr>
        <w:t>, עונש המינימום עומד על 21 חודשי מאסר.</w:t>
      </w:r>
      <w:r w:rsidRPr="00824D02">
        <w:rPr>
          <w:rFonts w:ascii="Arial" w:hAnsi="Arial" w:hint="cs"/>
          <w:b/>
          <w:bCs/>
          <w:sz w:val="26"/>
          <w:szCs w:val="26"/>
          <w:rtl/>
        </w:rPr>
        <w:t xml:space="preserve"> </w:t>
      </w:r>
      <w:r w:rsidRPr="00824D02">
        <w:rPr>
          <w:rFonts w:ascii="Arial" w:hAnsi="Arial" w:hint="cs"/>
          <w:sz w:val="26"/>
          <w:szCs w:val="26"/>
          <w:rtl/>
        </w:rPr>
        <w:t>עם זאת, ניתן להטיל את העונש שלא כולו על תנאי.</w:t>
      </w:r>
    </w:p>
    <w:p w14:paraId="16268828" w14:textId="77777777" w:rsidR="00681EC5" w:rsidRPr="00824D02" w:rsidRDefault="00681EC5" w:rsidP="00681EC5">
      <w:pPr>
        <w:pStyle w:val="a9"/>
        <w:spacing w:line="360" w:lineRule="auto"/>
        <w:ind w:left="0"/>
        <w:jc w:val="both"/>
        <w:rPr>
          <w:rFonts w:ascii="Arial" w:hAnsi="Arial"/>
          <w:b/>
          <w:bCs/>
          <w:sz w:val="26"/>
          <w:szCs w:val="26"/>
        </w:rPr>
      </w:pPr>
    </w:p>
    <w:p w14:paraId="5F4213B6" w14:textId="77777777" w:rsidR="00681EC5" w:rsidRPr="00824D02" w:rsidRDefault="00681EC5" w:rsidP="00681EC5">
      <w:pPr>
        <w:pStyle w:val="a9"/>
        <w:numPr>
          <w:ilvl w:val="0"/>
          <w:numId w:val="1"/>
        </w:numPr>
        <w:spacing w:line="360" w:lineRule="auto"/>
        <w:jc w:val="both"/>
        <w:rPr>
          <w:rFonts w:ascii="Arial" w:hAnsi="Arial"/>
          <w:rtl/>
        </w:rPr>
      </w:pPr>
      <w:r w:rsidRPr="00824D02">
        <w:rPr>
          <w:rFonts w:ascii="Arial" w:hAnsi="Arial" w:hint="cs"/>
          <w:rtl/>
        </w:rPr>
        <w:t xml:space="preserve"> </w:t>
      </w:r>
      <w:r w:rsidRPr="00824D02">
        <w:rPr>
          <w:rFonts w:ascii="Arial" w:hAnsi="Arial"/>
          <w:rtl/>
        </w:rPr>
        <w:t>ב</w:t>
      </w:r>
      <w:r w:rsidRPr="00824D02">
        <w:rPr>
          <w:rFonts w:ascii="Arial" w:hAnsi="Arial" w:hint="cs"/>
          <w:rtl/>
        </w:rPr>
        <w:t xml:space="preserve">בואי להתייחס לנסיבות </w:t>
      </w:r>
      <w:r w:rsidRPr="00824D02">
        <w:rPr>
          <w:rFonts w:ascii="Arial" w:hAnsi="Arial"/>
          <w:rtl/>
        </w:rPr>
        <w:t>הקשורות בביצוע העבירה</w:t>
      </w:r>
      <w:r w:rsidRPr="00824D02">
        <w:rPr>
          <w:rFonts w:ascii="Arial" w:hAnsi="Arial" w:hint="cs"/>
          <w:rtl/>
        </w:rPr>
        <w:t xml:space="preserve">, נתתי את דעתי לנסיבות כפי שהן עולות מכתב האישום, ובכלל זה לעובדה כי הנשק הוחזק יחד עם מחסנית ותחמושת </w:t>
      </w:r>
      <w:r w:rsidRPr="00824D02">
        <w:rPr>
          <w:rFonts w:ascii="Arial" w:hAnsi="Arial"/>
          <w:rtl/>
        </w:rPr>
        <w:t>–</w:t>
      </w:r>
      <w:r w:rsidRPr="00824D02">
        <w:rPr>
          <w:rFonts w:ascii="Arial" w:hAnsi="Arial" w:hint="cs"/>
          <w:rtl/>
        </w:rPr>
        <w:t xml:space="preserve"> דבר שהופך על הנשק זמין ובעל פוטנציאל סיכון גבוה. כמו כן, נתתי את דעתי לעובדה כי הנאשם פעל לבד ולא בחבורה. לכך יש פן נוסף, כי הוא היה האחראי היחיד לביצוע העבירה. אמנם, פרטים לגבי ייעודו של הנשק </w:t>
      </w:r>
      <w:r w:rsidRPr="00824D02">
        <w:rPr>
          <w:rFonts w:ascii="Arial" w:hAnsi="Arial"/>
          <w:rtl/>
        </w:rPr>
        <w:t>–</w:t>
      </w:r>
      <w:r w:rsidRPr="00824D02">
        <w:rPr>
          <w:rFonts w:ascii="Arial" w:hAnsi="Arial" w:hint="cs"/>
          <w:rtl/>
        </w:rPr>
        <w:t xml:space="preserve"> אין; אך אין בכך כדי להפחית מהנזק שעלול היה להיגרם עקב השימוש בנשק. לא בכדי הדגש בעבירות הנשק ניתן על הסיכון הפוטנציאלי הנשקף ממנו. </w:t>
      </w:r>
    </w:p>
    <w:p w14:paraId="04FB1B44" w14:textId="77777777" w:rsidR="00681EC5" w:rsidRPr="00824D02" w:rsidRDefault="00681EC5" w:rsidP="00681EC5">
      <w:pPr>
        <w:pStyle w:val="a9"/>
        <w:spacing w:line="360" w:lineRule="auto"/>
        <w:ind w:left="0"/>
        <w:jc w:val="both"/>
        <w:rPr>
          <w:rFonts w:ascii="Arial" w:hAnsi="Arial"/>
          <w:b/>
          <w:bCs/>
          <w:sz w:val="26"/>
          <w:szCs w:val="26"/>
        </w:rPr>
      </w:pPr>
    </w:p>
    <w:p w14:paraId="3051B3A1" w14:textId="77777777" w:rsidR="00681EC5" w:rsidRPr="00824D02" w:rsidRDefault="00681EC5" w:rsidP="00681EC5">
      <w:pPr>
        <w:pStyle w:val="a9"/>
        <w:numPr>
          <w:ilvl w:val="0"/>
          <w:numId w:val="1"/>
        </w:numPr>
        <w:spacing w:line="360" w:lineRule="auto"/>
        <w:jc w:val="both"/>
        <w:rPr>
          <w:rFonts w:ascii="Arial" w:hAnsi="Arial"/>
          <w:b/>
          <w:bCs/>
          <w:sz w:val="26"/>
          <w:szCs w:val="26"/>
        </w:rPr>
      </w:pPr>
      <w:r w:rsidRPr="00824D02">
        <w:rPr>
          <w:rFonts w:ascii="Arial" w:hAnsi="Arial" w:hint="cs"/>
          <w:rtl/>
        </w:rPr>
        <w:t>אשר ל</w:t>
      </w:r>
      <w:r w:rsidRPr="00824D02">
        <w:rPr>
          <w:rFonts w:ascii="Arial" w:hAnsi="Arial"/>
          <w:rtl/>
        </w:rPr>
        <w:t>מדיניות הענישה הנוהגת</w:t>
      </w:r>
      <w:r w:rsidRPr="00824D02">
        <w:rPr>
          <w:rFonts w:ascii="Arial" w:hAnsi="Arial" w:hint="cs"/>
          <w:rtl/>
        </w:rPr>
        <w:t xml:space="preserve">, </w:t>
      </w:r>
      <w:r w:rsidRPr="00824D02">
        <w:rPr>
          <w:rFonts w:ascii="Arial" w:hAnsi="Arial"/>
          <w:rtl/>
        </w:rPr>
        <w:t>כל אחד מן הצדדים הפנה לפסיקה אשר לטענתו תומכת בעמדתו העונשית. אינני רואה לסקור את כל פסקי הדין שהגישו הצדדים, שחלקם הולם את המקרה וחלקם לא. אסתפק בהפניה למספר פסקי דין ואזכיר כי לעולם יש לתת את הדעת לשוני בנסיבות כל מקרה</w:t>
      </w:r>
      <w:r w:rsidRPr="00824D02">
        <w:rPr>
          <w:rFonts w:ascii="Arial" w:hAnsi="Arial" w:hint="cs"/>
          <w:rtl/>
        </w:rPr>
        <w:t xml:space="preserve">: </w:t>
      </w:r>
    </w:p>
    <w:p w14:paraId="4964FC9B" w14:textId="77777777" w:rsidR="00681EC5" w:rsidRPr="00824D02" w:rsidRDefault="00681EC5" w:rsidP="00681EC5">
      <w:pPr>
        <w:pStyle w:val="a9"/>
        <w:rPr>
          <w:rFonts w:ascii="Arial" w:hAnsi="Arial"/>
          <w:b/>
          <w:bCs/>
          <w:sz w:val="26"/>
          <w:szCs w:val="26"/>
          <w:rtl/>
        </w:rPr>
      </w:pPr>
    </w:p>
    <w:p w14:paraId="423BAD56" w14:textId="77777777" w:rsidR="00681EC5" w:rsidRPr="00824D02" w:rsidRDefault="00780420" w:rsidP="00681EC5">
      <w:pPr>
        <w:pStyle w:val="a9"/>
        <w:spacing w:line="360" w:lineRule="auto"/>
        <w:ind w:left="0" w:firstLine="720"/>
        <w:jc w:val="both"/>
        <w:rPr>
          <w:rFonts w:ascii="Arial" w:hAnsi="Arial"/>
          <w:rtl/>
        </w:rPr>
      </w:pPr>
      <w:hyperlink r:id="rId26" w:history="1">
        <w:r w:rsidRPr="00824D02">
          <w:rPr>
            <w:rFonts w:ascii="Arial" w:hAnsi="Arial"/>
            <w:color w:val="0000FF"/>
            <w:u w:val="single"/>
            <w:rtl/>
          </w:rPr>
          <w:t>ע"פ 4332/21</w:t>
        </w:r>
      </w:hyperlink>
      <w:r w:rsidR="00681EC5" w:rsidRPr="00824D02">
        <w:rPr>
          <w:rFonts w:ascii="Arial" w:hAnsi="Arial" w:hint="cs"/>
          <w:rtl/>
        </w:rPr>
        <w:t xml:space="preserve">  </w:t>
      </w:r>
      <w:r w:rsidR="00681EC5" w:rsidRPr="00824D02">
        <w:rPr>
          <w:rFonts w:ascii="Arial" w:hAnsi="Arial" w:hint="cs"/>
          <w:b/>
          <w:bCs/>
          <w:rtl/>
        </w:rPr>
        <w:t>עאסלה נ' מדינת ישראל</w:t>
      </w:r>
      <w:r w:rsidR="00681EC5" w:rsidRPr="00824D02">
        <w:rPr>
          <w:rFonts w:ascii="Arial" w:hAnsi="Arial" w:hint="cs"/>
          <w:rtl/>
        </w:rPr>
        <w:t xml:space="preserve"> (20.2.2022) </w:t>
      </w:r>
      <w:r w:rsidR="00681EC5" w:rsidRPr="00824D02">
        <w:rPr>
          <w:rFonts w:ascii="Arial" w:hAnsi="Arial"/>
          <w:rtl/>
        </w:rPr>
        <w:t>–</w:t>
      </w:r>
      <w:r w:rsidR="00681EC5" w:rsidRPr="00824D02">
        <w:rPr>
          <w:rFonts w:ascii="Arial" w:hAnsi="Arial" w:hint="cs"/>
          <w:rtl/>
        </w:rPr>
        <w:t xml:space="preserve">  הוטל עונש של  9 חודשי עבודות שירות בגין החזקת תת-מקלע מאולתר; </w:t>
      </w:r>
      <w:hyperlink r:id="rId27" w:history="1">
        <w:r w:rsidRPr="00824D02">
          <w:rPr>
            <w:rFonts w:ascii="Arial" w:hAnsi="Arial"/>
            <w:color w:val="0000FF"/>
            <w:u w:val="single"/>
            <w:rtl/>
          </w:rPr>
          <w:t>ע"פ 6332/22</w:t>
        </w:r>
      </w:hyperlink>
      <w:r w:rsidR="00681EC5" w:rsidRPr="00824D02">
        <w:rPr>
          <w:rFonts w:ascii="Arial" w:hAnsi="Arial" w:hint="cs"/>
          <w:rtl/>
        </w:rPr>
        <w:t xml:space="preserve"> </w:t>
      </w:r>
      <w:r w:rsidR="00681EC5" w:rsidRPr="00824D02">
        <w:rPr>
          <w:rFonts w:ascii="Arial" w:hAnsi="Arial" w:hint="cs"/>
          <w:b/>
          <w:bCs/>
          <w:rtl/>
        </w:rPr>
        <w:t>פדידה נ' מדינת ישראל</w:t>
      </w:r>
      <w:r w:rsidR="00681EC5" w:rsidRPr="00824D02">
        <w:rPr>
          <w:rFonts w:ascii="Arial" w:hAnsi="Arial" w:hint="cs"/>
          <w:rtl/>
        </w:rPr>
        <w:t xml:space="preserve"> (16.2.2023)</w:t>
      </w:r>
      <w:r w:rsidR="00681EC5" w:rsidRPr="00824D02">
        <w:rPr>
          <w:rFonts w:ascii="Arial" w:hAnsi="Arial"/>
          <w:rtl/>
        </w:rPr>
        <w:t>–</w:t>
      </w:r>
      <w:r w:rsidR="00681EC5" w:rsidRPr="00824D02">
        <w:rPr>
          <w:rFonts w:ascii="Arial" w:hAnsi="Arial" w:hint="cs"/>
          <w:rtl/>
        </w:rPr>
        <w:t xml:space="preserve"> הוטל עונש של 9 חודשי מאסר לריצוי בעבודות שירות בגין החזקת אקדח הזנקה שהוסב לירי תחמושת ומחסנית; </w:t>
      </w:r>
      <w:hyperlink r:id="rId28" w:history="1">
        <w:r w:rsidRPr="00824D02">
          <w:rPr>
            <w:rFonts w:ascii="Arial" w:hAnsi="Arial"/>
            <w:color w:val="0000FF"/>
            <w:u w:val="single"/>
            <w:rtl/>
          </w:rPr>
          <w:t>ע"פ 221/22</w:t>
        </w:r>
      </w:hyperlink>
      <w:r w:rsidR="00681EC5" w:rsidRPr="00824D02">
        <w:rPr>
          <w:rFonts w:ascii="Arial" w:hAnsi="Arial" w:hint="cs"/>
          <w:rtl/>
        </w:rPr>
        <w:t xml:space="preserve"> </w:t>
      </w:r>
      <w:r w:rsidR="00681EC5" w:rsidRPr="00824D02">
        <w:rPr>
          <w:rFonts w:ascii="Arial" w:hAnsi="Arial" w:hint="cs"/>
          <w:b/>
          <w:bCs/>
          <w:rtl/>
        </w:rPr>
        <w:t>זועבי נ' מדינת ישראל</w:t>
      </w:r>
      <w:r w:rsidR="00681EC5" w:rsidRPr="00824D02">
        <w:rPr>
          <w:rFonts w:ascii="Arial" w:hAnsi="Arial" w:hint="cs"/>
          <w:rtl/>
        </w:rPr>
        <w:t xml:space="preserve"> (3.1.2023)</w:t>
      </w:r>
      <w:r w:rsidR="00681EC5" w:rsidRPr="00824D02">
        <w:rPr>
          <w:rFonts w:ascii="Arial" w:hAnsi="Arial"/>
          <w:rtl/>
        </w:rPr>
        <w:t>–</w:t>
      </w:r>
      <w:r w:rsidR="00681EC5" w:rsidRPr="00824D02">
        <w:rPr>
          <w:rFonts w:ascii="Arial" w:hAnsi="Arial" w:hint="cs"/>
          <w:rtl/>
        </w:rPr>
        <w:t xml:space="preserve"> הוטל עונש של 9 חודשים לריצוי בעבודות שירות בגין אחזקת רובה קלאצ'נקוב; </w:t>
      </w:r>
      <w:hyperlink r:id="rId29" w:history="1">
        <w:r w:rsidRPr="00824D02">
          <w:rPr>
            <w:rFonts w:ascii="Arial" w:hAnsi="Arial"/>
            <w:color w:val="0000FF"/>
            <w:u w:val="single"/>
            <w:rtl/>
          </w:rPr>
          <w:t>ע"פ 1806/22</w:t>
        </w:r>
      </w:hyperlink>
      <w:r w:rsidR="00681EC5" w:rsidRPr="00824D02">
        <w:rPr>
          <w:rFonts w:ascii="Arial" w:hAnsi="Arial" w:hint="cs"/>
          <w:rtl/>
        </w:rPr>
        <w:t xml:space="preserve"> </w:t>
      </w:r>
      <w:r w:rsidR="00681EC5" w:rsidRPr="00824D02">
        <w:rPr>
          <w:rFonts w:ascii="Arial" w:hAnsi="Arial" w:hint="cs"/>
          <w:b/>
          <w:bCs/>
          <w:rtl/>
        </w:rPr>
        <w:t>נבארי נ' מדינת ישראל</w:t>
      </w:r>
      <w:r w:rsidR="00681EC5" w:rsidRPr="00824D02">
        <w:rPr>
          <w:rFonts w:ascii="Arial" w:hAnsi="Arial" w:hint="cs"/>
          <w:rtl/>
        </w:rPr>
        <w:t xml:space="preserve"> (15.6.2022) </w:t>
      </w:r>
      <w:r w:rsidR="00681EC5" w:rsidRPr="00824D02">
        <w:rPr>
          <w:rFonts w:ascii="Arial" w:hAnsi="Arial"/>
          <w:rtl/>
        </w:rPr>
        <w:t>–</w:t>
      </w:r>
      <w:r w:rsidR="00681EC5" w:rsidRPr="00824D02">
        <w:rPr>
          <w:rFonts w:ascii="Arial" w:hAnsi="Arial" w:hint="cs"/>
          <w:rtl/>
        </w:rPr>
        <w:t xml:space="preserve"> הוטל עונש של 16 חודשי מאסר בפועל בגין החזקת אקדח ותחמושת; </w:t>
      </w:r>
      <w:hyperlink r:id="rId30" w:history="1">
        <w:r w:rsidRPr="00824D02">
          <w:rPr>
            <w:rFonts w:ascii="Arial" w:hAnsi="Arial"/>
            <w:color w:val="0000FF"/>
            <w:u w:val="single"/>
            <w:rtl/>
          </w:rPr>
          <w:t>ע"פ 2482/22</w:t>
        </w:r>
      </w:hyperlink>
      <w:r w:rsidR="00681EC5" w:rsidRPr="00824D02">
        <w:rPr>
          <w:rFonts w:ascii="Arial" w:hAnsi="Arial" w:hint="cs"/>
          <w:rtl/>
        </w:rPr>
        <w:t xml:space="preserve"> </w:t>
      </w:r>
      <w:r w:rsidR="00681EC5" w:rsidRPr="00824D02">
        <w:rPr>
          <w:rFonts w:ascii="Arial" w:hAnsi="Arial" w:hint="cs"/>
          <w:b/>
          <w:bCs/>
          <w:rtl/>
        </w:rPr>
        <w:t>מדינת ישראלי נגד קדורה</w:t>
      </w:r>
      <w:r w:rsidR="00681EC5" w:rsidRPr="00824D02">
        <w:rPr>
          <w:rFonts w:ascii="Arial" w:hAnsi="Arial" w:hint="cs"/>
          <w:rtl/>
        </w:rPr>
        <w:t xml:space="preserve"> (16.4.2022)</w:t>
      </w:r>
      <w:r w:rsidR="00681EC5" w:rsidRPr="00824D02">
        <w:rPr>
          <w:rFonts w:ascii="Arial" w:hAnsi="Arial"/>
          <w:rtl/>
        </w:rPr>
        <w:t>–</w:t>
      </w:r>
      <w:r w:rsidR="00681EC5" w:rsidRPr="00824D02">
        <w:rPr>
          <w:rFonts w:ascii="Arial" w:hAnsi="Arial" w:hint="cs"/>
          <w:rtl/>
        </w:rPr>
        <w:t xml:space="preserve"> הוטל עונש של 18 חודשי מאסר בגין החזקת אקדח ותחמושת. כמו כן, עיינו ב</w:t>
      </w:r>
      <w:hyperlink r:id="rId31" w:history="1">
        <w:r w:rsidRPr="00824D02">
          <w:rPr>
            <w:rFonts w:ascii="Arial" w:hAnsi="Arial"/>
            <w:color w:val="0000FF"/>
            <w:u w:val="single"/>
            <w:rtl/>
          </w:rPr>
          <w:t>עפ"ג (חיפה) 12888-03-22</w:t>
        </w:r>
      </w:hyperlink>
      <w:r w:rsidR="00681EC5" w:rsidRPr="00824D02">
        <w:rPr>
          <w:rFonts w:ascii="Arial" w:hAnsi="Arial" w:hint="cs"/>
          <w:rtl/>
        </w:rPr>
        <w:t xml:space="preserve"> </w:t>
      </w:r>
      <w:r w:rsidR="00681EC5" w:rsidRPr="00824D02">
        <w:rPr>
          <w:rFonts w:ascii="Arial" w:hAnsi="Arial" w:hint="cs"/>
          <w:b/>
          <w:bCs/>
          <w:rtl/>
        </w:rPr>
        <w:t>מדינת ישראל נ' אגבאריה</w:t>
      </w:r>
      <w:r w:rsidR="00681EC5" w:rsidRPr="00824D02">
        <w:rPr>
          <w:rFonts w:ascii="Arial" w:hAnsi="Arial" w:hint="cs"/>
          <w:rtl/>
        </w:rPr>
        <w:t xml:space="preserve"> (7.11.2022) בו הוטל עונש של 12 חודשי מאסר בפועל.</w:t>
      </w:r>
    </w:p>
    <w:p w14:paraId="06758CB8" w14:textId="77777777" w:rsidR="00681EC5" w:rsidRPr="00824D02" w:rsidRDefault="00681EC5" w:rsidP="00681EC5">
      <w:pPr>
        <w:pStyle w:val="a9"/>
        <w:spacing w:line="360" w:lineRule="auto"/>
        <w:ind w:left="0"/>
        <w:jc w:val="both"/>
        <w:rPr>
          <w:rFonts w:ascii="Arial" w:hAnsi="Arial"/>
        </w:rPr>
      </w:pPr>
    </w:p>
    <w:p w14:paraId="66A42577" w14:textId="77777777" w:rsidR="00681EC5" w:rsidRPr="00824D02" w:rsidRDefault="00681EC5" w:rsidP="00681EC5">
      <w:pPr>
        <w:pStyle w:val="a9"/>
        <w:numPr>
          <w:ilvl w:val="0"/>
          <w:numId w:val="1"/>
        </w:numPr>
        <w:spacing w:line="360" w:lineRule="auto"/>
        <w:jc w:val="both"/>
        <w:rPr>
          <w:rFonts w:ascii="Arial" w:hAnsi="Arial"/>
        </w:rPr>
      </w:pPr>
      <w:r w:rsidRPr="00824D02">
        <w:rPr>
          <w:rFonts w:ascii="Arial" w:hAnsi="Arial"/>
          <w:rtl/>
        </w:rPr>
        <w:t xml:space="preserve">לאור השיקולים שפורטו לעיל, אני קובע כי מתחם העונש ההולם בנסיבות מקרה זה נע בין </w:t>
      </w:r>
      <w:r w:rsidRPr="00824D02">
        <w:rPr>
          <w:rFonts w:ascii="Arial" w:hAnsi="Arial" w:hint="cs"/>
          <w:rtl/>
        </w:rPr>
        <w:t xml:space="preserve">10  </w:t>
      </w:r>
      <w:r w:rsidRPr="00824D02">
        <w:rPr>
          <w:rFonts w:ascii="Arial" w:hAnsi="Arial"/>
          <w:rtl/>
        </w:rPr>
        <w:t>ל-</w:t>
      </w:r>
      <w:r w:rsidRPr="00824D02">
        <w:rPr>
          <w:rFonts w:ascii="Arial" w:hAnsi="Arial" w:hint="cs"/>
          <w:rtl/>
        </w:rPr>
        <w:t xml:space="preserve"> 36 </w:t>
      </w:r>
      <w:r w:rsidRPr="00824D02">
        <w:rPr>
          <w:rFonts w:ascii="Arial" w:hAnsi="Arial"/>
          <w:rtl/>
        </w:rPr>
        <w:t>חודשי מאסר בפועל, וכן מאסר על תנאי</w:t>
      </w:r>
      <w:r w:rsidRPr="00824D02">
        <w:rPr>
          <w:rFonts w:ascii="Arial" w:hAnsi="Arial" w:hint="cs"/>
          <w:rtl/>
        </w:rPr>
        <w:t xml:space="preserve"> וקנס. </w:t>
      </w:r>
    </w:p>
    <w:p w14:paraId="423E3008" w14:textId="77777777" w:rsidR="00681EC5" w:rsidRPr="00824D02" w:rsidRDefault="00681EC5" w:rsidP="00681EC5">
      <w:pPr>
        <w:rPr>
          <w:rFonts w:ascii="Arial" w:hAnsi="Arial"/>
          <w:b/>
          <w:bCs/>
          <w:sz w:val="26"/>
          <w:szCs w:val="26"/>
          <w:rtl/>
        </w:rPr>
      </w:pPr>
    </w:p>
    <w:p w14:paraId="66C568AA" w14:textId="77777777" w:rsidR="00681EC5" w:rsidRPr="00824D02" w:rsidRDefault="00681EC5" w:rsidP="00681EC5">
      <w:pPr>
        <w:pStyle w:val="a9"/>
        <w:numPr>
          <w:ilvl w:val="0"/>
          <w:numId w:val="1"/>
        </w:numPr>
        <w:spacing w:line="360" w:lineRule="auto"/>
        <w:jc w:val="both"/>
        <w:rPr>
          <w:rFonts w:ascii="Arial" w:hAnsi="Arial"/>
          <w:b/>
          <w:bCs/>
          <w:sz w:val="26"/>
          <w:szCs w:val="26"/>
        </w:rPr>
      </w:pPr>
      <w:r w:rsidRPr="00824D02">
        <w:rPr>
          <w:rFonts w:ascii="Arial" w:hAnsi="Arial"/>
          <w:rtl/>
        </w:rPr>
        <w:t xml:space="preserve">בגזירת העונש בגדרי מתחם העונש ההולם יש לשקול את הנסיבות שאינן קשורות בביצוע העבירה (סעיף </w:t>
      </w:r>
      <w:hyperlink r:id="rId32" w:history="1">
        <w:r w:rsidR="00824D02" w:rsidRPr="00824D02">
          <w:rPr>
            <w:rStyle w:val="Hyperlink"/>
            <w:rFonts w:ascii="Arial" w:hAnsi="Arial"/>
            <w:rtl/>
          </w:rPr>
          <w:t>40 יא'</w:t>
        </w:r>
      </w:hyperlink>
      <w:r w:rsidRPr="00824D02">
        <w:rPr>
          <w:rFonts w:ascii="Arial" w:hAnsi="Arial"/>
          <w:rtl/>
        </w:rPr>
        <w:t xml:space="preserve"> ל</w:t>
      </w:r>
      <w:hyperlink r:id="rId33" w:history="1">
        <w:r w:rsidR="00780420" w:rsidRPr="00824D02">
          <w:rPr>
            <w:rFonts w:ascii="Arial" w:hAnsi="Arial"/>
            <w:color w:val="0000FF"/>
            <w:u w:val="single"/>
            <w:rtl/>
          </w:rPr>
          <w:t>חוק העונשין</w:t>
        </w:r>
      </w:hyperlink>
      <w:r w:rsidRPr="00824D02">
        <w:rPr>
          <w:rFonts w:ascii="Arial" w:hAnsi="Arial"/>
          <w:rtl/>
        </w:rPr>
        <w:t>). ב</w:t>
      </w:r>
      <w:r w:rsidRPr="00824D02">
        <w:rPr>
          <w:rFonts w:ascii="Arial" w:hAnsi="Arial" w:hint="cs"/>
          <w:rtl/>
        </w:rPr>
        <w:t xml:space="preserve">גדר שיקולים אלה נתתי את דעתי לכך שהמדובר בנאשם צעיר כבן 22 שנה, נשוי, ולחובתו אין הרשעות קודמות. הנאשם הודה בכתב אישום מתוקן בעוד ההליך המשפטי מצוי באיבו וניתן להתרשם כי הוא מפנים את חומרת מעשיו. </w:t>
      </w:r>
      <w:r w:rsidRPr="00824D02">
        <w:rPr>
          <w:rFonts w:ascii="Arial" w:hAnsi="Arial"/>
          <w:rtl/>
        </w:rPr>
        <w:t xml:space="preserve">לבסוף, התחשבתי בתקופה בה הנאשם היה נתון במעצר עד תום ההליכים – מיום </w:t>
      </w:r>
      <w:r w:rsidRPr="00824D02">
        <w:rPr>
          <w:rFonts w:ascii="Arial" w:hAnsi="Arial" w:hint="cs"/>
          <w:rtl/>
        </w:rPr>
        <w:t>21.10</w:t>
      </w:r>
      <w:r w:rsidRPr="00824D02">
        <w:rPr>
          <w:rFonts w:ascii="Arial" w:hAnsi="Arial"/>
          <w:rtl/>
        </w:rPr>
        <w:t>.2022 ועד היום</w:t>
      </w:r>
      <w:r w:rsidRPr="00824D02">
        <w:rPr>
          <w:rFonts w:ascii="Arial" w:hAnsi="Arial" w:hint="cs"/>
          <w:rtl/>
        </w:rPr>
        <w:t xml:space="preserve">. </w:t>
      </w:r>
      <w:r w:rsidRPr="00824D02">
        <w:rPr>
          <w:rFonts w:ascii="Arial" w:hAnsi="Arial"/>
          <w:rtl/>
        </w:rPr>
        <w:t>שיקולים אלו מובילים אותי למסקנה כי יש למקם את העונש קרוב לרף</w:t>
      </w:r>
      <w:r w:rsidRPr="00824D02">
        <w:rPr>
          <w:rFonts w:ascii="Arial" w:hAnsi="Arial" w:hint="cs"/>
          <w:rtl/>
        </w:rPr>
        <w:t xml:space="preserve"> התחתון של המתחם </w:t>
      </w:r>
      <w:r w:rsidRPr="00824D02">
        <w:rPr>
          <w:rFonts w:ascii="Arial" w:hAnsi="Arial"/>
          <w:rtl/>
        </w:rPr>
        <w:t>שנקבע.</w:t>
      </w:r>
    </w:p>
    <w:p w14:paraId="3E4D1FB8" w14:textId="77777777" w:rsidR="00681EC5" w:rsidRPr="00824D02" w:rsidRDefault="00681EC5" w:rsidP="00681EC5">
      <w:pPr>
        <w:rPr>
          <w:rFonts w:ascii="Arial" w:hAnsi="Arial"/>
          <w:b/>
          <w:bCs/>
          <w:sz w:val="26"/>
          <w:szCs w:val="26"/>
          <w:rtl/>
        </w:rPr>
      </w:pPr>
    </w:p>
    <w:p w14:paraId="2FC6A724" w14:textId="77777777" w:rsidR="00681EC5" w:rsidRPr="00824D02" w:rsidRDefault="00681EC5" w:rsidP="00681EC5">
      <w:pPr>
        <w:rPr>
          <w:rFonts w:ascii="Arial" w:hAnsi="Arial"/>
          <w:b/>
          <w:bCs/>
          <w:sz w:val="26"/>
          <w:szCs w:val="26"/>
          <w:rtl/>
        </w:rPr>
      </w:pPr>
    </w:p>
    <w:p w14:paraId="7306ECFD" w14:textId="77777777" w:rsidR="00681EC5" w:rsidRPr="00824D02" w:rsidRDefault="00681EC5" w:rsidP="00681EC5">
      <w:pPr>
        <w:rPr>
          <w:rFonts w:ascii="Arial" w:hAnsi="Arial"/>
          <w:b/>
          <w:bCs/>
          <w:sz w:val="26"/>
          <w:szCs w:val="26"/>
          <w:rtl/>
        </w:rPr>
      </w:pPr>
    </w:p>
    <w:p w14:paraId="6BBE88BD" w14:textId="77777777" w:rsidR="00681EC5" w:rsidRPr="00824D02" w:rsidRDefault="00681EC5" w:rsidP="00681EC5">
      <w:pPr>
        <w:rPr>
          <w:rFonts w:ascii="Arial" w:hAnsi="Arial"/>
          <w:b/>
          <w:bCs/>
        </w:rPr>
      </w:pPr>
      <w:r w:rsidRPr="00824D02">
        <w:rPr>
          <w:rFonts w:ascii="Arial" w:hAnsi="Arial"/>
          <w:b/>
          <w:bCs/>
          <w:rtl/>
        </w:rPr>
        <w:t>גזר הדין</w:t>
      </w:r>
    </w:p>
    <w:p w14:paraId="0790AAFB" w14:textId="77777777" w:rsidR="00681EC5" w:rsidRPr="00824D02" w:rsidRDefault="00681EC5" w:rsidP="00681EC5">
      <w:pPr>
        <w:rPr>
          <w:rFonts w:ascii="Arial" w:hAnsi="Arial"/>
          <w:rtl/>
        </w:rPr>
      </w:pPr>
    </w:p>
    <w:p w14:paraId="53FC1D73" w14:textId="77777777" w:rsidR="00681EC5" w:rsidRPr="00824D02" w:rsidRDefault="00681EC5" w:rsidP="00681EC5">
      <w:pPr>
        <w:pStyle w:val="a9"/>
        <w:numPr>
          <w:ilvl w:val="0"/>
          <w:numId w:val="1"/>
        </w:numPr>
        <w:spacing w:line="360" w:lineRule="auto"/>
        <w:jc w:val="both"/>
        <w:rPr>
          <w:rFonts w:ascii="Arial" w:hAnsi="Arial"/>
          <w:rtl/>
        </w:rPr>
      </w:pPr>
      <w:r w:rsidRPr="00824D02">
        <w:rPr>
          <w:rFonts w:ascii="Arial" w:hAnsi="Arial"/>
          <w:rtl/>
        </w:rPr>
        <w:t>בשים לב למתחם העונש שקבעתי ולשיקולים הקשורים לגזירת העונש, אני גוזר על הנאשם את העונשים הבאים:</w:t>
      </w:r>
    </w:p>
    <w:p w14:paraId="0A029C72" w14:textId="77777777" w:rsidR="00681EC5" w:rsidRPr="00824D02" w:rsidRDefault="00681EC5" w:rsidP="00681EC5">
      <w:pPr>
        <w:pStyle w:val="a9"/>
        <w:spacing w:line="360" w:lineRule="auto"/>
        <w:ind w:left="57"/>
        <w:jc w:val="both"/>
        <w:rPr>
          <w:rFonts w:ascii="Arial" w:hAnsi="Arial"/>
        </w:rPr>
      </w:pPr>
    </w:p>
    <w:p w14:paraId="213888D3" w14:textId="77777777" w:rsidR="00681EC5" w:rsidRPr="00824D02" w:rsidRDefault="00681EC5" w:rsidP="00681EC5">
      <w:pPr>
        <w:pStyle w:val="a9"/>
        <w:numPr>
          <w:ilvl w:val="0"/>
          <w:numId w:val="2"/>
        </w:numPr>
        <w:tabs>
          <w:tab w:val="left" w:pos="1134"/>
        </w:tabs>
        <w:spacing w:line="360" w:lineRule="auto"/>
        <w:ind w:left="567" w:firstLine="0"/>
        <w:jc w:val="both"/>
        <w:rPr>
          <w:rFonts w:ascii="Arial" w:hAnsi="Arial"/>
          <w:rtl/>
        </w:rPr>
      </w:pPr>
      <w:r w:rsidRPr="00824D02">
        <w:rPr>
          <w:rFonts w:ascii="Arial" w:hAnsi="Arial"/>
          <w:rtl/>
        </w:rPr>
        <w:t>מאסר בפועל לתקופה של</w:t>
      </w:r>
      <w:r w:rsidRPr="00824D02">
        <w:rPr>
          <w:rFonts w:ascii="Arial" w:hAnsi="Arial" w:hint="cs"/>
          <w:rtl/>
        </w:rPr>
        <w:t xml:space="preserve"> 12 חודשים </w:t>
      </w:r>
      <w:r w:rsidRPr="00824D02">
        <w:rPr>
          <w:rFonts w:ascii="Arial" w:hAnsi="Arial"/>
          <w:rtl/>
        </w:rPr>
        <w:t>בניכוי ימי מעצרו מיו</w:t>
      </w:r>
      <w:r w:rsidRPr="00824D02">
        <w:rPr>
          <w:rFonts w:ascii="Arial" w:hAnsi="Arial" w:hint="cs"/>
          <w:rtl/>
        </w:rPr>
        <w:t xml:space="preserve">ם 21.10.2022. </w:t>
      </w:r>
      <w:r w:rsidRPr="00824D02">
        <w:rPr>
          <w:rFonts w:ascii="Arial" w:hAnsi="Arial"/>
          <w:rtl/>
        </w:rPr>
        <w:t xml:space="preserve"> </w:t>
      </w:r>
    </w:p>
    <w:p w14:paraId="10E5BE1A" w14:textId="77777777" w:rsidR="00681EC5" w:rsidRPr="00824D02" w:rsidRDefault="00681EC5" w:rsidP="00681EC5">
      <w:pPr>
        <w:pStyle w:val="a9"/>
        <w:tabs>
          <w:tab w:val="left" w:pos="1134"/>
        </w:tabs>
        <w:spacing w:line="360" w:lineRule="auto"/>
        <w:ind w:left="567"/>
        <w:jc w:val="both"/>
        <w:rPr>
          <w:rFonts w:ascii="Arial" w:hAnsi="Arial"/>
        </w:rPr>
      </w:pPr>
    </w:p>
    <w:p w14:paraId="58BAAECE" w14:textId="77777777" w:rsidR="00681EC5" w:rsidRPr="00824D02" w:rsidRDefault="00681EC5" w:rsidP="00681EC5">
      <w:pPr>
        <w:pStyle w:val="a9"/>
        <w:numPr>
          <w:ilvl w:val="0"/>
          <w:numId w:val="2"/>
        </w:numPr>
        <w:tabs>
          <w:tab w:val="left" w:pos="1134"/>
        </w:tabs>
        <w:spacing w:line="360" w:lineRule="auto"/>
        <w:ind w:left="567" w:firstLine="0"/>
        <w:jc w:val="both"/>
        <w:rPr>
          <w:rFonts w:ascii="Arial" w:hAnsi="Arial"/>
        </w:rPr>
      </w:pPr>
      <w:r w:rsidRPr="00824D02">
        <w:rPr>
          <w:rFonts w:ascii="Arial" w:hAnsi="Arial"/>
          <w:rtl/>
        </w:rPr>
        <w:t>מאסר על תנאי למשך 1</w:t>
      </w:r>
      <w:r w:rsidRPr="00824D02">
        <w:rPr>
          <w:rFonts w:ascii="Arial" w:hAnsi="Arial" w:hint="cs"/>
          <w:rtl/>
        </w:rPr>
        <w:t>2</w:t>
      </w:r>
      <w:r w:rsidRPr="00824D02">
        <w:rPr>
          <w:rFonts w:ascii="Arial" w:hAnsi="Arial"/>
          <w:rtl/>
        </w:rPr>
        <w:t xml:space="preserve"> חודשים והתנאי כי הנאשם לא יעבור בתוך שלוש שנים עבירת נשק</w:t>
      </w:r>
      <w:r w:rsidRPr="00824D02">
        <w:rPr>
          <w:rFonts w:ascii="Arial" w:hAnsi="Arial" w:hint="cs"/>
          <w:rtl/>
        </w:rPr>
        <w:t xml:space="preserve"> או עבירה של ירי מנשק חם</w:t>
      </w:r>
      <w:r w:rsidRPr="00824D02">
        <w:rPr>
          <w:rFonts w:ascii="Arial" w:hAnsi="Arial"/>
          <w:rtl/>
        </w:rPr>
        <w:t>; ואולם אם יורשע בעביר</w:t>
      </w:r>
      <w:r w:rsidRPr="00824D02">
        <w:rPr>
          <w:rFonts w:ascii="Arial" w:hAnsi="Arial" w:hint="cs"/>
          <w:rtl/>
        </w:rPr>
        <w:t xml:space="preserve">ה מעבירות אלו </w:t>
      </w:r>
      <w:r w:rsidRPr="00824D02">
        <w:rPr>
          <w:rFonts w:ascii="Arial" w:hAnsi="Arial"/>
          <w:rtl/>
        </w:rPr>
        <w:t xml:space="preserve">מסוג עוון יישא ב- </w:t>
      </w:r>
      <w:r w:rsidRPr="00824D02">
        <w:rPr>
          <w:rFonts w:ascii="Arial" w:hAnsi="Arial" w:hint="cs"/>
          <w:rtl/>
        </w:rPr>
        <w:t>6</w:t>
      </w:r>
      <w:r w:rsidRPr="00824D02">
        <w:rPr>
          <w:rFonts w:ascii="Arial" w:hAnsi="Arial"/>
          <w:rtl/>
        </w:rPr>
        <w:t xml:space="preserve"> חודשים בלבד מתוכם. </w:t>
      </w:r>
    </w:p>
    <w:p w14:paraId="0CD0F9FE" w14:textId="77777777" w:rsidR="00681EC5" w:rsidRPr="00824D02" w:rsidRDefault="00681EC5" w:rsidP="00681EC5">
      <w:pPr>
        <w:pStyle w:val="a9"/>
        <w:rPr>
          <w:rFonts w:ascii="Arial" w:hAnsi="Arial"/>
          <w:rtl/>
        </w:rPr>
      </w:pPr>
    </w:p>
    <w:p w14:paraId="481340FE" w14:textId="77777777" w:rsidR="00681EC5" w:rsidRPr="00824D02" w:rsidRDefault="00681EC5" w:rsidP="00681EC5">
      <w:pPr>
        <w:pStyle w:val="a9"/>
        <w:numPr>
          <w:ilvl w:val="0"/>
          <w:numId w:val="2"/>
        </w:numPr>
        <w:tabs>
          <w:tab w:val="left" w:pos="1134"/>
        </w:tabs>
        <w:spacing w:line="360" w:lineRule="auto"/>
        <w:ind w:left="567" w:firstLine="0"/>
        <w:jc w:val="both"/>
        <w:rPr>
          <w:rFonts w:ascii="Arial" w:hAnsi="Arial"/>
          <w:rtl/>
        </w:rPr>
      </w:pPr>
      <w:r w:rsidRPr="00824D02">
        <w:rPr>
          <w:rFonts w:ascii="Arial" w:hAnsi="Arial" w:hint="cs"/>
          <w:rtl/>
        </w:rPr>
        <w:t xml:space="preserve">קנס בסך 3000 ₪ או 30 ימי מאסר תמורתו. הקנס ישולם ב- 6 </w:t>
      </w:r>
      <w:r w:rsidRPr="00824D02">
        <w:rPr>
          <w:rtl/>
        </w:rPr>
        <w:t xml:space="preserve">תשלומים חודשיים רצופים ושווים  החל מיום  </w:t>
      </w:r>
      <w:r w:rsidRPr="00824D02">
        <w:rPr>
          <w:rFonts w:hint="cs"/>
          <w:rtl/>
        </w:rPr>
        <w:t xml:space="preserve">1.4.2023 </w:t>
      </w:r>
      <w:r w:rsidRPr="00824D02">
        <w:rPr>
          <w:rtl/>
        </w:rPr>
        <w:t>ובכל</w:t>
      </w:r>
      <w:r w:rsidRPr="00824D02">
        <w:rPr>
          <w:rFonts w:hint="cs"/>
          <w:rtl/>
        </w:rPr>
        <w:t xml:space="preserve"> 1</w:t>
      </w:r>
      <w:r w:rsidRPr="00824D02">
        <w:rPr>
          <w:rtl/>
        </w:rPr>
        <w:t xml:space="preserve"> לחודש שלאחריו.</w:t>
      </w:r>
      <w:r w:rsidRPr="00824D02">
        <w:rPr>
          <w:rFonts w:hint="cs"/>
          <w:rtl/>
        </w:rPr>
        <w:t xml:space="preserve"> </w:t>
      </w:r>
      <w:r w:rsidRPr="00824D02">
        <w:rPr>
          <w:rtl/>
        </w:rPr>
        <w:t>אי תשלום אחד משיעורי הקנס במלואו ובמועדו, יעמיד את יתרת הקנס לפ</w:t>
      </w:r>
      <w:r w:rsidRPr="00824D02">
        <w:rPr>
          <w:rFonts w:hint="cs"/>
          <w:rtl/>
        </w:rPr>
        <w:t>י</w:t>
      </w:r>
      <w:r w:rsidRPr="00824D02">
        <w:rPr>
          <w:rtl/>
        </w:rPr>
        <w:t>רעון מיידי.</w:t>
      </w:r>
    </w:p>
    <w:p w14:paraId="25B12133" w14:textId="77777777" w:rsidR="00681EC5" w:rsidRPr="00824D02" w:rsidRDefault="00681EC5" w:rsidP="00681EC5">
      <w:pPr>
        <w:spacing w:line="360" w:lineRule="auto"/>
        <w:jc w:val="both"/>
        <w:rPr>
          <w:b/>
          <w:bCs/>
          <w:rtl/>
        </w:rPr>
      </w:pPr>
    </w:p>
    <w:p w14:paraId="17535B99" w14:textId="77777777" w:rsidR="00681EC5" w:rsidRPr="00824D02" w:rsidRDefault="00780420" w:rsidP="00681EC5">
      <w:pPr>
        <w:rPr>
          <w:rFonts w:ascii="Arial" w:hAnsi="Arial"/>
          <w:b/>
          <w:bCs/>
          <w:u w:val="single"/>
          <w:rtl/>
        </w:rPr>
      </w:pPr>
      <w:r w:rsidRPr="00824D02">
        <w:rPr>
          <w:rFonts w:ascii="Arial" w:hAnsi="Arial"/>
          <w:b/>
          <w:bCs/>
          <w:color w:val="FFFFFF"/>
          <w:sz w:val="2"/>
          <w:szCs w:val="2"/>
          <w:u w:val="single"/>
          <w:rtl/>
        </w:rPr>
        <w:t>5129371</w:t>
      </w:r>
      <w:r w:rsidR="00681EC5" w:rsidRPr="00824D02">
        <w:rPr>
          <w:rFonts w:ascii="Arial" w:hAnsi="Arial"/>
          <w:b/>
          <w:bCs/>
          <w:u w:val="single"/>
          <w:rtl/>
        </w:rPr>
        <w:t>זכות ערעור לבית המשפט העליון תוך 45 ימים.</w:t>
      </w:r>
    </w:p>
    <w:p w14:paraId="73EDCDA7" w14:textId="77777777" w:rsidR="00681EC5" w:rsidRPr="00824D02" w:rsidRDefault="00780420" w:rsidP="00681EC5">
      <w:pPr>
        <w:rPr>
          <w:rFonts w:ascii="Arial" w:hAnsi="Arial"/>
          <w:b/>
          <w:bCs/>
          <w:color w:val="FFFFFF"/>
          <w:sz w:val="2"/>
          <w:szCs w:val="2"/>
          <w:rtl/>
        </w:rPr>
      </w:pPr>
      <w:r w:rsidRPr="00824D02">
        <w:rPr>
          <w:rFonts w:ascii="Arial" w:hAnsi="Arial"/>
          <w:b/>
          <w:bCs/>
          <w:color w:val="FFFFFF"/>
          <w:sz w:val="2"/>
          <w:szCs w:val="2"/>
          <w:rtl/>
        </w:rPr>
        <w:t>54678313</w:t>
      </w:r>
    </w:p>
    <w:p w14:paraId="04F76E0B" w14:textId="77777777" w:rsidR="00681EC5" w:rsidRPr="00824D02" w:rsidRDefault="00681EC5" w:rsidP="00681EC5">
      <w:pPr>
        <w:rPr>
          <w:rFonts w:ascii="Arial" w:hAnsi="Arial"/>
          <w:b/>
          <w:bCs/>
          <w:sz w:val="26"/>
          <w:szCs w:val="26"/>
          <w:rtl/>
        </w:rPr>
      </w:pPr>
    </w:p>
    <w:p w14:paraId="23453E8A" w14:textId="77777777" w:rsidR="00681EC5" w:rsidRPr="00824D02" w:rsidRDefault="00780420" w:rsidP="00681EC5">
      <w:pPr>
        <w:spacing w:line="360" w:lineRule="auto"/>
        <w:jc w:val="both"/>
        <w:rPr>
          <w:rFonts w:ascii="Arial" w:hAnsi="Arial"/>
          <w:b/>
          <w:bCs/>
          <w:sz w:val="26"/>
          <w:szCs w:val="26"/>
          <w:rtl/>
        </w:rPr>
      </w:pPr>
      <w:bookmarkStart w:id="7" w:name="Nitan"/>
      <w:r w:rsidRPr="00824D02">
        <w:rPr>
          <w:rFonts w:ascii="Arial" w:hAnsi="Arial"/>
          <w:b/>
          <w:bCs/>
          <w:sz w:val="26"/>
          <w:szCs w:val="26"/>
          <w:rtl/>
        </w:rPr>
        <w:t xml:space="preserve">ניתן היום,  כ"א אדר תשפ"ג, 14 מרץ 2023, בנוכחות הנאשם וב"כ הצדדים. </w:t>
      </w:r>
      <w:bookmarkEnd w:id="7"/>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b/>
          <w:bCs/>
          <w:sz w:val="26"/>
          <w:szCs w:val="26"/>
          <w:rtl/>
        </w:rPr>
        <w:tab/>
      </w:r>
      <w:r w:rsidR="00681EC5" w:rsidRPr="00824D02">
        <w:rPr>
          <w:rFonts w:ascii="Arial" w:hAnsi="Arial" w:hint="cs"/>
          <w:b/>
          <w:bCs/>
          <w:sz w:val="26"/>
          <w:szCs w:val="26"/>
          <w:rtl/>
        </w:rPr>
        <w:t xml:space="preserve">         </w:t>
      </w:r>
    </w:p>
    <w:p w14:paraId="327D03DC" w14:textId="77777777" w:rsidR="00681EC5" w:rsidRPr="00824D02" w:rsidRDefault="00681EC5" w:rsidP="00780420">
      <w:pPr>
        <w:jc w:val="center"/>
      </w:pPr>
      <w:r w:rsidRPr="00824D02">
        <w:rPr>
          <w:rFonts w:ascii="Arial" w:hAnsi="Arial"/>
          <w:b/>
          <w:bCs/>
          <w:sz w:val="26"/>
          <w:szCs w:val="26"/>
          <w:rtl/>
        </w:rPr>
        <w:t xml:space="preserve">   </w:t>
      </w:r>
      <w:r w:rsidRPr="00824D02">
        <w:rPr>
          <w:rFonts w:ascii="Arial" w:hAnsi="Arial"/>
          <w:b/>
          <w:bCs/>
          <w:sz w:val="26"/>
          <w:szCs w:val="26"/>
          <w:rtl/>
        </w:rPr>
        <w:tab/>
      </w:r>
      <w:r w:rsidRPr="00824D02">
        <w:rPr>
          <w:rFonts w:ascii="Arial" w:hAnsi="Arial"/>
          <w:b/>
          <w:bCs/>
          <w:sz w:val="26"/>
          <w:szCs w:val="26"/>
          <w:rtl/>
        </w:rPr>
        <w:tab/>
      </w:r>
      <w:r w:rsidRPr="00824D02">
        <w:rPr>
          <w:rFonts w:ascii="Arial" w:hAnsi="Arial"/>
          <w:b/>
          <w:bCs/>
          <w:sz w:val="26"/>
          <w:szCs w:val="26"/>
          <w:rtl/>
        </w:rPr>
        <w:tab/>
      </w:r>
      <w:r w:rsidRPr="00824D02">
        <w:rPr>
          <w:rFonts w:ascii="Arial" w:hAnsi="Arial"/>
          <w:b/>
          <w:bCs/>
          <w:sz w:val="26"/>
          <w:szCs w:val="26"/>
          <w:rtl/>
        </w:rPr>
        <w:tab/>
      </w:r>
      <w:r w:rsidRPr="00824D02">
        <w:rPr>
          <w:rFonts w:ascii="Arial" w:hAnsi="Arial"/>
          <w:b/>
          <w:bCs/>
          <w:sz w:val="26"/>
          <w:szCs w:val="26"/>
          <w:rtl/>
        </w:rPr>
        <w:tab/>
      </w:r>
    </w:p>
    <w:p w14:paraId="0109CC98" w14:textId="77777777" w:rsidR="00681EC5" w:rsidRPr="00824D02" w:rsidRDefault="00681EC5" w:rsidP="00681EC5">
      <w:pPr>
        <w:jc w:val="center"/>
        <w:rPr>
          <w:rFonts w:ascii="Arial" w:hAnsi="Arial"/>
          <w:b/>
          <w:bCs/>
          <w:sz w:val="26"/>
          <w:szCs w:val="26"/>
          <w:rtl/>
        </w:rPr>
      </w:pPr>
    </w:p>
    <w:p w14:paraId="6FFA8323" w14:textId="77777777" w:rsidR="00783FB6" w:rsidRPr="00824D02" w:rsidRDefault="00783FB6" w:rsidP="00780420">
      <w:pPr>
        <w:keepNext/>
        <w:rPr>
          <w:rFonts w:ascii="David" w:hAnsi="David"/>
          <w:color w:val="000000"/>
          <w:sz w:val="22"/>
          <w:szCs w:val="22"/>
          <w:rtl/>
        </w:rPr>
      </w:pPr>
    </w:p>
    <w:p w14:paraId="7885BE17" w14:textId="77777777" w:rsidR="00780420" w:rsidRPr="00824D02" w:rsidRDefault="00780420" w:rsidP="00780420">
      <w:pPr>
        <w:keepNext/>
        <w:rPr>
          <w:rFonts w:ascii="David" w:hAnsi="David"/>
          <w:color w:val="000000"/>
          <w:sz w:val="22"/>
          <w:szCs w:val="22"/>
          <w:rtl/>
        </w:rPr>
      </w:pPr>
      <w:r w:rsidRPr="00824D02">
        <w:rPr>
          <w:rFonts w:ascii="David" w:hAnsi="David"/>
          <w:color w:val="000000"/>
          <w:sz w:val="22"/>
          <w:szCs w:val="22"/>
          <w:rtl/>
        </w:rPr>
        <w:t>מוחמד עלי 54678313</w:t>
      </w:r>
    </w:p>
    <w:p w14:paraId="3DDA5EC8" w14:textId="77777777" w:rsidR="00780420" w:rsidRPr="00824D02" w:rsidRDefault="00780420" w:rsidP="00780420">
      <w:r w:rsidRPr="00824D02">
        <w:rPr>
          <w:color w:val="000000"/>
          <w:rtl/>
        </w:rPr>
        <w:t>נוסח מסמך זה כפוף לשינויי ניסוח ועריכה</w:t>
      </w:r>
    </w:p>
    <w:p w14:paraId="7D73042E" w14:textId="77777777" w:rsidR="00780420" w:rsidRPr="00824D02" w:rsidRDefault="00780420" w:rsidP="00780420">
      <w:pPr>
        <w:rPr>
          <w:rtl/>
        </w:rPr>
      </w:pPr>
    </w:p>
    <w:p w14:paraId="40745DA2" w14:textId="77777777" w:rsidR="00780420" w:rsidRPr="00824D02" w:rsidRDefault="00780420" w:rsidP="00780420">
      <w:pPr>
        <w:jc w:val="center"/>
        <w:rPr>
          <w:color w:val="0000FF"/>
          <w:u w:val="single"/>
        </w:rPr>
      </w:pPr>
      <w:hyperlink r:id="rId34" w:history="1">
        <w:r w:rsidRPr="00824D02">
          <w:rPr>
            <w:color w:val="0000FF"/>
            <w:u w:val="single"/>
            <w:rtl/>
          </w:rPr>
          <w:t>בעניין עריכה ושינויים במסמכי פסיקה, חקיקה ועוד באתר נבו – הקש כאן</w:t>
        </w:r>
      </w:hyperlink>
    </w:p>
    <w:p w14:paraId="4B38F2AE" w14:textId="77777777" w:rsidR="00780420" w:rsidRPr="00824D02" w:rsidRDefault="00780420" w:rsidP="00780420">
      <w:pPr>
        <w:jc w:val="center"/>
        <w:rPr>
          <w:color w:val="0000FF"/>
          <w:u w:val="single"/>
        </w:rPr>
      </w:pPr>
    </w:p>
    <w:sectPr w:rsidR="00780420" w:rsidRPr="00824D02" w:rsidSect="0078042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0BD10" w14:textId="77777777" w:rsidR="00051B30" w:rsidRDefault="00051B30" w:rsidP="007F3F52">
      <w:r>
        <w:separator/>
      </w:r>
    </w:p>
  </w:endnote>
  <w:endnote w:type="continuationSeparator" w:id="0">
    <w:p w14:paraId="5B17CC7B" w14:textId="77777777" w:rsidR="00051B30" w:rsidRDefault="00051B30" w:rsidP="007F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8042F" w14:textId="77777777" w:rsidR="00780420" w:rsidRDefault="00780420" w:rsidP="00780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352AD5" w14:textId="77777777" w:rsidR="001F710C" w:rsidRPr="00780420" w:rsidRDefault="00780420" w:rsidP="007804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9BBD7" w14:textId="77777777" w:rsidR="00780420" w:rsidRDefault="00780420" w:rsidP="00780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17C4">
      <w:rPr>
        <w:rFonts w:ascii="FrankRuehl" w:hAnsi="FrankRuehl" w:cs="FrankRuehl"/>
        <w:noProof/>
        <w:rtl/>
      </w:rPr>
      <w:t>1</w:t>
    </w:r>
    <w:r>
      <w:rPr>
        <w:rFonts w:ascii="FrankRuehl" w:hAnsi="FrankRuehl" w:cs="FrankRuehl"/>
        <w:rtl/>
      </w:rPr>
      <w:fldChar w:fldCharType="end"/>
    </w:r>
  </w:p>
  <w:p w14:paraId="34381B78" w14:textId="77777777" w:rsidR="001F710C" w:rsidRPr="00780420" w:rsidRDefault="00780420" w:rsidP="007804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45A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C58B9" w14:textId="77777777" w:rsidR="00051B30" w:rsidRDefault="00051B30" w:rsidP="007F3F52">
      <w:r>
        <w:separator/>
      </w:r>
    </w:p>
  </w:footnote>
  <w:footnote w:type="continuationSeparator" w:id="0">
    <w:p w14:paraId="31D6437B" w14:textId="77777777" w:rsidR="00051B30" w:rsidRDefault="00051B30" w:rsidP="007F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AC00A" w14:textId="77777777" w:rsidR="00780420" w:rsidRPr="00780420" w:rsidRDefault="00780420" w:rsidP="007804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1716-11-22</w:t>
    </w:r>
    <w:r>
      <w:rPr>
        <w:rFonts w:ascii="David" w:hAnsi="David"/>
        <w:color w:val="000000"/>
        <w:sz w:val="22"/>
        <w:szCs w:val="22"/>
        <w:rtl/>
      </w:rPr>
      <w:tab/>
      <w:t xml:space="preserve"> מדינת ישראל נ' אחמד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8194C" w14:textId="77777777" w:rsidR="00780420" w:rsidRPr="00780420" w:rsidRDefault="00780420" w:rsidP="007804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1716-11-22</w:t>
    </w:r>
    <w:r>
      <w:rPr>
        <w:rFonts w:ascii="David" w:hAnsi="David"/>
        <w:color w:val="000000"/>
        <w:sz w:val="22"/>
        <w:szCs w:val="22"/>
        <w:rtl/>
      </w:rPr>
      <w:tab/>
      <w:t xml:space="preserve"> מדינת ישראל נ' אחמד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95528"/>
    <w:multiLevelType w:val="hybridMultilevel"/>
    <w:tmpl w:val="E4C62394"/>
    <w:lvl w:ilvl="0" w:tplc="096261F0">
      <w:start w:val="1"/>
      <w:numFmt w:val="decimal"/>
      <w:lvlText w:val="%1."/>
      <w:lvlJc w:val="left"/>
      <w:pPr>
        <w:tabs>
          <w:tab w:val="num" w:pos="567"/>
        </w:tabs>
        <w:ind w:left="0" w:firstLine="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2F5FC2"/>
    <w:multiLevelType w:val="hybridMultilevel"/>
    <w:tmpl w:val="57D05424"/>
    <w:lvl w:ilvl="0" w:tplc="6C4654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33144500">
    <w:abstractNumId w:val="0"/>
  </w:num>
  <w:num w:numId="2" w16cid:durableId="566917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1EC5"/>
    <w:rsid w:val="00051B30"/>
    <w:rsid w:val="0005296B"/>
    <w:rsid w:val="001B5A3B"/>
    <w:rsid w:val="001F710C"/>
    <w:rsid w:val="004117C4"/>
    <w:rsid w:val="005A2E07"/>
    <w:rsid w:val="00681EC5"/>
    <w:rsid w:val="006A50F2"/>
    <w:rsid w:val="00780420"/>
    <w:rsid w:val="00783FB6"/>
    <w:rsid w:val="007F3F52"/>
    <w:rsid w:val="00810E34"/>
    <w:rsid w:val="00824D02"/>
    <w:rsid w:val="00984EB2"/>
    <w:rsid w:val="00C36FEE"/>
    <w:rsid w:val="00F65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BE94C"/>
  <w15:chartTrackingRefBased/>
  <w15:docId w15:val="{D86AE9A2-7A24-4176-A500-DD833001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1E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1EC5"/>
    <w:pPr>
      <w:tabs>
        <w:tab w:val="center" w:pos="4153"/>
        <w:tab w:val="right" w:pos="8306"/>
      </w:tabs>
    </w:pPr>
  </w:style>
  <w:style w:type="character" w:customStyle="1" w:styleId="a4">
    <w:name w:val="כותרת עליונה תו"/>
    <w:link w:val="a3"/>
    <w:rsid w:val="00681EC5"/>
    <w:rPr>
      <w:rFonts w:ascii="Times New Roman" w:eastAsia="Times New Roman" w:hAnsi="Times New Roman" w:cs="David"/>
      <w:sz w:val="24"/>
      <w:szCs w:val="24"/>
    </w:rPr>
  </w:style>
  <w:style w:type="paragraph" w:styleId="a5">
    <w:name w:val="footer"/>
    <w:basedOn w:val="a"/>
    <w:link w:val="a6"/>
    <w:rsid w:val="00681EC5"/>
    <w:pPr>
      <w:tabs>
        <w:tab w:val="center" w:pos="4153"/>
        <w:tab w:val="right" w:pos="8306"/>
      </w:tabs>
    </w:pPr>
  </w:style>
  <w:style w:type="character" w:customStyle="1" w:styleId="a6">
    <w:name w:val="כותרת תחתונה תו"/>
    <w:link w:val="a5"/>
    <w:rsid w:val="00681EC5"/>
    <w:rPr>
      <w:rFonts w:ascii="Times New Roman" w:eastAsia="Times New Roman" w:hAnsi="Times New Roman" w:cs="David"/>
      <w:sz w:val="24"/>
      <w:szCs w:val="24"/>
    </w:rPr>
  </w:style>
  <w:style w:type="table" w:styleId="a7">
    <w:name w:val="Table Grid"/>
    <w:basedOn w:val="a1"/>
    <w:rsid w:val="00681E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1EC5"/>
  </w:style>
  <w:style w:type="paragraph" w:styleId="a9">
    <w:name w:val="List Paragraph"/>
    <w:basedOn w:val="a"/>
    <w:qFormat/>
    <w:rsid w:val="00681EC5"/>
    <w:pPr>
      <w:ind w:left="720"/>
      <w:contextualSpacing/>
    </w:pPr>
  </w:style>
  <w:style w:type="character" w:styleId="Hyperlink">
    <w:name w:val="Hyperlink"/>
    <w:rsid w:val="007804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7721185" TargetMode="External"/><Relationship Id="rId39" Type="http://schemas.openxmlformats.org/officeDocument/2006/relationships/fontTable" Target="fontTable.xml"/><Relationship Id="rId21" Type="http://schemas.openxmlformats.org/officeDocument/2006/relationships/hyperlink" Target="http://www.nevo.co.il/case/2888308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c" TargetMode="External"/><Relationship Id="rId20" Type="http://schemas.openxmlformats.org/officeDocument/2006/relationships/hyperlink" Target="http://www.nevo.co.il/case/28266138" TargetMode="External"/><Relationship Id="rId29" Type="http://schemas.openxmlformats.org/officeDocument/2006/relationships/hyperlink" Target="http://www.nevo.co.il/case/284000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law/70301/144.g" TargetMode="External"/><Relationship Id="rId32" Type="http://schemas.openxmlformats.org/officeDocument/2006/relationships/hyperlink" Target="http://www.nevo.co.il/law/70301/40j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44.g" TargetMode="External"/><Relationship Id="rId28" Type="http://schemas.openxmlformats.org/officeDocument/2006/relationships/hyperlink" Target="http://www.nevo.co.il/case/28236735"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378067"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963593" TargetMode="External"/><Relationship Id="rId30" Type="http://schemas.openxmlformats.org/officeDocument/2006/relationships/hyperlink" Target="http://www.nevo.co.il/case/28513828" TargetMode="External"/><Relationship Id="rId35" Type="http://schemas.openxmlformats.org/officeDocument/2006/relationships/header" Target="header1.xml"/><Relationship Id="rId8" Type="http://schemas.openxmlformats.org/officeDocument/2006/relationships/hyperlink" Target="http://www.nevo.co.il/law/70301/40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1582</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9479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4128891</vt:i4>
      </vt:variant>
      <vt:variant>
        <vt:i4>72</vt:i4>
      </vt:variant>
      <vt:variant>
        <vt:i4>0</vt:i4>
      </vt:variant>
      <vt:variant>
        <vt:i4>5</vt:i4>
      </vt:variant>
      <vt:variant>
        <vt:lpwstr>http://www.nevo.co.il/case/28378067</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3276924</vt:i4>
      </vt:variant>
      <vt:variant>
        <vt:i4>66</vt:i4>
      </vt:variant>
      <vt:variant>
        <vt:i4>0</vt:i4>
      </vt:variant>
      <vt:variant>
        <vt:i4>5</vt:i4>
      </vt:variant>
      <vt:variant>
        <vt:lpwstr>http://www.nevo.co.il/case/28400048</vt:lpwstr>
      </vt:variant>
      <vt:variant>
        <vt:lpwstr/>
      </vt:variant>
      <vt:variant>
        <vt:i4>3473528</vt:i4>
      </vt:variant>
      <vt:variant>
        <vt:i4>63</vt:i4>
      </vt:variant>
      <vt:variant>
        <vt:i4>0</vt:i4>
      </vt:variant>
      <vt:variant>
        <vt:i4>5</vt:i4>
      </vt:variant>
      <vt:variant>
        <vt:lpwstr>http://www.nevo.co.il/case/28236735</vt:lpwstr>
      </vt:variant>
      <vt:variant>
        <vt:lpwstr/>
      </vt:variant>
      <vt:variant>
        <vt:i4>3211391</vt:i4>
      </vt:variant>
      <vt:variant>
        <vt:i4>60</vt:i4>
      </vt:variant>
      <vt:variant>
        <vt:i4>0</vt:i4>
      </vt:variant>
      <vt:variant>
        <vt:i4>5</vt:i4>
      </vt:variant>
      <vt:variant>
        <vt:lpwstr>http://www.nevo.co.il/case/28963593</vt:lpwstr>
      </vt:variant>
      <vt:variant>
        <vt:lpwstr/>
      </vt:variant>
      <vt:variant>
        <vt:i4>3932272</vt:i4>
      </vt:variant>
      <vt:variant>
        <vt:i4>57</vt:i4>
      </vt:variant>
      <vt:variant>
        <vt:i4>0</vt:i4>
      </vt:variant>
      <vt:variant>
        <vt:i4>5</vt:i4>
      </vt:variant>
      <vt:variant>
        <vt:lpwstr>http://www.nevo.co.il/case/27721185</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5177424</vt:i4>
      </vt:variant>
      <vt:variant>
        <vt:i4>48</vt:i4>
      </vt:variant>
      <vt:variant>
        <vt:i4>0</vt:i4>
      </vt:variant>
      <vt:variant>
        <vt:i4>5</vt:i4>
      </vt:variant>
      <vt:variant>
        <vt:lpwstr>http://www.nevo.co.il/law/70301/144.g</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3473531</vt:i4>
      </vt:variant>
      <vt:variant>
        <vt:i4>39</vt:i4>
      </vt:variant>
      <vt:variant>
        <vt:i4>0</vt:i4>
      </vt:variant>
      <vt:variant>
        <vt:i4>5</vt:i4>
      </vt:variant>
      <vt:variant>
        <vt:lpwstr>http://www.nevo.co.il/case/28266138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1716</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מחאג'נה</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20230314</vt:lpwstr>
  </property>
  <property fmtid="{D5CDD505-2E9C-101B-9397-08002B2CF9AE}" pid="13" name="TYPE_N_DATE">
    <vt:lpwstr>39020230314</vt:lpwstr>
  </property>
  <property fmtid="{D5CDD505-2E9C-101B-9397-08002B2CF9AE}" pid="14" name="WORDNUMPAGES">
    <vt:lpwstr>5</vt:lpwstr>
  </property>
  <property fmtid="{D5CDD505-2E9C-101B-9397-08002B2CF9AE}" pid="15" name="TYPE_ABS_DATE">
    <vt:lpwstr>390020230314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28266138;28883087;27721185;28963593;28236735;28400048;28513828;28378067</vt:lpwstr>
  </property>
  <property fmtid="{D5CDD505-2E9C-101B-9397-08002B2CF9AE}" pid="36" name="LAWLISTTMP1">
    <vt:lpwstr>70301/144.a;040c;040i;144.g:2;40ja</vt:lpwstr>
  </property>
</Properties>
</file>