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173969" w14:textId="77777777" w:rsidR="00541C78" w:rsidRPr="00541C78" w:rsidRDefault="00541C78" w:rsidP="00541C78">
      <w:pPr>
        <w:pStyle w:val="a3"/>
        <w:rPr>
          <w:rtl/>
        </w:rPr>
      </w:pPr>
      <w:bookmarkStart w:id="0" w:name="LastJudge"/>
    </w:p>
    <w:tbl>
      <w:tblPr>
        <w:bidiVisual/>
        <w:tblW w:w="8820" w:type="dxa"/>
        <w:jc w:val="center"/>
        <w:tblLook w:val="0000" w:firstRow="0" w:lastRow="0" w:firstColumn="0" w:lastColumn="0" w:noHBand="0" w:noVBand="0"/>
      </w:tblPr>
      <w:tblGrid>
        <w:gridCol w:w="923"/>
        <w:gridCol w:w="3219"/>
        <w:gridCol w:w="918"/>
        <w:gridCol w:w="3661"/>
        <w:gridCol w:w="99"/>
      </w:tblGrid>
      <w:tr w:rsidR="00BA3D2F" w:rsidRPr="00541C78" w14:paraId="2F48489B" w14:textId="77777777" w:rsidTr="00A95446">
        <w:trPr>
          <w:gridAfter w:val="1"/>
          <w:wAfter w:w="99" w:type="dxa"/>
          <w:trHeight w:hRule="exact" w:val="418"/>
          <w:jc w:val="center"/>
        </w:trPr>
        <w:tc>
          <w:tcPr>
            <w:tcW w:w="8721" w:type="dxa"/>
            <w:gridSpan w:val="4"/>
          </w:tcPr>
          <w:p w14:paraId="77025373" w14:textId="77777777" w:rsidR="00BA3D2F" w:rsidRPr="00541C78" w:rsidRDefault="00BA3D2F" w:rsidP="00047257">
            <w:pPr>
              <w:pStyle w:val="a3"/>
              <w:jc w:val="center"/>
              <w:rPr>
                <w:rFonts w:ascii="Tahoma" w:hAnsi="Tahoma" w:cs="Tahoma"/>
                <w:color w:val="000080"/>
                <w:rtl/>
              </w:rPr>
            </w:pPr>
            <w:r w:rsidRPr="00541C78">
              <w:rPr>
                <w:rFonts w:ascii="Tahoma" w:hAnsi="Tahoma" w:cs="Tahoma"/>
                <w:b/>
                <w:bCs/>
                <w:color w:val="000080"/>
                <w:rtl/>
              </w:rPr>
              <w:t>בית המשפט המחוזי בבאר שבע</w:t>
            </w:r>
          </w:p>
        </w:tc>
      </w:tr>
      <w:tr w:rsidR="00BA3D2F" w:rsidRPr="00541C78" w14:paraId="25445FED" w14:textId="77777777" w:rsidTr="00A95446">
        <w:trPr>
          <w:gridAfter w:val="1"/>
          <w:wAfter w:w="99" w:type="dxa"/>
          <w:trHeight w:val="337"/>
          <w:jc w:val="center"/>
        </w:trPr>
        <w:tc>
          <w:tcPr>
            <w:tcW w:w="5060" w:type="dxa"/>
            <w:gridSpan w:val="3"/>
          </w:tcPr>
          <w:p w14:paraId="03163675" w14:textId="77777777" w:rsidR="00BA3D2F" w:rsidRPr="00541C78" w:rsidRDefault="00BA3D2F" w:rsidP="00047257">
            <w:pPr>
              <w:rPr>
                <w:rFonts w:cs="FrankRuehl"/>
                <w:sz w:val="28"/>
                <w:szCs w:val="28"/>
                <w:rtl/>
              </w:rPr>
            </w:pPr>
            <w:r w:rsidRPr="00541C78">
              <w:rPr>
                <w:rFonts w:cs="FrankRuehl"/>
                <w:sz w:val="28"/>
                <w:szCs w:val="28"/>
                <w:rtl/>
              </w:rPr>
              <w:t>ת"פ</w:t>
            </w:r>
            <w:r w:rsidRPr="00541C78">
              <w:rPr>
                <w:rFonts w:cs="FrankRuehl" w:hint="cs"/>
                <w:sz w:val="28"/>
                <w:szCs w:val="28"/>
                <w:rtl/>
              </w:rPr>
              <w:t xml:space="preserve"> </w:t>
            </w:r>
            <w:r w:rsidRPr="00541C78">
              <w:rPr>
                <w:rFonts w:cs="FrankRuehl"/>
                <w:sz w:val="28"/>
                <w:szCs w:val="28"/>
                <w:rtl/>
              </w:rPr>
              <w:t>20644-11-22</w:t>
            </w:r>
            <w:r w:rsidRPr="00541C78">
              <w:rPr>
                <w:rFonts w:cs="FrankRuehl" w:hint="cs"/>
                <w:sz w:val="28"/>
                <w:szCs w:val="28"/>
                <w:rtl/>
              </w:rPr>
              <w:t xml:space="preserve"> </w:t>
            </w:r>
            <w:r w:rsidRPr="00541C78">
              <w:rPr>
                <w:rFonts w:cs="FrankRuehl"/>
                <w:sz w:val="28"/>
                <w:szCs w:val="28"/>
                <w:rtl/>
              </w:rPr>
              <w:t>מדינת ישראל נ' הואשלה(עציר)</w:t>
            </w:r>
          </w:p>
          <w:p w14:paraId="0633D94F" w14:textId="77777777" w:rsidR="00BA3D2F" w:rsidRPr="00541C78" w:rsidRDefault="00BA3D2F" w:rsidP="00047257">
            <w:pPr>
              <w:pStyle w:val="a3"/>
              <w:rPr>
                <w:rFonts w:cs="FrankRuehl"/>
                <w:sz w:val="28"/>
                <w:szCs w:val="28"/>
                <w:rtl/>
              </w:rPr>
            </w:pPr>
          </w:p>
        </w:tc>
        <w:tc>
          <w:tcPr>
            <w:tcW w:w="3661" w:type="dxa"/>
          </w:tcPr>
          <w:p w14:paraId="0E246506" w14:textId="77777777" w:rsidR="00BA3D2F" w:rsidRPr="00541C78" w:rsidRDefault="00BA3D2F" w:rsidP="00047257">
            <w:pPr>
              <w:pStyle w:val="a3"/>
              <w:jc w:val="right"/>
              <w:rPr>
                <w:rFonts w:cs="FrankRuehl"/>
                <w:sz w:val="28"/>
                <w:szCs w:val="28"/>
                <w:rtl/>
              </w:rPr>
            </w:pPr>
          </w:p>
        </w:tc>
      </w:tr>
      <w:tr w:rsidR="00BA3D2F" w:rsidRPr="00541C78" w14:paraId="3CAEC994" w14:textId="77777777" w:rsidTr="00A9544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4B20E000" w14:textId="77777777" w:rsidR="00BA3D2F" w:rsidRPr="00541C78" w:rsidRDefault="00BA3D2F" w:rsidP="00BA3D2F">
            <w:pPr>
              <w:jc w:val="both"/>
              <w:rPr>
                <w:rFonts w:ascii="David" w:hAnsi="David"/>
                <w:sz w:val="26"/>
                <w:szCs w:val="26"/>
              </w:rPr>
            </w:pPr>
            <w:r w:rsidRPr="00541C78">
              <w:rPr>
                <w:rFonts w:hint="cs"/>
                <w:rtl/>
              </w:rPr>
              <w:t xml:space="preserve"> </w:t>
            </w:r>
            <w:r w:rsidRPr="00541C78">
              <w:rPr>
                <w:rFonts w:ascii="David" w:hAnsi="David"/>
                <w:sz w:val="26"/>
                <w:szCs w:val="26"/>
                <w:rtl/>
              </w:rPr>
              <w:t xml:space="preserve">בפני </w:t>
            </w:r>
          </w:p>
        </w:tc>
        <w:tc>
          <w:tcPr>
            <w:tcW w:w="7897" w:type="dxa"/>
            <w:gridSpan w:val="4"/>
            <w:tcBorders>
              <w:top w:val="nil"/>
              <w:left w:val="nil"/>
              <w:bottom w:val="nil"/>
              <w:right w:val="nil"/>
            </w:tcBorders>
            <w:shd w:val="clear" w:color="auto" w:fill="auto"/>
          </w:tcPr>
          <w:p w14:paraId="473E3A7A" w14:textId="77777777" w:rsidR="00BA3D2F" w:rsidRPr="00541C78" w:rsidRDefault="00BA3D2F" w:rsidP="00047257">
            <w:pPr>
              <w:rPr>
                <w:rFonts w:ascii="David" w:hAnsi="David"/>
                <w:b/>
                <w:bCs/>
                <w:sz w:val="26"/>
                <w:szCs w:val="26"/>
                <w:rtl/>
              </w:rPr>
            </w:pPr>
            <w:r w:rsidRPr="00541C78">
              <w:rPr>
                <w:rFonts w:ascii="David" w:hAnsi="David"/>
                <w:b/>
                <w:bCs/>
                <w:sz w:val="26"/>
                <w:szCs w:val="26"/>
                <w:rtl/>
              </w:rPr>
              <w:t>כבוד השופט  אלון גביזון</w:t>
            </w:r>
          </w:p>
          <w:p w14:paraId="39562DA4" w14:textId="77777777" w:rsidR="00BA3D2F" w:rsidRPr="00541C78" w:rsidRDefault="00BA3D2F" w:rsidP="00047257">
            <w:pPr>
              <w:rPr>
                <w:rFonts w:ascii="David" w:hAnsi="David"/>
                <w:sz w:val="26"/>
                <w:szCs w:val="26"/>
                <w:rtl/>
              </w:rPr>
            </w:pPr>
          </w:p>
          <w:p w14:paraId="3A21C5D2" w14:textId="77777777" w:rsidR="00BA3D2F" w:rsidRPr="00541C78" w:rsidRDefault="00BA3D2F" w:rsidP="00BA3D2F">
            <w:pPr>
              <w:jc w:val="both"/>
              <w:rPr>
                <w:rFonts w:ascii="David" w:hAnsi="David"/>
                <w:sz w:val="26"/>
                <w:szCs w:val="26"/>
              </w:rPr>
            </w:pPr>
          </w:p>
        </w:tc>
      </w:tr>
      <w:tr w:rsidR="00BA3D2F" w:rsidRPr="00541C78" w14:paraId="2D711FA2" w14:textId="77777777" w:rsidTr="00A9544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187806C3" w14:textId="77777777" w:rsidR="00BA3D2F" w:rsidRPr="00541C78" w:rsidRDefault="00BA3D2F" w:rsidP="00BA3D2F">
            <w:pPr>
              <w:jc w:val="both"/>
              <w:rPr>
                <w:rFonts w:ascii="David" w:hAnsi="David"/>
                <w:sz w:val="26"/>
                <w:szCs w:val="26"/>
              </w:rPr>
            </w:pPr>
            <w:bookmarkStart w:id="1" w:name="FirstAppellant"/>
            <w:bookmarkStart w:id="2" w:name="FirstLawyer"/>
            <w:r w:rsidRPr="00541C78">
              <w:rPr>
                <w:rFonts w:ascii="David" w:hAnsi="David"/>
                <w:sz w:val="26"/>
                <w:szCs w:val="26"/>
                <w:rtl/>
              </w:rPr>
              <w:t>בעניין:</w:t>
            </w:r>
          </w:p>
        </w:tc>
        <w:tc>
          <w:tcPr>
            <w:tcW w:w="3219" w:type="dxa"/>
            <w:tcBorders>
              <w:top w:val="nil"/>
              <w:left w:val="nil"/>
              <w:bottom w:val="nil"/>
              <w:right w:val="nil"/>
            </w:tcBorders>
            <w:shd w:val="clear" w:color="auto" w:fill="auto"/>
          </w:tcPr>
          <w:p w14:paraId="4FA83211" w14:textId="77777777" w:rsidR="00BA3D2F" w:rsidRPr="00541C78" w:rsidRDefault="00BA3D2F" w:rsidP="00BA3D2F">
            <w:pPr>
              <w:suppressLineNumbers/>
            </w:pPr>
            <w:r w:rsidRPr="00541C78">
              <w:rPr>
                <w:rFonts w:ascii="Arial" w:hAnsi="Arial" w:hint="cs"/>
                <w:b/>
                <w:bCs/>
                <w:sz w:val="26"/>
                <w:szCs w:val="26"/>
                <w:rtl/>
              </w:rPr>
              <w:t>ה</w:t>
            </w:r>
            <w:r w:rsidRPr="00541C78">
              <w:rPr>
                <w:rFonts w:ascii="Arial" w:hAnsi="Arial"/>
                <w:b/>
                <w:bCs/>
                <w:sz w:val="26"/>
                <w:szCs w:val="26"/>
                <w:rtl/>
              </w:rPr>
              <w:t>מאשימה</w:t>
            </w:r>
          </w:p>
          <w:p w14:paraId="02959E1B" w14:textId="77777777" w:rsidR="00BA3D2F" w:rsidRPr="00541C78" w:rsidRDefault="00BA3D2F" w:rsidP="00047257">
            <w:pPr>
              <w:rPr>
                <w:rFonts w:ascii="David" w:hAnsi="David"/>
                <w:sz w:val="26"/>
                <w:szCs w:val="26"/>
              </w:rPr>
            </w:pPr>
          </w:p>
        </w:tc>
        <w:tc>
          <w:tcPr>
            <w:tcW w:w="4678" w:type="dxa"/>
            <w:gridSpan w:val="3"/>
            <w:tcBorders>
              <w:top w:val="nil"/>
              <w:left w:val="nil"/>
              <w:bottom w:val="nil"/>
              <w:right w:val="nil"/>
            </w:tcBorders>
            <w:shd w:val="clear" w:color="auto" w:fill="auto"/>
            <w:vAlign w:val="center"/>
          </w:tcPr>
          <w:p w14:paraId="40DF22D0" w14:textId="77777777" w:rsidR="00BA3D2F" w:rsidRPr="00541C78" w:rsidRDefault="00BA3D2F" w:rsidP="00BA3D2F">
            <w:pPr>
              <w:suppressLineNumbers/>
              <w:rPr>
                <w:rFonts w:ascii="Arial" w:hAnsi="Arial"/>
                <w:b/>
                <w:bCs/>
                <w:sz w:val="26"/>
                <w:szCs w:val="26"/>
                <w:rtl/>
              </w:rPr>
            </w:pPr>
            <w:r w:rsidRPr="00541C78">
              <w:rPr>
                <w:rFonts w:ascii="Arial" w:hAnsi="Arial"/>
                <w:b/>
                <w:bCs/>
                <w:sz w:val="26"/>
                <w:szCs w:val="26"/>
                <w:rtl/>
              </w:rPr>
              <w:t>מדינת ישראל</w:t>
            </w:r>
            <w:r w:rsidRPr="00541C78">
              <w:rPr>
                <w:rFonts w:ascii="Arial" w:hAnsi="Arial" w:hint="cs"/>
                <w:b/>
                <w:bCs/>
                <w:sz w:val="26"/>
                <w:szCs w:val="26"/>
                <w:rtl/>
              </w:rPr>
              <w:t xml:space="preserve"> </w:t>
            </w:r>
          </w:p>
          <w:p w14:paraId="4B475776" w14:textId="77777777" w:rsidR="00BA3D2F" w:rsidRPr="00541C78" w:rsidRDefault="00BA3D2F" w:rsidP="00BA3D2F">
            <w:pPr>
              <w:suppressLineNumbers/>
              <w:rPr>
                <w:b/>
                <w:bCs/>
              </w:rPr>
            </w:pPr>
            <w:r w:rsidRPr="00541C78">
              <w:rPr>
                <w:rFonts w:ascii="Arial" w:hAnsi="Arial"/>
                <w:b/>
                <w:bCs/>
                <w:sz w:val="26"/>
                <w:szCs w:val="26"/>
                <w:rtl/>
              </w:rPr>
              <w:t>ע"י ב"כ עוה"ד</w:t>
            </w:r>
            <w:r w:rsidRPr="00541C78">
              <w:rPr>
                <w:rFonts w:hint="cs"/>
                <w:b/>
                <w:bCs/>
                <w:rtl/>
              </w:rPr>
              <w:t xml:space="preserve"> מורן גז</w:t>
            </w:r>
          </w:p>
          <w:p w14:paraId="0AF328CE" w14:textId="77777777" w:rsidR="00BA3D2F" w:rsidRPr="00541C78" w:rsidRDefault="00BA3D2F" w:rsidP="00047257">
            <w:pPr>
              <w:rPr>
                <w:rFonts w:ascii="David" w:hAnsi="David"/>
                <w:sz w:val="26"/>
                <w:szCs w:val="26"/>
              </w:rPr>
            </w:pPr>
          </w:p>
        </w:tc>
      </w:tr>
      <w:bookmarkEnd w:id="1"/>
      <w:bookmarkEnd w:id="2"/>
      <w:tr w:rsidR="00BA3D2F" w:rsidRPr="00541C78" w14:paraId="45209F93" w14:textId="77777777" w:rsidTr="00A9544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67D7578D" w14:textId="77777777" w:rsidR="00BA3D2F" w:rsidRPr="00541C78" w:rsidRDefault="00BA3D2F" w:rsidP="00BA3D2F">
            <w:pPr>
              <w:jc w:val="both"/>
              <w:rPr>
                <w:rFonts w:ascii="David" w:hAnsi="David"/>
                <w:sz w:val="26"/>
                <w:szCs w:val="26"/>
                <w:rtl/>
              </w:rPr>
            </w:pPr>
          </w:p>
        </w:tc>
        <w:tc>
          <w:tcPr>
            <w:tcW w:w="7897" w:type="dxa"/>
            <w:gridSpan w:val="4"/>
            <w:tcBorders>
              <w:top w:val="nil"/>
              <w:left w:val="nil"/>
              <w:bottom w:val="nil"/>
              <w:right w:val="nil"/>
            </w:tcBorders>
            <w:shd w:val="clear" w:color="auto" w:fill="auto"/>
          </w:tcPr>
          <w:p w14:paraId="4B46A3EC" w14:textId="77777777" w:rsidR="00BA3D2F" w:rsidRPr="00541C78" w:rsidRDefault="00BA3D2F" w:rsidP="00BA3D2F">
            <w:pPr>
              <w:jc w:val="center"/>
              <w:rPr>
                <w:rFonts w:ascii="David" w:hAnsi="David"/>
                <w:b/>
                <w:bCs/>
                <w:sz w:val="26"/>
                <w:szCs w:val="26"/>
                <w:rtl/>
              </w:rPr>
            </w:pPr>
          </w:p>
          <w:p w14:paraId="700B7D8E" w14:textId="77777777" w:rsidR="00BA3D2F" w:rsidRPr="00541C78" w:rsidRDefault="00BA3D2F" w:rsidP="00BA3D2F">
            <w:pPr>
              <w:jc w:val="center"/>
              <w:rPr>
                <w:rFonts w:ascii="David" w:hAnsi="David"/>
                <w:b/>
                <w:bCs/>
                <w:sz w:val="26"/>
                <w:szCs w:val="26"/>
                <w:rtl/>
              </w:rPr>
            </w:pPr>
            <w:r w:rsidRPr="00541C78">
              <w:rPr>
                <w:rFonts w:ascii="David" w:hAnsi="David"/>
                <w:b/>
                <w:bCs/>
                <w:sz w:val="26"/>
                <w:szCs w:val="26"/>
                <w:rtl/>
              </w:rPr>
              <w:t>נגד</w:t>
            </w:r>
          </w:p>
          <w:p w14:paraId="03DCB537" w14:textId="77777777" w:rsidR="00BA3D2F" w:rsidRPr="00541C78" w:rsidRDefault="00BA3D2F" w:rsidP="00BA3D2F">
            <w:pPr>
              <w:jc w:val="both"/>
              <w:rPr>
                <w:rFonts w:ascii="David" w:hAnsi="David"/>
                <w:sz w:val="26"/>
                <w:szCs w:val="26"/>
              </w:rPr>
            </w:pPr>
          </w:p>
        </w:tc>
      </w:tr>
      <w:tr w:rsidR="00BA3D2F" w:rsidRPr="00541C78" w14:paraId="475F5EBF" w14:textId="77777777" w:rsidTr="00A9544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0F96A4C5" w14:textId="77777777" w:rsidR="00BA3D2F" w:rsidRPr="00541C78" w:rsidRDefault="00BA3D2F" w:rsidP="00047257">
            <w:pPr>
              <w:rPr>
                <w:rFonts w:ascii="David" w:hAnsi="David"/>
                <w:sz w:val="26"/>
                <w:szCs w:val="26"/>
                <w:rtl/>
              </w:rPr>
            </w:pPr>
          </w:p>
        </w:tc>
        <w:tc>
          <w:tcPr>
            <w:tcW w:w="3219" w:type="dxa"/>
            <w:tcBorders>
              <w:top w:val="nil"/>
              <w:left w:val="nil"/>
              <w:bottom w:val="nil"/>
              <w:right w:val="nil"/>
            </w:tcBorders>
            <w:shd w:val="clear" w:color="auto" w:fill="auto"/>
          </w:tcPr>
          <w:p w14:paraId="213BCF4B" w14:textId="77777777" w:rsidR="00BA3D2F" w:rsidRPr="00541C78" w:rsidRDefault="00BA3D2F" w:rsidP="00047257">
            <w:pPr>
              <w:rPr>
                <w:rFonts w:ascii="Arial" w:hAnsi="Arial"/>
                <w:b/>
                <w:bCs/>
                <w:sz w:val="26"/>
                <w:szCs w:val="26"/>
                <w:rtl/>
              </w:rPr>
            </w:pPr>
            <w:r w:rsidRPr="00541C78">
              <w:rPr>
                <w:rFonts w:ascii="Arial" w:hAnsi="Arial"/>
                <w:b/>
                <w:bCs/>
                <w:sz w:val="26"/>
                <w:szCs w:val="26"/>
                <w:rtl/>
              </w:rPr>
              <w:t>הנאשם</w:t>
            </w:r>
          </w:p>
        </w:tc>
        <w:tc>
          <w:tcPr>
            <w:tcW w:w="4678" w:type="dxa"/>
            <w:gridSpan w:val="3"/>
            <w:tcBorders>
              <w:top w:val="nil"/>
              <w:left w:val="nil"/>
              <w:bottom w:val="nil"/>
              <w:right w:val="nil"/>
            </w:tcBorders>
            <w:shd w:val="clear" w:color="auto" w:fill="auto"/>
            <w:vAlign w:val="center"/>
          </w:tcPr>
          <w:p w14:paraId="0E8C2CCB" w14:textId="77777777" w:rsidR="00BA3D2F" w:rsidRPr="00541C78" w:rsidRDefault="00BA3D2F" w:rsidP="00BA3D2F">
            <w:pPr>
              <w:suppressLineNumbers/>
              <w:rPr>
                <w:rFonts w:ascii="Arial" w:hAnsi="Arial"/>
                <w:b/>
                <w:bCs/>
                <w:sz w:val="26"/>
                <w:szCs w:val="26"/>
                <w:rtl/>
              </w:rPr>
            </w:pPr>
            <w:r w:rsidRPr="00541C78">
              <w:rPr>
                <w:rFonts w:ascii="Arial" w:hAnsi="Arial"/>
                <w:b/>
                <w:bCs/>
                <w:sz w:val="26"/>
                <w:szCs w:val="26"/>
                <w:rtl/>
              </w:rPr>
              <w:t>הישאם הואשלה (עציר)</w:t>
            </w:r>
            <w:r w:rsidRPr="00541C78">
              <w:rPr>
                <w:rFonts w:ascii="Arial" w:hAnsi="Arial" w:hint="cs"/>
                <w:b/>
                <w:bCs/>
                <w:sz w:val="26"/>
                <w:szCs w:val="26"/>
                <w:rtl/>
              </w:rPr>
              <w:t xml:space="preserve"> </w:t>
            </w:r>
          </w:p>
          <w:p w14:paraId="329F123B" w14:textId="77777777" w:rsidR="00BA3D2F" w:rsidRPr="00541C78" w:rsidRDefault="00BA3D2F" w:rsidP="00BA3D2F">
            <w:pPr>
              <w:suppressLineNumbers/>
            </w:pPr>
            <w:r w:rsidRPr="00541C78">
              <w:rPr>
                <w:rFonts w:ascii="Arial" w:hAnsi="Arial"/>
                <w:b/>
                <w:bCs/>
                <w:sz w:val="26"/>
                <w:szCs w:val="26"/>
                <w:rtl/>
              </w:rPr>
              <w:t>ע"י ב"כ עוה"ד</w:t>
            </w:r>
            <w:r w:rsidRPr="00541C78">
              <w:rPr>
                <w:rFonts w:ascii="Arial" w:hAnsi="Arial" w:hint="cs"/>
                <w:b/>
                <w:bCs/>
                <w:sz w:val="26"/>
                <w:szCs w:val="26"/>
                <w:rtl/>
              </w:rPr>
              <w:t xml:space="preserve"> נטלי אוטן ואלעד אזולאי</w:t>
            </w:r>
          </w:p>
          <w:p w14:paraId="1B8B3AE7" w14:textId="77777777" w:rsidR="00BA3D2F" w:rsidRPr="00541C78" w:rsidRDefault="00BA3D2F" w:rsidP="00047257">
            <w:pPr>
              <w:rPr>
                <w:rFonts w:ascii="David" w:hAnsi="David"/>
                <w:sz w:val="26"/>
                <w:szCs w:val="26"/>
              </w:rPr>
            </w:pPr>
          </w:p>
        </w:tc>
      </w:tr>
    </w:tbl>
    <w:p w14:paraId="30C2B362" w14:textId="77777777" w:rsidR="00541C78" w:rsidRPr="00541C78" w:rsidRDefault="00541C78" w:rsidP="00541C78">
      <w:pPr>
        <w:spacing w:before="120" w:after="120" w:line="240" w:lineRule="exact"/>
        <w:ind w:left="283" w:hanging="283"/>
        <w:jc w:val="both"/>
        <w:rPr>
          <w:rFonts w:ascii="FrankRuehl" w:hAnsi="FrankRuehl" w:cs="FrankRuehl"/>
          <w:rtl/>
        </w:rPr>
      </w:pPr>
    </w:p>
    <w:p w14:paraId="386882F4" w14:textId="77777777" w:rsidR="00541C78" w:rsidRPr="00541C78" w:rsidRDefault="00541C78" w:rsidP="00541C78">
      <w:pPr>
        <w:rPr>
          <w:sz w:val="26"/>
          <w:szCs w:val="26"/>
          <w:rtl/>
        </w:rPr>
      </w:pPr>
    </w:p>
    <w:p w14:paraId="1C74A801" w14:textId="77777777" w:rsidR="00A95446" w:rsidRPr="00A95446" w:rsidRDefault="00A95446" w:rsidP="00A95446">
      <w:pPr>
        <w:spacing w:before="120" w:after="120" w:line="240" w:lineRule="exact"/>
        <w:ind w:left="283" w:hanging="283"/>
        <w:jc w:val="both"/>
        <w:rPr>
          <w:rFonts w:ascii="FrankRuehl" w:hAnsi="FrankRuehl" w:cs="FrankRuehl"/>
          <w:rtl/>
        </w:rPr>
      </w:pPr>
    </w:p>
    <w:p w14:paraId="425DEE47" w14:textId="77777777" w:rsidR="008A1418" w:rsidRPr="008A1418" w:rsidRDefault="008A1418" w:rsidP="008A1418">
      <w:pPr>
        <w:spacing w:before="120" w:after="120" w:line="240" w:lineRule="exact"/>
        <w:ind w:left="283" w:hanging="283"/>
        <w:jc w:val="both"/>
        <w:rPr>
          <w:rFonts w:ascii="FrankRuehl" w:hAnsi="FrankRuehl" w:cs="FrankRuehl"/>
          <w:rtl/>
        </w:rPr>
      </w:pPr>
    </w:p>
    <w:p w14:paraId="288AF150" w14:textId="77777777" w:rsidR="00E15814" w:rsidRDefault="00E15814" w:rsidP="00E15814">
      <w:pPr>
        <w:rPr>
          <w:sz w:val="26"/>
          <w:szCs w:val="26"/>
          <w:rtl/>
        </w:rPr>
      </w:pPr>
      <w:bookmarkStart w:id="3" w:name="LawTable"/>
      <w:bookmarkEnd w:id="3"/>
    </w:p>
    <w:p w14:paraId="75584388" w14:textId="77777777" w:rsidR="00E15814" w:rsidRPr="00E15814" w:rsidRDefault="00E15814" w:rsidP="00E15814">
      <w:pPr>
        <w:spacing w:before="120" w:after="120" w:line="240" w:lineRule="exact"/>
        <w:ind w:left="283" w:hanging="283"/>
        <w:jc w:val="both"/>
        <w:rPr>
          <w:rFonts w:ascii="FrankRuehl" w:hAnsi="FrankRuehl" w:cs="FrankRuehl"/>
          <w:rtl/>
        </w:rPr>
      </w:pPr>
    </w:p>
    <w:p w14:paraId="56239E75" w14:textId="77777777" w:rsidR="00E15814" w:rsidRPr="00E15814" w:rsidRDefault="00E15814" w:rsidP="00E15814">
      <w:pPr>
        <w:spacing w:before="120" w:after="120" w:line="240" w:lineRule="exact"/>
        <w:ind w:left="283" w:hanging="283"/>
        <w:jc w:val="both"/>
        <w:rPr>
          <w:rFonts w:ascii="FrankRuehl" w:hAnsi="FrankRuehl" w:cs="FrankRuehl"/>
          <w:rtl/>
        </w:rPr>
      </w:pPr>
    </w:p>
    <w:p w14:paraId="2F82D7A1" w14:textId="77777777" w:rsidR="00E15814" w:rsidRPr="00E15814" w:rsidRDefault="00E15814" w:rsidP="00E15814">
      <w:pPr>
        <w:spacing w:before="120" w:after="120" w:line="240" w:lineRule="exact"/>
        <w:ind w:left="283" w:hanging="283"/>
        <w:jc w:val="both"/>
        <w:rPr>
          <w:rFonts w:ascii="FrankRuehl" w:hAnsi="FrankRuehl" w:cs="FrankRuehl"/>
          <w:rtl/>
        </w:rPr>
      </w:pPr>
      <w:r w:rsidRPr="00E15814">
        <w:rPr>
          <w:rFonts w:ascii="FrankRuehl" w:hAnsi="FrankRuehl" w:cs="FrankRuehl"/>
          <w:rtl/>
        </w:rPr>
        <w:t xml:space="preserve">חקיקה שאוזכרה: </w:t>
      </w:r>
    </w:p>
    <w:p w14:paraId="49970F42" w14:textId="77777777" w:rsidR="00E15814" w:rsidRPr="00E15814" w:rsidRDefault="00E15814" w:rsidP="00E15814">
      <w:pPr>
        <w:spacing w:before="120" w:after="120" w:line="240" w:lineRule="exact"/>
        <w:ind w:left="283" w:hanging="283"/>
        <w:jc w:val="both"/>
        <w:rPr>
          <w:rFonts w:ascii="FrankRuehl" w:hAnsi="FrankRuehl" w:cs="FrankRuehl"/>
          <w:rtl/>
        </w:rPr>
      </w:pPr>
      <w:hyperlink r:id="rId6" w:history="1">
        <w:r w:rsidRPr="00E15814">
          <w:rPr>
            <w:rFonts w:ascii="FrankRuehl" w:hAnsi="FrankRuehl" w:cs="FrankRuehl"/>
            <w:color w:val="0000FF"/>
            <w:rtl/>
          </w:rPr>
          <w:t>חוק העונשין, תשל"ז-1977</w:t>
        </w:r>
      </w:hyperlink>
      <w:r w:rsidRPr="00E15814">
        <w:rPr>
          <w:rFonts w:ascii="FrankRuehl" w:hAnsi="FrankRuehl" w:cs="FrankRuehl"/>
          <w:rtl/>
        </w:rPr>
        <w:t xml:space="preserve">: סע'  </w:t>
      </w:r>
      <w:hyperlink r:id="rId7" w:history="1">
        <w:r w:rsidRPr="00E15814">
          <w:rPr>
            <w:rFonts w:ascii="FrankRuehl" w:hAnsi="FrankRuehl" w:cs="FrankRuehl"/>
            <w:color w:val="0000FF"/>
            <w:rtl/>
          </w:rPr>
          <w:t>40 ב</w:t>
        </w:r>
      </w:hyperlink>
      <w:r w:rsidRPr="00E15814">
        <w:rPr>
          <w:rFonts w:ascii="FrankRuehl" w:hAnsi="FrankRuehl" w:cs="FrankRuehl"/>
          <w:rtl/>
        </w:rPr>
        <w:t xml:space="preserve">, </w:t>
      </w:r>
      <w:hyperlink r:id="rId8" w:history="1">
        <w:r w:rsidRPr="00E15814">
          <w:rPr>
            <w:rFonts w:ascii="FrankRuehl" w:hAnsi="FrankRuehl" w:cs="FrankRuehl"/>
            <w:color w:val="0000FF"/>
            <w:rtl/>
          </w:rPr>
          <w:t>40 ג</w:t>
        </w:r>
      </w:hyperlink>
      <w:r w:rsidRPr="00E15814">
        <w:rPr>
          <w:rFonts w:ascii="FrankRuehl" w:hAnsi="FrankRuehl" w:cs="FrankRuehl"/>
          <w:rtl/>
        </w:rPr>
        <w:t xml:space="preserve">, </w:t>
      </w:r>
      <w:hyperlink r:id="rId9" w:history="1">
        <w:r w:rsidRPr="00E15814">
          <w:rPr>
            <w:rFonts w:ascii="FrankRuehl" w:hAnsi="FrankRuehl" w:cs="FrankRuehl"/>
            <w:color w:val="0000FF"/>
            <w:rtl/>
          </w:rPr>
          <w:t>144</w:t>
        </w:r>
      </w:hyperlink>
      <w:r w:rsidRPr="00E15814">
        <w:rPr>
          <w:rFonts w:ascii="FrankRuehl" w:hAnsi="FrankRuehl" w:cs="FrankRuehl"/>
          <w:rtl/>
        </w:rPr>
        <w:t xml:space="preserve">, </w:t>
      </w:r>
      <w:hyperlink r:id="rId10" w:history="1">
        <w:r w:rsidRPr="00E15814">
          <w:rPr>
            <w:rFonts w:ascii="FrankRuehl" w:hAnsi="FrankRuehl" w:cs="FrankRuehl"/>
            <w:color w:val="0000FF"/>
            <w:rtl/>
          </w:rPr>
          <w:t>144(א)</w:t>
        </w:r>
      </w:hyperlink>
      <w:r w:rsidRPr="00E15814">
        <w:rPr>
          <w:rFonts w:ascii="FrankRuehl" w:hAnsi="FrankRuehl" w:cs="FrankRuehl"/>
          <w:rtl/>
        </w:rPr>
        <w:t xml:space="preserve">, </w:t>
      </w:r>
      <w:hyperlink r:id="rId11" w:history="1">
        <w:r w:rsidRPr="00E15814">
          <w:rPr>
            <w:rFonts w:ascii="FrankRuehl" w:hAnsi="FrankRuehl" w:cs="FrankRuehl"/>
            <w:color w:val="0000FF"/>
            <w:rtl/>
          </w:rPr>
          <w:t>275</w:t>
        </w:r>
      </w:hyperlink>
    </w:p>
    <w:p w14:paraId="433133AA" w14:textId="77777777" w:rsidR="00E15814" w:rsidRPr="00E15814" w:rsidRDefault="00E15814" w:rsidP="00E15814">
      <w:pPr>
        <w:rPr>
          <w:sz w:val="26"/>
          <w:szCs w:val="26"/>
          <w:rtl/>
        </w:rPr>
      </w:pPr>
      <w:bookmarkStart w:id="4" w:name="LawTable_End"/>
      <w:bookmarkEnd w:id="4"/>
    </w:p>
    <w:p w14:paraId="5197CEAF" w14:textId="77777777" w:rsidR="00A95446" w:rsidRPr="008A1418" w:rsidRDefault="00A95446" w:rsidP="008A1418">
      <w:pPr>
        <w:rPr>
          <w:rFonts w:hint="cs"/>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BA3D2F" w14:paraId="5CA13859" w14:textId="77777777" w:rsidTr="00BA3D2F">
        <w:trPr>
          <w:trHeight w:val="355"/>
          <w:jc w:val="center"/>
        </w:trPr>
        <w:tc>
          <w:tcPr>
            <w:tcW w:w="8820" w:type="dxa"/>
            <w:tcBorders>
              <w:top w:val="nil"/>
              <w:left w:val="nil"/>
              <w:bottom w:val="nil"/>
              <w:right w:val="nil"/>
            </w:tcBorders>
            <w:shd w:val="clear" w:color="auto" w:fill="auto"/>
          </w:tcPr>
          <w:p w14:paraId="47E0E5D1" w14:textId="77777777" w:rsidR="00541C78" w:rsidRPr="00541C78" w:rsidRDefault="00541C78" w:rsidP="00541C78">
            <w:pPr>
              <w:jc w:val="center"/>
              <w:rPr>
                <w:rFonts w:ascii="David" w:hAnsi="David"/>
                <w:b/>
                <w:bCs/>
                <w:sz w:val="32"/>
                <w:szCs w:val="32"/>
                <w:u w:val="single"/>
                <w:rtl/>
              </w:rPr>
            </w:pPr>
            <w:bookmarkStart w:id="5" w:name="PsakDin" w:colFirst="0" w:colLast="0"/>
            <w:bookmarkEnd w:id="0"/>
            <w:r w:rsidRPr="00541C78">
              <w:rPr>
                <w:rFonts w:ascii="David" w:hAnsi="David"/>
                <w:b/>
                <w:bCs/>
                <w:sz w:val="32"/>
                <w:szCs w:val="32"/>
                <w:u w:val="single"/>
                <w:rtl/>
              </w:rPr>
              <w:t>גזר דין</w:t>
            </w:r>
          </w:p>
          <w:p w14:paraId="19DD5F64" w14:textId="77777777" w:rsidR="00BA3D2F" w:rsidRPr="00541C78" w:rsidRDefault="00BA3D2F" w:rsidP="00541C78">
            <w:pPr>
              <w:jc w:val="center"/>
              <w:rPr>
                <w:rFonts w:ascii="David" w:hAnsi="David"/>
                <w:bCs/>
                <w:sz w:val="32"/>
                <w:szCs w:val="32"/>
                <w:u w:val="single"/>
                <w:rtl/>
              </w:rPr>
            </w:pPr>
          </w:p>
        </w:tc>
      </w:tr>
      <w:bookmarkEnd w:id="5"/>
    </w:tbl>
    <w:p w14:paraId="2FFB90F0" w14:textId="77777777" w:rsidR="00BA3D2F" w:rsidRDefault="00BA3D2F" w:rsidP="00BA3D2F">
      <w:pPr>
        <w:rPr>
          <w:rFonts w:ascii="Arial" w:hAnsi="Arial"/>
          <w:b/>
          <w:bCs/>
          <w:sz w:val="26"/>
          <w:szCs w:val="26"/>
          <w:rtl/>
        </w:rPr>
      </w:pPr>
    </w:p>
    <w:p w14:paraId="60F42286" w14:textId="77777777" w:rsidR="00BA3D2F" w:rsidRPr="006A0AAB" w:rsidRDefault="00BA3D2F" w:rsidP="00BA3D2F">
      <w:pPr>
        <w:spacing w:line="360" w:lineRule="auto"/>
        <w:jc w:val="both"/>
        <w:rPr>
          <w:rFonts w:ascii="David" w:hAnsi="David"/>
          <w:b/>
          <w:bCs/>
          <w:u w:val="single"/>
          <w:rtl/>
        </w:rPr>
      </w:pPr>
      <w:r w:rsidRPr="006A0AAB">
        <w:rPr>
          <w:rFonts w:ascii="David" w:hAnsi="David"/>
          <w:b/>
          <w:bCs/>
          <w:u w:val="single"/>
          <w:rtl/>
        </w:rPr>
        <w:t>האישום והסדר הטיעון</w:t>
      </w:r>
      <w:r>
        <w:rPr>
          <w:rFonts w:ascii="David" w:hAnsi="David" w:hint="cs"/>
          <w:b/>
          <w:bCs/>
          <w:u w:val="single"/>
          <w:rtl/>
        </w:rPr>
        <w:t>:</w:t>
      </w:r>
    </w:p>
    <w:p w14:paraId="10DD58A2" w14:textId="77777777" w:rsidR="00BA3D2F" w:rsidRDefault="00BA3D2F" w:rsidP="00BA3D2F">
      <w:pPr>
        <w:spacing w:line="360" w:lineRule="auto"/>
        <w:jc w:val="both"/>
        <w:rPr>
          <w:rFonts w:ascii="David" w:hAnsi="David"/>
          <w:rtl/>
        </w:rPr>
      </w:pPr>
    </w:p>
    <w:p w14:paraId="169DEC30" w14:textId="77777777" w:rsidR="00BA3D2F" w:rsidRDefault="00BA3D2F" w:rsidP="00BA3D2F">
      <w:pPr>
        <w:spacing w:line="360" w:lineRule="auto"/>
        <w:ind w:left="720" w:hanging="720"/>
        <w:jc w:val="both"/>
        <w:rPr>
          <w:rFonts w:ascii="David" w:hAnsi="David"/>
          <w:rtl/>
        </w:rPr>
      </w:pPr>
      <w:r>
        <w:rPr>
          <w:rFonts w:ascii="David" w:hAnsi="David"/>
          <w:rtl/>
        </w:rPr>
        <w:t>1.</w:t>
      </w:r>
      <w:r>
        <w:rPr>
          <w:rFonts w:ascii="David" w:hAnsi="David"/>
          <w:rtl/>
        </w:rPr>
        <w:tab/>
      </w:r>
      <w:bookmarkStart w:id="6" w:name="ABSTRACT_START"/>
      <w:bookmarkEnd w:id="6"/>
      <w:r>
        <w:rPr>
          <w:rFonts w:ascii="David" w:hAnsi="David"/>
          <w:rtl/>
        </w:rPr>
        <w:t xml:space="preserve">הנאשם הורשע על פי הודאתו בכתב אישום מתוקן בעבירות בנשק (החזקה ) – עבירה לפי </w:t>
      </w:r>
      <w:hyperlink r:id="rId12" w:history="1">
        <w:r w:rsidR="00A95446" w:rsidRPr="00A95446">
          <w:rPr>
            <w:rStyle w:val="Hyperlink"/>
            <w:rFonts w:ascii="David" w:hAnsi="David"/>
            <w:rtl/>
          </w:rPr>
          <w:t>סעיף 144(א)</w:t>
        </w:r>
      </w:hyperlink>
      <w:r>
        <w:rPr>
          <w:rFonts w:ascii="David" w:hAnsi="David"/>
          <w:rtl/>
        </w:rPr>
        <w:t xml:space="preserve"> רישא וסיפא ל</w:t>
      </w:r>
      <w:hyperlink r:id="rId13" w:history="1">
        <w:r w:rsidR="00541C78" w:rsidRPr="00541C78">
          <w:rPr>
            <w:rFonts w:ascii="David" w:hAnsi="David"/>
            <w:color w:val="0000FF"/>
            <w:u w:val="single"/>
            <w:rtl/>
          </w:rPr>
          <w:t>חוק העונשין</w:t>
        </w:r>
      </w:hyperlink>
      <w:r>
        <w:rPr>
          <w:rFonts w:ascii="David" w:hAnsi="David"/>
          <w:rtl/>
        </w:rPr>
        <w:t xml:space="preserve"> התשל"ז – 1977 (להלן: "</w:t>
      </w:r>
      <w:r>
        <w:rPr>
          <w:rFonts w:ascii="David" w:hAnsi="David"/>
          <w:b/>
          <w:bCs/>
          <w:rtl/>
        </w:rPr>
        <w:t>החוק</w:t>
      </w:r>
      <w:r>
        <w:rPr>
          <w:rFonts w:ascii="David" w:hAnsi="David"/>
          <w:rtl/>
        </w:rPr>
        <w:t xml:space="preserve">") ובעבירה של הפרעה לשוטר בשעת מילוי תפקידו – עבירה לפי </w:t>
      </w:r>
      <w:hyperlink r:id="rId14" w:history="1">
        <w:r w:rsidR="00A95446" w:rsidRPr="00A95446">
          <w:rPr>
            <w:rStyle w:val="Hyperlink"/>
            <w:rFonts w:ascii="David" w:hAnsi="David"/>
            <w:rtl/>
          </w:rPr>
          <w:t>סעיף 275</w:t>
        </w:r>
      </w:hyperlink>
      <w:r>
        <w:rPr>
          <w:rFonts w:ascii="David" w:hAnsi="David"/>
          <w:rtl/>
        </w:rPr>
        <w:t xml:space="preserve"> לחוק. </w:t>
      </w:r>
    </w:p>
    <w:p w14:paraId="437A9CCB" w14:textId="77777777" w:rsidR="00BA3D2F" w:rsidRDefault="00BA3D2F" w:rsidP="00BA3D2F">
      <w:pPr>
        <w:spacing w:line="360" w:lineRule="auto"/>
        <w:ind w:left="720" w:hanging="720"/>
        <w:jc w:val="both"/>
        <w:rPr>
          <w:rFonts w:ascii="David" w:hAnsi="David"/>
          <w:rtl/>
        </w:rPr>
      </w:pPr>
    </w:p>
    <w:p w14:paraId="51DDE9CB" w14:textId="77777777" w:rsidR="00BA3D2F" w:rsidRDefault="00BA3D2F" w:rsidP="00BA3D2F">
      <w:pPr>
        <w:spacing w:line="360" w:lineRule="auto"/>
        <w:ind w:left="720" w:hanging="720"/>
        <w:jc w:val="both"/>
        <w:rPr>
          <w:rFonts w:ascii="David" w:hAnsi="David"/>
          <w:rtl/>
        </w:rPr>
      </w:pPr>
      <w:bookmarkStart w:id="7" w:name="ABSTRACT_END"/>
      <w:bookmarkEnd w:id="7"/>
      <w:r>
        <w:rPr>
          <w:rFonts w:ascii="David" w:hAnsi="David"/>
          <w:rtl/>
        </w:rPr>
        <w:t>2.</w:t>
      </w:r>
      <w:r>
        <w:rPr>
          <w:rFonts w:ascii="David" w:hAnsi="David"/>
          <w:rtl/>
        </w:rPr>
        <w:tab/>
        <w:t>על פי עובדות כתב האישום המתוקן, ב</w:t>
      </w:r>
      <w:r>
        <w:rPr>
          <w:rFonts w:ascii="David" w:hAnsi="David" w:hint="cs"/>
          <w:rtl/>
        </w:rPr>
        <w:t>הן</w:t>
      </w:r>
      <w:r>
        <w:rPr>
          <w:rFonts w:ascii="David" w:hAnsi="David"/>
          <w:rtl/>
        </w:rPr>
        <w:t xml:space="preserve"> הודה הנאשם, ביום 25.10.22 בשעות הבוקר, הנאשם החזיק ברשותו כלי נשק, תחמושת ואביזרים כמפורט להלן: </w:t>
      </w:r>
    </w:p>
    <w:p w14:paraId="495EE69D" w14:textId="77777777" w:rsidR="00BA3D2F" w:rsidRDefault="00BA3D2F" w:rsidP="00BA3D2F">
      <w:pPr>
        <w:spacing w:line="360" w:lineRule="auto"/>
        <w:ind w:left="720" w:hanging="720"/>
        <w:jc w:val="both"/>
        <w:rPr>
          <w:rFonts w:ascii="David" w:hAnsi="David"/>
          <w:rtl/>
        </w:rPr>
      </w:pPr>
    </w:p>
    <w:p w14:paraId="58C1F504" w14:textId="77777777" w:rsidR="00BA3D2F" w:rsidRDefault="00BA3D2F" w:rsidP="00BA3D2F">
      <w:pPr>
        <w:spacing w:line="360" w:lineRule="auto"/>
        <w:ind w:left="1287" w:hanging="567"/>
        <w:jc w:val="both"/>
        <w:rPr>
          <w:rFonts w:ascii="David" w:hAnsi="David"/>
          <w:rtl/>
        </w:rPr>
      </w:pPr>
      <w:r>
        <w:rPr>
          <w:rFonts w:ascii="David" w:hAnsi="David"/>
          <w:rtl/>
        </w:rPr>
        <w:lastRenderedPageBreak/>
        <w:t>א.</w:t>
      </w:r>
      <w:r>
        <w:rPr>
          <w:rFonts w:ascii="David" w:hAnsi="David"/>
          <w:rtl/>
        </w:rPr>
        <w:tab/>
        <w:t xml:space="preserve">שני אקדחים מסוג יריחו ומחסניות תואמות. אחד האקדחים היה טעון ב – 15 כדורים 9 מ"מ. </w:t>
      </w:r>
    </w:p>
    <w:p w14:paraId="23E18E72" w14:textId="77777777" w:rsidR="00BA3D2F" w:rsidRDefault="00BA3D2F" w:rsidP="00BA3D2F">
      <w:pPr>
        <w:spacing w:line="360" w:lineRule="auto"/>
        <w:ind w:left="1287" w:hanging="567"/>
        <w:jc w:val="both"/>
        <w:rPr>
          <w:rFonts w:ascii="David" w:hAnsi="David"/>
          <w:rtl/>
        </w:rPr>
      </w:pPr>
      <w:r>
        <w:rPr>
          <w:rFonts w:ascii="David" w:hAnsi="David"/>
          <w:rtl/>
        </w:rPr>
        <w:t>ב.</w:t>
      </w:r>
      <w:r>
        <w:rPr>
          <w:rFonts w:ascii="David" w:hAnsi="David"/>
          <w:rtl/>
        </w:rPr>
        <w:tab/>
        <w:t xml:space="preserve">אקדח מסוג </w:t>
      </w:r>
      <w:r>
        <w:rPr>
          <w:rFonts w:ascii="David" w:hAnsi="David"/>
        </w:rPr>
        <w:t>FM</w:t>
      </w:r>
      <w:r>
        <w:rPr>
          <w:rFonts w:ascii="David" w:hAnsi="David"/>
          <w:rtl/>
        </w:rPr>
        <w:t xml:space="preserve"> ומחסנית תואמת.</w:t>
      </w:r>
    </w:p>
    <w:p w14:paraId="1F2265C9" w14:textId="77777777" w:rsidR="00BA3D2F" w:rsidRDefault="00BA3D2F" w:rsidP="00BA3D2F">
      <w:pPr>
        <w:spacing w:line="360" w:lineRule="auto"/>
        <w:ind w:left="1287" w:hanging="567"/>
        <w:jc w:val="both"/>
        <w:rPr>
          <w:rFonts w:ascii="David" w:hAnsi="David"/>
          <w:rtl/>
        </w:rPr>
      </w:pPr>
      <w:r>
        <w:rPr>
          <w:rFonts w:ascii="David" w:hAnsi="David"/>
          <w:rtl/>
        </w:rPr>
        <w:t>ג.</w:t>
      </w:r>
      <w:r>
        <w:rPr>
          <w:rFonts w:ascii="David" w:hAnsi="David"/>
          <w:rtl/>
        </w:rPr>
        <w:tab/>
        <w:t xml:space="preserve">אקדח מסוג ברטה ומחסנית תואמת שהכילה 8 כדורי 0.22 מ"מ. </w:t>
      </w:r>
    </w:p>
    <w:p w14:paraId="05A7969B" w14:textId="77777777" w:rsidR="00BA3D2F" w:rsidRDefault="00BA3D2F" w:rsidP="00BA3D2F">
      <w:pPr>
        <w:spacing w:line="360" w:lineRule="auto"/>
        <w:ind w:left="1287" w:hanging="567"/>
        <w:jc w:val="both"/>
        <w:rPr>
          <w:rFonts w:ascii="David" w:hAnsi="David"/>
          <w:rtl/>
        </w:rPr>
      </w:pPr>
      <w:r>
        <w:rPr>
          <w:rFonts w:ascii="David" w:hAnsi="David"/>
          <w:rtl/>
        </w:rPr>
        <w:t>(להלן כולם יחד: "</w:t>
      </w:r>
      <w:r>
        <w:rPr>
          <w:rFonts w:ascii="David" w:hAnsi="David"/>
          <w:b/>
          <w:bCs/>
          <w:rtl/>
        </w:rPr>
        <w:t>הנשק</w:t>
      </w:r>
      <w:r>
        <w:rPr>
          <w:rFonts w:ascii="David" w:hAnsi="David"/>
          <w:rtl/>
        </w:rPr>
        <w:t xml:space="preserve">"). </w:t>
      </w:r>
    </w:p>
    <w:p w14:paraId="09496FD6" w14:textId="77777777" w:rsidR="00BA3D2F" w:rsidRDefault="00BA3D2F" w:rsidP="00BA3D2F">
      <w:pPr>
        <w:pStyle w:val="a9"/>
        <w:spacing w:line="360" w:lineRule="auto"/>
        <w:jc w:val="both"/>
        <w:rPr>
          <w:rFonts w:ascii="David" w:hAnsi="David" w:cs="David"/>
          <w:sz w:val="24"/>
          <w:szCs w:val="24"/>
          <w:rtl/>
        </w:rPr>
      </w:pPr>
    </w:p>
    <w:p w14:paraId="615408B5" w14:textId="77777777" w:rsidR="00BA3D2F" w:rsidRDefault="00BA3D2F" w:rsidP="00BA3D2F">
      <w:pPr>
        <w:pStyle w:val="a9"/>
        <w:spacing w:line="360" w:lineRule="auto"/>
        <w:jc w:val="both"/>
        <w:rPr>
          <w:rFonts w:ascii="David" w:hAnsi="David" w:cs="David"/>
          <w:sz w:val="24"/>
          <w:szCs w:val="24"/>
          <w:rtl/>
        </w:rPr>
      </w:pPr>
      <w:r>
        <w:rPr>
          <w:rFonts w:ascii="David" w:hAnsi="David" w:cs="David"/>
          <w:sz w:val="24"/>
          <w:szCs w:val="24"/>
          <w:rtl/>
        </w:rPr>
        <w:t xml:space="preserve">את הנשק האמור החזיק הנאשם יחד עם אחרים שזהותם אינה ידועה למאשימה במדויק. </w:t>
      </w:r>
    </w:p>
    <w:p w14:paraId="6FDEE8C9" w14:textId="77777777" w:rsidR="00BA3D2F" w:rsidRDefault="00BA3D2F" w:rsidP="00BA3D2F">
      <w:pPr>
        <w:pStyle w:val="a9"/>
        <w:spacing w:line="360" w:lineRule="auto"/>
        <w:jc w:val="both"/>
        <w:rPr>
          <w:rFonts w:ascii="David" w:hAnsi="David" w:cs="David"/>
          <w:sz w:val="24"/>
          <w:szCs w:val="24"/>
          <w:rtl/>
        </w:rPr>
      </w:pPr>
      <w:r>
        <w:rPr>
          <w:rFonts w:ascii="David" w:hAnsi="David" w:cs="David"/>
          <w:sz w:val="24"/>
          <w:szCs w:val="24"/>
          <w:rtl/>
        </w:rPr>
        <w:t>במועד הנ"ל, שוטרי משטרת ישראל וביניהם הכלבן עופר סיקולר (להלן: "</w:t>
      </w:r>
      <w:r>
        <w:rPr>
          <w:rFonts w:ascii="David" w:hAnsi="David" w:cs="David"/>
          <w:b/>
          <w:bCs/>
          <w:sz w:val="24"/>
          <w:szCs w:val="24"/>
          <w:rtl/>
        </w:rPr>
        <w:t>השוטר עופר</w:t>
      </w:r>
      <w:r>
        <w:rPr>
          <w:rFonts w:ascii="David" w:hAnsi="David" w:cs="David"/>
          <w:sz w:val="24"/>
          <w:szCs w:val="24"/>
          <w:rtl/>
        </w:rPr>
        <w:t>") הגיעו למתחם ביתו של הנאשם בפזורת מולדה (להלן: "</w:t>
      </w:r>
      <w:r>
        <w:rPr>
          <w:rFonts w:ascii="David" w:hAnsi="David" w:cs="David"/>
          <w:b/>
          <w:bCs/>
          <w:sz w:val="24"/>
          <w:szCs w:val="24"/>
          <w:rtl/>
        </w:rPr>
        <w:t>הבית</w:t>
      </w:r>
      <w:r>
        <w:rPr>
          <w:rFonts w:ascii="David" w:hAnsi="David" w:cs="David"/>
          <w:sz w:val="24"/>
          <w:szCs w:val="24"/>
          <w:rtl/>
        </w:rPr>
        <w:t xml:space="preserve">") שם הוא גר עם בני משפחה נוספים, וערכו חיפוש בבית ובחצר הסמוכה. </w:t>
      </w:r>
    </w:p>
    <w:p w14:paraId="55954979" w14:textId="77777777" w:rsidR="00BA3D2F" w:rsidRDefault="00BA3D2F" w:rsidP="00BA3D2F">
      <w:pPr>
        <w:pStyle w:val="a9"/>
        <w:spacing w:line="360" w:lineRule="auto"/>
        <w:jc w:val="both"/>
        <w:rPr>
          <w:rFonts w:ascii="David" w:hAnsi="David" w:cs="David"/>
          <w:sz w:val="24"/>
          <w:szCs w:val="24"/>
          <w:rtl/>
        </w:rPr>
      </w:pPr>
      <w:r>
        <w:rPr>
          <w:rFonts w:ascii="David" w:hAnsi="David" w:cs="David"/>
          <w:sz w:val="24"/>
          <w:szCs w:val="24"/>
          <w:rtl/>
        </w:rPr>
        <w:t>בשלב מסוים במהלך החיפוש, הנאשם נטל תיק גב ובו הנשק (להלן: "</w:t>
      </w:r>
      <w:r>
        <w:rPr>
          <w:rFonts w:ascii="David" w:hAnsi="David" w:cs="David"/>
          <w:b/>
          <w:bCs/>
          <w:sz w:val="24"/>
          <w:szCs w:val="24"/>
          <w:rtl/>
        </w:rPr>
        <w:t>התיק</w:t>
      </w:r>
      <w:r>
        <w:rPr>
          <w:rFonts w:ascii="David" w:hAnsi="David" w:cs="David"/>
          <w:sz w:val="24"/>
          <w:szCs w:val="24"/>
          <w:rtl/>
        </w:rPr>
        <w:t xml:space="preserve">"), החל בהימלטות אל מחוץ למתחם הבית, ורץ בשטח העפר. </w:t>
      </w:r>
    </w:p>
    <w:p w14:paraId="5B309ADF" w14:textId="77777777" w:rsidR="00BA3D2F" w:rsidRDefault="00BA3D2F" w:rsidP="00BA3D2F">
      <w:pPr>
        <w:pStyle w:val="a9"/>
        <w:spacing w:line="360" w:lineRule="auto"/>
        <w:jc w:val="both"/>
        <w:rPr>
          <w:rFonts w:ascii="David" w:hAnsi="David" w:cs="David"/>
          <w:sz w:val="24"/>
          <w:szCs w:val="24"/>
          <w:rtl/>
        </w:rPr>
      </w:pPr>
      <w:r>
        <w:rPr>
          <w:rFonts w:ascii="David" w:hAnsi="David" w:cs="David"/>
          <w:sz w:val="24"/>
          <w:szCs w:val="24"/>
          <w:rtl/>
        </w:rPr>
        <w:t xml:space="preserve">השוטר עופר, אשר היה באותה העת בסמוך לגדר מחוץ לחצר, הבחין בנאשם והחל במרדף רגלי אחריו, תוך שהוא צועק לעברו "עצור משטרה" וכן צועק לעבר השוטרים הנוספים שהיו במקום "בריחה, בריחה", אך הנאשם המשיך לרוץ. </w:t>
      </w:r>
    </w:p>
    <w:p w14:paraId="72B236C6" w14:textId="77777777" w:rsidR="00BA3D2F" w:rsidRDefault="00BA3D2F" w:rsidP="00BA3D2F">
      <w:pPr>
        <w:pStyle w:val="a9"/>
        <w:spacing w:line="360" w:lineRule="auto"/>
        <w:jc w:val="both"/>
        <w:rPr>
          <w:rFonts w:ascii="David" w:hAnsi="David" w:cs="David"/>
          <w:sz w:val="24"/>
          <w:szCs w:val="24"/>
          <w:rtl/>
        </w:rPr>
      </w:pPr>
      <w:r>
        <w:rPr>
          <w:rFonts w:ascii="David" w:hAnsi="David" w:cs="David"/>
          <w:sz w:val="24"/>
          <w:szCs w:val="24"/>
          <w:rtl/>
        </w:rPr>
        <w:t xml:space="preserve">הנאשם זרק את התיק על הקרקע לאחר כ- 100 מטרים, אך המשיך בבריחה עוד כ 40-50 מטרים, עד שנעצר על ידי שוטרים אחרים שהצטרפו למרדף. הנשק נתפס על ידי המשטרה. </w:t>
      </w:r>
    </w:p>
    <w:p w14:paraId="39EC3AFF" w14:textId="77777777" w:rsidR="00BA3D2F" w:rsidRDefault="00BA3D2F" w:rsidP="00BA3D2F">
      <w:pPr>
        <w:pStyle w:val="a9"/>
        <w:spacing w:line="360" w:lineRule="auto"/>
        <w:jc w:val="both"/>
        <w:rPr>
          <w:rFonts w:ascii="David" w:hAnsi="David" w:cs="David"/>
          <w:sz w:val="24"/>
          <w:szCs w:val="24"/>
          <w:rtl/>
        </w:rPr>
      </w:pPr>
      <w:r>
        <w:rPr>
          <w:rFonts w:ascii="David" w:hAnsi="David" w:cs="David"/>
          <w:sz w:val="24"/>
          <w:szCs w:val="24"/>
          <w:rtl/>
        </w:rPr>
        <w:t xml:space="preserve">במעשיו אלו, הנאשם החזיק  נשק, אביזרי נשק ותחמושת בלא רשות על פי דין להחזקתם וכן עשה מעשה בכוונה להפריע לשוטר כשהוא ממלא תפקידו כחוק או להכשילו בכך. </w:t>
      </w:r>
    </w:p>
    <w:p w14:paraId="36A02639" w14:textId="77777777" w:rsidR="00BA3D2F" w:rsidRDefault="00BA3D2F" w:rsidP="00BA3D2F">
      <w:pPr>
        <w:spacing w:line="360" w:lineRule="auto"/>
        <w:ind w:left="720" w:hanging="720"/>
        <w:jc w:val="both"/>
        <w:rPr>
          <w:rFonts w:ascii="David" w:hAnsi="David"/>
          <w:rtl/>
        </w:rPr>
      </w:pPr>
      <w:r>
        <w:rPr>
          <w:rFonts w:ascii="David" w:hAnsi="David"/>
          <w:rtl/>
        </w:rPr>
        <w:t>3.</w:t>
      </w:r>
      <w:r>
        <w:rPr>
          <w:rFonts w:ascii="David" w:hAnsi="David"/>
          <w:rtl/>
        </w:rPr>
        <w:tab/>
        <w:t xml:space="preserve">הנאשם הודה בכתב האישום המתוקן במסגרת הסדר טיעון אשר לא כלל הסכמה עונשית, וטרם גזירת עונשו הופנה לקבלת תסקיר שירות המבחן. </w:t>
      </w:r>
    </w:p>
    <w:p w14:paraId="38E72D87" w14:textId="77777777" w:rsidR="00BA3D2F" w:rsidRDefault="00BA3D2F" w:rsidP="00BA3D2F">
      <w:pPr>
        <w:spacing w:line="360" w:lineRule="auto"/>
        <w:jc w:val="both"/>
        <w:rPr>
          <w:rFonts w:ascii="David" w:hAnsi="David"/>
          <w:b/>
          <w:bCs/>
        </w:rPr>
      </w:pPr>
    </w:p>
    <w:p w14:paraId="17CA5F33" w14:textId="77777777" w:rsidR="00BA3D2F" w:rsidRDefault="00BA3D2F" w:rsidP="00BA3D2F">
      <w:pPr>
        <w:spacing w:line="360" w:lineRule="auto"/>
        <w:jc w:val="both"/>
        <w:rPr>
          <w:rFonts w:ascii="David" w:hAnsi="David"/>
          <w:b/>
          <w:bCs/>
          <w:u w:val="single"/>
          <w:rtl/>
        </w:rPr>
      </w:pPr>
      <w:r>
        <w:rPr>
          <w:rFonts w:ascii="David" w:hAnsi="David"/>
          <w:b/>
          <w:bCs/>
          <w:u w:val="single"/>
          <w:rtl/>
        </w:rPr>
        <w:t>תסקיר שירות מבחן:</w:t>
      </w:r>
    </w:p>
    <w:p w14:paraId="49B2E21F" w14:textId="77777777" w:rsidR="00BA3D2F" w:rsidRDefault="00BA3D2F" w:rsidP="00BA3D2F">
      <w:pPr>
        <w:spacing w:line="360" w:lineRule="auto"/>
        <w:jc w:val="both"/>
        <w:rPr>
          <w:rFonts w:ascii="David" w:hAnsi="David"/>
          <w:b/>
          <w:bCs/>
          <w:u w:val="single"/>
          <w:rtl/>
        </w:rPr>
      </w:pPr>
    </w:p>
    <w:p w14:paraId="6E999ABF" w14:textId="77777777" w:rsidR="00BA3D2F" w:rsidRDefault="00BA3D2F" w:rsidP="00BA3D2F">
      <w:pPr>
        <w:spacing w:line="360" w:lineRule="auto"/>
        <w:ind w:left="720" w:hanging="720"/>
        <w:jc w:val="both"/>
        <w:rPr>
          <w:rFonts w:ascii="David" w:hAnsi="David"/>
          <w:rtl/>
        </w:rPr>
      </w:pPr>
      <w:r>
        <w:rPr>
          <w:rFonts w:ascii="David" w:hAnsi="David"/>
          <w:rtl/>
        </w:rPr>
        <w:t>4.</w:t>
      </w:r>
      <w:r>
        <w:rPr>
          <w:rFonts w:ascii="David" w:hAnsi="David"/>
          <w:rtl/>
        </w:rPr>
        <w:tab/>
        <w:t xml:space="preserve">ביום 12.6.23 הגיש שירות המבחן תסקיר לעונש בעניינו של הנאשם, לפיו מדובר בצעיר בן 24 שנים, גרוש וטרם מעצרו התגורר בבית אביו בחורה ולסירוגין לן בבית אמו במולדה, בעל עסק לתיקון ומכירת טלפונים בחורה. </w:t>
      </w:r>
    </w:p>
    <w:p w14:paraId="15D28946" w14:textId="77777777" w:rsidR="00BA3D2F" w:rsidRDefault="00BA3D2F" w:rsidP="00BA3D2F">
      <w:pPr>
        <w:spacing w:line="360" w:lineRule="auto"/>
        <w:ind w:left="720"/>
        <w:jc w:val="both"/>
        <w:rPr>
          <w:rFonts w:ascii="David" w:hAnsi="David"/>
        </w:rPr>
      </w:pPr>
      <w:r>
        <w:rPr>
          <w:rFonts w:ascii="David" w:hAnsi="David"/>
          <w:rtl/>
        </w:rPr>
        <w:t xml:space="preserve">עוד צוין בתסקיר כי הנאשם גדל בסביבה שבה מקובל להחזיק בנשק, הבין את חומרת מעשיו במהלך מעצרו ומעוניין ללמוד דרכים שיסייעו לו להימנע ממעורבות חוזרת בפלילים. בין היתר הנאשם החל בהליך טיפולי במסגרת הכלא, השתלב בשתי קבוצות טיפוליות, קבוצה אחת התמקדה בכישורי חיים, וקבוצה שנייה התמקדה בהתמודדות בשעת לחץ.  עוד עולה מהתסקיר כי ביקש לעבור לכלא חרמון כדי להשתלב בהליך טיפולי בתחום האלימות, מתוך הבנה כי התנהגותו בעבירה קשורה לאלימות. הנאשם ציין בפני שירות המבחן כי טרם מעצרו נתן לגיטימציה להחזקת נשק, וכיום מבין שמדובר בחשיבה בעייתית. </w:t>
      </w:r>
    </w:p>
    <w:p w14:paraId="48E90DE2" w14:textId="77777777" w:rsidR="00BA3D2F" w:rsidRDefault="00BA3D2F" w:rsidP="00BA3D2F">
      <w:pPr>
        <w:spacing w:line="360" w:lineRule="auto"/>
        <w:ind w:left="720"/>
        <w:jc w:val="both"/>
        <w:rPr>
          <w:rFonts w:ascii="David" w:hAnsi="David"/>
          <w:rtl/>
        </w:rPr>
      </w:pPr>
      <w:r>
        <w:rPr>
          <w:rFonts w:ascii="David" w:hAnsi="David"/>
          <w:rtl/>
        </w:rPr>
        <w:lastRenderedPageBreak/>
        <w:t xml:space="preserve">שירות המבחן התרשם מבחור צעיר ונעדר עבר פלילי, אשר החל לבחון באופן ראשוני ביותר בבעייתיות בהתנהגותו העבריינית, בנטייתו לריצוי משפחתו ובדפוסי חשיבותו הבעייתיים. </w:t>
      </w:r>
    </w:p>
    <w:p w14:paraId="2FC66D92" w14:textId="77777777" w:rsidR="00BA3D2F" w:rsidRDefault="00BA3D2F" w:rsidP="00BA3D2F">
      <w:pPr>
        <w:spacing w:line="360" w:lineRule="auto"/>
        <w:ind w:left="720"/>
        <w:jc w:val="both"/>
        <w:rPr>
          <w:rFonts w:ascii="David" w:hAnsi="David"/>
          <w:rtl/>
        </w:rPr>
      </w:pPr>
      <w:r>
        <w:rPr>
          <w:rFonts w:ascii="David" w:hAnsi="David"/>
          <w:rtl/>
        </w:rPr>
        <w:t xml:space="preserve">חרף השתלבותו בהליך טיפולי במסגרת הכלא, שירות המבחן לא בא בהמלצה טיפולית בעניינו של הנאשם והמליץ על ענישה מוחשית שתהווה גורם מרתיע ומציב גבול להישנות התנהגות עוברת חוק. </w:t>
      </w:r>
    </w:p>
    <w:p w14:paraId="6A66450A" w14:textId="77777777" w:rsidR="00BA3D2F" w:rsidRDefault="00BA3D2F" w:rsidP="00BA3D2F">
      <w:pPr>
        <w:spacing w:line="360" w:lineRule="auto"/>
        <w:jc w:val="both"/>
        <w:rPr>
          <w:rFonts w:ascii="David" w:hAnsi="David"/>
          <w:b/>
          <w:bCs/>
          <w:u w:val="single"/>
          <w:rtl/>
        </w:rPr>
      </w:pPr>
    </w:p>
    <w:p w14:paraId="70738A04" w14:textId="77777777" w:rsidR="00BA3D2F" w:rsidRDefault="00BA3D2F" w:rsidP="00BA3D2F">
      <w:pPr>
        <w:spacing w:line="360" w:lineRule="auto"/>
        <w:jc w:val="both"/>
        <w:rPr>
          <w:rFonts w:ascii="David" w:hAnsi="David"/>
          <w:b/>
          <w:bCs/>
          <w:u w:val="single"/>
          <w:rtl/>
        </w:rPr>
      </w:pPr>
    </w:p>
    <w:p w14:paraId="1B829F2F" w14:textId="77777777" w:rsidR="00BA3D2F" w:rsidRDefault="00BA3D2F" w:rsidP="00BA3D2F">
      <w:pPr>
        <w:spacing w:line="360" w:lineRule="auto"/>
        <w:jc w:val="both"/>
        <w:rPr>
          <w:rFonts w:ascii="David" w:hAnsi="David"/>
          <w:b/>
          <w:bCs/>
          <w:u w:val="single"/>
          <w:rtl/>
        </w:rPr>
      </w:pPr>
    </w:p>
    <w:p w14:paraId="7D219EEB" w14:textId="77777777" w:rsidR="00BA3D2F" w:rsidRDefault="00BA3D2F" w:rsidP="00BA3D2F">
      <w:pPr>
        <w:spacing w:line="360" w:lineRule="auto"/>
        <w:jc w:val="both"/>
        <w:rPr>
          <w:rFonts w:ascii="David" w:hAnsi="David"/>
          <w:b/>
          <w:bCs/>
          <w:u w:val="single"/>
          <w:rtl/>
        </w:rPr>
      </w:pPr>
    </w:p>
    <w:p w14:paraId="0DDA9D34" w14:textId="77777777" w:rsidR="00BA3D2F" w:rsidRDefault="00BA3D2F" w:rsidP="00BA3D2F">
      <w:pPr>
        <w:spacing w:line="360" w:lineRule="auto"/>
        <w:jc w:val="both"/>
        <w:rPr>
          <w:rFonts w:ascii="David" w:hAnsi="David"/>
          <w:b/>
          <w:bCs/>
          <w:u w:val="single"/>
          <w:rtl/>
        </w:rPr>
      </w:pPr>
    </w:p>
    <w:p w14:paraId="16CD82E0" w14:textId="77777777" w:rsidR="00BA3D2F" w:rsidRDefault="00BA3D2F" w:rsidP="00BA3D2F">
      <w:pPr>
        <w:spacing w:line="360" w:lineRule="auto"/>
        <w:jc w:val="both"/>
        <w:rPr>
          <w:rFonts w:ascii="David" w:hAnsi="David"/>
          <w:b/>
          <w:bCs/>
          <w:u w:val="single"/>
          <w:rtl/>
        </w:rPr>
      </w:pPr>
    </w:p>
    <w:p w14:paraId="65227A94" w14:textId="77777777" w:rsidR="00BA3D2F" w:rsidRDefault="00BA3D2F" w:rsidP="00BA3D2F">
      <w:pPr>
        <w:spacing w:line="360" w:lineRule="auto"/>
        <w:jc w:val="both"/>
        <w:rPr>
          <w:rFonts w:ascii="David" w:hAnsi="David"/>
          <w:b/>
          <w:bCs/>
          <w:u w:val="single"/>
          <w:rtl/>
        </w:rPr>
      </w:pPr>
    </w:p>
    <w:p w14:paraId="76C56A3C" w14:textId="77777777" w:rsidR="00BA3D2F" w:rsidRDefault="00BA3D2F" w:rsidP="00BA3D2F">
      <w:pPr>
        <w:spacing w:line="360" w:lineRule="auto"/>
        <w:jc w:val="both"/>
        <w:rPr>
          <w:rFonts w:ascii="David" w:hAnsi="David"/>
          <w:b/>
          <w:bCs/>
          <w:u w:val="single"/>
          <w:rtl/>
        </w:rPr>
      </w:pPr>
      <w:r>
        <w:rPr>
          <w:rFonts w:ascii="David" w:hAnsi="David"/>
          <w:b/>
          <w:bCs/>
          <w:u w:val="single"/>
          <w:rtl/>
        </w:rPr>
        <w:t>ראיות וטיעוני הצדדים לעונש:</w:t>
      </w:r>
    </w:p>
    <w:p w14:paraId="0E898446" w14:textId="77777777" w:rsidR="00BA3D2F" w:rsidRDefault="00BA3D2F" w:rsidP="00BA3D2F">
      <w:pPr>
        <w:spacing w:line="360" w:lineRule="auto"/>
        <w:jc w:val="both"/>
        <w:rPr>
          <w:rFonts w:ascii="David" w:hAnsi="David"/>
          <w:b/>
          <w:bCs/>
          <w:u w:val="single"/>
          <w:rtl/>
        </w:rPr>
      </w:pPr>
    </w:p>
    <w:p w14:paraId="4CA42A4D" w14:textId="77777777" w:rsidR="00BA3D2F" w:rsidRDefault="00BA3D2F" w:rsidP="00BA3D2F">
      <w:pPr>
        <w:spacing w:line="360" w:lineRule="auto"/>
        <w:ind w:left="720" w:hanging="720"/>
        <w:jc w:val="both"/>
        <w:rPr>
          <w:rFonts w:ascii="David" w:hAnsi="David"/>
          <w:rtl/>
        </w:rPr>
      </w:pPr>
      <w:r>
        <w:rPr>
          <w:rFonts w:ascii="David" w:hAnsi="David"/>
          <w:rtl/>
        </w:rPr>
        <w:t>5.</w:t>
      </w:r>
      <w:r>
        <w:rPr>
          <w:rFonts w:ascii="David" w:hAnsi="David"/>
          <w:rtl/>
        </w:rPr>
        <w:tab/>
        <w:t xml:space="preserve">במסגרת הראיות לעונש העיד מטעם הנאשם מר יוסף הואשלה - שוטר בתחנת רהט מזה 18 שנים המכיר את הנאשם מאז ילדותו. העד העיד כי טרם האירוע היה הנאשם דוגמה לכל הצעירים בשבט לאחר שפתח עסק עצמאי לממכר טלפונים. לדבריו הנאשם בנה את עצמו מגיל אפס כשהוא עובד וחוסך, והופתע מאד כאשר שמע על הסתבכותו של הנאשם בפלילים. </w:t>
      </w:r>
    </w:p>
    <w:p w14:paraId="50F7A0A4" w14:textId="77777777" w:rsidR="00BA3D2F" w:rsidRDefault="00BA3D2F" w:rsidP="00BA3D2F">
      <w:pPr>
        <w:spacing w:line="360" w:lineRule="auto"/>
        <w:ind w:left="720"/>
        <w:jc w:val="both"/>
        <w:rPr>
          <w:rFonts w:ascii="David" w:hAnsi="David"/>
        </w:rPr>
      </w:pPr>
      <w:r>
        <w:rPr>
          <w:rFonts w:ascii="David" w:hAnsi="David"/>
          <w:rtl/>
        </w:rPr>
        <w:t xml:space="preserve">כמו כן במסגרת הראיות לעונש הגישה באת כוח הנאשם קלסר מסמכים (נ/1) הכולל את  הנספחים א' –ד' ( נספח א'- ידיעה מודיעינית, נספח ב'- הודעה של השוטר איתי מקרבי, נספח ג'- תלונה למח"ש ותכתובות בנושא ונספח ד'-מכתב קצינת אסירים בימ"ר שקמה). </w:t>
      </w:r>
    </w:p>
    <w:p w14:paraId="46DA9728" w14:textId="77777777" w:rsidR="00BA3D2F" w:rsidRDefault="00BA3D2F" w:rsidP="00BA3D2F">
      <w:pPr>
        <w:spacing w:line="360" w:lineRule="auto"/>
        <w:jc w:val="both"/>
        <w:rPr>
          <w:rFonts w:ascii="David" w:hAnsi="David"/>
          <w:rtl/>
        </w:rPr>
      </w:pPr>
    </w:p>
    <w:p w14:paraId="4AE5C2BB" w14:textId="77777777" w:rsidR="00BA3D2F" w:rsidRDefault="00BA3D2F" w:rsidP="00BA3D2F">
      <w:pPr>
        <w:spacing w:line="360" w:lineRule="auto"/>
        <w:ind w:left="720" w:hanging="720"/>
        <w:jc w:val="both"/>
        <w:rPr>
          <w:rFonts w:ascii="David" w:hAnsi="David"/>
          <w:rtl/>
        </w:rPr>
      </w:pPr>
      <w:r>
        <w:rPr>
          <w:rFonts w:ascii="David" w:hAnsi="David"/>
          <w:rtl/>
        </w:rPr>
        <w:t>6.</w:t>
      </w:r>
      <w:r>
        <w:rPr>
          <w:rFonts w:ascii="David" w:hAnsi="David"/>
          <w:rtl/>
        </w:rPr>
        <w:tab/>
      </w:r>
      <w:r>
        <w:rPr>
          <w:rFonts w:ascii="David" w:hAnsi="David"/>
          <w:b/>
          <w:bCs/>
          <w:rtl/>
        </w:rPr>
        <w:t xml:space="preserve">ב"כ המאשימה </w:t>
      </w:r>
      <w:r>
        <w:rPr>
          <w:rFonts w:ascii="David" w:hAnsi="David"/>
          <w:rtl/>
        </w:rPr>
        <w:t xml:space="preserve">טען בכתב ובעל פה, הפנה לערכים החברתיים המוגנים בהם פגע הנאשם ובכלל זה, הגנה על שלום הציבור ובטחונו ושמירה על גופו וחייו של אדם. לדבריו הפגיעה בערכים המוגנים במקרה שבענייננו הינה גבוהה עד מאד. הנאשם לא החזיק באקדח אחד אלא בארבעה אקדחים תקניים מסוגים שונים ואף בתחמושת ובמחסניות. חומרה יתרה יש לתת לעובדה כי אחד האקדחים היה טעון וכל זאת לאור יום. </w:t>
      </w:r>
    </w:p>
    <w:p w14:paraId="6B6C5AAB" w14:textId="77777777" w:rsidR="00BA3D2F" w:rsidRDefault="00BA3D2F" w:rsidP="00BA3D2F">
      <w:pPr>
        <w:spacing w:line="360" w:lineRule="auto"/>
        <w:ind w:left="720"/>
        <w:jc w:val="both"/>
        <w:rPr>
          <w:rFonts w:ascii="David" w:hAnsi="David"/>
        </w:rPr>
      </w:pPr>
      <w:r>
        <w:rPr>
          <w:rFonts w:ascii="David" w:hAnsi="David"/>
          <w:rtl/>
        </w:rPr>
        <w:t xml:space="preserve">פוטנציאל הסיכון בנסיבות ביצוע העבירה על ידי הנאשם הינו גבוה מאד.  מעבר לסיכון הגלום בהחזקת נשק כלפי הציבור כולו, הרי שהנאשם סיכן את בני משפחתו עת החזיק הנשק בבית וכאשר אחד האקדחים טעון. </w:t>
      </w:r>
    </w:p>
    <w:p w14:paraId="36DF510D" w14:textId="77777777" w:rsidR="00BA3D2F" w:rsidRDefault="00BA3D2F" w:rsidP="00BA3D2F">
      <w:pPr>
        <w:spacing w:line="360" w:lineRule="auto"/>
        <w:ind w:left="720"/>
        <w:jc w:val="both"/>
        <w:rPr>
          <w:rFonts w:ascii="David" w:hAnsi="David"/>
          <w:rtl/>
        </w:rPr>
      </w:pPr>
    </w:p>
    <w:p w14:paraId="30352E2D" w14:textId="77777777" w:rsidR="00BA3D2F" w:rsidRDefault="00BA3D2F" w:rsidP="00BA3D2F">
      <w:pPr>
        <w:spacing w:line="360" w:lineRule="auto"/>
        <w:ind w:left="720"/>
        <w:jc w:val="both"/>
        <w:rPr>
          <w:rFonts w:ascii="David" w:hAnsi="David"/>
          <w:rtl/>
        </w:rPr>
      </w:pPr>
      <w:r>
        <w:rPr>
          <w:rFonts w:ascii="David" w:hAnsi="David"/>
          <w:rtl/>
        </w:rPr>
        <w:t xml:space="preserve">נטען כי מדובר בעבירה שתוכננה, ועל כך ניתן ללמוד מהעובדה כי בזמן החיפוש שבוצע על ידי משטרת ישראל הנאשם נטל את התיק שהכיל את הנשק והחל לרוץ. </w:t>
      </w:r>
    </w:p>
    <w:p w14:paraId="03392EA5" w14:textId="77777777" w:rsidR="00BA3D2F" w:rsidRDefault="00BA3D2F" w:rsidP="00BA3D2F">
      <w:pPr>
        <w:spacing w:line="360" w:lineRule="auto"/>
        <w:ind w:left="720"/>
        <w:jc w:val="both"/>
        <w:rPr>
          <w:rFonts w:ascii="David" w:hAnsi="David"/>
          <w:rtl/>
        </w:rPr>
      </w:pPr>
      <w:r>
        <w:rPr>
          <w:rFonts w:ascii="David" w:hAnsi="David"/>
          <w:rtl/>
        </w:rPr>
        <w:lastRenderedPageBreak/>
        <w:t>ב"כ המאשימה הפנה למדיניות הענישה בעבירות של החזקת נשק ולמגמת ההחמרה והפנה לפסיקה רלוונטית. כמו כן הפנה ב"כ המאשימה להנחית פרקליט המדינה, הנחיה מספר 9.16, שעניינה מדיניות ענישה בעבירות נשק ומטעני חבלה, ומטרתה העלאת רמת הענישה הנוהגת בעבירות הנשק השונות.</w:t>
      </w:r>
    </w:p>
    <w:p w14:paraId="43BF2F8E" w14:textId="77777777" w:rsidR="00BA3D2F" w:rsidRDefault="00BA3D2F" w:rsidP="00BA3D2F">
      <w:pPr>
        <w:pStyle w:val="a9"/>
        <w:spacing w:line="360" w:lineRule="auto"/>
        <w:ind w:left="927"/>
        <w:jc w:val="both"/>
        <w:rPr>
          <w:rFonts w:ascii="David" w:hAnsi="David" w:cs="David"/>
          <w:sz w:val="24"/>
          <w:szCs w:val="24"/>
          <w:rtl/>
        </w:rPr>
      </w:pPr>
    </w:p>
    <w:p w14:paraId="18903C99" w14:textId="77777777" w:rsidR="00BA3D2F" w:rsidRDefault="00BA3D2F" w:rsidP="00BA3D2F">
      <w:pPr>
        <w:spacing w:line="360" w:lineRule="auto"/>
        <w:ind w:left="720"/>
        <w:jc w:val="both"/>
        <w:rPr>
          <w:rFonts w:ascii="David" w:hAnsi="David"/>
          <w:rtl/>
        </w:rPr>
      </w:pPr>
      <w:r>
        <w:rPr>
          <w:rFonts w:ascii="David" w:hAnsi="David"/>
          <w:rtl/>
        </w:rPr>
        <w:t xml:space="preserve">נטען כי בנסיבות ביצוע העבירה בענייננו, קשה למצוא נתון אחד שיש לייחס לו משקל ממשי לקולא. הנאשם אמנם נעדר עבר פלילי וקיבל אחריות על מעשיו אך שירות המבחן ציין בתסקיר כי מדובר בשלב של בחינה ראשונית מצדו של הנאשם והמליץ על ענישה מוחשית ומרתיעה. </w:t>
      </w:r>
    </w:p>
    <w:p w14:paraId="7071742C" w14:textId="77777777" w:rsidR="00BA3D2F" w:rsidRDefault="00BA3D2F" w:rsidP="00BA3D2F">
      <w:pPr>
        <w:pStyle w:val="a9"/>
        <w:spacing w:line="360" w:lineRule="auto"/>
        <w:ind w:left="927"/>
        <w:jc w:val="both"/>
        <w:rPr>
          <w:rFonts w:ascii="David" w:hAnsi="David" w:cs="David"/>
          <w:sz w:val="24"/>
          <w:szCs w:val="24"/>
          <w:rtl/>
        </w:rPr>
      </w:pPr>
    </w:p>
    <w:p w14:paraId="4B82BDD6" w14:textId="77777777" w:rsidR="00BA3D2F" w:rsidRDefault="00BA3D2F" w:rsidP="00BA3D2F">
      <w:pPr>
        <w:pStyle w:val="a9"/>
        <w:spacing w:line="360" w:lineRule="auto"/>
        <w:ind w:left="927"/>
        <w:jc w:val="both"/>
        <w:rPr>
          <w:rFonts w:ascii="David" w:hAnsi="David" w:cs="David"/>
          <w:sz w:val="24"/>
          <w:szCs w:val="24"/>
          <w:rtl/>
        </w:rPr>
      </w:pPr>
    </w:p>
    <w:p w14:paraId="71B98C56" w14:textId="77777777" w:rsidR="00BA3D2F" w:rsidRDefault="00BA3D2F" w:rsidP="00BA3D2F">
      <w:pPr>
        <w:pStyle w:val="a9"/>
        <w:spacing w:line="360" w:lineRule="auto"/>
        <w:ind w:left="927"/>
        <w:jc w:val="both"/>
        <w:rPr>
          <w:rFonts w:ascii="David" w:hAnsi="David" w:cs="David"/>
          <w:sz w:val="24"/>
          <w:szCs w:val="24"/>
          <w:rtl/>
        </w:rPr>
      </w:pPr>
    </w:p>
    <w:p w14:paraId="7649B806" w14:textId="77777777" w:rsidR="00BA3D2F" w:rsidRDefault="00BA3D2F" w:rsidP="00BA3D2F">
      <w:pPr>
        <w:spacing w:line="360" w:lineRule="auto"/>
        <w:ind w:left="720"/>
        <w:jc w:val="both"/>
        <w:rPr>
          <w:rFonts w:ascii="David" w:hAnsi="David"/>
          <w:rtl/>
        </w:rPr>
      </w:pPr>
      <w:r>
        <w:rPr>
          <w:rFonts w:ascii="David" w:hAnsi="David"/>
          <w:rtl/>
        </w:rPr>
        <w:t xml:space="preserve">ב"כ המאשימה עתר לקבוע מתחם ענישה בגין כלל מעשיו של הנאשם הנע בין 5 ל- 7.5 שנות מאסר. נטען כי עונשו של הנאשם צריך להימצא בחלק התחתון של מתחם הענישה אם כי לא בתחתית המתחם נוכח החשיבות שבהרתעת הרבים והעובדה שהכשיל שוטר במילוי תפקידו. המאשימה עתרה לגזור על הנאשם 5.5 שנות מאסר בפועל וזאת לצד ענישה נלווית. </w:t>
      </w:r>
    </w:p>
    <w:p w14:paraId="0525B6E5" w14:textId="77777777" w:rsidR="00BA3D2F" w:rsidRDefault="00BA3D2F" w:rsidP="00BA3D2F">
      <w:pPr>
        <w:spacing w:line="360" w:lineRule="auto"/>
        <w:jc w:val="both"/>
        <w:rPr>
          <w:rFonts w:ascii="David" w:hAnsi="David"/>
          <w:rtl/>
        </w:rPr>
      </w:pPr>
    </w:p>
    <w:p w14:paraId="12E61449" w14:textId="77777777" w:rsidR="00BA3D2F" w:rsidRDefault="00BA3D2F" w:rsidP="00BA3D2F">
      <w:pPr>
        <w:spacing w:line="360" w:lineRule="auto"/>
        <w:ind w:left="720" w:hanging="720"/>
        <w:jc w:val="both"/>
        <w:rPr>
          <w:rFonts w:ascii="David" w:hAnsi="David"/>
          <w:rtl/>
        </w:rPr>
      </w:pPr>
      <w:r>
        <w:rPr>
          <w:rFonts w:ascii="David" w:hAnsi="David"/>
          <w:rtl/>
        </w:rPr>
        <w:t>7.</w:t>
      </w:r>
      <w:r>
        <w:rPr>
          <w:rFonts w:ascii="David" w:hAnsi="David"/>
          <w:rtl/>
        </w:rPr>
        <w:tab/>
      </w:r>
      <w:r>
        <w:rPr>
          <w:rFonts w:ascii="David" w:hAnsi="David"/>
          <w:b/>
          <w:bCs/>
          <w:rtl/>
        </w:rPr>
        <w:t xml:space="preserve">ב"כ הנאשם </w:t>
      </w:r>
      <w:r>
        <w:rPr>
          <w:rFonts w:ascii="David" w:hAnsi="David"/>
          <w:rtl/>
        </w:rPr>
        <w:t>טענה כי מאחר והעונש המקסימלי הקבוע בחוק בגין עבירת ההחזקה הוא 7 שנות מאסר, הרי שהמתחם אליו עתרה המאשימה אינו ברור ומחמיר. נטען כי העיקרון המנחה בתיקון 113 ל</w:t>
      </w:r>
      <w:hyperlink r:id="rId15" w:history="1">
        <w:r w:rsidR="00541C78" w:rsidRPr="00541C78">
          <w:rPr>
            <w:rFonts w:ascii="David" w:hAnsi="David"/>
            <w:color w:val="0000FF"/>
            <w:u w:val="single"/>
            <w:rtl/>
          </w:rPr>
          <w:t>חוק העונשין</w:t>
        </w:r>
      </w:hyperlink>
      <w:r>
        <w:rPr>
          <w:rFonts w:ascii="David" w:hAnsi="David"/>
          <w:rtl/>
        </w:rPr>
        <w:t xml:space="preserve"> הינו עיקרון ההלימה המדגיש את הענישה אינדיבידואלית המחייבת להתחשב גם בנסיבות ביצוע העבירה.</w:t>
      </w:r>
    </w:p>
    <w:p w14:paraId="1FA4E4A0" w14:textId="77777777" w:rsidR="00BA3D2F" w:rsidRDefault="00BA3D2F" w:rsidP="00BA3D2F">
      <w:pPr>
        <w:spacing w:line="360" w:lineRule="auto"/>
        <w:ind w:left="720"/>
        <w:jc w:val="both"/>
        <w:rPr>
          <w:rFonts w:ascii="David" w:hAnsi="David"/>
        </w:rPr>
      </w:pPr>
      <w:r>
        <w:rPr>
          <w:rFonts w:ascii="David" w:hAnsi="David"/>
          <w:rtl/>
        </w:rPr>
        <w:t xml:space="preserve">עובדות כתב האישום המתוקן מצביעות על החזקה המוגבלת לאותו יום בלבד, וכי הנאשם החזיק בנשק יחד עם אחרים שזהותם ידועה למאשימה. מצופה היה  מהרשות החוקרת כי תפעל כנדרש ותאתר זהותם של המחזיקים האחרים. </w:t>
      </w:r>
    </w:p>
    <w:p w14:paraId="13E39922" w14:textId="77777777" w:rsidR="00BA3D2F" w:rsidRDefault="00BA3D2F" w:rsidP="00BA3D2F">
      <w:pPr>
        <w:pStyle w:val="a9"/>
        <w:spacing w:line="360" w:lineRule="auto"/>
        <w:jc w:val="both"/>
        <w:rPr>
          <w:rFonts w:ascii="David" w:hAnsi="David" w:cs="David"/>
          <w:sz w:val="24"/>
          <w:szCs w:val="24"/>
          <w:rtl/>
        </w:rPr>
      </w:pPr>
    </w:p>
    <w:p w14:paraId="1D765A03" w14:textId="77777777" w:rsidR="00BA3D2F" w:rsidRDefault="00BA3D2F" w:rsidP="00BA3D2F">
      <w:pPr>
        <w:spacing w:line="360" w:lineRule="auto"/>
        <w:ind w:left="720"/>
        <w:jc w:val="both"/>
        <w:rPr>
          <w:rFonts w:ascii="David" w:hAnsi="David"/>
          <w:rtl/>
        </w:rPr>
      </w:pPr>
      <w:r>
        <w:rPr>
          <w:rFonts w:ascii="David" w:hAnsi="David"/>
          <w:rtl/>
        </w:rPr>
        <w:t xml:space="preserve">הנאשם נעדר עבר פלילי, עצור לראשונה בחייו וניכר שחל שינוי בעמדותיו שהיו תוצר של המנטליות והתרבות בה גדל. הנאשם נעדר דפוסים עבריינים מושרשים ולראיה מכתבה של קצינת האסירים מיום 15.6.23, המלמד שהנאשם החל בטיפול כבר בשלב מעצרו. </w:t>
      </w:r>
    </w:p>
    <w:p w14:paraId="6067E274" w14:textId="77777777" w:rsidR="00BA3D2F" w:rsidRDefault="00BA3D2F" w:rsidP="00BA3D2F">
      <w:pPr>
        <w:pStyle w:val="a9"/>
        <w:spacing w:line="360" w:lineRule="auto"/>
        <w:jc w:val="both"/>
        <w:rPr>
          <w:rFonts w:ascii="David" w:hAnsi="David" w:cs="David"/>
          <w:sz w:val="24"/>
          <w:szCs w:val="24"/>
          <w:rtl/>
        </w:rPr>
      </w:pPr>
    </w:p>
    <w:p w14:paraId="0C677348" w14:textId="77777777" w:rsidR="00BA3D2F" w:rsidRDefault="00BA3D2F" w:rsidP="00BA3D2F">
      <w:pPr>
        <w:spacing w:line="360" w:lineRule="auto"/>
        <w:ind w:left="720"/>
        <w:jc w:val="both"/>
        <w:rPr>
          <w:rFonts w:ascii="David" w:hAnsi="David"/>
          <w:rtl/>
        </w:rPr>
      </w:pPr>
      <w:r>
        <w:rPr>
          <w:rFonts w:ascii="David" w:hAnsi="David"/>
          <w:rtl/>
        </w:rPr>
        <w:t>ב"כ הנאשם הפנתה להנחית פרקליט המדינה (נ/3) כשלשיטתה נסיבות ביצוע העבירה בענייננו מקל</w:t>
      </w:r>
      <w:r>
        <w:rPr>
          <w:rFonts w:ascii="David" w:hAnsi="David" w:hint="cs"/>
          <w:rtl/>
        </w:rPr>
        <w:t>ות</w:t>
      </w:r>
      <w:r>
        <w:rPr>
          <w:rFonts w:ascii="David" w:hAnsi="David"/>
          <w:rtl/>
        </w:rPr>
        <w:t xml:space="preserve"> יותר נוכח ההחזקה הקצרה וביחד עם אחרים. לדבריה אין מדובר "בגיוון בנשקים" כדוגמת רימונים או נשקים ארוכים. </w:t>
      </w:r>
    </w:p>
    <w:p w14:paraId="77BE3D49" w14:textId="77777777" w:rsidR="00BA3D2F" w:rsidRDefault="00BA3D2F" w:rsidP="00BA3D2F">
      <w:pPr>
        <w:pStyle w:val="a9"/>
        <w:spacing w:line="360" w:lineRule="auto"/>
        <w:jc w:val="both"/>
        <w:rPr>
          <w:rFonts w:ascii="David" w:hAnsi="David" w:cs="David"/>
          <w:sz w:val="24"/>
          <w:szCs w:val="24"/>
          <w:rtl/>
        </w:rPr>
      </w:pPr>
    </w:p>
    <w:p w14:paraId="58421932" w14:textId="77777777" w:rsidR="00BA3D2F" w:rsidRDefault="00BA3D2F" w:rsidP="00BA3D2F">
      <w:pPr>
        <w:spacing w:line="360" w:lineRule="auto"/>
        <w:ind w:left="720"/>
        <w:jc w:val="both"/>
        <w:rPr>
          <w:rFonts w:ascii="David" w:hAnsi="David"/>
          <w:rtl/>
        </w:rPr>
      </w:pPr>
      <w:r>
        <w:rPr>
          <w:rFonts w:ascii="David" w:hAnsi="David"/>
          <w:rtl/>
        </w:rPr>
        <w:lastRenderedPageBreak/>
        <w:t xml:space="preserve">נטען כי העובדה שהנאשם לא החזיק את הנשקים ברכב הינה נסיבה לקולא, כמו גם העובדה שלא נעשה שימוש בנשקים ואין מדובר בעבירה עם קורבן ספציפי. לדבריה על בית המשפט להתחשב בהבעת החרטה של הנאשם ולקיחת האחריות מצדו. כמו כן נטען כי הנאשם הוכה במהלך האירוע על ידי אחד השוטרים. </w:t>
      </w:r>
    </w:p>
    <w:p w14:paraId="7ACD80C8" w14:textId="77777777" w:rsidR="00BA3D2F" w:rsidRDefault="00BA3D2F" w:rsidP="00BA3D2F">
      <w:pPr>
        <w:spacing w:line="360" w:lineRule="auto"/>
        <w:ind w:left="720"/>
        <w:jc w:val="both"/>
        <w:rPr>
          <w:rFonts w:ascii="David" w:hAnsi="David"/>
          <w:rtl/>
        </w:rPr>
      </w:pPr>
    </w:p>
    <w:p w14:paraId="38D26EE5" w14:textId="77777777" w:rsidR="00BA3D2F" w:rsidRDefault="00BA3D2F" w:rsidP="00BA3D2F">
      <w:pPr>
        <w:spacing w:line="360" w:lineRule="auto"/>
        <w:ind w:left="720"/>
        <w:jc w:val="both"/>
        <w:rPr>
          <w:rFonts w:ascii="David" w:hAnsi="David"/>
          <w:rtl/>
        </w:rPr>
      </w:pPr>
      <w:r>
        <w:rPr>
          <w:rFonts w:ascii="David" w:hAnsi="David"/>
          <w:rtl/>
        </w:rPr>
        <w:t xml:space="preserve">ב"כ הנאשם הגישה קובץ פסיקה (נ/2) הכולל 30 פסקי דין, הוסיפה כי כלל הפסיקה שצרפה חמורה מעניינו וכוללת עבירות חמורות יותר ובנסיבות קשות יותר, ועתרה למתחם עונש ראוי שנע בין 16 חודשים ל – 36 חודשי מאסר בפועל. ההגנה עתרה להסתפק במקרה שבפניי בעונש מאסר בפועל בן 16 חודשים, </w:t>
      </w:r>
      <w:r>
        <w:rPr>
          <w:rFonts w:ascii="David" w:hAnsi="David" w:hint="cs"/>
          <w:rtl/>
        </w:rPr>
        <w:t xml:space="preserve">ולשיטתה </w:t>
      </w:r>
      <w:r>
        <w:rPr>
          <w:rFonts w:ascii="David" w:hAnsi="David"/>
          <w:rtl/>
        </w:rPr>
        <w:t>ניתן לאזן הענישה בהטלת קנס משמעותי.</w:t>
      </w:r>
    </w:p>
    <w:p w14:paraId="7BF512F1" w14:textId="77777777" w:rsidR="00BA3D2F" w:rsidRDefault="00BA3D2F" w:rsidP="00BA3D2F">
      <w:pPr>
        <w:spacing w:line="360" w:lineRule="auto"/>
        <w:ind w:left="720"/>
        <w:jc w:val="both"/>
        <w:rPr>
          <w:rFonts w:ascii="David" w:hAnsi="David"/>
          <w:rtl/>
        </w:rPr>
      </w:pPr>
      <w:r>
        <w:rPr>
          <w:rFonts w:ascii="David" w:hAnsi="David"/>
          <w:rtl/>
        </w:rPr>
        <w:t>הנאשם אמר כי הוא מצטער על מה שעשה ומבקש הזדמנות. לדבריו התחיל לטפל בעצמו מהשורש, וזאת בהמשך להליך טיפולי בו החל בתקופת מעצרו.</w:t>
      </w:r>
    </w:p>
    <w:p w14:paraId="03E499E5" w14:textId="77777777" w:rsidR="00BA3D2F" w:rsidRDefault="00BA3D2F" w:rsidP="00BA3D2F">
      <w:pPr>
        <w:spacing w:line="360" w:lineRule="auto"/>
        <w:jc w:val="both"/>
        <w:rPr>
          <w:rFonts w:ascii="David" w:hAnsi="David"/>
          <w:b/>
          <w:bCs/>
          <w:rtl/>
        </w:rPr>
      </w:pPr>
    </w:p>
    <w:p w14:paraId="73F0A0DB" w14:textId="77777777" w:rsidR="00BA3D2F" w:rsidRDefault="00BA3D2F" w:rsidP="00BA3D2F">
      <w:pPr>
        <w:spacing w:line="360" w:lineRule="auto"/>
        <w:jc w:val="both"/>
        <w:rPr>
          <w:rFonts w:ascii="David" w:hAnsi="David"/>
          <w:b/>
          <w:bCs/>
          <w:u w:val="single"/>
          <w:rtl/>
        </w:rPr>
      </w:pPr>
      <w:r>
        <w:rPr>
          <w:rFonts w:ascii="David" w:hAnsi="David"/>
          <w:b/>
          <w:bCs/>
          <w:u w:val="single"/>
          <w:rtl/>
        </w:rPr>
        <w:t>דיון והכרעה:</w:t>
      </w:r>
    </w:p>
    <w:p w14:paraId="7157FA60" w14:textId="77777777" w:rsidR="00BA3D2F" w:rsidRDefault="00BA3D2F" w:rsidP="00BA3D2F">
      <w:pPr>
        <w:spacing w:line="360" w:lineRule="auto"/>
        <w:jc w:val="both"/>
        <w:rPr>
          <w:rFonts w:ascii="David" w:hAnsi="David"/>
          <w:b/>
          <w:bCs/>
          <w:u w:val="single"/>
          <w:rtl/>
        </w:rPr>
      </w:pPr>
    </w:p>
    <w:p w14:paraId="572D28CA" w14:textId="77777777" w:rsidR="00BA3D2F" w:rsidRDefault="00BA3D2F" w:rsidP="00BA3D2F">
      <w:pPr>
        <w:spacing w:line="360" w:lineRule="auto"/>
        <w:ind w:left="720" w:hanging="720"/>
        <w:jc w:val="both"/>
        <w:rPr>
          <w:rFonts w:ascii="David" w:hAnsi="David"/>
          <w:rtl/>
        </w:rPr>
      </w:pPr>
      <w:r>
        <w:rPr>
          <w:rFonts w:ascii="David" w:hAnsi="David"/>
          <w:rtl/>
        </w:rPr>
        <w:t>8.</w:t>
      </w:r>
      <w:r>
        <w:rPr>
          <w:rFonts w:ascii="David" w:hAnsi="David"/>
          <w:rtl/>
        </w:rPr>
        <w:tab/>
        <w:t>הנאשם חטא בעבירות בנשק (החזקה) עת החזיק 4 אקדחים, מחסניות ותחמושת תואמת (15 כדורי 9 מ"מ ו- 8 כדורי 0.22 מ"מ) ובעבירה של הפרעה לשוטר בשעת מילוי תפקידו.</w:t>
      </w:r>
    </w:p>
    <w:p w14:paraId="7A82A738" w14:textId="77777777" w:rsidR="00BA3D2F" w:rsidRDefault="00BA3D2F" w:rsidP="00BA3D2F">
      <w:pPr>
        <w:spacing w:line="360" w:lineRule="auto"/>
        <w:ind w:left="720"/>
        <w:jc w:val="both"/>
        <w:rPr>
          <w:rFonts w:ascii="David" w:hAnsi="David"/>
        </w:rPr>
      </w:pPr>
      <w:r>
        <w:rPr>
          <w:rFonts w:ascii="David" w:hAnsi="David"/>
          <w:rtl/>
        </w:rPr>
        <w:t xml:space="preserve">בהתאם לסעיף </w:t>
      </w:r>
      <w:hyperlink r:id="rId16" w:history="1">
        <w:r w:rsidR="00A95446" w:rsidRPr="00A95446">
          <w:rPr>
            <w:rStyle w:val="Hyperlink"/>
            <w:rFonts w:ascii="David" w:hAnsi="David"/>
            <w:rtl/>
          </w:rPr>
          <w:t>40 ב</w:t>
        </w:r>
      </w:hyperlink>
      <w:r>
        <w:rPr>
          <w:rFonts w:ascii="David" w:hAnsi="David"/>
          <w:rtl/>
        </w:rPr>
        <w:t xml:space="preserve"> ל</w:t>
      </w:r>
      <w:hyperlink r:id="rId17" w:history="1">
        <w:r w:rsidR="00541C78" w:rsidRPr="00541C78">
          <w:rPr>
            <w:rFonts w:ascii="David" w:hAnsi="David"/>
            <w:color w:val="0000FF"/>
            <w:u w:val="single"/>
            <w:rtl/>
          </w:rPr>
          <w:t>חוק העונשין</w:t>
        </w:r>
      </w:hyperlink>
      <w:r>
        <w:rPr>
          <w:rFonts w:ascii="David" w:hAnsi="David"/>
          <w:rtl/>
        </w:rPr>
        <w:t>, עקרון ההלימה הינו העיקרון המנחה בענישה, ויש לבחון קיומו של יחס הולם בין חומרת מעשה העבירה, בנסיבותיה ובמידת אשמתו של הנאשם ובין העונש המוטל עליו.</w:t>
      </w:r>
    </w:p>
    <w:p w14:paraId="01560762" w14:textId="77777777" w:rsidR="00BA3D2F" w:rsidRDefault="00BA3D2F" w:rsidP="00BA3D2F">
      <w:pPr>
        <w:pStyle w:val="a9"/>
        <w:spacing w:line="360" w:lineRule="auto"/>
        <w:ind w:left="927"/>
        <w:jc w:val="both"/>
        <w:rPr>
          <w:rFonts w:ascii="David" w:hAnsi="David" w:cs="David"/>
          <w:sz w:val="24"/>
          <w:szCs w:val="24"/>
          <w:rtl/>
        </w:rPr>
      </w:pPr>
    </w:p>
    <w:p w14:paraId="5C65EDC7" w14:textId="77777777" w:rsidR="00BA3D2F" w:rsidRDefault="00BA3D2F" w:rsidP="00BA3D2F">
      <w:pPr>
        <w:spacing w:line="360" w:lineRule="auto"/>
        <w:jc w:val="both"/>
        <w:rPr>
          <w:rFonts w:ascii="David" w:hAnsi="David"/>
          <w:b/>
          <w:bCs/>
          <w:u w:val="single"/>
          <w:rtl/>
        </w:rPr>
      </w:pPr>
      <w:r>
        <w:rPr>
          <w:rFonts w:ascii="David" w:hAnsi="David"/>
          <w:b/>
          <w:bCs/>
          <w:u w:val="single"/>
          <w:rtl/>
        </w:rPr>
        <w:t>קביעת מתחם העונש ההולם:</w:t>
      </w:r>
    </w:p>
    <w:p w14:paraId="4D5FC775" w14:textId="77777777" w:rsidR="00BA3D2F" w:rsidRDefault="00BA3D2F" w:rsidP="00BA3D2F">
      <w:pPr>
        <w:spacing w:line="360" w:lineRule="auto"/>
        <w:jc w:val="both"/>
        <w:rPr>
          <w:rFonts w:ascii="David" w:hAnsi="David"/>
          <w:b/>
          <w:bCs/>
          <w:u w:val="single"/>
          <w:rtl/>
        </w:rPr>
      </w:pPr>
    </w:p>
    <w:p w14:paraId="6E73A27A" w14:textId="77777777" w:rsidR="00BA3D2F" w:rsidRDefault="00BA3D2F" w:rsidP="00BA3D2F">
      <w:pPr>
        <w:spacing w:line="360" w:lineRule="auto"/>
        <w:ind w:left="720" w:hanging="720"/>
        <w:jc w:val="both"/>
        <w:rPr>
          <w:rFonts w:ascii="David" w:hAnsi="David"/>
          <w:rtl/>
        </w:rPr>
      </w:pPr>
      <w:r>
        <w:rPr>
          <w:rFonts w:ascii="David" w:hAnsi="David"/>
          <w:rtl/>
        </w:rPr>
        <w:t>9.</w:t>
      </w:r>
      <w:r>
        <w:rPr>
          <w:rFonts w:ascii="David" w:hAnsi="David"/>
          <w:rtl/>
        </w:rPr>
        <w:tab/>
        <w:t xml:space="preserve">לצורך קביעת מתחם העונש ההולם בהתאם לסעיף </w:t>
      </w:r>
      <w:hyperlink r:id="rId18" w:history="1">
        <w:r w:rsidR="00A95446" w:rsidRPr="00A95446">
          <w:rPr>
            <w:rStyle w:val="Hyperlink"/>
            <w:rFonts w:ascii="David" w:hAnsi="David"/>
            <w:rtl/>
          </w:rPr>
          <w:t>40 ג</w:t>
        </w:r>
      </w:hyperlink>
      <w:r>
        <w:rPr>
          <w:rFonts w:ascii="David" w:hAnsi="David"/>
          <w:rtl/>
        </w:rPr>
        <w:t xml:space="preserve"> ל</w:t>
      </w:r>
      <w:hyperlink r:id="rId19" w:history="1">
        <w:r w:rsidR="00541C78" w:rsidRPr="00541C78">
          <w:rPr>
            <w:rFonts w:ascii="David" w:hAnsi="David"/>
            <w:color w:val="0000FF"/>
            <w:u w:val="single"/>
            <w:rtl/>
          </w:rPr>
          <w:t>חוק העונשין</w:t>
        </w:r>
      </w:hyperlink>
      <w:r>
        <w:rPr>
          <w:rFonts w:ascii="David" w:hAnsi="David"/>
          <w:rtl/>
        </w:rPr>
        <w:t xml:space="preserve">, יש לבחון את הערכים החברתיים שנפגעו מהעבירות ומידת הפגיעה בם, מדיניות הענישה הנוהגת והנסיבות הקשורות בביצוע העבירות. </w:t>
      </w:r>
    </w:p>
    <w:p w14:paraId="652D0D64" w14:textId="77777777" w:rsidR="00BA3D2F" w:rsidRDefault="00BA3D2F" w:rsidP="00BA3D2F">
      <w:pPr>
        <w:spacing w:line="360" w:lineRule="auto"/>
        <w:ind w:left="720" w:hanging="720"/>
        <w:jc w:val="both"/>
        <w:rPr>
          <w:rFonts w:ascii="David" w:hAnsi="David"/>
          <w:rtl/>
        </w:rPr>
      </w:pPr>
    </w:p>
    <w:p w14:paraId="0C67A4E6" w14:textId="77777777" w:rsidR="00BA3D2F" w:rsidRDefault="00BA3D2F" w:rsidP="00BA3D2F">
      <w:pPr>
        <w:spacing w:line="360" w:lineRule="auto"/>
        <w:ind w:left="720" w:hanging="720"/>
        <w:jc w:val="both"/>
        <w:rPr>
          <w:rFonts w:ascii="David" w:hAnsi="David"/>
          <w:rtl/>
        </w:rPr>
      </w:pPr>
      <w:r>
        <w:rPr>
          <w:rFonts w:ascii="David" w:hAnsi="David"/>
          <w:rtl/>
        </w:rPr>
        <w:t>10.</w:t>
      </w:r>
      <w:r>
        <w:rPr>
          <w:rFonts w:ascii="David" w:hAnsi="David"/>
          <w:rtl/>
        </w:rPr>
        <w:tab/>
        <w:t xml:space="preserve">קביעת מתחם העונש צריכה להיעשות גם בזיקה לענישה המרבית שקבע המחוקק, וכפי שקבע כבוד השופט שטיין </w:t>
      </w:r>
      <w:r>
        <w:rPr>
          <w:rFonts w:ascii="David" w:hAnsi="David"/>
          <w:b/>
          <w:bCs/>
          <w:rtl/>
        </w:rPr>
        <w:t>ב</w:t>
      </w:r>
      <w:hyperlink r:id="rId20" w:history="1">
        <w:r w:rsidR="00541C78" w:rsidRPr="00541C78">
          <w:rPr>
            <w:rFonts w:ascii="David" w:hAnsi="David"/>
            <w:b/>
            <w:bCs/>
            <w:color w:val="0000FF"/>
            <w:u w:val="single"/>
            <w:rtl/>
          </w:rPr>
          <w:t>ע"פ 147/21</w:t>
        </w:r>
      </w:hyperlink>
      <w:r>
        <w:rPr>
          <w:rFonts w:ascii="David" w:hAnsi="David"/>
          <w:b/>
          <w:bCs/>
          <w:rtl/>
        </w:rPr>
        <w:t xml:space="preserve"> מ"י נ' ירין ביטון (14.2.21</w:t>
      </w:r>
      <w:r>
        <w:rPr>
          <w:rFonts w:ascii="David" w:hAnsi="David"/>
          <w:rtl/>
        </w:rPr>
        <w:t>):</w:t>
      </w:r>
    </w:p>
    <w:p w14:paraId="7F2DD0C9" w14:textId="77777777" w:rsidR="00BA3D2F" w:rsidRDefault="00BA3D2F" w:rsidP="00BA3D2F">
      <w:pPr>
        <w:spacing w:line="360" w:lineRule="auto"/>
        <w:ind w:left="720" w:hanging="720"/>
        <w:jc w:val="both"/>
        <w:rPr>
          <w:rFonts w:ascii="David" w:hAnsi="David"/>
          <w:rtl/>
        </w:rPr>
      </w:pPr>
    </w:p>
    <w:p w14:paraId="1BAFA8EE" w14:textId="77777777" w:rsidR="00BA3D2F" w:rsidRDefault="00BA3D2F" w:rsidP="00BA3D2F">
      <w:pPr>
        <w:spacing w:line="360" w:lineRule="auto"/>
        <w:ind w:left="720"/>
        <w:jc w:val="both"/>
        <w:rPr>
          <w:rFonts w:ascii="David" w:hAnsi="David"/>
          <w:b/>
          <w:bCs/>
        </w:rPr>
      </w:pPr>
      <w:r>
        <w:rPr>
          <w:rFonts w:ascii="David" w:hAnsi="David"/>
          <w:b/>
          <w:bCs/>
          <w:rtl/>
        </w:rPr>
        <w:t>"לזאת אוסיף, כי עונשי מאסר מרביים אינם באים לקבוע אך ורק את גבולה העליון של סמכות הענישה שבידי בתי המשפט. עונשים כאמור מבטאים את רמת הענישה הראויה במקרים החמורים ביותר של ביצוע העבירה שבה עסקינן, ומהם ניתן וראוי לגזור את מתחם העונשים עבור מקרים פחות חמורים....הקפדה על זיקה כאמור היא חלק מהבניית שיקול הדעת השיפוטי בענישה , אשר נעשתה בגדרו של תיקון 113 ל</w:t>
      </w:r>
      <w:hyperlink r:id="rId21" w:history="1">
        <w:r w:rsidR="00541C78" w:rsidRPr="00541C78">
          <w:rPr>
            <w:rFonts w:ascii="David" w:hAnsi="David"/>
            <w:b/>
            <w:bCs/>
            <w:color w:val="0000FF"/>
            <w:u w:val="single"/>
            <w:rtl/>
          </w:rPr>
          <w:t>חוק העונשין</w:t>
        </w:r>
      </w:hyperlink>
      <w:r>
        <w:rPr>
          <w:rFonts w:ascii="David" w:hAnsi="David"/>
          <w:b/>
          <w:bCs/>
          <w:rtl/>
        </w:rPr>
        <w:t xml:space="preserve"> ..." .</w:t>
      </w:r>
    </w:p>
    <w:p w14:paraId="3CF07A51" w14:textId="77777777" w:rsidR="00BA3D2F" w:rsidRDefault="00BA3D2F" w:rsidP="00BA3D2F">
      <w:pPr>
        <w:pStyle w:val="a9"/>
        <w:spacing w:line="360" w:lineRule="auto"/>
        <w:ind w:left="927"/>
        <w:jc w:val="both"/>
        <w:rPr>
          <w:rFonts w:ascii="David" w:hAnsi="David" w:cs="David"/>
          <w:b/>
          <w:bCs/>
          <w:sz w:val="24"/>
          <w:szCs w:val="24"/>
          <w:rtl/>
        </w:rPr>
      </w:pPr>
    </w:p>
    <w:p w14:paraId="709156AE" w14:textId="77777777" w:rsidR="00BA3D2F" w:rsidRDefault="00BA3D2F" w:rsidP="00BA3D2F">
      <w:pPr>
        <w:spacing w:line="360" w:lineRule="auto"/>
        <w:ind w:left="720"/>
        <w:jc w:val="both"/>
        <w:rPr>
          <w:rFonts w:ascii="David" w:hAnsi="David"/>
          <w:rtl/>
        </w:rPr>
      </w:pPr>
      <w:r>
        <w:rPr>
          <w:rFonts w:ascii="David" w:hAnsi="David"/>
          <w:rtl/>
        </w:rPr>
        <w:lastRenderedPageBreak/>
        <w:t xml:space="preserve">הנאשם הורשע בעבירה של החזקת נשק שהעונש המרבי בצידה 7 שנות מאסר, ובעבירה של הפרעה לשוטר בשעת מילוי תפקידו שהעונש המרבי בצידה 3 שנות מאסר. גזירת עונשו  של הנאשם תעשה גם בזיקה עניינית לחומרת העבירות כפי שקבע המחוקק, תוך קביעת מתחם אחד לאירוע כולו. </w:t>
      </w:r>
    </w:p>
    <w:p w14:paraId="12B74893" w14:textId="77777777" w:rsidR="00BA3D2F" w:rsidRDefault="00BA3D2F" w:rsidP="00BA3D2F">
      <w:pPr>
        <w:spacing w:line="360" w:lineRule="auto"/>
        <w:jc w:val="both"/>
        <w:rPr>
          <w:rFonts w:ascii="David" w:hAnsi="David"/>
          <w:rtl/>
        </w:rPr>
      </w:pPr>
    </w:p>
    <w:p w14:paraId="1C67F084" w14:textId="77777777" w:rsidR="00BA3D2F" w:rsidRDefault="00BA3D2F" w:rsidP="00BA3D2F">
      <w:pPr>
        <w:spacing w:line="360" w:lineRule="auto"/>
        <w:ind w:left="720" w:hanging="720"/>
        <w:jc w:val="both"/>
        <w:rPr>
          <w:rFonts w:ascii="David" w:hAnsi="David"/>
          <w:rtl/>
        </w:rPr>
      </w:pPr>
      <w:r>
        <w:rPr>
          <w:rFonts w:ascii="David" w:hAnsi="David"/>
          <w:rtl/>
        </w:rPr>
        <w:t>11.</w:t>
      </w:r>
      <w:r>
        <w:rPr>
          <w:rFonts w:ascii="David" w:hAnsi="David"/>
          <w:rtl/>
        </w:rPr>
        <w:tab/>
        <w:t>בעניי</w:t>
      </w:r>
      <w:r>
        <w:rPr>
          <w:rFonts w:ascii="David" w:hAnsi="David" w:hint="cs"/>
          <w:rtl/>
        </w:rPr>
        <w:t>נ</w:t>
      </w:r>
      <w:r>
        <w:rPr>
          <w:rFonts w:ascii="David" w:hAnsi="David"/>
          <w:rtl/>
        </w:rPr>
        <w:t xml:space="preserve">נו קביעת מתחם העונש ההולם צריך </w:t>
      </w:r>
      <w:r>
        <w:rPr>
          <w:rFonts w:ascii="David" w:hAnsi="David" w:hint="cs"/>
          <w:rtl/>
        </w:rPr>
        <w:t>שתעשה</w:t>
      </w:r>
      <w:r>
        <w:rPr>
          <w:rFonts w:ascii="David" w:hAnsi="David"/>
          <w:rtl/>
        </w:rPr>
        <w:t xml:space="preserve"> לא רק בזיקה לעונש המרבי, אלא גם לעונשי המינימום הקבועים בחוק. </w:t>
      </w:r>
    </w:p>
    <w:p w14:paraId="5A82CBDF" w14:textId="77777777" w:rsidR="00BA3D2F" w:rsidRDefault="00BA3D2F" w:rsidP="00BA3D2F">
      <w:pPr>
        <w:pStyle w:val="a9"/>
        <w:spacing w:line="360" w:lineRule="auto"/>
        <w:jc w:val="both"/>
        <w:rPr>
          <w:rFonts w:ascii="David" w:hAnsi="David" w:cs="David"/>
          <w:sz w:val="24"/>
          <w:szCs w:val="24"/>
        </w:rPr>
      </w:pPr>
      <w:r>
        <w:rPr>
          <w:rFonts w:ascii="David" w:hAnsi="David" w:cs="David"/>
          <w:sz w:val="24"/>
          <w:szCs w:val="24"/>
          <w:rtl/>
        </w:rPr>
        <w:t>כידוע ביום 8.12.21 נכנס לת</w:t>
      </w:r>
      <w:r>
        <w:rPr>
          <w:rFonts w:ascii="David" w:hAnsi="David" w:cs="David" w:hint="cs"/>
          <w:sz w:val="24"/>
          <w:szCs w:val="24"/>
          <w:rtl/>
        </w:rPr>
        <w:t>ו</w:t>
      </w:r>
      <w:r>
        <w:rPr>
          <w:rFonts w:ascii="David" w:hAnsi="David" w:cs="David"/>
          <w:sz w:val="24"/>
          <w:szCs w:val="24"/>
          <w:rtl/>
        </w:rPr>
        <w:t>קפו תיקון 140 ל</w:t>
      </w:r>
      <w:hyperlink r:id="rId22" w:history="1">
        <w:r w:rsidR="00541C78" w:rsidRPr="00541C78">
          <w:rPr>
            <w:rFonts w:ascii="David" w:hAnsi="David" w:cs="David"/>
            <w:color w:val="0000FF"/>
            <w:sz w:val="24"/>
            <w:szCs w:val="24"/>
            <w:u w:val="single"/>
            <w:rtl/>
          </w:rPr>
          <w:t>חוק העונשין</w:t>
        </w:r>
      </w:hyperlink>
      <w:r>
        <w:rPr>
          <w:rFonts w:ascii="David" w:hAnsi="David" w:cs="David"/>
          <w:sz w:val="24"/>
          <w:szCs w:val="24"/>
          <w:rtl/>
        </w:rPr>
        <w:t xml:space="preserve"> הקובע כי בתקופה של שלוש שנים מיום פרסומה של הוראת השעה, לא יפחת עונשו של מי שהורשע בעבירות בנשק המפורטות בתיקון (עבירת ההחזקה בעניינו), מרבע העונש המרבי שנקבע לאותה עבירה. </w:t>
      </w:r>
    </w:p>
    <w:p w14:paraId="66D414A2" w14:textId="77777777" w:rsidR="00BA3D2F" w:rsidRDefault="00BA3D2F" w:rsidP="00BA3D2F">
      <w:pPr>
        <w:spacing w:line="360" w:lineRule="auto"/>
        <w:ind w:left="720"/>
        <w:jc w:val="both"/>
        <w:rPr>
          <w:rFonts w:ascii="David" w:hAnsi="David"/>
          <w:rtl/>
        </w:rPr>
      </w:pPr>
      <w:r>
        <w:rPr>
          <w:rFonts w:ascii="David" w:hAnsi="David"/>
          <w:rtl/>
        </w:rPr>
        <w:t>בית המשפט העליון עמד על כך שעונש המינימום הוא "</w:t>
      </w:r>
      <w:r>
        <w:rPr>
          <w:rFonts w:ascii="David" w:hAnsi="David"/>
          <w:b/>
          <w:bCs/>
          <w:rtl/>
        </w:rPr>
        <w:t>בבחינת אינדיקציה לחומרה שמיוחסת לעבירה ולמידת הפגיעה בערכים המוגנים מחמת ביצועה, ומשכך, ראוי שתהיה לו השפעה גם על מתחם העונש ההולם</w:t>
      </w:r>
      <w:r>
        <w:rPr>
          <w:rFonts w:ascii="David" w:hAnsi="David"/>
          <w:rtl/>
        </w:rPr>
        <w:t xml:space="preserve">" (ראה: </w:t>
      </w:r>
      <w:hyperlink r:id="rId23" w:history="1">
        <w:r w:rsidR="00541C78" w:rsidRPr="00541C78">
          <w:rPr>
            <w:rFonts w:ascii="David" w:hAnsi="David"/>
            <w:color w:val="0000FF"/>
            <w:u w:val="single"/>
            <w:rtl/>
          </w:rPr>
          <w:t>עפ 4876/15</w:t>
        </w:r>
      </w:hyperlink>
      <w:r>
        <w:rPr>
          <w:rFonts w:ascii="David" w:hAnsi="David"/>
          <w:rtl/>
        </w:rPr>
        <w:t xml:space="preserve"> </w:t>
      </w:r>
      <w:r>
        <w:rPr>
          <w:rFonts w:ascii="David" w:hAnsi="David"/>
          <w:b/>
          <w:bCs/>
          <w:rtl/>
        </w:rPr>
        <w:t>פלוני נ' מדינת ישראל</w:t>
      </w:r>
      <w:r>
        <w:rPr>
          <w:rFonts w:ascii="David" w:hAnsi="David"/>
          <w:rtl/>
        </w:rPr>
        <w:t xml:space="preserve">  (3.12.15); ו</w:t>
      </w:r>
      <w:hyperlink r:id="rId24" w:history="1">
        <w:r w:rsidR="00541C78" w:rsidRPr="00541C78">
          <w:rPr>
            <w:rFonts w:ascii="David" w:hAnsi="David"/>
            <w:color w:val="0000FF"/>
            <w:u w:val="single"/>
            <w:rtl/>
          </w:rPr>
          <w:t>ע"פ 8045/13</w:t>
        </w:r>
      </w:hyperlink>
      <w:r>
        <w:rPr>
          <w:rFonts w:ascii="David" w:hAnsi="David"/>
          <w:rtl/>
        </w:rPr>
        <w:t xml:space="preserve"> </w:t>
      </w:r>
      <w:r>
        <w:rPr>
          <w:rFonts w:ascii="David" w:hAnsi="David"/>
          <w:b/>
          <w:bCs/>
          <w:rtl/>
        </w:rPr>
        <w:t>פלוני נ' מדינת ישראל</w:t>
      </w:r>
      <w:r>
        <w:rPr>
          <w:rFonts w:ascii="David" w:hAnsi="David"/>
          <w:rtl/>
        </w:rPr>
        <w:t xml:space="preserve"> (‏4.11.2014)).</w:t>
      </w:r>
    </w:p>
    <w:p w14:paraId="712876E5" w14:textId="77777777" w:rsidR="00BA3D2F" w:rsidRDefault="00BA3D2F" w:rsidP="00BA3D2F">
      <w:pPr>
        <w:spacing w:line="360" w:lineRule="auto"/>
        <w:ind w:left="567"/>
        <w:jc w:val="both"/>
        <w:rPr>
          <w:rFonts w:ascii="David" w:hAnsi="David"/>
          <w:rtl/>
        </w:rPr>
      </w:pPr>
    </w:p>
    <w:p w14:paraId="38662C8C" w14:textId="77777777" w:rsidR="00BA3D2F" w:rsidRDefault="00BA3D2F" w:rsidP="00BA3D2F">
      <w:pPr>
        <w:spacing w:line="360" w:lineRule="auto"/>
        <w:ind w:left="567"/>
        <w:jc w:val="both"/>
        <w:rPr>
          <w:rFonts w:ascii="David" w:hAnsi="David"/>
        </w:rPr>
      </w:pPr>
      <w:r>
        <w:rPr>
          <w:rFonts w:ascii="David" w:hAnsi="David"/>
          <w:rtl/>
        </w:rPr>
        <w:t>אעיר כי אף ביחס לעבירה של הפרעה לשוטר במילוי תפקידו קבע המחוקק עונש מינימום אשר לא יפחת משבועיים ימים.</w:t>
      </w:r>
    </w:p>
    <w:p w14:paraId="42C7CC5A" w14:textId="77777777" w:rsidR="00BA3D2F" w:rsidRDefault="00BA3D2F" w:rsidP="00BA3D2F">
      <w:pPr>
        <w:spacing w:line="360" w:lineRule="auto"/>
        <w:jc w:val="both"/>
        <w:rPr>
          <w:rFonts w:ascii="David" w:hAnsi="David"/>
          <w:rtl/>
        </w:rPr>
      </w:pPr>
    </w:p>
    <w:p w14:paraId="05F77C34" w14:textId="77777777" w:rsidR="00BA3D2F" w:rsidRPr="00616339" w:rsidRDefault="00BA3D2F" w:rsidP="00BA3D2F">
      <w:pPr>
        <w:spacing w:line="360" w:lineRule="auto"/>
        <w:ind w:firstLine="567"/>
        <w:jc w:val="both"/>
        <w:rPr>
          <w:rFonts w:ascii="David" w:hAnsi="David"/>
          <w:b/>
          <w:bCs/>
          <w:rtl/>
        </w:rPr>
      </w:pPr>
      <w:r w:rsidRPr="00616339">
        <w:rPr>
          <w:rFonts w:ascii="David" w:hAnsi="David"/>
          <w:b/>
          <w:bCs/>
          <w:rtl/>
        </w:rPr>
        <w:t xml:space="preserve">הערכים החברתיים שנפגעו: </w:t>
      </w:r>
    </w:p>
    <w:p w14:paraId="026492C3" w14:textId="77777777" w:rsidR="00BA3D2F" w:rsidRPr="00616339" w:rsidRDefault="00BA3D2F" w:rsidP="00BA3D2F">
      <w:pPr>
        <w:spacing w:line="360" w:lineRule="auto"/>
        <w:jc w:val="both"/>
        <w:rPr>
          <w:rFonts w:ascii="David" w:hAnsi="David"/>
          <w:b/>
          <w:bCs/>
          <w:rtl/>
        </w:rPr>
      </w:pPr>
    </w:p>
    <w:p w14:paraId="675EFB55" w14:textId="77777777" w:rsidR="00BA3D2F" w:rsidRDefault="00BA3D2F" w:rsidP="00BA3D2F">
      <w:pPr>
        <w:spacing w:line="360" w:lineRule="auto"/>
        <w:ind w:left="720" w:hanging="720"/>
        <w:jc w:val="both"/>
        <w:rPr>
          <w:rFonts w:ascii="David" w:hAnsi="David"/>
          <w:rtl/>
        </w:rPr>
      </w:pPr>
      <w:r>
        <w:rPr>
          <w:rFonts w:ascii="David" w:hAnsi="David"/>
          <w:rtl/>
        </w:rPr>
        <w:t>12.</w:t>
      </w:r>
      <w:r>
        <w:rPr>
          <w:rFonts w:ascii="David" w:hAnsi="David"/>
          <w:rtl/>
        </w:rPr>
        <w:tab/>
        <w:t xml:space="preserve">הנאשם ביצע עבירת נשק חמורה ופגע בערכים המוגנים הכוללים שמירה על החיים ושלימות הגוף וכן פגע בערכים של ביטחון הציבור ושלוותו. </w:t>
      </w:r>
    </w:p>
    <w:p w14:paraId="41DCEA6F" w14:textId="77777777" w:rsidR="00BA3D2F" w:rsidRDefault="00BA3D2F" w:rsidP="00BA3D2F">
      <w:pPr>
        <w:spacing w:line="360" w:lineRule="auto"/>
        <w:ind w:left="720"/>
        <w:jc w:val="both"/>
        <w:rPr>
          <w:rFonts w:ascii="David" w:hAnsi="David"/>
        </w:rPr>
      </w:pPr>
      <w:r>
        <w:rPr>
          <w:rFonts w:ascii="David" w:hAnsi="David"/>
          <w:rtl/>
        </w:rPr>
        <w:t xml:space="preserve">החזקת נשק שלא כדין מהווה סכנה שמא יעשה בו שימוש מכוון לפגיעה בגוף או ברכוש, וכחלק מביצוען של עבירות אחרות - פתרון סכסוכים באלימות, פעילות משפחות פשע, פעילות בעלת גוון לאומני (ראה אירועי שומר חומות בנגב) או חלילה  פעולות טרור. </w:t>
      </w:r>
    </w:p>
    <w:p w14:paraId="531A8D26" w14:textId="77777777" w:rsidR="00BA3D2F" w:rsidRDefault="00BA3D2F" w:rsidP="00BA3D2F">
      <w:pPr>
        <w:spacing w:line="360" w:lineRule="auto"/>
        <w:ind w:left="720"/>
        <w:jc w:val="both"/>
        <w:rPr>
          <w:rFonts w:ascii="David" w:hAnsi="David"/>
          <w:rtl/>
        </w:rPr>
      </w:pPr>
      <w:r>
        <w:rPr>
          <w:rFonts w:ascii="David" w:hAnsi="David"/>
          <w:rtl/>
        </w:rPr>
        <w:t>פוטנציאל הסכנה בביצוע עבירות בנשק קיים גם במקרה של שימוש בשוגג בנשק בין ע"י בוגר ובין על ידי קטין. בין קורבנות העבירה נמצאים עבריינים ואזרחים תמימים, גברים ונשים, מבוגרים וילדים.</w:t>
      </w:r>
    </w:p>
    <w:p w14:paraId="3CA5C911" w14:textId="77777777" w:rsidR="00BA3D2F" w:rsidRDefault="00BA3D2F" w:rsidP="00BA3D2F">
      <w:pPr>
        <w:spacing w:line="360" w:lineRule="auto"/>
        <w:ind w:left="720"/>
        <w:jc w:val="both"/>
        <w:rPr>
          <w:rFonts w:ascii="David" w:hAnsi="David"/>
          <w:rtl/>
        </w:rPr>
      </w:pPr>
      <w:r>
        <w:rPr>
          <w:rFonts w:ascii="David" w:hAnsi="David"/>
          <w:rtl/>
        </w:rPr>
        <w:t xml:space="preserve">עבירות בנשק ובכלל זה עבירת ההחזקה, הופכות את הציבור כולו לקורבן פוטנציאלי, ומכרסמות בתחושת הביטחון האישי. </w:t>
      </w:r>
    </w:p>
    <w:p w14:paraId="3F1F57FC" w14:textId="77777777" w:rsidR="00BA3D2F" w:rsidRDefault="00BA3D2F" w:rsidP="00BA3D2F">
      <w:pPr>
        <w:spacing w:line="360" w:lineRule="auto"/>
        <w:ind w:left="720"/>
        <w:jc w:val="both"/>
        <w:rPr>
          <w:rFonts w:ascii="David" w:hAnsi="David"/>
          <w:rtl/>
        </w:rPr>
      </w:pPr>
    </w:p>
    <w:p w14:paraId="307F2AFA" w14:textId="77777777" w:rsidR="00BA3D2F" w:rsidRDefault="00BA3D2F" w:rsidP="00BA3D2F">
      <w:pPr>
        <w:spacing w:line="360" w:lineRule="auto"/>
        <w:ind w:left="720"/>
        <w:jc w:val="both"/>
        <w:rPr>
          <w:rFonts w:ascii="David" w:hAnsi="David"/>
          <w:rtl/>
        </w:rPr>
      </w:pPr>
      <w:r>
        <w:rPr>
          <w:rFonts w:ascii="David" w:hAnsi="David"/>
          <w:rtl/>
        </w:rPr>
        <w:t xml:space="preserve">הנאשם הורשע כאמור גם בעבירה של  ההפרעה לשוטר בשעת מילוי תפקידו, ופגע בערך המוגן של שלטון החוק תוך שהוא קרא תגר על האחראים לאכיפתו. </w:t>
      </w:r>
    </w:p>
    <w:p w14:paraId="19A076CA" w14:textId="77777777" w:rsidR="00BA3D2F" w:rsidRDefault="00BA3D2F" w:rsidP="00BA3D2F">
      <w:pPr>
        <w:spacing w:line="360" w:lineRule="auto"/>
        <w:ind w:left="720"/>
        <w:jc w:val="both"/>
        <w:rPr>
          <w:rFonts w:ascii="David" w:hAnsi="David"/>
          <w:rtl/>
        </w:rPr>
      </w:pPr>
      <w:r>
        <w:rPr>
          <w:rFonts w:ascii="David" w:hAnsi="David"/>
          <w:rtl/>
        </w:rPr>
        <w:t>בעניי</w:t>
      </w:r>
      <w:r>
        <w:rPr>
          <w:rFonts w:ascii="David" w:hAnsi="David" w:hint="cs"/>
          <w:rtl/>
        </w:rPr>
        <w:t>נ</w:t>
      </w:r>
      <w:r>
        <w:rPr>
          <w:rFonts w:ascii="David" w:hAnsi="David"/>
          <w:rtl/>
        </w:rPr>
        <w:t xml:space="preserve">נו הנסיבות, עליהן אעמוד בהמשך, מצביעות כי פגיעתו של הנאשם בערכים לעיל הייתה משמעותית. </w:t>
      </w:r>
    </w:p>
    <w:p w14:paraId="3BF9DF2D" w14:textId="77777777" w:rsidR="00BA3D2F" w:rsidRDefault="00BA3D2F" w:rsidP="00BA3D2F">
      <w:pPr>
        <w:spacing w:line="360" w:lineRule="auto"/>
        <w:ind w:left="567"/>
        <w:jc w:val="both"/>
        <w:rPr>
          <w:rFonts w:ascii="David" w:hAnsi="David"/>
          <w:rtl/>
        </w:rPr>
      </w:pPr>
    </w:p>
    <w:p w14:paraId="7BF3993C" w14:textId="77777777" w:rsidR="00BA3D2F" w:rsidRPr="00616339" w:rsidRDefault="00BA3D2F" w:rsidP="00BA3D2F">
      <w:pPr>
        <w:spacing w:line="360" w:lineRule="auto"/>
        <w:ind w:firstLine="720"/>
        <w:jc w:val="both"/>
        <w:rPr>
          <w:rFonts w:ascii="David" w:hAnsi="David"/>
          <w:b/>
          <w:bCs/>
          <w:rtl/>
        </w:rPr>
      </w:pPr>
      <w:r w:rsidRPr="00616339">
        <w:rPr>
          <w:rFonts w:ascii="David" w:hAnsi="David"/>
          <w:b/>
          <w:bCs/>
          <w:rtl/>
        </w:rPr>
        <w:t>מדיניות הענישה הנוהגת:</w:t>
      </w:r>
    </w:p>
    <w:p w14:paraId="4B4A9579" w14:textId="77777777" w:rsidR="00BA3D2F" w:rsidRDefault="00BA3D2F" w:rsidP="00BA3D2F">
      <w:pPr>
        <w:spacing w:line="360" w:lineRule="auto"/>
        <w:jc w:val="both"/>
        <w:rPr>
          <w:rFonts w:ascii="David" w:hAnsi="David"/>
          <w:b/>
          <w:bCs/>
          <w:u w:val="single"/>
          <w:rtl/>
        </w:rPr>
      </w:pPr>
    </w:p>
    <w:p w14:paraId="07551468" w14:textId="77777777" w:rsidR="00BA3D2F" w:rsidRDefault="00BA3D2F" w:rsidP="00BA3D2F">
      <w:pPr>
        <w:spacing w:line="360" w:lineRule="auto"/>
        <w:ind w:left="720" w:hanging="720"/>
        <w:jc w:val="both"/>
        <w:rPr>
          <w:rFonts w:ascii="David" w:hAnsi="David"/>
          <w:rtl/>
        </w:rPr>
      </w:pPr>
      <w:r>
        <w:rPr>
          <w:rFonts w:ascii="David" w:hAnsi="David"/>
          <w:rtl/>
        </w:rPr>
        <w:t>13.</w:t>
      </w:r>
      <w:r>
        <w:rPr>
          <w:rFonts w:ascii="David" w:hAnsi="David"/>
          <w:rtl/>
        </w:rPr>
        <w:tab/>
        <w:t xml:space="preserve">בתי המשפט הדגישו את הצורך בהחמרת הענישה בעבירות הנשק השונות המסכנות את הציבור, פוגעות בשלוותו וקוטלות חיים. בית המשפט חי בתוך עמו, כואב את כאבו של הציבור ומצווה על החמרת הענישה. </w:t>
      </w:r>
    </w:p>
    <w:p w14:paraId="65FC9E44" w14:textId="77777777" w:rsidR="00BA3D2F" w:rsidRDefault="00BA3D2F" w:rsidP="00BA3D2F">
      <w:pPr>
        <w:pStyle w:val="a9"/>
        <w:spacing w:line="360" w:lineRule="auto"/>
        <w:ind w:left="927"/>
        <w:jc w:val="both"/>
        <w:rPr>
          <w:rFonts w:ascii="David" w:hAnsi="David" w:cs="David"/>
          <w:sz w:val="24"/>
          <w:szCs w:val="24"/>
        </w:rPr>
      </w:pPr>
    </w:p>
    <w:p w14:paraId="2750714B" w14:textId="77777777" w:rsidR="00BA3D2F" w:rsidRDefault="00BA3D2F" w:rsidP="00BA3D2F">
      <w:pPr>
        <w:spacing w:before="240" w:line="360" w:lineRule="auto"/>
        <w:ind w:left="720"/>
        <w:jc w:val="both"/>
        <w:rPr>
          <w:rFonts w:ascii="David" w:hAnsi="David"/>
          <w:rtl/>
        </w:rPr>
      </w:pPr>
      <w:r>
        <w:rPr>
          <w:rFonts w:ascii="David" w:hAnsi="David"/>
          <w:rtl/>
        </w:rPr>
        <w:t xml:space="preserve">מיגור התופעה, שהוכרה בשנים האחרונות כמכת מדינה, הינו אינטרס ציבורי חשוב והטלת עונשים חמורים ומרתיעים על עברייני נשק היא עיקר תרומתם של בתי המשפט למיגור התופעה. ראה לעניין זה </w:t>
      </w:r>
      <w:hyperlink r:id="rId25" w:history="1">
        <w:r w:rsidR="00541C78" w:rsidRPr="00541C78">
          <w:rPr>
            <w:rFonts w:ascii="David" w:hAnsi="David"/>
            <w:color w:val="0000FF"/>
            <w:u w:val="single"/>
            <w:rtl/>
          </w:rPr>
          <w:t>ע"פ 147/21</w:t>
        </w:r>
      </w:hyperlink>
      <w:r>
        <w:rPr>
          <w:rFonts w:ascii="David" w:hAnsi="David"/>
          <w:rtl/>
        </w:rPr>
        <w:t xml:space="preserve"> </w:t>
      </w:r>
      <w:r>
        <w:rPr>
          <w:rFonts w:ascii="David" w:hAnsi="David"/>
          <w:b/>
          <w:bCs/>
          <w:rtl/>
        </w:rPr>
        <w:t xml:space="preserve">מדינת ישראל נ' ביטון ( </w:t>
      </w:r>
      <w:r>
        <w:rPr>
          <w:rFonts w:ascii="David" w:hAnsi="David"/>
          <w:rtl/>
        </w:rPr>
        <w:t xml:space="preserve">14.2.21). </w:t>
      </w:r>
    </w:p>
    <w:p w14:paraId="541714E0" w14:textId="77777777" w:rsidR="00BA3D2F" w:rsidRDefault="00BA3D2F" w:rsidP="00BA3D2F">
      <w:pPr>
        <w:spacing w:before="240" w:line="360" w:lineRule="auto"/>
        <w:ind w:left="720"/>
        <w:jc w:val="both"/>
        <w:rPr>
          <w:rFonts w:ascii="David" w:hAnsi="David"/>
          <w:rtl/>
        </w:rPr>
      </w:pPr>
      <w:r>
        <w:rPr>
          <w:rFonts w:ascii="David" w:hAnsi="David"/>
          <w:rtl/>
        </w:rPr>
        <w:t>לעניין מגמת ההחמרה והיבט ההרתעה בפסיקה יפים הם דברי בית המשפט העליון ב</w:t>
      </w:r>
      <w:hyperlink r:id="rId26" w:history="1">
        <w:r w:rsidR="00541C78" w:rsidRPr="00541C78">
          <w:rPr>
            <w:rFonts w:ascii="David" w:hAnsi="David"/>
            <w:color w:val="0000FF"/>
            <w:u w:val="single"/>
            <w:rtl/>
          </w:rPr>
          <w:t>ע"פ 2564/19</w:t>
        </w:r>
      </w:hyperlink>
      <w:r>
        <w:rPr>
          <w:rFonts w:ascii="David" w:hAnsi="David"/>
          <w:rtl/>
        </w:rPr>
        <w:t xml:space="preserve"> אזברגה נ' מדינת ישראל (18.7.2019): </w:t>
      </w:r>
    </w:p>
    <w:p w14:paraId="1488ABEC" w14:textId="77777777" w:rsidR="00BA3D2F" w:rsidRDefault="00BA3D2F" w:rsidP="00BA3D2F">
      <w:pPr>
        <w:spacing w:before="240" w:line="360" w:lineRule="auto"/>
        <w:ind w:left="720"/>
        <w:jc w:val="both"/>
        <w:rPr>
          <w:rFonts w:ascii="David" w:hAnsi="David"/>
          <w:b/>
          <w:bCs/>
          <w:rtl/>
        </w:rPr>
      </w:pPr>
      <w:r>
        <w:rPr>
          <w:rFonts w:ascii="David" w:hAnsi="David"/>
          <w:b/>
          <w:bCs/>
          <w:rtl/>
        </w:rPr>
        <w:t>"בית משפט זה עמד בשורה ארוכה של פסקי דין על חומרתן הרבה של עבירות הנשק... הדבר חמור שבעתיים במציאות הישראלית שבה נשק בלתי חוקי עשוי לשמש הן לפעילות חבלנית עוינת על רקע ביטחוני הן לפעילות עבריינית... לפיכך קיימת בפסיקה מגמת החמרה ברמת הענישה של המעורבים בעבירות נשק תוך מתן ביטוי  עונשי הולם לסכנה הנשקפת מהם, וזאת במטרה להרתיע את היחיד והרבים גם יחד מפני ביצוען...".</w:t>
      </w:r>
    </w:p>
    <w:p w14:paraId="5A382857" w14:textId="77777777" w:rsidR="00BA3D2F" w:rsidRDefault="00BA3D2F" w:rsidP="00BA3D2F">
      <w:pPr>
        <w:spacing w:before="240" w:line="360" w:lineRule="auto"/>
        <w:ind w:left="720"/>
        <w:jc w:val="both"/>
        <w:rPr>
          <w:rFonts w:ascii="David" w:hAnsi="David"/>
          <w:rtl/>
        </w:rPr>
      </w:pPr>
      <w:r>
        <w:rPr>
          <w:rFonts w:ascii="David" w:hAnsi="David"/>
          <w:rtl/>
        </w:rPr>
        <w:t xml:space="preserve">בזיקה לאמור לעיל, אדרש למדגם של הפסיקה הנוהגת, תוך שאציין כי בהבניית שיקול הדעת אין הכוונה לעריכת ממוצע סטטיסטי של טווחי ענישה. קשת הענישה בפסיקה רחבה התלויה בנסיבותיו של המקרה הקונקרטי ובפרמטרים שונים, ובענייננו יש לבצע את ההבחנה הנדרשת לקולא ולחומרא: </w:t>
      </w:r>
    </w:p>
    <w:p w14:paraId="377086DE" w14:textId="77777777" w:rsidR="00BA3D2F" w:rsidRPr="00BA3D2F" w:rsidRDefault="00BA3D2F" w:rsidP="00BA3D2F">
      <w:pPr>
        <w:spacing w:before="240" w:line="360" w:lineRule="auto"/>
        <w:ind w:left="1440" w:hanging="720"/>
        <w:jc w:val="both"/>
        <w:rPr>
          <w:rFonts w:ascii="Calibri" w:hAnsi="Calibri"/>
          <w:rtl/>
        </w:rPr>
      </w:pPr>
      <w:r>
        <w:rPr>
          <w:rFonts w:ascii="David" w:hAnsi="David"/>
          <w:rtl/>
        </w:rPr>
        <w:t>א.</w:t>
      </w:r>
      <w:r>
        <w:rPr>
          <w:rFonts w:ascii="David" w:hAnsi="David"/>
          <w:rtl/>
        </w:rPr>
        <w:tab/>
      </w:r>
      <w:r>
        <w:rPr>
          <w:u w:val="single"/>
          <w:rtl/>
        </w:rPr>
        <w:t>ב</w:t>
      </w:r>
      <w:hyperlink r:id="rId27" w:history="1">
        <w:r w:rsidR="00541C78" w:rsidRPr="00541C78">
          <w:rPr>
            <w:color w:val="0000FF"/>
            <w:u w:val="single"/>
            <w:rtl/>
          </w:rPr>
          <w:t>ע"פ 5602/22</w:t>
        </w:r>
      </w:hyperlink>
      <w:r>
        <w:rPr>
          <w:u w:val="single"/>
          <w:rtl/>
        </w:rPr>
        <w:t xml:space="preserve"> מדינת ישראל נ' פלוני  (14.9.22) </w:t>
      </w:r>
      <w:r>
        <w:rPr>
          <w:rtl/>
        </w:rPr>
        <w:t xml:space="preserve">התקבל ערעור המדינה על עונשו של נאשם  כבן 27 שנים נעדר עבר פלילי, שהורשע על פי הודאתו בעבירות של נשיאת נשק שלא כדין (אקדח חצי אוטומט, מחסנית וכדורים)  לצד עבירות של הפרעה לשוטר במילוי תפקידו וכניסה ושהייה בישראל בניגוד לחוק. </w:t>
      </w:r>
    </w:p>
    <w:p w14:paraId="72F2D6C0" w14:textId="77777777" w:rsidR="00BA3D2F" w:rsidRDefault="00BA3D2F" w:rsidP="00BA3D2F">
      <w:pPr>
        <w:pStyle w:val="a9"/>
        <w:spacing w:line="360" w:lineRule="auto"/>
        <w:ind w:left="1440"/>
        <w:jc w:val="both"/>
        <w:rPr>
          <w:rFonts w:cs="David"/>
          <w:sz w:val="24"/>
          <w:szCs w:val="24"/>
        </w:rPr>
      </w:pPr>
      <w:r>
        <w:rPr>
          <w:rFonts w:cs="David"/>
          <w:sz w:val="24"/>
          <w:szCs w:val="24"/>
          <w:rtl/>
        </w:rPr>
        <w:t xml:space="preserve">בית המשפט העליון קבע כי מתחם הענישה הראוי לנאשם בגיר בגין נשיאה בלתי חוקית של נשק חם במרחב הציבורי נע בין 30 ל-42 חודשי מאסר בין סורג ובריח (לצד עונשים נלווים בדמותם של מאסר מותנה וקנס) וקבע אמת מידה מנחה לפיה באין נסיבות מיוחדות לחומרא או לקולא, יהא זה סביר להטיל על נאשם כאמור עונש של 36 חודשי מאסר לריצוי בפועל, והוסיף כי  </w:t>
      </w:r>
      <w:r>
        <w:rPr>
          <w:rFonts w:cs="David"/>
          <w:b/>
          <w:bCs/>
          <w:sz w:val="24"/>
          <w:szCs w:val="24"/>
          <w:rtl/>
        </w:rPr>
        <w:t xml:space="preserve">"הענישה המחמירה והבלתי מתפשרת כאמור צריכה לחול ללא סייגים על כל נאשם בגיר באשר הוא ...גם כאשר מדובר בעבריין צעיר שהסתבך לראשונה בפלילים ובקשתו לשיקום כנה ... </w:t>
      </w:r>
      <w:r>
        <w:rPr>
          <w:rFonts w:cs="David"/>
          <w:b/>
          <w:bCs/>
          <w:sz w:val="24"/>
          <w:szCs w:val="24"/>
          <w:rtl/>
        </w:rPr>
        <w:lastRenderedPageBreak/>
        <w:t>תקוותי היא כי אמות מידה אלה תנחנה את הערכאות הדיוניות באופן שיטתי , כך שמדיניות הענישה אשר נקוטה בידינו ביחס לעבירות נשק תיושם כהלכתה ובמלא עוצמתה ".</w:t>
      </w:r>
    </w:p>
    <w:p w14:paraId="6925775D" w14:textId="77777777" w:rsidR="00BA3D2F" w:rsidRDefault="00BA3D2F" w:rsidP="00BA3D2F">
      <w:pPr>
        <w:pStyle w:val="a9"/>
        <w:spacing w:line="360" w:lineRule="auto"/>
        <w:ind w:left="1440"/>
        <w:jc w:val="both"/>
        <w:rPr>
          <w:rFonts w:cs="David"/>
          <w:sz w:val="24"/>
          <w:szCs w:val="24"/>
        </w:rPr>
      </w:pPr>
      <w:r>
        <w:rPr>
          <w:rFonts w:cs="David"/>
          <w:sz w:val="24"/>
          <w:szCs w:val="24"/>
          <w:rtl/>
        </w:rPr>
        <w:t>על הנאשם נגזרו 18 חודשי מאסר בפועל ב</w:t>
      </w:r>
      <w:hyperlink r:id="rId28" w:history="1">
        <w:r w:rsidR="00541C78" w:rsidRPr="00541C78">
          <w:rPr>
            <w:rFonts w:cs="David" w:hint="cs"/>
            <w:color w:val="0000FF"/>
            <w:sz w:val="24"/>
            <w:szCs w:val="24"/>
            <w:u w:val="single"/>
            <w:rtl/>
          </w:rPr>
          <w:t>ת</w:t>
        </w:r>
        <w:r w:rsidR="00541C78" w:rsidRPr="00541C78">
          <w:rPr>
            <w:rFonts w:cs="David"/>
            <w:color w:val="0000FF"/>
            <w:sz w:val="24"/>
            <w:szCs w:val="24"/>
            <w:u w:val="single"/>
            <w:rtl/>
          </w:rPr>
          <w:t>"</w:t>
        </w:r>
        <w:r w:rsidR="00541C78" w:rsidRPr="00541C78">
          <w:rPr>
            <w:rFonts w:cs="David" w:hint="cs"/>
            <w:color w:val="0000FF"/>
            <w:sz w:val="24"/>
            <w:szCs w:val="24"/>
            <w:u w:val="single"/>
            <w:rtl/>
          </w:rPr>
          <w:t>פ</w:t>
        </w:r>
        <w:r w:rsidR="00541C78" w:rsidRPr="00541C78">
          <w:rPr>
            <w:rFonts w:cs="David"/>
            <w:color w:val="0000FF"/>
            <w:sz w:val="24"/>
            <w:szCs w:val="24"/>
            <w:u w:val="single"/>
            <w:rtl/>
          </w:rPr>
          <w:t xml:space="preserve"> (</w:t>
        </w:r>
        <w:r w:rsidR="00541C78" w:rsidRPr="00541C78">
          <w:rPr>
            <w:rFonts w:cs="David" w:hint="cs"/>
            <w:color w:val="0000FF"/>
            <w:sz w:val="24"/>
            <w:szCs w:val="24"/>
            <w:u w:val="single"/>
            <w:rtl/>
          </w:rPr>
          <w:t>מחוזי</w:t>
        </w:r>
        <w:r w:rsidR="00541C78" w:rsidRPr="00541C78">
          <w:rPr>
            <w:rFonts w:cs="David"/>
            <w:color w:val="0000FF"/>
            <w:sz w:val="24"/>
            <w:szCs w:val="24"/>
            <w:u w:val="single"/>
            <w:rtl/>
          </w:rPr>
          <w:t xml:space="preserve"> </w:t>
        </w:r>
        <w:r w:rsidR="00541C78" w:rsidRPr="00541C78">
          <w:rPr>
            <w:rFonts w:cs="David" w:hint="cs"/>
            <w:color w:val="0000FF"/>
            <w:sz w:val="24"/>
            <w:szCs w:val="24"/>
            <w:u w:val="single"/>
            <w:rtl/>
          </w:rPr>
          <w:t>חיפה</w:t>
        </w:r>
        <w:r w:rsidR="00541C78" w:rsidRPr="00541C78">
          <w:rPr>
            <w:rFonts w:cs="David"/>
            <w:color w:val="0000FF"/>
            <w:sz w:val="24"/>
            <w:szCs w:val="24"/>
            <w:u w:val="single"/>
            <w:rtl/>
          </w:rPr>
          <w:t>) 19130-12-21</w:t>
        </w:r>
      </w:hyperlink>
      <w:r>
        <w:rPr>
          <w:rFonts w:cs="David"/>
          <w:sz w:val="24"/>
          <w:szCs w:val="24"/>
          <w:rtl/>
        </w:rPr>
        <w:t>,  ומשערכאת הערעור אינה ממצה את הדין עם נאשם, הועמד עונשו של הנאשם על</w:t>
      </w:r>
      <w:r>
        <w:rPr>
          <w:rFonts w:cs="David"/>
          <w:b/>
          <w:bCs/>
          <w:sz w:val="24"/>
          <w:szCs w:val="24"/>
          <w:rtl/>
        </w:rPr>
        <w:t xml:space="preserve"> 28 חודשי מאסר בפועל </w:t>
      </w:r>
      <w:r>
        <w:rPr>
          <w:rFonts w:cs="David"/>
          <w:sz w:val="24"/>
          <w:szCs w:val="24"/>
          <w:rtl/>
        </w:rPr>
        <w:t xml:space="preserve">לצד ענישה  נלווית. </w:t>
      </w:r>
    </w:p>
    <w:p w14:paraId="5D610F1D" w14:textId="77777777" w:rsidR="00BA3D2F" w:rsidRDefault="00BA3D2F" w:rsidP="00BA3D2F">
      <w:pPr>
        <w:spacing w:line="360" w:lineRule="auto"/>
        <w:jc w:val="both"/>
        <w:rPr>
          <w:rtl/>
        </w:rPr>
      </w:pPr>
    </w:p>
    <w:p w14:paraId="6F8DADB0" w14:textId="77777777" w:rsidR="00BA3D2F" w:rsidRDefault="00BA3D2F" w:rsidP="00BA3D2F">
      <w:pPr>
        <w:spacing w:line="360" w:lineRule="auto"/>
        <w:ind w:left="1440" w:hanging="720"/>
        <w:jc w:val="both"/>
        <w:rPr>
          <w:rFonts w:ascii="David" w:hAnsi="David"/>
          <w:rtl/>
        </w:rPr>
      </w:pPr>
      <w:r>
        <w:rPr>
          <w:rtl/>
        </w:rPr>
        <w:t>ב.</w:t>
      </w:r>
      <w:r>
        <w:rPr>
          <w:rtl/>
        </w:rPr>
        <w:tab/>
      </w:r>
      <w:r>
        <w:rPr>
          <w:rFonts w:ascii="David" w:hAnsi="David"/>
          <w:u w:val="single"/>
          <w:rtl/>
        </w:rPr>
        <w:t>ב</w:t>
      </w:r>
      <w:hyperlink r:id="rId29" w:history="1">
        <w:r w:rsidR="00541C78" w:rsidRPr="00541C78">
          <w:rPr>
            <w:rFonts w:ascii="David" w:hAnsi="David"/>
            <w:color w:val="0000FF"/>
            <w:u w:val="single"/>
            <w:rtl/>
          </w:rPr>
          <w:t>ע"פ 5813/21</w:t>
        </w:r>
      </w:hyperlink>
      <w:r>
        <w:rPr>
          <w:rFonts w:ascii="David" w:hAnsi="David"/>
          <w:u w:val="single"/>
          <w:rtl/>
        </w:rPr>
        <w:t xml:space="preserve"> מוחמד ג'בארין נ' מדינת ישראל (31.5.22) </w:t>
      </w:r>
      <w:r>
        <w:rPr>
          <w:rFonts w:ascii="David" w:hAnsi="David"/>
          <w:rtl/>
        </w:rPr>
        <w:t>נדחו שני ערעורים שהגישו הנאשמים אשר הורשעו על פי הודאתם בעבירת החזקת נשק. הנאשמים נתפסו על ידי שוטרים סמוך לגדר מערכת הביטחון באזור אום אל פחם כשהם מחזיקים בצוותא ושלא כדין ברובה ציד דו קני טעון בשני כדורים. עוד נמצאה ברכב חגורה ייעודית לתחמושת ובתוכה 17 כדורים המתאימים לרובה. בית המשפט ב</w:t>
      </w:r>
      <w:hyperlink r:id="rId30" w:history="1">
        <w:r w:rsidR="00541C78" w:rsidRPr="00541C78">
          <w:rPr>
            <w:rFonts w:ascii="David" w:hAnsi="David"/>
            <w:color w:val="0000FF"/>
            <w:u w:val="single"/>
            <w:rtl/>
          </w:rPr>
          <w:t>ת"פ (מחוזי חיפה) 62613-06-19</w:t>
        </w:r>
      </w:hyperlink>
      <w:r>
        <w:rPr>
          <w:rFonts w:ascii="David" w:hAnsi="David"/>
          <w:rtl/>
        </w:rPr>
        <w:t xml:space="preserve">, קבע כי מתחם עונש הולם לשני הנאשמים נע בין 12 חודשי מאסר בפועל לבין 36 חודשים, לצד עונשים נלווים, והטיל על הנאשם 1, בעל עבר פלילי  -  </w:t>
      </w:r>
      <w:r>
        <w:rPr>
          <w:rFonts w:ascii="David" w:hAnsi="David"/>
          <w:b/>
          <w:bCs/>
          <w:rtl/>
        </w:rPr>
        <w:t>18 חודשי מאסר בפועל</w:t>
      </w:r>
      <w:r>
        <w:rPr>
          <w:rFonts w:ascii="David" w:hAnsi="David"/>
          <w:rtl/>
        </w:rPr>
        <w:t xml:space="preserve"> ומאסר על תנאי, ועל הנאשם 2, בעל עבר פלילי -  </w:t>
      </w:r>
      <w:r>
        <w:rPr>
          <w:rFonts w:ascii="David" w:hAnsi="David"/>
          <w:b/>
          <w:bCs/>
          <w:rtl/>
        </w:rPr>
        <w:t>21 חודשי מאסר בפועל</w:t>
      </w:r>
      <w:r>
        <w:rPr>
          <w:rFonts w:ascii="David" w:hAnsi="David"/>
          <w:rtl/>
        </w:rPr>
        <w:t xml:space="preserve"> ומאסר על תנאי.</w:t>
      </w:r>
    </w:p>
    <w:p w14:paraId="294D3732" w14:textId="77777777" w:rsidR="00BA3D2F" w:rsidRPr="00BA3D2F" w:rsidRDefault="00BA3D2F" w:rsidP="00BA3D2F">
      <w:pPr>
        <w:spacing w:line="360" w:lineRule="auto"/>
        <w:ind w:left="1440" w:hanging="720"/>
        <w:jc w:val="both"/>
        <w:rPr>
          <w:rFonts w:ascii="Calibri" w:hAnsi="Calibri"/>
          <w:rtl/>
        </w:rPr>
      </w:pPr>
    </w:p>
    <w:p w14:paraId="124B2F31" w14:textId="77777777" w:rsidR="00BA3D2F" w:rsidRDefault="00BA3D2F" w:rsidP="00BA3D2F">
      <w:pPr>
        <w:spacing w:line="360" w:lineRule="auto"/>
        <w:ind w:left="1440" w:hanging="720"/>
        <w:jc w:val="both"/>
        <w:rPr>
          <w:rFonts w:ascii="David" w:hAnsi="David"/>
          <w:rtl/>
        </w:rPr>
      </w:pPr>
      <w:r>
        <w:rPr>
          <w:rtl/>
        </w:rPr>
        <w:t>ג.</w:t>
      </w:r>
      <w:r>
        <w:rPr>
          <w:rtl/>
        </w:rPr>
        <w:tab/>
      </w:r>
      <w:r>
        <w:rPr>
          <w:rFonts w:ascii="David" w:hAnsi="David"/>
          <w:u w:val="single"/>
          <w:rtl/>
        </w:rPr>
        <w:t>ב</w:t>
      </w:r>
      <w:hyperlink r:id="rId31" w:history="1">
        <w:r w:rsidR="00541C78" w:rsidRPr="00541C78">
          <w:rPr>
            <w:rFonts w:ascii="David" w:hAnsi="David"/>
            <w:color w:val="0000FF"/>
            <w:u w:val="single"/>
            <w:rtl/>
          </w:rPr>
          <w:t>רע"פ 3355/22</w:t>
        </w:r>
      </w:hyperlink>
      <w:r>
        <w:rPr>
          <w:rFonts w:ascii="David" w:hAnsi="David"/>
          <w:u w:val="single"/>
          <w:rtl/>
        </w:rPr>
        <w:t xml:space="preserve"> עלאא סלאמה נ' מדינת ישראל (26.5.2022)</w:t>
      </w:r>
      <w:r>
        <w:rPr>
          <w:rFonts w:ascii="David" w:hAnsi="David"/>
          <w:rtl/>
        </w:rPr>
        <w:t xml:space="preserve"> נדחתה בקשת רשות ערעור על פסק הדין ב</w:t>
      </w:r>
      <w:hyperlink r:id="rId32" w:history="1">
        <w:r w:rsidR="00541C78" w:rsidRPr="00541C78">
          <w:rPr>
            <w:rFonts w:ascii="David" w:hAnsi="David"/>
            <w:color w:val="0000FF"/>
            <w:u w:val="single"/>
            <w:rtl/>
          </w:rPr>
          <w:t>עפ"ג (מחוזי חיפה) 50840-03-22</w:t>
        </w:r>
      </w:hyperlink>
      <w:r>
        <w:rPr>
          <w:rFonts w:ascii="David" w:hAnsi="David"/>
          <w:rtl/>
        </w:rPr>
        <w:t xml:space="preserve"> בגדרו התקבל ערעור המאשימה על גז"ד ב</w:t>
      </w:r>
      <w:hyperlink r:id="rId33" w:history="1">
        <w:r w:rsidR="00541C78" w:rsidRPr="00541C78">
          <w:rPr>
            <w:rFonts w:ascii="David" w:hAnsi="David"/>
            <w:color w:val="0000FF"/>
            <w:u w:val="single"/>
            <w:rtl/>
          </w:rPr>
          <w:t>ת"פ (שלום חדרה) 64632-08-21</w:t>
        </w:r>
      </w:hyperlink>
      <w:r>
        <w:rPr>
          <w:rFonts w:ascii="David" w:hAnsi="David"/>
          <w:rtl/>
        </w:rPr>
        <w:t xml:space="preserve">. הנאשם הורשע על יסוד הודאתו בעבירה של החזקת נשק שלא כדין ובעבירה של תקיפת שוטר. הנאשם החזיק בחצר ביתו, לתקופה שאינה ידועה, שני תתי מקלע מאולתרים, מחסנית ריקה התואמת לתתי המקלע כאמור. במהלך חיפוש משטרתי שנערך בשטח ביתו של המבקש נמצאו הנשקים בחצר ובין בגדי אמו של הנאשם. נוכח קריאות הנאשם לאמו בכניסתו לשטח הבית, פעל אחד השוטרים במקום במטרה להרחיקו ואז תקף המבקש את השוטר, תוך שהוא גורם לשוטר חבלה בירכו. בית המשפט המחוזי אשר קיבל ערעור המדינה על קולת העונש, קבע מתחם ענישה שנע בין 24 לבין 50 חודשי מאסר בפועל לצד עונשים נלווים. על הנאשם הוטלו </w:t>
      </w:r>
      <w:r>
        <w:rPr>
          <w:rFonts w:ascii="David" w:hAnsi="David"/>
          <w:b/>
          <w:bCs/>
          <w:rtl/>
        </w:rPr>
        <w:t>28 חודשי מאסר</w:t>
      </w:r>
      <w:r>
        <w:rPr>
          <w:rFonts w:ascii="David" w:hAnsi="David"/>
          <w:rtl/>
        </w:rPr>
        <w:t xml:space="preserve"> בפועל לצד ענישה נלווית. </w:t>
      </w:r>
    </w:p>
    <w:p w14:paraId="695E1CDA" w14:textId="77777777" w:rsidR="00BA3D2F" w:rsidRPr="00BA3D2F" w:rsidRDefault="00BA3D2F" w:rsidP="00BA3D2F">
      <w:pPr>
        <w:spacing w:line="360" w:lineRule="auto"/>
        <w:ind w:left="1440" w:hanging="720"/>
        <w:jc w:val="both"/>
        <w:rPr>
          <w:rFonts w:ascii="Calibri" w:hAnsi="Calibri"/>
          <w:rtl/>
        </w:rPr>
      </w:pPr>
    </w:p>
    <w:p w14:paraId="5A85BDEC" w14:textId="77777777" w:rsidR="00BA3D2F" w:rsidRDefault="00BA3D2F" w:rsidP="00BA3D2F">
      <w:pPr>
        <w:spacing w:line="360" w:lineRule="auto"/>
        <w:ind w:left="1440" w:hanging="720"/>
        <w:jc w:val="both"/>
        <w:rPr>
          <w:rFonts w:ascii="David" w:hAnsi="David"/>
          <w:rtl/>
        </w:rPr>
      </w:pPr>
      <w:r>
        <w:rPr>
          <w:rtl/>
        </w:rPr>
        <w:t>ד.</w:t>
      </w:r>
      <w:r>
        <w:rPr>
          <w:rtl/>
        </w:rPr>
        <w:tab/>
      </w:r>
      <w:r>
        <w:rPr>
          <w:rFonts w:ascii="David" w:hAnsi="David"/>
          <w:u w:val="single"/>
          <w:rtl/>
        </w:rPr>
        <w:t>ב</w:t>
      </w:r>
      <w:hyperlink r:id="rId34" w:history="1">
        <w:r w:rsidR="00541C78" w:rsidRPr="00541C78">
          <w:rPr>
            <w:rFonts w:ascii="David" w:hAnsi="David"/>
            <w:color w:val="0000FF"/>
            <w:u w:val="single"/>
            <w:rtl/>
          </w:rPr>
          <w:t>ע"פ 761/07</w:t>
        </w:r>
      </w:hyperlink>
      <w:r>
        <w:rPr>
          <w:rFonts w:ascii="David" w:hAnsi="David"/>
          <w:u w:val="single"/>
          <w:rtl/>
        </w:rPr>
        <w:t xml:space="preserve"> </w:t>
      </w:r>
      <w:r>
        <w:rPr>
          <w:rFonts w:ascii="David" w:hAnsi="David"/>
          <w:b/>
          <w:bCs/>
          <w:u w:val="single"/>
          <w:rtl/>
        </w:rPr>
        <w:t>מדינת ישראל נ' מיכאל אדרי</w:t>
      </w:r>
      <w:r>
        <w:rPr>
          <w:rFonts w:ascii="David" w:hAnsi="David"/>
          <w:u w:val="single"/>
          <w:rtl/>
        </w:rPr>
        <w:t xml:space="preserve"> (22.2.07)</w:t>
      </w:r>
      <w:r>
        <w:rPr>
          <w:rFonts w:ascii="David" w:hAnsi="David"/>
          <w:rtl/>
        </w:rPr>
        <w:t xml:space="preserve"> התקבל ערעור המדינה על קולת עונשו של נאשם אשר הורשע בעבירות של החזקת נשק שלא כדין והפרעה לשוטר במילוי תפקידו. הנאשם נהג ברכבו ונעצר לבדיקה, בבדיקה נמצא מחזיק באקדח מחסנית ותחמושת שהוסתרו בגרב שהחזיק בתחתוניו ובנוסף הציג בפני השוטרים תעודת זהות של אחר במטרה להונות השוטרים. בית המשפט העליון החמיר בעונשו של הנאשם, בעל עבר פלילי והטיל עליו </w:t>
      </w:r>
      <w:r>
        <w:rPr>
          <w:rFonts w:ascii="David" w:hAnsi="David"/>
          <w:b/>
          <w:bCs/>
          <w:rtl/>
        </w:rPr>
        <w:t>24 חודשי מאסר בפועל</w:t>
      </w:r>
      <w:r>
        <w:rPr>
          <w:rFonts w:ascii="David" w:hAnsi="David"/>
          <w:rtl/>
        </w:rPr>
        <w:t xml:space="preserve"> לצד מאסר מותנה. </w:t>
      </w:r>
    </w:p>
    <w:p w14:paraId="57D3E1B2" w14:textId="77777777" w:rsidR="00BA3D2F" w:rsidRPr="00BA3D2F" w:rsidRDefault="00BA3D2F" w:rsidP="00BA3D2F">
      <w:pPr>
        <w:spacing w:line="360" w:lineRule="auto"/>
        <w:ind w:left="1440" w:hanging="720"/>
        <w:jc w:val="both"/>
        <w:rPr>
          <w:rFonts w:ascii="Calibri" w:hAnsi="Calibri"/>
          <w:rtl/>
        </w:rPr>
      </w:pPr>
    </w:p>
    <w:p w14:paraId="76865722" w14:textId="77777777" w:rsidR="00BA3D2F" w:rsidRPr="00BA3D2F" w:rsidRDefault="00BA3D2F" w:rsidP="00BA3D2F">
      <w:pPr>
        <w:spacing w:line="360" w:lineRule="auto"/>
        <w:ind w:left="1440" w:hanging="720"/>
        <w:jc w:val="both"/>
        <w:rPr>
          <w:rFonts w:ascii="Calibri" w:hAnsi="Calibri"/>
          <w:rtl/>
        </w:rPr>
      </w:pPr>
    </w:p>
    <w:p w14:paraId="1AC99BA8" w14:textId="77777777" w:rsidR="00BA3D2F" w:rsidRPr="00BA3D2F" w:rsidRDefault="00BA3D2F" w:rsidP="00BA3D2F">
      <w:pPr>
        <w:spacing w:line="360" w:lineRule="auto"/>
        <w:ind w:left="1440" w:hanging="720"/>
        <w:jc w:val="both"/>
        <w:rPr>
          <w:rFonts w:ascii="Calibri" w:hAnsi="Calibri"/>
          <w:rtl/>
        </w:rPr>
      </w:pPr>
    </w:p>
    <w:p w14:paraId="43652983" w14:textId="77777777" w:rsidR="00BA3D2F" w:rsidRDefault="00BA3D2F" w:rsidP="00BA3D2F">
      <w:pPr>
        <w:spacing w:line="360" w:lineRule="auto"/>
        <w:ind w:left="1440" w:hanging="720"/>
        <w:jc w:val="both"/>
      </w:pPr>
      <w:r>
        <w:rPr>
          <w:rtl/>
        </w:rPr>
        <w:t>ה.</w:t>
      </w:r>
      <w:r>
        <w:rPr>
          <w:rtl/>
        </w:rPr>
        <w:tab/>
      </w:r>
      <w:r>
        <w:rPr>
          <w:rFonts w:ascii="David" w:hAnsi="David"/>
          <w:u w:val="single"/>
          <w:rtl/>
        </w:rPr>
        <w:t>ב</w:t>
      </w:r>
      <w:hyperlink r:id="rId35" w:history="1">
        <w:r w:rsidR="00541C78" w:rsidRPr="00541C78">
          <w:rPr>
            <w:rFonts w:ascii="David" w:hAnsi="David"/>
            <w:color w:val="0000FF"/>
            <w:u w:val="single"/>
            <w:rtl/>
          </w:rPr>
          <w:t>ת"פ (מחוזי חיפה) 17655-10-22</w:t>
        </w:r>
      </w:hyperlink>
      <w:r>
        <w:rPr>
          <w:rFonts w:ascii="David" w:hAnsi="David"/>
          <w:u w:val="single"/>
          <w:rtl/>
        </w:rPr>
        <w:t xml:space="preserve"> </w:t>
      </w:r>
      <w:r>
        <w:rPr>
          <w:rFonts w:ascii="David" w:hAnsi="David"/>
          <w:b/>
          <w:bCs/>
          <w:u w:val="single"/>
          <w:rtl/>
        </w:rPr>
        <w:t>מדינת ישראל נ' חווא</w:t>
      </w:r>
      <w:r>
        <w:rPr>
          <w:rFonts w:ascii="David" w:hAnsi="David"/>
          <w:u w:val="single"/>
          <w:rtl/>
        </w:rPr>
        <w:t xml:space="preserve"> (12.6.23) </w:t>
      </w:r>
      <w:r>
        <w:rPr>
          <w:rFonts w:ascii="David" w:hAnsi="David"/>
          <w:rtl/>
        </w:rPr>
        <w:t xml:space="preserve"> הורשע הנאשם במסגרת הסדר טיעון בכתב אישום מתוקן בעבירות בנשק (החזקה). הנאשם החזיק אקדח טעון ומחסנית תואמת ובתוכה 6 כדורים במשך כשנה וחצי. הנאשם יצא מביתו בחיפה כשהוא מחזיק אקדח טעון במחסנית ובכדורים המוסתר בבגדיו. שוטרים שהיו בתצפית יזומה על הנאשם הבחינו בו וכשהבחין בהם החל לברוח ותוך כדי הימלטותו הוציא את האקדח והחזיקו בידו. הנאשם בעל עבר פלילי משמעותי. בית המשפט קבע מתחם ענישה הולם הנע בין 24 – 50 חודשי מאסר. והטיל על הנאשם </w:t>
      </w:r>
      <w:r>
        <w:rPr>
          <w:rFonts w:ascii="David" w:hAnsi="David"/>
          <w:b/>
          <w:bCs/>
          <w:rtl/>
        </w:rPr>
        <w:t>35 חודשי מאסר בפועל</w:t>
      </w:r>
      <w:r>
        <w:rPr>
          <w:rFonts w:ascii="David" w:hAnsi="David"/>
          <w:rtl/>
        </w:rPr>
        <w:t xml:space="preserve"> לצד מאסר מותנה וקנס. </w:t>
      </w:r>
    </w:p>
    <w:p w14:paraId="1AF66A3F" w14:textId="77777777" w:rsidR="00BA3D2F" w:rsidRPr="00616339" w:rsidRDefault="00BA3D2F" w:rsidP="00BA3D2F">
      <w:pPr>
        <w:spacing w:before="240" w:line="360" w:lineRule="auto"/>
        <w:ind w:firstLine="720"/>
        <w:jc w:val="both"/>
        <w:rPr>
          <w:rFonts w:ascii="David" w:hAnsi="David"/>
          <w:b/>
          <w:bCs/>
          <w:rtl/>
        </w:rPr>
      </w:pPr>
      <w:r w:rsidRPr="00616339">
        <w:rPr>
          <w:rFonts w:ascii="David" w:hAnsi="David"/>
          <w:b/>
          <w:bCs/>
          <w:rtl/>
        </w:rPr>
        <w:t>נסיבות ביצוע העבירות:</w:t>
      </w:r>
    </w:p>
    <w:p w14:paraId="7A56BCB0" w14:textId="77777777" w:rsidR="00BA3D2F" w:rsidRDefault="00BA3D2F" w:rsidP="00BA3D2F">
      <w:pPr>
        <w:spacing w:before="240" w:line="360" w:lineRule="auto"/>
        <w:ind w:left="720" w:hanging="720"/>
        <w:jc w:val="both"/>
        <w:rPr>
          <w:rFonts w:ascii="David" w:hAnsi="David"/>
          <w:rtl/>
        </w:rPr>
      </w:pPr>
      <w:r>
        <w:rPr>
          <w:rFonts w:ascii="David" w:hAnsi="David"/>
          <w:rtl/>
        </w:rPr>
        <w:t>14.</w:t>
      </w:r>
      <w:r>
        <w:rPr>
          <w:rFonts w:ascii="David" w:hAnsi="David"/>
          <w:rtl/>
        </w:rPr>
        <w:tab/>
        <w:t xml:space="preserve">הנאשם החזיק שלא כדין, ביחד עם אחרים, ארבעה אקדחים תקניים ומסוגים שונים, מחסניות וכדורים, והגדיל לעשות כשאחד האקדחים אף היה טעון ומוכן לשימוש מידי, וכל זאת לאור היום וללא כל מורא מפני רשויות החוק. </w:t>
      </w:r>
    </w:p>
    <w:p w14:paraId="6C91A8EA" w14:textId="77777777" w:rsidR="00BA3D2F" w:rsidRDefault="00BA3D2F" w:rsidP="00BA3D2F">
      <w:pPr>
        <w:spacing w:line="360" w:lineRule="auto"/>
        <w:ind w:left="720"/>
        <w:jc w:val="both"/>
        <w:rPr>
          <w:rFonts w:ascii="David" w:hAnsi="David"/>
          <w:rtl/>
        </w:rPr>
      </w:pPr>
      <w:r>
        <w:rPr>
          <w:rFonts w:ascii="David" w:hAnsi="David"/>
          <w:rtl/>
        </w:rPr>
        <w:t>לא ניתן להפריז במילים בדבר פוטנציאל הסכנה שבהחזקת ארבעה אקדחים, תקניים כולם, לצד מחסניות ותחמושת תואמת. העובדה שאין עסקינן בנשק ארוך כטענת הסנגורית, אינה הופכת את עבירת ההחזקה בעניי</w:t>
      </w:r>
      <w:r>
        <w:rPr>
          <w:rFonts w:ascii="David" w:hAnsi="David" w:hint="cs"/>
          <w:rtl/>
        </w:rPr>
        <w:t>נ</w:t>
      </w:r>
      <w:r>
        <w:rPr>
          <w:rFonts w:ascii="David" w:hAnsi="David"/>
          <w:rtl/>
        </w:rPr>
        <w:t xml:space="preserve">נו לפחות חמורה. </w:t>
      </w:r>
    </w:p>
    <w:p w14:paraId="2B0A1850" w14:textId="77777777" w:rsidR="00BA3D2F" w:rsidRDefault="00BA3D2F" w:rsidP="00BA3D2F">
      <w:pPr>
        <w:spacing w:line="360" w:lineRule="auto"/>
        <w:ind w:left="720"/>
        <w:jc w:val="both"/>
        <w:rPr>
          <w:rFonts w:ascii="David" w:hAnsi="David"/>
          <w:rtl/>
        </w:rPr>
      </w:pPr>
      <w:r>
        <w:rPr>
          <w:rFonts w:ascii="David" w:hAnsi="David"/>
          <w:rtl/>
        </w:rPr>
        <w:t xml:space="preserve">כעולה מכתב האישום המתוקן, הנאשם החזיק את הנשק, לרבות האקדח הטעון, במתחם ביתו, תוך שהוא אדיש גם לשלום בני משפחתו ומסכנם. </w:t>
      </w:r>
    </w:p>
    <w:p w14:paraId="3D537FEB" w14:textId="77777777" w:rsidR="00BA3D2F" w:rsidRDefault="00BA3D2F" w:rsidP="00BA3D2F">
      <w:pPr>
        <w:spacing w:line="360" w:lineRule="auto"/>
        <w:ind w:left="720"/>
        <w:jc w:val="both"/>
        <w:rPr>
          <w:rFonts w:ascii="David" w:hAnsi="David"/>
          <w:b/>
          <w:bCs/>
          <w:rtl/>
        </w:rPr>
      </w:pPr>
      <w:r>
        <w:rPr>
          <w:rFonts w:ascii="David" w:hAnsi="David"/>
          <w:rtl/>
        </w:rPr>
        <w:t>פוטנציאל הסכנה בעניינו אף גבר כאשר הנאשם ניסה למלט, לא רק את עצמו, אלא גם את הנשק ולא נענה לקריאת השוטרים לעצור. ככל שהנאשם היה מצליח בבריחתו, הרי שהנשק היה מממשיך לסכן הציבור, "</w:t>
      </w:r>
      <w:r>
        <w:rPr>
          <w:rFonts w:ascii="David" w:hAnsi="David"/>
          <w:b/>
          <w:bCs/>
          <w:rtl/>
        </w:rPr>
        <w:t>שכן לא ניתן לדעת להיכן יתגלגלו כלי הנשק המוחזקים שלא כדין, ואיזה שימוש יעשה בהם בעתיד</w:t>
      </w:r>
      <w:r>
        <w:rPr>
          <w:rFonts w:ascii="David" w:hAnsi="David"/>
          <w:rtl/>
        </w:rPr>
        <w:t xml:space="preserve">". </w:t>
      </w:r>
      <w:hyperlink r:id="rId36" w:history="1">
        <w:r w:rsidR="00541C78" w:rsidRPr="00541C78">
          <w:rPr>
            <w:rFonts w:ascii="David" w:hAnsi="David"/>
            <w:b/>
            <w:bCs/>
            <w:color w:val="0000FF"/>
            <w:u w:val="single"/>
            <w:rtl/>
          </w:rPr>
          <w:t>ע"פ 7502/12</w:t>
        </w:r>
      </w:hyperlink>
      <w:r>
        <w:rPr>
          <w:rFonts w:ascii="David" w:hAnsi="David"/>
          <w:b/>
          <w:bCs/>
          <w:rtl/>
        </w:rPr>
        <w:t xml:space="preserve"> בסאם כוויס נ' מדינת ישראל (25.06.2013).</w:t>
      </w:r>
    </w:p>
    <w:p w14:paraId="475F1F74" w14:textId="77777777" w:rsidR="00BA3D2F" w:rsidRDefault="00BA3D2F" w:rsidP="00BA3D2F">
      <w:pPr>
        <w:spacing w:line="360" w:lineRule="auto"/>
        <w:ind w:left="720"/>
        <w:jc w:val="both"/>
        <w:rPr>
          <w:rFonts w:ascii="David" w:hAnsi="David"/>
          <w:rtl/>
        </w:rPr>
      </w:pPr>
    </w:p>
    <w:p w14:paraId="2746911D" w14:textId="77777777" w:rsidR="00BA3D2F" w:rsidRDefault="00BA3D2F" w:rsidP="00BA3D2F">
      <w:pPr>
        <w:spacing w:line="360" w:lineRule="auto"/>
        <w:ind w:left="720"/>
        <w:jc w:val="both"/>
        <w:rPr>
          <w:rFonts w:ascii="David" w:hAnsi="David"/>
          <w:rtl/>
        </w:rPr>
      </w:pPr>
      <w:r>
        <w:rPr>
          <w:rFonts w:ascii="David" w:hAnsi="David"/>
          <w:rtl/>
        </w:rPr>
        <w:t xml:space="preserve">עובדות כתב האישום המתוקן אינן מבהירות את המניע להחזקת כמות כה גדולה של נשק על ידי הנאשם (והאחרים), אך ניסיון החיים מלמדנו כי עבירת נשק אחת מובילה לעבירה אחרת, והחזקת נשק, בוודאי בכמות כזו, בעלת פוטנציאל לשמש למגוון של סוגי עבירות חמורות. </w:t>
      </w:r>
    </w:p>
    <w:p w14:paraId="5939D58F" w14:textId="77777777" w:rsidR="00BA3D2F" w:rsidRDefault="00BA3D2F" w:rsidP="00BA3D2F">
      <w:pPr>
        <w:pStyle w:val="a9"/>
        <w:spacing w:line="360" w:lineRule="auto"/>
        <w:ind w:left="927"/>
        <w:jc w:val="both"/>
        <w:rPr>
          <w:rFonts w:ascii="David" w:hAnsi="David" w:cs="David"/>
          <w:b/>
          <w:bCs/>
          <w:sz w:val="24"/>
          <w:szCs w:val="24"/>
          <w:rtl/>
        </w:rPr>
      </w:pPr>
    </w:p>
    <w:p w14:paraId="1AC2A87E" w14:textId="77777777" w:rsidR="00BA3D2F" w:rsidRDefault="00BA3D2F" w:rsidP="00BA3D2F">
      <w:pPr>
        <w:spacing w:line="360" w:lineRule="auto"/>
        <w:ind w:left="720"/>
        <w:jc w:val="both"/>
        <w:rPr>
          <w:rFonts w:ascii="David" w:hAnsi="David"/>
          <w:rtl/>
        </w:rPr>
      </w:pPr>
      <w:r>
        <w:rPr>
          <w:rFonts w:ascii="David" w:hAnsi="David"/>
          <w:rtl/>
        </w:rPr>
        <w:t xml:space="preserve">בנוסף לכך, הנאשם העמיד השוטרים בסכנת פליטת כדור עת במהלך הימלטותו זרק אקדח טעון שהיה בתיק. ניסיון ההימלטות כשבידו של הנאשם תיק עם נשק, יכול היה לגרום חלילה להתלקחות האירוע. פעולה שגרתית של חיפוש נשק לא חוקי, עלולה היתה להפוך במהרה לאירוע חמור יותר. </w:t>
      </w:r>
    </w:p>
    <w:p w14:paraId="38C69F93" w14:textId="77777777" w:rsidR="00BA3D2F" w:rsidRDefault="00BA3D2F" w:rsidP="00BA3D2F">
      <w:pPr>
        <w:spacing w:line="360" w:lineRule="auto"/>
        <w:ind w:left="720"/>
        <w:jc w:val="both"/>
        <w:rPr>
          <w:rFonts w:ascii="David" w:hAnsi="David"/>
          <w:rtl/>
        </w:rPr>
      </w:pPr>
      <w:r>
        <w:rPr>
          <w:rFonts w:ascii="David" w:hAnsi="David"/>
          <w:rtl/>
        </w:rPr>
        <w:t xml:space="preserve">בעניין זה אוסיף כי טענת הסנגורית כי הנאשם הוכה על ידי אחד השוטרים נמצאת לפתחה של מח"ש, ועל כן איני נדרש לה. יחד עם זאת, ומבלי לקבוע עמדה ביחס לתלונה שהוגשה, ברי כי עבודת השוטרים בשטח אינה סטרילית ובריחת עבריין כשבידו אמל"ח יכול ותזמין שימוש בכוח כדי לעצרו. </w:t>
      </w:r>
    </w:p>
    <w:p w14:paraId="36E48DEA" w14:textId="77777777" w:rsidR="00BA3D2F" w:rsidRDefault="00BA3D2F" w:rsidP="00BA3D2F">
      <w:pPr>
        <w:spacing w:line="360" w:lineRule="auto"/>
        <w:ind w:left="720"/>
        <w:jc w:val="both"/>
        <w:rPr>
          <w:rFonts w:ascii="David" w:hAnsi="David"/>
          <w:rtl/>
        </w:rPr>
      </w:pPr>
    </w:p>
    <w:p w14:paraId="792516BB" w14:textId="77777777" w:rsidR="00BA3D2F" w:rsidRDefault="00BA3D2F" w:rsidP="00BA3D2F">
      <w:pPr>
        <w:spacing w:line="360" w:lineRule="auto"/>
        <w:ind w:left="720"/>
        <w:jc w:val="both"/>
        <w:rPr>
          <w:rFonts w:ascii="David" w:hAnsi="David"/>
          <w:rtl/>
        </w:rPr>
      </w:pPr>
      <w:r>
        <w:rPr>
          <w:rFonts w:ascii="David" w:hAnsi="David"/>
          <w:rtl/>
        </w:rPr>
        <w:t xml:space="preserve">בענייננו גם עבירת ההפרעה לשוטר בשעת מילוי תפקידו נעשתה בנסיבות לחומרה, שכן ההפרעה היתה ממשית ומתמשכת וכללה בריחה עם הנשק. הנאשם ניסה בכוונת מכוון להכשיל השוטרים במהלך ביצוע פעולה בעלת חשיבות עליונה - תפיסת נשק בלתי חוקי ושמירה על בטחון הציבור. </w:t>
      </w:r>
    </w:p>
    <w:p w14:paraId="1EE60423" w14:textId="77777777" w:rsidR="00BA3D2F" w:rsidRDefault="00BA3D2F" w:rsidP="00BA3D2F">
      <w:pPr>
        <w:pStyle w:val="a9"/>
        <w:spacing w:line="360" w:lineRule="auto"/>
        <w:ind w:left="927"/>
        <w:jc w:val="both"/>
        <w:rPr>
          <w:rFonts w:ascii="David" w:hAnsi="David" w:cs="David"/>
          <w:sz w:val="24"/>
          <w:szCs w:val="24"/>
          <w:rtl/>
        </w:rPr>
      </w:pPr>
    </w:p>
    <w:p w14:paraId="79398475" w14:textId="77777777" w:rsidR="00BA3D2F" w:rsidRPr="00616339" w:rsidRDefault="00BA3D2F" w:rsidP="00BA3D2F">
      <w:pPr>
        <w:spacing w:line="360" w:lineRule="auto"/>
        <w:ind w:left="720"/>
        <w:jc w:val="both"/>
        <w:rPr>
          <w:rFonts w:ascii="David" w:hAnsi="David"/>
          <w:b/>
          <w:bCs/>
          <w:rtl/>
        </w:rPr>
      </w:pPr>
      <w:r w:rsidRPr="00616339">
        <w:rPr>
          <w:rFonts w:ascii="David" w:hAnsi="David"/>
          <w:rtl/>
        </w:rPr>
        <w:t>אינני מקבל את טענת הסנגורית כי העובדה שלא הוגש כתב אישום גם נגד אחיו של הנאשם הינה בבחינת נסיבה מקילה, שכן חזקה על המאשימה כי היתה פועלת גם נגד אחרים  ככל שהיו בידיה חומרי חקירה המבססים סיכוי להרשעה. יתרה מזו, אין מקום לטענה זו של הסנ</w:t>
      </w:r>
      <w:r>
        <w:rPr>
          <w:rFonts w:ascii="David" w:hAnsi="David" w:hint="cs"/>
          <w:rtl/>
        </w:rPr>
        <w:t>י</w:t>
      </w:r>
      <w:r w:rsidRPr="00616339">
        <w:rPr>
          <w:rFonts w:ascii="David" w:hAnsi="David"/>
          <w:rtl/>
        </w:rPr>
        <w:t xml:space="preserve">גורית שכן היא עומדת בניגוד לסיפא של סעיף 1 לכתב האישום המתוקן בו הודה הנאשם, לפיו </w:t>
      </w:r>
      <w:r w:rsidRPr="00616339">
        <w:rPr>
          <w:rFonts w:ascii="David" w:hAnsi="David"/>
          <w:b/>
          <w:bCs/>
          <w:rtl/>
        </w:rPr>
        <w:t xml:space="preserve">" ...את הנשק האמור החזיק הנאשם יחד עם אחרים שזהותם </w:t>
      </w:r>
      <w:r w:rsidRPr="00616339">
        <w:rPr>
          <w:rFonts w:ascii="David" w:hAnsi="David"/>
          <w:b/>
          <w:bCs/>
          <w:u w:val="single"/>
          <w:rtl/>
        </w:rPr>
        <w:t>אינה</w:t>
      </w:r>
      <w:r w:rsidRPr="00616339">
        <w:rPr>
          <w:rFonts w:ascii="David" w:hAnsi="David"/>
          <w:b/>
          <w:bCs/>
          <w:rtl/>
        </w:rPr>
        <w:t xml:space="preserve"> ידועה למאשימה" </w:t>
      </w:r>
      <w:r w:rsidRPr="00616339">
        <w:rPr>
          <w:rFonts w:ascii="David" w:hAnsi="David"/>
          <w:rtl/>
        </w:rPr>
        <w:t>( הדגשה אינה במקור-א.ג).</w:t>
      </w:r>
      <w:r w:rsidRPr="00616339">
        <w:rPr>
          <w:rFonts w:ascii="David" w:hAnsi="David"/>
          <w:b/>
          <w:bCs/>
          <w:rtl/>
        </w:rPr>
        <w:t xml:space="preserve"> </w:t>
      </w:r>
    </w:p>
    <w:p w14:paraId="2E9B833A" w14:textId="77777777" w:rsidR="00BA3D2F" w:rsidRDefault="00BA3D2F" w:rsidP="00BA3D2F">
      <w:pPr>
        <w:spacing w:line="360" w:lineRule="auto"/>
        <w:jc w:val="both"/>
        <w:rPr>
          <w:rFonts w:ascii="David" w:hAnsi="David"/>
          <w:b/>
          <w:bCs/>
          <w:rtl/>
        </w:rPr>
      </w:pPr>
    </w:p>
    <w:p w14:paraId="1F061254" w14:textId="77777777" w:rsidR="00BA3D2F" w:rsidRDefault="00BA3D2F" w:rsidP="00BA3D2F">
      <w:pPr>
        <w:spacing w:line="360" w:lineRule="auto"/>
        <w:ind w:left="720" w:hanging="720"/>
        <w:jc w:val="both"/>
        <w:rPr>
          <w:rFonts w:ascii="David" w:hAnsi="David"/>
          <w:rtl/>
        </w:rPr>
      </w:pPr>
      <w:r>
        <w:rPr>
          <w:rFonts w:ascii="David" w:hAnsi="David"/>
          <w:rtl/>
        </w:rPr>
        <w:t>15.</w:t>
      </w:r>
      <w:r>
        <w:rPr>
          <w:rFonts w:ascii="David" w:hAnsi="David"/>
          <w:rtl/>
        </w:rPr>
        <w:tab/>
        <w:t xml:space="preserve">אשר על כן, ולאחר שבחנתי הערכים המוגנים שנפגעו על ידי הנאשם ומידת הפגיעה בהם, נסיבות ביצוע העבירות, מדיניות הענישה הנוהגת (לצורך כך עיינתי גם בפסיקה אליה הפנו באי כוח הצדדים), וענישה המרבית והמזערית הקבועה בחוק, מצאתי כי מתחם העונש ההולם בגין העבירות שביצע הנאשם, בנסיבות ביצוען, כולל מאסר בפועל הנע בין 54 לבין 72 חודשי מאסר בפועל לצד ענישה נלווית.   </w:t>
      </w:r>
    </w:p>
    <w:p w14:paraId="46F9D437" w14:textId="77777777" w:rsidR="00BA3D2F" w:rsidRDefault="00BA3D2F" w:rsidP="00BA3D2F">
      <w:pPr>
        <w:spacing w:line="360" w:lineRule="auto"/>
        <w:ind w:left="720" w:hanging="720"/>
        <w:jc w:val="both"/>
        <w:rPr>
          <w:rFonts w:ascii="David" w:hAnsi="David"/>
          <w:rtl/>
        </w:rPr>
      </w:pPr>
    </w:p>
    <w:p w14:paraId="794F288E" w14:textId="77777777" w:rsidR="00BA3D2F" w:rsidRDefault="00BA3D2F" w:rsidP="00BA3D2F">
      <w:pPr>
        <w:spacing w:line="360" w:lineRule="auto"/>
        <w:ind w:left="720" w:hanging="720"/>
        <w:jc w:val="both"/>
        <w:rPr>
          <w:rFonts w:ascii="David" w:hAnsi="David"/>
          <w:rtl/>
        </w:rPr>
      </w:pPr>
      <w:r>
        <w:rPr>
          <w:rFonts w:ascii="David" w:hAnsi="David"/>
          <w:rtl/>
        </w:rPr>
        <w:t>16.</w:t>
      </w:r>
      <w:r>
        <w:rPr>
          <w:rFonts w:ascii="David" w:hAnsi="David"/>
          <w:rtl/>
        </w:rPr>
        <w:tab/>
        <w:t xml:space="preserve">מיגור תופעת הנשק הלא חוקי מחייבת גם פגיעה במוטיבציה הכלכלית שבבסיס עבירות מסוג זה. עבירות הנשק הפכו למקור הכנסה, ועל עברייני הנשק לדעת כי ייפגעו באופן משמעותי גם בכיסם. משעסקינן בעבירות המוגדרות כמכת מדינה, אין להסתפק רק ברכיבי ענישה של מאסרים ויש להשית על עברייני הנשק גם קנסות כספיים משמעותיים. </w:t>
      </w:r>
    </w:p>
    <w:p w14:paraId="6CD3C2F9" w14:textId="77777777" w:rsidR="00BA3D2F" w:rsidRPr="00416608" w:rsidRDefault="00BA3D2F" w:rsidP="00BA3D2F">
      <w:pPr>
        <w:pStyle w:val="a9"/>
        <w:jc w:val="both"/>
        <w:rPr>
          <w:rFonts w:ascii="David" w:hAnsi="David" w:cs="David"/>
          <w:sz w:val="16"/>
          <w:szCs w:val="16"/>
        </w:rPr>
      </w:pPr>
    </w:p>
    <w:p w14:paraId="12EBC02C" w14:textId="77777777" w:rsidR="00BA3D2F" w:rsidRDefault="00BA3D2F" w:rsidP="00BA3D2F">
      <w:pPr>
        <w:spacing w:line="360" w:lineRule="auto"/>
        <w:ind w:left="720"/>
        <w:jc w:val="both"/>
        <w:rPr>
          <w:rFonts w:ascii="David" w:hAnsi="David"/>
          <w:rtl/>
        </w:rPr>
      </w:pPr>
      <w:r>
        <w:rPr>
          <w:rFonts w:ascii="David" w:hAnsi="David"/>
          <w:rtl/>
        </w:rPr>
        <w:t>בענייננו לא הוצגו ראיות בדבר מצבו הכלכלי של הנאשם, אך מעובדת החזקת ארבעת האקדחים שמחירם בעולם הפשע גבוה, ו</w:t>
      </w:r>
      <w:r>
        <w:rPr>
          <w:rFonts w:ascii="David" w:hAnsi="David" w:hint="cs"/>
          <w:rtl/>
        </w:rPr>
        <w:t>ב</w:t>
      </w:r>
      <w:r>
        <w:rPr>
          <w:rFonts w:ascii="David" w:hAnsi="David"/>
          <w:rtl/>
        </w:rPr>
        <w:t xml:space="preserve">היותו בעל עסק לתיקון וממכר טלפונים, ניתן ללמוד אודות מצבו הכלכלי. </w:t>
      </w:r>
    </w:p>
    <w:p w14:paraId="7938193E" w14:textId="77777777" w:rsidR="00BA3D2F" w:rsidRDefault="00BA3D2F" w:rsidP="00BA3D2F">
      <w:pPr>
        <w:spacing w:line="360" w:lineRule="auto"/>
        <w:ind w:left="720"/>
        <w:jc w:val="both"/>
        <w:rPr>
          <w:rFonts w:ascii="David" w:hAnsi="David"/>
          <w:rtl/>
        </w:rPr>
      </w:pPr>
    </w:p>
    <w:p w14:paraId="782D67BD" w14:textId="77777777" w:rsidR="00BA3D2F" w:rsidRDefault="00BA3D2F" w:rsidP="00BA3D2F">
      <w:pPr>
        <w:spacing w:line="360" w:lineRule="auto"/>
        <w:ind w:left="720"/>
        <w:jc w:val="both"/>
        <w:rPr>
          <w:rFonts w:ascii="David" w:hAnsi="David"/>
          <w:rtl/>
        </w:rPr>
      </w:pPr>
      <w:r>
        <w:rPr>
          <w:rFonts w:ascii="David" w:hAnsi="David"/>
          <w:rtl/>
        </w:rPr>
        <w:t xml:space="preserve">על כן, מתחם העונש ההולם בגין העבירות שביצע הנאשם, בנסיבות ביצוען, כולל קנס הנע </w:t>
      </w:r>
      <w:r>
        <w:rPr>
          <w:rFonts w:ascii="David" w:hAnsi="David"/>
          <w:rtl/>
        </w:rPr>
        <w:softHyphen/>
      </w:r>
      <w:r>
        <w:rPr>
          <w:rtl/>
        </w:rPr>
        <w:t xml:space="preserve"> </w:t>
      </w:r>
      <w:r>
        <w:rPr>
          <w:rFonts w:ascii="David" w:hAnsi="David"/>
          <w:rtl/>
        </w:rPr>
        <w:t xml:space="preserve">בין 15,000 ₪ ל – 30,000 ₪.  </w:t>
      </w:r>
    </w:p>
    <w:p w14:paraId="00F1C68F" w14:textId="77777777" w:rsidR="00BA3D2F" w:rsidRDefault="00BA3D2F" w:rsidP="00BA3D2F">
      <w:pPr>
        <w:spacing w:line="360" w:lineRule="auto"/>
        <w:jc w:val="both"/>
        <w:rPr>
          <w:rFonts w:ascii="David" w:hAnsi="David"/>
          <w:b/>
          <w:bCs/>
          <w:u w:val="single"/>
          <w:rtl/>
        </w:rPr>
      </w:pPr>
    </w:p>
    <w:p w14:paraId="565B0A07" w14:textId="77777777" w:rsidR="00BA3D2F" w:rsidRDefault="00BA3D2F" w:rsidP="00BA3D2F">
      <w:pPr>
        <w:spacing w:line="360" w:lineRule="auto"/>
        <w:jc w:val="both"/>
        <w:rPr>
          <w:rFonts w:ascii="David" w:hAnsi="David"/>
          <w:b/>
          <w:bCs/>
          <w:u w:val="single"/>
          <w:rtl/>
        </w:rPr>
      </w:pPr>
      <w:r>
        <w:rPr>
          <w:rFonts w:ascii="David" w:hAnsi="David"/>
          <w:b/>
          <w:bCs/>
          <w:u w:val="single"/>
          <w:rtl/>
        </w:rPr>
        <w:t>גזירת העונש:</w:t>
      </w:r>
    </w:p>
    <w:p w14:paraId="7D9CA394" w14:textId="77777777" w:rsidR="00BA3D2F" w:rsidRDefault="00BA3D2F" w:rsidP="00BA3D2F">
      <w:pPr>
        <w:spacing w:line="360" w:lineRule="auto"/>
        <w:jc w:val="both"/>
        <w:rPr>
          <w:rFonts w:ascii="David" w:hAnsi="David"/>
          <w:b/>
          <w:bCs/>
          <w:u w:val="single"/>
          <w:rtl/>
        </w:rPr>
      </w:pPr>
    </w:p>
    <w:p w14:paraId="7D3C65CA" w14:textId="77777777" w:rsidR="00BA3D2F" w:rsidRDefault="00BA3D2F" w:rsidP="00BA3D2F">
      <w:pPr>
        <w:spacing w:line="360" w:lineRule="auto"/>
        <w:ind w:left="720" w:hanging="720"/>
        <w:jc w:val="both"/>
        <w:rPr>
          <w:rFonts w:ascii="David" w:hAnsi="David"/>
          <w:b/>
          <w:bCs/>
          <w:u w:val="single"/>
          <w:rtl/>
        </w:rPr>
      </w:pPr>
      <w:r>
        <w:rPr>
          <w:rFonts w:ascii="David" w:hAnsi="David"/>
          <w:rtl/>
        </w:rPr>
        <w:t>17.</w:t>
      </w:r>
      <w:r>
        <w:rPr>
          <w:rFonts w:ascii="David" w:hAnsi="David"/>
          <w:rtl/>
        </w:rPr>
        <w:tab/>
        <w:t xml:space="preserve">בגזירת העונש המתאים לנאשם, בגדרי מתחם העונש ההולם, יש להתחשב בנסיבות שאינן קשורות בביצוע העבירה. </w:t>
      </w:r>
    </w:p>
    <w:p w14:paraId="1119EE7F" w14:textId="77777777" w:rsidR="00BA3D2F" w:rsidRDefault="00BA3D2F" w:rsidP="00BA3D2F">
      <w:pPr>
        <w:spacing w:line="360" w:lineRule="auto"/>
        <w:ind w:left="720" w:hanging="720"/>
        <w:jc w:val="both"/>
        <w:rPr>
          <w:rFonts w:ascii="David" w:hAnsi="David"/>
          <w:b/>
          <w:bCs/>
          <w:u w:val="single"/>
          <w:rtl/>
        </w:rPr>
      </w:pPr>
    </w:p>
    <w:p w14:paraId="2ADF3835" w14:textId="77777777" w:rsidR="00BA3D2F" w:rsidRDefault="00BA3D2F" w:rsidP="00BA3D2F">
      <w:pPr>
        <w:spacing w:line="360" w:lineRule="auto"/>
        <w:ind w:left="720"/>
        <w:jc w:val="both"/>
        <w:rPr>
          <w:rFonts w:ascii="David" w:hAnsi="David"/>
          <w:rtl/>
        </w:rPr>
      </w:pPr>
      <w:r>
        <w:rPr>
          <w:rFonts w:ascii="David" w:hAnsi="David"/>
          <w:rtl/>
        </w:rPr>
        <w:t xml:space="preserve">הענישה הינה אינדיבידואלית, ובמסגרתה יש ליתן את הדעת לכך שהנאשם  צעיר יליד 1998, נעדר עבר פלילי ונמצא במעצר מיום 25.10.22. לצד זאת, אבהיר כי גיל צעיר והעדר עבר נקי אין בהם כדי למנוע ענישה ממושכת מאחורי סורג ובריח, שכן עבירות הנשק הפכו לרעה חולה גם אצל צעירים בנגב הנחשבים כ"נורמטיביים". </w:t>
      </w:r>
    </w:p>
    <w:p w14:paraId="507C1A53" w14:textId="77777777" w:rsidR="00BA3D2F" w:rsidRDefault="00BA3D2F" w:rsidP="00BA3D2F">
      <w:pPr>
        <w:spacing w:line="360" w:lineRule="auto"/>
        <w:ind w:left="720"/>
        <w:jc w:val="both"/>
        <w:rPr>
          <w:rFonts w:ascii="David" w:hAnsi="David"/>
          <w:rtl/>
        </w:rPr>
      </w:pPr>
    </w:p>
    <w:p w14:paraId="440AD086" w14:textId="77777777" w:rsidR="00BA3D2F" w:rsidRDefault="00BA3D2F" w:rsidP="00BA3D2F">
      <w:pPr>
        <w:spacing w:line="360" w:lineRule="auto"/>
        <w:ind w:left="720"/>
        <w:jc w:val="both"/>
        <w:rPr>
          <w:rFonts w:ascii="David" w:hAnsi="David"/>
          <w:rtl/>
        </w:rPr>
      </w:pPr>
      <w:r>
        <w:rPr>
          <w:rFonts w:ascii="David" w:hAnsi="David"/>
          <w:rtl/>
        </w:rPr>
        <w:t>לקולת הנאשם נתתי דעתי גם להודאתו, לחרטה שהביע ולחיסכון בזמנו של בית המשפט. עד למעצרו היה הנאשם עצמאי ובעל עסק לממגר ולתיקון טלפונים, ובהתאם לדברי העד יוסף הואשלה "</w:t>
      </w:r>
      <w:r>
        <w:rPr>
          <w:rFonts w:ascii="David" w:hAnsi="David"/>
          <w:b/>
          <w:bCs/>
          <w:rtl/>
        </w:rPr>
        <w:t>היה דוגמה לכל הצעירים בשבט</w:t>
      </w:r>
      <w:r>
        <w:rPr>
          <w:rFonts w:ascii="David" w:hAnsi="David"/>
          <w:rtl/>
        </w:rPr>
        <w:t>". כמו כן נתתי דעתי לכך כי הנאשם לקח חלק בקבוצה ראשונית של כישורי חיים בימ"ר שקמה ( נ/1- נספח ד' ).</w:t>
      </w:r>
    </w:p>
    <w:p w14:paraId="6DEE6D82" w14:textId="77777777" w:rsidR="00BA3D2F" w:rsidRDefault="00BA3D2F" w:rsidP="00BA3D2F">
      <w:pPr>
        <w:spacing w:line="360" w:lineRule="auto"/>
        <w:jc w:val="both"/>
        <w:rPr>
          <w:rFonts w:ascii="David" w:hAnsi="David"/>
          <w:rtl/>
        </w:rPr>
      </w:pPr>
    </w:p>
    <w:p w14:paraId="6EEC0358" w14:textId="77777777" w:rsidR="00BA3D2F" w:rsidRDefault="00BA3D2F" w:rsidP="00BA3D2F">
      <w:pPr>
        <w:spacing w:line="360" w:lineRule="auto"/>
        <w:jc w:val="both"/>
        <w:rPr>
          <w:rFonts w:ascii="David" w:hAnsi="David"/>
          <w:rtl/>
        </w:rPr>
      </w:pPr>
      <w:r>
        <w:rPr>
          <w:rFonts w:ascii="David" w:hAnsi="David"/>
          <w:rtl/>
        </w:rPr>
        <w:t>18.</w:t>
      </w:r>
      <w:r>
        <w:rPr>
          <w:rFonts w:ascii="David" w:hAnsi="David"/>
          <w:rtl/>
        </w:rPr>
        <w:tab/>
        <w:t>בגדרי שיקולי הענישה בתוך המתחם נתתי משקל גם להרתעת היחיד.</w:t>
      </w:r>
    </w:p>
    <w:p w14:paraId="6F492F31" w14:textId="77777777" w:rsidR="00BA3D2F" w:rsidRDefault="00BA3D2F" w:rsidP="00BA3D2F">
      <w:pPr>
        <w:spacing w:line="360" w:lineRule="auto"/>
        <w:jc w:val="both"/>
        <w:rPr>
          <w:rFonts w:ascii="David" w:hAnsi="David"/>
          <w:rtl/>
        </w:rPr>
      </w:pPr>
    </w:p>
    <w:p w14:paraId="65A45E1D" w14:textId="77777777" w:rsidR="00BA3D2F" w:rsidRDefault="00BA3D2F" w:rsidP="00BA3D2F">
      <w:pPr>
        <w:spacing w:line="360" w:lineRule="auto"/>
        <w:ind w:left="720"/>
        <w:jc w:val="both"/>
        <w:rPr>
          <w:rFonts w:ascii="David" w:hAnsi="David"/>
        </w:rPr>
      </w:pPr>
      <w:r>
        <w:rPr>
          <w:rFonts w:ascii="David" w:hAnsi="David"/>
          <w:rtl/>
        </w:rPr>
        <w:t xml:space="preserve">שירות המבחן לא בא בהמלצה טיפולית בעניינו של הנאשם, אלא המליץ על ענישה מוחשית שתהווה גורם מרתיע ומציב גבול להישנות התנהגות עוברת חוק. המלצת שירות המבחן ניתנה בשים לב לכך שהנאשם החל לבחון באופן </w:t>
      </w:r>
      <w:r>
        <w:rPr>
          <w:rFonts w:ascii="David" w:hAnsi="David"/>
          <w:b/>
          <w:bCs/>
          <w:rtl/>
        </w:rPr>
        <w:t>ראשוני ביותר</w:t>
      </w:r>
      <w:r>
        <w:rPr>
          <w:rFonts w:ascii="David" w:hAnsi="David"/>
          <w:rtl/>
        </w:rPr>
        <w:t xml:space="preserve"> בבעייתיות בהתנהגותו העבריינית, בנטייתו לריצוי משפחתו ובדפוסי חשיבתו הבעייתיים. </w:t>
      </w:r>
    </w:p>
    <w:p w14:paraId="6DBB6D5A" w14:textId="77777777" w:rsidR="00BA3D2F" w:rsidRDefault="00BA3D2F" w:rsidP="00BA3D2F">
      <w:pPr>
        <w:spacing w:line="360" w:lineRule="auto"/>
        <w:ind w:left="720"/>
        <w:jc w:val="both"/>
        <w:rPr>
          <w:rFonts w:ascii="David" w:hAnsi="David"/>
          <w:rtl/>
        </w:rPr>
      </w:pPr>
      <w:r>
        <w:rPr>
          <w:rFonts w:ascii="David" w:hAnsi="David"/>
          <w:rtl/>
        </w:rPr>
        <w:t>מצאתי כי החרטה שהביע הנאשם ובחינתו הראשונית את דפוסי התנהגותו העבריינית, אין בה</w:t>
      </w:r>
      <w:r>
        <w:rPr>
          <w:rFonts w:ascii="David" w:hAnsi="David" w:hint="cs"/>
          <w:rtl/>
        </w:rPr>
        <w:t>ן</w:t>
      </w:r>
      <w:r>
        <w:rPr>
          <w:rFonts w:ascii="David" w:hAnsi="David"/>
          <w:rtl/>
        </w:rPr>
        <w:t xml:space="preserve"> די כדי להרתיעו מפני הישנות ביצוען של עבירות דומות, קל וחומר בסביבה ובתרבות בהן גדל כנטען על ידי הסנגורית (עמ' 13 שורות 14-15 לפרוטוקול מיום 19.6.23). </w:t>
      </w:r>
    </w:p>
    <w:p w14:paraId="4A5F0856" w14:textId="77777777" w:rsidR="00BA3D2F" w:rsidRDefault="00BA3D2F" w:rsidP="00BA3D2F">
      <w:pPr>
        <w:spacing w:line="360" w:lineRule="auto"/>
        <w:ind w:left="720"/>
        <w:jc w:val="both"/>
        <w:rPr>
          <w:rFonts w:ascii="David" w:hAnsi="David"/>
          <w:rtl/>
        </w:rPr>
      </w:pPr>
      <w:r>
        <w:rPr>
          <w:rFonts w:ascii="David" w:hAnsi="David"/>
          <w:rtl/>
        </w:rPr>
        <w:t>תעוזתו של הנאשם ואדישותו לחיי אדם מחייבים</w:t>
      </w:r>
      <w:r>
        <w:rPr>
          <w:rFonts w:ascii="David" w:hAnsi="David" w:hint="cs"/>
          <w:rtl/>
        </w:rPr>
        <w:t xml:space="preserve"> את הרתעתו</w:t>
      </w:r>
      <w:r>
        <w:rPr>
          <w:rFonts w:ascii="David" w:hAnsi="David"/>
          <w:rtl/>
        </w:rPr>
        <w:t xml:space="preserve"> </w:t>
      </w:r>
      <w:r>
        <w:rPr>
          <w:rFonts w:ascii="David" w:hAnsi="David" w:hint="cs"/>
          <w:rtl/>
        </w:rPr>
        <w:t>ב</w:t>
      </w:r>
      <w:r>
        <w:rPr>
          <w:rFonts w:ascii="David" w:hAnsi="David"/>
          <w:rtl/>
        </w:rPr>
        <w:t xml:space="preserve">ענישה משמעותית מאחורי סורג ובריח. </w:t>
      </w:r>
    </w:p>
    <w:p w14:paraId="3ACFA1C9" w14:textId="77777777" w:rsidR="00BA3D2F" w:rsidRPr="00087F80" w:rsidRDefault="00BA3D2F" w:rsidP="00BA3D2F">
      <w:pPr>
        <w:spacing w:line="360" w:lineRule="auto"/>
        <w:ind w:firstLine="720"/>
        <w:jc w:val="both"/>
        <w:rPr>
          <w:rFonts w:ascii="David" w:hAnsi="David"/>
          <w:sz w:val="14"/>
          <w:szCs w:val="14"/>
          <w:rtl/>
        </w:rPr>
      </w:pPr>
    </w:p>
    <w:p w14:paraId="4A7E6DFE" w14:textId="77777777" w:rsidR="00BA3D2F" w:rsidRDefault="00BA3D2F" w:rsidP="00BA3D2F">
      <w:pPr>
        <w:spacing w:line="360" w:lineRule="auto"/>
        <w:ind w:left="720" w:hanging="720"/>
        <w:jc w:val="both"/>
        <w:rPr>
          <w:rFonts w:ascii="David" w:hAnsi="David"/>
          <w:rtl/>
        </w:rPr>
      </w:pPr>
      <w:r>
        <w:rPr>
          <w:rFonts w:ascii="David" w:hAnsi="David"/>
          <w:rtl/>
        </w:rPr>
        <w:t>19.</w:t>
      </w:r>
      <w:r>
        <w:rPr>
          <w:rFonts w:ascii="David" w:hAnsi="David"/>
          <w:rtl/>
        </w:rPr>
        <w:tab/>
        <w:t xml:space="preserve">בהמשך לציוויו של בית המשפט העליון להחמיר בענישה בעבירות הנשק וזעקת הציבור המדמם, תרתי משמע, אני נותן משקל להרתעת הרבים בגדר שיקולי הענישה בתוך המתחם. </w:t>
      </w:r>
    </w:p>
    <w:p w14:paraId="6F4E782C" w14:textId="77777777" w:rsidR="00BA3D2F" w:rsidRDefault="00BA3D2F" w:rsidP="00BA3D2F">
      <w:pPr>
        <w:spacing w:line="360" w:lineRule="auto"/>
        <w:ind w:left="720"/>
        <w:jc w:val="both"/>
        <w:rPr>
          <w:rFonts w:ascii="David" w:hAnsi="David"/>
        </w:rPr>
      </w:pPr>
      <w:r>
        <w:rPr>
          <w:rFonts w:ascii="David" w:hAnsi="David"/>
          <w:rtl/>
        </w:rPr>
        <w:t>הנאשם חטא בעבירת החזקת נשק, ומשקל הנסיבות האישיות פוחת למול יתר שיקולי הענישה ובכללן גמול והתרעה. הבכורה ניתנת לשיקום המרחב הציבורי בעבירות הנשק, וזאת גם על פני שיקולי היחיד, שכן "</w:t>
      </w:r>
      <w:r>
        <w:rPr>
          <w:rFonts w:ascii="David" w:hAnsi="David"/>
          <w:b/>
          <w:bCs/>
          <w:rtl/>
        </w:rPr>
        <w:t>בית משפט שמקל בעונשו של עבריין נשק מכביד על החברה שנאלצת להגן על עצמה – על בניה ובנותיה – מעברייני נשק</w:t>
      </w:r>
      <w:r>
        <w:rPr>
          <w:rFonts w:ascii="David" w:hAnsi="David"/>
          <w:rtl/>
        </w:rPr>
        <w:t xml:space="preserve">". </w:t>
      </w:r>
      <w:hyperlink r:id="rId37" w:history="1">
        <w:r w:rsidR="00541C78" w:rsidRPr="00541C78">
          <w:rPr>
            <w:rFonts w:ascii="David" w:hAnsi="David"/>
            <w:color w:val="0000FF"/>
            <w:u w:val="single"/>
            <w:rtl/>
          </w:rPr>
          <w:t>ע"פ 5602/22</w:t>
        </w:r>
      </w:hyperlink>
      <w:r>
        <w:rPr>
          <w:rFonts w:ascii="David" w:hAnsi="David"/>
          <w:rtl/>
        </w:rPr>
        <w:t xml:space="preserve">, </w:t>
      </w:r>
      <w:r>
        <w:rPr>
          <w:rFonts w:ascii="David" w:hAnsi="David"/>
          <w:b/>
          <w:bCs/>
          <w:rtl/>
        </w:rPr>
        <w:t>מדינת ישראל נ' פלוני</w:t>
      </w:r>
      <w:r>
        <w:rPr>
          <w:rFonts w:ascii="David" w:hAnsi="David"/>
          <w:rtl/>
        </w:rPr>
        <w:t xml:space="preserve"> (14.9.22). </w:t>
      </w:r>
    </w:p>
    <w:p w14:paraId="30651417" w14:textId="77777777" w:rsidR="00BA3D2F" w:rsidRDefault="00BA3D2F" w:rsidP="00BA3D2F">
      <w:pPr>
        <w:spacing w:line="360" w:lineRule="auto"/>
        <w:jc w:val="both"/>
        <w:rPr>
          <w:rFonts w:ascii="David" w:hAnsi="David"/>
          <w:rtl/>
        </w:rPr>
      </w:pPr>
    </w:p>
    <w:p w14:paraId="30C0839C" w14:textId="77777777" w:rsidR="00BA3D2F" w:rsidRDefault="00BA3D2F" w:rsidP="00BA3D2F">
      <w:pPr>
        <w:spacing w:line="360" w:lineRule="auto"/>
        <w:jc w:val="both"/>
        <w:rPr>
          <w:rFonts w:ascii="David" w:hAnsi="David"/>
          <w:rtl/>
        </w:rPr>
      </w:pPr>
    </w:p>
    <w:p w14:paraId="6485B590" w14:textId="77777777" w:rsidR="00BA3D2F" w:rsidRDefault="00BA3D2F" w:rsidP="00BA3D2F">
      <w:pPr>
        <w:spacing w:line="360" w:lineRule="auto"/>
        <w:jc w:val="both"/>
        <w:rPr>
          <w:rFonts w:ascii="David" w:hAnsi="David"/>
          <w:rtl/>
        </w:rPr>
      </w:pPr>
    </w:p>
    <w:p w14:paraId="7893307F" w14:textId="77777777" w:rsidR="00BA3D2F" w:rsidRDefault="00BA3D2F" w:rsidP="00BA3D2F">
      <w:pPr>
        <w:spacing w:line="360" w:lineRule="auto"/>
        <w:ind w:left="720" w:hanging="720"/>
        <w:jc w:val="both"/>
        <w:rPr>
          <w:rFonts w:ascii="David" w:hAnsi="David"/>
          <w:rtl/>
        </w:rPr>
      </w:pPr>
      <w:r>
        <w:rPr>
          <w:rFonts w:ascii="David" w:hAnsi="David"/>
          <w:rtl/>
        </w:rPr>
        <w:t>20.</w:t>
      </w:r>
      <w:r>
        <w:rPr>
          <w:rFonts w:ascii="David" w:hAnsi="David"/>
          <w:rtl/>
        </w:rPr>
        <w:tab/>
        <w:t xml:space="preserve">עבירת החזקת הנשק הינה חוליה הכרחית בשרשרת עבירות הנשק. קטיעתה של חוליה זו תקטין באופן משמעותי את עבירות הנשק האחרות. על בית המשפט להעביר מסר נוקב לציבור, כי המחזיק בנשק בלתי חוקי ירצה מאסר ממשי וממושך מאחורי סורג ובריח, וזאת למען יראו ויראו. </w:t>
      </w:r>
    </w:p>
    <w:p w14:paraId="41B87A83" w14:textId="77777777" w:rsidR="00BA3D2F" w:rsidRDefault="00BA3D2F" w:rsidP="00BA3D2F">
      <w:pPr>
        <w:spacing w:line="360" w:lineRule="auto"/>
        <w:ind w:left="720" w:hanging="720"/>
        <w:jc w:val="both"/>
        <w:rPr>
          <w:rFonts w:ascii="David" w:hAnsi="David"/>
          <w:rtl/>
        </w:rPr>
      </w:pPr>
    </w:p>
    <w:p w14:paraId="5D40CF87" w14:textId="77777777" w:rsidR="00BA3D2F" w:rsidRDefault="00BA3D2F" w:rsidP="00BA3D2F">
      <w:pPr>
        <w:spacing w:line="360" w:lineRule="auto"/>
        <w:ind w:left="720"/>
        <w:jc w:val="both"/>
        <w:rPr>
          <w:rFonts w:ascii="David" w:hAnsi="David"/>
          <w:b/>
          <w:bCs/>
          <w:rtl/>
        </w:rPr>
      </w:pPr>
      <w:r>
        <w:rPr>
          <w:rFonts w:ascii="David" w:hAnsi="David"/>
          <w:b/>
          <w:bCs/>
          <w:rtl/>
        </w:rPr>
        <w:t>" ...ידע כל מי שמחזיק בנשק</w:t>
      </w:r>
      <w:r>
        <w:rPr>
          <w:rFonts w:ascii="David" w:hAnsi="David"/>
          <w:b/>
          <w:bCs/>
        </w:rPr>
        <w:t xml:space="preserve"> </w:t>
      </w:r>
      <w:r>
        <w:rPr>
          <w:rFonts w:ascii="David" w:hAnsi="David"/>
          <w:b/>
          <w:bCs/>
          <w:rtl/>
        </w:rPr>
        <w:t xml:space="preserve">בלתי חוקי כי צפוי הוא להיענש בחומרה, בבחינת 'אם מחזיקים –למאסר נשלחים' ".  </w:t>
      </w:r>
      <w:hyperlink r:id="rId38" w:history="1">
        <w:r w:rsidR="00541C78" w:rsidRPr="00541C78">
          <w:rPr>
            <w:rFonts w:ascii="David" w:hAnsi="David"/>
            <w:b/>
            <w:bCs/>
            <w:color w:val="0000FF"/>
            <w:u w:val="single"/>
            <w:rtl/>
          </w:rPr>
          <w:t>ע"פ 2482/22</w:t>
        </w:r>
      </w:hyperlink>
      <w:r>
        <w:rPr>
          <w:rFonts w:ascii="David" w:hAnsi="David"/>
          <w:b/>
          <w:bCs/>
          <w:rtl/>
        </w:rPr>
        <w:t xml:space="preserve"> מ"י נ'</w:t>
      </w:r>
      <w:r>
        <w:rPr>
          <w:rFonts w:ascii="David" w:hAnsi="David"/>
          <w:b/>
          <w:bCs/>
        </w:rPr>
        <w:t xml:space="preserve"> </w:t>
      </w:r>
      <w:r>
        <w:rPr>
          <w:rFonts w:ascii="David" w:hAnsi="David"/>
          <w:b/>
          <w:bCs/>
          <w:rtl/>
        </w:rPr>
        <w:t xml:space="preserve">קדורה ( 14.4.2022). </w:t>
      </w:r>
    </w:p>
    <w:p w14:paraId="1A664304" w14:textId="77777777" w:rsidR="00BA3D2F" w:rsidRPr="006A0AAB" w:rsidRDefault="00BA3D2F" w:rsidP="00BA3D2F">
      <w:pPr>
        <w:spacing w:line="360" w:lineRule="auto"/>
        <w:jc w:val="both"/>
        <w:rPr>
          <w:rFonts w:ascii="David" w:hAnsi="David"/>
          <w:b/>
          <w:bCs/>
          <w:sz w:val="16"/>
          <w:szCs w:val="16"/>
          <w:rtl/>
        </w:rPr>
      </w:pPr>
    </w:p>
    <w:p w14:paraId="6025A32E" w14:textId="77777777" w:rsidR="00BA3D2F" w:rsidRDefault="00BA3D2F" w:rsidP="00BA3D2F">
      <w:pPr>
        <w:spacing w:line="360" w:lineRule="auto"/>
        <w:ind w:left="720" w:hanging="720"/>
        <w:jc w:val="both"/>
        <w:rPr>
          <w:rFonts w:ascii="David" w:hAnsi="David"/>
          <w:rtl/>
        </w:rPr>
      </w:pPr>
      <w:r>
        <w:rPr>
          <w:rFonts w:ascii="David" w:hAnsi="David"/>
          <w:rtl/>
        </w:rPr>
        <w:t>21.</w:t>
      </w:r>
      <w:r>
        <w:rPr>
          <w:rFonts w:ascii="David" w:hAnsi="David"/>
          <w:rtl/>
        </w:rPr>
        <w:tab/>
        <w:t xml:space="preserve">נזכור כי הנאשם הורשע גם בעבירה של הפרעה לשוטר במילוי תפקידו וכאמור נסיבות ביצוע העבירה הנן לחומרה. על בית המשפט להשמיע את קולו גם בעניין זה ולהרתיע הרבים לבל יכשילו השוטרים אשר עושים ימים ולילות, שבתות וחגים, למען בטחון הציבור ושלומו.  </w:t>
      </w:r>
    </w:p>
    <w:p w14:paraId="1EF1F46E" w14:textId="77777777" w:rsidR="00BA3D2F" w:rsidRDefault="00BA3D2F" w:rsidP="00BA3D2F">
      <w:pPr>
        <w:spacing w:line="360" w:lineRule="auto"/>
        <w:ind w:left="720"/>
        <w:jc w:val="both"/>
        <w:rPr>
          <w:rFonts w:ascii="David" w:hAnsi="David"/>
          <w:rtl/>
        </w:rPr>
      </w:pPr>
      <w:r>
        <w:rPr>
          <w:rFonts w:ascii="David" w:hAnsi="David"/>
          <w:rtl/>
        </w:rPr>
        <w:t>תפיסת נשקים במרחקי הנגב הגדולים הינה משימה מורכבת הכרוכה בתשומות רבות של משטרת ישראל ובעשייה סיזיפית של שוטריה. אין להשלים עם מציאות שבה עבריינים, כל שכן עברייני נשק, יכשילו שוטרים בתפקידם המסוכן והקשה ממילא</w:t>
      </w:r>
      <w:r>
        <w:rPr>
          <w:rFonts w:ascii="David" w:hAnsi="David" w:hint="cs"/>
          <w:rtl/>
        </w:rPr>
        <w:t xml:space="preserve">. ענישה מתאימה גם בעניין זה תגביר המשילות בדרום ובנגב בפרט. </w:t>
      </w:r>
    </w:p>
    <w:p w14:paraId="433AD5D6" w14:textId="77777777" w:rsidR="00BA3D2F" w:rsidRPr="006A0AAB" w:rsidRDefault="00BA3D2F" w:rsidP="00BA3D2F">
      <w:pPr>
        <w:spacing w:line="360" w:lineRule="auto"/>
        <w:jc w:val="both"/>
        <w:rPr>
          <w:rFonts w:ascii="David" w:hAnsi="David"/>
          <w:sz w:val="14"/>
          <w:szCs w:val="14"/>
          <w:rtl/>
        </w:rPr>
      </w:pPr>
    </w:p>
    <w:p w14:paraId="432A3D39" w14:textId="77777777" w:rsidR="00BA3D2F" w:rsidRDefault="00BA3D2F" w:rsidP="00BA3D2F">
      <w:pPr>
        <w:spacing w:line="360" w:lineRule="auto"/>
        <w:ind w:left="720" w:hanging="720"/>
        <w:jc w:val="both"/>
        <w:rPr>
          <w:rFonts w:ascii="David" w:hAnsi="David"/>
          <w:rtl/>
        </w:rPr>
      </w:pPr>
      <w:r>
        <w:rPr>
          <w:rFonts w:ascii="David" w:hAnsi="David"/>
          <w:rtl/>
        </w:rPr>
        <w:t>22.</w:t>
      </w:r>
      <w:r>
        <w:rPr>
          <w:rFonts w:ascii="David" w:hAnsi="David"/>
          <w:rtl/>
        </w:rPr>
        <w:tab/>
      </w:r>
      <w:r>
        <w:rPr>
          <w:rFonts w:ascii="David" w:hAnsi="David"/>
          <w:b/>
          <w:bCs/>
          <w:rtl/>
        </w:rPr>
        <w:t>טרם סיום</w:t>
      </w:r>
      <w:r>
        <w:rPr>
          <w:rFonts w:ascii="David" w:hAnsi="David"/>
          <w:rtl/>
        </w:rPr>
        <w:t xml:space="preserve"> אדרש לפסיקה הרבה שצירפה ההגנה שלשיטתה מחייבת ענישה מקלה עם הנאשם.</w:t>
      </w:r>
    </w:p>
    <w:p w14:paraId="467B7C50" w14:textId="77777777" w:rsidR="00BA3D2F" w:rsidRDefault="00BA3D2F" w:rsidP="00BA3D2F">
      <w:pPr>
        <w:spacing w:line="360" w:lineRule="auto"/>
        <w:ind w:left="720"/>
        <w:jc w:val="both"/>
        <w:rPr>
          <w:rFonts w:ascii="David" w:hAnsi="David"/>
        </w:rPr>
      </w:pPr>
      <w:r>
        <w:rPr>
          <w:rFonts w:ascii="David" w:hAnsi="David"/>
          <w:rtl/>
        </w:rPr>
        <w:t xml:space="preserve">הפסיקה הקיימת אינה חזות הכל אלא שיקול אחד מבין מכלול השיקולים שעל בית המשפט לשקול כדי להגיע לתוצאה הראויה. ראה </w:t>
      </w:r>
      <w:hyperlink r:id="rId39" w:history="1">
        <w:r w:rsidR="00541C78" w:rsidRPr="00541C78">
          <w:rPr>
            <w:rFonts w:ascii="David" w:hAnsi="David"/>
            <w:b/>
            <w:bCs/>
            <w:color w:val="0000FF"/>
            <w:u w:val="single"/>
            <w:rtl/>
          </w:rPr>
          <w:t>ת"פ (מחוזי באר שבע) 72031-02-19</w:t>
        </w:r>
      </w:hyperlink>
      <w:r>
        <w:rPr>
          <w:rFonts w:ascii="David" w:hAnsi="David"/>
          <w:b/>
          <w:bCs/>
          <w:rtl/>
        </w:rPr>
        <w:t xml:space="preserve"> (31.12.19)</w:t>
      </w:r>
      <w:r>
        <w:rPr>
          <w:rFonts w:ascii="David" w:hAnsi="David"/>
          <w:rtl/>
        </w:rPr>
        <w:t xml:space="preserve"> והאזכורים המופיעים שם.  </w:t>
      </w:r>
    </w:p>
    <w:p w14:paraId="0A5CE348" w14:textId="77777777" w:rsidR="00BA3D2F" w:rsidRDefault="00BA3D2F" w:rsidP="00BA3D2F">
      <w:pPr>
        <w:spacing w:line="360" w:lineRule="auto"/>
        <w:ind w:left="720"/>
        <w:jc w:val="both"/>
        <w:rPr>
          <w:rFonts w:ascii="David" w:hAnsi="David"/>
          <w:b/>
          <w:bCs/>
          <w:rtl/>
        </w:rPr>
      </w:pPr>
      <w:r>
        <w:rPr>
          <w:rFonts w:ascii="David" w:hAnsi="David"/>
          <w:b/>
          <w:bCs/>
          <w:rtl/>
        </w:rPr>
        <w:t xml:space="preserve">כפי שציינתי בת"פ (מחוזי באר שבע ) 2476-07-22 (01.05.23), אל לבית המשפט להיות כבול לענישה הנהוגה אם הוא סבור כי יש להחמירה עת עסקינן בעבירות שהוכרזו כמכת מדינה וטרם פחתו, קל וחומר שעסקינן בנסיבות בעלות חומרה יתרה כבענייננו. </w:t>
      </w:r>
    </w:p>
    <w:p w14:paraId="2887E8F2" w14:textId="77777777" w:rsidR="00BA3D2F" w:rsidRDefault="00BA3D2F" w:rsidP="00BA3D2F">
      <w:pPr>
        <w:spacing w:line="360" w:lineRule="auto"/>
        <w:ind w:left="720"/>
        <w:jc w:val="both"/>
        <w:rPr>
          <w:rFonts w:ascii="David" w:hAnsi="David"/>
          <w:b/>
          <w:bCs/>
          <w:rtl/>
        </w:rPr>
      </w:pPr>
      <w:r>
        <w:rPr>
          <w:rFonts w:ascii="David" w:hAnsi="David"/>
          <w:b/>
          <w:bCs/>
          <w:rtl/>
        </w:rPr>
        <w:t xml:space="preserve">מספר הנרצחים בחברה הערבית מאז תחילת השנה, אשר לדאבון הלב כולל גם נשים וילדים, מלמד כי מגמת ההחמרה בענישה הקיימת טרם נתנה את אותותיה, ועל כן יש להמשיך במגמה זו, ואף ביתר שאת. </w:t>
      </w:r>
    </w:p>
    <w:p w14:paraId="010050B4" w14:textId="77777777" w:rsidR="00BA3D2F" w:rsidRDefault="00BA3D2F" w:rsidP="00BA3D2F">
      <w:pPr>
        <w:spacing w:line="360" w:lineRule="auto"/>
        <w:jc w:val="both"/>
        <w:rPr>
          <w:rFonts w:ascii="David" w:hAnsi="David"/>
          <w:b/>
          <w:bCs/>
          <w:sz w:val="16"/>
          <w:szCs w:val="16"/>
          <w:rtl/>
        </w:rPr>
      </w:pPr>
    </w:p>
    <w:p w14:paraId="0424B321" w14:textId="77777777" w:rsidR="00BA3D2F" w:rsidRDefault="00BA3D2F" w:rsidP="00BA3D2F">
      <w:pPr>
        <w:spacing w:line="360" w:lineRule="auto"/>
        <w:jc w:val="both"/>
        <w:rPr>
          <w:rFonts w:ascii="David" w:hAnsi="David"/>
          <w:b/>
          <w:bCs/>
          <w:sz w:val="16"/>
          <w:szCs w:val="16"/>
          <w:rtl/>
        </w:rPr>
      </w:pPr>
    </w:p>
    <w:p w14:paraId="0EF8B323" w14:textId="77777777" w:rsidR="00BA3D2F" w:rsidRDefault="00BA3D2F" w:rsidP="00BA3D2F">
      <w:pPr>
        <w:spacing w:line="360" w:lineRule="auto"/>
        <w:jc w:val="both"/>
        <w:rPr>
          <w:rFonts w:ascii="David" w:hAnsi="David"/>
          <w:b/>
          <w:bCs/>
          <w:sz w:val="16"/>
          <w:szCs w:val="16"/>
          <w:rtl/>
        </w:rPr>
      </w:pPr>
    </w:p>
    <w:p w14:paraId="75FD02E3" w14:textId="77777777" w:rsidR="00BA3D2F" w:rsidRDefault="00BA3D2F" w:rsidP="00BA3D2F">
      <w:pPr>
        <w:spacing w:line="360" w:lineRule="auto"/>
        <w:jc w:val="both"/>
        <w:rPr>
          <w:rFonts w:ascii="David" w:hAnsi="David"/>
          <w:b/>
          <w:bCs/>
          <w:sz w:val="16"/>
          <w:szCs w:val="16"/>
          <w:rtl/>
        </w:rPr>
      </w:pPr>
    </w:p>
    <w:p w14:paraId="0664AFBE" w14:textId="77777777" w:rsidR="00BA3D2F" w:rsidRDefault="00BA3D2F" w:rsidP="00BA3D2F">
      <w:pPr>
        <w:spacing w:line="360" w:lineRule="auto"/>
        <w:jc w:val="both"/>
        <w:rPr>
          <w:rFonts w:ascii="David" w:hAnsi="David"/>
          <w:b/>
          <w:bCs/>
          <w:sz w:val="16"/>
          <w:szCs w:val="16"/>
          <w:rtl/>
        </w:rPr>
      </w:pPr>
    </w:p>
    <w:p w14:paraId="5FB6B9A7" w14:textId="77777777" w:rsidR="00BA3D2F" w:rsidRDefault="00BA3D2F" w:rsidP="00BA3D2F">
      <w:pPr>
        <w:spacing w:line="360" w:lineRule="auto"/>
        <w:jc w:val="both"/>
        <w:rPr>
          <w:rFonts w:ascii="David" w:hAnsi="David"/>
          <w:b/>
          <w:bCs/>
          <w:sz w:val="16"/>
          <w:szCs w:val="16"/>
          <w:rtl/>
        </w:rPr>
      </w:pPr>
    </w:p>
    <w:p w14:paraId="7FFD2D41" w14:textId="77777777" w:rsidR="00BA3D2F" w:rsidRDefault="00BA3D2F" w:rsidP="00BA3D2F">
      <w:pPr>
        <w:spacing w:line="360" w:lineRule="auto"/>
        <w:jc w:val="both"/>
        <w:rPr>
          <w:rFonts w:ascii="David" w:hAnsi="David"/>
          <w:b/>
          <w:bCs/>
          <w:sz w:val="16"/>
          <w:szCs w:val="16"/>
          <w:rtl/>
        </w:rPr>
      </w:pPr>
    </w:p>
    <w:p w14:paraId="2EBE24E7" w14:textId="77777777" w:rsidR="00BA3D2F" w:rsidRPr="006A0AAB" w:rsidRDefault="00BA3D2F" w:rsidP="00BA3D2F">
      <w:pPr>
        <w:spacing w:line="360" w:lineRule="auto"/>
        <w:jc w:val="both"/>
        <w:rPr>
          <w:rFonts w:ascii="David" w:hAnsi="David"/>
          <w:b/>
          <w:bCs/>
          <w:sz w:val="16"/>
          <w:szCs w:val="16"/>
          <w:rtl/>
        </w:rPr>
      </w:pPr>
    </w:p>
    <w:p w14:paraId="4F9A895C" w14:textId="77777777" w:rsidR="00BA3D2F" w:rsidRDefault="00BA3D2F" w:rsidP="00BA3D2F">
      <w:pPr>
        <w:spacing w:line="360" w:lineRule="auto"/>
        <w:ind w:left="720" w:hanging="720"/>
        <w:jc w:val="both"/>
        <w:rPr>
          <w:rFonts w:ascii="David" w:hAnsi="David"/>
          <w:b/>
          <w:bCs/>
          <w:rtl/>
        </w:rPr>
      </w:pPr>
      <w:r>
        <w:rPr>
          <w:rFonts w:ascii="David" w:hAnsi="David"/>
          <w:rtl/>
        </w:rPr>
        <w:t>23.</w:t>
      </w:r>
      <w:r>
        <w:rPr>
          <w:rFonts w:ascii="David" w:hAnsi="David"/>
          <w:rtl/>
        </w:rPr>
        <w:tab/>
      </w:r>
      <w:r>
        <w:rPr>
          <w:rFonts w:ascii="David" w:hAnsi="David"/>
          <w:b/>
          <w:bCs/>
          <w:rtl/>
        </w:rPr>
        <w:t xml:space="preserve">סוף דבר, מכל הקובץ לעיל, ולאחר איזון בין השיקולים השונים, אני גוזר על הנאשם את העונשים הבאים: </w:t>
      </w:r>
    </w:p>
    <w:p w14:paraId="76946749" w14:textId="77777777" w:rsidR="00BA3D2F" w:rsidRDefault="00BA3D2F" w:rsidP="00BA3D2F">
      <w:pPr>
        <w:spacing w:line="360" w:lineRule="auto"/>
        <w:ind w:left="720" w:hanging="720"/>
        <w:jc w:val="both"/>
        <w:rPr>
          <w:rFonts w:ascii="David" w:hAnsi="David"/>
          <w:b/>
          <w:bCs/>
          <w:rtl/>
        </w:rPr>
      </w:pPr>
    </w:p>
    <w:p w14:paraId="364B45B2" w14:textId="77777777" w:rsidR="00BA3D2F" w:rsidRDefault="00BA3D2F" w:rsidP="00BA3D2F">
      <w:pPr>
        <w:spacing w:line="360" w:lineRule="auto"/>
        <w:ind w:left="720"/>
        <w:jc w:val="both"/>
        <w:rPr>
          <w:rFonts w:ascii="David" w:hAnsi="David"/>
          <w:b/>
          <w:bCs/>
          <w:rtl/>
        </w:rPr>
      </w:pPr>
      <w:r>
        <w:rPr>
          <w:rFonts w:ascii="David" w:hAnsi="David"/>
          <w:b/>
          <w:bCs/>
          <w:rtl/>
        </w:rPr>
        <w:t>א.</w:t>
      </w:r>
      <w:r>
        <w:rPr>
          <w:rFonts w:ascii="David" w:hAnsi="David"/>
          <w:b/>
          <w:bCs/>
          <w:rtl/>
        </w:rPr>
        <w:tab/>
        <w:t xml:space="preserve">58 חודשי מאסר בניכוי ימי מעצרו. </w:t>
      </w:r>
    </w:p>
    <w:p w14:paraId="00BD7FFB" w14:textId="77777777" w:rsidR="00BA3D2F" w:rsidRDefault="00BA3D2F" w:rsidP="00BA3D2F">
      <w:pPr>
        <w:spacing w:line="360" w:lineRule="auto"/>
        <w:ind w:left="720"/>
        <w:jc w:val="both"/>
        <w:rPr>
          <w:rFonts w:ascii="David" w:hAnsi="David"/>
          <w:b/>
          <w:bCs/>
          <w:rtl/>
        </w:rPr>
      </w:pPr>
    </w:p>
    <w:p w14:paraId="00E36A26" w14:textId="77777777" w:rsidR="00BA3D2F" w:rsidRDefault="00BA3D2F" w:rsidP="00BA3D2F">
      <w:pPr>
        <w:spacing w:line="360" w:lineRule="auto"/>
        <w:ind w:left="1440" w:hanging="720"/>
        <w:jc w:val="both"/>
        <w:rPr>
          <w:rFonts w:ascii="David" w:hAnsi="David"/>
          <w:b/>
          <w:bCs/>
          <w:rtl/>
        </w:rPr>
      </w:pPr>
      <w:r>
        <w:rPr>
          <w:rFonts w:ascii="David" w:hAnsi="David"/>
          <w:b/>
          <w:bCs/>
          <w:rtl/>
        </w:rPr>
        <w:t>ב.</w:t>
      </w:r>
      <w:r>
        <w:rPr>
          <w:rFonts w:ascii="David" w:hAnsi="David"/>
          <w:b/>
          <w:bCs/>
          <w:rtl/>
        </w:rPr>
        <w:tab/>
        <w:t xml:space="preserve">12 חודשי מאסר על תנאי, לתקופה של 3 שנים מיום שחרורו, שהנאשם לא יעבור עבירות בנשק לפי </w:t>
      </w:r>
      <w:hyperlink r:id="rId40" w:history="1">
        <w:r w:rsidR="00A95446" w:rsidRPr="00A95446">
          <w:rPr>
            <w:rStyle w:val="Hyperlink"/>
            <w:rFonts w:ascii="David" w:hAnsi="David"/>
            <w:b/>
            <w:bCs/>
            <w:rtl/>
          </w:rPr>
          <w:t>סעיף 144</w:t>
        </w:r>
      </w:hyperlink>
      <w:r>
        <w:rPr>
          <w:rFonts w:ascii="David" w:hAnsi="David"/>
          <w:b/>
          <w:bCs/>
          <w:rtl/>
        </w:rPr>
        <w:t xml:space="preserve"> ל</w:t>
      </w:r>
      <w:hyperlink r:id="rId41" w:history="1">
        <w:r w:rsidR="00541C78" w:rsidRPr="00541C78">
          <w:rPr>
            <w:rFonts w:ascii="David" w:hAnsi="David"/>
            <w:b/>
            <w:bCs/>
            <w:color w:val="0000FF"/>
            <w:u w:val="single"/>
            <w:rtl/>
          </w:rPr>
          <w:t>חוק העונשין</w:t>
        </w:r>
      </w:hyperlink>
      <w:r>
        <w:rPr>
          <w:rFonts w:ascii="David" w:hAnsi="David"/>
          <w:b/>
          <w:bCs/>
          <w:rtl/>
        </w:rPr>
        <w:t xml:space="preserve"> על חלופותיו השונות. </w:t>
      </w:r>
    </w:p>
    <w:p w14:paraId="2F6BDC7E" w14:textId="77777777" w:rsidR="00BA3D2F" w:rsidRDefault="00BA3D2F" w:rsidP="00BA3D2F">
      <w:pPr>
        <w:spacing w:line="360" w:lineRule="auto"/>
        <w:ind w:left="1440" w:hanging="720"/>
        <w:jc w:val="both"/>
        <w:rPr>
          <w:rFonts w:ascii="David" w:hAnsi="David"/>
          <w:b/>
          <w:bCs/>
          <w:rtl/>
        </w:rPr>
      </w:pPr>
    </w:p>
    <w:p w14:paraId="57F6A4F3" w14:textId="77777777" w:rsidR="00BA3D2F" w:rsidRDefault="00BA3D2F" w:rsidP="00BA3D2F">
      <w:pPr>
        <w:spacing w:line="360" w:lineRule="auto"/>
        <w:ind w:left="1440" w:hanging="720"/>
        <w:jc w:val="both"/>
        <w:rPr>
          <w:rFonts w:ascii="David" w:hAnsi="David"/>
          <w:b/>
          <w:bCs/>
          <w:rtl/>
        </w:rPr>
      </w:pPr>
      <w:r>
        <w:rPr>
          <w:rFonts w:ascii="David" w:hAnsi="David"/>
          <w:b/>
          <w:bCs/>
          <w:rtl/>
        </w:rPr>
        <w:t>ג.</w:t>
      </w:r>
      <w:r>
        <w:rPr>
          <w:rFonts w:ascii="David" w:hAnsi="David"/>
          <w:b/>
          <w:bCs/>
          <w:rtl/>
        </w:rPr>
        <w:tab/>
        <w:t xml:space="preserve">10 חודשי מאסר על תנאי, לתקופה של שנתיים מיום שחרורו, שהנאשם לא יעבור עבירה לפי </w:t>
      </w:r>
      <w:hyperlink r:id="rId42" w:history="1">
        <w:r w:rsidR="00A95446" w:rsidRPr="00A95446">
          <w:rPr>
            <w:rStyle w:val="Hyperlink"/>
            <w:rFonts w:ascii="David" w:hAnsi="David"/>
            <w:b/>
            <w:bCs/>
            <w:rtl/>
          </w:rPr>
          <w:t>סעיף 275</w:t>
        </w:r>
      </w:hyperlink>
      <w:r>
        <w:rPr>
          <w:rFonts w:ascii="David" w:hAnsi="David"/>
          <w:b/>
          <w:bCs/>
          <w:rtl/>
        </w:rPr>
        <w:t xml:space="preserve"> ל</w:t>
      </w:r>
      <w:hyperlink r:id="rId43" w:history="1">
        <w:r w:rsidR="00541C78" w:rsidRPr="00541C78">
          <w:rPr>
            <w:rFonts w:ascii="David" w:hAnsi="David"/>
            <w:b/>
            <w:bCs/>
            <w:color w:val="0000FF"/>
            <w:u w:val="single"/>
            <w:rtl/>
          </w:rPr>
          <w:t>חוק העונשין</w:t>
        </w:r>
      </w:hyperlink>
      <w:r>
        <w:rPr>
          <w:rFonts w:ascii="David" w:hAnsi="David"/>
          <w:b/>
          <w:bCs/>
          <w:rtl/>
        </w:rPr>
        <w:t>.</w:t>
      </w:r>
    </w:p>
    <w:p w14:paraId="2C22E14C" w14:textId="77777777" w:rsidR="00BA3D2F" w:rsidRDefault="00BA3D2F" w:rsidP="00BA3D2F">
      <w:pPr>
        <w:spacing w:line="360" w:lineRule="auto"/>
        <w:ind w:left="1440" w:hanging="720"/>
        <w:jc w:val="both"/>
        <w:rPr>
          <w:rFonts w:ascii="David" w:hAnsi="David"/>
          <w:b/>
          <w:bCs/>
          <w:rtl/>
        </w:rPr>
      </w:pPr>
    </w:p>
    <w:p w14:paraId="5129E8B1" w14:textId="77777777" w:rsidR="00BA3D2F" w:rsidRDefault="00BA3D2F" w:rsidP="00BA3D2F">
      <w:pPr>
        <w:spacing w:line="360" w:lineRule="auto"/>
        <w:ind w:left="1440" w:hanging="720"/>
        <w:jc w:val="both"/>
        <w:rPr>
          <w:rFonts w:ascii="David" w:hAnsi="David"/>
          <w:b/>
          <w:bCs/>
          <w:rtl/>
        </w:rPr>
      </w:pPr>
      <w:r>
        <w:rPr>
          <w:rFonts w:ascii="David" w:hAnsi="David"/>
          <w:b/>
          <w:bCs/>
          <w:rtl/>
        </w:rPr>
        <w:t>ד.</w:t>
      </w:r>
      <w:r>
        <w:rPr>
          <w:rFonts w:ascii="David" w:hAnsi="David"/>
          <w:b/>
          <w:bCs/>
          <w:rtl/>
        </w:rPr>
        <w:tab/>
        <w:t xml:space="preserve">קנס כספי בסך 20,000 ₪ או שלושה חודשי מאסר תחתיו. הקנס ישולם לא יאוחר מיום 10.2.24. </w:t>
      </w:r>
    </w:p>
    <w:p w14:paraId="4FD09E19" w14:textId="77777777" w:rsidR="00BA3D2F" w:rsidRPr="00541C78" w:rsidRDefault="00541C78" w:rsidP="00BA3D2F">
      <w:pPr>
        <w:spacing w:line="360" w:lineRule="auto"/>
        <w:jc w:val="both"/>
        <w:rPr>
          <w:rFonts w:ascii="David" w:hAnsi="David"/>
          <w:color w:val="FFFFFF"/>
          <w:sz w:val="2"/>
          <w:szCs w:val="2"/>
        </w:rPr>
      </w:pPr>
      <w:r w:rsidRPr="00541C78">
        <w:rPr>
          <w:rFonts w:ascii="David" w:hAnsi="David"/>
          <w:color w:val="FFFFFF"/>
          <w:sz w:val="2"/>
          <w:szCs w:val="2"/>
          <w:rtl/>
        </w:rPr>
        <w:t>5129371</w:t>
      </w:r>
    </w:p>
    <w:p w14:paraId="114E1015" w14:textId="77777777" w:rsidR="00BA3D2F" w:rsidRDefault="00541C78" w:rsidP="00BA3D2F">
      <w:pPr>
        <w:spacing w:line="360" w:lineRule="auto"/>
        <w:jc w:val="both"/>
        <w:rPr>
          <w:rFonts w:ascii="David" w:hAnsi="David"/>
          <w:rtl/>
        </w:rPr>
      </w:pPr>
      <w:r w:rsidRPr="00541C78">
        <w:rPr>
          <w:rFonts w:ascii="David" w:hAnsi="David"/>
          <w:color w:val="FFFFFF"/>
          <w:sz w:val="2"/>
          <w:szCs w:val="2"/>
          <w:rtl/>
        </w:rPr>
        <w:t>54678313</w:t>
      </w:r>
      <w:r w:rsidR="00BA3D2F">
        <w:rPr>
          <w:rFonts w:ascii="David" w:hAnsi="David"/>
          <w:rtl/>
        </w:rPr>
        <w:t xml:space="preserve">זכות ערעור תוך 45 ימים לבית המשפט העליון. </w:t>
      </w:r>
    </w:p>
    <w:p w14:paraId="7ACBB7CA" w14:textId="77777777" w:rsidR="00BA3D2F" w:rsidRPr="000F2247" w:rsidRDefault="00BA3D2F" w:rsidP="00BA3D2F">
      <w:pPr>
        <w:rPr>
          <w:rFonts w:ascii="Arial" w:hAnsi="Arial"/>
          <w:b/>
          <w:bCs/>
          <w:sz w:val="26"/>
          <w:szCs w:val="26"/>
          <w:rtl/>
        </w:rPr>
      </w:pPr>
    </w:p>
    <w:p w14:paraId="7456A921" w14:textId="77777777" w:rsidR="00BA3D2F" w:rsidRPr="000F2247" w:rsidRDefault="00541C78" w:rsidP="00BA3D2F">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כ"א תמוז תשפ"ג, 10 יולי 2023, במעמד הצדדים. </w:t>
      </w:r>
      <w:bookmarkEnd w:id="8"/>
      <w:r w:rsidR="00BA3D2F">
        <w:rPr>
          <w:rFonts w:ascii="Arial" w:hAnsi="Arial"/>
          <w:b/>
          <w:bCs/>
          <w:sz w:val="26"/>
          <w:szCs w:val="26"/>
          <w:rtl/>
        </w:rPr>
        <w:tab/>
      </w:r>
      <w:r w:rsidR="00BA3D2F">
        <w:rPr>
          <w:rFonts w:ascii="Arial" w:hAnsi="Arial"/>
          <w:b/>
          <w:bCs/>
          <w:sz w:val="26"/>
          <w:szCs w:val="26"/>
          <w:rtl/>
        </w:rPr>
        <w:tab/>
      </w:r>
      <w:r w:rsidR="00BA3D2F">
        <w:rPr>
          <w:rFonts w:ascii="Arial" w:hAnsi="Arial"/>
          <w:b/>
          <w:bCs/>
          <w:sz w:val="26"/>
          <w:szCs w:val="26"/>
          <w:rtl/>
        </w:rPr>
        <w:tab/>
      </w:r>
      <w:r w:rsidR="00BA3D2F">
        <w:rPr>
          <w:rFonts w:ascii="Arial" w:hAnsi="Arial"/>
          <w:b/>
          <w:bCs/>
          <w:sz w:val="26"/>
          <w:szCs w:val="26"/>
          <w:rtl/>
        </w:rPr>
        <w:tab/>
      </w:r>
      <w:r w:rsidR="00BA3D2F">
        <w:rPr>
          <w:rFonts w:ascii="Arial" w:hAnsi="Arial"/>
          <w:b/>
          <w:bCs/>
          <w:sz w:val="26"/>
          <w:szCs w:val="26"/>
          <w:rtl/>
        </w:rPr>
        <w:tab/>
      </w:r>
      <w:r w:rsidR="00BA3D2F">
        <w:rPr>
          <w:rFonts w:ascii="Arial" w:hAnsi="Arial"/>
          <w:b/>
          <w:bCs/>
          <w:sz w:val="26"/>
          <w:szCs w:val="26"/>
          <w:rtl/>
        </w:rPr>
        <w:tab/>
      </w:r>
      <w:r w:rsidR="00BA3D2F">
        <w:rPr>
          <w:rFonts w:ascii="Arial" w:hAnsi="Arial"/>
          <w:b/>
          <w:bCs/>
          <w:sz w:val="26"/>
          <w:szCs w:val="26"/>
          <w:rtl/>
        </w:rPr>
        <w:tab/>
      </w:r>
      <w:r w:rsidR="00BA3D2F">
        <w:rPr>
          <w:rFonts w:ascii="Arial" w:hAnsi="Arial" w:hint="cs"/>
          <w:b/>
          <w:bCs/>
          <w:sz w:val="26"/>
          <w:szCs w:val="26"/>
          <w:rtl/>
        </w:rPr>
        <w:t xml:space="preserve">         </w:t>
      </w:r>
    </w:p>
    <w:p w14:paraId="3BA354CB" w14:textId="77777777" w:rsidR="00541C78" w:rsidRDefault="00541C78" w:rsidP="00541C78">
      <w:pPr>
        <w:rPr>
          <w:rtl/>
        </w:rPr>
      </w:pPr>
    </w:p>
    <w:p w14:paraId="03F8C8B1" w14:textId="77777777" w:rsidR="00541C78" w:rsidRDefault="00541C78" w:rsidP="00541C78">
      <w:pPr>
        <w:jc w:val="center"/>
        <w:rPr>
          <w:color w:val="0000FF"/>
          <w:u w:val="single"/>
        </w:rPr>
      </w:pPr>
      <w:hyperlink r:id="rId44" w:history="1">
        <w:r>
          <w:rPr>
            <w:color w:val="0000FF"/>
            <w:u w:val="single"/>
            <w:rtl/>
          </w:rPr>
          <w:t>בעניין עריכה ושינויים במסמכי פסיקה, חקיקה ועוד באתר נבו – הקש כאן</w:t>
        </w:r>
      </w:hyperlink>
    </w:p>
    <w:p w14:paraId="7A37D2B6" w14:textId="77777777" w:rsidR="00A95446" w:rsidRPr="00A95446" w:rsidRDefault="00A95446" w:rsidP="00A95446">
      <w:pPr>
        <w:keepNext/>
        <w:rPr>
          <w:rFonts w:ascii="David" w:hAnsi="David"/>
          <w:color w:val="000000"/>
          <w:sz w:val="22"/>
          <w:szCs w:val="22"/>
          <w:rtl/>
        </w:rPr>
      </w:pPr>
    </w:p>
    <w:p w14:paraId="4A9B9AF6" w14:textId="77777777" w:rsidR="00A95446" w:rsidRPr="00A95446" w:rsidRDefault="00A95446" w:rsidP="00A95446">
      <w:pPr>
        <w:keepNext/>
        <w:rPr>
          <w:rFonts w:ascii="David" w:hAnsi="David"/>
          <w:color w:val="000000"/>
          <w:sz w:val="22"/>
          <w:szCs w:val="22"/>
          <w:rtl/>
        </w:rPr>
      </w:pPr>
      <w:r w:rsidRPr="00A95446">
        <w:rPr>
          <w:rFonts w:ascii="David" w:hAnsi="David"/>
          <w:color w:val="000000"/>
          <w:sz w:val="22"/>
          <w:szCs w:val="22"/>
          <w:rtl/>
        </w:rPr>
        <w:t>אלון גביזון 54678313-/</w:t>
      </w:r>
    </w:p>
    <w:p w14:paraId="4E94992C" w14:textId="77777777" w:rsidR="00541C78" w:rsidRPr="00541C78" w:rsidRDefault="00A95446" w:rsidP="00A95446">
      <w:pPr>
        <w:rPr>
          <w:color w:val="0000FF"/>
          <w:u w:val="single"/>
        </w:rPr>
      </w:pPr>
      <w:r w:rsidRPr="00A95446">
        <w:rPr>
          <w:color w:val="000000"/>
          <w:u w:val="single"/>
          <w:rtl/>
        </w:rPr>
        <w:t>נוסח מסמך זה כפוף לשינויי ניסוח ועריכה</w:t>
      </w:r>
    </w:p>
    <w:sectPr w:rsidR="00541C78" w:rsidRPr="00541C78" w:rsidSect="00A95446">
      <w:headerReference w:type="even" r:id="rId45"/>
      <w:headerReference w:type="default" r:id="rId46"/>
      <w:footerReference w:type="even" r:id="rId47"/>
      <w:footerReference w:type="default" r:id="rId4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02FD5E" w14:textId="77777777" w:rsidR="007C0C04" w:rsidRDefault="007C0C04" w:rsidP="00C139B4">
      <w:r>
        <w:separator/>
      </w:r>
    </w:p>
  </w:endnote>
  <w:endnote w:type="continuationSeparator" w:id="0">
    <w:p w14:paraId="2912CE06" w14:textId="77777777" w:rsidR="007C0C04" w:rsidRDefault="007C0C04" w:rsidP="00C139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B018DA" w14:textId="77777777" w:rsidR="00A95446" w:rsidRDefault="00A95446" w:rsidP="00A95446">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1BB64CD9" w14:textId="77777777" w:rsidR="00047257" w:rsidRPr="00A95446" w:rsidRDefault="00A95446" w:rsidP="00A95446">
    <w:pPr>
      <w:pStyle w:val="a5"/>
      <w:pBdr>
        <w:top w:val="single" w:sz="4" w:space="1" w:color="auto"/>
        <w:between w:val="single" w:sz="4" w:space="0" w:color="auto"/>
      </w:pBdr>
      <w:spacing w:after="60"/>
      <w:jc w:val="center"/>
      <w:rPr>
        <w:rFonts w:ascii="FrankRuehl" w:hAnsi="FrankRuehl" w:cs="FrankRuehl"/>
        <w:color w:val="000000"/>
      </w:rPr>
    </w:pPr>
    <w:r w:rsidRPr="00A95446">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4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BA64DF" w14:textId="77777777" w:rsidR="00A95446" w:rsidRDefault="00A95446" w:rsidP="00A95446">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FC2456">
      <w:rPr>
        <w:rFonts w:ascii="FrankRuehl" w:hAnsi="FrankRuehl" w:cs="FrankRuehl"/>
        <w:noProof/>
        <w:rtl/>
      </w:rPr>
      <w:t>1</w:t>
    </w:r>
    <w:r>
      <w:rPr>
        <w:rFonts w:ascii="FrankRuehl" w:hAnsi="FrankRuehl" w:cs="FrankRuehl"/>
        <w:rtl/>
      </w:rPr>
      <w:fldChar w:fldCharType="end"/>
    </w:r>
  </w:p>
  <w:p w14:paraId="32BC8F90" w14:textId="77777777" w:rsidR="00047257" w:rsidRPr="00A95446" w:rsidRDefault="00A95446" w:rsidP="00A95446">
    <w:pPr>
      <w:pStyle w:val="a5"/>
      <w:pBdr>
        <w:top w:val="single" w:sz="4" w:space="1" w:color="auto"/>
        <w:between w:val="single" w:sz="4" w:space="0" w:color="auto"/>
      </w:pBdr>
      <w:spacing w:after="60"/>
      <w:jc w:val="center"/>
      <w:rPr>
        <w:rFonts w:ascii="FrankRuehl" w:hAnsi="FrankRuehl" w:cs="FrankRuehl"/>
        <w:color w:val="000000"/>
      </w:rPr>
    </w:pPr>
    <w:r w:rsidRPr="00A95446">
      <w:rPr>
        <w:rFonts w:ascii="FrankRuehl" w:hAnsi="FrankRuehl" w:cs="FrankRuehl"/>
        <w:color w:val="000000"/>
      </w:rPr>
      <w:pict w14:anchorId="45FDAEB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2803E2" w14:textId="77777777" w:rsidR="007C0C04" w:rsidRDefault="007C0C04" w:rsidP="00C139B4">
      <w:r>
        <w:separator/>
      </w:r>
    </w:p>
  </w:footnote>
  <w:footnote w:type="continuationSeparator" w:id="0">
    <w:p w14:paraId="4672BD01" w14:textId="77777777" w:rsidR="007C0C04" w:rsidRDefault="007C0C04" w:rsidP="00C139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C59943" w14:textId="77777777" w:rsidR="00541C78" w:rsidRPr="00A95446" w:rsidRDefault="00A95446" w:rsidP="00A95446">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20644-11-22</w:t>
    </w:r>
    <w:r>
      <w:rPr>
        <w:rFonts w:ascii="David" w:hAnsi="David"/>
        <w:color w:val="000000"/>
        <w:sz w:val="22"/>
        <w:szCs w:val="22"/>
        <w:rtl/>
      </w:rPr>
      <w:tab/>
      <w:t xml:space="preserve"> מדינת ישראל נ' הישאם הואשלה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87E034" w14:textId="77777777" w:rsidR="00541C78" w:rsidRPr="00A95446" w:rsidRDefault="00A95446" w:rsidP="00A95446">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20644-11-22</w:t>
    </w:r>
    <w:r>
      <w:rPr>
        <w:rFonts w:ascii="David" w:hAnsi="David"/>
        <w:color w:val="000000"/>
        <w:sz w:val="22"/>
        <w:szCs w:val="22"/>
        <w:rtl/>
      </w:rPr>
      <w:tab/>
      <w:t xml:space="preserve"> מדינת ישראל נ' הישאם הואשלה</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BA3D2F"/>
    <w:rsid w:val="000222FA"/>
    <w:rsid w:val="00047257"/>
    <w:rsid w:val="001B5A3B"/>
    <w:rsid w:val="00261934"/>
    <w:rsid w:val="003E2AB3"/>
    <w:rsid w:val="00541C78"/>
    <w:rsid w:val="007C0C04"/>
    <w:rsid w:val="008A1418"/>
    <w:rsid w:val="00A95446"/>
    <w:rsid w:val="00BA3D2F"/>
    <w:rsid w:val="00C139B4"/>
    <w:rsid w:val="00C64779"/>
    <w:rsid w:val="00C67682"/>
    <w:rsid w:val="00E15814"/>
    <w:rsid w:val="00F054C5"/>
    <w:rsid w:val="00FC245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2D9266E"/>
  <w15:chartTrackingRefBased/>
  <w15:docId w15:val="{58961A27-3104-42ED-9792-BE00E76A3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A3D2F"/>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BA3D2F"/>
    <w:pPr>
      <w:tabs>
        <w:tab w:val="center" w:pos="4153"/>
        <w:tab w:val="right" w:pos="8306"/>
      </w:tabs>
    </w:pPr>
  </w:style>
  <w:style w:type="character" w:customStyle="1" w:styleId="a4">
    <w:name w:val="כותרת עליונה תו"/>
    <w:link w:val="a3"/>
    <w:rsid w:val="00BA3D2F"/>
    <w:rPr>
      <w:rFonts w:ascii="Times New Roman" w:eastAsia="Times New Roman" w:hAnsi="Times New Roman" w:cs="David"/>
      <w:sz w:val="24"/>
      <w:szCs w:val="24"/>
    </w:rPr>
  </w:style>
  <w:style w:type="paragraph" w:styleId="a5">
    <w:name w:val="footer"/>
    <w:basedOn w:val="a"/>
    <w:link w:val="a6"/>
    <w:rsid w:val="00BA3D2F"/>
    <w:pPr>
      <w:tabs>
        <w:tab w:val="center" w:pos="4153"/>
        <w:tab w:val="right" w:pos="8306"/>
      </w:tabs>
    </w:pPr>
  </w:style>
  <w:style w:type="character" w:customStyle="1" w:styleId="a6">
    <w:name w:val="כותרת תחתונה תו"/>
    <w:link w:val="a5"/>
    <w:rsid w:val="00BA3D2F"/>
    <w:rPr>
      <w:rFonts w:ascii="Times New Roman" w:eastAsia="Times New Roman" w:hAnsi="Times New Roman" w:cs="David"/>
      <w:sz w:val="24"/>
      <w:szCs w:val="24"/>
    </w:rPr>
  </w:style>
  <w:style w:type="table" w:styleId="a7">
    <w:name w:val="Table Grid"/>
    <w:basedOn w:val="a1"/>
    <w:rsid w:val="00BA3D2F"/>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BA3D2F"/>
  </w:style>
  <w:style w:type="paragraph" w:styleId="a9">
    <w:name w:val="List Paragraph"/>
    <w:basedOn w:val="a"/>
    <w:qFormat/>
    <w:rsid w:val="00BA3D2F"/>
    <w:pPr>
      <w:spacing w:after="160" w:line="256" w:lineRule="auto"/>
      <w:ind w:left="720"/>
      <w:contextualSpacing/>
    </w:pPr>
    <w:rPr>
      <w:rFonts w:ascii="Calibri" w:eastAsia="Calibri" w:hAnsi="Calibri" w:cs="Arial"/>
      <w:sz w:val="22"/>
      <w:szCs w:val="22"/>
    </w:rPr>
  </w:style>
  <w:style w:type="character" w:styleId="Hyperlink">
    <w:name w:val="Hyperlink"/>
    <w:rsid w:val="00541C7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law/70301/40c" TargetMode="External"/><Relationship Id="rId26" Type="http://schemas.openxmlformats.org/officeDocument/2006/relationships/hyperlink" Target="http://www.nevo.co.il/case/25612982" TargetMode="External"/><Relationship Id="rId39" Type="http://schemas.openxmlformats.org/officeDocument/2006/relationships/hyperlink" Target="http://www.nevo.co.il/case/25496225" TargetMode="External"/><Relationship Id="rId21" Type="http://schemas.openxmlformats.org/officeDocument/2006/relationships/hyperlink" Target="http://www.nevo.co.il/law/70301" TargetMode="External"/><Relationship Id="rId34" Type="http://schemas.openxmlformats.org/officeDocument/2006/relationships/hyperlink" Target="http://www.nevo.co.il/case/5724364" TargetMode="External"/><Relationship Id="rId42" Type="http://schemas.openxmlformats.org/officeDocument/2006/relationships/hyperlink" Target="http://www.nevo.co.il/law/70301/275" TargetMode="External"/><Relationship Id="rId47" Type="http://schemas.openxmlformats.org/officeDocument/2006/relationships/footer" Target="footer1.xml"/><Relationship Id="rId50" Type="http://schemas.openxmlformats.org/officeDocument/2006/relationships/theme" Target="theme/theme1.xml"/><Relationship Id="rId7" Type="http://schemas.openxmlformats.org/officeDocument/2006/relationships/hyperlink" Target="http://www.nevo.co.il/law/70301/40b" TargetMode="External"/><Relationship Id="rId2" Type="http://schemas.openxmlformats.org/officeDocument/2006/relationships/settings" Target="settings.xml"/><Relationship Id="rId16" Type="http://schemas.openxmlformats.org/officeDocument/2006/relationships/hyperlink" Target="http://www.nevo.co.il/law/70301/40b" TargetMode="External"/><Relationship Id="rId29" Type="http://schemas.openxmlformats.org/officeDocument/2006/relationships/hyperlink" Target="http://www.nevo.co.il/case/27894608" TargetMode="External"/><Relationship Id="rId11" Type="http://schemas.openxmlformats.org/officeDocument/2006/relationships/hyperlink" Target="http://www.nevo.co.il/law/70301/275" TargetMode="External"/><Relationship Id="rId24" Type="http://schemas.openxmlformats.org/officeDocument/2006/relationships/hyperlink" Target="http://www.nevo.co.il/case/18107737" TargetMode="External"/><Relationship Id="rId32" Type="http://schemas.openxmlformats.org/officeDocument/2006/relationships/hyperlink" Target="http://www.nevo.co.il/case/28424228" TargetMode="External"/><Relationship Id="rId37" Type="http://schemas.openxmlformats.org/officeDocument/2006/relationships/hyperlink" Target="http://www.nevo.co.il/case/28883087" TargetMode="External"/><Relationship Id="rId40" Type="http://schemas.openxmlformats.org/officeDocument/2006/relationships/hyperlink" Target="http://www.nevo.co.il/law/70301/144" TargetMode="External"/><Relationship Id="rId45"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hyperlink" Target="http://www.nevo.co.il/law/70301" TargetMode="External"/><Relationship Id="rId23" Type="http://schemas.openxmlformats.org/officeDocument/2006/relationships/hyperlink" Target="http://www.nevo.co.il/case/20513526" TargetMode="External"/><Relationship Id="rId28" Type="http://schemas.openxmlformats.org/officeDocument/2006/relationships/hyperlink" Target="http://www.nevo.co.il/case/28161892" TargetMode="External"/><Relationship Id="rId36" Type="http://schemas.openxmlformats.org/officeDocument/2006/relationships/hyperlink" Target="http://www.nevo.co.il/case/5601503" TargetMode="External"/><Relationship Id="rId49" Type="http://schemas.openxmlformats.org/officeDocument/2006/relationships/fontTable" Target="fontTable.xml"/><Relationship Id="rId10" Type="http://schemas.openxmlformats.org/officeDocument/2006/relationships/hyperlink" Target="http://www.nevo.co.il/law/70301/144.a" TargetMode="External"/><Relationship Id="rId19" Type="http://schemas.openxmlformats.org/officeDocument/2006/relationships/hyperlink" Target="http://www.nevo.co.il/law/70301" TargetMode="External"/><Relationship Id="rId31" Type="http://schemas.openxmlformats.org/officeDocument/2006/relationships/hyperlink" Target="http://www.nevo.co.il/case/28619472" TargetMode="External"/><Relationship Id="rId44" Type="http://schemas.openxmlformats.org/officeDocument/2006/relationships/hyperlink" Target="http://www.nevo.co.il/advertisements/nevo-100.doc" TargetMode="External"/><Relationship Id="rId4" Type="http://schemas.openxmlformats.org/officeDocument/2006/relationships/footnotes" Target="footnotes.xml"/><Relationship Id="rId9" Type="http://schemas.openxmlformats.org/officeDocument/2006/relationships/hyperlink" Target="http://www.nevo.co.il/law/70301/144" TargetMode="External"/><Relationship Id="rId14" Type="http://schemas.openxmlformats.org/officeDocument/2006/relationships/hyperlink" Target="http://www.nevo.co.il/law/70301/275" TargetMode="External"/><Relationship Id="rId22" Type="http://schemas.openxmlformats.org/officeDocument/2006/relationships/hyperlink" Target="http://www.nevo.co.il/law/70301" TargetMode="External"/><Relationship Id="rId27" Type="http://schemas.openxmlformats.org/officeDocument/2006/relationships/hyperlink" Target="http://www.nevo.co.il/case/28883087" TargetMode="External"/><Relationship Id="rId30" Type="http://schemas.openxmlformats.org/officeDocument/2006/relationships/hyperlink" Target="http://www.nevo.co.il/case/25818657" TargetMode="External"/><Relationship Id="rId35" Type="http://schemas.openxmlformats.org/officeDocument/2006/relationships/hyperlink" Target="http://www.nevo.co.il/case/29050874" TargetMode="External"/><Relationship Id="rId43" Type="http://schemas.openxmlformats.org/officeDocument/2006/relationships/hyperlink" Target="http://www.nevo.co.il/law/70301" TargetMode="External"/><Relationship Id="rId48" Type="http://schemas.openxmlformats.org/officeDocument/2006/relationships/footer" Target="footer2.xml"/><Relationship Id="rId8" Type="http://schemas.openxmlformats.org/officeDocument/2006/relationships/hyperlink" Target="http://www.nevo.co.il/law/70301/40c" TargetMode="External"/><Relationship Id="rId3" Type="http://schemas.openxmlformats.org/officeDocument/2006/relationships/webSettings" Target="webSettings.xml"/><Relationship Id="rId12" Type="http://schemas.openxmlformats.org/officeDocument/2006/relationships/hyperlink" Target="http://www.nevo.co.il/law/70301/144.a" TargetMode="External"/><Relationship Id="rId17" Type="http://schemas.openxmlformats.org/officeDocument/2006/relationships/hyperlink" Target="http://www.nevo.co.il/law/70301" TargetMode="External"/><Relationship Id="rId25" Type="http://schemas.openxmlformats.org/officeDocument/2006/relationships/hyperlink" Target="http://www.nevo.co.il/case/27309272" TargetMode="External"/><Relationship Id="rId33" Type="http://schemas.openxmlformats.org/officeDocument/2006/relationships/hyperlink" Target="http://www.nevo.co.il/case/27902516" TargetMode="External"/><Relationship Id="rId38" Type="http://schemas.openxmlformats.org/officeDocument/2006/relationships/hyperlink" Target="http://www.nevo.co.il/case/28513828" TargetMode="External"/><Relationship Id="rId46" Type="http://schemas.openxmlformats.org/officeDocument/2006/relationships/header" Target="header2.xml"/><Relationship Id="rId20" Type="http://schemas.openxmlformats.org/officeDocument/2006/relationships/hyperlink" Target="http://www.nevo.co.il/case/27309272" TargetMode="External"/><Relationship Id="rId41" Type="http://schemas.openxmlformats.org/officeDocument/2006/relationships/hyperlink" Target="http://www.nevo.co.il/law/70301" TargetMode="External"/><Relationship Id="rId1" Type="http://schemas.openxmlformats.org/officeDocument/2006/relationships/styles" Target="styles.xml"/><Relationship Id="rId6" Type="http://schemas.openxmlformats.org/officeDocument/2006/relationships/hyperlink" Target="http://www.nevo.co.il/law/70301"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3926</Words>
  <Characters>19633</Characters>
  <Application>Microsoft Office Word</Application>
  <DocSecurity>0</DocSecurity>
  <Lines>163</Lines>
  <Paragraphs>47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23512</CharactersWithSpaces>
  <SharedDoc>false</SharedDoc>
  <HLinks>
    <vt:vector size="234" baseType="variant">
      <vt:variant>
        <vt:i4>393283</vt:i4>
      </vt:variant>
      <vt:variant>
        <vt:i4>114</vt:i4>
      </vt:variant>
      <vt:variant>
        <vt:i4>0</vt:i4>
      </vt:variant>
      <vt:variant>
        <vt:i4>5</vt:i4>
      </vt:variant>
      <vt:variant>
        <vt:lpwstr>http://www.nevo.co.il/advertisements/nevo-100.doc</vt:lpwstr>
      </vt:variant>
      <vt:variant>
        <vt:lpwstr/>
      </vt:variant>
      <vt:variant>
        <vt:i4>7995492</vt:i4>
      </vt:variant>
      <vt:variant>
        <vt:i4>111</vt:i4>
      </vt:variant>
      <vt:variant>
        <vt:i4>0</vt:i4>
      </vt:variant>
      <vt:variant>
        <vt:i4>5</vt:i4>
      </vt:variant>
      <vt:variant>
        <vt:lpwstr>http://www.nevo.co.il/law/70301</vt:lpwstr>
      </vt:variant>
      <vt:variant>
        <vt:lpwstr/>
      </vt:variant>
      <vt:variant>
        <vt:i4>6422631</vt:i4>
      </vt:variant>
      <vt:variant>
        <vt:i4>108</vt:i4>
      </vt:variant>
      <vt:variant>
        <vt:i4>0</vt:i4>
      </vt:variant>
      <vt:variant>
        <vt:i4>5</vt:i4>
      </vt:variant>
      <vt:variant>
        <vt:lpwstr>http://www.nevo.co.il/law/70301/275</vt:lpwstr>
      </vt:variant>
      <vt:variant>
        <vt:lpwstr/>
      </vt:variant>
      <vt:variant>
        <vt:i4>7995492</vt:i4>
      </vt:variant>
      <vt:variant>
        <vt:i4>105</vt:i4>
      </vt:variant>
      <vt:variant>
        <vt:i4>0</vt:i4>
      </vt:variant>
      <vt:variant>
        <vt:i4>5</vt:i4>
      </vt:variant>
      <vt:variant>
        <vt:lpwstr>http://www.nevo.co.il/law/70301</vt:lpwstr>
      </vt:variant>
      <vt:variant>
        <vt:lpwstr/>
      </vt:variant>
      <vt:variant>
        <vt:i4>6357092</vt:i4>
      </vt:variant>
      <vt:variant>
        <vt:i4>102</vt:i4>
      </vt:variant>
      <vt:variant>
        <vt:i4>0</vt:i4>
      </vt:variant>
      <vt:variant>
        <vt:i4>5</vt:i4>
      </vt:variant>
      <vt:variant>
        <vt:lpwstr>http://www.nevo.co.il/law/70301/144</vt:lpwstr>
      </vt:variant>
      <vt:variant>
        <vt:lpwstr/>
      </vt:variant>
      <vt:variant>
        <vt:i4>3276922</vt:i4>
      </vt:variant>
      <vt:variant>
        <vt:i4>99</vt:i4>
      </vt:variant>
      <vt:variant>
        <vt:i4>0</vt:i4>
      </vt:variant>
      <vt:variant>
        <vt:i4>5</vt:i4>
      </vt:variant>
      <vt:variant>
        <vt:lpwstr>http://www.nevo.co.il/case/25496225</vt:lpwstr>
      </vt:variant>
      <vt:variant>
        <vt:lpwstr/>
      </vt:variant>
      <vt:variant>
        <vt:i4>3539061</vt:i4>
      </vt:variant>
      <vt:variant>
        <vt:i4>96</vt:i4>
      </vt:variant>
      <vt:variant>
        <vt:i4>0</vt:i4>
      </vt:variant>
      <vt:variant>
        <vt:i4>5</vt:i4>
      </vt:variant>
      <vt:variant>
        <vt:lpwstr>http://www.nevo.co.il/case/28513828</vt:lpwstr>
      </vt:variant>
      <vt:variant>
        <vt:lpwstr/>
      </vt:variant>
      <vt:variant>
        <vt:i4>3211380</vt:i4>
      </vt:variant>
      <vt:variant>
        <vt:i4>93</vt:i4>
      </vt:variant>
      <vt:variant>
        <vt:i4>0</vt:i4>
      </vt:variant>
      <vt:variant>
        <vt:i4>5</vt:i4>
      </vt:variant>
      <vt:variant>
        <vt:lpwstr>http://www.nevo.co.il/case/28883087</vt:lpwstr>
      </vt:variant>
      <vt:variant>
        <vt:lpwstr/>
      </vt:variant>
      <vt:variant>
        <vt:i4>3342451</vt:i4>
      </vt:variant>
      <vt:variant>
        <vt:i4>90</vt:i4>
      </vt:variant>
      <vt:variant>
        <vt:i4>0</vt:i4>
      </vt:variant>
      <vt:variant>
        <vt:i4>5</vt:i4>
      </vt:variant>
      <vt:variant>
        <vt:lpwstr>http://www.nevo.co.il/case/5601503</vt:lpwstr>
      </vt:variant>
      <vt:variant>
        <vt:lpwstr/>
      </vt:variant>
      <vt:variant>
        <vt:i4>3473520</vt:i4>
      </vt:variant>
      <vt:variant>
        <vt:i4>87</vt:i4>
      </vt:variant>
      <vt:variant>
        <vt:i4>0</vt:i4>
      </vt:variant>
      <vt:variant>
        <vt:i4>5</vt:i4>
      </vt:variant>
      <vt:variant>
        <vt:lpwstr>http://www.nevo.co.il/case/29050874</vt:lpwstr>
      </vt:variant>
      <vt:variant>
        <vt:lpwstr/>
      </vt:variant>
      <vt:variant>
        <vt:i4>3145841</vt:i4>
      </vt:variant>
      <vt:variant>
        <vt:i4>84</vt:i4>
      </vt:variant>
      <vt:variant>
        <vt:i4>0</vt:i4>
      </vt:variant>
      <vt:variant>
        <vt:i4>5</vt:i4>
      </vt:variant>
      <vt:variant>
        <vt:lpwstr>http://www.nevo.co.il/case/5724364</vt:lpwstr>
      </vt:variant>
      <vt:variant>
        <vt:lpwstr/>
      </vt:variant>
      <vt:variant>
        <vt:i4>3670134</vt:i4>
      </vt:variant>
      <vt:variant>
        <vt:i4>81</vt:i4>
      </vt:variant>
      <vt:variant>
        <vt:i4>0</vt:i4>
      </vt:variant>
      <vt:variant>
        <vt:i4>5</vt:i4>
      </vt:variant>
      <vt:variant>
        <vt:lpwstr>http://www.nevo.co.il/case/27902516</vt:lpwstr>
      </vt:variant>
      <vt:variant>
        <vt:lpwstr/>
      </vt:variant>
      <vt:variant>
        <vt:i4>3145852</vt:i4>
      </vt:variant>
      <vt:variant>
        <vt:i4>78</vt:i4>
      </vt:variant>
      <vt:variant>
        <vt:i4>0</vt:i4>
      </vt:variant>
      <vt:variant>
        <vt:i4>5</vt:i4>
      </vt:variant>
      <vt:variant>
        <vt:lpwstr>http://www.nevo.co.il/case/28424228</vt:lpwstr>
      </vt:variant>
      <vt:variant>
        <vt:lpwstr/>
      </vt:variant>
      <vt:variant>
        <vt:i4>3801209</vt:i4>
      </vt:variant>
      <vt:variant>
        <vt:i4>75</vt:i4>
      </vt:variant>
      <vt:variant>
        <vt:i4>0</vt:i4>
      </vt:variant>
      <vt:variant>
        <vt:i4>5</vt:i4>
      </vt:variant>
      <vt:variant>
        <vt:lpwstr>http://www.nevo.co.il/case/28619472</vt:lpwstr>
      </vt:variant>
      <vt:variant>
        <vt:lpwstr/>
      </vt:variant>
      <vt:variant>
        <vt:i4>3604598</vt:i4>
      </vt:variant>
      <vt:variant>
        <vt:i4>72</vt:i4>
      </vt:variant>
      <vt:variant>
        <vt:i4>0</vt:i4>
      </vt:variant>
      <vt:variant>
        <vt:i4>5</vt:i4>
      </vt:variant>
      <vt:variant>
        <vt:lpwstr>http://www.nevo.co.il/case/25818657</vt:lpwstr>
      </vt:variant>
      <vt:variant>
        <vt:lpwstr/>
      </vt:variant>
      <vt:variant>
        <vt:i4>4063356</vt:i4>
      </vt:variant>
      <vt:variant>
        <vt:i4>69</vt:i4>
      </vt:variant>
      <vt:variant>
        <vt:i4>0</vt:i4>
      </vt:variant>
      <vt:variant>
        <vt:i4>5</vt:i4>
      </vt:variant>
      <vt:variant>
        <vt:lpwstr>http://www.nevo.co.il/case/27894608</vt:lpwstr>
      </vt:variant>
      <vt:variant>
        <vt:lpwstr/>
      </vt:variant>
      <vt:variant>
        <vt:i4>3866738</vt:i4>
      </vt:variant>
      <vt:variant>
        <vt:i4>66</vt:i4>
      </vt:variant>
      <vt:variant>
        <vt:i4>0</vt:i4>
      </vt:variant>
      <vt:variant>
        <vt:i4>5</vt:i4>
      </vt:variant>
      <vt:variant>
        <vt:lpwstr>http://www.nevo.co.il/case/28161892</vt:lpwstr>
      </vt:variant>
      <vt:variant>
        <vt:lpwstr/>
      </vt:variant>
      <vt:variant>
        <vt:i4>3211380</vt:i4>
      </vt:variant>
      <vt:variant>
        <vt:i4>63</vt:i4>
      </vt:variant>
      <vt:variant>
        <vt:i4>0</vt:i4>
      </vt:variant>
      <vt:variant>
        <vt:i4>5</vt:i4>
      </vt:variant>
      <vt:variant>
        <vt:lpwstr>http://www.nevo.co.il/case/28883087</vt:lpwstr>
      </vt:variant>
      <vt:variant>
        <vt:lpwstr/>
      </vt:variant>
      <vt:variant>
        <vt:i4>4063353</vt:i4>
      </vt:variant>
      <vt:variant>
        <vt:i4>60</vt:i4>
      </vt:variant>
      <vt:variant>
        <vt:i4>0</vt:i4>
      </vt:variant>
      <vt:variant>
        <vt:i4>5</vt:i4>
      </vt:variant>
      <vt:variant>
        <vt:lpwstr>http://www.nevo.co.il/case/25612982</vt:lpwstr>
      </vt:variant>
      <vt:variant>
        <vt:lpwstr/>
      </vt:variant>
      <vt:variant>
        <vt:i4>4128881</vt:i4>
      </vt:variant>
      <vt:variant>
        <vt:i4>57</vt:i4>
      </vt:variant>
      <vt:variant>
        <vt:i4>0</vt:i4>
      </vt:variant>
      <vt:variant>
        <vt:i4>5</vt:i4>
      </vt:variant>
      <vt:variant>
        <vt:lpwstr>http://www.nevo.co.il/case/27309272</vt:lpwstr>
      </vt:variant>
      <vt:variant>
        <vt:lpwstr/>
      </vt:variant>
      <vt:variant>
        <vt:i4>3407995</vt:i4>
      </vt:variant>
      <vt:variant>
        <vt:i4>54</vt:i4>
      </vt:variant>
      <vt:variant>
        <vt:i4>0</vt:i4>
      </vt:variant>
      <vt:variant>
        <vt:i4>5</vt:i4>
      </vt:variant>
      <vt:variant>
        <vt:lpwstr>http://www.nevo.co.il/case/18107737</vt:lpwstr>
      </vt:variant>
      <vt:variant>
        <vt:lpwstr/>
      </vt:variant>
      <vt:variant>
        <vt:i4>3539056</vt:i4>
      </vt:variant>
      <vt:variant>
        <vt:i4>51</vt:i4>
      </vt:variant>
      <vt:variant>
        <vt:i4>0</vt:i4>
      </vt:variant>
      <vt:variant>
        <vt:i4>5</vt:i4>
      </vt:variant>
      <vt:variant>
        <vt:lpwstr>http://www.nevo.co.il/case/20513526</vt:lpwstr>
      </vt:variant>
      <vt:variant>
        <vt:lpwstr/>
      </vt:variant>
      <vt:variant>
        <vt:i4>7995492</vt:i4>
      </vt:variant>
      <vt:variant>
        <vt:i4>48</vt:i4>
      </vt:variant>
      <vt:variant>
        <vt:i4>0</vt:i4>
      </vt:variant>
      <vt:variant>
        <vt:i4>5</vt:i4>
      </vt:variant>
      <vt:variant>
        <vt:lpwstr>http://www.nevo.co.il/law/70301</vt:lpwstr>
      </vt:variant>
      <vt:variant>
        <vt:lpwstr/>
      </vt:variant>
      <vt:variant>
        <vt:i4>7995492</vt:i4>
      </vt:variant>
      <vt:variant>
        <vt:i4>45</vt:i4>
      </vt:variant>
      <vt:variant>
        <vt:i4>0</vt:i4>
      </vt:variant>
      <vt:variant>
        <vt:i4>5</vt:i4>
      </vt:variant>
      <vt:variant>
        <vt:lpwstr>http://www.nevo.co.il/law/70301</vt:lpwstr>
      </vt:variant>
      <vt:variant>
        <vt:lpwstr/>
      </vt:variant>
      <vt:variant>
        <vt:i4>4128881</vt:i4>
      </vt:variant>
      <vt:variant>
        <vt:i4>42</vt:i4>
      </vt:variant>
      <vt:variant>
        <vt:i4>0</vt:i4>
      </vt:variant>
      <vt:variant>
        <vt:i4>5</vt:i4>
      </vt:variant>
      <vt:variant>
        <vt:lpwstr>http://www.nevo.co.il/case/27309272</vt:lpwstr>
      </vt:variant>
      <vt:variant>
        <vt:lpwstr/>
      </vt:variant>
      <vt:variant>
        <vt:i4>7995492</vt:i4>
      </vt:variant>
      <vt:variant>
        <vt:i4>39</vt:i4>
      </vt:variant>
      <vt:variant>
        <vt:i4>0</vt:i4>
      </vt:variant>
      <vt:variant>
        <vt:i4>5</vt:i4>
      </vt:variant>
      <vt:variant>
        <vt:lpwstr>http://www.nevo.co.il/law/70301</vt:lpwstr>
      </vt:variant>
      <vt:variant>
        <vt:lpwstr/>
      </vt:variant>
      <vt:variant>
        <vt:i4>6619233</vt:i4>
      </vt:variant>
      <vt:variant>
        <vt:i4>36</vt:i4>
      </vt:variant>
      <vt:variant>
        <vt:i4>0</vt:i4>
      </vt:variant>
      <vt:variant>
        <vt:i4>5</vt:i4>
      </vt:variant>
      <vt:variant>
        <vt:lpwstr>http://www.nevo.co.il/law/70301/40c</vt:lpwstr>
      </vt:variant>
      <vt:variant>
        <vt:lpwstr/>
      </vt:variant>
      <vt:variant>
        <vt:i4>7995492</vt:i4>
      </vt:variant>
      <vt:variant>
        <vt:i4>33</vt:i4>
      </vt:variant>
      <vt:variant>
        <vt:i4>0</vt:i4>
      </vt:variant>
      <vt:variant>
        <vt:i4>5</vt:i4>
      </vt:variant>
      <vt:variant>
        <vt:lpwstr>http://www.nevo.co.il/law/70301</vt:lpwstr>
      </vt:variant>
      <vt:variant>
        <vt:lpwstr/>
      </vt:variant>
      <vt:variant>
        <vt:i4>6619233</vt:i4>
      </vt:variant>
      <vt:variant>
        <vt:i4>30</vt:i4>
      </vt:variant>
      <vt:variant>
        <vt:i4>0</vt:i4>
      </vt:variant>
      <vt:variant>
        <vt:i4>5</vt:i4>
      </vt:variant>
      <vt:variant>
        <vt:lpwstr>http://www.nevo.co.il/law/70301/40b</vt:lpwstr>
      </vt:variant>
      <vt:variant>
        <vt:lpwstr/>
      </vt:variant>
      <vt:variant>
        <vt:i4>7995492</vt:i4>
      </vt:variant>
      <vt:variant>
        <vt:i4>27</vt:i4>
      </vt:variant>
      <vt:variant>
        <vt:i4>0</vt:i4>
      </vt:variant>
      <vt:variant>
        <vt:i4>5</vt:i4>
      </vt:variant>
      <vt:variant>
        <vt:lpwstr>http://www.nevo.co.il/law/70301</vt:lpwstr>
      </vt:variant>
      <vt:variant>
        <vt:lpwstr/>
      </vt:variant>
      <vt:variant>
        <vt:i4>6422631</vt:i4>
      </vt:variant>
      <vt:variant>
        <vt:i4>24</vt:i4>
      </vt:variant>
      <vt:variant>
        <vt:i4>0</vt:i4>
      </vt:variant>
      <vt:variant>
        <vt:i4>5</vt:i4>
      </vt:variant>
      <vt:variant>
        <vt:lpwstr>http://www.nevo.co.il/law/70301/275</vt:lpwstr>
      </vt:variant>
      <vt:variant>
        <vt:lpwstr/>
      </vt:variant>
      <vt:variant>
        <vt:i4>7995492</vt:i4>
      </vt:variant>
      <vt:variant>
        <vt:i4>21</vt:i4>
      </vt:variant>
      <vt:variant>
        <vt:i4>0</vt:i4>
      </vt:variant>
      <vt:variant>
        <vt:i4>5</vt:i4>
      </vt:variant>
      <vt:variant>
        <vt:lpwstr>http://www.nevo.co.il/law/70301</vt:lpwstr>
      </vt:variant>
      <vt:variant>
        <vt:lpwstr/>
      </vt:variant>
      <vt:variant>
        <vt:i4>5177424</vt:i4>
      </vt:variant>
      <vt:variant>
        <vt:i4>18</vt:i4>
      </vt:variant>
      <vt:variant>
        <vt:i4>0</vt:i4>
      </vt:variant>
      <vt:variant>
        <vt:i4>5</vt:i4>
      </vt:variant>
      <vt:variant>
        <vt:lpwstr>http://www.nevo.co.il/law/70301/144.a</vt:lpwstr>
      </vt:variant>
      <vt:variant>
        <vt:lpwstr/>
      </vt:variant>
      <vt:variant>
        <vt:i4>6422631</vt:i4>
      </vt:variant>
      <vt:variant>
        <vt:i4>15</vt:i4>
      </vt:variant>
      <vt:variant>
        <vt:i4>0</vt:i4>
      </vt:variant>
      <vt:variant>
        <vt:i4>5</vt:i4>
      </vt:variant>
      <vt:variant>
        <vt:lpwstr>http://www.nevo.co.il/law/70301/275</vt:lpwstr>
      </vt:variant>
      <vt:variant>
        <vt:lpwstr/>
      </vt:variant>
      <vt:variant>
        <vt:i4>5177424</vt:i4>
      </vt:variant>
      <vt:variant>
        <vt:i4>12</vt:i4>
      </vt:variant>
      <vt:variant>
        <vt:i4>0</vt:i4>
      </vt:variant>
      <vt:variant>
        <vt:i4>5</vt:i4>
      </vt:variant>
      <vt:variant>
        <vt:lpwstr>http://www.nevo.co.il/law/70301/144.a</vt:lpwstr>
      </vt:variant>
      <vt:variant>
        <vt:lpwstr/>
      </vt:variant>
      <vt:variant>
        <vt:i4>6357092</vt:i4>
      </vt:variant>
      <vt:variant>
        <vt:i4>9</vt:i4>
      </vt:variant>
      <vt:variant>
        <vt:i4>0</vt:i4>
      </vt:variant>
      <vt:variant>
        <vt:i4>5</vt:i4>
      </vt:variant>
      <vt:variant>
        <vt:lpwstr>http://www.nevo.co.il/law/70301/144</vt:lpwstr>
      </vt:variant>
      <vt:variant>
        <vt:lpwstr/>
      </vt:variant>
      <vt:variant>
        <vt:i4>6619233</vt:i4>
      </vt:variant>
      <vt:variant>
        <vt:i4>6</vt:i4>
      </vt:variant>
      <vt:variant>
        <vt:i4>0</vt:i4>
      </vt:variant>
      <vt:variant>
        <vt:i4>5</vt:i4>
      </vt:variant>
      <vt:variant>
        <vt:lpwstr>http://www.nevo.co.il/law/70301/40c</vt:lpwstr>
      </vt:variant>
      <vt:variant>
        <vt:lpwstr/>
      </vt:variant>
      <vt:variant>
        <vt:i4>6619233</vt:i4>
      </vt:variant>
      <vt:variant>
        <vt:i4>3</vt:i4>
      </vt:variant>
      <vt:variant>
        <vt:i4>0</vt:i4>
      </vt:variant>
      <vt:variant>
        <vt:i4>5</vt:i4>
      </vt:variant>
      <vt:variant>
        <vt:lpwstr>http://www.nevo.co.il/law/70301/40b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2025-02-24T13:28:00Z</dcterms:created>
  <dcterms:modified xsi:type="dcterms:W3CDTF">2025-02-24T13:28:00Z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20644</vt:lpwstr>
  </property>
  <property fmtid="{D5CDD505-2E9C-101B-9397-08002B2CF9AE}" pid="6" name="NEWPARTB">
    <vt:lpwstr>11</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הישאם הואשלה</vt:lpwstr>
  </property>
  <property fmtid="{D5CDD505-2E9C-101B-9397-08002B2CF9AE}" pid="10" name="LAWYER">
    <vt:lpwstr>מורן גז;נטלי אוטן;אלעד אזולאי</vt:lpwstr>
  </property>
  <property fmtid="{D5CDD505-2E9C-101B-9397-08002B2CF9AE}" pid="11" name="JUDGE">
    <vt:lpwstr>אלון גביזון</vt:lpwstr>
  </property>
  <property fmtid="{D5CDD505-2E9C-101B-9397-08002B2CF9AE}" pid="12" name="CITY">
    <vt:lpwstr>ב"ש</vt:lpwstr>
  </property>
  <property fmtid="{D5CDD505-2E9C-101B-9397-08002B2CF9AE}" pid="13" name="DATE">
    <vt:lpwstr>20230710</vt:lpwstr>
  </property>
  <property fmtid="{D5CDD505-2E9C-101B-9397-08002B2CF9AE}" pid="14" name="TYPE_N_DATE">
    <vt:lpwstr>39020230710</vt:lpwstr>
  </property>
  <property fmtid="{D5CDD505-2E9C-101B-9397-08002B2CF9AE}" pid="15" name="WORDNUMPAGES">
    <vt:lpwstr>13</vt:lpwstr>
  </property>
  <property fmtid="{D5CDD505-2E9C-101B-9397-08002B2CF9AE}" pid="16" name="TYPE_ABS_DATE">
    <vt:lpwstr>390020230710</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27309272:2;18107737;25612982;28883087:2;28161892;27894608;25818657;28619472;28424228;27902516;5724364;29050874;5601503;28513828;25496225</vt:lpwstr>
  </property>
  <property fmtid="{D5CDD505-2E9C-101B-9397-08002B2CF9AE}" pid="36" name="LAWLISTTMP1">
    <vt:lpwstr>70301/144.a;275:2;040b;040c;144</vt:lpwstr>
  </property>
</Properties>
</file>