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72449D" w:rsidRPr="007A389E" w14:paraId="56ECA06C" w14:textId="77777777" w:rsidTr="0042359E">
        <w:trPr>
          <w:trHeight w:hRule="exact" w:val="418"/>
          <w:jc w:val="center"/>
        </w:trPr>
        <w:tc>
          <w:tcPr>
            <w:tcW w:w="8721" w:type="dxa"/>
            <w:gridSpan w:val="2"/>
          </w:tcPr>
          <w:p w14:paraId="0614617D" w14:textId="77777777" w:rsidR="0072449D" w:rsidRPr="007A389E" w:rsidRDefault="0072449D" w:rsidP="00124847">
            <w:pPr>
              <w:pStyle w:val="a3"/>
              <w:jc w:val="center"/>
              <w:rPr>
                <w:rFonts w:ascii="Tahoma" w:hAnsi="Tahoma" w:cs="Tahoma"/>
                <w:color w:val="000080"/>
                <w:rtl/>
              </w:rPr>
            </w:pPr>
            <w:bookmarkStart w:id="0" w:name="LastJudge"/>
            <w:r w:rsidRPr="007A389E">
              <w:rPr>
                <w:rFonts w:ascii="Tahoma" w:hAnsi="Tahoma" w:cs="Tahoma"/>
                <w:b/>
                <w:bCs/>
                <w:color w:val="000080"/>
                <w:rtl/>
              </w:rPr>
              <w:t>בית המשפט המחוזי בבאר שבע</w:t>
            </w:r>
          </w:p>
        </w:tc>
      </w:tr>
      <w:tr w:rsidR="0072449D" w:rsidRPr="007A389E" w14:paraId="10744092" w14:textId="77777777" w:rsidTr="0042359E">
        <w:trPr>
          <w:trHeight w:val="337"/>
          <w:jc w:val="center"/>
        </w:trPr>
        <w:tc>
          <w:tcPr>
            <w:tcW w:w="5058" w:type="dxa"/>
          </w:tcPr>
          <w:p w14:paraId="4ED328EC" w14:textId="77777777" w:rsidR="0072449D" w:rsidRPr="007A389E" w:rsidRDefault="0072449D" w:rsidP="00124847">
            <w:pPr>
              <w:rPr>
                <w:rFonts w:ascii="David" w:hAnsi="David"/>
                <w:b/>
                <w:bCs/>
                <w:rtl/>
              </w:rPr>
            </w:pPr>
            <w:r w:rsidRPr="007A389E">
              <w:rPr>
                <w:rFonts w:ascii="David" w:hAnsi="David"/>
                <w:b/>
                <w:bCs/>
                <w:rtl/>
              </w:rPr>
              <w:t>ת"פ 24758-11-22 מדינת ישראל נ' גוהרה(עציר)</w:t>
            </w:r>
          </w:p>
          <w:p w14:paraId="15D5CFD6" w14:textId="77777777" w:rsidR="0072449D" w:rsidRPr="007A389E" w:rsidRDefault="0072449D" w:rsidP="00124847">
            <w:pPr>
              <w:pStyle w:val="a3"/>
              <w:rPr>
                <w:rFonts w:cs="FrankRuehl"/>
                <w:sz w:val="28"/>
                <w:szCs w:val="28"/>
                <w:rtl/>
              </w:rPr>
            </w:pPr>
          </w:p>
        </w:tc>
        <w:tc>
          <w:tcPr>
            <w:tcW w:w="3663" w:type="dxa"/>
          </w:tcPr>
          <w:p w14:paraId="46930003" w14:textId="77777777" w:rsidR="0072449D" w:rsidRPr="007A389E" w:rsidRDefault="0072449D" w:rsidP="00124847">
            <w:pPr>
              <w:pStyle w:val="a3"/>
              <w:jc w:val="right"/>
              <w:rPr>
                <w:rFonts w:cs="FrankRuehl"/>
                <w:sz w:val="28"/>
                <w:szCs w:val="28"/>
                <w:rtl/>
              </w:rPr>
            </w:pPr>
          </w:p>
        </w:tc>
      </w:tr>
    </w:tbl>
    <w:p w14:paraId="56DDCD78" w14:textId="77777777" w:rsidR="0072449D" w:rsidRPr="007A389E" w:rsidRDefault="0072449D" w:rsidP="0072449D">
      <w:pPr>
        <w:pStyle w:val="a3"/>
        <w:rPr>
          <w:rtl/>
        </w:rPr>
      </w:pPr>
      <w:r w:rsidRPr="007A389E">
        <w:rPr>
          <w:rFonts w:hint="cs"/>
          <w:rtl/>
        </w:rPr>
        <w:t xml:space="preserve"> </w:t>
      </w:r>
    </w:p>
    <w:p w14:paraId="162069C9" w14:textId="77777777" w:rsidR="0072449D" w:rsidRPr="007A389E" w:rsidRDefault="0072449D" w:rsidP="0072449D">
      <w:pPr>
        <w:spacing w:line="360" w:lineRule="auto"/>
        <w:jc w:val="both"/>
        <w:rPr>
          <w:b/>
          <w:bCs/>
          <w:rtl/>
        </w:rPr>
      </w:pPr>
    </w:p>
    <w:p w14:paraId="7486FACA" w14:textId="77777777" w:rsidR="0072449D" w:rsidRPr="007A389E" w:rsidRDefault="0072449D" w:rsidP="0072449D">
      <w:pPr>
        <w:spacing w:line="360" w:lineRule="auto"/>
        <w:jc w:val="both"/>
        <w:rPr>
          <w:b/>
          <w:bCs/>
          <w:rtl/>
        </w:rPr>
      </w:pPr>
    </w:p>
    <w:tbl>
      <w:tblPr>
        <w:bidiVisual/>
        <w:tblW w:w="8535" w:type="dxa"/>
        <w:tblInd w:w="239" w:type="dxa"/>
        <w:tblLook w:val="01E0" w:firstRow="1" w:lastRow="1" w:firstColumn="1" w:lastColumn="1" w:noHBand="0" w:noVBand="0"/>
      </w:tblPr>
      <w:tblGrid>
        <w:gridCol w:w="2613"/>
        <w:gridCol w:w="5866"/>
        <w:gridCol w:w="56"/>
      </w:tblGrid>
      <w:tr w:rsidR="0072449D" w:rsidRPr="007A389E" w14:paraId="0F60D5EE" w14:textId="77777777" w:rsidTr="0072449D">
        <w:trPr>
          <w:gridAfter w:val="1"/>
          <w:wAfter w:w="56" w:type="dxa"/>
        </w:trPr>
        <w:tc>
          <w:tcPr>
            <w:tcW w:w="8479" w:type="dxa"/>
            <w:gridSpan w:val="2"/>
            <w:shd w:val="clear" w:color="auto" w:fill="auto"/>
          </w:tcPr>
          <w:p w14:paraId="79500F1D" w14:textId="77777777" w:rsidR="0072449D" w:rsidRPr="007A389E" w:rsidRDefault="0072449D" w:rsidP="00124847">
            <w:pPr>
              <w:rPr>
                <w:b/>
                <w:bCs/>
                <w:sz w:val="26"/>
                <w:szCs w:val="26"/>
                <w:rtl/>
              </w:rPr>
            </w:pPr>
            <w:r w:rsidRPr="007A389E">
              <w:rPr>
                <w:rFonts w:hint="cs"/>
                <w:b/>
                <w:bCs/>
                <w:sz w:val="26"/>
                <w:szCs w:val="26"/>
                <w:rtl/>
              </w:rPr>
              <w:t>לפני כבוד ה</w:t>
            </w:r>
            <w:r w:rsidRPr="007A389E">
              <w:rPr>
                <w:b/>
                <w:bCs/>
                <w:sz w:val="26"/>
                <w:szCs w:val="26"/>
                <w:rtl/>
              </w:rPr>
              <w:t>שופט יואב עטר</w:t>
            </w:r>
            <w:r w:rsidRPr="007A389E">
              <w:rPr>
                <w:rStyle w:val="TimesNewRomanTimesNewRoman"/>
                <w:rtl/>
              </w:rPr>
              <w:t xml:space="preserve"> </w:t>
            </w:r>
          </w:p>
        </w:tc>
      </w:tr>
      <w:tr w:rsidR="0072449D" w:rsidRPr="007A389E" w14:paraId="2401C1A0" w14:textId="77777777" w:rsidTr="0072449D">
        <w:trPr>
          <w:cantSplit/>
          <w:trHeight w:val="724"/>
        </w:trPr>
        <w:tc>
          <w:tcPr>
            <w:tcW w:w="2613" w:type="dxa"/>
            <w:shd w:val="clear" w:color="auto" w:fill="auto"/>
          </w:tcPr>
          <w:p w14:paraId="10FBD1D2" w14:textId="77777777" w:rsidR="0072449D" w:rsidRPr="007A389E" w:rsidRDefault="0072449D" w:rsidP="0072449D">
            <w:pPr>
              <w:ind w:left="26"/>
              <w:rPr>
                <w:b/>
                <w:bCs/>
                <w:sz w:val="26"/>
                <w:szCs w:val="26"/>
                <w:rtl/>
              </w:rPr>
            </w:pPr>
            <w:bookmarkStart w:id="1" w:name="FirstAppellant"/>
          </w:p>
          <w:p w14:paraId="27AD2E45" w14:textId="77777777" w:rsidR="0072449D" w:rsidRPr="007A389E" w:rsidRDefault="0072449D" w:rsidP="0072449D">
            <w:pPr>
              <w:ind w:left="26"/>
              <w:rPr>
                <w:b/>
                <w:bCs/>
                <w:sz w:val="26"/>
                <w:szCs w:val="26"/>
                <w:rtl/>
              </w:rPr>
            </w:pPr>
            <w:r w:rsidRPr="007A389E">
              <w:rPr>
                <w:rFonts w:hint="cs"/>
                <w:b/>
                <w:bCs/>
                <w:sz w:val="26"/>
                <w:szCs w:val="26"/>
                <w:rtl/>
              </w:rPr>
              <w:t>ה</w:t>
            </w:r>
            <w:r w:rsidRPr="007A389E">
              <w:rPr>
                <w:b/>
                <w:bCs/>
                <w:sz w:val="26"/>
                <w:szCs w:val="26"/>
                <w:rtl/>
              </w:rPr>
              <w:t>מאשימה</w:t>
            </w:r>
          </w:p>
        </w:tc>
        <w:tc>
          <w:tcPr>
            <w:tcW w:w="5922" w:type="dxa"/>
            <w:gridSpan w:val="2"/>
            <w:shd w:val="clear" w:color="auto" w:fill="auto"/>
          </w:tcPr>
          <w:p w14:paraId="39D4E3C2" w14:textId="77777777" w:rsidR="0072449D" w:rsidRPr="007A389E" w:rsidRDefault="0072449D" w:rsidP="00124847">
            <w:pPr>
              <w:rPr>
                <w:rFonts w:cs="Times New Roman"/>
                <w:rtl/>
              </w:rPr>
            </w:pPr>
          </w:p>
          <w:p w14:paraId="37326963" w14:textId="77777777" w:rsidR="0072449D" w:rsidRPr="007A389E" w:rsidRDefault="0072449D" w:rsidP="00124847">
            <w:pPr>
              <w:rPr>
                <w:b/>
                <w:bCs/>
                <w:sz w:val="26"/>
                <w:szCs w:val="26"/>
                <w:rtl/>
              </w:rPr>
            </w:pPr>
            <w:r w:rsidRPr="007A389E">
              <w:rPr>
                <w:rtl/>
              </w:rPr>
              <w:t xml:space="preserve"> </w:t>
            </w:r>
            <w:r w:rsidRPr="007A389E">
              <w:rPr>
                <w:b/>
                <w:bCs/>
                <w:sz w:val="26"/>
                <w:szCs w:val="26"/>
                <w:rtl/>
              </w:rPr>
              <w:t>מדינת ישראל</w:t>
            </w:r>
            <w:r w:rsidRPr="007A389E">
              <w:rPr>
                <w:rFonts w:hint="cs"/>
                <w:b/>
                <w:bCs/>
                <w:sz w:val="26"/>
                <w:szCs w:val="26"/>
                <w:rtl/>
              </w:rPr>
              <w:t xml:space="preserve">  </w:t>
            </w:r>
          </w:p>
        </w:tc>
      </w:tr>
      <w:bookmarkEnd w:id="1"/>
      <w:tr w:rsidR="0072449D" w:rsidRPr="007A389E" w14:paraId="39F11FCA" w14:textId="77777777" w:rsidTr="0072449D">
        <w:tc>
          <w:tcPr>
            <w:tcW w:w="8535" w:type="dxa"/>
            <w:gridSpan w:val="3"/>
            <w:shd w:val="clear" w:color="auto" w:fill="auto"/>
            <w:vAlign w:val="center"/>
          </w:tcPr>
          <w:p w14:paraId="726DD59D" w14:textId="77777777" w:rsidR="0072449D" w:rsidRPr="007A389E" w:rsidRDefault="0072449D" w:rsidP="0072449D">
            <w:pPr>
              <w:jc w:val="center"/>
              <w:rPr>
                <w:rFonts w:ascii="Arial" w:hAnsi="Arial"/>
                <w:b/>
                <w:bCs/>
                <w:sz w:val="26"/>
                <w:szCs w:val="26"/>
                <w:rtl/>
              </w:rPr>
            </w:pPr>
            <w:r w:rsidRPr="007A389E">
              <w:rPr>
                <w:rFonts w:ascii="Arial" w:hAnsi="Arial" w:hint="cs"/>
                <w:b/>
                <w:bCs/>
                <w:sz w:val="26"/>
                <w:szCs w:val="26"/>
                <w:rtl/>
              </w:rPr>
              <w:t>נגד</w:t>
            </w:r>
          </w:p>
          <w:p w14:paraId="7AA8D49A" w14:textId="77777777" w:rsidR="0072449D" w:rsidRPr="007A389E" w:rsidRDefault="0072449D" w:rsidP="00124847">
            <w:pPr>
              <w:rPr>
                <w:rFonts w:ascii="Arial" w:hAnsi="Arial"/>
                <w:b/>
                <w:bCs/>
                <w:sz w:val="26"/>
                <w:szCs w:val="26"/>
                <w:rtl/>
              </w:rPr>
            </w:pPr>
          </w:p>
        </w:tc>
      </w:tr>
      <w:tr w:rsidR="0072449D" w:rsidRPr="007A389E" w14:paraId="3E026F90" w14:textId="77777777" w:rsidTr="0072449D">
        <w:tc>
          <w:tcPr>
            <w:tcW w:w="2613" w:type="dxa"/>
            <w:shd w:val="clear" w:color="auto" w:fill="auto"/>
          </w:tcPr>
          <w:p w14:paraId="725D6E5C" w14:textId="77777777" w:rsidR="0072449D" w:rsidRPr="007A389E" w:rsidRDefault="0072449D" w:rsidP="0072449D">
            <w:pPr>
              <w:ind w:left="26"/>
              <w:rPr>
                <w:b/>
                <w:bCs/>
                <w:sz w:val="26"/>
                <w:szCs w:val="26"/>
              </w:rPr>
            </w:pPr>
            <w:r w:rsidRPr="007A389E">
              <w:rPr>
                <w:rFonts w:hint="cs"/>
                <w:b/>
                <w:bCs/>
                <w:sz w:val="26"/>
                <w:szCs w:val="26"/>
                <w:rtl/>
              </w:rPr>
              <w:t>ה</w:t>
            </w:r>
            <w:r w:rsidRPr="007A389E">
              <w:rPr>
                <w:b/>
                <w:bCs/>
                <w:sz w:val="26"/>
                <w:szCs w:val="26"/>
                <w:rtl/>
              </w:rPr>
              <w:t>נאשם</w:t>
            </w:r>
          </w:p>
        </w:tc>
        <w:tc>
          <w:tcPr>
            <w:tcW w:w="5922" w:type="dxa"/>
            <w:gridSpan w:val="2"/>
            <w:shd w:val="clear" w:color="auto" w:fill="auto"/>
          </w:tcPr>
          <w:p w14:paraId="055FA16F" w14:textId="77777777" w:rsidR="0072449D" w:rsidRPr="007A389E" w:rsidRDefault="0072449D" w:rsidP="00124847">
            <w:pPr>
              <w:rPr>
                <w:b/>
                <w:bCs/>
                <w:sz w:val="26"/>
                <w:szCs w:val="26"/>
                <w:rtl/>
              </w:rPr>
            </w:pPr>
            <w:r w:rsidRPr="007A389E">
              <w:rPr>
                <w:rtl/>
              </w:rPr>
              <w:t xml:space="preserve"> </w:t>
            </w:r>
            <w:r w:rsidRPr="007A389E">
              <w:rPr>
                <w:b/>
                <w:bCs/>
                <w:sz w:val="26"/>
                <w:szCs w:val="26"/>
                <w:rtl/>
              </w:rPr>
              <w:t>חסן גוהרה (עציר)</w:t>
            </w:r>
            <w:r w:rsidRPr="007A389E">
              <w:rPr>
                <w:rFonts w:cs="Times New Roman"/>
                <w:rtl/>
              </w:rPr>
              <w:t xml:space="preserve"> </w:t>
            </w:r>
            <w:r w:rsidRPr="007A389E">
              <w:rPr>
                <w:b/>
                <w:bCs/>
                <w:sz w:val="26"/>
                <w:szCs w:val="26"/>
                <w:rtl/>
              </w:rPr>
              <w:t>ת"ז</w:t>
            </w:r>
            <w:r w:rsidRPr="007A389E">
              <w:rPr>
                <w:rFonts w:hint="cs"/>
                <w:b/>
                <w:bCs/>
                <w:sz w:val="26"/>
                <w:szCs w:val="26"/>
                <w:rtl/>
              </w:rPr>
              <w:t xml:space="preserve">  </w:t>
            </w:r>
            <w:r w:rsidR="007A389E">
              <w:rPr>
                <w:b/>
                <w:bCs/>
                <w:sz w:val="26"/>
                <w:szCs w:val="26"/>
              </w:rPr>
              <w:t>xxxxxxxxxx</w:t>
            </w:r>
          </w:p>
          <w:p w14:paraId="40C0C2EA" w14:textId="77777777" w:rsidR="0072449D" w:rsidRPr="007A389E" w:rsidRDefault="0072449D" w:rsidP="00124847">
            <w:pPr>
              <w:rPr>
                <w:b/>
                <w:bCs/>
                <w:sz w:val="26"/>
                <w:szCs w:val="26"/>
                <w:rtl/>
              </w:rPr>
            </w:pPr>
          </w:p>
        </w:tc>
      </w:tr>
    </w:tbl>
    <w:p w14:paraId="7E7EB802" w14:textId="77777777" w:rsidR="0072449D" w:rsidRPr="007A389E" w:rsidRDefault="0072449D" w:rsidP="0072449D">
      <w:pPr>
        <w:spacing w:line="360" w:lineRule="auto"/>
        <w:jc w:val="both"/>
        <w:rPr>
          <w:rFonts w:ascii="David" w:hAnsi="David"/>
          <w:rtl/>
        </w:rPr>
      </w:pPr>
      <w:r w:rsidRPr="007A389E">
        <w:rPr>
          <w:rFonts w:hint="cs"/>
          <w:b/>
          <w:bCs/>
          <w:rtl/>
        </w:rPr>
        <w:t>נוכחים:</w:t>
      </w:r>
    </w:p>
    <w:p w14:paraId="5E66169E" w14:textId="77777777" w:rsidR="0072449D" w:rsidRPr="007A389E" w:rsidRDefault="0072449D" w:rsidP="0072449D">
      <w:pPr>
        <w:spacing w:line="360" w:lineRule="auto"/>
        <w:jc w:val="both"/>
        <w:rPr>
          <w:b/>
          <w:bCs/>
          <w:rtl/>
        </w:rPr>
      </w:pPr>
      <w:bookmarkStart w:id="2" w:name="FirstLawyer"/>
      <w:r w:rsidRPr="007A389E">
        <w:rPr>
          <w:rFonts w:hint="cs"/>
          <w:b/>
          <w:bCs/>
          <w:rtl/>
        </w:rPr>
        <w:t>ב"כ</w:t>
      </w:r>
      <w:bookmarkEnd w:id="2"/>
      <w:r w:rsidRPr="007A389E">
        <w:rPr>
          <w:rFonts w:hint="cs"/>
          <w:b/>
          <w:bCs/>
          <w:rtl/>
        </w:rPr>
        <w:t xml:space="preserve"> המאשימה – עו"ד היבא טבג'א </w:t>
      </w:r>
    </w:p>
    <w:p w14:paraId="0D7E88D6" w14:textId="77777777" w:rsidR="0072449D" w:rsidRPr="007A389E" w:rsidRDefault="0072449D" w:rsidP="0072449D">
      <w:pPr>
        <w:spacing w:line="360" w:lineRule="auto"/>
        <w:jc w:val="both"/>
        <w:rPr>
          <w:b/>
          <w:bCs/>
          <w:rtl/>
        </w:rPr>
      </w:pPr>
      <w:r w:rsidRPr="007A389E">
        <w:rPr>
          <w:rFonts w:hint="cs"/>
          <w:b/>
          <w:bCs/>
          <w:rtl/>
        </w:rPr>
        <w:t xml:space="preserve">הנאשם וב"כ – עו"ד אורי בן נתן </w:t>
      </w:r>
    </w:p>
    <w:p w14:paraId="4A5440A0" w14:textId="77777777" w:rsidR="0042359E" w:rsidRPr="0042359E" w:rsidRDefault="0042359E" w:rsidP="0042359E">
      <w:pPr>
        <w:spacing w:before="120" w:after="120" w:line="240" w:lineRule="exact"/>
        <w:ind w:left="283" w:hanging="283"/>
        <w:jc w:val="both"/>
        <w:rPr>
          <w:rFonts w:ascii="FrankRuehl" w:hAnsi="FrankRuehl" w:cs="FrankRuehl"/>
          <w:rtl/>
        </w:rPr>
      </w:pPr>
      <w:bookmarkStart w:id="3" w:name="LawTable"/>
      <w:bookmarkEnd w:id="3"/>
      <w:r w:rsidRPr="0042359E">
        <w:rPr>
          <w:rFonts w:ascii="FrankRuehl" w:hAnsi="FrankRuehl" w:cs="FrankRuehl"/>
          <w:rtl/>
        </w:rPr>
        <w:t xml:space="preserve">חקיקה שאוזכרה: </w:t>
      </w:r>
    </w:p>
    <w:p w14:paraId="1D400D86" w14:textId="77777777" w:rsidR="0042359E" w:rsidRPr="0042359E" w:rsidRDefault="0042359E" w:rsidP="0042359E">
      <w:pPr>
        <w:spacing w:before="120" w:after="120" w:line="240" w:lineRule="exact"/>
        <w:ind w:left="283" w:hanging="283"/>
        <w:jc w:val="both"/>
        <w:rPr>
          <w:rFonts w:ascii="FrankRuehl" w:hAnsi="FrankRuehl" w:cs="FrankRuehl"/>
          <w:color w:val="0000FF"/>
          <w:rtl/>
        </w:rPr>
      </w:pPr>
      <w:hyperlink r:id="rId7" w:history="1">
        <w:r w:rsidRPr="0042359E">
          <w:rPr>
            <w:rStyle w:val="Hyperlink"/>
            <w:rFonts w:ascii="FrankRuehl" w:hAnsi="FrankRuehl" w:cs="FrankRuehl"/>
            <w:u w:val="none"/>
            <w:rtl/>
          </w:rPr>
          <w:t>חוק העונשין, תשל"ז-1977</w:t>
        </w:r>
      </w:hyperlink>
      <w:r w:rsidRPr="0042359E">
        <w:rPr>
          <w:rFonts w:ascii="FrankRuehl" w:hAnsi="FrankRuehl" w:cs="FrankRuehl"/>
          <w:color w:val="0000FF"/>
          <w:rtl/>
        </w:rPr>
        <w:t xml:space="preserve">: סע'  </w:t>
      </w:r>
      <w:hyperlink r:id="rId8" w:history="1">
        <w:r w:rsidRPr="0042359E">
          <w:rPr>
            <w:rStyle w:val="Hyperlink"/>
            <w:rFonts w:ascii="FrankRuehl" w:hAnsi="FrankRuehl" w:cs="FrankRuehl"/>
            <w:u w:val="none"/>
          </w:rPr>
          <w:t>144</w:t>
        </w:r>
      </w:hyperlink>
      <w:r w:rsidRPr="0042359E">
        <w:rPr>
          <w:rFonts w:ascii="FrankRuehl" w:hAnsi="FrankRuehl" w:cs="FrankRuehl"/>
          <w:color w:val="0000FF"/>
          <w:rtl/>
        </w:rPr>
        <w:t xml:space="preserve">, </w:t>
      </w:r>
      <w:hyperlink r:id="rId9" w:history="1">
        <w:r w:rsidRPr="0042359E">
          <w:rPr>
            <w:rStyle w:val="Hyperlink"/>
            <w:rFonts w:ascii="FrankRuehl" w:hAnsi="FrankRuehl" w:cs="FrankRuehl"/>
            <w:u w:val="none"/>
          </w:rPr>
          <w:t>144</w:t>
        </w:r>
      </w:hyperlink>
      <w:r w:rsidRPr="0042359E">
        <w:rPr>
          <w:rFonts w:ascii="FrankRuehl" w:hAnsi="FrankRuehl" w:cs="FrankRuehl"/>
          <w:color w:val="0000FF"/>
          <w:rtl/>
        </w:rPr>
        <w:t xml:space="preserve">(ב), </w:t>
      </w:r>
      <w:hyperlink r:id="rId10" w:history="1">
        <w:r w:rsidRPr="0042359E">
          <w:rPr>
            <w:rStyle w:val="Hyperlink"/>
            <w:rFonts w:ascii="FrankRuehl" w:hAnsi="FrankRuehl" w:cs="FrankRuehl"/>
            <w:u w:val="none"/>
          </w:rPr>
          <w:t>144</w:t>
        </w:r>
      </w:hyperlink>
      <w:r w:rsidRPr="0042359E">
        <w:rPr>
          <w:rFonts w:ascii="FrankRuehl" w:hAnsi="FrankRuehl" w:cs="FrankRuehl"/>
          <w:color w:val="0000FF"/>
          <w:rtl/>
        </w:rPr>
        <w:t>(ז)</w:t>
      </w:r>
    </w:p>
    <w:p w14:paraId="3D538786" w14:textId="77777777" w:rsidR="0042359E" w:rsidRPr="0042359E" w:rsidRDefault="0042359E" w:rsidP="0042359E">
      <w:pPr>
        <w:spacing w:before="120" w:after="120" w:line="240" w:lineRule="exact"/>
        <w:ind w:left="283" w:hanging="283"/>
        <w:jc w:val="both"/>
        <w:rPr>
          <w:rFonts w:ascii="FrankRuehl" w:hAnsi="FrankRuehl" w:cs="FrankRuehl"/>
          <w:color w:val="0000FF"/>
          <w:rtl/>
        </w:rPr>
      </w:pPr>
      <w:hyperlink r:id="rId11" w:history="1">
        <w:r w:rsidRPr="0042359E">
          <w:rPr>
            <w:rStyle w:val="Hyperlink"/>
            <w:rFonts w:ascii="FrankRuehl" w:hAnsi="FrankRuehl" w:cs="FrankRuehl"/>
            <w:u w:val="none"/>
            <w:rtl/>
          </w:rPr>
          <w:t>פקודת הסמים המסוכנים [נוסח חדש], תשל"ג-1973</w:t>
        </w:r>
      </w:hyperlink>
    </w:p>
    <w:p w14:paraId="48830236" w14:textId="77777777" w:rsidR="0042359E" w:rsidRPr="0042359E" w:rsidRDefault="0042359E" w:rsidP="0042359E">
      <w:pPr>
        <w:spacing w:before="120" w:after="120" w:line="240" w:lineRule="exact"/>
        <w:ind w:left="283" w:hanging="283"/>
        <w:jc w:val="both"/>
        <w:rPr>
          <w:rFonts w:ascii="FrankRuehl" w:hAnsi="FrankRuehl" w:cs="FrankRuehl"/>
          <w:color w:val="0000FF"/>
          <w:rtl/>
        </w:rPr>
      </w:pPr>
      <w:hyperlink r:id="rId12" w:history="1">
        <w:r w:rsidRPr="0042359E">
          <w:rPr>
            <w:rStyle w:val="Hyperlink"/>
            <w:rFonts w:ascii="FrankRuehl" w:hAnsi="FrankRuehl" w:cs="FrankRuehl"/>
            <w:u w:val="none"/>
            <w:rtl/>
          </w:rPr>
          <w:t>פקודת התעבורה [נוסח חדש</w:t>
        </w:r>
        <w:r w:rsidRPr="0042359E">
          <w:rPr>
            <w:rStyle w:val="Hyperlink"/>
            <w:rFonts w:ascii="FrankRuehl" w:hAnsi="FrankRuehl" w:cs="FrankRuehl"/>
            <w:u w:val="none"/>
          </w:rPr>
          <w:t>]</w:t>
        </w:r>
      </w:hyperlink>
    </w:p>
    <w:p w14:paraId="64F8A5FC" w14:textId="77777777" w:rsidR="0072449D" w:rsidRPr="0042359E" w:rsidRDefault="0072449D" w:rsidP="0042359E">
      <w:pPr>
        <w:rPr>
          <w:rFonts w:ascii="Arial" w:hAnsi="Arial"/>
          <w:sz w:val="26"/>
          <w:szCs w:val="26"/>
          <w:rtl/>
        </w:rPr>
      </w:pPr>
      <w:bookmarkStart w:id="4" w:name="LawTable_End"/>
      <w:bookmarkEnd w:id="4"/>
    </w:p>
    <w:tbl>
      <w:tblPr>
        <w:bidiVisual/>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4"/>
      </w:tblGrid>
      <w:tr w:rsidR="0072449D" w14:paraId="71A81E15" w14:textId="77777777" w:rsidTr="0072449D">
        <w:trPr>
          <w:trHeight w:val="355"/>
          <w:jc w:val="center"/>
        </w:trPr>
        <w:tc>
          <w:tcPr>
            <w:tcW w:w="8504" w:type="dxa"/>
            <w:tcBorders>
              <w:top w:val="nil"/>
              <w:left w:val="nil"/>
              <w:bottom w:val="nil"/>
              <w:right w:val="nil"/>
            </w:tcBorders>
            <w:shd w:val="clear" w:color="auto" w:fill="auto"/>
          </w:tcPr>
          <w:p w14:paraId="3204A29E" w14:textId="77777777" w:rsidR="007A389E" w:rsidRPr="007A389E" w:rsidRDefault="007A389E" w:rsidP="007A389E">
            <w:pPr>
              <w:jc w:val="center"/>
              <w:rPr>
                <w:rFonts w:ascii="David" w:hAnsi="David"/>
                <w:b/>
                <w:bCs/>
                <w:sz w:val="32"/>
                <w:szCs w:val="32"/>
                <w:u w:val="single"/>
                <w:rtl/>
              </w:rPr>
            </w:pPr>
            <w:bookmarkStart w:id="5" w:name="PsakDin" w:colFirst="0" w:colLast="0"/>
            <w:bookmarkEnd w:id="0"/>
            <w:r w:rsidRPr="007A389E">
              <w:rPr>
                <w:rFonts w:ascii="David" w:hAnsi="David"/>
                <w:b/>
                <w:bCs/>
                <w:sz w:val="32"/>
                <w:szCs w:val="32"/>
                <w:u w:val="single"/>
                <w:rtl/>
              </w:rPr>
              <w:t>גזר דין</w:t>
            </w:r>
          </w:p>
          <w:p w14:paraId="76DF5AB7" w14:textId="77777777" w:rsidR="0072449D" w:rsidRPr="007A389E" w:rsidRDefault="0072449D" w:rsidP="007A389E">
            <w:pPr>
              <w:jc w:val="center"/>
              <w:rPr>
                <w:rFonts w:ascii="David" w:hAnsi="David"/>
                <w:bCs/>
                <w:sz w:val="32"/>
                <w:szCs w:val="32"/>
                <w:u w:val="single"/>
                <w:rtl/>
              </w:rPr>
            </w:pPr>
          </w:p>
        </w:tc>
      </w:tr>
      <w:bookmarkEnd w:id="5"/>
    </w:tbl>
    <w:p w14:paraId="5996F25B" w14:textId="77777777" w:rsidR="0072449D" w:rsidRPr="000F2247" w:rsidRDefault="0072449D" w:rsidP="0072449D">
      <w:pPr>
        <w:rPr>
          <w:rFonts w:ascii="Arial" w:hAnsi="Arial"/>
          <w:b/>
          <w:bCs/>
          <w:sz w:val="26"/>
          <w:szCs w:val="26"/>
          <w:rtl/>
        </w:rPr>
      </w:pPr>
    </w:p>
    <w:p w14:paraId="0EDC681A" w14:textId="77777777" w:rsidR="0072449D" w:rsidRDefault="0072449D" w:rsidP="0072449D">
      <w:pPr>
        <w:rPr>
          <w:rFonts w:ascii="Arial" w:hAnsi="Arial"/>
          <w:b/>
          <w:bCs/>
          <w:sz w:val="26"/>
          <w:szCs w:val="26"/>
          <w:rtl/>
        </w:rPr>
      </w:pPr>
    </w:p>
    <w:p w14:paraId="38925528" w14:textId="77777777" w:rsidR="0072449D" w:rsidRDefault="0072449D" w:rsidP="0072449D">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במסגרת הסדר טיעון, על פי הודאתו בכתב אישום מתוקן, בביצוע עבירות של </w:t>
      </w:r>
      <w:r w:rsidRPr="00CE3E6E">
        <w:rPr>
          <w:rFonts w:ascii="David" w:hAnsi="David" w:cs="David"/>
          <w:b/>
          <w:bCs/>
          <w:sz w:val="24"/>
          <w:szCs w:val="24"/>
          <w:rtl/>
        </w:rPr>
        <w:t>נשיאה והובלת נשק</w:t>
      </w:r>
      <w:r>
        <w:rPr>
          <w:rFonts w:ascii="David" w:hAnsi="David" w:cs="David"/>
          <w:sz w:val="24"/>
          <w:szCs w:val="24"/>
          <w:rtl/>
        </w:rPr>
        <w:t xml:space="preserve"> (עבירה לפי </w:t>
      </w:r>
      <w:hyperlink r:id="rId13" w:history="1">
        <w:r w:rsidR="0042359E" w:rsidRPr="0042359E">
          <w:rPr>
            <w:rStyle w:val="Hyperlink"/>
            <w:rFonts w:ascii="David" w:hAnsi="David" w:cs="David"/>
            <w:color w:val="0000FF"/>
            <w:sz w:val="24"/>
            <w:szCs w:val="24"/>
            <w:rtl/>
          </w:rPr>
          <w:t>סעיף 144(ב)</w:t>
        </w:r>
      </w:hyperlink>
      <w:r>
        <w:rPr>
          <w:rFonts w:ascii="David" w:hAnsi="David" w:cs="David"/>
          <w:sz w:val="24"/>
          <w:szCs w:val="24"/>
          <w:rtl/>
        </w:rPr>
        <w:t xml:space="preserve"> רישא+ סיפא ל</w:t>
      </w:r>
      <w:hyperlink r:id="rId14" w:history="1">
        <w:r w:rsidR="007A389E" w:rsidRPr="007A389E">
          <w:rPr>
            <w:rFonts w:ascii="David" w:hAnsi="David" w:cs="David"/>
            <w:color w:val="0000FF"/>
            <w:sz w:val="24"/>
            <w:szCs w:val="24"/>
            <w:u w:val="single"/>
            <w:rtl/>
          </w:rPr>
          <w:t>חוק העונשין</w:t>
        </w:r>
      </w:hyperlink>
      <w:r>
        <w:rPr>
          <w:rFonts w:ascii="David" w:hAnsi="David" w:cs="David"/>
          <w:sz w:val="24"/>
          <w:szCs w:val="24"/>
          <w:rtl/>
        </w:rPr>
        <w:t xml:space="preserve"> התשל"ז – 1977). </w:t>
      </w:r>
    </w:p>
    <w:p w14:paraId="60D9C3B5" w14:textId="77777777" w:rsidR="0072449D" w:rsidRDefault="0072449D" w:rsidP="0072449D">
      <w:pPr>
        <w:pStyle w:val="a9"/>
        <w:spacing w:line="360" w:lineRule="auto"/>
        <w:jc w:val="both"/>
        <w:rPr>
          <w:rFonts w:ascii="David" w:hAnsi="David" w:cs="David"/>
          <w:sz w:val="24"/>
          <w:szCs w:val="24"/>
        </w:rPr>
      </w:pPr>
      <w:bookmarkStart w:id="7" w:name="ABSTRACT_END"/>
      <w:bookmarkEnd w:id="7"/>
    </w:p>
    <w:p w14:paraId="1D35F157"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עניינן של העבירות בהן הורשע הנאשם בכך שכמפורט בכתב האישום המתוקן, הנאשם נהג ברכב בכביש 40 סמוך למחלף בית קמא כשהוא מחזיק, נושא ומוביל ברכב שני אקדחים חצי אוטומטיים ושתי מחסניות ריקות, כאשר כל אחת תואמת לאחד מהאקדחים הנ"ל. הנאשם נשא והוביל את שני האקדחים והמחסניות כשהם עטופים בניילון נצמד ובשקיות ניילון. בחיפוש שנערך ברכבו, נתפסו האקדחים, המחסניות וכן שטרות כסף מזומן בסך של 1,900 ₪ שהיו מוסתרים מתחת לשטיח ברכב. </w:t>
      </w:r>
    </w:p>
    <w:p w14:paraId="39785060" w14:textId="77777777" w:rsidR="0072449D" w:rsidRDefault="0072449D" w:rsidP="0072449D">
      <w:pPr>
        <w:spacing w:line="360" w:lineRule="auto"/>
        <w:ind w:firstLine="360"/>
        <w:rPr>
          <w:rFonts w:ascii="David" w:hAnsi="David"/>
          <w:rtl/>
        </w:rPr>
      </w:pPr>
      <w:r>
        <w:rPr>
          <w:rFonts w:ascii="David" w:hAnsi="David"/>
          <w:b/>
          <w:bCs/>
          <w:u w:val="single"/>
          <w:rtl/>
        </w:rPr>
        <w:t>הסדר הטיעון</w:t>
      </w:r>
    </w:p>
    <w:p w14:paraId="57B04E70"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lastRenderedPageBreak/>
        <w:t xml:space="preserve">בדיון מיום 29.1.24 הודיעו הצדדים כי הגיעו להסדר טיעון במסגרתו יוגש כתב אישום מתוקן הנאשם יודה ויורשע במיוחס לו בכתב אישום מתוקן. הצדדים הבהירו כי אין הסדר לעונש וכי כל צד יטען על פי מיטב הבנתו. בטופס ההודעה על הסדר שהגישו הצדדים, צוין כי מוסכם בין הצדדים כי המאסר על תנאי שיושת, בנוסף לכל עונש אחר, יחול גם על עבירות מסוג פשע על </w:t>
      </w:r>
      <w:hyperlink r:id="rId15" w:history="1">
        <w:r w:rsidR="007A389E" w:rsidRPr="007A389E">
          <w:rPr>
            <w:rFonts w:ascii="David" w:hAnsi="David" w:cs="David"/>
            <w:color w:val="0000FF"/>
            <w:sz w:val="24"/>
            <w:szCs w:val="24"/>
            <w:u w:val="single"/>
            <w:rtl/>
          </w:rPr>
          <w:t>פקודת הסמים המסוכנים</w:t>
        </w:r>
      </w:hyperlink>
      <w:r>
        <w:rPr>
          <w:rFonts w:ascii="David" w:hAnsi="David" w:cs="David"/>
          <w:sz w:val="24"/>
          <w:szCs w:val="24"/>
          <w:rtl/>
        </w:rPr>
        <w:t xml:space="preserve"> וכן צוין כי הצדדים יעתרו בהסכמה להורות על חילוט סכום הכסף המזומן שנתפס ברכב ועל חילוט רכב מסוג לנדקרוזר שפרטיו פורטו בטופס ההודעה החתום על הסדר הטיעון. </w:t>
      </w:r>
    </w:p>
    <w:p w14:paraId="21BDF72E" w14:textId="77777777" w:rsidR="0072449D" w:rsidRDefault="0072449D" w:rsidP="0072449D">
      <w:pPr>
        <w:pStyle w:val="a9"/>
        <w:spacing w:line="360" w:lineRule="auto"/>
        <w:jc w:val="both"/>
        <w:rPr>
          <w:rFonts w:ascii="David" w:hAnsi="David" w:cs="David"/>
          <w:sz w:val="24"/>
          <w:szCs w:val="24"/>
        </w:rPr>
      </w:pPr>
    </w:p>
    <w:p w14:paraId="0FC0670C"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לא נתבקשה הזמנת תסקיר ועל כן גם לא הוגש תסקיר. </w:t>
      </w:r>
    </w:p>
    <w:p w14:paraId="633DE7D6" w14:textId="77777777" w:rsidR="0072449D" w:rsidRDefault="0072449D" w:rsidP="0072449D">
      <w:pPr>
        <w:pStyle w:val="a9"/>
        <w:rPr>
          <w:rFonts w:ascii="David" w:hAnsi="David" w:cs="David"/>
          <w:sz w:val="24"/>
          <w:szCs w:val="24"/>
        </w:rPr>
      </w:pPr>
    </w:p>
    <w:p w14:paraId="58F3EA96" w14:textId="77777777" w:rsidR="0072449D" w:rsidRDefault="0072449D" w:rsidP="0072449D">
      <w:pPr>
        <w:spacing w:line="360" w:lineRule="auto"/>
        <w:ind w:firstLine="360"/>
        <w:jc w:val="both"/>
        <w:rPr>
          <w:rFonts w:ascii="David" w:hAnsi="David"/>
          <w:b/>
          <w:bCs/>
          <w:u w:val="single"/>
          <w:rtl/>
        </w:rPr>
      </w:pPr>
    </w:p>
    <w:p w14:paraId="207B6146" w14:textId="77777777" w:rsidR="0072449D" w:rsidRDefault="0072449D" w:rsidP="0072449D">
      <w:pPr>
        <w:spacing w:line="360" w:lineRule="auto"/>
        <w:ind w:firstLine="360"/>
        <w:jc w:val="both"/>
        <w:rPr>
          <w:rFonts w:ascii="David" w:hAnsi="David"/>
          <w:b/>
          <w:bCs/>
          <w:u w:val="single"/>
          <w:rtl/>
        </w:rPr>
      </w:pPr>
      <w:r>
        <w:rPr>
          <w:rFonts w:ascii="David" w:hAnsi="David"/>
          <w:b/>
          <w:bCs/>
          <w:u w:val="single"/>
          <w:rtl/>
        </w:rPr>
        <w:t>טענות הצדדים והראיות לעונש</w:t>
      </w:r>
    </w:p>
    <w:p w14:paraId="384F79AC"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מטעם ההגנה הוגש מסמך החתום ע"י רת"ח שיקום וכישורי חיים  בשב"ס, ממנו עולה כי הנאשם שימש כתומך לעצורי השגחה מדצמבר 2022 ועד לנובמבר 2023. צוין באותו מסמך כי במהלך שהותו של הנאשם בבית סוהר אלה, סיים קבוצה ראשונית בתחום כישורי החיים ועצורים, תוך שצוין כי השתתף במפגשי הקבוצה, הביע מוטיבציה להיכנס לקבוצה וכי המפגש היחיד שבו נעדר, התקיים במועד שבו  הוצא לדיון משפטי. ממסמך נוסף משב"ס עולה כי הנאשם השתלב בקבוצות פסיכוחינוכיות של קצינת החינוך בתחומי התקשורת הבין אישית, כישורי חיים, כישורים ומיומנויות, התמודדות במעצר וכיום משולב במפגשים בתחום הקשר המשפחתי והמרחב הקהילתי ובחוגים. </w:t>
      </w:r>
    </w:p>
    <w:p w14:paraId="5BFB7AA6" w14:textId="77777777" w:rsidR="0072449D" w:rsidRDefault="0072449D" w:rsidP="0072449D">
      <w:pPr>
        <w:pStyle w:val="a9"/>
        <w:spacing w:line="360" w:lineRule="auto"/>
        <w:jc w:val="both"/>
        <w:rPr>
          <w:rFonts w:ascii="David" w:hAnsi="David" w:cs="David"/>
          <w:sz w:val="24"/>
          <w:szCs w:val="24"/>
        </w:rPr>
      </w:pPr>
    </w:p>
    <w:p w14:paraId="599D10DD"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בטיעוניה בכתב עמדה המאשימה בהרחבה על הערכים המוגנים שנפגעו, מידת הפגיעה בערכים המוגנים והנסיבות הקשורות בביצוע העבירות. המאשימה הפנתה לפסיקה ביחס למדיניות הענישה הנוהגת ועתרה לקביעת מתחם עונש הנע בין 42 לבין 60 חודשי מאסר בפועל. באשר לענישה בתוך המתחם עמדה המאשימה על עברו הפלילי של הנאשם, על העדר תסקיר המצביע על אופק שיקומי ועל הצורך במתן חשיבות בשיקולי הרתעת היחיד והרתעת הרבים ועתרה לגזור את עונשו של הנאשם ברף הבינוני נמוך של המתחם. עוד עתרה המאשימה להשתת מאסר על תנאי, קנס ופסילת רישיון הנהיגה בפועל. </w:t>
      </w:r>
    </w:p>
    <w:p w14:paraId="799CD0F6" w14:textId="77777777" w:rsidR="0072449D" w:rsidRDefault="0072449D" w:rsidP="0072449D">
      <w:pPr>
        <w:pStyle w:val="a9"/>
        <w:spacing w:line="360" w:lineRule="auto"/>
        <w:jc w:val="both"/>
        <w:rPr>
          <w:rFonts w:ascii="David" w:hAnsi="David" w:cs="David"/>
          <w:sz w:val="24"/>
          <w:szCs w:val="24"/>
        </w:rPr>
      </w:pPr>
    </w:p>
    <w:p w14:paraId="1009760A"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ב"כ הנאשם הדגיש כי המדובר באקדחים ולא בנשק התקפי וכי אלו לא היו זמינים לשימוש מידי משהמחסניות היו ריקות מתחמושת ומשכלי הנשק היו ארוזים בניילון נצמד ומוסתרים בתא המטען. עוד עמד ב"כ הנאשם על כך שלא עולה מעובדות כתב האישום המתוקן כוונה קונקרטית לשימוש בכלי הנשק וכי עובדות כתב האישום המתוקן אינן מלמדות על שימוש קונקרטי. ב"כ הנאשם הגיש פסיקה המלמדת לשיטתו על מדיניות הענישה הנוהגת ועמד על האבחנות הנדרשות אל מול הפסיקה שהגישה המאשימה. ב"כ </w:t>
      </w:r>
      <w:r>
        <w:rPr>
          <w:rFonts w:ascii="David" w:hAnsi="David" w:cs="David"/>
          <w:sz w:val="24"/>
          <w:szCs w:val="24"/>
          <w:rtl/>
        </w:rPr>
        <w:lastRenderedPageBreak/>
        <w:t xml:space="preserve">הנאשם טען כי על המתחם הראוי לנוע בין 24 חודשי מאסר בפועל לבין 48 חודשי מאסר בפועל. באשר לנסיבות שאינן קשורות בביצוע העבירות, עמד ב"כ הנאשם על גילו של הנאשם, על כך שהוא אב לשני ילדים, על פרק הזמן הרב שחלף מאז ביצוע העבירות בעוד הנאשם שוהה במעצר תקופה ממושכת. ב"כ הנאשם הדגיש כי עברו הפלילי של הנאשם הינו ישן ואינו ממן העניין. עוד עמד ב"כ הנאשם על הודאת הנאשם, נטילת האחריות ועל כך שבמהלך מעצרו הממושך, הנאשם השתלב במסגרות חינוכיות וטיפוליות בשב"ס ועבר תהליך של שינוי. לאור ההליך הטיפולי שעבר הנאשם ונסיבותיו האישיות, עתר ב"כ הנאשם לגזור את דינו של הנאשם בתחתית המתחם לו הוא עותר, דהיינו להשית על הנאשם 24 חודשי מאסר בפועל. ב"כ הנאשם ביקש להימנע מהשתת קנס לאור הסכמת הנאשם לחילוט הרכב והסכום המזומן שנתפס. עוד עתר ב"כ הנאשם להימנע מהשתת פסילה בפועל לאור נחיצות רישיון הנהיגה בשל מקום מגוריו של הנאשם, ועל מנת שלא לחבל באפשרות הנאשם להשתקם לאחר שחרורו. </w:t>
      </w:r>
    </w:p>
    <w:p w14:paraId="56021D19" w14:textId="77777777" w:rsidR="0072449D" w:rsidRDefault="0072449D" w:rsidP="0072449D">
      <w:pPr>
        <w:pStyle w:val="a9"/>
        <w:spacing w:line="360" w:lineRule="auto"/>
        <w:jc w:val="both"/>
        <w:rPr>
          <w:rFonts w:ascii="David" w:hAnsi="David" w:cs="David"/>
          <w:sz w:val="24"/>
          <w:szCs w:val="24"/>
        </w:rPr>
      </w:pPr>
    </w:p>
    <w:p w14:paraId="2A231C27" w14:textId="77777777" w:rsidR="0072449D" w:rsidRDefault="0072449D" w:rsidP="0072449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הנאשם בדברו לעונש הביע צער על מעשיו, סיפר כי הוא משתתף בקבוצות טיפוליות בבית הסוהר ואמר כי הוא חפץ להתקדם  ולהשתקם ולא לחזור אל הפשע. </w:t>
      </w:r>
    </w:p>
    <w:p w14:paraId="1FFBD65E" w14:textId="77777777" w:rsidR="0072449D" w:rsidRDefault="0072449D" w:rsidP="0072449D">
      <w:pPr>
        <w:pStyle w:val="a9"/>
        <w:rPr>
          <w:rFonts w:ascii="David" w:hAnsi="David" w:cs="David"/>
          <w:sz w:val="24"/>
          <w:szCs w:val="24"/>
        </w:rPr>
      </w:pPr>
    </w:p>
    <w:p w14:paraId="1B5B9198" w14:textId="77777777" w:rsidR="0072449D" w:rsidRPr="00500678" w:rsidRDefault="0072449D" w:rsidP="0072449D">
      <w:pPr>
        <w:ind w:firstLine="360"/>
        <w:jc w:val="both"/>
        <w:rPr>
          <w:rFonts w:ascii="David" w:hAnsi="David"/>
          <w:b/>
          <w:bCs/>
          <w:u w:val="single"/>
          <w:rtl/>
        </w:rPr>
      </w:pPr>
      <w:r w:rsidRPr="00500678">
        <w:rPr>
          <w:rFonts w:ascii="David" w:hAnsi="David"/>
          <w:b/>
          <w:bCs/>
          <w:u w:val="single"/>
          <w:rtl/>
        </w:rPr>
        <w:t>דיון והכרעה</w:t>
      </w:r>
    </w:p>
    <w:p w14:paraId="22ED2599" w14:textId="77777777" w:rsidR="0072449D" w:rsidRDefault="0072449D" w:rsidP="0072449D">
      <w:pPr>
        <w:numPr>
          <w:ilvl w:val="0"/>
          <w:numId w:val="1"/>
        </w:numPr>
        <w:spacing w:before="240" w:line="360" w:lineRule="auto"/>
        <w:jc w:val="both"/>
        <w:rPr>
          <w:rFonts w:ascii="David" w:hAnsi="David"/>
          <w:rtl/>
        </w:rPr>
      </w:pPr>
      <w:r>
        <w:rPr>
          <w:rFonts w:ascii="David" w:hAnsi="David"/>
          <w:rtl/>
        </w:rPr>
        <w:t>העבירות בהן הורשע הנאשם חמורות. ב</w:t>
      </w:r>
      <w:hyperlink r:id="rId16" w:history="1">
        <w:r w:rsidR="007A389E" w:rsidRPr="007A389E">
          <w:rPr>
            <w:rFonts w:ascii="David" w:hAnsi="David"/>
            <w:color w:val="0000FF"/>
            <w:u w:val="single"/>
            <w:rtl/>
          </w:rPr>
          <w:t>ע"פ 3877/16</w:t>
        </w:r>
      </w:hyperlink>
      <w:r>
        <w:rPr>
          <w:rFonts w:ascii="David" w:hAnsi="David"/>
          <w:rtl/>
        </w:rPr>
        <w:t xml:space="preserve"> </w:t>
      </w:r>
      <w:r>
        <w:rPr>
          <w:rFonts w:ascii="David" w:hAnsi="David"/>
          <w:b/>
          <w:bCs/>
          <w:rtl/>
        </w:rPr>
        <w:t>פאדי גב'אלי נ' מדינת ישראל</w:t>
      </w:r>
      <w:r>
        <w:rPr>
          <w:rFonts w:ascii="David" w:hAnsi="David"/>
          <w:rtl/>
        </w:rPr>
        <w:t xml:space="preserve"> (17.11.16) ציין בית-המשפט העליון: "</w:t>
      </w:r>
      <w:r>
        <w:rPr>
          <w:rFonts w:ascii="David" w:hAnsi="David"/>
          <w:b/>
          <w:bCs/>
          <w:rtl/>
        </w:rPr>
        <w:t>בית משפט זה עמד פעמים רבות על החומרה היתרה הגלומה בביצוע עבירות בנשק, ובכללן העבירה של החזקת נשק או נשיאתו שלא כדין. עבירות אלו מקימות סיכון חמור לשלום הציבור וביטחונו ומחייבות 'ליתן ביטוי עונשי הולם ומרתיע באמצעות הרחקת מבצע העבירה מן החברה לתקופת מאסר ממשית לריצוי בפועל' [...] עוד נפסק כי חומרתן של העבירות בנשק אינה מסתכמת רק בנזק שאירע בפועל, כי אם בפוטנציאל הנזק הנובע מאותן עבירות</w:t>
      </w:r>
      <w:r>
        <w:rPr>
          <w:rFonts w:ascii="David" w:hAnsi="David"/>
          <w:rtl/>
        </w:rPr>
        <w:t xml:space="preserve">". </w:t>
      </w:r>
    </w:p>
    <w:p w14:paraId="7EC82CF4" w14:textId="77777777" w:rsidR="0072449D" w:rsidRDefault="0072449D" w:rsidP="0072449D">
      <w:pPr>
        <w:spacing w:before="240" w:line="360" w:lineRule="auto"/>
        <w:ind w:left="720"/>
        <w:jc w:val="both"/>
        <w:rPr>
          <w:rFonts w:ascii="David" w:hAnsi="David"/>
        </w:rPr>
      </w:pPr>
      <w:r>
        <w:rPr>
          <w:rFonts w:ascii="David" w:hAnsi="David"/>
          <w:rtl/>
        </w:rPr>
        <w:t>ב</w:t>
      </w:r>
      <w:hyperlink r:id="rId17" w:history="1">
        <w:r w:rsidR="007A389E" w:rsidRPr="007A389E">
          <w:rPr>
            <w:rFonts w:ascii="David" w:hAnsi="David"/>
            <w:color w:val="0000FF"/>
            <w:u w:val="single"/>
            <w:rtl/>
          </w:rPr>
          <w:t>ע"פ 2482/22</w:t>
        </w:r>
      </w:hyperlink>
      <w:r>
        <w:rPr>
          <w:rFonts w:ascii="David" w:hAnsi="David"/>
          <w:rtl/>
        </w:rPr>
        <w:t xml:space="preserve"> </w:t>
      </w:r>
      <w:r>
        <w:rPr>
          <w:rFonts w:ascii="David" w:hAnsi="David"/>
          <w:b/>
          <w:bCs/>
          <w:rtl/>
        </w:rPr>
        <w:t>מ"י נ' קדורה</w:t>
      </w:r>
      <w:r>
        <w:rPr>
          <w:rFonts w:ascii="David" w:hAnsi="David"/>
          <w:rtl/>
        </w:rPr>
        <w:t xml:space="preserve"> (14.4.22) ביחס לעבירה הקלה יותר, של החזקת נשק, ציין בית המשפט העליון כי: </w:t>
      </w:r>
      <w:r>
        <w:rPr>
          <w:rFonts w:ascii="David" w:hAnsi="David"/>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 – 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 ידע כל מי שמחזיק בנשק בלתי חוקי כי צפוי הוא להיענש בחומרה, בבחינת 'אם מחזיקים – למאסר נשלחים'..."</w:t>
      </w:r>
      <w:r>
        <w:rPr>
          <w:rFonts w:ascii="David" w:hAnsi="David"/>
          <w:rtl/>
        </w:rPr>
        <w:t xml:space="preserve">. </w:t>
      </w:r>
    </w:p>
    <w:p w14:paraId="60718CB1" w14:textId="77777777" w:rsidR="0072449D" w:rsidRDefault="0072449D" w:rsidP="0072449D">
      <w:pPr>
        <w:spacing w:before="240" w:line="360" w:lineRule="auto"/>
        <w:ind w:left="720"/>
        <w:jc w:val="both"/>
        <w:rPr>
          <w:rFonts w:ascii="David" w:hAnsi="David"/>
        </w:rPr>
      </w:pPr>
      <w:r>
        <w:rPr>
          <w:rFonts w:ascii="David" w:hAnsi="David"/>
          <w:rtl/>
        </w:rPr>
        <w:t>ב</w:t>
      </w:r>
      <w:hyperlink r:id="rId18" w:history="1">
        <w:r w:rsidR="007A389E" w:rsidRPr="007A389E">
          <w:rPr>
            <w:rFonts w:ascii="David" w:hAnsi="David"/>
            <w:color w:val="0000FF"/>
            <w:u w:val="single"/>
            <w:rtl/>
          </w:rPr>
          <w:t>רע"פ 5613/20</w:t>
        </w:r>
      </w:hyperlink>
      <w:r>
        <w:rPr>
          <w:rFonts w:ascii="David" w:hAnsi="David"/>
          <w:rtl/>
        </w:rPr>
        <w:t xml:space="preserve"> </w:t>
      </w:r>
      <w:r>
        <w:rPr>
          <w:rFonts w:ascii="David" w:hAnsi="David"/>
          <w:b/>
          <w:bCs/>
          <w:rtl/>
        </w:rPr>
        <w:t xml:space="preserve">אל הוזייל נ' מדינת ישראל </w:t>
      </w:r>
      <w:r>
        <w:rPr>
          <w:rFonts w:ascii="David" w:hAnsi="David"/>
          <w:rtl/>
        </w:rPr>
        <w:t xml:space="preserve">[25.8.2020] צויין: </w:t>
      </w:r>
      <w:r>
        <w:rPr>
          <w:rFonts w:ascii="David" w:hAnsi="David"/>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p>
    <w:p w14:paraId="7F2F4C78" w14:textId="77777777" w:rsidR="0072449D" w:rsidRDefault="0072449D" w:rsidP="0072449D">
      <w:pPr>
        <w:spacing w:before="240" w:line="360" w:lineRule="auto"/>
        <w:ind w:left="720"/>
        <w:jc w:val="both"/>
        <w:rPr>
          <w:rFonts w:ascii="David" w:hAnsi="David"/>
        </w:rPr>
      </w:pPr>
      <w:r>
        <w:rPr>
          <w:rFonts w:ascii="David" w:hAnsi="David"/>
          <w:rtl/>
        </w:rPr>
        <w:t>המחוקק אף הוא נתן לאחרונה דעתו לעליה הנרחבת בשימוש בכלי נשק המוחזקים שלא כחוק ולפגיעה הקשה בביטחון הציבור כפועל יוצא מכך, ובתיקון 140 ל</w:t>
      </w:r>
      <w:hyperlink r:id="rId19" w:history="1">
        <w:r w:rsidR="007A389E" w:rsidRPr="007A389E">
          <w:rPr>
            <w:rFonts w:ascii="David" w:hAnsi="David"/>
            <w:color w:val="0000FF"/>
            <w:u w:val="single"/>
            <w:rtl/>
          </w:rPr>
          <w:t>חוק העונשין</w:t>
        </w:r>
      </w:hyperlink>
      <w:r>
        <w:rPr>
          <w:rFonts w:ascii="David" w:hAnsi="David"/>
          <w:rtl/>
        </w:rPr>
        <w:t xml:space="preserve">, במסגרת הוראת שעה משנת 2021, קבע </w:t>
      </w:r>
      <w:hyperlink r:id="rId20" w:history="1">
        <w:r w:rsidR="0042359E" w:rsidRPr="0042359E">
          <w:rPr>
            <w:rStyle w:val="Hyperlink"/>
            <w:rFonts w:ascii="David" w:hAnsi="David"/>
            <w:color w:val="0000FF"/>
            <w:rtl/>
          </w:rPr>
          <w:t>בסעיף 144(ז)</w:t>
        </w:r>
      </w:hyperlink>
      <w:r>
        <w:rPr>
          <w:rFonts w:ascii="David" w:hAnsi="David"/>
          <w:rtl/>
        </w:rPr>
        <w:t xml:space="preserve"> עונשי מינימום ודומה כי יש לקחת בחשבון גם את השיקולים שעמדו בפני המחוקק כמו גם העמדה שהביע.</w:t>
      </w:r>
    </w:p>
    <w:p w14:paraId="5495A68E" w14:textId="77777777" w:rsidR="0072449D" w:rsidRDefault="0072449D" w:rsidP="0072449D">
      <w:pPr>
        <w:spacing w:before="240" w:line="360" w:lineRule="auto"/>
        <w:ind w:firstLine="360"/>
        <w:jc w:val="both"/>
        <w:rPr>
          <w:rFonts w:ascii="David" w:hAnsi="David"/>
        </w:rPr>
      </w:pPr>
      <w:r>
        <w:rPr>
          <w:rFonts w:ascii="David" w:hAnsi="David"/>
          <w:b/>
          <w:bCs/>
          <w:u w:val="single"/>
          <w:rtl/>
        </w:rPr>
        <w:t>מדיניות הענישה הנוהגת</w:t>
      </w:r>
    </w:p>
    <w:p w14:paraId="0C23854F" w14:textId="77777777" w:rsidR="0072449D" w:rsidRDefault="0072449D" w:rsidP="0072449D">
      <w:pPr>
        <w:numPr>
          <w:ilvl w:val="0"/>
          <w:numId w:val="1"/>
        </w:numPr>
        <w:spacing w:before="240" w:line="360" w:lineRule="auto"/>
        <w:jc w:val="both"/>
        <w:rPr>
          <w:rFonts w:ascii="David" w:hAnsi="David"/>
        </w:rPr>
      </w:pPr>
      <w:r>
        <w:rPr>
          <w:rFonts w:ascii="David" w:hAnsi="David"/>
          <w:rtl/>
        </w:rPr>
        <w:t>ב</w:t>
      </w:r>
      <w:hyperlink r:id="rId21" w:history="1">
        <w:r w:rsidR="007A389E" w:rsidRPr="007A389E">
          <w:rPr>
            <w:rFonts w:ascii="David" w:hAnsi="David"/>
            <w:color w:val="0000FF"/>
            <w:u w:val="single"/>
            <w:rtl/>
          </w:rPr>
          <w:t>ע"פ 2101/21</w:t>
        </w:r>
      </w:hyperlink>
      <w:r>
        <w:rPr>
          <w:rFonts w:ascii="David" w:hAnsi="David"/>
          <w:rtl/>
        </w:rPr>
        <w:t xml:space="preserve"> </w:t>
      </w:r>
      <w:r>
        <w:rPr>
          <w:rFonts w:ascii="David" w:hAnsi="David"/>
          <w:b/>
          <w:bCs/>
          <w:rtl/>
        </w:rPr>
        <w:t xml:space="preserve">טוביה נ' מ"י </w:t>
      </w:r>
      <w:r>
        <w:rPr>
          <w:rFonts w:ascii="David" w:hAnsi="David"/>
          <w:rtl/>
        </w:rPr>
        <w:t xml:space="preserve">(29.7.21) נדחה ערעור על גזר דין שכלל 30 חודשי מאסר בפועל בעניינו של מערער בעל עבר פלילי אשר נסע ברכב ביחד עם אחרים כשהוא נושא אקדח חצי אוטומטי, מחסנית תואמת ו- 4 כדורים. </w:t>
      </w:r>
    </w:p>
    <w:p w14:paraId="49BDD482" w14:textId="77777777" w:rsidR="0072449D" w:rsidRDefault="0072449D" w:rsidP="0072449D">
      <w:pPr>
        <w:spacing w:before="240" w:line="360" w:lineRule="auto"/>
        <w:ind w:left="720"/>
        <w:jc w:val="both"/>
        <w:rPr>
          <w:rFonts w:ascii="David" w:hAnsi="David"/>
        </w:rPr>
      </w:pPr>
      <w:r>
        <w:rPr>
          <w:rFonts w:ascii="David" w:hAnsi="David"/>
          <w:rtl/>
        </w:rPr>
        <w:t>ב</w:t>
      </w:r>
      <w:hyperlink r:id="rId22" w:history="1">
        <w:r w:rsidR="007A389E" w:rsidRPr="007A389E">
          <w:rPr>
            <w:rFonts w:ascii="David" w:hAnsi="David"/>
            <w:color w:val="0000FF"/>
            <w:u w:val="single"/>
            <w:rtl/>
          </w:rPr>
          <w:t>ע"פ 5522/20</w:t>
        </w:r>
      </w:hyperlink>
      <w:r>
        <w:rPr>
          <w:rFonts w:ascii="David" w:hAnsi="David"/>
          <w:rtl/>
        </w:rPr>
        <w:t xml:space="preserve"> </w:t>
      </w:r>
      <w:r>
        <w:rPr>
          <w:rFonts w:ascii="David" w:hAnsi="David"/>
          <w:b/>
          <w:bCs/>
          <w:rtl/>
        </w:rPr>
        <w:t xml:space="preserve">חלייחל נ' מ"י </w:t>
      </w:r>
      <w:r>
        <w:rPr>
          <w:rFonts w:ascii="David" w:hAnsi="David"/>
          <w:rtl/>
        </w:rPr>
        <w:t xml:space="preserve">(24.2.21) נדחה ערעור על גזר דין שכלל עונש של 36 חודשי מאסר בפועל שהושת על מערער שביחד עם שני אחרים נשא עמו כלי נשק ברכב אשר מי מבין נוסעיו ביצע ירי באוויר ובהמשך נמלט בריצה משוטרים בהם הבחין תוך שהשליך את כלי הנשק במנוסתו. בגזר הדין מושא הערעור נקבע מתחם עונש הנע בין 24 לבין 48 חודשי מאסר בפועל. בית המשפט העליון ציין כי: </w:t>
      </w:r>
      <w:r>
        <w:rPr>
          <w:rFonts w:ascii="David" w:hAnsi="David"/>
          <w:b/>
          <w:bCs/>
          <w:rtl/>
        </w:rPr>
        <w:t>"למרבה הצער, חרף האיסור שבדין הפכה תופעת השימוש בנשק חם למכת מדינה. בעקבות זאת, לשם הרתעה, ניכרת בפסיקה מגמה של החמרה הדרגתית בענישה"</w:t>
      </w:r>
      <w:r>
        <w:rPr>
          <w:rFonts w:ascii="David" w:hAnsi="David"/>
          <w:rtl/>
        </w:rPr>
        <w:t xml:space="preserve">. נקבע כי לא נפלה שגגה בקביעת המתחם תוך שצוין מפורשות כי זה רלוונטי כאשר לוקחים בחשבון שהמערער לא היה זה שלחץ על ההדק. </w:t>
      </w:r>
    </w:p>
    <w:p w14:paraId="128E4A88" w14:textId="77777777" w:rsidR="0072449D" w:rsidRDefault="0072449D" w:rsidP="0072449D">
      <w:pPr>
        <w:spacing w:before="240" w:line="360" w:lineRule="auto"/>
        <w:ind w:left="720"/>
        <w:jc w:val="both"/>
        <w:rPr>
          <w:rFonts w:ascii="David" w:hAnsi="David"/>
        </w:rPr>
      </w:pPr>
      <w:r>
        <w:rPr>
          <w:rFonts w:ascii="David" w:hAnsi="David"/>
          <w:rtl/>
        </w:rPr>
        <w:t>ב</w:t>
      </w:r>
      <w:hyperlink r:id="rId23" w:history="1">
        <w:r w:rsidR="007A389E" w:rsidRPr="007A389E">
          <w:rPr>
            <w:rFonts w:ascii="David" w:hAnsi="David"/>
            <w:color w:val="0000FF"/>
            <w:u w:val="single"/>
            <w:rtl/>
          </w:rPr>
          <w:t>ע"פ 5681/23</w:t>
        </w:r>
      </w:hyperlink>
      <w:r>
        <w:rPr>
          <w:rFonts w:ascii="David" w:hAnsi="David"/>
          <w:rtl/>
        </w:rPr>
        <w:t xml:space="preserve"> </w:t>
      </w:r>
      <w:r>
        <w:rPr>
          <w:rFonts w:ascii="David" w:hAnsi="David"/>
          <w:b/>
          <w:bCs/>
          <w:rtl/>
        </w:rPr>
        <w:t xml:space="preserve">חווא נ' מ"י </w:t>
      </w:r>
      <w:r>
        <w:rPr>
          <w:rFonts w:ascii="David" w:hAnsi="David"/>
          <w:rtl/>
        </w:rPr>
        <w:t xml:space="preserve">(20.12.23) נדחה ערעור על גזר דין שכלל עונש של 35 חודשי מאסר בפועל בעניינו של מערער שהורשע בכך שהחזיק באקדח (אקדח הזנקה מוסב) טעון במחסנית תואמת ובה שישה כדורים ואשר נעצר כשהוא מהלך מחוץ לביתו כשהאקדח הטעון מוסתר בבגדיו. באותו גזר דין נקבע מתחם עונש הנע בין 24 לבין 50 חודשי מאסר בפועל. בית המשפט העליון ציין, בדוחות את הערעור כי: </w:t>
      </w:r>
      <w:r>
        <w:rPr>
          <w:rFonts w:ascii="David" w:hAnsi="David"/>
          <w:b/>
          <w:bCs/>
          <w:rtl/>
        </w:rPr>
        <w:t>"עבירות הנשק באשר הן הפכו למכת מדינה. חומרתן היתירה והשפעתן על תחושת הבטחון של כלל אזרחי המדינה, מחייבות הטלת ענישה משמעותית גם על נאשם נעדר עבר פלילי [...] מדיניות ההחמרה ביחס לכלל עבירות הנשק, אשר ניכרת בפסיקתו של בית משפט זה באה לידי ביטוי [...] במסגרת תיקון מס' 140 לחוק [...] ואמנם ניכרת בשנים האחרונות מגמת החמרה בענישה לשם מיגור עבירות אלו..."</w:t>
      </w:r>
      <w:r>
        <w:rPr>
          <w:rFonts w:ascii="David" w:hAnsi="David"/>
          <w:rtl/>
        </w:rPr>
        <w:t xml:space="preserve">. </w:t>
      </w:r>
    </w:p>
    <w:p w14:paraId="77CE0BEF" w14:textId="77777777" w:rsidR="0072449D" w:rsidRDefault="0072449D" w:rsidP="0072449D">
      <w:pPr>
        <w:spacing w:before="240" w:line="360" w:lineRule="auto"/>
        <w:ind w:left="720"/>
        <w:jc w:val="both"/>
        <w:rPr>
          <w:rFonts w:ascii="David" w:hAnsi="David"/>
        </w:rPr>
      </w:pPr>
      <w:r>
        <w:rPr>
          <w:rFonts w:ascii="David" w:hAnsi="David"/>
          <w:rtl/>
        </w:rPr>
        <w:t>ב</w:t>
      </w:r>
      <w:hyperlink r:id="rId24" w:history="1">
        <w:r w:rsidR="007A389E" w:rsidRPr="007A389E">
          <w:rPr>
            <w:rFonts w:ascii="David" w:hAnsi="David"/>
            <w:color w:val="0000FF"/>
            <w:u w:val="single"/>
            <w:rtl/>
          </w:rPr>
          <w:t>ע"פ 309/22</w:t>
        </w:r>
      </w:hyperlink>
      <w:r>
        <w:rPr>
          <w:rFonts w:ascii="David" w:hAnsi="David"/>
          <w:rtl/>
        </w:rPr>
        <w:t xml:space="preserve"> </w:t>
      </w:r>
      <w:r>
        <w:rPr>
          <w:rFonts w:ascii="David" w:hAnsi="David"/>
          <w:b/>
          <w:bCs/>
          <w:rtl/>
        </w:rPr>
        <w:t>מ"י נ' ביאדסה</w:t>
      </w:r>
      <w:r>
        <w:rPr>
          <w:rFonts w:ascii="David" w:hAnsi="David"/>
          <w:rtl/>
        </w:rPr>
        <w:t xml:space="preserve"> (10.5.22) התקבל ערעור המדינה על קולת עונש שכלל 19 חודשי מאסר בפועל בעניינו של משיב נעדר עבר פלילי אשר הורשע בכך שבשעה שנסע עם אדם אחר ברכב החזיקו יחדיו ברובה מסוג קלצ'ניקוב, מחסנית תואמת ובה תחמושת, אקדח חצי אוטומטי טען במחסנית תואמת המכילה תחמושת ואף כדור בקנה ומחסנית נוספת שהיתה אף היא טעונה בתחמושת כאשר אותו משיב והאחר שהיה עמו לבשו שחפצים, עטו כפפות היו מצודים בכובע גרב, מסכת סקי ומכשיר קשר ונעצרו רק לאחר מרדף. בית המשפט העליון היה ער להעדר העבר הפלילי, ההודאה, הבעת החרטה והנסיבות האישיות הייחודיות בהן מצא בית משפט קמא כשיקול עיקרי להתחשבות בנאשם, ולאחר שהדגיש כי ערכאת הערעור אינה נוהגת למצות את הדין, העמיד את עונש המאסר בפועל על 30 חודשים.</w:t>
      </w:r>
    </w:p>
    <w:p w14:paraId="36ACC96F" w14:textId="77777777" w:rsidR="0072449D" w:rsidRDefault="0072449D" w:rsidP="0072449D">
      <w:pPr>
        <w:spacing w:before="240" w:line="360" w:lineRule="auto"/>
        <w:ind w:left="720"/>
        <w:jc w:val="both"/>
        <w:rPr>
          <w:rFonts w:ascii="David" w:hAnsi="David"/>
        </w:rPr>
      </w:pPr>
      <w:r>
        <w:rPr>
          <w:rFonts w:ascii="David" w:hAnsi="David"/>
          <w:rtl/>
        </w:rPr>
        <w:t>ב</w:t>
      </w:r>
      <w:hyperlink r:id="rId25" w:history="1">
        <w:r w:rsidR="007A389E" w:rsidRPr="007A389E">
          <w:rPr>
            <w:rFonts w:ascii="David" w:hAnsi="David"/>
            <w:color w:val="0000FF"/>
            <w:u w:val="single"/>
            <w:rtl/>
          </w:rPr>
          <w:t>ע"פ 5765/20</w:t>
        </w:r>
      </w:hyperlink>
      <w:r>
        <w:rPr>
          <w:rFonts w:ascii="David" w:hAnsi="David"/>
          <w:rtl/>
        </w:rPr>
        <w:t xml:space="preserve"> </w:t>
      </w:r>
      <w:r>
        <w:rPr>
          <w:rFonts w:ascii="David" w:hAnsi="David"/>
          <w:b/>
          <w:bCs/>
          <w:rtl/>
        </w:rPr>
        <w:t xml:space="preserve">אבו בכר ואח' נ' מ"י </w:t>
      </w:r>
      <w:r>
        <w:rPr>
          <w:rFonts w:ascii="David" w:hAnsi="David"/>
          <w:rtl/>
        </w:rPr>
        <w:t xml:space="preserve">(22.3.21) נדחה ערעורם של שני צעירים נעדרי עבר פלילי אשר נדונו ל- 18 חודשי מאסר כל אחד לאחר שנעצרו במהלך נסיעה ברכב כשהם נושאים ומובילים עמם שני אקדחים ובכל אחד מהם מחסנית מלאה. </w:t>
      </w:r>
    </w:p>
    <w:p w14:paraId="1DB879AC" w14:textId="77777777" w:rsidR="0072449D" w:rsidRDefault="0072449D" w:rsidP="0072449D">
      <w:pPr>
        <w:spacing w:before="240" w:line="360" w:lineRule="auto"/>
        <w:ind w:left="720"/>
        <w:jc w:val="both"/>
        <w:rPr>
          <w:rFonts w:ascii="David" w:hAnsi="David"/>
        </w:rPr>
      </w:pPr>
      <w:r>
        <w:rPr>
          <w:rFonts w:ascii="David" w:hAnsi="David"/>
          <w:rtl/>
        </w:rPr>
        <w:t>ב</w:t>
      </w:r>
      <w:hyperlink r:id="rId26" w:history="1">
        <w:r w:rsidR="007A389E" w:rsidRPr="007A389E">
          <w:rPr>
            <w:rFonts w:ascii="David" w:hAnsi="David"/>
            <w:color w:val="0000FF"/>
            <w:u w:val="single"/>
            <w:rtl/>
          </w:rPr>
          <w:t>ע"פ 3877/16</w:t>
        </w:r>
      </w:hyperlink>
      <w:r>
        <w:rPr>
          <w:rFonts w:ascii="David" w:hAnsi="David"/>
          <w:rtl/>
        </w:rPr>
        <w:t xml:space="preserve"> </w:t>
      </w:r>
      <w:r>
        <w:rPr>
          <w:rFonts w:ascii="David" w:hAnsi="David"/>
          <w:b/>
          <w:bCs/>
          <w:rtl/>
        </w:rPr>
        <w:t>ג'באלי נ' מ"י</w:t>
      </w:r>
      <w:r>
        <w:rPr>
          <w:rFonts w:ascii="David" w:hAnsi="David"/>
          <w:rtl/>
        </w:rPr>
        <w:t xml:space="preserve"> (17.11.16), נדחה ערעורו של צעיר, בעל עבר פלילי מכביד אשר הורשע בנשיאת נשק שעניינה בנשיאת אקדח טעון במחסנית שהכילה 14 כדורים ואשר נדון ל- 34 חודשי מאסר בפועל. </w:t>
      </w:r>
    </w:p>
    <w:p w14:paraId="492086DD" w14:textId="77777777" w:rsidR="0072449D" w:rsidRDefault="0072449D" w:rsidP="0072449D">
      <w:pPr>
        <w:spacing w:before="240" w:line="360" w:lineRule="auto"/>
        <w:ind w:left="720"/>
        <w:jc w:val="both"/>
        <w:rPr>
          <w:rFonts w:ascii="David" w:hAnsi="David"/>
        </w:rPr>
      </w:pPr>
      <w:r>
        <w:rPr>
          <w:rFonts w:ascii="David" w:hAnsi="David"/>
          <w:rtl/>
        </w:rPr>
        <w:t>ב</w:t>
      </w:r>
      <w:hyperlink r:id="rId27" w:history="1">
        <w:r w:rsidR="007A389E" w:rsidRPr="007A389E">
          <w:rPr>
            <w:rFonts w:ascii="David" w:hAnsi="David"/>
            <w:color w:val="0000FF"/>
            <w:u w:val="single"/>
            <w:rtl/>
          </w:rPr>
          <w:t>ע"פ 2892/13</w:t>
        </w:r>
      </w:hyperlink>
      <w:r>
        <w:rPr>
          <w:rFonts w:ascii="David" w:hAnsi="David"/>
          <w:rtl/>
        </w:rPr>
        <w:t xml:space="preserve"> </w:t>
      </w:r>
      <w:r>
        <w:rPr>
          <w:rFonts w:ascii="David" w:hAnsi="David"/>
          <w:b/>
          <w:bCs/>
          <w:rtl/>
        </w:rPr>
        <w:t xml:space="preserve">עודתאללה נ' מ"י </w:t>
      </w:r>
      <w:r>
        <w:rPr>
          <w:rFonts w:ascii="David" w:hAnsi="David"/>
          <w:rtl/>
        </w:rPr>
        <w:t xml:space="preserve">(29.9.13) נדחה ערעורו של מערער צעיר, נעדר עבר פלילי, אשר הורשע בנשיאת והובלת אקדח ובו מחסנית ריקה. </w:t>
      </w:r>
    </w:p>
    <w:p w14:paraId="7FE29BC8" w14:textId="77777777" w:rsidR="0072449D" w:rsidRDefault="0072449D" w:rsidP="0072449D">
      <w:pPr>
        <w:spacing w:before="240" w:line="360" w:lineRule="auto"/>
        <w:ind w:left="720"/>
        <w:jc w:val="both"/>
        <w:rPr>
          <w:rFonts w:ascii="David" w:hAnsi="David"/>
        </w:rPr>
      </w:pPr>
      <w:r>
        <w:rPr>
          <w:rFonts w:ascii="David" w:hAnsi="David"/>
          <w:rtl/>
        </w:rPr>
        <w:t>ב</w:t>
      </w:r>
      <w:hyperlink r:id="rId28" w:history="1">
        <w:r w:rsidR="007A389E" w:rsidRPr="007A389E">
          <w:rPr>
            <w:rFonts w:ascii="David" w:hAnsi="David"/>
            <w:color w:val="0000FF"/>
            <w:u w:val="single"/>
            <w:rtl/>
          </w:rPr>
          <w:t>ע"פ 3156/11</w:t>
        </w:r>
      </w:hyperlink>
      <w:r>
        <w:rPr>
          <w:rFonts w:ascii="David" w:hAnsi="David"/>
          <w:rtl/>
        </w:rPr>
        <w:t xml:space="preserve"> </w:t>
      </w:r>
      <w:r>
        <w:rPr>
          <w:rFonts w:ascii="David" w:hAnsi="David"/>
          <w:b/>
          <w:bCs/>
          <w:rtl/>
        </w:rPr>
        <w:t xml:space="preserve">זראיעה נ' מ"י </w:t>
      </w:r>
      <w:r>
        <w:rPr>
          <w:rFonts w:ascii="David" w:hAnsi="David"/>
          <w:rtl/>
        </w:rPr>
        <w:t xml:space="preserve">(21.2.12) נדחה ערעורו של מערער, נעדר עבר פלילי רלוונטי אשר צוין כי מנהל אורח חיים נורמטיבי ואשר נדון ל- 24 חודשי מאסר בפועל לצד עונשים נוספים בגין נשיאת והובלת אקדח ובו מחסנית טעונה וכדורים בקוטר 9 מ"מ ותחמושת נוספת באותו קוטר. </w:t>
      </w:r>
    </w:p>
    <w:p w14:paraId="337F3D25" w14:textId="77777777" w:rsidR="0072449D" w:rsidRDefault="0072449D" w:rsidP="0072449D">
      <w:pPr>
        <w:spacing w:before="240" w:line="360" w:lineRule="auto"/>
        <w:ind w:left="720"/>
        <w:jc w:val="both"/>
        <w:rPr>
          <w:rFonts w:ascii="David" w:hAnsi="David"/>
        </w:rPr>
      </w:pPr>
      <w:r>
        <w:rPr>
          <w:rFonts w:ascii="David" w:hAnsi="David"/>
          <w:rtl/>
        </w:rPr>
        <w:t>ב</w:t>
      </w:r>
      <w:hyperlink r:id="rId29" w:history="1">
        <w:r w:rsidR="007A389E" w:rsidRPr="007A389E">
          <w:rPr>
            <w:rFonts w:ascii="David" w:hAnsi="David"/>
            <w:color w:val="0000FF"/>
            <w:u w:val="single"/>
            <w:rtl/>
          </w:rPr>
          <w:t>ע"פ 4329/10</w:t>
        </w:r>
      </w:hyperlink>
      <w:r>
        <w:rPr>
          <w:rFonts w:ascii="David" w:hAnsi="David"/>
          <w:rtl/>
        </w:rPr>
        <w:t xml:space="preserve"> </w:t>
      </w:r>
      <w:r>
        <w:rPr>
          <w:rFonts w:ascii="David" w:hAnsi="David"/>
          <w:b/>
          <w:bCs/>
          <w:rtl/>
        </w:rPr>
        <w:t>פלוני נ' מ"י</w:t>
      </w:r>
      <w:r>
        <w:rPr>
          <w:rFonts w:ascii="David" w:hAnsi="David"/>
          <w:rtl/>
        </w:rPr>
        <w:t xml:space="preserve"> (25.5.10), נדחה ערעור על 20 חודשי מאסר בפועל ועונשים נלווים שהושתו על סטודנט צעיר, נעדר עבר פלילי אשר שרות המבחן המליץ להסתפק במאסר בדרך של עבודות שרות ואשר הורשע בנשיאת נשק שעניינה בכך שנשא אקדח טעון ותחמושת. </w:t>
      </w:r>
    </w:p>
    <w:p w14:paraId="33598717" w14:textId="77777777" w:rsidR="0072449D" w:rsidRDefault="0072449D" w:rsidP="0072449D">
      <w:pPr>
        <w:spacing w:before="240" w:line="360" w:lineRule="auto"/>
        <w:ind w:left="720"/>
        <w:jc w:val="both"/>
        <w:rPr>
          <w:rFonts w:ascii="David" w:hAnsi="David"/>
        </w:rPr>
      </w:pPr>
      <w:r>
        <w:rPr>
          <w:rFonts w:ascii="David" w:hAnsi="David"/>
          <w:rtl/>
        </w:rPr>
        <w:t>ב</w:t>
      </w:r>
      <w:hyperlink r:id="rId30" w:history="1">
        <w:r w:rsidR="007A389E" w:rsidRPr="007A389E">
          <w:rPr>
            <w:rFonts w:ascii="David" w:hAnsi="David"/>
            <w:color w:val="0000FF"/>
            <w:u w:val="single"/>
            <w:rtl/>
          </w:rPr>
          <w:t>ע"פ 761/07</w:t>
        </w:r>
      </w:hyperlink>
      <w:r>
        <w:rPr>
          <w:rFonts w:ascii="David" w:hAnsi="David"/>
          <w:rtl/>
        </w:rPr>
        <w:t xml:space="preserve"> </w:t>
      </w:r>
      <w:r>
        <w:rPr>
          <w:rFonts w:ascii="David" w:hAnsi="David"/>
          <w:b/>
          <w:bCs/>
          <w:rtl/>
        </w:rPr>
        <w:t>מ"י נ' אדרי</w:t>
      </w:r>
      <w:r>
        <w:rPr>
          <w:rFonts w:ascii="David" w:hAnsi="David"/>
          <w:rtl/>
        </w:rPr>
        <w:t xml:space="preserve"> (22.2.07), הועמד בערעור עונשו של אדם אשר נהג ברכבו כשהוא מחזיק באקדח, מחסנית ותחמושת על 24 חודשי מאסר בפועל לאחר שהתקבל ערעור המדינה על 12 חודשי מאסר בפועל שהושתו עליו בערכאה הדיונית. </w:t>
      </w:r>
    </w:p>
    <w:p w14:paraId="0CA03E3F" w14:textId="77777777" w:rsidR="0072449D" w:rsidRDefault="0072449D" w:rsidP="0072449D">
      <w:pPr>
        <w:spacing w:before="240" w:line="360" w:lineRule="auto"/>
        <w:ind w:left="720"/>
        <w:jc w:val="both"/>
        <w:rPr>
          <w:rFonts w:ascii="David" w:hAnsi="David"/>
        </w:rPr>
      </w:pPr>
      <w:r>
        <w:rPr>
          <w:rFonts w:ascii="David" w:hAnsi="David"/>
          <w:rtl/>
        </w:rPr>
        <w:t>ב</w:t>
      </w:r>
      <w:hyperlink r:id="rId31" w:history="1">
        <w:r w:rsidR="007A389E" w:rsidRPr="007A389E">
          <w:rPr>
            <w:rFonts w:ascii="David" w:hAnsi="David"/>
            <w:color w:val="0000FF"/>
            <w:u w:val="single"/>
            <w:rtl/>
          </w:rPr>
          <w:t>ת"פ 56739-09-20</w:t>
        </w:r>
      </w:hyperlink>
      <w:r>
        <w:rPr>
          <w:rFonts w:ascii="David" w:hAnsi="David"/>
          <w:rtl/>
        </w:rPr>
        <w:t xml:space="preserve"> </w:t>
      </w:r>
      <w:r>
        <w:rPr>
          <w:rFonts w:ascii="David" w:hAnsi="David"/>
          <w:b/>
          <w:bCs/>
          <w:rtl/>
        </w:rPr>
        <w:t>מ"י נ' גדיפי</w:t>
      </w:r>
      <w:r>
        <w:rPr>
          <w:rFonts w:ascii="David" w:hAnsi="David"/>
          <w:rtl/>
        </w:rPr>
        <w:t xml:space="preserve"> (6.5.21), נדון נאשם שנשא אקדח בקוטר 9 מ"מ, 3 מחסניות תואמות ו- 37 כדורים באותו קוטר ל- 24 חודשי מאסר בפועל. </w:t>
      </w:r>
    </w:p>
    <w:p w14:paraId="7A80B5E6" w14:textId="77777777" w:rsidR="0072449D" w:rsidRDefault="0072449D" w:rsidP="0072449D">
      <w:pPr>
        <w:numPr>
          <w:ilvl w:val="0"/>
          <w:numId w:val="1"/>
        </w:numPr>
        <w:spacing w:before="240" w:line="360" w:lineRule="auto"/>
        <w:jc w:val="both"/>
        <w:rPr>
          <w:rFonts w:ascii="David" w:hAnsi="David"/>
        </w:rPr>
      </w:pPr>
      <w:r>
        <w:rPr>
          <w:rFonts w:ascii="David" w:eastAsia="Calibri" w:hAnsi="David"/>
          <w:rtl/>
        </w:rPr>
        <w:t xml:space="preserve">כאמור, הפסיקה העדכנית כיום מלמדת  על כך שכיום נדרשת החמרה  ברמת הענישה  בעבירות אלו, ביחס לרמת הענישה שהייתה נוהגת עד לפני מספר שנים, וזאת נוכח ההתפתחויות עליהן עמדו בתי המשפט  כמפורט לעיל. </w:t>
      </w:r>
    </w:p>
    <w:p w14:paraId="36CF2F8B" w14:textId="77777777" w:rsidR="0072449D" w:rsidRDefault="0072449D" w:rsidP="0072449D">
      <w:pPr>
        <w:spacing w:before="240" w:line="360" w:lineRule="auto"/>
        <w:ind w:left="720"/>
        <w:jc w:val="both"/>
        <w:rPr>
          <w:rFonts w:ascii="David" w:hAnsi="David"/>
          <w:rtl/>
        </w:rPr>
      </w:pPr>
      <w:r>
        <w:rPr>
          <w:rFonts w:ascii="David" w:eastAsia="Calibri" w:hAnsi="David"/>
          <w:rtl/>
        </w:rPr>
        <w:t>לעניין זה ראוי לציין כי בית המשפט יושב בתוך עמו, וקשוב לנאקתם של ציבורים שלמים ביחס לריבוי הנשק הבלתי חוקי המוחזק בקרבם, והשימוש התכוף שנעשה באותו נשק בלתי חוקי לעיתים תוך פגיעה או סיכון חפים מפשע.</w:t>
      </w:r>
      <w:r>
        <w:rPr>
          <w:rFonts w:ascii="David" w:hAnsi="David"/>
          <w:rtl/>
        </w:rPr>
        <w:t xml:space="preserve"> </w:t>
      </w:r>
    </w:p>
    <w:p w14:paraId="455FAC0E" w14:textId="77777777" w:rsidR="0072449D" w:rsidRDefault="0072449D" w:rsidP="0072449D">
      <w:pPr>
        <w:spacing w:before="240" w:line="360" w:lineRule="auto"/>
        <w:ind w:left="360"/>
        <w:jc w:val="both"/>
        <w:rPr>
          <w:rFonts w:ascii="David" w:hAnsi="David"/>
          <w:b/>
          <w:bCs/>
          <w:u w:val="single"/>
        </w:rPr>
      </w:pPr>
      <w:r>
        <w:rPr>
          <w:rFonts w:ascii="David" w:hAnsi="David"/>
          <w:b/>
          <w:bCs/>
          <w:u w:val="single"/>
          <w:rtl/>
        </w:rPr>
        <w:t>ומן הכלל אל הפרט:</w:t>
      </w:r>
    </w:p>
    <w:p w14:paraId="025876A6" w14:textId="77777777" w:rsidR="0072449D" w:rsidRDefault="0072449D" w:rsidP="0072449D">
      <w:pPr>
        <w:numPr>
          <w:ilvl w:val="0"/>
          <w:numId w:val="1"/>
        </w:numPr>
        <w:spacing w:before="240" w:line="360" w:lineRule="auto"/>
        <w:jc w:val="both"/>
        <w:rPr>
          <w:rFonts w:ascii="David" w:hAnsi="David"/>
        </w:rPr>
      </w:pPr>
      <w:r>
        <w:rPr>
          <w:rFonts w:ascii="David" w:eastAsia="Calibri" w:hAnsi="David"/>
          <w:rtl/>
        </w:rPr>
        <w:t xml:space="preserve">לחומרה, יש לקחת בחשבון את העובדה שמדובר בשני כלי נשק תקינים ותקניים. </w:t>
      </w:r>
    </w:p>
    <w:p w14:paraId="16CC5E74" w14:textId="77777777" w:rsidR="0072449D" w:rsidRDefault="0072449D" w:rsidP="0072449D">
      <w:pPr>
        <w:spacing w:before="240" w:line="360" w:lineRule="auto"/>
        <w:ind w:left="720"/>
        <w:jc w:val="both"/>
        <w:rPr>
          <w:rFonts w:ascii="David" w:hAnsi="David"/>
        </w:rPr>
      </w:pPr>
      <w:r>
        <w:rPr>
          <w:rFonts w:ascii="David" w:eastAsia="Calibri" w:hAnsi="David"/>
          <w:rtl/>
        </w:rPr>
        <w:t xml:space="preserve">חומרה יתירה נלמדת מהעובדה שאין המדובר באקדח אחד, אלא בשני כלי נשק שונים. </w:t>
      </w:r>
    </w:p>
    <w:p w14:paraId="395038B2" w14:textId="77777777" w:rsidR="0072449D" w:rsidRDefault="0072449D" w:rsidP="0072449D">
      <w:pPr>
        <w:spacing w:before="240" w:line="360" w:lineRule="auto"/>
        <w:ind w:left="720"/>
        <w:jc w:val="both"/>
        <w:rPr>
          <w:rFonts w:ascii="David" w:hAnsi="David"/>
        </w:rPr>
      </w:pPr>
      <w:r>
        <w:rPr>
          <w:rFonts w:ascii="David" w:hAnsi="David"/>
          <w:rtl/>
        </w:rPr>
        <w:t xml:space="preserve">לחומרה נתתי משקל לכך שביחד עם האקדחים הנאשם גם החזיק במחסניות תואמות. </w:t>
      </w:r>
    </w:p>
    <w:p w14:paraId="559BEA1E" w14:textId="77777777" w:rsidR="0072449D" w:rsidRDefault="0072449D" w:rsidP="0072449D">
      <w:pPr>
        <w:spacing w:before="240" w:line="360" w:lineRule="auto"/>
        <w:ind w:left="720"/>
        <w:jc w:val="both"/>
        <w:rPr>
          <w:rFonts w:ascii="David" w:hAnsi="David"/>
        </w:rPr>
      </w:pPr>
      <w:r>
        <w:rPr>
          <w:rFonts w:ascii="David" w:hAnsi="David"/>
          <w:rtl/>
        </w:rPr>
        <w:t xml:space="preserve">לחומרה נתתי משקל לעובדה שהנאשם נייד את שני כלי הנשק בכביש בין עירוני, במרחק  ממקום מגוריו. </w:t>
      </w:r>
    </w:p>
    <w:p w14:paraId="5971587D" w14:textId="77777777" w:rsidR="0072449D" w:rsidRDefault="0072449D" w:rsidP="0072449D">
      <w:pPr>
        <w:numPr>
          <w:ilvl w:val="0"/>
          <w:numId w:val="1"/>
        </w:numPr>
        <w:spacing w:before="240" w:line="360" w:lineRule="auto"/>
        <w:jc w:val="both"/>
        <w:rPr>
          <w:rFonts w:ascii="David" w:hAnsi="David"/>
        </w:rPr>
      </w:pPr>
      <w:r>
        <w:rPr>
          <w:rFonts w:ascii="David" w:hAnsi="David"/>
          <w:rtl/>
        </w:rPr>
        <w:t>לקולת הנאשם נתתי משקל לכך שהמדובר באקדחים ולא בכלי נשק ארוכים או אוטומטיים.</w:t>
      </w:r>
    </w:p>
    <w:p w14:paraId="6C5C9A36" w14:textId="77777777" w:rsidR="0072449D" w:rsidRDefault="0072449D" w:rsidP="0072449D">
      <w:pPr>
        <w:spacing w:before="240" w:line="360" w:lineRule="auto"/>
        <w:ind w:left="720"/>
        <w:jc w:val="both"/>
        <w:rPr>
          <w:rFonts w:ascii="David" w:hAnsi="David"/>
        </w:rPr>
      </w:pPr>
      <w:r>
        <w:rPr>
          <w:rFonts w:ascii="David" w:hAnsi="David"/>
          <w:rtl/>
        </w:rPr>
        <w:t>לקולת הנאשם נתתי משקל לכך ששני האקדחים לא היו זמינים לשימוש בעל פוטנציאל קטלני מי</w:t>
      </w:r>
      <w:r>
        <w:rPr>
          <w:rFonts w:ascii="David" w:hAnsi="David" w:hint="cs"/>
          <w:rtl/>
        </w:rPr>
        <w:t>י</w:t>
      </w:r>
      <w:r>
        <w:rPr>
          <w:rFonts w:ascii="David" w:hAnsi="David"/>
          <w:rtl/>
        </w:rPr>
        <w:t xml:space="preserve">די, מקום בו המחסניות שבשני האקדחים היו ריקות מתחמושת, באופן המחייב השגת תחמושת טרם שניתן יהא לעשות בהם שימוש.  </w:t>
      </w:r>
    </w:p>
    <w:p w14:paraId="3794EB8D" w14:textId="77777777" w:rsidR="0072449D" w:rsidRDefault="0072449D" w:rsidP="0072449D">
      <w:pPr>
        <w:spacing w:before="240" w:line="360" w:lineRule="auto"/>
        <w:ind w:left="720"/>
        <w:jc w:val="both"/>
        <w:rPr>
          <w:rFonts w:ascii="David" w:hAnsi="David"/>
        </w:rPr>
      </w:pPr>
      <w:r>
        <w:rPr>
          <w:rFonts w:ascii="David" w:hAnsi="David"/>
          <w:rtl/>
        </w:rPr>
        <w:t>שיקול לקולא, נעוץ בעצם העובדה שלא עלה מעובדות כתב האישום המתוקן שימוש קונקרטי, לו היו מיועדים כלי הנשק.</w:t>
      </w:r>
    </w:p>
    <w:p w14:paraId="671D4348" w14:textId="77777777" w:rsidR="0072449D" w:rsidRDefault="0072449D" w:rsidP="0072449D">
      <w:pPr>
        <w:numPr>
          <w:ilvl w:val="0"/>
          <w:numId w:val="1"/>
        </w:numPr>
        <w:spacing w:before="240" w:line="360" w:lineRule="auto"/>
        <w:jc w:val="both"/>
        <w:rPr>
          <w:rFonts w:ascii="David" w:hAnsi="David"/>
        </w:rPr>
      </w:pPr>
      <w:r>
        <w:rPr>
          <w:rFonts w:ascii="David" w:hAnsi="David"/>
          <w:rtl/>
        </w:rPr>
        <w:t xml:space="preserve">מטבע הדברים, מקום בו מדובר בשני אקדחים, הרי שיש בכך אבחנה של ממש אל מול חלק ניכר מהפסיקה שהובאה לעיל. מנגד, מקום בו ברי כי המדובר במעשה עבירה אחד, דומה כי אין מקום לערוך חישוב אריתמטי של הצטברות שני מתחמים על פי הפסיקה הנוהגת ביחס לנשיאת אקדח בודד, הגם שמנגד, העובדה שמדובר בשני אקדחים מהווה שיקול מהותי בקביעת המתחם. בהינתן האמור לעיל ובשים לב לנסיבות הקשורות בביצוע העבירה, </w:t>
      </w:r>
      <w:r>
        <w:rPr>
          <w:rFonts w:ascii="David" w:hAnsi="David"/>
          <w:b/>
          <w:bCs/>
          <w:rtl/>
        </w:rPr>
        <w:t xml:space="preserve">סבורני כי על מתחם העונש ההולם לנוע בין 29 חודשי מאסר בפועל לבין 53 חודשי מאסר בפועל. </w:t>
      </w:r>
    </w:p>
    <w:p w14:paraId="68AB10CC" w14:textId="77777777" w:rsidR="0072449D" w:rsidRDefault="0072449D" w:rsidP="0072449D">
      <w:pPr>
        <w:ind w:left="720"/>
        <w:contextualSpacing/>
        <w:rPr>
          <w:rFonts w:ascii="David" w:hAnsi="David"/>
        </w:rPr>
      </w:pPr>
    </w:p>
    <w:p w14:paraId="05B054AE" w14:textId="77777777" w:rsidR="0072449D" w:rsidRDefault="0072449D" w:rsidP="0072449D">
      <w:pPr>
        <w:spacing w:before="240" w:line="360" w:lineRule="auto"/>
        <w:ind w:firstLine="360"/>
        <w:jc w:val="both"/>
        <w:rPr>
          <w:rFonts w:ascii="David" w:hAnsi="David"/>
          <w:b/>
          <w:bCs/>
          <w:u w:val="single"/>
          <w:rtl/>
        </w:rPr>
      </w:pPr>
      <w:r>
        <w:rPr>
          <w:rFonts w:ascii="David" w:hAnsi="David"/>
          <w:b/>
          <w:bCs/>
          <w:u w:val="single"/>
          <w:rtl/>
        </w:rPr>
        <w:t>הענישה בתוך גדרי המתחם:</w:t>
      </w:r>
    </w:p>
    <w:p w14:paraId="58AD4045" w14:textId="77777777" w:rsidR="0072449D" w:rsidRDefault="0072449D" w:rsidP="0072449D">
      <w:pPr>
        <w:numPr>
          <w:ilvl w:val="0"/>
          <w:numId w:val="1"/>
        </w:numPr>
        <w:spacing w:before="240" w:line="360" w:lineRule="auto"/>
        <w:jc w:val="both"/>
        <w:rPr>
          <w:rFonts w:ascii="David" w:hAnsi="David"/>
          <w:rtl/>
        </w:rPr>
      </w:pPr>
      <w:r>
        <w:rPr>
          <w:rFonts w:ascii="David" w:hAnsi="David"/>
          <w:rtl/>
        </w:rPr>
        <w:t xml:space="preserve">לנאשם עבר פלילי הכולל הרשעה אחת קודמת. בשנת 2015 נדון הנאשם ל- 34 חודשי מאסר בפועל לאחר שהורשע בביצוע עבירה של החזקת סם מסוכן שלא לצריכה עצמית. </w:t>
      </w:r>
    </w:p>
    <w:p w14:paraId="09878597" w14:textId="77777777" w:rsidR="0072449D" w:rsidRDefault="0072449D" w:rsidP="0072449D">
      <w:pPr>
        <w:numPr>
          <w:ilvl w:val="0"/>
          <w:numId w:val="1"/>
        </w:numPr>
        <w:spacing w:before="240" w:line="360" w:lineRule="auto"/>
        <w:jc w:val="both"/>
        <w:rPr>
          <w:rFonts w:ascii="David" w:hAnsi="David"/>
        </w:rPr>
      </w:pPr>
      <w:r>
        <w:rPr>
          <w:rFonts w:ascii="David" w:hAnsi="David"/>
          <w:rtl/>
        </w:rPr>
        <w:t>מקום בו בתי המשפט מצווים ליטול חלק של ממש במאבק למיגור תופעת החזקת הנשק הבלתי חוקי ומקום בו בית המשפט העליון שב בעת האחרונה והדגיש שוב ושוב את הצורך במתן משקל של ממש לשיקולי ההרתעה, הרי שבגדר שיקולי הענישה בתוך המתחם נותן אני משקל  לשיקולי הרתעת הרבים.</w:t>
      </w:r>
    </w:p>
    <w:p w14:paraId="2F1CA243" w14:textId="77777777" w:rsidR="0072449D" w:rsidRDefault="0072449D" w:rsidP="0072449D">
      <w:pPr>
        <w:ind w:left="720"/>
        <w:contextualSpacing/>
        <w:rPr>
          <w:rFonts w:ascii="David" w:hAnsi="David"/>
        </w:rPr>
      </w:pPr>
    </w:p>
    <w:p w14:paraId="7889A4DA" w14:textId="77777777" w:rsidR="0072449D" w:rsidRDefault="0072449D" w:rsidP="0072449D">
      <w:pPr>
        <w:spacing w:before="240" w:line="360" w:lineRule="auto"/>
        <w:ind w:left="720"/>
        <w:jc w:val="both"/>
        <w:rPr>
          <w:rFonts w:ascii="David" w:hAnsi="David"/>
          <w:rtl/>
        </w:rPr>
      </w:pPr>
      <w:r>
        <w:rPr>
          <w:rFonts w:ascii="David" w:hAnsi="David"/>
          <w:rtl/>
        </w:rPr>
        <w:t>אודות המשקל שיש לתת לשיקולי ההרתעה במסגרת שיקולי הענישה בתוך המתחם צויין ב</w:t>
      </w:r>
      <w:hyperlink r:id="rId32" w:history="1">
        <w:r w:rsidR="007A389E" w:rsidRPr="007A389E">
          <w:rPr>
            <w:rFonts w:ascii="David" w:hAnsi="David"/>
            <w:color w:val="0000FF"/>
            <w:u w:val="single"/>
            <w:rtl/>
          </w:rPr>
          <w:t>ת.פ.72031-02-19</w:t>
        </w:r>
      </w:hyperlink>
      <w:r>
        <w:rPr>
          <w:rFonts w:ascii="David" w:hAnsi="David"/>
          <w:rtl/>
        </w:rPr>
        <w:t xml:space="preserve"> </w:t>
      </w:r>
      <w:r>
        <w:rPr>
          <w:rFonts w:ascii="David" w:hAnsi="David"/>
          <w:b/>
          <w:bCs/>
          <w:rtl/>
        </w:rPr>
        <w:t xml:space="preserve">מדינת ישראל נ' אבו עיידה </w:t>
      </w:r>
      <w:r>
        <w:rPr>
          <w:rFonts w:ascii="David" w:hAnsi="David"/>
          <w:rtl/>
        </w:rPr>
        <w:t xml:space="preserve">[31.12.19] כי: </w:t>
      </w:r>
      <w:r>
        <w:rPr>
          <w:rFonts w:ascii="David" w:hAnsi="David"/>
          <w:b/>
          <w:bCs/>
          <w:rtl/>
        </w:rPr>
        <w:t>"...נקבע כי משקלם של השיקולים האישיים פוחת למול יתר שיקולי הענישה, בכללם גמול והרתעה. אשר להרתעה, חדשות לבקרים מובאים לפתחו של בית המשפט זה אירועים פלילים במהלכם נעשה שימוש בנשק לא חוקי לפתרון סכסוכים בדרך של אלימות. לא אחת הנשק משמש הן לתקיפה והן להגנה עצמית ומוסלק לעת מוצא. מחוז הדרום סובל אף יותר מאשר מחוזות אחרים מהתופעה של החזקת נשק שלא כדין ויש לראות זאת גם כ"מכת אזור" [...] בין עבירות הנשק לבין עבירות אלימות קשות (לרבות עבירות המתה) ישנו "קו רצוף ועקוב מדם". העובדה המצערת שמתחילת שנת 2019 ועד למועד מתן גזר הדין נרצחו (רק במגזר הערבי) מעל 90 בני-אדם, ברוב רובם של המקרים תוך שימוש בנשק חם, מדברת בעד עצמה...".</w:t>
      </w:r>
      <w:r>
        <w:rPr>
          <w:rFonts w:ascii="David" w:hAnsi="David"/>
          <w:rtl/>
        </w:rPr>
        <w:t xml:space="preserve"> דומה כי מאז שנכתבו הדברים המצב לא רק שלא השתפר אלא אף החריף. ב</w:t>
      </w:r>
      <w:hyperlink r:id="rId33" w:history="1">
        <w:r w:rsidR="007A389E" w:rsidRPr="007A389E">
          <w:rPr>
            <w:rFonts w:ascii="David" w:hAnsi="David"/>
            <w:color w:val="0000FF"/>
            <w:u w:val="single"/>
            <w:rtl/>
          </w:rPr>
          <w:t>ע"פ 2482/22</w:t>
        </w:r>
      </w:hyperlink>
      <w:r>
        <w:rPr>
          <w:rFonts w:ascii="David" w:hAnsi="David"/>
          <w:rtl/>
        </w:rPr>
        <w:t xml:space="preserve"> </w:t>
      </w:r>
      <w:r>
        <w:rPr>
          <w:rFonts w:ascii="David" w:hAnsi="David"/>
          <w:b/>
          <w:bCs/>
          <w:rtl/>
        </w:rPr>
        <w:t>מ"י נ' קדורה</w:t>
      </w:r>
      <w:r>
        <w:rPr>
          <w:rFonts w:ascii="David" w:hAnsi="David"/>
          <w:rtl/>
        </w:rPr>
        <w:t xml:space="preserve"> (14.4.22) שהובא לעיל הדגיש בית המשפט העליון את חשיבות שיקולי הרתעת היחיד: </w:t>
      </w:r>
      <w:r>
        <w:rPr>
          <w:rFonts w:ascii="David" w:hAnsi="David"/>
          <w:b/>
          <w:bCs/>
          <w:rtl/>
        </w:rPr>
        <w:t>"בשורה ארוכה של פסקי דין עמד בית משפט זה על החומרה הרבה הטמונה בעבירות נשק, עבירות שהפכו ל'מכת מדינה' ומגלמות סכנה ממשית לשלום הציבור ולביטחונו. בהתאם, ניכרת במהלך השנים מגמה של החמרה בענישה [...] תוך מתן משקל לשיקולי ההרתעה</w:t>
      </w:r>
      <w:r>
        <w:rPr>
          <w:rFonts w:ascii="David" w:hAnsi="David"/>
          <w:rtl/>
        </w:rPr>
        <w:t xml:space="preserve">".  </w:t>
      </w:r>
    </w:p>
    <w:p w14:paraId="53862818" w14:textId="77777777" w:rsidR="0072449D" w:rsidRDefault="0072449D" w:rsidP="0072449D">
      <w:pPr>
        <w:numPr>
          <w:ilvl w:val="0"/>
          <w:numId w:val="1"/>
        </w:numPr>
        <w:spacing w:before="240" w:line="360" w:lineRule="auto"/>
        <w:jc w:val="both"/>
        <w:rPr>
          <w:rFonts w:ascii="David" w:hAnsi="David"/>
          <w:rtl/>
        </w:rPr>
      </w:pPr>
      <w:r>
        <w:rPr>
          <w:rFonts w:ascii="David" w:hAnsi="David"/>
          <w:rtl/>
        </w:rPr>
        <w:t xml:space="preserve">מקום בו המדובר בנאשם אשר לא היה במאסר ממושך קודם ובהליך משפטי קודם (גם אם בעבירה שונה באופייה) בכדי להרתיעו מלשוב ולהסתבך עם החוק ולבצע עבירות גם אם שונות באופיין, הרי שנדמה כי במסגרת שיקולי הענישה בתוך המתחם, יש מקום לקחת בחשבון את הצורך בשיקולי הרתעת היחיד. </w:t>
      </w:r>
    </w:p>
    <w:p w14:paraId="5CBD05F2" w14:textId="77777777" w:rsidR="0072449D" w:rsidRDefault="0072449D" w:rsidP="0072449D">
      <w:pPr>
        <w:numPr>
          <w:ilvl w:val="0"/>
          <w:numId w:val="1"/>
        </w:numPr>
        <w:spacing w:before="240" w:line="360" w:lineRule="auto"/>
        <w:jc w:val="both"/>
        <w:rPr>
          <w:rFonts w:ascii="David" w:hAnsi="David"/>
        </w:rPr>
      </w:pPr>
      <w:r>
        <w:rPr>
          <w:rFonts w:ascii="David" w:hAnsi="David"/>
          <w:rtl/>
        </w:rPr>
        <w:t xml:space="preserve">לקולת הנאשם נתתי משקל להודאתו המגלמת נטילת אחריות (המצדיקה בפני עצמה הקלה בעונשו) לצד חסכון בזמן שיפוטי (המצדיק בפני עצמו הקלה בעונשו).  </w:t>
      </w:r>
    </w:p>
    <w:p w14:paraId="5A99FDF6" w14:textId="77777777" w:rsidR="0072449D" w:rsidRDefault="0072449D" w:rsidP="0072449D">
      <w:pPr>
        <w:spacing w:before="240" w:line="360" w:lineRule="auto"/>
        <w:ind w:left="720"/>
        <w:contextualSpacing/>
        <w:jc w:val="both"/>
        <w:rPr>
          <w:rFonts w:ascii="David" w:hAnsi="David"/>
        </w:rPr>
      </w:pPr>
    </w:p>
    <w:p w14:paraId="60B0B988" w14:textId="77777777" w:rsidR="0072449D" w:rsidRDefault="0072449D" w:rsidP="0072449D">
      <w:pPr>
        <w:spacing w:before="240" w:line="360" w:lineRule="auto"/>
        <w:ind w:left="720"/>
        <w:contextualSpacing/>
        <w:jc w:val="both"/>
        <w:rPr>
          <w:rFonts w:ascii="David" w:hAnsi="David"/>
        </w:rPr>
      </w:pPr>
      <w:r>
        <w:rPr>
          <w:rFonts w:ascii="David" w:hAnsi="David"/>
          <w:rtl/>
        </w:rPr>
        <w:t xml:space="preserve">לקולת הנאשם נתתי משקל לשאיפות הנורמטיביות שהביע בדברו לעונש. </w:t>
      </w:r>
    </w:p>
    <w:p w14:paraId="76CA7736" w14:textId="77777777" w:rsidR="0072449D" w:rsidRDefault="0072449D" w:rsidP="0072449D">
      <w:pPr>
        <w:spacing w:before="240" w:line="360" w:lineRule="auto"/>
        <w:ind w:left="720"/>
        <w:contextualSpacing/>
        <w:jc w:val="both"/>
        <w:rPr>
          <w:rFonts w:ascii="David" w:hAnsi="David"/>
          <w:rtl/>
        </w:rPr>
      </w:pPr>
    </w:p>
    <w:p w14:paraId="504C4688" w14:textId="77777777" w:rsidR="0072449D" w:rsidRDefault="0072449D" w:rsidP="0072449D">
      <w:pPr>
        <w:spacing w:before="240" w:line="360" w:lineRule="auto"/>
        <w:ind w:left="720"/>
        <w:contextualSpacing/>
        <w:jc w:val="both"/>
        <w:rPr>
          <w:rFonts w:ascii="David" w:hAnsi="David"/>
          <w:rtl/>
        </w:rPr>
      </w:pPr>
      <w:r>
        <w:rPr>
          <w:rFonts w:ascii="David" w:hAnsi="David"/>
          <w:rtl/>
        </w:rPr>
        <w:t xml:space="preserve">לקולת הנאשם נתתי משקל לכך שהגם שלנאשם הרשעה קודמת, זו אינה ממן העניין ולפרק הזמן שחלף מאז שוחרר מהמאסר מושא אותה הרשעה. לעניין זה גם נתתי משקל לכך שבאמתחתו של הנאשם הרשעה יחידה אחת.  </w:t>
      </w:r>
      <w:r>
        <w:rPr>
          <w:rFonts w:ascii="David" w:hAnsi="David" w:hint="cs"/>
          <w:rtl/>
        </w:rPr>
        <w:t xml:space="preserve">  </w:t>
      </w:r>
    </w:p>
    <w:p w14:paraId="193AA93F" w14:textId="77777777" w:rsidR="0072449D" w:rsidRDefault="0072449D" w:rsidP="0072449D">
      <w:pPr>
        <w:spacing w:before="240" w:line="360" w:lineRule="auto"/>
        <w:ind w:left="720"/>
        <w:contextualSpacing/>
        <w:jc w:val="both"/>
        <w:rPr>
          <w:rFonts w:ascii="David" w:hAnsi="David"/>
          <w:rtl/>
        </w:rPr>
      </w:pPr>
    </w:p>
    <w:p w14:paraId="7A7BA78E" w14:textId="77777777" w:rsidR="0072449D" w:rsidRDefault="0072449D" w:rsidP="0072449D">
      <w:pPr>
        <w:spacing w:before="240" w:line="360" w:lineRule="auto"/>
        <w:ind w:left="720"/>
        <w:contextualSpacing/>
        <w:jc w:val="both"/>
        <w:rPr>
          <w:rFonts w:ascii="David" w:hAnsi="David"/>
          <w:rtl/>
        </w:rPr>
      </w:pPr>
      <w:r>
        <w:rPr>
          <w:rFonts w:ascii="David" w:hAnsi="David"/>
          <w:rtl/>
        </w:rPr>
        <w:t xml:space="preserve">שיקול של ממש לקולא נעוץ בעובדה שהנאשם השתלב בהליך טיפולי בבית הסוהר ופועל לקידום שיקומו. </w:t>
      </w:r>
    </w:p>
    <w:p w14:paraId="74D7F256" w14:textId="77777777" w:rsidR="0072449D" w:rsidRDefault="0072449D" w:rsidP="0072449D">
      <w:pPr>
        <w:spacing w:before="240" w:line="360" w:lineRule="auto"/>
        <w:ind w:left="720"/>
        <w:contextualSpacing/>
        <w:jc w:val="both"/>
        <w:rPr>
          <w:rFonts w:ascii="David" w:hAnsi="David"/>
        </w:rPr>
      </w:pPr>
    </w:p>
    <w:p w14:paraId="1B78C1E8" w14:textId="77777777" w:rsidR="0072449D" w:rsidRDefault="0072449D" w:rsidP="0072449D">
      <w:pPr>
        <w:numPr>
          <w:ilvl w:val="0"/>
          <w:numId w:val="1"/>
        </w:numPr>
        <w:spacing w:before="240" w:line="360" w:lineRule="auto"/>
        <w:contextualSpacing/>
        <w:jc w:val="both"/>
        <w:rPr>
          <w:rFonts w:ascii="David" w:hAnsi="David"/>
        </w:rPr>
      </w:pPr>
      <w:r>
        <w:rPr>
          <w:rFonts w:ascii="David" w:hAnsi="David"/>
          <w:rtl/>
        </w:rPr>
        <w:t xml:space="preserve">הגם שלכאורה נוכח שיקולי ההרתעה וחשיבותם, היה מקום לגזור את דינו של הנאשם ברף גבוה יותר בתוך המתחם, לאור השילוב של הגיל הצעיר בעת ביצוע העבירות, האמור לעיל אודות העבר הפלילי, מאמצי השיקום שעורך בבית הסוהר ובשים לב לנטילת האחריות הנלמדת מהודאתו, מצאתי לתת משקל רב יותר לשיקולי הקולא בגדר שיקולי הענישה בתוך המתחם ולגזור את דינו של הנאשם ברף הנמוך של המתחם, גם אם לא בתחתיתו. </w:t>
      </w:r>
    </w:p>
    <w:p w14:paraId="02B3B415" w14:textId="77777777" w:rsidR="0072449D" w:rsidRDefault="0072449D" w:rsidP="0072449D">
      <w:pPr>
        <w:spacing w:before="240" w:line="360" w:lineRule="auto"/>
        <w:ind w:left="720"/>
        <w:contextualSpacing/>
        <w:jc w:val="both"/>
        <w:rPr>
          <w:rFonts w:ascii="David" w:hAnsi="David"/>
        </w:rPr>
      </w:pPr>
    </w:p>
    <w:p w14:paraId="43103217" w14:textId="77777777" w:rsidR="0072449D" w:rsidRDefault="0072449D" w:rsidP="0072449D">
      <w:pPr>
        <w:numPr>
          <w:ilvl w:val="0"/>
          <w:numId w:val="1"/>
        </w:numPr>
        <w:spacing w:before="240" w:line="360" w:lineRule="auto"/>
        <w:contextualSpacing/>
        <w:jc w:val="both"/>
        <w:rPr>
          <w:rFonts w:ascii="David" w:hAnsi="David"/>
        </w:rPr>
      </w:pPr>
      <w:r>
        <w:rPr>
          <w:rFonts w:ascii="David" w:hAnsi="David"/>
          <w:rtl/>
        </w:rPr>
        <w:t xml:space="preserve">באשר לעתירת המאשימה להשתת קנס, לכאורה, בדין יסודה. הגם כך, בהינתן הסכמת הנאשם במסגרת הסדר הטיעון לחילוט רכב הלנדקרוזר המפורט בסעיף 5 לחלק השני של טופס ההודעה על הסדר הטיעון שהגישו הצדדים כמו גם הסכמת הנאשם לחילוט הכסף המזומן שנתפס עמו ברכב שבו נעצר, ויכול ולפנים משורת הדין, מצאתי להימנע מהשתת קנס על הנאשם. </w:t>
      </w:r>
      <w:r>
        <w:rPr>
          <w:rFonts w:ascii="David" w:hAnsi="David" w:hint="cs"/>
          <w:rtl/>
        </w:rPr>
        <w:t xml:space="preserve">   </w:t>
      </w:r>
    </w:p>
    <w:p w14:paraId="5F5E797E" w14:textId="77777777" w:rsidR="0072449D" w:rsidRDefault="0072449D" w:rsidP="0072449D">
      <w:pPr>
        <w:pStyle w:val="a9"/>
        <w:rPr>
          <w:rFonts w:ascii="David" w:hAnsi="David" w:cs="David"/>
          <w:sz w:val="24"/>
          <w:szCs w:val="24"/>
        </w:rPr>
      </w:pPr>
    </w:p>
    <w:p w14:paraId="4667BF26" w14:textId="77777777" w:rsidR="0072449D" w:rsidRDefault="0072449D" w:rsidP="0072449D">
      <w:pPr>
        <w:numPr>
          <w:ilvl w:val="0"/>
          <w:numId w:val="1"/>
        </w:numPr>
        <w:spacing w:before="240" w:line="360" w:lineRule="auto"/>
        <w:contextualSpacing/>
        <w:jc w:val="both"/>
        <w:rPr>
          <w:rFonts w:ascii="David" w:hAnsi="David"/>
        </w:rPr>
      </w:pPr>
      <w:r>
        <w:rPr>
          <w:rFonts w:ascii="David" w:hAnsi="David"/>
          <w:rtl/>
        </w:rPr>
        <w:t xml:space="preserve">באשר לעתירת המאשימה לפסילת רישיון הנהיגה, משנוכח נסיבות ביצוע העבירות השימוש ברכב היה מהותי לביצוע העבירות, מקום בו האקדחים הוסתרו בתוך הרכב שבו נהג הנאשם ונויידו  על ידו בכביש בין עירוני, הרי שעל פני הדברים בדין עתרה המאשימה לפסילת רישיון הנהיגה, ולכאורה היה מקום לפסילה ממושכת. הגם כך, בשים לב למשך המאסר בפועל שעתיד הנאשם לרצות, ובשים לב לטענות בדבר נחיצות רישיון הנהיגה לאחר שחרורו של הנאשם, על מנת להקל על שיקומו, מצאתי להסתפק בתקופת פסילה קצרה מהראוי. </w:t>
      </w:r>
    </w:p>
    <w:p w14:paraId="151CEF9F" w14:textId="77777777" w:rsidR="0072449D" w:rsidRDefault="0072449D" w:rsidP="0072449D">
      <w:pPr>
        <w:spacing w:before="240" w:line="360" w:lineRule="auto"/>
        <w:contextualSpacing/>
        <w:jc w:val="both"/>
        <w:rPr>
          <w:rFonts w:ascii="David" w:hAnsi="David"/>
          <w:rtl/>
        </w:rPr>
      </w:pPr>
    </w:p>
    <w:p w14:paraId="12215FEF" w14:textId="77777777" w:rsidR="0072449D" w:rsidRDefault="0072449D" w:rsidP="0072449D">
      <w:pPr>
        <w:numPr>
          <w:ilvl w:val="0"/>
          <w:numId w:val="1"/>
        </w:numPr>
        <w:spacing w:before="240" w:line="360" w:lineRule="auto"/>
        <w:jc w:val="both"/>
        <w:rPr>
          <w:rFonts w:ascii="David" w:hAnsi="David"/>
          <w:rtl/>
        </w:rPr>
      </w:pPr>
      <w:r>
        <w:rPr>
          <w:rFonts w:ascii="David" w:eastAsia="Calibri" w:hAnsi="David"/>
          <w:rtl/>
        </w:rPr>
        <w:t>לאור האמור לעיל אני דן את הנאשם לעונשים הבאים:</w:t>
      </w:r>
    </w:p>
    <w:p w14:paraId="256A1E01" w14:textId="77777777" w:rsidR="0072449D" w:rsidRDefault="0072449D" w:rsidP="0072449D">
      <w:pPr>
        <w:ind w:left="720"/>
        <w:contextualSpacing/>
        <w:jc w:val="both"/>
        <w:rPr>
          <w:rFonts w:ascii="David" w:eastAsia="Calibri" w:hAnsi="David"/>
        </w:rPr>
      </w:pPr>
    </w:p>
    <w:p w14:paraId="730DDF75" w14:textId="77777777" w:rsidR="0072449D" w:rsidRDefault="0072449D" w:rsidP="0072449D">
      <w:pPr>
        <w:numPr>
          <w:ilvl w:val="0"/>
          <w:numId w:val="2"/>
        </w:numPr>
        <w:spacing w:after="160" w:line="360" w:lineRule="auto"/>
        <w:ind w:left="1074"/>
        <w:contextualSpacing/>
        <w:jc w:val="both"/>
        <w:rPr>
          <w:rFonts w:ascii="David" w:eastAsia="Calibri" w:hAnsi="David"/>
          <w:rtl/>
        </w:rPr>
      </w:pPr>
      <w:r>
        <w:rPr>
          <w:rFonts w:ascii="David" w:eastAsia="Calibri" w:hAnsi="David"/>
          <w:rtl/>
        </w:rPr>
        <w:t>31 חודשי מאסר בפועל בניכוי ימי מעצרו בגין התיק שבכותרת בהתאם לרישומי שב"ס.</w:t>
      </w:r>
    </w:p>
    <w:p w14:paraId="76427633" w14:textId="77777777" w:rsidR="0072449D" w:rsidRDefault="0072449D" w:rsidP="0072449D">
      <w:pPr>
        <w:spacing w:line="360" w:lineRule="auto"/>
        <w:ind w:left="1074"/>
        <w:contextualSpacing/>
        <w:jc w:val="both"/>
        <w:rPr>
          <w:rFonts w:ascii="David" w:eastAsia="Calibri" w:hAnsi="David"/>
        </w:rPr>
      </w:pPr>
    </w:p>
    <w:p w14:paraId="6EBD758A" w14:textId="77777777" w:rsidR="0072449D" w:rsidRDefault="0072449D" w:rsidP="0072449D">
      <w:pPr>
        <w:numPr>
          <w:ilvl w:val="0"/>
          <w:numId w:val="2"/>
        </w:numPr>
        <w:spacing w:after="160" w:line="360" w:lineRule="auto"/>
        <w:ind w:left="1074"/>
        <w:contextualSpacing/>
        <w:jc w:val="both"/>
        <w:rPr>
          <w:rFonts w:ascii="David" w:eastAsia="Calibri" w:hAnsi="David"/>
        </w:rPr>
      </w:pPr>
      <w:r>
        <w:rPr>
          <w:rFonts w:ascii="David" w:eastAsia="Calibri" w:hAnsi="David"/>
          <w:rtl/>
        </w:rPr>
        <w:t xml:space="preserve">10 חודשי מאסר וזאת על תנאי שלא יעבור משך שלוש שנים מיום שחרורו ממאסרו כל עבירה לפי </w:t>
      </w:r>
      <w:hyperlink r:id="rId34" w:history="1">
        <w:r w:rsidR="0042359E" w:rsidRPr="0042359E">
          <w:rPr>
            <w:rStyle w:val="Hyperlink"/>
            <w:rFonts w:ascii="David" w:eastAsia="Calibri" w:hAnsi="David"/>
            <w:color w:val="0000FF"/>
            <w:rtl/>
          </w:rPr>
          <w:t>סעיף 144</w:t>
        </w:r>
      </w:hyperlink>
      <w:r>
        <w:rPr>
          <w:rFonts w:ascii="David" w:eastAsia="Calibri" w:hAnsi="David"/>
          <w:rtl/>
        </w:rPr>
        <w:t xml:space="preserve"> ל</w:t>
      </w:r>
      <w:hyperlink r:id="rId35" w:history="1">
        <w:r w:rsidR="007A389E" w:rsidRPr="007A389E">
          <w:rPr>
            <w:rFonts w:ascii="David" w:eastAsia="Calibri" w:hAnsi="David"/>
            <w:color w:val="0000FF"/>
            <w:u w:val="single"/>
            <w:rtl/>
          </w:rPr>
          <w:t>חוק העונשין</w:t>
        </w:r>
      </w:hyperlink>
      <w:r>
        <w:rPr>
          <w:rFonts w:ascii="David" w:eastAsia="Calibri" w:hAnsi="David"/>
          <w:rtl/>
        </w:rPr>
        <w:t xml:space="preserve">, התשל"ז 1977 ו/או כל עבירה מסוג פשע על </w:t>
      </w:r>
      <w:hyperlink r:id="rId36" w:history="1">
        <w:r w:rsidR="007A389E" w:rsidRPr="007A389E">
          <w:rPr>
            <w:rFonts w:ascii="David" w:eastAsia="Calibri" w:hAnsi="David"/>
            <w:color w:val="0000FF"/>
            <w:u w:val="single"/>
            <w:rtl/>
          </w:rPr>
          <w:t>פקודת הסמים המסוכנים</w:t>
        </w:r>
      </w:hyperlink>
      <w:r>
        <w:rPr>
          <w:rFonts w:ascii="David" w:eastAsia="Calibri" w:hAnsi="David"/>
          <w:rtl/>
        </w:rPr>
        <w:t>.</w:t>
      </w:r>
    </w:p>
    <w:p w14:paraId="75532870" w14:textId="77777777" w:rsidR="0072449D" w:rsidRDefault="0072449D" w:rsidP="0072449D">
      <w:pPr>
        <w:spacing w:after="160" w:line="360" w:lineRule="auto"/>
        <w:ind w:left="1074"/>
        <w:contextualSpacing/>
        <w:jc w:val="both"/>
        <w:rPr>
          <w:rFonts w:ascii="David" w:eastAsia="Calibri" w:hAnsi="David"/>
        </w:rPr>
      </w:pPr>
    </w:p>
    <w:p w14:paraId="124353E4" w14:textId="77777777" w:rsidR="0072449D" w:rsidRDefault="0072449D" w:rsidP="0072449D">
      <w:pPr>
        <w:numPr>
          <w:ilvl w:val="0"/>
          <w:numId w:val="2"/>
        </w:numPr>
        <w:spacing w:after="160" w:line="360" w:lineRule="auto"/>
        <w:ind w:left="1074"/>
        <w:contextualSpacing/>
        <w:jc w:val="both"/>
        <w:rPr>
          <w:rFonts w:ascii="David" w:eastAsia="Calibri" w:hAnsi="David"/>
          <w:rtl/>
        </w:rPr>
      </w:pPr>
      <w:r>
        <w:rPr>
          <w:rFonts w:ascii="David" w:eastAsia="Calibri" w:hAnsi="David"/>
          <w:rtl/>
        </w:rPr>
        <w:t xml:space="preserve">פסילה בפועל מלקבל ומלהחזיק רישיון נהיגה למשך </w:t>
      </w:r>
      <w:r>
        <w:rPr>
          <w:rFonts w:ascii="David" w:eastAsia="Calibri" w:hAnsi="David" w:hint="cs"/>
          <w:rtl/>
        </w:rPr>
        <w:t>6</w:t>
      </w:r>
      <w:r>
        <w:rPr>
          <w:rFonts w:ascii="David" w:eastAsia="Calibri" w:hAnsi="David"/>
          <w:rtl/>
        </w:rPr>
        <w:t xml:space="preserve"> חודשים. מובהרות לנאשם הוראות </w:t>
      </w:r>
      <w:hyperlink r:id="rId37" w:history="1">
        <w:r w:rsidR="007A389E" w:rsidRPr="007A389E">
          <w:rPr>
            <w:rFonts w:ascii="David" w:eastAsia="Calibri" w:hAnsi="David"/>
            <w:color w:val="0000FF"/>
            <w:u w:val="single"/>
            <w:rtl/>
          </w:rPr>
          <w:t>פקודת התעבורה</w:t>
        </w:r>
      </w:hyperlink>
      <w:r>
        <w:rPr>
          <w:rFonts w:ascii="David" w:eastAsia="Calibri" w:hAnsi="David"/>
          <w:rtl/>
        </w:rPr>
        <w:t xml:space="preserve"> לפיהן ימי המאסר לא יימנו במניין ימי הפסילה. מובהר לנאשם כי עליו להפקיד בעצמו או באמצעות מי מטעמו את רישיון הנהיגה במזכירות בית המשפט טרם ש</w:t>
      </w:r>
      <w:r>
        <w:rPr>
          <w:rFonts w:ascii="David" w:eastAsia="Calibri" w:hAnsi="David" w:hint="cs"/>
          <w:rtl/>
        </w:rPr>
        <w:t>י</w:t>
      </w:r>
      <w:r>
        <w:rPr>
          <w:rFonts w:ascii="David" w:eastAsia="Calibri" w:hAnsi="David"/>
          <w:rtl/>
        </w:rPr>
        <w:t xml:space="preserve">חררו ממאסרו או מיד לאחר שחרורו וכי החל ממועד שחרורו ייחשב כפסול ואולם הפסילה תחל להימנות רק לאחר הפקדת רישיון הנהיגה. </w:t>
      </w:r>
    </w:p>
    <w:p w14:paraId="3BF60767" w14:textId="77777777" w:rsidR="0072449D" w:rsidRDefault="0072449D" w:rsidP="0072449D">
      <w:pPr>
        <w:pStyle w:val="a9"/>
        <w:rPr>
          <w:rFonts w:ascii="David" w:hAnsi="David" w:cs="David"/>
          <w:sz w:val="24"/>
          <w:szCs w:val="24"/>
        </w:rPr>
      </w:pPr>
    </w:p>
    <w:p w14:paraId="6886CF62" w14:textId="77777777" w:rsidR="0072449D" w:rsidRDefault="0072449D" w:rsidP="0072449D">
      <w:pPr>
        <w:numPr>
          <w:ilvl w:val="0"/>
          <w:numId w:val="2"/>
        </w:numPr>
        <w:spacing w:after="160" w:line="360" w:lineRule="auto"/>
        <w:ind w:left="1074"/>
        <w:contextualSpacing/>
        <w:jc w:val="both"/>
        <w:rPr>
          <w:rFonts w:ascii="David" w:eastAsia="Calibri" w:hAnsi="David"/>
          <w:rtl/>
        </w:rPr>
      </w:pPr>
      <w:r>
        <w:rPr>
          <w:rFonts w:ascii="David" w:eastAsia="Calibri" w:hAnsi="David"/>
          <w:rtl/>
        </w:rPr>
        <w:t>בהסכמת הצדדים, אני מורה על חילוט כלי רכב מסוג טויוטה לנדקרוזר מ.ר. 95-845-75</w:t>
      </w:r>
      <w:r>
        <w:rPr>
          <w:rFonts w:ascii="David" w:eastAsia="Calibri" w:hAnsi="David" w:hint="cs"/>
          <w:rtl/>
        </w:rPr>
        <w:t xml:space="preserve"> </w:t>
      </w:r>
      <w:r>
        <w:rPr>
          <w:rFonts w:ascii="David" w:eastAsia="Calibri" w:hAnsi="David"/>
          <w:rtl/>
        </w:rPr>
        <w:t xml:space="preserve"> ועל חילוט סך של 1,900 ₪ במזומן שנתפס מהנאשם במעמד מעצרו. </w:t>
      </w:r>
    </w:p>
    <w:p w14:paraId="16CEE20F" w14:textId="77777777" w:rsidR="0072449D" w:rsidRDefault="0072449D" w:rsidP="0072449D">
      <w:pPr>
        <w:ind w:left="1074"/>
        <w:contextualSpacing/>
        <w:jc w:val="both"/>
        <w:rPr>
          <w:rFonts w:ascii="David" w:eastAsia="Calibri" w:hAnsi="David"/>
        </w:rPr>
      </w:pPr>
    </w:p>
    <w:p w14:paraId="19C30BCE" w14:textId="77777777" w:rsidR="0072449D" w:rsidRDefault="0072449D" w:rsidP="0072449D">
      <w:pPr>
        <w:ind w:left="1074"/>
        <w:contextualSpacing/>
        <w:jc w:val="both"/>
        <w:rPr>
          <w:rFonts w:ascii="David" w:eastAsia="Calibri" w:hAnsi="David"/>
          <w:b/>
          <w:bCs/>
          <w:rtl/>
        </w:rPr>
      </w:pPr>
      <w:r>
        <w:rPr>
          <w:rFonts w:ascii="David" w:eastAsia="Calibri" w:hAnsi="David"/>
          <w:b/>
          <w:bCs/>
          <w:rtl/>
        </w:rPr>
        <w:t>זכות ערעור תוך 45 ימים לבית המשפט העליון.</w:t>
      </w:r>
    </w:p>
    <w:p w14:paraId="6AA893B5" w14:textId="77777777" w:rsidR="0072449D" w:rsidRDefault="0072449D" w:rsidP="0072449D">
      <w:pPr>
        <w:ind w:left="1074"/>
        <w:contextualSpacing/>
        <w:jc w:val="both"/>
        <w:rPr>
          <w:rFonts w:ascii="David" w:eastAsia="Calibri" w:hAnsi="David"/>
          <w:b/>
          <w:bCs/>
          <w:rtl/>
        </w:rPr>
      </w:pPr>
    </w:p>
    <w:p w14:paraId="60377798" w14:textId="77777777" w:rsidR="0072449D" w:rsidRDefault="0072449D" w:rsidP="0072449D">
      <w:pPr>
        <w:spacing w:line="360" w:lineRule="auto"/>
        <w:rPr>
          <w:b/>
          <w:bCs/>
          <w:rtl/>
        </w:rPr>
      </w:pPr>
    </w:p>
    <w:p w14:paraId="4AF3F130" w14:textId="77777777" w:rsidR="0072449D" w:rsidRDefault="007A389E" w:rsidP="0072449D">
      <w:pPr>
        <w:rPr>
          <w:rtl/>
        </w:rPr>
      </w:pPr>
      <w:bookmarkStart w:id="8" w:name="Nitan"/>
      <w:r w:rsidRPr="007A389E">
        <w:rPr>
          <w:b/>
          <w:bCs/>
          <w:color w:val="FFFFFF"/>
          <w:sz w:val="2"/>
          <w:szCs w:val="2"/>
          <w:rtl/>
        </w:rPr>
        <w:t>5129371</w:t>
      </w:r>
      <w:r>
        <w:rPr>
          <w:b/>
          <w:bCs/>
          <w:rtl/>
        </w:rPr>
        <w:t xml:space="preserve">ניתן והודע היום א' אייר תשפ"ד, 09/05/2024 במעמד הנוכחים. </w:t>
      </w:r>
      <w:bookmarkEnd w:id="8"/>
    </w:p>
    <w:tbl>
      <w:tblPr>
        <w:bidiVisual/>
        <w:tblW w:w="3936" w:type="dxa"/>
        <w:tblInd w:w="4581" w:type="dxa"/>
        <w:tblBorders>
          <w:insideH w:val="single" w:sz="4" w:space="0" w:color="auto"/>
          <w:insideV w:val="single" w:sz="4" w:space="0" w:color="auto"/>
        </w:tblBorders>
        <w:tblLook w:val="01E0" w:firstRow="1" w:lastRow="1" w:firstColumn="1" w:lastColumn="1" w:noHBand="0" w:noVBand="0"/>
      </w:tblPr>
      <w:tblGrid>
        <w:gridCol w:w="3936"/>
      </w:tblGrid>
      <w:tr w:rsidR="0072449D" w14:paraId="07499914" w14:textId="77777777" w:rsidTr="0072449D">
        <w:trPr>
          <w:trHeight w:val="316"/>
        </w:trPr>
        <w:tc>
          <w:tcPr>
            <w:tcW w:w="3936" w:type="dxa"/>
            <w:tcBorders>
              <w:top w:val="nil"/>
              <w:left w:val="nil"/>
              <w:bottom w:val="single" w:sz="4" w:space="0" w:color="auto"/>
              <w:right w:val="nil"/>
            </w:tcBorders>
            <w:shd w:val="clear" w:color="auto" w:fill="auto"/>
            <w:vAlign w:val="center"/>
          </w:tcPr>
          <w:p w14:paraId="0B7898A8" w14:textId="77777777" w:rsidR="0072449D" w:rsidRPr="007A389E" w:rsidRDefault="007A389E" w:rsidP="0072449D">
            <w:pPr>
              <w:jc w:val="center"/>
              <w:rPr>
                <w:color w:val="FFFFFF"/>
                <w:sz w:val="2"/>
                <w:szCs w:val="2"/>
                <w:rtl/>
              </w:rPr>
            </w:pPr>
            <w:r w:rsidRPr="007A389E">
              <w:rPr>
                <w:color w:val="FFFFFF"/>
                <w:sz w:val="2"/>
                <w:szCs w:val="2"/>
                <w:rtl/>
              </w:rPr>
              <w:t>54678313</w:t>
            </w:r>
          </w:p>
          <w:p w14:paraId="2C850CD2" w14:textId="77777777" w:rsidR="0072449D" w:rsidRDefault="0072449D" w:rsidP="0072449D">
            <w:pPr>
              <w:jc w:val="center"/>
            </w:pPr>
          </w:p>
        </w:tc>
      </w:tr>
      <w:tr w:rsidR="0072449D" w14:paraId="78916681" w14:textId="77777777" w:rsidTr="0072449D">
        <w:trPr>
          <w:trHeight w:val="361"/>
        </w:trPr>
        <w:tc>
          <w:tcPr>
            <w:tcW w:w="3936" w:type="dxa"/>
            <w:tcBorders>
              <w:top w:val="single" w:sz="4" w:space="0" w:color="auto"/>
              <w:left w:val="nil"/>
              <w:bottom w:val="nil"/>
              <w:right w:val="nil"/>
            </w:tcBorders>
            <w:shd w:val="clear" w:color="auto" w:fill="auto"/>
            <w:vAlign w:val="center"/>
          </w:tcPr>
          <w:p w14:paraId="2D823E01" w14:textId="77777777" w:rsidR="0072449D" w:rsidRPr="0072449D" w:rsidRDefault="0072449D" w:rsidP="0072449D">
            <w:pPr>
              <w:jc w:val="center"/>
              <w:rPr>
                <w:b/>
                <w:bCs/>
                <w:rtl/>
              </w:rPr>
            </w:pPr>
            <w:r w:rsidRPr="0072449D">
              <w:rPr>
                <w:rFonts w:hint="cs"/>
                <w:b/>
                <w:bCs/>
                <w:rtl/>
              </w:rPr>
              <w:t>יואב עטר, שופט</w:t>
            </w:r>
          </w:p>
        </w:tc>
      </w:tr>
    </w:tbl>
    <w:p w14:paraId="7D166144" w14:textId="77777777" w:rsidR="0072449D" w:rsidRDefault="0072449D" w:rsidP="0072449D">
      <w:pPr>
        <w:rPr>
          <w:rFonts w:ascii="David" w:hAnsi="David"/>
          <w:rtl/>
        </w:rPr>
      </w:pPr>
    </w:p>
    <w:p w14:paraId="5E9E5806" w14:textId="77777777" w:rsidR="0072449D" w:rsidRDefault="0042359E" w:rsidP="0072449D">
      <w:pPr>
        <w:contextualSpacing/>
        <w:jc w:val="both"/>
        <w:rPr>
          <w:rFonts w:ascii="David" w:eastAsia="Calibri" w:hAnsi="David"/>
          <w:rtl/>
        </w:rPr>
      </w:pPr>
      <w:r w:rsidRPr="0042359E">
        <w:rPr>
          <w:rFonts w:ascii="David" w:eastAsia="Calibri" w:hAnsi="David"/>
          <w:color w:val="FFFFFF"/>
          <w:sz w:val="2"/>
          <w:szCs w:val="2"/>
          <w:rtl/>
        </w:rPr>
        <w:t>5129371</w:t>
      </w:r>
      <w:r w:rsidR="0072449D" w:rsidRPr="00475761">
        <w:rPr>
          <w:rFonts w:ascii="David" w:eastAsia="Calibri" w:hAnsi="David" w:hint="cs"/>
          <w:rtl/>
        </w:rPr>
        <w:t xml:space="preserve">שם הקלדנית: + מיכל וקנין </w:t>
      </w:r>
    </w:p>
    <w:p w14:paraId="7BA3D4CA" w14:textId="77777777" w:rsidR="00A07457" w:rsidRPr="0042359E" w:rsidRDefault="0042359E" w:rsidP="007A389E">
      <w:pPr>
        <w:keepNext/>
        <w:rPr>
          <w:rFonts w:ascii="David" w:hAnsi="David"/>
          <w:color w:val="FFFFFF"/>
          <w:sz w:val="2"/>
          <w:szCs w:val="2"/>
          <w:rtl/>
        </w:rPr>
      </w:pPr>
      <w:r w:rsidRPr="0042359E">
        <w:rPr>
          <w:rFonts w:ascii="David" w:hAnsi="David"/>
          <w:color w:val="FFFFFF"/>
          <w:sz w:val="2"/>
          <w:szCs w:val="2"/>
          <w:rtl/>
        </w:rPr>
        <w:t>54678313</w:t>
      </w:r>
    </w:p>
    <w:p w14:paraId="572737D3" w14:textId="77777777" w:rsidR="007A389E" w:rsidRPr="007A389E" w:rsidRDefault="007A389E" w:rsidP="007A389E">
      <w:pPr>
        <w:keepNext/>
        <w:rPr>
          <w:rFonts w:ascii="David" w:hAnsi="David"/>
          <w:color w:val="000000"/>
          <w:sz w:val="22"/>
          <w:szCs w:val="22"/>
          <w:rtl/>
        </w:rPr>
      </w:pPr>
      <w:r w:rsidRPr="007A389E">
        <w:rPr>
          <w:rFonts w:ascii="David" w:hAnsi="David"/>
          <w:color w:val="000000"/>
          <w:sz w:val="22"/>
          <w:szCs w:val="22"/>
          <w:rtl/>
        </w:rPr>
        <w:t>יואב עטר 54678313</w:t>
      </w:r>
    </w:p>
    <w:p w14:paraId="16958FF8" w14:textId="77777777" w:rsidR="007A389E" w:rsidRDefault="007A389E" w:rsidP="007A389E">
      <w:r w:rsidRPr="007A389E">
        <w:rPr>
          <w:color w:val="000000"/>
          <w:rtl/>
        </w:rPr>
        <w:t>נוסח מסמך זה כפוף לשינויי ניסוח ועריכה</w:t>
      </w:r>
    </w:p>
    <w:p w14:paraId="02C0C94E" w14:textId="77777777" w:rsidR="007A389E" w:rsidRDefault="007A389E" w:rsidP="007A389E">
      <w:pPr>
        <w:rPr>
          <w:rtl/>
        </w:rPr>
      </w:pPr>
    </w:p>
    <w:p w14:paraId="38F76F42" w14:textId="77777777" w:rsidR="007A389E" w:rsidRDefault="007A389E" w:rsidP="007A389E">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sectPr w:rsidR="007A389E" w:rsidSect="0042359E">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01820" w14:textId="77777777" w:rsidR="005D182B" w:rsidRDefault="005D182B" w:rsidP="001B4B80">
      <w:r>
        <w:separator/>
      </w:r>
    </w:p>
  </w:endnote>
  <w:endnote w:type="continuationSeparator" w:id="0">
    <w:p w14:paraId="6B7AD144" w14:textId="77777777" w:rsidR="005D182B" w:rsidRDefault="005D182B" w:rsidP="001B4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62261" w14:textId="77777777" w:rsidR="0042359E" w:rsidRDefault="0042359E" w:rsidP="0042359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019F54" w14:textId="77777777" w:rsidR="00124847" w:rsidRPr="0042359E" w:rsidRDefault="0042359E" w:rsidP="0042359E">
    <w:pPr>
      <w:pStyle w:val="a5"/>
      <w:pBdr>
        <w:top w:val="single" w:sz="4" w:space="1" w:color="auto"/>
        <w:between w:val="single" w:sz="4" w:space="0" w:color="auto"/>
      </w:pBdr>
      <w:spacing w:after="60"/>
      <w:jc w:val="center"/>
      <w:rPr>
        <w:rFonts w:ascii="FrankRuehl" w:hAnsi="FrankRuehl" w:cs="FrankRuehl"/>
        <w:color w:val="000000"/>
      </w:rPr>
    </w:pPr>
    <w:r w:rsidRPr="004235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38EFD" w14:textId="77777777" w:rsidR="0042359E" w:rsidRDefault="0042359E" w:rsidP="0042359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61CB">
      <w:rPr>
        <w:rFonts w:ascii="FrankRuehl" w:hAnsi="FrankRuehl" w:cs="FrankRuehl"/>
        <w:noProof/>
        <w:rtl/>
      </w:rPr>
      <w:t>1</w:t>
    </w:r>
    <w:r>
      <w:rPr>
        <w:rFonts w:ascii="FrankRuehl" w:hAnsi="FrankRuehl" w:cs="FrankRuehl"/>
        <w:rtl/>
      </w:rPr>
      <w:fldChar w:fldCharType="end"/>
    </w:r>
  </w:p>
  <w:p w14:paraId="2D112C7E" w14:textId="77777777" w:rsidR="00124847" w:rsidRPr="0042359E" w:rsidRDefault="0042359E" w:rsidP="0042359E">
    <w:pPr>
      <w:pStyle w:val="a5"/>
      <w:pBdr>
        <w:top w:val="single" w:sz="4" w:space="1" w:color="auto"/>
        <w:between w:val="single" w:sz="4" w:space="0" w:color="auto"/>
      </w:pBdr>
      <w:spacing w:after="60"/>
      <w:jc w:val="center"/>
      <w:rPr>
        <w:rFonts w:ascii="FrankRuehl" w:hAnsi="FrankRuehl" w:cs="FrankRuehl"/>
        <w:color w:val="000000"/>
      </w:rPr>
    </w:pPr>
    <w:r w:rsidRPr="0042359E">
      <w:rPr>
        <w:rFonts w:ascii="FrankRuehl" w:hAnsi="FrankRuehl" w:cs="FrankRuehl"/>
        <w:color w:val="000000"/>
      </w:rPr>
      <w:pict w14:anchorId="76D4C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F11CA" w14:textId="77777777" w:rsidR="005D182B" w:rsidRDefault="005D182B" w:rsidP="001B4B80">
      <w:r>
        <w:separator/>
      </w:r>
    </w:p>
  </w:footnote>
  <w:footnote w:type="continuationSeparator" w:id="0">
    <w:p w14:paraId="27F5E6AE" w14:textId="77777777" w:rsidR="005D182B" w:rsidRDefault="005D182B" w:rsidP="001B4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232AF" w14:textId="77777777" w:rsidR="007A389E" w:rsidRPr="0042359E" w:rsidRDefault="0042359E" w:rsidP="0042359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24758-11-22</w:t>
    </w:r>
    <w:r>
      <w:rPr>
        <w:rFonts w:ascii="David" w:hAnsi="David"/>
        <w:color w:val="000000"/>
        <w:sz w:val="22"/>
        <w:szCs w:val="22"/>
        <w:rtl/>
      </w:rPr>
      <w:tab/>
      <w:t xml:space="preserve"> מדינת ישראל נ' חסן גוהרה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0DC33" w14:textId="77777777" w:rsidR="007A389E" w:rsidRPr="0042359E" w:rsidRDefault="0042359E" w:rsidP="0042359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24758-11-22</w:t>
    </w:r>
    <w:r>
      <w:rPr>
        <w:rFonts w:ascii="David" w:hAnsi="David"/>
        <w:color w:val="000000"/>
        <w:sz w:val="22"/>
        <w:szCs w:val="22"/>
        <w:rtl/>
      </w:rPr>
      <w:tab/>
      <w:t xml:space="preserve"> מדינת ישראל נ' חסן גוהרה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A1F79"/>
    <w:multiLevelType w:val="hybridMultilevel"/>
    <w:tmpl w:val="1A36CC1C"/>
    <w:lvl w:ilvl="0" w:tplc="DC46103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51F1C06"/>
    <w:multiLevelType w:val="hybridMultilevel"/>
    <w:tmpl w:val="01BC0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579945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9022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2449D"/>
    <w:rsid w:val="000A32CA"/>
    <w:rsid w:val="00124847"/>
    <w:rsid w:val="001B4B80"/>
    <w:rsid w:val="001B5A3B"/>
    <w:rsid w:val="002D61CB"/>
    <w:rsid w:val="0042359E"/>
    <w:rsid w:val="00487766"/>
    <w:rsid w:val="005D182B"/>
    <w:rsid w:val="0072449D"/>
    <w:rsid w:val="007A389E"/>
    <w:rsid w:val="00A074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8F3057"/>
  <w15:chartTrackingRefBased/>
  <w15:docId w15:val="{7648A324-0EB0-412D-9896-1A879862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244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2449D"/>
    <w:pPr>
      <w:tabs>
        <w:tab w:val="center" w:pos="4153"/>
        <w:tab w:val="right" w:pos="8306"/>
      </w:tabs>
    </w:pPr>
  </w:style>
  <w:style w:type="character" w:customStyle="1" w:styleId="a4">
    <w:name w:val="כותרת עליונה תו"/>
    <w:link w:val="a3"/>
    <w:rsid w:val="0072449D"/>
    <w:rPr>
      <w:rFonts w:ascii="Times New Roman" w:eastAsia="Times New Roman" w:hAnsi="Times New Roman" w:cs="David"/>
      <w:sz w:val="24"/>
      <w:szCs w:val="24"/>
    </w:rPr>
  </w:style>
  <w:style w:type="paragraph" w:styleId="a5">
    <w:name w:val="footer"/>
    <w:basedOn w:val="a"/>
    <w:link w:val="a6"/>
    <w:rsid w:val="0072449D"/>
    <w:pPr>
      <w:tabs>
        <w:tab w:val="center" w:pos="4153"/>
        <w:tab w:val="right" w:pos="8306"/>
      </w:tabs>
    </w:pPr>
  </w:style>
  <w:style w:type="character" w:customStyle="1" w:styleId="a6">
    <w:name w:val="כותרת תחתונה תו"/>
    <w:link w:val="a5"/>
    <w:rsid w:val="0072449D"/>
    <w:rPr>
      <w:rFonts w:ascii="Times New Roman" w:eastAsia="Times New Roman" w:hAnsi="Times New Roman" w:cs="David"/>
      <w:sz w:val="24"/>
      <w:szCs w:val="24"/>
    </w:rPr>
  </w:style>
  <w:style w:type="table" w:styleId="a7">
    <w:name w:val="Table Grid"/>
    <w:basedOn w:val="a1"/>
    <w:rsid w:val="007244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2449D"/>
  </w:style>
  <w:style w:type="character" w:customStyle="1" w:styleId="TimesNewRomanTimesNewRoman">
    <w:name w:val="סגנון (לטיני) Times New Roman (עברית ושפות אחרות) Times New Roman..."/>
    <w:rsid w:val="0072449D"/>
    <w:rPr>
      <w:rFonts w:ascii="Times New Roman" w:hAnsi="Times New Roman" w:cs="David" w:hint="default"/>
      <w:b/>
      <w:bCs/>
      <w:sz w:val="26"/>
      <w:szCs w:val="26"/>
    </w:rPr>
  </w:style>
  <w:style w:type="paragraph" w:styleId="a9">
    <w:name w:val="List Paragraph"/>
    <w:basedOn w:val="a"/>
    <w:qFormat/>
    <w:rsid w:val="0072449D"/>
    <w:pPr>
      <w:spacing w:after="160" w:line="256" w:lineRule="auto"/>
      <w:ind w:left="720"/>
      <w:contextualSpacing/>
    </w:pPr>
    <w:rPr>
      <w:rFonts w:ascii="Calibri" w:eastAsia="Calibri" w:hAnsi="Calibri" w:cs="Arial"/>
      <w:sz w:val="22"/>
      <w:szCs w:val="22"/>
    </w:rPr>
  </w:style>
  <w:style w:type="character" w:styleId="Hyperlink">
    <w:name w:val="Hyperlink"/>
    <w:rsid w:val="007A38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6913995" TargetMode="External"/><Relationship Id="rId26" Type="http://schemas.openxmlformats.org/officeDocument/2006/relationships/hyperlink" Target="http://www.nevo.co.il/case/21474168" TargetMode="External"/><Relationship Id="rId39" Type="http://schemas.openxmlformats.org/officeDocument/2006/relationships/header" Target="header1.xml"/><Relationship Id="rId21" Type="http://schemas.openxmlformats.org/officeDocument/2006/relationships/hyperlink" Target="http://www.nevo.co.il/case/27499246" TargetMode="External"/><Relationship Id="rId34" Type="http://schemas.openxmlformats.org/officeDocument/2006/relationships/hyperlink" Target="http://www.nevo.co.il/law/70301/144"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1474168" TargetMode="External"/><Relationship Id="rId20" Type="http://schemas.openxmlformats.org/officeDocument/2006/relationships/hyperlink" Target="http://www.nevo.co.il/law/70301/144.g" TargetMode="External"/><Relationship Id="rId29" Type="http://schemas.openxmlformats.org/officeDocument/2006/relationships/hyperlink" Target="http://www.nevo.co.il/case/595017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8243273" TargetMode="External"/><Relationship Id="rId32" Type="http://schemas.openxmlformats.org/officeDocument/2006/relationships/hyperlink" Target="http://www.nevo.co.il/case/25496225" TargetMode="External"/><Relationship Id="rId37" Type="http://schemas.openxmlformats.org/officeDocument/2006/relationships/hyperlink" Target="http://www.nevo.co.il/law/5227"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9867910" TargetMode="External"/><Relationship Id="rId28" Type="http://schemas.openxmlformats.org/officeDocument/2006/relationships/hyperlink" Target="http://www.nevo.co.il/case/5878682"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2703064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905927" TargetMode="External"/><Relationship Id="rId27" Type="http://schemas.openxmlformats.org/officeDocument/2006/relationships/hyperlink" Target="http://www.nevo.co.il/case/6949290" TargetMode="External"/><Relationship Id="rId30" Type="http://schemas.openxmlformats.org/officeDocument/2006/relationships/hyperlink" Target="http://www.nevo.co.il/case/5724364" TargetMode="External"/><Relationship Id="rId35" Type="http://schemas.openxmlformats.org/officeDocument/2006/relationships/hyperlink" Target="http://www.nevo.co.il/law/70301" TargetMode="External"/><Relationship Id="rId43" Type="http://schemas.openxmlformats.org/officeDocument/2006/relationships/fontTable" Target="fontTable.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case/28513828" TargetMode="External"/><Relationship Id="rId25" Type="http://schemas.openxmlformats.org/officeDocument/2006/relationships/hyperlink" Target="http://www.nevo.co.il/case/26931111" TargetMode="External"/><Relationship Id="rId33" Type="http://schemas.openxmlformats.org/officeDocument/2006/relationships/hyperlink" Target="http://www.nevo.co.il/case/28513828"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2897</Words>
  <Characters>14485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17348</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8323175</vt:i4>
      </vt:variant>
      <vt:variant>
        <vt:i4>90</vt:i4>
      </vt:variant>
      <vt:variant>
        <vt:i4>0</vt:i4>
      </vt:variant>
      <vt:variant>
        <vt:i4>5</vt:i4>
      </vt:variant>
      <vt:variant>
        <vt:lpwstr>http://www.nevo.co.il/law/5227</vt:lpwstr>
      </vt:variant>
      <vt:variant>
        <vt:lpwstr/>
      </vt:variant>
      <vt:variant>
        <vt:i4>8257637</vt:i4>
      </vt:variant>
      <vt:variant>
        <vt:i4>87</vt:i4>
      </vt:variant>
      <vt:variant>
        <vt:i4>0</vt:i4>
      </vt:variant>
      <vt:variant>
        <vt:i4>5</vt:i4>
      </vt:variant>
      <vt:variant>
        <vt:lpwstr>http://www.nevo.co.il/law/4216</vt:lpwstr>
      </vt:variant>
      <vt:variant>
        <vt:lpwstr/>
      </vt:variant>
      <vt:variant>
        <vt:i4>7995492</vt:i4>
      </vt:variant>
      <vt:variant>
        <vt:i4>84</vt:i4>
      </vt:variant>
      <vt:variant>
        <vt:i4>0</vt:i4>
      </vt:variant>
      <vt:variant>
        <vt:i4>5</vt:i4>
      </vt:variant>
      <vt:variant>
        <vt:lpwstr>http://www.nevo.co.il/law/70301</vt:lpwstr>
      </vt:variant>
      <vt:variant>
        <vt:lpwstr/>
      </vt:variant>
      <vt:variant>
        <vt:i4>6357092</vt:i4>
      </vt:variant>
      <vt:variant>
        <vt:i4>81</vt:i4>
      </vt:variant>
      <vt:variant>
        <vt:i4>0</vt:i4>
      </vt:variant>
      <vt:variant>
        <vt:i4>5</vt:i4>
      </vt:variant>
      <vt:variant>
        <vt:lpwstr>http://www.nevo.co.il/law/70301/144</vt:lpwstr>
      </vt:variant>
      <vt:variant>
        <vt:lpwstr/>
      </vt:variant>
      <vt:variant>
        <vt:i4>3539061</vt:i4>
      </vt:variant>
      <vt:variant>
        <vt:i4>78</vt:i4>
      </vt:variant>
      <vt:variant>
        <vt:i4>0</vt:i4>
      </vt:variant>
      <vt:variant>
        <vt:i4>5</vt:i4>
      </vt:variant>
      <vt:variant>
        <vt:lpwstr>http://www.nevo.co.il/case/28513828</vt:lpwstr>
      </vt:variant>
      <vt:variant>
        <vt:lpwstr/>
      </vt:variant>
      <vt:variant>
        <vt:i4>3276922</vt:i4>
      </vt:variant>
      <vt:variant>
        <vt:i4>75</vt:i4>
      </vt:variant>
      <vt:variant>
        <vt:i4>0</vt:i4>
      </vt:variant>
      <vt:variant>
        <vt:i4>5</vt:i4>
      </vt:variant>
      <vt:variant>
        <vt:lpwstr>http://www.nevo.co.il/case/25496225</vt:lpwstr>
      </vt:variant>
      <vt:variant>
        <vt:lpwstr/>
      </vt:variant>
      <vt:variant>
        <vt:i4>3539062</vt:i4>
      </vt:variant>
      <vt:variant>
        <vt:i4>72</vt:i4>
      </vt:variant>
      <vt:variant>
        <vt:i4>0</vt:i4>
      </vt:variant>
      <vt:variant>
        <vt:i4>5</vt:i4>
      </vt:variant>
      <vt:variant>
        <vt:lpwstr>http://www.nevo.co.il/case/27030646</vt:lpwstr>
      </vt:variant>
      <vt:variant>
        <vt:lpwstr/>
      </vt:variant>
      <vt:variant>
        <vt:i4>3145841</vt:i4>
      </vt:variant>
      <vt:variant>
        <vt:i4>69</vt:i4>
      </vt:variant>
      <vt:variant>
        <vt:i4>0</vt:i4>
      </vt:variant>
      <vt:variant>
        <vt:i4>5</vt:i4>
      </vt:variant>
      <vt:variant>
        <vt:lpwstr>http://www.nevo.co.il/case/5724364</vt:lpwstr>
      </vt:variant>
      <vt:variant>
        <vt:lpwstr/>
      </vt:variant>
      <vt:variant>
        <vt:i4>3342458</vt:i4>
      </vt:variant>
      <vt:variant>
        <vt:i4>66</vt:i4>
      </vt:variant>
      <vt:variant>
        <vt:i4>0</vt:i4>
      </vt:variant>
      <vt:variant>
        <vt:i4>5</vt:i4>
      </vt:variant>
      <vt:variant>
        <vt:lpwstr>http://www.nevo.co.il/case/5950172</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3145853</vt:i4>
      </vt:variant>
      <vt:variant>
        <vt:i4>60</vt:i4>
      </vt:variant>
      <vt:variant>
        <vt:i4>0</vt:i4>
      </vt:variant>
      <vt:variant>
        <vt:i4>5</vt:i4>
      </vt:variant>
      <vt:variant>
        <vt:lpwstr>http://www.nevo.co.il/case/6949290</vt:lpwstr>
      </vt:variant>
      <vt:variant>
        <vt:lpwstr/>
      </vt:variant>
      <vt:variant>
        <vt:i4>3407987</vt:i4>
      </vt:variant>
      <vt:variant>
        <vt:i4>57</vt:i4>
      </vt:variant>
      <vt:variant>
        <vt:i4>0</vt:i4>
      </vt:variant>
      <vt:variant>
        <vt:i4>5</vt:i4>
      </vt:variant>
      <vt:variant>
        <vt:lpwstr>http://www.nevo.co.il/case/21474168</vt:lpwstr>
      </vt:variant>
      <vt:variant>
        <vt:lpwstr/>
      </vt:variant>
      <vt:variant>
        <vt:i4>3866736</vt:i4>
      </vt:variant>
      <vt:variant>
        <vt:i4>54</vt:i4>
      </vt:variant>
      <vt:variant>
        <vt:i4>0</vt:i4>
      </vt:variant>
      <vt:variant>
        <vt:i4>5</vt:i4>
      </vt:variant>
      <vt:variant>
        <vt:lpwstr>http://www.nevo.co.il/case/26931111</vt:lpwstr>
      </vt:variant>
      <vt:variant>
        <vt:lpwstr/>
      </vt:variant>
      <vt:variant>
        <vt:i4>3407994</vt:i4>
      </vt:variant>
      <vt:variant>
        <vt:i4>51</vt:i4>
      </vt:variant>
      <vt:variant>
        <vt:i4>0</vt:i4>
      </vt:variant>
      <vt:variant>
        <vt:i4>5</vt:i4>
      </vt:variant>
      <vt:variant>
        <vt:lpwstr>http://www.nevo.co.il/case/28243273</vt:lpwstr>
      </vt:variant>
      <vt:variant>
        <vt:lpwstr/>
      </vt:variant>
      <vt:variant>
        <vt:i4>3932274</vt:i4>
      </vt:variant>
      <vt:variant>
        <vt:i4>48</vt:i4>
      </vt:variant>
      <vt:variant>
        <vt:i4>0</vt:i4>
      </vt:variant>
      <vt:variant>
        <vt:i4>5</vt:i4>
      </vt:variant>
      <vt:variant>
        <vt:lpwstr>http://www.nevo.co.il/case/29867910</vt:lpwstr>
      </vt:variant>
      <vt:variant>
        <vt:lpwstr/>
      </vt:variant>
      <vt:variant>
        <vt:i4>3932283</vt:i4>
      </vt:variant>
      <vt:variant>
        <vt:i4>45</vt:i4>
      </vt:variant>
      <vt:variant>
        <vt:i4>0</vt:i4>
      </vt:variant>
      <vt:variant>
        <vt:i4>5</vt:i4>
      </vt:variant>
      <vt:variant>
        <vt:lpwstr>http://www.nevo.co.il/case/26905927</vt:lpwstr>
      </vt:variant>
      <vt:variant>
        <vt:lpwstr/>
      </vt:variant>
      <vt:variant>
        <vt:i4>3866744</vt:i4>
      </vt:variant>
      <vt:variant>
        <vt:i4>42</vt:i4>
      </vt:variant>
      <vt:variant>
        <vt:i4>0</vt:i4>
      </vt:variant>
      <vt:variant>
        <vt:i4>5</vt:i4>
      </vt:variant>
      <vt:variant>
        <vt:lpwstr>http://www.nevo.co.il/case/27499246</vt:lpwstr>
      </vt:variant>
      <vt:variant>
        <vt:lpwstr/>
      </vt:variant>
      <vt:variant>
        <vt:i4>5177424</vt:i4>
      </vt:variant>
      <vt:variant>
        <vt:i4>39</vt:i4>
      </vt:variant>
      <vt:variant>
        <vt:i4>0</vt:i4>
      </vt:variant>
      <vt:variant>
        <vt:i4>5</vt:i4>
      </vt:variant>
      <vt:variant>
        <vt:lpwstr>http://www.nevo.co.il/law/70301/144.g</vt:lpwstr>
      </vt:variant>
      <vt:variant>
        <vt:lpwstr/>
      </vt:variant>
      <vt:variant>
        <vt:i4>7995492</vt:i4>
      </vt:variant>
      <vt:variant>
        <vt:i4>36</vt:i4>
      </vt:variant>
      <vt:variant>
        <vt:i4>0</vt:i4>
      </vt:variant>
      <vt:variant>
        <vt:i4>5</vt:i4>
      </vt:variant>
      <vt:variant>
        <vt:lpwstr>http://www.nevo.co.il/law/70301</vt:lpwstr>
      </vt:variant>
      <vt:variant>
        <vt:lpwstr/>
      </vt:variant>
      <vt:variant>
        <vt:i4>3211386</vt:i4>
      </vt:variant>
      <vt:variant>
        <vt:i4>33</vt:i4>
      </vt:variant>
      <vt:variant>
        <vt:i4>0</vt:i4>
      </vt:variant>
      <vt:variant>
        <vt:i4>5</vt:i4>
      </vt:variant>
      <vt:variant>
        <vt:lpwstr>http://www.nevo.co.il/case/26913995</vt:lpwstr>
      </vt:variant>
      <vt:variant>
        <vt:lpwstr/>
      </vt:variant>
      <vt:variant>
        <vt:i4>3539061</vt:i4>
      </vt:variant>
      <vt:variant>
        <vt:i4>30</vt:i4>
      </vt:variant>
      <vt:variant>
        <vt:i4>0</vt:i4>
      </vt:variant>
      <vt:variant>
        <vt:i4>5</vt:i4>
      </vt:variant>
      <vt:variant>
        <vt:lpwstr>http://www.nevo.co.il/case/28513828</vt:lpwstr>
      </vt:variant>
      <vt:variant>
        <vt:lpwstr/>
      </vt:variant>
      <vt:variant>
        <vt:i4>3407987</vt:i4>
      </vt:variant>
      <vt:variant>
        <vt:i4>27</vt:i4>
      </vt:variant>
      <vt:variant>
        <vt:i4>0</vt:i4>
      </vt:variant>
      <vt:variant>
        <vt:i4>5</vt:i4>
      </vt:variant>
      <vt:variant>
        <vt:lpwstr>http://www.nevo.co.il/case/21474168</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8323175</vt:i4>
      </vt:variant>
      <vt:variant>
        <vt:i4>15</vt:i4>
      </vt:variant>
      <vt:variant>
        <vt:i4>0</vt:i4>
      </vt:variant>
      <vt:variant>
        <vt:i4>5</vt:i4>
      </vt:variant>
      <vt:variant>
        <vt:lpwstr>http://www.nevo.co.il/law/5227</vt:lpwstr>
      </vt:variant>
      <vt:variant>
        <vt:lpwstr/>
      </vt:variant>
      <vt:variant>
        <vt:i4>8257637</vt:i4>
      </vt:variant>
      <vt:variant>
        <vt:i4>12</vt:i4>
      </vt:variant>
      <vt:variant>
        <vt:i4>0</vt:i4>
      </vt:variant>
      <vt:variant>
        <vt:i4>5</vt:i4>
      </vt:variant>
      <vt:variant>
        <vt:lpwstr>http://www.nevo.co.il/law/4216</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2025-01-19T16:57:00Z</dcterms:created>
  <dcterms:modified xsi:type="dcterms:W3CDTF">2025-01-19T16:57:00Z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24758</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חסן גוהרה</vt:lpwstr>
  </property>
  <property fmtid="{D5CDD505-2E9C-101B-9397-08002B2CF9AE}" pid="10" name="LAWYER">
    <vt:lpwstr>היבא טבג'א;אורי בן נתן</vt:lpwstr>
  </property>
  <property fmtid="{D5CDD505-2E9C-101B-9397-08002B2CF9AE}" pid="11" name="JUDGE">
    <vt:lpwstr>יואב עטר</vt:lpwstr>
  </property>
  <property fmtid="{D5CDD505-2E9C-101B-9397-08002B2CF9AE}" pid="12" name="CITY">
    <vt:lpwstr>ב"ש</vt:lpwstr>
  </property>
  <property fmtid="{D5CDD505-2E9C-101B-9397-08002B2CF9AE}" pid="13" name="DATE">
    <vt:lpwstr>20240509</vt:lpwstr>
  </property>
  <property fmtid="{D5CDD505-2E9C-101B-9397-08002B2CF9AE}" pid="14" name="TYPE_N_DATE">
    <vt:lpwstr>39020240509</vt:lpwstr>
  </property>
  <property fmtid="{D5CDD505-2E9C-101B-9397-08002B2CF9AE}" pid="15" name="CASESLISTTMP1">
    <vt:lpwstr>21474168:2;28513828:2;26913995;27499246;26905927;29867910;28243273;26931111;6949290;5878682;5950172;5724364;27030646;25496225</vt:lpwstr>
  </property>
  <property fmtid="{D5CDD505-2E9C-101B-9397-08002B2CF9AE}" pid="16" name="WORDNUMPAGES">
    <vt:lpwstr>9</vt:lpwstr>
  </property>
  <property fmtid="{D5CDD505-2E9C-101B-9397-08002B2CF9AE}" pid="17" name="TYPE_ABS_DATE">
    <vt:lpwstr>390020240509</vt:lpwstr>
  </property>
  <property fmtid="{D5CDD505-2E9C-101B-9397-08002B2CF9AE}" pid="18" name="ISABSTRACT">
    <vt:lpwstr>Y</vt:lpwstr>
  </property>
  <property fmtid="{D5CDD505-2E9C-101B-9397-08002B2CF9AE}" pid="19" name="LAWLISTTMP1">
    <vt:lpwstr>70301/144.b;144.g;144</vt:lpwstr>
  </property>
  <property fmtid="{D5CDD505-2E9C-101B-9397-08002B2CF9AE}" pid="20" name="LAWLISTTMP2">
    <vt:lpwstr>4216:2</vt:lpwstr>
  </property>
  <property fmtid="{D5CDD505-2E9C-101B-9397-08002B2CF9AE}" pid="21" name="LAWLISTTMP3">
    <vt:lpwstr>5227</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