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277AD0" w:rsidRPr="00C8272A" w14:paraId="1F7BCA62" w14:textId="77777777" w:rsidTr="002A2462">
        <w:trPr>
          <w:trHeight w:hRule="exact" w:val="418"/>
          <w:jc w:val="center"/>
        </w:trPr>
        <w:tc>
          <w:tcPr>
            <w:tcW w:w="8861" w:type="dxa"/>
            <w:gridSpan w:val="2"/>
          </w:tcPr>
          <w:p w14:paraId="3E4606B3" w14:textId="77777777" w:rsidR="00277AD0" w:rsidRPr="00C8272A" w:rsidRDefault="00277AD0" w:rsidP="002A2462">
            <w:pPr>
              <w:pStyle w:val="a3"/>
              <w:jc w:val="center"/>
              <w:rPr>
                <w:rFonts w:ascii="Tahoma" w:hAnsi="Tahoma"/>
                <w:color w:val="000080"/>
                <w:sz w:val="32"/>
                <w:szCs w:val="32"/>
                <w:rtl/>
              </w:rPr>
            </w:pPr>
            <w:r w:rsidRPr="00C8272A">
              <w:rPr>
                <w:rFonts w:ascii="Tahoma" w:hAnsi="Tahoma"/>
                <w:b/>
                <w:bCs/>
                <w:color w:val="000080"/>
                <w:sz w:val="32"/>
                <w:szCs w:val="32"/>
                <w:rtl/>
              </w:rPr>
              <w:t>בית המשפט המחוזי בתל אביב -יפו</w:t>
            </w:r>
          </w:p>
        </w:tc>
      </w:tr>
      <w:tr w:rsidR="00277AD0" w:rsidRPr="00C8272A" w14:paraId="120B1AA2" w14:textId="77777777" w:rsidTr="002A2462">
        <w:trPr>
          <w:trHeight w:val="337"/>
          <w:jc w:val="center"/>
        </w:trPr>
        <w:tc>
          <w:tcPr>
            <w:tcW w:w="5131" w:type="dxa"/>
          </w:tcPr>
          <w:p w14:paraId="6B0FE4C5" w14:textId="77777777" w:rsidR="00277AD0" w:rsidRPr="00C8272A" w:rsidRDefault="00277AD0" w:rsidP="002A2462">
            <w:pPr>
              <w:rPr>
                <w:rFonts w:ascii="David" w:hAnsi="David"/>
                <w:b/>
                <w:bCs/>
                <w:rtl/>
              </w:rPr>
            </w:pPr>
            <w:r w:rsidRPr="00C8272A">
              <w:rPr>
                <w:rFonts w:ascii="David" w:hAnsi="David"/>
                <w:b/>
                <w:bCs/>
                <w:rtl/>
              </w:rPr>
              <w:t>ת"פ 27986-11-22 מדינת ישראל נ' כוארע(עציר) ואח'</w:t>
            </w:r>
          </w:p>
          <w:p w14:paraId="5BC84B3B" w14:textId="77777777" w:rsidR="00277AD0" w:rsidRPr="00C8272A" w:rsidRDefault="00277AD0" w:rsidP="002A2462">
            <w:pPr>
              <w:pStyle w:val="a3"/>
              <w:rPr>
                <w:rFonts w:ascii="David" w:hAnsi="David"/>
                <w:b/>
                <w:bCs/>
                <w:rtl/>
              </w:rPr>
            </w:pPr>
          </w:p>
        </w:tc>
        <w:tc>
          <w:tcPr>
            <w:tcW w:w="3730" w:type="dxa"/>
          </w:tcPr>
          <w:p w14:paraId="2DFB0567" w14:textId="77777777" w:rsidR="00277AD0" w:rsidRPr="00C8272A" w:rsidRDefault="00277AD0" w:rsidP="002A2462">
            <w:pPr>
              <w:pStyle w:val="a3"/>
              <w:jc w:val="right"/>
              <w:rPr>
                <w:rFonts w:ascii="David" w:hAnsi="David"/>
                <w:b/>
                <w:bCs/>
                <w:rtl/>
              </w:rPr>
            </w:pPr>
            <w:r w:rsidRPr="00C8272A">
              <w:rPr>
                <w:rFonts w:ascii="David" w:hAnsi="David"/>
                <w:b/>
                <w:bCs/>
                <w:rtl/>
              </w:rPr>
              <w:t>18 ינואר 2024</w:t>
            </w:r>
          </w:p>
        </w:tc>
      </w:tr>
    </w:tbl>
    <w:p w14:paraId="4F098700" w14:textId="77777777" w:rsidR="00277AD0" w:rsidRPr="00C8272A" w:rsidRDefault="00277AD0" w:rsidP="00277AD0">
      <w:pPr>
        <w:pStyle w:val="a3"/>
        <w:rPr>
          <w:rtl/>
        </w:rPr>
      </w:pPr>
      <w:r w:rsidRPr="00C8272A">
        <w:rPr>
          <w:rFonts w:hint="cs"/>
          <w:rtl/>
        </w:rPr>
        <w:t xml:space="preserve"> </w:t>
      </w:r>
    </w:p>
    <w:p w14:paraId="3B8CF626" w14:textId="77777777" w:rsidR="00277AD0" w:rsidRPr="00C8272A" w:rsidRDefault="00277AD0" w:rsidP="00277AD0">
      <w:pPr>
        <w:rPr>
          <w:rtl/>
        </w:rPr>
      </w:pPr>
    </w:p>
    <w:p w14:paraId="29CBDFE8" w14:textId="77777777" w:rsidR="00277AD0" w:rsidRPr="00C8272A" w:rsidRDefault="00277AD0" w:rsidP="00277AD0"/>
    <w:tbl>
      <w:tblPr>
        <w:bidiVisual/>
        <w:tblW w:w="9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3468"/>
        <w:gridCol w:w="3327"/>
        <w:gridCol w:w="6"/>
      </w:tblGrid>
      <w:tr w:rsidR="00277AD0" w:rsidRPr="00C8272A" w14:paraId="17EFF977" w14:textId="77777777" w:rsidTr="00277AD0">
        <w:trPr>
          <w:gridAfter w:val="1"/>
          <w:wAfter w:w="6" w:type="dxa"/>
          <w:trHeight w:val="295"/>
          <w:jc w:val="center"/>
        </w:trPr>
        <w:tc>
          <w:tcPr>
            <w:tcW w:w="9195" w:type="dxa"/>
            <w:gridSpan w:val="3"/>
            <w:tcBorders>
              <w:top w:val="nil"/>
              <w:left w:val="nil"/>
              <w:bottom w:val="nil"/>
              <w:right w:val="nil"/>
            </w:tcBorders>
            <w:shd w:val="clear" w:color="auto" w:fill="auto"/>
          </w:tcPr>
          <w:p w14:paraId="0D59816E" w14:textId="77777777" w:rsidR="00277AD0" w:rsidRPr="00C8272A" w:rsidRDefault="00277AD0" w:rsidP="00277AD0">
            <w:pPr>
              <w:spacing w:line="360" w:lineRule="auto"/>
              <w:jc w:val="both"/>
              <w:rPr>
                <w:rFonts w:ascii="Arial" w:hAnsi="Arial"/>
                <w:b/>
                <w:bCs/>
                <w:sz w:val="26"/>
                <w:szCs w:val="26"/>
                <w:rtl/>
              </w:rPr>
            </w:pPr>
            <w:r w:rsidRPr="00C8272A">
              <w:rPr>
                <w:rFonts w:ascii="Arial" w:hAnsi="Arial" w:hint="cs"/>
                <w:b/>
                <w:bCs/>
                <w:sz w:val="26"/>
                <w:szCs w:val="26"/>
                <w:rtl/>
              </w:rPr>
              <w:t>ל</w:t>
            </w:r>
            <w:r w:rsidRPr="00C8272A">
              <w:rPr>
                <w:rFonts w:ascii="Arial" w:hAnsi="Arial"/>
                <w:b/>
                <w:bCs/>
                <w:sz w:val="26"/>
                <w:szCs w:val="26"/>
                <w:rtl/>
              </w:rPr>
              <w:t xml:space="preserve">פני </w:t>
            </w:r>
            <w:r w:rsidRPr="00C8272A">
              <w:rPr>
                <w:rFonts w:ascii="Arial" w:hAnsi="Arial" w:hint="cs"/>
                <w:b/>
                <w:bCs/>
                <w:sz w:val="26"/>
                <w:szCs w:val="26"/>
                <w:rtl/>
              </w:rPr>
              <w:t>כבוד השופט בני שגיא, סגן נשיא</w:t>
            </w:r>
          </w:p>
          <w:p w14:paraId="3DC70AA4" w14:textId="77777777" w:rsidR="00277AD0" w:rsidRPr="00C8272A" w:rsidRDefault="00277AD0" w:rsidP="00277AD0">
            <w:pPr>
              <w:spacing w:line="360" w:lineRule="auto"/>
              <w:jc w:val="both"/>
              <w:rPr>
                <w:rFonts w:ascii="Arial" w:hAnsi="Arial"/>
                <w:sz w:val="26"/>
                <w:szCs w:val="26"/>
              </w:rPr>
            </w:pPr>
          </w:p>
        </w:tc>
      </w:tr>
      <w:tr w:rsidR="00277AD0" w:rsidRPr="00C8272A" w14:paraId="76A28C70" w14:textId="77777777" w:rsidTr="00277AD0">
        <w:trPr>
          <w:trHeight w:val="355"/>
          <w:jc w:val="center"/>
        </w:trPr>
        <w:tc>
          <w:tcPr>
            <w:tcW w:w="2400" w:type="dxa"/>
            <w:tcBorders>
              <w:top w:val="nil"/>
              <w:left w:val="nil"/>
              <w:bottom w:val="nil"/>
              <w:right w:val="nil"/>
            </w:tcBorders>
            <w:shd w:val="clear" w:color="auto" w:fill="auto"/>
          </w:tcPr>
          <w:p w14:paraId="6C42136F" w14:textId="77777777" w:rsidR="00277AD0" w:rsidRPr="00C8272A" w:rsidRDefault="00277AD0" w:rsidP="00277AD0">
            <w:pPr>
              <w:spacing w:line="360" w:lineRule="auto"/>
              <w:jc w:val="both"/>
              <w:rPr>
                <w:rFonts w:ascii="Arial" w:hAnsi="Arial"/>
                <w:b/>
                <w:bCs/>
                <w:sz w:val="26"/>
                <w:szCs w:val="26"/>
              </w:rPr>
            </w:pPr>
            <w:bookmarkStart w:id="0" w:name="FirstAppellant"/>
            <w:bookmarkStart w:id="1" w:name="FirstLawyer"/>
            <w:bookmarkStart w:id="2" w:name="LastJudge"/>
            <w:bookmarkEnd w:id="2"/>
            <w:r w:rsidRPr="00C8272A">
              <w:rPr>
                <w:rFonts w:ascii="Arial" w:hAnsi="Arial" w:hint="cs"/>
                <w:b/>
                <w:bCs/>
                <w:sz w:val="26"/>
                <w:szCs w:val="26"/>
                <w:rtl/>
              </w:rPr>
              <w:t>ה</w:t>
            </w:r>
            <w:r w:rsidRPr="00C8272A">
              <w:rPr>
                <w:rFonts w:ascii="Arial" w:hAnsi="Arial"/>
                <w:b/>
                <w:bCs/>
                <w:sz w:val="26"/>
                <w:szCs w:val="26"/>
                <w:rtl/>
              </w:rPr>
              <w:t>מאשימה</w:t>
            </w:r>
          </w:p>
        </w:tc>
        <w:tc>
          <w:tcPr>
            <w:tcW w:w="3468" w:type="dxa"/>
            <w:tcBorders>
              <w:top w:val="nil"/>
              <w:left w:val="nil"/>
              <w:bottom w:val="nil"/>
              <w:right w:val="nil"/>
            </w:tcBorders>
            <w:shd w:val="clear" w:color="auto" w:fill="auto"/>
          </w:tcPr>
          <w:p w14:paraId="3DF074EC" w14:textId="77777777" w:rsidR="00277AD0" w:rsidRPr="00C8272A" w:rsidRDefault="00277AD0" w:rsidP="00277AD0">
            <w:pPr>
              <w:spacing w:line="360" w:lineRule="auto"/>
              <w:rPr>
                <w:b/>
                <w:bCs/>
                <w:sz w:val="26"/>
                <w:szCs w:val="26"/>
                <w:rtl/>
              </w:rPr>
            </w:pPr>
            <w:r w:rsidRPr="00C8272A">
              <w:rPr>
                <w:rFonts w:ascii="Arial" w:hAnsi="Arial"/>
                <w:b/>
                <w:bCs/>
                <w:sz w:val="26"/>
                <w:szCs w:val="26"/>
                <w:rtl/>
              </w:rPr>
              <w:t>מדינת ישראל</w:t>
            </w:r>
          </w:p>
          <w:p w14:paraId="4CC25547" w14:textId="77777777" w:rsidR="00277AD0" w:rsidRPr="00C8272A" w:rsidRDefault="00277AD0" w:rsidP="00277AD0">
            <w:pPr>
              <w:spacing w:line="360" w:lineRule="auto"/>
              <w:rPr>
                <w:sz w:val="26"/>
                <w:szCs w:val="26"/>
                <w:rtl/>
              </w:rPr>
            </w:pPr>
            <w:r w:rsidRPr="00C8272A">
              <w:rPr>
                <w:rFonts w:hint="cs"/>
                <w:sz w:val="26"/>
                <w:szCs w:val="26"/>
                <w:rtl/>
              </w:rPr>
              <w:t>על-ידי ב"כ עו"ד רוית שפיר</w:t>
            </w:r>
          </w:p>
          <w:p w14:paraId="564E72F0" w14:textId="77777777" w:rsidR="00277AD0" w:rsidRPr="00C8272A" w:rsidRDefault="00277AD0" w:rsidP="00277AD0">
            <w:pPr>
              <w:spacing w:line="360" w:lineRule="auto"/>
              <w:rPr>
                <w:sz w:val="26"/>
                <w:szCs w:val="26"/>
              </w:rPr>
            </w:pPr>
          </w:p>
        </w:tc>
        <w:tc>
          <w:tcPr>
            <w:tcW w:w="3333" w:type="dxa"/>
            <w:gridSpan w:val="2"/>
            <w:tcBorders>
              <w:top w:val="nil"/>
              <w:left w:val="nil"/>
              <w:bottom w:val="nil"/>
              <w:right w:val="nil"/>
            </w:tcBorders>
            <w:shd w:val="clear" w:color="auto" w:fill="auto"/>
          </w:tcPr>
          <w:p w14:paraId="1A9C3B7B" w14:textId="77777777" w:rsidR="00277AD0" w:rsidRPr="00C8272A" w:rsidRDefault="00277AD0" w:rsidP="00277AD0">
            <w:pPr>
              <w:jc w:val="both"/>
              <w:rPr>
                <w:rFonts w:ascii="Arial" w:hAnsi="Arial"/>
                <w:sz w:val="26"/>
                <w:szCs w:val="26"/>
              </w:rPr>
            </w:pPr>
          </w:p>
        </w:tc>
      </w:tr>
      <w:bookmarkEnd w:id="0"/>
      <w:bookmarkEnd w:id="1"/>
      <w:tr w:rsidR="00277AD0" w:rsidRPr="00C8272A" w14:paraId="41C5B9F7" w14:textId="77777777" w:rsidTr="00277AD0">
        <w:trPr>
          <w:gridAfter w:val="1"/>
          <w:wAfter w:w="6" w:type="dxa"/>
          <w:trHeight w:val="355"/>
          <w:jc w:val="center"/>
        </w:trPr>
        <w:tc>
          <w:tcPr>
            <w:tcW w:w="2400" w:type="dxa"/>
            <w:tcBorders>
              <w:top w:val="nil"/>
              <w:left w:val="nil"/>
              <w:bottom w:val="nil"/>
              <w:right w:val="nil"/>
            </w:tcBorders>
            <w:shd w:val="clear" w:color="auto" w:fill="auto"/>
          </w:tcPr>
          <w:p w14:paraId="54F28BB7" w14:textId="77777777" w:rsidR="00277AD0" w:rsidRPr="00C8272A" w:rsidRDefault="00277AD0" w:rsidP="00277AD0">
            <w:pPr>
              <w:spacing w:line="360" w:lineRule="auto"/>
              <w:jc w:val="both"/>
              <w:rPr>
                <w:rFonts w:ascii="Arial" w:hAnsi="Arial"/>
                <w:sz w:val="26"/>
                <w:szCs w:val="26"/>
                <w:rtl/>
              </w:rPr>
            </w:pPr>
          </w:p>
        </w:tc>
        <w:tc>
          <w:tcPr>
            <w:tcW w:w="6795" w:type="dxa"/>
            <w:gridSpan w:val="2"/>
            <w:tcBorders>
              <w:top w:val="nil"/>
              <w:left w:val="nil"/>
              <w:bottom w:val="nil"/>
              <w:right w:val="nil"/>
            </w:tcBorders>
            <w:shd w:val="clear" w:color="auto" w:fill="auto"/>
          </w:tcPr>
          <w:p w14:paraId="77E6BC06" w14:textId="77777777" w:rsidR="00277AD0" w:rsidRPr="00C8272A" w:rsidRDefault="00277AD0" w:rsidP="00277AD0">
            <w:pPr>
              <w:spacing w:line="360" w:lineRule="auto"/>
              <w:rPr>
                <w:rFonts w:ascii="Arial" w:hAnsi="Arial"/>
                <w:b/>
                <w:bCs/>
                <w:sz w:val="26"/>
                <w:szCs w:val="26"/>
                <w:rtl/>
              </w:rPr>
            </w:pPr>
            <w:r w:rsidRPr="00C8272A">
              <w:rPr>
                <w:rFonts w:ascii="Arial" w:hAnsi="Arial" w:hint="cs"/>
                <w:b/>
                <w:bCs/>
                <w:sz w:val="26"/>
                <w:szCs w:val="26"/>
                <w:rtl/>
              </w:rPr>
              <w:t xml:space="preserve">            </w:t>
            </w:r>
            <w:r w:rsidRPr="00C8272A">
              <w:rPr>
                <w:rFonts w:ascii="Arial" w:hAnsi="Arial"/>
                <w:b/>
                <w:bCs/>
                <w:sz w:val="26"/>
                <w:szCs w:val="26"/>
                <w:rtl/>
              </w:rPr>
              <w:t>נגד</w:t>
            </w:r>
          </w:p>
          <w:p w14:paraId="69C83C7F" w14:textId="77777777" w:rsidR="00277AD0" w:rsidRPr="00C8272A" w:rsidRDefault="00277AD0" w:rsidP="00277AD0">
            <w:pPr>
              <w:spacing w:line="360" w:lineRule="auto"/>
              <w:rPr>
                <w:rFonts w:ascii="Arial" w:hAnsi="Arial"/>
                <w:b/>
                <w:bCs/>
                <w:sz w:val="26"/>
                <w:szCs w:val="26"/>
              </w:rPr>
            </w:pPr>
          </w:p>
        </w:tc>
      </w:tr>
      <w:tr w:rsidR="00277AD0" w:rsidRPr="00C8272A" w14:paraId="30A3AC9D" w14:textId="77777777" w:rsidTr="00277AD0">
        <w:trPr>
          <w:trHeight w:val="1984"/>
          <w:jc w:val="center"/>
        </w:trPr>
        <w:tc>
          <w:tcPr>
            <w:tcW w:w="2400" w:type="dxa"/>
            <w:tcBorders>
              <w:top w:val="nil"/>
              <w:left w:val="nil"/>
              <w:bottom w:val="nil"/>
              <w:right w:val="nil"/>
            </w:tcBorders>
            <w:shd w:val="clear" w:color="auto" w:fill="auto"/>
          </w:tcPr>
          <w:p w14:paraId="597C0CCC" w14:textId="77777777" w:rsidR="00277AD0" w:rsidRPr="00C8272A" w:rsidRDefault="00277AD0" w:rsidP="00277AD0">
            <w:pPr>
              <w:spacing w:line="360" w:lineRule="auto"/>
              <w:rPr>
                <w:rFonts w:ascii="Arial" w:hAnsi="Arial"/>
                <w:b/>
                <w:bCs/>
                <w:sz w:val="26"/>
                <w:szCs w:val="26"/>
                <w:rtl/>
              </w:rPr>
            </w:pPr>
            <w:r w:rsidRPr="00C8272A">
              <w:rPr>
                <w:rFonts w:ascii="Arial" w:hAnsi="Arial" w:hint="cs"/>
                <w:b/>
                <w:bCs/>
                <w:sz w:val="26"/>
                <w:szCs w:val="26"/>
                <w:rtl/>
              </w:rPr>
              <w:t>ה</w:t>
            </w:r>
            <w:r w:rsidRPr="00C8272A">
              <w:rPr>
                <w:rFonts w:ascii="Arial" w:hAnsi="Arial"/>
                <w:b/>
                <w:bCs/>
                <w:sz w:val="26"/>
                <w:szCs w:val="26"/>
                <w:rtl/>
              </w:rPr>
              <w:t>נאשמים</w:t>
            </w:r>
          </w:p>
        </w:tc>
        <w:tc>
          <w:tcPr>
            <w:tcW w:w="6801" w:type="dxa"/>
            <w:gridSpan w:val="3"/>
            <w:tcBorders>
              <w:top w:val="nil"/>
              <w:left w:val="nil"/>
              <w:bottom w:val="nil"/>
              <w:right w:val="nil"/>
            </w:tcBorders>
            <w:shd w:val="clear" w:color="auto" w:fill="auto"/>
          </w:tcPr>
          <w:p w14:paraId="0703E6AC" w14:textId="77777777" w:rsidR="00277AD0" w:rsidRPr="00C8272A" w:rsidRDefault="00277AD0" w:rsidP="00277AD0">
            <w:pPr>
              <w:spacing w:line="360" w:lineRule="auto"/>
              <w:rPr>
                <w:sz w:val="26"/>
                <w:szCs w:val="26"/>
                <w:rtl/>
              </w:rPr>
            </w:pPr>
            <w:r w:rsidRPr="00C8272A">
              <w:rPr>
                <w:rFonts w:ascii="Arial" w:hAnsi="Arial"/>
                <w:sz w:val="26"/>
                <w:szCs w:val="26"/>
                <w:rtl/>
              </w:rPr>
              <w:t>1</w:t>
            </w:r>
            <w:r w:rsidRPr="00C8272A">
              <w:rPr>
                <w:rFonts w:ascii="Arial" w:hAnsi="Arial" w:hint="cs"/>
                <w:sz w:val="26"/>
                <w:szCs w:val="26"/>
                <w:rtl/>
              </w:rPr>
              <w:t>.</w:t>
            </w:r>
            <w:r w:rsidRPr="00C8272A">
              <w:rPr>
                <w:rFonts w:ascii="Arial" w:hAnsi="Arial" w:hint="cs"/>
                <w:b/>
                <w:bCs/>
                <w:sz w:val="26"/>
                <w:szCs w:val="26"/>
                <w:rtl/>
              </w:rPr>
              <w:t xml:space="preserve"> </w:t>
            </w:r>
            <w:r w:rsidRPr="00C8272A">
              <w:rPr>
                <w:rFonts w:ascii="Arial" w:hAnsi="Arial"/>
                <w:b/>
                <w:bCs/>
                <w:sz w:val="26"/>
                <w:szCs w:val="26"/>
                <w:rtl/>
              </w:rPr>
              <w:t>תאמר כוארע (עציר)</w:t>
            </w:r>
            <w:r w:rsidRPr="00C8272A">
              <w:rPr>
                <w:rFonts w:hint="cs"/>
                <w:b/>
                <w:bCs/>
                <w:sz w:val="26"/>
                <w:szCs w:val="26"/>
                <w:rtl/>
              </w:rPr>
              <w:t xml:space="preserve"> ת"ז </w:t>
            </w:r>
            <w:r w:rsidR="00C8272A">
              <w:rPr>
                <w:b/>
                <w:bCs/>
                <w:sz w:val="26"/>
                <w:szCs w:val="26"/>
              </w:rPr>
              <w:t>xxxxxxxxx</w:t>
            </w:r>
          </w:p>
          <w:p w14:paraId="3BB511ED" w14:textId="77777777" w:rsidR="00277AD0" w:rsidRPr="00C8272A" w:rsidRDefault="00277AD0" w:rsidP="00277AD0">
            <w:pPr>
              <w:spacing w:line="360" w:lineRule="auto"/>
              <w:rPr>
                <w:sz w:val="26"/>
                <w:szCs w:val="26"/>
                <w:rtl/>
              </w:rPr>
            </w:pPr>
            <w:r w:rsidRPr="00C8272A">
              <w:rPr>
                <w:rFonts w:hint="cs"/>
                <w:sz w:val="26"/>
                <w:szCs w:val="26"/>
                <w:rtl/>
              </w:rPr>
              <w:t xml:space="preserve">     על-ידי ב"כ עו"ד ווליד כבוב</w:t>
            </w:r>
          </w:p>
          <w:p w14:paraId="2C7D88D7" w14:textId="77777777" w:rsidR="00277AD0" w:rsidRPr="00C8272A" w:rsidRDefault="00277AD0" w:rsidP="00277AD0">
            <w:pPr>
              <w:spacing w:line="360" w:lineRule="auto"/>
              <w:rPr>
                <w:sz w:val="26"/>
                <w:szCs w:val="26"/>
                <w:rtl/>
              </w:rPr>
            </w:pPr>
          </w:p>
          <w:p w14:paraId="66F76E7A" w14:textId="77777777" w:rsidR="00277AD0" w:rsidRPr="00C8272A" w:rsidRDefault="00277AD0" w:rsidP="00277AD0">
            <w:pPr>
              <w:spacing w:line="360" w:lineRule="auto"/>
              <w:rPr>
                <w:sz w:val="26"/>
                <w:szCs w:val="26"/>
                <w:rtl/>
              </w:rPr>
            </w:pPr>
            <w:r w:rsidRPr="00C8272A">
              <w:rPr>
                <w:rFonts w:ascii="Arial" w:hAnsi="Arial"/>
                <w:sz w:val="26"/>
                <w:szCs w:val="26"/>
                <w:rtl/>
              </w:rPr>
              <w:t>2</w:t>
            </w:r>
            <w:r w:rsidRPr="00C8272A">
              <w:rPr>
                <w:rFonts w:ascii="Arial" w:hAnsi="Arial" w:hint="cs"/>
                <w:sz w:val="26"/>
                <w:szCs w:val="26"/>
                <w:rtl/>
              </w:rPr>
              <w:t>.</w:t>
            </w:r>
            <w:r w:rsidRPr="00C8272A">
              <w:rPr>
                <w:rFonts w:ascii="Arial" w:hAnsi="Arial" w:hint="cs"/>
                <w:b/>
                <w:bCs/>
                <w:sz w:val="26"/>
                <w:szCs w:val="26"/>
                <w:rtl/>
              </w:rPr>
              <w:t xml:space="preserve">  </w:t>
            </w:r>
            <w:r w:rsidRPr="00C8272A">
              <w:rPr>
                <w:rFonts w:ascii="Arial" w:hAnsi="Arial"/>
                <w:b/>
                <w:bCs/>
                <w:sz w:val="26"/>
                <w:szCs w:val="26"/>
                <w:rtl/>
              </w:rPr>
              <w:t xml:space="preserve">מוחמד אלשאער </w:t>
            </w:r>
            <w:r w:rsidRPr="00C8272A">
              <w:rPr>
                <w:rFonts w:ascii="Arial" w:hAnsi="Arial" w:hint="cs"/>
                <w:b/>
                <w:bCs/>
                <w:sz w:val="26"/>
                <w:szCs w:val="26"/>
                <w:rtl/>
              </w:rPr>
              <w:t xml:space="preserve">ת"ז </w:t>
            </w:r>
            <w:r w:rsidR="00C8272A">
              <w:rPr>
                <w:rFonts w:ascii="Arial" w:hAnsi="Arial"/>
                <w:b/>
                <w:bCs/>
                <w:sz w:val="26"/>
                <w:szCs w:val="26"/>
              </w:rPr>
              <w:t>xxxxxxxxx</w:t>
            </w:r>
          </w:p>
          <w:p w14:paraId="3D563E60" w14:textId="77777777" w:rsidR="00277AD0" w:rsidRPr="00C8272A" w:rsidRDefault="00277AD0" w:rsidP="00277AD0">
            <w:pPr>
              <w:spacing w:line="360" w:lineRule="auto"/>
              <w:rPr>
                <w:sz w:val="26"/>
                <w:szCs w:val="26"/>
              </w:rPr>
            </w:pPr>
            <w:r w:rsidRPr="00C8272A">
              <w:rPr>
                <w:rFonts w:hint="cs"/>
                <w:sz w:val="26"/>
                <w:szCs w:val="26"/>
                <w:rtl/>
              </w:rPr>
              <w:t xml:space="preserve">     על-ידי ב"כ עו"ד אורי בר עוז ועו"ד נדיר בראנסי</w:t>
            </w:r>
          </w:p>
        </w:tc>
      </w:tr>
    </w:tbl>
    <w:p w14:paraId="1221BE4E" w14:textId="77777777" w:rsidR="00FB7892" w:rsidRPr="00FB7892" w:rsidRDefault="00FB7892" w:rsidP="00FB7892">
      <w:pPr>
        <w:spacing w:before="120" w:after="120" w:line="240" w:lineRule="exact"/>
        <w:ind w:left="283" w:hanging="283"/>
        <w:jc w:val="both"/>
        <w:rPr>
          <w:rFonts w:ascii="FrankRuehl" w:hAnsi="FrankRuehl" w:cs="FrankRuehl"/>
          <w:color w:val="0000FF"/>
          <w:rtl/>
        </w:rPr>
      </w:pPr>
    </w:p>
    <w:p w14:paraId="338E83D0" w14:textId="77777777" w:rsidR="0089167D" w:rsidRDefault="0089167D" w:rsidP="0089167D">
      <w:pPr>
        <w:spacing w:before="120" w:after="120" w:line="240" w:lineRule="exact"/>
        <w:ind w:left="283" w:hanging="283"/>
        <w:jc w:val="both"/>
        <w:rPr>
          <w:rFonts w:ascii="FrankRuehl" w:hAnsi="FrankRuehl" w:cs="FrankRuehl"/>
          <w:rtl/>
        </w:rPr>
      </w:pPr>
      <w:bookmarkStart w:id="3" w:name="LawTable"/>
      <w:bookmarkEnd w:id="3"/>
    </w:p>
    <w:p w14:paraId="7D63955B" w14:textId="77777777" w:rsidR="0089167D" w:rsidRPr="0089167D" w:rsidRDefault="0089167D" w:rsidP="0089167D">
      <w:pPr>
        <w:spacing w:before="120" w:after="120" w:line="240" w:lineRule="exact"/>
        <w:ind w:left="283" w:hanging="283"/>
        <w:jc w:val="both"/>
        <w:rPr>
          <w:rFonts w:ascii="FrankRuehl" w:hAnsi="FrankRuehl" w:cs="FrankRuehl"/>
          <w:rtl/>
        </w:rPr>
      </w:pPr>
    </w:p>
    <w:p w14:paraId="7065B93E" w14:textId="77777777" w:rsidR="0089167D" w:rsidRPr="0089167D" w:rsidRDefault="0089167D" w:rsidP="0089167D">
      <w:pPr>
        <w:spacing w:before="120" w:after="120" w:line="240" w:lineRule="exact"/>
        <w:ind w:left="283" w:hanging="283"/>
        <w:jc w:val="both"/>
        <w:rPr>
          <w:rFonts w:ascii="FrankRuehl" w:hAnsi="FrankRuehl" w:cs="FrankRuehl"/>
          <w:rtl/>
        </w:rPr>
      </w:pPr>
    </w:p>
    <w:p w14:paraId="09808307" w14:textId="77777777" w:rsidR="0089167D" w:rsidRPr="0089167D" w:rsidRDefault="0089167D" w:rsidP="0089167D">
      <w:pPr>
        <w:spacing w:before="120" w:after="120" w:line="240" w:lineRule="exact"/>
        <w:ind w:left="283" w:hanging="283"/>
        <w:jc w:val="both"/>
        <w:rPr>
          <w:rFonts w:ascii="FrankRuehl" w:hAnsi="FrankRuehl" w:cs="FrankRuehl"/>
          <w:rtl/>
        </w:rPr>
      </w:pPr>
      <w:r w:rsidRPr="0089167D">
        <w:rPr>
          <w:rFonts w:ascii="FrankRuehl" w:hAnsi="FrankRuehl" w:cs="FrankRuehl"/>
          <w:rtl/>
        </w:rPr>
        <w:t xml:space="preserve">חקיקה שאוזכרה: </w:t>
      </w:r>
    </w:p>
    <w:p w14:paraId="222F4EA1" w14:textId="77777777" w:rsidR="0089167D" w:rsidRPr="0089167D" w:rsidRDefault="0089167D" w:rsidP="0089167D">
      <w:pPr>
        <w:spacing w:before="120" w:after="120" w:line="240" w:lineRule="exact"/>
        <w:ind w:left="283" w:hanging="283"/>
        <w:jc w:val="both"/>
        <w:rPr>
          <w:rFonts w:ascii="FrankRuehl" w:hAnsi="FrankRuehl" w:cs="FrankRuehl"/>
          <w:rtl/>
        </w:rPr>
      </w:pPr>
      <w:hyperlink r:id="rId7" w:history="1">
        <w:r w:rsidRPr="0089167D">
          <w:rPr>
            <w:rFonts w:ascii="FrankRuehl" w:hAnsi="FrankRuehl" w:cs="FrankRuehl"/>
            <w:color w:val="0000FF"/>
            <w:rtl/>
          </w:rPr>
          <w:t>חוק העונשין, תשל"ז-1977</w:t>
        </w:r>
      </w:hyperlink>
      <w:r w:rsidRPr="0089167D">
        <w:rPr>
          <w:rFonts w:ascii="FrankRuehl" w:hAnsi="FrankRuehl" w:cs="FrankRuehl"/>
          <w:rtl/>
        </w:rPr>
        <w:t xml:space="preserve">: סע'  </w:t>
      </w:r>
      <w:hyperlink r:id="rId8" w:history="1">
        <w:r w:rsidRPr="0089167D">
          <w:rPr>
            <w:rFonts w:ascii="FrankRuehl" w:hAnsi="FrankRuehl" w:cs="FrankRuehl"/>
            <w:color w:val="0000FF"/>
            <w:rtl/>
          </w:rPr>
          <w:t>31</w:t>
        </w:r>
      </w:hyperlink>
      <w:r w:rsidRPr="0089167D">
        <w:rPr>
          <w:rFonts w:ascii="FrankRuehl" w:hAnsi="FrankRuehl" w:cs="FrankRuehl"/>
          <w:rtl/>
        </w:rPr>
        <w:t xml:space="preserve">, </w:t>
      </w:r>
      <w:hyperlink r:id="rId9" w:history="1">
        <w:r w:rsidRPr="0089167D">
          <w:rPr>
            <w:rFonts w:ascii="FrankRuehl" w:hAnsi="FrankRuehl" w:cs="FrankRuehl"/>
            <w:color w:val="0000FF"/>
            <w:rtl/>
          </w:rPr>
          <w:t>144(ב)</w:t>
        </w:r>
      </w:hyperlink>
      <w:r w:rsidRPr="0089167D">
        <w:rPr>
          <w:rFonts w:ascii="FrankRuehl" w:hAnsi="FrankRuehl" w:cs="FrankRuehl"/>
          <w:rtl/>
        </w:rPr>
        <w:t xml:space="preserve">, </w:t>
      </w:r>
      <w:hyperlink r:id="rId10" w:history="1">
        <w:r w:rsidRPr="0089167D">
          <w:rPr>
            <w:rFonts w:ascii="FrankRuehl" w:hAnsi="FrankRuehl" w:cs="FrankRuehl"/>
            <w:color w:val="0000FF"/>
            <w:rtl/>
          </w:rPr>
          <w:t>144(ז)</w:t>
        </w:r>
      </w:hyperlink>
      <w:r w:rsidRPr="0089167D">
        <w:rPr>
          <w:rFonts w:ascii="FrankRuehl" w:hAnsi="FrankRuehl" w:cs="FrankRuehl"/>
          <w:rtl/>
        </w:rPr>
        <w:t xml:space="preserve">, </w:t>
      </w:r>
      <w:hyperlink r:id="rId11" w:history="1">
        <w:r w:rsidRPr="0089167D">
          <w:rPr>
            <w:rFonts w:ascii="FrankRuehl" w:hAnsi="FrankRuehl" w:cs="FrankRuehl"/>
            <w:color w:val="0000FF"/>
            <w:rtl/>
          </w:rPr>
          <w:t>340א.ב.1.</w:t>
        </w:r>
      </w:hyperlink>
      <w:r w:rsidRPr="0089167D">
        <w:rPr>
          <w:rFonts w:ascii="FrankRuehl" w:hAnsi="FrankRuehl" w:cs="FrankRuehl"/>
          <w:rtl/>
        </w:rPr>
        <w:t xml:space="preserve">, </w:t>
      </w:r>
      <w:hyperlink r:id="rId12" w:history="1">
        <w:r w:rsidRPr="0089167D">
          <w:rPr>
            <w:rFonts w:ascii="FrankRuehl" w:hAnsi="FrankRuehl" w:cs="FrankRuehl"/>
            <w:color w:val="0000FF"/>
            <w:rtl/>
          </w:rPr>
          <w:t>340א.ב.2</w:t>
        </w:r>
      </w:hyperlink>
    </w:p>
    <w:p w14:paraId="0BE83AFA" w14:textId="77777777" w:rsidR="0089167D" w:rsidRPr="0089167D" w:rsidRDefault="0089167D" w:rsidP="0089167D">
      <w:pPr>
        <w:spacing w:before="120" w:after="120" w:line="240" w:lineRule="exact"/>
        <w:ind w:left="283" w:hanging="283"/>
        <w:jc w:val="both"/>
        <w:rPr>
          <w:rFonts w:ascii="FrankRuehl" w:hAnsi="FrankRuehl" w:cs="FrankRuehl"/>
          <w:rtl/>
        </w:rPr>
      </w:pPr>
      <w:bookmarkStart w:id="4" w:name="LawTable_End"/>
      <w:bookmarkEnd w:id="4"/>
    </w:p>
    <w:p w14:paraId="672B3D0B" w14:textId="77777777" w:rsidR="00F83651" w:rsidRPr="00FB7892" w:rsidRDefault="00F83651" w:rsidP="00FB7892">
      <w:pPr>
        <w:spacing w:before="120" w:after="120" w:line="240" w:lineRule="exact"/>
        <w:ind w:left="283" w:hanging="283"/>
        <w:jc w:val="both"/>
        <w:rPr>
          <w:rFonts w:ascii="FrankRuehl" w:hAnsi="FrankRuehl" w:cs="FrankRuehl"/>
          <w:rtl/>
        </w:rPr>
      </w:pPr>
    </w:p>
    <w:p w14:paraId="00D1BFFE" w14:textId="77777777" w:rsidR="00C8272A" w:rsidRPr="00C8272A" w:rsidRDefault="00C8272A" w:rsidP="00C8272A">
      <w:pPr>
        <w:spacing w:before="240" w:after="240" w:line="360" w:lineRule="auto"/>
        <w:ind w:left="720"/>
        <w:jc w:val="center"/>
        <w:rPr>
          <w:b/>
          <w:bCs/>
          <w:sz w:val="28"/>
          <w:szCs w:val="28"/>
          <w:u w:val="single"/>
          <w:rtl/>
        </w:rPr>
      </w:pPr>
      <w:bookmarkStart w:id="5" w:name="PsakDin"/>
      <w:r w:rsidRPr="00C8272A">
        <w:rPr>
          <w:b/>
          <w:bCs/>
          <w:sz w:val="28"/>
          <w:szCs w:val="28"/>
          <w:u w:val="single"/>
          <w:rtl/>
        </w:rPr>
        <w:t>גזר דין</w:t>
      </w:r>
    </w:p>
    <w:bookmarkEnd w:id="5"/>
    <w:p w14:paraId="09BF2375" w14:textId="77777777" w:rsidR="00277AD0" w:rsidRPr="000641AE" w:rsidRDefault="00277AD0" w:rsidP="00277AD0">
      <w:pPr>
        <w:spacing w:before="240" w:after="240" w:line="360" w:lineRule="auto"/>
        <w:ind w:left="720"/>
        <w:rPr>
          <w:u w:val="single"/>
          <w:rtl/>
        </w:rPr>
      </w:pPr>
      <w:r w:rsidRPr="000641AE">
        <w:rPr>
          <w:rFonts w:hint="cs"/>
          <w:u w:val="single"/>
          <w:rtl/>
        </w:rPr>
        <w:t>כללי</w:t>
      </w:r>
    </w:p>
    <w:p w14:paraId="04BFEB1E" w14:textId="77777777" w:rsidR="00277AD0" w:rsidRDefault="00277AD0" w:rsidP="00277AD0">
      <w:pPr>
        <w:pStyle w:val="a9"/>
        <w:numPr>
          <w:ilvl w:val="0"/>
          <w:numId w:val="1"/>
        </w:numPr>
        <w:spacing w:before="240" w:after="240" w:line="360" w:lineRule="auto"/>
        <w:contextualSpacing w:val="0"/>
        <w:jc w:val="both"/>
        <w:rPr>
          <w:rFonts w:ascii="Arial" w:hAnsi="Arial"/>
        </w:rPr>
      </w:pPr>
      <w:bookmarkStart w:id="6" w:name="ABSTRACT_START"/>
      <w:bookmarkEnd w:id="6"/>
      <w:r>
        <w:rPr>
          <w:rFonts w:ascii="Arial" w:hAnsi="Arial" w:hint="cs"/>
          <w:rtl/>
        </w:rPr>
        <w:t xml:space="preserve">הנאשמים הורשעו על יסוד הודאתם במסגרת הסדר טיעון בעבירות הבאות: </w:t>
      </w:r>
      <w:r w:rsidRPr="000C00BC">
        <w:rPr>
          <w:rFonts w:ascii="Arial" w:hAnsi="Arial" w:hint="cs"/>
          <w:b/>
          <w:bCs/>
          <w:rtl/>
        </w:rPr>
        <w:t xml:space="preserve">נאשם 1 </w:t>
      </w:r>
      <w:r>
        <w:rPr>
          <w:rFonts w:ascii="Arial" w:hAnsi="Arial" w:hint="cs"/>
          <w:rtl/>
        </w:rPr>
        <w:t xml:space="preserve">- ירי בנשק חם לפי </w:t>
      </w:r>
      <w:hyperlink r:id="rId13" w:history="1">
        <w:r w:rsidR="00F83651" w:rsidRPr="00F83651">
          <w:rPr>
            <w:rStyle w:val="Hyperlink"/>
            <w:rFonts w:ascii="Arial" w:hAnsi="Arial" w:hint="eastAsia"/>
            <w:rtl/>
          </w:rPr>
          <w:t>סעיף</w:t>
        </w:r>
        <w:r w:rsidR="00F83651" w:rsidRPr="00F83651">
          <w:rPr>
            <w:rStyle w:val="Hyperlink"/>
            <w:rFonts w:ascii="Arial" w:hAnsi="Arial"/>
            <w:rtl/>
          </w:rPr>
          <w:t xml:space="preserve"> 340א(ב)(1)+(2)</w:t>
        </w:r>
      </w:hyperlink>
      <w:r>
        <w:rPr>
          <w:rFonts w:ascii="Arial" w:hAnsi="Arial" w:hint="cs"/>
          <w:rtl/>
        </w:rPr>
        <w:t xml:space="preserve"> ל</w:t>
      </w:r>
      <w:hyperlink r:id="rId14" w:history="1">
        <w:r w:rsidR="00C8272A" w:rsidRPr="00C8272A">
          <w:rPr>
            <w:rFonts w:ascii="Arial" w:hAnsi="Arial"/>
            <w:color w:val="0000FF"/>
            <w:u w:val="single"/>
            <w:rtl/>
          </w:rPr>
          <w:t>חוק העונשין</w:t>
        </w:r>
      </w:hyperlink>
      <w:r>
        <w:rPr>
          <w:rFonts w:ascii="Arial" w:hAnsi="Arial" w:hint="cs"/>
          <w:rtl/>
        </w:rPr>
        <w:t xml:space="preserve"> ונשיאת נשק לפי </w:t>
      </w:r>
      <w:hyperlink r:id="rId15" w:history="1">
        <w:r w:rsidR="00F83651" w:rsidRPr="00F83651">
          <w:rPr>
            <w:rStyle w:val="Hyperlink"/>
            <w:rFonts w:ascii="Arial" w:hAnsi="Arial" w:hint="eastAsia"/>
            <w:rtl/>
          </w:rPr>
          <w:t>סעיף</w:t>
        </w:r>
        <w:r w:rsidR="00F83651" w:rsidRPr="00F83651">
          <w:rPr>
            <w:rStyle w:val="Hyperlink"/>
            <w:rFonts w:ascii="Arial" w:hAnsi="Arial"/>
            <w:rtl/>
          </w:rPr>
          <w:t xml:space="preserve"> 144(ב)</w:t>
        </w:r>
      </w:hyperlink>
      <w:r>
        <w:rPr>
          <w:rFonts w:ascii="Arial" w:hAnsi="Arial" w:hint="cs"/>
          <w:rtl/>
        </w:rPr>
        <w:t xml:space="preserve"> רישא לחוק העונשין; </w:t>
      </w:r>
      <w:r w:rsidRPr="000C00BC">
        <w:rPr>
          <w:rFonts w:ascii="Arial" w:hAnsi="Arial" w:hint="cs"/>
          <w:b/>
          <w:bCs/>
          <w:rtl/>
        </w:rPr>
        <w:t xml:space="preserve">נאשם 2 </w:t>
      </w:r>
      <w:r>
        <w:rPr>
          <w:rFonts w:ascii="Arial" w:hAnsi="Arial" w:hint="cs"/>
          <w:rtl/>
        </w:rPr>
        <w:t xml:space="preserve">- סיוע לנשיאת נשק לפי </w:t>
      </w:r>
      <w:hyperlink r:id="rId16" w:history="1">
        <w:r w:rsidR="00F83651" w:rsidRPr="00F83651">
          <w:rPr>
            <w:rStyle w:val="Hyperlink"/>
            <w:rFonts w:ascii="Arial" w:hAnsi="Arial" w:hint="eastAsia"/>
            <w:rtl/>
          </w:rPr>
          <w:t>סעיף</w:t>
        </w:r>
        <w:r w:rsidR="00F83651" w:rsidRPr="00F83651">
          <w:rPr>
            <w:rStyle w:val="Hyperlink"/>
            <w:rFonts w:ascii="Arial" w:hAnsi="Arial"/>
            <w:rtl/>
          </w:rPr>
          <w:t xml:space="preserve"> 144(ב)</w:t>
        </w:r>
      </w:hyperlink>
      <w:r>
        <w:rPr>
          <w:rFonts w:ascii="Arial" w:hAnsi="Arial" w:hint="cs"/>
          <w:rtl/>
        </w:rPr>
        <w:t xml:space="preserve"> רישא יחד עם </w:t>
      </w:r>
      <w:hyperlink r:id="rId17" w:history="1">
        <w:r w:rsidR="00F83651" w:rsidRPr="00F83651">
          <w:rPr>
            <w:rStyle w:val="Hyperlink"/>
            <w:rFonts w:ascii="Arial" w:hAnsi="Arial" w:hint="eastAsia"/>
            <w:rtl/>
          </w:rPr>
          <w:t>סעיף</w:t>
        </w:r>
        <w:r w:rsidR="00F83651" w:rsidRPr="00F83651">
          <w:rPr>
            <w:rStyle w:val="Hyperlink"/>
            <w:rFonts w:ascii="Arial" w:hAnsi="Arial"/>
            <w:rtl/>
          </w:rPr>
          <w:t xml:space="preserve"> 31</w:t>
        </w:r>
      </w:hyperlink>
      <w:r>
        <w:rPr>
          <w:rFonts w:ascii="Arial" w:hAnsi="Arial" w:hint="cs"/>
          <w:rtl/>
        </w:rPr>
        <w:t xml:space="preserve"> לחוק העונשין.</w:t>
      </w:r>
    </w:p>
    <w:p w14:paraId="51AB91EF" w14:textId="77777777" w:rsidR="00277AD0" w:rsidRDefault="00277AD0" w:rsidP="00277AD0">
      <w:pPr>
        <w:pStyle w:val="a9"/>
        <w:spacing w:before="240" w:after="240" w:line="360" w:lineRule="auto"/>
        <w:contextualSpacing w:val="0"/>
        <w:jc w:val="both"/>
        <w:rPr>
          <w:rFonts w:ascii="Arial" w:hAnsi="Arial"/>
          <w:rtl/>
        </w:rPr>
      </w:pPr>
      <w:bookmarkStart w:id="7" w:name="ABSTRACT_END"/>
      <w:bookmarkEnd w:id="7"/>
      <w:r>
        <w:rPr>
          <w:rFonts w:ascii="Arial" w:hAnsi="Arial" w:hint="cs"/>
          <w:rtl/>
        </w:rPr>
        <w:t xml:space="preserve">הסדר הטיעון שגובש בין הצדדים כלל את תיקון כתב האישום מבלי שגובשה הסכמה לעניין העונש. ביחס לרכיב החילוט סוכם כי הרכב שנתפס ישוחרר כנגד הפקדת 32,000 ₪, כאשר סכום זה יחולט. </w:t>
      </w:r>
    </w:p>
    <w:p w14:paraId="3E0A7094"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lastRenderedPageBreak/>
        <w:t xml:space="preserve">על פי עובדות כתב האישום המתוקן, עובר ליום 5.11.22 הונח ברכב סקודה מסוג סקודה ראפיד, הנושא לוחית זיהוי מספר 742-85-101, אקדח חצי אוטומטי </w:t>
      </w:r>
      <w:r>
        <w:rPr>
          <w:rFonts w:ascii="Arial" w:hAnsi="Arial"/>
        </w:rPr>
        <w:t>D.D.G</w:t>
      </w:r>
      <w:r>
        <w:rPr>
          <w:rFonts w:ascii="Arial" w:hAnsi="Arial" w:hint="cs"/>
          <w:rtl/>
        </w:rPr>
        <w:t xml:space="preserve"> לצד מחסנית תואמת ובה 9 כדורי 9 מ"מ על ידי אדם שזהותו אינה ידועה למאשימה. נאשם 1, שעשה שימוש ברכב ביום 5.11.22, היה מודע לקיומו של האקדח.</w:t>
      </w:r>
    </w:p>
    <w:p w14:paraId="318DAB64"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בסמוך לשעה 23:02, הגיעו הנאשמים ברכב, כשנאשם 1 נוהג בו ומודע לאקדח, לצומת הרחובות אחד העם פינת שנקין בתל אביב. מסיבה שאינה ידועה למאשימה, תוך כדי נסיעה באזור מגורים ובאופן שיש בו לסכן עוברי אורח, ירה נאשם 1 באוויר.</w:t>
      </w:r>
    </w:p>
    <w:p w14:paraId="22F4FC10"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לאחר הירי, ולאחר שנאשם 2 היה מודע להימצאות הנשק ברשותם, המשיכו הנאשמים בנסיעתם על רחוב אחד העם לכיוון צפון, כשהנשק באמתחתם, עד שנעצרו על ידי המשטרה ברחוב יפת בתל אביב.</w:t>
      </w:r>
      <w:r>
        <w:rPr>
          <w:rFonts w:ascii="Arial" w:hAnsi="Arial"/>
          <w:rtl/>
        </w:rPr>
        <w:br/>
      </w:r>
    </w:p>
    <w:p w14:paraId="2B76B866" w14:textId="77777777" w:rsidR="00277AD0" w:rsidRDefault="00277AD0" w:rsidP="00277AD0">
      <w:pPr>
        <w:pStyle w:val="a9"/>
        <w:spacing w:before="240" w:after="240" w:line="360" w:lineRule="auto"/>
        <w:contextualSpacing w:val="0"/>
        <w:jc w:val="both"/>
        <w:rPr>
          <w:rFonts w:ascii="Arial" w:hAnsi="Arial"/>
          <w:u w:val="single"/>
          <w:rtl/>
        </w:rPr>
      </w:pPr>
      <w:r w:rsidRPr="00F24798">
        <w:rPr>
          <w:rFonts w:ascii="Arial" w:hAnsi="Arial" w:hint="cs"/>
          <w:u w:val="single"/>
          <w:rtl/>
        </w:rPr>
        <w:t xml:space="preserve">תסקירי </w:t>
      </w:r>
      <w:r>
        <w:rPr>
          <w:rFonts w:ascii="Arial" w:hAnsi="Arial" w:hint="cs"/>
          <w:u w:val="single"/>
          <w:rtl/>
        </w:rPr>
        <w:t>שרות המבחן</w:t>
      </w:r>
    </w:p>
    <w:p w14:paraId="048CD895" w14:textId="77777777" w:rsidR="00277AD0" w:rsidRPr="00F24798" w:rsidRDefault="00277AD0" w:rsidP="00277AD0">
      <w:pPr>
        <w:pStyle w:val="a9"/>
        <w:numPr>
          <w:ilvl w:val="0"/>
          <w:numId w:val="1"/>
        </w:numPr>
        <w:spacing w:before="240" w:after="240" w:line="360" w:lineRule="auto"/>
        <w:contextualSpacing w:val="0"/>
        <w:jc w:val="both"/>
        <w:rPr>
          <w:rFonts w:ascii="Arial" w:hAnsi="Arial"/>
          <w:u w:val="single"/>
        </w:rPr>
      </w:pPr>
      <w:r>
        <w:rPr>
          <w:rFonts w:ascii="Arial" w:hAnsi="Arial" w:hint="cs"/>
          <w:rtl/>
        </w:rPr>
        <w:t>בעניינם של הנאשמים נערכו תסקירי שירות מבחן (תסקירי חובה). מהתסקיר בעניינו של נאשם 1 עלו הנתונים הבאים:</w:t>
      </w:r>
    </w:p>
    <w:p w14:paraId="2A5D7019"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הנאשם 1, בן 22, רווק. טרם מעצרו התגורר בבית הוריו ברמלה ועבד יחד עם אביו בעבודות בניין. סיים 9 שנות לימוד ועזב את הלימודים על רקע מורכבות במצב המשפחתי וה</w:t>
      </w:r>
      <w:r w:rsidRPr="00F24798">
        <w:rPr>
          <w:rFonts w:ascii="Arial" w:hAnsi="Arial" w:hint="cs"/>
          <w:rtl/>
        </w:rPr>
        <w:t xml:space="preserve">צורך </w:t>
      </w:r>
      <w:r>
        <w:rPr>
          <w:rFonts w:ascii="Arial" w:hAnsi="Arial" w:hint="cs"/>
          <w:rtl/>
        </w:rPr>
        <w:t>ב</w:t>
      </w:r>
      <w:r w:rsidRPr="00F24798">
        <w:rPr>
          <w:rFonts w:ascii="Arial" w:hAnsi="Arial" w:hint="cs"/>
          <w:rtl/>
        </w:rPr>
        <w:t xml:space="preserve">סיוע </w:t>
      </w:r>
      <w:r>
        <w:rPr>
          <w:rFonts w:ascii="Arial" w:hAnsi="Arial" w:hint="cs"/>
          <w:rtl/>
        </w:rPr>
        <w:t>ל</w:t>
      </w:r>
      <w:r w:rsidRPr="00F24798">
        <w:rPr>
          <w:rFonts w:ascii="Arial" w:hAnsi="Arial" w:hint="cs"/>
          <w:rtl/>
        </w:rPr>
        <w:t>פרנסת המשפחה.</w:t>
      </w:r>
      <w:r>
        <w:rPr>
          <w:rFonts w:ascii="Arial" w:hAnsi="Arial" w:hint="cs"/>
          <w:rtl/>
        </w:rPr>
        <w:t xml:space="preserve"> תיאר תפקוד הורי תקין ויחסים קרובים עם בני המשפחה. מסר כי ברקע לביצוע העבירות הצורך בתחושת גבריות ושייכות, התקשה להתייחס לקשריו השוליים ותאר את האירועים באופן מצומצם. הנאשם הביע חרטה וצער על מעשיו, וניכר כי כיום מכיר בחומרת מעשיו והשלכותיהם וכי לקח אחריות על התנהגותו. שרות המבחן התרשם מצעיר המגלה מחויבות ואחריות משפחתית, נטל אחריות על עצמו שאינה תואמת את גילו, מקבל אחריות על התנהגותו, הורתע מהליכי המעצר וההליכים המשפטיים, ומביע מוטיבציה לשינוי אורחות חייו. על רקע האמור המליץ שרות המבחן להסתפק בתקופת מעצרו ולהטיל על הנאשם מאסר על תנאי לתקופה משמעותית שתהווה עבורו גבול חיצוני מרתיע.</w:t>
      </w:r>
    </w:p>
    <w:p w14:paraId="5DA229C0"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מהתסקיר בעניינו של נאשם 2 עלו הנתונים הבאים:</w:t>
      </w:r>
    </w:p>
    <w:p w14:paraId="31288D35"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 xml:space="preserve">נאשם 2, בן 22, רווק, מתגורר בבית הוריו ברמלה ועובד כחקלאי עם אביו. השלים 12 שנות לימוד עם תעודת בגרות חלקית. תיאר הורים תומכים והתייחס לקושי שלהם לקבל את מעורבותו בעבירה. הנאשם שלל ידיעה על כוונת שותפו לעשות שימוש באקדח ותיאר עצמו כמי שהופתע מהתנהלות חברו. הדגיש כי מאז האירוע ניתק קשר עם שותפו ועם חבריו וחש אכזבה מהתנהלותם. עוד ציין כי טעה בהערכתו את החברים עמם הסתובב וכיום מבין שהיה למעשה בקשר עם חברה שולית. התייחס בחומרה לאירוע העבירה וגילה מודעות לסיכון הנלווה להחזקת נשק ולשימוש בו, הדגיש כי לעולם לא היה מתנהג כך בעצמו. תאר חוויה של פחד, הן מהמשטרה והן מהירי עצמו. שרות המבחן התרשם כי הנאשם אינו מאופיין בדפוסים שוליים עמוקים, וכי ברקע לעבירה עומדת התרופפות יכולתו להציב לעצמו גבולות סביב קשריו החברתיים, כשנראה שחבר לצעירים בעלי מאפיינים שוליים. עוד התרשם שרות המבחן כי המחירים ששילם הנאשם, ובכללם מעצרו, נחוו כמציבי גבול ומרתיעים וצמצמו את הסיכון להישנות </w:t>
      </w:r>
      <w:r>
        <w:rPr>
          <w:rFonts w:ascii="Arial" w:hAnsi="Arial" w:hint="cs"/>
          <w:rtl/>
        </w:rPr>
        <w:lastRenderedPageBreak/>
        <w:t>התנהגות בעייתית מצידו. שרות המבחן המליץ על ענישה של מאסר בדרך של עבודות שירות או צו של"צ בהיקף משמעותי, במטרה להימנע מחשיפה נוספת לתנאי כליאה ולמפגש אינטנסיבי עם אוכלוסייה עוברת חוק.</w:t>
      </w:r>
    </w:p>
    <w:p w14:paraId="7BBDF7A7" w14:textId="77777777" w:rsidR="00277AD0" w:rsidRPr="00DE5566" w:rsidRDefault="00277AD0" w:rsidP="00277AD0">
      <w:pPr>
        <w:pStyle w:val="a9"/>
        <w:spacing w:before="240" w:after="240" w:line="360" w:lineRule="auto"/>
        <w:contextualSpacing w:val="0"/>
        <w:jc w:val="both"/>
        <w:rPr>
          <w:rFonts w:ascii="Arial" w:hAnsi="Arial"/>
          <w:u w:val="single"/>
          <w:rtl/>
        </w:rPr>
      </w:pPr>
      <w:r w:rsidRPr="00DE5566">
        <w:rPr>
          <w:rFonts w:ascii="Arial" w:hAnsi="Arial" w:hint="cs"/>
          <w:u w:val="single"/>
          <w:rtl/>
        </w:rPr>
        <w:t>טיעונים הצדדים לעונש</w:t>
      </w:r>
    </w:p>
    <w:p w14:paraId="41D2B3DC"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 xml:space="preserve">ב"כ התביעה, עו"ד שפיר, עמדה בטיעוניה על הערכים המוגנים שנפגעו ובהם שמירה על בטחון הציבור, שמירה על הסדר הציבורי ורכושו של הציבור. באשר לנסיבות ביצוע העבירה עמדה התובעת על סוג הנשק, ועל העובדה כי נמצא טעון בכדורים ובמקום נגיש ברכב. עוד עמדה על הסיכון הפוטנציאל שבשימוש בנשק ברחוב הומה בתל אביב, סיכון שלא התממש בענייננו נוכח העובדה שהירי בוצע לאוויר. בנוסף, עמדה התובעת על פוטנציאל נזק נוסף, בדמות הסלמת האירוע, במקרה של תגובה לנוכח משמע יריות וזריית בהלה בציבור. על רקע האמור ולאור פסיקה שהוצגה עתרה התובעת לקבוע בעניינו של נאשם 1 מתחם עונש הולם הנע בין 4.5 שנות מאסר ל-7 שנות מאסר, ובעניינו של נאשם 2 למתחם הנע בין 12 חודשי מאסר ל- 24 חודשי מאסר. באשר למיקום הנאשמים בתוך המתחמים שפורטו, סברה התובעת כי יש לדחות את המלצות שרות המבחן ביחס לשני הנאשמים. ביחס לנאשם 1 נטען כי נוכח עברו הפלילי יש למקמו בחלק העליון של השליש התחתון במתחם שהוצע, לצד מאסר על תנאי, קנס שלא יפחת מ-10,000 ₪  ופסילת רישיון נהיגה. ביחס לנאשם 2 נטען כי יש למקמו בתחתית המתחם המוצע לצד מאסר על תנאי וקנס שלא יפחת מ-10,000 ₪. </w:t>
      </w:r>
    </w:p>
    <w:p w14:paraId="4B4AD1DE"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ב"כ נאשם 1, עו"ד כבוב, עמד בטיעונו על מיהותו של הנאשם, צעיר בן 21 במועד ביצוע העבירה, נעדר עבר פלילי בהיותו בגיר, לא ריצה מעולם עונש מאסר מאחורי סורג ובריח, ולחובתו הרשעה אחת מבית המשפט לנוער, בגינה נדון לעונש של 3 חודשי מאסר לריצוי בדרך של עבודות שירות. עוד עמד הסנגור על נסיבות ביצוע העבירה, וטען כי לא מדובר בנשק שהוסלק ברכב על-ידי הנאשם, אלא שהונח בו על ידי אותו אחר, וכן כי דובר בירייה אחת. הסנגור עתר לאימוץ המלצת שרות המבחן, ונוכח פסיקה שהוצגה עתר לקבוע בעניינו מתחם הנע בין 16 ל-32 חודשי מאסר ולהטיל על הנאשם 20 חודשי מאסר.</w:t>
      </w:r>
    </w:p>
    <w:p w14:paraId="10620E6A"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 xml:space="preserve">ב"כ נאשם 2, עו"ד בר עוז, ביקש בטיעונו להתחשב בגילו הצעיר של הנאשם, בעובדה כי אין לחובתו הרשעות קודמות וכי הרשעתו מסתכמת בסיוע בנוכחות, מבלי שידע על קיומו של האקדח עד לשלב הירי. </w:t>
      </w:r>
    </w:p>
    <w:p w14:paraId="1CCFA70A"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הנאשמים בדברם האחרון הביעו חרטה על מעשיהם.</w:t>
      </w:r>
    </w:p>
    <w:p w14:paraId="6547FCC1" w14:textId="77777777" w:rsidR="00277AD0" w:rsidRPr="00B67038" w:rsidRDefault="00277AD0" w:rsidP="00277AD0">
      <w:pPr>
        <w:pStyle w:val="a9"/>
        <w:spacing w:before="240" w:after="240" w:line="360" w:lineRule="auto"/>
        <w:contextualSpacing w:val="0"/>
        <w:jc w:val="both"/>
        <w:rPr>
          <w:rFonts w:ascii="Arial" w:hAnsi="Arial"/>
          <w:u w:val="single"/>
          <w:rtl/>
        </w:rPr>
      </w:pPr>
      <w:r w:rsidRPr="00B67038">
        <w:rPr>
          <w:rFonts w:ascii="Arial" w:hAnsi="Arial" w:hint="cs"/>
          <w:u w:val="single"/>
          <w:rtl/>
        </w:rPr>
        <w:t>דיון והכרעה</w:t>
      </w:r>
    </w:p>
    <w:p w14:paraId="15B854F4" w14:textId="77777777" w:rsidR="00277AD0" w:rsidRPr="00007A50" w:rsidRDefault="00277AD0" w:rsidP="00277AD0">
      <w:pPr>
        <w:pStyle w:val="a9"/>
        <w:numPr>
          <w:ilvl w:val="0"/>
          <w:numId w:val="1"/>
        </w:numPr>
        <w:spacing w:before="240" w:after="240" w:line="360" w:lineRule="auto"/>
        <w:contextualSpacing w:val="0"/>
        <w:jc w:val="both"/>
        <w:rPr>
          <w:rFonts w:ascii="Arial" w:hAnsi="Arial"/>
          <w:rtl/>
        </w:rPr>
      </w:pPr>
      <w:r w:rsidRPr="00007A50">
        <w:rPr>
          <w:rFonts w:ascii="Arial" w:hAnsi="Arial"/>
          <w:rtl/>
        </w:rPr>
        <w:t xml:space="preserve">דומה כי עבירות הנשק זכו לאחרונה להתייחסות מחמירה של בתי המשפט, ובראשם בית המשפט העליון, וזאת כפי שנקבע בשורה ארוכה של פסקי דין, אשר –  הלכה למעשה – העלו את רמת הענישה שהייתה נהוגה ומקובלת. </w:t>
      </w:r>
    </w:p>
    <w:p w14:paraId="5B9FCA23" w14:textId="77777777" w:rsidR="00277AD0" w:rsidRPr="00007A50" w:rsidRDefault="00277AD0" w:rsidP="00277AD0">
      <w:pPr>
        <w:pStyle w:val="a9"/>
        <w:spacing w:before="240" w:after="240" w:line="360" w:lineRule="auto"/>
        <w:contextualSpacing w:val="0"/>
        <w:jc w:val="both"/>
        <w:rPr>
          <w:rFonts w:ascii="Arial" w:hAnsi="Arial"/>
          <w:rtl/>
        </w:rPr>
      </w:pPr>
      <w:r w:rsidRPr="00007A50">
        <w:rPr>
          <w:rFonts w:ascii="Arial" w:hAnsi="Arial"/>
          <w:rtl/>
        </w:rPr>
        <w:t>נקבע בפסיקה כי עבירות הנשק הפכו ל"מכת מדינה" וכי האיסורים על עבירות אלה נועדו להגן על ערכים חברתיים הכוללים שמירה על חיי אדם, על שלמות גופו ועל סדרי חיים תקינים ושלווים שאינם מופרעים על-ידי איש האוחז באקדח, ברובה או בתת מקלע [</w:t>
      </w:r>
      <w:hyperlink r:id="rId18" w:history="1">
        <w:r w:rsidR="00C8272A" w:rsidRPr="00C8272A">
          <w:rPr>
            <w:rFonts w:ascii="Arial" w:hAnsi="Arial"/>
            <w:color w:val="0000FF"/>
            <w:u w:val="single"/>
            <w:rtl/>
          </w:rPr>
          <w:t>ע"פ 147/21</w:t>
        </w:r>
      </w:hyperlink>
      <w:r w:rsidRPr="00007A50">
        <w:rPr>
          <w:rFonts w:ascii="Arial" w:hAnsi="Arial"/>
          <w:rtl/>
        </w:rPr>
        <w:t xml:space="preserve"> </w:t>
      </w:r>
      <w:r w:rsidRPr="00007A50">
        <w:rPr>
          <w:rFonts w:ascii="Arial" w:hAnsi="Arial"/>
          <w:b/>
          <w:bCs/>
          <w:rtl/>
        </w:rPr>
        <w:t>מדינת ישראל נ' ביטון</w:t>
      </w:r>
      <w:r w:rsidRPr="00007A50">
        <w:rPr>
          <w:rFonts w:ascii="Arial" w:hAnsi="Arial"/>
          <w:rtl/>
        </w:rPr>
        <w:t xml:space="preserve"> (14.2.2021)].</w:t>
      </w:r>
    </w:p>
    <w:p w14:paraId="1C1A9515" w14:textId="77777777" w:rsidR="00277AD0" w:rsidRPr="00007A50" w:rsidRDefault="00277AD0" w:rsidP="00277AD0">
      <w:pPr>
        <w:pStyle w:val="a9"/>
        <w:spacing w:before="240" w:after="240" w:line="360" w:lineRule="auto"/>
        <w:contextualSpacing w:val="0"/>
        <w:jc w:val="both"/>
        <w:rPr>
          <w:rFonts w:ascii="Arial" w:hAnsi="Arial"/>
          <w:rtl/>
        </w:rPr>
      </w:pPr>
      <w:r w:rsidRPr="00007A50">
        <w:rPr>
          <w:rFonts w:ascii="Arial" w:hAnsi="Arial"/>
          <w:rtl/>
        </w:rPr>
        <w:t xml:space="preserve">מדיניות ההחמרה בענישה קיבלה באחרונה ביטוי סטטוטורי </w:t>
      </w:r>
      <w:hyperlink r:id="rId19" w:history="1">
        <w:r w:rsidR="00F83651" w:rsidRPr="00F83651">
          <w:rPr>
            <w:rStyle w:val="Hyperlink"/>
            <w:rFonts w:ascii="Arial" w:hAnsi="Arial"/>
            <w:rtl/>
          </w:rPr>
          <w:t>בסעיף 144(ז)</w:t>
        </w:r>
      </w:hyperlink>
      <w:r w:rsidRPr="00007A50">
        <w:rPr>
          <w:rFonts w:ascii="Arial" w:hAnsi="Arial"/>
          <w:rtl/>
        </w:rPr>
        <w:t xml:space="preserve"> לחוק, אשר חוקק במסגרת תיקון 140 ל</w:t>
      </w:r>
      <w:hyperlink r:id="rId20" w:history="1">
        <w:r w:rsidR="00C8272A" w:rsidRPr="00C8272A">
          <w:rPr>
            <w:rFonts w:ascii="Arial" w:hAnsi="Arial"/>
            <w:color w:val="0000FF"/>
            <w:u w:val="single"/>
            <w:rtl/>
          </w:rPr>
          <w:t>חוק העונשין</w:t>
        </w:r>
      </w:hyperlink>
      <w:r w:rsidRPr="00007A50">
        <w:rPr>
          <w:rFonts w:ascii="Arial" w:hAnsi="Arial"/>
          <w:rtl/>
        </w:rPr>
        <w:t xml:space="preserve"> (תיקון מס' 140 – הוראת שעה, התשפ"ב – 2021, ס"ח 2938). </w:t>
      </w:r>
    </w:p>
    <w:p w14:paraId="42D5FD7A" w14:textId="77777777" w:rsidR="00277AD0" w:rsidRPr="00B67038" w:rsidRDefault="00277AD0" w:rsidP="00277AD0">
      <w:pPr>
        <w:pStyle w:val="a9"/>
        <w:spacing w:before="240" w:after="240" w:line="360" w:lineRule="auto"/>
        <w:contextualSpacing w:val="0"/>
        <w:jc w:val="both"/>
        <w:rPr>
          <w:rFonts w:ascii="Arial" w:hAnsi="Arial"/>
          <w:rtl/>
        </w:rPr>
      </w:pPr>
      <w:r w:rsidRPr="004A6161">
        <w:rPr>
          <w:rFonts w:ascii="Arial" w:hAnsi="Arial"/>
          <w:b/>
          <w:bCs/>
          <w:rtl/>
        </w:rPr>
        <w:t>נקבע בפסיקת</w:t>
      </w:r>
      <w:r w:rsidRPr="004A6161">
        <w:rPr>
          <w:rFonts w:ascii="Arial" w:hAnsi="Arial" w:hint="cs"/>
          <w:b/>
          <w:bCs/>
          <w:rtl/>
        </w:rPr>
        <w:t>ו העדכנית של</w:t>
      </w:r>
      <w:r w:rsidRPr="004A6161">
        <w:rPr>
          <w:rFonts w:ascii="Arial" w:hAnsi="Arial"/>
          <w:b/>
          <w:bCs/>
          <w:rtl/>
        </w:rPr>
        <w:t xml:space="preserve"> בית המשפט העליון כי המתחם הראוי ביחס לעבירה של נשיאת נשק "רגילה", </w:t>
      </w:r>
      <w:r w:rsidRPr="004A6161">
        <w:rPr>
          <w:rFonts w:ascii="Arial" w:hAnsi="Arial"/>
          <w:b/>
          <w:bCs/>
          <w:u w:val="single"/>
          <w:rtl/>
        </w:rPr>
        <w:t>צריך לנוע בין 30 ל- 42 חודשי מאסר</w:t>
      </w:r>
      <w:r w:rsidRPr="00007A50">
        <w:rPr>
          <w:rFonts w:ascii="Arial" w:hAnsi="Arial"/>
          <w:rtl/>
        </w:rPr>
        <w:t xml:space="preserve">, לצד רכיבי ענישה נלווים [ראה בהקשר זה: </w:t>
      </w:r>
      <w:hyperlink r:id="rId21" w:history="1">
        <w:r w:rsidR="00C8272A" w:rsidRPr="00C8272A">
          <w:rPr>
            <w:rFonts w:ascii="Arial" w:hAnsi="Arial"/>
            <w:color w:val="0000FF"/>
            <w:u w:val="single"/>
            <w:rtl/>
          </w:rPr>
          <w:t>ע"פ 5602/22</w:t>
        </w:r>
      </w:hyperlink>
      <w:r w:rsidRPr="00007A50">
        <w:rPr>
          <w:rFonts w:ascii="Arial" w:hAnsi="Arial"/>
          <w:rtl/>
        </w:rPr>
        <w:t xml:space="preserve"> </w:t>
      </w:r>
      <w:r w:rsidRPr="00007A50">
        <w:rPr>
          <w:rFonts w:ascii="Arial" w:hAnsi="Arial"/>
          <w:b/>
          <w:bCs/>
          <w:rtl/>
        </w:rPr>
        <w:t>מדינת ישראל נ' פלוני</w:t>
      </w:r>
      <w:r w:rsidRPr="00007A50">
        <w:rPr>
          <w:rFonts w:ascii="Arial" w:hAnsi="Arial"/>
          <w:rtl/>
        </w:rPr>
        <w:t xml:space="preserve"> (8.9.2022); </w:t>
      </w:r>
      <w:hyperlink r:id="rId22" w:history="1">
        <w:r w:rsidR="00C8272A" w:rsidRPr="00C8272A">
          <w:rPr>
            <w:rFonts w:ascii="Arial" w:hAnsi="Arial"/>
            <w:color w:val="0000FF"/>
            <w:u w:val="single"/>
            <w:rtl/>
          </w:rPr>
          <w:t>ע"פ 4077/22</w:t>
        </w:r>
      </w:hyperlink>
      <w:r w:rsidRPr="00007A50">
        <w:rPr>
          <w:rFonts w:ascii="Arial" w:hAnsi="Arial"/>
          <w:rtl/>
        </w:rPr>
        <w:t xml:space="preserve"> </w:t>
      </w:r>
      <w:r w:rsidRPr="00007A50">
        <w:rPr>
          <w:rFonts w:ascii="Arial" w:hAnsi="Arial"/>
          <w:b/>
          <w:bCs/>
          <w:rtl/>
        </w:rPr>
        <w:t>פלוני נ' מדינת ישראל</w:t>
      </w:r>
      <w:r w:rsidRPr="00007A50">
        <w:rPr>
          <w:rFonts w:ascii="Arial" w:hAnsi="Arial"/>
          <w:rtl/>
        </w:rPr>
        <w:t xml:space="preserve"> (28.7.2022); </w:t>
      </w:r>
      <w:hyperlink r:id="rId23" w:history="1">
        <w:r w:rsidR="00C8272A" w:rsidRPr="00C8272A">
          <w:rPr>
            <w:rFonts w:ascii="Arial" w:hAnsi="Arial"/>
            <w:color w:val="0000FF"/>
            <w:u w:val="single"/>
            <w:rtl/>
          </w:rPr>
          <w:t>ע"פ 5522/20</w:t>
        </w:r>
      </w:hyperlink>
      <w:r w:rsidRPr="00007A50">
        <w:rPr>
          <w:rFonts w:ascii="Arial" w:hAnsi="Arial"/>
          <w:rtl/>
        </w:rPr>
        <w:t xml:space="preserve"> </w:t>
      </w:r>
      <w:r w:rsidRPr="00007A50">
        <w:rPr>
          <w:rFonts w:ascii="Arial" w:hAnsi="Arial"/>
          <w:b/>
          <w:bCs/>
          <w:rtl/>
        </w:rPr>
        <w:t>חלייחל נ' מדינת ישראל</w:t>
      </w:r>
      <w:r w:rsidRPr="00007A50">
        <w:rPr>
          <w:rFonts w:ascii="Arial" w:hAnsi="Arial"/>
          <w:rtl/>
        </w:rPr>
        <w:t xml:space="preserve"> (24.2.2021); </w:t>
      </w:r>
      <w:hyperlink r:id="rId24" w:history="1">
        <w:r w:rsidR="00C8272A" w:rsidRPr="00C8272A">
          <w:rPr>
            <w:rFonts w:ascii="Arial" w:hAnsi="Arial"/>
            <w:color w:val="0000FF"/>
            <w:u w:val="single"/>
            <w:rtl/>
          </w:rPr>
          <w:t>ע"פ 8869/21</w:t>
        </w:r>
      </w:hyperlink>
      <w:r w:rsidRPr="00007A50">
        <w:rPr>
          <w:rFonts w:ascii="Arial" w:hAnsi="Arial"/>
          <w:rtl/>
        </w:rPr>
        <w:t xml:space="preserve"> </w:t>
      </w:r>
      <w:r w:rsidRPr="00007A50">
        <w:rPr>
          <w:rFonts w:ascii="Arial" w:hAnsi="Arial"/>
          <w:b/>
          <w:bCs/>
          <w:rtl/>
        </w:rPr>
        <w:t>מדינת ישראל נ' קואסמה</w:t>
      </w:r>
      <w:r w:rsidRPr="00007A50">
        <w:rPr>
          <w:rFonts w:ascii="Arial" w:hAnsi="Arial"/>
          <w:rtl/>
        </w:rPr>
        <w:t xml:space="preserve"> (13.3.2022)].</w:t>
      </w:r>
    </w:p>
    <w:p w14:paraId="266A09AA" w14:textId="77777777" w:rsidR="00277AD0" w:rsidRDefault="00277AD0" w:rsidP="00277AD0">
      <w:pPr>
        <w:pStyle w:val="a9"/>
        <w:numPr>
          <w:ilvl w:val="0"/>
          <w:numId w:val="1"/>
        </w:numPr>
        <w:spacing w:before="240" w:after="240" w:line="360" w:lineRule="auto"/>
        <w:jc w:val="both"/>
        <w:rPr>
          <w:rFonts w:ascii="Arial" w:hAnsi="Arial"/>
        </w:rPr>
      </w:pPr>
      <w:r>
        <w:rPr>
          <w:rFonts w:ascii="Arial" w:hAnsi="Arial" w:hint="cs"/>
          <w:rtl/>
        </w:rPr>
        <w:t xml:space="preserve">באשר לנסיבות האירוע, דומה כי קיימת הבחנה ברורה בין חלקו המרכזי של נאשם 1 באירוע לבין חלקו השולי של נאשם 2. </w:t>
      </w:r>
    </w:p>
    <w:p w14:paraId="4D017827" w14:textId="77777777" w:rsidR="00277AD0" w:rsidRDefault="00277AD0" w:rsidP="00277AD0">
      <w:pPr>
        <w:pStyle w:val="a9"/>
        <w:spacing w:before="240" w:after="240" w:line="360" w:lineRule="auto"/>
        <w:jc w:val="both"/>
        <w:rPr>
          <w:rFonts w:ascii="Arial" w:hAnsi="Arial"/>
          <w:rtl/>
        </w:rPr>
      </w:pPr>
    </w:p>
    <w:p w14:paraId="4C6B4F40" w14:textId="77777777" w:rsidR="00277AD0" w:rsidRDefault="00277AD0" w:rsidP="00277AD0">
      <w:pPr>
        <w:pStyle w:val="a9"/>
        <w:spacing w:before="240" w:after="240" w:line="360" w:lineRule="auto"/>
        <w:jc w:val="both"/>
        <w:rPr>
          <w:rFonts w:ascii="Arial" w:hAnsi="Arial"/>
          <w:rtl/>
        </w:rPr>
      </w:pPr>
      <w:r w:rsidRPr="00E4319D">
        <w:rPr>
          <w:rFonts w:ascii="Arial" w:hAnsi="Arial" w:hint="cs"/>
          <w:rtl/>
        </w:rPr>
        <w:t xml:space="preserve">נאשם 1 </w:t>
      </w:r>
      <w:r>
        <w:rPr>
          <w:rFonts w:ascii="Arial" w:hAnsi="Arial" w:hint="cs"/>
          <w:rtl/>
        </w:rPr>
        <w:t xml:space="preserve">נכנס לרכב כשהוא יודע על הטמנת האקדח והמחסנית ברכב, נסע עם הרכב והאקדח ברחובות תל-אביב, ואף ביצע ירי באמצעותו. יש טעם בטיעון התביעה באשר לפוטנציאל הסכנה הטמון בירי המבוצע בטבורה של עיר, גם אם בסופו של יום, דובר בירייה אחת לאוויר. נראה כי השילוב בין נשיאת הנשק (המצדיקה, על פי קביעת בית המשפט העליון, מתחם המתחיל ב-30 חודשי מאסר) לעובדה כי הנאשם עשה בו שימוש, מחייבת קביעת מתחם אשר הרף התחתון שלו גבוה מ-30 חודשי מאסר. </w:t>
      </w:r>
    </w:p>
    <w:p w14:paraId="4BCC3758" w14:textId="77777777" w:rsidR="00277AD0" w:rsidRDefault="00277AD0" w:rsidP="00277AD0">
      <w:pPr>
        <w:pStyle w:val="a9"/>
        <w:spacing w:before="240" w:after="240" w:line="360" w:lineRule="auto"/>
        <w:jc w:val="both"/>
        <w:rPr>
          <w:rFonts w:ascii="Arial" w:hAnsi="Arial"/>
          <w:rtl/>
        </w:rPr>
      </w:pPr>
    </w:p>
    <w:p w14:paraId="747416CA" w14:textId="77777777" w:rsidR="00277AD0" w:rsidRDefault="00277AD0" w:rsidP="00277AD0">
      <w:pPr>
        <w:pStyle w:val="a9"/>
        <w:spacing w:before="240" w:after="240" w:line="360" w:lineRule="auto"/>
        <w:jc w:val="both"/>
        <w:rPr>
          <w:rFonts w:ascii="Arial" w:hAnsi="Arial"/>
          <w:rtl/>
        </w:rPr>
      </w:pPr>
      <w:r>
        <w:rPr>
          <w:rFonts w:ascii="Arial" w:hAnsi="Arial" w:hint="cs"/>
          <w:rtl/>
        </w:rPr>
        <w:t xml:space="preserve">בכל הנוגע לנאשם 2, מדובר בסיוע הנמצא ברף הנמוך ביותר, שמצא ביטוי בנוכחות בלבד, כאשר כניסתו של נאשם 2 לרכב, נעשתה מבלי שהיה מודע לקיומו של האקדח, ומודעותו התגבשה רק לאחר שליפתו של האקדח על-ידי נאשם 1, וביצוע אותו ירי באוויר. </w:t>
      </w:r>
    </w:p>
    <w:p w14:paraId="249B2BD6" w14:textId="77777777" w:rsidR="00277AD0" w:rsidRDefault="00277AD0" w:rsidP="00277AD0">
      <w:pPr>
        <w:pStyle w:val="a9"/>
        <w:spacing w:before="240" w:after="240" w:line="360" w:lineRule="auto"/>
        <w:jc w:val="both"/>
        <w:rPr>
          <w:rFonts w:ascii="Arial" w:hAnsi="Arial"/>
          <w:rtl/>
        </w:rPr>
      </w:pPr>
    </w:p>
    <w:p w14:paraId="6FED6C4F" w14:textId="77777777" w:rsidR="00277AD0" w:rsidRPr="00E4319D" w:rsidRDefault="00277AD0" w:rsidP="00277AD0">
      <w:pPr>
        <w:pStyle w:val="a9"/>
        <w:numPr>
          <w:ilvl w:val="0"/>
          <w:numId w:val="1"/>
        </w:numPr>
        <w:spacing w:before="240" w:after="240" w:line="360" w:lineRule="auto"/>
        <w:jc w:val="both"/>
        <w:rPr>
          <w:rFonts w:ascii="Arial" w:hAnsi="Arial"/>
          <w:rtl/>
        </w:rPr>
      </w:pPr>
      <w:r w:rsidRPr="00E4319D">
        <w:rPr>
          <w:rFonts w:ascii="Arial" w:hAnsi="Arial" w:hint="cs"/>
          <w:rtl/>
        </w:rPr>
        <w:t>באשר למדיניות הענישה הנהוגה, ראיתי להפנות לפסקי הדין הבאים:</w:t>
      </w:r>
    </w:p>
    <w:p w14:paraId="0260FC0D" w14:textId="77777777" w:rsidR="00277AD0" w:rsidRDefault="00C8272A" w:rsidP="00277AD0">
      <w:pPr>
        <w:spacing w:before="240" w:after="240" w:line="360" w:lineRule="auto"/>
        <w:ind w:left="720"/>
        <w:jc w:val="both"/>
        <w:rPr>
          <w:rFonts w:ascii="Arial" w:hAnsi="Arial"/>
          <w:rtl/>
        </w:rPr>
      </w:pPr>
      <w:hyperlink r:id="rId25" w:history="1">
        <w:r w:rsidRPr="00C8272A">
          <w:rPr>
            <w:rFonts w:ascii="Arial" w:hAnsi="Arial"/>
            <w:color w:val="0000FF"/>
            <w:u w:val="single"/>
            <w:rtl/>
          </w:rPr>
          <w:t>ע"פ 2602/23</w:t>
        </w:r>
      </w:hyperlink>
      <w:r w:rsidR="00277AD0" w:rsidRPr="00A554ED">
        <w:rPr>
          <w:rFonts w:ascii="Arial" w:hAnsi="Arial"/>
          <w:rtl/>
        </w:rPr>
        <w:t xml:space="preserve"> </w:t>
      </w:r>
      <w:r w:rsidR="00277AD0" w:rsidRPr="00A554ED">
        <w:rPr>
          <w:rFonts w:ascii="Arial" w:hAnsi="Arial"/>
          <w:b/>
          <w:bCs/>
          <w:rtl/>
        </w:rPr>
        <w:t>אבו ואדי נ' מדינת ישראל</w:t>
      </w:r>
      <w:r w:rsidR="00277AD0" w:rsidRPr="00A554ED">
        <w:rPr>
          <w:rFonts w:ascii="Arial" w:hAnsi="Arial"/>
          <w:rtl/>
        </w:rPr>
        <w:t xml:space="preserve"> (7.11.2023)- המערער</w:t>
      </w:r>
      <w:r w:rsidR="00277AD0">
        <w:rPr>
          <w:rFonts w:ascii="Arial" w:hAnsi="Arial" w:hint="cs"/>
          <w:rtl/>
        </w:rPr>
        <w:t xml:space="preserve"> הורשע</w:t>
      </w:r>
      <w:r w:rsidR="00277AD0" w:rsidRPr="00A554ED">
        <w:rPr>
          <w:rFonts w:ascii="Arial" w:hAnsi="Arial"/>
          <w:rtl/>
        </w:rPr>
        <w:t xml:space="preserve"> על יסוד הודאת במסגרת הסדר טיעון בעבירות של החזקת נשק וירי מנשק חם, בכך שעל רקע סכסוך, החזיק יחד עם אדם נוסף בנשק ארוך הדומה ל- </w:t>
      </w:r>
      <w:r w:rsidR="00277AD0" w:rsidRPr="00A554ED">
        <w:rPr>
          <w:rFonts w:ascii="Arial" w:hAnsi="Arial"/>
        </w:rPr>
        <w:t>M-16</w:t>
      </w:r>
      <w:r w:rsidR="00277AD0" w:rsidRPr="00A554ED">
        <w:rPr>
          <w:rFonts w:ascii="Arial" w:hAnsi="Arial"/>
          <w:rtl/>
        </w:rPr>
        <w:t xml:space="preserve"> איים על המתלוננים כי י</w:t>
      </w:r>
      <w:r w:rsidR="00277AD0">
        <w:rPr>
          <w:rFonts w:ascii="Arial" w:hAnsi="Arial" w:hint="cs"/>
          <w:rtl/>
        </w:rPr>
        <w:t>י</w:t>
      </w:r>
      <w:r w:rsidR="00277AD0" w:rsidRPr="00A554ED">
        <w:rPr>
          <w:rFonts w:ascii="Arial" w:hAnsi="Arial"/>
          <w:rtl/>
        </w:rPr>
        <w:t xml:space="preserve">רה </w:t>
      </w:r>
      <w:r w:rsidR="00277AD0">
        <w:rPr>
          <w:rFonts w:ascii="Arial" w:hAnsi="Arial" w:hint="cs"/>
          <w:rtl/>
        </w:rPr>
        <w:t>בהם,</w:t>
      </w:r>
      <w:r w:rsidR="00277AD0" w:rsidRPr="00A554ED">
        <w:rPr>
          <w:rFonts w:ascii="Arial" w:hAnsi="Arial"/>
          <w:rtl/>
        </w:rPr>
        <w:t xml:space="preserve"> ולאחר שהמתלונ</w:t>
      </w:r>
      <w:r w:rsidR="00277AD0">
        <w:rPr>
          <w:rFonts w:ascii="Arial" w:hAnsi="Arial"/>
          <w:rtl/>
        </w:rPr>
        <w:t xml:space="preserve">נים המשיכו בשלהם כיוון את הנשק </w:t>
      </w:r>
      <w:r w:rsidR="00277AD0">
        <w:rPr>
          <w:rFonts w:ascii="Arial" w:hAnsi="Arial" w:hint="cs"/>
          <w:rtl/>
        </w:rPr>
        <w:t>כ</w:t>
      </w:r>
      <w:r w:rsidR="00277AD0" w:rsidRPr="00A554ED">
        <w:rPr>
          <w:rFonts w:ascii="Arial" w:hAnsi="Arial"/>
          <w:rtl/>
        </w:rPr>
        <w:t xml:space="preserve">לפי מעלה וירה מספר יריות. בית המשפט המחוזי </w:t>
      </w:r>
      <w:r w:rsidR="00277AD0">
        <w:rPr>
          <w:rFonts w:ascii="Arial" w:hAnsi="Arial" w:hint="cs"/>
          <w:rtl/>
        </w:rPr>
        <w:t xml:space="preserve">קבע </w:t>
      </w:r>
      <w:r w:rsidR="00277AD0" w:rsidRPr="00A554ED">
        <w:rPr>
          <w:rFonts w:ascii="Arial" w:hAnsi="Arial"/>
          <w:b/>
          <w:bCs/>
          <w:rtl/>
        </w:rPr>
        <w:t>מתחם הנע בין 4 ל-6 שנות מאסר</w:t>
      </w:r>
      <w:r w:rsidR="00277AD0" w:rsidRPr="00A554ED">
        <w:rPr>
          <w:rFonts w:ascii="Arial" w:hAnsi="Arial"/>
          <w:rtl/>
        </w:rPr>
        <w:t xml:space="preserve"> וגזר על המערער 54 חודשי מאסר. ערעורו לבית המשפט העליון נדחה.</w:t>
      </w:r>
    </w:p>
    <w:p w14:paraId="5DB2412F" w14:textId="77777777" w:rsidR="00277AD0" w:rsidRPr="00A554ED" w:rsidRDefault="00277AD0" w:rsidP="00277AD0">
      <w:pPr>
        <w:spacing w:before="240" w:after="240" w:line="360" w:lineRule="auto"/>
        <w:ind w:left="720"/>
        <w:jc w:val="both"/>
        <w:rPr>
          <w:rFonts w:ascii="Arial" w:hAnsi="Arial"/>
          <w:rtl/>
        </w:rPr>
      </w:pPr>
      <w:r>
        <w:rPr>
          <w:rFonts w:ascii="Arial" w:hAnsi="Arial" w:hint="cs"/>
          <w:rtl/>
        </w:rPr>
        <w:t xml:space="preserve">מדובר באירוע חמור משמעותית מהמקרה שלפני, הן בהינתן השוני בין כלי הנשק, והן בהינתן העובדה כי כלי הנשק שימש במסגרת אינטראקציה עבריינית אלימה.   </w:t>
      </w:r>
    </w:p>
    <w:p w14:paraId="1A7B8657" w14:textId="77777777" w:rsidR="00277AD0" w:rsidRDefault="00C8272A" w:rsidP="00277AD0">
      <w:pPr>
        <w:spacing w:before="240" w:after="240" w:line="360" w:lineRule="auto"/>
        <w:ind w:left="720"/>
        <w:jc w:val="both"/>
        <w:rPr>
          <w:rFonts w:ascii="Arial" w:hAnsi="Arial"/>
          <w:rtl/>
        </w:rPr>
      </w:pPr>
      <w:hyperlink r:id="rId26" w:history="1">
        <w:r w:rsidRPr="00C8272A">
          <w:rPr>
            <w:rFonts w:ascii="Arial" w:hAnsi="Arial"/>
            <w:color w:val="0000FF"/>
            <w:u w:val="single"/>
            <w:rtl/>
          </w:rPr>
          <w:t>ע"פ 9014/20</w:t>
        </w:r>
      </w:hyperlink>
      <w:r w:rsidR="00277AD0" w:rsidRPr="00A554ED">
        <w:rPr>
          <w:rFonts w:ascii="Arial" w:hAnsi="Arial"/>
          <w:rtl/>
        </w:rPr>
        <w:t xml:space="preserve"> </w:t>
      </w:r>
      <w:r w:rsidR="00277AD0" w:rsidRPr="00DC3A24">
        <w:rPr>
          <w:rFonts w:ascii="Arial" w:hAnsi="Arial"/>
          <w:b/>
          <w:bCs/>
          <w:rtl/>
        </w:rPr>
        <w:t>מדינת ישראל נ' ג'רבאן</w:t>
      </w:r>
      <w:r w:rsidR="00277AD0" w:rsidRPr="00A554ED">
        <w:rPr>
          <w:rFonts w:ascii="Arial" w:hAnsi="Arial"/>
          <w:rtl/>
        </w:rPr>
        <w:t xml:space="preserve"> (10.3.2021) - המערער הורשע על יסוד הודאתו בעובדות כתב אישום מתוקן במסגרת הסדר טיעון בעבירות של החזקה ונשיאת נשק (שתי עבירות), ירי באזור מגורים (שתי עבירות) ואיומים, בכך שבשני מקרים ביצע ירי לעבר ביתם של אנשים עמם היה מסוכסך (כאשר אותם אנשים ירו קודם לעבר בית משפחתו). בית המשפט המחוזי קבע </w:t>
      </w:r>
      <w:r w:rsidR="00277AD0" w:rsidRPr="00646292">
        <w:rPr>
          <w:rFonts w:ascii="Arial" w:hAnsi="Arial"/>
          <w:b/>
          <w:bCs/>
          <w:rtl/>
        </w:rPr>
        <w:t>מתחם שנע בין 24 ל-48 חודשי מאסר</w:t>
      </w:r>
      <w:r w:rsidR="00277AD0" w:rsidRPr="00A554ED">
        <w:rPr>
          <w:rFonts w:ascii="Arial" w:hAnsi="Arial"/>
          <w:rtl/>
        </w:rPr>
        <w:t xml:space="preserve"> בפועל, והשית על הנאשם 24 חודשי מאסר בפועל, לצד עונשים נלווים. ערעור שהוגש לבית המשפט העליון על </w:t>
      </w:r>
      <w:r w:rsidR="00277AD0">
        <w:rPr>
          <w:rFonts w:ascii="Arial" w:hAnsi="Arial" w:hint="cs"/>
          <w:rtl/>
        </w:rPr>
        <w:t>קולת</w:t>
      </w:r>
      <w:r w:rsidR="00277AD0">
        <w:rPr>
          <w:rFonts w:ascii="Arial" w:hAnsi="Arial"/>
          <w:rtl/>
        </w:rPr>
        <w:t xml:space="preserve"> העונש</w:t>
      </w:r>
      <w:r w:rsidR="00277AD0" w:rsidRPr="00A554ED">
        <w:rPr>
          <w:rFonts w:ascii="Arial" w:hAnsi="Arial"/>
          <w:rtl/>
        </w:rPr>
        <w:t xml:space="preserve"> נדחה</w:t>
      </w:r>
      <w:r w:rsidR="00277AD0">
        <w:rPr>
          <w:rFonts w:ascii="Arial" w:hAnsi="Arial" w:hint="cs"/>
          <w:rtl/>
        </w:rPr>
        <w:t>, תוך שצוין כי מדובר בעונש על הרף הנמוך וכי אין זו דרכה של ערכאת הערעור להתערב אלא במקרים חריגים</w:t>
      </w:r>
      <w:r w:rsidR="00277AD0" w:rsidRPr="00A554ED">
        <w:rPr>
          <w:rFonts w:ascii="Arial" w:hAnsi="Arial"/>
          <w:rtl/>
        </w:rPr>
        <w:t xml:space="preserve">. </w:t>
      </w:r>
    </w:p>
    <w:p w14:paraId="0FDD6F0E" w14:textId="77777777" w:rsidR="00277AD0" w:rsidRPr="00A554ED" w:rsidRDefault="00277AD0" w:rsidP="00277AD0">
      <w:pPr>
        <w:spacing w:before="240" w:after="240" w:line="360" w:lineRule="auto"/>
        <w:ind w:left="720"/>
        <w:jc w:val="both"/>
        <w:rPr>
          <w:rFonts w:ascii="Arial" w:hAnsi="Arial"/>
          <w:rtl/>
        </w:rPr>
      </w:pPr>
      <w:r>
        <w:rPr>
          <w:rFonts w:ascii="Arial" w:hAnsi="Arial" w:hint="cs"/>
          <w:rtl/>
        </w:rPr>
        <w:t xml:space="preserve">יש ליתן את הדעת לעובדה כי במקרה דנן בוצע הירי כלפי בית מגורים, בעוד שבענייננו דובר בירייה אחת לאוויר. </w:t>
      </w:r>
    </w:p>
    <w:p w14:paraId="3CFA2F72" w14:textId="77777777" w:rsidR="00277AD0" w:rsidRPr="00A554ED" w:rsidRDefault="00C8272A" w:rsidP="00277AD0">
      <w:pPr>
        <w:spacing w:before="240" w:after="240" w:line="360" w:lineRule="auto"/>
        <w:ind w:left="720"/>
        <w:jc w:val="both"/>
        <w:rPr>
          <w:rFonts w:ascii="Arial" w:hAnsi="Arial"/>
          <w:rtl/>
        </w:rPr>
      </w:pPr>
      <w:hyperlink r:id="rId27" w:history="1">
        <w:r w:rsidRPr="00C8272A">
          <w:rPr>
            <w:rFonts w:ascii="Arial" w:hAnsi="Arial"/>
            <w:color w:val="0000FF"/>
            <w:u w:val="single"/>
            <w:rtl/>
          </w:rPr>
          <w:t>ת"פ (מחוזי חי') 50477-12-22</w:t>
        </w:r>
      </w:hyperlink>
      <w:r w:rsidR="00277AD0" w:rsidRPr="00A554ED">
        <w:rPr>
          <w:rFonts w:ascii="Arial" w:hAnsi="Arial"/>
          <w:rtl/>
        </w:rPr>
        <w:t xml:space="preserve"> </w:t>
      </w:r>
      <w:r w:rsidR="00277AD0" w:rsidRPr="00A554ED">
        <w:rPr>
          <w:rFonts w:ascii="Arial" w:hAnsi="Arial"/>
          <w:b/>
          <w:bCs/>
          <w:rtl/>
        </w:rPr>
        <w:t>מדינת ישראל נ' בוקאעי</w:t>
      </w:r>
      <w:r w:rsidR="00277AD0" w:rsidRPr="00A554ED">
        <w:rPr>
          <w:rFonts w:ascii="Arial" w:hAnsi="Arial"/>
          <w:rtl/>
        </w:rPr>
        <w:t xml:space="preserve"> (30.10.2023) – הנאשם הורשע על יסוד הודאתו בעבירות של ירי מנשק חם (שלוש עבירות) ועבירות בנשק (החזקה, נשיאה והובלה). על פי עובדות כתב האישום החזיק הנאשם בביתו עובר לאירועים נשוא כתב האישום אקדח בקוטר 9 מ"מ, מחסנית מתאימה וכדורים. בהמשך, בשלוש הזדמנויות שונו</w:t>
      </w:r>
      <w:r w:rsidR="00277AD0">
        <w:rPr>
          <w:rFonts w:ascii="Arial" w:hAnsi="Arial"/>
          <w:rtl/>
        </w:rPr>
        <w:t>ת יצא הנאשם מביתו אל רחוב סמו</w:t>
      </w:r>
      <w:r w:rsidR="00277AD0" w:rsidRPr="00A554ED">
        <w:rPr>
          <w:rFonts w:ascii="Arial" w:hAnsi="Arial"/>
          <w:rtl/>
        </w:rPr>
        <w:t xml:space="preserve">ך כשהוא נושא ומוביל את האקדח הטעון וירה מהאקדח באוויר באזור מגורים. בית המשפט קבע בעניינו </w:t>
      </w:r>
      <w:r w:rsidR="00277AD0" w:rsidRPr="00A554ED">
        <w:rPr>
          <w:rFonts w:ascii="Arial" w:hAnsi="Arial"/>
          <w:b/>
          <w:bCs/>
          <w:rtl/>
        </w:rPr>
        <w:t>מתחם הנע בין 28 ל-56 חודשי מאסר</w:t>
      </w:r>
      <w:r w:rsidR="00277AD0" w:rsidRPr="00A554ED">
        <w:rPr>
          <w:rFonts w:ascii="Arial" w:hAnsi="Arial"/>
          <w:rtl/>
        </w:rPr>
        <w:t xml:space="preserve"> והטיל עליו 30 חודשי מאסר לצד ענישה נלווית.</w:t>
      </w:r>
    </w:p>
    <w:p w14:paraId="64FB0D91" w14:textId="77777777" w:rsidR="00277AD0" w:rsidRDefault="00277AD0" w:rsidP="00277AD0">
      <w:pPr>
        <w:spacing w:before="240" w:after="240" w:line="360" w:lineRule="auto"/>
        <w:ind w:left="720"/>
        <w:jc w:val="both"/>
        <w:rPr>
          <w:rFonts w:ascii="Arial" w:hAnsi="Arial"/>
          <w:rtl/>
        </w:rPr>
      </w:pPr>
      <w:r>
        <w:rPr>
          <w:rFonts w:ascii="Arial" w:hAnsi="Arial" w:hint="cs"/>
          <w:rtl/>
        </w:rPr>
        <w:t>מקרה זה חמור מעניינו נוכח מספר ההזדמנויות בהן ביצע הנאשם ירי.</w:t>
      </w:r>
    </w:p>
    <w:p w14:paraId="0E4455C3" w14:textId="77777777" w:rsidR="00277AD0" w:rsidRDefault="00C8272A" w:rsidP="00277AD0">
      <w:pPr>
        <w:spacing w:before="240" w:after="240" w:line="360" w:lineRule="auto"/>
        <w:ind w:left="720"/>
        <w:jc w:val="both"/>
        <w:rPr>
          <w:rFonts w:ascii="Arial" w:hAnsi="Arial"/>
          <w:rtl/>
        </w:rPr>
      </w:pPr>
      <w:hyperlink r:id="rId28" w:history="1">
        <w:r w:rsidRPr="00C8272A">
          <w:rPr>
            <w:rFonts w:ascii="Arial" w:hAnsi="Arial"/>
            <w:color w:val="0000FF"/>
            <w:u w:val="single"/>
            <w:rtl/>
          </w:rPr>
          <w:t>ת"פ (מחוזי ירושלים) 44169-08-22</w:t>
        </w:r>
      </w:hyperlink>
      <w:r w:rsidR="00277AD0" w:rsidRPr="00A554ED">
        <w:rPr>
          <w:rFonts w:ascii="Arial" w:hAnsi="Arial"/>
          <w:rtl/>
        </w:rPr>
        <w:t xml:space="preserve"> </w:t>
      </w:r>
      <w:r w:rsidR="00277AD0" w:rsidRPr="00DC3A24">
        <w:rPr>
          <w:rFonts w:ascii="Arial" w:hAnsi="Arial"/>
          <w:b/>
          <w:bCs/>
          <w:rtl/>
        </w:rPr>
        <w:t>מדינת ישראל נ' חמאד ואח'</w:t>
      </w:r>
      <w:r w:rsidR="00277AD0" w:rsidRPr="00A554ED">
        <w:rPr>
          <w:rFonts w:ascii="Arial" w:hAnsi="Arial"/>
          <w:rtl/>
        </w:rPr>
        <w:t xml:space="preserve"> (11.09.2023) –</w:t>
      </w:r>
      <w:r w:rsidR="00277AD0">
        <w:rPr>
          <w:rFonts w:ascii="Arial" w:hAnsi="Arial" w:hint="cs"/>
          <w:rtl/>
        </w:rPr>
        <w:t xml:space="preserve"> </w:t>
      </w:r>
      <w:r w:rsidR="00277AD0" w:rsidRPr="00A554ED">
        <w:rPr>
          <w:rFonts w:ascii="Arial" w:hAnsi="Arial"/>
          <w:rtl/>
        </w:rPr>
        <w:t>נאשם 1</w:t>
      </w:r>
      <w:r w:rsidR="00277AD0">
        <w:rPr>
          <w:rFonts w:ascii="Arial" w:hAnsi="Arial" w:hint="cs"/>
          <w:rtl/>
        </w:rPr>
        <w:t>, הוא הרלוונטי לענייננו, הורשע ב</w:t>
      </w:r>
      <w:r w:rsidR="00277AD0" w:rsidRPr="00A554ED">
        <w:rPr>
          <w:rFonts w:ascii="Arial" w:hAnsi="Arial"/>
          <w:rtl/>
        </w:rPr>
        <w:t>החזקת נשק וירי בנשק חם באזור מגורים בצוותא</w:t>
      </w:r>
      <w:r w:rsidR="00277AD0">
        <w:rPr>
          <w:rFonts w:ascii="Arial" w:hAnsi="Arial" w:hint="cs"/>
          <w:rtl/>
        </w:rPr>
        <w:t xml:space="preserve">. </w:t>
      </w:r>
      <w:r w:rsidR="00277AD0" w:rsidRPr="00A554ED">
        <w:rPr>
          <w:rFonts w:ascii="Arial" w:hAnsi="Arial"/>
          <w:rtl/>
        </w:rPr>
        <w:t>על פי עובדות כתב ה</w:t>
      </w:r>
      <w:r w:rsidR="00277AD0">
        <w:rPr>
          <w:rFonts w:ascii="Arial" w:hAnsi="Arial"/>
          <w:rtl/>
        </w:rPr>
        <w:t>אישום המתוקן, התקיים אירוע בבית</w:t>
      </w:r>
      <w:r w:rsidR="00277AD0">
        <w:rPr>
          <w:rFonts w:ascii="Arial" w:hAnsi="Arial" w:hint="cs"/>
          <w:rtl/>
        </w:rPr>
        <w:t xml:space="preserve">ו של נאשם 1 </w:t>
      </w:r>
      <w:r w:rsidR="00277AD0" w:rsidRPr="00A554ED">
        <w:rPr>
          <w:rFonts w:ascii="Arial" w:hAnsi="Arial"/>
          <w:rtl/>
        </w:rPr>
        <w:t xml:space="preserve">לרגל הולדת אחיינו, </w:t>
      </w:r>
      <w:r w:rsidR="00277AD0">
        <w:rPr>
          <w:rFonts w:ascii="Arial" w:hAnsi="Arial" w:hint="cs"/>
          <w:rtl/>
        </w:rPr>
        <w:t>ו</w:t>
      </w:r>
      <w:r w:rsidR="00277AD0" w:rsidRPr="00A554ED">
        <w:rPr>
          <w:rFonts w:ascii="Arial" w:hAnsi="Arial"/>
          <w:rtl/>
        </w:rPr>
        <w:t>באירוע נכחו</w:t>
      </w:r>
      <w:r w:rsidR="00277AD0">
        <w:rPr>
          <w:rFonts w:ascii="Arial" w:hAnsi="Arial" w:hint="cs"/>
          <w:rtl/>
        </w:rPr>
        <w:t>,</w:t>
      </w:r>
      <w:r w:rsidR="00277AD0" w:rsidRPr="00A554ED">
        <w:rPr>
          <w:rFonts w:ascii="Arial" w:hAnsi="Arial"/>
          <w:rtl/>
        </w:rPr>
        <w:t xml:space="preserve"> בין היתר</w:t>
      </w:r>
      <w:r w:rsidR="00277AD0">
        <w:rPr>
          <w:rFonts w:ascii="Arial" w:hAnsi="Arial" w:hint="cs"/>
          <w:rtl/>
        </w:rPr>
        <w:t>,</w:t>
      </w:r>
      <w:r w:rsidR="00277AD0" w:rsidRPr="00A554ED">
        <w:rPr>
          <w:rFonts w:ascii="Arial" w:hAnsi="Arial"/>
          <w:rtl/>
        </w:rPr>
        <w:t xml:space="preserve"> נאשמים </w:t>
      </w:r>
      <w:r w:rsidR="00277AD0">
        <w:rPr>
          <w:rFonts w:ascii="Arial" w:hAnsi="Arial" w:hint="cs"/>
          <w:rtl/>
        </w:rPr>
        <w:t xml:space="preserve">נוספים. </w:t>
      </w:r>
      <w:r w:rsidR="00277AD0" w:rsidRPr="00A554ED">
        <w:rPr>
          <w:rFonts w:ascii="Arial" w:hAnsi="Arial"/>
          <w:rtl/>
        </w:rPr>
        <w:t xml:space="preserve">במהלך האירוע נאשם 1 יצא מביתו כשבידו נשק מסוג </w:t>
      </w:r>
      <w:r w:rsidR="00277AD0" w:rsidRPr="00A554ED">
        <w:rPr>
          <w:rFonts w:ascii="Arial" w:hAnsi="Arial"/>
        </w:rPr>
        <w:t>M-16</w:t>
      </w:r>
      <w:r w:rsidR="00277AD0" w:rsidRPr="00A554ED">
        <w:rPr>
          <w:rFonts w:ascii="Arial" w:hAnsi="Arial"/>
          <w:rtl/>
        </w:rPr>
        <w:t xml:space="preserve"> עמו הסתובב באזור האירוע משך זמן מה. בשלב מסוים מסר נאשם 1 את הרובה לאדם אחר, אשר ירה ברובה בנוכחות ובסמוך לנאשם 1 ואז החזירו לידיו. זמן קצר לאחר מכן, נא</w:t>
      </w:r>
      <w:r w:rsidR="00277AD0">
        <w:rPr>
          <w:rFonts w:ascii="Arial" w:hAnsi="Arial"/>
          <w:rtl/>
        </w:rPr>
        <w:t>שם 1 מסר שקית ובה הרובה לנאשם 2</w:t>
      </w:r>
      <w:r w:rsidR="00277AD0">
        <w:rPr>
          <w:rFonts w:ascii="Arial" w:hAnsi="Arial" w:hint="cs"/>
          <w:rtl/>
        </w:rPr>
        <w:t>.</w:t>
      </w:r>
      <w:r w:rsidR="00277AD0" w:rsidRPr="00A554ED">
        <w:rPr>
          <w:rFonts w:ascii="Arial" w:hAnsi="Arial"/>
          <w:rtl/>
        </w:rPr>
        <w:t xml:space="preserve"> בית המשפט קבע ביחס לנאשם 1 – </w:t>
      </w:r>
      <w:r w:rsidR="00277AD0" w:rsidRPr="00646292">
        <w:rPr>
          <w:rFonts w:ascii="Arial" w:hAnsi="Arial"/>
          <w:b/>
          <w:bCs/>
          <w:rtl/>
        </w:rPr>
        <w:t>מתחם הנע בין 22 ל-40 חודשי מאסר</w:t>
      </w:r>
      <w:r w:rsidR="00277AD0" w:rsidRPr="00A554ED">
        <w:rPr>
          <w:rFonts w:ascii="Arial" w:hAnsi="Arial"/>
          <w:rtl/>
        </w:rPr>
        <w:t xml:space="preserve"> והטיל עליו 24 חודשי מאסר לצד ענישה נלווית</w:t>
      </w:r>
      <w:r w:rsidR="00277AD0">
        <w:rPr>
          <w:rFonts w:ascii="Arial" w:hAnsi="Arial" w:hint="cs"/>
          <w:rtl/>
        </w:rPr>
        <w:t>.</w:t>
      </w:r>
    </w:p>
    <w:p w14:paraId="6E9AC466" w14:textId="77777777" w:rsidR="00277AD0" w:rsidRPr="00A554ED" w:rsidRDefault="00277AD0" w:rsidP="00277AD0">
      <w:pPr>
        <w:spacing w:before="240" w:after="240" w:line="360" w:lineRule="auto"/>
        <w:ind w:left="720"/>
        <w:jc w:val="both"/>
        <w:rPr>
          <w:rFonts w:ascii="Arial" w:hAnsi="Arial"/>
          <w:rtl/>
        </w:rPr>
      </w:pPr>
      <w:r>
        <w:rPr>
          <w:rFonts w:ascii="Arial" w:hAnsi="Arial" w:hint="cs"/>
          <w:rtl/>
        </w:rPr>
        <w:t xml:space="preserve">יש ליתן את הדעת כי הנאשם באותו מקרה לא הורשע בעבירה של נשיאת נשק ולא ירה בנשק (בניגוד לענייננו), אף שהחזיק בו ומסר אותו לאדם אחר שביצע את הירי באוויר.  </w:t>
      </w:r>
    </w:p>
    <w:p w14:paraId="426D5D7D" w14:textId="77777777" w:rsidR="00277AD0" w:rsidRDefault="00C8272A" w:rsidP="00277AD0">
      <w:pPr>
        <w:spacing w:before="240" w:after="240" w:line="360" w:lineRule="auto"/>
        <w:ind w:left="720"/>
        <w:jc w:val="both"/>
        <w:rPr>
          <w:rFonts w:ascii="Arial" w:hAnsi="Arial"/>
          <w:rtl/>
        </w:rPr>
      </w:pPr>
      <w:hyperlink r:id="rId29" w:history="1">
        <w:r w:rsidRPr="00C8272A">
          <w:rPr>
            <w:rFonts w:ascii="Arial" w:hAnsi="Arial"/>
            <w:color w:val="0000FF"/>
            <w:u w:val="single"/>
            <w:rtl/>
          </w:rPr>
          <w:t>ת"פ (מחוזי מרכז) 4734-12-22</w:t>
        </w:r>
      </w:hyperlink>
      <w:r w:rsidR="00277AD0" w:rsidRPr="00A554ED">
        <w:rPr>
          <w:rFonts w:ascii="Arial" w:hAnsi="Arial"/>
          <w:rtl/>
        </w:rPr>
        <w:t xml:space="preserve"> </w:t>
      </w:r>
      <w:r w:rsidR="00277AD0" w:rsidRPr="00646292">
        <w:rPr>
          <w:rFonts w:ascii="Arial" w:hAnsi="Arial"/>
          <w:b/>
          <w:bCs/>
          <w:rtl/>
        </w:rPr>
        <w:t>מדינת ישראל נ' נאסר ואח'</w:t>
      </w:r>
      <w:r w:rsidR="00277AD0" w:rsidRPr="00A554ED">
        <w:rPr>
          <w:rFonts w:ascii="Arial" w:hAnsi="Arial"/>
          <w:rtl/>
        </w:rPr>
        <w:t xml:space="preserve"> (08.08.2023) – הנאשמים הורשעו על יסוד הודאתם במסגרת</w:t>
      </w:r>
      <w:r w:rsidR="00277AD0">
        <w:rPr>
          <w:rFonts w:ascii="Arial" w:hAnsi="Arial"/>
          <w:rtl/>
        </w:rPr>
        <w:t xml:space="preserve"> הסדר טיעון</w:t>
      </w:r>
      <w:r w:rsidR="00277AD0">
        <w:rPr>
          <w:rFonts w:ascii="Arial" w:hAnsi="Arial" w:hint="cs"/>
          <w:rtl/>
        </w:rPr>
        <w:t>.</w:t>
      </w:r>
      <w:r w:rsidR="00277AD0">
        <w:rPr>
          <w:rFonts w:ascii="Arial" w:hAnsi="Arial"/>
          <w:rtl/>
        </w:rPr>
        <w:t xml:space="preserve"> </w:t>
      </w:r>
      <w:r w:rsidR="00277AD0">
        <w:rPr>
          <w:rFonts w:ascii="Arial" w:hAnsi="Arial" w:hint="cs"/>
          <w:rtl/>
        </w:rPr>
        <w:t>נאשם 1, הוא הרלוונטי לענייננו, הורשע בעבירות של</w:t>
      </w:r>
      <w:r w:rsidR="00277AD0" w:rsidRPr="00A554ED">
        <w:rPr>
          <w:rFonts w:ascii="Arial" w:hAnsi="Arial"/>
          <w:rtl/>
        </w:rPr>
        <w:t xml:space="preserve"> נשיאה והובלת נשק, ירי מנשק חם, איומים והפרת הוראה חוקית</w:t>
      </w:r>
      <w:r w:rsidR="00277AD0">
        <w:rPr>
          <w:rFonts w:ascii="Arial" w:hAnsi="Arial" w:hint="cs"/>
          <w:rtl/>
        </w:rPr>
        <w:t>.</w:t>
      </w:r>
      <w:r w:rsidR="00277AD0" w:rsidRPr="00A554ED">
        <w:rPr>
          <w:rFonts w:ascii="Arial" w:hAnsi="Arial"/>
          <w:rtl/>
        </w:rPr>
        <w:t xml:space="preserve"> על פי עובדות כתב האישום המתוקן, בין נאשם 1 לאחר התגלע סכסוך כספי. במועד הרלוונטי שהו שני הנאשמים בתנאי מעצר בית לילי בביתם בטירה. סמוך לשעה 04:00, התקשר נאשם 1 לאחר ואיים עליו בין היתר כי "יקבל את הנקמה שלו" וכי יירו על ביתו בשעה הקרובה, סמוך לכך נסעו הנאשמים ברכב כשבלוחית הזיהוי שלו הוסתרה הספרה האמצעית, כשהם מובילים ברכב נשק מסוג </w:t>
      </w:r>
      <w:r w:rsidR="00277AD0" w:rsidRPr="00646292">
        <w:rPr>
          <w:rFonts w:ascii="Arial" w:hAnsi="Arial"/>
          <w:b/>
          <w:bCs/>
          <w:rtl/>
        </w:rPr>
        <w:t>קלצ'ניקוב</w:t>
      </w:r>
      <w:r w:rsidR="00277AD0" w:rsidRPr="00A554ED">
        <w:rPr>
          <w:rFonts w:ascii="Arial" w:hAnsi="Arial"/>
          <w:rtl/>
        </w:rPr>
        <w:t xml:space="preserve"> ומחסנית טעונה ב-9 כדורים לבית אביו של האחר, בהגיעם לבית ירו לעבר ביתו וגרמו נזק לקירות ושער הבית. הנאשמים המשיכו בנסיעתם, הגיעו לביתו של האחר, ומשהבחינו ברכב משטרה נמלטו מהמקום. בעקבות זאת, נסעו השוטרים ברכב אחרי הנאשמים, שהאיצו את מהירות נסיעתם עד שהגיעו סמוך לביתו של נאשם 1. נאשם 1 יצא מהרכב, השליך את הנשק בקרבת מקום, רץ לביתו ונתפס </w:t>
      </w:r>
      <w:r w:rsidR="00277AD0">
        <w:rPr>
          <w:rFonts w:ascii="Arial" w:hAnsi="Arial"/>
          <w:rtl/>
        </w:rPr>
        <w:t>על-ידי</w:t>
      </w:r>
      <w:r w:rsidR="00277AD0" w:rsidRPr="00A554ED">
        <w:rPr>
          <w:rFonts w:ascii="Arial" w:hAnsi="Arial"/>
          <w:rtl/>
        </w:rPr>
        <w:t xml:space="preserve"> השוטרים. בית המשפט קבע ביחס לנאשם 1 </w:t>
      </w:r>
      <w:r w:rsidR="00277AD0">
        <w:rPr>
          <w:rFonts w:ascii="Arial" w:hAnsi="Arial"/>
          <w:b/>
          <w:bCs/>
          <w:rtl/>
        </w:rPr>
        <w:t>מתחם הנע בין 3</w:t>
      </w:r>
      <w:r w:rsidR="00277AD0">
        <w:rPr>
          <w:rFonts w:ascii="Arial" w:hAnsi="Arial" w:hint="cs"/>
          <w:b/>
          <w:bCs/>
          <w:rtl/>
        </w:rPr>
        <w:t xml:space="preserve">.5 </w:t>
      </w:r>
      <w:r w:rsidR="00277AD0" w:rsidRPr="00646292">
        <w:rPr>
          <w:rFonts w:ascii="Arial" w:hAnsi="Arial"/>
          <w:b/>
          <w:bCs/>
          <w:rtl/>
        </w:rPr>
        <w:t>שנות מאסר</w:t>
      </w:r>
      <w:r w:rsidR="00277AD0" w:rsidRPr="00A554ED">
        <w:rPr>
          <w:rFonts w:ascii="Arial" w:hAnsi="Arial"/>
          <w:rtl/>
        </w:rPr>
        <w:t xml:space="preserve"> </w:t>
      </w:r>
      <w:r w:rsidR="00277AD0" w:rsidRPr="008C2DF6">
        <w:rPr>
          <w:rFonts w:ascii="Arial" w:hAnsi="Arial" w:hint="cs"/>
          <w:b/>
          <w:bCs/>
          <w:rtl/>
        </w:rPr>
        <w:t>ל- 7 שנות מאסר</w:t>
      </w:r>
      <w:r w:rsidR="00277AD0">
        <w:rPr>
          <w:rFonts w:ascii="Arial" w:hAnsi="Arial" w:hint="cs"/>
          <w:rtl/>
        </w:rPr>
        <w:t xml:space="preserve">, </w:t>
      </w:r>
      <w:r w:rsidR="00277AD0" w:rsidRPr="00A554ED">
        <w:rPr>
          <w:rFonts w:ascii="Arial" w:hAnsi="Arial"/>
          <w:rtl/>
        </w:rPr>
        <w:t>והטיל עליו 50 חודשי מאסר לצד ענישה נלווית</w:t>
      </w:r>
      <w:r w:rsidR="00277AD0">
        <w:rPr>
          <w:rFonts w:ascii="Arial" w:hAnsi="Arial" w:hint="cs"/>
          <w:rtl/>
        </w:rPr>
        <w:t>.</w:t>
      </w:r>
      <w:r w:rsidR="00277AD0" w:rsidRPr="00A554ED">
        <w:rPr>
          <w:rFonts w:ascii="Arial" w:hAnsi="Arial"/>
          <w:rtl/>
        </w:rPr>
        <w:t xml:space="preserve"> </w:t>
      </w:r>
    </w:p>
    <w:p w14:paraId="78A8558E" w14:textId="77777777" w:rsidR="00277AD0" w:rsidRPr="00A554ED" w:rsidRDefault="00277AD0" w:rsidP="00277AD0">
      <w:pPr>
        <w:spacing w:before="240" w:after="240" w:line="360" w:lineRule="auto"/>
        <w:ind w:left="720"/>
        <w:jc w:val="both"/>
        <w:rPr>
          <w:rFonts w:ascii="Arial" w:hAnsi="Arial"/>
          <w:rtl/>
        </w:rPr>
      </w:pPr>
      <w:r>
        <w:rPr>
          <w:rFonts w:ascii="Arial" w:hAnsi="Arial" w:hint="cs"/>
          <w:rtl/>
        </w:rPr>
        <w:t>מקרה זה חמור מעניינו הן לנוכח סוג הנשק, הן לנוכח העובדה כי הנשק כוון לפגיעה באותו אחר, וכי נגרם נזק כתוצאה מהירי.</w:t>
      </w:r>
    </w:p>
    <w:p w14:paraId="6CE71DEC" w14:textId="77777777" w:rsidR="00277AD0" w:rsidRPr="00A554ED" w:rsidRDefault="00C8272A" w:rsidP="00277AD0">
      <w:pPr>
        <w:spacing w:before="240" w:after="240" w:line="360" w:lineRule="auto"/>
        <w:ind w:left="720"/>
        <w:jc w:val="both"/>
        <w:rPr>
          <w:rFonts w:ascii="Arial" w:hAnsi="Arial"/>
          <w:rtl/>
        </w:rPr>
      </w:pPr>
      <w:hyperlink r:id="rId30" w:history="1">
        <w:r w:rsidRPr="00C8272A">
          <w:rPr>
            <w:rFonts w:ascii="Arial" w:hAnsi="Arial"/>
            <w:color w:val="0000FF"/>
            <w:u w:val="single"/>
            <w:rtl/>
          </w:rPr>
          <w:t>ת"פ (מחוזי מרכז) 58027-12-21</w:t>
        </w:r>
      </w:hyperlink>
      <w:r w:rsidR="00277AD0" w:rsidRPr="00A554ED">
        <w:rPr>
          <w:rFonts w:ascii="Arial" w:hAnsi="Arial"/>
          <w:rtl/>
        </w:rPr>
        <w:t xml:space="preserve"> </w:t>
      </w:r>
      <w:r w:rsidR="00277AD0" w:rsidRPr="00F2167C">
        <w:rPr>
          <w:rFonts w:ascii="Arial" w:hAnsi="Arial"/>
          <w:b/>
          <w:bCs/>
          <w:rtl/>
        </w:rPr>
        <w:t>מדינת ישראל נ' חאג' יחיא ואח'</w:t>
      </w:r>
      <w:r w:rsidR="00277AD0" w:rsidRPr="00A554ED">
        <w:rPr>
          <w:rFonts w:ascii="Arial" w:hAnsi="Arial"/>
          <w:rtl/>
        </w:rPr>
        <w:t xml:space="preserve"> (17.07.2023) – הנאשמים הורשעו על יסוד הודאתם במסגרת הסדר טיעון</w:t>
      </w:r>
      <w:r w:rsidR="00277AD0">
        <w:rPr>
          <w:rFonts w:ascii="Arial" w:hAnsi="Arial" w:hint="cs"/>
          <w:rtl/>
        </w:rPr>
        <w:t>.</w:t>
      </w:r>
      <w:r w:rsidR="00277AD0" w:rsidRPr="00A554ED">
        <w:rPr>
          <w:rFonts w:ascii="Arial" w:hAnsi="Arial"/>
          <w:rtl/>
        </w:rPr>
        <w:t xml:space="preserve"> נאשם 1</w:t>
      </w:r>
      <w:r w:rsidR="00277AD0">
        <w:rPr>
          <w:rFonts w:ascii="Arial" w:hAnsi="Arial" w:hint="cs"/>
          <w:rtl/>
        </w:rPr>
        <w:t>, הרלוונטי לעניינו, הורשע</w:t>
      </w:r>
      <w:r w:rsidR="00277AD0" w:rsidRPr="00A554ED">
        <w:rPr>
          <w:rFonts w:ascii="Arial" w:hAnsi="Arial"/>
          <w:rtl/>
        </w:rPr>
        <w:t xml:space="preserve"> בעבירת נשיאת נשק, אביזר ותחמושת ובעבירת ירי מנשק חם</w:t>
      </w:r>
      <w:r w:rsidR="00277AD0">
        <w:rPr>
          <w:rFonts w:ascii="Arial" w:hAnsi="Arial" w:hint="cs"/>
          <w:rtl/>
        </w:rPr>
        <w:t>.</w:t>
      </w:r>
      <w:r w:rsidR="00277AD0" w:rsidRPr="00A554ED">
        <w:rPr>
          <w:rFonts w:ascii="Arial" w:hAnsi="Arial"/>
          <w:rtl/>
        </w:rPr>
        <w:t xml:space="preserve"> על פי עובדות כתב האישום המתוקן, בין נאשם 2 לבין אחייניו של המתלונן התגלע סכסוך חנייה. נאשם 2 סירב להזיז את רכבו, ניגש לרכב והוציא ממנו דלי ובתוכו פטיש והחל ללכת לכיוון ביתו. בהמשך, שלף נאשם 2 את הפטיש מהדלי, אחז אותו בידו ואיים לפגוע באחד מהאחיינים באומרו "תזוז או שאני אפגע בך". לאחר זמן קצר הגיע המתלונן למקום, ולמשמע הו</w:t>
      </w:r>
      <w:r w:rsidR="00277AD0">
        <w:rPr>
          <w:rFonts w:ascii="Arial" w:hAnsi="Arial" w:hint="cs"/>
          <w:rtl/>
        </w:rPr>
        <w:t>ו</w:t>
      </w:r>
      <w:r w:rsidR="00277AD0" w:rsidRPr="00A554ED">
        <w:rPr>
          <w:rFonts w:ascii="Arial" w:hAnsi="Arial"/>
          <w:rtl/>
        </w:rPr>
        <w:t>יכוח ניגש לנאשם 2 ושוחח איתו כדי להרגיעו, בתגובה הניף נאשם 2 את הפטיש באוויר, קילל אותו ואיים על המ</w:t>
      </w:r>
      <w:r w:rsidR="00277AD0">
        <w:rPr>
          <w:rFonts w:ascii="Arial" w:hAnsi="Arial" w:hint="cs"/>
          <w:rtl/>
        </w:rPr>
        <w:t>ת</w:t>
      </w:r>
      <w:r w:rsidR="00277AD0" w:rsidRPr="00A554ED">
        <w:rPr>
          <w:rFonts w:ascii="Arial" w:hAnsi="Arial"/>
          <w:rtl/>
        </w:rPr>
        <w:t>לונן. נאשם 1, שנכח במקום</w:t>
      </w:r>
      <w:r w:rsidR="00277AD0">
        <w:rPr>
          <w:rFonts w:ascii="Arial" w:hAnsi="Arial" w:hint="cs"/>
          <w:rtl/>
        </w:rPr>
        <w:t>,</w:t>
      </w:r>
      <w:r w:rsidR="00277AD0" w:rsidRPr="00A554ED">
        <w:rPr>
          <w:rFonts w:ascii="Arial" w:hAnsi="Arial"/>
          <w:rtl/>
        </w:rPr>
        <w:t xml:space="preserve"> רץ לכיוון ביתו וצעק "אני א</w:t>
      </w:r>
      <w:r w:rsidR="00277AD0">
        <w:rPr>
          <w:rFonts w:ascii="Arial" w:hAnsi="Arial" w:hint="cs"/>
          <w:rtl/>
        </w:rPr>
        <w:t>ר</w:t>
      </w:r>
      <w:r w:rsidR="00277AD0" w:rsidRPr="00A554ED">
        <w:rPr>
          <w:rFonts w:ascii="Arial" w:hAnsi="Arial"/>
          <w:rtl/>
        </w:rPr>
        <w:t xml:space="preserve">אה לכם". כעבור זמן קצר, שב נאשם 1 למקום כשהוא נושא נשק מסוג שאינו ידוע, הטעון </w:t>
      </w:r>
      <w:r w:rsidR="00277AD0" w:rsidRPr="00F2167C">
        <w:rPr>
          <w:rFonts w:ascii="Arial" w:hAnsi="Arial"/>
          <w:b/>
          <w:bCs/>
          <w:rtl/>
        </w:rPr>
        <w:t>בכדורים 9 מ"מ</w:t>
      </w:r>
      <w:r w:rsidR="00277AD0" w:rsidRPr="00A554ED">
        <w:rPr>
          <w:rFonts w:ascii="Arial" w:hAnsi="Arial"/>
          <w:rtl/>
        </w:rPr>
        <w:t xml:space="preserve">, אחז בו כלפי מעלה והחל לירות לעיני הנוכחים מספר יריות </w:t>
      </w:r>
      <w:r w:rsidR="00277AD0">
        <w:rPr>
          <w:rFonts w:ascii="Arial" w:hAnsi="Arial"/>
          <w:rtl/>
        </w:rPr>
        <w:t>כדי להטיל מורא ופח</w:t>
      </w:r>
      <w:r w:rsidR="00277AD0">
        <w:rPr>
          <w:rFonts w:ascii="Arial" w:hAnsi="Arial" w:hint="cs"/>
          <w:rtl/>
        </w:rPr>
        <w:t>ד</w:t>
      </w:r>
      <w:r w:rsidR="00277AD0" w:rsidRPr="00A554ED">
        <w:rPr>
          <w:rFonts w:ascii="Arial" w:hAnsi="Arial"/>
          <w:rtl/>
        </w:rPr>
        <w:t xml:space="preserve"> על המתלונן ונ</w:t>
      </w:r>
      <w:r w:rsidR="00277AD0">
        <w:rPr>
          <w:rFonts w:ascii="Arial" w:hAnsi="Arial" w:hint="cs"/>
          <w:rtl/>
        </w:rPr>
        <w:t>מל</w:t>
      </w:r>
      <w:r w:rsidR="00277AD0" w:rsidRPr="00A554ED">
        <w:rPr>
          <w:rFonts w:ascii="Arial" w:hAnsi="Arial"/>
          <w:rtl/>
        </w:rPr>
        <w:t xml:space="preserve">ט לביתו. במסגרת ההסדר עתרה התביעה ביחס לנאשם 1 לעונש ראוי של 30 חודשים </w:t>
      </w:r>
      <w:r w:rsidR="00277AD0">
        <w:rPr>
          <w:rFonts w:ascii="Arial" w:hAnsi="Arial" w:hint="cs"/>
          <w:rtl/>
        </w:rPr>
        <w:t xml:space="preserve">ואילו </w:t>
      </w:r>
      <w:r w:rsidR="00277AD0" w:rsidRPr="00A554ED">
        <w:rPr>
          <w:rFonts w:ascii="Arial" w:hAnsi="Arial"/>
          <w:rtl/>
        </w:rPr>
        <w:t xml:space="preserve">ההגנה טענה באופן חופשי. בית המשפט קבע ביחס לנאשם 1 </w:t>
      </w:r>
      <w:r w:rsidR="00277AD0" w:rsidRPr="00F2167C">
        <w:rPr>
          <w:rFonts w:ascii="Arial" w:hAnsi="Arial"/>
          <w:b/>
          <w:bCs/>
          <w:rtl/>
        </w:rPr>
        <w:t>מתחם הנע בין 28 ל-50 חודשי מאסר</w:t>
      </w:r>
      <w:r w:rsidR="00277AD0" w:rsidRPr="00A554ED">
        <w:rPr>
          <w:rFonts w:ascii="Arial" w:hAnsi="Arial"/>
          <w:rtl/>
        </w:rPr>
        <w:t xml:space="preserve"> והטיל עליו</w:t>
      </w:r>
      <w:r w:rsidR="00277AD0">
        <w:rPr>
          <w:rFonts w:ascii="Arial" w:hAnsi="Arial"/>
          <w:rtl/>
        </w:rPr>
        <w:t xml:space="preserve"> 28 חודשי מאסר לצד ענישה נלווית</w:t>
      </w:r>
      <w:r w:rsidR="00277AD0">
        <w:rPr>
          <w:rFonts w:ascii="Arial" w:hAnsi="Arial" w:hint="cs"/>
          <w:rtl/>
        </w:rPr>
        <w:t>.</w:t>
      </w:r>
      <w:r w:rsidR="00277AD0" w:rsidRPr="00A554ED">
        <w:rPr>
          <w:rFonts w:ascii="Arial" w:hAnsi="Arial"/>
          <w:rtl/>
        </w:rPr>
        <w:t xml:space="preserve">  </w:t>
      </w:r>
    </w:p>
    <w:p w14:paraId="7973D1F4" w14:textId="77777777" w:rsidR="00277AD0" w:rsidRDefault="00C8272A" w:rsidP="00277AD0">
      <w:pPr>
        <w:spacing w:before="240" w:after="240" w:line="360" w:lineRule="auto"/>
        <w:ind w:left="720"/>
        <w:jc w:val="both"/>
        <w:rPr>
          <w:rFonts w:ascii="Arial" w:hAnsi="Arial"/>
          <w:rtl/>
        </w:rPr>
      </w:pPr>
      <w:hyperlink r:id="rId31" w:history="1">
        <w:r w:rsidRPr="00C8272A">
          <w:rPr>
            <w:rFonts w:ascii="Arial" w:hAnsi="Arial"/>
            <w:color w:val="0000FF"/>
            <w:u w:val="single"/>
            <w:rtl/>
          </w:rPr>
          <w:t>ת"פ (מחוזי ב"ש) 43742-07-22</w:t>
        </w:r>
      </w:hyperlink>
      <w:r w:rsidR="00277AD0" w:rsidRPr="00A554ED">
        <w:rPr>
          <w:rFonts w:ascii="Arial" w:hAnsi="Arial"/>
          <w:rtl/>
        </w:rPr>
        <w:t xml:space="preserve"> </w:t>
      </w:r>
      <w:r w:rsidR="00277AD0" w:rsidRPr="00F2167C">
        <w:rPr>
          <w:rFonts w:ascii="Arial" w:hAnsi="Arial"/>
          <w:b/>
          <w:bCs/>
          <w:rtl/>
        </w:rPr>
        <w:t>מדינת ישראל נ' אלסייד ואח'</w:t>
      </w:r>
      <w:r w:rsidR="00277AD0" w:rsidRPr="00A554ED">
        <w:rPr>
          <w:rFonts w:ascii="Arial" w:hAnsi="Arial"/>
          <w:rtl/>
        </w:rPr>
        <w:t xml:space="preserve"> (25.6.2023) – הנאשמים הורשעו על יסוד הודאתם במסגרת הסדר טיעון בעבירות הבאות: נאשם 1 - נשיאה והובלה של נשק וירי מנשק חם; נאשם 2 – החזקת נשק וירי מנשק חם. על פי עובדות כתב האישום המתוקן נאשם 1 נשא והוביל </w:t>
      </w:r>
      <w:r w:rsidR="00277AD0" w:rsidRPr="00F2167C">
        <w:rPr>
          <w:rFonts w:ascii="Arial" w:hAnsi="Arial"/>
          <w:b/>
          <w:bCs/>
          <w:rtl/>
        </w:rPr>
        <w:t>אקדח</w:t>
      </w:r>
      <w:r w:rsidR="00277AD0" w:rsidRPr="00A554ED">
        <w:rPr>
          <w:rFonts w:ascii="Arial" w:hAnsi="Arial"/>
          <w:rtl/>
        </w:rPr>
        <w:t xml:space="preserve"> חצי אוטומט מסוג </w:t>
      </w:r>
      <w:r w:rsidR="00277AD0" w:rsidRPr="00A554ED">
        <w:rPr>
          <w:rFonts w:ascii="Arial" w:hAnsi="Arial"/>
        </w:rPr>
        <w:t>CZ</w:t>
      </w:r>
      <w:r w:rsidR="00277AD0" w:rsidRPr="00A554ED">
        <w:rPr>
          <w:rFonts w:ascii="Arial" w:hAnsi="Arial"/>
          <w:rtl/>
        </w:rPr>
        <w:t xml:space="preserve"> כשהוא טעון במחסנית תואמת ובה תשעה כדורים בקליבר 9 מ"מ. נאשם 1 הגיע עם האקדח לשטח פתוח סמוך לתחנת דלק בפאתי היישוב חורה, בשלב מסוים הגיע למקום נאשם 2 והשניים ירו באוויר באמצעות האקדח, כל אחד בתורו, עד שכל הכדורים במחסנית נורו. בהמשך עזבו את המקום והגיעו יחד לאזור הסמוך למרכז המסחרי בכניסה ליישוב, כשנאשם 1 נושא את האקדח על גופו, ושם נעצרו </w:t>
      </w:r>
      <w:r w:rsidR="00277AD0">
        <w:rPr>
          <w:rFonts w:ascii="Arial" w:hAnsi="Arial"/>
          <w:rtl/>
        </w:rPr>
        <w:t>על-ידי</w:t>
      </w:r>
      <w:r w:rsidR="00277AD0" w:rsidRPr="00A554ED">
        <w:rPr>
          <w:rFonts w:ascii="Arial" w:hAnsi="Arial"/>
          <w:rtl/>
        </w:rPr>
        <w:t xml:space="preserve"> המשטרה. בית המשפט קבע ביחס לנאשם 1 </w:t>
      </w:r>
      <w:r w:rsidR="00277AD0" w:rsidRPr="00F2167C">
        <w:rPr>
          <w:rFonts w:ascii="Arial" w:hAnsi="Arial"/>
          <w:b/>
          <w:bCs/>
          <w:rtl/>
        </w:rPr>
        <w:t>מתחם הנע בין 32 ל-54 חודשי מאסר</w:t>
      </w:r>
      <w:r w:rsidR="00277AD0" w:rsidRPr="00A554ED">
        <w:rPr>
          <w:rFonts w:ascii="Arial" w:hAnsi="Arial"/>
          <w:rtl/>
        </w:rPr>
        <w:t xml:space="preserve"> והטיל עליו 38 חודשי מאסר לצד ענישה נלווית, וביחס לנאשם 2 מתחם הנע בין 22 ל-36 חודשי מאסר והטיל עליו 26 חודשי מאסר לצד ענישה נלווית.</w:t>
      </w:r>
    </w:p>
    <w:p w14:paraId="6B4A7B25"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נוכח מכלול השיקולים שפורטו לעיל ראיתי לקבוע את המתחמים הבאים:</w:t>
      </w:r>
    </w:p>
    <w:p w14:paraId="23631DE0"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 xml:space="preserve"> בעניינו של </w:t>
      </w:r>
      <w:r w:rsidRPr="00E24FE7">
        <w:rPr>
          <w:rFonts w:ascii="Arial" w:hAnsi="Arial" w:hint="cs"/>
          <w:b/>
          <w:bCs/>
          <w:rtl/>
        </w:rPr>
        <w:t>נאשם 1</w:t>
      </w:r>
      <w:r>
        <w:rPr>
          <w:rFonts w:ascii="Arial" w:hAnsi="Arial" w:hint="cs"/>
          <w:rtl/>
        </w:rPr>
        <w:t xml:space="preserve"> מתחם הנע בין 34 חודשי מאסר ל-56 חודשי מאסר;</w:t>
      </w:r>
    </w:p>
    <w:p w14:paraId="2C7DCF5A" w14:textId="77777777" w:rsidR="00277AD0" w:rsidRDefault="00277AD0" w:rsidP="00277AD0">
      <w:pPr>
        <w:pStyle w:val="a9"/>
        <w:spacing w:before="240" w:after="240" w:line="360" w:lineRule="auto"/>
        <w:contextualSpacing w:val="0"/>
        <w:jc w:val="both"/>
        <w:rPr>
          <w:rFonts w:ascii="Arial" w:hAnsi="Arial"/>
          <w:rtl/>
        </w:rPr>
      </w:pPr>
      <w:r>
        <w:rPr>
          <w:rFonts w:ascii="Arial" w:hAnsi="Arial" w:hint="cs"/>
          <w:rtl/>
        </w:rPr>
        <w:t xml:space="preserve"> בעניינו של </w:t>
      </w:r>
      <w:r w:rsidRPr="00E24FE7">
        <w:rPr>
          <w:rFonts w:ascii="Arial" w:hAnsi="Arial" w:hint="cs"/>
          <w:b/>
          <w:bCs/>
          <w:rtl/>
        </w:rPr>
        <w:t>נאשם 2</w:t>
      </w:r>
      <w:r>
        <w:rPr>
          <w:rFonts w:ascii="Arial" w:hAnsi="Arial" w:hint="cs"/>
          <w:rtl/>
        </w:rPr>
        <w:t xml:space="preserve"> מתחם הנע בין  5 חודשי מאסר ל-24 חודשי מאסר.</w:t>
      </w:r>
    </w:p>
    <w:p w14:paraId="71887347" w14:textId="77777777" w:rsidR="00277AD0" w:rsidRDefault="00277AD0" w:rsidP="00277AD0">
      <w:pPr>
        <w:pStyle w:val="a9"/>
        <w:spacing w:before="240" w:after="240" w:line="360" w:lineRule="auto"/>
        <w:contextualSpacing w:val="0"/>
        <w:jc w:val="both"/>
        <w:rPr>
          <w:rFonts w:ascii="Arial" w:hAnsi="Arial"/>
          <w:u w:val="single"/>
          <w:rtl/>
        </w:rPr>
      </w:pPr>
      <w:r w:rsidRPr="00E24FE7">
        <w:rPr>
          <w:rFonts w:ascii="Arial" w:hAnsi="Arial" w:hint="cs"/>
          <w:u w:val="single"/>
          <w:rtl/>
        </w:rPr>
        <w:t>העונש המתאים לנאשמים</w:t>
      </w:r>
    </w:p>
    <w:p w14:paraId="1ABB64DB" w14:textId="77777777" w:rsidR="00277AD0" w:rsidRPr="003D0DE4" w:rsidRDefault="00277AD0" w:rsidP="00277AD0">
      <w:pPr>
        <w:pStyle w:val="a9"/>
        <w:numPr>
          <w:ilvl w:val="0"/>
          <w:numId w:val="1"/>
        </w:numPr>
        <w:spacing w:before="240" w:after="240" w:line="360" w:lineRule="auto"/>
        <w:contextualSpacing w:val="0"/>
        <w:jc w:val="both"/>
        <w:rPr>
          <w:rFonts w:ascii="Arial" w:hAnsi="Arial"/>
          <w:u w:val="single"/>
        </w:rPr>
      </w:pPr>
      <w:r>
        <w:rPr>
          <w:rFonts w:ascii="Arial" w:hAnsi="Arial" w:hint="cs"/>
          <w:rtl/>
        </w:rPr>
        <w:t>ביחס לנאשם 1, יש לזקוף לזכותו את גילו הצעיר, את נטילת האחריות למעשיו ואת החיסכון בזמן ציבורי. לחובתו, בעברו עבירה אחת משנת 2019 במסגרתה הורשע בעבירת אלימות ונדון ל-3 חודשי מאסר לריצוי על דרך של עבודות שירות. מדובר במי שעומד בפני מאסרו הראשון ויש ליתן לנתון זה משקל מסוים. אני ער להמלצת שרות המבחן בעניינו אולם נוכח חומרת העבירה, והיות שאין בנמצא נתונים המצדיקים בעניינו חריגה מהמתחם מטעמי שיקום, לא ניתן לאמצה. לאור מכלול הנתונים ראיתי להציב את עונשו סמוך מאד לתחתית מתחם העונש ההולם, אך לא בתחתיתו.</w:t>
      </w:r>
    </w:p>
    <w:p w14:paraId="2218D4FE" w14:textId="77777777" w:rsidR="00277AD0" w:rsidRPr="003D0DE4" w:rsidRDefault="00277AD0" w:rsidP="00277AD0">
      <w:pPr>
        <w:pStyle w:val="a9"/>
        <w:numPr>
          <w:ilvl w:val="0"/>
          <w:numId w:val="1"/>
        </w:numPr>
        <w:spacing w:before="240" w:after="240" w:line="360" w:lineRule="auto"/>
        <w:contextualSpacing w:val="0"/>
        <w:jc w:val="both"/>
        <w:rPr>
          <w:rFonts w:ascii="Arial" w:hAnsi="Arial"/>
          <w:u w:val="single"/>
        </w:rPr>
      </w:pPr>
      <w:r>
        <w:rPr>
          <w:rFonts w:ascii="Arial" w:hAnsi="Arial" w:hint="cs"/>
          <w:rtl/>
        </w:rPr>
        <w:t xml:space="preserve">ביחס לנאשם 2, מדובר בצעיר, ללא הרשעות קודמות, שנטל אחריות על מעשיו, חסך זמן ציבורי וכעולה מתסקיר שרות המבחן - הורתע ממעצרו והפנים את הפסול שבמעשיו.  </w:t>
      </w:r>
    </w:p>
    <w:p w14:paraId="2DAFC6ED" w14:textId="77777777" w:rsidR="00277AD0" w:rsidRPr="003D0DE4" w:rsidRDefault="00277AD0" w:rsidP="00277AD0">
      <w:pPr>
        <w:pStyle w:val="a9"/>
        <w:spacing w:before="240" w:after="240" w:line="360" w:lineRule="auto"/>
        <w:contextualSpacing w:val="0"/>
        <w:jc w:val="both"/>
        <w:rPr>
          <w:rFonts w:ascii="Arial" w:hAnsi="Arial"/>
          <w:u w:val="single"/>
          <w:rtl/>
        </w:rPr>
      </w:pPr>
      <w:r w:rsidRPr="003D0DE4">
        <w:rPr>
          <w:rFonts w:ascii="Arial" w:hAnsi="Arial" w:hint="cs"/>
          <w:u w:val="single"/>
          <w:rtl/>
        </w:rPr>
        <w:t>סוף דבר</w:t>
      </w:r>
    </w:p>
    <w:p w14:paraId="4B6F43D8" w14:textId="77777777" w:rsidR="00277AD0" w:rsidRDefault="00277AD0" w:rsidP="00277AD0">
      <w:pPr>
        <w:pStyle w:val="a9"/>
        <w:numPr>
          <w:ilvl w:val="0"/>
          <w:numId w:val="1"/>
        </w:numPr>
        <w:spacing w:before="240" w:after="240" w:line="360" w:lineRule="auto"/>
        <w:contextualSpacing w:val="0"/>
        <w:jc w:val="both"/>
        <w:rPr>
          <w:rFonts w:ascii="Arial" w:hAnsi="Arial"/>
        </w:rPr>
      </w:pPr>
      <w:r>
        <w:rPr>
          <w:rFonts w:ascii="Arial" w:hAnsi="Arial" w:hint="cs"/>
          <w:rtl/>
        </w:rPr>
        <w:t>לאור האמור לעיל, ראיתי להטיל על הנאשמים את העונשים הבאים:</w:t>
      </w:r>
    </w:p>
    <w:p w14:paraId="068A95D5" w14:textId="77777777" w:rsidR="00277AD0" w:rsidRDefault="00277AD0" w:rsidP="00277AD0">
      <w:pPr>
        <w:pStyle w:val="a9"/>
        <w:spacing w:before="240" w:after="240" w:line="360" w:lineRule="auto"/>
        <w:contextualSpacing w:val="0"/>
        <w:jc w:val="both"/>
        <w:rPr>
          <w:rFonts w:ascii="Arial" w:hAnsi="Arial"/>
          <w:b/>
          <w:bCs/>
          <w:rtl/>
        </w:rPr>
      </w:pPr>
      <w:r>
        <w:rPr>
          <w:rFonts w:ascii="Arial" w:hAnsi="Arial" w:hint="cs"/>
          <w:b/>
          <w:bCs/>
          <w:rtl/>
        </w:rPr>
        <w:t>נאשם 1</w:t>
      </w:r>
    </w:p>
    <w:p w14:paraId="0DA2B020" w14:textId="77777777" w:rsidR="00277AD0" w:rsidRDefault="00277AD0" w:rsidP="00277AD0">
      <w:pPr>
        <w:pStyle w:val="a9"/>
        <w:numPr>
          <w:ilvl w:val="0"/>
          <w:numId w:val="2"/>
        </w:numPr>
        <w:spacing w:before="240" w:after="240" w:line="360" w:lineRule="auto"/>
        <w:contextualSpacing w:val="0"/>
        <w:jc w:val="both"/>
        <w:rPr>
          <w:rFonts w:ascii="Arial" w:hAnsi="Arial"/>
        </w:rPr>
      </w:pPr>
      <w:r>
        <w:rPr>
          <w:rFonts w:ascii="Arial" w:hAnsi="Arial" w:hint="cs"/>
          <w:rtl/>
        </w:rPr>
        <w:t>35 חודשי מאסר החל מיום 6.11.22.</w:t>
      </w:r>
    </w:p>
    <w:p w14:paraId="354B6164" w14:textId="77777777" w:rsidR="00277AD0" w:rsidRDefault="00277AD0" w:rsidP="00277AD0">
      <w:pPr>
        <w:pStyle w:val="a9"/>
        <w:numPr>
          <w:ilvl w:val="0"/>
          <w:numId w:val="2"/>
        </w:numPr>
        <w:spacing w:before="240" w:after="240" w:line="360" w:lineRule="auto"/>
        <w:contextualSpacing w:val="0"/>
        <w:jc w:val="both"/>
        <w:rPr>
          <w:rFonts w:ascii="Arial" w:hAnsi="Arial"/>
        </w:rPr>
      </w:pPr>
      <w:r w:rsidRPr="00EE3325">
        <w:rPr>
          <w:rFonts w:ascii="Arial" w:hAnsi="Arial" w:hint="cs"/>
          <w:rtl/>
        </w:rPr>
        <w:t xml:space="preserve">9 חודשי מאסר אולם הנאשם לא יישא עונש זה אלא </w:t>
      </w:r>
      <w:r>
        <w:rPr>
          <w:rFonts w:ascii="Arial" w:hAnsi="Arial" w:hint="cs"/>
          <w:rtl/>
        </w:rPr>
        <w:t xml:space="preserve">אם </w:t>
      </w:r>
      <w:r w:rsidRPr="00EE3325">
        <w:rPr>
          <w:rFonts w:ascii="Arial" w:hAnsi="Arial" w:hint="cs"/>
          <w:rtl/>
        </w:rPr>
        <w:t>יעבור תוך 3 שנים מיום שחרורו עבירת נשק</w:t>
      </w:r>
      <w:r>
        <w:rPr>
          <w:rFonts w:ascii="Arial" w:hAnsi="Arial" w:hint="cs"/>
          <w:rtl/>
        </w:rPr>
        <w:t xml:space="preserve"> או עבירת אלימות מסוג פשע.</w:t>
      </w:r>
    </w:p>
    <w:p w14:paraId="27E401C9" w14:textId="77777777" w:rsidR="00277AD0" w:rsidRPr="00F16573" w:rsidRDefault="00277AD0" w:rsidP="00277AD0">
      <w:pPr>
        <w:pStyle w:val="a9"/>
        <w:numPr>
          <w:ilvl w:val="0"/>
          <w:numId w:val="2"/>
        </w:numPr>
        <w:spacing w:before="240" w:after="240" w:line="360" w:lineRule="auto"/>
        <w:contextualSpacing w:val="0"/>
        <w:jc w:val="both"/>
        <w:rPr>
          <w:rFonts w:ascii="Arial" w:hAnsi="Arial"/>
        </w:rPr>
      </w:pPr>
      <w:r w:rsidRPr="00F16573">
        <w:rPr>
          <w:rFonts w:ascii="Arial" w:hAnsi="Arial" w:hint="cs"/>
          <w:rtl/>
        </w:rPr>
        <w:t>5 חודשי מאסר אולם הנאשם לא יישא עונש זה אלא אם יעבור תוך 3 שנים מיום שחרורו עבירת עבירת אלימות מסוג עוון.</w:t>
      </w:r>
    </w:p>
    <w:p w14:paraId="7125484B" w14:textId="77777777" w:rsidR="00277AD0" w:rsidRDefault="00277AD0" w:rsidP="00277AD0">
      <w:pPr>
        <w:pStyle w:val="a9"/>
        <w:numPr>
          <w:ilvl w:val="0"/>
          <w:numId w:val="2"/>
        </w:numPr>
        <w:spacing w:before="240" w:after="240" w:line="360" w:lineRule="auto"/>
        <w:contextualSpacing w:val="0"/>
        <w:jc w:val="both"/>
        <w:rPr>
          <w:rFonts w:ascii="Arial" w:hAnsi="Arial"/>
        </w:rPr>
      </w:pPr>
      <w:r>
        <w:rPr>
          <w:rFonts w:ascii="Arial" w:hAnsi="Arial" w:hint="cs"/>
          <w:rtl/>
        </w:rPr>
        <w:t>קנס בסך 3,000 ₪ . הקנס שישולם ב-3 תשלומים שווים החל מיום 1.3.24 או 10 ימי מאסר תמורתו.</w:t>
      </w:r>
    </w:p>
    <w:p w14:paraId="3E536201" w14:textId="77777777" w:rsidR="00277AD0" w:rsidRDefault="00277AD0" w:rsidP="00277AD0">
      <w:pPr>
        <w:pStyle w:val="a9"/>
        <w:numPr>
          <w:ilvl w:val="0"/>
          <w:numId w:val="2"/>
        </w:numPr>
        <w:spacing w:before="240" w:after="240" w:line="360" w:lineRule="auto"/>
        <w:contextualSpacing w:val="0"/>
        <w:jc w:val="both"/>
        <w:rPr>
          <w:rFonts w:ascii="Arial" w:hAnsi="Arial"/>
        </w:rPr>
      </w:pPr>
      <w:r>
        <w:rPr>
          <w:rFonts w:ascii="Arial" w:hAnsi="Arial" w:hint="cs"/>
          <w:rtl/>
        </w:rPr>
        <w:t xml:space="preserve">חילוט - רכבו של הנאשם יושב לו כנגד הפקדת 32,000 ₪ שתבוצע ב-6 תשלומים שווים החל מיום 1.3.24 אשר תחולט. הרכב ישוחרר לאחר הפקדת התשלום האחרון. </w:t>
      </w:r>
    </w:p>
    <w:p w14:paraId="1FE3847A" w14:textId="77777777" w:rsidR="00277AD0" w:rsidRDefault="00277AD0" w:rsidP="00277AD0">
      <w:pPr>
        <w:spacing w:before="240" w:after="240" w:line="360" w:lineRule="auto"/>
        <w:ind w:left="720"/>
        <w:jc w:val="both"/>
        <w:rPr>
          <w:rFonts w:ascii="Arial" w:hAnsi="Arial"/>
          <w:b/>
          <w:bCs/>
          <w:rtl/>
        </w:rPr>
      </w:pPr>
      <w:r w:rsidRPr="00EE3325">
        <w:rPr>
          <w:rFonts w:ascii="Arial" w:hAnsi="Arial" w:hint="cs"/>
          <w:b/>
          <w:bCs/>
          <w:rtl/>
        </w:rPr>
        <w:t>נאשם 2</w:t>
      </w:r>
    </w:p>
    <w:p w14:paraId="765DF410" w14:textId="77777777" w:rsidR="00277AD0" w:rsidRDefault="00277AD0" w:rsidP="00277AD0">
      <w:pPr>
        <w:pStyle w:val="a9"/>
        <w:numPr>
          <w:ilvl w:val="0"/>
          <w:numId w:val="3"/>
        </w:numPr>
        <w:spacing w:before="240" w:after="240" w:line="360" w:lineRule="auto"/>
        <w:contextualSpacing w:val="0"/>
        <w:jc w:val="both"/>
        <w:rPr>
          <w:rFonts w:ascii="Arial" w:hAnsi="Arial"/>
        </w:rPr>
      </w:pPr>
      <w:r>
        <w:rPr>
          <w:rFonts w:ascii="Arial" w:hAnsi="Arial" w:hint="cs"/>
          <w:rtl/>
        </w:rPr>
        <w:t xml:space="preserve">5 חודשי מאסר (בניכוי ימי מעצרו 6.11.22-29.12.22) לריצוי בדרך של עבודות שירות במרכז יום לקשיש, רח' ההגנה 1 רמלה. </w:t>
      </w:r>
    </w:p>
    <w:p w14:paraId="0D690F6A" w14:textId="77777777" w:rsidR="00277AD0" w:rsidRDefault="00277AD0" w:rsidP="00277AD0">
      <w:pPr>
        <w:pStyle w:val="a9"/>
        <w:spacing w:before="240" w:after="240" w:line="360" w:lineRule="auto"/>
        <w:ind w:left="1080"/>
        <w:contextualSpacing w:val="0"/>
        <w:jc w:val="both"/>
        <w:rPr>
          <w:rFonts w:ascii="Arial" w:hAnsi="Arial"/>
          <w:rtl/>
        </w:rPr>
      </w:pPr>
      <w:r>
        <w:rPr>
          <w:rFonts w:ascii="Arial" w:hAnsi="Arial" w:hint="cs"/>
          <w:rtl/>
        </w:rPr>
        <w:t>הנאשם יתייצב לריצוי מאסרו במשרדי הממונה על עבודות שירות ביום 4.4.24 בשעה 08:30.</w:t>
      </w:r>
    </w:p>
    <w:p w14:paraId="128103E4" w14:textId="77777777" w:rsidR="00277AD0" w:rsidRDefault="00277AD0" w:rsidP="00277AD0">
      <w:pPr>
        <w:pStyle w:val="a9"/>
        <w:numPr>
          <w:ilvl w:val="0"/>
          <w:numId w:val="3"/>
        </w:numPr>
        <w:spacing w:before="240" w:after="240" w:line="360" w:lineRule="auto"/>
        <w:contextualSpacing w:val="0"/>
        <w:jc w:val="both"/>
        <w:rPr>
          <w:rFonts w:ascii="Arial" w:hAnsi="Arial"/>
        </w:rPr>
      </w:pPr>
      <w:r>
        <w:rPr>
          <w:rFonts w:ascii="Arial" w:hAnsi="Arial" w:hint="cs"/>
          <w:rtl/>
        </w:rPr>
        <w:t xml:space="preserve">9 חודשי מאסר אולם הנאשם לא יישא עונש זה אלא אם </w:t>
      </w:r>
      <w:r w:rsidRPr="00EE3325">
        <w:rPr>
          <w:rFonts w:ascii="Arial" w:hAnsi="Arial" w:hint="cs"/>
          <w:rtl/>
        </w:rPr>
        <w:t>יעבור תוך 3 שנים מיום שחרורו עבירת נשק</w:t>
      </w:r>
      <w:r>
        <w:rPr>
          <w:rFonts w:ascii="Arial" w:hAnsi="Arial" w:hint="cs"/>
          <w:rtl/>
        </w:rPr>
        <w:t>.</w:t>
      </w:r>
    </w:p>
    <w:p w14:paraId="7A7F0602" w14:textId="77777777" w:rsidR="00277AD0" w:rsidRDefault="00277AD0" w:rsidP="00277AD0">
      <w:pPr>
        <w:spacing w:before="240" w:after="240" w:line="360" w:lineRule="auto"/>
        <w:ind w:left="720"/>
      </w:pPr>
      <w:r>
        <w:rPr>
          <w:rtl/>
        </w:rPr>
        <w:t>ניתן צו למוצגים לשיקול דעת קצין משטרה ו/או התביעה.</w:t>
      </w:r>
    </w:p>
    <w:p w14:paraId="7616862A" w14:textId="77777777" w:rsidR="00277AD0" w:rsidRDefault="00277AD0" w:rsidP="00277AD0">
      <w:pPr>
        <w:spacing w:before="240" w:after="240" w:line="360" w:lineRule="auto"/>
        <w:rPr>
          <w:rtl/>
        </w:rPr>
      </w:pPr>
      <w:r>
        <w:rPr>
          <w:rtl/>
        </w:rPr>
        <w:tab/>
      </w:r>
      <w:r>
        <w:rPr>
          <w:rFonts w:hint="cs"/>
          <w:rtl/>
        </w:rPr>
        <w:t>זכות ערעור כחוק.</w:t>
      </w:r>
    </w:p>
    <w:p w14:paraId="5925FACF" w14:textId="77777777" w:rsidR="00277AD0" w:rsidRPr="00EE3325" w:rsidRDefault="00277AD0" w:rsidP="00277AD0">
      <w:pPr>
        <w:pStyle w:val="a9"/>
        <w:spacing w:line="360" w:lineRule="auto"/>
        <w:ind w:left="1080"/>
        <w:jc w:val="both"/>
        <w:rPr>
          <w:rFonts w:ascii="Arial" w:hAnsi="Arial"/>
          <w:rtl/>
        </w:rPr>
      </w:pPr>
    </w:p>
    <w:p w14:paraId="2113B34A" w14:textId="77777777" w:rsidR="00277AD0" w:rsidRDefault="00C8272A" w:rsidP="00277AD0">
      <w:pPr>
        <w:spacing w:line="360" w:lineRule="auto"/>
        <w:ind w:firstLine="720"/>
        <w:jc w:val="both"/>
        <w:rPr>
          <w:rFonts w:ascii="Arial" w:hAnsi="Arial"/>
          <w:b/>
          <w:bCs/>
          <w:rtl/>
        </w:rPr>
      </w:pPr>
      <w:bookmarkStart w:id="8" w:name="Nitan"/>
      <w:r>
        <w:rPr>
          <w:rFonts w:ascii="Arial" w:hAnsi="Arial"/>
          <w:b/>
          <w:bCs/>
          <w:rtl/>
        </w:rPr>
        <w:t xml:space="preserve">ניתן היום,  ח' שבט תשפ"ד, 18 ינואר 2024, במעמד הצדדים. </w:t>
      </w:r>
      <w:bookmarkEnd w:id="8"/>
    </w:p>
    <w:p w14:paraId="0BD1DA6E" w14:textId="77777777" w:rsidR="00277AD0" w:rsidRPr="00C8272A" w:rsidRDefault="00C8272A" w:rsidP="00277AD0">
      <w:pPr>
        <w:spacing w:line="360" w:lineRule="auto"/>
        <w:ind w:firstLine="720"/>
        <w:jc w:val="both"/>
        <w:rPr>
          <w:rFonts w:ascii="Arial" w:hAnsi="Arial"/>
          <w:b/>
          <w:bCs/>
          <w:color w:val="FFFFFF"/>
          <w:sz w:val="2"/>
          <w:szCs w:val="2"/>
        </w:rPr>
      </w:pPr>
      <w:r w:rsidRPr="00C8272A">
        <w:rPr>
          <w:rFonts w:ascii="Arial" w:hAnsi="Arial"/>
          <w:b/>
          <w:bCs/>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277AD0" w14:paraId="240EE6E1" w14:textId="77777777" w:rsidTr="00277AD0">
        <w:trPr>
          <w:trHeight w:val="316"/>
        </w:trPr>
        <w:tc>
          <w:tcPr>
            <w:tcW w:w="3936" w:type="dxa"/>
            <w:tcBorders>
              <w:top w:val="nil"/>
              <w:left w:val="nil"/>
              <w:bottom w:val="single" w:sz="4" w:space="0" w:color="auto"/>
              <w:right w:val="nil"/>
            </w:tcBorders>
            <w:shd w:val="clear" w:color="auto" w:fill="auto"/>
            <w:vAlign w:val="bottom"/>
          </w:tcPr>
          <w:p w14:paraId="0CB55873" w14:textId="77777777" w:rsidR="00277AD0" w:rsidRPr="00C8272A" w:rsidRDefault="00C8272A" w:rsidP="00277AD0">
            <w:pPr>
              <w:jc w:val="center"/>
              <w:rPr>
                <w:rFonts w:cs="Times New Roman"/>
                <w:color w:val="FFFFFF"/>
                <w:sz w:val="2"/>
                <w:szCs w:val="2"/>
              </w:rPr>
            </w:pPr>
            <w:r w:rsidRPr="00C8272A">
              <w:rPr>
                <w:rFonts w:cs="Times New Roman"/>
                <w:color w:val="FFFFFF"/>
                <w:sz w:val="2"/>
                <w:szCs w:val="2"/>
                <w:rtl/>
              </w:rPr>
              <w:t>54678313</w:t>
            </w:r>
          </w:p>
        </w:tc>
      </w:tr>
      <w:tr w:rsidR="00277AD0" w14:paraId="4537F6DB" w14:textId="77777777" w:rsidTr="00277AD0">
        <w:trPr>
          <w:trHeight w:val="361"/>
        </w:trPr>
        <w:tc>
          <w:tcPr>
            <w:tcW w:w="3936" w:type="dxa"/>
            <w:tcBorders>
              <w:top w:val="single" w:sz="4" w:space="0" w:color="auto"/>
              <w:left w:val="nil"/>
              <w:bottom w:val="nil"/>
              <w:right w:val="nil"/>
            </w:tcBorders>
            <w:shd w:val="clear" w:color="auto" w:fill="auto"/>
          </w:tcPr>
          <w:p w14:paraId="6ABC1AEE" w14:textId="77777777" w:rsidR="00277AD0" w:rsidRPr="00277AD0" w:rsidRDefault="00277AD0" w:rsidP="00277AD0">
            <w:pPr>
              <w:jc w:val="center"/>
              <w:rPr>
                <w:b/>
                <w:bCs/>
                <w:rtl/>
              </w:rPr>
            </w:pPr>
            <w:r w:rsidRPr="00277AD0">
              <w:rPr>
                <w:b/>
                <w:bCs/>
                <w:rtl/>
              </w:rPr>
              <w:t>בני שגיא, שופט</w:t>
            </w:r>
          </w:p>
          <w:p w14:paraId="4D620A75" w14:textId="77777777" w:rsidR="00277AD0" w:rsidRPr="00277AD0" w:rsidRDefault="00277AD0" w:rsidP="00277AD0">
            <w:pPr>
              <w:jc w:val="center"/>
              <w:rPr>
                <w:b/>
                <w:bCs/>
                <w:rtl/>
                <w:lang w:eastAsia="he-IL"/>
              </w:rPr>
            </w:pPr>
            <w:r w:rsidRPr="00277AD0">
              <w:rPr>
                <w:b/>
                <w:bCs/>
                <w:rtl/>
              </w:rPr>
              <w:t>סגן נשיא</w:t>
            </w:r>
          </w:p>
        </w:tc>
      </w:tr>
    </w:tbl>
    <w:p w14:paraId="0F060CEC" w14:textId="77777777" w:rsidR="00277AD0" w:rsidRPr="00250B83" w:rsidRDefault="00277AD0" w:rsidP="00277AD0">
      <w:pPr>
        <w:rPr>
          <w:rtl/>
        </w:rPr>
      </w:pPr>
    </w:p>
    <w:p w14:paraId="762A79A5" w14:textId="77777777" w:rsidR="00277AD0" w:rsidRPr="00250B83" w:rsidRDefault="00277AD0" w:rsidP="00277AD0">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689ACD2" w14:textId="77777777" w:rsidR="00277AD0" w:rsidRPr="00AF1097" w:rsidRDefault="00277AD0" w:rsidP="00277AD0">
      <w:pPr>
        <w:jc w:val="center"/>
        <w:rPr>
          <w:rFonts w:ascii="Arial" w:hAnsi="Arial"/>
          <w:rtl/>
        </w:rPr>
      </w:pPr>
    </w:p>
    <w:p w14:paraId="7AB7D41E" w14:textId="77777777" w:rsidR="00277AD0" w:rsidRPr="00250B83" w:rsidRDefault="00277AD0" w:rsidP="00277AD0">
      <w:pPr>
        <w:rPr>
          <w:rtl/>
        </w:rPr>
      </w:pPr>
    </w:p>
    <w:p w14:paraId="79518F50" w14:textId="77777777" w:rsidR="00277AD0" w:rsidRDefault="00277AD0" w:rsidP="00277AD0">
      <w:pPr>
        <w:pStyle w:val="a3"/>
        <w:jc w:val="center"/>
        <w:rPr>
          <w:rtl/>
        </w:rPr>
      </w:pPr>
    </w:p>
    <w:p w14:paraId="48F3D930" w14:textId="77777777" w:rsidR="001B545B" w:rsidRPr="00C8272A" w:rsidRDefault="001B545B" w:rsidP="00C8272A">
      <w:pPr>
        <w:keepNext/>
        <w:rPr>
          <w:rFonts w:ascii="David" w:hAnsi="David"/>
          <w:color w:val="000000"/>
          <w:sz w:val="22"/>
          <w:szCs w:val="22"/>
          <w:rtl/>
        </w:rPr>
      </w:pPr>
    </w:p>
    <w:p w14:paraId="4DDFDA48" w14:textId="77777777" w:rsidR="00C8272A" w:rsidRPr="00C8272A" w:rsidRDefault="00C8272A" w:rsidP="00C8272A">
      <w:pPr>
        <w:keepNext/>
        <w:rPr>
          <w:rFonts w:ascii="David" w:hAnsi="David"/>
          <w:color w:val="000000"/>
          <w:sz w:val="22"/>
          <w:szCs w:val="22"/>
          <w:rtl/>
        </w:rPr>
      </w:pPr>
      <w:r w:rsidRPr="00C8272A">
        <w:rPr>
          <w:rFonts w:ascii="David" w:hAnsi="David"/>
          <w:color w:val="000000"/>
          <w:sz w:val="22"/>
          <w:szCs w:val="22"/>
          <w:rtl/>
        </w:rPr>
        <w:t>בני שגיא 54678313</w:t>
      </w:r>
    </w:p>
    <w:p w14:paraId="1FC5DFD0" w14:textId="77777777" w:rsidR="00C8272A" w:rsidRDefault="00C8272A" w:rsidP="00C8272A">
      <w:r w:rsidRPr="00C8272A">
        <w:rPr>
          <w:color w:val="000000"/>
          <w:rtl/>
        </w:rPr>
        <w:t>נוסח מסמך זה כפוף לשינויי ניסוח ועריכה</w:t>
      </w:r>
    </w:p>
    <w:p w14:paraId="0527F85F" w14:textId="77777777" w:rsidR="00C8272A" w:rsidRDefault="00C8272A" w:rsidP="00C8272A">
      <w:pPr>
        <w:rPr>
          <w:rtl/>
        </w:rPr>
      </w:pPr>
    </w:p>
    <w:p w14:paraId="697004C3" w14:textId="77777777" w:rsidR="00C8272A" w:rsidRDefault="00C8272A" w:rsidP="00C8272A">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973AC26" w14:textId="77777777" w:rsidR="00C8272A" w:rsidRPr="00C8272A" w:rsidRDefault="00C8272A" w:rsidP="00C8272A">
      <w:pPr>
        <w:jc w:val="center"/>
        <w:rPr>
          <w:color w:val="0000FF"/>
          <w:u w:val="single"/>
        </w:rPr>
      </w:pPr>
    </w:p>
    <w:sectPr w:rsidR="00C8272A" w:rsidRPr="00C8272A" w:rsidSect="00C8272A">
      <w:headerReference w:type="even" r:id="rId33"/>
      <w:headerReference w:type="default" r:id="rId34"/>
      <w:footerReference w:type="even" r:id="rId35"/>
      <w:footerReference w:type="default" r:id="rId3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5DC77" w14:textId="77777777" w:rsidR="00021775" w:rsidRDefault="00021775" w:rsidP="009E6EC2">
      <w:r>
        <w:separator/>
      </w:r>
    </w:p>
  </w:endnote>
  <w:endnote w:type="continuationSeparator" w:id="0">
    <w:p w14:paraId="53441AC4" w14:textId="77777777" w:rsidR="00021775" w:rsidRDefault="00021775" w:rsidP="009E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96E8D" w14:textId="77777777" w:rsidR="00C8272A" w:rsidRDefault="00C8272A" w:rsidP="00C827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B2F9E8" w14:textId="77777777" w:rsidR="002A2462" w:rsidRPr="00C8272A" w:rsidRDefault="00C8272A" w:rsidP="00C827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7188" w14:textId="77777777" w:rsidR="00C8272A" w:rsidRDefault="00C8272A" w:rsidP="00C827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1C78">
      <w:rPr>
        <w:rFonts w:ascii="FrankRuehl" w:hAnsi="FrankRuehl" w:cs="FrankRuehl"/>
        <w:noProof/>
        <w:rtl/>
      </w:rPr>
      <w:t>1</w:t>
    </w:r>
    <w:r>
      <w:rPr>
        <w:rFonts w:ascii="FrankRuehl" w:hAnsi="FrankRuehl" w:cs="FrankRuehl"/>
        <w:rtl/>
      </w:rPr>
      <w:fldChar w:fldCharType="end"/>
    </w:r>
  </w:p>
  <w:p w14:paraId="635D68EA" w14:textId="77777777" w:rsidR="002A2462" w:rsidRPr="00C8272A" w:rsidRDefault="00C8272A" w:rsidP="00C827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567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092D2" w14:textId="77777777" w:rsidR="00021775" w:rsidRDefault="00021775" w:rsidP="009E6EC2">
      <w:r>
        <w:separator/>
      </w:r>
    </w:p>
  </w:footnote>
  <w:footnote w:type="continuationSeparator" w:id="0">
    <w:p w14:paraId="41B9E940" w14:textId="77777777" w:rsidR="00021775" w:rsidRDefault="00021775" w:rsidP="009E6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68946" w14:textId="77777777" w:rsidR="00C8272A" w:rsidRPr="00C8272A" w:rsidRDefault="00C8272A" w:rsidP="00C827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27986-11-22</w:t>
    </w:r>
    <w:r>
      <w:rPr>
        <w:rFonts w:ascii="David" w:hAnsi="David"/>
        <w:color w:val="000000"/>
        <w:sz w:val="22"/>
        <w:szCs w:val="22"/>
        <w:rtl/>
      </w:rPr>
      <w:tab/>
      <w:t xml:space="preserve"> מדינת ישראל נ' תאמר כוארע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01DC" w14:textId="77777777" w:rsidR="00C8272A" w:rsidRPr="00C8272A" w:rsidRDefault="00C8272A" w:rsidP="00C827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27986-11-22</w:t>
    </w:r>
    <w:r>
      <w:rPr>
        <w:rFonts w:ascii="David" w:hAnsi="David"/>
        <w:color w:val="000000"/>
        <w:sz w:val="22"/>
        <w:szCs w:val="22"/>
        <w:rtl/>
      </w:rPr>
      <w:tab/>
      <w:t xml:space="preserve"> מדינת ישראל נ' תאמר כוארע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05591"/>
    <w:multiLevelType w:val="hybridMultilevel"/>
    <w:tmpl w:val="218AEEEE"/>
    <w:lvl w:ilvl="0" w:tplc="8F4E42D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EB75AF"/>
    <w:multiLevelType w:val="hybridMultilevel"/>
    <w:tmpl w:val="6D5283DA"/>
    <w:lvl w:ilvl="0" w:tplc="F3B613E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F495E"/>
    <w:multiLevelType w:val="hybridMultilevel"/>
    <w:tmpl w:val="CA08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074737">
    <w:abstractNumId w:val="2"/>
  </w:num>
  <w:num w:numId="2" w16cid:durableId="1994676318">
    <w:abstractNumId w:val="0"/>
  </w:num>
  <w:num w:numId="3" w16cid:durableId="161074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7AD0"/>
    <w:rsid w:val="00021775"/>
    <w:rsid w:val="001B545B"/>
    <w:rsid w:val="001E6A14"/>
    <w:rsid w:val="00277AD0"/>
    <w:rsid w:val="002A2462"/>
    <w:rsid w:val="006C50A7"/>
    <w:rsid w:val="0089167D"/>
    <w:rsid w:val="008B00CC"/>
    <w:rsid w:val="008C66B1"/>
    <w:rsid w:val="009A4E4C"/>
    <w:rsid w:val="009E6EC2"/>
    <w:rsid w:val="00AC1C78"/>
    <w:rsid w:val="00C8272A"/>
    <w:rsid w:val="00CC20D6"/>
    <w:rsid w:val="00EE2D17"/>
    <w:rsid w:val="00F83651"/>
    <w:rsid w:val="00FB78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C20E89"/>
  <w15:chartTrackingRefBased/>
  <w15:docId w15:val="{72DD8952-FAB0-41CB-8F1C-724ADF7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7A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7AD0"/>
    <w:pPr>
      <w:tabs>
        <w:tab w:val="center" w:pos="4153"/>
        <w:tab w:val="right" w:pos="8306"/>
      </w:tabs>
    </w:pPr>
  </w:style>
  <w:style w:type="character" w:customStyle="1" w:styleId="a4">
    <w:name w:val="כותרת עליונה תו"/>
    <w:link w:val="a3"/>
    <w:rsid w:val="00277AD0"/>
    <w:rPr>
      <w:rFonts w:ascii="Times New Roman" w:eastAsia="Times New Roman" w:hAnsi="Times New Roman" w:cs="David"/>
      <w:sz w:val="24"/>
      <w:szCs w:val="24"/>
    </w:rPr>
  </w:style>
  <w:style w:type="paragraph" w:styleId="a5">
    <w:name w:val="footer"/>
    <w:basedOn w:val="a"/>
    <w:link w:val="a6"/>
    <w:rsid w:val="00277AD0"/>
    <w:pPr>
      <w:tabs>
        <w:tab w:val="center" w:pos="4153"/>
        <w:tab w:val="right" w:pos="8306"/>
      </w:tabs>
    </w:pPr>
  </w:style>
  <w:style w:type="character" w:customStyle="1" w:styleId="a6">
    <w:name w:val="כותרת תחתונה תו"/>
    <w:link w:val="a5"/>
    <w:rsid w:val="00277AD0"/>
    <w:rPr>
      <w:rFonts w:ascii="Times New Roman" w:eastAsia="Times New Roman" w:hAnsi="Times New Roman" w:cs="David"/>
      <w:sz w:val="24"/>
      <w:szCs w:val="24"/>
    </w:rPr>
  </w:style>
  <w:style w:type="table" w:styleId="a7">
    <w:name w:val="Table Grid"/>
    <w:basedOn w:val="a1"/>
    <w:rsid w:val="00277A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7AD0"/>
  </w:style>
  <w:style w:type="paragraph" w:styleId="a9">
    <w:name w:val="List Paragraph"/>
    <w:basedOn w:val="a"/>
    <w:qFormat/>
    <w:rsid w:val="00277AD0"/>
    <w:pPr>
      <w:ind w:left="720"/>
      <w:contextualSpacing/>
    </w:pPr>
  </w:style>
  <w:style w:type="character" w:styleId="Hyperlink">
    <w:name w:val="Hyperlink"/>
    <w:rsid w:val="00C82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340a.b.2"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case/27263841" TargetMode="External"/><Relationship Id="rId21" Type="http://schemas.openxmlformats.org/officeDocument/2006/relationships/hyperlink" Target="http://www.nevo.co.il/case/2888308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40a.b.2"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952476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91875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case/2820085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6905927" TargetMode="External"/><Relationship Id="rId28" Type="http://schemas.openxmlformats.org/officeDocument/2006/relationships/hyperlink" Target="http://www.nevo.co.il/case/30068771" TargetMode="External"/><Relationship Id="rId36" Type="http://schemas.openxmlformats.org/officeDocument/2006/relationships/footer" Target="footer2.xml"/><Relationship Id="rId10" Type="http://schemas.openxmlformats.org/officeDocument/2006/relationships/hyperlink" Target="http://www.nevo.co.il/law/70301/144.g" TargetMode="External"/><Relationship Id="rId19" Type="http://schemas.openxmlformats.org/officeDocument/2006/relationships/hyperlink" Target="http://www.nevo.co.il/law/70301/144.g" TargetMode="External"/><Relationship Id="rId31" Type="http://schemas.openxmlformats.org/officeDocument/2006/relationships/hyperlink" Target="http://www.nevo.co.il/case/28791025"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case/29243258" TargetMode="External"/><Relationship Id="rId30" Type="http://schemas.openxmlformats.org/officeDocument/2006/relationships/hyperlink" Target="http://www.nevo.co.il/case/28202204" TargetMode="External"/><Relationship Id="rId35"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2685</Words>
  <Characters>13427</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3539061</vt:i4>
      </vt:variant>
      <vt:variant>
        <vt:i4>72</vt:i4>
      </vt:variant>
      <vt:variant>
        <vt:i4>0</vt:i4>
      </vt:variant>
      <vt:variant>
        <vt:i4>5</vt:i4>
      </vt:variant>
      <vt:variant>
        <vt:lpwstr>http://www.nevo.co.il/case/28791025</vt:lpwstr>
      </vt:variant>
      <vt:variant>
        <vt:lpwstr/>
      </vt:variant>
      <vt:variant>
        <vt:i4>3276926</vt:i4>
      </vt:variant>
      <vt:variant>
        <vt:i4>69</vt:i4>
      </vt:variant>
      <vt:variant>
        <vt:i4>0</vt:i4>
      </vt:variant>
      <vt:variant>
        <vt:i4>5</vt:i4>
      </vt:variant>
      <vt:variant>
        <vt:lpwstr>http://www.nevo.co.il/case/28202204</vt:lpwstr>
      </vt:variant>
      <vt:variant>
        <vt:lpwstr/>
      </vt:variant>
      <vt:variant>
        <vt:i4>3211376</vt:i4>
      </vt:variant>
      <vt:variant>
        <vt:i4>66</vt:i4>
      </vt:variant>
      <vt:variant>
        <vt:i4>0</vt:i4>
      </vt:variant>
      <vt:variant>
        <vt:i4>5</vt:i4>
      </vt:variant>
      <vt:variant>
        <vt:lpwstr>http://www.nevo.co.il/case/29187556</vt:lpwstr>
      </vt:variant>
      <vt:variant>
        <vt:lpwstr/>
      </vt:variant>
      <vt:variant>
        <vt:i4>3932277</vt:i4>
      </vt:variant>
      <vt:variant>
        <vt:i4>63</vt:i4>
      </vt:variant>
      <vt:variant>
        <vt:i4>0</vt:i4>
      </vt:variant>
      <vt:variant>
        <vt:i4>5</vt:i4>
      </vt:variant>
      <vt:variant>
        <vt:lpwstr>http://www.nevo.co.il/case/30068771</vt:lpwstr>
      </vt:variant>
      <vt:variant>
        <vt:lpwstr/>
      </vt:variant>
      <vt:variant>
        <vt:i4>3539067</vt:i4>
      </vt:variant>
      <vt:variant>
        <vt:i4>60</vt:i4>
      </vt:variant>
      <vt:variant>
        <vt:i4>0</vt:i4>
      </vt:variant>
      <vt:variant>
        <vt:i4>5</vt:i4>
      </vt:variant>
      <vt:variant>
        <vt:lpwstr>http://www.nevo.co.il/case/29243258</vt:lpwstr>
      </vt:variant>
      <vt:variant>
        <vt:lpwstr/>
      </vt:variant>
      <vt:variant>
        <vt:i4>3604605</vt:i4>
      </vt:variant>
      <vt:variant>
        <vt:i4>57</vt:i4>
      </vt:variant>
      <vt:variant>
        <vt:i4>0</vt:i4>
      </vt:variant>
      <vt:variant>
        <vt:i4>5</vt:i4>
      </vt:variant>
      <vt:variant>
        <vt:lpwstr>http://www.nevo.co.il/case/27263841</vt:lpwstr>
      </vt:variant>
      <vt:variant>
        <vt:lpwstr/>
      </vt:variant>
      <vt:variant>
        <vt:i4>3473528</vt:i4>
      </vt:variant>
      <vt:variant>
        <vt:i4>54</vt:i4>
      </vt:variant>
      <vt:variant>
        <vt:i4>0</vt:i4>
      </vt:variant>
      <vt:variant>
        <vt:i4>5</vt:i4>
      </vt:variant>
      <vt:variant>
        <vt:lpwstr>http://www.nevo.co.il/case/29524767</vt:lpwstr>
      </vt:variant>
      <vt:variant>
        <vt:lpwstr/>
      </vt:variant>
      <vt:variant>
        <vt:i4>3473524</vt:i4>
      </vt:variant>
      <vt:variant>
        <vt:i4>51</vt:i4>
      </vt:variant>
      <vt:variant>
        <vt:i4>0</vt:i4>
      </vt:variant>
      <vt:variant>
        <vt:i4>5</vt:i4>
      </vt:variant>
      <vt:variant>
        <vt:lpwstr>http://www.nevo.co.il/case/28200855</vt:lpwstr>
      </vt:variant>
      <vt:variant>
        <vt:lpwstr/>
      </vt:variant>
      <vt:variant>
        <vt:i4>3932283</vt:i4>
      </vt:variant>
      <vt:variant>
        <vt:i4>48</vt:i4>
      </vt:variant>
      <vt:variant>
        <vt:i4>0</vt:i4>
      </vt:variant>
      <vt:variant>
        <vt:i4>5</vt:i4>
      </vt:variant>
      <vt:variant>
        <vt:lpwstr>http://www.nevo.co.il/case/26905927</vt:lpwstr>
      </vt:variant>
      <vt:variant>
        <vt:lpwstr/>
      </vt:variant>
      <vt:variant>
        <vt:i4>3211383</vt:i4>
      </vt:variant>
      <vt:variant>
        <vt:i4>45</vt:i4>
      </vt:variant>
      <vt:variant>
        <vt:i4>0</vt:i4>
      </vt:variant>
      <vt:variant>
        <vt:i4>5</vt:i4>
      </vt:variant>
      <vt:variant>
        <vt:lpwstr>http://www.nevo.co.il/case/28697227</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4128881</vt:i4>
      </vt:variant>
      <vt:variant>
        <vt:i4>33</vt:i4>
      </vt:variant>
      <vt:variant>
        <vt:i4>0</vt:i4>
      </vt:variant>
      <vt:variant>
        <vt:i4>5</vt:i4>
      </vt:variant>
      <vt:variant>
        <vt:lpwstr>http://www.nevo.co.il/case/27309272</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7143547</vt:i4>
      </vt:variant>
      <vt:variant>
        <vt:i4>18</vt:i4>
      </vt:variant>
      <vt:variant>
        <vt:i4>0</vt:i4>
      </vt:variant>
      <vt:variant>
        <vt:i4>5</vt:i4>
      </vt:variant>
      <vt:variant>
        <vt:lpwstr>http://www.nevo.co.il/law/70301/340a.b.1.;340a.b.2</vt:lpwstr>
      </vt:variant>
      <vt:variant>
        <vt:lpwstr/>
      </vt:variant>
      <vt:variant>
        <vt:i4>5242966</vt:i4>
      </vt:variant>
      <vt:variant>
        <vt:i4>15</vt:i4>
      </vt:variant>
      <vt:variant>
        <vt:i4>0</vt:i4>
      </vt:variant>
      <vt:variant>
        <vt:i4>5</vt:i4>
      </vt:variant>
      <vt:variant>
        <vt:lpwstr>http://www.nevo.co.il/law/70301/340a.b.2</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27986</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תאמר כוארע;מוחמד אלשאער</vt:lpwstr>
  </property>
  <property fmtid="{D5CDD505-2E9C-101B-9397-08002B2CF9AE}" pid="10" name="LAWYER">
    <vt:lpwstr>רוית שפיר;ווליד כבוב ;אורי בר עוז ;נדיר בראנסי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20240118</vt:lpwstr>
  </property>
  <property fmtid="{D5CDD505-2E9C-101B-9397-08002B2CF9AE}" pid="14" name="TYPE_N_DATE">
    <vt:lpwstr>39020240118</vt:lpwstr>
  </property>
  <property fmtid="{D5CDD505-2E9C-101B-9397-08002B2CF9AE}" pid="15" name="WORDNUMPAGES">
    <vt:lpwstr>7</vt:lpwstr>
  </property>
  <property fmtid="{D5CDD505-2E9C-101B-9397-08002B2CF9AE}" pid="16" name="TYPE_ABS_DATE">
    <vt:lpwstr>390020240118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27309272;28883087;28697227;26905927;28200855;29524767;27263841;29243258;30068771;29187556;28202204;28791025</vt:lpwstr>
  </property>
  <property fmtid="{D5CDD505-2E9C-101B-9397-08002B2CF9AE}" pid="36" name="LAWLISTTMP1">
    <vt:lpwstr>70301/340a.b.1;340a.b.2;144.b:2;031;144.g</vt:lpwstr>
  </property>
</Properties>
</file>