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1879DD" w:rsidRPr="00BF2A9A" w14:paraId="0C136916" w14:textId="77777777" w:rsidTr="0045725C">
        <w:trPr>
          <w:trHeight w:hRule="exact" w:val="418"/>
          <w:jc w:val="center"/>
        </w:trPr>
        <w:tc>
          <w:tcPr>
            <w:tcW w:w="8721" w:type="dxa"/>
            <w:gridSpan w:val="2"/>
          </w:tcPr>
          <w:p w14:paraId="243E7B78" w14:textId="77777777" w:rsidR="001879DD" w:rsidRPr="00BF2A9A" w:rsidRDefault="001879DD" w:rsidP="00D03C42">
            <w:pPr>
              <w:pStyle w:val="a3"/>
              <w:jc w:val="center"/>
              <w:rPr>
                <w:rFonts w:ascii="Tahoma" w:hAnsi="Tahoma" w:cs="Tahoma"/>
                <w:color w:val="000080"/>
                <w:rtl/>
              </w:rPr>
            </w:pPr>
            <w:bookmarkStart w:id="0" w:name="LastJudge"/>
            <w:r w:rsidRPr="00BF2A9A">
              <w:rPr>
                <w:rFonts w:ascii="Tahoma" w:hAnsi="Tahoma" w:cs="Tahoma"/>
                <w:b/>
                <w:bCs/>
                <w:color w:val="000080"/>
                <w:rtl/>
              </w:rPr>
              <w:t>בית המשפט המחוזי בחיפה</w:t>
            </w:r>
          </w:p>
        </w:tc>
      </w:tr>
      <w:tr w:rsidR="001879DD" w:rsidRPr="00BF2A9A" w14:paraId="109904B7" w14:textId="77777777" w:rsidTr="0045725C">
        <w:trPr>
          <w:trHeight w:val="337"/>
          <w:jc w:val="center"/>
        </w:trPr>
        <w:tc>
          <w:tcPr>
            <w:tcW w:w="5059" w:type="dxa"/>
          </w:tcPr>
          <w:p w14:paraId="5FB33733" w14:textId="77777777" w:rsidR="001879DD" w:rsidRPr="00BF2A9A" w:rsidRDefault="001879DD" w:rsidP="00D03C42">
            <w:pPr>
              <w:rPr>
                <w:rFonts w:cs="FrankRuehl"/>
                <w:sz w:val="28"/>
                <w:szCs w:val="28"/>
                <w:rtl/>
              </w:rPr>
            </w:pPr>
            <w:r w:rsidRPr="00BF2A9A">
              <w:rPr>
                <w:rFonts w:cs="FrankRuehl"/>
                <w:sz w:val="28"/>
                <w:szCs w:val="28"/>
                <w:rtl/>
              </w:rPr>
              <w:t>ת"פ</w:t>
            </w:r>
            <w:r w:rsidRPr="00BF2A9A">
              <w:rPr>
                <w:rFonts w:cs="FrankRuehl" w:hint="cs"/>
                <w:sz w:val="28"/>
                <w:szCs w:val="28"/>
                <w:rtl/>
              </w:rPr>
              <w:t xml:space="preserve"> </w:t>
            </w:r>
            <w:r w:rsidRPr="00BF2A9A">
              <w:rPr>
                <w:rFonts w:cs="FrankRuehl"/>
                <w:sz w:val="28"/>
                <w:szCs w:val="28"/>
                <w:rtl/>
              </w:rPr>
              <w:t>53954-11-22</w:t>
            </w:r>
            <w:r w:rsidRPr="00BF2A9A">
              <w:rPr>
                <w:rFonts w:cs="FrankRuehl" w:hint="cs"/>
                <w:sz w:val="28"/>
                <w:szCs w:val="28"/>
                <w:rtl/>
              </w:rPr>
              <w:t xml:space="preserve"> </w:t>
            </w:r>
            <w:r w:rsidRPr="00BF2A9A">
              <w:rPr>
                <w:rFonts w:cs="FrankRuehl"/>
                <w:sz w:val="28"/>
                <w:szCs w:val="28"/>
                <w:rtl/>
              </w:rPr>
              <w:t>מדינת ישראל נ' ג'ורבאן(עציר)</w:t>
            </w:r>
          </w:p>
          <w:p w14:paraId="795980EE" w14:textId="77777777" w:rsidR="001879DD" w:rsidRPr="00BF2A9A" w:rsidRDefault="001879DD" w:rsidP="00D03C42">
            <w:pPr>
              <w:pStyle w:val="a3"/>
              <w:rPr>
                <w:rFonts w:cs="FrankRuehl"/>
                <w:sz w:val="28"/>
                <w:szCs w:val="28"/>
                <w:rtl/>
              </w:rPr>
            </w:pPr>
          </w:p>
        </w:tc>
        <w:tc>
          <w:tcPr>
            <w:tcW w:w="3662" w:type="dxa"/>
          </w:tcPr>
          <w:p w14:paraId="79B42FC1" w14:textId="77777777" w:rsidR="001879DD" w:rsidRPr="00BF2A9A" w:rsidRDefault="001879DD" w:rsidP="00D03C42">
            <w:pPr>
              <w:pStyle w:val="a3"/>
              <w:jc w:val="right"/>
              <w:rPr>
                <w:rFonts w:cs="FrankRuehl"/>
                <w:sz w:val="28"/>
                <w:szCs w:val="28"/>
                <w:rtl/>
              </w:rPr>
            </w:pPr>
          </w:p>
        </w:tc>
      </w:tr>
    </w:tbl>
    <w:p w14:paraId="59568EDC" w14:textId="77777777" w:rsidR="001879DD" w:rsidRPr="00BF2A9A" w:rsidRDefault="001879DD" w:rsidP="001879DD">
      <w:pPr>
        <w:pStyle w:val="a3"/>
        <w:rPr>
          <w:rtl/>
        </w:rPr>
      </w:pPr>
      <w:r w:rsidRPr="00BF2A9A">
        <w:rPr>
          <w:rFonts w:hint="cs"/>
          <w:rtl/>
        </w:rPr>
        <w:t xml:space="preserve"> </w:t>
      </w:r>
    </w:p>
    <w:p w14:paraId="68B37878" w14:textId="77777777" w:rsidR="001879DD" w:rsidRPr="00BF2A9A" w:rsidRDefault="001879DD" w:rsidP="001879DD">
      <w:pPr>
        <w:spacing w:line="360" w:lineRule="auto"/>
        <w:jc w:val="both"/>
        <w:rPr>
          <w:rFonts w:ascii="David" w:hAnsi="David"/>
          <w:sz w:val="6"/>
          <w:szCs w:val="6"/>
          <w:rtl/>
        </w:rPr>
      </w:pPr>
    </w:p>
    <w:p w14:paraId="482178AC" w14:textId="77777777" w:rsidR="001879DD" w:rsidRPr="00BF2A9A" w:rsidRDefault="001879DD" w:rsidP="001879DD">
      <w:pPr>
        <w:spacing w:line="360" w:lineRule="auto"/>
        <w:jc w:val="both"/>
        <w:rPr>
          <w:rFonts w:ascii="David" w:hAnsi="David"/>
          <w:sz w:val="6"/>
          <w:szCs w:val="6"/>
          <w:rtl/>
        </w:rPr>
      </w:pPr>
    </w:p>
    <w:tbl>
      <w:tblPr>
        <w:bidiVisual/>
        <w:tblW w:w="8802" w:type="dxa"/>
        <w:tblInd w:w="-28" w:type="dxa"/>
        <w:tblLook w:val="01E0" w:firstRow="1" w:lastRow="1" w:firstColumn="1" w:lastColumn="1" w:noHBand="0" w:noVBand="0"/>
      </w:tblPr>
      <w:tblGrid>
        <w:gridCol w:w="2880"/>
        <w:gridCol w:w="5838"/>
        <w:gridCol w:w="84"/>
      </w:tblGrid>
      <w:tr w:rsidR="001879DD" w:rsidRPr="00BF2A9A" w14:paraId="13F177A1" w14:textId="77777777" w:rsidTr="001879DD">
        <w:trPr>
          <w:gridAfter w:val="1"/>
          <w:wAfter w:w="56" w:type="dxa"/>
        </w:trPr>
        <w:tc>
          <w:tcPr>
            <w:tcW w:w="8718" w:type="dxa"/>
            <w:gridSpan w:val="2"/>
            <w:shd w:val="clear" w:color="auto" w:fill="auto"/>
          </w:tcPr>
          <w:p w14:paraId="471F3999" w14:textId="77777777" w:rsidR="001879DD" w:rsidRPr="00BF2A9A" w:rsidRDefault="001879DD" w:rsidP="00D03C42">
            <w:pPr>
              <w:rPr>
                <w:rFonts w:ascii="David" w:hAnsi="David"/>
                <w:b/>
                <w:bCs/>
                <w:sz w:val="26"/>
                <w:szCs w:val="26"/>
                <w:rtl/>
              </w:rPr>
            </w:pPr>
            <w:r w:rsidRPr="00BF2A9A">
              <w:rPr>
                <w:rFonts w:ascii="David" w:hAnsi="David"/>
                <w:b/>
                <w:bCs/>
                <w:sz w:val="26"/>
                <w:szCs w:val="26"/>
                <w:rtl/>
              </w:rPr>
              <w:t>לפני כבוד השופט גיל קרזבום</w:t>
            </w:r>
            <w:r w:rsidRPr="00BF2A9A">
              <w:rPr>
                <w:rStyle w:val="TimesNewRomanTimesNewRoman"/>
                <w:rFonts w:ascii="David" w:hAnsi="David"/>
                <w:rtl/>
              </w:rPr>
              <w:t xml:space="preserve"> </w:t>
            </w:r>
          </w:p>
        </w:tc>
      </w:tr>
      <w:tr w:rsidR="001879DD" w:rsidRPr="00BF2A9A" w14:paraId="0F22BAFB" w14:textId="77777777" w:rsidTr="001879DD">
        <w:trPr>
          <w:cantSplit/>
          <w:trHeight w:val="724"/>
        </w:trPr>
        <w:tc>
          <w:tcPr>
            <w:tcW w:w="2880" w:type="dxa"/>
            <w:shd w:val="clear" w:color="auto" w:fill="auto"/>
          </w:tcPr>
          <w:p w14:paraId="3187152F" w14:textId="77777777" w:rsidR="001879DD" w:rsidRPr="00BF2A9A" w:rsidRDefault="001879DD" w:rsidP="001879DD">
            <w:pPr>
              <w:ind w:left="26"/>
              <w:rPr>
                <w:rFonts w:ascii="David" w:hAnsi="David"/>
                <w:b/>
                <w:bCs/>
                <w:sz w:val="26"/>
                <w:szCs w:val="26"/>
                <w:rtl/>
              </w:rPr>
            </w:pPr>
            <w:bookmarkStart w:id="1" w:name="FirstAppellant"/>
          </w:p>
          <w:p w14:paraId="264480AC" w14:textId="77777777" w:rsidR="001879DD" w:rsidRPr="00BF2A9A" w:rsidRDefault="001879DD" w:rsidP="001879DD">
            <w:pPr>
              <w:ind w:left="26"/>
              <w:rPr>
                <w:rFonts w:ascii="David" w:hAnsi="David"/>
                <w:b/>
                <w:bCs/>
                <w:sz w:val="26"/>
                <w:szCs w:val="26"/>
                <w:rtl/>
              </w:rPr>
            </w:pPr>
            <w:r w:rsidRPr="00BF2A9A">
              <w:rPr>
                <w:rFonts w:ascii="David" w:hAnsi="David"/>
                <w:b/>
                <w:bCs/>
                <w:sz w:val="26"/>
                <w:szCs w:val="26"/>
                <w:rtl/>
              </w:rPr>
              <w:t>המאשימה</w:t>
            </w:r>
          </w:p>
        </w:tc>
        <w:tc>
          <w:tcPr>
            <w:tcW w:w="5922" w:type="dxa"/>
            <w:gridSpan w:val="2"/>
            <w:shd w:val="clear" w:color="auto" w:fill="auto"/>
          </w:tcPr>
          <w:p w14:paraId="2D08FCBC" w14:textId="77777777" w:rsidR="001879DD" w:rsidRPr="00BF2A9A" w:rsidRDefault="001879DD" w:rsidP="00D03C42">
            <w:pPr>
              <w:rPr>
                <w:rFonts w:ascii="David" w:hAnsi="David"/>
                <w:rtl/>
              </w:rPr>
            </w:pPr>
          </w:p>
          <w:p w14:paraId="4CD47F41" w14:textId="77777777" w:rsidR="001879DD" w:rsidRPr="00BF2A9A" w:rsidRDefault="001879DD" w:rsidP="00D03C42">
            <w:pPr>
              <w:rPr>
                <w:rFonts w:ascii="David" w:hAnsi="David"/>
                <w:b/>
                <w:bCs/>
                <w:sz w:val="26"/>
                <w:szCs w:val="26"/>
                <w:rtl/>
              </w:rPr>
            </w:pPr>
            <w:r w:rsidRPr="00BF2A9A">
              <w:rPr>
                <w:rFonts w:ascii="David" w:hAnsi="David"/>
                <w:rtl/>
              </w:rPr>
              <w:t xml:space="preserve"> </w:t>
            </w:r>
            <w:r w:rsidRPr="00BF2A9A">
              <w:rPr>
                <w:rFonts w:ascii="David" w:hAnsi="David"/>
                <w:b/>
                <w:bCs/>
                <w:sz w:val="26"/>
                <w:szCs w:val="26"/>
                <w:rtl/>
              </w:rPr>
              <w:t xml:space="preserve"> מדינת ישראל </w:t>
            </w:r>
          </w:p>
        </w:tc>
      </w:tr>
      <w:bookmarkEnd w:id="1"/>
      <w:tr w:rsidR="001879DD" w:rsidRPr="00BF2A9A" w14:paraId="0B9916FD" w14:textId="77777777" w:rsidTr="001879DD">
        <w:tc>
          <w:tcPr>
            <w:tcW w:w="8802" w:type="dxa"/>
            <w:gridSpan w:val="3"/>
            <w:shd w:val="clear" w:color="auto" w:fill="auto"/>
            <w:vAlign w:val="center"/>
          </w:tcPr>
          <w:p w14:paraId="426BE4E8" w14:textId="77777777" w:rsidR="001879DD" w:rsidRPr="00BF2A9A" w:rsidRDefault="001879DD" w:rsidP="001879DD">
            <w:pPr>
              <w:jc w:val="center"/>
              <w:rPr>
                <w:rFonts w:ascii="David" w:hAnsi="David"/>
                <w:b/>
                <w:bCs/>
                <w:sz w:val="26"/>
                <w:szCs w:val="26"/>
                <w:rtl/>
              </w:rPr>
            </w:pPr>
          </w:p>
          <w:p w14:paraId="40397B30" w14:textId="77777777" w:rsidR="001879DD" w:rsidRPr="00BF2A9A" w:rsidRDefault="001879DD" w:rsidP="001879DD">
            <w:pPr>
              <w:jc w:val="center"/>
              <w:rPr>
                <w:rFonts w:ascii="David" w:hAnsi="David"/>
                <w:b/>
                <w:bCs/>
                <w:sz w:val="26"/>
                <w:szCs w:val="26"/>
                <w:rtl/>
              </w:rPr>
            </w:pPr>
            <w:r w:rsidRPr="00BF2A9A">
              <w:rPr>
                <w:rFonts w:ascii="David" w:hAnsi="David"/>
                <w:b/>
                <w:bCs/>
                <w:sz w:val="26"/>
                <w:szCs w:val="26"/>
                <w:rtl/>
              </w:rPr>
              <w:t>נגד</w:t>
            </w:r>
          </w:p>
          <w:p w14:paraId="7837B148" w14:textId="77777777" w:rsidR="001879DD" w:rsidRPr="00BF2A9A" w:rsidRDefault="001879DD" w:rsidP="00D03C42">
            <w:pPr>
              <w:rPr>
                <w:rFonts w:ascii="David" w:hAnsi="David"/>
                <w:b/>
                <w:bCs/>
                <w:sz w:val="26"/>
                <w:szCs w:val="26"/>
                <w:rtl/>
              </w:rPr>
            </w:pPr>
          </w:p>
        </w:tc>
      </w:tr>
      <w:tr w:rsidR="001879DD" w:rsidRPr="00BF2A9A" w14:paraId="074DD32B" w14:textId="77777777" w:rsidTr="001879DD">
        <w:tc>
          <w:tcPr>
            <w:tcW w:w="2880" w:type="dxa"/>
            <w:shd w:val="clear" w:color="auto" w:fill="auto"/>
          </w:tcPr>
          <w:p w14:paraId="0B1396E5" w14:textId="77777777" w:rsidR="001879DD" w:rsidRPr="00BF2A9A" w:rsidRDefault="001879DD" w:rsidP="001879DD">
            <w:pPr>
              <w:ind w:left="26"/>
              <w:rPr>
                <w:rFonts w:ascii="David" w:hAnsi="David"/>
                <w:b/>
                <w:bCs/>
                <w:sz w:val="26"/>
                <w:szCs w:val="26"/>
              </w:rPr>
            </w:pPr>
            <w:r w:rsidRPr="00BF2A9A">
              <w:rPr>
                <w:rFonts w:ascii="David" w:hAnsi="David"/>
                <w:b/>
                <w:bCs/>
                <w:sz w:val="26"/>
                <w:szCs w:val="26"/>
                <w:rtl/>
              </w:rPr>
              <w:t>הנאשם</w:t>
            </w:r>
          </w:p>
        </w:tc>
        <w:tc>
          <w:tcPr>
            <w:tcW w:w="5922" w:type="dxa"/>
            <w:gridSpan w:val="2"/>
            <w:shd w:val="clear" w:color="auto" w:fill="auto"/>
          </w:tcPr>
          <w:p w14:paraId="09907E66" w14:textId="77777777" w:rsidR="001879DD" w:rsidRPr="00BF2A9A" w:rsidRDefault="001879DD" w:rsidP="00D03C42">
            <w:pPr>
              <w:rPr>
                <w:rFonts w:ascii="David" w:hAnsi="David"/>
                <w:b/>
                <w:bCs/>
                <w:sz w:val="26"/>
                <w:szCs w:val="26"/>
                <w:rtl/>
              </w:rPr>
            </w:pPr>
            <w:r w:rsidRPr="00BF2A9A">
              <w:rPr>
                <w:rFonts w:ascii="David" w:hAnsi="David"/>
                <w:rtl/>
              </w:rPr>
              <w:t xml:space="preserve"> </w:t>
            </w:r>
            <w:r w:rsidRPr="00BF2A9A">
              <w:rPr>
                <w:rFonts w:ascii="David" w:hAnsi="David"/>
                <w:b/>
                <w:bCs/>
                <w:sz w:val="26"/>
                <w:szCs w:val="26"/>
                <w:rtl/>
              </w:rPr>
              <w:t>לוטפי ג'ורבאן (עציר)</w:t>
            </w:r>
            <w:r w:rsidRPr="00BF2A9A">
              <w:rPr>
                <w:rFonts w:ascii="David" w:hAnsi="David"/>
                <w:rtl/>
              </w:rPr>
              <w:t xml:space="preserve"> </w:t>
            </w:r>
            <w:r w:rsidRPr="00BF2A9A">
              <w:rPr>
                <w:rFonts w:ascii="David" w:hAnsi="David"/>
                <w:b/>
                <w:bCs/>
                <w:sz w:val="26"/>
                <w:szCs w:val="26"/>
                <w:rtl/>
              </w:rPr>
              <w:t xml:space="preserve">ת"ז  </w:t>
            </w:r>
            <w:r w:rsidR="00BF2A9A">
              <w:rPr>
                <w:rFonts w:ascii="David" w:hAnsi="David"/>
                <w:b/>
                <w:bCs/>
                <w:sz w:val="26"/>
                <w:szCs w:val="26"/>
              </w:rPr>
              <w:t>xxxxxxxxxx</w:t>
            </w:r>
          </w:p>
        </w:tc>
      </w:tr>
    </w:tbl>
    <w:p w14:paraId="4FAAD05E" w14:textId="77777777" w:rsidR="001879DD" w:rsidRPr="00BF2A9A" w:rsidRDefault="001879DD" w:rsidP="001879DD">
      <w:pPr>
        <w:spacing w:line="360" w:lineRule="auto"/>
        <w:jc w:val="both"/>
        <w:rPr>
          <w:rFonts w:ascii="David" w:hAnsi="David"/>
          <w:sz w:val="6"/>
          <w:szCs w:val="6"/>
          <w:rtl/>
        </w:rPr>
      </w:pPr>
      <w:r w:rsidRPr="00BF2A9A">
        <w:rPr>
          <w:rFonts w:ascii="David" w:hAnsi="David"/>
          <w:sz w:val="6"/>
          <w:szCs w:val="6"/>
          <w:rtl/>
        </w:rPr>
        <w:t>&lt;#1#&gt;</w:t>
      </w:r>
    </w:p>
    <w:p w14:paraId="67088561" w14:textId="77777777" w:rsidR="00ED2367" w:rsidRPr="00ED2367" w:rsidRDefault="00ED2367" w:rsidP="00ED2367">
      <w:pPr>
        <w:spacing w:before="120" w:after="120" w:line="240" w:lineRule="exact"/>
        <w:ind w:left="283" w:hanging="283"/>
        <w:jc w:val="both"/>
        <w:rPr>
          <w:rFonts w:ascii="FrankRuehl" w:hAnsi="FrankRuehl" w:cs="FrankRuehl"/>
          <w:rtl/>
        </w:rPr>
      </w:pPr>
    </w:p>
    <w:p w14:paraId="4CF1D545" w14:textId="77777777" w:rsidR="00F25164" w:rsidRDefault="00F25164" w:rsidP="00F25164">
      <w:pPr>
        <w:rPr>
          <w:rFonts w:ascii="Arial" w:hAnsi="Arial"/>
          <w:sz w:val="26"/>
          <w:szCs w:val="26"/>
          <w:rtl/>
        </w:rPr>
      </w:pPr>
      <w:bookmarkStart w:id="2" w:name="LawTable"/>
      <w:bookmarkEnd w:id="2"/>
    </w:p>
    <w:p w14:paraId="748F9BA5" w14:textId="77777777" w:rsidR="00F25164" w:rsidRPr="00F25164" w:rsidRDefault="00F25164" w:rsidP="00F25164">
      <w:pPr>
        <w:spacing w:before="120" w:after="120" w:line="240" w:lineRule="exact"/>
        <w:ind w:left="283" w:hanging="283"/>
        <w:jc w:val="both"/>
        <w:rPr>
          <w:rFonts w:ascii="FrankRuehl" w:hAnsi="FrankRuehl" w:cs="FrankRuehl"/>
          <w:rtl/>
        </w:rPr>
      </w:pPr>
    </w:p>
    <w:p w14:paraId="4452F224" w14:textId="77777777" w:rsidR="00F25164" w:rsidRPr="00F25164" w:rsidRDefault="00F25164" w:rsidP="00F25164">
      <w:pPr>
        <w:spacing w:before="120" w:after="120" w:line="240" w:lineRule="exact"/>
        <w:ind w:left="283" w:hanging="283"/>
        <w:jc w:val="both"/>
        <w:rPr>
          <w:rFonts w:ascii="FrankRuehl" w:hAnsi="FrankRuehl" w:cs="FrankRuehl"/>
          <w:rtl/>
        </w:rPr>
      </w:pPr>
    </w:p>
    <w:p w14:paraId="3D2029D1" w14:textId="77777777" w:rsidR="00F25164" w:rsidRPr="00F25164" w:rsidRDefault="00F25164" w:rsidP="00F25164">
      <w:pPr>
        <w:spacing w:before="120" w:after="120" w:line="240" w:lineRule="exact"/>
        <w:ind w:left="283" w:hanging="283"/>
        <w:jc w:val="both"/>
        <w:rPr>
          <w:rFonts w:ascii="FrankRuehl" w:hAnsi="FrankRuehl" w:cs="FrankRuehl"/>
          <w:rtl/>
        </w:rPr>
      </w:pPr>
      <w:r w:rsidRPr="00F25164">
        <w:rPr>
          <w:rFonts w:ascii="FrankRuehl" w:hAnsi="FrankRuehl" w:cs="FrankRuehl"/>
          <w:rtl/>
        </w:rPr>
        <w:t xml:space="preserve">חקיקה שאוזכרה: </w:t>
      </w:r>
    </w:p>
    <w:p w14:paraId="15F10F7E" w14:textId="77777777" w:rsidR="00F25164" w:rsidRPr="00F25164" w:rsidRDefault="00F25164" w:rsidP="00F25164">
      <w:pPr>
        <w:spacing w:before="120" w:after="120" w:line="240" w:lineRule="exact"/>
        <w:ind w:left="283" w:hanging="283"/>
        <w:jc w:val="both"/>
        <w:rPr>
          <w:rFonts w:ascii="FrankRuehl" w:hAnsi="FrankRuehl" w:cs="FrankRuehl"/>
          <w:rtl/>
        </w:rPr>
      </w:pPr>
      <w:hyperlink r:id="rId7" w:history="1">
        <w:r w:rsidRPr="00F25164">
          <w:rPr>
            <w:rFonts w:ascii="FrankRuehl" w:hAnsi="FrankRuehl" w:cs="FrankRuehl"/>
            <w:color w:val="0000FF"/>
            <w:rtl/>
          </w:rPr>
          <w:t>חוק העונשין, תשל"ז-1977</w:t>
        </w:r>
      </w:hyperlink>
      <w:r w:rsidRPr="00F25164">
        <w:rPr>
          <w:rFonts w:ascii="FrankRuehl" w:hAnsi="FrankRuehl" w:cs="FrankRuehl"/>
          <w:rtl/>
        </w:rPr>
        <w:t xml:space="preserve">: סע'  </w:t>
      </w:r>
      <w:hyperlink r:id="rId8" w:history="1">
        <w:r w:rsidRPr="00F25164">
          <w:rPr>
            <w:rFonts w:ascii="FrankRuehl" w:hAnsi="FrankRuehl" w:cs="FrankRuehl"/>
            <w:color w:val="0000FF"/>
            <w:rtl/>
          </w:rPr>
          <w:t>40א</w:t>
        </w:r>
      </w:hyperlink>
      <w:r w:rsidRPr="00F25164">
        <w:rPr>
          <w:rFonts w:ascii="FrankRuehl" w:hAnsi="FrankRuehl" w:cs="FrankRuehl"/>
          <w:rtl/>
        </w:rPr>
        <w:t xml:space="preserve">, </w:t>
      </w:r>
      <w:hyperlink r:id="rId9" w:history="1">
        <w:r w:rsidRPr="00F25164">
          <w:rPr>
            <w:rFonts w:ascii="FrankRuehl" w:hAnsi="FrankRuehl" w:cs="FrankRuehl"/>
            <w:color w:val="0000FF"/>
            <w:rtl/>
          </w:rPr>
          <w:t>40ב</w:t>
        </w:r>
      </w:hyperlink>
      <w:r w:rsidRPr="00F25164">
        <w:rPr>
          <w:rFonts w:ascii="FrankRuehl" w:hAnsi="FrankRuehl" w:cs="FrankRuehl"/>
          <w:rtl/>
        </w:rPr>
        <w:t xml:space="preserve">, </w:t>
      </w:r>
      <w:hyperlink r:id="rId10" w:history="1">
        <w:r w:rsidRPr="00F25164">
          <w:rPr>
            <w:rFonts w:ascii="FrankRuehl" w:hAnsi="FrankRuehl" w:cs="FrankRuehl"/>
            <w:color w:val="0000FF"/>
            <w:rtl/>
          </w:rPr>
          <w:t>40ג</w:t>
        </w:r>
      </w:hyperlink>
      <w:r w:rsidRPr="00F25164">
        <w:rPr>
          <w:rFonts w:ascii="FrankRuehl" w:hAnsi="FrankRuehl" w:cs="FrankRuehl"/>
          <w:rtl/>
        </w:rPr>
        <w:t xml:space="preserve">, </w:t>
      </w:r>
      <w:hyperlink r:id="rId11" w:history="1">
        <w:r w:rsidRPr="00F25164">
          <w:rPr>
            <w:rFonts w:ascii="FrankRuehl" w:hAnsi="FrankRuehl" w:cs="FrankRuehl"/>
            <w:color w:val="0000FF"/>
            <w:rtl/>
          </w:rPr>
          <w:t>40ד</w:t>
        </w:r>
      </w:hyperlink>
      <w:r w:rsidRPr="00F25164">
        <w:rPr>
          <w:rFonts w:ascii="FrankRuehl" w:hAnsi="FrankRuehl" w:cs="FrankRuehl"/>
          <w:rtl/>
        </w:rPr>
        <w:t xml:space="preserve">, </w:t>
      </w:r>
      <w:hyperlink r:id="rId12" w:history="1">
        <w:r w:rsidRPr="00F25164">
          <w:rPr>
            <w:rFonts w:ascii="FrankRuehl" w:hAnsi="FrankRuehl" w:cs="FrankRuehl"/>
            <w:color w:val="0000FF"/>
            <w:rtl/>
          </w:rPr>
          <w:t>40ה</w:t>
        </w:r>
      </w:hyperlink>
      <w:r w:rsidRPr="00F25164">
        <w:rPr>
          <w:rFonts w:ascii="FrankRuehl" w:hAnsi="FrankRuehl" w:cs="FrankRuehl"/>
          <w:rtl/>
        </w:rPr>
        <w:t xml:space="preserve">, </w:t>
      </w:r>
      <w:hyperlink r:id="rId13" w:history="1">
        <w:r w:rsidRPr="00F25164">
          <w:rPr>
            <w:rFonts w:ascii="FrankRuehl" w:hAnsi="FrankRuehl" w:cs="FrankRuehl"/>
            <w:color w:val="0000FF"/>
            <w:rtl/>
          </w:rPr>
          <w:t>40ו</w:t>
        </w:r>
      </w:hyperlink>
      <w:r w:rsidRPr="00F25164">
        <w:rPr>
          <w:rFonts w:ascii="FrankRuehl" w:hAnsi="FrankRuehl" w:cs="FrankRuehl"/>
          <w:rtl/>
        </w:rPr>
        <w:t xml:space="preserve">, </w:t>
      </w:r>
      <w:hyperlink r:id="rId14" w:history="1">
        <w:r w:rsidRPr="00F25164">
          <w:rPr>
            <w:rFonts w:ascii="FrankRuehl" w:hAnsi="FrankRuehl" w:cs="FrankRuehl"/>
            <w:color w:val="0000FF"/>
            <w:rtl/>
          </w:rPr>
          <w:t>40ז</w:t>
        </w:r>
      </w:hyperlink>
      <w:r w:rsidRPr="00F25164">
        <w:rPr>
          <w:rFonts w:ascii="FrankRuehl" w:hAnsi="FrankRuehl" w:cs="FrankRuehl"/>
          <w:rtl/>
        </w:rPr>
        <w:t xml:space="preserve">, </w:t>
      </w:r>
      <w:hyperlink r:id="rId15" w:history="1">
        <w:r w:rsidRPr="00F25164">
          <w:rPr>
            <w:rFonts w:ascii="FrankRuehl" w:hAnsi="FrankRuehl" w:cs="FrankRuehl"/>
            <w:color w:val="0000FF"/>
            <w:rtl/>
          </w:rPr>
          <w:t>40ח</w:t>
        </w:r>
      </w:hyperlink>
      <w:r w:rsidRPr="00F25164">
        <w:rPr>
          <w:rFonts w:ascii="FrankRuehl" w:hAnsi="FrankRuehl" w:cs="FrankRuehl"/>
          <w:rtl/>
        </w:rPr>
        <w:t xml:space="preserve">, </w:t>
      </w:r>
      <w:hyperlink r:id="rId16" w:history="1">
        <w:r w:rsidRPr="00F25164">
          <w:rPr>
            <w:rFonts w:ascii="FrankRuehl" w:hAnsi="FrankRuehl" w:cs="FrankRuehl"/>
            <w:color w:val="0000FF"/>
            <w:rtl/>
          </w:rPr>
          <w:t>40ט</w:t>
        </w:r>
      </w:hyperlink>
      <w:r w:rsidRPr="00F25164">
        <w:rPr>
          <w:rFonts w:ascii="FrankRuehl" w:hAnsi="FrankRuehl" w:cs="FrankRuehl"/>
          <w:rtl/>
        </w:rPr>
        <w:t xml:space="preserve">, </w:t>
      </w:r>
      <w:hyperlink r:id="rId17" w:history="1">
        <w:r w:rsidRPr="00F25164">
          <w:rPr>
            <w:rFonts w:ascii="FrankRuehl" w:hAnsi="FrankRuehl" w:cs="FrankRuehl"/>
            <w:color w:val="0000FF"/>
            <w:rtl/>
          </w:rPr>
          <w:t>40י</w:t>
        </w:r>
      </w:hyperlink>
      <w:r w:rsidRPr="00F25164">
        <w:rPr>
          <w:rFonts w:ascii="FrankRuehl" w:hAnsi="FrankRuehl" w:cs="FrankRuehl"/>
          <w:rtl/>
        </w:rPr>
        <w:t xml:space="preserve">, </w:t>
      </w:r>
      <w:hyperlink r:id="rId18" w:history="1">
        <w:r w:rsidRPr="00F25164">
          <w:rPr>
            <w:rFonts w:ascii="FrankRuehl" w:hAnsi="FrankRuehl" w:cs="FrankRuehl"/>
            <w:color w:val="0000FF"/>
            <w:rtl/>
          </w:rPr>
          <w:t>144(ב)</w:t>
        </w:r>
      </w:hyperlink>
      <w:r w:rsidRPr="00F25164">
        <w:rPr>
          <w:rFonts w:ascii="FrankRuehl" w:hAnsi="FrankRuehl" w:cs="FrankRuehl"/>
          <w:rtl/>
        </w:rPr>
        <w:t xml:space="preserve">, </w:t>
      </w:r>
      <w:hyperlink r:id="rId19" w:history="1">
        <w:r w:rsidRPr="00F25164">
          <w:rPr>
            <w:rFonts w:ascii="FrankRuehl" w:hAnsi="FrankRuehl" w:cs="FrankRuehl"/>
            <w:color w:val="0000FF"/>
            <w:rtl/>
          </w:rPr>
          <w:t>340א(ב)(1)</w:t>
        </w:r>
      </w:hyperlink>
      <w:r w:rsidRPr="00F25164">
        <w:rPr>
          <w:rFonts w:ascii="FrankRuehl" w:hAnsi="FrankRuehl" w:cs="FrankRuehl"/>
          <w:rtl/>
        </w:rPr>
        <w:t xml:space="preserve">, </w:t>
      </w:r>
      <w:hyperlink r:id="rId20" w:history="1">
        <w:r w:rsidRPr="00F25164">
          <w:rPr>
            <w:rFonts w:ascii="FrankRuehl" w:hAnsi="FrankRuehl" w:cs="FrankRuehl"/>
            <w:color w:val="0000FF"/>
            <w:rtl/>
          </w:rPr>
          <w:t>40טו</w:t>
        </w:r>
      </w:hyperlink>
      <w:r w:rsidRPr="00F25164">
        <w:rPr>
          <w:rFonts w:ascii="FrankRuehl" w:hAnsi="FrankRuehl" w:cs="FrankRuehl"/>
          <w:rtl/>
        </w:rPr>
        <w:t xml:space="preserve">, </w:t>
      </w:r>
      <w:hyperlink r:id="rId21" w:history="1">
        <w:r w:rsidRPr="00F25164">
          <w:rPr>
            <w:rFonts w:ascii="FrankRuehl" w:hAnsi="FrankRuehl" w:cs="FrankRuehl"/>
            <w:color w:val="0000FF"/>
            <w:rtl/>
          </w:rPr>
          <w:t>40יא</w:t>
        </w:r>
      </w:hyperlink>
      <w:r w:rsidRPr="00F25164">
        <w:rPr>
          <w:rFonts w:ascii="FrankRuehl" w:hAnsi="FrankRuehl" w:cs="FrankRuehl"/>
          <w:rtl/>
        </w:rPr>
        <w:t xml:space="preserve">, </w:t>
      </w:r>
      <w:hyperlink r:id="rId22" w:history="1">
        <w:r w:rsidRPr="00F25164">
          <w:rPr>
            <w:rFonts w:ascii="FrankRuehl" w:hAnsi="FrankRuehl" w:cs="FrankRuehl"/>
            <w:color w:val="0000FF"/>
            <w:rtl/>
          </w:rPr>
          <w:t>40יב</w:t>
        </w:r>
      </w:hyperlink>
      <w:r w:rsidRPr="00F25164">
        <w:rPr>
          <w:rFonts w:ascii="FrankRuehl" w:hAnsi="FrankRuehl" w:cs="FrankRuehl"/>
          <w:rtl/>
        </w:rPr>
        <w:t xml:space="preserve">, </w:t>
      </w:r>
      <w:hyperlink r:id="rId23" w:history="1">
        <w:r w:rsidRPr="00F25164">
          <w:rPr>
            <w:rFonts w:ascii="FrankRuehl" w:hAnsi="FrankRuehl" w:cs="FrankRuehl"/>
            <w:color w:val="0000FF"/>
            <w:rtl/>
          </w:rPr>
          <w:t>40יג</w:t>
        </w:r>
      </w:hyperlink>
      <w:r w:rsidRPr="00F25164">
        <w:rPr>
          <w:rFonts w:ascii="FrankRuehl" w:hAnsi="FrankRuehl" w:cs="FrankRuehl"/>
          <w:rtl/>
        </w:rPr>
        <w:t xml:space="preserve">, </w:t>
      </w:r>
      <w:hyperlink r:id="rId24" w:history="1">
        <w:r w:rsidRPr="00F25164">
          <w:rPr>
            <w:rFonts w:ascii="FrankRuehl" w:hAnsi="FrankRuehl" w:cs="FrankRuehl"/>
            <w:color w:val="0000FF"/>
            <w:rtl/>
          </w:rPr>
          <w:t>40יד</w:t>
        </w:r>
      </w:hyperlink>
      <w:r w:rsidRPr="00F25164">
        <w:rPr>
          <w:rFonts w:ascii="FrankRuehl" w:hAnsi="FrankRuehl" w:cs="FrankRuehl"/>
          <w:rtl/>
        </w:rPr>
        <w:t xml:space="preserve">, </w:t>
      </w:r>
      <w:hyperlink r:id="rId25" w:history="1">
        <w:r w:rsidRPr="00F25164">
          <w:rPr>
            <w:rFonts w:ascii="FrankRuehl" w:hAnsi="FrankRuehl" w:cs="FrankRuehl"/>
            <w:color w:val="0000FF"/>
            <w:rtl/>
          </w:rPr>
          <w:t>פרק ו'  א' 1</w:t>
        </w:r>
      </w:hyperlink>
    </w:p>
    <w:p w14:paraId="5BEC2312" w14:textId="77777777" w:rsidR="00F25164" w:rsidRPr="00F25164" w:rsidRDefault="00F25164" w:rsidP="00F25164">
      <w:pPr>
        <w:rPr>
          <w:rFonts w:ascii="Arial" w:hAnsi="Arial"/>
          <w:sz w:val="26"/>
          <w:szCs w:val="26"/>
          <w:rtl/>
        </w:rPr>
      </w:pPr>
      <w:bookmarkStart w:id="3" w:name="LawTable_End"/>
      <w:bookmarkEnd w:id="3"/>
    </w:p>
    <w:p w14:paraId="0D0A62A0" w14:textId="77777777" w:rsidR="001879DD" w:rsidRPr="00ED2367" w:rsidRDefault="001879DD" w:rsidP="00ED2367">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879DD" w:rsidRPr="000D3E34" w14:paraId="1045F90D" w14:textId="77777777" w:rsidTr="001879DD">
        <w:trPr>
          <w:trHeight w:val="355"/>
          <w:jc w:val="center"/>
        </w:trPr>
        <w:tc>
          <w:tcPr>
            <w:tcW w:w="8820" w:type="dxa"/>
            <w:tcBorders>
              <w:top w:val="nil"/>
              <w:left w:val="nil"/>
              <w:bottom w:val="nil"/>
              <w:right w:val="nil"/>
            </w:tcBorders>
            <w:shd w:val="clear" w:color="auto" w:fill="auto"/>
          </w:tcPr>
          <w:p w14:paraId="62765BFB" w14:textId="77777777" w:rsidR="00BF2A9A" w:rsidRPr="00BF2A9A" w:rsidRDefault="00BF2A9A" w:rsidP="00BF2A9A">
            <w:pPr>
              <w:jc w:val="center"/>
              <w:rPr>
                <w:rFonts w:ascii="David" w:eastAsia="Calibri" w:hAnsi="David"/>
                <w:b/>
                <w:bCs/>
                <w:sz w:val="32"/>
                <w:szCs w:val="32"/>
                <w:u w:val="single"/>
                <w:rtl/>
              </w:rPr>
            </w:pPr>
            <w:bookmarkStart w:id="4" w:name="PsakDin" w:colFirst="0" w:colLast="0"/>
            <w:bookmarkEnd w:id="0"/>
            <w:r w:rsidRPr="00BF2A9A">
              <w:rPr>
                <w:rFonts w:ascii="David" w:eastAsia="Calibri" w:hAnsi="David"/>
                <w:b/>
                <w:bCs/>
                <w:sz w:val="32"/>
                <w:szCs w:val="32"/>
                <w:u w:val="single"/>
                <w:rtl/>
              </w:rPr>
              <w:t>גזר דין</w:t>
            </w:r>
          </w:p>
          <w:p w14:paraId="71B38D70" w14:textId="77777777" w:rsidR="001879DD" w:rsidRPr="00BF2A9A" w:rsidRDefault="001879DD" w:rsidP="00BF2A9A">
            <w:pPr>
              <w:jc w:val="center"/>
              <w:rPr>
                <w:rFonts w:ascii="David" w:eastAsia="Calibri" w:hAnsi="David"/>
                <w:bCs/>
                <w:sz w:val="32"/>
                <w:szCs w:val="32"/>
                <w:u w:val="single"/>
              </w:rPr>
            </w:pPr>
          </w:p>
        </w:tc>
      </w:tr>
      <w:bookmarkEnd w:id="4"/>
    </w:tbl>
    <w:p w14:paraId="677028D5" w14:textId="77777777" w:rsidR="001879DD" w:rsidRPr="000D3E34" w:rsidRDefault="001879DD" w:rsidP="001879DD">
      <w:pPr>
        <w:rPr>
          <w:rFonts w:ascii="Arial" w:hAnsi="Arial"/>
          <w:b/>
          <w:bCs/>
          <w:sz w:val="26"/>
          <w:szCs w:val="26"/>
        </w:rPr>
      </w:pPr>
    </w:p>
    <w:p w14:paraId="54DB6DA9" w14:textId="77777777" w:rsidR="001879DD" w:rsidRPr="000D3E34" w:rsidRDefault="001879DD" w:rsidP="001879DD">
      <w:pPr>
        <w:spacing w:line="360" w:lineRule="auto"/>
        <w:ind w:left="360"/>
        <w:jc w:val="both"/>
        <w:rPr>
          <w:rFonts w:ascii="David" w:eastAsia="David" w:hAnsi="David"/>
          <w:b/>
          <w:bCs/>
          <w:u w:val="single"/>
          <w:rtl/>
        </w:rPr>
      </w:pPr>
      <w:r w:rsidRPr="000D3E34">
        <w:rPr>
          <w:rFonts w:ascii="David" w:eastAsia="David" w:hAnsi="David"/>
          <w:b/>
          <w:bCs/>
          <w:u w:val="single"/>
          <w:rtl/>
        </w:rPr>
        <w:t>כללי</w:t>
      </w:r>
    </w:p>
    <w:p w14:paraId="010AD706" w14:textId="77777777" w:rsidR="001879DD" w:rsidRPr="002114DF" w:rsidRDefault="001879DD" w:rsidP="001879DD">
      <w:pPr>
        <w:spacing w:line="360" w:lineRule="auto"/>
        <w:jc w:val="both"/>
        <w:rPr>
          <w:rFonts w:ascii="David" w:eastAsia="David" w:hAnsi="David"/>
          <w:sz w:val="10"/>
          <w:szCs w:val="10"/>
          <w:rtl/>
        </w:rPr>
      </w:pPr>
    </w:p>
    <w:p w14:paraId="17E7A081" w14:textId="77777777" w:rsidR="001879DD" w:rsidRPr="000D3E34" w:rsidRDefault="001879DD" w:rsidP="001879DD">
      <w:pPr>
        <w:numPr>
          <w:ilvl w:val="0"/>
          <w:numId w:val="1"/>
        </w:numPr>
        <w:spacing w:after="160" w:line="360" w:lineRule="auto"/>
        <w:contextualSpacing/>
        <w:jc w:val="both"/>
        <w:rPr>
          <w:rFonts w:ascii="David" w:eastAsia="David" w:hAnsi="David"/>
        </w:rPr>
      </w:pPr>
      <w:bookmarkStart w:id="5" w:name="ABSTRACT_START"/>
      <w:bookmarkEnd w:id="5"/>
      <w:r w:rsidRPr="000D3E34">
        <w:rPr>
          <w:rFonts w:ascii="David" w:eastAsia="David" w:hAnsi="David"/>
          <w:rtl/>
        </w:rPr>
        <w:t xml:space="preserve">הנאשם הודה והורשע במסגרת הסדר טיעון בכתב אישום מתוקן בעבירות של נשיאת והובלת נשק – עבירה לפי </w:t>
      </w:r>
      <w:hyperlink r:id="rId26" w:history="1">
        <w:r w:rsidR="0045725C" w:rsidRPr="0045725C">
          <w:rPr>
            <w:rStyle w:val="Hyperlink"/>
            <w:rFonts w:ascii="David" w:eastAsia="David" w:hAnsi="David"/>
            <w:rtl/>
          </w:rPr>
          <w:t>סעיף 144(ב)</w:t>
        </w:r>
      </w:hyperlink>
      <w:r w:rsidRPr="000D3E34">
        <w:rPr>
          <w:rFonts w:ascii="David" w:eastAsia="David" w:hAnsi="David"/>
          <w:rtl/>
        </w:rPr>
        <w:t xml:space="preserve"> (רישא + סיפא) ל</w:t>
      </w:r>
      <w:hyperlink r:id="rId27" w:history="1">
        <w:r w:rsidR="00BF2A9A" w:rsidRPr="00BF2A9A">
          <w:rPr>
            <w:rFonts w:ascii="David" w:eastAsia="David" w:hAnsi="David"/>
            <w:color w:val="0000FF"/>
            <w:u w:val="single"/>
            <w:rtl/>
          </w:rPr>
          <w:t>חוק העונשין</w:t>
        </w:r>
      </w:hyperlink>
      <w:r w:rsidRPr="000D3E34">
        <w:rPr>
          <w:rFonts w:ascii="David" w:eastAsia="David" w:hAnsi="David"/>
          <w:rtl/>
        </w:rPr>
        <w:t xml:space="preserve">, ועבירה של ירי מנשק חם - עבירה לפי </w:t>
      </w:r>
      <w:hyperlink r:id="rId28" w:history="1">
        <w:r w:rsidR="0045725C" w:rsidRPr="0045725C">
          <w:rPr>
            <w:rStyle w:val="Hyperlink"/>
            <w:rFonts w:ascii="David" w:eastAsia="David" w:hAnsi="David"/>
            <w:rtl/>
          </w:rPr>
          <w:t>סעיפים 340א(ב)(1)</w:t>
        </w:r>
      </w:hyperlink>
      <w:r w:rsidRPr="000D3E34">
        <w:rPr>
          <w:rFonts w:ascii="David" w:eastAsia="David" w:hAnsi="David"/>
          <w:rtl/>
        </w:rPr>
        <w:t xml:space="preserve"> לחוק העונשין. </w:t>
      </w:r>
    </w:p>
    <w:p w14:paraId="2C05257F" w14:textId="77777777" w:rsidR="001879DD" w:rsidRPr="003F0260" w:rsidRDefault="001879DD" w:rsidP="001879DD">
      <w:pPr>
        <w:spacing w:line="360" w:lineRule="auto"/>
        <w:ind w:left="720"/>
        <w:contextualSpacing/>
        <w:jc w:val="both"/>
        <w:rPr>
          <w:rFonts w:ascii="David" w:eastAsia="David" w:hAnsi="David"/>
          <w:sz w:val="18"/>
          <w:szCs w:val="18"/>
        </w:rPr>
      </w:pPr>
      <w:bookmarkStart w:id="6" w:name="ABSTRACT_END"/>
      <w:bookmarkEnd w:id="6"/>
    </w:p>
    <w:p w14:paraId="5C7C33B1" w14:textId="77777777" w:rsidR="001879DD" w:rsidRPr="000D3E34" w:rsidRDefault="001879DD" w:rsidP="001879DD">
      <w:pPr>
        <w:numPr>
          <w:ilvl w:val="0"/>
          <w:numId w:val="1"/>
        </w:numPr>
        <w:spacing w:after="160" w:line="360" w:lineRule="auto"/>
        <w:contextualSpacing/>
        <w:jc w:val="both"/>
        <w:rPr>
          <w:rFonts w:ascii="David" w:eastAsia="David" w:hAnsi="David"/>
          <w:rtl/>
        </w:rPr>
      </w:pPr>
      <w:r w:rsidRPr="000D3E34">
        <w:rPr>
          <w:rFonts w:ascii="David" w:eastAsia="David" w:hAnsi="David"/>
          <w:rtl/>
        </w:rPr>
        <w:t xml:space="preserve">הסדר הטעון מתייחס לתיקון כתב האישום ואינו כולל הסכמות לעניין העונש שיוטל על הנאשם. </w:t>
      </w:r>
    </w:p>
    <w:p w14:paraId="23D7F87D" w14:textId="77777777" w:rsidR="001879DD" w:rsidRPr="003F0260" w:rsidRDefault="001879DD" w:rsidP="001879DD">
      <w:pPr>
        <w:spacing w:line="360" w:lineRule="auto"/>
        <w:jc w:val="both"/>
        <w:rPr>
          <w:rFonts w:ascii="David" w:eastAsia="David" w:hAnsi="David"/>
          <w:sz w:val="18"/>
          <w:szCs w:val="18"/>
        </w:rPr>
      </w:pPr>
    </w:p>
    <w:p w14:paraId="2F6493DA" w14:textId="77777777" w:rsidR="001879DD" w:rsidRPr="000D3E34" w:rsidRDefault="001879DD" w:rsidP="001879DD">
      <w:pPr>
        <w:spacing w:line="360" w:lineRule="auto"/>
        <w:ind w:left="425"/>
        <w:jc w:val="both"/>
        <w:rPr>
          <w:rFonts w:ascii="David" w:eastAsia="David" w:hAnsi="David"/>
          <w:b/>
          <w:bCs/>
          <w:u w:val="single"/>
        </w:rPr>
      </w:pPr>
      <w:r w:rsidRPr="000D3E34">
        <w:rPr>
          <w:rFonts w:ascii="David" w:eastAsia="David" w:hAnsi="David"/>
          <w:b/>
          <w:bCs/>
          <w:u w:val="single"/>
          <w:rtl/>
        </w:rPr>
        <w:t xml:space="preserve">עובדות כתב האישום המתוקן </w:t>
      </w:r>
    </w:p>
    <w:p w14:paraId="4088CDC3" w14:textId="77777777" w:rsidR="001879DD" w:rsidRPr="003F0260" w:rsidRDefault="001879DD" w:rsidP="001879DD">
      <w:pPr>
        <w:spacing w:after="200" w:line="360" w:lineRule="auto"/>
        <w:ind w:firstLine="425"/>
        <w:contextualSpacing/>
        <w:jc w:val="both"/>
        <w:rPr>
          <w:rFonts w:ascii="David" w:eastAsia="Calibri" w:hAnsi="David"/>
          <w:sz w:val="14"/>
          <w:szCs w:val="14"/>
          <w:u w:val="single"/>
          <w:rtl/>
        </w:rPr>
      </w:pPr>
    </w:p>
    <w:p w14:paraId="5B4A9B30" w14:textId="77777777" w:rsidR="001879DD" w:rsidRPr="00EA4239" w:rsidRDefault="001879DD" w:rsidP="001879DD">
      <w:pPr>
        <w:numPr>
          <w:ilvl w:val="0"/>
          <w:numId w:val="1"/>
        </w:numPr>
        <w:overflowPunct w:val="0"/>
        <w:autoSpaceDE w:val="0"/>
        <w:autoSpaceDN w:val="0"/>
        <w:spacing w:after="200" w:line="360" w:lineRule="auto"/>
        <w:contextualSpacing/>
        <w:jc w:val="both"/>
        <w:rPr>
          <w:rFonts w:ascii="David" w:eastAsia="Calibri" w:hAnsi="David"/>
        </w:rPr>
      </w:pPr>
      <w:r w:rsidRPr="00EA4239">
        <w:rPr>
          <w:rFonts w:ascii="David" w:eastAsia="Calibri" w:hAnsi="David"/>
          <w:rtl/>
        </w:rPr>
        <w:t>בתאריך 28.10.22 בשעה 20:00 בוצע ירי לעבר שני בני משפחתו של הנאשם בג'סר א-זרקא</w:t>
      </w:r>
      <w:r w:rsidRPr="00EA4239">
        <w:rPr>
          <w:rFonts w:ascii="David" w:eastAsia="Calibri" w:hAnsi="David" w:hint="cs"/>
          <w:rtl/>
        </w:rPr>
        <w:t xml:space="preserve">, ירי שגרם לפציעתם.  בעקבות כך התמקם </w:t>
      </w:r>
      <w:r w:rsidRPr="00EA4239">
        <w:rPr>
          <w:rFonts w:ascii="David" w:eastAsia="Calibri" w:hAnsi="David"/>
          <w:rtl/>
        </w:rPr>
        <w:t>באזור אירוע הירי</w:t>
      </w:r>
      <w:r w:rsidRPr="00EA4239">
        <w:rPr>
          <w:rFonts w:ascii="David" w:eastAsia="Calibri" w:hAnsi="David" w:hint="cs"/>
          <w:rtl/>
        </w:rPr>
        <w:t xml:space="preserve"> כוח משטרתי</w:t>
      </w:r>
      <w:r w:rsidRPr="00EA4239">
        <w:rPr>
          <w:rFonts w:ascii="David" w:eastAsia="Calibri" w:hAnsi="David"/>
          <w:rtl/>
        </w:rPr>
        <w:t xml:space="preserve">. </w:t>
      </w:r>
      <w:r w:rsidRPr="00EA4239">
        <w:rPr>
          <w:rFonts w:hint="cs"/>
          <w:sz w:val="20"/>
          <w:rtl/>
        </w:rPr>
        <w:t xml:space="preserve">באותו היום בסמוך </w:t>
      </w:r>
      <w:r w:rsidRPr="00EA4239">
        <w:rPr>
          <w:sz w:val="20"/>
          <w:rtl/>
        </w:rPr>
        <w:t xml:space="preserve">לשעה 22:00, הנאשם ואחיו המנוח זאהי הלכו ברחוב עומר בן </w:t>
      </w:r>
      <w:r w:rsidRPr="00EA4239">
        <w:rPr>
          <w:rFonts w:ascii="David" w:hAnsi="David"/>
          <w:rtl/>
        </w:rPr>
        <w:t xml:space="preserve">חטאב בג'סר א-זרקא כשהנאשם נושא ומוביל אקדח חצי אוטומטי מסוג </w:t>
      </w:r>
      <w:r w:rsidRPr="00EA4239">
        <w:rPr>
          <w:rFonts w:ascii="David" w:hAnsi="David"/>
        </w:rPr>
        <w:t>FN</w:t>
      </w:r>
      <w:r w:rsidRPr="00EA4239">
        <w:rPr>
          <w:rFonts w:ascii="David" w:hAnsi="David"/>
          <w:rtl/>
        </w:rPr>
        <w:t xml:space="preserve"> </w:t>
      </w:r>
      <w:r w:rsidRPr="00EA4239">
        <w:rPr>
          <w:rFonts w:ascii="David" w:hAnsi="David" w:hint="cs"/>
          <w:rtl/>
        </w:rPr>
        <w:t xml:space="preserve">ובתוכו מחסנית </w:t>
      </w:r>
      <w:r w:rsidRPr="00EA4239">
        <w:rPr>
          <w:rFonts w:ascii="David" w:eastAsia="Calibri" w:hAnsi="David"/>
          <w:rtl/>
        </w:rPr>
        <w:t>טעונה בשני כדורים התואמים לאקדח</w:t>
      </w:r>
      <w:r w:rsidRPr="00EA4239">
        <w:rPr>
          <w:rFonts w:ascii="David" w:eastAsia="Calibri" w:hAnsi="David" w:hint="cs"/>
          <w:rtl/>
        </w:rPr>
        <w:t>,</w:t>
      </w:r>
      <w:r w:rsidRPr="00EA4239">
        <w:rPr>
          <w:rFonts w:ascii="David" w:eastAsia="Calibri" w:hAnsi="David"/>
          <w:rtl/>
        </w:rPr>
        <w:t xml:space="preserve"> וזאהי </w:t>
      </w:r>
      <w:r w:rsidRPr="00EA4239">
        <w:rPr>
          <w:rFonts w:ascii="David" w:hAnsi="David" w:hint="cs"/>
          <w:rtl/>
        </w:rPr>
        <w:t xml:space="preserve"> נשא והוביל רובה</w:t>
      </w:r>
      <w:r w:rsidRPr="00EA4239">
        <w:rPr>
          <w:rFonts w:ascii="David" w:hAnsi="David"/>
          <w:rtl/>
        </w:rPr>
        <w:t xml:space="preserve"> דמוי תת</w:t>
      </w:r>
      <w:r w:rsidRPr="00EA4239">
        <w:rPr>
          <w:sz w:val="20"/>
          <w:rtl/>
        </w:rPr>
        <w:t xml:space="preserve"> מקלע מאולתר ובתוכו מחסנית </w:t>
      </w:r>
      <w:r w:rsidRPr="00EA4239">
        <w:rPr>
          <w:rFonts w:ascii="David" w:eastAsia="Calibri" w:hAnsi="David"/>
          <w:rtl/>
        </w:rPr>
        <w:t xml:space="preserve"> </w:t>
      </w:r>
      <w:r w:rsidRPr="00EA4239">
        <w:rPr>
          <w:rFonts w:ascii="David" w:eastAsia="Calibri" w:hAnsi="David"/>
          <w:rtl/>
        </w:rPr>
        <w:lastRenderedPageBreak/>
        <w:t xml:space="preserve">טעונה בכדורים התואמים לתת המקלע. בעודם ברחוב באיזור מגורים, </w:t>
      </w:r>
      <w:r w:rsidRPr="00EA4239">
        <w:rPr>
          <w:sz w:val="20"/>
          <w:rtl/>
        </w:rPr>
        <w:t xml:space="preserve">במהלך אירוע שנסיבותיו אינן ידועות למאשימה, התבצע ירי </w:t>
      </w:r>
      <w:r w:rsidRPr="00EA4239">
        <w:rPr>
          <w:rFonts w:hint="cs"/>
          <w:sz w:val="20"/>
          <w:rtl/>
        </w:rPr>
        <w:t xml:space="preserve">על ידי </w:t>
      </w:r>
      <w:r w:rsidRPr="00EA4239">
        <w:rPr>
          <w:sz w:val="20"/>
          <w:rtl/>
        </w:rPr>
        <w:t>אחרים שזהותם אינה ידועה למאשימה</w:t>
      </w:r>
      <w:r>
        <w:rPr>
          <w:rFonts w:hint="cs"/>
          <w:sz w:val="20"/>
          <w:rtl/>
        </w:rPr>
        <w:t>, ו</w:t>
      </w:r>
      <w:r w:rsidRPr="00EA4239">
        <w:rPr>
          <w:sz w:val="20"/>
          <w:rtl/>
        </w:rPr>
        <w:t>כתוצאה מהירי נפצעו הנאשם ואחיו</w:t>
      </w:r>
      <w:r>
        <w:rPr>
          <w:rFonts w:hint="cs"/>
          <w:sz w:val="20"/>
          <w:rtl/>
        </w:rPr>
        <w:t>. בשלב זה הנאשם</w:t>
      </w:r>
      <w:r w:rsidRPr="00EA4239">
        <w:rPr>
          <w:sz w:val="20"/>
          <w:rtl/>
        </w:rPr>
        <w:t xml:space="preserve"> ירה שני כדורים באמצעות האקדח ו</w:t>
      </w:r>
      <w:r>
        <w:rPr>
          <w:rFonts w:hint="cs"/>
          <w:sz w:val="20"/>
          <w:rtl/>
        </w:rPr>
        <w:t xml:space="preserve">אחיו </w:t>
      </w:r>
      <w:r w:rsidRPr="00EA4239">
        <w:rPr>
          <w:sz w:val="20"/>
          <w:rtl/>
        </w:rPr>
        <w:t xml:space="preserve">זאהי ירה שני כדורים באמצעות תת המקלע. </w:t>
      </w:r>
    </w:p>
    <w:p w14:paraId="5830691C" w14:textId="77777777" w:rsidR="001879DD" w:rsidRDefault="001879DD" w:rsidP="001879DD">
      <w:pPr>
        <w:overflowPunct w:val="0"/>
        <w:autoSpaceDE w:val="0"/>
        <w:autoSpaceDN w:val="0"/>
        <w:spacing w:after="200" w:line="360" w:lineRule="auto"/>
        <w:ind w:left="720"/>
        <w:contextualSpacing/>
        <w:jc w:val="both"/>
        <w:rPr>
          <w:rFonts w:ascii="David" w:eastAsia="Calibri" w:hAnsi="David"/>
          <w:rtl/>
        </w:rPr>
      </w:pPr>
      <w:r>
        <w:rPr>
          <w:rFonts w:ascii="David" w:eastAsia="Calibri" w:hAnsi="David" w:hint="cs"/>
          <w:rtl/>
        </w:rPr>
        <w:t>שניים מהשוטרים שהיו באזור (חורי ועליאן) הגיעו לא</w:t>
      </w:r>
      <w:r w:rsidRPr="00EA4239">
        <w:rPr>
          <w:rFonts w:ascii="David" w:eastAsia="Calibri" w:hAnsi="David"/>
          <w:rtl/>
        </w:rPr>
        <w:t>זור הירי ברכב משטרתי</w:t>
      </w:r>
      <w:r>
        <w:rPr>
          <w:rFonts w:ascii="David" w:eastAsia="Calibri" w:hAnsi="David" w:hint="cs"/>
          <w:rtl/>
        </w:rPr>
        <w:t xml:space="preserve"> ו</w:t>
      </w:r>
      <w:r w:rsidRPr="00EA4239">
        <w:rPr>
          <w:rFonts w:ascii="David" w:eastAsia="Calibri" w:hAnsi="David"/>
          <w:rtl/>
        </w:rPr>
        <w:t>הבחינו בנאשם  אוחז בידיו את האקדח ו</w:t>
      </w:r>
      <w:r>
        <w:rPr>
          <w:rFonts w:ascii="David" w:eastAsia="Calibri" w:hAnsi="David" w:hint="cs"/>
          <w:rtl/>
        </w:rPr>
        <w:t>ב</w:t>
      </w:r>
      <w:r w:rsidRPr="00EA4239">
        <w:rPr>
          <w:rFonts w:ascii="David" w:eastAsia="Calibri" w:hAnsi="David"/>
          <w:rtl/>
        </w:rPr>
        <w:t xml:space="preserve">אחיו </w:t>
      </w:r>
      <w:r>
        <w:rPr>
          <w:rFonts w:ascii="David" w:eastAsia="Calibri" w:hAnsi="David" w:hint="cs"/>
          <w:rtl/>
        </w:rPr>
        <w:t xml:space="preserve"> זאהי </w:t>
      </w:r>
      <w:r w:rsidRPr="00EA4239">
        <w:rPr>
          <w:rFonts w:ascii="David" w:eastAsia="Calibri" w:hAnsi="David"/>
          <w:rtl/>
        </w:rPr>
        <w:t>אוחז בידיו את תת המקלע.</w:t>
      </w:r>
      <w:r w:rsidRPr="00EA4239">
        <w:rPr>
          <w:rFonts w:ascii="David" w:eastAsia="Calibri" w:hAnsi="David" w:hint="cs"/>
          <w:rtl/>
        </w:rPr>
        <w:t xml:space="preserve"> </w:t>
      </w:r>
      <w:r w:rsidRPr="00EA4239">
        <w:rPr>
          <w:rFonts w:ascii="David" w:eastAsia="Calibri" w:hAnsi="David"/>
          <w:rtl/>
        </w:rPr>
        <w:t xml:space="preserve">הנאשם אשר הבחין ברכב המשטרתי החל להימלט מהמקום בריצה </w:t>
      </w:r>
      <w:r>
        <w:rPr>
          <w:rtl/>
        </w:rPr>
        <w:t>ו</w:t>
      </w:r>
      <w:r w:rsidRPr="00EA4239">
        <w:rPr>
          <w:rFonts w:ascii="David" w:eastAsia="Calibri" w:hAnsi="David"/>
          <w:rtl/>
        </w:rPr>
        <w:t>השוטרים נסעו אחרי הנאשם</w:t>
      </w:r>
      <w:r>
        <w:rPr>
          <w:rFonts w:ascii="David" w:eastAsia="Calibri" w:hAnsi="David" w:hint="cs"/>
          <w:rtl/>
        </w:rPr>
        <w:t xml:space="preserve">. </w:t>
      </w:r>
      <w:r w:rsidRPr="00EA4239">
        <w:rPr>
          <w:rFonts w:ascii="David" w:eastAsia="Calibri" w:hAnsi="David"/>
          <w:rtl/>
        </w:rPr>
        <w:t>השוטר חורי הורה לו לעצור, אולם הנאשם המשיך במנוסתו ואז הסתובב לעבר הרכב המש</w:t>
      </w:r>
      <w:r>
        <w:rPr>
          <w:rFonts w:ascii="David" w:eastAsia="Calibri" w:hAnsi="David"/>
          <w:rtl/>
        </w:rPr>
        <w:t>טרתי</w:t>
      </w:r>
      <w:r w:rsidRPr="00EA4239">
        <w:rPr>
          <w:rFonts w:ascii="David" w:eastAsia="Calibri" w:hAnsi="David"/>
          <w:rtl/>
        </w:rPr>
        <w:t xml:space="preserve"> בעודו אוחז באקדח. </w:t>
      </w:r>
      <w:r>
        <w:rPr>
          <w:rFonts w:hint="cs"/>
          <w:rtl/>
        </w:rPr>
        <w:t>השוטר חורי ש</w:t>
      </w:r>
      <w:r w:rsidRPr="000D3E34">
        <w:rPr>
          <w:rtl/>
        </w:rPr>
        <w:t>חש סכנה לחייו, ירה לעבר הנאשם כדור אחד מנשקו המשטרתי.</w:t>
      </w:r>
      <w:r w:rsidRPr="00EA4239">
        <w:rPr>
          <w:rFonts w:ascii="David" w:eastAsia="Calibri" w:hAnsi="David" w:hint="cs"/>
          <w:rtl/>
        </w:rPr>
        <w:t xml:space="preserve"> </w:t>
      </w:r>
      <w:r w:rsidRPr="00EA4239">
        <w:rPr>
          <w:rFonts w:ascii="David" w:eastAsia="Calibri" w:hAnsi="David"/>
          <w:rtl/>
        </w:rPr>
        <w:t xml:space="preserve">השוטר </w:t>
      </w:r>
      <w:r>
        <w:rPr>
          <w:rFonts w:ascii="David" w:eastAsia="Calibri" w:hAnsi="David" w:hint="cs"/>
          <w:rtl/>
        </w:rPr>
        <w:t xml:space="preserve">עליאן </w:t>
      </w:r>
      <w:r w:rsidRPr="00EA4239">
        <w:rPr>
          <w:rFonts w:ascii="David" w:eastAsia="Calibri" w:hAnsi="David"/>
          <w:rtl/>
        </w:rPr>
        <w:t>יצא מן הרכב והתקדם לעבר אחיו של הנאשם אשר היה מצוי במצב כריעה</w:t>
      </w:r>
      <w:r>
        <w:rPr>
          <w:rFonts w:ascii="David" w:eastAsia="Calibri" w:hAnsi="David"/>
          <w:rtl/>
        </w:rPr>
        <w:t xml:space="preserve"> </w:t>
      </w:r>
      <w:r>
        <w:rPr>
          <w:rFonts w:ascii="David" w:eastAsia="Calibri" w:hAnsi="David" w:hint="cs"/>
          <w:rtl/>
        </w:rPr>
        <w:t>ו</w:t>
      </w:r>
      <w:r w:rsidRPr="00EA4239">
        <w:rPr>
          <w:rFonts w:ascii="David" w:eastAsia="Calibri" w:hAnsi="David"/>
          <w:rtl/>
        </w:rPr>
        <w:t>יר</w:t>
      </w:r>
      <w:r>
        <w:rPr>
          <w:rFonts w:ascii="David" w:eastAsia="Calibri" w:hAnsi="David"/>
          <w:rtl/>
        </w:rPr>
        <w:t>ה לעברו כדור אחד מנשקו המשטרתי</w:t>
      </w:r>
      <w:r>
        <w:rPr>
          <w:rFonts w:ascii="David" w:eastAsia="Calibri" w:hAnsi="David" w:hint="cs"/>
          <w:rtl/>
        </w:rPr>
        <w:t xml:space="preserve">, זאת לאחר שחש סכנה לחייו. </w:t>
      </w:r>
    </w:p>
    <w:p w14:paraId="543D4DDB" w14:textId="77777777" w:rsidR="001879DD" w:rsidRPr="00B353C9" w:rsidRDefault="001879DD" w:rsidP="001879DD">
      <w:pPr>
        <w:overflowPunct w:val="0"/>
        <w:autoSpaceDE w:val="0"/>
        <w:autoSpaceDN w:val="0"/>
        <w:spacing w:after="200" w:line="360" w:lineRule="auto"/>
        <w:ind w:left="720"/>
        <w:contextualSpacing/>
        <w:jc w:val="both"/>
        <w:rPr>
          <w:rFonts w:ascii="David" w:eastAsia="Calibri" w:hAnsi="David"/>
          <w:sz w:val="2"/>
          <w:szCs w:val="2"/>
          <w:rtl/>
        </w:rPr>
      </w:pPr>
    </w:p>
    <w:p w14:paraId="4EE0BFF8" w14:textId="77777777" w:rsidR="001879DD" w:rsidRPr="00B353C9" w:rsidRDefault="001879DD" w:rsidP="001879DD">
      <w:pPr>
        <w:pStyle w:val="a9"/>
        <w:numPr>
          <w:ilvl w:val="0"/>
          <w:numId w:val="1"/>
        </w:numPr>
        <w:overflowPunct w:val="0"/>
        <w:autoSpaceDE w:val="0"/>
        <w:autoSpaceDN w:val="0"/>
        <w:spacing w:after="200" w:line="360" w:lineRule="auto"/>
        <w:jc w:val="both"/>
        <w:rPr>
          <w:rFonts w:ascii="David" w:eastAsia="Calibri" w:hAnsi="David"/>
        </w:rPr>
      </w:pPr>
      <w:r w:rsidRPr="00B353C9">
        <w:rPr>
          <w:rFonts w:ascii="David" w:eastAsia="Calibri" w:hAnsi="David" w:hint="cs"/>
          <w:rtl/>
        </w:rPr>
        <w:t xml:space="preserve">הירי שבוצע זמן קצר קודם על ידי האחרים </w:t>
      </w:r>
      <w:r>
        <w:rPr>
          <w:rFonts w:ascii="David" w:eastAsia="Calibri" w:hAnsi="David" w:hint="cs"/>
          <w:rtl/>
        </w:rPr>
        <w:t xml:space="preserve">שזהותם אינה ידועה למאשימה, </w:t>
      </w:r>
      <w:r w:rsidRPr="00B353C9">
        <w:rPr>
          <w:rFonts w:ascii="David" w:eastAsia="Calibri" w:hAnsi="David" w:hint="cs"/>
          <w:rtl/>
        </w:rPr>
        <w:t>הביא למותו של זאהי.</w:t>
      </w:r>
    </w:p>
    <w:p w14:paraId="1F317F23" w14:textId="77777777" w:rsidR="001879DD" w:rsidRPr="00B353C9" w:rsidRDefault="001879DD" w:rsidP="001879DD">
      <w:pPr>
        <w:spacing w:after="200" w:line="360" w:lineRule="auto"/>
        <w:ind w:left="720"/>
        <w:contextualSpacing/>
        <w:jc w:val="both"/>
        <w:rPr>
          <w:rFonts w:ascii="David" w:eastAsia="David" w:hAnsi="David"/>
          <w:b/>
          <w:bCs/>
          <w:sz w:val="4"/>
          <w:szCs w:val="4"/>
          <w:u w:val="single"/>
        </w:rPr>
      </w:pPr>
    </w:p>
    <w:p w14:paraId="48E726B9" w14:textId="77777777" w:rsidR="001879DD" w:rsidRPr="000D3E34" w:rsidRDefault="001879DD" w:rsidP="001879DD">
      <w:pPr>
        <w:spacing w:line="360" w:lineRule="auto"/>
        <w:ind w:firstLine="360"/>
        <w:jc w:val="both"/>
        <w:rPr>
          <w:rFonts w:ascii="David" w:eastAsia="David" w:hAnsi="David"/>
          <w:b/>
          <w:bCs/>
          <w:u w:val="single"/>
          <w:rtl/>
        </w:rPr>
      </w:pPr>
      <w:r w:rsidRPr="000D3E34">
        <w:rPr>
          <w:rFonts w:ascii="David" w:eastAsia="David" w:hAnsi="David"/>
          <w:b/>
          <w:bCs/>
          <w:u w:val="single"/>
          <w:rtl/>
        </w:rPr>
        <w:t>ראיות המאשימה לעונש</w:t>
      </w:r>
    </w:p>
    <w:p w14:paraId="66C56C35" w14:textId="77777777" w:rsidR="001879DD" w:rsidRDefault="001879DD" w:rsidP="001879DD">
      <w:pPr>
        <w:numPr>
          <w:ilvl w:val="0"/>
          <w:numId w:val="1"/>
        </w:numPr>
        <w:spacing w:after="160" w:line="360" w:lineRule="auto"/>
        <w:contextualSpacing/>
        <w:jc w:val="both"/>
        <w:rPr>
          <w:rFonts w:ascii="David" w:eastAsia="David" w:hAnsi="David"/>
          <w:b/>
          <w:bCs/>
          <w:u w:val="single"/>
        </w:rPr>
      </w:pPr>
      <w:r>
        <w:rPr>
          <w:rFonts w:ascii="David" w:eastAsia="David" w:hAnsi="David" w:hint="cs"/>
          <w:rtl/>
        </w:rPr>
        <w:t xml:space="preserve">הוגש גיליון הרשעות קודמות של </w:t>
      </w:r>
      <w:r w:rsidRPr="000D3E34">
        <w:rPr>
          <w:rFonts w:ascii="David" w:eastAsia="David" w:hAnsi="David"/>
          <w:rtl/>
        </w:rPr>
        <w:t xml:space="preserve"> הנאשם (ת/1) </w:t>
      </w:r>
      <w:r>
        <w:rPr>
          <w:rFonts w:ascii="David" w:eastAsia="David" w:hAnsi="David" w:hint="cs"/>
          <w:rtl/>
        </w:rPr>
        <w:t>.</w:t>
      </w:r>
    </w:p>
    <w:p w14:paraId="3ED527C3" w14:textId="77777777" w:rsidR="001879DD" w:rsidRPr="00AE547C" w:rsidRDefault="001879DD" w:rsidP="001879DD">
      <w:pPr>
        <w:spacing w:after="160" w:line="360" w:lineRule="auto"/>
        <w:ind w:left="720"/>
        <w:contextualSpacing/>
        <w:jc w:val="both"/>
        <w:rPr>
          <w:rFonts w:ascii="David" w:eastAsia="David" w:hAnsi="David"/>
          <w:b/>
          <w:bCs/>
          <w:sz w:val="14"/>
          <w:szCs w:val="14"/>
          <w:u w:val="single"/>
        </w:rPr>
      </w:pPr>
    </w:p>
    <w:p w14:paraId="12633D02" w14:textId="77777777" w:rsidR="001879DD" w:rsidRPr="000D3E34" w:rsidRDefault="001879DD" w:rsidP="001879DD">
      <w:pPr>
        <w:spacing w:after="160" w:line="360" w:lineRule="auto"/>
        <w:ind w:firstLine="360"/>
        <w:contextualSpacing/>
        <w:jc w:val="both"/>
        <w:rPr>
          <w:rFonts w:ascii="David" w:eastAsia="David" w:hAnsi="David"/>
          <w:b/>
          <w:bCs/>
          <w:u w:val="single"/>
          <w:rtl/>
        </w:rPr>
      </w:pPr>
      <w:r w:rsidRPr="000D3E34">
        <w:rPr>
          <w:rFonts w:ascii="David" w:eastAsia="David" w:hAnsi="David"/>
          <w:b/>
          <w:bCs/>
          <w:u w:val="single"/>
          <w:rtl/>
        </w:rPr>
        <w:t>עיקרי טיעוני המאשימה לעונש</w:t>
      </w:r>
    </w:p>
    <w:p w14:paraId="04282F0D" w14:textId="77777777" w:rsidR="001879DD" w:rsidRPr="00AE547C" w:rsidRDefault="001879DD" w:rsidP="001879DD">
      <w:pPr>
        <w:spacing w:line="360" w:lineRule="auto"/>
        <w:ind w:firstLine="360"/>
        <w:jc w:val="both"/>
        <w:rPr>
          <w:rFonts w:ascii="David" w:eastAsia="David" w:hAnsi="David"/>
          <w:b/>
          <w:bCs/>
          <w:sz w:val="12"/>
          <w:szCs w:val="12"/>
          <w:u w:val="single"/>
          <w:rtl/>
        </w:rPr>
      </w:pPr>
    </w:p>
    <w:p w14:paraId="14A1B77A" w14:textId="77777777" w:rsidR="001879DD" w:rsidRPr="000D3E34" w:rsidRDefault="001879DD" w:rsidP="001879DD">
      <w:pPr>
        <w:numPr>
          <w:ilvl w:val="0"/>
          <w:numId w:val="1"/>
        </w:numPr>
        <w:spacing w:after="160" w:line="360" w:lineRule="auto"/>
        <w:contextualSpacing/>
        <w:jc w:val="both"/>
        <w:rPr>
          <w:rFonts w:ascii="David" w:eastAsia="David" w:hAnsi="David"/>
          <w:b/>
          <w:bCs/>
          <w:u w:val="single"/>
          <w:rtl/>
        </w:rPr>
      </w:pPr>
      <w:r w:rsidRPr="000D3E34">
        <w:rPr>
          <w:rFonts w:ascii="David" w:eastAsia="Calibri" w:hAnsi="David"/>
          <w:rtl/>
        </w:rPr>
        <w:t>המאשימה בטיעוניה הדגישה את חומרת העבירות בהן הורשע הנאשם, תוך מתן דגש על תופעת האלימות באמצעות נשק, והצורך להחמיר בעבירות נשק, כאשר המטרה היא להגן על שלום הציבור, על חיי אדם, על שלטון החוק והסדר הציבורי. המאשימה ציינה כי מדובר במכת מדינה, כאשר המחוקק עצמו נרתם לצורך בהחמרה</w:t>
      </w:r>
      <w:r>
        <w:rPr>
          <w:rFonts w:ascii="David" w:eastAsia="Calibri" w:hAnsi="David" w:hint="cs"/>
          <w:rtl/>
        </w:rPr>
        <w:t xml:space="preserve"> בענישה</w:t>
      </w:r>
      <w:r w:rsidRPr="000D3E34">
        <w:rPr>
          <w:rFonts w:ascii="David" w:eastAsia="Calibri" w:hAnsi="David"/>
          <w:rtl/>
        </w:rPr>
        <w:t xml:space="preserve">  וקבע עונשי מינימום. המאשימה הדגישה את העובדה שהנאשם לא רק נשא נשק בטבורה של עיר, אלא </w:t>
      </w:r>
      <w:r>
        <w:rPr>
          <w:rFonts w:ascii="David" w:eastAsia="Calibri" w:hAnsi="David" w:hint="cs"/>
          <w:rtl/>
        </w:rPr>
        <w:t xml:space="preserve">אף </w:t>
      </w:r>
      <w:r w:rsidRPr="000D3E34">
        <w:rPr>
          <w:rFonts w:ascii="David" w:eastAsia="Calibri" w:hAnsi="David"/>
          <w:rtl/>
        </w:rPr>
        <w:t>עשה בו שימוש חרף הסיכון הרב הטמון בכך. בכל הקשור לנסיבות הקשורות בביצוע הע</w:t>
      </w:r>
      <w:r>
        <w:rPr>
          <w:rFonts w:ascii="David" w:eastAsia="Calibri" w:hAnsi="David"/>
          <w:rtl/>
        </w:rPr>
        <w:t>בירות, טענה כי חלקו של הנאשם ה</w:t>
      </w:r>
      <w:r>
        <w:rPr>
          <w:rFonts w:ascii="David" w:eastAsia="Calibri" w:hAnsi="David" w:hint="cs"/>
          <w:rtl/>
        </w:rPr>
        <w:t>ינו מרכזי</w:t>
      </w:r>
      <w:r w:rsidRPr="000D3E34">
        <w:rPr>
          <w:rFonts w:ascii="David" w:eastAsia="Calibri" w:hAnsi="David"/>
          <w:rtl/>
        </w:rPr>
        <w:t xml:space="preserve">, </w:t>
      </w:r>
      <w:r>
        <w:rPr>
          <w:rFonts w:ascii="David" w:eastAsia="Calibri" w:hAnsi="David" w:hint="cs"/>
          <w:rtl/>
        </w:rPr>
        <w:t xml:space="preserve">הוא </w:t>
      </w:r>
      <w:r w:rsidRPr="000D3E34">
        <w:rPr>
          <w:rFonts w:ascii="David" w:eastAsia="Calibri" w:hAnsi="David"/>
          <w:rtl/>
        </w:rPr>
        <w:t xml:space="preserve">נשא והוביל נשק וכן ירה שני כדורים באמצעות אקדח בסביבת מגורים, כאשר לא הייתה לנאשם סיבה מוצדקת לבצע את העבירות בשים לב לנזק הרב </w:t>
      </w:r>
      <w:r>
        <w:rPr>
          <w:rFonts w:ascii="David" w:eastAsia="Calibri" w:hAnsi="David"/>
          <w:rtl/>
        </w:rPr>
        <w:t>הצפוי להיגרם מביצוע עבירות הנשק</w:t>
      </w:r>
      <w:r w:rsidRPr="000D3E34">
        <w:rPr>
          <w:rFonts w:ascii="David" w:eastAsia="Calibri" w:hAnsi="David"/>
          <w:rtl/>
        </w:rPr>
        <w:t>. עוד ציינה כי הנאשם הבין את אשר הוא עושה והפ</w:t>
      </w:r>
      <w:r>
        <w:rPr>
          <w:rFonts w:ascii="David" w:eastAsia="Calibri" w:hAnsi="David"/>
          <w:rtl/>
        </w:rPr>
        <w:t>סול ב</w:t>
      </w:r>
      <w:r>
        <w:rPr>
          <w:rFonts w:ascii="David" w:eastAsia="Calibri" w:hAnsi="David" w:hint="cs"/>
          <w:rtl/>
        </w:rPr>
        <w:t>מעשיו</w:t>
      </w:r>
      <w:r w:rsidRPr="000D3E34">
        <w:rPr>
          <w:rFonts w:ascii="David" w:eastAsia="Calibri" w:hAnsi="David"/>
          <w:rtl/>
        </w:rPr>
        <w:t xml:space="preserve"> ויכול היה להימנע מביצוע העבירות, </w:t>
      </w:r>
      <w:r>
        <w:rPr>
          <w:rFonts w:ascii="David" w:eastAsia="Calibri" w:hAnsi="David" w:hint="cs"/>
          <w:rtl/>
        </w:rPr>
        <w:t xml:space="preserve"> אולם הנאשם לא עשה כן ו</w:t>
      </w:r>
      <w:r w:rsidRPr="000D3E34">
        <w:rPr>
          <w:rFonts w:ascii="David" w:eastAsia="Calibri" w:hAnsi="David"/>
          <w:rtl/>
        </w:rPr>
        <w:t xml:space="preserve">נעצר רק לאחר שנורה על ידי אחד השוטרים. </w:t>
      </w:r>
      <w:r>
        <w:rPr>
          <w:rFonts w:ascii="David" w:eastAsia="Calibri" w:hAnsi="David" w:hint="cs"/>
          <w:rtl/>
        </w:rPr>
        <w:t xml:space="preserve"> עוד טענה כי לא מתקיימת קרבה לאחד הסייגים </w:t>
      </w:r>
      <w:r w:rsidRPr="000D3E34">
        <w:rPr>
          <w:rFonts w:ascii="David" w:eastAsia="Calibri" w:hAnsi="David"/>
          <w:rtl/>
        </w:rPr>
        <w:t>לאחריות פלילית. בכל הקשור למדיניות הענישה, הפנתה לפסיקה רלוונטית וטענה למתחם עונש הולם אשר נע בין 30 ועד 54 חודשי מאסר בפועל. לאור כל האמור לעיל ועברו הפלילי של הנאשם הכולל הרשעות בעבירות אלימות, ביקשה לאמץ את מתחם הענישה, ולמקם את עונשו של הנאשם במחצית התחתונה של המתחם. עוד ביקשה להטיל על הנ</w:t>
      </w:r>
      <w:r>
        <w:rPr>
          <w:rFonts w:ascii="David" w:eastAsia="Calibri" w:hAnsi="David"/>
          <w:rtl/>
        </w:rPr>
        <w:t xml:space="preserve">אשם מאסר על תנאי, קנס כספי וכן </w:t>
      </w:r>
      <w:r w:rsidRPr="000D3E34">
        <w:rPr>
          <w:rFonts w:ascii="David" w:eastAsia="Calibri" w:hAnsi="David"/>
          <w:rtl/>
        </w:rPr>
        <w:t xml:space="preserve">להורות על חילוט שני הנשקים והמחסניות שנתפסו.  </w:t>
      </w:r>
    </w:p>
    <w:p w14:paraId="1B088E2D" w14:textId="77777777" w:rsidR="001879DD" w:rsidRPr="00CF74A9" w:rsidRDefault="001879DD" w:rsidP="001879DD">
      <w:pPr>
        <w:spacing w:line="360" w:lineRule="auto"/>
        <w:ind w:left="360"/>
        <w:jc w:val="both"/>
        <w:rPr>
          <w:rFonts w:ascii="David" w:eastAsia="David" w:hAnsi="David"/>
          <w:b/>
          <w:bCs/>
          <w:sz w:val="14"/>
          <w:szCs w:val="14"/>
          <w:u w:val="single"/>
        </w:rPr>
      </w:pPr>
    </w:p>
    <w:p w14:paraId="3243196F" w14:textId="77777777" w:rsidR="001879DD" w:rsidRPr="000D3E34" w:rsidRDefault="001879DD" w:rsidP="001879DD">
      <w:pPr>
        <w:spacing w:line="360" w:lineRule="auto"/>
        <w:ind w:left="360"/>
        <w:jc w:val="both"/>
        <w:rPr>
          <w:rFonts w:ascii="David" w:eastAsia="David" w:hAnsi="David"/>
          <w:b/>
          <w:bCs/>
          <w:u w:val="single"/>
        </w:rPr>
      </w:pPr>
      <w:r w:rsidRPr="000D3E34">
        <w:rPr>
          <w:rFonts w:ascii="David" w:eastAsia="David" w:hAnsi="David"/>
          <w:b/>
          <w:bCs/>
          <w:u w:val="single"/>
          <w:rtl/>
        </w:rPr>
        <w:lastRenderedPageBreak/>
        <w:t>עיקרי טיעוני הנאשם לעונש</w:t>
      </w:r>
    </w:p>
    <w:p w14:paraId="53337CEF" w14:textId="77777777" w:rsidR="001879DD" w:rsidRPr="000D3E34" w:rsidRDefault="001879DD" w:rsidP="001879DD">
      <w:pPr>
        <w:spacing w:line="360" w:lineRule="auto"/>
        <w:ind w:left="360"/>
        <w:jc w:val="both"/>
        <w:rPr>
          <w:rFonts w:ascii="David" w:eastAsia="David" w:hAnsi="David"/>
          <w:b/>
          <w:bCs/>
          <w:sz w:val="14"/>
          <w:szCs w:val="14"/>
          <w:u w:val="single"/>
          <w:rtl/>
        </w:rPr>
      </w:pPr>
    </w:p>
    <w:p w14:paraId="794CACD8" w14:textId="77777777" w:rsidR="001879DD" w:rsidRPr="000D3E34" w:rsidRDefault="001879DD" w:rsidP="001879DD">
      <w:pPr>
        <w:numPr>
          <w:ilvl w:val="0"/>
          <w:numId w:val="1"/>
        </w:numPr>
        <w:spacing w:after="160" w:line="360" w:lineRule="auto"/>
        <w:contextualSpacing/>
        <w:jc w:val="both"/>
        <w:rPr>
          <w:rFonts w:ascii="David" w:eastAsia="Calibri" w:hAnsi="David"/>
          <w:rtl/>
        </w:rPr>
      </w:pPr>
      <w:r w:rsidRPr="000D3E34">
        <w:rPr>
          <w:rFonts w:ascii="David" w:eastAsia="Calibri" w:hAnsi="David"/>
          <w:rtl/>
        </w:rPr>
        <w:t>ב"כ הנאשם, הפנה לנסיבותיו האישות של הנאשם, בין היתר לעובד</w:t>
      </w:r>
      <w:r>
        <w:rPr>
          <w:rFonts w:ascii="David" w:eastAsia="Calibri" w:hAnsi="David"/>
          <w:rtl/>
        </w:rPr>
        <w:t>ה כי הוא גדל במשפחה מרובת ילדים</w:t>
      </w:r>
      <w:r>
        <w:rPr>
          <w:rFonts w:ascii="David" w:eastAsia="Calibri" w:hAnsi="David" w:hint="cs"/>
          <w:rtl/>
        </w:rPr>
        <w:t>, ב</w:t>
      </w:r>
      <w:r w:rsidRPr="000D3E34">
        <w:rPr>
          <w:rFonts w:ascii="David" w:eastAsia="Calibri" w:hAnsi="David"/>
          <w:rtl/>
        </w:rPr>
        <w:t xml:space="preserve">עוני ומצוקה כלכלית בכפר עם אחוז אבטלה גבוה ואחוז בגרות נמוך, כפר שהוא מוכה פשיעה וסמים. הדגיש כי האירוע המתואר בכתב האישום המתוקן הוא תולדה של מסע ירי הכולל אירועים רבים כשהרקע הוא חשיפת שחיתות במועצה על ידי אביו </w:t>
      </w:r>
      <w:r>
        <w:rPr>
          <w:rFonts w:ascii="David" w:eastAsia="Calibri" w:hAnsi="David" w:hint="cs"/>
          <w:rtl/>
        </w:rPr>
        <w:t xml:space="preserve">של הנאשם </w:t>
      </w:r>
      <w:r w:rsidRPr="000D3E34">
        <w:rPr>
          <w:rFonts w:ascii="David" w:eastAsia="Calibri" w:hAnsi="David"/>
          <w:rtl/>
        </w:rPr>
        <w:t xml:space="preserve">במסגרת תפקידו כחבר במועצה, שבעקבותיה </w:t>
      </w:r>
      <w:r>
        <w:rPr>
          <w:rFonts w:ascii="David" w:eastAsia="Calibri" w:hAnsi="David" w:hint="cs"/>
          <w:rtl/>
        </w:rPr>
        <w:t xml:space="preserve">האב אף </w:t>
      </w:r>
      <w:r w:rsidRPr="000D3E34">
        <w:rPr>
          <w:rFonts w:ascii="David" w:eastAsia="Calibri" w:hAnsi="David"/>
          <w:rtl/>
        </w:rPr>
        <w:t>נורה וניצל בנס.  בכל הקשור לנסיבות ביצוע ה</w:t>
      </w:r>
      <w:r>
        <w:rPr>
          <w:rFonts w:ascii="David" w:eastAsia="Calibri" w:hAnsi="David"/>
          <w:rtl/>
        </w:rPr>
        <w:t>עבירות, ציין כי הנאשם ירה שני כ</w:t>
      </w:r>
      <w:r>
        <w:rPr>
          <w:rFonts w:ascii="David" w:eastAsia="Calibri" w:hAnsi="David" w:hint="cs"/>
          <w:rtl/>
        </w:rPr>
        <w:t>ד</w:t>
      </w:r>
      <w:r w:rsidRPr="000D3E34">
        <w:rPr>
          <w:rFonts w:ascii="David" w:eastAsia="Calibri" w:hAnsi="David"/>
          <w:rtl/>
        </w:rPr>
        <w:t xml:space="preserve">ורים באוויר </w:t>
      </w:r>
      <w:r>
        <w:rPr>
          <w:rFonts w:ascii="David" w:eastAsia="Calibri" w:hAnsi="David" w:hint="cs"/>
          <w:rtl/>
        </w:rPr>
        <w:t>בתגובה ל</w:t>
      </w:r>
      <w:r w:rsidRPr="000D3E34">
        <w:rPr>
          <w:rFonts w:ascii="David" w:eastAsia="Calibri" w:hAnsi="David"/>
          <w:rtl/>
        </w:rPr>
        <w:t>ירי מ</w:t>
      </w:r>
      <w:r>
        <w:rPr>
          <w:rFonts w:ascii="David" w:eastAsia="Calibri" w:hAnsi="David" w:hint="cs"/>
          <w:rtl/>
        </w:rPr>
        <w:t>א</w:t>
      </w:r>
      <w:r w:rsidRPr="000D3E34">
        <w:rPr>
          <w:rFonts w:ascii="David" w:eastAsia="Calibri" w:hAnsi="David"/>
          <w:rtl/>
        </w:rPr>
        <w:t xml:space="preserve">סיבי שבוצע </w:t>
      </w:r>
      <w:r>
        <w:rPr>
          <w:rFonts w:ascii="David" w:eastAsia="Calibri" w:hAnsi="David" w:hint="cs"/>
          <w:rtl/>
        </w:rPr>
        <w:t xml:space="preserve">לעברו ולעבר אחיו </w:t>
      </w:r>
      <w:r w:rsidRPr="000D3E34">
        <w:rPr>
          <w:rFonts w:ascii="David" w:eastAsia="Calibri" w:hAnsi="David"/>
          <w:rtl/>
        </w:rPr>
        <w:t xml:space="preserve">המנוח, </w:t>
      </w:r>
      <w:r>
        <w:rPr>
          <w:rFonts w:ascii="David" w:eastAsia="Calibri" w:hAnsi="David" w:hint="cs"/>
          <w:rtl/>
        </w:rPr>
        <w:t xml:space="preserve">והם נאלצו להגיב </w:t>
      </w:r>
      <w:r w:rsidRPr="000D3E34">
        <w:rPr>
          <w:rFonts w:ascii="David" w:eastAsia="Calibri" w:hAnsi="David"/>
          <w:rtl/>
        </w:rPr>
        <w:t xml:space="preserve">על מנת להרתיע את היורים, </w:t>
      </w:r>
      <w:r>
        <w:rPr>
          <w:rFonts w:ascii="David" w:eastAsia="Calibri" w:hAnsi="David" w:hint="cs"/>
          <w:rtl/>
        </w:rPr>
        <w:t xml:space="preserve">ירי שהיווה סוג </w:t>
      </w:r>
      <w:r>
        <w:rPr>
          <w:rFonts w:ascii="David" w:eastAsia="Calibri" w:hAnsi="David"/>
          <w:rtl/>
        </w:rPr>
        <w:t xml:space="preserve">של הגנה עצמית. </w:t>
      </w:r>
      <w:r w:rsidRPr="000D3E34">
        <w:rPr>
          <w:rFonts w:ascii="David" w:eastAsia="Calibri" w:hAnsi="David"/>
          <w:rtl/>
        </w:rPr>
        <w:t xml:space="preserve">עוד הפנה לנזק הרב שנגרם לנאשם והמחיר הכבד ששילם בעקבות ביצוע העבירות, בין היתר לעובדה </w:t>
      </w:r>
      <w:r>
        <w:rPr>
          <w:rFonts w:ascii="David" w:eastAsia="Calibri" w:hAnsi="David" w:hint="cs"/>
          <w:rtl/>
        </w:rPr>
        <w:t>ש</w:t>
      </w:r>
      <w:r w:rsidRPr="000D3E34">
        <w:rPr>
          <w:rFonts w:ascii="David" w:eastAsia="Calibri" w:hAnsi="David"/>
          <w:rtl/>
        </w:rPr>
        <w:t>איבד את אחיו, אשר נורה למוות במהלך האירוע</w:t>
      </w:r>
      <w:r>
        <w:rPr>
          <w:rFonts w:ascii="David" w:eastAsia="Calibri" w:hAnsi="David" w:hint="cs"/>
          <w:rtl/>
        </w:rPr>
        <w:t xml:space="preserve">. בהקשר זה ציין כי </w:t>
      </w:r>
      <w:r w:rsidRPr="000D3E34">
        <w:rPr>
          <w:rFonts w:ascii="David" w:eastAsia="Calibri" w:hAnsi="David"/>
          <w:rtl/>
        </w:rPr>
        <w:t xml:space="preserve"> הנאשם לא </w:t>
      </w:r>
      <w:r>
        <w:rPr>
          <w:rFonts w:ascii="David" w:eastAsia="Calibri" w:hAnsi="David" w:hint="cs"/>
          <w:rtl/>
        </w:rPr>
        <w:t xml:space="preserve">נכח </w:t>
      </w:r>
      <w:r w:rsidRPr="000D3E34">
        <w:rPr>
          <w:rFonts w:ascii="David" w:eastAsia="Calibri" w:hAnsi="David"/>
          <w:rtl/>
        </w:rPr>
        <w:t>בהלו</w:t>
      </w:r>
      <w:r>
        <w:rPr>
          <w:rFonts w:ascii="David" w:eastAsia="Calibri" w:hAnsi="David" w:hint="cs"/>
          <w:rtl/>
        </w:rPr>
        <w:t>ו</w:t>
      </w:r>
      <w:r w:rsidRPr="000D3E34">
        <w:rPr>
          <w:rFonts w:ascii="David" w:eastAsia="Calibri" w:hAnsi="David"/>
          <w:rtl/>
        </w:rPr>
        <w:t>י</w:t>
      </w:r>
      <w:r>
        <w:rPr>
          <w:rFonts w:ascii="David" w:eastAsia="Calibri" w:hAnsi="David" w:hint="cs"/>
          <w:rtl/>
        </w:rPr>
        <w:t>י</w:t>
      </w:r>
      <w:r w:rsidRPr="000D3E34">
        <w:rPr>
          <w:rFonts w:ascii="David" w:eastAsia="Calibri" w:hAnsi="David"/>
          <w:rtl/>
        </w:rPr>
        <w:t xml:space="preserve">ת אחיו , </w:t>
      </w:r>
      <w:r>
        <w:rPr>
          <w:rFonts w:ascii="David" w:eastAsia="Calibri" w:hAnsi="David" w:hint="cs"/>
          <w:rtl/>
        </w:rPr>
        <w:t>ועד היום רצח אחיו לא פוענח.</w:t>
      </w:r>
      <w:r w:rsidRPr="000D3E34">
        <w:rPr>
          <w:rFonts w:ascii="David" w:eastAsia="Calibri" w:hAnsi="David"/>
          <w:rtl/>
        </w:rPr>
        <w:t xml:space="preserve"> עוד הפנה לנזק הגופני הרב שנגרם לנאשם בעקבות האירוע, </w:t>
      </w:r>
      <w:r>
        <w:rPr>
          <w:rFonts w:ascii="David" w:eastAsia="Calibri" w:hAnsi="David" w:hint="cs"/>
          <w:rtl/>
        </w:rPr>
        <w:t>לכך ש</w:t>
      </w:r>
      <w:r w:rsidRPr="000D3E34">
        <w:rPr>
          <w:rFonts w:ascii="David" w:eastAsia="Calibri" w:hAnsi="David"/>
          <w:rtl/>
        </w:rPr>
        <w:t xml:space="preserve">היה מורדם למשך שבועיים, ועד היום </w:t>
      </w:r>
      <w:r>
        <w:rPr>
          <w:rFonts w:ascii="David" w:eastAsia="Calibri" w:hAnsi="David" w:hint="cs"/>
          <w:rtl/>
        </w:rPr>
        <w:t xml:space="preserve">נותר קליע </w:t>
      </w:r>
      <w:r>
        <w:rPr>
          <w:rFonts w:ascii="David" w:eastAsia="Calibri" w:hAnsi="David"/>
          <w:rtl/>
        </w:rPr>
        <w:t>בבית החזה</w:t>
      </w:r>
      <w:r>
        <w:rPr>
          <w:rFonts w:ascii="David" w:eastAsia="Calibri" w:hAnsi="David" w:hint="cs"/>
          <w:rtl/>
        </w:rPr>
        <w:t xml:space="preserve"> </w:t>
      </w:r>
      <w:r w:rsidRPr="000D3E34">
        <w:rPr>
          <w:rFonts w:ascii="David" w:eastAsia="Calibri" w:hAnsi="David"/>
          <w:rtl/>
        </w:rPr>
        <w:t xml:space="preserve">וסובל </w:t>
      </w:r>
      <w:r>
        <w:rPr>
          <w:rFonts w:ascii="David" w:eastAsia="Calibri" w:hAnsi="David" w:hint="cs"/>
          <w:rtl/>
        </w:rPr>
        <w:t>ממגבלות</w:t>
      </w:r>
      <w:r w:rsidRPr="000D3E34">
        <w:rPr>
          <w:rFonts w:ascii="David" w:eastAsia="Calibri" w:hAnsi="David"/>
          <w:rtl/>
        </w:rPr>
        <w:t xml:space="preserve"> גופניות. בכל הקשור לעברו הפלילי של הנאשם, טען כי אין מדובר בעבר מכביד. </w:t>
      </w:r>
      <w:r>
        <w:rPr>
          <w:rFonts w:ascii="David" w:eastAsia="Calibri" w:hAnsi="David" w:hint="cs"/>
          <w:rtl/>
        </w:rPr>
        <w:t xml:space="preserve">אשר </w:t>
      </w:r>
      <w:r w:rsidRPr="000D3E34">
        <w:rPr>
          <w:rFonts w:ascii="David" w:eastAsia="Calibri" w:hAnsi="David"/>
          <w:rtl/>
        </w:rPr>
        <w:t xml:space="preserve">למדיניות הענישה, הפנה לפסיקה רלוונטית, וטען למתחם עונש הולם אשר נע בין 14 ועד 24 חודשי מאסר, וביקש למקם את עונשו של הנאשם ברף התחתון של המתחם. </w:t>
      </w:r>
    </w:p>
    <w:p w14:paraId="0D8FDA60" w14:textId="77777777" w:rsidR="001879DD" w:rsidRPr="00CF74A9" w:rsidRDefault="001879DD" w:rsidP="001879DD">
      <w:pPr>
        <w:spacing w:after="160" w:line="360" w:lineRule="auto"/>
        <w:jc w:val="both"/>
        <w:rPr>
          <w:rFonts w:ascii="David" w:eastAsia="David" w:hAnsi="David"/>
          <w:b/>
          <w:bCs/>
          <w:sz w:val="2"/>
          <w:szCs w:val="2"/>
          <w:u w:val="single"/>
        </w:rPr>
      </w:pPr>
    </w:p>
    <w:p w14:paraId="62B94ABF" w14:textId="77777777" w:rsidR="001879DD" w:rsidRPr="000D3E34" w:rsidRDefault="001879DD" w:rsidP="001879DD">
      <w:pPr>
        <w:spacing w:after="160" w:line="360" w:lineRule="auto"/>
        <w:ind w:left="391"/>
        <w:contextualSpacing/>
        <w:jc w:val="both"/>
        <w:rPr>
          <w:rFonts w:ascii="David" w:eastAsia="David" w:hAnsi="David"/>
          <w:b/>
          <w:bCs/>
          <w:u w:val="single"/>
        </w:rPr>
      </w:pPr>
      <w:r w:rsidRPr="000D3E34">
        <w:rPr>
          <w:rFonts w:ascii="David" w:eastAsia="David" w:hAnsi="David"/>
          <w:b/>
          <w:bCs/>
          <w:u w:val="single"/>
          <w:rtl/>
        </w:rPr>
        <w:t>דיון</w:t>
      </w:r>
    </w:p>
    <w:p w14:paraId="7975723A" w14:textId="77777777" w:rsidR="001879DD" w:rsidRPr="000D3E34" w:rsidRDefault="001879DD" w:rsidP="001879DD">
      <w:pPr>
        <w:spacing w:after="160" w:line="360" w:lineRule="auto"/>
        <w:ind w:firstLine="360"/>
        <w:jc w:val="both"/>
        <w:rPr>
          <w:rFonts w:ascii="David" w:eastAsia="David" w:hAnsi="David"/>
          <w:b/>
          <w:bCs/>
          <w:u w:val="single"/>
        </w:rPr>
      </w:pPr>
      <w:r w:rsidRPr="000D3E34">
        <w:rPr>
          <w:rFonts w:ascii="David" w:eastAsia="David" w:hAnsi="David"/>
          <w:b/>
          <w:bCs/>
          <w:u w:val="single"/>
          <w:rtl/>
        </w:rPr>
        <w:t>קביעת מתחם העונש ההולם</w:t>
      </w:r>
    </w:p>
    <w:p w14:paraId="29AC0A0A" w14:textId="77777777" w:rsidR="001879DD" w:rsidRPr="000D3E34" w:rsidRDefault="0045725C" w:rsidP="001879DD">
      <w:pPr>
        <w:numPr>
          <w:ilvl w:val="0"/>
          <w:numId w:val="1"/>
        </w:numPr>
        <w:spacing w:after="160" w:line="360" w:lineRule="auto"/>
        <w:contextualSpacing/>
        <w:jc w:val="both"/>
        <w:rPr>
          <w:rFonts w:ascii="David" w:hAnsi="David"/>
          <w:b/>
          <w:bCs/>
          <w:u w:val="single"/>
        </w:rPr>
      </w:pPr>
      <w:hyperlink r:id="rId29" w:history="1">
        <w:r w:rsidRPr="0045725C">
          <w:rPr>
            <w:rStyle w:val="Hyperlink"/>
            <w:rFonts w:ascii="David" w:eastAsia="David" w:hAnsi="David"/>
            <w:rtl/>
          </w:rPr>
          <w:t xml:space="preserve">פרק ו' סימן א' 1 </w:t>
        </w:r>
      </w:hyperlink>
      <w:r w:rsidR="001879DD" w:rsidRPr="000D3E34">
        <w:rPr>
          <w:rFonts w:ascii="David" w:eastAsia="David" w:hAnsi="David"/>
          <w:rtl/>
        </w:rPr>
        <w:t xml:space="preserve">  ל</w:t>
      </w:r>
      <w:hyperlink r:id="rId30" w:history="1">
        <w:r w:rsidR="00BF2A9A" w:rsidRPr="00BF2A9A">
          <w:rPr>
            <w:rFonts w:ascii="David" w:eastAsia="David" w:hAnsi="David"/>
            <w:color w:val="0000FF"/>
            <w:u w:val="single"/>
            <w:rtl/>
          </w:rPr>
          <w:t>חוק העונשין</w:t>
        </w:r>
      </w:hyperlink>
      <w:r w:rsidR="001879DD" w:rsidRPr="000D3E34">
        <w:rPr>
          <w:rFonts w:ascii="David" w:eastAsia="David" w:hAnsi="David"/>
          <w:rtl/>
        </w:rPr>
        <w:t xml:space="preserve"> דן בהבניית שיפוט הדעת השיפוטי בענישה (</w:t>
      </w:r>
      <w:hyperlink r:id="rId31" w:history="1">
        <w:r w:rsidRPr="0045725C">
          <w:rPr>
            <w:rStyle w:val="Hyperlink"/>
            <w:rFonts w:ascii="David" w:eastAsia="David" w:hAnsi="David"/>
            <w:rtl/>
          </w:rPr>
          <w:t>סעיפים 40א-טו)</w:t>
        </w:r>
      </w:hyperlink>
      <w:r w:rsidR="001879DD" w:rsidRPr="000D3E34">
        <w:rPr>
          <w:rFonts w:ascii="David" w:eastAsia="David" w:hAnsi="David"/>
          <w:rtl/>
        </w:rPr>
        <w:t xml:space="preserve"> וקובע  בין היתר, כי העיקרון המנחה בגזירת הדין הינו עקרון ההלימה, קרי קיומו של יחס הולם בין חומרת מעשה העבירה בנסיבותיו ומידת האשמה של הנאשם ובין סוג ומידת העונש המוטלים עליו (</w:t>
      </w:r>
      <w:hyperlink r:id="rId32" w:history="1">
        <w:r w:rsidRPr="0045725C">
          <w:rPr>
            <w:rStyle w:val="Hyperlink"/>
            <w:rFonts w:ascii="David" w:eastAsia="David" w:hAnsi="David"/>
            <w:rtl/>
          </w:rPr>
          <w:t>ס' 40 א</w:t>
        </w:r>
      </w:hyperlink>
      <w:r w:rsidR="001879DD" w:rsidRPr="000D3E34">
        <w:rPr>
          <w:rFonts w:ascii="David" w:eastAsia="David" w:hAnsi="David"/>
          <w:rtl/>
        </w:rPr>
        <w:t xml:space="preserve">).  ראשון השיקולים הוא הלימה ואחריו שיקום, הגנה על שלום הציבור, הרתעה אישית והרתעת הרבים. בשלב ראשון יש לקבוע את מתחם העונש ההולם, אשר נגזר מחומרת העבירה ונסיבות ביצועהּ, הערך החברתי עליו יש להגן, מידת הפגיעה בערך זה, ומדיניות הענישה הנהוגה ביחס לאותה עבירה. </w:t>
      </w:r>
    </w:p>
    <w:p w14:paraId="4809FBEC" w14:textId="77777777" w:rsidR="001879DD" w:rsidRPr="00554BB9" w:rsidRDefault="001879DD" w:rsidP="001879DD">
      <w:pPr>
        <w:shd w:val="clear" w:color="auto" w:fill="FFFFFF"/>
        <w:spacing w:after="160" w:line="360" w:lineRule="auto"/>
        <w:jc w:val="both"/>
        <w:rPr>
          <w:rFonts w:ascii="David" w:eastAsia="David" w:hAnsi="David"/>
          <w:b/>
          <w:bCs/>
          <w:sz w:val="8"/>
          <w:szCs w:val="8"/>
          <w:u w:val="single"/>
          <w:rtl/>
        </w:rPr>
      </w:pPr>
    </w:p>
    <w:p w14:paraId="421261DA" w14:textId="77777777" w:rsidR="001879DD" w:rsidRPr="000D3E34" w:rsidRDefault="001879DD" w:rsidP="001879DD">
      <w:pPr>
        <w:shd w:val="clear" w:color="auto" w:fill="FFFFFF"/>
        <w:spacing w:after="160" w:line="360" w:lineRule="auto"/>
        <w:ind w:left="391"/>
        <w:contextualSpacing/>
        <w:jc w:val="both"/>
        <w:rPr>
          <w:rFonts w:ascii="David" w:eastAsia="Calibri" w:hAnsi="David"/>
          <w:rtl/>
        </w:rPr>
      </w:pPr>
      <w:r w:rsidRPr="000D3E34">
        <w:rPr>
          <w:rFonts w:ascii="David" w:eastAsia="David" w:hAnsi="David"/>
          <w:b/>
          <w:bCs/>
          <w:u w:val="single"/>
          <w:rtl/>
        </w:rPr>
        <w:t>הערכים החברתיים עליהם יש להגן</w:t>
      </w:r>
    </w:p>
    <w:p w14:paraId="5640CF38" w14:textId="77777777" w:rsidR="001879DD" w:rsidRPr="00554BB9" w:rsidRDefault="001879DD" w:rsidP="001879DD">
      <w:pPr>
        <w:shd w:val="clear" w:color="auto" w:fill="FFFFFF"/>
        <w:spacing w:after="160" w:line="360" w:lineRule="auto"/>
        <w:ind w:left="720"/>
        <w:contextualSpacing/>
        <w:jc w:val="both"/>
        <w:rPr>
          <w:rFonts w:ascii="David" w:eastAsia="Calibri" w:hAnsi="David"/>
          <w:sz w:val="14"/>
          <w:szCs w:val="14"/>
        </w:rPr>
      </w:pPr>
    </w:p>
    <w:p w14:paraId="0F5A8E2F" w14:textId="77777777" w:rsidR="001879DD" w:rsidRPr="000D3E34" w:rsidRDefault="001879DD" w:rsidP="001879DD">
      <w:pPr>
        <w:numPr>
          <w:ilvl w:val="0"/>
          <w:numId w:val="1"/>
        </w:numPr>
        <w:spacing w:after="160" w:line="360" w:lineRule="auto"/>
        <w:contextualSpacing/>
        <w:jc w:val="both"/>
        <w:rPr>
          <w:rFonts w:ascii="David" w:hAnsi="David"/>
        </w:rPr>
      </w:pPr>
      <w:r w:rsidRPr="000D3E34">
        <w:rPr>
          <w:rFonts w:ascii="David" w:eastAsia="David" w:hAnsi="David"/>
          <w:rtl/>
        </w:rPr>
        <w:t xml:space="preserve">הערכים המוגנים שנפגעו כתוצאה מביצוע העבירות נשוא כתב האישום המתוקן הינם הצורך לשמור: </w:t>
      </w:r>
      <w:r w:rsidRPr="000D3E34">
        <w:rPr>
          <w:rFonts w:ascii="David" w:eastAsia="David" w:hAnsi="David"/>
          <w:spacing w:val="10"/>
          <w:rtl/>
        </w:rPr>
        <w:t>על חיי אדם ושלמות הגוף</w:t>
      </w:r>
      <w:r>
        <w:rPr>
          <w:rFonts w:ascii="David" w:eastAsia="David" w:hAnsi="David" w:hint="cs"/>
          <w:rtl/>
          <w:lang w:eastAsia="he-IL"/>
        </w:rPr>
        <w:t>,</w:t>
      </w:r>
      <w:r w:rsidRPr="000D3E34">
        <w:rPr>
          <w:rFonts w:ascii="David" w:eastAsia="David" w:hAnsi="David"/>
          <w:rtl/>
          <w:lang w:eastAsia="he-IL"/>
        </w:rPr>
        <w:t xml:space="preserve">  על שלום הציבור ותחושת בטחונו מפני פגיעות בגוף ונפש, ו</w:t>
      </w:r>
      <w:r>
        <w:rPr>
          <w:rFonts w:ascii="David" w:eastAsia="David" w:hAnsi="David" w:hint="cs"/>
          <w:rtl/>
          <w:lang w:eastAsia="he-IL"/>
        </w:rPr>
        <w:t xml:space="preserve">על </w:t>
      </w:r>
      <w:r w:rsidRPr="000D3E34">
        <w:rPr>
          <w:rFonts w:ascii="David" w:eastAsia="David" w:hAnsi="David"/>
          <w:rtl/>
          <w:lang w:eastAsia="he-IL"/>
        </w:rPr>
        <w:t xml:space="preserve">הסדר הציבורי. על ערכים אלה ניתן להגן בעיקר באמצעות פיקוח הדוק של הרשות להנפקת רישיונות להחזקת נשק. נשיאת נשק שלא כדין מחבלת ביכולתהּ של הרשות לבצע פיקוח ואכיפה כנדרש. בנוסף מי שמחזיק נשק ללא רישיון מסכן את הציבור, מאחר שלא עבר הכשרה מתאימה, ויש להניח כי אינו יודע להשתמש בו בדרך נכונה ובטוחה. למותר לציין, כי לא כל אדם רשאי לשאת נשק,  ושיקולי הרשות במתן היתר לנשיאת נשק נועדו להבטיח את שלום הציבור וניתנים במשורה ביחס לאזרחים מן השורה. </w:t>
      </w:r>
      <w:r w:rsidRPr="000D3E34">
        <w:rPr>
          <w:rFonts w:ascii="David" w:eastAsia="David" w:hAnsi="David"/>
          <w:rtl/>
        </w:rPr>
        <w:t xml:space="preserve">החוק והפסיקה ייחסו לעבירות בנשק חומרה מיוחדת, נוכח ההשלכות הרות האסון, ופוטנציאל הסיכון הרב הגלום בהן. נפסק, כי זמינותו של נשק חם בעל פוטנציאל להסלמה בעבירות אלימות מסוגים שונים, מחייבת ביטוי עונשי הולם והחמרה ברמת הענישה. </w:t>
      </w:r>
    </w:p>
    <w:p w14:paraId="200D57B3" w14:textId="77777777" w:rsidR="001879DD" w:rsidRPr="00554BB9" w:rsidRDefault="001879DD" w:rsidP="001879DD">
      <w:pPr>
        <w:spacing w:line="360" w:lineRule="auto"/>
        <w:jc w:val="both"/>
        <w:rPr>
          <w:rFonts w:ascii="David" w:eastAsia="David" w:hAnsi="David"/>
          <w:sz w:val="12"/>
          <w:szCs w:val="12"/>
          <w:rtl/>
        </w:rPr>
      </w:pPr>
    </w:p>
    <w:p w14:paraId="3AEA3177" w14:textId="77777777" w:rsidR="001879DD" w:rsidRPr="000D3E34" w:rsidRDefault="001879DD" w:rsidP="001879DD">
      <w:pPr>
        <w:spacing w:line="360" w:lineRule="auto"/>
        <w:ind w:left="720"/>
        <w:contextualSpacing/>
        <w:jc w:val="both"/>
        <w:rPr>
          <w:rFonts w:ascii="David" w:eastAsia="David" w:hAnsi="David"/>
          <w:b/>
          <w:bCs/>
          <w:rtl/>
        </w:rPr>
      </w:pPr>
      <w:r w:rsidRPr="000D3E34">
        <w:rPr>
          <w:rFonts w:ascii="David" w:eastAsia="David" w:hAnsi="David"/>
          <w:rtl/>
        </w:rPr>
        <w:t>בית המשפט העליון התייחס רבות לחומרתן של עבירות נשק, לכך שהפכו ל"מכת מדינה" ולצורך להחמיר עד מאוד בענישה בעניינן. גם המחוקק התייחס לחומרת עבירות הנשק כשקבע לאחרונה בהוראת שעה עונשי מינימום לעבירות נשק,</w:t>
      </w:r>
      <w:r w:rsidR="00BF2A9A">
        <w:rPr>
          <w:rFonts w:ascii="David" w:eastAsia="David" w:hAnsi="David"/>
          <w:rtl/>
        </w:rPr>
        <w:t xml:space="preserve"> </w:t>
      </w:r>
      <w:r w:rsidRPr="000D3E34">
        <w:rPr>
          <w:rFonts w:ascii="David" w:eastAsia="David" w:hAnsi="David"/>
          <w:rtl/>
        </w:rPr>
        <w:t xml:space="preserve"> </w:t>
      </w:r>
      <w:hyperlink r:id="rId33" w:history="1">
        <w:r w:rsidR="00BF2A9A" w:rsidRPr="00BF2A9A">
          <w:rPr>
            <w:rFonts w:ascii="David" w:eastAsia="David" w:hAnsi="David"/>
            <w:color w:val="0000FF"/>
            <w:u w:val="single"/>
            <w:rtl/>
          </w:rPr>
          <w:t>חוק העונשין</w:t>
        </w:r>
      </w:hyperlink>
      <w:r w:rsidRPr="000D3E34">
        <w:rPr>
          <w:rFonts w:ascii="David" w:eastAsia="David" w:hAnsi="David"/>
          <w:rtl/>
        </w:rPr>
        <w:t xml:space="preserve"> (תיקון מס' 140 – הוראת שעה), התשפ"ב-2021, אשר נכנס לתוקף בדצמבר 2021. ר' </w:t>
      </w:r>
      <w:r w:rsidRPr="000D3E34">
        <w:rPr>
          <w:rFonts w:ascii="David" w:eastAsia="David" w:hAnsi="David"/>
        </w:rPr>
        <w:t xml:space="preserve"> </w:t>
      </w:r>
      <w:hyperlink r:id="rId34" w:history="1">
        <w:r w:rsidR="00BF2A9A" w:rsidRPr="00BF2A9A">
          <w:rPr>
            <w:rFonts w:ascii="David" w:eastAsia="David" w:hAnsi="David"/>
            <w:b/>
            <w:bCs/>
            <w:color w:val="0000FF"/>
            <w:u w:val="single"/>
            <w:rtl/>
          </w:rPr>
          <w:t>ע"פ 5813/21</w:t>
        </w:r>
      </w:hyperlink>
      <w:r w:rsidRPr="000D3E34">
        <w:rPr>
          <w:rFonts w:ascii="David" w:eastAsia="David" w:hAnsi="David"/>
          <w:b/>
          <w:bCs/>
          <w:rtl/>
        </w:rPr>
        <w:t xml:space="preserve"> </w:t>
      </w:r>
      <w:r w:rsidRPr="000D3E34">
        <w:rPr>
          <w:rFonts w:ascii="David" w:eastAsia="David" w:hAnsi="David"/>
          <w:b/>
          <w:bCs/>
          <w:u w:val="single"/>
          <w:rtl/>
        </w:rPr>
        <w:t>ג'בארין נ' מדינת ישראל</w:t>
      </w:r>
      <w:r w:rsidRPr="000D3E34">
        <w:rPr>
          <w:rFonts w:ascii="David" w:eastAsia="David" w:hAnsi="David"/>
          <w:rtl/>
        </w:rPr>
        <w:t xml:space="preserve"> שם נאמר בין היתר: "</w:t>
      </w:r>
      <w:r w:rsidRPr="000D3E34">
        <w:rPr>
          <w:rFonts w:ascii="David" w:eastAsia="David" w:hAnsi="David"/>
          <w:b/>
          <w:bCs/>
          <w:rtl/>
        </w:rPr>
        <w:t xml:space="preserve">רבות נכתב על עבירות נשק והתערבות ערכאת הערעור בקביעת העונש ההולם בכלל ובעבירות נשק בפרט. אם קיימת התערבות, היא בדרך כלל נעשית על מנת להחמיר בעונשם של עברייני נשק ולא להקל עמם. לאחרונה, נאמרו על ידִי הדברים הבאים במסגרת </w:t>
      </w:r>
      <w:hyperlink r:id="rId35" w:history="1">
        <w:r w:rsidR="00BF2A9A" w:rsidRPr="00BF2A9A">
          <w:rPr>
            <w:rFonts w:ascii="David" w:eastAsia="David" w:hAnsi="David"/>
            <w:b/>
            <w:bCs/>
            <w:color w:val="0000FF"/>
            <w:u w:val="single"/>
            <w:rtl/>
          </w:rPr>
          <w:t>ע"פ 8320/21</w:t>
        </w:r>
      </w:hyperlink>
      <w:r w:rsidRPr="000D3E34">
        <w:rPr>
          <w:rFonts w:ascii="David" w:eastAsia="David" w:hAnsi="David"/>
          <w:b/>
          <w:bCs/>
          <w:rtl/>
        </w:rPr>
        <w:t xml:space="preserve"> </w:t>
      </w:r>
      <w:r w:rsidRPr="00554BB9">
        <w:rPr>
          <w:rFonts w:ascii="David" w:eastAsia="David" w:hAnsi="David"/>
          <w:b/>
          <w:bCs/>
          <w:rtl/>
        </w:rPr>
        <w:t>מדינת ישראל נ' בסילה:</w:t>
      </w:r>
      <w:r w:rsidRPr="000D3E34">
        <w:rPr>
          <w:rFonts w:ascii="David" w:eastAsia="David" w:hAnsi="David"/>
          <w:b/>
          <w:bCs/>
          <w:rtl/>
        </w:rPr>
        <w:t xml:space="preserve"> 'אין צורך להכביר במילים על אודות החומרה הנלווית לעבירות נשק. אין היום חולקין כי עבירות מסוג זה הפכו ל'מכת מדינה' של ממש...מכה זו מצריכה מענה הולם בדמות ענישה מחמירה של הטלת עונשי מאסר משמעותיים. מצויים אנו לעת הזאת במצב חירום של ממש בעניין עבירות נשק, ולא בכדי נתקבל עתה תיקון ל</w:t>
      </w:r>
      <w:hyperlink r:id="rId36" w:history="1">
        <w:r w:rsidR="00BF2A9A" w:rsidRPr="00BF2A9A">
          <w:rPr>
            <w:rFonts w:ascii="David" w:eastAsia="David" w:hAnsi="David"/>
            <w:b/>
            <w:bCs/>
            <w:color w:val="0000FF"/>
            <w:u w:val="single"/>
            <w:rtl/>
          </w:rPr>
          <w:t>חוק העונשין</w:t>
        </w:r>
      </w:hyperlink>
      <w:r w:rsidRPr="000D3E34">
        <w:rPr>
          <w:rFonts w:ascii="David" w:eastAsia="David" w:hAnsi="David"/>
          <w:b/>
          <w:bCs/>
          <w:rtl/>
        </w:rPr>
        <w:t xml:space="preserve"> (חוק העונשין (תיקון מס' 140 – הוראת שעה), התשפ"ב-2021) – שלא חל בענייננו – הקובע עונשי מינימום לעבירות נשק' (שם, פסקה 25).</w:t>
      </w:r>
      <w:r w:rsidRPr="000D3E34">
        <w:rPr>
          <w:rFonts w:ascii="David" w:eastAsia="David" w:hAnsi="David"/>
          <w:b/>
          <w:bCs/>
          <w:rtl/>
          <w:lang w:eastAsia="he-IL"/>
        </w:rPr>
        <w:t xml:space="preserve"> ב</w:t>
      </w:r>
      <w:hyperlink r:id="rId37" w:history="1">
        <w:r w:rsidR="00BF2A9A" w:rsidRPr="00BF2A9A">
          <w:rPr>
            <w:rFonts w:ascii="David" w:eastAsia="David" w:hAnsi="David"/>
            <w:b/>
            <w:bCs/>
            <w:color w:val="0000FF"/>
            <w:u w:val="single"/>
            <w:rtl/>
            <w:lang w:eastAsia="he-IL"/>
          </w:rPr>
          <w:t>ע"פ 7502/12</w:t>
        </w:r>
      </w:hyperlink>
      <w:r w:rsidRPr="000D3E34">
        <w:rPr>
          <w:rFonts w:ascii="David" w:eastAsia="David" w:hAnsi="David"/>
          <w:b/>
          <w:bCs/>
          <w:rtl/>
          <w:lang w:eastAsia="he-IL"/>
        </w:rPr>
        <w:t xml:space="preserve"> </w:t>
      </w:r>
      <w:r w:rsidRPr="000D3E34">
        <w:rPr>
          <w:rFonts w:ascii="David" w:eastAsia="David" w:hAnsi="David"/>
          <w:b/>
          <w:bCs/>
          <w:u w:val="single"/>
          <w:rtl/>
          <w:lang w:eastAsia="he-IL"/>
        </w:rPr>
        <w:t>כוויס נ' מדינת ישראל</w:t>
      </w:r>
      <w:r w:rsidRPr="000D3E34">
        <w:rPr>
          <w:rFonts w:ascii="David" w:eastAsia="David" w:hAnsi="David"/>
          <w:b/>
          <w:bCs/>
          <w:rtl/>
          <w:lang w:eastAsia="he-IL"/>
        </w:rPr>
        <w:t xml:space="preserve">  (בימ"ש העליון)</w:t>
      </w:r>
      <w:r w:rsidRPr="000D3E34">
        <w:rPr>
          <w:rFonts w:ascii="David" w:eastAsia="David" w:hAnsi="David"/>
          <w:rtl/>
          <w:lang w:eastAsia="he-IL"/>
        </w:rPr>
        <w:t xml:space="preserve"> נקבע בין היתר כי: </w:t>
      </w:r>
      <w:r w:rsidRPr="000D3E34">
        <w:rPr>
          <w:rFonts w:ascii="David" w:eastAsia="David" w:hAnsi="David"/>
          <w:b/>
          <w:bCs/>
          <w:rtl/>
          <w:lang w:eastAsia="he-IL"/>
        </w:rPr>
        <w:t>"עבירות בנשק לסוגיהן מגלמות בתוכן סיכון ממשי לשלום הציבור ולביטחונו, שכן לא ניתן לדעת להיכן יתגלגלו כלי הנשק המוחזקים שלא דין, ואיזה שימוש יעשה בהם בעתיד".  ב</w:t>
      </w:r>
      <w:hyperlink r:id="rId38" w:history="1">
        <w:r w:rsidR="00BF2A9A" w:rsidRPr="00BF2A9A">
          <w:rPr>
            <w:rFonts w:ascii="David" w:eastAsia="David" w:hAnsi="David"/>
            <w:b/>
            <w:bCs/>
            <w:color w:val="0000FF"/>
            <w:u w:val="single"/>
            <w:rtl/>
            <w:lang w:eastAsia="he-IL"/>
          </w:rPr>
          <w:t>ע"פ 5833/07</w:t>
        </w:r>
      </w:hyperlink>
      <w:r w:rsidRPr="000D3E34">
        <w:rPr>
          <w:rFonts w:ascii="David" w:eastAsia="David" w:hAnsi="David"/>
          <w:rtl/>
          <w:lang w:eastAsia="he-IL"/>
        </w:rPr>
        <w:t xml:space="preserve"> </w:t>
      </w:r>
      <w:r w:rsidRPr="000D3E34">
        <w:rPr>
          <w:rFonts w:ascii="David" w:eastAsia="David" w:hAnsi="David"/>
          <w:b/>
          <w:bCs/>
          <w:u w:val="single"/>
          <w:rtl/>
          <w:lang w:eastAsia="he-IL"/>
        </w:rPr>
        <w:t>ח'ורי נ' מדינת ישראל</w:t>
      </w:r>
      <w:r w:rsidRPr="000D3E34">
        <w:rPr>
          <w:rFonts w:ascii="David" w:eastAsia="David" w:hAnsi="David"/>
          <w:b/>
          <w:bCs/>
          <w:rtl/>
          <w:lang w:eastAsia="he-IL"/>
        </w:rPr>
        <w:t xml:space="preserve">  (בימ"ש העליון)</w:t>
      </w:r>
      <w:r w:rsidRPr="000D3E34">
        <w:rPr>
          <w:rFonts w:ascii="David" w:eastAsia="David" w:hAnsi="David"/>
          <w:rtl/>
          <w:lang w:eastAsia="he-IL"/>
        </w:rPr>
        <w:t xml:space="preserve"> נקבע כי: </w:t>
      </w:r>
      <w:r w:rsidRPr="000D3E34">
        <w:rPr>
          <w:rFonts w:ascii="David" w:eastAsia="David" w:hAnsi="David"/>
          <w:b/>
          <w:bCs/>
          <w:rtl/>
          <w:lang w:eastAsia="he-IL"/>
        </w:rPr>
        <w:t xml:space="preserve">"הניסיון מלמד שנשק אשר מקורו מפוקפק, לאחר שהוא יוצא מידי המחזיק בו, מוצא את דרכו לידיים עברייניות או למפגעים למיניהם, והרי אלה גם אלה כבר הוכיחו כי אין הם מהססים להשתמש בו גם במקומות סואנים, וגם כאשר ברור להם כי עלולים להיפגע מהירי אנשים תמימים שנקלעו לזירה בדרך מקרה...". </w:t>
      </w:r>
      <w:r w:rsidRPr="000D3E34">
        <w:rPr>
          <w:rFonts w:ascii="David" w:eastAsia="David" w:hAnsi="David"/>
          <w:rtl/>
        </w:rPr>
        <w:t xml:space="preserve"> עבירות הנשק, הפכו למרבה הצער, ל"מכת מדינה" של ממש:  ראו לעניין זה דבריו של כב' הש' אלרון </w:t>
      </w:r>
      <w:r w:rsidRPr="000D3E34">
        <w:rPr>
          <w:rFonts w:ascii="David" w:eastAsia="David" w:hAnsi="David"/>
          <w:b/>
          <w:bCs/>
          <w:rtl/>
        </w:rPr>
        <w:t>ב</w:t>
      </w:r>
      <w:hyperlink r:id="rId39" w:history="1">
        <w:r w:rsidR="00BF2A9A" w:rsidRPr="00BF2A9A">
          <w:rPr>
            <w:rFonts w:ascii="David" w:eastAsia="David" w:hAnsi="David"/>
            <w:b/>
            <w:bCs/>
            <w:color w:val="0000FF"/>
            <w:u w:val="single"/>
            <w:rtl/>
          </w:rPr>
          <w:t>רע"פ 5613/20</w:t>
        </w:r>
      </w:hyperlink>
      <w:r w:rsidRPr="000D3E34">
        <w:rPr>
          <w:rFonts w:ascii="David" w:eastAsia="David" w:hAnsi="David"/>
          <w:b/>
          <w:bCs/>
          <w:rtl/>
        </w:rPr>
        <w:t xml:space="preserve"> </w:t>
      </w:r>
      <w:r w:rsidRPr="000D3E34">
        <w:rPr>
          <w:rFonts w:ascii="David" w:eastAsia="David" w:hAnsi="David"/>
          <w:b/>
          <w:bCs/>
          <w:u w:val="single"/>
          <w:rtl/>
        </w:rPr>
        <w:t>אלהוזייל</w:t>
      </w:r>
      <w:r w:rsidRPr="000D3E34">
        <w:rPr>
          <w:rFonts w:ascii="David" w:eastAsia="David" w:hAnsi="David"/>
          <w:b/>
          <w:bCs/>
          <w:rtl/>
        </w:rPr>
        <w:t xml:space="preserve">  </w:t>
      </w:r>
      <w:r w:rsidRPr="000D3E34">
        <w:rPr>
          <w:rFonts w:ascii="David" w:eastAsia="David" w:hAnsi="David"/>
          <w:rtl/>
        </w:rPr>
        <w:t>כדלהלן:</w:t>
      </w:r>
      <w:r w:rsidRPr="000D3E34">
        <w:rPr>
          <w:rFonts w:ascii="David" w:eastAsia="David" w:hAnsi="David"/>
          <w:b/>
          <w:bCs/>
          <w:rtl/>
        </w:rPr>
        <w:t xml:space="preserve"> "לגופם של דברים, עבירות בנשק הפכו בשנים האחרונות,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w:t>
      </w:r>
    </w:p>
    <w:p w14:paraId="457867FD" w14:textId="77777777" w:rsidR="001879DD" w:rsidRPr="000D3E34" w:rsidRDefault="001879DD" w:rsidP="001879DD">
      <w:pPr>
        <w:spacing w:line="360" w:lineRule="auto"/>
        <w:ind w:firstLine="360"/>
        <w:jc w:val="both"/>
        <w:rPr>
          <w:rFonts w:ascii="David" w:eastAsia="David" w:hAnsi="David"/>
          <w:b/>
          <w:bCs/>
          <w:sz w:val="12"/>
          <w:szCs w:val="12"/>
          <w:u w:val="single"/>
          <w:rtl/>
        </w:rPr>
      </w:pPr>
    </w:p>
    <w:p w14:paraId="373A32DF" w14:textId="77777777" w:rsidR="001879DD" w:rsidRPr="000D3E34" w:rsidRDefault="001879DD" w:rsidP="001879DD">
      <w:pPr>
        <w:spacing w:line="360" w:lineRule="auto"/>
        <w:ind w:firstLine="360"/>
        <w:jc w:val="both"/>
        <w:rPr>
          <w:rFonts w:ascii="David" w:eastAsia="David" w:hAnsi="David"/>
          <w:b/>
          <w:bCs/>
          <w:sz w:val="12"/>
          <w:szCs w:val="12"/>
          <w:u w:val="single"/>
        </w:rPr>
      </w:pPr>
    </w:p>
    <w:p w14:paraId="4EBE664F" w14:textId="77777777" w:rsidR="001879DD" w:rsidRPr="000D3E34" w:rsidRDefault="001879DD" w:rsidP="001879DD">
      <w:pPr>
        <w:spacing w:line="360" w:lineRule="auto"/>
        <w:ind w:firstLine="360"/>
        <w:jc w:val="both"/>
        <w:rPr>
          <w:rFonts w:ascii="David" w:eastAsia="David" w:hAnsi="David"/>
          <w:b/>
          <w:bCs/>
          <w:u w:val="single"/>
          <w:rtl/>
        </w:rPr>
      </w:pPr>
      <w:r w:rsidRPr="000D3E34">
        <w:rPr>
          <w:rFonts w:ascii="David" w:eastAsia="David" w:hAnsi="David"/>
          <w:b/>
          <w:bCs/>
          <w:u w:val="single"/>
          <w:rtl/>
        </w:rPr>
        <w:t>נסיבות ביצוע העבירות</w:t>
      </w:r>
    </w:p>
    <w:p w14:paraId="7967C19B" w14:textId="77777777" w:rsidR="001879DD" w:rsidRPr="000D3E34" w:rsidRDefault="001879DD" w:rsidP="001879DD">
      <w:pPr>
        <w:spacing w:line="360" w:lineRule="auto"/>
        <w:ind w:firstLine="360"/>
        <w:jc w:val="both"/>
        <w:rPr>
          <w:rFonts w:ascii="David" w:eastAsia="David" w:hAnsi="David"/>
          <w:b/>
          <w:bCs/>
          <w:sz w:val="12"/>
          <w:szCs w:val="12"/>
          <w:u w:val="single"/>
        </w:rPr>
      </w:pPr>
    </w:p>
    <w:p w14:paraId="1C7B6081" w14:textId="77777777" w:rsidR="001879DD" w:rsidRPr="000D3E34" w:rsidRDefault="001879DD" w:rsidP="001879DD">
      <w:pPr>
        <w:numPr>
          <w:ilvl w:val="0"/>
          <w:numId w:val="1"/>
        </w:numPr>
        <w:spacing w:after="160" w:line="360" w:lineRule="auto"/>
        <w:jc w:val="both"/>
        <w:rPr>
          <w:rFonts w:ascii="David" w:eastAsia="David" w:hAnsi="David"/>
        </w:rPr>
      </w:pPr>
      <w:r w:rsidRPr="000D3E34">
        <w:rPr>
          <w:rFonts w:ascii="David" w:eastAsia="David" w:hAnsi="David"/>
          <w:rtl/>
        </w:rPr>
        <w:t xml:space="preserve">נסיבות ביצוע העבירות פורטו בהרחבה במסגרת תיאור עובדות כתב האישום המתוקן. בקביעת חומרת עבירת הנשק יש להביא בחשבון מספר מרכיבים, ובכללם: סוג הנשק המוחזק שלא כדין, מספר הנשקים, כמות התחמושת ומטרת החזקתו (ראה </w:t>
      </w:r>
      <w:r w:rsidRPr="000D3E34">
        <w:rPr>
          <w:rFonts w:ascii="David" w:eastAsia="David" w:hAnsi="David"/>
          <w:b/>
          <w:bCs/>
          <w:rtl/>
        </w:rPr>
        <w:t xml:space="preserve">ע"פ 1530/04 + </w:t>
      </w:r>
      <w:hyperlink r:id="rId40" w:history="1">
        <w:r w:rsidR="00ED2367" w:rsidRPr="00ED2367">
          <w:rPr>
            <w:rFonts w:ascii="David" w:eastAsia="David" w:hAnsi="David"/>
            <w:b/>
            <w:bCs/>
            <w:color w:val="0000FF"/>
            <w:u w:val="single"/>
            <w:rtl/>
          </w:rPr>
          <w:t xml:space="preserve">1332/04 </w:t>
        </w:r>
      </w:hyperlink>
      <w:r w:rsidRPr="000D3E34">
        <w:rPr>
          <w:rFonts w:ascii="David" w:eastAsia="David" w:hAnsi="David"/>
          <w:b/>
          <w:bCs/>
          <w:rtl/>
        </w:rPr>
        <w:t xml:space="preserve"> </w:t>
      </w:r>
      <w:r w:rsidRPr="000D3E34">
        <w:rPr>
          <w:rFonts w:ascii="David" w:eastAsia="David" w:hAnsi="David"/>
          <w:b/>
          <w:bCs/>
          <w:u w:val="single"/>
          <w:rtl/>
        </w:rPr>
        <w:t>יצחק רפאל פס ואח' נגד מדינת ישראל</w:t>
      </w:r>
      <w:r w:rsidRPr="000D3E34">
        <w:rPr>
          <w:rFonts w:ascii="David" w:eastAsia="David" w:hAnsi="David"/>
          <w:b/>
          <w:bCs/>
          <w:rtl/>
        </w:rPr>
        <w:t xml:space="preserve"> (בימ"ש העליון).</w:t>
      </w:r>
    </w:p>
    <w:p w14:paraId="4431FED1" w14:textId="77777777" w:rsidR="001879DD" w:rsidRPr="000D3E34" w:rsidRDefault="001879DD" w:rsidP="001879DD">
      <w:pPr>
        <w:spacing w:line="360" w:lineRule="auto"/>
        <w:ind w:left="720"/>
        <w:jc w:val="both"/>
        <w:rPr>
          <w:rFonts w:ascii="David" w:eastAsia="David" w:hAnsi="David"/>
          <w:sz w:val="10"/>
          <w:szCs w:val="10"/>
          <w:rtl/>
        </w:rPr>
      </w:pPr>
    </w:p>
    <w:p w14:paraId="4D097C7B" w14:textId="77777777" w:rsidR="001879DD" w:rsidRDefault="001879DD" w:rsidP="001879DD">
      <w:pPr>
        <w:pStyle w:val="a9"/>
        <w:numPr>
          <w:ilvl w:val="0"/>
          <w:numId w:val="1"/>
        </w:numPr>
        <w:spacing w:line="360" w:lineRule="auto"/>
        <w:jc w:val="both"/>
        <w:rPr>
          <w:rFonts w:ascii="David" w:eastAsia="David" w:hAnsi="David"/>
        </w:rPr>
      </w:pPr>
      <w:r>
        <w:rPr>
          <w:rFonts w:ascii="David" w:eastAsia="Calibri" w:hAnsi="David" w:hint="cs"/>
          <w:rtl/>
        </w:rPr>
        <w:t xml:space="preserve">זמן קצר לאחר שבוצע ירי לעבר בני משפחת הנאשם, הוא </w:t>
      </w:r>
      <w:r w:rsidRPr="001D3B44">
        <w:rPr>
          <w:rFonts w:ascii="David" w:eastAsia="Calibri" w:hAnsi="David" w:hint="cs"/>
          <w:rtl/>
        </w:rPr>
        <w:t xml:space="preserve"> ואחיו </w:t>
      </w:r>
      <w:r>
        <w:rPr>
          <w:rFonts w:ascii="David" w:eastAsia="Calibri" w:hAnsi="David" w:hint="cs"/>
          <w:rtl/>
        </w:rPr>
        <w:t>הצטיידו בנשקים ו</w:t>
      </w:r>
      <w:r w:rsidRPr="001D3B44">
        <w:rPr>
          <w:rFonts w:ascii="David" w:eastAsia="Calibri" w:hAnsi="David" w:hint="cs"/>
          <w:rtl/>
        </w:rPr>
        <w:t xml:space="preserve">הלכו ברח' </w:t>
      </w:r>
      <w:r w:rsidRPr="001D3B44">
        <w:rPr>
          <w:sz w:val="20"/>
          <w:rtl/>
        </w:rPr>
        <w:t xml:space="preserve">עומר בן </w:t>
      </w:r>
      <w:r>
        <w:rPr>
          <w:rFonts w:ascii="David" w:hAnsi="David"/>
          <w:rtl/>
        </w:rPr>
        <w:t>חטאב בג'סר א-זרקא</w:t>
      </w:r>
      <w:r>
        <w:rPr>
          <w:rFonts w:ascii="David" w:hAnsi="David" w:hint="cs"/>
          <w:rtl/>
        </w:rPr>
        <w:t xml:space="preserve">. הנאשם נשא </w:t>
      </w:r>
      <w:r w:rsidRPr="001D3B44">
        <w:rPr>
          <w:rFonts w:ascii="David" w:eastAsia="Calibri" w:hAnsi="David"/>
          <w:rtl/>
        </w:rPr>
        <w:t xml:space="preserve">אקדח חצי אוטומטי מסוג </w:t>
      </w:r>
      <w:r w:rsidRPr="001D3B44">
        <w:rPr>
          <w:rFonts w:ascii="David" w:eastAsia="Calibri" w:hAnsi="David"/>
        </w:rPr>
        <w:t>FN</w:t>
      </w:r>
      <w:r w:rsidRPr="001D3B44">
        <w:rPr>
          <w:rFonts w:ascii="David" w:eastAsia="Calibri" w:hAnsi="David" w:hint="cs"/>
          <w:rtl/>
        </w:rPr>
        <w:t xml:space="preserve"> טעון במחסנית ותחמושת תואמת, ואחיו </w:t>
      </w:r>
      <w:r>
        <w:rPr>
          <w:rFonts w:ascii="David" w:eastAsia="Calibri" w:hAnsi="David" w:hint="cs"/>
          <w:rtl/>
        </w:rPr>
        <w:t xml:space="preserve">נשא </w:t>
      </w:r>
      <w:r w:rsidRPr="001D3B44">
        <w:rPr>
          <w:rFonts w:ascii="David" w:eastAsia="Calibri" w:hAnsi="David"/>
          <w:rtl/>
        </w:rPr>
        <w:t>תת מקלע מאולתר</w:t>
      </w:r>
      <w:r w:rsidRPr="001D3B44">
        <w:rPr>
          <w:rFonts w:ascii="David" w:eastAsia="Calibri" w:hAnsi="David" w:hint="cs"/>
          <w:rtl/>
        </w:rPr>
        <w:t xml:space="preserve"> טעון במחסנית ותחמושת תואמת</w:t>
      </w:r>
      <w:r w:rsidRPr="001D3B44">
        <w:rPr>
          <w:rFonts w:ascii="David" w:eastAsia="Calibri" w:hAnsi="David"/>
          <w:rtl/>
        </w:rPr>
        <w:t xml:space="preserve">. </w:t>
      </w:r>
      <w:r>
        <w:rPr>
          <w:rFonts w:ascii="David" w:eastAsia="Calibri" w:hAnsi="David" w:hint="cs"/>
          <w:rtl/>
        </w:rPr>
        <w:t xml:space="preserve">בעודם הולכים ברחוב, </w:t>
      </w:r>
      <w:r w:rsidRPr="001D3B44">
        <w:rPr>
          <w:rFonts w:ascii="David" w:eastAsia="Calibri" w:hAnsi="David" w:hint="cs"/>
          <w:rtl/>
        </w:rPr>
        <w:t xml:space="preserve">הנאשם </w:t>
      </w:r>
      <w:r w:rsidRPr="001D3B44">
        <w:rPr>
          <w:rFonts w:ascii="David" w:eastAsia="Calibri" w:hAnsi="David"/>
          <w:rtl/>
        </w:rPr>
        <w:t xml:space="preserve">ואחיו </w:t>
      </w:r>
      <w:r w:rsidRPr="001D3B44">
        <w:rPr>
          <w:rFonts w:ascii="David" w:eastAsia="Calibri" w:hAnsi="David" w:hint="cs"/>
          <w:rtl/>
        </w:rPr>
        <w:t>נורו על ידי אחרים</w:t>
      </w:r>
      <w:r>
        <w:rPr>
          <w:rFonts w:ascii="David" w:eastAsia="Calibri" w:hAnsi="David" w:hint="cs"/>
          <w:rtl/>
        </w:rPr>
        <w:t xml:space="preserve"> שזהותם אינה ידועה. </w:t>
      </w:r>
      <w:r w:rsidRPr="001D3B44">
        <w:rPr>
          <w:rFonts w:ascii="David" w:eastAsia="Calibri" w:hAnsi="David" w:hint="cs"/>
          <w:rtl/>
        </w:rPr>
        <w:t>כתוצאה מהירי עליהם הנאשם ואחיו נפצעו</w:t>
      </w:r>
      <w:r>
        <w:rPr>
          <w:rFonts w:ascii="David" w:eastAsia="Calibri" w:hAnsi="David" w:hint="cs"/>
          <w:rtl/>
        </w:rPr>
        <w:t xml:space="preserve">, והם </w:t>
      </w:r>
      <w:r w:rsidRPr="001D3B44">
        <w:rPr>
          <w:rFonts w:ascii="David" w:eastAsia="Calibri" w:hAnsi="David" w:hint="cs"/>
          <w:rtl/>
        </w:rPr>
        <w:t>הגיבו</w:t>
      </w:r>
      <w:r>
        <w:rPr>
          <w:rFonts w:ascii="David" w:eastAsia="Calibri" w:hAnsi="David" w:hint="cs"/>
          <w:rtl/>
        </w:rPr>
        <w:t xml:space="preserve"> בירי של 4 כדורים, הנאשם ירה 2 כדורים מהאקדח ואחיו ירה 2 כדורים מתת המקלע.</w:t>
      </w:r>
      <w:r w:rsidRPr="001D3B44">
        <w:rPr>
          <w:rFonts w:ascii="David" w:eastAsia="Calibri" w:hAnsi="David" w:hint="cs"/>
          <w:rtl/>
        </w:rPr>
        <w:t xml:space="preserve"> מיד לאחר חילופי הירי הנאשם ואחיו הבחינו במשטרה ו</w:t>
      </w:r>
      <w:r w:rsidRPr="001D3B44">
        <w:rPr>
          <w:rFonts w:ascii="David" w:eastAsia="Calibri" w:hAnsi="David"/>
          <w:rtl/>
        </w:rPr>
        <w:t>החלו להימלט מהמקום בריצה</w:t>
      </w:r>
      <w:r w:rsidRPr="001D3B44">
        <w:rPr>
          <w:rFonts w:ascii="David" w:eastAsia="Calibri" w:hAnsi="David" w:hint="cs"/>
          <w:rtl/>
        </w:rPr>
        <w:t xml:space="preserve"> כשהם אוחזים בנשקם. בשלב מסוים</w:t>
      </w:r>
      <w:r w:rsidRPr="001D3B44">
        <w:rPr>
          <w:rFonts w:ascii="David" w:eastAsia="Calibri" w:hAnsi="David"/>
          <w:rtl/>
        </w:rPr>
        <w:t xml:space="preserve"> הנאשם הסתובב לעבר הרכב המשטרתי בעודו אוחז את האקדח, והשוטר חורי אשר חש סכנה לחייו ירה לעבר הנאשם כדור אחד מנשקו המשטרתי. </w:t>
      </w:r>
    </w:p>
    <w:p w14:paraId="7FF94B61" w14:textId="77777777" w:rsidR="001879DD" w:rsidRPr="000E66A9" w:rsidRDefault="001879DD" w:rsidP="001879DD">
      <w:pPr>
        <w:pStyle w:val="a9"/>
        <w:rPr>
          <w:rFonts w:ascii="David" w:eastAsia="David" w:hAnsi="David"/>
          <w:sz w:val="12"/>
          <w:szCs w:val="12"/>
          <w:rtl/>
        </w:rPr>
      </w:pPr>
    </w:p>
    <w:p w14:paraId="19CDBA22" w14:textId="77777777" w:rsidR="001879DD" w:rsidRPr="00B353C9" w:rsidRDefault="001879DD" w:rsidP="001879DD">
      <w:pPr>
        <w:pStyle w:val="a9"/>
        <w:overflowPunct w:val="0"/>
        <w:autoSpaceDE w:val="0"/>
        <w:autoSpaceDN w:val="0"/>
        <w:spacing w:after="200" w:line="360" w:lineRule="auto"/>
        <w:jc w:val="both"/>
        <w:rPr>
          <w:rFonts w:ascii="David" w:eastAsia="Calibri" w:hAnsi="David"/>
        </w:rPr>
      </w:pPr>
      <w:r>
        <w:rPr>
          <w:rFonts w:ascii="David" w:eastAsia="Calibri" w:hAnsi="David" w:hint="cs"/>
          <w:rtl/>
        </w:rPr>
        <w:t>כעבור זמן קצר  זאהי אחיו של הנאשם מצא את מותו כתוצאה מהיריות שנורו לעברו על ידי אותם אחרים.</w:t>
      </w:r>
    </w:p>
    <w:p w14:paraId="046A616E" w14:textId="77777777" w:rsidR="001879DD" w:rsidRPr="000E66A9" w:rsidRDefault="001879DD" w:rsidP="001879DD">
      <w:pPr>
        <w:pStyle w:val="a9"/>
        <w:spacing w:line="360" w:lineRule="auto"/>
        <w:jc w:val="both"/>
        <w:rPr>
          <w:rFonts w:ascii="David" w:eastAsia="David" w:hAnsi="David"/>
          <w:sz w:val="14"/>
          <w:szCs w:val="14"/>
        </w:rPr>
      </w:pPr>
    </w:p>
    <w:p w14:paraId="0028597C" w14:textId="77777777" w:rsidR="001879DD" w:rsidRDefault="001879DD" w:rsidP="001879DD">
      <w:pPr>
        <w:pStyle w:val="a9"/>
        <w:numPr>
          <w:ilvl w:val="0"/>
          <w:numId w:val="1"/>
        </w:numPr>
        <w:spacing w:line="360" w:lineRule="auto"/>
        <w:jc w:val="both"/>
        <w:rPr>
          <w:rFonts w:ascii="David" w:eastAsia="David" w:hAnsi="David"/>
        </w:rPr>
      </w:pPr>
      <w:r>
        <w:rPr>
          <w:rFonts w:ascii="David" w:eastAsia="David" w:hAnsi="David" w:hint="cs"/>
          <w:rtl/>
        </w:rPr>
        <w:t xml:space="preserve">יובהר כי פעולותיו של האח זאהי המנוח, קרי נשיאה הובלת תת מקלע  וירי ממנו,  אינן מיוחסות לנאשם. </w:t>
      </w:r>
    </w:p>
    <w:p w14:paraId="26FD9715" w14:textId="77777777" w:rsidR="001879DD" w:rsidRPr="00CF1A56" w:rsidRDefault="001879DD" w:rsidP="001879DD">
      <w:pPr>
        <w:pStyle w:val="a9"/>
        <w:rPr>
          <w:rFonts w:ascii="David" w:eastAsia="David" w:hAnsi="David"/>
          <w:rtl/>
        </w:rPr>
      </w:pPr>
    </w:p>
    <w:p w14:paraId="6999BA79" w14:textId="77777777" w:rsidR="001879DD" w:rsidRDefault="001879DD" w:rsidP="001879DD">
      <w:pPr>
        <w:pStyle w:val="a9"/>
        <w:numPr>
          <w:ilvl w:val="0"/>
          <w:numId w:val="1"/>
        </w:numPr>
        <w:spacing w:line="360" w:lineRule="auto"/>
        <w:jc w:val="both"/>
        <w:rPr>
          <w:rFonts w:ascii="David" w:eastAsia="David" w:hAnsi="David"/>
          <w:rtl/>
        </w:rPr>
      </w:pPr>
      <w:r>
        <w:rPr>
          <w:rFonts w:ascii="David" w:eastAsia="David" w:hAnsi="David" w:hint="cs"/>
          <w:rtl/>
        </w:rPr>
        <w:t>חומרה מיוחדת יש בעובדה שהנאשם החזיק את הנשק ועשה בו שימוש באזור מגורים, ורק במזל לא נפגעו  תושבי המקום. על  תוצאותיו הקשות של האירוע ניתן ללמוד ממותו של אחיו המנוח, ובכך יש גם כדי ללמד על פוטנציאל הנזק הקטלני וההרסני באירועי ירי בכלל, ובשכונת מגורים בפרט. חלקו של הנאשם בביצוע העבירות הינו מרכזי והוא יכול היה להימנע מביצוען בכל שלב אך בחר שלא לעשות כן.</w:t>
      </w:r>
    </w:p>
    <w:p w14:paraId="4993A4E0" w14:textId="77777777" w:rsidR="001879DD" w:rsidRPr="00B301B2" w:rsidRDefault="001879DD" w:rsidP="001879DD">
      <w:pPr>
        <w:pStyle w:val="a9"/>
        <w:spacing w:line="360" w:lineRule="auto"/>
        <w:jc w:val="both"/>
        <w:rPr>
          <w:rFonts w:ascii="David" w:eastAsia="David" w:hAnsi="David"/>
          <w:sz w:val="10"/>
          <w:szCs w:val="10"/>
          <w:rtl/>
        </w:rPr>
      </w:pPr>
    </w:p>
    <w:p w14:paraId="4028F4F3" w14:textId="77777777" w:rsidR="001879DD" w:rsidRDefault="001879DD" w:rsidP="001879DD">
      <w:pPr>
        <w:pStyle w:val="a9"/>
        <w:spacing w:line="360" w:lineRule="auto"/>
        <w:jc w:val="both"/>
        <w:rPr>
          <w:rFonts w:ascii="David" w:eastAsia="David" w:hAnsi="David"/>
          <w:rtl/>
        </w:rPr>
      </w:pPr>
      <w:r>
        <w:rPr>
          <w:rFonts w:ascii="David" w:eastAsia="David" w:hAnsi="David" w:hint="cs"/>
          <w:rtl/>
        </w:rPr>
        <w:t>כאמור, הנאשם ואחיו המנוח צעדו ברחוב כשהם מצוידים בנשקים טעונים,  והשכונה הפכה לזירת קרב קטלנית.</w:t>
      </w:r>
    </w:p>
    <w:p w14:paraId="7E49E45E" w14:textId="77777777" w:rsidR="001879DD" w:rsidRDefault="001879DD" w:rsidP="001879DD">
      <w:pPr>
        <w:pStyle w:val="a9"/>
        <w:rPr>
          <w:rFonts w:ascii="David" w:eastAsia="David" w:hAnsi="David"/>
          <w:rtl/>
        </w:rPr>
      </w:pPr>
    </w:p>
    <w:p w14:paraId="73CADF09" w14:textId="77777777" w:rsidR="001879DD" w:rsidRPr="00FD4108" w:rsidRDefault="001879DD" w:rsidP="001879DD">
      <w:pPr>
        <w:pStyle w:val="a9"/>
        <w:numPr>
          <w:ilvl w:val="0"/>
          <w:numId w:val="1"/>
        </w:numPr>
        <w:spacing w:line="360" w:lineRule="auto"/>
        <w:jc w:val="both"/>
        <w:rPr>
          <w:rFonts w:ascii="David" w:hAnsi="David"/>
          <w:rtl/>
        </w:rPr>
      </w:pPr>
      <w:r w:rsidRPr="00FD4108">
        <w:rPr>
          <w:rFonts w:ascii="David" w:eastAsia="David" w:hAnsi="David" w:hint="cs"/>
          <w:rtl/>
        </w:rPr>
        <w:t>אני ער לעובדה שתחילתו של האירוע בפציעתם  מירי של בני מש</w:t>
      </w:r>
      <w:r>
        <w:rPr>
          <w:rFonts w:ascii="David" w:eastAsia="David" w:hAnsi="David" w:hint="cs"/>
          <w:rtl/>
        </w:rPr>
        <w:t>פחת הנאשם כמה שעות קודם לכן</w:t>
      </w:r>
      <w:r w:rsidRPr="00FD4108">
        <w:rPr>
          <w:rFonts w:ascii="David" w:eastAsia="David" w:hAnsi="David" w:hint="cs"/>
          <w:rtl/>
        </w:rPr>
        <w:t xml:space="preserve">, אך הדבר לא הצדיק בשום אופן את נשיאת והובלת הנשק על ידי הנאשם ברחובות הישוב, ובכלל.  כך גם אין בעובדה שהנאשם הגיב לירי עליו ועל אחיו כדי להוות נסיבה משמעותית לקולה. הנאשם הצטייד מיוזמתו באקדח טעון במחסנית וכדורים,  ויצא לרחובות ג'סר  עם אחיו שאחז בתת מקלע,  </w:t>
      </w:r>
      <w:r w:rsidRPr="00FD4108">
        <w:rPr>
          <w:rFonts w:ascii="David" w:hAnsi="David" w:hint="cs"/>
          <w:rtl/>
        </w:rPr>
        <w:t>ואין להתפלא על האופן הטראגי בו האירוע הסתיים.</w:t>
      </w:r>
    </w:p>
    <w:p w14:paraId="48DB43E5" w14:textId="77777777" w:rsidR="001879DD" w:rsidRPr="00FD4108" w:rsidRDefault="001879DD" w:rsidP="001879DD">
      <w:pPr>
        <w:pStyle w:val="a9"/>
        <w:spacing w:line="360" w:lineRule="auto"/>
        <w:jc w:val="both"/>
        <w:rPr>
          <w:rFonts w:ascii="David" w:hAnsi="David"/>
          <w:sz w:val="10"/>
          <w:szCs w:val="10"/>
          <w:rtl/>
        </w:rPr>
      </w:pPr>
    </w:p>
    <w:p w14:paraId="1EC88A20" w14:textId="77777777" w:rsidR="001879DD" w:rsidRPr="00B301B2" w:rsidRDefault="001879DD" w:rsidP="001879DD">
      <w:pPr>
        <w:pStyle w:val="a9"/>
        <w:spacing w:line="360" w:lineRule="auto"/>
        <w:jc w:val="both"/>
        <w:rPr>
          <w:rFonts w:ascii="David" w:hAnsi="David"/>
          <w:rtl/>
        </w:rPr>
      </w:pPr>
      <w:r>
        <w:rPr>
          <w:rFonts w:ascii="David" w:hAnsi="David" w:hint="cs"/>
          <w:rtl/>
        </w:rPr>
        <w:t>בנסיבות אלו גם לא מתקיימת קרבה לסייג לאחריות פלילית מסוג "הגנה עצמית".</w:t>
      </w:r>
    </w:p>
    <w:p w14:paraId="0E67B09D" w14:textId="77777777" w:rsidR="001879DD" w:rsidRPr="00F35EFD" w:rsidRDefault="001879DD" w:rsidP="001879DD">
      <w:pPr>
        <w:pStyle w:val="a9"/>
        <w:spacing w:line="360" w:lineRule="auto"/>
        <w:jc w:val="both"/>
        <w:rPr>
          <w:rFonts w:ascii="David" w:eastAsia="David" w:hAnsi="David"/>
          <w:sz w:val="14"/>
          <w:szCs w:val="14"/>
          <w:rtl/>
        </w:rPr>
      </w:pPr>
    </w:p>
    <w:p w14:paraId="3AEF3959" w14:textId="77777777" w:rsidR="001879DD" w:rsidRDefault="001879DD" w:rsidP="001879DD">
      <w:pPr>
        <w:pStyle w:val="a9"/>
        <w:numPr>
          <w:ilvl w:val="0"/>
          <w:numId w:val="1"/>
        </w:numPr>
        <w:spacing w:line="360" w:lineRule="auto"/>
        <w:jc w:val="both"/>
        <w:rPr>
          <w:rFonts w:ascii="David" w:eastAsia="David" w:hAnsi="David"/>
        </w:rPr>
      </w:pPr>
      <w:r w:rsidRPr="00513940">
        <w:rPr>
          <w:rFonts w:ascii="David" w:eastAsia="David" w:hAnsi="David" w:hint="cs"/>
          <w:rtl/>
        </w:rPr>
        <w:t xml:space="preserve">למרבה הצער </w:t>
      </w:r>
      <w:r>
        <w:rPr>
          <w:rFonts w:ascii="David" w:eastAsia="David" w:hAnsi="David" w:hint="cs"/>
          <w:rtl/>
        </w:rPr>
        <w:t>שימוש בנשק חם הפך</w:t>
      </w:r>
      <w:r w:rsidRPr="00513940">
        <w:rPr>
          <w:rFonts w:ascii="David" w:eastAsia="David" w:hAnsi="David" w:hint="cs"/>
          <w:rtl/>
        </w:rPr>
        <w:t xml:space="preserve"> לחזון נפרץ ברחובות ישובים ערביים רבים במדינה.  מדובר בתופעה קשה, אכזרית וקטלנית, וחדשות לבקרים אנו מתבשרים על מותם של אזרחים תמימים, עוברי אורח שנקלעו לקו הירי. תעוזתם של העושים שימוש בנשק לצורך פתרון סכסוכים וביצוע עבירות, אינה יודעת גבול</w:t>
      </w:r>
      <w:r>
        <w:rPr>
          <w:rFonts w:ascii="David" w:eastAsia="David" w:hAnsi="David" w:hint="cs"/>
          <w:rtl/>
        </w:rPr>
        <w:t>,</w:t>
      </w:r>
      <w:r w:rsidRPr="00513940">
        <w:rPr>
          <w:rFonts w:ascii="David" w:eastAsia="David" w:hAnsi="David" w:hint="cs"/>
          <w:rtl/>
        </w:rPr>
        <w:t xml:space="preserve"> ועל בתי המ</w:t>
      </w:r>
      <w:r>
        <w:rPr>
          <w:rFonts w:ascii="David" w:eastAsia="David" w:hAnsi="David" w:hint="cs"/>
          <w:rtl/>
        </w:rPr>
        <w:t>שפט לתרום את חלקם בהגנה על התושבים.</w:t>
      </w:r>
    </w:p>
    <w:p w14:paraId="0677DBA9" w14:textId="77777777" w:rsidR="001879DD" w:rsidRPr="00853E0D" w:rsidRDefault="001879DD" w:rsidP="001879DD">
      <w:pPr>
        <w:pStyle w:val="a9"/>
        <w:spacing w:line="360" w:lineRule="auto"/>
        <w:jc w:val="both"/>
        <w:rPr>
          <w:rFonts w:ascii="David" w:hAnsi="David"/>
          <w:b/>
          <w:bCs/>
          <w:sz w:val="12"/>
          <w:szCs w:val="12"/>
        </w:rPr>
      </w:pPr>
    </w:p>
    <w:p w14:paraId="3F328B15" w14:textId="77777777" w:rsidR="001879DD" w:rsidRDefault="001879DD" w:rsidP="001879DD">
      <w:pPr>
        <w:pStyle w:val="a9"/>
        <w:spacing w:line="360" w:lineRule="auto"/>
        <w:jc w:val="both"/>
        <w:rPr>
          <w:rFonts w:ascii="David" w:hAnsi="David"/>
          <w:b/>
          <w:bCs/>
          <w:rtl/>
        </w:rPr>
      </w:pPr>
      <w:r w:rsidRPr="00A829FE">
        <w:rPr>
          <w:rFonts w:ascii="David" w:hAnsi="David" w:hint="cs"/>
          <w:rtl/>
        </w:rPr>
        <w:t>החזקת נשק לא חוקי צפויה להסתיים בשימוש לא חוקי בנשק  ובהקשר זה כבר נאמר ב</w:t>
      </w:r>
      <w:hyperlink r:id="rId41" w:history="1">
        <w:r w:rsidR="00BF2A9A" w:rsidRPr="00BF2A9A">
          <w:rPr>
            <w:rFonts w:ascii="David" w:hAnsi="David"/>
            <w:b/>
            <w:bCs/>
            <w:color w:val="0000FF"/>
            <w:u w:val="single"/>
            <w:rtl/>
          </w:rPr>
          <w:t>ע"פ 4945/13</w:t>
        </w:r>
      </w:hyperlink>
      <w:r w:rsidRPr="00A829FE">
        <w:rPr>
          <w:rFonts w:ascii="David" w:hAnsi="David" w:hint="cs"/>
          <w:b/>
          <w:bCs/>
          <w:rtl/>
        </w:rPr>
        <w:t xml:space="preserve"> </w:t>
      </w:r>
      <w:r w:rsidRPr="00A829FE">
        <w:rPr>
          <w:rFonts w:ascii="David" w:hAnsi="David" w:hint="cs"/>
          <w:b/>
          <w:bCs/>
          <w:u w:val="single"/>
          <w:rtl/>
        </w:rPr>
        <w:t>מדינת ישראל נ' עבד אלכרים</w:t>
      </w:r>
      <w:r w:rsidRPr="00A829FE">
        <w:rPr>
          <w:rFonts w:ascii="David" w:hAnsi="David" w:hint="cs"/>
          <w:b/>
          <w:bCs/>
          <w:rtl/>
        </w:rPr>
        <w:t xml:space="preserve"> </w:t>
      </w:r>
      <w:r w:rsidRPr="00A829FE">
        <w:rPr>
          <w:rFonts w:ascii="David" w:hAnsi="David" w:hint="cs"/>
          <w:rtl/>
        </w:rPr>
        <w:t>כי</w:t>
      </w:r>
      <w:r w:rsidRPr="00A829FE">
        <w:rPr>
          <w:rFonts w:ascii="David" w:hAnsi="David" w:hint="cs"/>
          <w:b/>
          <w:bCs/>
          <w:rtl/>
        </w:rPr>
        <w:t xml:space="preserve"> </w:t>
      </w:r>
      <w:r w:rsidRPr="00A829FE">
        <w:rPr>
          <w:rFonts w:ascii="David" w:hAnsi="David" w:hint="cs"/>
          <w:rtl/>
        </w:rPr>
        <w:t>:</w:t>
      </w:r>
      <w:r w:rsidRPr="00A829FE">
        <w:rPr>
          <w:rFonts w:ascii="David" w:hAnsi="David" w:hint="cs"/>
          <w:b/>
          <w:bCs/>
          <w:rtl/>
        </w:rPr>
        <w:t xml:space="preserve"> </w:t>
      </w:r>
      <w:r w:rsidRPr="00A829FE">
        <w:rPr>
          <w:rFonts w:ascii="David" w:hAnsi="David"/>
          <w:rtl/>
        </w:rPr>
        <w:t>"</w:t>
      </w:r>
      <w:r w:rsidRPr="00A829FE">
        <w:rPr>
          <w:rFonts w:ascii="David" w:hAnsi="David"/>
          <w:b/>
          <w:bCs/>
          <w:rtl/>
        </w:rPr>
        <w:t>עצם החזקת נשק בעל פוטנציאל קטילה מבלי שיש עליו ועל בעליו פיקוח מוסדר של הרשויות טומן בחובו סיכון, כאשר המחזיק בו נתון תמיד לחשש שיתפתה לעשות בו שימוש, ולו ברגעי</w:t>
      </w:r>
      <w:r w:rsidR="00BF2A9A">
        <w:rPr>
          <w:rFonts w:ascii="David" w:hAnsi="David"/>
          <w:b/>
          <w:bCs/>
          <w:rtl/>
        </w:rPr>
        <w:t xml:space="preserve"> </w:t>
      </w:r>
      <w:r w:rsidRPr="00A829FE">
        <w:rPr>
          <w:rFonts w:ascii="David" w:hAnsi="David"/>
          <w:b/>
          <w:bCs/>
          <w:rtl/>
        </w:rPr>
        <w:t xml:space="preserve"> לחץ ופחד (ראו: </w:t>
      </w:r>
      <w:hyperlink r:id="rId42" w:history="1">
        <w:r w:rsidR="00BF2A9A" w:rsidRPr="00BF2A9A">
          <w:rPr>
            <w:rFonts w:ascii="David" w:hAnsi="David"/>
            <w:b/>
            <w:bCs/>
            <w:color w:val="0000FF"/>
            <w:u w:val="single"/>
            <w:rtl/>
          </w:rPr>
          <w:t>ע"פ 3300/06</w:t>
        </w:r>
      </w:hyperlink>
      <w:r w:rsidRPr="00A829FE">
        <w:rPr>
          <w:rFonts w:ascii="David" w:hAnsi="David"/>
          <w:b/>
          <w:bCs/>
          <w:rtl/>
        </w:rPr>
        <w:t xml:space="preserve"> אבו סנינה נ' מדינת ישראל, [פורסם בנבו] פסקה 6 (10.8.2006), להלן: עניין אבו סנינה). יתר על כן, </w:t>
      </w:r>
      <w:r w:rsidRPr="00A829FE">
        <w:rPr>
          <w:rFonts w:ascii="David" w:hAnsi="David"/>
          <w:b/>
          <w:bCs/>
          <w:u w:val="single"/>
          <w:rtl/>
        </w:rPr>
        <w:t>במעשיו של המשיב יש משום יסוד של נטילת החוק לידיים תחת הותרת דבר האיומים על חייו לטיפול הגורם המוסמך לכך – משטרת ישראל. זאת, כשאין בידו לדעת כיצד עלולה פרשת האיומים להסתיים אלמלא נתפס הנשק על-ידי המשטרה. התנהלות זו יש בה גם היבט של פגיעה בסדר החברתי, מעבר לעצם יצירת הסיכון לשלום הציבור</w:t>
      </w:r>
      <w:r w:rsidRPr="00A829FE">
        <w:rPr>
          <w:rFonts w:ascii="David" w:hAnsi="David"/>
          <w:rtl/>
        </w:rPr>
        <w:t>".</w:t>
      </w:r>
      <w:r w:rsidRPr="00A829FE">
        <w:rPr>
          <w:rFonts w:ascii="FrankRuehl" w:hAnsi="FrankRuehl"/>
          <w:rtl/>
        </w:rPr>
        <w:t xml:space="preserve"> </w:t>
      </w:r>
      <w:r w:rsidRPr="00A829FE">
        <w:rPr>
          <w:rFonts w:ascii="FrankRuehl" w:hAnsi="FrankRuehl" w:hint="cs"/>
          <w:rtl/>
        </w:rPr>
        <w:t>(</w:t>
      </w:r>
      <w:r w:rsidRPr="00A829FE">
        <w:rPr>
          <w:rFonts w:ascii="David" w:hAnsi="David" w:hint="cs"/>
          <w:rtl/>
        </w:rPr>
        <w:t>ההדגשות שלי ג.ק)</w:t>
      </w:r>
      <w:r w:rsidRPr="00A829FE">
        <w:rPr>
          <w:rFonts w:ascii="David" w:hAnsi="David" w:hint="cs"/>
          <w:b/>
          <w:bCs/>
          <w:rtl/>
        </w:rPr>
        <w:t>.</w:t>
      </w:r>
    </w:p>
    <w:p w14:paraId="110E704F" w14:textId="77777777" w:rsidR="001879DD" w:rsidRPr="00853E0D" w:rsidRDefault="001879DD" w:rsidP="001879DD">
      <w:pPr>
        <w:pStyle w:val="a9"/>
        <w:spacing w:line="360" w:lineRule="auto"/>
        <w:jc w:val="both"/>
        <w:rPr>
          <w:rFonts w:ascii="David" w:hAnsi="David"/>
          <w:b/>
          <w:bCs/>
          <w:sz w:val="14"/>
          <w:szCs w:val="14"/>
          <w:rtl/>
        </w:rPr>
      </w:pPr>
    </w:p>
    <w:p w14:paraId="71F74BB5" w14:textId="77777777" w:rsidR="001879DD" w:rsidRPr="00853E0D" w:rsidRDefault="001879DD" w:rsidP="001879DD">
      <w:pPr>
        <w:pStyle w:val="a9"/>
        <w:spacing w:line="360" w:lineRule="auto"/>
        <w:jc w:val="both"/>
        <w:rPr>
          <w:rFonts w:ascii="David" w:hAnsi="David"/>
          <w:rtl/>
        </w:rPr>
      </w:pPr>
      <w:r w:rsidRPr="00853E0D">
        <w:rPr>
          <w:rFonts w:ascii="David" w:hAnsi="David" w:hint="cs"/>
          <w:rtl/>
        </w:rPr>
        <w:t xml:space="preserve">במקרה זה כוחות משטרה </w:t>
      </w:r>
      <w:r>
        <w:rPr>
          <w:rFonts w:ascii="David" w:hAnsi="David" w:hint="cs"/>
          <w:rtl/>
        </w:rPr>
        <w:t>הגיעו ל</w:t>
      </w:r>
      <w:r w:rsidRPr="00853E0D">
        <w:rPr>
          <w:rFonts w:ascii="David" w:hAnsi="David" w:hint="cs"/>
          <w:rtl/>
        </w:rPr>
        <w:t>מקום לאחר הירי על בני משפחת הנאשם</w:t>
      </w:r>
      <w:r>
        <w:rPr>
          <w:rFonts w:ascii="David" w:hAnsi="David" w:hint="cs"/>
          <w:rtl/>
        </w:rPr>
        <w:t xml:space="preserve"> ושהו בישוב</w:t>
      </w:r>
      <w:r w:rsidRPr="00853E0D">
        <w:rPr>
          <w:rFonts w:ascii="David" w:hAnsi="David" w:hint="cs"/>
          <w:rtl/>
        </w:rPr>
        <w:t>, והדבר האחרון שהיה על הנא</w:t>
      </w:r>
      <w:r>
        <w:rPr>
          <w:rFonts w:ascii="David" w:hAnsi="David" w:hint="cs"/>
          <w:rtl/>
        </w:rPr>
        <w:t>שם לעשות היה ירידה לרחוב עם נשק, פעולה שסיכנה את התושבים במקום, את כוחות המשטרה ואת הנאשם עצמו.</w:t>
      </w:r>
    </w:p>
    <w:p w14:paraId="372043C2" w14:textId="77777777" w:rsidR="001879DD" w:rsidRPr="009E5C39" w:rsidRDefault="001879DD" w:rsidP="001879DD">
      <w:pPr>
        <w:spacing w:after="160" w:line="360" w:lineRule="auto"/>
        <w:ind w:left="720"/>
        <w:contextualSpacing/>
        <w:jc w:val="both"/>
        <w:rPr>
          <w:rFonts w:ascii="David" w:eastAsia="David" w:hAnsi="David"/>
          <w:sz w:val="16"/>
          <w:szCs w:val="16"/>
        </w:rPr>
      </w:pPr>
    </w:p>
    <w:p w14:paraId="6BD43D9E" w14:textId="77777777" w:rsidR="001879DD" w:rsidRPr="00B440F7" w:rsidRDefault="001879DD" w:rsidP="001879DD">
      <w:pPr>
        <w:numPr>
          <w:ilvl w:val="0"/>
          <w:numId w:val="1"/>
        </w:numPr>
        <w:spacing w:after="160" w:line="360" w:lineRule="auto"/>
        <w:contextualSpacing/>
        <w:jc w:val="both"/>
        <w:rPr>
          <w:rFonts w:ascii="David" w:eastAsia="David" w:hAnsi="David"/>
          <w:sz w:val="16"/>
          <w:szCs w:val="16"/>
        </w:rPr>
      </w:pPr>
      <w:r>
        <w:rPr>
          <w:rFonts w:ascii="David" w:eastAsia="David" w:hAnsi="David" w:hint="cs"/>
          <w:rtl/>
        </w:rPr>
        <w:t>התוצאות הטראגיות של האירוע ופציעתו הקשה של הנאשם יובאו בחשבון במסגרת קביעת העונש בתוך המתחם.</w:t>
      </w:r>
    </w:p>
    <w:p w14:paraId="484CD5ED" w14:textId="77777777" w:rsidR="001879DD" w:rsidRPr="00B440F7" w:rsidRDefault="001879DD" w:rsidP="001879DD">
      <w:pPr>
        <w:spacing w:after="160" w:line="360" w:lineRule="auto"/>
        <w:ind w:left="720"/>
        <w:contextualSpacing/>
        <w:jc w:val="both"/>
        <w:rPr>
          <w:rFonts w:ascii="David" w:eastAsia="David" w:hAnsi="David"/>
          <w:sz w:val="16"/>
          <w:szCs w:val="16"/>
        </w:rPr>
      </w:pPr>
    </w:p>
    <w:p w14:paraId="46B7C4EE" w14:textId="77777777" w:rsidR="001879DD" w:rsidRPr="000D3E34" w:rsidRDefault="001879DD" w:rsidP="001879DD">
      <w:pPr>
        <w:numPr>
          <w:ilvl w:val="0"/>
          <w:numId w:val="1"/>
        </w:numPr>
        <w:spacing w:after="160" w:line="360" w:lineRule="auto"/>
        <w:contextualSpacing/>
        <w:jc w:val="both"/>
        <w:rPr>
          <w:rFonts w:ascii="David" w:eastAsia="David" w:hAnsi="David"/>
          <w:sz w:val="16"/>
          <w:szCs w:val="16"/>
          <w:rtl/>
        </w:rPr>
      </w:pPr>
      <w:r w:rsidRPr="000D3E34">
        <w:rPr>
          <w:rFonts w:ascii="David" w:eastAsia="David" w:hAnsi="David"/>
          <w:rtl/>
        </w:rPr>
        <w:t>במכלול הנסיבות , אני סבור כי במקרה</w:t>
      </w:r>
      <w:r>
        <w:rPr>
          <w:rFonts w:ascii="David" w:eastAsia="David" w:hAnsi="David"/>
          <w:rtl/>
        </w:rPr>
        <w:t xml:space="preserve"> זה מידת הפגיעה בערכים המוגנים</w:t>
      </w:r>
      <w:r>
        <w:rPr>
          <w:rFonts w:ascii="David" w:eastAsia="David" w:hAnsi="David" w:hint="cs"/>
          <w:rtl/>
        </w:rPr>
        <w:t xml:space="preserve"> הינה משמעותית ו</w:t>
      </w:r>
      <w:r w:rsidRPr="000D3E34">
        <w:rPr>
          <w:rFonts w:ascii="David" w:eastAsia="David" w:hAnsi="David"/>
          <w:rtl/>
        </w:rPr>
        <w:t>מצויה ברף</w:t>
      </w:r>
      <w:r>
        <w:rPr>
          <w:rFonts w:ascii="David" w:eastAsia="David" w:hAnsi="David" w:hint="cs"/>
          <w:rtl/>
        </w:rPr>
        <w:t xml:space="preserve"> חומרה בינוני עד גבוה</w:t>
      </w:r>
      <w:r w:rsidRPr="000D3E34">
        <w:rPr>
          <w:rFonts w:ascii="David" w:eastAsia="David" w:hAnsi="David"/>
          <w:rtl/>
        </w:rPr>
        <w:t>.</w:t>
      </w:r>
    </w:p>
    <w:p w14:paraId="130AC484" w14:textId="77777777" w:rsidR="001879DD" w:rsidRPr="002B4A63" w:rsidRDefault="001879DD" w:rsidP="001879DD">
      <w:pPr>
        <w:spacing w:after="160" w:line="360" w:lineRule="auto"/>
        <w:ind w:firstLine="360"/>
        <w:jc w:val="both"/>
        <w:rPr>
          <w:rFonts w:ascii="David" w:hAnsi="David"/>
          <w:b/>
          <w:bCs/>
          <w:sz w:val="6"/>
          <w:szCs w:val="6"/>
          <w:u w:val="single"/>
        </w:rPr>
      </w:pPr>
    </w:p>
    <w:p w14:paraId="1F21BE91" w14:textId="77777777" w:rsidR="001879DD" w:rsidRPr="000D3E34" w:rsidRDefault="001879DD" w:rsidP="001879DD">
      <w:pPr>
        <w:spacing w:after="160" w:line="360" w:lineRule="auto"/>
        <w:ind w:firstLine="360"/>
        <w:jc w:val="both"/>
        <w:rPr>
          <w:rFonts w:ascii="David" w:eastAsia="David" w:hAnsi="David"/>
          <w:b/>
          <w:bCs/>
          <w:u w:val="single"/>
          <w:rtl/>
        </w:rPr>
      </w:pPr>
      <w:r w:rsidRPr="000D3E34">
        <w:rPr>
          <w:rFonts w:ascii="David" w:eastAsia="David" w:hAnsi="David"/>
          <w:b/>
          <w:bCs/>
          <w:u w:val="single"/>
          <w:rtl/>
        </w:rPr>
        <w:t>מדיניות הענישה והפסיקה הנהוגה</w:t>
      </w:r>
    </w:p>
    <w:p w14:paraId="6C988682" w14:textId="77777777" w:rsidR="001879DD" w:rsidRPr="000D3E34" w:rsidRDefault="001879DD" w:rsidP="001879DD">
      <w:pPr>
        <w:numPr>
          <w:ilvl w:val="0"/>
          <w:numId w:val="1"/>
        </w:numPr>
        <w:shd w:val="clear" w:color="auto" w:fill="FFFFFF"/>
        <w:overflowPunct w:val="0"/>
        <w:autoSpaceDE w:val="0"/>
        <w:autoSpaceDN w:val="0"/>
        <w:spacing w:after="160" w:line="360" w:lineRule="auto"/>
        <w:jc w:val="both"/>
        <w:rPr>
          <w:rFonts w:ascii="David" w:eastAsia="Calibri" w:hAnsi="David"/>
          <w:rtl/>
        </w:rPr>
      </w:pPr>
      <w:r w:rsidRPr="000D3E34">
        <w:rPr>
          <w:rFonts w:ascii="David" w:eastAsia="David" w:hAnsi="David"/>
          <w:rtl/>
        </w:rPr>
        <w:t xml:space="preserve">בית המשפט העליון עמד לא אחת על חומרתן של עבירות הנשק, המקימות סיכון ממשי וחמור לציבור ויוצרות פוטנציאל להסלמה עבריינית, תוך שהוא חוזר ומבהיר, כי חומרה זו מחייבת ליתן ביטוי עונשי הולם באמצעות הרחקת מבצעי העבירות לתקופת מאסר ממשית לריצוי בפועל. </w:t>
      </w:r>
      <w:r w:rsidRPr="000D3E34">
        <w:rPr>
          <w:rFonts w:ascii="David" w:eastAsia="David" w:hAnsi="David"/>
          <w:b/>
          <w:bCs/>
          <w:rtl/>
        </w:rPr>
        <w:t>ב</w:t>
      </w:r>
      <w:hyperlink r:id="rId43" w:history="1">
        <w:r w:rsidR="00BF2A9A" w:rsidRPr="00BF2A9A">
          <w:rPr>
            <w:rFonts w:ascii="David" w:eastAsia="David" w:hAnsi="David"/>
            <w:b/>
            <w:bCs/>
            <w:color w:val="0000FF"/>
            <w:u w:val="single"/>
            <w:rtl/>
          </w:rPr>
          <w:t>ע"פ 1323/13</w:t>
        </w:r>
      </w:hyperlink>
      <w:r w:rsidRPr="000D3E34">
        <w:rPr>
          <w:rFonts w:ascii="David" w:eastAsia="David" w:hAnsi="David"/>
          <w:b/>
          <w:bCs/>
          <w:rtl/>
        </w:rPr>
        <w:t xml:space="preserve"> </w:t>
      </w:r>
      <w:r w:rsidRPr="000D3E34">
        <w:rPr>
          <w:rFonts w:ascii="David" w:eastAsia="David" w:hAnsi="David"/>
          <w:b/>
          <w:bCs/>
          <w:u w:val="single"/>
          <w:rtl/>
        </w:rPr>
        <w:t>חסן נ' מדינת ישראל</w:t>
      </w:r>
      <w:r w:rsidRPr="000D3E34">
        <w:rPr>
          <w:rFonts w:ascii="David" w:eastAsia="David" w:hAnsi="David"/>
          <w:rtl/>
        </w:rPr>
        <w:t xml:space="preserve"> (בימ"ש העליון) נקבע בין היתר, כי "</w:t>
      </w:r>
      <w:r w:rsidRPr="000D3E34">
        <w:rPr>
          <w:rFonts w:ascii="David" w:eastAsia="David" w:hAnsi="David"/>
          <w:b/>
          <w:bCs/>
          <w:rtl/>
        </w:rPr>
        <w:t>הסכנה הנשקפת לציבור כתוצאה מעבירות נשק, לצד הממדים שאליהם הגיעו, מחייבים לתת ביטוי הולם וכבד משקל להגנה על הערך החברתי שנפגע כתוצאה מפעילות עבריינית זאת, ולהחמיר את עונשי המאסר המוטלים בגין פעילות עבריינית זאת, בהדרגה" .ב</w:t>
      </w:r>
      <w:hyperlink r:id="rId44" w:history="1">
        <w:r w:rsidR="00BF2A9A" w:rsidRPr="00BF2A9A">
          <w:rPr>
            <w:rFonts w:ascii="David" w:eastAsia="David" w:hAnsi="David"/>
            <w:b/>
            <w:bCs/>
            <w:color w:val="0000FF"/>
            <w:spacing w:val="10"/>
            <w:u w:val="single"/>
            <w:rtl/>
          </w:rPr>
          <w:t>ע"פ 2918/13</w:t>
        </w:r>
      </w:hyperlink>
      <w:r w:rsidRPr="000D3E34">
        <w:rPr>
          <w:rFonts w:ascii="David" w:eastAsia="David" w:hAnsi="David"/>
          <w:b/>
          <w:bCs/>
          <w:spacing w:val="10"/>
          <w:rtl/>
        </w:rPr>
        <w:t xml:space="preserve"> </w:t>
      </w:r>
      <w:r w:rsidRPr="000D3E34">
        <w:rPr>
          <w:rFonts w:ascii="David" w:eastAsia="David" w:hAnsi="David"/>
          <w:b/>
          <w:bCs/>
          <w:spacing w:val="10"/>
          <w:u w:val="single"/>
          <w:rtl/>
        </w:rPr>
        <w:t>דבס נ' מדינת ישראל</w:t>
      </w:r>
      <w:r w:rsidRPr="000D3E34">
        <w:rPr>
          <w:rFonts w:ascii="David" w:eastAsia="David" w:hAnsi="David"/>
          <w:spacing w:val="10"/>
          <w:rtl/>
        </w:rPr>
        <w:t xml:space="preserve"> (בימ"ש העליון) נקבע</w:t>
      </w:r>
      <w:r w:rsidR="00BF2A9A">
        <w:rPr>
          <w:rFonts w:ascii="David" w:eastAsia="David" w:hAnsi="David"/>
          <w:spacing w:val="10"/>
          <w:rtl/>
        </w:rPr>
        <w:t xml:space="preserve"> </w:t>
      </w:r>
      <w:r w:rsidRPr="000D3E34">
        <w:rPr>
          <w:rFonts w:ascii="David" w:eastAsia="David" w:hAnsi="David"/>
          <w:spacing w:val="10"/>
          <w:rtl/>
        </w:rPr>
        <w:t xml:space="preserve"> כי "</w:t>
      </w:r>
      <w:r w:rsidRPr="000D3E34">
        <w:rPr>
          <w:rFonts w:ascii="David" w:eastAsia="David" w:hAnsi="David"/>
          <w:b/>
          <w:bCs/>
          <w:spacing w:val="10"/>
          <w:rtl/>
        </w:rPr>
        <w:t>המציאות בארץ המתבטאת בזמינותו של נשק חם ורב עוצמה שיש עימו פוטנציאל להסלמת האלימות העבריינית, מחייבת מתן ביטוי עונשי הולם שירתיע באופן ממשי מהחזקת נשק בכלל ומשימוש בו בפרט"</w:t>
      </w:r>
      <w:r w:rsidRPr="000D3E34">
        <w:rPr>
          <w:rFonts w:ascii="David" w:eastAsia="David" w:hAnsi="David"/>
          <w:b/>
          <w:bCs/>
          <w:rtl/>
        </w:rPr>
        <w:t xml:space="preserve">. </w:t>
      </w:r>
    </w:p>
    <w:p w14:paraId="326D0E28" w14:textId="77777777" w:rsidR="001879DD" w:rsidRPr="000D3E34" w:rsidRDefault="001879DD" w:rsidP="001879DD">
      <w:pPr>
        <w:shd w:val="clear" w:color="auto" w:fill="FFFFFF"/>
        <w:overflowPunct w:val="0"/>
        <w:autoSpaceDE w:val="0"/>
        <w:autoSpaceDN w:val="0"/>
        <w:spacing w:line="360" w:lineRule="auto"/>
        <w:ind w:left="720"/>
        <w:jc w:val="both"/>
        <w:rPr>
          <w:rFonts w:ascii="David" w:eastAsia="Calibri" w:hAnsi="David"/>
          <w:sz w:val="6"/>
          <w:szCs w:val="6"/>
          <w:rtl/>
        </w:rPr>
      </w:pPr>
    </w:p>
    <w:p w14:paraId="1CC4E1C9" w14:textId="77777777" w:rsidR="001879DD" w:rsidRPr="000D3E34" w:rsidRDefault="001879DD" w:rsidP="001879DD">
      <w:pPr>
        <w:numPr>
          <w:ilvl w:val="0"/>
          <w:numId w:val="1"/>
        </w:numPr>
        <w:spacing w:after="160" w:line="360" w:lineRule="auto"/>
        <w:contextualSpacing/>
        <w:jc w:val="both"/>
        <w:rPr>
          <w:rFonts w:ascii="David" w:hAnsi="David"/>
          <w:rtl/>
        </w:rPr>
      </w:pPr>
      <w:r w:rsidRPr="000D3E34">
        <w:rPr>
          <w:rFonts w:ascii="David" w:hAnsi="David"/>
          <w:rtl/>
        </w:rPr>
        <w:t>ב</w:t>
      </w:r>
      <w:hyperlink r:id="rId45" w:history="1">
        <w:r w:rsidR="00BF2A9A" w:rsidRPr="00BF2A9A">
          <w:rPr>
            <w:rFonts w:ascii="David" w:hAnsi="David"/>
            <w:b/>
            <w:bCs/>
            <w:color w:val="0000FF"/>
            <w:u w:val="single"/>
            <w:rtl/>
          </w:rPr>
          <w:t>ע"פ 6985/20</w:t>
        </w:r>
      </w:hyperlink>
      <w:r w:rsidRPr="000D3E34">
        <w:rPr>
          <w:rFonts w:ascii="David" w:hAnsi="David"/>
          <w:b/>
          <w:bCs/>
          <w:rtl/>
        </w:rPr>
        <w:t xml:space="preserve"> </w:t>
      </w:r>
      <w:r w:rsidRPr="000D3E34">
        <w:rPr>
          <w:rFonts w:ascii="David" w:hAnsi="David" w:hint="cs"/>
          <w:b/>
          <w:bCs/>
          <w:u w:val="single"/>
          <w:rtl/>
        </w:rPr>
        <w:t>מטר נ' מדינת ישראל</w:t>
      </w:r>
      <w:r w:rsidRPr="000D3E34">
        <w:rPr>
          <w:rFonts w:ascii="David" w:hAnsi="David"/>
          <w:rtl/>
        </w:rPr>
        <w:t>, הנאשם הורשע בעבירות של נשיאת והחזקת נשק ותחמושת, וירי מנשק חם, בכך ובזמן שישב במושב הקדמי של רכב כשבידו תת מקלע מאולתר, דרך את הנשק, פתח את החלון וירה מספר כדורים מבעד לחלון. נקבע מתחם ענישה הנע בין 20 ל- 50 חודשי מאסר בפועל. על הנאשם, נעדר עבר פלילי הוטלו 30 חודשי מאסר בפועל</w:t>
      </w:r>
      <w:r>
        <w:rPr>
          <w:rFonts w:ascii="David" w:hAnsi="David" w:hint="cs"/>
          <w:rtl/>
        </w:rPr>
        <w:t xml:space="preserve"> ב</w:t>
      </w:r>
      <w:r w:rsidRPr="000D3E34">
        <w:rPr>
          <w:rFonts w:ascii="David" w:hAnsi="David"/>
          <w:rtl/>
        </w:rPr>
        <w:t>צד מאסרים מותנים.  במסגרת הערעור הופחת עונשו ל- 22 חודשי מאסר, בהתחשב בגילו הצעיר ובעברו הנקי של הנאשם.</w:t>
      </w:r>
      <w:r>
        <w:rPr>
          <w:rFonts w:ascii="David" w:hAnsi="David"/>
          <w:rtl/>
        </w:rPr>
        <w:t xml:space="preserve"> </w:t>
      </w:r>
      <w:r w:rsidRPr="000D3E34">
        <w:rPr>
          <w:rFonts w:ascii="David" w:hAnsi="David"/>
          <w:rtl/>
        </w:rPr>
        <w:t xml:space="preserve"> </w:t>
      </w:r>
      <w:r w:rsidR="00BF2A9A">
        <w:rPr>
          <w:rFonts w:ascii="David" w:hAnsi="David"/>
          <w:rtl/>
        </w:rPr>
        <w:t xml:space="preserve"> </w:t>
      </w:r>
      <w:r w:rsidRPr="000D3E34">
        <w:rPr>
          <w:rFonts w:ascii="David" w:hAnsi="David"/>
          <w:rtl/>
        </w:rPr>
        <w:t>ב</w:t>
      </w:r>
      <w:hyperlink r:id="rId46" w:history="1">
        <w:r w:rsidR="00BF2A9A" w:rsidRPr="00BF2A9A">
          <w:rPr>
            <w:rFonts w:ascii="David" w:hAnsi="David"/>
            <w:b/>
            <w:bCs/>
            <w:color w:val="0000FF"/>
            <w:u w:val="single"/>
            <w:rtl/>
          </w:rPr>
          <w:t>ע"פ 5602/22</w:t>
        </w:r>
      </w:hyperlink>
      <w:r w:rsidRPr="000D3E34">
        <w:rPr>
          <w:rFonts w:ascii="David" w:hAnsi="David"/>
          <w:b/>
          <w:bCs/>
          <w:rtl/>
        </w:rPr>
        <w:t xml:space="preserve"> </w:t>
      </w:r>
      <w:r w:rsidRPr="000D3E34">
        <w:rPr>
          <w:rFonts w:ascii="David" w:hAnsi="David"/>
          <w:b/>
          <w:bCs/>
          <w:u w:val="single"/>
          <w:rtl/>
        </w:rPr>
        <w:t>מדינת ישראל נ' פלוני</w:t>
      </w:r>
      <w:r w:rsidRPr="000D3E34">
        <w:rPr>
          <w:rFonts w:ascii="David" w:hAnsi="David"/>
          <w:rtl/>
        </w:rPr>
        <w:t xml:space="preserve"> (14.09.22), נאשם שוהה בלתי חוקי נשא אקדח בשטחי ישראל ונמלט משוטר. הנאשם צעיר ללא עבר פלילי, הורשע בעבירות נשיאת נשק ,בעבירת הפרעה לשוטר במילוי תפקידו, ובעבירת כניסה ושהייה בישראל. עונשו של הנאשם הוחמר מ-18 ל-28 חודשי מאסר בפועל, תוך שנקבע כי "</w:t>
      </w:r>
      <w:r w:rsidRPr="00E11A11">
        <w:rPr>
          <w:rFonts w:ascii="David" w:hAnsi="David"/>
          <w:rtl/>
        </w:rPr>
        <w:t>מתחם הענישה הרגיל שראוי לקבוע לנאשם בגיר בגין נשיאה בלתי חוקית של נשק חם במרחב הציבורי נע בין 30 ל-42 חודשי מאסר בין סורג ובריח".</w:t>
      </w:r>
      <w:r w:rsidRPr="000D3E34">
        <w:rPr>
          <w:rFonts w:ascii="David" w:hAnsi="David"/>
          <w:rtl/>
        </w:rPr>
        <w:t xml:space="preserve"> ב</w:t>
      </w:r>
      <w:hyperlink r:id="rId47" w:history="1">
        <w:r w:rsidR="00BF2A9A" w:rsidRPr="00BF2A9A">
          <w:rPr>
            <w:rFonts w:ascii="David" w:hAnsi="David"/>
            <w:b/>
            <w:bCs/>
            <w:color w:val="0000FF"/>
            <w:u w:val="single"/>
            <w:rtl/>
          </w:rPr>
          <w:t>ע"פ 309/22</w:t>
        </w:r>
      </w:hyperlink>
      <w:r w:rsidRPr="000D3E34">
        <w:rPr>
          <w:rFonts w:ascii="David" w:hAnsi="David"/>
          <w:b/>
          <w:bCs/>
          <w:rtl/>
        </w:rPr>
        <w:t xml:space="preserve"> </w:t>
      </w:r>
      <w:r w:rsidRPr="000D3E34">
        <w:rPr>
          <w:rFonts w:ascii="David" w:hAnsi="David"/>
          <w:b/>
          <w:bCs/>
          <w:u w:val="single"/>
          <w:rtl/>
        </w:rPr>
        <w:t>מדינת ישראל נ' בידאסה</w:t>
      </w:r>
      <w:r w:rsidRPr="000D3E34">
        <w:rPr>
          <w:rFonts w:ascii="David" w:hAnsi="David"/>
          <w:rtl/>
        </w:rPr>
        <w:t xml:space="preserve"> (10.05.22) הנאשם הורשע בעבירות של החזקת, נשיאת והובלת נשק ביחד עם אחר, כאשר הנאשם והאחר החזיקו, נשאו והובילו את הנשקים ברכב. הנאשם נעדר עבר פלילי. בית המשפט העליון קיבל את ערעור המדינה והחמיר את עונשו של הנאשם מ-19 ל- 30 חודשים מאסר בפועל. </w:t>
      </w:r>
      <w:r w:rsidR="00BF2A9A">
        <w:rPr>
          <w:rFonts w:ascii="David" w:hAnsi="David"/>
          <w:rtl/>
        </w:rPr>
        <w:t xml:space="preserve"> </w:t>
      </w:r>
      <w:r w:rsidRPr="000D3E34">
        <w:rPr>
          <w:rFonts w:ascii="David" w:hAnsi="David"/>
          <w:rtl/>
        </w:rPr>
        <w:t>ב</w:t>
      </w:r>
      <w:hyperlink r:id="rId48" w:history="1">
        <w:r w:rsidR="00BF2A9A" w:rsidRPr="00BF2A9A">
          <w:rPr>
            <w:rFonts w:ascii="David" w:hAnsi="David"/>
            <w:b/>
            <w:bCs/>
            <w:color w:val="0000FF"/>
            <w:u w:val="single"/>
            <w:rtl/>
          </w:rPr>
          <w:t>ע"פ 6021/21</w:t>
        </w:r>
      </w:hyperlink>
      <w:r w:rsidRPr="000D3E34">
        <w:rPr>
          <w:rFonts w:ascii="David" w:hAnsi="David"/>
          <w:b/>
          <w:bCs/>
          <w:rtl/>
        </w:rPr>
        <w:t xml:space="preserve"> </w:t>
      </w:r>
      <w:r w:rsidRPr="000D3E34">
        <w:rPr>
          <w:rFonts w:ascii="David" w:hAnsi="David"/>
          <w:b/>
          <w:bCs/>
          <w:u w:val="single"/>
          <w:rtl/>
        </w:rPr>
        <w:t>עלי עבוד נ' מדינת ישראל</w:t>
      </w:r>
      <w:r w:rsidRPr="000D3E34">
        <w:rPr>
          <w:rFonts w:ascii="David" w:hAnsi="David"/>
          <w:rtl/>
        </w:rPr>
        <w:t xml:space="preserve"> (19.12.2021) נדחה ערעורו של נאשם, ללא עבר, שהורשע בנשיאת נשק מסוג 16-</w:t>
      </w:r>
      <w:r w:rsidRPr="000D3E34">
        <w:rPr>
          <w:rFonts w:ascii="David" w:hAnsi="David"/>
        </w:rPr>
        <w:t>M</w:t>
      </w:r>
      <w:r w:rsidRPr="000D3E34">
        <w:rPr>
          <w:rFonts w:ascii="David" w:hAnsi="David"/>
          <w:rtl/>
        </w:rPr>
        <w:t xml:space="preserve"> והפרעה לשוטר ונדון למאסר בן 30 חודשים. ב</w:t>
      </w:r>
      <w:hyperlink r:id="rId49" w:history="1">
        <w:r w:rsidR="00BF2A9A" w:rsidRPr="00BF2A9A">
          <w:rPr>
            <w:rFonts w:ascii="David" w:hAnsi="David"/>
            <w:b/>
            <w:bCs/>
            <w:color w:val="0000FF"/>
            <w:u w:val="single"/>
            <w:rtl/>
          </w:rPr>
          <w:t>ע"פ 2033/21</w:t>
        </w:r>
      </w:hyperlink>
      <w:r w:rsidRPr="000D3E34">
        <w:rPr>
          <w:rFonts w:ascii="David" w:hAnsi="David"/>
          <w:b/>
          <w:bCs/>
          <w:rtl/>
        </w:rPr>
        <w:t xml:space="preserve"> </w:t>
      </w:r>
      <w:r w:rsidRPr="000D3E34">
        <w:rPr>
          <w:rFonts w:ascii="David" w:hAnsi="David"/>
          <w:b/>
          <w:bCs/>
          <w:u w:val="single"/>
          <w:rtl/>
        </w:rPr>
        <w:t>זועבי נ' מדינת ישראל</w:t>
      </w:r>
      <w:r w:rsidRPr="000D3E34">
        <w:rPr>
          <w:rFonts w:ascii="David" w:hAnsi="David"/>
          <w:b/>
          <w:bCs/>
          <w:rtl/>
        </w:rPr>
        <w:t xml:space="preserve"> </w:t>
      </w:r>
      <w:r w:rsidRPr="000D3E34">
        <w:rPr>
          <w:rFonts w:ascii="David" w:hAnsi="David"/>
          <w:rtl/>
        </w:rPr>
        <w:t>(30.8.2021) נאשם בן 51, ללא עבר, חולה טרשת נפוצה נדון בגין נשיאת שני אקדחים על רקע סכסוך פעיל, למאסר בן 24 חודשים. ערעורו של הנאשם נדחה חרף מצבו הרפואי וסולחה שנערכה בין המשפחות. ב</w:t>
      </w:r>
      <w:hyperlink r:id="rId50" w:history="1">
        <w:r w:rsidR="00BF2A9A" w:rsidRPr="00BF2A9A">
          <w:rPr>
            <w:rFonts w:ascii="David" w:hAnsi="David"/>
            <w:b/>
            <w:bCs/>
            <w:color w:val="0000FF"/>
            <w:u w:val="single"/>
            <w:rtl/>
          </w:rPr>
          <w:t>ע"פ 1658/22</w:t>
        </w:r>
      </w:hyperlink>
      <w:r w:rsidRPr="000D3E34">
        <w:rPr>
          <w:rFonts w:ascii="David" w:hAnsi="David"/>
          <w:b/>
          <w:bCs/>
          <w:u w:val="single"/>
          <w:rtl/>
        </w:rPr>
        <w:t xml:space="preserve"> איהאב נח'אש נ' מדינת ישראל</w:t>
      </w:r>
      <w:r w:rsidRPr="000D3E34">
        <w:rPr>
          <w:rFonts w:ascii="David" w:hAnsi="David"/>
          <w:rtl/>
        </w:rPr>
        <w:t xml:space="preserve"> (19.6.2022) נאשם ללא עבר פלילי שהורשע בעבירת נשיאה והובלה של תת מקלע "עוזי" ומחסנית,  לטענתו לשם הגנה עצמית ועבר הליך טיפולי, נדון למאסר בן 26 חודשים. ערעור על חומרת העונש נדחה.</w:t>
      </w:r>
      <w:r w:rsidRPr="000D3E34">
        <w:rPr>
          <w:rFonts w:ascii="David" w:hAnsi="David"/>
          <w:b/>
          <w:bCs/>
          <w:rtl/>
        </w:rPr>
        <w:t xml:space="preserve"> </w:t>
      </w:r>
      <w:r w:rsidRPr="000D3E34">
        <w:rPr>
          <w:rFonts w:ascii="David" w:hAnsi="David"/>
          <w:rtl/>
        </w:rPr>
        <w:t xml:space="preserve"> </w:t>
      </w:r>
      <w:r w:rsidRPr="000D3E34">
        <w:rPr>
          <w:rFonts w:ascii="David" w:hAnsi="David"/>
          <w:b/>
          <w:bCs/>
          <w:rtl/>
        </w:rPr>
        <w:t>ב</w:t>
      </w:r>
      <w:hyperlink r:id="rId51" w:history="1">
        <w:r w:rsidR="00BF2A9A" w:rsidRPr="00BF2A9A">
          <w:rPr>
            <w:rFonts w:ascii="David" w:hAnsi="David"/>
            <w:b/>
            <w:bCs/>
            <w:color w:val="0000FF"/>
            <w:u w:val="single"/>
            <w:rtl/>
          </w:rPr>
          <w:t>ע"פ 4303/22</w:t>
        </w:r>
      </w:hyperlink>
      <w:r w:rsidRPr="000D3E34">
        <w:rPr>
          <w:rFonts w:ascii="David" w:hAnsi="David"/>
          <w:b/>
          <w:bCs/>
          <w:rtl/>
        </w:rPr>
        <w:t xml:space="preserve"> </w:t>
      </w:r>
      <w:r w:rsidRPr="000D3E34">
        <w:rPr>
          <w:rFonts w:ascii="David" w:hAnsi="David"/>
          <w:b/>
          <w:bCs/>
          <w:u w:val="single"/>
          <w:rtl/>
        </w:rPr>
        <w:t>אמיר אבו גאנם נ' מ. ישראל</w:t>
      </w:r>
      <w:r w:rsidRPr="000D3E34">
        <w:rPr>
          <w:rFonts w:ascii="David" w:hAnsi="David"/>
          <w:rtl/>
        </w:rPr>
        <w:t xml:space="preserve"> על הנאשם בעל עבר פלילי בעבירות נשק שהורשע בעבירה של נשיאת והובלת אקדח ומחסנית ריקה ברכבו נגזרו 31 חודשי מאסר בפועל ומאסר מותנה. ערעור נדחה.</w:t>
      </w:r>
      <w:r w:rsidRPr="000D3E34">
        <w:rPr>
          <w:rtl/>
        </w:rPr>
        <w:t xml:space="preserve"> </w:t>
      </w:r>
      <w:r w:rsidRPr="000D3E34">
        <w:rPr>
          <w:rFonts w:ascii="David" w:hAnsi="David"/>
          <w:rtl/>
        </w:rPr>
        <w:t>ב</w:t>
      </w:r>
      <w:hyperlink r:id="rId52" w:history="1">
        <w:r w:rsidR="00BF2A9A" w:rsidRPr="00BF2A9A">
          <w:rPr>
            <w:rFonts w:ascii="David" w:hAnsi="David"/>
            <w:b/>
            <w:bCs/>
            <w:color w:val="0000FF"/>
            <w:u w:val="single"/>
            <w:rtl/>
          </w:rPr>
          <w:t>ע"פ 5900/15</w:t>
        </w:r>
      </w:hyperlink>
      <w:r w:rsidRPr="000D3E34">
        <w:rPr>
          <w:rFonts w:ascii="David" w:hAnsi="David"/>
          <w:b/>
          <w:bCs/>
          <w:rtl/>
        </w:rPr>
        <w:t xml:space="preserve"> </w:t>
      </w:r>
      <w:r w:rsidRPr="000D3E34">
        <w:rPr>
          <w:rFonts w:ascii="David" w:hAnsi="David" w:hint="cs"/>
          <w:b/>
          <w:bCs/>
          <w:u w:val="single"/>
          <w:rtl/>
        </w:rPr>
        <w:t>מעוז נ' מדינת ישראל</w:t>
      </w:r>
      <w:r w:rsidRPr="000D3E34">
        <w:rPr>
          <w:rFonts w:ascii="David" w:hAnsi="David"/>
          <w:rtl/>
        </w:rPr>
        <w:t>, הנאשם הורשע בעבירות של החזקת נשק, נשיאת נשק וסיוע להחזקת נשק, לאחר שיחד עם אחרים הטמין רובה ומחסנית המכילה כדורים, על מנת שאחרים ישתמשו בהם. בנוסף</w:t>
      </w:r>
      <w:r w:rsidR="00BF2A9A">
        <w:rPr>
          <w:rFonts w:ascii="David" w:hAnsi="David"/>
          <w:rtl/>
        </w:rPr>
        <w:t xml:space="preserve"> </w:t>
      </w:r>
      <w:r w:rsidRPr="000D3E34">
        <w:rPr>
          <w:rFonts w:ascii="David" w:hAnsi="David"/>
          <w:rtl/>
        </w:rPr>
        <w:t xml:space="preserve"> לכך, יחד עם אחרים נשא הנאשם אקדח ומחסנית, אשר הוטמן על ידו בחורשה. נקבע מתחם עונש הולם הנע בין 20 ל- 48 חודשי מאסר. על הנאשם בעל עבר פלילי מכביד, הוטלו 34 חודשי מאסר בפועל. ערעור על חומרת העונש נדחה.  </w:t>
      </w:r>
      <w:r>
        <w:rPr>
          <w:rFonts w:ascii="David" w:hAnsi="David" w:hint="cs"/>
          <w:rtl/>
        </w:rPr>
        <w:t>ב</w:t>
      </w:r>
      <w:hyperlink r:id="rId53" w:history="1">
        <w:r w:rsidR="00BF2A9A" w:rsidRPr="00BF2A9A">
          <w:rPr>
            <w:rFonts w:ascii="David" w:eastAsia="Calibri" w:hAnsi="David"/>
            <w:b/>
            <w:bCs/>
            <w:color w:val="0000FF"/>
            <w:u w:val="single"/>
            <w:rtl/>
          </w:rPr>
          <w:t>ע"פ 4077/22</w:t>
        </w:r>
      </w:hyperlink>
      <w:r w:rsidRPr="000D3E34">
        <w:rPr>
          <w:rFonts w:ascii="David" w:eastAsia="Calibri" w:hAnsi="David"/>
          <w:b/>
          <w:bCs/>
          <w:rtl/>
        </w:rPr>
        <w:t xml:space="preserve"> </w:t>
      </w:r>
      <w:r w:rsidRPr="000D3E34">
        <w:rPr>
          <w:rFonts w:ascii="David" w:eastAsia="Calibri" w:hAnsi="David"/>
          <w:b/>
          <w:bCs/>
          <w:u w:val="single"/>
          <w:rtl/>
        </w:rPr>
        <w:t>מדינת ישראל נ' פלוני</w:t>
      </w:r>
      <w:r w:rsidRPr="000D3E34">
        <w:rPr>
          <w:rFonts w:ascii="David" w:eastAsia="Calibri" w:hAnsi="David"/>
          <w:rtl/>
        </w:rPr>
        <w:t>, הנאשם הורשע בעבירה אחת של סיוע לסחר בנשק, יחד עם עבירה של החזקה, נשיאה והובלת</w:t>
      </w:r>
      <w:r>
        <w:rPr>
          <w:rFonts w:ascii="David" w:eastAsia="Calibri" w:hAnsi="David"/>
          <w:rtl/>
        </w:rPr>
        <w:t xml:space="preserve"> הנשק, בכך שהיה מעורב בעסקת נשק</w:t>
      </w:r>
      <w:r w:rsidRPr="000D3E34">
        <w:rPr>
          <w:rFonts w:ascii="David" w:eastAsia="Calibri" w:hAnsi="David"/>
          <w:rtl/>
        </w:rPr>
        <w:t xml:space="preserve"> </w:t>
      </w:r>
      <w:r>
        <w:rPr>
          <w:rFonts w:ascii="David" w:eastAsia="Calibri" w:hAnsi="David" w:hint="cs"/>
          <w:rtl/>
        </w:rPr>
        <w:t>(</w:t>
      </w:r>
      <w:r w:rsidRPr="000D3E34">
        <w:rPr>
          <w:rFonts w:ascii="David" w:eastAsia="Calibri" w:hAnsi="David"/>
          <w:rtl/>
        </w:rPr>
        <w:t xml:space="preserve">לאחר הבאת הנשק </w:t>
      </w:r>
      <w:r>
        <w:rPr>
          <w:rFonts w:ascii="David" w:eastAsia="Calibri" w:hAnsi="David" w:hint="cs"/>
          <w:rtl/>
        </w:rPr>
        <w:t xml:space="preserve">על ידי אחר, הנשם </w:t>
      </w:r>
      <w:r w:rsidRPr="000D3E34">
        <w:rPr>
          <w:rFonts w:ascii="David" w:eastAsia="Calibri" w:hAnsi="David"/>
          <w:rtl/>
        </w:rPr>
        <w:t>ירד מהרכב עם הנשק והכניסו לחדר בו בוצעה העסקה</w:t>
      </w:r>
      <w:r>
        <w:rPr>
          <w:rFonts w:ascii="David" w:eastAsia="Calibri" w:hAnsi="David" w:hint="cs"/>
          <w:rtl/>
        </w:rPr>
        <w:t>)</w:t>
      </w:r>
      <w:r w:rsidRPr="000D3E34">
        <w:rPr>
          <w:rFonts w:ascii="David" w:eastAsia="Calibri" w:hAnsi="David"/>
          <w:rtl/>
        </w:rPr>
        <w:t xml:space="preserve">. נקבע מתחם עונש בין 19 ועד  36 חודשי מאסר. על הנאשם נגזרו 19 חודשי מאסר. ערעור על קולת העונש התקבל באופן שעונשו הוחמר ל 25 חודשי מאסר. </w:t>
      </w:r>
      <w:hyperlink r:id="rId54" w:history="1">
        <w:r w:rsidR="00BF2A9A" w:rsidRPr="00BF2A9A">
          <w:rPr>
            <w:rFonts w:ascii="David" w:eastAsia="Calibri" w:hAnsi="David"/>
            <w:b/>
            <w:bCs/>
            <w:color w:val="0000FF"/>
            <w:u w:val="single"/>
            <w:rtl/>
          </w:rPr>
          <w:t>ע"פ 1682/22</w:t>
        </w:r>
      </w:hyperlink>
      <w:r w:rsidRPr="000D3E34">
        <w:rPr>
          <w:rFonts w:ascii="David" w:eastAsia="Calibri" w:hAnsi="David"/>
          <w:b/>
          <w:bCs/>
          <w:rtl/>
        </w:rPr>
        <w:t xml:space="preserve"> </w:t>
      </w:r>
      <w:r w:rsidRPr="000D3E34">
        <w:rPr>
          <w:rFonts w:ascii="David" w:eastAsia="Calibri" w:hAnsi="David"/>
          <w:b/>
          <w:bCs/>
          <w:u w:val="single"/>
          <w:rtl/>
        </w:rPr>
        <w:t>יאיר סבג נ' מדינת ישראל</w:t>
      </w:r>
      <w:r w:rsidRPr="000D3E34">
        <w:rPr>
          <w:rFonts w:ascii="David" w:eastAsia="Calibri" w:hAnsi="David"/>
          <w:rtl/>
        </w:rPr>
        <w:t xml:space="preserve">, הנאשם הורשע בעבירות ירי מנשק חם באזור מגורים, נשיאה והובלת נשק והחזקת סכין . על הנאשם הוטלו 45 חודשי מאסר בפועל בצד ענישה נלווית . ערעור על חומרת העונש נדחה. </w:t>
      </w:r>
      <w:r w:rsidRPr="000D3E34">
        <w:rPr>
          <w:rFonts w:ascii="David" w:eastAsia="David" w:hAnsi="David"/>
          <w:rtl/>
        </w:rPr>
        <w:t>ב</w:t>
      </w:r>
      <w:hyperlink r:id="rId55" w:history="1">
        <w:r w:rsidR="00BF2A9A" w:rsidRPr="00BF2A9A">
          <w:rPr>
            <w:rFonts w:ascii="David" w:eastAsia="David" w:hAnsi="David"/>
            <w:b/>
            <w:bCs/>
            <w:color w:val="0000FF"/>
            <w:u w:val="single"/>
            <w:rtl/>
          </w:rPr>
          <w:t>ע"פ 6021/21</w:t>
        </w:r>
      </w:hyperlink>
      <w:r w:rsidRPr="000D3E34">
        <w:rPr>
          <w:rFonts w:ascii="David" w:eastAsia="David" w:hAnsi="David"/>
          <w:b/>
          <w:bCs/>
          <w:rtl/>
        </w:rPr>
        <w:t xml:space="preserve"> </w:t>
      </w:r>
      <w:r w:rsidRPr="000D3E34">
        <w:rPr>
          <w:rFonts w:ascii="David" w:eastAsia="David" w:hAnsi="David" w:hint="cs"/>
          <w:b/>
          <w:bCs/>
          <w:u w:val="single"/>
          <w:rtl/>
        </w:rPr>
        <w:t>עלי עבוד נ' מדינת ישראל</w:t>
      </w:r>
      <w:r w:rsidRPr="000D3E34">
        <w:rPr>
          <w:rFonts w:ascii="David" w:eastAsia="David" w:hAnsi="David"/>
          <w:rtl/>
        </w:rPr>
        <w:t xml:space="preserve"> (19.12.2021) נדחה ערעורו של נאשם, ללא עבר, שהורשע בנשיאת נשק מסוג 16-</w:t>
      </w:r>
      <w:r w:rsidRPr="000D3E34">
        <w:rPr>
          <w:rFonts w:ascii="David" w:eastAsia="David" w:hAnsi="David"/>
        </w:rPr>
        <w:t>M</w:t>
      </w:r>
      <w:r w:rsidRPr="000D3E34">
        <w:rPr>
          <w:rFonts w:ascii="David" w:eastAsia="David" w:hAnsi="David"/>
          <w:rtl/>
        </w:rPr>
        <w:t xml:space="preserve"> </w:t>
      </w:r>
      <w:r w:rsidRPr="000D3E34">
        <w:rPr>
          <w:rFonts w:ascii="David" w:eastAsia="David" w:hAnsi="David" w:hint="cs"/>
          <w:rtl/>
        </w:rPr>
        <w:t xml:space="preserve">והפרעה לשוטר ונדון למאסר בן 30 חודשים. </w:t>
      </w:r>
      <w:r w:rsidRPr="00801AFF">
        <w:rPr>
          <w:rFonts w:ascii="David" w:eastAsia="David" w:hAnsi="David" w:hint="cs"/>
          <w:rtl/>
        </w:rPr>
        <w:t>ב</w:t>
      </w:r>
      <w:hyperlink r:id="rId56" w:history="1">
        <w:r w:rsidR="00BF2A9A" w:rsidRPr="00BF2A9A">
          <w:rPr>
            <w:rFonts w:ascii="David" w:eastAsia="David" w:hAnsi="David"/>
            <w:b/>
            <w:bCs/>
            <w:color w:val="0000FF"/>
            <w:u w:val="single"/>
            <w:rtl/>
          </w:rPr>
          <w:t>ע"פ 6068/21</w:t>
        </w:r>
      </w:hyperlink>
      <w:r w:rsidRPr="000D3E34">
        <w:rPr>
          <w:rFonts w:ascii="David" w:eastAsia="David" w:hAnsi="David"/>
          <w:b/>
          <w:bCs/>
          <w:rtl/>
        </w:rPr>
        <w:t xml:space="preserve"> </w:t>
      </w:r>
      <w:r w:rsidRPr="000D3E34">
        <w:rPr>
          <w:rFonts w:ascii="David" w:eastAsia="David" w:hAnsi="David"/>
          <w:b/>
          <w:bCs/>
          <w:u w:val="single"/>
          <w:rtl/>
        </w:rPr>
        <w:t>מדינת ישראל נ' אברהים פקיה</w:t>
      </w:r>
      <w:r w:rsidRPr="000D3E34">
        <w:rPr>
          <w:rFonts w:ascii="David" w:eastAsia="David" w:hAnsi="David"/>
          <w:b/>
          <w:bCs/>
          <w:rtl/>
        </w:rPr>
        <w:t xml:space="preserve">, </w:t>
      </w:r>
      <w:r w:rsidRPr="000D3E34">
        <w:rPr>
          <w:rFonts w:ascii="David" w:eastAsia="David" w:hAnsi="David"/>
          <w:rtl/>
        </w:rPr>
        <w:t xml:space="preserve">הנאשם הורשע בעבירות של נשיאת נשק וירי מנשק חם באיזור מגורים. נקבע מתחם עונש הולם אשר נע בין 14 ועד 36 חודשי מאסר בפועל. על הנאשם בעל עבר פלילי שריצה ארבעה עונשי מאסר הוטלו  14 חודשי מאסר, וזאת בהתחשב בנסיבותיו האישיות והמלצות שירות המבחן החיוביות. ערעור על קולת העונש התקבל באופן שעונשו של הנאשם הועמד על 25 חודשי מאסר בפועל. </w:t>
      </w:r>
    </w:p>
    <w:p w14:paraId="481699E9" w14:textId="77777777" w:rsidR="001879DD" w:rsidRPr="00732A13" w:rsidRDefault="001879DD" w:rsidP="001879DD">
      <w:pPr>
        <w:spacing w:line="360" w:lineRule="auto"/>
        <w:ind w:left="720"/>
        <w:contextualSpacing/>
        <w:jc w:val="both"/>
        <w:rPr>
          <w:rFonts w:ascii="David" w:hAnsi="David"/>
          <w:sz w:val="4"/>
          <w:szCs w:val="4"/>
        </w:rPr>
      </w:pPr>
    </w:p>
    <w:p w14:paraId="261B5AD6" w14:textId="77777777" w:rsidR="001879DD" w:rsidRPr="000D3E34" w:rsidRDefault="001879DD" w:rsidP="001879DD">
      <w:pPr>
        <w:shd w:val="clear" w:color="auto" w:fill="FFFFFF"/>
        <w:overflowPunct w:val="0"/>
        <w:autoSpaceDE w:val="0"/>
        <w:autoSpaceDN w:val="0"/>
        <w:spacing w:line="360" w:lineRule="auto"/>
        <w:ind w:left="720"/>
        <w:jc w:val="both"/>
        <w:rPr>
          <w:rFonts w:ascii="David" w:eastAsia="Calibri" w:hAnsi="David"/>
          <w:sz w:val="14"/>
          <w:szCs w:val="14"/>
        </w:rPr>
      </w:pPr>
    </w:p>
    <w:p w14:paraId="02787965" w14:textId="77777777" w:rsidR="001879DD" w:rsidRPr="000D3E34" w:rsidRDefault="001879DD" w:rsidP="001879DD">
      <w:pPr>
        <w:numPr>
          <w:ilvl w:val="0"/>
          <w:numId w:val="1"/>
        </w:numPr>
        <w:shd w:val="clear" w:color="auto" w:fill="FFFFFF"/>
        <w:overflowPunct w:val="0"/>
        <w:autoSpaceDE w:val="0"/>
        <w:autoSpaceDN w:val="0"/>
        <w:spacing w:after="160" w:line="360" w:lineRule="auto"/>
        <w:jc w:val="both"/>
        <w:rPr>
          <w:rFonts w:ascii="David" w:eastAsia="Calibri" w:hAnsi="David"/>
          <w:rtl/>
        </w:rPr>
      </w:pPr>
      <w:r w:rsidRPr="000D3E34">
        <w:rPr>
          <w:rFonts w:ascii="David" w:eastAsia="David" w:hAnsi="David"/>
          <w:rtl/>
        </w:rPr>
        <w:t xml:space="preserve">המאשימה הפנתה למספר פסקי דין כאשר מתחמי הענישה נעים בין 19 ועד 60 חודשי מאסר בפועל והעונשים שהוטלו נעים בין 30 ועד 50 חודשי מאסר בפועל. </w:t>
      </w:r>
    </w:p>
    <w:p w14:paraId="62D5CD43" w14:textId="77777777" w:rsidR="001879DD" w:rsidRPr="000D3E34" w:rsidRDefault="001879DD" w:rsidP="001879DD">
      <w:pPr>
        <w:numPr>
          <w:ilvl w:val="0"/>
          <w:numId w:val="1"/>
        </w:numPr>
        <w:shd w:val="clear" w:color="auto" w:fill="FFFFFF"/>
        <w:overflowPunct w:val="0"/>
        <w:autoSpaceDE w:val="0"/>
        <w:autoSpaceDN w:val="0"/>
        <w:spacing w:after="160" w:line="360" w:lineRule="auto"/>
        <w:contextualSpacing/>
        <w:jc w:val="both"/>
        <w:rPr>
          <w:rFonts w:ascii="David" w:hAnsi="David"/>
          <w:sz w:val="14"/>
          <w:szCs w:val="14"/>
          <w:rtl/>
        </w:rPr>
      </w:pPr>
      <w:r w:rsidRPr="000D3E34">
        <w:rPr>
          <w:rFonts w:ascii="David" w:eastAsia="David" w:hAnsi="David"/>
          <w:rtl/>
        </w:rPr>
        <w:t xml:space="preserve">ב"כ הנאשם הפנה למספר פסקי דין כאשר מתחמי הענישה נעים בין 9 ועד 36 חודשי מאסר בפועל והעונשים שהוטלו נעים בין 12 ועד 18 חודשי מאסר בפועל.  </w:t>
      </w:r>
    </w:p>
    <w:p w14:paraId="3F307EAD" w14:textId="77777777" w:rsidR="001879DD" w:rsidRDefault="001879DD" w:rsidP="001879DD">
      <w:pPr>
        <w:spacing w:line="360" w:lineRule="auto"/>
        <w:ind w:left="360"/>
        <w:contextualSpacing/>
        <w:jc w:val="both"/>
        <w:rPr>
          <w:rFonts w:ascii="David" w:eastAsia="David" w:hAnsi="David"/>
          <w:b/>
          <w:bCs/>
          <w:u w:val="single"/>
          <w:rtl/>
        </w:rPr>
      </w:pPr>
    </w:p>
    <w:p w14:paraId="42787C94" w14:textId="77777777" w:rsidR="001879DD" w:rsidRPr="000D3E34" w:rsidRDefault="001879DD" w:rsidP="001879DD">
      <w:pPr>
        <w:spacing w:line="360" w:lineRule="auto"/>
        <w:ind w:left="360"/>
        <w:contextualSpacing/>
        <w:jc w:val="both"/>
        <w:rPr>
          <w:rFonts w:ascii="David" w:eastAsia="David" w:hAnsi="David"/>
          <w:b/>
          <w:bCs/>
          <w:u w:val="single"/>
          <w:rtl/>
        </w:rPr>
      </w:pPr>
      <w:r w:rsidRPr="000D3E34">
        <w:rPr>
          <w:rFonts w:ascii="David" w:eastAsia="David" w:hAnsi="David"/>
          <w:b/>
          <w:bCs/>
          <w:u w:val="single"/>
          <w:rtl/>
        </w:rPr>
        <w:t>לסיכום מתחם העונש ההולם</w:t>
      </w:r>
    </w:p>
    <w:p w14:paraId="2350096B" w14:textId="77777777" w:rsidR="001879DD" w:rsidRPr="000D3E34" w:rsidRDefault="001879DD" w:rsidP="001879DD">
      <w:pPr>
        <w:spacing w:line="360" w:lineRule="auto"/>
        <w:ind w:left="360"/>
        <w:contextualSpacing/>
        <w:jc w:val="both"/>
        <w:rPr>
          <w:rFonts w:ascii="David" w:eastAsia="David" w:hAnsi="David"/>
          <w:b/>
          <w:bCs/>
          <w:sz w:val="14"/>
          <w:szCs w:val="14"/>
          <w:u w:val="single"/>
          <w:rtl/>
        </w:rPr>
      </w:pPr>
    </w:p>
    <w:p w14:paraId="50860491" w14:textId="77777777" w:rsidR="001879DD" w:rsidRPr="000D3E34" w:rsidRDefault="001879DD" w:rsidP="001879DD">
      <w:pPr>
        <w:numPr>
          <w:ilvl w:val="0"/>
          <w:numId w:val="1"/>
        </w:numPr>
        <w:spacing w:after="160" w:line="360" w:lineRule="auto"/>
        <w:contextualSpacing/>
        <w:jc w:val="both"/>
        <w:rPr>
          <w:rFonts w:ascii="David" w:hAnsi="David"/>
          <w:rtl/>
        </w:rPr>
      </w:pPr>
      <w:r w:rsidRPr="000D3E34">
        <w:rPr>
          <w:rFonts w:ascii="David" w:hAnsi="David"/>
          <w:rtl/>
        </w:rPr>
        <w:t xml:space="preserve">העונש המרבי הקבוע בחוק ביחס לעבירה של נשיאה והובלת נשק הינו 10 שנות מאסר ולא פחות מ- 2.5 שנים </w:t>
      </w:r>
      <w:r w:rsidRPr="000D3E34">
        <w:rPr>
          <w:rFonts w:ascii="David" w:eastAsia="David" w:hAnsi="David"/>
          <w:rtl/>
        </w:rPr>
        <w:t xml:space="preserve">(עונש המינימום הקבוע בחוק שאינו יכול להיות כולו על תנאי), </w:t>
      </w:r>
      <w:r>
        <w:rPr>
          <w:rFonts w:ascii="David" w:hAnsi="David"/>
          <w:rtl/>
        </w:rPr>
        <w:t xml:space="preserve">ובצידה של עבירה של ירי בנשק חם </w:t>
      </w:r>
      <w:r w:rsidRPr="000D3E34">
        <w:rPr>
          <w:rFonts w:ascii="David" w:hAnsi="David"/>
          <w:rtl/>
        </w:rPr>
        <w:t>באזור מגורים</w:t>
      </w:r>
      <w:r>
        <w:rPr>
          <w:rFonts w:ascii="David" w:hAnsi="David" w:hint="cs"/>
          <w:rtl/>
        </w:rPr>
        <w:t xml:space="preserve"> עד 5 שנות מאסר</w:t>
      </w:r>
      <w:r w:rsidRPr="000D3E34">
        <w:rPr>
          <w:rFonts w:ascii="David" w:hAnsi="David"/>
          <w:rtl/>
        </w:rPr>
        <w:t xml:space="preserve">. יש </w:t>
      </w:r>
      <w:r w:rsidRPr="002043FD">
        <w:rPr>
          <w:rFonts w:ascii="David" w:hAnsi="David"/>
          <w:rtl/>
        </w:rPr>
        <w:t xml:space="preserve">בתיקון </w:t>
      </w:r>
      <w:r w:rsidRPr="002043FD">
        <w:rPr>
          <w:rFonts w:ascii="David" w:hAnsi="David" w:hint="cs"/>
          <w:rtl/>
        </w:rPr>
        <w:t xml:space="preserve"> 140 ל</w:t>
      </w:r>
      <w:hyperlink r:id="rId57" w:history="1">
        <w:r w:rsidR="00BF2A9A" w:rsidRPr="00BF2A9A">
          <w:rPr>
            <w:rFonts w:ascii="David" w:hAnsi="David"/>
            <w:color w:val="0000FF"/>
            <w:u w:val="single"/>
            <w:rtl/>
          </w:rPr>
          <w:t>חוק העונשין</w:t>
        </w:r>
      </w:hyperlink>
      <w:r w:rsidRPr="002043FD">
        <w:rPr>
          <w:rFonts w:ascii="David" w:hAnsi="David" w:hint="cs"/>
          <w:rtl/>
        </w:rPr>
        <w:t xml:space="preserve"> </w:t>
      </w:r>
      <w:r w:rsidRPr="000D3E34">
        <w:rPr>
          <w:rFonts w:ascii="David" w:hAnsi="David"/>
          <w:rtl/>
        </w:rPr>
        <w:t>כדי ללמד על מגמת ההחמרה הכללית ביחס לעבירות נשק, כפי שהדבר בא לידי ביטוי בפסיקה</w:t>
      </w:r>
      <w:r w:rsidRPr="000D3E34">
        <w:rPr>
          <w:rFonts w:ascii="David" w:eastAsia="David" w:hAnsi="David"/>
          <w:rtl/>
        </w:rPr>
        <w:t>. כאמור, בית המשפט העליון קבע באופן ברור כי ככלל בעבירת נשיאת והובלת נשק מתחם העונש ההולם נע בין 30 ל-42 חודשי מאסר בפועל</w:t>
      </w:r>
      <w:r w:rsidRPr="000D3E34">
        <w:rPr>
          <w:rFonts w:ascii="David" w:eastAsia="David" w:hAnsi="David"/>
          <w:b/>
          <w:bCs/>
          <w:rtl/>
        </w:rPr>
        <w:t xml:space="preserve">. ר'  </w:t>
      </w:r>
      <w:hyperlink r:id="rId58" w:history="1">
        <w:r w:rsidR="00BF2A9A" w:rsidRPr="00BF2A9A">
          <w:rPr>
            <w:rFonts w:ascii="David" w:eastAsia="David" w:hAnsi="David"/>
            <w:b/>
            <w:bCs/>
            <w:color w:val="0000FF"/>
            <w:u w:val="single"/>
            <w:rtl/>
          </w:rPr>
          <w:t>ע"פ 5602/22</w:t>
        </w:r>
      </w:hyperlink>
      <w:r w:rsidRPr="000D3E34">
        <w:rPr>
          <w:rFonts w:ascii="David" w:eastAsia="David" w:hAnsi="David"/>
          <w:b/>
          <w:bCs/>
          <w:rtl/>
        </w:rPr>
        <w:t xml:space="preserve"> </w:t>
      </w:r>
      <w:r w:rsidRPr="000D3E34">
        <w:rPr>
          <w:rFonts w:ascii="David" w:eastAsia="David" w:hAnsi="David"/>
          <w:b/>
          <w:bCs/>
          <w:u w:val="single"/>
          <w:rtl/>
        </w:rPr>
        <w:t>מ. ישראל פלוני</w:t>
      </w:r>
      <w:r w:rsidRPr="000D3E34">
        <w:rPr>
          <w:rFonts w:ascii="David" w:eastAsia="David" w:hAnsi="David"/>
          <w:rtl/>
        </w:rPr>
        <w:t>:</w:t>
      </w:r>
      <w:r w:rsidRPr="000D3E34">
        <w:rPr>
          <w:rFonts w:ascii="David" w:eastAsia="David" w:hAnsi="David"/>
          <w:color w:val="000000"/>
          <w:rtl/>
        </w:rPr>
        <w:t xml:space="preserve"> </w:t>
      </w:r>
      <w:r w:rsidRPr="000D3E34">
        <w:rPr>
          <w:rFonts w:ascii="David" w:eastAsia="David" w:hAnsi="David"/>
          <w:b/>
          <w:bCs/>
          <w:color w:val="000000"/>
          <w:rtl/>
        </w:rPr>
        <w:t>"כעולה מפסיקתו של בית משפט זה, מתחם הענישה הרגיל שראוי לקבוע לנאשם בגיר בגין נשיאה בלתי חוקית של נשק חם במרחב הציבורי נע בין 30 ל-42 חודשי מאסר בין סורג ובריח (לצד עונשים נלווים בדמותם של מאסר-על-תנאי וקנס)</w:t>
      </w:r>
      <w:r w:rsidRPr="000D3E34">
        <w:rPr>
          <w:rFonts w:ascii="David" w:eastAsia="David" w:hAnsi="David"/>
          <w:color w:val="000000"/>
          <w:rtl/>
        </w:rPr>
        <w:t>"</w:t>
      </w:r>
      <w:r w:rsidRPr="000D3E34">
        <w:rPr>
          <w:rFonts w:ascii="David" w:eastAsia="David" w:hAnsi="David"/>
          <w:rtl/>
        </w:rPr>
        <w:t>.</w:t>
      </w:r>
      <w:r w:rsidRPr="000D3E34">
        <w:rPr>
          <w:rFonts w:ascii="David" w:hAnsi="David"/>
          <w:rtl/>
        </w:rPr>
        <w:t xml:space="preserve"> </w:t>
      </w:r>
    </w:p>
    <w:p w14:paraId="406A1F71" w14:textId="77777777" w:rsidR="001879DD" w:rsidRPr="000D3E34" w:rsidRDefault="001879DD" w:rsidP="001879DD">
      <w:pPr>
        <w:spacing w:after="160" w:line="252" w:lineRule="auto"/>
        <w:ind w:left="720"/>
        <w:contextualSpacing/>
        <w:rPr>
          <w:rFonts w:ascii="David" w:eastAsia="David" w:hAnsi="David"/>
          <w:sz w:val="10"/>
          <w:szCs w:val="10"/>
          <w:rtl/>
        </w:rPr>
      </w:pPr>
    </w:p>
    <w:p w14:paraId="42451A0D" w14:textId="77777777" w:rsidR="001879DD" w:rsidRPr="00732A13" w:rsidRDefault="001879DD" w:rsidP="001879DD">
      <w:pPr>
        <w:pStyle w:val="a9"/>
        <w:numPr>
          <w:ilvl w:val="0"/>
          <w:numId w:val="1"/>
        </w:numPr>
        <w:shd w:val="clear" w:color="auto" w:fill="FFFFFF"/>
        <w:spacing w:line="360" w:lineRule="auto"/>
        <w:jc w:val="both"/>
        <w:rPr>
          <w:rFonts w:ascii="David" w:eastAsia="Calibri" w:hAnsi="David"/>
          <w:sz w:val="12"/>
          <w:szCs w:val="12"/>
          <w:rtl/>
        </w:rPr>
      </w:pPr>
      <w:r w:rsidRPr="00732A13">
        <w:rPr>
          <w:rFonts w:ascii="David" w:eastAsia="David" w:hAnsi="David"/>
          <w:rtl/>
        </w:rPr>
        <w:t xml:space="preserve">לאחר ששקלתי את חומרת העבירות, נסיבות ביצוען כמפורט לעיל, הערכים  החברתיים עליהם יש להגן, מידת הפגיעה בהם והפסיקה הנהוגה, אני סבור כי </w:t>
      </w:r>
      <w:r>
        <w:rPr>
          <w:rFonts w:ascii="David" w:eastAsia="David" w:hAnsi="David" w:hint="cs"/>
          <w:rtl/>
        </w:rPr>
        <w:t>במקרה זה ה</w:t>
      </w:r>
      <w:r w:rsidRPr="00732A13">
        <w:rPr>
          <w:rFonts w:ascii="David" w:eastAsia="David" w:hAnsi="David"/>
          <w:rtl/>
        </w:rPr>
        <w:t>מתחם</w:t>
      </w:r>
      <w:r>
        <w:rPr>
          <w:rFonts w:ascii="David" w:eastAsia="David" w:hAnsi="David" w:hint="cs"/>
          <w:rtl/>
        </w:rPr>
        <w:t xml:space="preserve"> אותו הציגה המאשימה תואם את הנסיבות. בהתאם, מתחם</w:t>
      </w:r>
      <w:r w:rsidRPr="00732A13">
        <w:rPr>
          <w:rFonts w:ascii="David" w:eastAsia="David" w:hAnsi="David"/>
          <w:rtl/>
        </w:rPr>
        <w:t xml:space="preserve"> העונש ההולם </w:t>
      </w:r>
      <w:r>
        <w:rPr>
          <w:rFonts w:ascii="David" w:eastAsia="David" w:hAnsi="David" w:hint="cs"/>
          <w:rtl/>
        </w:rPr>
        <w:t xml:space="preserve"> צריך לכלול </w:t>
      </w:r>
      <w:r w:rsidRPr="00732A13">
        <w:rPr>
          <w:rFonts w:ascii="David" w:eastAsia="David" w:hAnsi="David"/>
          <w:rtl/>
        </w:rPr>
        <w:t xml:space="preserve">רכיב של מאסר בפועל שלא יפחת מ- </w:t>
      </w:r>
      <w:r>
        <w:rPr>
          <w:rFonts w:ascii="David" w:eastAsia="David" w:hAnsi="David" w:hint="cs"/>
          <w:rtl/>
        </w:rPr>
        <w:t>30 ח</w:t>
      </w:r>
      <w:r w:rsidRPr="00732A13">
        <w:rPr>
          <w:rFonts w:ascii="David" w:eastAsia="David" w:hAnsi="David"/>
          <w:rtl/>
        </w:rPr>
        <w:t xml:space="preserve">ודשים ולא יעלה על </w:t>
      </w:r>
      <w:r>
        <w:rPr>
          <w:rFonts w:ascii="David" w:eastAsia="David" w:hAnsi="David" w:hint="cs"/>
          <w:rtl/>
        </w:rPr>
        <w:t>54 ח</w:t>
      </w:r>
      <w:r w:rsidRPr="00732A13">
        <w:rPr>
          <w:rFonts w:ascii="David" w:eastAsia="David" w:hAnsi="David"/>
          <w:rtl/>
        </w:rPr>
        <w:t xml:space="preserve">ודשים בצד עונשים נלווים. </w:t>
      </w:r>
    </w:p>
    <w:p w14:paraId="7005430E" w14:textId="77777777" w:rsidR="001879DD" w:rsidRPr="000D3E34" w:rsidRDefault="001879DD" w:rsidP="001879DD">
      <w:pPr>
        <w:spacing w:after="160" w:line="256" w:lineRule="auto"/>
        <w:ind w:left="720"/>
        <w:contextualSpacing/>
        <w:rPr>
          <w:rFonts w:ascii="David" w:eastAsia="Calibri" w:hAnsi="David"/>
          <w:sz w:val="12"/>
          <w:szCs w:val="12"/>
        </w:rPr>
      </w:pPr>
    </w:p>
    <w:p w14:paraId="14EA643A" w14:textId="77777777" w:rsidR="001879DD" w:rsidRPr="000D3E34" w:rsidRDefault="001879DD" w:rsidP="001879DD">
      <w:pPr>
        <w:contextualSpacing/>
        <w:jc w:val="both"/>
        <w:rPr>
          <w:rFonts w:ascii="David" w:eastAsia="Calibri" w:hAnsi="David"/>
          <w:b/>
          <w:bCs/>
          <w:u w:val="single"/>
          <w:rtl/>
        </w:rPr>
      </w:pPr>
    </w:p>
    <w:p w14:paraId="7F13CD86" w14:textId="77777777" w:rsidR="001879DD" w:rsidRPr="000D3E34" w:rsidRDefault="001879DD" w:rsidP="001879DD">
      <w:pPr>
        <w:spacing w:after="160" w:line="360" w:lineRule="auto"/>
        <w:ind w:firstLine="360"/>
        <w:jc w:val="both"/>
        <w:rPr>
          <w:rFonts w:ascii="David" w:eastAsia="David" w:hAnsi="David"/>
          <w:b/>
          <w:bCs/>
          <w:u w:val="single"/>
          <w:rtl/>
        </w:rPr>
      </w:pPr>
      <w:r w:rsidRPr="000D3E34">
        <w:rPr>
          <w:rFonts w:ascii="David" w:eastAsia="David" w:hAnsi="David"/>
          <w:b/>
          <w:bCs/>
          <w:u w:val="single"/>
          <w:rtl/>
        </w:rPr>
        <w:t>נסיבות שאינן קשורות בביצוע העבירות</w:t>
      </w:r>
    </w:p>
    <w:p w14:paraId="35C08052" w14:textId="77777777" w:rsidR="001879DD" w:rsidRPr="000D3E34" w:rsidRDefault="001879DD" w:rsidP="001879DD">
      <w:pPr>
        <w:numPr>
          <w:ilvl w:val="0"/>
          <w:numId w:val="1"/>
        </w:numPr>
        <w:spacing w:after="160" w:line="360" w:lineRule="auto"/>
        <w:contextualSpacing/>
        <w:jc w:val="both"/>
        <w:rPr>
          <w:rFonts w:ascii="David" w:eastAsia="Calibri" w:hAnsi="David"/>
          <w:sz w:val="12"/>
          <w:szCs w:val="12"/>
        </w:rPr>
      </w:pPr>
      <w:r w:rsidRPr="000D3E34">
        <w:rPr>
          <w:rFonts w:ascii="David" w:eastAsia="David" w:hAnsi="David"/>
          <w:rtl/>
        </w:rPr>
        <w:t>לקולה אני מביא בחשבון את ההודאה</w:t>
      </w:r>
      <w:r>
        <w:rPr>
          <w:rFonts w:ascii="David" w:eastAsia="David" w:hAnsi="David" w:hint="cs"/>
          <w:rtl/>
        </w:rPr>
        <w:t xml:space="preserve"> </w:t>
      </w:r>
      <w:r w:rsidRPr="000D3E34">
        <w:rPr>
          <w:rFonts w:ascii="David" w:eastAsia="David" w:hAnsi="David"/>
          <w:rtl/>
        </w:rPr>
        <w:t xml:space="preserve"> בכתב האישום המתוקן; החיסכון בזמן שיפוטי; גילו הצעיר של הנאשם; נסיבותיו האישיות כעולה מטיעוני ההגנה; תקופת המעצר המשמעותית בה הוא היה נתון עד היום  (כידוע תנאי המעצר קשים מתנאי מאסר); השלכות המאסר על הנאשם ומשפחתו, מצבו הרפואי בעקבות האירוע והגבלות הרפואיות מהן הוא סובל בעקבות האירוע כעולה</w:t>
      </w:r>
      <w:r>
        <w:rPr>
          <w:rFonts w:ascii="David" w:eastAsia="David" w:hAnsi="David"/>
          <w:rtl/>
        </w:rPr>
        <w:t xml:space="preserve"> מהמס</w:t>
      </w:r>
      <w:r>
        <w:rPr>
          <w:rFonts w:ascii="David" w:eastAsia="David" w:hAnsi="David" w:hint="cs"/>
          <w:rtl/>
        </w:rPr>
        <w:t>מכ</w:t>
      </w:r>
      <w:r>
        <w:rPr>
          <w:rFonts w:ascii="David" w:eastAsia="David" w:hAnsi="David"/>
          <w:rtl/>
        </w:rPr>
        <w:t>ים הרפואיים (נ/1)</w:t>
      </w:r>
      <w:r>
        <w:rPr>
          <w:rFonts w:ascii="David" w:eastAsia="David" w:hAnsi="David" w:hint="cs"/>
          <w:rtl/>
        </w:rPr>
        <w:t xml:space="preserve"> מהם ניתן ללמוד על הפגיעות הקשות מהן הנאשם סבל וסובל עד היום. מקריאת המסמכים הרפואיים ניתן ללמוד כי הנאשם נותר בחיים רק בזכות הטיפול הרפואי שניתן לו. בהקשר זה יצוין כי מאסרו של מי שסובל ממצב רפואי מורכב קשה יותר. כך גם יינתן משקל לאבדן הכבד שנגרם לנאשם ולמשפחתו כתוצאה מהאירוע בו</w:t>
      </w:r>
      <w:r>
        <w:rPr>
          <w:rFonts w:ascii="David" w:eastAsia="David" w:hAnsi="David"/>
          <w:rtl/>
        </w:rPr>
        <w:t xml:space="preserve"> אחיו מצא את מותו</w:t>
      </w:r>
      <w:r w:rsidRPr="000D3E34">
        <w:rPr>
          <w:rFonts w:ascii="David" w:eastAsia="David" w:hAnsi="David"/>
          <w:rtl/>
        </w:rPr>
        <w:t>.</w:t>
      </w:r>
    </w:p>
    <w:p w14:paraId="3507A055" w14:textId="77777777" w:rsidR="001879DD" w:rsidRPr="000D3E34" w:rsidRDefault="001879DD" w:rsidP="001879DD">
      <w:pPr>
        <w:spacing w:line="360" w:lineRule="auto"/>
        <w:ind w:left="720"/>
        <w:contextualSpacing/>
        <w:jc w:val="both"/>
        <w:rPr>
          <w:rFonts w:ascii="David" w:eastAsia="Calibri" w:hAnsi="David"/>
          <w:sz w:val="12"/>
          <w:szCs w:val="12"/>
        </w:rPr>
      </w:pPr>
    </w:p>
    <w:p w14:paraId="009EAEDB" w14:textId="77777777" w:rsidR="001879DD" w:rsidRPr="000D3E34" w:rsidRDefault="001879DD" w:rsidP="001879DD">
      <w:pPr>
        <w:numPr>
          <w:ilvl w:val="0"/>
          <w:numId w:val="1"/>
        </w:numPr>
        <w:spacing w:after="160" w:line="360" w:lineRule="auto"/>
        <w:contextualSpacing/>
        <w:jc w:val="both"/>
        <w:rPr>
          <w:rFonts w:ascii="David" w:eastAsia="David" w:hAnsi="David"/>
          <w:b/>
          <w:bCs/>
          <w:u w:val="single"/>
          <w:rtl/>
        </w:rPr>
      </w:pPr>
      <w:r w:rsidRPr="004E6CB7">
        <w:rPr>
          <w:rFonts w:ascii="David" w:eastAsia="David" w:hAnsi="David"/>
          <w:rtl/>
        </w:rPr>
        <w:t xml:space="preserve">לחומרה יש להביא בחשבון את עברו הפלילי של הנאשם אשר כולל </w:t>
      </w:r>
      <w:r w:rsidRPr="000D3E34">
        <w:rPr>
          <w:rFonts w:ascii="David" w:eastAsia="Calibri" w:hAnsi="David"/>
          <w:rtl/>
        </w:rPr>
        <w:t xml:space="preserve">הרשעה </w:t>
      </w:r>
      <w:r>
        <w:rPr>
          <w:rFonts w:ascii="David" w:eastAsia="Calibri" w:hAnsi="David" w:hint="cs"/>
          <w:rtl/>
        </w:rPr>
        <w:t xml:space="preserve">בעבירה של </w:t>
      </w:r>
      <w:r w:rsidRPr="000D3E34">
        <w:rPr>
          <w:rFonts w:ascii="David" w:eastAsia="Calibri" w:hAnsi="David"/>
          <w:rtl/>
        </w:rPr>
        <w:t xml:space="preserve">תקיפת קטין ע"י אחראי ושימוש פחזני באש או בחומר דליק, </w:t>
      </w:r>
      <w:r>
        <w:rPr>
          <w:rFonts w:ascii="David" w:eastAsia="Calibri" w:hAnsi="David" w:hint="cs"/>
          <w:rtl/>
        </w:rPr>
        <w:t xml:space="preserve">וכן </w:t>
      </w:r>
      <w:r w:rsidRPr="000D3E34">
        <w:rPr>
          <w:rFonts w:ascii="David" w:eastAsia="Calibri" w:hAnsi="David"/>
          <w:rtl/>
        </w:rPr>
        <w:t xml:space="preserve">הרשעה בעבירות של פציעה כשעבריין מזויין ותקיפה סתם על ידי שניים או יותר, שם הוטלו על הנאשם 9 חודשי מאסר בפועל וענישה נלווית. </w:t>
      </w:r>
    </w:p>
    <w:p w14:paraId="62A6B018" w14:textId="77777777" w:rsidR="001879DD" w:rsidRPr="004E6CB7" w:rsidRDefault="001879DD" w:rsidP="001879DD">
      <w:pPr>
        <w:spacing w:after="160" w:line="256" w:lineRule="auto"/>
        <w:ind w:left="720"/>
        <w:contextualSpacing/>
        <w:jc w:val="both"/>
        <w:rPr>
          <w:rFonts w:ascii="David" w:eastAsia="David" w:hAnsi="David"/>
        </w:rPr>
      </w:pPr>
    </w:p>
    <w:p w14:paraId="2FBE6CD3" w14:textId="77777777" w:rsidR="001879DD" w:rsidRDefault="001879DD" w:rsidP="001879DD">
      <w:pPr>
        <w:numPr>
          <w:ilvl w:val="0"/>
          <w:numId w:val="1"/>
        </w:numPr>
        <w:spacing w:after="160" w:line="360" w:lineRule="auto"/>
        <w:contextualSpacing/>
        <w:jc w:val="both"/>
        <w:rPr>
          <w:rFonts w:ascii="David" w:eastAsia="David" w:hAnsi="David"/>
          <w:b/>
          <w:bCs/>
          <w:sz w:val="12"/>
          <w:szCs w:val="12"/>
        </w:rPr>
      </w:pPr>
      <w:r w:rsidRPr="0073605A">
        <w:rPr>
          <w:rFonts w:ascii="David" w:eastAsia="David" w:hAnsi="David"/>
          <w:rtl/>
        </w:rPr>
        <w:t>במכלול הנסיבות,</w:t>
      </w:r>
      <w:r w:rsidR="00BF2A9A">
        <w:rPr>
          <w:rFonts w:ascii="David" w:eastAsia="David" w:hAnsi="David"/>
          <w:rtl/>
        </w:rPr>
        <w:t xml:space="preserve"> </w:t>
      </w:r>
      <w:r w:rsidRPr="0073605A">
        <w:rPr>
          <w:rFonts w:ascii="David" w:eastAsia="David" w:hAnsi="David"/>
          <w:rtl/>
        </w:rPr>
        <w:t>אני סבור</w:t>
      </w:r>
      <w:r>
        <w:rPr>
          <w:rFonts w:ascii="David" w:eastAsia="David" w:hAnsi="David"/>
          <w:rtl/>
        </w:rPr>
        <w:t xml:space="preserve"> שנכון לגזור על הנאשם עונש מאסר</w:t>
      </w:r>
      <w:r>
        <w:rPr>
          <w:rFonts w:ascii="David" w:eastAsia="David" w:hAnsi="David" w:hint="cs"/>
          <w:rtl/>
        </w:rPr>
        <w:t xml:space="preserve"> בפועל בין חלקו התחתון של המתחם למרכזו.</w:t>
      </w:r>
    </w:p>
    <w:p w14:paraId="3761B35E" w14:textId="77777777" w:rsidR="001879DD" w:rsidRPr="006932EF" w:rsidRDefault="001879DD" w:rsidP="001879DD">
      <w:pPr>
        <w:pStyle w:val="a9"/>
        <w:rPr>
          <w:rFonts w:ascii="David" w:eastAsia="David" w:hAnsi="David"/>
          <w:b/>
          <w:bCs/>
          <w:sz w:val="2"/>
          <w:szCs w:val="2"/>
          <w:rtl/>
        </w:rPr>
      </w:pPr>
    </w:p>
    <w:p w14:paraId="3A2AF963" w14:textId="77777777" w:rsidR="001879DD" w:rsidRPr="0073605A" w:rsidRDefault="001879DD" w:rsidP="001879DD">
      <w:pPr>
        <w:spacing w:after="160" w:line="360" w:lineRule="auto"/>
        <w:ind w:left="720"/>
        <w:contextualSpacing/>
        <w:jc w:val="both"/>
        <w:rPr>
          <w:rFonts w:ascii="David" w:eastAsia="David" w:hAnsi="David"/>
          <w:b/>
          <w:bCs/>
          <w:sz w:val="12"/>
          <w:szCs w:val="12"/>
          <w:rtl/>
        </w:rPr>
      </w:pPr>
    </w:p>
    <w:p w14:paraId="1DAE1572" w14:textId="77777777" w:rsidR="001879DD" w:rsidRPr="000D3E34" w:rsidRDefault="001879DD" w:rsidP="001879DD">
      <w:pPr>
        <w:numPr>
          <w:ilvl w:val="0"/>
          <w:numId w:val="1"/>
        </w:numPr>
        <w:spacing w:after="160" w:line="360" w:lineRule="auto"/>
        <w:contextualSpacing/>
        <w:jc w:val="both"/>
        <w:rPr>
          <w:rFonts w:ascii="David" w:eastAsia="David" w:hAnsi="David"/>
        </w:rPr>
      </w:pPr>
      <w:r w:rsidRPr="000D3E34">
        <w:rPr>
          <w:rFonts w:ascii="David" w:eastAsia="David" w:hAnsi="David"/>
          <w:rtl/>
        </w:rPr>
        <w:t>לאור כל האמור לעיל, אני גוזר על הנאשם</w:t>
      </w:r>
      <w:r w:rsidR="00BF2A9A">
        <w:rPr>
          <w:rFonts w:ascii="David" w:eastAsia="David" w:hAnsi="David"/>
          <w:rtl/>
        </w:rPr>
        <w:t xml:space="preserve"> </w:t>
      </w:r>
      <w:r w:rsidRPr="000D3E34">
        <w:rPr>
          <w:rFonts w:ascii="David" w:eastAsia="David" w:hAnsi="David"/>
          <w:rtl/>
        </w:rPr>
        <w:t xml:space="preserve"> את העונשים הבאים:</w:t>
      </w:r>
    </w:p>
    <w:p w14:paraId="3A797F05" w14:textId="77777777" w:rsidR="001879DD" w:rsidRPr="000D3E34" w:rsidRDefault="001879DD" w:rsidP="001879DD">
      <w:pPr>
        <w:spacing w:after="160" w:line="256" w:lineRule="auto"/>
        <w:ind w:left="720"/>
        <w:contextualSpacing/>
        <w:rPr>
          <w:rFonts w:ascii="David" w:eastAsia="David" w:hAnsi="David"/>
          <w:b/>
          <w:bCs/>
        </w:rPr>
      </w:pPr>
    </w:p>
    <w:p w14:paraId="620ABD07" w14:textId="77777777" w:rsidR="001879DD" w:rsidRPr="000D3E34" w:rsidRDefault="001879DD" w:rsidP="001879DD">
      <w:pPr>
        <w:spacing w:line="360" w:lineRule="auto"/>
        <w:ind w:left="720"/>
        <w:contextualSpacing/>
        <w:jc w:val="both"/>
        <w:rPr>
          <w:rFonts w:ascii="David" w:eastAsia="David" w:hAnsi="David"/>
          <w:rtl/>
        </w:rPr>
      </w:pPr>
      <w:r w:rsidRPr="000D3E34">
        <w:rPr>
          <w:rFonts w:ascii="David" w:eastAsia="David" w:hAnsi="David"/>
          <w:b/>
          <w:bCs/>
          <w:rtl/>
        </w:rPr>
        <w:t xml:space="preserve">אני גוזר על הנאשם מאסר בפועל לתקופה של </w:t>
      </w:r>
      <w:r>
        <w:rPr>
          <w:rFonts w:ascii="David" w:eastAsia="David" w:hAnsi="David" w:hint="cs"/>
          <w:b/>
          <w:bCs/>
          <w:rtl/>
        </w:rPr>
        <w:t xml:space="preserve">36 </w:t>
      </w:r>
      <w:r w:rsidRPr="000D3E34">
        <w:rPr>
          <w:rFonts w:ascii="David" w:eastAsia="David" w:hAnsi="David"/>
          <w:b/>
          <w:bCs/>
          <w:rtl/>
        </w:rPr>
        <w:t>חודשים בניכוי ימי מעצרו מתאריך 2</w:t>
      </w:r>
      <w:r>
        <w:rPr>
          <w:rFonts w:ascii="David" w:eastAsia="David" w:hAnsi="David" w:hint="cs"/>
          <w:b/>
          <w:bCs/>
          <w:rtl/>
        </w:rPr>
        <w:t>8</w:t>
      </w:r>
      <w:r w:rsidRPr="000D3E34">
        <w:rPr>
          <w:rFonts w:ascii="David" w:eastAsia="David" w:hAnsi="David"/>
          <w:b/>
          <w:bCs/>
          <w:rtl/>
        </w:rPr>
        <w:t>.10.22 ועד היום.</w:t>
      </w:r>
    </w:p>
    <w:p w14:paraId="5102AA0E" w14:textId="77777777" w:rsidR="001879DD" w:rsidRPr="000D3E34" w:rsidRDefault="001879DD" w:rsidP="001879DD">
      <w:pPr>
        <w:spacing w:line="360" w:lineRule="auto"/>
        <w:ind w:left="720"/>
        <w:contextualSpacing/>
        <w:jc w:val="both"/>
        <w:rPr>
          <w:rFonts w:ascii="David" w:eastAsia="David" w:hAnsi="David"/>
          <w:rtl/>
        </w:rPr>
      </w:pPr>
    </w:p>
    <w:p w14:paraId="6E42C63B" w14:textId="77777777" w:rsidR="001879DD" w:rsidRDefault="001879DD" w:rsidP="001879DD">
      <w:pPr>
        <w:spacing w:line="360" w:lineRule="auto"/>
        <w:ind w:left="720"/>
        <w:contextualSpacing/>
        <w:jc w:val="both"/>
        <w:rPr>
          <w:rFonts w:ascii="David" w:eastAsia="David" w:hAnsi="David"/>
          <w:rtl/>
        </w:rPr>
      </w:pPr>
      <w:r w:rsidRPr="000D3E34">
        <w:rPr>
          <w:rFonts w:ascii="David" w:eastAsia="David" w:hAnsi="David"/>
          <w:b/>
          <w:bCs/>
          <w:rtl/>
        </w:rPr>
        <w:t xml:space="preserve">אני גוזר על הנאשם עונש מאסר על תנאי לתקופה של </w:t>
      </w:r>
      <w:r>
        <w:rPr>
          <w:rFonts w:ascii="David" w:eastAsia="David" w:hAnsi="David" w:hint="cs"/>
          <w:b/>
          <w:bCs/>
          <w:rtl/>
        </w:rPr>
        <w:t xml:space="preserve">10 </w:t>
      </w:r>
      <w:r w:rsidRPr="000D3E34">
        <w:rPr>
          <w:rFonts w:ascii="David" w:eastAsia="David" w:hAnsi="David"/>
          <w:b/>
          <w:bCs/>
          <w:rtl/>
        </w:rPr>
        <w:t>חודשים והתנאי הוא</w:t>
      </w:r>
      <w:r w:rsidR="00BF2A9A">
        <w:rPr>
          <w:rFonts w:ascii="David" w:eastAsia="David" w:hAnsi="David"/>
          <w:b/>
          <w:bCs/>
          <w:rtl/>
        </w:rPr>
        <w:t xml:space="preserve"> </w:t>
      </w:r>
      <w:r w:rsidRPr="000D3E34">
        <w:rPr>
          <w:rFonts w:ascii="David" w:eastAsia="David" w:hAnsi="David"/>
          <w:b/>
          <w:bCs/>
          <w:rtl/>
        </w:rPr>
        <w:t xml:space="preserve"> שלא יעבור בתוך 3 שנים מיום שחרורו ממאסרו, עבירת נשק מסוג פשע ויורשע בגינה.</w:t>
      </w:r>
    </w:p>
    <w:p w14:paraId="12BBBBE6" w14:textId="77777777" w:rsidR="001879DD" w:rsidRDefault="001879DD" w:rsidP="001879DD">
      <w:pPr>
        <w:spacing w:line="360" w:lineRule="auto"/>
        <w:ind w:left="720"/>
        <w:contextualSpacing/>
        <w:jc w:val="both"/>
        <w:rPr>
          <w:rFonts w:ascii="David" w:eastAsia="David" w:hAnsi="David"/>
          <w:rtl/>
        </w:rPr>
      </w:pPr>
    </w:p>
    <w:p w14:paraId="472420C6" w14:textId="77777777" w:rsidR="001879DD" w:rsidRPr="000D3E34" w:rsidRDefault="001879DD" w:rsidP="001879DD">
      <w:pPr>
        <w:spacing w:line="360" w:lineRule="auto"/>
        <w:ind w:left="720"/>
        <w:contextualSpacing/>
        <w:jc w:val="both"/>
        <w:rPr>
          <w:rFonts w:ascii="David" w:eastAsia="David" w:hAnsi="David"/>
          <w:rtl/>
        </w:rPr>
      </w:pPr>
      <w:r w:rsidRPr="000D3E34">
        <w:rPr>
          <w:rFonts w:ascii="David" w:eastAsia="David" w:hAnsi="David"/>
          <w:b/>
          <w:bCs/>
          <w:rtl/>
        </w:rPr>
        <w:t xml:space="preserve">אני גוזר על הנאשם עונש מאסר על תנאי לתקופה של </w:t>
      </w:r>
      <w:r>
        <w:rPr>
          <w:rFonts w:ascii="David" w:eastAsia="David" w:hAnsi="David" w:hint="cs"/>
          <w:b/>
          <w:bCs/>
          <w:rtl/>
        </w:rPr>
        <w:t>6</w:t>
      </w:r>
      <w:r w:rsidRPr="000D3E34">
        <w:rPr>
          <w:rFonts w:ascii="David" w:eastAsia="David" w:hAnsi="David"/>
          <w:b/>
          <w:bCs/>
          <w:rtl/>
        </w:rPr>
        <w:t xml:space="preserve"> חודשים והתנאי הוא</w:t>
      </w:r>
      <w:r w:rsidR="00BF2A9A">
        <w:rPr>
          <w:rFonts w:ascii="David" w:eastAsia="David" w:hAnsi="David"/>
          <w:b/>
          <w:bCs/>
          <w:rtl/>
        </w:rPr>
        <w:t xml:space="preserve"> </w:t>
      </w:r>
      <w:r w:rsidRPr="000D3E34">
        <w:rPr>
          <w:rFonts w:ascii="David" w:eastAsia="David" w:hAnsi="David"/>
          <w:b/>
          <w:bCs/>
          <w:rtl/>
        </w:rPr>
        <w:t xml:space="preserve"> שלא יעבור בתוך 3 שנים מיום שחרורו ממאסרו, עבירת נשק מסוג </w:t>
      </w:r>
      <w:r>
        <w:rPr>
          <w:rFonts w:ascii="David" w:eastAsia="David" w:hAnsi="David" w:hint="cs"/>
          <w:b/>
          <w:bCs/>
          <w:rtl/>
        </w:rPr>
        <w:t xml:space="preserve">עוון </w:t>
      </w:r>
      <w:r w:rsidRPr="000D3E34">
        <w:rPr>
          <w:rFonts w:ascii="David" w:eastAsia="David" w:hAnsi="David"/>
          <w:b/>
          <w:bCs/>
          <w:rtl/>
        </w:rPr>
        <w:t>ויורשע בגינה.</w:t>
      </w:r>
    </w:p>
    <w:p w14:paraId="500A2AF0" w14:textId="77777777" w:rsidR="001879DD" w:rsidRPr="000D3E34" w:rsidRDefault="001879DD" w:rsidP="001879DD">
      <w:pPr>
        <w:snapToGrid w:val="0"/>
        <w:spacing w:after="160"/>
        <w:ind w:left="707" w:hanging="425"/>
        <w:contextualSpacing/>
        <w:jc w:val="both"/>
        <w:rPr>
          <w:rFonts w:ascii="David" w:eastAsia="David" w:hAnsi="David"/>
          <w:b/>
          <w:bCs/>
          <w:rtl/>
        </w:rPr>
      </w:pPr>
    </w:p>
    <w:p w14:paraId="311E1F51" w14:textId="77777777" w:rsidR="001879DD" w:rsidRPr="000D3E34" w:rsidRDefault="00BF2A9A" w:rsidP="001879DD">
      <w:pPr>
        <w:snapToGrid w:val="0"/>
        <w:spacing w:after="160" w:line="360" w:lineRule="auto"/>
        <w:ind w:left="707" w:hanging="425"/>
        <w:contextualSpacing/>
        <w:jc w:val="both"/>
        <w:rPr>
          <w:rFonts w:ascii="David" w:eastAsia="David" w:hAnsi="David"/>
          <w:b/>
          <w:bCs/>
          <w:rtl/>
        </w:rPr>
      </w:pPr>
      <w:r>
        <w:rPr>
          <w:rFonts w:ascii="David" w:eastAsia="David" w:hAnsi="David"/>
          <w:b/>
          <w:bCs/>
          <w:rtl/>
        </w:rPr>
        <w:t xml:space="preserve">      </w:t>
      </w:r>
      <w:r w:rsidR="001879DD" w:rsidRPr="000D3E34">
        <w:rPr>
          <w:rFonts w:ascii="David" w:eastAsia="David" w:hAnsi="David"/>
          <w:b/>
          <w:bCs/>
          <w:rtl/>
        </w:rPr>
        <w:t xml:space="preserve">  אני גוזר על הנאשם קנס כספי בסך</w:t>
      </w:r>
      <w:r w:rsidR="001879DD">
        <w:rPr>
          <w:rFonts w:ascii="David" w:eastAsia="David" w:hAnsi="David" w:hint="cs"/>
          <w:b/>
          <w:bCs/>
          <w:rtl/>
        </w:rPr>
        <w:t>6</w:t>
      </w:r>
      <w:r w:rsidR="001879DD" w:rsidRPr="000D3E34">
        <w:rPr>
          <w:rFonts w:ascii="David" w:eastAsia="David" w:hAnsi="David"/>
          <w:b/>
          <w:bCs/>
          <w:rtl/>
        </w:rPr>
        <w:t>,000 ₪</w:t>
      </w:r>
      <w:r>
        <w:rPr>
          <w:rFonts w:ascii="David" w:eastAsia="David" w:hAnsi="David"/>
          <w:b/>
          <w:bCs/>
          <w:rtl/>
        </w:rPr>
        <w:t xml:space="preserve"> </w:t>
      </w:r>
      <w:r w:rsidR="001879DD" w:rsidRPr="000D3E34">
        <w:rPr>
          <w:rFonts w:ascii="David" w:eastAsia="David" w:hAnsi="David"/>
          <w:b/>
          <w:bCs/>
          <w:rtl/>
        </w:rPr>
        <w:t xml:space="preserve"> או </w:t>
      </w:r>
      <w:r w:rsidR="001879DD">
        <w:rPr>
          <w:rFonts w:ascii="David" w:eastAsia="David" w:hAnsi="David" w:hint="cs"/>
          <w:b/>
          <w:bCs/>
          <w:rtl/>
        </w:rPr>
        <w:t xml:space="preserve">60 </w:t>
      </w:r>
      <w:r w:rsidR="001879DD" w:rsidRPr="000D3E34">
        <w:rPr>
          <w:rFonts w:ascii="David" w:eastAsia="David" w:hAnsi="David"/>
          <w:b/>
          <w:bCs/>
          <w:rtl/>
        </w:rPr>
        <w:t>ימי מאסר.</w:t>
      </w:r>
    </w:p>
    <w:p w14:paraId="6BA43001" w14:textId="77777777" w:rsidR="001879DD" w:rsidRPr="000D3E34" w:rsidRDefault="001879DD" w:rsidP="001879DD">
      <w:pPr>
        <w:snapToGrid w:val="0"/>
        <w:spacing w:after="160"/>
        <w:ind w:left="707" w:hanging="425"/>
        <w:contextualSpacing/>
        <w:jc w:val="both"/>
        <w:rPr>
          <w:rFonts w:ascii="David" w:eastAsia="David" w:hAnsi="David"/>
          <w:b/>
          <w:bCs/>
          <w:rtl/>
        </w:rPr>
      </w:pPr>
    </w:p>
    <w:p w14:paraId="14D27E71" w14:textId="77777777" w:rsidR="001879DD" w:rsidRPr="000D3E34" w:rsidRDefault="00BF2A9A" w:rsidP="001879DD">
      <w:pPr>
        <w:snapToGrid w:val="0"/>
        <w:spacing w:after="160" w:line="360" w:lineRule="auto"/>
        <w:ind w:left="707" w:hanging="425"/>
        <w:contextualSpacing/>
        <w:jc w:val="both"/>
        <w:rPr>
          <w:rFonts w:ascii="David" w:eastAsia="David" w:hAnsi="David"/>
          <w:b/>
          <w:bCs/>
          <w:rtl/>
        </w:rPr>
      </w:pPr>
      <w:r>
        <w:rPr>
          <w:rFonts w:ascii="David" w:eastAsia="David" w:hAnsi="David"/>
          <w:b/>
          <w:bCs/>
          <w:rtl/>
        </w:rPr>
        <w:t xml:space="preserve">      </w:t>
      </w:r>
      <w:r w:rsidR="001879DD" w:rsidRPr="000D3E34">
        <w:rPr>
          <w:rFonts w:ascii="David" w:eastAsia="David" w:hAnsi="David"/>
          <w:b/>
          <w:bCs/>
          <w:rtl/>
        </w:rPr>
        <w:t xml:space="preserve"> הקנס שהוטל על הנאשם</w:t>
      </w:r>
      <w:r>
        <w:rPr>
          <w:rFonts w:ascii="David" w:eastAsia="David" w:hAnsi="David"/>
          <w:b/>
          <w:bCs/>
          <w:rtl/>
        </w:rPr>
        <w:t xml:space="preserve"> </w:t>
      </w:r>
      <w:r w:rsidR="001879DD" w:rsidRPr="000D3E34">
        <w:rPr>
          <w:rFonts w:ascii="David" w:eastAsia="David" w:hAnsi="David"/>
          <w:b/>
          <w:bCs/>
          <w:rtl/>
        </w:rPr>
        <w:t xml:space="preserve"> ישולם עד ליום</w:t>
      </w:r>
      <w:r w:rsidR="001879DD">
        <w:rPr>
          <w:rFonts w:ascii="David" w:eastAsia="David" w:hAnsi="David" w:hint="cs"/>
          <w:b/>
          <w:bCs/>
          <w:rtl/>
        </w:rPr>
        <w:t xml:space="preserve"> 01.01.2024</w:t>
      </w:r>
      <w:r w:rsidR="001879DD" w:rsidRPr="000D3E34">
        <w:rPr>
          <w:rFonts w:ascii="David" w:eastAsia="David" w:hAnsi="David"/>
          <w:b/>
          <w:bCs/>
          <w:rtl/>
        </w:rPr>
        <w:t xml:space="preserve">. </w:t>
      </w:r>
    </w:p>
    <w:p w14:paraId="6A497410" w14:textId="77777777" w:rsidR="001879DD" w:rsidRPr="000D3E34" w:rsidRDefault="001879DD" w:rsidP="001879DD">
      <w:pPr>
        <w:spacing w:after="160" w:line="360" w:lineRule="auto"/>
        <w:ind w:left="707"/>
        <w:contextualSpacing/>
        <w:jc w:val="both"/>
        <w:rPr>
          <w:rFonts w:ascii="David" w:eastAsia="David" w:hAnsi="David"/>
          <w:rtl/>
        </w:rPr>
      </w:pPr>
      <w:r w:rsidRPr="000D3E34">
        <w:rPr>
          <w:rFonts w:ascii="David" w:eastAsia="David" w:hAnsi="David"/>
          <w:rtl/>
        </w:rPr>
        <w:t>תשומת לב הנאשם שיש לשלם את הקנס לחשבון המרכז לגביית קנסות, אגרות והוצאות ברשות האכיפה והגבייה, החל מחלוף 3 ימים מיום מתן גזר הדין וזאת באחת מהדרכים הבאות:</w:t>
      </w:r>
    </w:p>
    <w:p w14:paraId="1EF680CD" w14:textId="77777777" w:rsidR="001879DD" w:rsidRPr="000D3E34" w:rsidRDefault="001879DD" w:rsidP="001879DD">
      <w:pPr>
        <w:spacing w:after="160" w:line="360" w:lineRule="auto"/>
        <w:ind w:left="707"/>
        <w:jc w:val="both"/>
        <w:rPr>
          <w:rFonts w:ascii="David" w:eastAsia="David" w:hAnsi="David"/>
          <w:rtl/>
        </w:rPr>
      </w:pPr>
      <w:r w:rsidRPr="000D3E34">
        <w:rPr>
          <w:rFonts w:ascii="David" w:eastAsia="David" w:hAnsi="David"/>
          <w:rtl/>
        </w:rPr>
        <w:t xml:space="preserve">בכרטיס אשראי – באתר המקוון של רשות האכיפה והגבייה, </w:t>
      </w:r>
      <w:hyperlink r:id="rId59" w:history="1">
        <w:r w:rsidRPr="000D3E34">
          <w:rPr>
            <w:rFonts w:ascii="David" w:eastAsia="David" w:hAnsi="David"/>
            <w:color w:val="0563C1"/>
            <w:u w:val="single"/>
          </w:rPr>
          <w:t>www.eca.gov.il</w:t>
        </w:r>
      </w:hyperlink>
      <w:r w:rsidRPr="000D3E34">
        <w:rPr>
          <w:rFonts w:ascii="David" w:eastAsia="David" w:hAnsi="David"/>
        </w:rPr>
        <w:t xml:space="preserve"> </w:t>
      </w:r>
      <w:r w:rsidR="00BF2A9A">
        <w:rPr>
          <w:rFonts w:ascii="David" w:eastAsia="David" w:hAnsi="David"/>
          <w:rtl/>
        </w:rPr>
        <w:t xml:space="preserve"> </w:t>
      </w:r>
      <w:r w:rsidRPr="000D3E34">
        <w:rPr>
          <w:rFonts w:ascii="David" w:eastAsia="David" w:hAnsi="David"/>
          <w:rtl/>
        </w:rPr>
        <w:t>או חפש בגוגל " תשלום גביית קנסות".</w:t>
      </w:r>
    </w:p>
    <w:p w14:paraId="71B7FD08" w14:textId="77777777" w:rsidR="001879DD" w:rsidRPr="000D3E34" w:rsidRDefault="001879DD" w:rsidP="001879DD">
      <w:pPr>
        <w:spacing w:after="160" w:line="360" w:lineRule="auto"/>
        <w:ind w:left="720"/>
        <w:jc w:val="both"/>
        <w:rPr>
          <w:rFonts w:ascii="David" w:eastAsia="David" w:hAnsi="David"/>
          <w:rtl/>
        </w:rPr>
      </w:pPr>
      <w:r w:rsidRPr="000D3E34">
        <w:rPr>
          <w:rFonts w:ascii="David" w:eastAsia="David" w:hAnsi="David"/>
          <w:rtl/>
        </w:rPr>
        <w:t>מוקד שירות טלפוני בשרות עצמי (מרכז גבייה)</w:t>
      </w:r>
      <w:r w:rsidR="00BF2A9A">
        <w:rPr>
          <w:rFonts w:ascii="David" w:eastAsia="David" w:hAnsi="David"/>
          <w:rtl/>
        </w:rPr>
        <w:t xml:space="preserve"> </w:t>
      </w:r>
      <w:r w:rsidRPr="000D3E34">
        <w:rPr>
          <w:rFonts w:ascii="David" w:eastAsia="David" w:hAnsi="David"/>
          <w:rtl/>
        </w:rPr>
        <w:t xml:space="preserve"> – בטלפון 35592* או בטלפון 073-2055000 (ניתן לפנות לנציגים לקבלת מידע במספרים הללו).</w:t>
      </w:r>
    </w:p>
    <w:p w14:paraId="3A72FD77" w14:textId="77777777" w:rsidR="001879DD" w:rsidRPr="000D3E34" w:rsidRDefault="001879DD" w:rsidP="001879DD">
      <w:pPr>
        <w:spacing w:after="160" w:line="360" w:lineRule="auto"/>
        <w:ind w:left="720"/>
        <w:jc w:val="both"/>
        <w:rPr>
          <w:rFonts w:ascii="David" w:eastAsia="David" w:hAnsi="David"/>
          <w:rtl/>
        </w:rPr>
      </w:pPr>
      <w:r w:rsidRPr="000D3E34">
        <w:rPr>
          <w:rFonts w:ascii="David" w:eastAsia="David" w:hAnsi="David"/>
          <w:rtl/>
        </w:rPr>
        <w:t>במזומן בכל סניף של בנק הדואר – בהצגת תעודת זהות בלבד (אין צורך בשוברי תשלום).</w:t>
      </w:r>
    </w:p>
    <w:p w14:paraId="687284E3" w14:textId="77777777" w:rsidR="001879DD" w:rsidRPr="000D3E34" w:rsidRDefault="001879DD" w:rsidP="001879DD">
      <w:pPr>
        <w:spacing w:after="160" w:line="360" w:lineRule="auto"/>
        <w:ind w:left="720"/>
        <w:jc w:val="both"/>
        <w:rPr>
          <w:rFonts w:ascii="David" w:eastAsia="David" w:hAnsi="David"/>
          <w:b/>
          <w:bCs/>
          <w:rtl/>
        </w:rPr>
      </w:pPr>
      <w:r w:rsidRPr="000D3E34">
        <w:rPr>
          <w:rFonts w:ascii="David" w:eastAsia="David" w:hAnsi="David"/>
          <w:b/>
          <w:bCs/>
          <w:rtl/>
        </w:rPr>
        <w:t xml:space="preserve">אני מורה על חילוט הנשקים והמחסניות שנתפסו במסגרת תיק זה. </w:t>
      </w:r>
    </w:p>
    <w:p w14:paraId="0C60DD52" w14:textId="77777777" w:rsidR="001879DD" w:rsidRPr="000D3E34" w:rsidRDefault="001879DD" w:rsidP="001879DD">
      <w:pPr>
        <w:spacing w:after="160"/>
        <w:ind w:firstLine="720"/>
        <w:jc w:val="both"/>
        <w:rPr>
          <w:rFonts w:ascii="David" w:eastAsia="David" w:hAnsi="David"/>
          <w:b/>
          <w:bCs/>
          <w:rtl/>
        </w:rPr>
      </w:pPr>
    </w:p>
    <w:p w14:paraId="7B1758FE" w14:textId="77777777" w:rsidR="001879DD" w:rsidRPr="000D3E34" w:rsidRDefault="001879DD" w:rsidP="001879DD">
      <w:pPr>
        <w:spacing w:after="160"/>
        <w:ind w:firstLine="720"/>
        <w:jc w:val="both"/>
        <w:rPr>
          <w:rFonts w:ascii="David" w:eastAsia="David" w:hAnsi="David"/>
          <w:b/>
          <w:bCs/>
          <w:rtl/>
        </w:rPr>
      </w:pPr>
      <w:r w:rsidRPr="000D3E34">
        <w:rPr>
          <w:rFonts w:ascii="David" w:eastAsia="David" w:hAnsi="David"/>
          <w:b/>
          <w:bCs/>
          <w:rtl/>
        </w:rPr>
        <w:t>זכות ערעור לבית המשפט העליון בתוך 45 יום מהיום.</w:t>
      </w:r>
    </w:p>
    <w:p w14:paraId="49BE100B" w14:textId="77777777" w:rsidR="001879DD" w:rsidRPr="00BF2A9A" w:rsidRDefault="00BF2A9A" w:rsidP="001879DD">
      <w:pPr>
        <w:spacing w:after="160" w:line="256" w:lineRule="auto"/>
        <w:rPr>
          <w:rFonts w:ascii="Calibri" w:eastAsia="Calibri" w:hAnsi="Calibri" w:cs="Arial"/>
          <w:color w:val="FFFFFF"/>
          <w:sz w:val="2"/>
          <w:szCs w:val="2"/>
          <w:rtl/>
        </w:rPr>
      </w:pPr>
      <w:r w:rsidRPr="00BF2A9A">
        <w:rPr>
          <w:rFonts w:ascii="Calibri" w:eastAsia="Calibri" w:hAnsi="Calibri" w:cs="Arial"/>
          <w:color w:val="FFFFFF"/>
          <w:sz w:val="2"/>
          <w:szCs w:val="2"/>
          <w:rtl/>
        </w:rPr>
        <w:t>5129371</w:t>
      </w:r>
    </w:p>
    <w:p w14:paraId="1B7A54EF" w14:textId="77777777" w:rsidR="001879DD" w:rsidRPr="00BF2A9A" w:rsidRDefault="00BF2A9A" w:rsidP="001879DD">
      <w:pPr>
        <w:rPr>
          <w:rFonts w:ascii="Arial" w:hAnsi="Arial"/>
          <w:b/>
          <w:bCs/>
          <w:color w:val="FFFFFF"/>
          <w:sz w:val="2"/>
          <w:szCs w:val="2"/>
          <w:rtl/>
        </w:rPr>
      </w:pPr>
      <w:r w:rsidRPr="00BF2A9A">
        <w:rPr>
          <w:rFonts w:ascii="Arial" w:hAnsi="Arial"/>
          <w:b/>
          <w:bCs/>
          <w:color w:val="FFFFFF"/>
          <w:sz w:val="2"/>
          <w:szCs w:val="2"/>
          <w:rtl/>
        </w:rPr>
        <w:t>54678313</w:t>
      </w:r>
    </w:p>
    <w:p w14:paraId="3F190D9F" w14:textId="77777777" w:rsidR="001879DD" w:rsidRPr="000F2247" w:rsidRDefault="001879DD" w:rsidP="001879DD">
      <w:pPr>
        <w:rPr>
          <w:rFonts w:ascii="Arial" w:hAnsi="Arial"/>
          <w:b/>
          <w:bCs/>
          <w:sz w:val="26"/>
          <w:szCs w:val="26"/>
          <w:rtl/>
        </w:rPr>
      </w:pPr>
    </w:p>
    <w:p w14:paraId="3F2C5A76" w14:textId="77777777" w:rsidR="001879DD" w:rsidRPr="000F2247" w:rsidRDefault="00BF2A9A" w:rsidP="001879DD">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ט"ז תמוז תשפ"ג, 05 יולי 2023, בהעדר הצדדים. </w:t>
      </w:r>
      <w:bookmarkEnd w:id="7"/>
      <w:r w:rsidR="001879DD">
        <w:rPr>
          <w:rFonts w:ascii="Arial" w:hAnsi="Arial"/>
          <w:b/>
          <w:bCs/>
          <w:sz w:val="26"/>
          <w:szCs w:val="26"/>
          <w:rtl/>
        </w:rPr>
        <w:tab/>
      </w:r>
      <w:r w:rsidR="001879DD">
        <w:rPr>
          <w:rFonts w:ascii="Arial" w:hAnsi="Arial"/>
          <w:b/>
          <w:bCs/>
          <w:sz w:val="26"/>
          <w:szCs w:val="26"/>
          <w:rtl/>
        </w:rPr>
        <w:tab/>
      </w:r>
      <w:r w:rsidR="001879DD">
        <w:rPr>
          <w:rFonts w:ascii="Arial" w:hAnsi="Arial"/>
          <w:b/>
          <w:bCs/>
          <w:sz w:val="26"/>
          <w:szCs w:val="26"/>
          <w:rtl/>
        </w:rPr>
        <w:tab/>
      </w:r>
      <w:r w:rsidR="001879DD">
        <w:rPr>
          <w:rFonts w:ascii="Arial" w:hAnsi="Arial"/>
          <w:b/>
          <w:bCs/>
          <w:sz w:val="26"/>
          <w:szCs w:val="26"/>
          <w:rtl/>
        </w:rPr>
        <w:tab/>
      </w:r>
      <w:r w:rsidR="001879DD">
        <w:rPr>
          <w:rFonts w:ascii="Arial" w:hAnsi="Arial"/>
          <w:b/>
          <w:bCs/>
          <w:sz w:val="26"/>
          <w:szCs w:val="26"/>
          <w:rtl/>
        </w:rPr>
        <w:tab/>
      </w:r>
      <w:r w:rsidR="001879DD">
        <w:rPr>
          <w:rFonts w:ascii="Arial" w:hAnsi="Arial"/>
          <w:b/>
          <w:bCs/>
          <w:sz w:val="26"/>
          <w:szCs w:val="26"/>
          <w:rtl/>
        </w:rPr>
        <w:tab/>
      </w:r>
      <w:r w:rsidR="001879DD">
        <w:rPr>
          <w:rFonts w:ascii="Arial" w:hAnsi="Arial"/>
          <w:b/>
          <w:bCs/>
          <w:sz w:val="26"/>
          <w:szCs w:val="26"/>
          <w:rtl/>
        </w:rPr>
        <w:tab/>
      </w:r>
      <w:r w:rsidR="001879DD">
        <w:rPr>
          <w:rFonts w:ascii="Arial" w:hAnsi="Arial" w:hint="cs"/>
          <w:b/>
          <w:bCs/>
          <w:sz w:val="26"/>
          <w:szCs w:val="26"/>
          <w:rtl/>
        </w:rPr>
        <w:t xml:space="preserve">         </w:t>
      </w:r>
    </w:p>
    <w:p w14:paraId="23974892" w14:textId="77777777" w:rsidR="001879DD" w:rsidRPr="000F2247" w:rsidRDefault="001879DD" w:rsidP="00BF2A9A">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DC7CB7F" w14:textId="77777777" w:rsidR="001879DD" w:rsidRPr="0045725C" w:rsidRDefault="0045725C" w:rsidP="001879DD">
      <w:pPr>
        <w:jc w:val="center"/>
        <w:rPr>
          <w:rFonts w:ascii="Arial" w:hAnsi="Arial"/>
          <w:b/>
          <w:bCs/>
          <w:color w:val="FFFFFF"/>
          <w:sz w:val="2"/>
          <w:szCs w:val="2"/>
          <w:rtl/>
        </w:rPr>
      </w:pPr>
      <w:r w:rsidRPr="0045725C">
        <w:rPr>
          <w:rFonts w:ascii="Arial" w:hAnsi="Arial"/>
          <w:b/>
          <w:bCs/>
          <w:color w:val="FFFFFF"/>
          <w:sz w:val="2"/>
          <w:szCs w:val="2"/>
          <w:rtl/>
        </w:rPr>
        <w:t>5129371</w:t>
      </w:r>
    </w:p>
    <w:p w14:paraId="74D6CBC2" w14:textId="77777777" w:rsidR="001239BD" w:rsidRPr="0045725C" w:rsidRDefault="0045725C" w:rsidP="00BF2A9A">
      <w:pPr>
        <w:keepNext/>
        <w:rPr>
          <w:rFonts w:ascii="David" w:hAnsi="David"/>
          <w:color w:val="FFFFFF"/>
          <w:sz w:val="2"/>
          <w:szCs w:val="2"/>
          <w:rtl/>
        </w:rPr>
      </w:pPr>
      <w:r w:rsidRPr="0045725C">
        <w:rPr>
          <w:rFonts w:ascii="David" w:hAnsi="David"/>
          <w:color w:val="FFFFFF"/>
          <w:sz w:val="2"/>
          <w:szCs w:val="2"/>
          <w:rtl/>
        </w:rPr>
        <w:t>54678313</w:t>
      </w:r>
    </w:p>
    <w:p w14:paraId="6F53BECB" w14:textId="77777777" w:rsidR="00BF2A9A" w:rsidRPr="00BF2A9A" w:rsidRDefault="00BF2A9A" w:rsidP="00BF2A9A">
      <w:pPr>
        <w:keepNext/>
        <w:rPr>
          <w:rFonts w:ascii="David" w:hAnsi="David"/>
          <w:color w:val="000000"/>
          <w:sz w:val="22"/>
          <w:szCs w:val="22"/>
          <w:rtl/>
        </w:rPr>
      </w:pPr>
      <w:r w:rsidRPr="00BF2A9A">
        <w:rPr>
          <w:rFonts w:ascii="David" w:hAnsi="David"/>
          <w:color w:val="000000"/>
          <w:sz w:val="22"/>
          <w:szCs w:val="22"/>
          <w:rtl/>
        </w:rPr>
        <w:t>גיל קרזבום 54678313</w:t>
      </w:r>
    </w:p>
    <w:p w14:paraId="7ACB728B" w14:textId="77777777" w:rsidR="00BF2A9A" w:rsidRDefault="00BF2A9A" w:rsidP="00BF2A9A">
      <w:r w:rsidRPr="00BF2A9A">
        <w:rPr>
          <w:color w:val="000000"/>
          <w:rtl/>
        </w:rPr>
        <w:t>נוסח מסמך זה כפוף לשינויי ניסוח ועריכה</w:t>
      </w:r>
    </w:p>
    <w:p w14:paraId="69F647FD" w14:textId="77777777" w:rsidR="00BF2A9A" w:rsidRDefault="00BF2A9A" w:rsidP="00BF2A9A">
      <w:pPr>
        <w:rPr>
          <w:rtl/>
        </w:rPr>
      </w:pPr>
    </w:p>
    <w:p w14:paraId="28349ABD" w14:textId="77777777" w:rsidR="00BF2A9A" w:rsidRDefault="00BF2A9A" w:rsidP="00BF2A9A">
      <w:pPr>
        <w:jc w:val="center"/>
        <w:rPr>
          <w:color w:val="0000FF"/>
          <w:u w:val="single"/>
        </w:rPr>
      </w:pPr>
      <w:hyperlink r:id="rId60" w:history="1">
        <w:r>
          <w:rPr>
            <w:color w:val="0000FF"/>
            <w:u w:val="single"/>
            <w:rtl/>
          </w:rPr>
          <w:t>בעניין עריכה ושינויים במסמכי פסיקה, חקיקה ועוד באתר נבו – הקש כאן</w:t>
        </w:r>
      </w:hyperlink>
    </w:p>
    <w:p w14:paraId="052118BC" w14:textId="77777777" w:rsidR="0045725C" w:rsidRPr="0045725C" w:rsidRDefault="0045725C" w:rsidP="0045725C">
      <w:pPr>
        <w:keepNext/>
        <w:rPr>
          <w:rFonts w:ascii="David" w:hAnsi="David"/>
          <w:color w:val="000000"/>
          <w:sz w:val="22"/>
          <w:szCs w:val="22"/>
          <w:rtl/>
        </w:rPr>
      </w:pPr>
    </w:p>
    <w:sectPr w:rsidR="0045725C" w:rsidRPr="0045725C" w:rsidSect="0045725C">
      <w:headerReference w:type="even" r:id="rId61"/>
      <w:headerReference w:type="default" r:id="rId62"/>
      <w:footerReference w:type="even" r:id="rId63"/>
      <w:footerReference w:type="default" r:id="rId6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1EF697" w14:textId="77777777" w:rsidR="00FF107F" w:rsidRDefault="00FF107F" w:rsidP="00486AA4">
      <w:r>
        <w:separator/>
      </w:r>
    </w:p>
  </w:endnote>
  <w:endnote w:type="continuationSeparator" w:id="0">
    <w:p w14:paraId="66C274E5" w14:textId="77777777" w:rsidR="00FF107F" w:rsidRDefault="00FF107F" w:rsidP="00486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AAD19" w14:textId="77777777" w:rsidR="0045725C" w:rsidRDefault="0045725C" w:rsidP="0045725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78F7213" w14:textId="77777777" w:rsidR="00D03C42" w:rsidRPr="0045725C" w:rsidRDefault="0045725C" w:rsidP="0045725C">
    <w:pPr>
      <w:pStyle w:val="a5"/>
      <w:pBdr>
        <w:top w:val="single" w:sz="4" w:space="1" w:color="auto"/>
        <w:between w:val="single" w:sz="4" w:space="0" w:color="auto"/>
      </w:pBdr>
      <w:spacing w:after="60"/>
      <w:jc w:val="center"/>
      <w:rPr>
        <w:rFonts w:ascii="FrankRuehl" w:hAnsi="FrankRuehl" w:cs="FrankRuehl"/>
        <w:color w:val="000000"/>
      </w:rPr>
    </w:pPr>
    <w:r w:rsidRPr="0045725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10EF4" w14:textId="77777777" w:rsidR="0045725C" w:rsidRDefault="0045725C" w:rsidP="0045725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21E9F">
      <w:rPr>
        <w:rFonts w:ascii="FrankRuehl" w:hAnsi="FrankRuehl" w:cs="FrankRuehl"/>
        <w:noProof/>
        <w:rtl/>
      </w:rPr>
      <w:t>1</w:t>
    </w:r>
    <w:r>
      <w:rPr>
        <w:rFonts w:ascii="FrankRuehl" w:hAnsi="FrankRuehl" w:cs="FrankRuehl"/>
        <w:rtl/>
      </w:rPr>
      <w:fldChar w:fldCharType="end"/>
    </w:r>
  </w:p>
  <w:p w14:paraId="591775B0" w14:textId="77777777" w:rsidR="00D03C42" w:rsidRPr="0045725C" w:rsidRDefault="0045725C" w:rsidP="0045725C">
    <w:pPr>
      <w:pStyle w:val="a5"/>
      <w:pBdr>
        <w:top w:val="single" w:sz="4" w:space="1" w:color="auto"/>
        <w:between w:val="single" w:sz="4" w:space="0" w:color="auto"/>
      </w:pBdr>
      <w:spacing w:after="60"/>
      <w:jc w:val="center"/>
      <w:rPr>
        <w:rFonts w:ascii="FrankRuehl" w:hAnsi="FrankRuehl" w:cs="FrankRuehl"/>
        <w:color w:val="000000"/>
      </w:rPr>
    </w:pPr>
    <w:r w:rsidRPr="0045725C">
      <w:rPr>
        <w:rFonts w:ascii="FrankRuehl" w:hAnsi="FrankRuehl" w:cs="FrankRuehl"/>
        <w:color w:val="000000"/>
      </w:rPr>
      <w:pict w14:anchorId="3E76B8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AC25CA" w14:textId="77777777" w:rsidR="00FF107F" w:rsidRDefault="00FF107F" w:rsidP="00486AA4">
      <w:r>
        <w:separator/>
      </w:r>
    </w:p>
  </w:footnote>
  <w:footnote w:type="continuationSeparator" w:id="0">
    <w:p w14:paraId="3542EDC9" w14:textId="77777777" w:rsidR="00FF107F" w:rsidRDefault="00FF107F" w:rsidP="00486A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70DAD" w14:textId="77777777" w:rsidR="00BF2A9A" w:rsidRPr="0045725C" w:rsidRDefault="0045725C" w:rsidP="0045725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53954-11-22</w:t>
    </w:r>
    <w:r>
      <w:rPr>
        <w:rFonts w:ascii="David" w:hAnsi="David"/>
        <w:color w:val="000000"/>
        <w:sz w:val="22"/>
        <w:szCs w:val="22"/>
        <w:rtl/>
      </w:rPr>
      <w:tab/>
      <w:t xml:space="preserve"> מדינת ישראל נ' לוטפי ג'ורבאן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18874" w14:textId="77777777" w:rsidR="00BF2A9A" w:rsidRPr="0045725C" w:rsidRDefault="0045725C" w:rsidP="0045725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53954-11-22</w:t>
    </w:r>
    <w:r>
      <w:rPr>
        <w:rFonts w:ascii="David" w:hAnsi="David"/>
        <w:color w:val="000000"/>
        <w:sz w:val="22"/>
        <w:szCs w:val="22"/>
        <w:rtl/>
      </w:rPr>
      <w:tab/>
      <w:t xml:space="preserve"> מדינת ישראל נ' לוטפי ג'ורבאן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0E32EE"/>
    <w:multiLevelType w:val="hybridMultilevel"/>
    <w:tmpl w:val="F4B0B492"/>
    <w:lvl w:ilvl="0" w:tplc="58621DE8">
      <w:start w:val="1"/>
      <w:numFmt w:val="decimal"/>
      <w:lvlText w:val="%1."/>
      <w:lvlJc w:val="left"/>
      <w:pPr>
        <w:ind w:left="720" w:hanging="360"/>
      </w:pPr>
      <w:rPr>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169190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879DD"/>
    <w:rsid w:val="001239BD"/>
    <w:rsid w:val="001879DD"/>
    <w:rsid w:val="001B5A3B"/>
    <w:rsid w:val="002D5F79"/>
    <w:rsid w:val="00410ED1"/>
    <w:rsid w:val="0045725C"/>
    <w:rsid w:val="00486AA4"/>
    <w:rsid w:val="00550CEF"/>
    <w:rsid w:val="006B422B"/>
    <w:rsid w:val="006F19CB"/>
    <w:rsid w:val="00A21E9F"/>
    <w:rsid w:val="00BF2A9A"/>
    <w:rsid w:val="00D03C42"/>
    <w:rsid w:val="00E5404F"/>
    <w:rsid w:val="00ED2367"/>
    <w:rsid w:val="00F25164"/>
    <w:rsid w:val="00FF107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DD3023D"/>
  <w15:chartTrackingRefBased/>
  <w15:docId w15:val="{3D5FF1A0-243E-4C68-82E5-5274C01F1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879D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879DD"/>
    <w:pPr>
      <w:tabs>
        <w:tab w:val="center" w:pos="4153"/>
        <w:tab w:val="right" w:pos="8306"/>
      </w:tabs>
    </w:pPr>
  </w:style>
  <w:style w:type="character" w:customStyle="1" w:styleId="a4">
    <w:name w:val="כותרת עליונה תו"/>
    <w:link w:val="a3"/>
    <w:rsid w:val="001879DD"/>
    <w:rPr>
      <w:rFonts w:ascii="Times New Roman" w:eastAsia="Times New Roman" w:hAnsi="Times New Roman" w:cs="David"/>
      <w:sz w:val="24"/>
      <w:szCs w:val="24"/>
    </w:rPr>
  </w:style>
  <w:style w:type="paragraph" w:styleId="a5">
    <w:name w:val="footer"/>
    <w:basedOn w:val="a"/>
    <w:link w:val="a6"/>
    <w:rsid w:val="001879DD"/>
    <w:pPr>
      <w:tabs>
        <w:tab w:val="center" w:pos="4153"/>
        <w:tab w:val="right" w:pos="8306"/>
      </w:tabs>
    </w:pPr>
  </w:style>
  <w:style w:type="character" w:customStyle="1" w:styleId="a6">
    <w:name w:val="כותרת תחתונה תו"/>
    <w:link w:val="a5"/>
    <w:rsid w:val="001879DD"/>
    <w:rPr>
      <w:rFonts w:ascii="Times New Roman" w:eastAsia="Times New Roman" w:hAnsi="Times New Roman" w:cs="David"/>
      <w:sz w:val="24"/>
      <w:szCs w:val="24"/>
    </w:rPr>
  </w:style>
  <w:style w:type="table" w:styleId="a7">
    <w:name w:val="Table Grid"/>
    <w:basedOn w:val="a1"/>
    <w:rsid w:val="001879D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879DD"/>
  </w:style>
  <w:style w:type="character" w:customStyle="1" w:styleId="TimesNewRomanTimesNewRoman">
    <w:name w:val="סגנון (לטיני) Times New Roman (עברית ושפות אחרות) Times New Roman..."/>
    <w:rsid w:val="001879DD"/>
    <w:rPr>
      <w:rFonts w:ascii="Times New Roman" w:hAnsi="Times New Roman" w:cs="David" w:hint="default"/>
      <w:b/>
      <w:bCs/>
      <w:sz w:val="26"/>
      <w:szCs w:val="26"/>
    </w:rPr>
  </w:style>
  <w:style w:type="table" w:customStyle="1" w:styleId="1">
    <w:name w:val="רשת טבלה1"/>
    <w:basedOn w:val="a1"/>
    <w:next w:val="a7"/>
    <w:rsid w:val="001879DD"/>
    <w:pPr>
      <w:jc w:val="right"/>
    </w:pPr>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qFormat/>
    <w:rsid w:val="001879DD"/>
    <w:pPr>
      <w:ind w:left="720"/>
      <w:contextualSpacing/>
    </w:pPr>
  </w:style>
  <w:style w:type="character" w:styleId="Hyperlink">
    <w:name w:val="Hyperlink"/>
    <w:rsid w:val="001879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44.b" TargetMode="External"/><Relationship Id="rId21" Type="http://schemas.openxmlformats.org/officeDocument/2006/relationships/hyperlink" Target="http://www.nevo.co.il/law/70301/40ja" TargetMode="External"/><Relationship Id="rId34" Type="http://schemas.openxmlformats.org/officeDocument/2006/relationships/hyperlink" Target="http://www.nevo.co.il/case/27894608" TargetMode="External"/><Relationship Id="rId42" Type="http://schemas.openxmlformats.org/officeDocument/2006/relationships/hyperlink" Target="http://www.nevo.co.il/case/5887664" TargetMode="External"/><Relationship Id="rId47" Type="http://schemas.openxmlformats.org/officeDocument/2006/relationships/hyperlink" Target="http://www.nevo.co.il/case/28243273" TargetMode="External"/><Relationship Id="rId50" Type="http://schemas.openxmlformats.org/officeDocument/2006/relationships/hyperlink" Target="http://www.nevo.co.il/case/28380863" TargetMode="External"/><Relationship Id="rId55" Type="http://schemas.openxmlformats.org/officeDocument/2006/relationships/hyperlink" Target="http://www.nevo.co.il/case/27911655" TargetMode="External"/><Relationship Id="rId63"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i" TargetMode="External"/><Relationship Id="rId29" Type="http://schemas.openxmlformats.org/officeDocument/2006/relationships/hyperlink" Target="http://www.nevo.co.il/law/70301/fCa1S" TargetMode="External"/><Relationship Id="rId11" Type="http://schemas.openxmlformats.org/officeDocument/2006/relationships/hyperlink" Target="http://www.nevo.co.il/law/70301/40d" TargetMode="External"/><Relationship Id="rId24" Type="http://schemas.openxmlformats.org/officeDocument/2006/relationships/hyperlink" Target="http://www.nevo.co.il/law/70301/40jd" TargetMode="External"/><Relationship Id="rId32" Type="http://schemas.openxmlformats.org/officeDocument/2006/relationships/hyperlink" Target="http://www.nevo.co.il/law/70301/40a" TargetMode="External"/><Relationship Id="rId37" Type="http://schemas.openxmlformats.org/officeDocument/2006/relationships/hyperlink" Target="http://www.nevo.co.il/case/5601503" TargetMode="External"/><Relationship Id="rId40" Type="http://schemas.openxmlformats.org/officeDocument/2006/relationships/hyperlink" Target="http://www.nevo.co.il/case/5762686" TargetMode="External"/><Relationship Id="rId45" Type="http://schemas.openxmlformats.org/officeDocument/2006/relationships/hyperlink" Target="http://www.nevo.co.il/case/27063216" TargetMode="External"/><Relationship Id="rId53" Type="http://schemas.openxmlformats.org/officeDocument/2006/relationships/hyperlink" Target="http://www.nevo.co.il/case/28697227" TargetMode="External"/><Relationship Id="rId58" Type="http://schemas.openxmlformats.org/officeDocument/2006/relationships/hyperlink" Target="http://www.nevo.co.il/case/28883087"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eader" Target="header1.xml"/><Relationship Id="rId19" Type="http://schemas.openxmlformats.org/officeDocument/2006/relationships/hyperlink" Target="http://www.nevo.co.il/law/70301/340a.b.1" TargetMode="External"/><Relationship Id="rId14" Type="http://schemas.openxmlformats.org/officeDocument/2006/relationships/hyperlink" Target="http://www.nevo.co.il/law/70301/40g" TargetMode="External"/><Relationship Id="rId22" Type="http://schemas.openxmlformats.org/officeDocument/2006/relationships/hyperlink" Target="http://www.nevo.co.il/law/70301/40jb"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8152132" TargetMode="External"/><Relationship Id="rId43" Type="http://schemas.openxmlformats.org/officeDocument/2006/relationships/hyperlink" Target="http://www.nevo.co.il/case/6473037" TargetMode="External"/><Relationship Id="rId48" Type="http://schemas.openxmlformats.org/officeDocument/2006/relationships/hyperlink" Target="http://www.nevo.co.il/case/27911655" TargetMode="External"/><Relationship Id="rId56" Type="http://schemas.openxmlformats.org/officeDocument/2006/relationships/hyperlink" Target="http://www.nevo.co.il/case/27915710" TargetMode="External"/><Relationship Id="rId64" Type="http://schemas.openxmlformats.org/officeDocument/2006/relationships/footer" Target="footer2.xml"/><Relationship Id="rId8" Type="http://schemas.openxmlformats.org/officeDocument/2006/relationships/hyperlink" Target="http://www.nevo.co.il/law/70301/40a" TargetMode="External"/><Relationship Id="rId51" Type="http://schemas.openxmlformats.org/officeDocument/2006/relationships/hyperlink" Target="http://www.nevo.co.il/case/28722692" TargetMode="External"/><Relationship Id="rId3" Type="http://schemas.openxmlformats.org/officeDocument/2006/relationships/settings" Target="settings.xml"/><Relationship Id="rId12" Type="http://schemas.openxmlformats.org/officeDocument/2006/relationships/hyperlink" Target="http://www.nevo.co.il/law/70301/40e" TargetMode="External"/><Relationship Id="rId17" Type="http://schemas.openxmlformats.org/officeDocument/2006/relationships/hyperlink" Target="http://www.nevo.co.il/law/70301/40j" TargetMode="External"/><Relationship Id="rId25" Type="http://schemas.openxmlformats.org/officeDocument/2006/relationships/hyperlink" Target="http://www.nevo.co.il/law/70301/fCa1S"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6034921" TargetMode="External"/><Relationship Id="rId46" Type="http://schemas.openxmlformats.org/officeDocument/2006/relationships/hyperlink" Target="http://www.nevo.co.il/case/28883087" TargetMode="External"/><Relationship Id="rId59" Type="http://schemas.openxmlformats.org/officeDocument/2006/relationships/hyperlink" Target="http://www.eca.gov.il" TargetMode="External"/><Relationship Id="rId20" Type="http://schemas.openxmlformats.org/officeDocument/2006/relationships/hyperlink" Target="http://www.nevo.co.il/law/70301/40if" TargetMode="External"/><Relationship Id="rId41" Type="http://schemas.openxmlformats.org/officeDocument/2006/relationships/hyperlink" Target="http://www.nevo.co.il/case/7791493" TargetMode="External"/><Relationship Id="rId54" Type="http://schemas.openxmlformats.org/officeDocument/2006/relationships/hyperlink" Target="http://www.nevo.co.il/case/28384638" TargetMode="External"/><Relationship Id="rId62"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h" TargetMode="External"/><Relationship Id="rId23" Type="http://schemas.openxmlformats.org/officeDocument/2006/relationships/hyperlink" Target="http://www.nevo.co.il/law/70301/40jc" TargetMode="External"/><Relationship Id="rId28" Type="http://schemas.openxmlformats.org/officeDocument/2006/relationships/hyperlink" Target="http://www.nevo.co.il/law/70301/340a.b.1"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27494821"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40c" TargetMode="External"/><Relationship Id="rId31" Type="http://schemas.openxmlformats.org/officeDocument/2006/relationships/hyperlink" Target="http://www.nevo.co.il/law/70301/40a;40b;40c;40d;40e;40f;40g;40h;40i;40j;40ja;40jb;40jc;40jd;40if" TargetMode="External"/><Relationship Id="rId44" Type="http://schemas.openxmlformats.org/officeDocument/2006/relationships/hyperlink" Target="http://www.nevo.co.il/case/6950458" TargetMode="External"/><Relationship Id="rId52" Type="http://schemas.openxmlformats.org/officeDocument/2006/relationships/hyperlink" Target="http://www.nevo.co.il/case/21472954" TargetMode="External"/><Relationship Id="rId60" Type="http://schemas.openxmlformats.org/officeDocument/2006/relationships/hyperlink" Target="http://www.nevo.co.il/advertisements/nevo-100.doc"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40b" TargetMode="External"/><Relationship Id="rId13" Type="http://schemas.openxmlformats.org/officeDocument/2006/relationships/hyperlink" Target="http://www.nevo.co.il/law/70301/40f" TargetMode="External"/><Relationship Id="rId18" Type="http://schemas.openxmlformats.org/officeDocument/2006/relationships/hyperlink" Target="http://www.nevo.co.il/law/70301/144.b" TargetMode="External"/><Relationship Id="rId39" Type="http://schemas.openxmlformats.org/officeDocument/2006/relationships/hyperlink" Target="http://www.nevo.co.il/case/2691399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3657</Words>
  <Characters>18289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21903</CharactersWithSpaces>
  <SharedDoc>false</SharedDoc>
  <HLinks>
    <vt:vector size="324" baseType="variant">
      <vt:variant>
        <vt:i4>393283</vt:i4>
      </vt:variant>
      <vt:variant>
        <vt:i4>159</vt:i4>
      </vt:variant>
      <vt:variant>
        <vt:i4>0</vt:i4>
      </vt:variant>
      <vt:variant>
        <vt:i4>5</vt:i4>
      </vt:variant>
      <vt:variant>
        <vt:lpwstr>http://www.nevo.co.il/advertisements/nevo-100.doc</vt:lpwstr>
      </vt:variant>
      <vt:variant>
        <vt:lpwstr/>
      </vt:variant>
      <vt:variant>
        <vt:i4>7864368</vt:i4>
      </vt:variant>
      <vt:variant>
        <vt:i4>156</vt:i4>
      </vt:variant>
      <vt:variant>
        <vt:i4>0</vt:i4>
      </vt:variant>
      <vt:variant>
        <vt:i4>5</vt:i4>
      </vt:variant>
      <vt:variant>
        <vt:lpwstr>http://www.eca.gov.il/</vt:lpwstr>
      </vt:variant>
      <vt:variant>
        <vt:lpwstr/>
      </vt:variant>
      <vt:variant>
        <vt:i4>3211380</vt:i4>
      </vt:variant>
      <vt:variant>
        <vt:i4>153</vt:i4>
      </vt:variant>
      <vt:variant>
        <vt:i4>0</vt:i4>
      </vt:variant>
      <vt:variant>
        <vt:i4>5</vt:i4>
      </vt:variant>
      <vt:variant>
        <vt:lpwstr>http://www.nevo.co.il/case/28883087</vt:lpwstr>
      </vt:variant>
      <vt:variant>
        <vt:lpwstr/>
      </vt:variant>
      <vt:variant>
        <vt:i4>7995492</vt:i4>
      </vt:variant>
      <vt:variant>
        <vt:i4>150</vt:i4>
      </vt:variant>
      <vt:variant>
        <vt:i4>0</vt:i4>
      </vt:variant>
      <vt:variant>
        <vt:i4>5</vt:i4>
      </vt:variant>
      <vt:variant>
        <vt:lpwstr>http://www.nevo.co.il/law/70301</vt:lpwstr>
      </vt:variant>
      <vt:variant>
        <vt:lpwstr/>
      </vt:variant>
      <vt:variant>
        <vt:i4>4128885</vt:i4>
      </vt:variant>
      <vt:variant>
        <vt:i4>147</vt:i4>
      </vt:variant>
      <vt:variant>
        <vt:i4>0</vt:i4>
      </vt:variant>
      <vt:variant>
        <vt:i4>5</vt:i4>
      </vt:variant>
      <vt:variant>
        <vt:lpwstr>http://www.nevo.co.il/case/27915710</vt:lpwstr>
      </vt:variant>
      <vt:variant>
        <vt:lpwstr/>
      </vt:variant>
      <vt:variant>
        <vt:i4>4128884</vt:i4>
      </vt:variant>
      <vt:variant>
        <vt:i4>144</vt:i4>
      </vt:variant>
      <vt:variant>
        <vt:i4>0</vt:i4>
      </vt:variant>
      <vt:variant>
        <vt:i4>5</vt:i4>
      </vt:variant>
      <vt:variant>
        <vt:lpwstr>http://www.nevo.co.il/case/27911655</vt:lpwstr>
      </vt:variant>
      <vt:variant>
        <vt:lpwstr/>
      </vt:variant>
      <vt:variant>
        <vt:i4>3539058</vt:i4>
      </vt:variant>
      <vt:variant>
        <vt:i4>141</vt:i4>
      </vt:variant>
      <vt:variant>
        <vt:i4>0</vt:i4>
      </vt:variant>
      <vt:variant>
        <vt:i4>5</vt:i4>
      </vt:variant>
      <vt:variant>
        <vt:lpwstr>http://www.nevo.co.il/case/28384638</vt:lpwstr>
      </vt:variant>
      <vt:variant>
        <vt:lpwstr/>
      </vt:variant>
      <vt:variant>
        <vt:i4>3211383</vt:i4>
      </vt:variant>
      <vt:variant>
        <vt:i4>138</vt:i4>
      </vt:variant>
      <vt:variant>
        <vt:i4>0</vt:i4>
      </vt:variant>
      <vt:variant>
        <vt:i4>5</vt:i4>
      </vt:variant>
      <vt:variant>
        <vt:lpwstr>http://www.nevo.co.il/case/28697227</vt:lpwstr>
      </vt:variant>
      <vt:variant>
        <vt:lpwstr/>
      </vt:variant>
      <vt:variant>
        <vt:i4>3211387</vt:i4>
      </vt:variant>
      <vt:variant>
        <vt:i4>135</vt:i4>
      </vt:variant>
      <vt:variant>
        <vt:i4>0</vt:i4>
      </vt:variant>
      <vt:variant>
        <vt:i4>5</vt:i4>
      </vt:variant>
      <vt:variant>
        <vt:lpwstr>http://www.nevo.co.il/case/21472954</vt:lpwstr>
      </vt:variant>
      <vt:variant>
        <vt:lpwstr/>
      </vt:variant>
      <vt:variant>
        <vt:i4>4063352</vt:i4>
      </vt:variant>
      <vt:variant>
        <vt:i4>132</vt:i4>
      </vt:variant>
      <vt:variant>
        <vt:i4>0</vt:i4>
      </vt:variant>
      <vt:variant>
        <vt:i4>5</vt:i4>
      </vt:variant>
      <vt:variant>
        <vt:lpwstr>http://www.nevo.co.il/case/28722692</vt:lpwstr>
      </vt:variant>
      <vt:variant>
        <vt:lpwstr/>
      </vt:variant>
      <vt:variant>
        <vt:i4>3604604</vt:i4>
      </vt:variant>
      <vt:variant>
        <vt:i4>129</vt:i4>
      </vt:variant>
      <vt:variant>
        <vt:i4>0</vt:i4>
      </vt:variant>
      <vt:variant>
        <vt:i4>5</vt:i4>
      </vt:variant>
      <vt:variant>
        <vt:lpwstr>http://www.nevo.co.il/case/28380863</vt:lpwstr>
      </vt:variant>
      <vt:variant>
        <vt:lpwstr/>
      </vt:variant>
      <vt:variant>
        <vt:i4>3145842</vt:i4>
      </vt:variant>
      <vt:variant>
        <vt:i4>126</vt:i4>
      </vt:variant>
      <vt:variant>
        <vt:i4>0</vt:i4>
      </vt:variant>
      <vt:variant>
        <vt:i4>5</vt:i4>
      </vt:variant>
      <vt:variant>
        <vt:lpwstr>http://www.nevo.co.il/case/27494821</vt:lpwstr>
      </vt:variant>
      <vt:variant>
        <vt:lpwstr/>
      </vt:variant>
      <vt:variant>
        <vt:i4>4128884</vt:i4>
      </vt:variant>
      <vt:variant>
        <vt:i4>123</vt:i4>
      </vt:variant>
      <vt:variant>
        <vt:i4>0</vt:i4>
      </vt:variant>
      <vt:variant>
        <vt:i4>5</vt:i4>
      </vt:variant>
      <vt:variant>
        <vt:lpwstr>http://www.nevo.co.il/case/27911655</vt:lpwstr>
      </vt:variant>
      <vt:variant>
        <vt:lpwstr/>
      </vt:variant>
      <vt:variant>
        <vt:i4>3407994</vt:i4>
      </vt:variant>
      <vt:variant>
        <vt:i4>120</vt:i4>
      </vt:variant>
      <vt:variant>
        <vt:i4>0</vt:i4>
      </vt:variant>
      <vt:variant>
        <vt:i4>5</vt:i4>
      </vt:variant>
      <vt:variant>
        <vt:lpwstr>http://www.nevo.co.il/case/28243273</vt:lpwstr>
      </vt:variant>
      <vt:variant>
        <vt:lpwstr/>
      </vt:variant>
      <vt:variant>
        <vt:i4>3211380</vt:i4>
      </vt:variant>
      <vt:variant>
        <vt:i4>117</vt:i4>
      </vt:variant>
      <vt:variant>
        <vt:i4>0</vt:i4>
      </vt:variant>
      <vt:variant>
        <vt:i4>5</vt:i4>
      </vt:variant>
      <vt:variant>
        <vt:lpwstr>http://www.nevo.co.il/case/28883087</vt:lpwstr>
      </vt:variant>
      <vt:variant>
        <vt:lpwstr/>
      </vt:variant>
      <vt:variant>
        <vt:i4>3145847</vt:i4>
      </vt:variant>
      <vt:variant>
        <vt:i4>114</vt:i4>
      </vt:variant>
      <vt:variant>
        <vt:i4>0</vt:i4>
      </vt:variant>
      <vt:variant>
        <vt:i4>5</vt:i4>
      </vt:variant>
      <vt:variant>
        <vt:lpwstr>http://www.nevo.co.il/case/27063216</vt:lpwstr>
      </vt:variant>
      <vt:variant>
        <vt:lpwstr/>
      </vt:variant>
      <vt:variant>
        <vt:i4>4128888</vt:i4>
      </vt:variant>
      <vt:variant>
        <vt:i4>111</vt:i4>
      </vt:variant>
      <vt:variant>
        <vt:i4>0</vt:i4>
      </vt:variant>
      <vt:variant>
        <vt:i4>5</vt:i4>
      </vt:variant>
      <vt:variant>
        <vt:lpwstr>http://www.nevo.co.il/case/6950458</vt:lpwstr>
      </vt:variant>
      <vt:variant>
        <vt:lpwstr/>
      </vt:variant>
      <vt:variant>
        <vt:i4>3539056</vt:i4>
      </vt:variant>
      <vt:variant>
        <vt:i4>108</vt:i4>
      </vt:variant>
      <vt:variant>
        <vt:i4>0</vt:i4>
      </vt:variant>
      <vt:variant>
        <vt:i4>5</vt:i4>
      </vt:variant>
      <vt:variant>
        <vt:lpwstr>http://www.nevo.co.il/case/6473037</vt:lpwstr>
      </vt:variant>
      <vt:variant>
        <vt:lpwstr/>
      </vt:variant>
      <vt:variant>
        <vt:i4>4128893</vt:i4>
      </vt:variant>
      <vt:variant>
        <vt:i4>105</vt:i4>
      </vt:variant>
      <vt:variant>
        <vt:i4>0</vt:i4>
      </vt:variant>
      <vt:variant>
        <vt:i4>5</vt:i4>
      </vt:variant>
      <vt:variant>
        <vt:lpwstr>http://www.nevo.co.il/case/5887664</vt:lpwstr>
      </vt:variant>
      <vt:variant>
        <vt:lpwstr/>
      </vt:variant>
      <vt:variant>
        <vt:i4>3735675</vt:i4>
      </vt:variant>
      <vt:variant>
        <vt:i4>102</vt:i4>
      </vt:variant>
      <vt:variant>
        <vt:i4>0</vt:i4>
      </vt:variant>
      <vt:variant>
        <vt:i4>5</vt:i4>
      </vt:variant>
      <vt:variant>
        <vt:lpwstr>http://www.nevo.co.il/case/7791493</vt:lpwstr>
      </vt:variant>
      <vt:variant>
        <vt:lpwstr/>
      </vt:variant>
      <vt:variant>
        <vt:i4>3342457</vt:i4>
      </vt:variant>
      <vt:variant>
        <vt:i4>99</vt:i4>
      </vt:variant>
      <vt:variant>
        <vt:i4>0</vt:i4>
      </vt:variant>
      <vt:variant>
        <vt:i4>5</vt:i4>
      </vt:variant>
      <vt:variant>
        <vt:lpwstr>http://www.nevo.co.il/case/5762686</vt:lpwstr>
      </vt:variant>
      <vt:variant>
        <vt:lpwstr/>
      </vt:variant>
      <vt:variant>
        <vt:i4>3211386</vt:i4>
      </vt:variant>
      <vt:variant>
        <vt:i4>96</vt:i4>
      </vt:variant>
      <vt:variant>
        <vt:i4>0</vt:i4>
      </vt:variant>
      <vt:variant>
        <vt:i4>5</vt:i4>
      </vt:variant>
      <vt:variant>
        <vt:lpwstr>http://www.nevo.co.il/case/26913995</vt:lpwstr>
      </vt:variant>
      <vt:variant>
        <vt:lpwstr/>
      </vt:variant>
      <vt:variant>
        <vt:i4>3997810</vt:i4>
      </vt:variant>
      <vt:variant>
        <vt:i4>93</vt:i4>
      </vt:variant>
      <vt:variant>
        <vt:i4>0</vt:i4>
      </vt:variant>
      <vt:variant>
        <vt:i4>5</vt:i4>
      </vt:variant>
      <vt:variant>
        <vt:lpwstr>http://www.nevo.co.il/case/6034921</vt:lpwstr>
      </vt:variant>
      <vt:variant>
        <vt:lpwstr/>
      </vt:variant>
      <vt:variant>
        <vt:i4>3342451</vt:i4>
      </vt:variant>
      <vt:variant>
        <vt:i4>90</vt:i4>
      </vt:variant>
      <vt:variant>
        <vt:i4>0</vt:i4>
      </vt:variant>
      <vt:variant>
        <vt:i4>5</vt:i4>
      </vt:variant>
      <vt:variant>
        <vt:lpwstr>http://www.nevo.co.il/case/5601503</vt:lpwstr>
      </vt:variant>
      <vt:variant>
        <vt:lpwstr/>
      </vt:variant>
      <vt:variant>
        <vt:i4>7995492</vt:i4>
      </vt:variant>
      <vt:variant>
        <vt:i4>87</vt:i4>
      </vt:variant>
      <vt:variant>
        <vt:i4>0</vt:i4>
      </vt:variant>
      <vt:variant>
        <vt:i4>5</vt:i4>
      </vt:variant>
      <vt:variant>
        <vt:lpwstr>http://www.nevo.co.il/law/70301</vt:lpwstr>
      </vt:variant>
      <vt:variant>
        <vt:lpwstr/>
      </vt:variant>
      <vt:variant>
        <vt:i4>3276920</vt:i4>
      </vt:variant>
      <vt:variant>
        <vt:i4>84</vt:i4>
      </vt:variant>
      <vt:variant>
        <vt:i4>0</vt:i4>
      </vt:variant>
      <vt:variant>
        <vt:i4>5</vt:i4>
      </vt:variant>
      <vt:variant>
        <vt:lpwstr>http://www.nevo.co.il/case/28152132</vt:lpwstr>
      </vt:variant>
      <vt:variant>
        <vt:lpwstr/>
      </vt:variant>
      <vt:variant>
        <vt:i4>4063356</vt:i4>
      </vt:variant>
      <vt:variant>
        <vt:i4>81</vt:i4>
      </vt:variant>
      <vt:variant>
        <vt:i4>0</vt:i4>
      </vt:variant>
      <vt:variant>
        <vt:i4>5</vt:i4>
      </vt:variant>
      <vt:variant>
        <vt:lpwstr>http://www.nevo.co.il/case/27894608</vt:lpwstr>
      </vt:variant>
      <vt:variant>
        <vt:lpwstr/>
      </vt:variant>
      <vt:variant>
        <vt:i4>7995492</vt:i4>
      </vt:variant>
      <vt:variant>
        <vt:i4>78</vt:i4>
      </vt:variant>
      <vt:variant>
        <vt:i4>0</vt:i4>
      </vt:variant>
      <vt:variant>
        <vt:i4>5</vt:i4>
      </vt:variant>
      <vt:variant>
        <vt:lpwstr>http://www.nevo.co.il/law/70301</vt:lpwstr>
      </vt:variant>
      <vt:variant>
        <vt:lpwstr/>
      </vt:variant>
      <vt:variant>
        <vt:i4>6619233</vt:i4>
      </vt:variant>
      <vt:variant>
        <vt:i4>75</vt:i4>
      </vt:variant>
      <vt:variant>
        <vt:i4>0</vt:i4>
      </vt:variant>
      <vt:variant>
        <vt:i4>5</vt:i4>
      </vt:variant>
      <vt:variant>
        <vt:lpwstr>http://www.nevo.co.il/law/70301/40a</vt:lpwstr>
      </vt:variant>
      <vt:variant>
        <vt:lpwstr/>
      </vt:variant>
      <vt:variant>
        <vt:i4>65541</vt:i4>
      </vt:variant>
      <vt:variant>
        <vt:i4>72</vt:i4>
      </vt:variant>
      <vt:variant>
        <vt:i4>0</vt:i4>
      </vt:variant>
      <vt:variant>
        <vt:i4>5</vt:i4>
      </vt:variant>
      <vt:variant>
        <vt:lpwstr>http://www.nevo.co.il/law/70301/40a;40b;40c;40d;40e;40f;40g;40h;40i;40j;40ja;40jb;40jc;40jd;40if</vt:lpwstr>
      </vt:variant>
      <vt:variant>
        <vt:lpwstr/>
      </vt:variant>
      <vt:variant>
        <vt:i4>7995492</vt:i4>
      </vt:variant>
      <vt:variant>
        <vt:i4>69</vt:i4>
      </vt:variant>
      <vt:variant>
        <vt:i4>0</vt:i4>
      </vt:variant>
      <vt:variant>
        <vt:i4>5</vt:i4>
      </vt:variant>
      <vt:variant>
        <vt:lpwstr>http://www.nevo.co.il/law/70301</vt:lpwstr>
      </vt:variant>
      <vt:variant>
        <vt:lpwstr/>
      </vt:variant>
      <vt:variant>
        <vt:i4>458834</vt:i4>
      </vt:variant>
      <vt:variant>
        <vt:i4>66</vt:i4>
      </vt:variant>
      <vt:variant>
        <vt:i4>0</vt:i4>
      </vt:variant>
      <vt:variant>
        <vt:i4>5</vt:i4>
      </vt:variant>
      <vt:variant>
        <vt:lpwstr>http://www.nevo.co.il/law/70301/fCa1S</vt:lpwstr>
      </vt:variant>
      <vt:variant>
        <vt:lpwstr/>
      </vt:variant>
      <vt:variant>
        <vt:i4>5439574</vt:i4>
      </vt:variant>
      <vt:variant>
        <vt:i4>63</vt:i4>
      </vt:variant>
      <vt:variant>
        <vt:i4>0</vt:i4>
      </vt:variant>
      <vt:variant>
        <vt:i4>5</vt:i4>
      </vt:variant>
      <vt:variant>
        <vt:lpwstr>http://www.nevo.co.il/law/70301/340a.b.1</vt:lpwstr>
      </vt:variant>
      <vt:variant>
        <vt:lpwstr/>
      </vt:variant>
      <vt:variant>
        <vt:i4>7995492</vt:i4>
      </vt:variant>
      <vt:variant>
        <vt:i4>60</vt:i4>
      </vt:variant>
      <vt:variant>
        <vt:i4>0</vt:i4>
      </vt:variant>
      <vt:variant>
        <vt:i4>5</vt:i4>
      </vt:variant>
      <vt:variant>
        <vt:lpwstr>http://www.nevo.co.il/law/70301</vt:lpwstr>
      </vt:variant>
      <vt:variant>
        <vt:lpwstr/>
      </vt:variant>
      <vt:variant>
        <vt:i4>5177424</vt:i4>
      </vt:variant>
      <vt:variant>
        <vt:i4>57</vt:i4>
      </vt:variant>
      <vt:variant>
        <vt:i4>0</vt:i4>
      </vt:variant>
      <vt:variant>
        <vt:i4>5</vt:i4>
      </vt:variant>
      <vt:variant>
        <vt:lpwstr>http://www.nevo.co.il/law/70301/144.b</vt:lpwstr>
      </vt:variant>
      <vt:variant>
        <vt:lpwstr/>
      </vt:variant>
      <vt:variant>
        <vt:i4>458834</vt:i4>
      </vt:variant>
      <vt:variant>
        <vt:i4>54</vt:i4>
      </vt:variant>
      <vt:variant>
        <vt:i4>0</vt:i4>
      </vt:variant>
      <vt:variant>
        <vt:i4>5</vt:i4>
      </vt:variant>
      <vt:variant>
        <vt:lpwstr>http://www.nevo.co.il/law/70301/fCa1S</vt:lpwstr>
      </vt:variant>
      <vt:variant>
        <vt:lpwstr/>
      </vt:variant>
      <vt:variant>
        <vt:i4>65547</vt:i4>
      </vt:variant>
      <vt:variant>
        <vt:i4>51</vt:i4>
      </vt:variant>
      <vt:variant>
        <vt:i4>0</vt:i4>
      </vt:variant>
      <vt:variant>
        <vt:i4>5</vt:i4>
      </vt:variant>
      <vt:variant>
        <vt:lpwstr>http://www.nevo.co.il/law/70301/40jd</vt:lpwstr>
      </vt:variant>
      <vt:variant>
        <vt:lpwstr/>
      </vt:variant>
      <vt:variant>
        <vt:i4>393227</vt:i4>
      </vt:variant>
      <vt:variant>
        <vt:i4>48</vt:i4>
      </vt:variant>
      <vt:variant>
        <vt:i4>0</vt:i4>
      </vt:variant>
      <vt:variant>
        <vt:i4>5</vt:i4>
      </vt:variant>
      <vt:variant>
        <vt:lpwstr>http://www.nevo.co.il/law/70301/40jc</vt:lpwstr>
      </vt:variant>
      <vt:variant>
        <vt:lpwstr/>
      </vt:variant>
      <vt:variant>
        <vt:i4>458763</vt:i4>
      </vt:variant>
      <vt:variant>
        <vt:i4>45</vt:i4>
      </vt:variant>
      <vt:variant>
        <vt:i4>0</vt:i4>
      </vt:variant>
      <vt:variant>
        <vt:i4>5</vt:i4>
      </vt:variant>
      <vt:variant>
        <vt:lpwstr>http://www.nevo.co.il/law/70301/40jb</vt:lpwstr>
      </vt:variant>
      <vt:variant>
        <vt:lpwstr/>
      </vt:variant>
      <vt:variant>
        <vt:i4>262155</vt:i4>
      </vt:variant>
      <vt:variant>
        <vt:i4>42</vt:i4>
      </vt:variant>
      <vt:variant>
        <vt:i4>0</vt:i4>
      </vt:variant>
      <vt:variant>
        <vt:i4>5</vt:i4>
      </vt:variant>
      <vt:variant>
        <vt:lpwstr>http://www.nevo.co.il/law/70301/40ja</vt:lpwstr>
      </vt:variant>
      <vt:variant>
        <vt:lpwstr/>
      </vt:variant>
      <vt:variant>
        <vt:i4>196616</vt:i4>
      </vt:variant>
      <vt:variant>
        <vt:i4>39</vt:i4>
      </vt:variant>
      <vt:variant>
        <vt:i4>0</vt:i4>
      </vt:variant>
      <vt:variant>
        <vt:i4>5</vt:i4>
      </vt:variant>
      <vt:variant>
        <vt:lpwstr>http://www.nevo.co.il/law/70301/40if</vt:lpwstr>
      </vt:variant>
      <vt:variant>
        <vt:lpwstr/>
      </vt:variant>
      <vt:variant>
        <vt:i4>5439574</vt:i4>
      </vt:variant>
      <vt:variant>
        <vt:i4>36</vt:i4>
      </vt:variant>
      <vt:variant>
        <vt:i4>0</vt:i4>
      </vt:variant>
      <vt:variant>
        <vt:i4>5</vt:i4>
      </vt:variant>
      <vt:variant>
        <vt:lpwstr>http://www.nevo.co.il/law/70301/340a.b.1</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6619233</vt:i4>
      </vt:variant>
      <vt:variant>
        <vt:i4>30</vt:i4>
      </vt:variant>
      <vt:variant>
        <vt:i4>0</vt:i4>
      </vt:variant>
      <vt:variant>
        <vt:i4>5</vt:i4>
      </vt:variant>
      <vt:variant>
        <vt:lpwstr>http://www.nevo.co.il/law/70301/40j</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6619233</vt:i4>
      </vt:variant>
      <vt:variant>
        <vt:i4>24</vt:i4>
      </vt:variant>
      <vt:variant>
        <vt:i4>0</vt:i4>
      </vt:variant>
      <vt:variant>
        <vt:i4>5</vt:i4>
      </vt:variant>
      <vt:variant>
        <vt:lpwstr>http://www.nevo.co.il/law/70301/40h</vt:lpwstr>
      </vt:variant>
      <vt:variant>
        <vt:lpwstr/>
      </vt:variant>
      <vt:variant>
        <vt:i4>6619233</vt:i4>
      </vt:variant>
      <vt:variant>
        <vt:i4>21</vt:i4>
      </vt:variant>
      <vt:variant>
        <vt:i4>0</vt:i4>
      </vt:variant>
      <vt:variant>
        <vt:i4>5</vt:i4>
      </vt:variant>
      <vt:variant>
        <vt:lpwstr>http://www.nevo.co.il/law/70301/40g</vt:lpwstr>
      </vt:variant>
      <vt:variant>
        <vt:lpwstr/>
      </vt:variant>
      <vt:variant>
        <vt:i4>6619233</vt:i4>
      </vt:variant>
      <vt:variant>
        <vt:i4>18</vt:i4>
      </vt:variant>
      <vt:variant>
        <vt:i4>0</vt:i4>
      </vt:variant>
      <vt:variant>
        <vt:i4>5</vt:i4>
      </vt:variant>
      <vt:variant>
        <vt:lpwstr>http://www.nevo.co.il/law/70301/40f</vt:lpwstr>
      </vt:variant>
      <vt:variant>
        <vt:lpwstr/>
      </vt:variant>
      <vt:variant>
        <vt:i4>6619233</vt:i4>
      </vt:variant>
      <vt:variant>
        <vt:i4>15</vt:i4>
      </vt:variant>
      <vt:variant>
        <vt:i4>0</vt:i4>
      </vt:variant>
      <vt:variant>
        <vt:i4>5</vt:i4>
      </vt:variant>
      <vt:variant>
        <vt:lpwstr>http://www.nevo.co.il/law/70301/40e</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6619233</vt:i4>
      </vt:variant>
      <vt:variant>
        <vt:i4>9</vt:i4>
      </vt:variant>
      <vt:variant>
        <vt:i4>0</vt:i4>
      </vt:variant>
      <vt:variant>
        <vt:i4>5</vt:i4>
      </vt:variant>
      <vt:variant>
        <vt:lpwstr>http://www.nevo.co.il/law/70301/40c</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6619233</vt:i4>
      </vt:variant>
      <vt:variant>
        <vt:i4>3</vt:i4>
      </vt:variant>
      <vt:variant>
        <vt:i4>0</vt:i4>
      </vt:variant>
      <vt:variant>
        <vt:i4>5</vt:i4>
      </vt:variant>
      <vt:variant>
        <vt:lpwstr>http://www.nevo.co.il/law/70301/40a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2025-01-19T16:57:00Z</dcterms:created>
  <dcterms:modified xsi:type="dcterms:W3CDTF">2025-01-19T16:57:00Z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53954</vt:lpwstr>
  </property>
  <property fmtid="{D5CDD505-2E9C-101B-9397-08002B2CF9AE}" pid="6" name="NEWPARTB">
    <vt:lpwstr>11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לוטפי ג'ורבאן </vt:lpwstr>
  </property>
  <property fmtid="{D5CDD505-2E9C-101B-9397-08002B2CF9AE}" pid="10" name="JUDGE">
    <vt:lpwstr>גיל קרזבום</vt:lpwstr>
  </property>
  <property fmtid="{D5CDD505-2E9C-101B-9397-08002B2CF9AE}" pid="11" name="CITY">
    <vt:lpwstr>חי'</vt:lpwstr>
  </property>
  <property fmtid="{D5CDD505-2E9C-101B-9397-08002B2CF9AE}" pid="12" name="DATE">
    <vt:lpwstr>20230705</vt:lpwstr>
  </property>
  <property fmtid="{D5CDD505-2E9C-101B-9397-08002B2CF9AE}" pid="13" name="TYPE_N_DATE">
    <vt:lpwstr>39020230705</vt:lpwstr>
  </property>
  <property fmtid="{D5CDD505-2E9C-101B-9397-08002B2CF9AE}" pid="14" name="WORDNUMPAGES">
    <vt:lpwstr>10</vt:lpwstr>
  </property>
  <property fmtid="{D5CDD505-2E9C-101B-9397-08002B2CF9AE}" pid="15" name="TYPE_ABS_DATE">
    <vt:lpwstr>390020230705</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27894608;28152132;5601503;6034921;26913995;5762686;7791493;5887664;6473037;6950458;27063216;28883087:2;28243273;27911655:2;27494821;28380863;28722692;21472954;28697227;28384638;27915710</vt:lpwstr>
  </property>
  <property fmtid="{D5CDD505-2E9C-101B-9397-08002B2CF9AE}" pid="36" name="LAWLISTTMP1">
    <vt:lpwstr>70301/144.b;340a.b.1;fCa1S;040a:2;040b;040c;040d;040e;040f;040g;040h;040i;040j;40ja;40jb;40jc;40jd;40if</vt:lpwstr>
  </property>
</Properties>
</file>