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A7CAA" w:rsidRPr="00881EBD" w14:paraId="223A001F" w14:textId="77777777" w:rsidTr="00B3717C">
        <w:trPr>
          <w:trHeight w:hRule="exact" w:val="418"/>
          <w:jc w:val="center"/>
        </w:trPr>
        <w:tc>
          <w:tcPr>
            <w:tcW w:w="8721" w:type="dxa"/>
            <w:gridSpan w:val="2"/>
          </w:tcPr>
          <w:p w14:paraId="1D67627C" w14:textId="77777777" w:rsidR="005A7CAA" w:rsidRPr="00881EBD" w:rsidRDefault="005A7CAA" w:rsidP="00E7132D">
            <w:pPr>
              <w:pStyle w:val="a3"/>
              <w:jc w:val="center"/>
              <w:rPr>
                <w:rFonts w:ascii="Tahoma" w:hAnsi="Tahoma" w:cs="Tahoma"/>
                <w:color w:val="000080"/>
                <w:rtl/>
              </w:rPr>
            </w:pPr>
            <w:bookmarkStart w:id="0" w:name="LastJudge"/>
            <w:r w:rsidRPr="00881EBD">
              <w:rPr>
                <w:rFonts w:ascii="Tahoma" w:hAnsi="Tahoma" w:cs="Tahoma"/>
                <w:b/>
                <w:bCs/>
                <w:color w:val="000080"/>
                <w:rtl/>
              </w:rPr>
              <w:t>בית המשפט המחוזי בבאר שבע</w:t>
            </w:r>
          </w:p>
        </w:tc>
      </w:tr>
      <w:tr w:rsidR="005A7CAA" w:rsidRPr="00881EBD" w14:paraId="39A676DA" w14:textId="77777777" w:rsidTr="00B3717C">
        <w:trPr>
          <w:trHeight w:val="337"/>
          <w:jc w:val="center"/>
        </w:trPr>
        <w:tc>
          <w:tcPr>
            <w:tcW w:w="5059" w:type="dxa"/>
          </w:tcPr>
          <w:p w14:paraId="26236D45" w14:textId="77777777" w:rsidR="005A7CAA" w:rsidRPr="00881EBD" w:rsidRDefault="005A7CAA" w:rsidP="00E7132D">
            <w:pPr>
              <w:rPr>
                <w:rFonts w:cs="FrankRuehl"/>
                <w:sz w:val="28"/>
                <w:szCs w:val="28"/>
                <w:rtl/>
              </w:rPr>
            </w:pPr>
            <w:r w:rsidRPr="00881EBD">
              <w:rPr>
                <w:rFonts w:cs="FrankRuehl"/>
                <w:sz w:val="28"/>
                <w:szCs w:val="28"/>
                <w:rtl/>
              </w:rPr>
              <w:t>ת"פ</w:t>
            </w:r>
            <w:r w:rsidRPr="00881EBD">
              <w:rPr>
                <w:rFonts w:cs="FrankRuehl" w:hint="cs"/>
                <w:sz w:val="28"/>
                <w:szCs w:val="28"/>
                <w:rtl/>
              </w:rPr>
              <w:t xml:space="preserve"> </w:t>
            </w:r>
            <w:r w:rsidRPr="00881EBD">
              <w:rPr>
                <w:rFonts w:cs="FrankRuehl"/>
                <w:sz w:val="28"/>
                <w:szCs w:val="28"/>
                <w:rtl/>
              </w:rPr>
              <w:t>13995-12-22</w:t>
            </w:r>
            <w:r w:rsidRPr="00881EBD">
              <w:rPr>
                <w:rFonts w:cs="FrankRuehl" w:hint="cs"/>
                <w:sz w:val="28"/>
                <w:szCs w:val="28"/>
                <w:rtl/>
              </w:rPr>
              <w:t xml:space="preserve"> </w:t>
            </w:r>
            <w:r w:rsidRPr="00881EBD">
              <w:rPr>
                <w:rFonts w:cs="FrankRuehl"/>
                <w:sz w:val="28"/>
                <w:szCs w:val="28"/>
                <w:rtl/>
              </w:rPr>
              <w:t>מדינת ישראל נ' אבו סרחאן(עציר)</w:t>
            </w:r>
          </w:p>
          <w:p w14:paraId="3823B8E6" w14:textId="77777777" w:rsidR="005A7CAA" w:rsidRPr="00881EBD" w:rsidRDefault="005A7CAA" w:rsidP="00E7132D">
            <w:pPr>
              <w:pStyle w:val="a3"/>
              <w:rPr>
                <w:rFonts w:cs="FrankRuehl"/>
                <w:sz w:val="28"/>
                <w:szCs w:val="28"/>
                <w:rtl/>
              </w:rPr>
            </w:pPr>
          </w:p>
        </w:tc>
        <w:tc>
          <w:tcPr>
            <w:tcW w:w="3662" w:type="dxa"/>
          </w:tcPr>
          <w:p w14:paraId="4D79184F" w14:textId="77777777" w:rsidR="005A7CAA" w:rsidRPr="00881EBD" w:rsidRDefault="005A7CAA" w:rsidP="00E7132D">
            <w:pPr>
              <w:pStyle w:val="a3"/>
              <w:jc w:val="right"/>
              <w:rPr>
                <w:rFonts w:cs="FrankRuehl"/>
                <w:sz w:val="28"/>
                <w:szCs w:val="28"/>
                <w:rtl/>
              </w:rPr>
            </w:pPr>
          </w:p>
        </w:tc>
      </w:tr>
    </w:tbl>
    <w:p w14:paraId="422A4F1B" w14:textId="77777777" w:rsidR="005A7CAA" w:rsidRPr="00881EBD" w:rsidRDefault="005A7CAA" w:rsidP="005A7CAA">
      <w:pPr>
        <w:pStyle w:val="a3"/>
        <w:rPr>
          <w:rtl/>
        </w:rPr>
      </w:pPr>
      <w:r w:rsidRPr="00881EBD">
        <w:rPr>
          <w:rFonts w:hint="cs"/>
          <w:rtl/>
        </w:rPr>
        <w:t xml:space="preserve"> </w:t>
      </w:r>
    </w:p>
    <w:p w14:paraId="6C298457" w14:textId="77777777" w:rsidR="005A7CAA" w:rsidRPr="00881EBD" w:rsidRDefault="005A7CAA" w:rsidP="005A7CAA">
      <w:pPr>
        <w:rPr>
          <w:rtl/>
        </w:rPr>
      </w:pPr>
    </w:p>
    <w:p w14:paraId="0FC6ED07" w14:textId="77777777" w:rsidR="005A7CAA" w:rsidRPr="00881EBD" w:rsidRDefault="005A7CAA" w:rsidP="005A7C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A7CAA" w:rsidRPr="00881EBD" w14:paraId="59D13DF7" w14:textId="77777777" w:rsidTr="005A7CAA">
        <w:trPr>
          <w:trHeight w:val="295"/>
          <w:jc w:val="center"/>
        </w:trPr>
        <w:tc>
          <w:tcPr>
            <w:tcW w:w="923" w:type="dxa"/>
            <w:tcBorders>
              <w:top w:val="nil"/>
              <w:left w:val="nil"/>
              <w:bottom w:val="nil"/>
              <w:right w:val="nil"/>
            </w:tcBorders>
            <w:shd w:val="clear" w:color="auto" w:fill="auto"/>
          </w:tcPr>
          <w:p w14:paraId="5D7FDCEA" w14:textId="77777777" w:rsidR="005A7CAA" w:rsidRPr="00881EBD" w:rsidRDefault="005A7CAA" w:rsidP="005A7CAA">
            <w:pPr>
              <w:jc w:val="both"/>
              <w:rPr>
                <w:rFonts w:ascii="David" w:hAnsi="David"/>
                <w:sz w:val="26"/>
                <w:szCs w:val="26"/>
              </w:rPr>
            </w:pPr>
            <w:r w:rsidRPr="00881EBD">
              <w:rPr>
                <w:rFonts w:ascii="David" w:hAnsi="David" w:hint="cs"/>
                <w:sz w:val="26"/>
                <w:szCs w:val="26"/>
                <w:rtl/>
              </w:rPr>
              <w:t>ל</w:t>
            </w:r>
            <w:r w:rsidRPr="00881EB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D4ADFC4" w14:textId="77777777" w:rsidR="005A7CAA" w:rsidRPr="00881EBD" w:rsidRDefault="005A7CAA" w:rsidP="00E7132D">
            <w:pPr>
              <w:rPr>
                <w:rFonts w:ascii="David" w:hAnsi="David"/>
                <w:b/>
                <w:bCs/>
                <w:sz w:val="26"/>
                <w:szCs w:val="26"/>
                <w:rtl/>
              </w:rPr>
            </w:pPr>
            <w:r w:rsidRPr="00881EBD">
              <w:rPr>
                <w:rFonts w:ascii="David" w:hAnsi="David"/>
                <w:b/>
                <w:bCs/>
                <w:sz w:val="26"/>
                <w:szCs w:val="26"/>
                <w:rtl/>
              </w:rPr>
              <w:t>כבוד השופט  אלון גביזון</w:t>
            </w:r>
          </w:p>
          <w:p w14:paraId="0C77251E" w14:textId="77777777" w:rsidR="005A7CAA" w:rsidRPr="00881EBD" w:rsidRDefault="005A7CAA" w:rsidP="00E7132D">
            <w:pPr>
              <w:rPr>
                <w:rFonts w:ascii="David" w:hAnsi="David"/>
                <w:sz w:val="26"/>
                <w:szCs w:val="26"/>
                <w:rtl/>
              </w:rPr>
            </w:pPr>
          </w:p>
          <w:p w14:paraId="51D7AB3E" w14:textId="77777777" w:rsidR="005A7CAA" w:rsidRPr="00881EBD" w:rsidRDefault="005A7CAA" w:rsidP="005A7CAA">
            <w:pPr>
              <w:jc w:val="both"/>
              <w:rPr>
                <w:rFonts w:ascii="David" w:hAnsi="David"/>
                <w:sz w:val="26"/>
                <w:szCs w:val="26"/>
              </w:rPr>
            </w:pPr>
          </w:p>
        </w:tc>
      </w:tr>
      <w:tr w:rsidR="005A7CAA" w:rsidRPr="00881EBD" w14:paraId="42FBC492" w14:textId="77777777" w:rsidTr="005A7CAA">
        <w:trPr>
          <w:trHeight w:val="355"/>
          <w:jc w:val="center"/>
        </w:trPr>
        <w:tc>
          <w:tcPr>
            <w:tcW w:w="923" w:type="dxa"/>
            <w:tcBorders>
              <w:top w:val="nil"/>
              <w:left w:val="nil"/>
              <w:bottom w:val="nil"/>
              <w:right w:val="nil"/>
            </w:tcBorders>
            <w:shd w:val="clear" w:color="auto" w:fill="auto"/>
          </w:tcPr>
          <w:p w14:paraId="4B4321C5" w14:textId="77777777" w:rsidR="005A7CAA" w:rsidRPr="00881EBD" w:rsidRDefault="005A7CAA" w:rsidP="005A7CAA">
            <w:pPr>
              <w:jc w:val="both"/>
              <w:rPr>
                <w:rFonts w:ascii="David" w:hAnsi="David"/>
                <w:sz w:val="26"/>
                <w:szCs w:val="26"/>
              </w:rPr>
            </w:pPr>
            <w:bookmarkStart w:id="1" w:name="FirstAppellant"/>
            <w:bookmarkStart w:id="2" w:name="FirstLawyer"/>
            <w:r w:rsidRPr="00881EBD">
              <w:rPr>
                <w:rFonts w:ascii="David" w:hAnsi="David"/>
                <w:sz w:val="26"/>
                <w:szCs w:val="26"/>
                <w:rtl/>
              </w:rPr>
              <w:t>בעניין:</w:t>
            </w:r>
          </w:p>
        </w:tc>
        <w:tc>
          <w:tcPr>
            <w:tcW w:w="3219" w:type="dxa"/>
            <w:tcBorders>
              <w:top w:val="nil"/>
              <w:left w:val="nil"/>
              <w:bottom w:val="nil"/>
              <w:right w:val="nil"/>
            </w:tcBorders>
            <w:shd w:val="clear" w:color="auto" w:fill="auto"/>
          </w:tcPr>
          <w:p w14:paraId="697351C3" w14:textId="77777777" w:rsidR="005A7CAA" w:rsidRPr="00881EBD" w:rsidRDefault="005A7CAA" w:rsidP="005A7CAA">
            <w:pPr>
              <w:suppressLineNumbers/>
            </w:pPr>
            <w:r w:rsidRPr="00881EBD">
              <w:rPr>
                <w:rFonts w:ascii="Arial" w:hAnsi="Arial" w:hint="cs"/>
                <w:b/>
                <w:bCs/>
                <w:sz w:val="26"/>
                <w:szCs w:val="26"/>
                <w:rtl/>
              </w:rPr>
              <w:t>ה</w:t>
            </w:r>
            <w:r w:rsidRPr="00881EBD">
              <w:rPr>
                <w:rFonts w:ascii="Arial" w:hAnsi="Arial"/>
                <w:b/>
                <w:bCs/>
                <w:sz w:val="26"/>
                <w:szCs w:val="26"/>
                <w:rtl/>
              </w:rPr>
              <w:t>מאשימה</w:t>
            </w:r>
          </w:p>
          <w:p w14:paraId="0814A5D2" w14:textId="77777777" w:rsidR="005A7CAA" w:rsidRPr="00881EBD" w:rsidRDefault="005A7CAA" w:rsidP="00E7132D">
            <w:pPr>
              <w:rPr>
                <w:rFonts w:ascii="David" w:hAnsi="David"/>
                <w:sz w:val="26"/>
                <w:szCs w:val="26"/>
              </w:rPr>
            </w:pPr>
          </w:p>
        </w:tc>
        <w:tc>
          <w:tcPr>
            <w:tcW w:w="4678" w:type="dxa"/>
            <w:tcBorders>
              <w:top w:val="nil"/>
              <w:left w:val="nil"/>
              <w:bottom w:val="nil"/>
              <w:right w:val="nil"/>
            </w:tcBorders>
            <w:shd w:val="clear" w:color="auto" w:fill="auto"/>
            <w:vAlign w:val="center"/>
          </w:tcPr>
          <w:p w14:paraId="1B2A260F" w14:textId="77777777" w:rsidR="005A7CAA" w:rsidRPr="00881EBD" w:rsidRDefault="005A7CAA" w:rsidP="005A7CAA">
            <w:pPr>
              <w:suppressLineNumbers/>
              <w:rPr>
                <w:rFonts w:ascii="Arial" w:hAnsi="Arial"/>
                <w:b/>
                <w:bCs/>
                <w:sz w:val="26"/>
                <w:szCs w:val="26"/>
                <w:rtl/>
              </w:rPr>
            </w:pPr>
            <w:r w:rsidRPr="00881EBD">
              <w:rPr>
                <w:rFonts w:ascii="Arial" w:hAnsi="Arial"/>
                <w:b/>
                <w:bCs/>
                <w:sz w:val="26"/>
                <w:szCs w:val="26"/>
                <w:rtl/>
              </w:rPr>
              <w:t>מדינת ישראל</w:t>
            </w:r>
            <w:r w:rsidRPr="00881EBD">
              <w:rPr>
                <w:rFonts w:ascii="Arial" w:hAnsi="Arial" w:hint="cs"/>
                <w:b/>
                <w:bCs/>
                <w:sz w:val="26"/>
                <w:szCs w:val="26"/>
                <w:rtl/>
              </w:rPr>
              <w:t xml:space="preserve"> </w:t>
            </w:r>
          </w:p>
          <w:p w14:paraId="3B02CCD7" w14:textId="77777777" w:rsidR="005A7CAA" w:rsidRPr="00881EBD" w:rsidRDefault="005A7CAA" w:rsidP="005A7CAA">
            <w:pPr>
              <w:suppressLineNumbers/>
              <w:rPr>
                <w:b/>
                <w:bCs/>
              </w:rPr>
            </w:pPr>
            <w:r w:rsidRPr="00881EBD">
              <w:rPr>
                <w:rFonts w:ascii="Arial" w:hAnsi="Arial"/>
                <w:b/>
                <w:bCs/>
                <w:sz w:val="26"/>
                <w:szCs w:val="26"/>
                <w:rtl/>
              </w:rPr>
              <w:t>ע"י ב"כ עוה"ד</w:t>
            </w:r>
            <w:r w:rsidRPr="00881EBD">
              <w:rPr>
                <w:rFonts w:hint="cs"/>
                <w:b/>
                <w:bCs/>
                <w:rtl/>
              </w:rPr>
              <w:t xml:space="preserve"> חנה מוצ'ה</w:t>
            </w:r>
          </w:p>
          <w:p w14:paraId="75792134" w14:textId="77777777" w:rsidR="005A7CAA" w:rsidRPr="00881EBD" w:rsidRDefault="005A7CAA" w:rsidP="00E7132D">
            <w:pPr>
              <w:rPr>
                <w:rFonts w:ascii="David" w:hAnsi="David"/>
                <w:sz w:val="26"/>
                <w:szCs w:val="26"/>
              </w:rPr>
            </w:pPr>
          </w:p>
        </w:tc>
      </w:tr>
      <w:bookmarkEnd w:id="1"/>
      <w:bookmarkEnd w:id="2"/>
      <w:tr w:rsidR="005A7CAA" w:rsidRPr="00881EBD" w14:paraId="14EF8AA0" w14:textId="77777777" w:rsidTr="005A7CAA">
        <w:trPr>
          <w:trHeight w:val="355"/>
          <w:jc w:val="center"/>
        </w:trPr>
        <w:tc>
          <w:tcPr>
            <w:tcW w:w="923" w:type="dxa"/>
            <w:tcBorders>
              <w:top w:val="nil"/>
              <w:left w:val="nil"/>
              <w:bottom w:val="nil"/>
              <w:right w:val="nil"/>
            </w:tcBorders>
            <w:shd w:val="clear" w:color="auto" w:fill="auto"/>
          </w:tcPr>
          <w:p w14:paraId="4FB0F878" w14:textId="77777777" w:rsidR="005A7CAA" w:rsidRPr="00881EBD" w:rsidRDefault="005A7CAA" w:rsidP="005A7CA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338EEDB" w14:textId="77777777" w:rsidR="005A7CAA" w:rsidRPr="00881EBD" w:rsidRDefault="005A7CAA" w:rsidP="005A7CAA">
            <w:pPr>
              <w:jc w:val="center"/>
              <w:rPr>
                <w:rFonts w:ascii="David" w:hAnsi="David"/>
                <w:b/>
                <w:bCs/>
                <w:sz w:val="26"/>
                <w:szCs w:val="26"/>
                <w:rtl/>
              </w:rPr>
            </w:pPr>
          </w:p>
          <w:p w14:paraId="4A302A8A" w14:textId="77777777" w:rsidR="005A7CAA" w:rsidRPr="00881EBD" w:rsidRDefault="005A7CAA" w:rsidP="005A7CAA">
            <w:pPr>
              <w:jc w:val="center"/>
              <w:rPr>
                <w:rFonts w:ascii="David" w:hAnsi="David"/>
                <w:b/>
                <w:bCs/>
                <w:sz w:val="26"/>
                <w:szCs w:val="26"/>
                <w:rtl/>
              </w:rPr>
            </w:pPr>
            <w:r w:rsidRPr="00881EBD">
              <w:rPr>
                <w:rFonts w:ascii="David" w:hAnsi="David"/>
                <w:b/>
                <w:bCs/>
                <w:sz w:val="26"/>
                <w:szCs w:val="26"/>
                <w:rtl/>
              </w:rPr>
              <w:t>נגד</w:t>
            </w:r>
          </w:p>
          <w:p w14:paraId="34DCC7F3" w14:textId="77777777" w:rsidR="005A7CAA" w:rsidRPr="00881EBD" w:rsidRDefault="005A7CAA" w:rsidP="005A7CAA">
            <w:pPr>
              <w:jc w:val="both"/>
              <w:rPr>
                <w:rFonts w:ascii="David" w:hAnsi="David"/>
                <w:sz w:val="26"/>
                <w:szCs w:val="26"/>
              </w:rPr>
            </w:pPr>
          </w:p>
        </w:tc>
      </w:tr>
      <w:tr w:rsidR="005A7CAA" w:rsidRPr="00881EBD" w14:paraId="453C38C7" w14:textId="77777777" w:rsidTr="005A7CAA">
        <w:trPr>
          <w:trHeight w:val="355"/>
          <w:jc w:val="center"/>
        </w:trPr>
        <w:tc>
          <w:tcPr>
            <w:tcW w:w="923" w:type="dxa"/>
            <w:tcBorders>
              <w:top w:val="nil"/>
              <w:left w:val="nil"/>
              <w:bottom w:val="nil"/>
              <w:right w:val="nil"/>
            </w:tcBorders>
            <w:shd w:val="clear" w:color="auto" w:fill="auto"/>
          </w:tcPr>
          <w:p w14:paraId="44A5CB54" w14:textId="77777777" w:rsidR="005A7CAA" w:rsidRPr="00881EBD" w:rsidRDefault="005A7CAA" w:rsidP="00E7132D">
            <w:pPr>
              <w:rPr>
                <w:rFonts w:ascii="David" w:hAnsi="David"/>
                <w:sz w:val="26"/>
                <w:szCs w:val="26"/>
                <w:rtl/>
              </w:rPr>
            </w:pPr>
          </w:p>
        </w:tc>
        <w:tc>
          <w:tcPr>
            <w:tcW w:w="3219" w:type="dxa"/>
            <w:tcBorders>
              <w:top w:val="nil"/>
              <w:left w:val="nil"/>
              <w:bottom w:val="nil"/>
              <w:right w:val="nil"/>
            </w:tcBorders>
            <w:shd w:val="clear" w:color="auto" w:fill="auto"/>
          </w:tcPr>
          <w:p w14:paraId="27763FFE" w14:textId="77777777" w:rsidR="005A7CAA" w:rsidRPr="00881EBD" w:rsidRDefault="005A7CAA" w:rsidP="00E7132D">
            <w:pPr>
              <w:rPr>
                <w:rFonts w:ascii="Arial" w:hAnsi="Arial"/>
                <w:b/>
                <w:bCs/>
                <w:sz w:val="26"/>
                <w:szCs w:val="26"/>
                <w:rtl/>
              </w:rPr>
            </w:pPr>
            <w:r w:rsidRPr="00881EB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E81AB04" w14:textId="77777777" w:rsidR="005A7CAA" w:rsidRPr="00881EBD" w:rsidRDefault="005A7CAA" w:rsidP="005A7CAA">
            <w:pPr>
              <w:suppressLineNumbers/>
              <w:rPr>
                <w:rFonts w:ascii="Arial" w:hAnsi="Arial"/>
                <w:b/>
                <w:bCs/>
                <w:sz w:val="26"/>
                <w:szCs w:val="26"/>
                <w:rtl/>
              </w:rPr>
            </w:pPr>
            <w:r w:rsidRPr="00881EBD">
              <w:rPr>
                <w:rFonts w:ascii="Arial" w:hAnsi="Arial"/>
                <w:b/>
                <w:bCs/>
                <w:sz w:val="26"/>
                <w:szCs w:val="26"/>
                <w:rtl/>
              </w:rPr>
              <w:t>אדם אבו סרחאן (עציר)</w:t>
            </w:r>
            <w:r w:rsidRPr="00881EBD">
              <w:rPr>
                <w:rFonts w:ascii="Arial" w:hAnsi="Arial" w:hint="cs"/>
                <w:b/>
                <w:bCs/>
                <w:sz w:val="26"/>
                <w:szCs w:val="26"/>
                <w:rtl/>
              </w:rPr>
              <w:t xml:space="preserve"> </w:t>
            </w:r>
          </w:p>
          <w:p w14:paraId="4F8ABE0D" w14:textId="77777777" w:rsidR="005A7CAA" w:rsidRPr="00881EBD" w:rsidRDefault="005A7CAA" w:rsidP="005A7CAA">
            <w:pPr>
              <w:suppressLineNumbers/>
            </w:pPr>
            <w:r w:rsidRPr="00881EBD">
              <w:rPr>
                <w:rFonts w:ascii="Arial" w:hAnsi="Arial"/>
                <w:b/>
                <w:bCs/>
                <w:sz w:val="26"/>
                <w:szCs w:val="26"/>
                <w:rtl/>
              </w:rPr>
              <w:t>ע"י ב"כ עוה"ד</w:t>
            </w:r>
            <w:r w:rsidRPr="00881EBD">
              <w:rPr>
                <w:rFonts w:ascii="Arial" w:hAnsi="Arial" w:hint="cs"/>
                <w:b/>
                <w:bCs/>
                <w:sz w:val="26"/>
                <w:szCs w:val="26"/>
                <w:rtl/>
              </w:rPr>
              <w:t xml:space="preserve"> האיל אבו גררה</w:t>
            </w:r>
          </w:p>
          <w:p w14:paraId="18A9CD78" w14:textId="77777777" w:rsidR="005A7CAA" w:rsidRPr="00881EBD" w:rsidRDefault="005A7CAA" w:rsidP="00E7132D">
            <w:pPr>
              <w:rPr>
                <w:rFonts w:ascii="David" w:hAnsi="David"/>
                <w:sz w:val="26"/>
                <w:szCs w:val="26"/>
              </w:rPr>
            </w:pPr>
          </w:p>
        </w:tc>
      </w:tr>
    </w:tbl>
    <w:p w14:paraId="325B0F5F" w14:textId="77777777" w:rsidR="00A0323B" w:rsidRPr="00A0323B" w:rsidRDefault="00A0323B" w:rsidP="00A0323B">
      <w:pPr>
        <w:spacing w:before="120" w:after="120" w:line="240" w:lineRule="exact"/>
        <w:ind w:left="283" w:hanging="283"/>
        <w:jc w:val="both"/>
        <w:rPr>
          <w:rFonts w:ascii="FrankRuehl" w:hAnsi="FrankRuehl" w:cs="FrankRuehl"/>
          <w:rtl/>
        </w:rPr>
      </w:pPr>
    </w:p>
    <w:p w14:paraId="6A698A9F" w14:textId="77777777" w:rsidR="003C2B66" w:rsidRDefault="003C2B66" w:rsidP="003C2B66">
      <w:pPr>
        <w:rPr>
          <w:sz w:val="26"/>
          <w:szCs w:val="26"/>
          <w:rtl/>
        </w:rPr>
      </w:pPr>
      <w:bookmarkStart w:id="3" w:name="LawTable"/>
      <w:bookmarkEnd w:id="3"/>
    </w:p>
    <w:p w14:paraId="6DF7F12B" w14:textId="77777777" w:rsidR="003C2B66" w:rsidRPr="003C2B66" w:rsidRDefault="003C2B66" w:rsidP="003C2B66">
      <w:pPr>
        <w:spacing w:before="120" w:after="120" w:line="240" w:lineRule="exact"/>
        <w:ind w:left="283" w:hanging="283"/>
        <w:jc w:val="both"/>
        <w:rPr>
          <w:rFonts w:ascii="FrankRuehl" w:hAnsi="FrankRuehl" w:cs="FrankRuehl"/>
          <w:rtl/>
        </w:rPr>
      </w:pPr>
    </w:p>
    <w:p w14:paraId="5BEBDEAE" w14:textId="77777777" w:rsidR="003C2B66" w:rsidRPr="003C2B66" w:rsidRDefault="003C2B66" w:rsidP="003C2B66">
      <w:pPr>
        <w:spacing w:before="120" w:after="120" w:line="240" w:lineRule="exact"/>
        <w:ind w:left="283" w:hanging="283"/>
        <w:jc w:val="both"/>
        <w:rPr>
          <w:rFonts w:ascii="FrankRuehl" w:hAnsi="FrankRuehl" w:cs="FrankRuehl"/>
          <w:rtl/>
        </w:rPr>
      </w:pPr>
    </w:p>
    <w:p w14:paraId="02CA8DF5" w14:textId="77777777" w:rsidR="003C2B66" w:rsidRPr="003C2B66" w:rsidRDefault="003C2B66" w:rsidP="003C2B66">
      <w:pPr>
        <w:spacing w:before="120" w:after="120" w:line="240" w:lineRule="exact"/>
        <w:ind w:left="283" w:hanging="283"/>
        <w:jc w:val="both"/>
        <w:rPr>
          <w:rFonts w:ascii="FrankRuehl" w:hAnsi="FrankRuehl" w:cs="FrankRuehl"/>
          <w:rtl/>
        </w:rPr>
      </w:pPr>
      <w:r w:rsidRPr="003C2B66">
        <w:rPr>
          <w:rFonts w:ascii="FrankRuehl" w:hAnsi="FrankRuehl" w:cs="FrankRuehl"/>
          <w:rtl/>
        </w:rPr>
        <w:t xml:space="preserve">חקיקה שאוזכרה: </w:t>
      </w:r>
    </w:p>
    <w:p w14:paraId="2FB4B431" w14:textId="77777777" w:rsidR="003C2B66" w:rsidRPr="003C2B66" w:rsidRDefault="003C2B66" w:rsidP="003C2B66">
      <w:pPr>
        <w:spacing w:before="120" w:after="120" w:line="240" w:lineRule="exact"/>
        <w:ind w:left="283" w:hanging="283"/>
        <w:jc w:val="both"/>
        <w:rPr>
          <w:rFonts w:ascii="FrankRuehl" w:hAnsi="FrankRuehl" w:cs="FrankRuehl"/>
          <w:rtl/>
        </w:rPr>
      </w:pPr>
      <w:hyperlink r:id="rId7" w:history="1">
        <w:r w:rsidRPr="003C2B66">
          <w:rPr>
            <w:rFonts w:ascii="FrankRuehl" w:hAnsi="FrankRuehl" w:cs="FrankRuehl"/>
            <w:color w:val="0000FF"/>
            <w:rtl/>
          </w:rPr>
          <w:t>חוק העונשין, תשל"ז-1977</w:t>
        </w:r>
      </w:hyperlink>
      <w:r w:rsidRPr="003C2B66">
        <w:rPr>
          <w:rFonts w:ascii="FrankRuehl" w:hAnsi="FrankRuehl" w:cs="FrankRuehl"/>
          <w:rtl/>
        </w:rPr>
        <w:t xml:space="preserve">: סע'  </w:t>
      </w:r>
      <w:hyperlink r:id="rId8" w:history="1">
        <w:r w:rsidRPr="003C2B66">
          <w:rPr>
            <w:rFonts w:ascii="FrankRuehl" w:hAnsi="FrankRuehl" w:cs="FrankRuehl"/>
            <w:color w:val="0000FF"/>
            <w:rtl/>
          </w:rPr>
          <w:t>144</w:t>
        </w:r>
      </w:hyperlink>
      <w:r w:rsidRPr="003C2B66">
        <w:rPr>
          <w:rFonts w:ascii="FrankRuehl" w:hAnsi="FrankRuehl" w:cs="FrankRuehl"/>
          <w:rtl/>
        </w:rPr>
        <w:t xml:space="preserve">, </w:t>
      </w:r>
      <w:hyperlink r:id="rId9" w:history="1">
        <w:r w:rsidRPr="003C2B66">
          <w:rPr>
            <w:rFonts w:ascii="FrankRuehl" w:hAnsi="FrankRuehl" w:cs="FrankRuehl"/>
            <w:color w:val="0000FF"/>
            <w:rtl/>
          </w:rPr>
          <w:t>144(ב)</w:t>
        </w:r>
      </w:hyperlink>
      <w:r w:rsidRPr="003C2B66">
        <w:rPr>
          <w:rFonts w:ascii="FrankRuehl" w:hAnsi="FrankRuehl" w:cs="FrankRuehl"/>
          <w:rtl/>
        </w:rPr>
        <w:t xml:space="preserve">, </w:t>
      </w:r>
      <w:hyperlink r:id="rId10" w:history="1">
        <w:r w:rsidRPr="003C2B66">
          <w:rPr>
            <w:rFonts w:ascii="FrankRuehl" w:hAnsi="FrankRuehl" w:cs="FrankRuehl"/>
            <w:color w:val="0000FF"/>
            <w:rtl/>
          </w:rPr>
          <w:t>340א</w:t>
        </w:r>
      </w:hyperlink>
      <w:r w:rsidRPr="003C2B66">
        <w:rPr>
          <w:rFonts w:ascii="FrankRuehl" w:hAnsi="FrankRuehl" w:cs="FrankRuehl"/>
          <w:rtl/>
        </w:rPr>
        <w:t xml:space="preserve">, </w:t>
      </w:r>
      <w:hyperlink r:id="rId11" w:history="1">
        <w:r w:rsidRPr="003C2B66">
          <w:rPr>
            <w:rFonts w:ascii="FrankRuehl" w:hAnsi="FrankRuehl" w:cs="FrankRuehl"/>
            <w:color w:val="0000FF"/>
            <w:rtl/>
          </w:rPr>
          <w:t>340א(ב)(1)</w:t>
        </w:r>
      </w:hyperlink>
      <w:r w:rsidRPr="003C2B66">
        <w:rPr>
          <w:rFonts w:ascii="FrankRuehl" w:hAnsi="FrankRuehl" w:cs="FrankRuehl"/>
          <w:rtl/>
        </w:rPr>
        <w:t xml:space="preserve">, </w:t>
      </w:r>
      <w:hyperlink r:id="rId12" w:history="1">
        <w:r w:rsidRPr="003C2B66">
          <w:rPr>
            <w:rFonts w:ascii="FrankRuehl" w:hAnsi="FrankRuehl" w:cs="FrankRuehl"/>
            <w:color w:val="0000FF"/>
            <w:rtl/>
          </w:rPr>
          <w:t>(2)</w:t>
        </w:r>
      </w:hyperlink>
      <w:r w:rsidRPr="003C2B66">
        <w:rPr>
          <w:rFonts w:ascii="FrankRuehl" w:hAnsi="FrankRuehl" w:cs="FrankRuehl"/>
          <w:rtl/>
        </w:rPr>
        <w:t xml:space="preserve">, </w:t>
      </w:r>
      <w:hyperlink r:id="rId13" w:history="1">
        <w:r w:rsidRPr="003C2B66">
          <w:rPr>
            <w:rFonts w:ascii="FrankRuehl" w:hAnsi="FrankRuehl" w:cs="FrankRuehl"/>
            <w:color w:val="0000FF"/>
            <w:rtl/>
          </w:rPr>
          <w:t>413ה</w:t>
        </w:r>
      </w:hyperlink>
    </w:p>
    <w:p w14:paraId="42717A85" w14:textId="77777777" w:rsidR="003C2B66" w:rsidRPr="003C2B66" w:rsidRDefault="003C2B66" w:rsidP="003C2B66">
      <w:pPr>
        <w:rPr>
          <w:sz w:val="26"/>
          <w:szCs w:val="26"/>
          <w:rtl/>
        </w:rPr>
      </w:pPr>
      <w:bookmarkStart w:id="4" w:name="LawTable_End"/>
      <w:bookmarkEnd w:id="4"/>
    </w:p>
    <w:p w14:paraId="16760C12" w14:textId="77777777" w:rsidR="005A7CAA" w:rsidRPr="00A0323B" w:rsidRDefault="005A7CAA" w:rsidP="00A0323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7CAA" w14:paraId="0DD81844" w14:textId="77777777" w:rsidTr="005A7CAA">
        <w:trPr>
          <w:trHeight w:val="355"/>
          <w:jc w:val="center"/>
        </w:trPr>
        <w:tc>
          <w:tcPr>
            <w:tcW w:w="8820" w:type="dxa"/>
            <w:tcBorders>
              <w:top w:val="nil"/>
              <w:left w:val="nil"/>
              <w:bottom w:val="nil"/>
              <w:right w:val="nil"/>
            </w:tcBorders>
            <w:shd w:val="clear" w:color="auto" w:fill="auto"/>
          </w:tcPr>
          <w:p w14:paraId="49B9DA84" w14:textId="77777777" w:rsidR="00881EBD" w:rsidRPr="00881EBD" w:rsidRDefault="00881EBD" w:rsidP="00881EBD">
            <w:pPr>
              <w:jc w:val="center"/>
              <w:rPr>
                <w:rFonts w:ascii="David" w:hAnsi="David"/>
                <w:b/>
                <w:bCs/>
                <w:sz w:val="32"/>
                <w:szCs w:val="32"/>
                <w:u w:val="single"/>
                <w:rtl/>
              </w:rPr>
            </w:pPr>
            <w:bookmarkStart w:id="5" w:name="PsakDin" w:colFirst="0" w:colLast="0"/>
            <w:bookmarkEnd w:id="0"/>
            <w:r w:rsidRPr="00881EBD">
              <w:rPr>
                <w:rFonts w:ascii="David" w:hAnsi="David"/>
                <w:b/>
                <w:bCs/>
                <w:sz w:val="32"/>
                <w:szCs w:val="32"/>
                <w:u w:val="single"/>
                <w:rtl/>
              </w:rPr>
              <w:t>גזר דין</w:t>
            </w:r>
          </w:p>
          <w:p w14:paraId="7A00DAD5" w14:textId="77777777" w:rsidR="005A7CAA" w:rsidRPr="00881EBD" w:rsidRDefault="005A7CAA" w:rsidP="00881EBD">
            <w:pPr>
              <w:jc w:val="center"/>
              <w:rPr>
                <w:rFonts w:ascii="David" w:hAnsi="David"/>
                <w:bCs/>
                <w:sz w:val="32"/>
                <w:szCs w:val="32"/>
                <w:u w:val="single"/>
                <w:rtl/>
              </w:rPr>
            </w:pPr>
          </w:p>
        </w:tc>
      </w:tr>
      <w:bookmarkEnd w:id="5"/>
    </w:tbl>
    <w:p w14:paraId="362797FC" w14:textId="77777777" w:rsidR="005A7CAA" w:rsidRPr="000F2247" w:rsidRDefault="005A7CAA" w:rsidP="005A7CAA">
      <w:pPr>
        <w:rPr>
          <w:rFonts w:ascii="Arial" w:hAnsi="Arial"/>
          <w:b/>
          <w:bCs/>
          <w:sz w:val="26"/>
          <w:szCs w:val="26"/>
          <w:rtl/>
        </w:rPr>
      </w:pPr>
    </w:p>
    <w:p w14:paraId="27FE69A0" w14:textId="77777777" w:rsidR="005A7CAA" w:rsidRDefault="005A7CAA" w:rsidP="005A7CAA">
      <w:pPr>
        <w:spacing w:line="360" w:lineRule="auto"/>
        <w:jc w:val="both"/>
        <w:rPr>
          <w:rFonts w:ascii="David" w:hAnsi="David"/>
          <w:rtl/>
        </w:rPr>
      </w:pPr>
    </w:p>
    <w:p w14:paraId="6626F91D" w14:textId="77777777" w:rsidR="005A7CAA" w:rsidRDefault="005A7CAA" w:rsidP="005A7CA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בכתב אישום מתוקן בעבירות בנשק (הובלה ונשיאה) – עבירה לפי </w:t>
      </w:r>
      <w:hyperlink r:id="rId14" w:history="1">
        <w:r w:rsidR="00B3717C" w:rsidRPr="00B3717C">
          <w:rPr>
            <w:rStyle w:val="Hyperlink"/>
            <w:rFonts w:ascii="David" w:hAnsi="David"/>
            <w:rtl/>
          </w:rPr>
          <w:t>סעיף 144(ב)</w:t>
        </w:r>
      </w:hyperlink>
      <w:r>
        <w:rPr>
          <w:rFonts w:ascii="David" w:hAnsi="David"/>
          <w:rtl/>
        </w:rPr>
        <w:t xml:space="preserve"> רישא וסיפא ל</w:t>
      </w:r>
      <w:hyperlink r:id="rId15" w:history="1">
        <w:r w:rsidR="00881EBD" w:rsidRPr="00881EBD">
          <w:rPr>
            <w:rFonts w:ascii="David" w:hAnsi="David"/>
            <w:color w:val="0000FF"/>
            <w:u w:val="single"/>
            <w:rtl/>
          </w:rPr>
          <w:t>חוק העונשין</w:t>
        </w:r>
      </w:hyperlink>
      <w:r>
        <w:rPr>
          <w:rFonts w:ascii="David" w:hAnsi="David"/>
          <w:rtl/>
        </w:rPr>
        <w:t>, תשל"ז-1977 (להלן: "</w:t>
      </w:r>
      <w:r>
        <w:rPr>
          <w:rFonts w:ascii="David" w:hAnsi="David"/>
          <w:b/>
          <w:bCs/>
          <w:rtl/>
        </w:rPr>
        <w:t>חוק</w:t>
      </w:r>
      <w:r>
        <w:rPr>
          <w:rFonts w:ascii="David" w:hAnsi="David"/>
          <w:rtl/>
        </w:rPr>
        <w:t xml:space="preserve"> </w:t>
      </w:r>
      <w:r>
        <w:rPr>
          <w:rFonts w:ascii="David" w:hAnsi="David"/>
          <w:b/>
          <w:bCs/>
          <w:rtl/>
        </w:rPr>
        <w:t>העונשין</w:t>
      </w:r>
      <w:r>
        <w:rPr>
          <w:rFonts w:ascii="David" w:hAnsi="David"/>
          <w:rtl/>
        </w:rPr>
        <w:t xml:space="preserve">"),ירי מנשק חם – עבירה לפי </w:t>
      </w:r>
      <w:hyperlink r:id="rId16" w:history="1">
        <w:r w:rsidR="00B3717C" w:rsidRPr="00B3717C">
          <w:rPr>
            <w:rStyle w:val="Hyperlink"/>
            <w:rFonts w:ascii="David" w:hAnsi="David"/>
            <w:rtl/>
          </w:rPr>
          <w:t>סעיף 340א(ב)(1)</w:t>
        </w:r>
      </w:hyperlink>
      <w:r>
        <w:rPr>
          <w:rFonts w:ascii="David" w:hAnsi="David"/>
          <w:rtl/>
        </w:rPr>
        <w:t xml:space="preserve"> ו-</w:t>
      </w:r>
      <w:hyperlink r:id="rId17" w:history="1">
        <w:r w:rsidR="00B3717C" w:rsidRPr="00B3717C">
          <w:rPr>
            <w:rStyle w:val="Hyperlink"/>
            <w:rFonts w:ascii="David" w:hAnsi="David"/>
            <w:rtl/>
          </w:rPr>
          <w:t>(2)</w:t>
        </w:r>
      </w:hyperlink>
      <w:r>
        <w:rPr>
          <w:rFonts w:ascii="David" w:hAnsi="David"/>
          <w:rtl/>
        </w:rPr>
        <w:t xml:space="preserve"> לחוק העונשין וחבלה במזיד – עבירה לפי </w:t>
      </w:r>
      <w:hyperlink r:id="rId18" w:history="1">
        <w:r w:rsidR="00B3717C" w:rsidRPr="00B3717C">
          <w:rPr>
            <w:rStyle w:val="Hyperlink"/>
            <w:rFonts w:ascii="David" w:hAnsi="David"/>
            <w:rtl/>
          </w:rPr>
          <w:t>סעיף 413ה</w:t>
        </w:r>
      </w:hyperlink>
      <w:r>
        <w:rPr>
          <w:rFonts w:ascii="David" w:hAnsi="David"/>
          <w:rtl/>
        </w:rPr>
        <w:t xml:space="preserve"> לחוק העונשין.</w:t>
      </w:r>
    </w:p>
    <w:p w14:paraId="002FAD26" w14:textId="77777777" w:rsidR="005A7CAA" w:rsidRDefault="005A7CAA" w:rsidP="005A7CAA">
      <w:pPr>
        <w:pStyle w:val="a9"/>
        <w:spacing w:line="360" w:lineRule="auto"/>
        <w:jc w:val="both"/>
        <w:rPr>
          <w:rFonts w:ascii="David" w:hAnsi="David"/>
          <w:rtl/>
        </w:rPr>
      </w:pPr>
      <w:bookmarkStart w:id="7" w:name="ABSTRACT_END"/>
      <w:bookmarkEnd w:id="7"/>
    </w:p>
    <w:p w14:paraId="40123597" w14:textId="77777777" w:rsidR="005A7CAA" w:rsidRDefault="005A7CAA" w:rsidP="005A7CAA">
      <w:pPr>
        <w:spacing w:line="360" w:lineRule="auto"/>
        <w:jc w:val="both"/>
        <w:rPr>
          <w:rFonts w:ascii="David" w:hAnsi="David"/>
          <w:b/>
          <w:bCs/>
          <w:rtl/>
        </w:rPr>
      </w:pPr>
      <w:r>
        <w:rPr>
          <w:rFonts w:ascii="David" w:hAnsi="David"/>
          <w:b/>
          <w:bCs/>
          <w:rtl/>
        </w:rPr>
        <w:t>האישום והסדר הטיעון</w:t>
      </w:r>
    </w:p>
    <w:p w14:paraId="159EB0D6" w14:textId="77777777" w:rsidR="005A7CAA" w:rsidRDefault="005A7CAA" w:rsidP="005A7CAA">
      <w:pPr>
        <w:tabs>
          <w:tab w:val="left" w:pos="5024"/>
        </w:tabs>
        <w:spacing w:line="360" w:lineRule="auto"/>
        <w:jc w:val="both"/>
        <w:rPr>
          <w:rFonts w:ascii="David" w:hAnsi="David"/>
          <w:b/>
          <w:bCs/>
          <w:rtl/>
        </w:rPr>
      </w:pPr>
      <w:r>
        <w:rPr>
          <w:rFonts w:ascii="David" w:hAnsi="David"/>
          <w:b/>
          <w:bCs/>
          <w:rtl/>
        </w:rPr>
        <w:tab/>
      </w:r>
    </w:p>
    <w:p w14:paraId="03F2AE7A" w14:textId="77777777" w:rsidR="005A7CAA" w:rsidRDefault="005A7CAA" w:rsidP="005A7CAA">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במועדים הרלוונטיים לכתב האישום, בין בני משפחת אבו סרחאן ומשפחת אבו סביתאן המתגוררים בתל שבע היה קיים סכסוך שטיבו אינו ידוע במדויק למאשימה (להלן: "</w:t>
      </w:r>
      <w:r>
        <w:rPr>
          <w:rFonts w:ascii="David" w:hAnsi="David"/>
          <w:b/>
          <w:bCs/>
          <w:rtl/>
        </w:rPr>
        <w:t>הסכסוך</w:t>
      </w:r>
      <w:r>
        <w:rPr>
          <w:rFonts w:ascii="David" w:hAnsi="David"/>
          <w:rtl/>
        </w:rPr>
        <w:t>").</w:t>
      </w:r>
    </w:p>
    <w:p w14:paraId="101C42A8" w14:textId="77777777" w:rsidR="005A7CAA" w:rsidRDefault="005A7CAA" w:rsidP="005A7CAA">
      <w:pPr>
        <w:pStyle w:val="a9"/>
        <w:spacing w:line="360" w:lineRule="auto"/>
        <w:jc w:val="both"/>
        <w:rPr>
          <w:rFonts w:ascii="David" w:hAnsi="David"/>
        </w:rPr>
      </w:pPr>
      <w:r>
        <w:rPr>
          <w:rFonts w:ascii="David" w:hAnsi="David"/>
          <w:rtl/>
        </w:rPr>
        <w:lastRenderedPageBreak/>
        <w:t xml:space="preserve">במהלכו של הסכסוך, עובר לאירוע שיתואר להלן, בוצע ירי מנשק חם לעבר בתים ואנשים במשפחות השונות. </w:t>
      </w:r>
    </w:p>
    <w:p w14:paraId="2735F3AF" w14:textId="77777777" w:rsidR="005A7CAA" w:rsidRDefault="005A7CAA" w:rsidP="005A7CAA">
      <w:pPr>
        <w:pStyle w:val="a9"/>
        <w:spacing w:line="360" w:lineRule="auto"/>
        <w:jc w:val="both"/>
        <w:rPr>
          <w:rFonts w:ascii="David" w:hAnsi="David"/>
          <w:rtl/>
        </w:rPr>
      </w:pPr>
      <w:r>
        <w:rPr>
          <w:rFonts w:ascii="David" w:hAnsi="David"/>
          <w:rtl/>
        </w:rPr>
        <w:t>הנאשם, נג'את אבו סביתאן ילידת 30.9.1993 (להלן: "</w:t>
      </w:r>
      <w:r>
        <w:rPr>
          <w:rFonts w:ascii="David" w:hAnsi="David"/>
          <w:b/>
          <w:bCs/>
          <w:rtl/>
        </w:rPr>
        <w:t>ניג'את</w:t>
      </w:r>
      <w:r>
        <w:rPr>
          <w:rFonts w:ascii="David" w:hAnsi="David"/>
          <w:rtl/>
        </w:rPr>
        <w:t>") וביאן אבו סביתאן ילידת 10.1.2001 (להלן: "</w:t>
      </w:r>
      <w:r>
        <w:rPr>
          <w:rFonts w:ascii="David" w:hAnsi="David"/>
          <w:b/>
          <w:bCs/>
          <w:rtl/>
        </w:rPr>
        <w:t>ביאן</w:t>
      </w:r>
      <w:r>
        <w:rPr>
          <w:rFonts w:ascii="David" w:hAnsi="David"/>
          <w:rtl/>
        </w:rPr>
        <w:t>") מתגוררים בקרבה אחד לשנייה ובשכונה 7 בתל שבע (להלן: "</w:t>
      </w:r>
      <w:r>
        <w:rPr>
          <w:rFonts w:ascii="David" w:hAnsi="David"/>
          <w:b/>
          <w:bCs/>
          <w:rtl/>
        </w:rPr>
        <w:t>השכונה</w:t>
      </w:r>
      <w:r>
        <w:rPr>
          <w:rFonts w:ascii="David" w:hAnsi="David"/>
          <w:rtl/>
        </w:rPr>
        <w:t>").</w:t>
      </w:r>
    </w:p>
    <w:p w14:paraId="5BD25372" w14:textId="77777777" w:rsidR="005A7CAA" w:rsidRDefault="005A7CAA" w:rsidP="005A7CAA">
      <w:pPr>
        <w:pStyle w:val="a9"/>
        <w:spacing w:line="360" w:lineRule="auto"/>
        <w:jc w:val="both"/>
        <w:rPr>
          <w:rFonts w:ascii="David" w:hAnsi="David"/>
          <w:rtl/>
        </w:rPr>
      </w:pPr>
      <w:r>
        <w:rPr>
          <w:rFonts w:ascii="David" w:hAnsi="David"/>
          <w:rtl/>
        </w:rPr>
        <w:t>החל מתאריך שאינו ידוע במדויק למאשימה, עובר לתאריך 28.10.22, החזיק הנאשם שלא כדין ברשותו נשק- אקדח (להלן: "</w:t>
      </w:r>
      <w:r>
        <w:rPr>
          <w:rFonts w:ascii="David" w:hAnsi="David"/>
          <w:b/>
          <w:bCs/>
          <w:rtl/>
        </w:rPr>
        <w:t>האקדח</w:t>
      </w:r>
      <w:r>
        <w:rPr>
          <w:rFonts w:ascii="David" w:hAnsi="David"/>
          <w:rtl/>
        </w:rPr>
        <w:t xml:space="preserve">"). </w:t>
      </w:r>
    </w:p>
    <w:p w14:paraId="2ED81235" w14:textId="77777777" w:rsidR="005A7CAA" w:rsidRDefault="005A7CAA" w:rsidP="005A7CAA">
      <w:pPr>
        <w:pStyle w:val="a9"/>
        <w:spacing w:line="360" w:lineRule="auto"/>
        <w:jc w:val="both"/>
        <w:rPr>
          <w:rFonts w:ascii="David" w:hAnsi="David"/>
          <w:rtl/>
        </w:rPr>
      </w:pPr>
      <w:r>
        <w:rPr>
          <w:rFonts w:ascii="David" w:hAnsi="David"/>
          <w:rtl/>
        </w:rPr>
        <w:t>בתאריך 28.10.22 בשעה 17:00 לערך או בסמוך לכך, הגיע הנאשם בהליכה בסמוך לבית מספר 126 בשכונה, השייך למשפחה של ניג'את (להלן: "</w:t>
      </w:r>
      <w:r>
        <w:rPr>
          <w:rFonts w:ascii="David" w:hAnsi="David"/>
          <w:b/>
          <w:bCs/>
          <w:rtl/>
        </w:rPr>
        <w:t>הבית</w:t>
      </w:r>
      <w:r>
        <w:rPr>
          <w:rFonts w:ascii="David" w:hAnsi="David"/>
          <w:rtl/>
        </w:rPr>
        <w:t xml:space="preserve">") כשהוא מחזיק בידו באקדח טעון בכדורים. </w:t>
      </w:r>
    </w:p>
    <w:p w14:paraId="323F5445" w14:textId="77777777" w:rsidR="005A7CAA" w:rsidRDefault="005A7CAA" w:rsidP="005A7CAA">
      <w:pPr>
        <w:pStyle w:val="a9"/>
        <w:spacing w:line="360" w:lineRule="auto"/>
        <w:jc w:val="both"/>
        <w:rPr>
          <w:rFonts w:ascii="David" w:hAnsi="David"/>
          <w:rtl/>
        </w:rPr>
      </w:pPr>
      <w:r>
        <w:rPr>
          <w:rFonts w:ascii="David" w:hAnsi="David"/>
          <w:rtl/>
        </w:rPr>
        <w:t xml:space="preserve">באותה העת, צעדה ביאן ברחוב לעבר הבית. </w:t>
      </w:r>
    </w:p>
    <w:p w14:paraId="4290ACD0" w14:textId="77777777" w:rsidR="005A7CAA" w:rsidRDefault="005A7CAA" w:rsidP="005A7CAA">
      <w:pPr>
        <w:pStyle w:val="a9"/>
        <w:spacing w:line="360" w:lineRule="auto"/>
        <w:jc w:val="both"/>
        <w:rPr>
          <w:rFonts w:ascii="David" w:hAnsi="David"/>
          <w:rtl/>
        </w:rPr>
      </w:pPr>
      <w:r>
        <w:rPr>
          <w:rFonts w:ascii="David" w:hAnsi="David"/>
          <w:rtl/>
        </w:rPr>
        <w:t>במעמד הנ"ל, ירה הנאשם מן האקדח, לעבר הבית וכלי רכב של משפחת אבו סביתאן.</w:t>
      </w:r>
    </w:p>
    <w:p w14:paraId="434287EC" w14:textId="77777777" w:rsidR="005A7CAA" w:rsidRDefault="005A7CAA" w:rsidP="005A7CAA">
      <w:pPr>
        <w:pStyle w:val="a9"/>
        <w:spacing w:line="360" w:lineRule="auto"/>
        <w:jc w:val="both"/>
        <w:rPr>
          <w:rFonts w:ascii="David" w:hAnsi="David"/>
          <w:rtl/>
        </w:rPr>
      </w:pPr>
      <w:r>
        <w:rPr>
          <w:rFonts w:ascii="David" w:hAnsi="David"/>
          <w:rtl/>
        </w:rPr>
        <w:t xml:space="preserve">ביאן אשר הבחינה בנאשם יורה, נמלטה לתוך הבית. </w:t>
      </w:r>
    </w:p>
    <w:p w14:paraId="6A6532D6" w14:textId="77777777" w:rsidR="005A7CAA" w:rsidRDefault="005A7CAA" w:rsidP="005A7CAA">
      <w:pPr>
        <w:pStyle w:val="a9"/>
        <w:spacing w:line="360" w:lineRule="auto"/>
        <w:jc w:val="both"/>
        <w:rPr>
          <w:rFonts w:ascii="David" w:hAnsi="David"/>
          <w:rtl/>
        </w:rPr>
      </w:pPr>
      <w:r>
        <w:rPr>
          <w:rFonts w:ascii="David" w:hAnsi="David"/>
          <w:rtl/>
        </w:rPr>
        <w:t xml:space="preserve">כתוצאה מן הירי שביצע הנאשם נפגע שער הכניסה של הבית ורכבים שחנו ליד הבית, האחד מסוג קיה השייך לניג'את, השני, מסוג שברולט השייך לבעלי הבית, ונגרמו להם נזקים. </w:t>
      </w:r>
    </w:p>
    <w:p w14:paraId="475C2E3C" w14:textId="77777777" w:rsidR="005A7CAA" w:rsidRDefault="005A7CAA" w:rsidP="005A7CAA">
      <w:pPr>
        <w:pStyle w:val="a9"/>
        <w:spacing w:line="360" w:lineRule="auto"/>
        <w:jc w:val="both"/>
        <w:rPr>
          <w:rFonts w:ascii="David" w:hAnsi="David"/>
          <w:rtl/>
        </w:rPr>
      </w:pPr>
      <w:r>
        <w:rPr>
          <w:rFonts w:ascii="David" w:hAnsi="David"/>
          <w:rtl/>
        </w:rPr>
        <w:t xml:space="preserve">מיד לאחר מכן, הנאשם נמלט בריצה מן המקום. </w:t>
      </w:r>
    </w:p>
    <w:p w14:paraId="36667C41" w14:textId="77777777" w:rsidR="005A7CAA" w:rsidRDefault="005A7CAA" w:rsidP="005A7CAA">
      <w:pPr>
        <w:spacing w:line="360" w:lineRule="auto"/>
        <w:jc w:val="both"/>
        <w:rPr>
          <w:rFonts w:ascii="David" w:hAnsi="David"/>
          <w:rtl/>
        </w:rPr>
      </w:pPr>
    </w:p>
    <w:p w14:paraId="14B995E5" w14:textId="77777777" w:rsidR="005A7CAA" w:rsidRDefault="005A7CAA" w:rsidP="005A7CAA">
      <w:pPr>
        <w:spacing w:line="360" w:lineRule="auto"/>
        <w:ind w:left="720" w:hanging="720"/>
        <w:jc w:val="both"/>
        <w:rPr>
          <w:rFonts w:ascii="David" w:hAnsi="David"/>
          <w:rtl/>
        </w:rPr>
      </w:pPr>
      <w:r>
        <w:rPr>
          <w:rFonts w:ascii="David" w:hAnsi="David"/>
          <w:rtl/>
        </w:rPr>
        <w:t>3.</w:t>
      </w:r>
      <w:r>
        <w:rPr>
          <w:rFonts w:ascii="David" w:hAnsi="David"/>
          <w:rtl/>
        </w:rPr>
        <w:tab/>
        <w:t>הנאשם הודה והורשע בעבירות לעיל תוך כדי שמיעת ראיות המאשימה ובמסגרת הסדר טיעון. ע"פ ההסדר הוסכם כי המאשימה תעתור ל- 50 חודשי מאסר בפועל, לצד מאסר מותנה, קנס ופיצוי למתלוננות, וההגנה תטען באופן חופשי.</w:t>
      </w:r>
    </w:p>
    <w:p w14:paraId="2EB82239" w14:textId="77777777" w:rsidR="005A7CAA" w:rsidRDefault="005A7CAA" w:rsidP="005A7CAA">
      <w:pPr>
        <w:spacing w:line="360" w:lineRule="auto"/>
        <w:ind w:left="720" w:hanging="720"/>
        <w:jc w:val="both"/>
        <w:rPr>
          <w:rFonts w:ascii="David" w:hAnsi="David"/>
          <w:rtl/>
        </w:rPr>
      </w:pPr>
    </w:p>
    <w:p w14:paraId="6905A8BD" w14:textId="77777777" w:rsidR="005A7CAA" w:rsidRDefault="005A7CAA" w:rsidP="005A7CAA">
      <w:pPr>
        <w:spacing w:line="360" w:lineRule="auto"/>
        <w:ind w:left="720" w:hanging="720"/>
        <w:jc w:val="both"/>
        <w:rPr>
          <w:rFonts w:ascii="David" w:hAnsi="David"/>
          <w:rtl/>
        </w:rPr>
      </w:pPr>
      <w:r>
        <w:rPr>
          <w:rFonts w:ascii="David" w:hAnsi="David"/>
          <w:rtl/>
        </w:rPr>
        <w:t>4.</w:t>
      </w:r>
      <w:r>
        <w:rPr>
          <w:rFonts w:ascii="David" w:hAnsi="David"/>
          <w:rtl/>
        </w:rPr>
        <w:tab/>
        <w:t>לבקשת הצדדים ונוכח גילו של הנאשם, התבקש שירות המבחן להגיש תסקיר לעונש טרם מתן גזר הדין.</w:t>
      </w:r>
    </w:p>
    <w:p w14:paraId="1927582B" w14:textId="77777777" w:rsidR="005A7CAA" w:rsidRDefault="005A7CAA" w:rsidP="005A7CAA">
      <w:pPr>
        <w:pStyle w:val="a9"/>
        <w:spacing w:line="360" w:lineRule="auto"/>
        <w:jc w:val="both"/>
        <w:rPr>
          <w:rFonts w:ascii="David" w:hAnsi="David"/>
          <w:highlight w:val="yellow"/>
          <w:rtl/>
        </w:rPr>
      </w:pPr>
    </w:p>
    <w:p w14:paraId="156E269E" w14:textId="77777777" w:rsidR="005A7CAA" w:rsidRDefault="005A7CAA" w:rsidP="005A7CAA">
      <w:pPr>
        <w:pStyle w:val="a9"/>
        <w:spacing w:line="360" w:lineRule="auto"/>
        <w:jc w:val="both"/>
        <w:rPr>
          <w:rFonts w:ascii="David" w:hAnsi="David"/>
          <w:highlight w:val="yellow"/>
          <w:rtl/>
        </w:rPr>
      </w:pPr>
    </w:p>
    <w:p w14:paraId="3DCC2954" w14:textId="77777777" w:rsidR="005A7CAA" w:rsidRDefault="005A7CAA" w:rsidP="005A7CAA">
      <w:pPr>
        <w:spacing w:line="360" w:lineRule="auto"/>
        <w:jc w:val="both"/>
        <w:rPr>
          <w:rFonts w:ascii="David" w:hAnsi="David"/>
          <w:b/>
          <w:bCs/>
          <w:rtl/>
        </w:rPr>
      </w:pPr>
      <w:r>
        <w:rPr>
          <w:rFonts w:ascii="David" w:hAnsi="David"/>
          <w:b/>
          <w:bCs/>
          <w:rtl/>
        </w:rPr>
        <w:t>תסקיר שירות המבחן</w:t>
      </w:r>
    </w:p>
    <w:p w14:paraId="5C5A629E" w14:textId="77777777" w:rsidR="005A7CAA" w:rsidRDefault="005A7CAA" w:rsidP="005A7CAA">
      <w:pPr>
        <w:spacing w:line="360" w:lineRule="auto"/>
        <w:jc w:val="both"/>
        <w:rPr>
          <w:rFonts w:ascii="David" w:hAnsi="David"/>
          <w:rtl/>
        </w:rPr>
      </w:pPr>
    </w:p>
    <w:p w14:paraId="12861ED8" w14:textId="77777777" w:rsidR="005A7CAA" w:rsidRDefault="005A7CAA" w:rsidP="005A7CAA">
      <w:pPr>
        <w:spacing w:line="360" w:lineRule="auto"/>
        <w:ind w:left="720" w:hanging="720"/>
        <w:jc w:val="both"/>
        <w:rPr>
          <w:rFonts w:ascii="David" w:hAnsi="David"/>
          <w:rtl/>
        </w:rPr>
      </w:pPr>
      <w:r>
        <w:rPr>
          <w:rFonts w:ascii="David" w:hAnsi="David"/>
          <w:rtl/>
        </w:rPr>
        <w:t>5.</w:t>
      </w:r>
      <w:r>
        <w:rPr>
          <w:rFonts w:ascii="David" w:hAnsi="David"/>
          <w:b/>
          <w:bCs/>
          <w:rtl/>
        </w:rPr>
        <w:tab/>
      </w:r>
      <w:r>
        <w:rPr>
          <w:rFonts w:ascii="David" w:hAnsi="David"/>
          <w:rtl/>
        </w:rPr>
        <w:t>ביום 19.9.23 הוגש תסקיר שירות המבחן במסגרתו נסקרו קורות חייו של הנאשם ומשפחתו, אך בשל צנעת הפרט לא אפרט מעבר לנדרש. הנאשם בן 20, רווק, סיים 12 שנות לימוד ונעדר עבר פלילי. משפחת מוצאו מונה זוג הורים ושמונה ילדים כשהנאשם הנו השני בסדר הלידה. טרם מעצרו עבד בקיוסק בבעלותו וכן עם אביו בעבודות טיח.</w:t>
      </w:r>
    </w:p>
    <w:p w14:paraId="3E59F6F9" w14:textId="77777777" w:rsidR="005A7CAA" w:rsidRDefault="005A7CAA" w:rsidP="005A7CAA">
      <w:pPr>
        <w:pStyle w:val="a9"/>
        <w:spacing w:line="360" w:lineRule="auto"/>
        <w:jc w:val="both"/>
        <w:rPr>
          <w:rFonts w:ascii="David" w:hAnsi="David"/>
        </w:rPr>
      </w:pPr>
      <w:r>
        <w:rPr>
          <w:rFonts w:ascii="David" w:hAnsi="David"/>
          <w:rtl/>
        </w:rPr>
        <w:t>לדברי הנאשם</w:t>
      </w:r>
      <w:r>
        <w:rPr>
          <w:rFonts w:ascii="David" w:hAnsi="David" w:hint="cs"/>
          <w:rtl/>
        </w:rPr>
        <w:t xml:space="preserve"> </w:t>
      </w:r>
      <w:r>
        <w:rPr>
          <w:rFonts w:ascii="David" w:hAnsi="David"/>
          <w:rtl/>
        </w:rPr>
        <w:t>משפחתו</w:t>
      </w:r>
      <w:r>
        <w:rPr>
          <w:rFonts w:ascii="David" w:hAnsi="David" w:hint="cs"/>
          <w:rtl/>
        </w:rPr>
        <w:t xml:space="preserve">, </w:t>
      </w:r>
      <w:r>
        <w:rPr>
          <w:rFonts w:ascii="David" w:hAnsi="David"/>
          <w:rtl/>
        </w:rPr>
        <w:t xml:space="preserve">משפחת אבו סרחאן, מעורבת בסכסוך על קרקעות עם משפחת אבו סביתאן המתגוררת באותה שכונה. על רקע הסכסוך בין המשפחות, נורה אחיו הקטין ונותר נכה. הנאשם ליווה את אחיו בתהליך השיקום. לדברי הנאשם לאחר פציעת אחיו החליטה אמו להגיש תלונה במשטרה נגד היורים, והדבר הביא להתדרדרות ביחסים בין שתי </w:t>
      </w:r>
      <w:r>
        <w:rPr>
          <w:rFonts w:ascii="David" w:hAnsi="David"/>
          <w:rtl/>
        </w:rPr>
        <w:lastRenderedPageBreak/>
        <w:t xml:space="preserve">המשפחות, ומשפחתו הייתה נתונה לאיומים ולירי יום יומי. עוד פורט בתסקיר כי הנאשם החליט שעליו להגן על משפחתו, שכר אקדח מאדם אחר בישוב, החזיקו ברשותו מספר ימים וירה לעבר ביתם ורכבם של המתלוננים אך לא התכוון לפגוע פגיעה ממשית באדם אלא להרתיעם. לדברי הנאשם לאחר מעצרו נערכה סולחה בין הצדדים ועד כה שורר שקט בשכונת מגוריו. </w:t>
      </w:r>
    </w:p>
    <w:p w14:paraId="1C647245" w14:textId="77777777" w:rsidR="005A7CAA" w:rsidRDefault="005A7CAA" w:rsidP="005A7CAA">
      <w:pPr>
        <w:pStyle w:val="a9"/>
        <w:spacing w:line="360" w:lineRule="auto"/>
        <w:jc w:val="both"/>
        <w:rPr>
          <w:rFonts w:ascii="David" w:hAnsi="David"/>
          <w:rtl/>
        </w:rPr>
      </w:pPr>
      <w:r>
        <w:rPr>
          <w:rFonts w:ascii="David" w:hAnsi="David"/>
          <w:rtl/>
        </w:rPr>
        <w:t xml:space="preserve">עוד נכתב בתסקיר כי הנאשם הביע חרטה על מעשיו, ורצון להשתלב בטיפול בתחום האלימות במסגרת מעצרו. שירות המבחן עדכן כי במסגרת מעצרו השתתף הנאשם באופן חלקי בקבוצת הכנה לטיפול אך נשר טרם סיום הטיפול. בנוסף השתתף הנאשם בקבוצה של מערך החינוך ומנהל קשר עקבי עם עו"ס ללא דיווחים חריגים. </w:t>
      </w:r>
    </w:p>
    <w:p w14:paraId="5480834D" w14:textId="77777777" w:rsidR="005A7CAA" w:rsidRDefault="005A7CAA" w:rsidP="005A7CAA">
      <w:pPr>
        <w:pStyle w:val="a9"/>
        <w:spacing w:line="360" w:lineRule="auto"/>
        <w:jc w:val="both"/>
        <w:rPr>
          <w:rFonts w:ascii="David" w:hAnsi="David"/>
          <w:rtl/>
        </w:rPr>
      </w:pPr>
      <w:r>
        <w:rPr>
          <w:rFonts w:ascii="David" w:hAnsi="David"/>
          <w:rtl/>
        </w:rPr>
        <w:t xml:space="preserve">שירות המבחן התרשם כי ההליך הפלילי ומעצרו הממושך של הנאשם מהווים עבורו גבול מרתיע, אך נוכח אופי וחומרת העבירות ונסיבות חייו נמצא כי הנו בעל סיכון לחזרה על התנהגות אלימה ופורצת גבולות. שירות המבחן המליץ על הטלת ענישה מוחשית ומחדדת גבולות אשר תיקח בחשבון את גילו הצעיר, העדר עבר פלילי והבעת נכונות לערוך הליך שיקום בין כותלי הכלא. </w:t>
      </w:r>
    </w:p>
    <w:p w14:paraId="613A10B0" w14:textId="77777777" w:rsidR="005A7CAA" w:rsidRDefault="005A7CAA" w:rsidP="005A7CAA">
      <w:pPr>
        <w:spacing w:line="360" w:lineRule="auto"/>
        <w:ind w:left="357"/>
        <w:jc w:val="both"/>
        <w:rPr>
          <w:rFonts w:ascii="David" w:hAnsi="David"/>
          <w:rtl/>
        </w:rPr>
      </w:pPr>
    </w:p>
    <w:p w14:paraId="0B9F297A" w14:textId="77777777" w:rsidR="005A7CAA" w:rsidRDefault="005A7CAA" w:rsidP="005A7CAA">
      <w:pPr>
        <w:spacing w:line="360" w:lineRule="auto"/>
        <w:jc w:val="both"/>
        <w:rPr>
          <w:rFonts w:ascii="David" w:hAnsi="David"/>
          <w:b/>
          <w:bCs/>
          <w:rtl/>
        </w:rPr>
      </w:pPr>
      <w:r>
        <w:rPr>
          <w:rFonts w:ascii="David" w:hAnsi="David"/>
          <w:b/>
          <w:bCs/>
          <w:rtl/>
        </w:rPr>
        <w:t>ראיות וטיעונים לעונש</w:t>
      </w:r>
    </w:p>
    <w:p w14:paraId="7406D242" w14:textId="77777777" w:rsidR="005A7CAA" w:rsidRDefault="005A7CAA" w:rsidP="005A7CAA">
      <w:pPr>
        <w:spacing w:line="360" w:lineRule="auto"/>
        <w:jc w:val="both"/>
        <w:rPr>
          <w:rFonts w:ascii="David" w:hAnsi="David"/>
          <w:b/>
          <w:bCs/>
          <w:rtl/>
        </w:rPr>
      </w:pPr>
    </w:p>
    <w:p w14:paraId="44BD1CDF" w14:textId="77777777" w:rsidR="005A7CAA" w:rsidRDefault="005A7CAA" w:rsidP="005A7CAA">
      <w:pPr>
        <w:spacing w:line="360" w:lineRule="auto"/>
        <w:ind w:left="720" w:hanging="720"/>
        <w:jc w:val="both"/>
        <w:rPr>
          <w:rFonts w:ascii="David" w:hAnsi="David"/>
          <w:rtl/>
        </w:rPr>
      </w:pPr>
      <w:r>
        <w:rPr>
          <w:rFonts w:ascii="David" w:hAnsi="David"/>
          <w:rtl/>
        </w:rPr>
        <w:t>6.</w:t>
      </w:r>
      <w:r>
        <w:rPr>
          <w:rFonts w:ascii="David" w:hAnsi="David"/>
          <w:rtl/>
        </w:rPr>
        <w:tab/>
        <w:t>ב"כ המאשימה הגישה מסמך שכותרתו "</w:t>
      </w:r>
      <w:r>
        <w:rPr>
          <w:rFonts w:ascii="David" w:hAnsi="David"/>
          <w:b/>
          <w:bCs/>
          <w:rtl/>
        </w:rPr>
        <w:t>תיאור מקרה העבירה על ידי נפגעת העבירה נג'את אבו סביתאן</w:t>
      </w:r>
      <w:r>
        <w:rPr>
          <w:rFonts w:ascii="David" w:hAnsi="David"/>
          <w:rtl/>
        </w:rPr>
        <w:t xml:space="preserve">" (ת/25). </w:t>
      </w:r>
    </w:p>
    <w:p w14:paraId="26096A42" w14:textId="77777777" w:rsidR="005A7CAA" w:rsidRDefault="005A7CAA" w:rsidP="005A7CAA">
      <w:pPr>
        <w:spacing w:line="360" w:lineRule="auto"/>
        <w:ind w:left="720" w:hanging="720"/>
        <w:jc w:val="both"/>
        <w:rPr>
          <w:rFonts w:ascii="David" w:hAnsi="David"/>
          <w:rtl/>
        </w:rPr>
      </w:pPr>
    </w:p>
    <w:p w14:paraId="523E383F" w14:textId="77777777" w:rsidR="005A7CAA" w:rsidRDefault="005A7CAA" w:rsidP="005A7CAA">
      <w:pPr>
        <w:spacing w:line="360" w:lineRule="auto"/>
        <w:ind w:left="720" w:hanging="720"/>
        <w:jc w:val="both"/>
        <w:rPr>
          <w:rFonts w:ascii="David" w:hAnsi="David"/>
          <w:rtl/>
        </w:rPr>
      </w:pPr>
      <w:r>
        <w:rPr>
          <w:rFonts w:ascii="David" w:hAnsi="David"/>
          <w:rtl/>
        </w:rPr>
        <w:t>7.</w:t>
      </w:r>
      <w:r>
        <w:rPr>
          <w:rFonts w:ascii="David" w:hAnsi="David"/>
          <w:rtl/>
        </w:rPr>
        <w:tab/>
        <w:t>במסגרת הראיות לעונש מטעם הנאשם העידה אמו של הנאשם, הגב' זקיה אבו סרחאן, שמסרה כי בנה טעה טעות חמורה. היא ומשפחתה מצטערים על המעשים שנגרמו על רקע סכסוך ממושך בין שתי המשפחות. לדבריה בגיל 16 שנים ראה הנאשם שמשפחה אחרת יורה על משפחתו, ונאלץ לטפל באחיו אשר נפצע מאותו ירי.  האם ובנותיה ישנות מתחת למיטות מחשש לשלומן ומאחר והמשטרה לא מצליחה לתן להם מזור. בשל האיומים על המשפחה, אחיו ואחיותיו של הנאשם לא הולכים לבית ספר מזה שנתיים, ואחיו הגדול עזב לימודי הנדסה.</w:t>
      </w:r>
    </w:p>
    <w:p w14:paraId="3800B3A9" w14:textId="77777777" w:rsidR="005A7CAA" w:rsidRDefault="005A7CAA" w:rsidP="005A7CAA">
      <w:pPr>
        <w:pStyle w:val="a9"/>
        <w:spacing w:line="360" w:lineRule="auto"/>
        <w:jc w:val="both"/>
        <w:rPr>
          <w:rFonts w:ascii="David" w:hAnsi="David"/>
        </w:rPr>
      </w:pPr>
      <w:r>
        <w:rPr>
          <w:rFonts w:ascii="David" w:hAnsi="David"/>
          <w:rtl/>
        </w:rPr>
        <w:t xml:space="preserve">האם הביעה חרטה כי העידה בעבר לבקשת המדינה נגד יורה בנה בתיק ת.פ (מחוזי באר שבע) 32210-12-21, וזאת מאחר ולטענתה המדינה לא מגינה על משפחתה.  </w:t>
      </w:r>
    </w:p>
    <w:p w14:paraId="0DF92E05" w14:textId="77777777" w:rsidR="005A7CAA" w:rsidRDefault="005A7CAA" w:rsidP="005A7CAA">
      <w:pPr>
        <w:pStyle w:val="a9"/>
        <w:spacing w:line="360" w:lineRule="auto"/>
        <w:jc w:val="both"/>
        <w:rPr>
          <w:rFonts w:ascii="David" w:hAnsi="David"/>
          <w:rtl/>
        </w:rPr>
      </w:pPr>
      <w:r>
        <w:rPr>
          <w:rFonts w:ascii="David" w:hAnsi="David"/>
          <w:rtl/>
        </w:rPr>
        <w:t>האם הוסיפה כי העונש שיוטל על הנאשם ישפיע על משפחתו, אביו של הנאשם חולה ושניים מילדיה נכים והיא זקוקה לעזרתו של הנאשם בטיפול בהם. האם בקשה  כי בית המשפט יתחשב בסבל המשפחה בבואו לגזור את העונ</w:t>
      </w:r>
      <w:r>
        <w:rPr>
          <w:rFonts w:ascii="David" w:hAnsi="David" w:hint="cs"/>
          <w:rtl/>
        </w:rPr>
        <w:t>ש</w:t>
      </w:r>
      <w:r>
        <w:rPr>
          <w:rFonts w:ascii="David" w:hAnsi="David"/>
          <w:rtl/>
        </w:rPr>
        <w:t>, וציינה כי הנאשם רצה ללמוד רוקחות בחו"ל ותכנ</w:t>
      </w:r>
      <w:r>
        <w:rPr>
          <w:rFonts w:ascii="David" w:hAnsi="David" w:hint="cs"/>
          <w:rtl/>
        </w:rPr>
        <w:t>י</w:t>
      </w:r>
      <w:r>
        <w:rPr>
          <w:rFonts w:ascii="David" w:hAnsi="David"/>
          <w:rtl/>
        </w:rPr>
        <w:t>ותיו נגנזו.</w:t>
      </w:r>
    </w:p>
    <w:p w14:paraId="2B671E34" w14:textId="77777777" w:rsidR="005A7CAA" w:rsidRDefault="005A7CAA" w:rsidP="005A7CAA">
      <w:pPr>
        <w:spacing w:line="360" w:lineRule="auto"/>
        <w:jc w:val="both"/>
        <w:rPr>
          <w:rFonts w:ascii="David" w:hAnsi="David"/>
          <w:rtl/>
        </w:rPr>
      </w:pPr>
    </w:p>
    <w:p w14:paraId="2DFE870F" w14:textId="77777777" w:rsidR="005A7CAA" w:rsidRDefault="005A7CAA" w:rsidP="005A7CAA">
      <w:pPr>
        <w:spacing w:line="360" w:lineRule="auto"/>
        <w:ind w:left="720" w:hanging="720"/>
        <w:jc w:val="both"/>
        <w:rPr>
          <w:rFonts w:ascii="David" w:hAnsi="David"/>
          <w:rtl/>
        </w:rPr>
      </w:pPr>
      <w:r>
        <w:rPr>
          <w:rFonts w:ascii="David" w:hAnsi="David"/>
          <w:rtl/>
        </w:rPr>
        <w:t>8.</w:t>
      </w:r>
      <w:r>
        <w:rPr>
          <w:rFonts w:ascii="David" w:hAnsi="David"/>
          <w:rtl/>
        </w:rPr>
        <w:tab/>
        <w:t xml:space="preserve">ב"כ המאשימה הגישה טיעונים לעונש בכתב (ת/23) במסגרתם עתרה להטלת עונש של 50 חודשי מאסר בפועל לצד מאסר מותנה, קנס ופיצוי לנפגעות העבירה. </w:t>
      </w:r>
    </w:p>
    <w:p w14:paraId="18901FF2" w14:textId="77777777" w:rsidR="005A7CAA" w:rsidRDefault="005A7CAA" w:rsidP="005A7CAA">
      <w:pPr>
        <w:pStyle w:val="a9"/>
        <w:spacing w:line="360" w:lineRule="auto"/>
        <w:jc w:val="both"/>
        <w:rPr>
          <w:rFonts w:ascii="David" w:hAnsi="David"/>
        </w:rPr>
      </w:pPr>
      <w:r>
        <w:rPr>
          <w:rFonts w:ascii="David" w:hAnsi="David"/>
          <w:rtl/>
        </w:rPr>
        <w:t xml:space="preserve">נטען כי תופעת השימוש בנשק חם במסגרת סכסוכים רווחת מאוד במיוחד במגזר הבדואי, וסכנותיה לשלום הציבור מחייבת הטלת ענישה מחמירה שיהיה בה כדי להרתיע את הציבור מפני ביצוע עבירות מסוג זה. </w:t>
      </w:r>
    </w:p>
    <w:p w14:paraId="6C26440E" w14:textId="77777777" w:rsidR="005A7CAA" w:rsidRDefault="005A7CAA" w:rsidP="005A7CAA">
      <w:pPr>
        <w:pStyle w:val="a9"/>
        <w:spacing w:line="360" w:lineRule="auto"/>
        <w:jc w:val="both"/>
        <w:rPr>
          <w:rFonts w:ascii="David" w:hAnsi="David"/>
        </w:rPr>
      </w:pPr>
    </w:p>
    <w:p w14:paraId="130DAF52" w14:textId="77777777" w:rsidR="005A7CAA" w:rsidRDefault="005A7CAA" w:rsidP="005A7CAA">
      <w:pPr>
        <w:pStyle w:val="a9"/>
        <w:spacing w:line="360" w:lineRule="auto"/>
        <w:jc w:val="both"/>
        <w:rPr>
          <w:rFonts w:ascii="David" w:hAnsi="David"/>
          <w:rtl/>
        </w:rPr>
      </w:pPr>
      <w:r>
        <w:rPr>
          <w:rFonts w:ascii="David" w:hAnsi="David"/>
          <w:rtl/>
        </w:rPr>
        <w:t>ב"כ המאשימה סקרה עובדות כתב האישום ועמדה על הערכים המוגנים שנפגעו כתוצאה מעבירות הנשק בהן הורשע הנאשם, ובכלל זה: שמירה על ערך חיי אדם ושלמות גופו ונפשו, הגנה על שלום הציבור ובטחונו, ושמירה על הסדר הציבורי ואורח חיים תקין ובטוח.</w:t>
      </w:r>
    </w:p>
    <w:p w14:paraId="0F0B955D" w14:textId="77777777" w:rsidR="005A7CAA" w:rsidRDefault="005A7CAA" w:rsidP="005A7CAA">
      <w:pPr>
        <w:pStyle w:val="a9"/>
        <w:spacing w:line="360" w:lineRule="auto"/>
        <w:jc w:val="both"/>
        <w:rPr>
          <w:rFonts w:ascii="David" w:hAnsi="David"/>
          <w:rtl/>
        </w:rPr>
      </w:pPr>
    </w:p>
    <w:p w14:paraId="4A6DC995" w14:textId="77777777" w:rsidR="005A7CAA" w:rsidRDefault="005A7CAA" w:rsidP="005A7CAA">
      <w:pPr>
        <w:pStyle w:val="a9"/>
        <w:spacing w:line="360" w:lineRule="auto"/>
        <w:jc w:val="both"/>
        <w:rPr>
          <w:rFonts w:ascii="David" w:hAnsi="David"/>
          <w:rtl/>
        </w:rPr>
      </w:pPr>
      <w:r>
        <w:rPr>
          <w:rFonts w:ascii="David" w:hAnsi="David"/>
          <w:rtl/>
        </w:rPr>
        <w:t xml:space="preserve">נטען כי מידת הפגיעה בערכים המוגנים בנסיבות המקרה, הנה בדרגת חומרה גבוהה בשים לב לסיכון הגלום בעבירות הנשק, להיותן "מכת מדינה" ולהשלכותיהן השלילית על שלום הציבור ותחושת הביטחון האישי במרחב הציבורי. הנאשם ביצע את העבירות לאחר תכנון מוקדם ועל רקע סכסוך בין המשפחות, תוך שהוא עושה דין לעצמו ובאמצעות נשק חם. </w:t>
      </w:r>
    </w:p>
    <w:p w14:paraId="70DB26D4" w14:textId="77777777" w:rsidR="005A7CAA" w:rsidRDefault="005A7CAA" w:rsidP="005A7CAA">
      <w:pPr>
        <w:pStyle w:val="a9"/>
        <w:spacing w:line="360" w:lineRule="auto"/>
        <w:jc w:val="both"/>
        <w:rPr>
          <w:rFonts w:ascii="David" w:hAnsi="David"/>
          <w:rtl/>
        </w:rPr>
      </w:pPr>
      <w:r>
        <w:rPr>
          <w:rFonts w:ascii="David" w:hAnsi="David"/>
          <w:rtl/>
        </w:rPr>
        <w:t xml:space="preserve">נטען כי הנאשם נשא את הנשק בטבורה של שכונת מגורים וירה לעבר הבית וכלי רכב של המשפחה היריבה. אומנם מהירי נפגע רכוש בלבד (שער הכניסה של הבית ורכבים שחנו ליד הבית), אך תוצאות הירי עלולות היו להיות קטלניות. </w:t>
      </w:r>
    </w:p>
    <w:p w14:paraId="226D7AB8" w14:textId="77777777" w:rsidR="005A7CAA" w:rsidRDefault="005A7CAA" w:rsidP="005A7CAA">
      <w:pPr>
        <w:pStyle w:val="a9"/>
        <w:spacing w:line="360" w:lineRule="auto"/>
        <w:jc w:val="both"/>
        <w:rPr>
          <w:rFonts w:ascii="David" w:hAnsi="David"/>
          <w:rtl/>
        </w:rPr>
      </w:pPr>
    </w:p>
    <w:p w14:paraId="5D09A74E" w14:textId="77777777" w:rsidR="005A7CAA" w:rsidRDefault="005A7CAA" w:rsidP="005A7CAA">
      <w:pPr>
        <w:pStyle w:val="a9"/>
        <w:spacing w:line="360" w:lineRule="auto"/>
        <w:jc w:val="both"/>
        <w:rPr>
          <w:rFonts w:ascii="David" w:hAnsi="David"/>
          <w:rtl/>
        </w:rPr>
      </w:pPr>
      <w:r>
        <w:rPr>
          <w:rFonts w:ascii="David" w:hAnsi="David"/>
          <w:rtl/>
        </w:rPr>
        <w:t xml:space="preserve">ב"כ המאשימה סקרה את מדיוניות הענישה הנוהגת המצביעה על מגמת החמרה בענישה, והפנתה להנחיית פרקליט המדינה "מדיניות ענישה בעבירות נשק ומטעני חבלה" אשר מטרתה העלאת רמת הענישה הנוהגת. נטען כי בהתאם להנחיית פרקליט המדינה החזקה או נשיאה של נשק על רקע סכסוך פעיל מהווה נסיבה לחומרה. </w:t>
      </w:r>
    </w:p>
    <w:p w14:paraId="56643998" w14:textId="77777777" w:rsidR="005A7CAA" w:rsidRDefault="005A7CAA" w:rsidP="005A7CAA">
      <w:pPr>
        <w:pStyle w:val="a9"/>
        <w:spacing w:line="360" w:lineRule="auto"/>
        <w:jc w:val="both"/>
        <w:rPr>
          <w:rFonts w:ascii="David" w:hAnsi="David"/>
          <w:rtl/>
        </w:rPr>
      </w:pPr>
    </w:p>
    <w:p w14:paraId="5E026963" w14:textId="77777777" w:rsidR="005A7CAA" w:rsidRDefault="005A7CAA" w:rsidP="005A7CAA">
      <w:pPr>
        <w:pStyle w:val="a9"/>
        <w:spacing w:line="360" w:lineRule="auto"/>
        <w:jc w:val="both"/>
        <w:rPr>
          <w:rFonts w:ascii="David" w:hAnsi="David"/>
          <w:rtl/>
        </w:rPr>
      </w:pPr>
      <w:r>
        <w:rPr>
          <w:rFonts w:ascii="David" w:hAnsi="David"/>
          <w:rtl/>
        </w:rPr>
        <w:t xml:space="preserve">לדברי ב"כ המאשימה עתירתה לענישה בת 50 חודשי מאסר בפועל, מתחשבת גם בגילו הצעיר של הנאשם, העדרו של עבר פלילי ובאחריות שנטל על מעשיו לאחר שהחלה להישמע פרשת התביעה. המאשימה הפנתה לפסיקה רלוונטית ולהמלצת שירות המבחן בדבר הטלת ענישה מוחשית מחדדת גבולות. </w:t>
      </w:r>
    </w:p>
    <w:p w14:paraId="1D91EDC2" w14:textId="77777777" w:rsidR="005A7CAA" w:rsidRDefault="005A7CAA" w:rsidP="005A7CAA">
      <w:pPr>
        <w:spacing w:line="360" w:lineRule="auto"/>
        <w:jc w:val="both"/>
        <w:rPr>
          <w:rFonts w:ascii="David" w:hAnsi="David"/>
          <w:rtl/>
        </w:rPr>
      </w:pPr>
    </w:p>
    <w:p w14:paraId="025AE972" w14:textId="77777777" w:rsidR="005A7CAA" w:rsidRDefault="005A7CAA" w:rsidP="005A7CAA">
      <w:pPr>
        <w:spacing w:line="360" w:lineRule="auto"/>
        <w:ind w:left="720" w:hanging="720"/>
        <w:jc w:val="both"/>
        <w:rPr>
          <w:rFonts w:ascii="David" w:hAnsi="David"/>
          <w:rtl/>
        </w:rPr>
      </w:pPr>
      <w:r>
        <w:rPr>
          <w:rFonts w:ascii="David" w:hAnsi="David"/>
          <w:rtl/>
        </w:rPr>
        <w:t>9.</w:t>
      </w:r>
      <w:r>
        <w:rPr>
          <w:rFonts w:ascii="David" w:hAnsi="David"/>
          <w:rtl/>
        </w:rPr>
        <w:tab/>
        <w:t>ב"כ הנאשם עתרה לקביעת מתחם ענישה הנע בין 18-24  חודשי מאסר, ולקביעת עונשו של הנאשם ברף התחתון של המתחם, ולא יותר מ</w:t>
      </w:r>
      <w:r>
        <w:rPr>
          <w:rFonts w:ascii="David" w:hAnsi="David" w:hint="cs"/>
          <w:rtl/>
        </w:rPr>
        <w:t>-</w:t>
      </w:r>
      <w:r>
        <w:rPr>
          <w:rFonts w:ascii="David" w:hAnsi="David"/>
          <w:rtl/>
        </w:rPr>
        <w:t xml:space="preserve"> 24 חודשי מאסר בפועל. </w:t>
      </w:r>
    </w:p>
    <w:p w14:paraId="74BA7634" w14:textId="77777777" w:rsidR="005A7CAA" w:rsidRDefault="005A7CAA" w:rsidP="005A7CAA">
      <w:pPr>
        <w:pStyle w:val="a9"/>
        <w:spacing w:line="360" w:lineRule="auto"/>
        <w:jc w:val="both"/>
        <w:rPr>
          <w:rFonts w:ascii="David" w:hAnsi="David"/>
        </w:rPr>
      </w:pPr>
      <w:r>
        <w:rPr>
          <w:rFonts w:ascii="David" w:hAnsi="David"/>
          <w:rtl/>
        </w:rPr>
        <w:t xml:space="preserve">נטען כי מדובר בנאשם צעיר בן 20 שנים, נעדר עבר פלילי, אשר הודה בביצוע העבירות והביע חרטה. ב"כ הנאשם הפנתה לדברי אמו של הנאשם אשר העידה כי מדובר במי שחי תחת פחד ואיומים במשך מספר שנים על רקע סכסוכי משפחות, ראה את אחיו נפגע באופן קשה ואף סעד אותו וטיפל בו לאורך שיקומו. עוד הפנתה ב"כ המאשימה לתסקיר שירות המבחן ממנו עולה כי מדובר במי שהתמיד במסגרת לימודים ותעסוקה במשך כל חייו. </w:t>
      </w:r>
    </w:p>
    <w:p w14:paraId="3055A726" w14:textId="77777777" w:rsidR="005A7CAA" w:rsidRDefault="005A7CAA" w:rsidP="005A7CAA">
      <w:pPr>
        <w:pStyle w:val="a9"/>
        <w:spacing w:line="360" w:lineRule="auto"/>
        <w:rPr>
          <w:rFonts w:ascii="David" w:hAnsi="David"/>
        </w:rPr>
      </w:pPr>
    </w:p>
    <w:p w14:paraId="60FA29C1" w14:textId="77777777" w:rsidR="005A7CAA" w:rsidRDefault="005A7CAA" w:rsidP="005A7CAA">
      <w:pPr>
        <w:pStyle w:val="a9"/>
        <w:spacing w:line="360" w:lineRule="auto"/>
        <w:jc w:val="both"/>
        <w:rPr>
          <w:rFonts w:ascii="David" w:hAnsi="David"/>
          <w:rtl/>
        </w:rPr>
      </w:pPr>
      <w:r>
        <w:rPr>
          <w:rFonts w:ascii="David" w:hAnsi="David"/>
          <w:rtl/>
        </w:rPr>
        <w:t>נטען כי בגזירת עונשו של הנאשם יש להביא בחשבון כי שניים מבני המשפחה היריבה  נמצאו אחראים לירי באחיו הקטין של הנאשם,</w:t>
      </w:r>
      <w:r>
        <w:rPr>
          <w:rFonts w:ascii="David" w:hAnsi="David" w:hint="cs"/>
          <w:rtl/>
        </w:rPr>
        <w:t xml:space="preserve"> </w:t>
      </w:r>
      <w:r>
        <w:rPr>
          <w:rFonts w:ascii="David" w:hAnsi="David"/>
          <w:rtl/>
        </w:rPr>
        <w:t xml:space="preserve">אשר נורה 14 כדורים בגופו ונותר נכה בגוף ובנפש. עניינם של השניים נדון </w:t>
      </w:r>
      <w:r>
        <w:rPr>
          <w:rFonts w:ascii="David" w:hAnsi="David" w:hint="cs"/>
          <w:rtl/>
        </w:rPr>
        <w:t>ב</w:t>
      </w:r>
      <w:r>
        <w:rPr>
          <w:rFonts w:ascii="David" w:hAnsi="David"/>
          <w:rtl/>
        </w:rPr>
        <w:t xml:space="preserve">תיק תפ"ע (מחוזי- ב"ש) 32210-12-21, אשר במסגרתו ובהתאם להסדר סגור בין הצדדים, הוטלו עליהם עונשי מאסר של 55 ו -18 חודשים. </w:t>
      </w:r>
    </w:p>
    <w:p w14:paraId="7820BFDB" w14:textId="77777777" w:rsidR="005A7CAA" w:rsidRDefault="005A7CAA" w:rsidP="005A7CAA">
      <w:pPr>
        <w:pStyle w:val="a9"/>
        <w:spacing w:line="360" w:lineRule="auto"/>
        <w:rPr>
          <w:rFonts w:ascii="David" w:hAnsi="David"/>
        </w:rPr>
      </w:pPr>
    </w:p>
    <w:p w14:paraId="1B6D203C" w14:textId="77777777" w:rsidR="005A7CAA" w:rsidRDefault="005A7CAA" w:rsidP="005A7CAA">
      <w:pPr>
        <w:pStyle w:val="a9"/>
        <w:spacing w:line="360" w:lineRule="auto"/>
        <w:jc w:val="both"/>
        <w:rPr>
          <w:rFonts w:ascii="David" w:hAnsi="David"/>
          <w:rtl/>
        </w:rPr>
      </w:pPr>
      <w:r>
        <w:rPr>
          <w:rFonts w:ascii="David" w:hAnsi="David"/>
          <w:rtl/>
        </w:rPr>
        <w:t>ב"כ הנאשם סקרה פסיקה רלוונטית, הגישה אסופת פסיקה וסיכום של הפסיקה (נ/2). לדברי ההגנה יש בנסיבות ביצוע העבירות כמפורט לעיל ובנסיבותיו האישיות של הנאשם כדי להקל בעונשו.</w:t>
      </w:r>
    </w:p>
    <w:p w14:paraId="447A5206" w14:textId="77777777" w:rsidR="005A7CAA" w:rsidRDefault="005A7CAA" w:rsidP="005A7CAA">
      <w:pPr>
        <w:spacing w:line="360" w:lineRule="auto"/>
        <w:jc w:val="both"/>
        <w:rPr>
          <w:rFonts w:ascii="David" w:hAnsi="David"/>
          <w:rtl/>
        </w:rPr>
      </w:pPr>
    </w:p>
    <w:p w14:paraId="23A97ACF" w14:textId="77777777" w:rsidR="005A7CAA" w:rsidRDefault="005A7CAA" w:rsidP="005A7CAA">
      <w:pPr>
        <w:spacing w:line="360" w:lineRule="auto"/>
        <w:ind w:left="720" w:hanging="720"/>
        <w:jc w:val="both"/>
        <w:rPr>
          <w:rFonts w:ascii="David" w:hAnsi="David"/>
          <w:rtl/>
        </w:rPr>
      </w:pPr>
      <w:r>
        <w:rPr>
          <w:rFonts w:ascii="David" w:hAnsi="David"/>
          <w:rtl/>
        </w:rPr>
        <w:t>10.</w:t>
      </w:r>
      <w:r>
        <w:rPr>
          <w:rFonts w:ascii="David" w:hAnsi="David"/>
          <w:rtl/>
        </w:rPr>
        <w:tab/>
        <w:t xml:space="preserve">הנאשם הביע חרטה על מעשיו ולדבריו "זו פעם ראשונה ופעם אחרונה". הנאשם הוסיף כי לאחר שישתחרר הוא מעוניין ללמוד רוקחות.  </w:t>
      </w:r>
    </w:p>
    <w:p w14:paraId="37D92DBE" w14:textId="77777777" w:rsidR="005A7CAA" w:rsidRDefault="005A7CAA" w:rsidP="005A7CAA">
      <w:pPr>
        <w:spacing w:line="360" w:lineRule="auto"/>
        <w:jc w:val="both"/>
        <w:rPr>
          <w:rFonts w:ascii="David" w:hAnsi="David"/>
          <w:highlight w:val="yellow"/>
          <w:rtl/>
        </w:rPr>
      </w:pPr>
    </w:p>
    <w:p w14:paraId="21BCA3FF" w14:textId="77777777" w:rsidR="005A7CAA" w:rsidRDefault="005A7CAA" w:rsidP="005A7CAA">
      <w:pPr>
        <w:spacing w:line="360" w:lineRule="auto"/>
        <w:jc w:val="both"/>
        <w:rPr>
          <w:rFonts w:ascii="David" w:hAnsi="David"/>
          <w:b/>
          <w:bCs/>
          <w:rtl/>
        </w:rPr>
      </w:pPr>
      <w:r>
        <w:rPr>
          <w:rFonts w:ascii="David" w:hAnsi="David"/>
          <w:b/>
          <w:bCs/>
          <w:rtl/>
        </w:rPr>
        <w:t>דיון והכרעה</w:t>
      </w:r>
    </w:p>
    <w:p w14:paraId="5CEC3C89" w14:textId="77777777" w:rsidR="005A7CAA" w:rsidRDefault="005A7CAA" w:rsidP="005A7CAA">
      <w:pPr>
        <w:spacing w:line="360" w:lineRule="auto"/>
        <w:jc w:val="both"/>
        <w:rPr>
          <w:rFonts w:ascii="David" w:hAnsi="David"/>
          <w:b/>
          <w:bCs/>
          <w:rtl/>
        </w:rPr>
      </w:pPr>
    </w:p>
    <w:p w14:paraId="6DDB37DF" w14:textId="77777777" w:rsidR="005A7CAA" w:rsidRDefault="005A7CAA" w:rsidP="005A7CAA">
      <w:pPr>
        <w:spacing w:line="360" w:lineRule="auto"/>
        <w:ind w:left="720" w:hanging="720"/>
        <w:jc w:val="both"/>
        <w:rPr>
          <w:rFonts w:ascii="David" w:hAnsi="David"/>
          <w:rtl/>
        </w:rPr>
      </w:pPr>
      <w:r>
        <w:rPr>
          <w:rFonts w:ascii="David" w:hAnsi="David"/>
          <w:rtl/>
        </w:rPr>
        <w:t>11.</w:t>
      </w:r>
      <w:r>
        <w:rPr>
          <w:rFonts w:ascii="David" w:hAnsi="David"/>
          <w:rtl/>
        </w:rPr>
        <w:tab/>
        <w:t>בהליך דנן הציגו הצדדים "הסדר טווח" במסגרתו  המאשימה עתרה לעונש ראוי של 50 חודשי  מאסר בפועל לצד ענישה נלווית ואילו ההגנה טענה לעונש באופן חופשי.</w:t>
      </w:r>
    </w:p>
    <w:p w14:paraId="0DFB59A1" w14:textId="77777777" w:rsidR="005A7CAA" w:rsidRDefault="005A7CAA" w:rsidP="005A7CAA">
      <w:pPr>
        <w:pStyle w:val="a9"/>
        <w:spacing w:line="360" w:lineRule="auto"/>
        <w:jc w:val="both"/>
        <w:rPr>
          <w:rFonts w:ascii="David" w:hAnsi="David"/>
        </w:rPr>
      </w:pPr>
    </w:p>
    <w:p w14:paraId="7EAA3373" w14:textId="77777777" w:rsidR="005A7CAA" w:rsidRDefault="005A7CAA" w:rsidP="005A7CAA">
      <w:pPr>
        <w:pStyle w:val="a9"/>
        <w:spacing w:line="360" w:lineRule="auto"/>
        <w:jc w:val="both"/>
        <w:rPr>
          <w:rFonts w:ascii="David" w:hAnsi="David"/>
          <w:b/>
          <w:bCs/>
        </w:rPr>
      </w:pPr>
      <w:r>
        <w:rPr>
          <w:rFonts w:ascii="David" w:hAnsi="David"/>
          <w:rtl/>
        </w:rPr>
        <w:t xml:space="preserve">הגם שאין הסכמה כללית בפסיקה בסוגיה זו, כאשר "הסדר טווח" נמצא סביר בעיני ביהמ"ש, אין חובה, ככלל, להידרש לקביעת מתחם ענישה הולם. ראה </w:t>
      </w:r>
      <w:hyperlink r:id="rId19" w:history="1">
        <w:r w:rsidR="00881EBD" w:rsidRPr="00881EBD">
          <w:rPr>
            <w:rFonts w:ascii="David" w:hAnsi="David"/>
            <w:b/>
            <w:bCs/>
            <w:color w:val="0000FF"/>
            <w:u w:val="single"/>
            <w:rtl/>
          </w:rPr>
          <w:t>ע"פ 8109/15</w:t>
        </w:r>
      </w:hyperlink>
      <w:r>
        <w:rPr>
          <w:rFonts w:ascii="David" w:hAnsi="David"/>
          <w:b/>
          <w:bCs/>
          <w:rtl/>
        </w:rPr>
        <w:t xml:space="preserve"> אהרון אביטן נ' מדינת ישראל, 9.6.2016.</w:t>
      </w:r>
    </w:p>
    <w:p w14:paraId="6284CB4B" w14:textId="77777777" w:rsidR="005A7CAA" w:rsidRDefault="005A7CAA" w:rsidP="005A7CAA">
      <w:pPr>
        <w:spacing w:line="360" w:lineRule="auto"/>
        <w:jc w:val="both"/>
        <w:rPr>
          <w:rFonts w:ascii="David" w:hAnsi="David"/>
          <w:rtl/>
        </w:rPr>
      </w:pPr>
    </w:p>
    <w:p w14:paraId="1B77FAA7" w14:textId="77777777" w:rsidR="005A7CAA" w:rsidRDefault="005A7CAA" w:rsidP="005A7CAA">
      <w:pPr>
        <w:spacing w:line="360" w:lineRule="auto"/>
        <w:ind w:left="720" w:hanging="720"/>
        <w:jc w:val="both"/>
        <w:rPr>
          <w:rFonts w:ascii="David" w:hAnsi="David"/>
          <w:rtl/>
        </w:rPr>
      </w:pPr>
      <w:r>
        <w:rPr>
          <w:rFonts w:ascii="David" w:hAnsi="David"/>
          <w:rtl/>
        </w:rPr>
        <w:t>12.</w:t>
      </w:r>
      <w:r>
        <w:rPr>
          <w:rFonts w:ascii="David" w:hAnsi="David"/>
          <w:rtl/>
        </w:rPr>
        <w:tab/>
        <w:t xml:space="preserve">בענייננו, ולאחר עיון בפסיקה רלוונטית ובפסיקה אליה הפנו באי כוח הצדדים, מצאתי כי טווח הענישה המוסכם על הצדדים ואשר הוצג במסגרת הסדר הטיעון, הינו סביר וראוי בנסיבות המקרה, ומשכך לא אדרש לקביעתו של מתחם עונש הולם. </w:t>
      </w:r>
    </w:p>
    <w:p w14:paraId="64D79C8D" w14:textId="77777777" w:rsidR="005A7CAA" w:rsidRDefault="005A7CAA" w:rsidP="005A7CAA">
      <w:pPr>
        <w:pStyle w:val="a9"/>
        <w:spacing w:line="360" w:lineRule="auto"/>
        <w:jc w:val="both"/>
        <w:rPr>
          <w:rFonts w:ascii="David" w:hAnsi="David"/>
        </w:rPr>
      </w:pPr>
    </w:p>
    <w:p w14:paraId="3E9DBCCB" w14:textId="77777777" w:rsidR="005A7CAA" w:rsidRDefault="005A7CAA" w:rsidP="005A7CAA">
      <w:pPr>
        <w:pStyle w:val="a9"/>
        <w:spacing w:line="360" w:lineRule="auto"/>
        <w:jc w:val="both"/>
        <w:rPr>
          <w:rFonts w:ascii="David" w:hAnsi="David"/>
          <w:rtl/>
        </w:rPr>
      </w:pPr>
      <w:r>
        <w:rPr>
          <w:rFonts w:ascii="David" w:hAnsi="David"/>
          <w:rtl/>
        </w:rPr>
        <w:t>יחד עם זאת, בקביעת עונשו הסופי של הנאשם יובאו בחשבון פרמטרים שונים אשר נהוג להביא בחשבון בקביעת מתחם עונש הולם</w:t>
      </w:r>
      <w:r>
        <w:rPr>
          <w:rFonts w:ascii="David" w:hAnsi="David"/>
          <w:b/>
          <w:bCs/>
          <w:rtl/>
        </w:rPr>
        <w:t>.</w:t>
      </w:r>
    </w:p>
    <w:p w14:paraId="44607CFB" w14:textId="77777777" w:rsidR="005A7CAA" w:rsidRDefault="005A7CAA" w:rsidP="005A7CAA">
      <w:pPr>
        <w:pStyle w:val="a9"/>
        <w:spacing w:line="360" w:lineRule="auto"/>
        <w:jc w:val="both"/>
        <w:rPr>
          <w:rFonts w:ascii="David" w:hAnsi="David"/>
          <w:b/>
          <w:bCs/>
          <w:highlight w:val="yellow"/>
          <w:rtl/>
        </w:rPr>
      </w:pPr>
    </w:p>
    <w:p w14:paraId="44A77CBB" w14:textId="77777777" w:rsidR="005A7CAA" w:rsidRDefault="005A7CAA" w:rsidP="005A7CAA">
      <w:pPr>
        <w:pStyle w:val="a9"/>
        <w:spacing w:line="360" w:lineRule="auto"/>
        <w:jc w:val="both"/>
        <w:rPr>
          <w:rFonts w:ascii="David" w:hAnsi="David"/>
          <w:b/>
          <w:bCs/>
          <w:highlight w:val="yellow"/>
          <w:rtl/>
        </w:rPr>
      </w:pPr>
    </w:p>
    <w:p w14:paraId="6868D9B6" w14:textId="77777777" w:rsidR="005A7CAA" w:rsidRDefault="005A7CAA" w:rsidP="005A7CAA">
      <w:pPr>
        <w:spacing w:line="360" w:lineRule="auto"/>
        <w:jc w:val="both"/>
        <w:rPr>
          <w:rFonts w:ascii="David" w:hAnsi="David"/>
          <w:b/>
          <w:bCs/>
          <w:rtl/>
        </w:rPr>
      </w:pPr>
      <w:r>
        <w:rPr>
          <w:rFonts w:ascii="David" w:hAnsi="David"/>
          <w:b/>
          <w:bCs/>
          <w:rtl/>
        </w:rPr>
        <w:t>הערכים החברתיים שנפגעו:</w:t>
      </w:r>
    </w:p>
    <w:p w14:paraId="19751BC6" w14:textId="77777777" w:rsidR="005A7CAA" w:rsidRDefault="005A7CAA" w:rsidP="005A7CAA">
      <w:pPr>
        <w:spacing w:line="360" w:lineRule="auto"/>
        <w:jc w:val="both"/>
        <w:rPr>
          <w:rFonts w:ascii="David" w:hAnsi="David"/>
          <w:b/>
          <w:bCs/>
          <w:rtl/>
        </w:rPr>
      </w:pPr>
    </w:p>
    <w:p w14:paraId="3CB729AF" w14:textId="77777777" w:rsidR="005A7CAA" w:rsidRDefault="005A7CAA" w:rsidP="005A7CAA">
      <w:pPr>
        <w:spacing w:line="360" w:lineRule="auto"/>
        <w:ind w:left="720" w:hanging="720"/>
        <w:jc w:val="both"/>
        <w:rPr>
          <w:rFonts w:ascii="David" w:hAnsi="David"/>
          <w:rtl/>
        </w:rPr>
      </w:pPr>
      <w:r>
        <w:rPr>
          <w:rFonts w:ascii="David" w:hAnsi="David"/>
          <w:rtl/>
        </w:rPr>
        <w:t>13.</w:t>
      </w:r>
      <w:r>
        <w:rPr>
          <w:rFonts w:ascii="David" w:hAnsi="David"/>
          <w:rtl/>
        </w:rPr>
        <w:tab/>
        <w:t xml:space="preserve">בביצוע העבירות בנשק פגע הנאשם בערכים  המוגנים של שמירת החיים ושלימות הגוף, בטחון הציבור ושלוותו ושמירת הסדר הציבורי. </w:t>
      </w:r>
    </w:p>
    <w:p w14:paraId="59C70599" w14:textId="77777777" w:rsidR="005A7CAA" w:rsidRDefault="005A7CAA" w:rsidP="005A7CAA">
      <w:pPr>
        <w:spacing w:line="360" w:lineRule="auto"/>
        <w:ind w:left="720"/>
        <w:jc w:val="both"/>
        <w:rPr>
          <w:rFonts w:ascii="David" w:hAnsi="David"/>
          <w:rtl/>
        </w:rPr>
      </w:pPr>
      <w:r>
        <w:rPr>
          <w:rFonts w:ascii="David" w:hAnsi="David"/>
          <w:rtl/>
        </w:rPr>
        <w:t xml:space="preserve">עבירות המבוצעות בנשק טומנות בחובן פוטנציאל סיכון הרסני לפגיעה בשלום הציבור ובטחונו. השימוש בנשק חם כאמצעי ליישוב סכסוכים הפך ל"רעה חולה", הגובה מידי יום חיי אדם ולעיתים אף חייהם של חפים מפשע. עבירות בנשק, הופכות את הציבור כולו לקורבן פוטנציאלי, ומכרסמות בתחושת הביטחון האישי. </w:t>
      </w:r>
    </w:p>
    <w:p w14:paraId="432EB56B" w14:textId="77777777" w:rsidR="005A7CAA" w:rsidRDefault="005A7CAA" w:rsidP="005A7CAA">
      <w:pPr>
        <w:pStyle w:val="a9"/>
        <w:spacing w:line="360" w:lineRule="auto"/>
        <w:jc w:val="both"/>
        <w:rPr>
          <w:rFonts w:ascii="David" w:hAnsi="David"/>
          <w:rtl/>
        </w:rPr>
      </w:pPr>
      <w:r>
        <w:rPr>
          <w:rFonts w:ascii="David" w:hAnsi="David"/>
          <w:rtl/>
        </w:rPr>
        <w:t xml:space="preserve">הנאשם הורשע כאמור גם בעבירה של חבלה במזיד תוך שפגע בנוסף לערכים לעיל  בערך הקניין. </w:t>
      </w:r>
    </w:p>
    <w:p w14:paraId="71F2A6DB" w14:textId="77777777" w:rsidR="005A7CAA" w:rsidRDefault="005A7CAA" w:rsidP="005A7CAA">
      <w:pPr>
        <w:spacing w:line="360" w:lineRule="auto"/>
        <w:jc w:val="both"/>
        <w:rPr>
          <w:rFonts w:ascii="David" w:hAnsi="David"/>
          <w:rtl/>
        </w:rPr>
      </w:pPr>
    </w:p>
    <w:p w14:paraId="04F8095C" w14:textId="77777777" w:rsidR="005A7CAA" w:rsidRDefault="005A7CAA" w:rsidP="005A7CAA">
      <w:pPr>
        <w:spacing w:line="360" w:lineRule="auto"/>
        <w:ind w:left="720" w:hanging="720"/>
        <w:jc w:val="both"/>
        <w:rPr>
          <w:rFonts w:ascii="David" w:hAnsi="David"/>
          <w:rtl/>
        </w:rPr>
      </w:pPr>
      <w:r>
        <w:rPr>
          <w:rFonts w:ascii="David" w:hAnsi="David"/>
          <w:rtl/>
        </w:rPr>
        <w:t>14.</w:t>
      </w:r>
      <w:r>
        <w:rPr>
          <w:rFonts w:ascii="David" w:hAnsi="David"/>
          <w:rtl/>
        </w:rPr>
        <w:tab/>
        <w:t xml:space="preserve">מידת הפגיעה בערכים המוגנים בעניינינו משמעותית וזאת בשים לב לצבר העבירות בהן הורשע הנאשם, לנסיבות ביצוען כמפורט בגזר הדין, ונוכח השימוש בנשק חם כאמצעי לפתרון סכסוכים והטלת מורא ופחד. </w:t>
      </w:r>
    </w:p>
    <w:p w14:paraId="3A8BD42E" w14:textId="77777777" w:rsidR="005A7CAA" w:rsidRDefault="005A7CAA" w:rsidP="005A7CAA">
      <w:pPr>
        <w:pStyle w:val="a9"/>
        <w:spacing w:line="360" w:lineRule="auto"/>
        <w:jc w:val="both"/>
        <w:rPr>
          <w:rFonts w:ascii="David" w:hAnsi="David"/>
        </w:rPr>
      </w:pPr>
    </w:p>
    <w:p w14:paraId="2157C6AC" w14:textId="77777777" w:rsidR="005A7CAA" w:rsidRDefault="005A7CAA" w:rsidP="005A7CAA">
      <w:pPr>
        <w:spacing w:line="360" w:lineRule="auto"/>
        <w:jc w:val="both"/>
        <w:rPr>
          <w:rFonts w:ascii="David" w:hAnsi="David"/>
          <w:b/>
          <w:bCs/>
          <w:rtl/>
        </w:rPr>
      </w:pPr>
      <w:r>
        <w:rPr>
          <w:rFonts w:ascii="David" w:hAnsi="David"/>
          <w:b/>
          <w:bCs/>
          <w:rtl/>
        </w:rPr>
        <w:t>מדיניות הענישה הנוהגת</w:t>
      </w:r>
    </w:p>
    <w:p w14:paraId="3F6D85C8" w14:textId="77777777" w:rsidR="005A7CAA" w:rsidRDefault="005A7CAA" w:rsidP="005A7CAA">
      <w:pPr>
        <w:spacing w:line="360" w:lineRule="auto"/>
        <w:jc w:val="both"/>
        <w:rPr>
          <w:rFonts w:ascii="David" w:hAnsi="David"/>
          <w:b/>
          <w:bCs/>
        </w:rPr>
      </w:pPr>
    </w:p>
    <w:p w14:paraId="67B22691" w14:textId="77777777" w:rsidR="005A7CAA" w:rsidRDefault="005A7CAA" w:rsidP="005A7CAA">
      <w:pPr>
        <w:spacing w:line="360" w:lineRule="auto"/>
        <w:ind w:left="720" w:hanging="720"/>
        <w:jc w:val="both"/>
        <w:rPr>
          <w:rFonts w:ascii="David" w:hAnsi="David"/>
          <w:rtl/>
        </w:rPr>
      </w:pPr>
      <w:r>
        <w:rPr>
          <w:rFonts w:ascii="David" w:hAnsi="David"/>
          <w:rtl/>
        </w:rPr>
        <w:t>15.</w:t>
      </w:r>
      <w:r>
        <w:rPr>
          <w:rFonts w:ascii="David" w:hAnsi="David"/>
          <w:rtl/>
        </w:rPr>
        <w:tab/>
        <w:t>בתי המשפט הדגישו את הצורך בהחמרת הענישה בעבירות הנשק השונות המסכנות את הציבור, פוגעות בשלוותו וקוטלות חיים. כפי שציינתי ב</w:t>
      </w:r>
      <w:hyperlink r:id="rId20" w:history="1">
        <w:r w:rsidR="00881EBD" w:rsidRPr="00881EBD">
          <w:rPr>
            <w:rFonts w:ascii="David" w:hAnsi="David"/>
            <w:b/>
            <w:bCs/>
            <w:color w:val="0000FF"/>
            <w:u w:val="single"/>
            <w:rtl/>
          </w:rPr>
          <w:t>ת"פ (מחוזי-ב"ש) 20644-11-22</w:t>
        </w:r>
      </w:hyperlink>
      <w:r>
        <w:rPr>
          <w:rFonts w:ascii="David" w:hAnsi="David"/>
          <w:b/>
          <w:bCs/>
          <w:rtl/>
        </w:rPr>
        <w:t xml:space="preserve"> מדינת ישראל נ' הואשלה</w:t>
      </w:r>
      <w:r>
        <w:rPr>
          <w:rFonts w:ascii="David" w:hAnsi="David"/>
          <w:rtl/>
        </w:rPr>
        <w:t xml:space="preserve"> (10.7.23), בית המשפט חי בתוך עמו, כואב את כאבו של הציבור ומצווה על החמרת הענישה. </w:t>
      </w:r>
    </w:p>
    <w:p w14:paraId="387E6B82" w14:textId="77777777" w:rsidR="005A7CAA" w:rsidRDefault="005A7CAA" w:rsidP="005A7CAA">
      <w:pPr>
        <w:spacing w:line="360" w:lineRule="auto"/>
        <w:ind w:left="720" w:hanging="720"/>
        <w:jc w:val="both"/>
        <w:rPr>
          <w:rFonts w:ascii="David" w:hAnsi="David"/>
          <w:rtl/>
        </w:rPr>
      </w:pPr>
    </w:p>
    <w:p w14:paraId="64EF241B" w14:textId="77777777" w:rsidR="005A7CAA" w:rsidRDefault="005A7CAA" w:rsidP="005A7CAA">
      <w:pPr>
        <w:spacing w:line="360" w:lineRule="auto"/>
        <w:ind w:left="720" w:hanging="720"/>
        <w:jc w:val="both"/>
        <w:rPr>
          <w:rFonts w:ascii="David" w:hAnsi="David"/>
          <w:rtl/>
        </w:rPr>
      </w:pPr>
      <w:r>
        <w:rPr>
          <w:rFonts w:ascii="David" w:hAnsi="David"/>
          <w:rtl/>
        </w:rPr>
        <w:t>16.</w:t>
      </w:r>
      <w:r>
        <w:rPr>
          <w:rFonts w:ascii="David" w:hAnsi="David"/>
          <w:rtl/>
        </w:rPr>
        <w:tab/>
        <w:t xml:space="preserve">מיגור התופעה, שהוכרה בשנים האחרונות כמכת מדינה, הינו אינטרס ציבורי חשוב והטלת עונשים חמורים ומרתיעים על עברייני נשק היא עיקר תרומתם של בתי המשפט למיגור התופעה. ראה לעניין זה </w:t>
      </w:r>
      <w:hyperlink r:id="rId21" w:history="1">
        <w:r w:rsidR="00881EBD" w:rsidRPr="00881EBD">
          <w:rPr>
            <w:rFonts w:ascii="David" w:hAnsi="David"/>
            <w:b/>
            <w:bCs/>
            <w:color w:val="0000FF"/>
            <w:u w:val="single"/>
            <w:rtl/>
          </w:rPr>
          <w:t>ע"פ 147/21</w:t>
        </w:r>
      </w:hyperlink>
      <w:r>
        <w:rPr>
          <w:rFonts w:ascii="David" w:hAnsi="David"/>
          <w:b/>
          <w:bCs/>
          <w:rtl/>
        </w:rPr>
        <w:t xml:space="preserve"> מדינת ישראל נ' ביטון</w:t>
      </w:r>
      <w:r>
        <w:rPr>
          <w:rFonts w:ascii="David" w:hAnsi="David"/>
          <w:rtl/>
        </w:rPr>
        <w:t xml:space="preserve"> ( 14.2.21). </w:t>
      </w:r>
    </w:p>
    <w:p w14:paraId="4548FD65" w14:textId="77777777" w:rsidR="005A7CAA" w:rsidRDefault="005A7CAA" w:rsidP="005A7CAA">
      <w:pPr>
        <w:pStyle w:val="a9"/>
        <w:spacing w:line="360" w:lineRule="auto"/>
        <w:jc w:val="both"/>
        <w:rPr>
          <w:rFonts w:ascii="David" w:hAnsi="David"/>
        </w:rPr>
      </w:pPr>
    </w:p>
    <w:p w14:paraId="1C2DE083" w14:textId="77777777" w:rsidR="005A7CAA" w:rsidRDefault="005A7CAA" w:rsidP="005A7CAA">
      <w:pPr>
        <w:pStyle w:val="a9"/>
        <w:spacing w:line="360" w:lineRule="auto"/>
        <w:jc w:val="both"/>
        <w:rPr>
          <w:rFonts w:ascii="David" w:hAnsi="David"/>
        </w:rPr>
      </w:pPr>
      <w:r>
        <w:rPr>
          <w:rFonts w:ascii="David" w:hAnsi="David"/>
          <w:rtl/>
        </w:rPr>
        <w:t>לעניין חומרת עבירות הנשק והצורך בהחמרת הענישה יפים דברי ביהמ"ש  ב</w:t>
      </w:r>
      <w:hyperlink r:id="rId22" w:history="1">
        <w:r w:rsidR="00881EBD" w:rsidRPr="00881EBD">
          <w:rPr>
            <w:rFonts w:ascii="David" w:hAnsi="David"/>
            <w:b/>
            <w:bCs/>
            <w:color w:val="0000FF"/>
            <w:u w:val="single"/>
            <w:rtl/>
          </w:rPr>
          <w:t>ע"פ 6383/21</w:t>
        </w:r>
      </w:hyperlink>
      <w:r>
        <w:rPr>
          <w:rFonts w:ascii="David" w:hAnsi="David"/>
          <w:b/>
          <w:bCs/>
          <w:rtl/>
        </w:rPr>
        <w:t xml:space="preserve"> קרייף ואח' נ' מדינת ישראל</w:t>
      </w:r>
      <w:r>
        <w:rPr>
          <w:rFonts w:ascii="David" w:hAnsi="David"/>
          <w:rtl/>
        </w:rPr>
        <w:t xml:space="preserve"> (13.2.2022): </w:t>
      </w:r>
    </w:p>
    <w:p w14:paraId="270ACCBF" w14:textId="77777777" w:rsidR="005A7CAA" w:rsidRDefault="005A7CAA" w:rsidP="005A7CAA">
      <w:pPr>
        <w:pStyle w:val="a9"/>
        <w:spacing w:line="360" w:lineRule="auto"/>
        <w:jc w:val="both"/>
        <w:rPr>
          <w:rFonts w:ascii="David" w:hAnsi="David"/>
          <w:b/>
          <w:bCs/>
          <w:rtl/>
        </w:rPr>
      </w:pPr>
      <w:r>
        <w:rPr>
          <w:rFonts w:ascii="David" w:hAnsi="David"/>
          <w:b/>
          <w:bCs/>
          <w:rtl/>
        </w:rPr>
        <w:t>"בפסיקה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w:t>
      </w:r>
    </w:p>
    <w:p w14:paraId="645D75FB" w14:textId="77777777" w:rsidR="005A7CAA" w:rsidRDefault="005A7CAA" w:rsidP="005A7CAA">
      <w:pPr>
        <w:pStyle w:val="a9"/>
        <w:spacing w:line="360" w:lineRule="auto"/>
        <w:jc w:val="both"/>
        <w:rPr>
          <w:rFonts w:ascii="David" w:hAnsi="David"/>
          <w:b/>
          <w:bCs/>
          <w:rtl/>
        </w:rPr>
      </w:pPr>
      <w:r>
        <w:rPr>
          <w:rFonts w:ascii="David" w:hAnsi="David"/>
          <w:b/>
          <w:bCs/>
          <w:rtl/>
        </w:rPr>
        <w:t xml:space="preserve">הפגיעה אף אינה תחומה רק לנזק הפיסי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רבים ושונים. התופעות של עסקאות בנשק, הובלתו ונשיאתו, מאיימות לא רק על שלמות הגוף של הציבור, אלא גם על שלום הציבור ועל הסדר הציבורי...  יש לקשור אפוא מלחמת חורמה על עבירות הנשק למיניהן, וגם על בית המשפט לתרום את חלקו למלחמה זו באמצעות ענישה הולמת ומתריעה. לא פעם נקבע כי יש להחמיר בענישה בגין עבירות נשק, ולהעניק משקל מרכזי לשיקול של הרתעת הכלל". </w:t>
      </w:r>
    </w:p>
    <w:p w14:paraId="7083F9AB" w14:textId="77777777" w:rsidR="005A7CAA" w:rsidRDefault="005A7CAA" w:rsidP="005A7CAA">
      <w:pPr>
        <w:spacing w:line="360" w:lineRule="auto"/>
        <w:jc w:val="both"/>
        <w:rPr>
          <w:rFonts w:ascii="David" w:hAnsi="David"/>
          <w:b/>
          <w:bCs/>
          <w:rtl/>
        </w:rPr>
      </w:pPr>
    </w:p>
    <w:p w14:paraId="120E0D02" w14:textId="77777777" w:rsidR="005A7CAA" w:rsidRDefault="005A7CAA" w:rsidP="005A7CAA">
      <w:pPr>
        <w:spacing w:line="360" w:lineRule="auto"/>
        <w:ind w:left="720" w:hanging="720"/>
        <w:jc w:val="both"/>
        <w:rPr>
          <w:rFonts w:ascii="David" w:hAnsi="David"/>
          <w:rtl/>
        </w:rPr>
      </w:pPr>
      <w:r>
        <w:rPr>
          <w:rFonts w:ascii="David" w:hAnsi="David"/>
          <w:rtl/>
        </w:rPr>
        <w:t>17.</w:t>
      </w:r>
      <w:r>
        <w:rPr>
          <w:rFonts w:ascii="David" w:hAnsi="David"/>
          <w:b/>
          <w:bCs/>
          <w:rtl/>
        </w:rPr>
        <w:tab/>
      </w:r>
      <w:r>
        <w:rPr>
          <w:rFonts w:ascii="David" w:hAnsi="David"/>
          <w:rtl/>
        </w:rPr>
        <w:t xml:space="preserve">בענייננו הורשע הנאשם גם בעבירה של ירי מנשק חם באזור מגורים, ולעניין חומרת עבירה זו בחקיקה ובפסיקה ראה דברי בית המשפט </w:t>
      </w:r>
      <w:r>
        <w:rPr>
          <w:rFonts w:ascii="David" w:hAnsi="David"/>
          <w:b/>
          <w:bCs/>
          <w:rtl/>
        </w:rPr>
        <w:t>ב</w:t>
      </w:r>
      <w:hyperlink r:id="rId23" w:history="1">
        <w:r w:rsidR="00881EBD" w:rsidRPr="00881EBD">
          <w:rPr>
            <w:rFonts w:ascii="David" w:hAnsi="David"/>
            <w:b/>
            <w:bCs/>
            <w:color w:val="0000FF"/>
            <w:u w:val="single"/>
            <w:rtl/>
          </w:rPr>
          <w:t>ע"פ 3169/21</w:t>
        </w:r>
      </w:hyperlink>
      <w:r>
        <w:rPr>
          <w:rFonts w:ascii="David" w:hAnsi="David"/>
          <w:b/>
          <w:bCs/>
          <w:rtl/>
        </w:rPr>
        <w:t xml:space="preserve"> מדינת ישראל נ' אגבאריה</w:t>
      </w:r>
      <w:r>
        <w:rPr>
          <w:rFonts w:ascii="David" w:hAnsi="David"/>
          <w:rtl/>
        </w:rPr>
        <w:t xml:space="preserve"> (21.6.2021):</w:t>
      </w:r>
    </w:p>
    <w:p w14:paraId="4015D12E" w14:textId="77777777" w:rsidR="005A7CAA" w:rsidRDefault="005A7CAA" w:rsidP="005A7CAA">
      <w:pPr>
        <w:spacing w:line="360" w:lineRule="auto"/>
        <w:ind w:left="720"/>
        <w:jc w:val="both"/>
        <w:rPr>
          <w:rFonts w:ascii="David" w:hAnsi="David"/>
          <w:b/>
          <w:bCs/>
          <w:rtl/>
        </w:rPr>
      </w:pPr>
      <w:r>
        <w:rPr>
          <w:rFonts w:ascii="David" w:hAnsi="David"/>
          <w:b/>
          <w:bCs/>
          <w:rtl/>
        </w:rPr>
        <w:t xml:space="preserve">"מהעבירה של ירי בנשק חם בסביבת מגורים, כבמקרה דנן, נשקפת חומרה יתרה. היא עלולה לגרום לנזק כבד לחיים, לגוף ולרכוש, לעוברי אורח וליושבים בבתיהם.  לכן מתחייבת ענישה מחמירה בגינה... בשנת 2018 החמיר המחוקק את העונש המרבי על ירי מנשק חם במקום מגורים משנת מאסר אחת ל- 5 שנות מאסר...". </w:t>
      </w:r>
    </w:p>
    <w:p w14:paraId="2006A82E" w14:textId="77777777" w:rsidR="005A7CAA" w:rsidRDefault="005A7CAA" w:rsidP="005A7CAA">
      <w:pPr>
        <w:spacing w:line="360" w:lineRule="auto"/>
        <w:jc w:val="both"/>
        <w:rPr>
          <w:rFonts w:ascii="David" w:hAnsi="David"/>
          <w:b/>
          <w:bCs/>
          <w:rtl/>
        </w:rPr>
      </w:pPr>
    </w:p>
    <w:p w14:paraId="3A6EB7B7" w14:textId="77777777" w:rsidR="005A7CAA" w:rsidRDefault="005A7CAA" w:rsidP="005A7CAA">
      <w:pPr>
        <w:spacing w:line="360" w:lineRule="auto"/>
        <w:ind w:left="720" w:hanging="720"/>
        <w:jc w:val="both"/>
        <w:rPr>
          <w:rFonts w:ascii="David" w:hAnsi="David"/>
          <w:rtl/>
        </w:rPr>
      </w:pPr>
      <w:r>
        <w:rPr>
          <w:rFonts w:ascii="David" w:hAnsi="David"/>
          <w:rtl/>
        </w:rPr>
        <w:t>18.</w:t>
      </w:r>
      <w:r>
        <w:rPr>
          <w:rFonts w:ascii="David" w:hAnsi="David"/>
          <w:rtl/>
        </w:rPr>
        <w:tab/>
        <w:t xml:space="preserve">בחינת מדיניות הענישה הנוהגת מעלה כי קשת הענישה בפסיקה רחבה, תלויה בנסיבותיו של המקרה הקונקרטי ובפרמטרים שונים, ובכלל זה, סוג הנשק וכמותו, השימוש שנעשה בנשק, משך ביצוע העבירה ומיקומה, הנזק ככל שנגרם, וביצוען של עבירות נלוות. בענייננו יש לבצע את ההבחנה הנדרשת לקולא ולחומרא. </w:t>
      </w:r>
    </w:p>
    <w:p w14:paraId="448ABA80" w14:textId="77777777" w:rsidR="005A7CAA" w:rsidRDefault="005A7CAA" w:rsidP="005A7CAA">
      <w:pPr>
        <w:pStyle w:val="a9"/>
        <w:spacing w:line="360" w:lineRule="auto"/>
        <w:jc w:val="both"/>
        <w:rPr>
          <w:rFonts w:ascii="David" w:hAnsi="David"/>
          <w:rtl/>
        </w:rPr>
      </w:pPr>
    </w:p>
    <w:p w14:paraId="1921A43B" w14:textId="77777777" w:rsidR="005A7CAA" w:rsidRDefault="005A7CAA" w:rsidP="005A7CAA">
      <w:pPr>
        <w:pStyle w:val="a9"/>
        <w:numPr>
          <w:ilvl w:val="0"/>
          <w:numId w:val="1"/>
        </w:numPr>
        <w:spacing w:line="360" w:lineRule="auto"/>
        <w:jc w:val="both"/>
        <w:rPr>
          <w:rFonts w:ascii="David" w:hAnsi="David"/>
          <w:rtl/>
        </w:rPr>
      </w:pPr>
      <w:r>
        <w:rPr>
          <w:rFonts w:ascii="David" w:hAnsi="David"/>
          <w:b/>
          <w:bCs/>
          <w:rtl/>
        </w:rPr>
        <w:t>ב</w:t>
      </w:r>
      <w:hyperlink r:id="rId24" w:history="1">
        <w:r w:rsidR="00881EBD" w:rsidRPr="00881EBD">
          <w:rPr>
            <w:rFonts w:ascii="David" w:hAnsi="David"/>
            <w:b/>
            <w:bCs/>
            <w:color w:val="0000FF"/>
            <w:u w:val="single"/>
            <w:rtl/>
          </w:rPr>
          <w:t>ע"פ 2602/23</w:t>
        </w:r>
      </w:hyperlink>
      <w:r>
        <w:rPr>
          <w:rFonts w:ascii="David" w:hAnsi="David"/>
          <w:b/>
          <w:bCs/>
          <w:rtl/>
        </w:rPr>
        <w:t xml:space="preserve"> מג'די אבו ואדי נ' מדינת ישראל </w:t>
      </w:r>
      <w:r>
        <w:rPr>
          <w:rFonts w:ascii="David" w:hAnsi="David"/>
          <w:rtl/>
        </w:rPr>
        <w:t xml:space="preserve">(7.11.2023) – נדחה ערעורו של נאשם אשר הורשע על יסוד הודאתו בכתב אישום מתוקן במסגרת הסדר טיעון בעבירות נשק (החזקת נשק), וירי מנשק חם. על רקע סכסוך בין משפחת הנאשם למשפחת המתלוננים, </w:t>
      </w:r>
      <w:r>
        <w:rPr>
          <w:rtl/>
        </w:rPr>
        <w:t>הוצב מחסום אבנים וצמיגים על שביל עפר שחסם מעבר של כלי רכב של משפחת המתלוננים לשטח הסמוך למגורי משפחתו של הנאשם. בעוד המתלוננים מנסים לפנות את הדרך, עמד הנאשם בסמוך יחד עם אחרים, כאשר הנאשם ואדם נוסף החזיקו בנשק ארוך הדומה ל-</w:t>
      </w:r>
      <w:r>
        <w:rPr>
          <w:rFonts w:ascii="Century" w:hAnsi="Century"/>
        </w:rPr>
        <w:t>M</w:t>
      </w:r>
      <w:r>
        <w:t>-</w:t>
      </w:r>
      <w:r>
        <w:rPr>
          <w:rFonts w:cs="Times New Roman"/>
        </w:rPr>
        <w:t>16</w:t>
      </w:r>
      <w:r>
        <w:rPr>
          <w:rtl/>
        </w:rPr>
        <w:t>. הנאשם הזהיר את המתלוננים לבל ירימו את האבנים וכי ירה במי שיעשה כן. המתלוננים המשיכו לפנות את הדרך, והנאשם כיוון את הנשק כלפי מעלה וירה מספר יריות.</w:t>
      </w:r>
      <w:r>
        <w:rPr>
          <w:rFonts w:ascii="David" w:hAnsi="David"/>
          <w:rtl/>
        </w:rPr>
        <w:t xml:space="preserve"> במקביל לכך האדם הנוסף כיוון את הנשק כלפי המתלוננים וירה לעברם מספר פעמים בכוונה להטיל בהם נכות או מום או לגרום להם חבלה חמורה.  כתוצאה מהירי של האדם הנוסף נפגע המתלונן באוזנו השמאלית. </w:t>
      </w:r>
    </w:p>
    <w:p w14:paraId="3AA63C35" w14:textId="77777777" w:rsidR="005A7CAA" w:rsidRDefault="005A7CAA" w:rsidP="005A7CAA">
      <w:pPr>
        <w:pStyle w:val="a9"/>
        <w:spacing w:line="360" w:lineRule="auto"/>
        <w:ind w:left="1440"/>
        <w:jc w:val="both"/>
        <w:rPr>
          <w:rFonts w:ascii="David" w:hAnsi="David"/>
        </w:rPr>
      </w:pPr>
      <w:r>
        <w:rPr>
          <w:rFonts w:ascii="David" w:hAnsi="David"/>
          <w:rtl/>
        </w:rPr>
        <w:t xml:space="preserve">בית המשפט המחוזי </w:t>
      </w:r>
      <w:r>
        <w:rPr>
          <w:rFonts w:ascii="David" w:hAnsi="David"/>
          <w:color w:val="000000"/>
          <w:sz w:val="22"/>
          <w:szCs w:val="22"/>
          <w:rtl/>
        </w:rPr>
        <w:t>(</w:t>
      </w:r>
      <w:hyperlink r:id="rId25" w:history="1">
        <w:r w:rsidR="00881EBD" w:rsidRPr="00881EBD">
          <w:rPr>
            <w:rFonts w:ascii="David" w:hAnsi="David"/>
            <w:color w:val="0000FF"/>
            <w:sz w:val="22"/>
            <w:szCs w:val="22"/>
            <w:u w:val="single"/>
            <w:rtl/>
          </w:rPr>
          <w:t>תפ (ב"ש) 32882-09-21</w:t>
        </w:r>
      </w:hyperlink>
      <w:r>
        <w:rPr>
          <w:rFonts w:ascii="David" w:hAnsi="David"/>
          <w:rtl/>
        </w:rPr>
        <w:t xml:space="preserve">) קבע מתחם ענישה הנע בין 4 ל-6 שנות מאסר בפועל והטיל על הנאשם, צעיר בעל עבר פלילי, </w:t>
      </w:r>
      <w:r>
        <w:rPr>
          <w:rFonts w:ascii="David" w:hAnsi="David"/>
          <w:b/>
          <w:bCs/>
          <w:rtl/>
        </w:rPr>
        <w:t>54</w:t>
      </w:r>
      <w:r>
        <w:rPr>
          <w:b/>
          <w:bCs/>
          <w:rtl/>
        </w:rPr>
        <w:t xml:space="preserve"> חודשי מאסר בפועל</w:t>
      </w:r>
      <w:r>
        <w:rPr>
          <w:rtl/>
        </w:rPr>
        <w:t xml:space="preserve"> ו-12 חודשי מאסר על תנאי</w:t>
      </w:r>
      <w:r>
        <w:rPr>
          <w:rFonts w:ascii="David" w:hAnsi="David"/>
          <w:rtl/>
        </w:rPr>
        <w:t>.</w:t>
      </w:r>
    </w:p>
    <w:p w14:paraId="16608FC1" w14:textId="77777777" w:rsidR="005A7CAA" w:rsidRDefault="005A7CAA" w:rsidP="005A7CAA">
      <w:pPr>
        <w:pStyle w:val="a9"/>
        <w:spacing w:line="360" w:lineRule="auto"/>
        <w:ind w:left="1440"/>
        <w:jc w:val="both"/>
        <w:rPr>
          <w:rFonts w:ascii="David" w:hAnsi="David"/>
          <w:rtl/>
        </w:rPr>
      </w:pPr>
    </w:p>
    <w:p w14:paraId="11779211" w14:textId="77777777" w:rsidR="005A7CAA" w:rsidRDefault="005A7CAA" w:rsidP="005A7CAA">
      <w:pPr>
        <w:pStyle w:val="a9"/>
        <w:numPr>
          <w:ilvl w:val="0"/>
          <w:numId w:val="1"/>
        </w:numPr>
        <w:spacing w:line="360" w:lineRule="auto"/>
        <w:jc w:val="both"/>
        <w:rPr>
          <w:rFonts w:ascii="David" w:hAnsi="David"/>
          <w:rtl/>
        </w:rPr>
      </w:pPr>
      <w:r>
        <w:rPr>
          <w:rFonts w:ascii="David" w:hAnsi="David"/>
          <w:b/>
          <w:bCs/>
          <w:rtl/>
        </w:rPr>
        <w:t>ב</w:t>
      </w:r>
      <w:hyperlink r:id="rId26" w:history="1">
        <w:r w:rsidR="00881EBD" w:rsidRPr="00881EBD">
          <w:rPr>
            <w:rFonts w:ascii="David" w:hAnsi="David"/>
            <w:b/>
            <w:bCs/>
            <w:color w:val="0000FF"/>
            <w:u w:val="single"/>
            <w:rtl/>
          </w:rPr>
          <w:t>ע"פ 4595/13</w:t>
        </w:r>
      </w:hyperlink>
      <w:r>
        <w:rPr>
          <w:rFonts w:ascii="David" w:hAnsi="David"/>
          <w:rtl/>
        </w:rPr>
        <w:t xml:space="preserve"> </w:t>
      </w:r>
      <w:r>
        <w:rPr>
          <w:rFonts w:ascii="David" w:hAnsi="David"/>
          <w:b/>
          <w:bCs/>
          <w:rtl/>
        </w:rPr>
        <w:t>עלי זובידאת נ' מדינת ישראל</w:t>
      </w:r>
      <w:r>
        <w:rPr>
          <w:rFonts w:ascii="David" w:hAnsi="David"/>
          <w:rtl/>
        </w:rPr>
        <w:t xml:space="preserve"> (6.7.2014) – הקל בית המשפט העליון בעונשם של נאשמים אשר הורשעו על יסוד הודאתם במסגרת הסדר טיעון, בעבירת נשיאה והובלת נשק, ירי באזור מגורים, איומים, וקשירת קשר לפשע. על רקע סכסוך בין משפחתו של נאשם 1 לבין משפחה אחרת, קשרו הנאשמים קשר להגיע לחצר ביתו של המתלונן ולבצע ירי. הם הצטיידו באקדח ובתחמושת, הגיעו ברכב אל חצר הבית כשהאקדח ברשותם, נכנסו לחצר הבית ונאשם 2 ירה מבעד לחלון הרכב מספר יריות. נקבע מתחם עונש ההולם הנע בין 30 חודשי מאסר לבין 5 שנות מאסר. לנאשם 1 עבר פלילי ישן והנאשם 2 ללא עבר פלילי. על הנאשמים הוטלו </w:t>
      </w:r>
      <w:r>
        <w:rPr>
          <w:rFonts w:ascii="David" w:hAnsi="David"/>
          <w:b/>
          <w:bCs/>
          <w:rtl/>
        </w:rPr>
        <w:t>30 חודשי מאסר</w:t>
      </w:r>
      <w:r>
        <w:rPr>
          <w:rFonts w:ascii="David" w:hAnsi="David"/>
          <w:rtl/>
        </w:rPr>
        <w:t xml:space="preserve"> </w:t>
      </w:r>
      <w:r>
        <w:rPr>
          <w:rFonts w:ascii="David" w:hAnsi="David"/>
          <w:b/>
          <w:bCs/>
          <w:rtl/>
        </w:rPr>
        <w:t>בפועל</w:t>
      </w:r>
      <w:r>
        <w:rPr>
          <w:rFonts w:ascii="David" w:hAnsi="David"/>
          <w:rtl/>
        </w:rPr>
        <w:t xml:space="preserve"> (חלף 42 חודשי מאסר) ומאסר מותנה.</w:t>
      </w:r>
    </w:p>
    <w:p w14:paraId="332B5D6F" w14:textId="77777777" w:rsidR="005A7CAA" w:rsidRDefault="005A7CAA" w:rsidP="005A7CAA">
      <w:pPr>
        <w:pStyle w:val="a9"/>
        <w:rPr>
          <w:rFonts w:ascii="David" w:hAnsi="David"/>
          <w:b/>
          <w:bCs/>
          <w:rtl/>
        </w:rPr>
      </w:pPr>
    </w:p>
    <w:p w14:paraId="21AC3B33" w14:textId="77777777" w:rsidR="005A7CAA" w:rsidRDefault="005A7CAA" w:rsidP="005A7CAA">
      <w:pPr>
        <w:pStyle w:val="a9"/>
        <w:numPr>
          <w:ilvl w:val="0"/>
          <w:numId w:val="1"/>
        </w:numPr>
        <w:spacing w:line="360" w:lineRule="auto"/>
        <w:jc w:val="both"/>
        <w:rPr>
          <w:rFonts w:ascii="David" w:hAnsi="David"/>
          <w:b/>
          <w:bCs/>
          <w:rtl/>
        </w:rPr>
      </w:pPr>
      <w:r>
        <w:rPr>
          <w:rFonts w:ascii="David" w:hAnsi="David"/>
          <w:b/>
          <w:bCs/>
          <w:rtl/>
        </w:rPr>
        <w:t>ב</w:t>
      </w:r>
      <w:hyperlink r:id="rId27" w:history="1">
        <w:r w:rsidR="00881EBD" w:rsidRPr="00881EBD">
          <w:rPr>
            <w:rFonts w:ascii="David" w:hAnsi="David"/>
            <w:b/>
            <w:bCs/>
            <w:color w:val="0000FF"/>
            <w:u w:val="single"/>
            <w:rtl/>
          </w:rPr>
          <w:t>ת"פ (מחוזי ב"ש) 43085-06-21</w:t>
        </w:r>
      </w:hyperlink>
      <w:r>
        <w:rPr>
          <w:rFonts w:ascii="David" w:hAnsi="David"/>
          <w:b/>
          <w:bCs/>
          <w:rtl/>
        </w:rPr>
        <w:t xml:space="preserve"> מדינת ישראל נ' קוסאי אבו עראר </w:t>
      </w:r>
      <w:r>
        <w:rPr>
          <w:rFonts w:ascii="David" w:hAnsi="David"/>
          <w:rtl/>
        </w:rPr>
        <w:t>(14.7.22),</w:t>
      </w:r>
      <w:r>
        <w:rPr>
          <w:rFonts w:ascii="David" w:hAnsi="David"/>
          <w:b/>
          <w:bCs/>
          <w:rtl/>
        </w:rPr>
        <w:t xml:space="preserve"> </w:t>
      </w:r>
      <w:r>
        <w:rPr>
          <w:rFonts w:ascii="David" w:hAnsi="David"/>
          <w:rtl/>
        </w:rPr>
        <w:t xml:space="preserve">הורשע נאשם על יסוד הודאתו בעבירות נשק (החזקה ונשיאת נשק ותחמושת), ירי מנשק חם, היזק בזדון, חבלה במזיד, נהיגה ללא רישיון נהיגה, ונהיגה ללא פוליסת ביטוח בתוקף. על רקע ויכוח בין הנאשם למנהל בית ספר בערוער, הגיע הנאשם לבית הספר ברכב, כשהוא נושא עמו נשק ללא היתר כדין, יצא מהרכב, התקדם מספר צעדים והחל לירות באמצעות אקדח לכיוון רכבו של המנהל אשר חנה בצמוד לקרוואן, כשבקרוואן שוהים שומר בית הספר ושניים נוספים. כתוצאה מהירי נפגע רכבו של המנהל וארון בתוך הקרוואן. נקבע מתחם ענישה שנע בין 4 ל- 7 שנות מאסר בפועל. על הנאשם, בן 21 ללא עבר פלילי, הוטלו </w:t>
      </w:r>
      <w:r>
        <w:rPr>
          <w:rFonts w:ascii="David" w:hAnsi="David"/>
          <w:b/>
          <w:bCs/>
          <w:rtl/>
        </w:rPr>
        <w:t>5 שנות מאסר בפועל</w:t>
      </w:r>
      <w:r>
        <w:rPr>
          <w:rFonts w:ascii="David" w:hAnsi="David"/>
          <w:rtl/>
        </w:rPr>
        <w:t xml:space="preserve">, לצד מאסר מותנה, פסילה ופיצוי. </w:t>
      </w:r>
    </w:p>
    <w:p w14:paraId="6767DF21" w14:textId="77777777" w:rsidR="005A7CAA" w:rsidRDefault="005A7CAA" w:rsidP="005A7CAA">
      <w:pPr>
        <w:pStyle w:val="a9"/>
        <w:rPr>
          <w:rFonts w:ascii="David" w:hAnsi="David"/>
          <w:b/>
          <w:bCs/>
        </w:rPr>
      </w:pPr>
    </w:p>
    <w:p w14:paraId="16E7D965" w14:textId="77777777" w:rsidR="005A7CAA" w:rsidRDefault="005A7CAA" w:rsidP="005A7CAA">
      <w:pPr>
        <w:pStyle w:val="a9"/>
        <w:numPr>
          <w:ilvl w:val="0"/>
          <w:numId w:val="1"/>
        </w:numPr>
        <w:spacing w:line="360" w:lineRule="auto"/>
        <w:jc w:val="both"/>
        <w:rPr>
          <w:rFonts w:ascii="David" w:hAnsi="David"/>
          <w:b/>
          <w:bCs/>
          <w:rtl/>
        </w:rPr>
      </w:pPr>
      <w:r>
        <w:rPr>
          <w:rFonts w:ascii="David" w:hAnsi="David"/>
          <w:b/>
          <w:bCs/>
          <w:rtl/>
        </w:rPr>
        <w:t>ב</w:t>
      </w:r>
      <w:hyperlink r:id="rId28" w:history="1">
        <w:r w:rsidR="00881EBD" w:rsidRPr="00881EBD">
          <w:rPr>
            <w:rFonts w:ascii="David" w:hAnsi="David"/>
            <w:b/>
            <w:bCs/>
            <w:color w:val="0000FF"/>
            <w:u w:val="single"/>
            <w:rtl/>
          </w:rPr>
          <w:t>ת"פ (מחוזי ת"א) 39345-03-20</w:t>
        </w:r>
      </w:hyperlink>
      <w:r>
        <w:rPr>
          <w:rFonts w:ascii="David" w:hAnsi="David"/>
          <w:b/>
          <w:bCs/>
          <w:rtl/>
        </w:rPr>
        <w:t xml:space="preserve"> מדינת ישראל נ' יאיר סבג</w:t>
      </w:r>
      <w:r>
        <w:rPr>
          <w:rFonts w:ascii="David" w:hAnsi="David"/>
          <w:rtl/>
        </w:rPr>
        <w:t xml:space="preserve"> (24.1.22), הורשע נאשם 1 בתום הליך הוכחות, בעבירות של ירי מנשק חם באזור מגורים, נשיאה והובלת נשק שלא כדין בצוותא חדא, והחזקת סכין שלא למטרה כשרה. הנאשמים הגיעו ברכבו של הנאשם 2 בקרבה למקום מגוריו של המתלונן עמו היה הנאשם 1 מסוכסך, כשהנאשם 1 נושא אקדח מסוג </w:t>
      </w:r>
      <w:r>
        <w:rPr>
          <w:rFonts w:ascii="David" w:hAnsi="David"/>
        </w:rPr>
        <w:t>FN</w:t>
      </w:r>
      <w:r>
        <w:rPr>
          <w:rFonts w:ascii="David" w:hAnsi="David"/>
          <w:rtl/>
        </w:rPr>
        <w:t xml:space="preserve"> חצי אוטומטי וסכין מתקפלת בכיס מכנסיו. בהמשך לעימות מילולי ופיזי בין הנאשם 1 לאחרים ששהו במקום, במהלכו נדקר הנאשם 1 ברגלו ובגבו, דרך הנאשם 1 את נשקו וירה ממנו. הנאשמים שבו לרכב ובעת נסיעה הוציא נאשם 1 את ידו אשר אחזה באקדח, אל מחוץ לחלון הרכב, וכיוון את הנשק אל עבר האחרים. מתחם העונש שנקבע לכלל העבירות שביצע הנאשם 1 - נע בין 30 ל-60 חודשי מאסר, לצד ענישה נלווית. על הנאשם 1, בעל עבר פלילי מכביד, הוטלו </w:t>
      </w:r>
      <w:r>
        <w:rPr>
          <w:rFonts w:ascii="David" w:hAnsi="David"/>
          <w:b/>
          <w:bCs/>
          <w:rtl/>
        </w:rPr>
        <w:t>45 חודשי מאסר בפועל</w:t>
      </w:r>
      <w:r>
        <w:rPr>
          <w:rFonts w:ascii="David" w:hAnsi="David"/>
          <w:rtl/>
        </w:rPr>
        <w:t>, לצד מאסר מותנה, וקנס.</w:t>
      </w:r>
    </w:p>
    <w:p w14:paraId="578BBA74" w14:textId="77777777" w:rsidR="005A7CAA" w:rsidRDefault="005A7CAA" w:rsidP="005A7CAA">
      <w:pPr>
        <w:pStyle w:val="a9"/>
        <w:rPr>
          <w:rFonts w:ascii="David" w:hAnsi="David"/>
          <w:b/>
          <w:bCs/>
        </w:rPr>
      </w:pPr>
    </w:p>
    <w:p w14:paraId="267CC7EA" w14:textId="77777777" w:rsidR="005A7CAA" w:rsidRDefault="005A7CAA" w:rsidP="005A7CAA">
      <w:pPr>
        <w:pStyle w:val="a9"/>
        <w:numPr>
          <w:ilvl w:val="0"/>
          <w:numId w:val="1"/>
        </w:numPr>
        <w:spacing w:line="360" w:lineRule="auto"/>
        <w:jc w:val="both"/>
        <w:rPr>
          <w:rFonts w:ascii="David" w:hAnsi="David"/>
          <w:b/>
          <w:bCs/>
          <w:rtl/>
        </w:rPr>
      </w:pPr>
      <w:r>
        <w:rPr>
          <w:rFonts w:ascii="David" w:hAnsi="David"/>
          <w:b/>
          <w:bCs/>
          <w:rtl/>
        </w:rPr>
        <w:t>ב</w:t>
      </w:r>
      <w:hyperlink r:id="rId29" w:history="1">
        <w:r w:rsidR="00881EBD" w:rsidRPr="00881EBD">
          <w:rPr>
            <w:rFonts w:ascii="David" w:hAnsi="David"/>
            <w:b/>
            <w:bCs/>
            <w:color w:val="0000FF"/>
            <w:u w:val="single"/>
            <w:rtl/>
          </w:rPr>
          <w:t>ת"פ (מחוזי חיפה) 16370-02-20</w:t>
        </w:r>
      </w:hyperlink>
      <w:r>
        <w:rPr>
          <w:rFonts w:ascii="David" w:hAnsi="David"/>
          <w:b/>
          <w:bCs/>
          <w:rtl/>
        </w:rPr>
        <w:t xml:space="preserve"> מדינת ישראל נ' סעיד מטר</w:t>
      </w:r>
      <w:r>
        <w:rPr>
          <w:rFonts w:ascii="David" w:hAnsi="David"/>
          <w:rtl/>
        </w:rPr>
        <w:t xml:space="preserve"> (15.9.20) הורשע נאשם לאחר ניהול הוכחות בעבירות של נשיאת והחזקת נשק ותחמושת וירי מנשק חם. הנאשם שהה ברכב עם שני אחרים כשהוא במושב האחורי ובידו תת מקלע מאולתר. הנאשם טען מחסנית וירה בנשק מספר פעמים מבעד לחלון הרכב. נקבע מתחם ענישה שנע בין 20 לבין-50 חודשי מאסר בפועל לצד עונשים נלווים. על הנאשם, נעדר עבר פלילי, הוטלו</w:t>
      </w:r>
      <w:r>
        <w:rPr>
          <w:rFonts w:ascii="David" w:hAnsi="David"/>
          <w:b/>
          <w:bCs/>
          <w:rtl/>
        </w:rPr>
        <w:t xml:space="preserve"> 30 חודשי מאסר בפועל</w:t>
      </w:r>
      <w:r>
        <w:rPr>
          <w:rFonts w:ascii="David" w:hAnsi="David"/>
          <w:rtl/>
        </w:rPr>
        <w:t xml:space="preserve"> לצד מאסרים מותנים. </w:t>
      </w:r>
    </w:p>
    <w:p w14:paraId="1C0E1255" w14:textId="77777777" w:rsidR="005A7CAA" w:rsidRDefault="005A7CAA" w:rsidP="005A7CAA">
      <w:pPr>
        <w:spacing w:line="360" w:lineRule="auto"/>
        <w:rPr>
          <w:rFonts w:ascii="David" w:hAnsi="David"/>
          <w:rtl/>
        </w:rPr>
      </w:pPr>
    </w:p>
    <w:p w14:paraId="62E214CD" w14:textId="77777777" w:rsidR="005A7CAA" w:rsidRDefault="005A7CAA" w:rsidP="005A7CAA">
      <w:pPr>
        <w:spacing w:line="360" w:lineRule="auto"/>
        <w:ind w:left="720" w:hanging="720"/>
        <w:jc w:val="both"/>
        <w:rPr>
          <w:rFonts w:ascii="David" w:hAnsi="David"/>
          <w:rtl/>
        </w:rPr>
      </w:pPr>
      <w:r>
        <w:rPr>
          <w:rFonts w:ascii="David" w:hAnsi="David"/>
          <w:rtl/>
        </w:rPr>
        <w:t>19.</w:t>
      </w:r>
      <w:r>
        <w:rPr>
          <w:rFonts w:ascii="David" w:hAnsi="David"/>
          <w:rtl/>
        </w:rPr>
        <w:tab/>
        <w:t xml:space="preserve">ההגנה הפנתה בטיעוניה לתפ"ע (מחוזי ב"ש) 32210-12-21 בו הורשעו שניים מבני המשפחה היריבה אשר ירו ופצעו קשות את אחיו של הנאשם. לשיטת ההגנה העונשים שהוטלו על הנאשמים שם (55 חודשי מאסר ו- 18 חודשי מאסר), מלמדים כי עתירת המאשימה  בענייננו מחמירה עם הנאשם. </w:t>
      </w:r>
    </w:p>
    <w:p w14:paraId="1644F915" w14:textId="77777777" w:rsidR="005A7CAA" w:rsidRDefault="005A7CAA" w:rsidP="005A7CAA">
      <w:pPr>
        <w:pStyle w:val="a9"/>
        <w:spacing w:line="360" w:lineRule="auto"/>
        <w:jc w:val="both"/>
        <w:rPr>
          <w:rFonts w:ascii="David" w:hAnsi="David"/>
        </w:rPr>
      </w:pPr>
      <w:r>
        <w:rPr>
          <w:rFonts w:ascii="David" w:hAnsi="David"/>
          <w:rtl/>
        </w:rPr>
        <w:t>לאחר שעיינתי בגזר הדין שניתן בתפ"ע 32210-12-21, מצאתי שלא לקבל את עמדת ההגנה,  שכן בענייננו הנאשם הורשע בעבירות שונות מהעבירות בהן הורשעו שני בני המשפחה היריבה. יתרה מכך גז"ד בתפ"ע המוזכר לעיל ניתן במסגרת הסדר טיעון סגור, תוך שבית המשפט ציין שם מפורשות כי "</w:t>
      </w:r>
      <w:r>
        <w:rPr>
          <w:rFonts w:ascii="David" w:hAnsi="David"/>
          <w:b/>
          <w:bCs/>
          <w:rtl/>
        </w:rPr>
        <w:t>הסדר הטיעון מופלג בקולתו ורחוק מלשקף את רמת הענישה הראויה והנוהגת... שני הצדדים נימקו את הסדר הטיעון אליו הגיעו, בקשיים ראייתיים אשר המאשימה הגדירה כמשמעותיים".</w:t>
      </w:r>
      <w:r>
        <w:rPr>
          <w:rFonts w:ascii="David" w:hAnsi="David"/>
          <w:rtl/>
        </w:rPr>
        <w:t xml:space="preserve"> </w:t>
      </w:r>
    </w:p>
    <w:p w14:paraId="6F1450B9" w14:textId="77777777" w:rsidR="005A7CAA" w:rsidRDefault="005A7CAA" w:rsidP="005A7CAA">
      <w:pPr>
        <w:pStyle w:val="a9"/>
        <w:spacing w:line="360" w:lineRule="auto"/>
        <w:jc w:val="both"/>
        <w:rPr>
          <w:rFonts w:ascii="David" w:hAnsi="David"/>
          <w:rtl/>
        </w:rPr>
      </w:pPr>
    </w:p>
    <w:p w14:paraId="7969CEF3" w14:textId="77777777" w:rsidR="005A7CAA" w:rsidRDefault="005A7CAA" w:rsidP="005A7CAA">
      <w:pPr>
        <w:spacing w:line="360" w:lineRule="auto"/>
        <w:jc w:val="both"/>
        <w:rPr>
          <w:rFonts w:ascii="David" w:hAnsi="David"/>
          <w:b/>
          <w:bCs/>
          <w:rtl/>
        </w:rPr>
      </w:pPr>
      <w:r>
        <w:rPr>
          <w:rFonts w:ascii="David" w:hAnsi="David"/>
          <w:b/>
          <w:bCs/>
          <w:rtl/>
        </w:rPr>
        <w:t xml:space="preserve">נסיבות ביצוע העבירות </w:t>
      </w:r>
    </w:p>
    <w:p w14:paraId="6B354952" w14:textId="77777777" w:rsidR="005A7CAA" w:rsidRDefault="005A7CAA" w:rsidP="005A7CAA">
      <w:pPr>
        <w:spacing w:line="360" w:lineRule="auto"/>
        <w:jc w:val="both"/>
        <w:rPr>
          <w:rFonts w:ascii="David" w:hAnsi="David"/>
          <w:b/>
          <w:bCs/>
          <w:rtl/>
        </w:rPr>
      </w:pPr>
    </w:p>
    <w:p w14:paraId="764AB12B" w14:textId="77777777" w:rsidR="005A7CAA" w:rsidRDefault="005A7CAA" w:rsidP="005A7CAA">
      <w:pPr>
        <w:spacing w:line="360" w:lineRule="auto"/>
        <w:ind w:left="720" w:hanging="720"/>
        <w:jc w:val="both"/>
        <w:rPr>
          <w:rFonts w:ascii="David" w:hAnsi="David"/>
          <w:rtl/>
        </w:rPr>
      </w:pPr>
      <w:r>
        <w:rPr>
          <w:rFonts w:ascii="David" w:hAnsi="David"/>
          <w:rtl/>
        </w:rPr>
        <w:t>20.</w:t>
      </w:r>
      <w:r>
        <w:rPr>
          <w:rFonts w:ascii="David" w:hAnsi="David"/>
          <w:rtl/>
        </w:rPr>
        <w:tab/>
        <w:t>העבירות בענייננו בוצעו בנסיבות מחמירות על רקע סכסוך משפחות, תוך שהנאשם מבקש לעשות דין לעצמו, מגיע באופן יזום ולאחר תכנון לבית המשפחה היריבה כשהוא נושא  באקדח טעון בכדורים ומבצע ירי לעברו.</w:t>
      </w:r>
    </w:p>
    <w:p w14:paraId="2A7BAB7E" w14:textId="77777777" w:rsidR="005A7CAA" w:rsidRDefault="005A7CAA" w:rsidP="005A7CAA">
      <w:pPr>
        <w:pStyle w:val="a9"/>
        <w:spacing w:line="360" w:lineRule="auto"/>
        <w:jc w:val="both"/>
        <w:rPr>
          <w:rFonts w:ascii="David" w:hAnsi="David"/>
          <w:rtl/>
        </w:rPr>
      </w:pPr>
      <w:r>
        <w:rPr>
          <w:rFonts w:ascii="David" w:hAnsi="David"/>
          <w:rtl/>
        </w:rPr>
        <w:t>לא ניתן להפריז במילים בדבר פוטנציאל הסכנה שבהובלת ונשיאת נשק טעון ברחובותיו של ישוב מגורים, בסמוך לבתי מגורים, תוך שהנאשם אדיש לשלומם של עוברי אורח תמימים ולרכושו של האחר.</w:t>
      </w:r>
    </w:p>
    <w:p w14:paraId="656ED7C3" w14:textId="77777777" w:rsidR="005A7CAA" w:rsidRDefault="005A7CAA" w:rsidP="005A7CAA">
      <w:pPr>
        <w:pStyle w:val="a9"/>
        <w:spacing w:line="360" w:lineRule="auto"/>
        <w:jc w:val="both"/>
        <w:rPr>
          <w:rFonts w:ascii="David" w:hAnsi="David"/>
          <w:rtl/>
        </w:rPr>
      </w:pPr>
      <w:r>
        <w:rPr>
          <w:rFonts w:ascii="David" w:hAnsi="David"/>
          <w:rtl/>
        </w:rPr>
        <w:t xml:space="preserve">הסיכון גבר והתממש בחלקו כאשר הנאשם ירה מן האקדח לעבר בית וכלי רכב של המשפחה היריבה. אין מדובר בירייה בודדת, אלא בירי של מספר כדורים, ורק במזל האירוע הסתיים בנזק ברכוש וללא אובדן חיי אדם. </w:t>
      </w:r>
    </w:p>
    <w:p w14:paraId="68584F9F" w14:textId="77777777" w:rsidR="005A7CAA" w:rsidRDefault="005A7CAA" w:rsidP="005A7CAA">
      <w:pPr>
        <w:pStyle w:val="a9"/>
        <w:spacing w:line="360" w:lineRule="auto"/>
        <w:jc w:val="both"/>
        <w:rPr>
          <w:rFonts w:ascii="David" w:hAnsi="David"/>
          <w:rtl/>
        </w:rPr>
      </w:pPr>
      <w:r>
        <w:rPr>
          <w:rFonts w:ascii="David" w:hAnsi="David"/>
          <w:rtl/>
        </w:rPr>
        <w:t xml:space="preserve">חומרה נוספת נתתי לעובדה כי הנאשם ביצע את הירי בשעה 17:00 לערך, שעה בה משחקים בשגרה ילדים מחוץ לביתם, וכאשר גב' ביאן צעדה ברחוב לעבר ביתה. </w:t>
      </w:r>
    </w:p>
    <w:p w14:paraId="1EF3634D" w14:textId="77777777" w:rsidR="005A7CAA" w:rsidRDefault="005A7CAA" w:rsidP="005A7CAA">
      <w:pPr>
        <w:pStyle w:val="a9"/>
        <w:spacing w:line="360" w:lineRule="auto"/>
        <w:jc w:val="both"/>
        <w:rPr>
          <w:rFonts w:ascii="David" w:hAnsi="David"/>
          <w:rtl/>
        </w:rPr>
      </w:pPr>
      <w:r>
        <w:rPr>
          <w:rFonts w:ascii="David" w:hAnsi="David"/>
          <w:rtl/>
        </w:rPr>
        <w:t xml:space="preserve">סרטון האירוע - ת/14, ממחיש באופן מבעית את חומרת המעשים. הנאשם מבצע ירי רציף (בסרטון נשמעות 8 יריות) בפנים גלויות ולאור יום, תוך שהוא מפגין קור רוח מצמרר, ונוהג כאילו הוא חי "במערב הפרוע" - ללא דין וללא דיין. </w:t>
      </w:r>
    </w:p>
    <w:p w14:paraId="7A3540F5" w14:textId="77777777" w:rsidR="005A7CAA" w:rsidRDefault="005A7CAA" w:rsidP="005A7CAA">
      <w:pPr>
        <w:pStyle w:val="a9"/>
        <w:spacing w:line="360" w:lineRule="auto"/>
        <w:jc w:val="both"/>
        <w:rPr>
          <w:rFonts w:ascii="David" w:hAnsi="David"/>
          <w:rtl/>
        </w:rPr>
      </w:pPr>
      <w:r>
        <w:rPr>
          <w:rFonts w:ascii="David" w:hAnsi="David"/>
          <w:rtl/>
        </w:rPr>
        <w:t>חומרת מעשיו של הנאשם מתבטאת לא רק בביצוען של עבירות חמורות בנשק, אלא גם בשימוש בפועל בנשק כאמצעי לפתרון סכסוך. מדינה מתוקנת אינה יכולה להרשות לעצמה כי מאן דהוא יעשה שימוש בנשק חם כדי לפתור סכסוכים</w:t>
      </w:r>
      <w:r>
        <w:rPr>
          <w:rFonts w:ascii="David" w:hAnsi="David" w:hint="cs"/>
          <w:rtl/>
        </w:rPr>
        <w:t xml:space="preserve"> ואינה יכולה להשלים עם עשיית דין עצמי</w:t>
      </w:r>
      <w:r>
        <w:rPr>
          <w:rFonts w:ascii="David" w:hAnsi="David"/>
          <w:rtl/>
        </w:rPr>
        <w:t xml:space="preserve">. לעניין זה ראה דברי ביהמ"ש  </w:t>
      </w:r>
      <w:r>
        <w:rPr>
          <w:rFonts w:ascii="David" w:hAnsi="David"/>
          <w:b/>
          <w:bCs/>
          <w:rtl/>
        </w:rPr>
        <w:t>ב</w:t>
      </w:r>
      <w:hyperlink r:id="rId30" w:history="1">
        <w:r w:rsidR="00881EBD" w:rsidRPr="00881EBD">
          <w:rPr>
            <w:rFonts w:ascii="David" w:hAnsi="David"/>
            <w:b/>
            <w:bCs/>
            <w:color w:val="0000FF"/>
            <w:u w:val="single"/>
            <w:rtl/>
          </w:rPr>
          <w:t>ע"פ 4406/19</w:t>
        </w:r>
      </w:hyperlink>
      <w:r>
        <w:rPr>
          <w:rFonts w:ascii="David" w:hAnsi="David"/>
          <w:b/>
          <w:bCs/>
          <w:rtl/>
        </w:rPr>
        <w:t xml:space="preserve"> מדינת ישראל נ' יונס סובח </w:t>
      </w:r>
      <w:r>
        <w:rPr>
          <w:rFonts w:ascii="David" w:hAnsi="David"/>
          <w:rtl/>
        </w:rPr>
        <w:t>(5.11.19)</w:t>
      </w:r>
      <w:r>
        <w:rPr>
          <w:rFonts w:ascii="David" w:hAnsi="David"/>
          <w:b/>
          <w:bCs/>
          <w:rtl/>
        </w:rPr>
        <w:t>:</w:t>
      </w:r>
    </w:p>
    <w:p w14:paraId="6809FBDA" w14:textId="77777777" w:rsidR="005A7CAA" w:rsidRDefault="005A7CAA" w:rsidP="005A7CAA">
      <w:pPr>
        <w:pStyle w:val="a9"/>
        <w:spacing w:line="360" w:lineRule="auto"/>
        <w:jc w:val="both"/>
        <w:rPr>
          <w:rFonts w:ascii="David" w:hAnsi="David"/>
          <w:b/>
          <w:bCs/>
          <w:rtl/>
        </w:rPr>
      </w:pPr>
      <w:r>
        <w:rPr>
          <w:rFonts w:ascii="David" w:hAnsi="David"/>
          <w:b/>
          <w:bCs/>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 לנוכח ריבוי מקרי הירי, יש לנקוט במדיניות ענישה מחמירה כלפי ביצוע עבירות החזקת נשק שלא כדין, ועל אחת כמה וכמה שימוש בנשק חם...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620FB5FB" w14:textId="77777777" w:rsidR="005A7CAA" w:rsidRDefault="005A7CAA" w:rsidP="005A7CAA">
      <w:pPr>
        <w:spacing w:line="360" w:lineRule="auto"/>
        <w:jc w:val="both"/>
        <w:rPr>
          <w:rFonts w:ascii="David" w:hAnsi="David"/>
          <w:b/>
          <w:bCs/>
          <w:highlight w:val="yellow"/>
          <w:rtl/>
        </w:rPr>
      </w:pPr>
    </w:p>
    <w:p w14:paraId="0FC54B95" w14:textId="77777777" w:rsidR="005A7CAA" w:rsidRDefault="005A7CAA" w:rsidP="005A7CAA">
      <w:pPr>
        <w:spacing w:line="360" w:lineRule="auto"/>
        <w:jc w:val="both"/>
        <w:rPr>
          <w:rFonts w:ascii="David" w:hAnsi="David"/>
          <w:b/>
          <w:bCs/>
          <w:rtl/>
        </w:rPr>
      </w:pPr>
      <w:r>
        <w:rPr>
          <w:rFonts w:ascii="David" w:hAnsi="David"/>
          <w:b/>
          <w:bCs/>
          <w:rtl/>
        </w:rPr>
        <w:t>גזירת העונש</w:t>
      </w:r>
    </w:p>
    <w:p w14:paraId="1EF14E1A" w14:textId="77777777" w:rsidR="005A7CAA" w:rsidRDefault="005A7CAA" w:rsidP="005A7CAA">
      <w:pPr>
        <w:spacing w:line="360" w:lineRule="auto"/>
        <w:jc w:val="both"/>
        <w:rPr>
          <w:rFonts w:ascii="David" w:hAnsi="David"/>
          <w:b/>
          <w:bCs/>
          <w:rtl/>
        </w:rPr>
      </w:pPr>
    </w:p>
    <w:p w14:paraId="2A4DED0D" w14:textId="77777777" w:rsidR="005A7CAA" w:rsidRDefault="005A7CAA" w:rsidP="005A7CAA">
      <w:pPr>
        <w:spacing w:line="360" w:lineRule="auto"/>
        <w:ind w:left="720" w:hanging="720"/>
        <w:jc w:val="both"/>
        <w:rPr>
          <w:rFonts w:ascii="David" w:hAnsi="David"/>
          <w:rtl/>
        </w:rPr>
      </w:pPr>
      <w:r>
        <w:rPr>
          <w:rFonts w:ascii="David" w:hAnsi="David"/>
          <w:rtl/>
        </w:rPr>
        <w:t>21.</w:t>
      </w:r>
      <w:r>
        <w:rPr>
          <w:rFonts w:ascii="David" w:hAnsi="David"/>
          <w:rtl/>
        </w:rPr>
        <w:tab/>
        <w:t>בגזירת העונש המתאים לנאשם, יש להתחשב בנסיבות שאינן קשורות בביצוע העבירה. כידוע הענישה הינה אינדיבידואלית, ובמסגרתה יש ליתן את הדעת לנסיבותיו האישיות של הנאשם.</w:t>
      </w:r>
    </w:p>
    <w:p w14:paraId="0A8BC8A5" w14:textId="77777777" w:rsidR="005A7CAA" w:rsidRDefault="005A7CAA" w:rsidP="005A7CAA">
      <w:pPr>
        <w:spacing w:line="360" w:lineRule="auto"/>
        <w:ind w:left="720" w:hanging="720"/>
        <w:jc w:val="both"/>
        <w:rPr>
          <w:rFonts w:ascii="David" w:hAnsi="David"/>
          <w:rtl/>
        </w:rPr>
      </w:pPr>
    </w:p>
    <w:p w14:paraId="2F9D08E8" w14:textId="77777777" w:rsidR="005A7CAA" w:rsidRDefault="005A7CAA" w:rsidP="005A7CAA">
      <w:pPr>
        <w:spacing w:line="360" w:lineRule="auto"/>
        <w:ind w:left="720" w:hanging="720"/>
        <w:jc w:val="both"/>
        <w:rPr>
          <w:rFonts w:ascii="David" w:hAnsi="David"/>
          <w:rtl/>
        </w:rPr>
      </w:pPr>
      <w:r>
        <w:rPr>
          <w:rFonts w:ascii="David" w:hAnsi="David"/>
          <w:rtl/>
        </w:rPr>
        <w:t>22.</w:t>
      </w:r>
      <w:r>
        <w:rPr>
          <w:rFonts w:ascii="David" w:hAnsi="David"/>
          <w:rtl/>
        </w:rPr>
        <w:tab/>
        <w:t xml:space="preserve">נתתי דעתי לתסקיר שירות המבחן ממנו עולה כי מדובר במי שהתמיד במסגרת לימודים ותעסוקה במשך כל חייו. מגיל צעיר היה עד לסכסוך בין משפחתו למשפחת אבו סביתאן,  וסעד את אחיו הקטין שנפגע מירי של המשפחה היריבה. </w:t>
      </w:r>
    </w:p>
    <w:p w14:paraId="366B7124" w14:textId="77777777" w:rsidR="005A7CAA" w:rsidRDefault="005A7CAA" w:rsidP="005A7CAA">
      <w:pPr>
        <w:spacing w:line="360" w:lineRule="auto"/>
        <w:ind w:left="720" w:hanging="720"/>
        <w:jc w:val="both"/>
        <w:rPr>
          <w:rFonts w:ascii="David" w:hAnsi="David"/>
          <w:rtl/>
        </w:rPr>
      </w:pPr>
    </w:p>
    <w:p w14:paraId="52E04925" w14:textId="77777777" w:rsidR="005A7CAA" w:rsidRDefault="005A7CAA" w:rsidP="005A7CAA">
      <w:pPr>
        <w:spacing w:line="360" w:lineRule="auto"/>
        <w:ind w:left="720" w:hanging="720"/>
        <w:jc w:val="both"/>
        <w:rPr>
          <w:rFonts w:ascii="David" w:hAnsi="David"/>
          <w:rtl/>
        </w:rPr>
      </w:pPr>
      <w:r>
        <w:rPr>
          <w:rFonts w:ascii="David" w:hAnsi="David"/>
          <w:rtl/>
        </w:rPr>
        <w:t>23.</w:t>
      </w:r>
      <w:r>
        <w:rPr>
          <w:rFonts w:ascii="David" w:hAnsi="David"/>
          <w:rtl/>
        </w:rPr>
        <w:tab/>
        <w:t xml:space="preserve">לקולת הנאשם נתתי משקל להודאתו, לעברו הנקי, לחרטה שהביע ביחס למעשיו ולחסכון </w:t>
      </w:r>
      <w:r w:rsidRPr="005A7CAA">
        <w:rPr>
          <w:rFonts w:ascii="David" w:hAnsi="David"/>
          <w:color w:val="000000"/>
          <w:rtl/>
        </w:rPr>
        <w:t xml:space="preserve">החלקי </w:t>
      </w:r>
      <w:r>
        <w:rPr>
          <w:rFonts w:ascii="David" w:hAnsi="David"/>
          <w:rtl/>
        </w:rPr>
        <w:t xml:space="preserve">בזמנו של ביהמ"ש (לאחר שנטל אחריות על מעשיו תוך כדי שמיעת פרשת התביעה). כמו כן נתתי דעתי לכך כי הנאשם עצור מיום 18.11.22. </w:t>
      </w:r>
    </w:p>
    <w:p w14:paraId="0162ECD5" w14:textId="77777777" w:rsidR="005A7CAA" w:rsidRDefault="005A7CAA" w:rsidP="005A7CAA">
      <w:pPr>
        <w:pStyle w:val="a9"/>
        <w:spacing w:line="360" w:lineRule="auto"/>
        <w:jc w:val="both"/>
        <w:rPr>
          <w:rFonts w:ascii="David" w:hAnsi="David"/>
        </w:rPr>
      </w:pPr>
      <w:r>
        <w:rPr>
          <w:rFonts w:ascii="David" w:hAnsi="David"/>
          <w:rtl/>
        </w:rPr>
        <w:t xml:space="preserve">אכן הנאשם צעיר, כבן 19 שנים בעת ביצוע העבירות, וככלל גילו הצעיר של נאשם פועל  להקלה בעונשו. יחד עם זאת, משעסקינן בעבירות נשק אשר הפכו לרעה חולה במגזר הערבי בדרום ומבוצעות, פעמים רבות, על ידי צעירים אף ללא עבר פלילי, לא מצאתי לתן לנתון זה משקל רב מידי לקולת הנאשם. </w:t>
      </w:r>
    </w:p>
    <w:p w14:paraId="4B24596E" w14:textId="77777777" w:rsidR="005A7CAA" w:rsidRDefault="005A7CAA" w:rsidP="005A7CAA">
      <w:pPr>
        <w:pStyle w:val="a9"/>
        <w:spacing w:line="360" w:lineRule="auto"/>
        <w:jc w:val="both"/>
        <w:rPr>
          <w:rFonts w:ascii="David" w:hAnsi="David"/>
          <w:rtl/>
        </w:rPr>
      </w:pPr>
    </w:p>
    <w:p w14:paraId="4C87B7B0" w14:textId="77777777" w:rsidR="005A7CAA" w:rsidRDefault="005A7CAA" w:rsidP="005A7CAA">
      <w:pPr>
        <w:spacing w:line="360" w:lineRule="auto"/>
        <w:jc w:val="both"/>
        <w:rPr>
          <w:rFonts w:ascii="David" w:hAnsi="David"/>
          <w:rtl/>
        </w:rPr>
      </w:pPr>
      <w:r>
        <w:rPr>
          <w:rFonts w:ascii="David" w:hAnsi="David"/>
          <w:rtl/>
        </w:rPr>
        <w:t>24.</w:t>
      </w:r>
      <w:r>
        <w:rPr>
          <w:rFonts w:ascii="David" w:hAnsi="David"/>
          <w:rtl/>
        </w:rPr>
        <w:tab/>
        <w:t xml:space="preserve">בגדרי שיקולי הענישה נתתי משקל לשיקולי הרתעת היחיד. </w:t>
      </w:r>
    </w:p>
    <w:p w14:paraId="0D9EC15E" w14:textId="77777777" w:rsidR="005A7CAA" w:rsidRDefault="005A7CAA" w:rsidP="005A7CAA">
      <w:pPr>
        <w:pStyle w:val="a9"/>
        <w:spacing w:line="360" w:lineRule="auto"/>
        <w:jc w:val="both"/>
        <w:rPr>
          <w:rFonts w:ascii="David" w:hAnsi="David"/>
        </w:rPr>
      </w:pPr>
      <w:r>
        <w:rPr>
          <w:rFonts w:ascii="David" w:hAnsi="David"/>
          <w:rtl/>
        </w:rPr>
        <w:t>נסיבות ביצוע העבירה וכעולה מת/14 מעידות כי הנאשם אינו ירא מן החוק, מעורב עמוק בסכסוך בין שתי המשפחות ואינו בוחל באמצעים אלימים לפתרון הסכסוך תוך כדי סיכון חיי אדם.</w:t>
      </w:r>
    </w:p>
    <w:p w14:paraId="1E6CF23E" w14:textId="77777777" w:rsidR="005A7CAA" w:rsidRDefault="005A7CAA" w:rsidP="005A7CAA">
      <w:pPr>
        <w:pStyle w:val="a9"/>
        <w:spacing w:line="360" w:lineRule="auto"/>
        <w:jc w:val="both"/>
        <w:rPr>
          <w:rFonts w:ascii="David" w:hAnsi="David"/>
          <w:rtl/>
        </w:rPr>
      </w:pPr>
      <w:r>
        <w:rPr>
          <w:rFonts w:ascii="David" w:hAnsi="David"/>
          <w:rtl/>
        </w:rPr>
        <w:t>אף המלצת שירות המבחן בעניינו של הנאשם לענישה מוחשית ומחדדת גבולות ניתנה לאחר הערכת הסיכון לחזרה להתנהגות אלימה. אומנם הנאשם הביע חרטה על מעשיו, וכעולה מתסקיר שירות המבחן הביע נכונות לערוך תהליך שיקומי בין כותלי הכלא, אך מנגד שירות המבחן מצא כי הנאשם "</w:t>
      </w:r>
      <w:r>
        <w:rPr>
          <w:rFonts w:ascii="David" w:hAnsi="David"/>
          <w:b/>
          <w:bCs/>
          <w:rtl/>
        </w:rPr>
        <w:t>בעל עמדות המעניקות לגיטימציה לאלימות במצבים מסוימים וכי עשוי לנהוג באלימות על פי ציפיות משפחתו"</w:t>
      </w:r>
      <w:r>
        <w:rPr>
          <w:rFonts w:ascii="David" w:hAnsi="David"/>
          <w:rtl/>
        </w:rPr>
        <w:t xml:space="preserve">. </w:t>
      </w:r>
      <w:r>
        <w:rPr>
          <w:rFonts w:ascii="David" w:hAnsi="David"/>
          <w:b/>
          <w:bCs/>
          <w:rtl/>
        </w:rPr>
        <w:t xml:space="preserve"> </w:t>
      </w:r>
      <w:r>
        <w:rPr>
          <w:rFonts w:ascii="David" w:hAnsi="David"/>
          <w:rtl/>
        </w:rPr>
        <w:t xml:space="preserve">אני תקווה כי הנאשם אכן ינצל את תקופת מאסרו להליך שיקומי חיובי. </w:t>
      </w:r>
    </w:p>
    <w:p w14:paraId="5495E5C0" w14:textId="77777777" w:rsidR="005A7CAA" w:rsidRDefault="005A7CAA" w:rsidP="005A7CAA">
      <w:pPr>
        <w:pStyle w:val="a9"/>
        <w:spacing w:line="360" w:lineRule="auto"/>
        <w:jc w:val="both"/>
        <w:rPr>
          <w:rFonts w:ascii="David" w:hAnsi="David"/>
          <w:b/>
          <w:bCs/>
          <w:rtl/>
        </w:rPr>
      </w:pPr>
    </w:p>
    <w:p w14:paraId="159BDD8E" w14:textId="77777777" w:rsidR="005A7CAA" w:rsidRDefault="005A7CAA" w:rsidP="005A7CAA">
      <w:pPr>
        <w:spacing w:line="360" w:lineRule="auto"/>
        <w:ind w:left="720" w:hanging="720"/>
        <w:jc w:val="both"/>
        <w:rPr>
          <w:rFonts w:ascii="David" w:hAnsi="David"/>
          <w:rtl/>
        </w:rPr>
      </w:pPr>
      <w:r>
        <w:rPr>
          <w:rFonts w:ascii="David" w:hAnsi="David"/>
          <w:rtl/>
        </w:rPr>
        <w:t>25.</w:t>
      </w:r>
      <w:r>
        <w:rPr>
          <w:rFonts w:ascii="David" w:hAnsi="David"/>
          <w:rtl/>
        </w:rPr>
        <w:tab/>
        <w:t>כמו כן,</w:t>
      </w:r>
      <w:r>
        <w:rPr>
          <w:rFonts w:ascii="David" w:hAnsi="David" w:hint="cs"/>
          <w:rtl/>
        </w:rPr>
        <w:t xml:space="preserve"> </w:t>
      </w:r>
      <w:r>
        <w:rPr>
          <w:rFonts w:ascii="David" w:hAnsi="David"/>
          <w:rtl/>
        </w:rPr>
        <w:t>נתתי משקל לשיקולי הרתעת הרבים המקבל משנה תוקף בעבירות בנשק, שכן   "</w:t>
      </w:r>
      <w:r>
        <w:rPr>
          <w:rFonts w:ascii="David" w:hAnsi="David"/>
          <w:b/>
          <w:bCs/>
          <w:rtl/>
        </w:rPr>
        <w:t>בית משפט שמקל בעונשו של עבריין נשק מכביד על החברה שנאלצת להגן על עצמה – על בניה ובנותיה –מעברייני נשק</w:t>
      </w:r>
      <w:r>
        <w:rPr>
          <w:rFonts w:ascii="David" w:hAnsi="David"/>
          <w:rtl/>
        </w:rPr>
        <w:t xml:space="preserve"> "  </w:t>
      </w:r>
      <w:hyperlink r:id="rId31" w:history="1">
        <w:r w:rsidR="00881EBD" w:rsidRPr="00881EBD">
          <w:rPr>
            <w:rFonts w:ascii="David" w:hAnsi="David"/>
            <w:b/>
            <w:bCs/>
            <w:color w:val="0000FF"/>
            <w:u w:val="single"/>
            <w:rtl/>
          </w:rPr>
          <w:t>ע"פ 5602/22</w:t>
        </w:r>
      </w:hyperlink>
      <w:r>
        <w:rPr>
          <w:rFonts w:ascii="David" w:hAnsi="David"/>
          <w:rtl/>
        </w:rPr>
        <w:t xml:space="preserve"> </w:t>
      </w:r>
      <w:r>
        <w:rPr>
          <w:rFonts w:ascii="David" w:hAnsi="David"/>
          <w:b/>
          <w:bCs/>
          <w:rtl/>
        </w:rPr>
        <w:t xml:space="preserve">מ"י נ' פלוני </w:t>
      </w:r>
      <w:r>
        <w:rPr>
          <w:rFonts w:ascii="David" w:hAnsi="David"/>
          <w:rtl/>
        </w:rPr>
        <w:t>(14.9.22).</w:t>
      </w:r>
    </w:p>
    <w:p w14:paraId="178F4C28" w14:textId="77777777" w:rsidR="005A7CAA" w:rsidRDefault="005A7CAA" w:rsidP="005A7CAA">
      <w:pPr>
        <w:pStyle w:val="a9"/>
        <w:spacing w:line="360" w:lineRule="auto"/>
        <w:jc w:val="both"/>
        <w:rPr>
          <w:rFonts w:ascii="David" w:hAnsi="David"/>
          <w:rtl/>
        </w:rPr>
      </w:pPr>
      <w:r>
        <w:rPr>
          <w:rFonts w:ascii="David" w:hAnsi="David"/>
          <w:rtl/>
        </w:rPr>
        <w:t xml:space="preserve">כפי שציינתי  בעבר, על בתי המשפט לפעול באמצעות הענישה לשינוי יחס "סיכוי –סיכון" מכוחו פועל עבריין הנשק, באופן שהמאזן יטה בבירור לאחרון. על בית המשפט להעביר מסר ברור וחד גם לצעירים כי טוב יעשו אם ירחיקו ידם מנשק בלתי חוקי, שאם לא כן ימצאו עצמם מאחורי סורג ובריח ולתקופות משמעותיות. על בתי המשפט, באמצעות ענישה מרתיעה, להעביר מסר ברור כי פתרון סכסוכים לא יכול ויעשה באמצעות אלימות ושימוש בנשק. </w:t>
      </w:r>
    </w:p>
    <w:p w14:paraId="6F695D84" w14:textId="77777777" w:rsidR="005A7CAA" w:rsidRDefault="005A7CAA" w:rsidP="005A7CAA">
      <w:pPr>
        <w:spacing w:line="360" w:lineRule="auto"/>
        <w:jc w:val="both"/>
        <w:rPr>
          <w:rFonts w:ascii="David" w:hAnsi="David"/>
          <w:rtl/>
        </w:rPr>
      </w:pPr>
    </w:p>
    <w:p w14:paraId="383579A1" w14:textId="77777777" w:rsidR="005A7CAA" w:rsidRDefault="005A7CAA" w:rsidP="005A7CAA">
      <w:pPr>
        <w:spacing w:line="360" w:lineRule="auto"/>
        <w:ind w:left="720" w:hanging="720"/>
        <w:jc w:val="both"/>
        <w:rPr>
          <w:rFonts w:ascii="David" w:hAnsi="David"/>
          <w:rtl/>
        </w:rPr>
      </w:pPr>
      <w:r>
        <w:rPr>
          <w:rFonts w:ascii="David" w:hAnsi="David"/>
          <w:rtl/>
        </w:rPr>
        <w:t>26.</w:t>
      </w:r>
      <w:r>
        <w:rPr>
          <w:rFonts w:ascii="David" w:hAnsi="David"/>
          <w:rtl/>
        </w:rPr>
        <w:tab/>
        <w:t>באשר לרכיב הקנס, מצאתי להטיל על הנאשם קנס כספי בסך של 3,000 ₪ זאת כדי להרתיעו מביצוען של עבירות דומות. כמפורט בעובדות כתב האישום המתוקן, הנאשם גרם נזק לרכוש (שער הכניסה ורכבים) ומשכך על העונש לכלול גם  רכיב כלכלי.</w:t>
      </w:r>
    </w:p>
    <w:p w14:paraId="7687E5E2" w14:textId="77777777" w:rsidR="005A7CAA" w:rsidRDefault="005A7CAA" w:rsidP="005A7CAA">
      <w:pPr>
        <w:spacing w:line="360" w:lineRule="auto"/>
        <w:ind w:left="720" w:hanging="720"/>
        <w:jc w:val="both"/>
        <w:rPr>
          <w:rFonts w:ascii="David" w:hAnsi="David"/>
          <w:rtl/>
        </w:rPr>
      </w:pPr>
    </w:p>
    <w:p w14:paraId="568B0B7B" w14:textId="77777777" w:rsidR="005A7CAA" w:rsidRDefault="005A7CAA" w:rsidP="005A7CAA">
      <w:pPr>
        <w:spacing w:line="360" w:lineRule="auto"/>
        <w:ind w:left="720" w:hanging="720"/>
        <w:jc w:val="both"/>
        <w:rPr>
          <w:rFonts w:ascii="David" w:hAnsi="David"/>
          <w:rtl/>
        </w:rPr>
      </w:pPr>
      <w:r>
        <w:rPr>
          <w:rFonts w:ascii="David" w:hAnsi="David"/>
          <w:rtl/>
        </w:rPr>
        <w:t>27.</w:t>
      </w:r>
      <w:r>
        <w:rPr>
          <w:rFonts w:ascii="David" w:hAnsi="David"/>
          <w:rtl/>
        </w:rPr>
        <w:tab/>
        <w:t xml:space="preserve">ביחס לעתירת המאשימה לגזור על הנאשם גם רכיב של פיצוי, משלא הוצגו ראיות באשר לשווי הנזק הרכושי שנגרם, לא מצאתי לפסוק בגין רכיב זה. אין במסמך שהציגה המאשימה שכותרתו </w:t>
      </w:r>
      <w:r>
        <w:rPr>
          <w:rFonts w:ascii="David" w:hAnsi="David"/>
          <w:b/>
          <w:bCs/>
          <w:rtl/>
        </w:rPr>
        <w:t>"תיאור מקרה העבירה על ידי נפגעת העבירה נג'את אבו סביתאן</w:t>
      </w:r>
      <w:r>
        <w:rPr>
          <w:rFonts w:ascii="David" w:hAnsi="David"/>
          <w:rtl/>
        </w:rPr>
        <w:t>" כדי לבסס, אף לא ראשית, אומדן באשר לנזק הרכושי. הגב' נג'את לא העידה במסגרת הראיות לעונש, והוסכם שבית המשפט לא יתייחס לנקודות שלא עלו מעדותה בשלב שמיעת הראיות (עמ' 104 לפרוטוקול, שורה 19).</w:t>
      </w:r>
    </w:p>
    <w:p w14:paraId="2F445B9B" w14:textId="77777777" w:rsidR="005A7CAA" w:rsidRDefault="005A7CAA" w:rsidP="005A7CAA">
      <w:pPr>
        <w:spacing w:line="360" w:lineRule="auto"/>
        <w:ind w:left="720" w:hanging="720"/>
        <w:jc w:val="both"/>
        <w:rPr>
          <w:rFonts w:ascii="David" w:hAnsi="David"/>
          <w:rtl/>
        </w:rPr>
      </w:pPr>
    </w:p>
    <w:p w14:paraId="6C7B0EB1" w14:textId="77777777" w:rsidR="005A7CAA" w:rsidRDefault="005A7CAA" w:rsidP="005A7CAA">
      <w:pPr>
        <w:spacing w:line="360" w:lineRule="auto"/>
        <w:ind w:left="720" w:hanging="720"/>
        <w:jc w:val="both"/>
        <w:rPr>
          <w:rFonts w:ascii="David" w:hAnsi="David"/>
          <w:rtl/>
        </w:rPr>
      </w:pPr>
      <w:r>
        <w:rPr>
          <w:rFonts w:ascii="David" w:hAnsi="David"/>
          <w:rtl/>
        </w:rPr>
        <w:t>28.</w:t>
      </w:r>
      <w:r>
        <w:rPr>
          <w:rFonts w:ascii="David" w:hAnsi="David"/>
          <w:rtl/>
        </w:rPr>
        <w:tab/>
        <w:t>מכל המקובץ לעיל, ובאיזון השיקולים השונים, הנני גוזר על הנאשם את העונשים הבאים:</w:t>
      </w:r>
    </w:p>
    <w:p w14:paraId="47EF7DC8" w14:textId="77777777" w:rsidR="005A7CAA" w:rsidRDefault="005A7CAA" w:rsidP="005A7CAA">
      <w:pPr>
        <w:spacing w:line="360" w:lineRule="auto"/>
        <w:ind w:left="720" w:hanging="720"/>
        <w:jc w:val="both"/>
        <w:rPr>
          <w:rFonts w:ascii="David" w:hAnsi="David"/>
          <w:rtl/>
        </w:rPr>
      </w:pPr>
    </w:p>
    <w:p w14:paraId="49B947A2" w14:textId="77777777" w:rsidR="005A7CAA" w:rsidRDefault="005A7CAA" w:rsidP="005A7CAA">
      <w:pPr>
        <w:spacing w:line="360" w:lineRule="auto"/>
        <w:ind w:left="720" w:hanging="720"/>
        <w:jc w:val="both"/>
        <w:rPr>
          <w:rFonts w:ascii="David" w:hAnsi="David"/>
          <w:rtl/>
        </w:rPr>
      </w:pPr>
      <w:r>
        <w:rPr>
          <w:rFonts w:ascii="David" w:hAnsi="David"/>
          <w:rtl/>
        </w:rPr>
        <w:tab/>
        <w:t>א.</w:t>
      </w:r>
      <w:r>
        <w:rPr>
          <w:rFonts w:ascii="David" w:hAnsi="David"/>
          <w:rtl/>
        </w:rPr>
        <w:tab/>
        <w:t>4</w:t>
      </w:r>
      <w:r>
        <w:rPr>
          <w:rFonts w:ascii="David" w:hAnsi="David" w:hint="cs"/>
          <w:rtl/>
        </w:rPr>
        <w:t>8 ח</w:t>
      </w:r>
      <w:r>
        <w:rPr>
          <w:rFonts w:ascii="David" w:hAnsi="David"/>
          <w:rtl/>
        </w:rPr>
        <w:t>ודשי מאסר בפועל בניכוי ימי מעצרו.</w:t>
      </w:r>
    </w:p>
    <w:p w14:paraId="63FDF3DB" w14:textId="77777777" w:rsidR="005A7CAA" w:rsidRDefault="005A7CAA" w:rsidP="005A7CAA">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הנאשם יישא בעונש זה אם בתקופה של שלוש שנים מיום שחרורו יעבור על עבירות בנשק לפי </w:t>
      </w:r>
      <w:hyperlink r:id="rId32" w:history="1">
        <w:r w:rsidR="00B3717C" w:rsidRPr="00B3717C">
          <w:rPr>
            <w:rStyle w:val="Hyperlink"/>
            <w:rFonts w:ascii="David" w:hAnsi="David"/>
            <w:rtl/>
          </w:rPr>
          <w:t>סעיף 144</w:t>
        </w:r>
      </w:hyperlink>
      <w:r>
        <w:rPr>
          <w:rFonts w:ascii="David" w:hAnsi="David"/>
          <w:rtl/>
        </w:rPr>
        <w:t xml:space="preserve"> ל</w:t>
      </w:r>
      <w:hyperlink r:id="rId33" w:history="1">
        <w:r w:rsidR="00881EBD" w:rsidRPr="00881EBD">
          <w:rPr>
            <w:rFonts w:ascii="David" w:hAnsi="David"/>
            <w:color w:val="0000FF"/>
            <w:u w:val="single"/>
            <w:rtl/>
          </w:rPr>
          <w:t>חוק העונשין</w:t>
        </w:r>
      </w:hyperlink>
      <w:r>
        <w:rPr>
          <w:rFonts w:ascii="David" w:hAnsi="David"/>
          <w:rtl/>
        </w:rPr>
        <w:t xml:space="preserve"> על חלופותיו השונות.</w:t>
      </w:r>
    </w:p>
    <w:p w14:paraId="208108E1" w14:textId="77777777" w:rsidR="005A7CAA" w:rsidRDefault="005A7CAA" w:rsidP="005A7CAA">
      <w:pPr>
        <w:spacing w:line="360" w:lineRule="auto"/>
        <w:ind w:left="1440" w:hanging="720"/>
        <w:jc w:val="both"/>
        <w:rPr>
          <w:rFonts w:ascii="David" w:hAnsi="David"/>
          <w:rtl/>
        </w:rPr>
      </w:pPr>
      <w:r>
        <w:rPr>
          <w:rFonts w:ascii="David" w:hAnsi="David"/>
          <w:rtl/>
        </w:rPr>
        <w:t>ג.</w:t>
      </w:r>
      <w:r>
        <w:rPr>
          <w:rFonts w:ascii="David" w:hAnsi="David"/>
          <w:rtl/>
        </w:rPr>
        <w:tab/>
        <w:t xml:space="preserve">12 חודשי מאסר על תנאי. הנאשם יישא בעונש זה אם בתקופה של שלוש שנים מיום שחרורו יעבור עבירה לפי </w:t>
      </w:r>
      <w:hyperlink r:id="rId34" w:history="1">
        <w:r w:rsidR="00B3717C" w:rsidRPr="00B3717C">
          <w:rPr>
            <w:rStyle w:val="Hyperlink"/>
            <w:rFonts w:ascii="David" w:hAnsi="David"/>
            <w:rtl/>
          </w:rPr>
          <w:t>סעיף 340א</w:t>
        </w:r>
      </w:hyperlink>
      <w:r>
        <w:rPr>
          <w:rFonts w:ascii="David" w:hAnsi="David"/>
          <w:rtl/>
        </w:rPr>
        <w:t xml:space="preserve"> ל</w:t>
      </w:r>
      <w:hyperlink r:id="rId35" w:history="1">
        <w:r w:rsidR="00881EBD" w:rsidRPr="00881EBD">
          <w:rPr>
            <w:rFonts w:ascii="David" w:hAnsi="David"/>
            <w:color w:val="0000FF"/>
            <w:u w:val="single"/>
            <w:rtl/>
          </w:rPr>
          <w:t>חוק העונשין</w:t>
        </w:r>
      </w:hyperlink>
      <w:r>
        <w:rPr>
          <w:rFonts w:ascii="David" w:hAnsi="David"/>
          <w:rtl/>
        </w:rPr>
        <w:t xml:space="preserve"> על חלופותיו השונות. </w:t>
      </w:r>
    </w:p>
    <w:p w14:paraId="113E5DEF" w14:textId="77777777" w:rsidR="005A7CAA" w:rsidRDefault="005A7CAA" w:rsidP="005A7CAA">
      <w:pPr>
        <w:spacing w:line="360" w:lineRule="auto"/>
        <w:ind w:left="1440" w:hanging="720"/>
        <w:jc w:val="both"/>
        <w:rPr>
          <w:rFonts w:ascii="David" w:hAnsi="David"/>
          <w:rtl/>
        </w:rPr>
      </w:pPr>
      <w:r>
        <w:rPr>
          <w:rFonts w:ascii="David" w:hAnsi="David"/>
          <w:rtl/>
        </w:rPr>
        <w:t>ד.</w:t>
      </w:r>
      <w:r>
        <w:rPr>
          <w:rFonts w:ascii="David" w:hAnsi="David"/>
          <w:rtl/>
        </w:rPr>
        <w:tab/>
        <w:t xml:space="preserve">6 חודשי מאסר על תנאי. הנאשם יישא בעונש זה אם בתקופה של שנתיים מיום שחרורו יעבור עבירה לפי </w:t>
      </w:r>
      <w:hyperlink r:id="rId36" w:history="1">
        <w:r w:rsidR="00B3717C" w:rsidRPr="00B3717C">
          <w:rPr>
            <w:rStyle w:val="Hyperlink"/>
            <w:rFonts w:ascii="David" w:hAnsi="David"/>
            <w:rtl/>
          </w:rPr>
          <w:t>סעיף 413ה</w:t>
        </w:r>
      </w:hyperlink>
      <w:r>
        <w:rPr>
          <w:rFonts w:ascii="David" w:hAnsi="David"/>
          <w:rtl/>
        </w:rPr>
        <w:t xml:space="preserve"> ל</w:t>
      </w:r>
      <w:hyperlink r:id="rId37" w:history="1">
        <w:r w:rsidR="00881EBD" w:rsidRPr="00881EBD">
          <w:rPr>
            <w:rFonts w:ascii="David" w:hAnsi="David"/>
            <w:color w:val="0000FF"/>
            <w:u w:val="single"/>
            <w:rtl/>
          </w:rPr>
          <w:t>חוק העונשין</w:t>
        </w:r>
      </w:hyperlink>
      <w:r>
        <w:rPr>
          <w:rFonts w:ascii="David" w:hAnsi="David"/>
          <w:rtl/>
        </w:rPr>
        <w:t>.</w:t>
      </w:r>
    </w:p>
    <w:p w14:paraId="20A64429" w14:textId="77777777" w:rsidR="005A7CAA" w:rsidRDefault="005A7CAA" w:rsidP="005A7CAA">
      <w:pPr>
        <w:spacing w:line="360" w:lineRule="auto"/>
        <w:ind w:left="1440" w:hanging="720"/>
        <w:jc w:val="both"/>
        <w:rPr>
          <w:rFonts w:ascii="David" w:hAnsi="David"/>
          <w:rtl/>
        </w:rPr>
      </w:pPr>
      <w:r>
        <w:rPr>
          <w:rFonts w:ascii="David" w:hAnsi="David"/>
          <w:rtl/>
        </w:rPr>
        <w:t>ה.</w:t>
      </w:r>
      <w:r>
        <w:rPr>
          <w:rFonts w:ascii="David" w:hAnsi="David"/>
          <w:rtl/>
        </w:rPr>
        <w:tab/>
        <w:t>3,000 ₪ קנס או 30 יום מאסר תמורתו. הקנס ישולם  תוך 90 ימים מהיום.</w:t>
      </w:r>
    </w:p>
    <w:p w14:paraId="2591A46D" w14:textId="77777777" w:rsidR="005A7CAA" w:rsidRDefault="005A7CAA" w:rsidP="005A7CAA">
      <w:pPr>
        <w:rPr>
          <w:rFonts w:ascii="Arial" w:hAnsi="Arial"/>
          <w:b/>
          <w:bCs/>
          <w:sz w:val="26"/>
          <w:szCs w:val="26"/>
          <w:rtl/>
        </w:rPr>
      </w:pPr>
    </w:p>
    <w:p w14:paraId="5F5DA0AB" w14:textId="77777777" w:rsidR="005A7CAA" w:rsidRDefault="005A7CAA" w:rsidP="005A7CAA">
      <w:pPr>
        <w:rPr>
          <w:rFonts w:ascii="Arial" w:hAnsi="Arial"/>
          <w:b/>
          <w:bCs/>
          <w:sz w:val="26"/>
          <w:szCs w:val="26"/>
          <w:rtl/>
        </w:rPr>
      </w:pPr>
    </w:p>
    <w:p w14:paraId="25E9AD5E" w14:textId="77777777" w:rsidR="005A7CAA" w:rsidRDefault="005A7CAA" w:rsidP="005A7CAA">
      <w:pPr>
        <w:rPr>
          <w:rFonts w:ascii="Arial" w:hAnsi="Arial"/>
          <w:b/>
          <w:bCs/>
          <w:sz w:val="26"/>
          <w:szCs w:val="26"/>
          <w:rtl/>
        </w:rPr>
      </w:pPr>
    </w:p>
    <w:p w14:paraId="10ACC28C" w14:textId="77777777" w:rsidR="005A7CAA" w:rsidRDefault="005A7CAA" w:rsidP="005A7CAA">
      <w:pPr>
        <w:rPr>
          <w:rFonts w:ascii="Arial" w:hAnsi="Arial"/>
          <w:b/>
          <w:bCs/>
          <w:sz w:val="26"/>
          <w:szCs w:val="26"/>
          <w:rtl/>
        </w:rPr>
      </w:pPr>
    </w:p>
    <w:p w14:paraId="4EB02EB4" w14:textId="77777777" w:rsidR="005A7CAA" w:rsidRPr="000F2247" w:rsidRDefault="005A7CAA" w:rsidP="005A7CAA">
      <w:pPr>
        <w:rPr>
          <w:rFonts w:ascii="Arial" w:hAnsi="Arial"/>
          <w:b/>
          <w:bCs/>
          <w:sz w:val="26"/>
          <w:szCs w:val="26"/>
          <w:rtl/>
        </w:rPr>
      </w:pPr>
    </w:p>
    <w:p w14:paraId="57FC91EC" w14:textId="77777777" w:rsidR="005A7CAA" w:rsidRPr="00881EBD" w:rsidRDefault="00881EBD" w:rsidP="005A7CAA">
      <w:pPr>
        <w:rPr>
          <w:rFonts w:ascii="Arial" w:hAnsi="Arial"/>
          <w:b/>
          <w:bCs/>
          <w:color w:val="FFFFFF"/>
          <w:sz w:val="2"/>
          <w:szCs w:val="2"/>
          <w:rtl/>
        </w:rPr>
      </w:pPr>
      <w:r w:rsidRPr="00881EBD">
        <w:rPr>
          <w:rFonts w:ascii="Arial" w:hAnsi="Arial"/>
          <w:b/>
          <w:bCs/>
          <w:color w:val="FFFFFF"/>
          <w:sz w:val="2"/>
          <w:szCs w:val="2"/>
          <w:rtl/>
        </w:rPr>
        <w:t>5129371</w:t>
      </w:r>
    </w:p>
    <w:p w14:paraId="0F76DF1B" w14:textId="77777777" w:rsidR="005A7CAA" w:rsidRDefault="00881EBD" w:rsidP="005A7CAA">
      <w:pPr>
        <w:rPr>
          <w:rFonts w:ascii="Arial" w:hAnsi="Arial"/>
          <w:b/>
          <w:bCs/>
          <w:sz w:val="26"/>
          <w:szCs w:val="26"/>
          <w:rtl/>
        </w:rPr>
      </w:pPr>
      <w:r w:rsidRPr="00881EBD">
        <w:rPr>
          <w:rFonts w:ascii="Arial" w:hAnsi="Arial"/>
          <w:b/>
          <w:bCs/>
          <w:color w:val="FFFFFF"/>
          <w:sz w:val="2"/>
          <w:szCs w:val="2"/>
          <w:rtl/>
        </w:rPr>
        <w:t>54678313</w:t>
      </w:r>
      <w:r w:rsidR="005A7CAA">
        <w:rPr>
          <w:rFonts w:ascii="Arial" w:hAnsi="Arial" w:hint="cs"/>
          <w:b/>
          <w:bCs/>
          <w:sz w:val="26"/>
          <w:szCs w:val="26"/>
          <w:rtl/>
        </w:rPr>
        <w:t>זכות ערעור לבית המשפט העליון תוך 45 ימים מהיום.</w:t>
      </w:r>
    </w:p>
    <w:p w14:paraId="5E59D683" w14:textId="77777777" w:rsidR="005A7CAA" w:rsidRDefault="005A7CAA" w:rsidP="005A7CAA">
      <w:pPr>
        <w:spacing w:line="360" w:lineRule="auto"/>
        <w:jc w:val="both"/>
        <w:rPr>
          <w:rFonts w:ascii="Arial" w:hAnsi="Arial"/>
          <w:b/>
          <w:bCs/>
          <w:sz w:val="26"/>
          <w:szCs w:val="26"/>
          <w:rtl/>
        </w:rPr>
      </w:pPr>
    </w:p>
    <w:p w14:paraId="37875946" w14:textId="77777777" w:rsidR="005A7CAA" w:rsidRPr="000F2247" w:rsidRDefault="00881EBD" w:rsidP="005A7CA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כסלו תשפ"ד, 21 נובמבר 2023, במעמד הצדדים. </w:t>
      </w:r>
      <w:bookmarkEnd w:id="8"/>
      <w:r w:rsidR="005A7CAA">
        <w:rPr>
          <w:rFonts w:ascii="Arial" w:hAnsi="Arial"/>
          <w:b/>
          <w:bCs/>
          <w:sz w:val="26"/>
          <w:szCs w:val="26"/>
          <w:rtl/>
        </w:rPr>
        <w:tab/>
      </w:r>
      <w:r w:rsidR="005A7CAA">
        <w:rPr>
          <w:rFonts w:ascii="Arial" w:hAnsi="Arial"/>
          <w:b/>
          <w:bCs/>
          <w:sz w:val="26"/>
          <w:szCs w:val="26"/>
          <w:rtl/>
        </w:rPr>
        <w:tab/>
      </w:r>
      <w:r w:rsidR="005A7CAA">
        <w:rPr>
          <w:rFonts w:ascii="Arial" w:hAnsi="Arial"/>
          <w:b/>
          <w:bCs/>
          <w:sz w:val="26"/>
          <w:szCs w:val="26"/>
          <w:rtl/>
        </w:rPr>
        <w:tab/>
      </w:r>
      <w:r w:rsidR="005A7CAA">
        <w:rPr>
          <w:rFonts w:ascii="Arial" w:hAnsi="Arial"/>
          <w:b/>
          <w:bCs/>
          <w:sz w:val="26"/>
          <w:szCs w:val="26"/>
          <w:rtl/>
        </w:rPr>
        <w:tab/>
      </w:r>
      <w:r w:rsidR="005A7CAA">
        <w:rPr>
          <w:rFonts w:ascii="Arial" w:hAnsi="Arial"/>
          <w:b/>
          <w:bCs/>
          <w:sz w:val="26"/>
          <w:szCs w:val="26"/>
          <w:rtl/>
        </w:rPr>
        <w:tab/>
      </w:r>
      <w:r w:rsidR="005A7CAA">
        <w:rPr>
          <w:rFonts w:ascii="Arial" w:hAnsi="Arial"/>
          <w:b/>
          <w:bCs/>
          <w:sz w:val="26"/>
          <w:szCs w:val="26"/>
          <w:rtl/>
        </w:rPr>
        <w:tab/>
      </w:r>
      <w:r w:rsidR="005A7CAA">
        <w:rPr>
          <w:rFonts w:ascii="Arial" w:hAnsi="Arial"/>
          <w:b/>
          <w:bCs/>
          <w:sz w:val="26"/>
          <w:szCs w:val="26"/>
          <w:rtl/>
        </w:rPr>
        <w:tab/>
      </w:r>
      <w:r w:rsidR="005A7CAA">
        <w:rPr>
          <w:rFonts w:ascii="Arial" w:hAnsi="Arial" w:hint="cs"/>
          <w:b/>
          <w:bCs/>
          <w:sz w:val="26"/>
          <w:szCs w:val="26"/>
          <w:rtl/>
        </w:rPr>
        <w:t xml:space="preserve">         </w:t>
      </w:r>
    </w:p>
    <w:p w14:paraId="5E78ABAB" w14:textId="77777777" w:rsidR="005A7CAA" w:rsidRPr="000F2247" w:rsidRDefault="005A7CAA" w:rsidP="00881EB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65EA5C6" w14:textId="77777777" w:rsidR="005A7CAA" w:rsidRPr="000F2247" w:rsidRDefault="005A7CAA" w:rsidP="005A7CAA">
      <w:pPr>
        <w:jc w:val="center"/>
        <w:rPr>
          <w:rFonts w:ascii="Arial" w:hAnsi="Arial"/>
          <w:b/>
          <w:bCs/>
          <w:sz w:val="26"/>
          <w:szCs w:val="26"/>
          <w:rtl/>
        </w:rPr>
      </w:pPr>
    </w:p>
    <w:p w14:paraId="080A70EE" w14:textId="77777777" w:rsidR="00116B88" w:rsidRPr="00881EBD" w:rsidRDefault="00116B88" w:rsidP="00881EBD">
      <w:pPr>
        <w:keepNext/>
        <w:rPr>
          <w:rFonts w:ascii="David" w:hAnsi="David"/>
          <w:color w:val="000000"/>
          <w:sz w:val="22"/>
          <w:szCs w:val="22"/>
          <w:rtl/>
        </w:rPr>
      </w:pPr>
    </w:p>
    <w:p w14:paraId="139AFF54" w14:textId="77777777" w:rsidR="00881EBD" w:rsidRPr="00881EBD" w:rsidRDefault="00881EBD" w:rsidP="00881EBD">
      <w:pPr>
        <w:keepNext/>
        <w:rPr>
          <w:rFonts w:ascii="David" w:hAnsi="David"/>
          <w:color w:val="000000"/>
          <w:sz w:val="22"/>
          <w:szCs w:val="22"/>
          <w:rtl/>
        </w:rPr>
      </w:pPr>
      <w:r w:rsidRPr="00881EBD">
        <w:rPr>
          <w:rFonts w:ascii="David" w:hAnsi="David"/>
          <w:color w:val="000000"/>
          <w:sz w:val="22"/>
          <w:szCs w:val="22"/>
          <w:rtl/>
        </w:rPr>
        <w:t>אלון גביזון 54678313</w:t>
      </w:r>
    </w:p>
    <w:p w14:paraId="3C41FB14" w14:textId="77777777" w:rsidR="00881EBD" w:rsidRDefault="00881EBD" w:rsidP="00881EBD">
      <w:r w:rsidRPr="00881EBD">
        <w:rPr>
          <w:color w:val="000000"/>
          <w:rtl/>
        </w:rPr>
        <w:t>נוסח מסמך זה כפוף לשינויי ניסוח ועריכה</w:t>
      </w:r>
    </w:p>
    <w:p w14:paraId="4A4A05A2" w14:textId="77777777" w:rsidR="00881EBD" w:rsidRDefault="00881EBD" w:rsidP="00881EBD">
      <w:pPr>
        <w:rPr>
          <w:rtl/>
        </w:rPr>
      </w:pPr>
    </w:p>
    <w:p w14:paraId="14C6E9C0" w14:textId="77777777" w:rsidR="00881EBD" w:rsidRDefault="00881EBD" w:rsidP="00881EB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E0232AF" w14:textId="77777777" w:rsidR="00881EBD" w:rsidRPr="00881EBD" w:rsidRDefault="00881EBD" w:rsidP="00881EBD">
      <w:pPr>
        <w:jc w:val="center"/>
        <w:rPr>
          <w:color w:val="0000FF"/>
          <w:u w:val="single"/>
        </w:rPr>
      </w:pPr>
    </w:p>
    <w:sectPr w:rsidR="00881EBD" w:rsidRPr="00881EBD" w:rsidSect="00881EB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A0628" w14:textId="77777777" w:rsidR="00831246" w:rsidRDefault="00831246" w:rsidP="00191931">
      <w:r>
        <w:separator/>
      </w:r>
    </w:p>
  </w:endnote>
  <w:endnote w:type="continuationSeparator" w:id="0">
    <w:p w14:paraId="18650F79" w14:textId="77777777" w:rsidR="00831246" w:rsidRDefault="00831246" w:rsidP="0019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66B9C" w14:textId="77777777" w:rsidR="00881EBD" w:rsidRDefault="00881EBD" w:rsidP="00881E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1B2892" w14:textId="77777777" w:rsidR="00E7132D" w:rsidRPr="00881EBD" w:rsidRDefault="00881EBD" w:rsidP="00881E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6FC0" w14:textId="77777777" w:rsidR="00881EBD" w:rsidRDefault="00881EBD" w:rsidP="00881E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2B89">
      <w:rPr>
        <w:rFonts w:ascii="FrankRuehl" w:hAnsi="FrankRuehl" w:cs="FrankRuehl"/>
        <w:noProof/>
        <w:rtl/>
      </w:rPr>
      <w:t>1</w:t>
    </w:r>
    <w:r>
      <w:rPr>
        <w:rFonts w:ascii="FrankRuehl" w:hAnsi="FrankRuehl" w:cs="FrankRuehl"/>
        <w:rtl/>
      </w:rPr>
      <w:fldChar w:fldCharType="end"/>
    </w:r>
  </w:p>
  <w:p w14:paraId="0E870BEB" w14:textId="77777777" w:rsidR="00E7132D" w:rsidRPr="00881EBD" w:rsidRDefault="00881EBD" w:rsidP="00881E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D33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0690" w14:textId="77777777" w:rsidR="00831246" w:rsidRDefault="00831246" w:rsidP="00191931">
      <w:r>
        <w:separator/>
      </w:r>
    </w:p>
  </w:footnote>
  <w:footnote w:type="continuationSeparator" w:id="0">
    <w:p w14:paraId="6FFDFDC8" w14:textId="77777777" w:rsidR="00831246" w:rsidRDefault="00831246" w:rsidP="00191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1D0DF" w14:textId="77777777" w:rsidR="00881EBD" w:rsidRPr="00881EBD" w:rsidRDefault="00881EBD" w:rsidP="00881E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13995-12-22</w:t>
    </w:r>
    <w:r>
      <w:rPr>
        <w:rFonts w:ascii="David" w:hAnsi="David"/>
        <w:color w:val="000000"/>
        <w:sz w:val="22"/>
        <w:szCs w:val="22"/>
        <w:rtl/>
      </w:rPr>
      <w:tab/>
      <w:t xml:space="preserve"> מדינת ישראל נ' אדם אבו סרחאן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04F48" w14:textId="77777777" w:rsidR="00881EBD" w:rsidRPr="00881EBD" w:rsidRDefault="00881EBD" w:rsidP="00881E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13995-12-22</w:t>
    </w:r>
    <w:r>
      <w:rPr>
        <w:rFonts w:ascii="David" w:hAnsi="David"/>
        <w:color w:val="000000"/>
        <w:sz w:val="22"/>
        <w:szCs w:val="22"/>
        <w:rtl/>
      </w:rPr>
      <w:tab/>
      <w:t xml:space="preserve"> מדינת ישראל נ' אדם אבו סרחאן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B0CC0"/>
    <w:multiLevelType w:val="hybridMultilevel"/>
    <w:tmpl w:val="F54AACC0"/>
    <w:lvl w:ilvl="0" w:tplc="F7AC4A76">
      <w:start w:val="1"/>
      <w:numFmt w:val="hebrew1"/>
      <w:lvlText w:val="%1."/>
      <w:lvlJc w:val="left"/>
      <w:pPr>
        <w:ind w:left="1440" w:hanging="72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3698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7CAA"/>
    <w:rsid w:val="00116B88"/>
    <w:rsid w:val="00191931"/>
    <w:rsid w:val="003C2B66"/>
    <w:rsid w:val="004159A2"/>
    <w:rsid w:val="00502B89"/>
    <w:rsid w:val="005A7CAA"/>
    <w:rsid w:val="007D330F"/>
    <w:rsid w:val="00831246"/>
    <w:rsid w:val="00842398"/>
    <w:rsid w:val="00881EBD"/>
    <w:rsid w:val="009027E7"/>
    <w:rsid w:val="009A4E4C"/>
    <w:rsid w:val="00A0323B"/>
    <w:rsid w:val="00B3717C"/>
    <w:rsid w:val="00C345F1"/>
    <w:rsid w:val="00DB3B27"/>
    <w:rsid w:val="00E713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B89C8B"/>
  <w15:chartTrackingRefBased/>
  <w15:docId w15:val="{89279E4E-2440-4AEC-AF60-12973B00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7CA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7CAA"/>
    <w:pPr>
      <w:tabs>
        <w:tab w:val="center" w:pos="4153"/>
        <w:tab w:val="right" w:pos="8306"/>
      </w:tabs>
    </w:pPr>
  </w:style>
  <w:style w:type="character" w:customStyle="1" w:styleId="a4">
    <w:name w:val="כותרת עליונה תו"/>
    <w:link w:val="a3"/>
    <w:rsid w:val="005A7CAA"/>
    <w:rPr>
      <w:rFonts w:ascii="Times New Roman" w:eastAsia="Times New Roman" w:hAnsi="Times New Roman" w:cs="David"/>
      <w:sz w:val="24"/>
      <w:szCs w:val="24"/>
    </w:rPr>
  </w:style>
  <w:style w:type="paragraph" w:styleId="a5">
    <w:name w:val="footer"/>
    <w:basedOn w:val="a"/>
    <w:link w:val="a6"/>
    <w:rsid w:val="005A7CAA"/>
    <w:pPr>
      <w:tabs>
        <w:tab w:val="center" w:pos="4153"/>
        <w:tab w:val="right" w:pos="8306"/>
      </w:tabs>
    </w:pPr>
  </w:style>
  <w:style w:type="character" w:customStyle="1" w:styleId="a6">
    <w:name w:val="כותרת תחתונה תו"/>
    <w:link w:val="a5"/>
    <w:rsid w:val="005A7CAA"/>
    <w:rPr>
      <w:rFonts w:ascii="Times New Roman" w:eastAsia="Times New Roman" w:hAnsi="Times New Roman" w:cs="David"/>
      <w:sz w:val="24"/>
      <w:szCs w:val="24"/>
    </w:rPr>
  </w:style>
  <w:style w:type="table" w:styleId="a7">
    <w:name w:val="Table Grid"/>
    <w:basedOn w:val="a1"/>
    <w:rsid w:val="005A7C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7CAA"/>
  </w:style>
  <w:style w:type="paragraph" w:styleId="a9">
    <w:name w:val="List Paragraph"/>
    <w:basedOn w:val="a"/>
    <w:qFormat/>
    <w:rsid w:val="005A7CAA"/>
    <w:pPr>
      <w:ind w:left="720"/>
      <w:contextualSpacing/>
    </w:pPr>
  </w:style>
  <w:style w:type="character" w:styleId="Hyperlink">
    <w:name w:val="Hyperlink"/>
    <w:rsid w:val="00881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70301/413e" TargetMode="External"/><Relationship Id="rId26" Type="http://schemas.openxmlformats.org/officeDocument/2006/relationships/hyperlink" Target="http://www.nevo.co.il/case/7697292" TargetMode="External"/><Relationship Id="rId39" Type="http://schemas.openxmlformats.org/officeDocument/2006/relationships/header" Target="header1.xml"/><Relationship Id="rId21" Type="http://schemas.openxmlformats.org/officeDocument/2006/relationships/hyperlink" Target="http://www.nevo.co.il/case/27309272" TargetMode="External"/><Relationship Id="rId34" Type="http://schemas.openxmlformats.org/officeDocument/2006/relationships/hyperlink" Target="http://www.nevo.co.il/law/70301/340a"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0" Type="http://schemas.openxmlformats.org/officeDocument/2006/relationships/hyperlink" Target="http://www.nevo.co.il/case/29120513" TargetMode="External"/><Relationship Id="rId29" Type="http://schemas.openxmlformats.org/officeDocument/2006/relationships/hyperlink" Target="http://www.nevo.co.il/case/2643228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case/29524767" TargetMode="External"/><Relationship Id="rId32" Type="http://schemas.openxmlformats.org/officeDocument/2006/relationships/hyperlink" Target="http://www.nevo.co.il/law/70301/144"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603872" TargetMode="External"/><Relationship Id="rId28" Type="http://schemas.openxmlformats.org/officeDocument/2006/relationships/hyperlink" Target="http://www.nevo.co.il/case/28927308" TargetMode="External"/><Relationship Id="rId36" Type="http://schemas.openxmlformats.org/officeDocument/2006/relationships/hyperlink" Target="http://www.nevo.co.il/law/70301/413e" TargetMode="External"/><Relationship Id="rId10" Type="http://schemas.openxmlformats.org/officeDocument/2006/relationships/hyperlink" Target="http://www.nevo.co.il/law/70301/340a" TargetMode="External"/><Relationship Id="rId19" Type="http://schemas.openxmlformats.org/officeDocument/2006/relationships/hyperlink" Target="http://www.nevo.co.il/case/20683368" TargetMode="External"/><Relationship Id="rId31" Type="http://schemas.openxmlformats.org/officeDocument/2006/relationships/hyperlink" Target="http://www.nevo.co.il/case/2888308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925239" TargetMode="External"/><Relationship Id="rId27" Type="http://schemas.openxmlformats.org/officeDocument/2006/relationships/hyperlink" Target="http://www.nevo.co.il/case/27718956"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340a.b.2" TargetMode="External"/><Relationship Id="rId17" Type="http://schemas.openxmlformats.org/officeDocument/2006/relationships/hyperlink" Target="http://www.nevo.co.il/law/70301/340a.b.2" TargetMode="External"/><Relationship Id="rId25" Type="http://schemas.openxmlformats.org/officeDocument/2006/relationships/hyperlink" Target="http://www.nevo.co.il/case/28018854"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21969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65618</vt:i4>
      </vt:variant>
      <vt:variant>
        <vt:i4>87</vt:i4>
      </vt:variant>
      <vt:variant>
        <vt:i4>0</vt:i4>
      </vt:variant>
      <vt:variant>
        <vt:i4>5</vt:i4>
      </vt:variant>
      <vt:variant>
        <vt:lpwstr>http://www.nevo.co.il/law/70301/413e</vt:lpwstr>
      </vt:variant>
      <vt:variant>
        <vt:lpwstr/>
      </vt:variant>
      <vt:variant>
        <vt:i4>7995492</vt:i4>
      </vt:variant>
      <vt:variant>
        <vt:i4>84</vt:i4>
      </vt:variant>
      <vt:variant>
        <vt:i4>0</vt:i4>
      </vt:variant>
      <vt:variant>
        <vt:i4>5</vt:i4>
      </vt:variant>
      <vt:variant>
        <vt:lpwstr>http://www.nevo.co.il/law/70301</vt:lpwstr>
      </vt:variant>
      <vt:variant>
        <vt:lpwstr/>
      </vt:variant>
      <vt:variant>
        <vt:i4>86</vt:i4>
      </vt:variant>
      <vt:variant>
        <vt:i4>81</vt:i4>
      </vt:variant>
      <vt:variant>
        <vt:i4>0</vt:i4>
      </vt:variant>
      <vt:variant>
        <vt:i4>5</vt:i4>
      </vt:variant>
      <vt:variant>
        <vt:lpwstr>http://www.nevo.co.il/law/70301/340a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3932275</vt:i4>
      </vt:variant>
      <vt:variant>
        <vt:i4>66</vt:i4>
      </vt:variant>
      <vt:variant>
        <vt:i4>0</vt:i4>
      </vt:variant>
      <vt:variant>
        <vt:i4>5</vt:i4>
      </vt:variant>
      <vt:variant>
        <vt:lpwstr>http://www.nevo.co.il/case/26432282</vt:lpwstr>
      </vt:variant>
      <vt:variant>
        <vt:lpwstr/>
      </vt:variant>
      <vt:variant>
        <vt:i4>3932285</vt:i4>
      </vt:variant>
      <vt:variant>
        <vt:i4>63</vt:i4>
      </vt:variant>
      <vt:variant>
        <vt:i4>0</vt:i4>
      </vt:variant>
      <vt:variant>
        <vt:i4>5</vt:i4>
      </vt:variant>
      <vt:variant>
        <vt:lpwstr>http://www.nevo.co.il/case/28927308</vt:lpwstr>
      </vt:variant>
      <vt:variant>
        <vt:lpwstr/>
      </vt:variant>
      <vt:variant>
        <vt:i4>3670139</vt:i4>
      </vt:variant>
      <vt:variant>
        <vt:i4>60</vt:i4>
      </vt:variant>
      <vt:variant>
        <vt:i4>0</vt:i4>
      </vt:variant>
      <vt:variant>
        <vt:i4>5</vt:i4>
      </vt:variant>
      <vt:variant>
        <vt:lpwstr>http://www.nevo.co.il/case/27718956</vt:lpwstr>
      </vt:variant>
      <vt:variant>
        <vt:lpwstr/>
      </vt:variant>
      <vt:variant>
        <vt:i4>4063356</vt:i4>
      </vt:variant>
      <vt:variant>
        <vt:i4>57</vt:i4>
      </vt:variant>
      <vt:variant>
        <vt:i4>0</vt:i4>
      </vt:variant>
      <vt:variant>
        <vt:i4>5</vt:i4>
      </vt:variant>
      <vt:variant>
        <vt:lpwstr>http://www.nevo.co.il/case/7697292</vt:lpwstr>
      </vt:variant>
      <vt:variant>
        <vt:lpwstr/>
      </vt:variant>
      <vt:variant>
        <vt:i4>4128885</vt:i4>
      </vt:variant>
      <vt:variant>
        <vt:i4>54</vt:i4>
      </vt:variant>
      <vt:variant>
        <vt:i4>0</vt:i4>
      </vt:variant>
      <vt:variant>
        <vt:i4>5</vt:i4>
      </vt:variant>
      <vt:variant>
        <vt:lpwstr>http://www.nevo.co.il/case/28018854</vt:lpwstr>
      </vt:variant>
      <vt:variant>
        <vt:lpwstr/>
      </vt:variant>
      <vt:variant>
        <vt:i4>3473528</vt:i4>
      </vt:variant>
      <vt:variant>
        <vt:i4>51</vt:i4>
      </vt:variant>
      <vt:variant>
        <vt:i4>0</vt:i4>
      </vt:variant>
      <vt:variant>
        <vt:i4>5</vt:i4>
      </vt:variant>
      <vt:variant>
        <vt:lpwstr>http://www.nevo.co.il/case/29524767</vt:lpwstr>
      </vt:variant>
      <vt:variant>
        <vt:lpwstr/>
      </vt:variant>
      <vt:variant>
        <vt:i4>3145851</vt:i4>
      </vt:variant>
      <vt:variant>
        <vt:i4>48</vt:i4>
      </vt:variant>
      <vt:variant>
        <vt:i4>0</vt:i4>
      </vt:variant>
      <vt:variant>
        <vt:i4>5</vt:i4>
      </vt:variant>
      <vt:variant>
        <vt:lpwstr>http://www.nevo.co.il/case/27603872</vt:lpwstr>
      </vt:variant>
      <vt:variant>
        <vt:lpwstr/>
      </vt:variant>
      <vt:variant>
        <vt:i4>3997811</vt:i4>
      </vt:variant>
      <vt:variant>
        <vt:i4>45</vt:i4>
      </vt:variant>
      <vt:variant>
        <vt:i4>0</vt:i4>
      </vt:variant>
      <vt:variant>
        <vt:i4>5</vt:i4>
      </vt:variant>
      <vt:variant>
        <vt:lpwstr>http://www.nevo.co.il/case/27925239</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3276922</vt:i4>
      </vt:variant>
      <vt:variant>
        <vt:i4>39</vt:i4>
      </vt:variant>
      <vt:variant>
        <vt:i4>0</vt:i4>
      </vt:variant>
      <vt:variant>
        <vt:i4>5</vt:i4>
      </vt:variant>
      <vt:variant>
        <vt:lpwstr>http://www.nevo.co.il/case/29120513</vt:lpwstr>
      </vt:variant>
      <vt:variant>
        <vt:lpwstr/>
      </vt:variant>
      <vt:variant>
        <vt:i4>3211391</vt:i4>
      </vt:variant>
      <vt:variant>
        <vt:i4>36</vt:i4>
      </vt:variant>
      <vt:variant>
        <vt:i4>0</vt:i4>
      </vt:variant>
      <vt:variant>
        <vt:i4>5</vt:i4>
      </vt:variant>
      <vt:variant>
        <vt:lpwstr>http://www.nevo.co.il/case/20683368</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5242966</vt:i4>
      </vt:variant>
      <vt:variant>
        <vt:i4>30</vt:i4>
      </vt:variant>
      <vt:variant>
        <vt:i4>0</vt:i4>
      </vt:variant>
      <vt:variant>
        <vt:i4>5</vt:i4>
      </vt:variant>
      <vt:variant>
        <vt:lpwstr>http://www.nevo.co.il/law/70301/340a.b.2</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5242966</vt:i4>
      </vt:variant>
      <vt:variant>
        <vt:i4>15</vt:i4>
      </vt:variant>
      <vt:variant>
        <vt:i4>0</vt:i4>
      </vt:variant>
      <vt:variant>
        <vt:i4>5</vt:i4>
      </vt:variant>
      <vt:variant>
        <vt:lpwstr>http://www.nevo.co.il/law/70301/340a.b.2</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13995</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אדם אבו סרחאן</vt:lpwstr>
  </property>
  <property fmtid="{D5CDD505-2E9C-101B-9397-08002B2CF9AE}" pid="10" name="LAWYER">
    <vt:lpwstr>חנה מוצ'ה;האיל אבו גררה</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20231121</vt:lpwstr>
  </property>
  <property fmtid="{D5CDD505-2E9C-101B-9397-08002B2CF9AE}" pid="14" name="TYPE_N_DATE">
    <vt:lpwstr>39020231121</vt:lpwstr>
  </property>
  <property fmtid="{D5CDD505-2E9C-101B-9397-08002B2CF9AE}" pid="15" name="WORDNUMPAGES">
    <vt:lpwstr>12</vt:lpwstr>
  </property>
  <property fmtid="{D5CDD505-2E9C-101B-9397-08002B2CF9AE}" pid="16" name="TYPE_ABS_DATE">
    <vt:lpwstr>390020231121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20683368;29120513;27309272;27925239;27603872;29524767;28018854;7697292;27718956;28927308;26432282;25824863;28883087</vt:lpwstr>
  </property>
  <property fmtid="{D5CDD505-2E9C-101B-9397-08002B2CF9AE}" pid="36" name="LAWLISTTMP1">
    <vt:lpwstr>70301/144.b;340a.b.1;340a.b.2;413e:2;144;340a</vt:lpwstr>
  </property>
</Properties>
</file>