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2"/>
        <w:gridCol w:w="3667"/>
        <w:gridCol w:w="99"/>
      </w:tblGrid>
      <w:tr w:rsidR="009107EE" w:rsidRPr="00C925FE" w14:paraId="11AC8C6E" w14:textId="77777777" w:rsidTr="009123C4">
        <w:trPr>
          <w:gridAfter w:val="1"/>
          <w:wAfter w:w="99" w:type="dxa"/>
          <w:trHeight w:hRule="exact" w:val="418"/>
          <w:jc w:val="center"/>
        </w:trPr>
        <w:tc>
          <w:tcPr>
            <w:tcW w:w="8721" w:type="dxa"/>
            <w:gridSpan w:val="4"/>
          </w:tcPr>
          <w:p w14:paraId="18F1DCB3" w14:textId="77777777" w:rsidR="009107EE" w:rsidRPr="00C925FE" w:rsidRDefault="009107EE" w:rsidP="007C1D74">
            <w:pPr>
              <w:pStyle w:val="a3"/>
              <w:jc w:val="center"/>
              <w:rPr>
                <w:rFonts w:ascii="Tahoma" w:hAnsi="Tahoma" w:cs="Tahoma"/>
                <w:color w:val="000080"/>
                <w:rtl/>
              </w:rPr>
            </w:pPr>
            <w:bookmarkStart w:id="0" w:name="FirstLawyer"/>
            <w:bookmarkStart w:id="1" w:name="LastJudge"/>
            <w:r w:rsidRPr="00C925FE">
              <w:rPr>
                <w:rFonts w:ascii="Tahoma" w:hAnsi="Tahoma" w:cs="Tahoma"/>
                <w:b/>
                <w:bCs/>
                <w:color w:val="000080"/>
                <w:rtl/>
              </w:rPr>
              <w:t>בית המשפט המחוזי מרכז-לוד</w:t>
            </w:r>
          </w:p>
        </w:tc>
      </w:tr>
      <w:tr w:rsidR="009107EE" w:rsidRPr="00C925FE" w14:paraId="0E32C6B1" w14:textId="77777777" w:rsidTr="009123C4">
        <w:trPr>
          <w:gridAfter w:val="1"/>
          <w:wAfter w:w="99" w:type="dxa"/>
          <w:trHeight w:val="337"/>
          <w:jc w:val="center"/>
        </w:trPr>
        <w:tc>
          <w:tcPr>
            <w:tcW w:w="5054" w:type="dxa"/>
            <w:gridSpan w:val="3"/>
          </w:tcPr>
          <w:p w14:paraId="239423CA" w14:textId="77777777" w:rsidR="009107EE" w:rsidRPr="00C925FE" w:rsidRDefault="009107EE" w:rsidP="007C1D74">
            <w:pPr>
              <w:rPr>
                <w:rFonts w:cs="FrankRuehl"/>
                <w:sz w:val="28"/>
                <w:szCs w:val="28"/>
                <w:rtl/>
              </w:rPr>
            </w:pPr>
            <w:r w:rsidRPr="00C925FE">
              <w:rPr>
                <w:rFonts w:cs="FrankRuehl"/>
                <w:sz w:val="28"/>
                <w:szCs w:val="28"/>
                <w:rtl/>
              </w:rPr>
              <w:t>ת"פ</w:t>
            </w:r>
            <w:r w:rsidRPr="00C925FE">
              <w:rPr>
                <w:rFonts w:cs="FrankRuehl" w:hint="cs"/>
                <w:sz w:val="28"/>
                <w:szCs w:val="28"/>
                <w:rtl/>
              </w:rPr>
              <w:t xml:space="preserve"> </w:t>
            </w:r>
            <w:r w:rsidRPr="00C925FE">
              <w:rPr>
                <w:rFonts w:cs="FrankRuehl"/>
                <w:sz w:val="28"/>
                <w:szCs w:val="28"/>
                <w:rtl/>
              </w:rPr>
              <w:t>23328-12-22</w:t>
            </w:r>
            <w:r w:rsidRPr="00C925FE">
              <w:rPr>
                <w:rFonts w:cs="FrankRuehl" w:hint="cs"/>
                <w:sz w:val="28"/>
                <w:szCs w:val="28"/>
                <w:rtl/>
              </w:rPr>
              <w:t xml:space="preserve"> </w:t>
            </w:r>
            <w:r w:rsidRPr="00C925FE">
              <w:rPr>
                <w:rFonts w:cs="FrankRuehl"/>
                <w:sz w:val="28"/>
                <w:szCs w:val="28"/>
                <w:rtl/>
              </w:rPr>
              <w:t>מדינת ישראל נ' נאטור</w:t>
            </w:r>
          </w:p>
          <w:p w14:paraId="052DCF55" w14:textId="77777777" w:rsidR="009107EE" w:rsidRPr="00C925FE" w:rsidRDefault="009107EE" w:rsidP="007C1D74">
            <w:pPr>
              <w:pStyle w:val="a3"/>
              <w:rPr>
                <w:rFonts w:cs="FrankRuehl"/>
                <w:sz w:val="28"/>
                <w:szCs w:val="28"/>
                <w:rtl/>
              </w:rPr>
            </w:pPr>
          </w:p>
        </w:tc>
        <w:tc>
          <w:tcPr>
            <w:tcW w:w="3667" w:type="dxa"/>
          </w:tcPr>
          <w:p w14:paraId="4977A647" w14:textId="77777777" w:rsidR="009107EE" w:rsidRPr="00C925FE" w:rsidRDefault="009107EE" w:rsidP="007C1D74">
            <w:pPr>
              <w:pStyle w:val="a3"/>
              <w:jc w:val="right"/>
              <w:rPr>
                <w:rFonts w:cs="FrankRuehl"/>
                <w:sz w:val="28"/>
                <w:szCs w:val="28"/>
                <w:rtl/>
              </w:rPr>
            </w:pPr>
          </w:p>
        </w:tc>
      </w:tr>
      <w:tr w:rsidR="009107EE" w:rsidRPr="00C925FE" w14:paraId="2FAC3228" w14:textId="77777777" w:rsidTr="009123C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4CFD200F" w14:textId="77777777" w:rsidR="009107EE" w:rsidRPr="00C925FE" w:rsidRDefault="009107EE" w:rsidP="009107EE">
            <w:pPr>
              <w:jc w:val="both"/>
              <w:rPr>
                <w:rFonts w:ascii="David" w:hAnsi="David"/>
                <w:sz w:val="26"/>
                <w:szCs w:val="26"/>
              </w:rPr>
            </w:pPr>
            <w:r w:rsidRPr="00C925FE">
              <w:rPr>
                <w:rFonts w:hint="cs"/>
                <w:rtl/>
              </w:rPr>
              <w:t xml:space="preserve"> </w:t>
            </w:r>
            <w:r w:rsidRPr="00C925FE">
              <w:rPr>
                <w:rFonts w:ascii="David" w:hAnsi="David" w:hint="cs"/>
                <w:sz w:val="26"/>
                <w:szCs w:val="26"/>
                <w:rtl/>
              </w:rPr>
              <w:t>ל</w:t>
            </w:r>
            <w:r w:rsidRPr="00C925FE">
              <w:rPr>
                <w:rFonts w:ascii="David" w:hAnsi="David"/>
                <w:sz w:val="26"/>
                <w:szCs w:val="26"/>
                <w:rtl/>
              </w:rPr>
              <w:t xml:space="preserve">פני </w:t>
            </w:r>
          </w:p>
        </w:tc>
        <w:tc>
          <w:tcPr>
            <w:tcW w:w="7897" w:type="dxa"/>
            <w:gridSpan w:val="4"/>
            <w:tcBorders>
              <w:top w:val="nil"/>
              <w:left w:val="nil"/>
              <w:bottom w:val="nil"/>
              <w:right w:val="nil"/>
            </w:tcBorders>
            <w:shd w:val="clear" w:color="auto" w:fill="auto"/>
          </w:tcPr>
          <w:p w14:paraId="25C3BC4A" w14:textId="77777777" w:rsidR="009107EE" w:rsidRPr="00C925FE" w:rsidRDefault="009107EE" w:rsidP="007C1D74">
            <w:pPr>
              <w:rPr>
                <w:rFonts w:ascii="David" w:hAnsi="David"/>
                <w:b/>
                <w:bCs/>
                <w:sz w:val="26"/>
                <w:szCs w:val="26"/>
                <w:rtl/>
              </w:rPr>
            </w:pPr>
            <w:r w:rsidRPr="00C925FE">
              <w:rPr>
                <w:rFonts w:ascii="David" w:hAnsi="David"/>
                <w:b/>
                <w:bCs/>
                <w:sz w:val="26"/>
                <w:szCs w:val="26"/>
                <w:rtl/>
              </w:rPr>
              <w:t>כבוד השופטת  מרב גרינברג</w:t>
            </w:r>
          </w:p>
          <w:p w14:paraId="611B1861" w14:textId="77777777" w:rsidR="009107EE" w:rsidRPr="00C925FE" w:rsidRDefault="009107EE" w:rsidP="007C1D74">
            <w:pPr>
              <w:rPr>
                <w:rFonts w:ascii="David" w:hAnsi="David"/>
                <w:sz w:val="26"/>
                <w:szCs w:val="26"/>
                <w:rtl/>
              </w:rPr>
            </w:pPr>
          </w:p>
          <w:p w14:paraId="6783359A" w14:textId="77777777" w:rsidR="009107EE" w:rsidRPr="00C925FE" w:rsidRDefault="009107EE" w:rsidP="009107EE">
            <w:pPr>
              <w:jc w:val="both"/>
              <w:rPr>
                <w:rFonts w:ascii="David" w:hAnsi="David"/>
                <w:sz w:val="26"/>
                <w:szCs w:val="26"/>
              </w:rPr>
            </w:pPr>
          </w:p>
        </w:tc>
      </w:tr>
      <w:tr w:rsidR="009107EE" w:rsidRPr="00C925FE" w14:paraId="5D52513B" w14:textId="77777777" w:rsidTr="009123C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7C0D00DE" w14:textId="77777777" w:rsidR="009107EE" w:rsidRPr="00C925FE" w:rsidRDefault="009107EE" w:rsidP="009107EE">
            <w:pPr>
              <w:jc w:val="both"/>
              <w:rPr>
                <w:rFonts w:ascii="David" w:hAnsi="David"/>
                <w:sz w:val="26"/>
                <w:szCs w:val="26"/>
              </w:rPr>
            </w:pPr>
            <w:bookmarkStart w:id="2" w:name="FirstAppellant"/>
            <w:r w:rsidRPr="00C925FE">
              <w:rPr>
                <w:rFonts w:ascii="David" w:hAnsi="David"/>
                <w:sz w:val="26"/>
                <w:szCs w:val="26"/>
                <w:rtl/>
              </w:rPr>
              <w:t>בעניין:</w:t>
            </w:r>
          </w:p>
        </w:tc>
        <w:tc>
          <w:tcPr>
            <w:tcW w:w="3219" w:type="dxa"/>
            <w:tcBorders>
              <w:top w:val="nil"/>
              <w:left w:val="nil"/>
              <w:bottom w:val="nil"/>
              <w:right w:val="nil"/>
            </w:tcBorders>
            <w:shd w:val="clear" w:color="auto" w:fill="auto"/>
          </w:tcPr>
          <w:p w14:paraId="19E74AC6" w14:textId="77777777" w:rsidR="009107EE" w:rsidRPr="00C925FE" w:rsidRDefault="009107EE" w:rsidP="009107EE">
            <w:pPr>
              <w:suppressLineNumbers/>
            </w:pPr>
            <w:r w:rsidRPr="00C925FE">
              <w:rPr>
                <w:rFonts w:ascii="Arial" w:hAnsi="Arial" w:hint="cs"/>
                <w:b/>
                <w:bCs/>
                <w:sz w:val="26"/>
                <w:szCs w:val="26"/>
                <w:rtl/>
              </w:rPr>
              <w:t>ה</w:t>
            </w:r>
            <w:r w:rsidRPr="00C925FE">
              <w:rPr>
                <w:rFonts w:ascii="Arial" w:hAnsi="Arial"/>
                <w:b/>
                <w:bCs/>
                <w:sz w:val="26"/>
                <w:szCs w:val="26"/>
                <w:rtl/>
              </w:rPr>
              <w:t>מאשימה</w:t>
            </w:r>
          </w:p>
          <w:p w14:paraId="592C46CD" w14:textId="77777777" w:rsidR="009107EE" w:rsidRPr="00C925FE" w:rsidRDefault="009107EE" w:rsidP="007C1D74">
            <w:pPr>
              <w:rPr>
                <w:rFonts w:ascii="David" w:hAnsi="David"/>
                <w:sz w:val="26"/>
                <w:szCs w:val="26"/>
              </w:rPr>
            </w:pPr>
          </w:p>
        </w:tc>
        <w:tc>
          <w:tcPr>
            <w:tcW w:w="4678" w:type="dxa"/>
            <w:gridSpan w:val="3"/>
            <w:tcBorders>
              <w:top w:val="nil"/>
              <w:left w:val="nil"/>
              <w:bottom w:val="nil"/>
              <w:right w:val="nil"/>
            </w:tcBorders>
            <w:shd w:val="clear" w:color="auto" w:fill="auto"/>
            <w:vAlign w:val="center"/>
          </w:tcPr>
          <w:p w14:paraId="12A4FB25" w14:textId="77777777" w:rsidR="009107EE" w:rsidRPr="00C925FE" w:rsidRDefault="009107EE" w:rsidP="009107EE">
            <w:pPr>
              <w:suppressLineNumbers/>
            </w:pPr>
            <w:r w:rsidRPr="00C925FE">
              <w:rPr>
                <w:rFonts w:ascii="Arial" w:hAnsi="Arial"/>
                <w:b/>
                <w:bCs/>
                <w:sz w:val="26"/>
                <w:szCs w:val="26"/>
                <w:rtl/>
              </w:rPr>
              <w:t>מדינת ישראל</w:t>
            </w:r>
            <w:r w:rsidRPr="00C925FE">
              <w:rPr>
                <w:rFonts w:ascii="Arial" w:hAnsi="Arial" w:hint="cs"/>
                <w:b/>
                <w:bCs/>
                <w:sz w:val="26"/>
                <w:szCs w:val="26"/>
                <w:rtl/>
              </w:rPr>
              <w:t xml:space="preserve"> </w:t>
            </w:r>
            <w:r w:rsidRPr="00C925FE">
              <w:rPr>
                <w:rFonts w:ascii="Arial" w:hAnsi="Arial"/>
                <w:b/>
                <w:bCs/>
                <w:sz w:val="26"/>
                <w:szCs w:val="26"/>
                <w:rtl/>
              </w:rPr>
              <w:t>ע"י ב"כ עוה"ד</w:t>
            </w:r>
            <w:r w:rsidRPr="00C925FE">
              <w:rPr>
                <w:rFonts w:hint="cs"/>
                <w:rtl/>
              </w:rPr>
              <w:t xml:space="preserve"> פאר</w:t>
            </w:r>
          </w:p>
          <w:p w14:paraId="5E4377A8" w14:textId="77777777" w:rsidR="009107EE" w:rsidRPr="00C925FE" w:rsidRDefault="009107EE" w:rsidP="007C1D74">
            <w:pPr>
              <w:rPr>
                <w:rFonts w:ascii="David" w:hAnsi="David"/>
                <w:sz w:val="26"/>
                <w:szCs w:val="26"/>
              </w:rPr>
            </w:pPr>
          </w:p>
        </w:tc>
      </w:tr>
      <w:bookmarkEnd w:id="2"/>
      <w:tr w:rsidR="009107EE" w:rsidRPr="00C925FE" w14:paraId="09584847" w14:textId="77777777" w:rsidTr="009123C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3A031F2C" w14:textId="77777777" w:rsidR="009107EE" w:rsidRPr="00C925FE" w:rsidRDefault="009107EE" w:rsidP="009107EE">
            <w:pPr>
              <w:jc w:val="both"/>
              <w:rPr>
                <w:rFonts w:ascii="David" w:hAnsi="David"/>
                <w:sz w:val="26"/>
                <w:szCs w:val="26"/>
                <w:rtl/>
              </w:rPr>
            </w:pPr>
          </w:p>
        </w:tc>
        <w:tc>
          <w:tcPr>
            <w:tcW w:w="7897" w:type="dxa"/>
            <w:gridSpan w:val="4"/>
            <w:tcBorders>
              <w:top w:val="nil"/>
              <w:left w:val="nil"/>
              <w:bottom w:val="nil"/>
              <w:right w:val="nil"/>
            </w:tcBorders>
            <w:shd w:val="clear" w:color="auto" w:fill="auto"/>
          </w:tcPr>
          <w:p w14:paraId="24CFB38D" w14:textId="77777777" w:rsidR="009107EE" w:rsidRPr="00C925FE" w:rsidRDefault="009107EE" w:rsidP="009107EE">
            <w:pPr>
              <w:jc w:val="center"/>
              <w:rPr>
                <w:rFonts w:ascii="David" w:hAnsi="David"/>
                <w:b/>
                <w:bCs/>
                <w:sz w:val="26"/>
                <w:szCs w:val="26"/>
                <w:rtl/>
              </w:rPr>
            </w:pPr>
          </w:p>
          <w:p w14:paraId="4F27F686" w14:textId="77777777" w:rsidR="009107EE" w:rsidRPr="00C925FE" w:rsidRDefault="009107EE" w:rsidP="009107EE">
            <w:pPr>
              <w:jc w:val="center"/>
              <w:rPr>
                <w:rFonts w:ascii="David" w:hAnsi="David"/>
                <w:b/>
                <w:bCs/>
                <w:sz w:val="26"/>
                <w:szCs w:val="26"/>
                <w:rtl/>
              </w:rPr>
            </w:pPr>
            <w:r w:rsidRPr="00C925FE">
              <w:rPr>
                <w:rFonts w:ascii="David" w:hAnsi="David"/>
                <w:b/>
                <w:bCs/>
                <w:sz w:val="26"/>
                <w:szCs w:val="26"/>
                <w:rtl/>
              </w:rPr>
              <w:t>נגד</w:t>
            </w:r>
          </w:p>
          <w:p w14:paraId="4B294566" w14:textId="77777777" w:rsidR="009107EE" w:rsidRPr="00C925FE" w:rsidRDefault="009107EE" w:rsidP="009107EE">
            <w:pPr>
              <w:jc w:val="both"/>
              <w:rPr>
                <w:rFonts w:ascii="David" w:hAnsi="David"/>
                <w:sz w:val="26"/>
                <w:szCs w:val="26"/>
              </w:rPr>
            </w:pPr>
          </w:p>
        </w:tc>
      </w:tr>
      <w:tr w:rsidR="009107EE" w:rsidRPr="00C925FE" w14:paraId="216D42A3" w14:textId="77777777" w:rsidTr="009123C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1AD986B0" w14:textId="77777777" w:rsidR="009107EE" w:rsidRPr="00C925FE" w:rsidRDefault="009107EE" w:rsidP="007C1D74">
            <w:pPr>
              <w:rPr>
                <w:rFonts w:ascii="David" w:hAnsi="David"/>
                <w:sz w:val="26"/>
                <w:szCs w:val="26"/>
                <w:rtl/>
              </w:rPr>
            </w:pPr>
          </w:p>
        </w:tc>
        <w:tc>
          <w:tcPr>
            <w:tcW w:w="3219" w:type="dxa"/>
            <w:tcBorders>
              <w:top w:val="nil"/>
              <w:left w:val="nil"/>
              <w:bottom w:val="nil"/>
              <w:right w:val="nil"/>
            </w:tcBorders>
            <w:shd w:val="clear" w:color="auto" w:fill="auto"/>
          </w:tcPr>
          <w:p w14:paraId="2610DEF0" w14:textId="77777777" w:rsidR="009107EE" w:rsidRPr="00C925FE" w:rsidRDefault="009107EE" w:rsidP="007C1D74">
            <w:pPr>
              <w:rPr>
                <w:rFonts w:ascii="Arial" w:hAnsi="Arial"/>
                <w:b/>
                <w:bCs/>
                <w:sz w:val="26"/>
                <w:szCs w:val="26"/>
                <w:rtl/>
              </w:rPr>
            </w:pPr>
            <w:r w:rsidRPr="00C925FE">
              <w:rPr>
                <w:rFonts w:ascii="Arial" w:hAnsi="Arial"/>
                <w:b/>
                <w:bCs/>
                <w:sz w:val="26"/>
                <w:szCs w:val="26"/>
                <w:rtl/>
              </w:rPr>
              <w:t>הנאש</w:t>
            </w:r>
            <w:r w:rsidRPr="00C925FE">
              <w:rPr>
                <w:rFonts w:ascii="Arial" w:hAnsi="Arial" w:hint="cs"/>
                <w:b/>
                <w:bCs/>
                <w:sz w:val="26"/>
                <w:szCs w:val="26"/>
                <w:rtl/>
              </w:rPr>
              <w:t>ם</w:t>
            </w:r>
          </w:p>
        </w:tc>
        <w:tc>
          <w:tcPr>
            <w:tcW w:w="4678" w:type="dxa"/>
            <w:gridSpan w:val="3"/>
            <w:tcBorders>
              <w:top w:val="nil"/>
              <w:left w:val="nil"/>
              <w:bottom w:val="nil"/>
              <w:right w:val="nil"/>
            </w:tcBorders>
            <w:shd w:val="clear" w:color="auto" w:fill="auto"/>
            <w:vAlign w:val="center"/>
          </w:tcPr>
          <w:p w14:paraId="70455E39" w14:textId="77777777" w:rsidR="009107EE" w:rsidRPr="00C925FE" w:rsidRDefault="009107EE" w:rsidP="009107EE">
            <w:pPr>
              <w:suppressLineNumbers/>
            </w:pPr>
            <w:r w:rsidRPr="00C925FE">
              <w:rPr>
                <w:rFonts w:ascii="Arial" w:hAnsi="Arial"/>
                <w:b/>
                <w:bCs/>
                <w:sz w:val="26"/>
                <w:szCs w:val="26"/>
                <w:rtl/>
              </w:rPr>
              <w:t>עבדאללה נאטור</w:t>
            </w:r>
            <w:r w:rsidRPr="00C925FE">
              <w:rPr>
                <w:rFonts w:ascii="Arial" w:hAnsi="Arial" w:hint="cs"/>
                <w:b/>
                <w:bCs/>
                <w:sz w:val="26"/>
                <w:szCs w:val="26"/>
                <w:rtl/>
              </w:rPr>
              <w:t xml:space="preserve"> </w:t>
            </w:r>
            <w:r w:rsidRPr="00C925FE">
              <w:rPr>
                <w:rFonts w:ascii="Arial" w:hAnsi="Arial"/>
                <w:b/>
                <w:bCs/>
                <w:sz w:val="26"/>
                <w:szCs w:val="26"/>
                <w:rtl/>
              </w:rPr>
              <w:t>ע"י ב"כ עוה"ד</w:t>
            </w:r>
            <w:r w:rsidRPr="00C925FE">
              <w:rPr>
                <w:rFonts w:hint="cs"/>
                <w:rtl/>
              </w:rPr>
              <w:t xml:space="preserve"> גיגי</w:t>
            </w:r>
          </w:p>
          <w:p w14:paraId="303CA406" w14:textId="77777777" w:rsidR="009107EE" w:rsidRPr="00C925FE" w:rsidRDefault="009107EE" w:rsidP="007C1D74">
            <w:pPr>
              <w:rPr>
                <w:rFonts w:ascii="David" w:hAnsi="David"/>
                <w:sz w:val="26"/>
                <w:szCs w:val="26"/>
              </w:rPr>
            </w:pPr>
          </w:p>
        </w:tc>
      </w:tr>
    </w:tbl>
    <w:p w14:paraId="77A2337D" w14:textId="77777777" w:rsidR="009123C4" w:rsidRPr="00C925FE" w:rsidRDefault="009123C4" w:rsidP="00C925FE">
      <w:pPr>
        <w:spacing w:before="120" w:after="120" w:line="240" w:lineRule="exact"/>
        <w:ind w:left="283" w:hanging="283"/>
        <w:jc w:val="both"/>
        <w:rPr>
          <w:rFonts w:ascii="FrankRuehl" w:hAnsi="FrankRuehl" w:cs="FrankRuehl"/>
          <w:rtl/>
        </w:rPr>
      </w:pPr>
    </w:p>
    <w:p w14:paraId="249E3F2B" w14:textId="77777777" w:rsidR="009123C4" w:rsidRPr="009123C4" w:rsidRDefault="009123C4" w:rsidP="009123C4">
      <w:pPr>
        <w:spacing w:before="120" w:after="120" w:line="240" w:lineRule="exact"/>
        <w:ind w:left="283" w:hanging="283"/>
        <w:jc w:val="both"/>
        <w:rPr>
          <w:rFonts w:ascii="FrankRuehl" w:hAnsi="FrankRuehl" w:cs="FrankRuehl"/>
          <w:rtl/>
        </w:rPr>
      </w:pPr>
      <w:bookmarkStart w:id="3" w:name="LawTable"/>
      <w:bookmarkEnd w:id="3"/>
    </w:p>
    <w:p w14:paraId="65EA18BB" w14:textId="77777777" w:rsidR="009123C4" w:rsidRPr="009123C4" w:rsidRDefault="009123C4" w:rsidP="009123C4">
      <w:pPr>
        <w:spacing w:before="120" w:after="120" w:line="240" w:lineRule="exact"/>
        <w:ind w:left="283" w:hanging="283"/>
        <w:jc w:val="both"/>
        <w:rPr>
          <w:rFonts w:ascii="FrankRuehl" w:hAnsi="FrankRuehl" w:cs="FrankRuehl"/>
          <w:rtl/>
        </w:rPr>
      </w:pPr>
      <w:r w:rsidRPr="009123C4">
        <w:rPr>
          <w:rFonts w:ascii="FrankRuehl" w:hAnsi="FrankRuehl" w:cs="FrankRuehl"/>
          <w:rtl/>
        </w:rPr>
        <w:t xml:space="preserve">חקיקה שאוזכרה: </w:t>
      </w:r>
    </w:p>
    <w:p w14:paraId="60C39C0B" w14:textId="77777777" w:rsidR="009123C4" w:rsidRPr="009123C4" w:rsidRDefault="009123C4" w:rsidP="009123C4">
      <w:pPr>
        <w:spacing w:before="120" w:after="120" w:line="240" w:lineRule="exact"/>
        <w:ind w:left="283" w:hanging="283"/>
        <w:jc w:val="both"/>
        <w:rPr>
          <w:rFonts w:ascii="FrankRuehl" w:hAnsi="FrankRuehl" w:cs="FrankRuehl"/>
          <w:color w:val="0000FF"/>
          <w:rtl/>
        </w:rPr>
      </w:pPr>
      <w:hyperlink r:id="rId7" w:history="1">
        <w:r w:rsidRPr="009123C4">
          <w:rPr>
            <w:rStyle w:val="Hyperlink"/>
            <w:rFonts w:ascii="FrankRuehl" w:hAnsi="FrankRuehl" w:cs="FrankRuehl"/>
            <w:u w:val="none"/>
            <w:rtl/>
          </w:rPr>
          <w:t>חוק העונשין, תשל"ז-1977</w:t>
        </w:r>
      </w:hyperlink>
      <w:r w:rsidRPr="009123C4">
        <w:rPr>
          <w:rFonts w:ascii="FrankRuehl" w:hAnsi="FrankRuehl" w:cs="FrankRuehl"/>
          <w:color w:val="0000FF"/>
          <w:rtl/>
        </w:rPr>
        <w:t xml:space="preserve">: סע'  </w:t>
      </w:r>
      <w:hyperlink r:id="rId8" w:history="1">
        <w:r w:rsidRPr="009123C4">
          <w:rPr>
            <w:rStyle w:val="Hyperlink"/>
            <w:rFonts w:ascii="FrankRuehl" w:hAnsi="FrankRuehl" w:cs="FrankRuehl"/>
            <w:u w:val="none"/>
          </w:rPr>
          <w:t>31</w:t>
        </w:r>
      </w:hyperlink>
      <w:r w:rsidRPr="009123C4">
        <w:rPr>
          <w:rFonts w:ascii="FrankRuehl" w:hAnsi="FrankRuehl" w:cs="FrankRuehl"/>
          <w:color w:val="0000FF"/>
          <w:rtl/>
        </w:rPr>
        <w:t xml:space="preserve">, </w:t>
      </w:r>
      <w:hyperlink r:id="rId9" w:history="1">
        <w:r w:rsidRPr="009123C4">
          <w:rPr>
            <w:rStyle w:val="Hyperlink"/>
            <w:rFonts w:ascii="FrankRuehl" w:hAnsi="FrankRuehl" w:cs="FrankRuehl"/>
            <w:u w:val="none"/>
          </w:rPr>
          <w:t>144</w:t>
        </w:r>
      </w:hyperlink>
      <w:r w:rsidRPr="009123C4">
        <w:rPr>
          <w:rFonts w:ascii="FrankRuehl" w:hAnsi="FrankRuehl" w:cs="FrankRuehl"/>
          <w:color w:val="0000FF"/>
          <w:rtl/>
        </w:rPr>
        <w:t>(א)</w:t>
      </w:r>
    </w:p>
    <w:p w14:paraId="4B46313B" w14:textId="77777777" w:rsidR="009123C4" w:rsidRPr="009123C4" w:rsidRDefault="009123C4" w:rsidP="009123C4">
      <w:pPr>
        <w:jc w:val="center"/>
        <w:rPr>
          <w:rFonts w:ascii="David" w:hAnsi="David"/>
          <w:sz w:val="32"/>
          <w:szCs w:val="32"/>
          <w:rtl/>
        </w:rPr>
      </w:pPr>
      <w:bookmarkStart w:id="4" w:name="LawTable_End"/>
      <w:bookmarkEnd w:id="4"/>
    </w:p>
    <w:p w14:paraId="5EDB791A" w14:textId="77777777" w:rsidR="009123C4" w:rsidRPr="00C925FE" w:rsidRDefault="009123C4" w:rsidP="00C925FE">
      <w:pPr>
        <w:jc w:val="center"/>
        <w:rPr>
          <w:rFonts w:ascii="David" w:hAnsi="David"/>
          <w:b/>
          <w:bCs/>
          <w:sz w:val="32"/>
          <w:szCs w:val="32"/>
          <w:u w:val="single"/>
          <w:rtl/>
        </w:rPr>
      </w:pPr>
      <w:bookmarkStart w:id="5" w:name="PsakDin"/>
      <w:r w:rsidRPr="00C925FE">
        <w:rPr>
          <w:rFonts w:ascii="David" w:hAnsi="David"/>
          <w:b/>
          <w:bCs/>
          <w:sz w:val="32"/>
          <w:szCs w:val="32"/>
          <w:u w:val="single"/>
          <w:rtl/>
        </w:rPr>
        <w:t>גזר דין</w:t>
      </w:r>
    </w:p>
    <w:bookmarkEnd w:id="5"/>
    <w:p w14:paraId="24C1BE07" w14:textId="77777777" w:rsidR="009123C4" w:rsidRPr="009107EE" w:rsidRDefault="009123C4" w:rsidP="009107EE">
      <w:pPr>
        <w:jc w:val="center"/>
        <w:rPr>
          <w:rFonts w:ascii="David" w:hAnsi="David"/>
          <w:sz w:val="32"/>
          <w:szCs w:val="32"/>
          <w:u w:val="single"/>
          <w:rtl/>
        </w:rPr>
      </w:pPr>
    </w:p>
    <w:p w14:paraId="37A3D561" w14:textId="77777777" w:rsidR="009107EE" w:rsidRDefault="009107EE" w:rsidP="009107EE">
      <w:pPr>
        <w:numPr>
          <w:ilvl w:val="0"/>
          <w:numId w:val="1"/>
        </w:numPr>
        <w:spacing w:after="160" w:line="360" w:lineRule="auto"/>
        <w:contextualSpacing/>
        <w:jc w:val="both"/>
        <w:rPr>
          <w:rtl/>
        </w:rPr>
      </w:pPr>
      <w:bookmarkStart w:id="6" w:name="ABSTRACT_START"/>
      <w:bookmarkEnd w:id="0"/>
      <w:bookmarkEnd w:id="1"/>
      <w:bookmarkEnd w:id="6"/>
      <w:r>
        <w:rPr>
          <w:rFonts w:hint="cs"/>
          <w:rtl/>
        </w:rPr>
        <w:t xml:space="preserve">הנאשם הורשע, במסגרת הסדר טיעון, בעובדות כתב אישום מתוקן בעבירת </w:t>
      </w:r>
      <w:r>
        <w:rPr>
          <w:rFonts w:hint="cs"/>
          <w:u w:val="single"/>
          <w:rtl/>
        </w:rPr>
        <w:t>סיוע להחזקת נשק, אביזר נשק ותחמושת שלא כדי</w:t>
      </w:r>
      <w:r>
        <w:rPr>
          <w:rFonts w:hint="cs"/>
          <w:rtl/>
        </w:rPr>
        <w:t xml:space="preserve">ן, לפי </w:t>
      </w:r>
      <w:hyperlink r:id="rId10" w:history="1">
        <w:r w:rsidR="009123C4" w:rsidRPr="009123C4">
          <w:rPr>
            <w:rStyle w:val="Hyperlink"/>
            <w:rFonts w:hint="eastAsia"/>
            <w:color w:val="0000FF"/>
            <w:rtl/>
          </w:rPr>
          <w:t>סעיף</w:t>
        </w:r>
        <w:r w:rsidR="009123C4" w:rsidRPr="009123C4">
          <w:rPr>
            <w:rStyle w:val="Hyperlink"/>
            <w:color w:val="0000FF"/>
            <w:rtl/>
          </w:rPr>
          <w:t xml:space="preserve"> 144(א)</w:t>
        </w:r>
      </w:hyperlink>
      <w:r>
        <w:rPr>
          <w:rFonts w:hint="cs"/>
          <w:rtl/>
        </w:rPr>
        <w:t xml:space="preserve"> רישא וסיפא </w:t>
      </w:r>
      <w:hyperlink r:id="rId11" w:history="1">
        <w:r w:rsidR="009123C4" w:rsidRPr="009123C4">
          <w:rPr>
            <w:rStyle w:val="Hyperlink"/>
            <w:rFonts w:hint="eastAsia"/>
            <w:color w:val="0000FF"/>
            <w:rtl/>
          </w:rPr>
          <w:t>וסעיף</w:t>
        </w:r>
        <w:r w:rsidR="009123C4" w:rsidRPr="009123C4">
          <w:rPr>
            <w:rStyle w:val="Hyperlink"/>
            <w:color w:val="0000FF"/>
            <w:rtl/>
          </w:rPr>
          <w:t xml:space="preserve"> 31</w:t>
        </w:r>
      </w:hyperlink>
      <w:r>
        <w:rPr>
          <w:rFonts w:hint="cs"/>
          <w:rtl/>
        </w:rPr>
        <w:t xml:space="preserve"> ל</w:t>
      </w:r>
      <w:hyperlink r:id="rId12" w:history="1">
        <w:r w:rsidR="00C925FE" w:rsidRPr="00C925FE">
          <w:rPr>
            <w:color w:val="0000FF"/>
            <w:u w:val="single"/>
            <w:rtl/>
          </w:rPr>
          <w:t>חוק העונשין</w:t>
        </w:r>
      </w:hyperlink>
      <w:r>
        <w:rPr>
          <w:rFonts w:hint="cs"/>
          <w:rtl/>
        </w:rPr>
        <w:t>, תשל"ז-1977 (להלן:"החוק").</w:t>
      </w:r>
    </w:p>
    <w:p w14:paraId="233DC4FB" w14:textId="77777777" w:rsidR="009107EE" w:rsidRDefault="009107EE" w:rsidP="009107EE">
      <w:pPr>
        <w:spacing w:line="360" w:lineRule="auto"/>
        <w:ind w:left="720"/>
        <w:contextualSpacing/>
        <w:jc w:val="both"/>
      </w:pPr>
    </w:p>
    <w:p w14:paraId="13BA8363" w14:textId="77777777" w:rsidR="009107EE" w:rsidRDefault="009107EE" w:rsidP="009107EE">
      <w:pPr>
        <w:numPr>
          <w:ilvl w:val="0"/>
          <w:numId w:val="1"/>
        </w:numPr>
        <w:spacing w:after="160" w:line="360" w:lineRule="auto"/>
        <w:contextualSpacing/>
        <w:jc w:val="both"/>
        <w:rPr>
          <w:rtl/>
        </w:rPr>
      </w:pPr>
      <w:bookmarkStart w:id="7" w:name="ABSTRACT_END"/>
      <w:bookmarkEnd w:id="7"/>
      <w:r>
        <w:rPr>
          <w:rFonts w:hint="cs"/>
          <w:rtl/>
        </w:rPr>
        <w:t xml:space="preserve">כמפורט בעובדות כתב האישום המתוקן, הנאשם וחברו מונטסר התגוררו במועד הרלוונטי בשכנות. ביום 29.11.22 נסעו השניים ברכבו של מונטסר ברחבי קלנסווה, במהלך הנסיעה קיבלו שיחת טלפון ומיהרו לביתו של מונטסר, בהגיעם לביתו נכנס מונטסר לביתו וחזר עם תיק שהכיל אמצעי לחימה ובתוכם: אקדח ברטה ובתוכו מחסנית מתאימה, מחסנית ארוכה מותאמת לאקדח, כוס ובתוכה 21 כדורי תחמושת בקוטר 9 מ"מ. בהמשך לכך העביר מונטסר את תיק אמצעי לחימה לידי הנאשם וביקש ממנו להסתירו בביתו. השניים נסעו לביתו של הנאשם וזה הסתיר את התיק במקום מסתור בתקרת שירותי הבית. </w:t>
      </w:r>
    </w:p>
    <w:p w14:paraId="754F3B43" w14:textId="77777777" w:rsidR="009107EE" w:rsidRDefault="009107EE" w:rsidP="009107EE">
      <w:pPr>
        <w:pStyle w:val="a9"/>
      </w:pPr>
    </w:p>
    <w:p w14:paraId="7BA1726C" w14:textId="77777777" w:rsidR="009107EE" w:rsidRDefault="009107EE" w:rsidP="009107EE">
      <w:pPr>
        <w:numPr>
          <w:ilvl w:val="0"/>
          <w:numId w:val="1"/>
        </w:numPr>
        <w:spacing w:after="160" w:line="360" w:lineRule="auto"/>
        <w:contextualSpacing/>
        <w:jc w:val="both"/>
        <w:rPr>
          <w:rtl/>
        </w:rPr>
      </w:pPr>
      <w:r>
        <w:rPr>
          <w:rFonts w:hint="cs"/>
          <w:rtl/>
        </w:rPr>
        <w:t xml:space="preserve">הצדדים הגיעו להסדר טיעון לפיו הנאשם יודה ויורשע בעובדות כתב אישום מתוקן, המאשימה תעתור לעונש ראוי בן 10 חודשי מאסר וענישה נלווית של קנס ומאסר על תנאי, הנאשם יופנה לתסקיר שירות מבחן. </w:t>
      </w:r>
    </w:p>
    <w:p w14:paraId="7BAF8773" w14:textId="77777777" w:rsidR="009107EE" w:rsidRDefault="009107EE" w:rsidP="009107EE">
      <w:pPr>
        <w:pStyle w:val="a9"/>
      </w:pPr>
    </w:p>
    <w:p w14:paraId="17EC4E7A" w14:textId="77777777" w:rsidR="009107EE" w:rsidRDefault="009107EE" w:rsidP="009107EE">
      <w:pPr>
        <w:numPr>
          <w:ilvl w:val="0"/>
          <w:numId w:val="1"/>
        </w:numPr>
        <w:spacing w:after="160" w:line="360" w:lineRule="auto"/>
        <w:contextualSpacing/>
        <w:jc w:val="both"/>
        <w:rPr>
          <w:rtl/>
        </w:rPr>
      </w:pPr>
      <w:r>
        <w:rPr>
          <w:rFonts w:hint="cs"/>
          <w:b/>
          <w:bCs/>
          <w:rtl/>
        </w:rPr>
        <w:lastRenderedPageBreak/>
        <w:t>מתסקיר שירות המבחן</w:t>
      </w:r>
      <w:r>
        <w:rPr>
          <w:rFonts w:hint="cs"/>
          <w:rtl/>
        </w:rPr>
        <w:t xml:space="preserve"> (8.2.24) עולה שהנאשם בן 28, עובד כיום במסעדה משפחתית. לדבריו סובל מניוון שרירים ומוגבל בתנועה, משתמש בקנאביס רפואי באישור, בעבר הורשע בעבירת נשק וריצה מאסר. הנאשם קיבל אחריות חלקית על ביצוע העבירה, הביע צער וחרטה על חלקו בביצועה אך התמקד בהצגת עמדה קורבנית ומטשטשת ביחס למעורבותו במעשה וטען כי לא ידע מה הכיל התיק. עוד ציין כי הסתבכותו בתיק דרבנה אותו לנתק קשרים שוליים. שירות המבחן העריך שהנאשם אינו מאופיין בדפוסים עבריינים מתמשכים אלא מעשיו נובעים מאישיותו החלשה ובחירות חברתיות שגויות. עוד התרשמו כי חווה את מעורבותו בתיק זה באופן משברי, רמת הסיכון הנשקף ממנו לביצוע חוזר של עבירות אלימות הוערך כנמוך. שירות המבחן עמד מחד על כך שהנאשם צמצם מחומרת מעשיו ומתקשה בזיהוי מוקדי סיכון במצבו ונוטה לנגררות חברתית ומנגד על כך שגדל במשפחה נורמטיבית, עובד באופן מסודר והביע מוטיבציה טיפולית. על כן המליצו להעמידו תחת פיקוחם ולהסתפק בעונש של עבודות שירות שיחדד עבורו את חומרת מעשיו והשלכותיהם אך יאפשר לו להתמקד בשיקום מצבו. </w:t>
      </w:r>
    </w:p>
    <w:p w14:paraId="5F8B4FFF" w14:textId="77777777" w:rsidR="009107EE" w:rsidRDefault="009107EE" w:rsidP="009107EE">
      <w:pPr>
        <w:pStyle w:val="a9"/>
      </w:pPr>
    </w:p>
    <w:p w14:paraId="7E88D3E2" w14:textId="77777777" w:rsidR="009107EE" w:rsidRDefault="009107EE" w:rsidP="009107EE">
      <w:pPr>
        <w:spacing w:line="360" w:lineRule="auto"/>
        <w:ind w:firstLine="360"/>
        <w:jc w:val="both"/>
        <w:rPr>
          <w:b/>
          <w:bCs/>
          <w:u w:val="single"/>
          <w:rtl/>
        </w:rPr>
      </w:pPr>
      <w:r>
        <w:rPr>
          <w:rFonts w:hint="cs"/>
          <w:b/>
          <w:bCs/>
          <w:u w:val="single"/>
          <w:rtl/>
        </w:rPr>
        <w:t>תמצית הטיעונים לעונש</w:t>
      </w:r>
    </w:p>
    <w:p w14:paraId="623574AB" w14:textId="77777777" w:rsidR="009107EE" w:rsidRDefault="009107EE" w:rsidP="009107EE">
      <w:pPr>
        <w:numPr>
          <w:ilvl w:val="0"/>
          <w:numId w:val="1"/>
        </w:numPr>
        <w:spacing w:after="160" w:line="360" w:lineRule="auto"/>
        <w:contextualSpacing/>
        <w:jc w:val="both"/>
        <w:rPr>
          <w:rtl/>
        </w:rPr>
      </w:pPr>
      <w:r>
        <w:rPr>
          <w:rFonts w:hint="cs"/>
          <w:rtl/>
        </w:rPr>
        <w:t>המאשימה עמדה בטיעוניה על חומרת עבירות הנשק, הפגיעה בערכים המוגנים ופוטנציאל הנזק שעלול היה להיגרם מהחזקת נשק בלתי חוקי. לטענתה חלקו של הנאשם בביצוע העבירה משמעותי, הנאשם החזיק את אמצעי הלחימה אמנם לזמן קצר אך הנסיבות מעידות כי קיים חשש שהייתה כוונה לעשות בו שימוש לביצוע עבירה. המאשימה סבורה שאין מקום להסתפק בענישת עבודות שירות נוכח עברו הפלילי הרלוונטי של הנאשם, התסקיר שאינו חיובי ביותר וכן הנאשם לא שולב בהליכי טיפול. על כן עותרת למתחם הנע בין 9 ל-18 חודשי מאסר ולעונש מאסר בן 10 חודשים וענישה נלווית. המאשימה סבורה שעונשו של נאשם זה עקב עברו צריך להיות חמור מזה של שותפו מונתסר, אף הוא הורשע בעבירת סיוע להחזקת נשק ונדון ל-6 חודשי עבודות שירות (</w:t>
      </w:r>
      <w:hyperlink r:id="rId13" w:history="1">
        <w:r w:rsidR="00C925FE" w:rsidRPr="00C925FE">
          <w:rPr>
            <w:color w:val="0000FF"/>
            <w:u w:val="single"/>
            <w:rtl/>
          </w:rPr>
          <w:t>ת"פ 24606-12-22</w:t>
        </w:r>
      </w:hyperlink>
      <w:r>
        <w:rPr>
          <w:rFonts w:hint="cs"/>
          <w:rtl/>
        </w:rPr>
        <w:t>).</w:t>
      </w:r>
    </w:p>
    <w:p w14:paraId="37C9AFCB" w14:textId="77777777" w:rsidR="009107EE" w:rsidRDefault="009107EE" w:rsidP="009107EE">
      <w:pPr>
        <w:spacing w:after="160" w:line="360" w:lineRule="auto"/>
        <w:ind w:left="720"/>
        <w:contextualSpacing/>
        <w:jc w:val="both"/>
      </w:pPr>
    </w:p>
    <w:p w14:paraId="4F69D942" w14:textId="77777777" w:rsidR="009107EE" w:rsidRDefault="009107EE" w:rsidP="009107EE">
      <w:pPr>
        <w:numPr>
          <w:ilvl w:val="0"/>
          <w:numId w:val="1"/>
        </w:numPr>
        <w:spacing w:after="160" w:line="360" w:lineRule="auto"/>
        <w:contextualSpacing/>
        <w:jc w:val="both"/>
      </w:pPr>
      <w:r>
        <w:rPr>
          <w:rFonts w:hint="cs"/>
          <w:rtl/>
        </w:rPr>
        <w:t xml:space="preserve">ב"כ הנאשם ביקש לאמץ את המלצת שירות המבחן ולהמנע מהטלת עונש מאסר בפועל, לטענתו חלקו של הנאשם קטן ביותר, הוא גר בשכנות למונתסר, הנשק נתפס ותסקירו חיובי.  עוד נטען כי הנאשם שהה 3 חודשים במעצר, ועברו הפלילי ישן, וכי חלה החמרה במצבו הפיזי (לא הוגשו מסמכים רפואיים), על כן ביקש לגזור על הנאשם מאסר בדרך של עבודות שירות ברף שאינו גבוה. </w:t>
      </w:r>
      <w:r>
        <w:rPr>
          <w:rFonts w:hint="cs"/>
          <w:b/>
          <w:bCs/>
          <w:rtl/>
        </w:rPr>
        <w:t xml:space="preserve">הנאשם </w:t>
      </w:r>
      <w:r>
        <w:rPr>
          <w:rFonts w:hint="cs"/>
          <w:rtl/>
        </w:rPr>
        <w:t xml:space="preserve">הביע צער וחרטה על מעשיו וביקש לפתוח דף חדש. </w:t>
      </w:r>
    </w:p>
    <w:p w14:paraId="2AC0A300" w14:textId="77777777" w:rsidR="009107EE" w:rsidRDefault="009107EE" w:rsidP="009107EE">
      <w:pPr>
        <w:spacing w:line="360" w:lineRule="auto"/>
        <w:ind w:left="720"/>
        <w:contextualSpacing/>
        <w:jc w:val="both"/>
        <w:rPr>
          <w:b/>
          <w:bCs/>
          <w:u w:val="single"/>
          <w:rtl/>
        </w:rPr>
      </w:pPr>
    </w:p>
    <w:p w14:paraId="3B3A11AA" w14:textId="77777777" w:rsidR="009107EE" w:rsidRDefault="009107EE" w:rsidP="009107EE">
      <w:pPr>
        <w:spacing w:line="360" w:lineRule="auto"/>
        <w:ind w:left="720"/>
        <w:contextualSpacing/>
        <w:jc w:val="both"/>
        <w:rPr>
          <w:b/>
          <w:bCs/>
          <w:u w:val="single"/>
          <w:rtl/>
        </w:rPr>
      </w:pPr>
      <w:r>
        <w:rPr>
          <w:rFonts w:hint="cs"/>
          <w:b/>
          <w:bCs/>
          <w:u w:val="single"/>
          <w:rtl/>
        </w:rPr>
        <w:t>דיון והכרעה</w:t>
      </w:r>
    </w:p>
    <w:p w14:paraId="3DC4785B" w14:textId="77777777" w:rsidR="009107EE" w:rsidRDefault="009107EE" w:rsidP="009107EE">
      <w:pPr>
        <w:spacing w:line="360" w:lineRule="auto"/>
        <w:ind w:left="720"/>
        <w:contextualSpacing/>
        <w:jc w:val="both"/>
        <w:rPr>
          <w:b/>
          <w:bCs/>
          <w:u w:val="single"/>
          <w:rtl/>
        </w:rPr>
      </w:pPr>
      <w:r>
        <w:rPr>
          <w:rFonts w:hint="cs"/>
          <w:b/>
          <w:bCs/>
          <w:u w:val="single"/>
          <w:rtl/>
        </w:rPr>
        <w:t>מתחם העונש ההולם</w:t>
      </w:r>
    </w:p>
    <w:p w14:paraId="354A0D7B" w14:textId="77777777" w:rsidR="009107EE" w:rsidRDefault="009107EE" w:rsidP="009107EE">
      <w:pPr>
        <w:ind w:left="720"/>
        <w:contextualSpacing/>
        <w:rPr>
          <w:rtl/>
        </w:rPr>
      </w:pPr>
    </w:p>
    <w:p w14:paraId="74F3FA07" w14:textId="77777777" w:rsidR="009107EE" w:rsidRDefault="009107EE" w:rsidP="009107EE">
      <w:pPr>
        <w:numPr>
          <w:ilvl w:val="0"/>
          <w:numId w:val="1"/>
        </w:numPr>
        <w:spacing w:after="120" w:line="360" w:lineRule="auto"/>
        <w:contextualSpacing/>
        <w:jc w:val="both"/>
        <w:rPr>
          <w:rFonts w:ascii="David" w:eastAsia="David" w:hAnsi="David"/>
          <w:rtl/>
        </w:rPr>
      </w:pPr>
      <w:r>
        <w:rPr>
          <w:rFonts w:hint="cs"/>
          <w:color w:val="000000"/>
          <w:spacing w:val="10"/>
          <w:rtl/>
        </w:rPr>
        <w:lastRenderedPageBreak/>
        <w:t>עבירות הנשק הפכו זה מכבר למכת מדינה</w:t>
      </w:r>
      <w:r>
        <w:rPr>
          <w:rFonts w:hint="cs"/>
          <w:rtl/>
        </w:rPr>
        <w:t xml:space="preserve"> ומגלמות סכנה ממשית לשלום הציבור ולביטחונו</w:t>
      </w:r>
      <w:r>
        <w:rPr>
          <w:rFonts w:hint="cs"/>
          <w:color w:val="000000"/>
          <w:spacing w:val="10"/>
          <w:rtl/>
        </w:rPr>
        <w:t>. חומרתן היתרה של עבירות אלה</w:t>
      </w:r>
      <w:r>
        <w:rPr>
          <w:rFonts w:hint="cs"/>
          <w:rtl/>
        </w:rPr>
        <w:t xml:space="preserve"> אינה מתמצה אך בעבירות גופן, אלא בפוטנציאל הנזק הנובע מהן</w:t>
      </w:r>
      <w:r>
        <w:rPr>
          <w:rFonts w:hint="cs"/>
          <w:color w:val="000000"/>
          <w:spacing w:val="10"/>
          <w:rtl/>
        </w:rPr>
        <w:t xml:space="preserve">. פגיעתן הקשה והשפעתן על תחושת הביטחון של כלל אזרחי המדינה, זכו להתייחסות נרחבת בפסקי דין רבים של בית משפט העליון. </w:t>
      </w:r>
      <w:r>
        <w:rPr>
          <w:rFonts w:hint="cs"/>
          <w:rtl/>
        </w:rPr>
        <w:t>מגמת הפסיקה בשנים האחרונות מלמדת על החמרה בענישה לצורך מיגור עבירות אלו, תוך מתן משקל לשיקולי הרתעה. מגמה זו אחידה ועיקבית ביחס לכלל עברייני הנשק, אף כשהם נעדרי עבר פלילי, והאירוע הוא בגדר חריג בנוף חייהם הנורמטיבי (</w:t>
      </w:r>
      <w:hyperlink r:id="rId14" w:history="1">
        <w:r w:rsidR="00C925FE" w:rsidRPr="00C925FE">
          <w:rPr>
            <w:color w:val="0000FF"/>
            <w:u w:val="single"/>
            <w:rtl/>
          </w:rPr>
          <w:t>ע"פ 5813/21</w:t>
        </w:r>
      </w:hyperlink>
      <w:r>
        <w:rPr>
          <w:rFonts w:hint="cs"/>
          <w:rtl/>
        </w:rPr>
        <w:t xml:space="preserve"> </w:t>
      </w:r>
      <w:r>
        <w:rPr>
          <w:rFonts w:hint="cs"/>
          <w:b/>
          <w:bCs/>
          <w:rtl/>
        </w:rPr>
        <w:t>מוחמד ג'בארין נ' מדינת ישראל</w:t>
      </w:r>
      <w:r>
        <w:rPr>
          <w:rFonts w:hint="cs"/>
          <w:rtl/>
        </w:rPr>
        <w:t>, פס' 14</w:t>
      </w:r>
      <w:r>
        <w:rPr>
          <w:rFonts w:hint="cs"/>
          <w:b/>
          <w:bCs/>
          <w:rtl/>
        </w:rPr>
        <w:t xml:space="preserve"> </w:t>
      </w:r>
      <w:r>
        <w:rPr>
          <w:rFonts w:hint="cs"/>
          <w:rtl/>
        </w:rPr>
        <w:t>(31.5.2022); ב</w:t>
      </w:r>
      <w:hyperlink r:id="rId15" w:history="1">
        <w:r w:rsidR="00C925FE" w:rsidRPr="00C925FE">
          <w:rPr>
            <w:color w:val="0000FF"/>
            <w:u w:val="single"/>
            <w:rtl/>
          </w:rPr>
          <w:t>ע"פ 6011/21</w:t>
        </w:r>
      </w:hyperlink>
      <w:r>
        <w:rPr>
          <w:rFonts w:hint="cs"/>
          <w:rtl/>
        </w:rPr>
        <w:t xml:space="preserve"> </w:t>
      </w:r>
      <w:r>
        <w:rPr>
          <w:rFonts w:hint="cs"/>
          <w:b/>
          <w:bCs/>
          <w:rtl/>
        </w:rPr>
        <w:t>חאלד דסוקי נ' מדנית ישראל</w:t>
      </w:r>
      <w:r>
        <w:rPr>
          <w:rFonts w:hint="cs"/>
          <w:rtl/>
        </w:rPr>
        <w:t xml:space="preserve">  (25.11.2021); </w:t>
      </w:r>
      <w:hyperlink r:id="rId16" w:history="1">
        <w:r w:rsidR="00C925FE" w:rsidRPr="00C925FE">
          <w:rPr>
            <w:color w:val="0000FF"/>
            <w:spacing w:val="10"/>
            <w:sz w:val="20"/>
            <w:u w:val="single"/>
            <w:shd w:val="clear" w:color="auto" w:fill="FFFFFF"/>
            <w:rtl/>
          </w:rPr>
          <w:t>ע"פ 8320/21</w:t>
        </w:r>
      </w:hyperlink>
      <w:r>
        <w:rPr>
          <w:rFonts w:hint="cs"/>
          <w:spacing w:val="10"/>
          <w:sz w:val="20"/>
          <w:shd w:val="clear" w:color="auto" w:fill="FFFFFF"/>
          <w:rtl/>
        </w:rPr>
        <w:t xml:space="preserve"> </w:t>
      </w:r>
      <w:r>
        <w:rPr>
          <w:rFonts w:hint="cs"/>
          <w:b/>
          <w:bCs/>
          <w:spacing w:val="10"/>
          <w:sz w:val="20"/>
          <w:shd w:val="clear" w:color="auto" w:fill="FFFFFF"/>
          <w:rtl/>
        </w:rPr>
        <w:t>מדינת ישראל נ' מחמד בסילה</w:t>
      </w:r>
      <w:r>
        <w:rPr>
          <w:rFonts w:hint="cs"/>
          <w:spacing w:val="10"/>
          <w:sz w:val="20"/>
          <w:shd w:val="clear" w:color="auto" w:fill="FFFFFF"/>
          <w:rtl/>
        </w:rPr>
        <w:t>, פס' 10 (28.12.2021)</w:t>
      </w:r>
      <w:r>
        <w:rPr>
          <w:rFonts w:hint="cs"/>
          <w:rtl/>
        </w:rPr>
        <w:t xml:space="preserve">; </w:t>
      </w:r>
      <w:hyperlink r:id="rId17" w:history="1">
        <w:r w:rsidR="00C925FE" w:rsidRPr="00C925FE">
          <w:rPr>
            <w:color w:val="0000FF"/>
            <w:u w:val="single"/>
            <w:rtl/>
          </w:rPr>
          <w:t>ע"פ 2283/22</w:t>
        </w:r>
      </w:hyperlink>
      <w:r>
        <w:rPr>
          <w:rFonts w:hint="cs"/>
          <w:rtl/>
        </w:rPr>
        <w:t xml:space="preserve"> </w:t>
      </w:r>
      <w:r>
        <w:rPr>
          <w:rFonts w:hint="cs"/>
          <w:b/>
          <w:bCs/>
          <w:rtl/>
        </w:rPr>
        <w:t>אל נבארי נ' מדינת ישראל</w:t>
      </w:r>
      <w:r>
        <w:rPr>
          <w:rFonts w:hint="cs"/>
          <w:rtl/>
        </w:rPr>
        <w:t xml:space="preserve"> (31.7.2022); ע"פ 78/21 </w:t>
      </w:r>
      <w:r>
        <w:rPr>
          <w:rFonts w:hint="cs"/>
          <w:b/>
          <w:bCs/>
          <w:rtl/>
        </w:rPr>
        <w:t>פלוני נ' מדינת</w:t>
      </w:r>
      <w:r>
        <w:rPr>
          <w:rFonts w:hint="cs"/>
          <w:rtl/>
        </w:rPr>
        <w:t xml:space="preserve"> </w:t>
      </w:r>
      <w:r>
        <w:rPr>
          <w:rFonts w:hint="cs"/>
          <w:b/>
          <w:bCs/>
          <w:rtl/>
        </w:rPr>
        <w:t>ישראל</w:t>
      </w:r>
      <w:r>
        <w:rPr>
          <w:rFonts w:hint="cs"/>
          <w:rtl/>
        </w:rPr>
        <w:t xml:space="preserve"> (26.7.2022); </w:t>
      </w:r>
      <w:hyperlink r:id="rId18" w:history="1">
        <w:r w:rsidR="00C925FE" w:rsidRPr="00C925FE">
          <w:rPr>
            <w:color w:val="0000FF"/>
            <w:u w:val="single"/>
            <w:rtl/>
          </w:rPr>
          <w:t>ע"פ 116/13</w:t>
        </w:r>
      </w:hyperlink>
      <w:r>
        <w:rPr>
          <w:rFonts w:hint="cs"/>
          <w:rtl/>
        </w:rPr>
        <w:t xml:space="preserve"> </w:t>
      </w:r>
      <w:r>
        <w:rPr>
          <w:rFonts w:hint="cs"/>
          <w:b/>
          <w:bCs/>
          <w:rtl/>
        </w:rPr>
        <w:t>וקנין נ' מדינת ישראל</w:t>
      </w:r>
      <w:r>
        <w:rPr>
          <w:rFonts w:hint="cs"/>
          <w:rtl/>
        </w:rPr>
        <w:t>,</w:t>
      </w:r>
      <w:r w:rsidR="00C925FE">
        <w:rPr>
          <w:rFonts w:hint="cs"/>
          <w:rtl/>
        </w:rPr>
        <w:t xml:space="preserve"> </w:t>
      </w:r>
      <w:r>
        <w:rPr>
          <w:rFonts w:hint="cs"/>
          <w:rtl/>
        </w:rPr>
        <w:t xml:space="preserve">פס' 7 (31.7.2013)). </w:t>
      </w:r>
    </w:p>
    <w:p w14:paraId="4ECBD049" w14:textId="77777777" w:rsidR="009107EE" w:rsidRDefault="009107EE" w:rsidP="009107EE">
      <w:pPr>
        <w:spacing w:line="360" w:lineRule="auto"/>
        <w:ind w:left="720"/>
        <w:contextualSpacing/>
        <w:jc w:val="both"/>
        <w:rPr>
          <w:rFonts w:eastAsia="Calibri"/>
          <w:rtl/>
        </w:rPr>
      </w:pPr>
    </w:p>
    <w:p w14:paraId="7C02502A" w14:textId="77777777" w:rsidR="009107EE" w:rsidRDefault="009107EE" w:rsidP="009107EE">
      <w:pPr>
        <w:numPr>
          <w:ilvl w:val="0"/>
          <w:numId w:val="1"/>
        </w:numPr>
        <w:spacing w:after="160" w:line="360" w:lineRule="auto"/>
        <w:contextualSpacing/>
        <w:jc w:val="both"/>
        <w:rPr>
          <w:rFonts w:eastAsia="David"/>
          <w:rtl/>
        </w:rPr>
      </w:pPr>
      <w:r>
        <w:rPr>
          <w:rFonts w:hint="cs"/>
          <w:color w:val="000000"/>
          <w:spacing w:val="10"/>
          <w:rtl/>
        </w:rPr>
        <w:t xml:space="preserve">מגמה זו קיבלה ביטוי גם בחקיקה, במסגרת תיקון 140 לחוק, בו נקבעו עונשי מינימום לעבירות נשק באשר הן, באופן שככלל, העונש שיושת בגין עבירות אלו, לא יפחת מרבע העונש המרבי שנקבע לעבירה. </w:t>
      </w:r>
    </w:p>
    <w:p w14:paraId="7FCA5EAE" w14:textId="77777777" w:rsidR="009107EE" w:rsidRDefault="009107EE" w:rsidP="009107EE">
      <w:pPr>
        <w:spacing w:after="160" w:line="360" w:lineRule="auto"/>
        <w:ind w:left="720"/>
        <w:contextualSpacing/>
        <w:jc w:val="both"/>
      </w:pPr>
    </w:p>
    <w:p w14:paraId="119F2A22" w14:textId="77777777" w:rsidR="009107EE" w:rsidRDefault="009107EE" w:rsidP="009107EE">
      <w:pPr>
        <w:numPr>
          <w:ilvl w:val="0"/>
          <w:numId w:val="1"/>
        </w:numPr>
        <w:overflowPunct w:val="0"/>
        <w:autoSpaceDE w:val="0"/>
        <w:autoSpaceDN w:val="0"/>
        <w:adjustRightInd w:val="0"/>
        <w:spacing w:after="160" w:line="360" w:lineRule="auto"/>
        <w:ind w:left="714" w:hanging="357"/>
        <w:contextualSpacing/>
        <w:jc w:val="both"/>
        <w:textAlignment w:val="baseline"/>
        <w:rPr>
          <w:b/>
          <w:bCs/>
          <w:rtl/>
        </w:rPr>
      </w:pPr>
      <w:r>
        <w:rPr>
          <w:rFonts w:hint="cs"/>
          <w:rtl/>
        </w:rPr>
        <w:t xml:space="preserve">לגופו, הנאשם וחברו מונתסר המתגורר בשכנות לו בילו יחדיו, בעקבות שיחת טלפון חזר מונתסר לביתו ושב עם תיק המכיל את אמצעי הלחימה, הכוללים אקדח ותחמושת תואמת, והעבירו לנאשם שהסתירו בביתו. הצדדים מסכימים כי הנאשם החזיק בנשק ובתחמושת זמן קצר וכי הוחזקו בתיק סגור. הסיוע להחזקה אינו ברף נמוך, למעשה הנאשם העביר לחזקתו את הנשק והתחמושת. הנסיבות האופפות את התיק מלמדות על דחיפות מצד מונתסר להוציא את הנשק מביתו ולהסתירו בבית הנאשם אך אינן כוללות כל אינדיקציה לשימוש עתידי של הנאשם בנשק לביצוע עבירה פלילית. הנשק נתפס. </w:t>
      </w:r>
      <w:r>
        <w:rPr>
          <w:rFonts w:hint="cs"/>
          <w:b/>
          <w:bCs/>
          <w:rtl/>
        </w:rPr>
        <w:t xml:space="preserve">לפיכך פגיעת מעשי הנאשם בערכים המוגנים היא ברף בינוני. </w:t>
      </w:r>
    </w:p>
    <w:p w14:paraId="222003A4" w14:textId="77777777" w:rsidR="009107EE" w:rsidRDefault="009107EE" w:rsidP="009107EE">
      <w:pPr>
        <w:pStyle w:val="a9"/>
      </w:pPr>
    </w:p>
    <w:p w14:paraId="41386147" w14:textId="77777777" w:rsidR="009107EE" w:rsidRDefault="009107EE" w:rsidP="009107EE">
      <w:pPr>
        <w:pStyle w:val="a9"/>
        <w:numPr>
          <w:ilvl w:val="0"/>
          <w:numId w:val="1"/>
        </w:numPr>
        <w:spacing w:after="120" w:line="360" w:lineRule="auto"/>
        <w:jc w:val="both"/>
        <w:rPr>
          <w:rFonts w:ascii="Times New Roman" w:eastAsia="Times New Roman" w:hAnsi="Times New Roman"/>
          <w:rtl/>
        </w:rPr>
      </w:pPr>
      <w:r>
        <w:rPr>
          <w:rFonts w:hint="cs"/>
          <w:rtl/>
        </w:rPr>
        <w:t xml:space="preserve">על דרך הכלל, דינם של מחזיקי הנשק, לרבות אלו שעברם נקי והתקבל בעניינם תסקיר חיובי, למאסר ממש שאינו קצר. </w:t>
      </w:r>
      <w:r w:rsidRPr="009107EE">
        <w:rPr>
          <w:rFonts w:eastAsia="Calibri"/>
          <w:rtl/>
        </w:rPr>
        <w:t>ב</w:t>
      </w:r>
      <w:hyperlink r:id="rId19" w:history="1">
        <w:r w:rsidR="00C925FE" w:rsidRPr="00C925FE">
          <w:rPr>
            <w:rFonts w:eastAsia="Calibri"/>
            <w:color w:val="0000FF"/>
            <w:u w:val="single"/>
            <w:rtl/>
          </w:rPr>
          <w:t>ע"פ 2482/22</w:t>
        </w:r>
      </w:hyperlink>
      <w:r>
        <w:rPr>
          <w:rtl/>
        </w:rPr>
        <w:t xml:space="preserve"> </w:t>
      </w:r>
      <w:r>
        <w:rPr>
          <w:rFonts w:hint="cs"/>
          <w:b/>
          <w:bCs/>
          <w:rtl/>
        </w:rPr>
        <w:t xml:space="preserve">מדינת ישראל נ' קדורה </w:t>
      </w:r>
      <w:r>
        <w:rPr>
          <w:rFonts w:hint="cs"/>
          <w:rtl/>
        </w:rPr>
        <w:t>(מיום 14.4.2022) הורשע נאשם, על פי הודאתו, בעבירת החזקת נשק בצוותא עם אחר – אקדח "גלוק", מחסנית, כדורים ורימון הלם אותם החזיק בביתו לתקופה קצרה. בית המשפט המחוזי קבע מתחם עונש הנע בין 36-10 חודשי מאסר וגזר על</w:t>
      </w:r>
      <w:r>
        <w:rPr>
          <w:rFonts w:hint="cs"/>
          <w:b/>
          <w:bCs/>
          <w:rtl/>
        </w:rPr>
        <w:t xml:space="preserve"> </w:t>
      </w:r>
      <w:r>
        <w:rPr>
          <w:rFonts w:hint="cs"/>
          <w:rtl/>
        </w:rPr>
        <w:t>הנאשם, בן 19 וללא הרשעות קודמות, 10 חודשי מאסר</w:t>
      </w:r>
      <w:r>
        <w:rPr>
          <w:rFonts w:hint="cs"/>
          <w:b/>
          <w:bCs/>
          <w:rtl/>
        </w:rPr>
        <w:t>.</w:t>
      </w:r>
      <w:r>
        <w:rPr>
          <w:rFonts w:hint="cs"/>
          <w:rtl/>
        </w:rPr>
        <w:t xml:space="preserve"> בית המשפט העליון קיבל את ערעור המדינה ו</w:t>
      </w:r>
      <w:r>
        <w:rPr>
          <w:rFonts w:hint="cs"/>
          <w:b/>
          <w:bCs/>
          <w:rtl/>
        </w:rPr>
        <w:t>החמיר עונשו ל-18 חודשים</w:t>
      </w:r>
      <w:r>
        <w:rPr>
          <w:rFonts w:hint="cs"/>
          <w:rtl/>
        </w:rPr>
        <w:t>;</w:t>
      </w:r>
      <w:r>
        <w:rPr>
          <w:rFonts w:ascii="Times New Roman" w:eastAsia="Times New Roman" w:hAnsi="Times New Roman" w:hint="cs"/>
          <w:rtl/>
        </w:rPr>
        <w:t xml:space="preserve"> </w:t>
      </w:r>
      <w:hyperlink r:id="rId20" w:history="1">
        <w:r w:rsidR="00C925FE" w:rsidRPr="00C925FE">
          <w:rPr>
            <w:color w:val="0000FF"/>
            <w:u w:val="single"/>
            <w:rtl/>
          </w:rPr>
          <w:t>ע"פ 2015/21</w:t>
        </w:r>
      </w:hyperlink>
      <w:r>
        <w:rPr>
          <w:rFonts w:hint="cs"/>
          <w:rtl/>
        </w:rPr>
        <w:t xml:space="preserve"> </w:t>
      </w:r>
      <w:r>
        <w:rPr>
          <w:rFonts w:hint="cs"/>
          <w:b/>
          <w:bCs/>
          <w:rtl/>
        </w:rPr>
        <w:t>אזברגה נ' מדינת ישראל</w:t>
      </w:r>
      <w:r>
        <w:rPr>
          <w:rFonts w:hint="cs"/>
          <w:rtl/>
        </w:rPr>
        <w:t xml:space="preserve"> (מיום 9.12.2021),נדחה ערעורו של נאשם בעל עבר שאינו מכביד שהורשע בהחזקת שני אקדחים ברכבו, שירות המבחן המליץ להסתפק בעניינו בענישה שיקומית של עבודות שירות. </w:t>
      </w:r>
      <w:r>
        <w:rPr>
          <w:rFonts w:hint="cs"/>
          <w:b/>
          <w:bCs/>
          <w:rtl/>
        </w:rPr>
        <w:t>נקבע בעניינו מתחם שנע בין 12-36 חודשי מאסר ונגזרו עליו 16 חודשי מאסר.</w:t>
      </w:r>
      <w:r>
        <w:rPr>
          <w:rFonts w:hint="cs"/>
          <w:rtl/>
        </w:rPr>
        <w:t xml:space="preserve"> בית המשפט העליון התייחס בהחלטתו לשיקולי השיקום אך נתן משקל בכורה למדיניות הענישה המחמירה בעבירות נשק; </w:t>
      </w:r>
      <w:r>
        <w:rPr>
          <w:rFonts w:ascii="Times New Roman" w:eastAsia="Times New Roman" w:hAnsi="Times New Roman" w:hint="cs"/>
          <w:rtl/>
        </w:rPr>
        <w:t>ב</w:t>
      </w:r>
      <w:hyperlink r:id="rId21" w:history="1">
        <w:r w:rsidR="00C925FE" w:rsidRPr="00C925FE">
          <w:rPr>
            <w:rFonts w:ascii="Times New Roman" w:eastAsia="Times New Roman" w:hAnsi="Times New Roman"/>
            <w:color w:val="0000FF"/>
            <w:u w:val="single"/>
            <w:rtl/>
          </w:rPr>
          <w:t>ע"פ 8320/21</w:t>
        </w:r>
      </w:hyperlink>
      <w:r>
        <w:rPr>
          <w:rFonts w:ascii="Times New Roman" w:eastAsia="Times New Roman" w:hAnsi="Times New Roman" w:hint="cs"/>
          <w:rtl/>
        </w:rPr>
        <w:t xml:space="preserve"> </w:t>
      </w:r>
      <w:r>
        <w:rPr>
          <w:rFonts w:ascii="Times New Roman" w:eastAsia="Times New Roman" w:hAnsi="Times New Roman" w:hint="cs"/>
          <w:b/>
          <w:bCs/>
          <w:rtl/>
        </w:rPr>
        <w:t>מדינת ישראל נ' בסילה</w:t>
      </w:r>
      <w:r>
        <w:rPr>
          <w:rFonts w:ascii="Times New Roman" w:eastAsia="Times New Roman" w:hAnsi="Times New Roman" w:hint="cs"/>
          <w:rtl/>
        </w:rPr>
        <w:t xml:space="preserve"> (מיום 28.12.2021 )-  הנאשם הורשע בכך שהחזיק רובה סער דמוי </w:t>
      </w:r>
      <w:r>
        <w:rPr>
          <w:rFonts w:ascii="Times New Roman" w:eastAsia="Times New Roman" w:hAnsi="Times New Roman"/>
        </w:rPr>
        <w:t>M-16</w:t>
      </w:r>
      <w:r>
        <w:rPr>
          <w:rFonts w:ascii="Times New Roman" w:eastAsia="Times New Roman" w:hAnsi="Times New Roman" w:hint="cs"/>
          <w:rtl/>
        </w:rPr>
        <w:t xml:space="preserve"> בביתו, נסיבותיו חיוביות, שירות המבחן המליץ להסתפק בעבודות שירות. בית המשפט המחוזי קבע מתחם ענישה שנע בין 6-24 חודשי מאסר וגזר עליו 7 חודשי מאסר. ערעור המדינה על קולת העונש התקבל, בית המשפט העליון (כב' השופט סולברג) פסק, כי המתחם שנקבע והעונש שהוטל מקל עם הנאשם יתר על המידה, זאת גם בהתחשב בנסיבותיו, עונשו הוכפל והועמד על 14 חודשי מאסר.</w:t>
      </w:r>
    </w:p>
    <w:p w14:paraId="2AF8AB33" w14:textId="77777777" w:rsidR="009107EE" w:rsidRDefault="009107EE" w:rsidP="009107EE">
      <w:pPr>
        <w:pStyle w:val="a9"/>
        <w:spacing w:after="120" w:line="360" w:lineRule="auto"/>
        <w:jc w:val="both"/>
        <w:rPr>
          <w:rFonts w:ascii="Times New Roman" w:eastAsia="Times New Roman" w:hAnsi="Times New Roman"/>
        </w:rPr>
      </w:pPr>
    </w:p>
    <w:p w14:paraId="20CC852B" w14:textId="77777777" w:rsidR="009107EE" w:rsidRDefault="009107EE" w:rsidP="009107EE">
      <w:pPr>
        <w:pStyle w:val="a9"/>
        <w:numPr>
          <w:ilvl w:val="0"/>
          <w:numId w:val="1"/>
        </w:numPr>
        <w:spacing w:after="160" w:line="360" w:lineRule="auto"/>
        <w:jc w:val="both"/>
      </w:pPr>
      <w:r>
        <w:rPr>
          <w:rFonts w:ascii="Times New Roman" w:eastAsia="Times New Roman" w:hAnsi="Times New Roman" w:hint="cs"/>
          <w:rtl/>
        </w:rPr>
        <w:t xml:space="preserve">עוד רלוונטי לעניינו גזר הדין שהוטל על מונתסר השותף, </w:t>
      </w:r>
      <w:hyperlink r:id="rId22" w:history="1">
        <w:r w:rsidR="00C925FE" w:rsidRPr="00C925FE">
          <w:rPr>
            <w:rFonts w:ascii="Times New Roman" w:eastAsia="Times New Roman" w:hAnsi="Times New Roman"/>
            <w:color w:val="0000FF"/>
            <w:u w:val="single"/>
            <w:rtl/>
          </w:rPr>
          <w:t>ת"פ 24606-12-22</w:t>
        </w:r>
      </w:hyperlink>
      <w:r>
        <w:rPr>
          <w:rFonts w:ascii="Times New Roman" w:eastAsia="Times New Roman" w:hAnsi="Times New Roman" w:hint="cs"/>
          <w:rtl/>
        </w:rPr>
        <w:t xml:space="preserve"> , גזר דיני מיום 16.1.24, גם בתיק זה תוקן כתב האישום לסיוע להחזקת נשק עקב קושי ראייתי. המאשימה עתרה למתחם שנע בין 7-15 חודשים ולמיקום הנאשם בתחתיתו עקב עברו הנקי ותסקירו החיובי. מונתסר נדון ל-6 חודשי עבודות שירות. </w:t>
      </w:r>
      <w:r>
        <w:rPr>
          <w:rFonts w:ascii="Times New Roman" w:eastAsia="Times New Roman" w:hAnsi="Times New Roman" w:hint="cs"/>
          <w:b/>
          <w:bCs/>
          <w:rtl/>
        </w:rPr>
        <w:t>בנסיבות אלו מצאתי לאמץ את המתחם שנקבע בעניין השותף הנע בין 6-12 חודשי מאסר.</w:t>
      </w:r>
      <w:r>
        <w:rPr>
          <w:rFonts w:ascii="Times New Roman" w:eastAsia="Times New Roman" w:hAnsi="Times New Roman" w:hint="cs"/>
          <w:rtl/>
        </w:rPr>
        <w:t xml:space="preserve"> </w:t>
      </w:r>
    </w:p>
    <w:p w14:paraId="611D7A97" w14:textId="77777777" w:rsidR="009107EE" w:rsidRDefault="009107EE" w:rsidP="009107EE">
      <w:pPr>
        <w:spacing w:after="160" w:line="256" w:lineRule="auto"/>
        <w:contextualSpacing/>
        <w:rPr>
          <w:rtl/>
        </w:rPr>
      </w:pPr>
    </w:p>
    <w:p w14:paraId="42F4E6FF" w14:textId="77777777" w:rsidR="009107EE" w:rsidRDefault="009107EE" w:rsidP="009107EE">
      <w:pPr>
        <w:spacing w:line="360" w:lineRule="auto"/>
        <w:jc w:val="both"/>
        <w:rPr>
          <w:b/>
          <w:bCs/>
          <w:u w:val="single"/>
          <w:rtl/>
        </w:rPr>
      </w:pPr>
      <w:r>
        <w:rPr>
          <w:rFonts w:hint="cs"/>
          <w:b/>
          <w:bCs/>
          <w:u w:val="single"/>
          <w:rtl/>
        </w:rPr>
        <w:t>גזירת העונש המתאים לנאשם</w:t>
      </w:r>
    </w:p>
    <w:p w14:paraId="484E8CF1" w14:textId="77777777" w:rsidR="009107EE" w:rsidRDefault="009107EE" w:rsidP="009107EE">
      <w:pPr>
        <w:numPr>
          <w:ilvl w:val="0"/>
          <w:numId w:val="1"/>
        </w:numPr>
        <w:spacing w:after="160" w:line="360" w:lineRule="auto"/>
        <w:contextualSpacing/>
        <w:jc w:val="both"/>
      </w:pPr>
      <w:r>
        <w:rPr>
          <w:rFonts w:hint="cs"/>
          <w:rtl/>
        </w:rPr>
        <w:t xml:space="preserve">הנאשם צעיר יליד 1995, בן למשפחה נורמטיבית, עובד לפרנסתו, נטען כי סובל מבעיות בריאותיות, מחלת ניוון שרירים, לא הוצגו מסמכים תומכים, אם כי מחוות דעת ממונה נלמד כי סובל מחולשה בשרירים והותר לו להשתמש בקנאביס רפואי. לנאשם שתי הרשעות קודמות, הרלוונטית לענייננו היא הרשעתו בעבירות נשיאת נשק ותחמושת משנת 2017, בגינה נדון למאסר בן 14 חודשים. </w:t>
      </w:r>
    </w:p>
    <w:p w14:paraId="0881DE42" w14:textId="77777777" w:rsidR="009107EE" w:rsidRDefault="009107EE" w:rsidP="009107EE">
      <w:pPr>
        <w:spacing w:after="160" w:line="360" w:lineRule="auto"/>
        <w:ind w:left="720"/>
        <w:contextualSpacing/>
        <w:jc w:val="both"/>
      </w:pPr>
    </w:p>
    <w:p w14:paraId="7938423F" w14:textId="77777777" w:rsidR="009107EE" w:rsidRDefault="009107EE" w:rsidP="009107EE">
      <w:pPr>
        <w:numPr>
          <w:ilvl w:val="0"/>
          <w:numId w:val="1"/>
        </w:numPr>
        <w:spacing w:after="160" w:line="360" w:lineRule="auto"/>
        <w:contextualSpacing/>
        <w:jc w:val="both"/>
      </w:pPr>
      <w:r>
        <w:rPr>
          <w:rFonts w:hint="cs"/>
          <w:rtl/>
        </w:rPr>
        <w:t>שירות המבחן העריך בתסקירו שהנאשם אינו בעל דפוסים עבריניים מושרשים אלא נגרר אחרי חבריו ומתקשה לזהות מוקדי סיכון. שירות המבחן העריך את מסוכנות הנאשם לביצוע חוזר של עבירת אלימות כנמוכה והמליץ על העמדתו תחת פיקוחם אך הנאשם לא שולב בהליכי טיפול. הנאשם הודה והביע חרטה על מעשיו, עוד הוערך שלהסתבכותו בתיק זה אפקט מרתיע. עוד אתחשב בכך שהנאשם היה נתון במעצר ממש כ-3 חודשים.</w:t>
      </w:r>
    </w:p>
    <w:p w14:paraId="7E525488" w14:textId="77777777" w:rsidR="009107EE" w:rsidRDefault="009107EE" w:rsidP="009107EE">
      <w:pPr>
        <w:pStyle w:val="a9"/>
      </w:pPr>
    </w:p>
    <w:p w14:paraId="3781EA1B" w14:textId="77777777" w:rsidR="009107EE" w:rsidRDefault="009107EE" w:rsidP="009107EE">
      <w:pPr>
        <w:numPr>
          <w:ilvl w:val="0"/>
          <w:numId w:val="1"/>
        </w:numPr>
        <w:spacing w:after="160" w:line="360" w:lineRule="auto"/>
        <w:contextualSpacing/>
        <w:jc w:val="both"/>
        <w:rPr>
          <w:rtl/>
        </w:rPr>
      </w:pPr>
      <w:r>
        <w:rPr>
          <w:rFonts w:hint="cs"/>
          <w:rtl/>
        </w:rPr>
        <w:t xml:space="preserve">לאחר ששקלתי את כלל השיקולים, חומרת מעשיו ועברו הפלילי מחד ומנגד נסיבות מעשיו, תסקירו והעונש שהוטל על שותפו, מצאתי למקם את עונשו בחלק התחתון של המתחם ולגזור עליו עונש מאסר בדרך של עבודות שירות. </w:t>
      </w:r>
    </w:p>
    <w:p w14:paraId="0DFEDBAA" w14:textId="77777777" w:rsidR="009107EE" w:rsidRDefault="009107EE" w:rsidP="009107EE">
      <w:pPr>
        <w:spacing w:after="160" w:line="256" w:lineRule="auto"/>
        <w:contextualSpacing/>
        <w:rPr>
          <w:rtl/>
        </w:rPr>
      </w:pPr>
    </w:p>
    <w:p w14:paraId="053DB1AC" w14:textId="77777777" w:rsidR="009107EE" w:rsidRDefault="009107EE" w:rsidP="009107EE">
      <w:pPr>
        <w:numPr>
          <w:ilvl w:val="0"/>
          <w:numId w:val="1"/>
        </w:numPr>
        <w:spacing w:after="160" w:line="360" w:lineRule="auto"/>
        <w:contextualSpacing/>
        <w:jc w:val="both"/>
        <w:rPr>
          <w:rtl/>
        </w:rPr>
      </w:pPr>
      <w:r>
        <w:rPr>
          <w:rFonts w:hint="cs"/>
          <w:b/>
          <w:bCs/>
          <w:rtl/>
        </w:rPr>
        <w:t xml:space="preserve">לאור האמור לעיל, ולאחר ששקלתי את כלל השיקולים, אני גוזרת על הנאשם את העונשים הבאים: </w:t>
      </w:r>
    </w:p>
    <w:p w14:paraId="2AD5CDB5" w14:textId="77777777" w:rsidR="009107EE" w:rsidRDefault="009107EE" w:rsidP="009107EE">
      <w:pPr>
        <w:ind w:left="720"/>
        <w:contextualSpacing/>
      </w:pPr>
    </w:p>
    <w:p w14:paraId="67415166" w14:textId="77777777" w:rsidR="009107EE" w:rsidRDefault="009107EE" w:rsidP="009107EE">
      <w:pPr>
        <w:numPr>
          <w:ilvl w:val="0"/>
          <w:numId w:val="2"/>
        </w:numPr>
        <w:spacing w:after="160" w:line="360" w:lineRule="auto"/>
        <w:contextualSpacing/>
        <w:jc w:val="both"/>
        <w:rPr>
          <w:rtl/>
        </w:rPr>
      </w:pPr>
      <w:r>
        <w:rPr>
          <w:rFonts w:hint="cs"/>
          <w:b/>
          <w:bCs/>
          <w:rtl/>
        </w:rPr>
        <w:t xml:space="preserve">8 חודשי מאסר בדרך של עבודות שירות. </w:t>
      </w:r>
      <w:r>
        <w:rPr>
          <w:rFonts w:hint="cs"/>
          <w:rtl/>
        </w:rPr>
        <w:t>הנאשם יבצע את עבודות השירות בבית העלמין נורדאו כ"ס החל מיום 23.9.24 בימים א'-ה' בטווח השעות שייקבע ע"י הממונה ובמגבלות שפורטו בחווה"ד. במועד זה יתייצב עד השעה 08:00 במשרדי הממונה ברמלה.</w:t>
      </w:r>
    </w:p>
    <w:p w14:paraId="4FDC9C2E" w14:textId="77777777" w:rsidR="009107EE" w:rsidRDefault="009107EE" w:rsidP="009107EE">
      <w:pPr>
        <w:numPr>
          <w:ilvl w:val="0"/>
          <w:numId w:val="2"/>
        </w:numPr>
        <w:spacing w:after="160" w:line="360" w:lineRule="auto"/>
        <w:contextualSpacing/>
        <w:jc w:val="both"/>
      </w:pPr>
      <w:r>
        <w:rPr>
          <w:rFonts w:hint="cs"/>
          <w:rtl/>
        </w:rPr>
        <w:t xml:space="preserve">הנאשם מוזהר בחובת שיתוף פעולה עם הממונה, וככל שלא יעשה כן ניתן יהיה להפקיע את העבודות ולהמירן במאסר ממש. </w:t>
      </w:r>
    </w:p>
    <w:p w14:paraId="5D6080A7" w14:textId="77777777" w:rsidR="009107EE" w:rsidRDefault="009107EE" w:rsidP="009107EE">
      <w:pPr>
        <w:numPr>
          <w:ilvl w:val="0"/>
          <w:numId w:val="2"/>
        </w:numPr>
        <w:spacing w:after="160" w:line="360" w:lineRule="auto"/>
        <w:contextualSpacing/>
        <w:jc w:val="both"/>
      </w:pPr>
      <w:r>
        <w:rPr>
          <w:rFonts w:hint="cs"/>
          <w:rtl/>
        </w:rPr>
        <w:t xml:space="preserve">מאסר על תנאי בן 9 חודשים לבל יעבור הנאשם עבירת נשק מסוג פשע תוך 3 שנים מיום שחרורו. </w:t>
      </w:r>
    </w:p>
    <w:p w14:paraId="5A346EBE" w14:textId="77777777" w:rsidR="009107EE" w:rsidRDefault="009107EE" w:rsidP="009107EE">
      <w:pPr>
        <w:numPr>
          <w:ilvl w:val="0"/>
          <w:numId w:val="2"/>
        </w:numPr>
        <w:spacing w:after="160" w:line="360" w:lineRule="auto"/>
        <w:contextualSpacing/>
        <w:jc w:val="both"/>
      </w:pPr>
      <w:r>
        <w:rPr>
          <w:rFonts w:hint="cs"/>
          <w:rtl/>
        </w:rPr>
        <w:t xml:space="preserve">קנס בסך 2,000 ₪ או 30 ימי מאסר. הקנס ישולם בשני תשלומים שווים ורצופים החל מיום 15.9.24. </w:t>
      </w:r>
    </w:p>
    <w:p w14:paraId="28895454" w14:textId="77777777" w:rsidR="009107EE" w:rsidRDefault="009107EE" w:rsidP="009107EE">
      <w:pPr>
        <w:numPr>
          <w:ilvl w:val="0"/>
          <w:numId w:val="2"/>
        </w:numPr>
        <w:spacing w:after="160" w:line="360" w:lineRule="auto"/>
        <w:contextualSpacing/>
        <w:jc w:val="both"/>
      </w:pPr>
      <w:r>
        <w:rPr>
          <w:rFonts w:hint="cs"/>
          <w:rtl/>
        </w:rPr>
        <w:t xml:space="preserve">צו מבחן למשך שנה החל מהיום. </w:t>
      </w:r>
    </w:p>
    <w:p w14:paraId="3774E42C" w14:textId="77777777" w:rsidR="009107EE" w:rsidRDefault="009107EE" w:rsidP="009107EE">
      <w:pPr>
        <w:spacing w:line="360" w:lineRule="auto"/>
        <w:ind w:left="1080"/>
        <w:contextualSpacing/>
        <w:jc w:val="both"/>
      </w:pPr>
    </w:p>
    <w:p w14:paraId="1A6234AB" w14:textId="77777777" w:rsidR="009107EE" w:rsidRDefault="009107EE" w:rsidP="009107EE">
      <w:pPr>
        <w:spacing w:line="360" w:lineRule="auto"/>
        <w:ind w:left="1080"/>
        <w:contextualSpacing/>
        <w:jc w:val="both"/>
        <w:rPr>
          <w:rtl/>
        </w:rPr>
      </w:pPr>
    </w:p>
    <w:p w14:paraId="448B3EF1" w14:textId="77777777" w:rsidR="009107EE" w:rsidRDefault="009107EE" w:rsidP="009107EE">
      <w:pPr>
        <w:spacing w:line="360" w:lineRule="auto"/>
        <w:jc w:val="both"/>
        <w:rPr>
          <w:rtl/>
        </w:rPr>
      </w:pPr>
      <w:r>
        <w:rPr>
          <w:rFonts w:hint="cs"/>
          <w:rtl/>
        </w:rPr>
        <w:t>הנשק והתחמושת יושמדו.</w:t>
      </w:r>
    </w:p>
    <w:p w14:paraId="2CFA6D95" w14:textId="77777777" w:rsidR="009107EE" w:rsidRDefault="009107EE" w:rsidP="009107EE">
      <w:pPr>
        <w:spacing w:line="360" w:lineRule="auto"/>
        <w:jc w:val="both"/>
        <w:rPr>
          <w:rtl/>
        </w:rPr>
      </w:pPr>
      <w:r>
        <w:rPr>
          <w:rFonts w:hint="cs"/>
          <w:rtl/>
        </w:rPr>
        <w:t xml:space="preserve">העתק גזר הדין יישלח לשירות המבחן ולממונה על עבודות השירות </w:t>
      </w:r>
    </w:p>
    <w:p w14:paraId="1E4AB24A" w14:textId="77777777" w:rsidR="009107EE" w:rsidRDefault="009107EE" w:rsidP="009107EE">
      <w:pPr>
        <w:spacing w:line="360" w:lineRule="auto"/>
        <w:ind w:left="1080"/>
        <w:contextualSpacing/>
        <w:jc w:val="both"/>
        <w:rPr>
          <w:rtl/>
        </w:rPr>
      </w:pPr>
    </w:p>
    <w:p w14:paraId="32A68D76" w14:textId="77777777" w:rsidR="009107EE" w:rsidRPr="009107EE" w:rsidRDefault="009107EE" w:rsidP="009107EE">
      <w:pPr>
        <w:spacing w:line="360" w:lineRule="auto"/>
        <w:jc w:val="both"/>
        <w:rPr>
          <w:rFonts w:ascii="Calibri" w:eastAsia="Calibri" w:hAnsi="Calibri" w:cs="Arial"/>
          <w:sz w:val="22"/>
          <w:szCs w:val="22"/>
        </w:rPr>
      </w:pPr>
      <w:r>
        <w:rPr>
          <w:rFonts w:hint="cs"/>
          <w:b/>
          <w:bCs/>
          <w:rtl/>
        </w:rPr>
        <w:t>זכות ערעור לבית המשפט העליון תוך 45 יום.</w:t>
      </w:r>
    </w:p>
    <w:p w14:paraId="3A8DB3C5" w14:textId="77777777" w:rsidR="009107EE" w:rsidRDefault="009107EE" w:rsidP="009107EE">
      <w:pPr>
        <w:rPr>
          <w:rFonts w:ascii="David" w:eastAsia="David" w:hAnsi="David"/>
        </w:rPr>
      </w:pPr>
    </w:p>
    <w:p w14:paraId="6936667A" w14:textId="77777777" w:rsidR="009107EE" w:rsidRPr="00C925FE" w:rsidRDefault="00C925FE" w:rsidP="009107EE">
      <w:pPr>
        <w:rPr>
          <w:rFonts w:ascii="Arial" w:hAnsi="Arial"/>
          <w:b/>
          <w:bCs/>
          <w:color w:val="FFFFFF"/>
          <w:sz w:val="2"/>
          <w:szCs w:val="2"/>
          <w:rtl/>
        </w:rPr>
      </w:pPr>
      <w:r w:rsidRPr="00C925FE">
        <w:rPr>
          <w:rFonts w:ascii="Arial" w:hAnsi="Arial"/>
          <w:b/>
          <w:bCs/>
          <w:color w:val="FFFFFF"/>
          <w:sz w:val="2"/>
          <w:szCs w:val="2"/>
          <w:rtl/>
        </w:rPr>
        <w:t>5129371</w:t>
      </w:r>
    </w:p>
    <w:p w14:paraId="67065552" w14:textId="77777777" w:rsidR="009107EE" w:rsidRPr="00C925FE" w:rsidRDefault="00C925FE" w:rsidP="009107EE">
      <w:pPr>
        <w:rPr>
          <w:rFonts w:ascii="Arial" w:hAnsi="Arial"/>
          <w:b/>
          <w:bCs/>
          <w:color w:val="FFFFFF"/>
          <w:sz w:val="2"/>
          <w:szCs w:val="2"/>
          <w:rtl/>
        </w:rPr>
      </w:pPr>
      <w:r w:rsidRPr="00C925FE">
        <w:rPr>
          <w:rFonts w:ascii="Arial" w:hAnsi="Arial"/>
          <w:b/>
          <w:bCs/>
          <w:color w:val="FFFFFF"/>
          <w:sz w:val="2"/>
          <w:szCs w:val="2"/>
          <w:rtl/>
        </w:rPr>
        <w:t>54678313</w:t>
      </w:r>
    </w:p>
    <w:p w14:paraId="7904266B" w14:textId="77777777" w:rsidR="009107EE" w:rsidRPr="000F2247" w:rsidRDefault="009107EE" w:rsidP="009107EE">
      <w:pPr>
        <w:rPr>
          <w:rFonts w:ascii="Arial" w:hAnsi="Arial"/>
          <w:b/>
          <w:bCs/>
          <w:sz w:val="26"/>
          <w:szCs w:val="26"/>
          <w:rtl/>
        </w:rPr>
      </w:pPr>
    </w:p>
    <w:p w14:paraId="2F42CBD6" w14:textId="77777777" w:rsidR="009107EE" w:rsidRPr="000F2247" w:rsidRDefault="00C925FE" w:rsidP="009107EE">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ב' תמוז תשפ"ד, 08 יולי 2024, במעמד הצדדים. </w:t>
      </w:r>
      <w:bookmarkEnd w:id="8"/>
      <w:r w:rsidR="009107EE">
        <w:rPr>
          <w:rFonts w:ascii="Arial" w:hAnsi="Arial"/>
          <w:b/>
          <w:bCs/>
          <w:sz w:val="26"/>
          <w:szCs w:val="26"/>
          <w:rtl/>
        </w:rPr>
        <w:tab/>
      </w:r>
      <w:r w:rsidR="009107EE">
        <w:rPr>
          <w:rFonts w:ascii="Arial" w:hAnsi="Arial"/>
          <w:b/>
          <w:bCs/>
          <w:sz w:val="26"/>
          <w:szCs w:val="26"/>
          <w:rtl/>
        </w:rPr>
        <w:tab/>
      </w:r>
      <w:r w:rsidR="009107EE">
        <w:rPr>
          <w:rFonts w:ascii="Arial" w:hAnsi="Arial"/>
          <w:b/>
          <w:bCs/>
          <w:sz w:val="26"/>
          <w:szCs w:val="26"/>
          <w:rtl/>
        </w:rPr>
        <w:tab/>
      </w:r>
      <w:r w:rsidR="009107EE">
        <w:rPr>
          <w:rFonts w:ascii="Arial" w:hAnsi="Arial"/>
          <w:b/>
          <w:bCs/>
          <w:sz w:val="26"/>
          <w:szCs w:val="26"/>
          <w:rtl/>
        </w:rPr>
        <w:tab/>
      </w:r>
      <w:r w:rsidR="009107EE">
        <w:rPr>
          <w:rFonts w:ascii="Arial" w:hAnsi="Arial"/>
          <w:b/>
          <w:bCs/>
          <w:sz w:val="26"/>
          <w:szCs w:val="26"/>
          <w:rtl/>
        </w:rPr>
        <w:tab/>
      </w:r>
      <w:r w:rsidR="009107EE">
        <w:rPr>
          <w:rFonts w:ascii="Arial" w:hAnsi="Arial"/>
          <w:b/>
          <w:bCs/>
          <w:sz w:val="26"/>
          <w:szCs w:val="26"/>
          <w:rtl/>
        </w:rPr>
        <w:tab/>
      </w:r>
      <w:r w:rsidR="009107EE">
        <w:rPr>
          <w:rFonts w:ascii="Arial" w:hAnsi="Arial"/>
          <w:b/>
          <w:bCs/>
          <w:sz w:val="26"/>
          <w:szCs w:val="26"/>
          <w:rtl/>
        </w:rPr>
        <w:tab/>
      </w:r>
      <w:r w:rsidR="009107EE">
        <w:rPr>
          <w:rFonts w:ascii="Arial" w:hAnsi="Arial" w:hint="cs"/>
          <w:b/>
          <w:bCs/>
          <w:sz w:val="26"/>
          <w:szCs w:val="26"/>
          <w:rtl/>
        </w:rPr>
        <w:t xml:space="preserve">         </w:t>
      </w:r>
    </w:p>
    <w:p w14:paraId="3092990D" w14:textId="77777777" w:rsidR="00C925FE" w:rsidRDefault="00C925FE" w:rsidP="00C925FE">
      <w:pPr>
        <w:rPr>
          <w:rtl/>
        </w:rPr>
      </w:pPr>
    </w:p>
    <w:p w14:paraId="03064611" w14:textId="77777777" w:rsidR="00C925FE" w:rsidRDefault="00C925FE" w:rsidP="00C925FE">
      <w:pPr>
        <w:jc w:val="center"/>
        <w:rPr>
          <w:color w:val="0000FF"/>
          <w:u w:val="single"/>
        </w:rPr>
      </w:pPr>
      <w:hyperlink r:id="rId23" w:history="1">
        <w:r>
          <w:rPr>
            <w:color w:val="0000FF"/>
            <w:u w:val="single"/>
            <w:rtl/>
          </w:rPr>
          <w:t>בעניין עריכה ושינויים במסמכי פסיקה, חקיקה ועוד באתר נבו – הקש כאן</w:t>
        </w:r>
      </w:hyperlink>
    </w:p>
    <w:p w14:paraId="22BAB273" w14:textId="77777777" w:rsidR="009123C4" w:rsidRPr="009123C4" w:rsidRDefault="009123C4" w:rsidP="009123C4">
      <w:pPr>
        <w:keepNext/>
        <w:rPr>
          <w:rFonts w:ascii="David" w:hAnsi="David"/>
          <w:color w:val="000000"/>
          <w:sz w:val="22"/>
          <w:szCs w:val="22"/>
          <w:rtl/>
        </w:rPr>
      </w:pPr>
    </w:p>
    <w:p w14:paraId="6F5CA910" w14:textId="77777777" w:rsidR="009123C4" w:rsidRPr="009123C4" w:rsidRDefault="009123C4" w:rsidP="009123C4">
      <w:pPr>
        <w:keepNext/>
        <w:rPr>
          <w:rFonts w:ascii="David" w:hAnsi="David"/>
          <w:color w:val="000000"/>
          <w:sz w:val="22"/>
          <w:szCs w:val="22"/>
          <w:rtl/>
        </w:rPr>
      </w:pPr>
      <w:r w:rsidRPr="009123C4">
        <w:rPr>
          <w:rFonts w:ascii="David" w:hAnsi="David"/>
          <w:color w:val="000000"/>
          <w:sz w:val="22"/>
          <w:szCs w:val="22"/>
          <w:rtl/>
        </w:rPr>
        <w:t>מרב גרינברג 54678313-/</w:t>
      </w:r>
    </w:p>
    <w:p w14:paraId="50CEC000" w14:textId="77777777" w:rsidR="00C925FE" w:rsidRPr="00C925FE" w:rsidRDefault="009123C4" w:rsidP="009123C4">
      <w:pPr>
        <w:rPr>
          <w:color w:val="0000FF"/>
          <w:u w:val="single"/>
        </w:rPr>
      </w:pPr>
      <w:r w:rsidRPr="009123C4">
        <w:rPr>
          <w:color w:val="000000"/>
          <w:u w:val="single"/>
          <w:rtl/>
        </w:rPr>
        <w:t>נוסח מסמך זה כפוף לשינויי ניסוח ועריכה</w:t>
      </w:r>
    </w:p>
    <w:sectPr w:rsidR="00C925FE" w:rsidRPr="00C925FE" w:rsidSect="009123C4">
      <w:headerReference w:type="even" r:id="rId24"/>
      <w:headerReference w:type="default" r:id="rId25"/>
      <w:footerReference w:type="even" r:id="rId26"/>
      <w:footerReference w:type="default" r:id="rId27"/>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21C4EF" w14:textId="77777777" w:rsidR="00492968" w:rsidRDefault="00492968" w:rsidP="00F56DEE">
      <w:r>
        <w:separator/>
      </w:r>
    </w:p>
  </w:endnote>
  <w:endnote w:type="continuationSeparator" w:id="0">
    <w:p w14:paraId="4E759D66" w14:textId="77777777" w:rsidR="00492968" w:rsidRDefault="00492968" w:rsidP="00F56D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633D7F" w14:textId="77777777" w:rsidR="009123C4" w:rsidRDefault="009123C4" w:rsidP="009123C4">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7D3B0A13" w14:textId="77777777" w:rsidR="007C1D74" w:rsidRPr="009123C4" w:rsidRDefault="009123C4" w:rsidP="009123C4">
    <w:pPr>
      <w:pStyle w:val="a5"/>
      <w:pBdr>
        <w:top w:val="single" w:sz="4" w:space="1" w:color="auto"/>
        <w:between w:val="single" w:sz="4" w:space="0" w:color="auto"/>
      </w:pBdr>
      <w:spacing w:after="60"/>
      <w:jc w:val="center"/>
      <w:rPr>
        <w:rFonts w:ascii="FrankRuehl" w:hAnsi="FrankRuehl" w:cs="FrankRuehl"/>
        <w:color w:val="000000"/>
      </w:rPr>
    </w:pPr>
    <w:r w:rsidRPr="009123C4">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83C6A0" w14:textId="77777777" w:rsidR="009123C4" w:rsidRDefault="009123C4" w:rsidP="009123C4">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265C9C">
      <w:rPr>
        <w:rFonts w:ascii="FrankRuehl" w:hAnsi="FrankRuehl" w:cs="FrankRuehl"/>
        <w:noProof/>
        <w:rtl/>
      </w:rPr>
      <w:t>1</w:t>
    </w:r>
    <w:r>
      <w:rPr>
        <w:rFonts w:ascii="FrankRuehl" w:hAnsi="FrankRuehl" w:cs="FrankRuehl"/>
        <w:rtl/>
      </w:rPr>
      <w:fldChar w:fldCharType="end"/>
    </w:r>
  </w:p>
  <w:p w14:paraId="0567BFCC" w14:textId="77777777" w:rsidR="007C1D74" w:rsidRPr="009123C4" w:rsidRDefault="009123C4" w:rsidP="009123C4">
    <w:pPr>
      <w:pStyle w:val="a5"/>
      <w:pBdr>
        <w:top w:val="single" w:sz="4" w:space="1" w:color="auto"/>
        <w:between w:val="single" w:sz="4" w:space="0" w:color="auto"/>
      </w:pBdr>
      <w:spacing w:after="60"/>
      <w:jc w:val="center"/>
      <w:rPr>
        <w:rFonts w:ascii="FrankRuehl" w:hAnsi="FrankRuehl" w:cs="FrankRuehl"/>
        <w:color w:val="000000"/>
      </w:rPr>
    </w:pPr>
    <w:r w:rsidRPr="009123C4">
      <w:rPr>
        <w:rFonts w:ascii="FrankRuehl" w:hAnsi="FrankRuehl" w:cs="FrankRuehl"/>
        <w:color w:val="000000"/>
      </w:rPr>
      <w:pict w14:anchorId="13ACE7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A11917" w14:textId="77777777" w:rsidR="00492968" w:rsidRDefault="00492968" w:rsidP="00F56DEE">
      <w:r>
        <w:separator/>
      </w:r>
    </w:p>
  </w:footnote>
  <w:footnote w:type="continuationSeparator" w:id="0">
    <w:p w14:paraId="40FAFDB9" w14:textId="77777777" w:rsidR="00492968" w:rsidRDefault="00492968" w:rsidP="00F56D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A5DFFB" w14:textId="77777777" w:rsidR="00C925FE" w:rsidRPr="009123C4" w:rsidRDefault="009123C4" w:rsidP="009123C4">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(מרכז) 23328-12-22</w:t>
    </w:r>
    <w:r>
      <w:rPr>
        <w:rFonts w:ascii="David" w:hAnsi="David"/>
        <w:color w:val="000000"/>
        <w:sz w:val="22"/>
        <w:szCs w:val="22"/>
        <w:rtl/>
      </w:rPr>
      <w:tab/>
      <w:t xml:space="preserve"> מדינת ישראל נ' עבדאללה נאטור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061433" w14:textId="77777777" w:rsidR="00C925FE" w:rsidRPr="009123C4" w:rsidRDefault="009123C4" w:rsidP="009123C4">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(מרכז) 23328-12-22</w:t>
    </w:r>
    <w:r>
      <w:rPr>
        <w:rFonts w:ascii="David" w:hAnsi="David"/>
        <w:color w:val="000000"/>
        <w:sz w:val="22"/>
        <w:szCs w:val="22"/>
        <w:rtl/>
      </w:rPr>
      <w:tab/>
      <w:t xml:space="preserve"> מדינת ישראל נ' עבדאללה נאטור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26A0D32"/>
    <w:multiLevelType w:val="hybridMultilevel"/>
    <w:tmpl w:val="90429E98"/>
    <w:lvl w:ilvl="0" w:tplc="B5BC5C6C">
      <w:start w:val="1"/>
      <w:numFmt w:val="hebrew1"/>
      <w:lvlText w:val="%1."/>
      <w:lvlJc w:val="left"/>
      <w:pPr>
        <w:ind w:left="1080" w:hanging="360"/>
      </w:pPr>
      <w:rPr>
        <w:b w:val="0"/>
        <w:bCs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7EC356E9"/>
    <w:multiLevelType w:val="hybridMultilevel"/>
    <w:tmpl w:val="62105F5C"/>
    <w:lvl w:ilvl="0" w:tplc="F1AE4750">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13614629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2052879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107EE"/>
    <w:rsid w:val="001B5A3B"/>
    <w:rsid w:val="00265C9C"/>
    <w:rsid w:val="00492968"/>
    <w:rsid w:val="007C1D74"/>
    <w:rsid w:val="009107EE"/>
    <w:rsid w:val="009123C4"/>
    <w:rsid w:val="009B5297"/>
    <w:rsid w:val="00A50CBF"/>
    <w:rsid w:val="00C925FE"/>
    <w:rsid w:val="00F56DE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A285662"/>
  <w15:chartTrackingRefBased/>
  <w15:docId w15:val="{D863FBF7-260F-48E4-B0E3-4B63B6C21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107EE"/>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107EE"/>
    <w:pPr>
      <w:tabs>
        <w:tab w:val="center" w:pos="4153"/>
        <w:tab w:val="right" w:pos="8306"/>
      </w:tabs>
    </w:pPr>
  </w:style>
  <w:style w:type="character" w:customStyle="1" w:styleId="a4">
    <w:name w:val="כותרת עליונה תו"/>
    <w:link w:val="a3"/>
    <w:rsid w:val="009107EE"/>
    <w:rPr>
      <w:rFonts w:ascii="Times New Roman" w:eastAsia="Times New Roman" w:hAnsi="Times New Roman" w:cs="David"/>
      <w:sz w:val="24"/>
      <w:szCs w:val="24"/>
    </w:rPr>
  </w:style>
  <w:style w:type="paragraph" w:styleId="a5">
    <w:name w:val="footer"/>
    <w:basedOn w:val="a"/>
    <w:link w:val="a6"/>
    <w:rsid w:val="009107EE"/>
    <w:pPr>
      <w:tabs>
        <w:tab w:val="center" w:pos="4153"/>
        <w:tab w:val="right" w:pos="8306"/>
      </w:tabs>
    </w:pPr>
  </w:style>
  <w:style w:type="character" w:customStyle="1" w:styleId="a6">
    <w:name w:val="כותרת תחתונה תו"/>
    <w:link w:val="a5"/>
    <w:rsid w:val="009107EE"/>
    <w:rPr>
      <w:rFonts w:ascii="Times New Roman" w:eastAsia="Times New Roman" w:hAnsi="Times New Roman" w:cs="David"/>
      <w:sz w:val="24"/>
      <w:szCs w:val="24"/>
    </w:rPr>
  </w:style>
  <w:style w:type="table" w:styleId="a7">
    <w:name w:val="Table Grid"/>
    <w:basedOn w:val="a1"/>
    <w:rsid w:val="009107EE"/>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9107EE"/>
  </w:style>
  <w:style w:type="paragraph" w:styleId="a9">
    <w:name w:val="List Paragraph"/>
    <w:basedOn w:val="a"/>
    <w:qFormat/>
    <w:rsid w:val="009107EE"/>
    <w:pPr>
      <w:ind w:left="720"/>
      <w:contextualSpacing/>
    </w:pPr>
    <w:rPr>
      <w:rFonts w:ascii="David" w:eastAsia="David" w:hAnsi="David"/>
    </w:rPr>
  </w:style>
  <w:style w:type="character" w:styleId="Hyperlink">
    <w:name w:val="Hyperlink"/>
    <w:rsid w:val="00C925FE"/>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31" TargetMode="External"/><Relationship Id="rId13" Type="http://schemas.openxmlformats.org/officeDocument/2006/relationships/hyperlink" Target="http://www.nevo.co.il/case/29211221" TargetMode="External"/><Relationship Id="rId18" Type="http://schemas.openxmlformats.org/officeDocument/2006/relationships/hyperlink" Target="http://www.nevo.co.il/case/5568354"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www.nevo.co.il/case/28152132" TargetMode="External"/><Relationship Id="rId7" Type="http://schemas.openxmlformats.org/officeDocument/2006/relationships/hyperlink" Target="http://www.nevo.co.il/law/70301" TargetMode="External"/><Relationship Id="rId12" Type="http://schemas.openxmlformats.org/officeDocument/2006/relationships/hyperlink" Target="http://www.nevo.co.il/law/70301" TargetMode="External"/><Relationship Id="rId17" Type="http://schemas.openxmlformats.org/officeDocument/2006/relationships/hyperlink" Target="http://www.nevo.co.il/case/28452933" TargetMode="External"/><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www.nevo.co.il/case/28152132" TargetMode="External"/><Relationship Id="rId20" Type="http://schemas.openxmlformats.org/officeDocument/2006/relationships/hyperlink" Target="http://www.nevo.co.il/case/27491153"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31"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www.nevo.co.il/case/27911638" TargetMode="External"/><Relationship Id="rId23" Type="http://schemas.openxmlformats.org/officeDocument/2006/relationships/hyperlink" Target="http://www.nevo.co.il/advertisements/nevo-100.doc" TargetMode="External"/><Relationship Id="rId28" Type="http://schemas.openxmlformats.org/officeDocument/2006/relationships/fontTable" Target="fontTable.xml"/><Relationship Id="rId10" Type="http://schemas.openxmlformats.org/officeDocument/2006/relationships/hyperlink" Target="http://www.nevo.co.il/law/70301/144.a" TargetMode="External"/><Relationship Id="rId19" Type="http://schemas.openxmlformats.org/officeDocument/2006/relationships/hyperlink" Target="http://www.nevo.co.il/case/28513828" TargetMode="External"/><Relationship Id="rId4" Type="http://schemas.openxmlformats.org/officeDocument/2006/relationships/webSettings" Target="webSettings.xml"/><Relationship Id="rId9" Type="http://schemas.openxmlformats.org/officeDocument/2006/relationships/hyperlink" Target="http://www.nevo.co.il/law/70301/144.a" TargetMode="External"/><Relationship Id="rId14" Type="http://schemas.openxmlformats.org/officeDocument/2006/relationships/hyperlink" Target="http://www.nevo.co.il/case/27894608" TargetMode="External"/><Relationship Id="rId22" Type="http://schemas.openxmlformats.org/officeDocument/2006/relationships/hyperlink" Target="http://www.nevo.co.il/case/29211221" TargetMode="External"/><Relationship Id="rId27"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1527</Words>
  <Characters>7639</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9148</CharactersWithSpaces>
  <SharedDoc>false</SharedDoc>
  <HLinks>
    <vt:vector size="102" baseType="variant">
      <vt:variant>
        <vt:i4>393283</vt:i4>
      </vt:variant>
      <vt:variant>
        <vt:i4>48</vt:i4>
      </vt:variant>
      <vt:variant>
        <vt:i4>0</vt:i4>
      </vt:variant>
      <vt:variant>
        <vt:i4>5</vt:i4>
      </vt:variant>
      <vt:variant>
        <vt:lpwstr>http://www.nevo.co.il/advertisements/nevo-100.doc</vt:lpwstr>
      </vt:variant>
      <vt:variant>
        <vt:lpwstr/>
      </vt:variant>
      <vt:variant>
        <vt:i4>3342462</vt:i4>
      </vt:variant>
      <vt:variant>
        <vt:i4>45</vt:i4>
      </vt:variant>
      <vt:variant>
        <vt:i4>0</vt:i4>
      </vt:variant>
      <vt:variant>
        <vt:i4>5</vt:i4>
      </vt:variant>
      <vt:variant>
        <vt:lpwstr>http://www.nevo.co.il/case/29211221</vt:lpwstr>
      </vt:variant>
      <vt:variant>
        <vt:lpwstr/>
      </vt:variant>
      <vt:variant>
        <vt:i4>3276920</vt:i4>
      </vt:variant>
      <vt:variant>
        <vt:i4>42</vt:i4>
      </vt:variant>
      <vt:variant>
        <vt:i4>0</vt:i4>
      </vt:variant>
      <vt:variant>
        <vt:i4>5</vt:i4>
      </vt:variant>
      <vt:variant>
        <vt:lpwstr>http://www.nevo.co.il/case/28152132</vt:lpwstr>
      </vt:variant>
      <vt:variant>
        <vt:lpwstr/>
      </vt:variant>
      <vt:variant>
        <vt:i4>3276923</vt:i4>
      </vt:variant>
      <vt:variant>
        <vt:i4>39</vt:i4>
      </vt:variant>
      <vt:variant>
        <vt:i4>0</vt:i4>
      </vt:variant>
      <vt:variant>
        <vt:i4>5</vt:i4>
      </vt:variant>
      <vt:variant>
        <vt:lpwstr>http://www.nevo.co.il/case/27491153</vt:lpwstr>
      </vt:variant>
      <vt:variant>
        <vt:lpwstr/>
      </vt:variant>
      <vt:variant>
        <vt:i4>3539061</vt:i4>
      </vt:variant>
      <vt:variant>
        <vt:i4>36</vt:i4>
      </vt:variant>
      <vt:variant>
        <vt:i4>0</vt:i4>
      </vt:variant>
      <vt:variant>
        <vt:i4>5</vt:i4>
      </vt:variant>
      <vt:variant>
        <vt:lpwstr>http://www.nevo.co.il/case/28513828</vt:lpwstr>
      </vt:variant>
      <vt:variant>
        <vt:lpwstr/>
      </vt:variant>
      <vt:variant>
        <vt:i4>3407996</vt:i4>
      </vt:variant>
      <vt:variant>
        <vt:i4>33</vt:i4>
      </vt:variant>
      <vt:variant>
        <vt:i4>0</vt:i4>
      </vt:variant>
      <vt:variant>
        <vt:i4>5</vt:i4>
      </vt:variant>
      <vt:variant>
        <vt:lpwstr>http://www.nevo.co.il/case/5568354</vt:lpwstr>
      </vt:variant>
      <vt:variant>
        <vt:lpwstr/>
      </vt:variant>
      <vt:variant>
        <vt:i4>3604592</vt:i4>
      </vt:variant>
      <vt:variant>
        <vt:i4>30</vt:i4>
      </vt:variant>
      <vt:variant>
        <vt:i4>0</vt:i4>
      </vt:variant>
      <vt:variant>
        <vt:i4>5</vt:i4>
      </vt:variant>
      <vt:variant>
        <vt:lpwstr>http://www.nevo.co.il/case/28452933</vt:lpwstr>
      </vt:variant>
      <vt:variant>
        <vt:lpwstr/>
      </vt:variant>
      <vt:variant>
        <vt:i4>3276920</vt:i4>
      </vt:variant>
      <vt:variant>
        <vt:i4>27</vt:i4>
      </vt:variant>
      <vt:variant>
        <vt:i4>0</vt:i4>
      </vt:variant>
      <vt:variant>
        <vt:i4>5</vt:i4>
      </vt:variant>
      <vt:variant>
        <vt:lpwstr>http://www.nevo.co.il/case/28152132</vt:lpwstr>
      </vt:variant>
      <vt:variant>
        <vt:lpwstr/>
      </vt:variant>
      <vt:variant>
        <vt:i4>3735668</vt:i4>
      </vt:variant>
      <vt:variant>
        <vt:i4>24</vt:i4>
      </vt:variant>
      <vt:variant>
        <vt:i4>0</vt:i4>
      </vt:variant>
      <vt:variant>
        <vt:i4>5</vt:i4>
      </vt:variant>
      <vt:variant>
        <vt:lpwstr>http://www.nevo.co.il/case/27911638</vt:lpwstr>
      </vt:variant>
      <vt:variant>
        <vt:lpwstr/>
      </vt:variant>
      <vt:variant>
        <vt:i4>4063356</vt:i4>
      </vt:variant>
      <vt:variant>
        <vt:i4>21</vt:i4>
      </vt:variant>
      <vt:variant>
        <vt:i4>0</vt:i4>
      </vt:variant>
      <vt:variant>
        <vt:i4>5</vt:i4>
      </vt:variant>
      <vt:variant>
        <vt:lpwstr>http://www.nevo.co.il/case/27894608</vt:lpwstr>
      </vt:variant>
      <vt:variant>
        <vt:lpwstr/>
      </vt:variant>
      <vt:variant>
        <vt:i4>3342462</vt:i4>
      </vt:variant>
      <vt:variant>
        <vt:i4>18</vt:i4>
      </vt:variant>
      <vt:variant>
        <vt:i4>0</vt:i4>
      </vt:variant>
      <vt:variant>
        <vt:i4>5</vt:i4>
      </vt:variant>
      <vt:variant>
        <vt:lpwstr>http://www.nevo.co.il/case/29211221</vt:lpwstr>
      </vt:variant>
      <vt:variant>
        <vt:lpwstr/>
      </vt:variant>
      <vt:variant>
        <vt:i4>7995492</vt:i4>
      </vt:variant>
      <vt:variant>
        <vt:i4>15</vt:i4>
      </vt:variant>
      <vt:variant>
        <vt:i4>0</vt:i4>
      </vt:variant>
      <vt:variant>
        <vt:i4>5</vt:i4>
      </vt:variant>
      <vt:variant>
        <vt:lpwstr>http://www.nevo.co.il/law/70301</vt:lpwstr>
      </vt:variant>
      <vt:variant>
        <vt:lpwstr/>
      </vt:variant>
      <vt:variant>
        <vt:i4>6553702</vt:i4>
      </vt:variant>
      <vt:variant>
        <vt:i4>12</vt:i4>
      </vt:variant>
      <vt:variant>
        <vt:i4>0</vt:i4>
      </vt:variant>
      <vt:variant>
        <vt:i4>5</vt:i4>
      </vt:variant>
      <vt:variant>
        <vt:lpwstr>http://www.nevo.co.il/law/70301/31</vt:lpwstr>
      </vt:variant>
      <vt:variant>
        <vt:lpwstr/>
      </vt:variant>
      <vt:variant>
        <vt:i4>5177424</vt:i4>
      </vt:variant>
      <vt:variant>
        <vt:i4>9</vt:i4>
      </vt:variant>
      <vt:variant>
        <vt:i4>0</vt:i4>
      </vt:variant>
      <vt:variant>
        <vt:i4>5</vt:i4>
      </vt:variant>
      <vt:variant>
        <vt:lpwstr>http://www.nevo.co.il/law/70301/144.a</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6553702</vt:i4>
      </vt:variant>
      <vt:variant>
        <vt:i4>3</vt:i4>
      </vt:variant>
      <vt:variant>
        <vt:i4>0</vt:i4>
      </vt:variant>
      <vt:variant>
        <vt:i4>5</vt:i4>
      </vt:variant>
      <vt:variant>
        <vt:lpwstr>http://www.nevo.co.il/law/70301/31</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2025-01-19T16:58:00Z</dcterms:created>
  <dcterms:modified xsi:type="dcterms:W3CDTF">2025-01-19T16:58:00Z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23328</vt:lpwstr>
  </property>
  <property fmtid="{D5CDD505-2E9C-101B-9397-08002B2CF9AE}" pid="6" name="NEWPARTB">
    <vt:lpwstr>12</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עבדאללה נאטור</vt:lpwstr>
  </property>
  <property fmtid="{D5CDD505-2E9C-101B-9397-08002B2CF9AE}" pid="10" name="LAWYER">
    <vt:lpwstr>פאר;גיגי</vt:lpwstr>
  </property>
  <property fmtid="{D5CDD505-2E9C-101B-9397-08002B2CF9AE}" pid="11" name="JUDGE">
    <vt:lpwstr>מרב גרינברג</vt:lpwstr>
  </property>
  <property fmtid="{D5CDD505-2E9C-101B-9397-08002B2CF9AE}" pid="12" name="CITY">
    <vt:lpwstr>מרכז</vt:lpwstr>
  </property>
  <property fmtid="{D5CDD505-2E9C-101B-9397-08002B2CF9AE}" pid="13" name="DATE">
    <vt:lpwstr>20240708</vt:lpwstr>
  </property>
  <property fmtid="{D5CDD505-2E9C-101B-9397-08002B2CF9AE}" pid="14" name="TYPE_N_DATE">
    <vt:lpwstr>39020240708</vt:lpwstr>
  </property>
  <property fmtid="{D5CDD505-2E9C-101B-9397-08002B2CF9AE}" pid="15" name="CASESLISTTMP1">
    <vt:lpwstr>29211221:2;27894608;27911638;28152132:2;28452933;5568354;28513828;27491153</vt:lpwstr>
  </property>
  <property fmtid="{D5CDD505-2E9C-101B-9397-08002B2CF9AE}" pid="16" name="CASENOTES1">
    <vt:lpwstr>ProcID=133;209&amp;PartA=78&amp;PartC=21</vt:lpwstr>
  </property>
  <property fmtid="{D5CDD505-2E9C-101B-9397-08002B2CF9AE}" pid="17" name="WORDNUMPAGES">
    <vt:lpwstr>5</vt:lpwstr>
  </property>
  <property fmtid="{D5CDD505-2E9C-101B-9397-08002B2CF9AE}" pid="18" name="TYPE_ABS_DATE">
    <vt:lpwstr>390020240708</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ISABSTRACT">
    <vt:lpwstr>Y</vt:lpwstr>
  </property>
  <property fmtid="{D5CDD505-2E9C-101B-9397-08002B2CF9AE}" pid="37" name="LAWLISTTMP1">
    <vt:lpwstr>70301/144.a;031</vt:lpwstr>
  </property>
</Properties>
</file>