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1"/>
        <w:gridCol w:w="3127"/>
        <w:gridCol w:w="1060"/>
        <w:gridCol w:w="3447"/>
        <w:gridCol w:w="216"/>
      </w:tblGrid>
      <w:tr w:rsidR="00E27212" w:rsidRPr="00D82FB5" w14:paraId="7CC18DA0" w14:textId="77777777" w:rsidTr="00D82FB5">
        <w:trPr>
          <w:trHeight w:hRule="exact" w:val="418"/>
          <w:jc w:val="center"/>
        </w:trPr>
        <w:tc>
          <w:tcPr>
            <w:tcW w:w="8721" w:type="dxa"/>
            <w:gridSpan w:val="5"/>
          </w:tcPr>
          <w:p w14:paraId="3D5B9074" w14:textId="77777777" w:rsidR="00E27212" w:rsidRPr="00D82FB5" w:rsidRDefault="00E27212" w:rsidP="00796D73">
            <w:pPr>
              <w:pStyle w:val="a3"/>
              <w:jc w:val="center"/>
              <w:rPr>
                <w:rFonts w:ascii="Tahoma" w:hAnsi="Tahoma"/>
                <w:color w:val="000080"/>
                <w:rtl/>
              </w:rPr>
            </w:pPr>
            <w:bookmarkStart w:id="0" w:name="LastJudge"/>
            <w:r w:rsidRPr="00D82FB5">
              <w:rPr>
                <w:rFonts w:ascii="Tahoma" w:hAnsi="Tahoma"/>
                <w:b/>
                <w:bCs/>
                <w:color w:val="000080"/>
                <w:rtl/>
              </w:rPr>
              <w:t>בית המשפט המחוזי בחיפה</w:t>
            </w:r>
          </w:p>
        </w:tc>
      </w:tr>
      <w:tr w:rsidR="00E27212" w:rsidRPr="00D82FB5" w14:paraId="705C15E2" w14:textId="77777777" w:rsidTr="00D82FB5">
        <w:trPr>
          <w:trHeight w:val="337"/>
          <w:jc w:val="center"/>
        </w:trPr>
        <w:tc>
          <w:tcPr>
            <w:tcW w:w="5058" w:type="dxa"/>
            <w:gridSpan w:val="3"/>
          </w:tcPr>
          <w:p w14:paraId="28632B03" w14:textId="77777777" w:rsidR="00E27212" w:rsidRPr="00D82FB5" w:rsidRDefault="00E27212" w:rsidP="00796D73">
            <w:pPr>
              <w:rPr>
                <w:sz w:val="28"/>
                <w:szCs w:val="28"/>
                <w:rtl/>
              </w:rPr>
            </w:pPr>
            <w:r w:rsidRPr="00D82FB5">
              <w:rPr>
                <w:sz w:val="28"/>
                <w:szCs w:val="28"/>
                <w:rtl/>
              </w:rPr>
              <w:t>ת"פ</w:t>
            </w:r>
            <w:r w:rsidRPr="00D82FB5">
              <w:rPr>
                <w:rFonts w:hint="cs"/>
                <w:sz w:val="28"/>
                <w:szCs w:val="28"/>
                <w:rtl/>
              </w:rPr>
              <w:t xml:space="preserve"> </w:t>
            </w:r>
            <w:r w:rsidRPr="00D82FB5">
              <w:rPr>
                <w:sz w:val="28"/>
                <w:szCs w:val="28"/>
                <w:rtl/>
              </w:rPr>
              <w:t>38886-12-22</w:t>
            </w:r>
            <w:r w:rsidRPr="00D82FB5">
              <w:rPr>
                <w:rFonts w:hint="cs"/>
                <w:sz w:val="28"/>
                <w:szCs w:val="28"/>
                <w:rtl/>
              </w:rPr>
              <w:t xml:space="preserve"> </w:t>
            </w:r>
            <w:r w:rsidRPr="00D82FB5">
              <w:rPr>
                <w:sz w:val="28"/>
                <w:szCs w:val="28"/>
                <w:rtl/>
              </w:rPr>
              <w:t>מדינת ישראל נ' סיידה(עציר) ואח'</w:t>
            </w:r>
          </w:p>
          <w:p w14:paraId="7F75DD8A" w14:textId="77777777" w:rsidR="00E27212" w:rsidRPr="00D82FB5" w:rsidRDefault="00E27212" w:rsidP="00796D73">
            <w:pPr>
              <w:pStyle w:val="a3"/>
              <w:rPr>
                <w:sz w:val="28"/>
                <w:szCs w:val="28"/>
                <w:rtl/>
              </w:rPr>
            </w:pPr>
          </w:p>
        </w:tc>
        <w:tc>
          <w:tcPr>
            <w:tcW w:w="3663" w:type="dxa"/>
            <w:gridSpan w:val="2"/>
          </w:tcPr>
          <w:p w14:paraId="67C0F3F6" w14:textId="77777777" w:rsidR="00E27212" w:rsidRPr="00D82FB5" w:rsidRDefault="00E27212" w:rsidP="00796D73">
            <w:pPr>
              <w:pStyle w:val="a3"/>
              <w:jc w:val="right"/>
              <w:rPr>
                <w:sz w:val="28"/>
                <w:szCs w:val="28"/>
                <w:rtl/>
              </w:rPr>
            </w:pPr>
          </w:p>
        </w:tc>
      </w:tr>
      <w:tr w:rsidR="00E27212" w:rsidRPr="00D82FB5" w14:paraId="42ECD75A" w14:textId="77777777" w:rsidTr="00D82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295"/>
          <w:jc w:val="center"/>
        </w:trPr>
        <w:tc>
          <w:tcPr>
            <w:tcW w:w="8505" w:type="dxa"/>
            <w:gridSpan w:val="4"/>
            <w:tcBorders>
              <w:top w:val="nil"/>
              <w:left w:val="nil"/>
              <w:bottom w:val="nil"/>
              <w:right w:val="nil"/>
            </w:tcBorders>
            <w:shd w:val="clear" w:color="auto" w:fill="auto"/>
          </w:tcPr>
          <w:p w14:paraId="17C06010" w14:textId="77777777" w:rsidR="00E27212" w:rsidRPr="00D82FB5" w:rsidRDefault="00E27212" w:rsidP="00E27212">
            <w:pPr>
              <w:jc w:val="both"/>
              <w:rPr>
                <w:rFonts w:ascii="David" w:hAnsi="David"/>
                <w:b/>
                <w:bCs/>
                <w:sz w:val="26"/>
                <w:szCs w:val="26"/>
                <w:rtl/>
              </w:rPr>
            </w:pPr>
            <w:r w:rsidRPr="00D82FB5">
              <w:rPr>
                <w:rFonts w:hint="cs"/>
                <w:rtl/>
              </w:rPr>
              <w:t xml:space="preserve"> </w:t>
            </w:r>
            <w:r w:rsidRPr="00D82FB5">
              <w:rPr>
                <w:rFonts w:ascii="David" w:hAnsi="David" w:hint="cs"/>
                <w:b/>
                <w:bCs/>
                <w:sz w:val="26"/>
                <w:szCs w:val="26"/>
                <w:rtl/>
              </w:rPr>
              <w:t>ל</w:t>
            </w:r>
            <w:r w:rsidRPr="00D82FB5">
              <w:rPr>
                <w:rFonts w:ascii="David" w:hAnsi="David"/>
                <w:b/>
                <w:bCs/>
                <w:sz w:val="26"/>
                <w:szCs w:val="26"/>
                <w:rtl/>
              </w:rPr>
              <w:t>פני כבוד השופט  מוחמד עלי</w:t>
            </w:r>
          </w:p>
          <w:p w14:paraId="4A31FB16" w14:textId="77777777" w:rsidR="00E27212" w:rsidRPr="00D82FB5" w:rsidRDefault="00E27212" w:rsidP="00796D73">
            <w:pPr>
              <w:rPr>
                <w:rFonts w:ascii="David" w:hAnsi="David"/>
                <w:b/>
                <w:bCs/>
                <w:sz w:val="26"/>
                <w:szCs w:val="26"/>
                <w:rtl/>
              </w:rPr>
            </w:pPr>
          </w:p>
          <w:p w14:paraId="7A7A5A73" w14:textId="77777777" w:rsidR="00E27212" w:rsidRPr="00D82FB5" w:rsidRDefault="00E27212" w:rsidP="00E27212">
            <w:pPr>
              <w:jc w:val="both"/>
              <w:rPr>
                <w:rFonts w:ascii="David" w:hAnsi="David"/>
                <w:b/>
                <w:bCs/>
                <w:sz w:val="26"/>
                <w:szCs w:val="26"/>
              </w:rPr>
            </w:pPr>
          </w:p>
        </w:tc>
      </w:tr>
      <w:tr w:rsidR="00E27212" w:rsidRPr="00D82FB5" w14:paraId="73A4CA04" w14:textId="77777777" w:rsidTr="00D82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130E6EFD" w14:textId="77777777" w:rsidR="00E27212" w:rsidRPr="00D82FB5" w:rsidRDefault="00E27212" w:rsidP="00E27212">
            <w:pPr>
              <w:jc w:val="both"/>
              <w:rPr>
                <w:rFonts w:ascii="David" w:hAnsi="David"/>
                <w:sz w:val="26"/>
                <w:szCs w:val="26"/>
              </w:rPr>
            </w:pPr>
            <w:bookmarkStart w:id="1" w:name="FirstAppellant"/>
            <w:r w:rsidRPr="00D82FB5">
              <w:rPr>
                <w:rFonts w:ascii="David" w:hAnsi="David"/>
                <w:sz w:val="26"/>
                <w:szCs w:val="26"/>
                <w:rtl/>
              </w:rPr>
              <w:t>בעניין:</w:t>
            </w:r>
          </w:p>
        </w:tc>
        <w:tc>
          <w:tcPr>
            <w:tcW w:w="3127" w:type="dxa"/>
            <w:tcBorders>
              <w:top w:val="nil"/>
              <w:left w:val="nil"/>
              <w:bottom w:val="nil"/>
              <w:right w:val="nil"/>
            </w:tcBorders>
            <w:shd w:val="clear" w:color="auto" w:fill="auto"/>
          </w:tcPr>
          <w:p w14:paraId="2BC4AAD7" w14:textId="77777777" w:rsidR="00E27212" w:rsidRPr="00D82FB5" w:rsidRDefault="00E27212" w:rsidP="00E27212">
            <w:pPr>
              <w:suppressLineNumbers/>
            </w:pPr>
            <w:r w:rsidRPr="00D82FB5">
              <w:rPr>
                <w:rFonts w:ascii="Arial" w:hAnsi="Arial" w:hint="cs"/>
                <w:b/>
                <w:bCs/>
                <w:sz w:val="26"/>
                <w:szCs w:val="26"/>
                <w:rtl/>
              </w:rPr>
              <w:t>ה</w:t>
            </w:r>
            <w:r w:rsidRPr="00D82FB5">
              <w:rPr>
                <w:rFonts w:ascii="Arial" w:hAnsi="Arial"/>
                <w:b/>
                <w:bCs/>
                <w:sz w:val="26"/>
                <w:szCs w:val="26"/>
                <w:rtl/>
              </w:rPr>
              <w:t>מאשימה</w:t>
            </w:r>
          </w:p>
          <w:p w14:paraId="32DAC629" w14:textId="77777777" w:rsidR="00E27212" w:rsidRPr="00D82FB5" w:rsidRDefault="00E27212" w:rsidP="00796D73">
            <w:pPr>
              <w:rPr>
                <w:rFonts w:ascii="David" w:hAnsi="David"/>
                <w:sz w:val="26"/>
                <w:szCs w:val="26"/>
              </w:rPr>
            </w:pPr>
          </w:p>
        </w:tc>
        <w:tc>
          <w:tcPr>
            <w:tcW w:w="4507" w:type="dxa"/>
            <w:gridSpan w:val="2"/>
            <w:tcBorders>
              <w:top w:val="nil"/>
              <w:left w:val="nil"/>
              <w:bottom w:val="nil"/>
              <w:right w:val="nil"/>
            </w:tcBorders>
            <w:shd w:val="clear" w:color="auto" w:fill="auto"/>
            <w:vAlign w:val="center"/>
          </w:tcPr>
          <w:p w14:paraId="0DF0D463" w14:textId="77777777" w:rsidR="00E27212" w:rsidRPr="00D82FB5" w:rsidRDefault="00E27212" w:rsidP="00E27212">
            <w:pPr>
              <w:suppressLineNumbers/>
            </w:pPr>
            <w:r w:rsidRPr="00D82FB5">
              <w:rPr>
                <w:rFonts w:ascii="Arial" w:hAnsi="Arial"/>
                <w:b/>
                <w:bCs/>
                <w:sz w:val="26"/>
                <w:szCs w:val="26"/>
                <w:rtl/>
              </w:rPr>
              <w:t>מדינת ישראל</w:t>
            </w:r>
          </w:p>
          <w:p w14:paraId="6B1083FF" w14:textId="77777777" w:rsidR="00E27212" w:rsidRPr="00D82FB5" w:rsidRDefault="00E27212" w:rsidP="00796D73">
            <w:pPr>
              <w:rPr>
                <w:rFonts w:ascii="David" w:hAnsi="David"/>
                <w:sz w:val="26"/>
                <w:szCs w:val="26"/>
              </w:rPr>
            </w:pPr>
          </w:p>
        </w:tc>
      </w:tr>
      <w:bookmarkEnd w:id="1"/>
      <w:tr w:rsidR="00E27212" w:rsidRPr="00D82FB5" w14:paraId="0A27651A" w14:textId="77777777" w:rsidTr="00D82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13E6E960" w14:textId="77777777" w:rsidR="00E27212" w:rsidRPr="00D82FB5" w:rsidRDefault="00E27212" w:rsidP="00E27212">
            <w:pPr>
              <w:jc w:val="both"/>
              <w:rPr>
                <w:rFonts w:ascii="David" w:hAnsi="David"/>
                <w:sz w:val="26"/>
                <w:szCs w:val="26"/>
                <w:rtl/>
              </w:rPr>
            </w:pPr>
          </w:p>
        </w:tc>
        <w:tc>
          <w:tcPr>
            <w:tcW w:w="7634" w:type="dxa"/>
            <w:gridSpan w:val="3"/>
            <w:tcBorders>
              <w:top w:val="nil"/>
              <w:left w:val="nil"/>
              <w:bottom w:val="nil"/>
              <w:right w:val="nil"/>
            </w:tcBorders>
            <w:shd w:val="clear" w:color="auto" w:fill="auto"/>
          </w:tcPr>
          <w:p w14:paraId="1C93CD56" w14:textId="77777777" w:rsidR="00E27212" w:rsidRPr="00D82FB5" w:rsidRDefault="00E27212" w:rsidP="00E27212">
            <w:pPr>
              <w:jc w:val="center"/>
              <w:rPr>
                <w:rFonts w:ascii="David" w:hAnsi="David"/>
                <w:b/>
                <w:bCs/>
                <w:sz w:val="26"/>
                <w:szCs w:val="26"/>
                <w:rtl/>
              </w:rPr>
            </w:pPr>
          </w:p>
          <w:p w14:paraId="6D391E54" w14:textId="77777777" w:rsidR="00E27212" w:rsidRPr="00D82FB5" w:rsidRDefault="00E27212" w:rsidP="00E27212">
            <w:pPr>
              <w:jc w:val="center"/>
              <w:rPr>
                <w:rFonts w:ascii="David" w:hAnsi="David"/>
                <w:b/>
                <w:bCs/>
                <w:sz w:val="26"/>
                <w:szCs w:val="26"/>
                <w:rtl/>
              </w:rPr>
            </w:pPr>
            <w:r w:rsidRPr="00D82FB5">
              <w:rPr>
                <w:rFonts w:ascii="David" w:hAnsi="David"/>
                <w:b/>
                <w:bCs/>
                <w:sz w:val="26"/>
                <w:szCs w:val="26"/>
                <w:rtl/>
              </w:rPr>
              <w:t>נגד</w:t>
            </w:r>
          </w:p>
          <w:p w14:paraId="434D5E4C" w14:textId="77777777" w:rsidR="00E27212" w:rsidRPr="00D82FB5" w:rsidRDefault="00E27212" w:rsidP="00E27212">
            <w:pPr>
              <w:jc w:val="both"/>
              <w:rPr>
                <w:rFonts w:ascii="David" w:hAnsi="David"/>
                <w:sz w:val="26"/>
                <w:szCs w:val="26"/>
              </w:rPr>
            </w:pPr>
          </w:p>
        </w:tc>
      </w:tr>
      <w:tr w:rsidR="00E27212" w:rsidRPr="00D82FB5" w14:paraId="34CF3A7D" w14:textId="77777777" w:rsidTr="00D82F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216" w:type="dxa"/>
          <w:trHeight w:val="355"/>
          <w:jc w:val="center"/>
        </w:trPr>
        <w:tc>
          <w:tcPr>
            <w:tcW w:w="871" w:type="dxa"/>
            <w:tcBorders>
              <w:top w:val="nil"/>
              <w:left w:val="nil"/>
              <w:bottom w:val="nil"/>
              <w:right w:val="nil"/>
            </w:tcBorders>
            <w:shd w:val="clear" w:color="auto" w:fill="auto"/>
          </w:tcPr>
          <w:p w14:paraId="245E419B" w14:textId="77777777" w:rsidR="00E27212" w:rsidRPr="00D82FB5" w:rsidRDefault="00E27212" w:rsidP="00796D73">
            <w:pPr>
              <w:rPr>
                <w:rFonts w:ascii="David" w:hAnsi="David"/>
                <w:sz w:val="26"/>
                <w:szCs w:val="26"/>
                <w:rtl/>
              </w:rPr>
            </w:pPr>
          </w:p>
        </w:tc>
        <w:tc>
          <w:tcPr>
            <w:tcW w:w="3127" w:type="dxa"/>
            <w:tcBorders>
              <w:top w:val="nil"/>
              <w:left w:val="nil"/>
              <w:bottom w:val="nil"/>
              <w:right w:val="nil"/>
            </w:tcBorders>
            <w:shd w:val="clear" w:color="auto" w:fill="auto"/>
          </w:tcPr>
          <w:p w14:paraId="4F07A2C3" w14:textId="77777777" w:rsidR="00E27212" w:rsidRPr="00D82FB5" w:rsidRDefault="00E27212" w:rsidP="00796D73">
            <w:pPr>
              <w:rPr>
                <w:rFonts w:ascii="Arial" w:hAnsi="Arial"/>
                <w:b/>
                <w:bCs/>
                <w:sz w:val="26"/>
                <w:szCs w:val="26"/>
                <w:rtl/>
              </w:rPr>
            </w:pPr>
            <w:r w:rsidRPr="00D82FB5">
              <w:rPr>
                <w:rFonts w:ascii="Arial" w:hAnsi="Arial"/>
                <w:b/>
                <w:bCs/>
                <w:sz w:val="26"/>
                <w:szCs w:val="26"/>
                <w:rtl/>
              </w:rPr>
              <w:t>הנאשמים</w:t>
            </w:r>
          </w:p>
        </w:tc>
        <w:tc>
          <w:tcPr>
            <w:tcW w:w="4507" w:type="dxa"/>
            <w:gridSpan w:val="2"/>
            <w:tcBorders>
              <w:top w:val="nil"/>
              <w:left w:val="nil"/>
              <w:bottom w:val="nil"/>
              <w:right w:val="nil"/>
            </w:tcBorders>
            <w:shd w:val="clear" w:color="auto" w:fill="auto"/>
            <w:vAlign w:val="center"/>
          </w:tcPr>
          <w:p w14:paraId="72FBE94E" w14:textId="77777777" w:rsidR="00E27212" w:rsidRPr="00D82FB5" w:rsidRDefault="00E27212" w:rsidP="00E27212">
            <w:pPr>
              <w:suppressLineNumbers/>
            </w:pPr>
            <w:r w:rsidRPr="00D82FB5">
              <w:rPr>
                <w:rFonts w:ascii="Arial" w:hAnsi="Arial"/>
                <w:b/>
                <w:bCs/>
                <w:sz w:val="26"/>
                <w:szCs w:val="26"/>
                <w:rtl/>
              </w:rPr>
              <w:t>1. אברהים סיידה (עציר)</w:t>
            </w:r>
            <w:r w:rsidRPr="00D82FB5">
              <w:rPr>
                <w:rFonts w:ascii="Arial" w:hAnsi="Arial" w:hint="cs"/>
                <w:b/>
                <w:bCs/>
                <w:sz w:val="26"/>
                <w:szCs w:val="26"/>
                <w:rtl/>
              </w:rPr>
              <w:t xml:space="preserve"> </w:t>
            </w:r>
          </w:p>
          <w:p w14:paraId="453246B4" w14:textId="77777777" w:rsidR="00E27212" w:rsidRPr="00D82FB5" w:rsidRDefault="00E27212" w:rsidP="00E27212">
            <w:pPr>
              <w:suppressLineNumbers/>
            </w:pPr>
            <w:r w:rsidRPr="00D82FB5">
              <w:rPr>
                <w:rFonts w:ascii="Arial" w:hAnsi="Arial"/>
                <w:b/>
                <w:bCs/>
                <w:sz w:val="26"/>
                <w:szCs w:val="26"/>
                <w:rtl/>
              </w:rPr>
              <w:t>2. מחמוד עריד (עציר)</w:t>
            </w:r>
            <w:r w:rsidRPr="00D82FB5">
              <w:rPr>
                <w:rFonts w:ascii="Arial" w:hAnsi="Arial" w:hint="cs"/>
                <w:b/>
                <w:bCs/>
                <w:sz w:val="26"/>
                <w:szCs w:val="26"/>
                <w:rtl/>
              </w:rPr>
              <w:t xml:space="preserve"> </w:t>
            </w:r>
          </w:p>
        </w:tc>
      </w:tr>
    </w:tbl>
    <w:p w14:paraId="0D0391C0" w14:textId="77777777" w:rsidR="00D42FA3" w:rsidRPr="00D82FB5" w:rsidRDefault="00D42FA3" w:rsidP="00D42FA3">
      <w:pPr>
        <w:spacing w:before="120" w:after="120" w:line="240" w:lineRule="exact"/>
        <w:ind w:left="283" w:hanging="283"/>
        <w:jc w:val="both"/>
        <w:rPr>
          <w:rFonts w:ascii="FrankRuehl" w:hAnsi="FrankRuehl"/>
          <w:rtl/>
        </w:rPr>
      </w:pPr>
    </w:p>
    <w:p w14:paraId="5CFB1909" w14:textId="77777777" w:rsidR="00D42FA3" w:rsidRPr="00D82FB5" w:rsidRDefault="00D42FA3" w:rsidP="00D42FA3">
      <w:pPr>
        <w:rPr>
          <w:sz w:val="26"/>
          <w:szCs w:val="26"/>
          <w:rtl/>
        </w:rPr>
      </w:pPr>
    </w:p>
    <w:p w14:paraId="27FC6781" w14:textId="77777777" w:rsidR="00D82FB5" w:rsidRPr="00D82FB5" w:rsidRDefault="00D82FB5" w:rsidP="00D82FB5">
      <w:pPr>
        <w:spacing w:before="120" w:after="120" w:line="240" w:lineRule="exact"/>
        <w:ind w:left="283" w:hanging="283"/>
        <w:jc w:val="both"/>
        <w:rPr>
          <w:rFonts w:ascii="FrankRuehl" w:hAnsi="FrankRuehl" w:cs="FrankRuehl"/>
          <w:rtl/>
        </w:rPr>
      </w:pPr>
      <w:bookmarkStart w:id="2" w:name="LawTable"/>
      <w:bookmarkEnd w:id="2"/>
    </w:p>
    <w:p w14:paraId="191B95A9" w14:textId="77777777" w:rsidR="00D82FB5" w:rsidRPr="00D82FB5" w:rsidRDefault="00D82FB5" w:rsidP="00D82FB5">
      <w:pPr>
        <w:spacing w:before="120" w:after="120" w:line="240" w:lineRule="exact"/>
        <w:ind w:left="283" w:hanging="283"/>
        <w:jc w:val="both"/>
        <w:rPr>
          <w:rFonts w:ascii="FrankRuehl" w:hAnsi="FrankRuehl" w:cs="FrankRuehl"/>
          <w:rtl/>
        </w:rPr>
      </w:pPr>
      <w:r w:rsidRPr="00D82FB5">
        <w:rPr>
          <w:rFonts w:ascii="FrankRuehl" w:hAnsi="FrankRuehl" w:cs="FrankRuehl"/>
          <w:rtl/>
        </w:rPr>
        <w:t xml:space="preserve">חקיקה שאוזכרה: </w:t>
      </w:r>
    </w:p>
    <w:p w14:paraId="5249270C" w14:textId="77777777" w:rsidR="00D82FB5" w:rsidRPr="00D82FB5" w:rsidRDefault="00D82FB5" w:rsidP="00D82FB5">
      <w:pPr>
        <w:spacing w:before="120" w:after="120" w:line="240" w:lineRule="exact"/>
        <w:ind w:left="283" w:hanging="283"/>
        <w:jc w:val="both"/>
        <w:rPr>
          <w:rFonts w:ascii="FrankRuehl" w:hAnsi="FrankRuehl" w:cs="FrankRuehl"/>
          <w:color w:val="0000FF"/>
          <w:rtl/>
        </w:rPr>
      </w:pPr>
      <w:hyperlink r:id="rId7" w:history="1">
        <w:r w:rsidRPr="00D82FB5">
          <w:rPr>
            <w:rStyle w:val="Hyperlink"/>
            <w:rFonts w:ascii="FrankRuehl" w:hAnsi="FrankRuehl" w:cs="FrankRuehl"/>
            <w:u w:val="none"/>
            <w:rtl/>
          </w:rPr>
          <w:t>חוק העונשין, תשל"ז-1977</w:t>
        </w:r>
      </w:hyperlink>
      <w:r w:rsidRPr="00D82FB5">
        <w:rPr>
          <w:rFonts w:ascii="FrankRuehl" w:hAnsi="FrankRuehl" w:cs="FrankRuehl"/>
          <w:color w:val="0000FF"/>
          <w:rtl/>
        </w:rPr>
        <w:t xml:space="preserve">: סע'  </w:t>
      </w:r>
      <w:hyperlink r:id="rId8" w:history="1">
        <w:r w:rsidRPr="00D82FB5">
          <w:rPr>
            <w:rStyle w:val="Hyperlink"/>
            <w:rFonts w:ascii="FrankRuehl" w:hAnsi="FrankRuehl" w:cs="FrankRuehl"/>
            <w:u w:val="none"/>
          </w:rPr>
          <w:t>29</w:t>
        </w:r>
      </w:hyperlink>
      <w:r w:rsidRPr="00D82FB5">
        <w:rPr>
          <w:rFonts w:ascii="FrankRuehl" w:hAnsi="FrankRuehl" w:cs="FrankRuehl"/>
          <w:color w:val="0000FF"/>
          <w:rtl/>
        </w:rPr>
        <w:t xml:space="preserve">, </w:t>
      </w:r>
      <w:hyperlink r:id="rId9" w:history="1">
        <w:r w:rsidRPr="00D82FB5">
          <w:rPr>
            <w:rStyle w:val="Hyperlink"/>
            <w:rFonts w:ascii="FrankRuehl" w:hAnsi="FrankRuehl" w:cs="FrankRuehl"/>
            <w:u w:val="none"/>
          </w:rPr>
          <w:t>40</w:t>
        </w:r>
        <w:r w:rsidRPr="00D82FB5">
          <w:rPr>
            <w:rStyle w:val="Hyperlink"/>
            <w:rFonts w:ascii="FrankRuehl" w:hAnsi="FrankRuehl" w:cs="FrankRuehl"/>
            <w:u w:val="none"/>
            <w:rtl/>
          </w:rPr>
          <w:t>ג</w:t>
        </w:r>
        <w:r w:rsidRPr="00D82FB5">
          <w:rPr>
            <w:rStyle w:val="Hyperlink"/>
            <w:rFonts w:ascii="FrankRuehl" w:hAnsi="FrankRuehl" w:cs="FrankRuehl"/>
            <w:u w:val="none"/>
          </w:rPr>
          <w:t>'</w:t>
        </w:r>
      </w:hyperlink>
      <w:r w:rsidRPr="00D82FB5">
        <w:rPr>
          <w:rFonts w:ascii="FrankRuehl" w:hAnsi="FrankRuehl" w:cs="FrankRuehl"/>
          <w:color w:val="0000FF"/>
          <w:rtl/>
        </w:rPr>
        <w:t xml:space="preserve">, </w:t>
      </w:r>
      <w:hyperlink r:id="rId10" w:history="1">
        <w:r w:rsidRPr="00D82FB5">
          <w:rPr>
            <w:rStyle w:val="Hyperlink"/>
            <w:rFonts w:ascii="FrankRuehl" w:hAnsi="FrankRuehl" w:cs="FrankRuehl"/>
            <w:u w:val="none"/>
          </w:rPr>
          <w:t>40</w:t>
        </w:r>
        <w:r w:rsidRPr="00D82FB5">
          <w:rPr>
            <w:rStyle w:val="Hyperlink"/>
            <w:rFonts w:ascii="FrankRuehl" w:hAnsi="FrankRuehl" w:cs="FrankRuehl"/>
            <w:u w:val="none"/>
            <w:rtl/>
          </w:rPr>
          <w:t>ט</w:t>
        </w:r>
        <w:r w:rsidRPr="00D82FB5">
          <w:rPr>
            <w:rStyle w:val="Hyperlink"/>
            <w:rFonts w:ascii="FrankRuehl" w:hAnsi="FrankRuehl" w:cs="FrankRuehl"/>
            <w:u w:val="none"/>
          </w:rPr>
          <w:t>'</w:t>
        </w:r>
      </w:hyperlink>
      <w:r w:rsidRPr="00D82FB5">
        <w:rPr>
          <w:rFonts w:ascii="FrankRuehl" w:hAnsi="FrankRuehl" w:cs="FrankRuehl"/>
          <w:color w:val="0000FF"/>
          <w:rtl/>
        </w:rPr>
        <w:t xml:space="preserve">, </w:t>
      </w:r>
      <w:hyperlink r:id="rId11" w:history="1">
        <w:r w:rsidRPr="00D82FB5">
          <w:rPr>
            <w:rStyle w:val="Hyperlink"/>
            <w:rFonts w:ascii="FrankRuehl" w:hAnsi="FrankRuehl" w:cs="FrankRuehl"/>
            <w:u w:val="none"/>
          </w:rPr>
          <w:t>144</w:t>
        </w:r>
      </w:hyperlink>
      <w:r w:rsidRPr="00D82FB5">
        <w:rPr>
          <w:rFonts w:ascii="FrankRuehl" w:hAnsi="FrankRuehl" w:cs="FrankRuehl"/>
          <w:color w:val="0000FF"/>
          <w:rtl/>
        </w:rPr>
        <w:t xml:space="preserve">(א), </w:t>
      </w:r>
      <w:hyperlink r:id="rId12" w:history="1">
        <w:r w:rsidRPr="00D82FB5">
          <w:rPr>
            <w:rStyle w:val="Hyperlink"/>
            <w:rFonts w:ascii="FrankRuehl" w:hAnsi="FrankRuehl" w:cs="FrankRuehl"/>
            <w:u w:val="none"/>
          </w:rPr>
          <w:t>144</w:t>
        </w:r>
      </w:hyperlink>
      <w:r w:rsidRPr="00D82FB5">
        <w:rPr>
          <w:rFonts w:ascii="FrankRuehl" w:hAnsi="FrankRuehl" w:cs="FrankRuehl"/>
          <w:color w:val="0000FF"/>
          <w:rtl/>
        </w:rPr>
        <w:t xml:space="preserve">(ב), </w:t>
      </w:r>
      <w:hyperlink r:id="rId13" w:history="1">
        <w:r w:rsidRPr="00D82FB5">
          <w:rPr>
            <w:rStyle w:val="Hyperlink"/>
            <w:rFonts w:ascii="FrankRuehl" w:hAnsi="FrankRuehl" w:cs="FrankRuehl"/>
            <w:u w:val="none"/>
          </w:rPr>
          <w:t>144</w:t>
        </w:r>
      </w:hyperlink>
      <w:r w:rsidRPr="00D82FB5">
        <w:rPr>
          <w:rFonts w:ascii="FrankRuehl" w:hAnsi="FrankRuehl" w:cs="FrankRuehl"/>
          <w:color w:val="0000FF"/>
          <w:rtl/>
        </w:rPr>
        <w:t xml:space="preserve">(ז), </w:t>
      </w:r>
      <w:hyperlink r:id="rId14" w:history="1">
        <w:r w:rsidRPr="00D82FB5">
          <w:rPr>
            <w:rStyle w:val="Hyperlink"/>
            <w:rFonts w:ascii="FrankRuehl" w:hAnsi="FrankRuehl" w:cs="FrankRuehl"/>
            <w:u w:val="none"/>
          </w:rPr>
          <w:t xml:space="preserve">40 </w:t>
        </w:r>
        <w:r w:rsidRPr="00D82FB5">
          <w:rPr>
            <w:rStyle w:val="Hyperlink"/>
            <w:rFonts w:ascii="FrankRuehl" w:hAnsi="FrankRuehl" w:cs="FrankRuehl"/>
            <w:u w:val="none"/>
            <w:rtl/>
          </w:rPr>
          <w:t>יא</w:t>
        </w:r>
        <w:r w:rsidRPr="00D82FB5">
          <w:rPr>
            <w:rStyle w:val="Hyperlink"/>
            <w:rFonts w:ascii="FrankRuehl" w:hAnsi="FrankRuehl" w:cs="FrankRuehl"/>
            <w:u w:val="none"/>
          </w:rPr>
          <w:t>'</w:t>
        </w:r>
      </w:hyperlink>
    </w:p>
    <w:p w14:paraId="5B6BC91B" w14:textId="77777777" w:rsidR="00E27212" w:rsidRDefault="00E27212" w:rsidP="00D82FB5">
      <w:pPr>
        <w:rPr>
          <w:rFonts w:hint="cs"/>
          <w:sz w:val="26"/>
          <w:szCs w:val="26"/>
          <w:rtl/>
        </w:rPr>
      </w:pPr>
      <w:bookmarkStart w:id="3" w:name="LawTable_End"/>
      <w:bookmarkEnd w:id="3"/>
    </w:p>
    <w:p w14:paraId="510EF12A" w14:textId="77777777" w:rsidR="00D82FB5" w:rsidRDefault="00D82FB5" w:rsidP="00D82FB5">
      <w:pPr>
        <w:rPr>
          <w:rFonts w:hint="cs"/>
          <w:sz w:val="26"/>
          <w:szCs w:val="26"/>
          <w:rtl/>
        </w:rPr>
      </w:pPr>
    </w:p>
    <w:p w14:paraId="4546C8BA" w14:textId="77777777" w:rsidR="00D82FB5" w:rsidRPr="00D82FB5" w:rsidRDefault="00D82FB5" w:rsidP="00D82FB5">
      <w:pPr>
        <w:rPr>
          <w:rFonts w:hint="cs"/>
          <w:sz w:val="26"/>
          <w:szCs w:val="26"/>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E27212" w:rsidRPr="00D82FB5" w14:paraId="4653DB53" w14:textId="77777777" w:rsidTr="00E27212">
        <w:trPr>
          <w:trHeight w:val="355"/>
          <w:jc w:val="center"/>
        </w:trPr>
        <w:tc>
          <w:tcPr>
            <w:tcW w:w="8505" w:type="dxa"/>
            <w:tcBorders>
              <w:top w:val="nil"/>
              <w:left w:val="nil"/>
              <w:bottom w:val="nil"/>
              <w:right w:val="nil"/>
            </w:tcBorders>
            <w:shd w:val="clear" w:color="auto" w:fill="auto"/>
          </w:tcPr>
          <w:p w14:paraId="478F53B3" w14:textId="77777777" w:rsidR="00D42FA3" w:rsidRPr="00D82FB5" w:rsidRDefault="00D42FA3" w:rsidP="00D42FA3">
            <w:pPr>
              <w:jc w:val="center"/>
              <w:rPr>
                <w:rFonts w:ascii="David" w:hAnsi="David"/>
                <w:b/>
                <w:bCs/>
                <w:sz w:val="32"/>
                <w:szCs w:val="32"/>
                <w:u w:val="single"/>
                <w:rtl/>
              </w:rPr>
            </w:pPr>
            <w:bookmarkStart w:id="4" w:name="PsakDin" w:colFirst="0" w:colLast="0"/>
            <w:bookmarkEnd w:id="0"/>
            <w:r w:rsidRPr="00D82FB5">
              <w:rPr>
                <w:rFonts w:ascii="David" w:hAnsi="David"/>
                <w:b/>
                <w:bCs/>
                <w:sz w:val="32"/>
                <w:szCs w:val="32"/>
                <w:u w:val="single"/>
                <w:rtl/>
              </w:rPr>
              <w:t>גזר דין</w:t>
            </w:r>
          </w:p>
          <w:p w14:paraId="608AC27B" w14:textId="77777777" w:rsidR="00E27212" w:rsidRPr="00D82FB5" w:rsidRDefault="00E27212" w:rsidP="00D42FA3">
            <w:pPr>
              <w:jc w:val="center"/>
              <w:rPr>
                <w:rFonts w:ascii="David" w:hAnsi="David"/>
                <w:bCs/>
                <w:sz w:val="32"/>
                <w:szCs w:val="32"/>
                <w:u w:val="single"/>
                <w:rtl/>
              </w:rPr>
            </w:pPr>
          </w:p>
        </w:tc>
      </w:tr>
      <w:bookmarkEnd w:id="4"/>
    </w:tbl>
    <w:p w14:paraId="1A11D58C" w14:textId="77777777" w:rsidR="00E27212" w:rsidRPr="00D82FB5" w:rsidRDefault="00E27212" w:rsidP="00E27212">
      <w:pPr>
        <w:rPr>
          <w:rFonts w:ascii="Arial" w:hAnsi="Arial"/>
          <w:b/>
          <w:bCs/>
          <w:sz w:val="26"/>
          <w:szCs w:val="26"/>
          <w:rtl/>
        </w:rPr>
      </w:pPr>
    </w:p>
    <w:p w14:paraId="393A1FE5" w14:textId="77777777" w:rsidR="00E27212" w:rsidRPr="00D82FB5" w:rsidRDefault="00E27212" w:rsidP="00E27212">
      <w:pPr>
        <w:spacing w:line="360" w:lineRule="auto"/>
        <w:rPr>
          <w:rFonts w:ascii="Arial" w:hAnsi="Arial"/>
          <w:b/>
          <w:bCs/>
          <w:rtl/>
        </w:rPr>
      </w:pPr>
    </w:p>
    <w:p w14:paraId="05E66B56" w14:textId="77777777" w:rsidR="00E27212" w:rsidRPr="00D82FB5" w:rsidRDefault="00E27212" w:rsidP="00E27212">
      <w:pPr>
        <w:spacing w:line="360" w:lineRule="auto"/>
        <w:jc w:val="both"/>
        <w:rPr>
          <w:rFonts w:ascii="David" w:hAnsi="David"/>
          <w:b/>
          <w:bCs/>
          <w:rtl/>
        </w:rPr>
      </w:pPr>
      <w:r w:rsidRPr="00D82FB5">
        <w:rPr>
          <w:rFonts w:ascii="David" w:hAnsi="David"/>
          <w:b/>
          <w:bCs/>
          <w:rtl/>
        </w:rPr>
        <w:t>כתב האישום</w:t>
      </w:r>
    </w:p>
    <w:p w14:paraId="73B07F3B" w14:textId="77777777" w:rsidR="00E27212" w:rsidRPr="00D82FB5" w:rsidRDefault="00E27212" w:rsidP="00E27212">
      <w:pPr>
        <w:spacing w:line="360" w:lineRule="auto"/>
        <w:jc w:val="both"/>
        <w:rPr>
          <w:rFonts w:ascii="David" w:hAnsi="David"/>
          <w:b/>
          <w:bCs/>
        </w:rPr>
      </w:pPr>
    </w:p>
    <w:p w14:paraId="550DF517" w14:textId="77777777" w:rsidR="00E27212" w:rsidRPr="00D82FB5" w:rsidRDefault="00E27212" w:rsidP="00E27212">
      <w:pPr>
        <w:pStyle w:val="a9"/>
        <w:numPr>
          <w:ilvl w:val="0"/>
          <w:numId w:val="1"/>
        </w:numPr>
        <w:spacing w:before="100" w:beforeAutospacing="1" w:after="100" w:afterAutospacing="1" w:line="360" w:lineRule="auto"/>
        <w:jc w:val="both"/>
      </w:pPr>
      <w:bookmarkStart w:id="5" w:name="ABSTRACT_START"/>
      <w:bookmarkEnd w:id="5"/>
      <w:r w:rsidRPr="00D82FB5">
        <w:rPr>
          <w:rFonts w:ascii="David" w:hAnsi="David" w:hint="cs"/>
          <w:rtl/>
        </w:rPr>
        <w:t xml:space="preserve">הנאשמים </w:t>
      </w:r>
      <w:r w:rsidRPr="00D82FB5">
        <w:rPr>
          <w:rFonts w:ascii="David" w:hAnsi="David"/>
          <w:rtl/>
        </w:rPr>
        <w:t>הורשעו על פי הודאתם בכתב אישום מתוקן במסגרת הסדר טיעון שלא כלל הסכמה לעניין</w:t>
      </w:r>
      <w:r w:rsidRPr="00D82FB5">
        <w:rPr>
          <w:rFonts w:ascii="David" w:hAnsi="David" w:hint="cs"/>
          <w:rtl/>
        </w:rPr>
        <w:t xml:space="preserve"> </w:t>
      </w:r>
      <w:r w:rsidRPr="00D82FB5">
        <w:rPr>
          <w:rFonts w:ascii="David" w:hAnsi="David"/>
          <w:rtl/>
        </w:rPr>
        <w:t>העונש</w:t>
      </w:r>
      <w:r w:rsidRPr="00D82FB5">
        <w:rPr>
          <w:rFonts w:ascii="David" w:hAnsi="David" w:hint="cs"/>
          <w:rtl/>
        </w:rPr>
        <w:t xml:space="preserve">, </w:t>
      </w:r>
      <w:r w:rsidRPr="00D82FB5">
        <w:rPr>
          <w:rFonts w:ascii="David" w:hAnsi="David"/>
          <w:rtl/>
        </w:rPr>
        <w:t>בעבירת נשק (החזקה, נשיאה והובלה) לפי</w:t>
      </w:r>
      <w:r w:rsidR="00D42FA3" w:rsidRPr="00D82FB5">
        <w:rPr>
          <w:rFonts w:ascii="David" w:hAnsi="David"/>
          <w:rtl/>
        </w:rPr>
        <w:t xml:space="preserve"> </w:t>
      </w:r>
      <w:hyperlink r:id="rId15" w:history="1">
        <w:r w:rsidR="00D82FB5" w:rsidRPr="00D82FB5">
          <w:rPr>
            <w:rStyle w:val="Hyperlink"/>
            <w:rFonts w:ascii="David" w:hAnsi="David"/>
            <w:color w:val="0000FF"/>
            <w:rtl/>
          </w:rPr>
          <w:t>סעיף 144(א)</w:t>
        </w:r>
      </w:hyperlink>
      <w:r w:rsidR="00D42FA3" w:rsidRPr="00D82FB5">
        <w:rPr>
          <w:rFonts w:ascii="David" w:hAnsi="David"/>
          <w:rtl/>
        </w:rPr>
        <w:t xml:space="preserve"> </w:t>
      </w:r>
      <w:r w:rsidRPr="00D82FB5">
        <w:rPr>
          <w:rFonts w:ascii="David" w:hAnsi="David"/>
          <w:rtl/>
        </w:rPr>
        <w:t xml:space="preserve">רישא וסיפא </w:t>
      </w:r>
      <w:r w:rsidRPr="00D82FB5">
        <w:rPr>
          <w:rFonts w:ascii="David" w:hAnsi="David" w:hint="cs"/>
          <w:rtl/>
        </w:rPr>
        <w:t>ו-</w:t>
      </w:r>
      <w:hyperlink r:id="rId16" w:history="1">
        <w:r w:rsidR="00D82FB5" w:rsidRPr="00D82FB5">
          <w:rPr>
            <w:rStyle w:val="Hyperlink"/>
            <w:rFonts w:ascii="David" w:hAnsi="David" w:hint="eastAsia"/>
            <w:color w:val="0000FF"/>
            <w:rtl/>
          </w:rPr>
          <w:t>סעיף</w:t>
        </w:r>
        <w:r w:rsidR="00D82FB5" w:rsidRPr="00D82FB5">
          <w:rPr>
            <w:rStyle w:val="Hyperlink"/>
            <w:rFonts w:ascii="David" w:hAnsi="David"/>
            <w:color w:val="0000FF"/>
            <w:rtl/>
          </w:rPr>
          <w:t xml:space="preserve"> 144(ב)</w:t>
        </w:r>
      </w:hyperlink>
      <w:r w:rsidRPr="00D82FB5">
        <w:rPr>
          <w:rFonts w:ascii="David" w:hAnsi="David" w:hint="cs"/>
          <w:rtl/>
        </w:rPr>
        <w:t xml:space="preserve"> רישא </w:t>
      </w:r>
      <w:r w:rsidRPr="00D82FB5">
        <w:rPr>
          <w:rFonts w:ascii="David" w:hAnsi="David"/>
          <w:rtl/>
        </w:rPr>
        <w:t>וסיפא</w:t>
      </w:r>
      <w:r w:rsidRPr="00D82FB5">
        <w:rPr>
          <w:rFonts w:ascii="David" w:hAnsi="David" w:hint="cs"/>
          <w:rtl/>
        </w:rPr>
        <w:t xml:space="preserve"> בשילוב </w:t>
      </w:r>
      <w:hyperlink r:id="rId17" w:history="1">
        <w:r w:rsidR="00D82FB5" w:rsidRPr="00D82FB5">
          <w:rPr>
            <w:rStyle w:val="Hyperlink"/>
            <w:rFonts w:ascii="David" w:hAnsi="David" w:hint="eastAsia"/>
            <w:color w:val="0000FF"/>
            <w:rtl/>
          </w:rPr>
          <w:t>סעיף</w:t>
        </w:r>
        <w:r w:rsidR="00D82FB5" w:rsidRPr="00D82FB5">
          <w:rPr>
            <w:rStyle w:val="Hyperlink"/>
            <w:rFonts w:ascii="David" w:hAnsi="David"/>
            <w:color w:val="0000FF"/>
            <w:rtl/>
          </w:rPr>
          <w:t xml:space="preserve"> 29</w:t>
        </w:r>
      </w:hyperlink>
      <w:r w:rsidRPr="00D82FB5">
        <w:rPr>
          <w:rFonts w:ascii="David" w:hAnsi="David"/>
          <w:rtl/>
        </w:rPr>
        <w:t xml:space="preserve"> ל</w:t>
      </w:r>
      <w:hyperlink r:id="rId18" w:history="1">
        <w:r w:rsidR="00D42FA3" w:rsidRPr="00D82FB5">
          <w:rPr>
            <w:rFonts w:ascii="David" w:hAnsi="David"/>
            <w:color w:val="0000FF"/>
            <w:u w:val="single"/>
            <w:rtl/>
          </w:rPr>
          <w:t>חוק העונשין</w:t>
        </w:r>
      </w:hyperlink>
      <w:r w:rsidRPr="00D82FB5">
        <w:rPr>
          <w:rFonts w:ascii="David" w:hAnsi="David"/>
          <w:rtl/>
        </w:rPr>
        <w:t>, התשל"ז-1977 (להלן:</w:t>
      </w:r>
      <w:r w:rsidR="00D42FA3" w:rsidRPr="00D82FB5">
        <w:rPr>
          <w:rFonts w:ascii="David" w:hAnsi="David"/>
          <w:rtl/>
        </w:rPr>
        <w:t xml:space="preserve"> </w:t>
      </w:r>
      <w:r w:rsidRPr="00D82FB5">
        <w:rPr>
          <w:rFonts w:ascii="David" w:hAnsi="David"/>
          <w:b/>
          <w:bCs/>
          <w:rtl/>
        </w:rPr>
        <w:t>חוק העונשין</w:t>
      </w:r>
      <w:r w:rsidRPr="00D82FB5">
        <w:rPr>
          <w:rFonts w:ascii="David" w:hAnsi="David"/>
          <w:rtl/>
        </w:rPr>
        <w:t>)</w:t>
      </w:r>
      <w:r w:rsidRPr="00D82FB5">
        <w:rPr>
          <w:rFonts w:ascii="David" w:hAnsi="David" w:hint="cs"/>
          <w:rtl/>
        </w:rPr>
        <w:t xml:space="preserve">. </w:t>
      </w:r>
    </w:p>
    <w:p w14:paraId="13805A89" w14:textId="77777777" w:rsidR="00E27212" w:rsidRPr="00D82FB5" w:rsidRDefault="00E27212" w:rsidP="00E27212">
      <w:pPr>
        <w:pStyle w:val="a9"/>
        <w:spacing w:before="100" w:beforeAutospacing="1" w:after="100" w:afterAutospacing="1" w:line="360" w:lineRule="auto"/>
        <w:ind w:left="57"/>
        <w:jc w:val="both"/>
      </w:pPr>
    </w:p>
    <w:p w14:paraId="3E1DF1D1" w14:textId="77777777" w:rsidR="00E27212" w:rsidRPr="00D82FB5" w:rsidRDefault="00E27212" w:rsidP="00E27212">
      <w:pPr>
        <w:pStyle w:val="a9"/>
        <w:numPr>
          <w:ilvl w:val="0"/>
          <w:numId w:val="1"/>
        </w:numPr>
        <w:spacing w:before="100" w:beforeAutospacing="1" w:after="100" w:afterAutospacing="1" w:line="360" w:lineRule="auto"/>
        <w:jc w:val="both"/>
      </w:pPr>
      <w:bookmarkStart w:id="6" w:name="ABSTRACT_END"/>
      <w:bookmarkEnd w:id="6"/>
      <w:r w:rsidRPr="00D82FB5">
        <w:rPr>
          <w:rFonts w:ascii="David" w:hAnsi="David"/>
          <w:rtl/>
        </w:rPr>
        <w:t>בפתח כתב האישום המתוקן צוין כי בין הנאשמים קיימת היכרות מוקדמת</w:t>
      </w:r>
      <w:r w:rsidRPr="00D82FB5">
        <w:rPr>
          <w:rFonts w:ascii="David" w:hAnsi="David" w:hint="cs"/>
          <w:rtl/>
        </w:rPr>
        <w:t>,</w:t>
      </w:r>
      <w:r w:rsidRPr="00D82FB5">
        <w:rPr>
          <w:rFonts w:ascii="David" w:hAnsi="David"/>
          <w:rtl/>
        </w:rPr>
        <w:t xml:space="preserve"> וכי</w:t>
      </w:r>
      <w:r w:rsidRPr="00D82FB5">
        <w:rPr>
          <w:rFonts w:ascii="David" w:hAnsi="David" w:hint="cs"/>
          <w:rtl/>
        </w:rPr>
        <w:t xml:space="preserve"> בתקופה הרלוונטית לכתב האישום היה רכב מסוג מזדה (להלן: </w:t>
      </w:r>
      <w:r w:rsidRPr="00D82FB5">
        <w:rPr>
          <w:rFonts w:ascii="David" w:hAnsi="David" w:hint="cs"/>
          <w:b/>
          <w:bCs/>
          <w:rtl/>
        </w:rPr>
        <w:t xml:space="preserve">המזדה </w:t>
      </w:r>
      <w:r w:rsidRPr="00D82FB5">
        <w:rPr>
          <w:rFonts w:ascii="David" w:hAnsi="David" w:hint="cs"/>
          <w:rtl/>
        </w:rPr>
        <w:t>או</w:t>
      </w:r>
      <w:r w:rsidRPr="00D82FB5">
        <w:rPr>
          <w:rFonts w:ascii="David" w:hAnsi="David" w:hint="cs"/>
          <w:b/>
          <w:bCs/>
          <w:rtl/>
        </w:rPr>
        <w:t xml:space="preserve"> רכב המזדה</w:t>
      </w:r>
      <w:r w:rsidRPr="00D82FB5">
        <w:rPr>
          <w:rFonts w:ascii="David" w:hAnsi="David" w:hint="cs"/>
          <w:rtl/>
        </w:rPr>
        <w:t xml:space="preserve">) בשימושו של אחד, רסלאן עוקר. עוד צוין כי במועד שאינו ידוע במדויק למאשימה, בין התאריכים 14.11.2022 ל-16.11.2022, נגנבו שתי לוחיות רישוי מרכב סקודה שבבעלות מ"ס (להלן: </w:t>
      </w:r>
      <w:r w:rsidRPr="00D82FB5">
        <w:rPr>
          <w:rFonts w:ascii="David" w:hAnsi="David" w:hint="cs"/>
          <w:b/>
          <w:bCs/>
          <w:rtl/>
        </w:rPr>
        <w:t>הסקודה</w:t>
      </w:r>
      <w:r w:rsidRPr="00D82FB5">
        <w:rPr>
          <w:rFonts w:ascii="David" w:hAnsi="David" w:hint="cs"/>
          <w:rtl/>
        </w:rPr>
        <w:t xml:space="preserve">). </w:t>
      </w:r>
    </w:p>
    <w:p w14:paraId="1DD2B3AC" w14:textId="77777777" w:rsidR="00E27212" w:rsidRPr="00D82FB5" w:rsidRDefault="00E27212" w:rsidP="00E27212">
      <w:pPr>
        <w:pStyle w:val="a9"/>
        <w:rPr>
          <w:rFonts w:ascii="David" w:hAnsi="David"/>
          <w:rtl/>
        </w:rPr>
      </w:pPr>
    </w:p>
    <w:p w14:paraId="374391AC"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hint="cs"/>
          <w:rtl/>
        </w:rPr>
        <w:t xml:space="preserve">על פי עובדות כתב האישום, במועד שאינו ידוע למאשימה, עובר ליום 22.11.2022, הנאשמים ביחד עם שני אנשים לפחות, שזהותם אינה ידועה למאשימה (יכונו להלן: </w:t>
      </w:r>
      <w:r w:rsidRPr="00D82FB5">
        <w:rPr>
          <w:rFonts w:ascii="David" w:hAnsi="David" w:hint="cs"/>
          <w:b/>
          <w:bCs/>
          <w:rtl/>
        </w:rPr>
        <w:t>האחרים</w:t>
      </w:r>
      <w:r w:rsidRPr="00D82FB5">
        <w:rPr>
          <w:rFonts w:ascii="David" w:hAnsi="David" w:hint="cs"/>
          <w:rtl/>
        </w:rPr>
        <w:t xml:space="preserve">; האחרים </w:t>
      </w:r>
      <w:r w:rsidRPr="00D82FB5">
        <w:rPr>
          <w:rFonts w:ascii="David" w:hAnsi="David" w:hint="cs"/>
          <w:rtl/>
        </w:rPr>
        <w:lastRenderedPageBreak/>
        <w:t xml:space="preserve">והנאשמים יכונו להלן: </w:t>
      </w:r>
      <w:r w:rsidRPr="00D82FB5">
        <w:rPr>
          <w:rFonts w:ascii="David" w:hAnsi="David" w:hint="cs"/>
          <w:b/>
          <w:bCs/>
          <w:rtl/>
        </w:rPr>
        <w:t>בני החבורה</w:t>
      </w:r>
      <w:r w:rsidRPr="00D82FB5">
        <w:rPr>
          <w:rFonts w:ascii="David" w:hAnsi="David" w:hint="cs"/>
          <w:rtl/>
        </w:rPr>
        <w:t xml:space="preserve">), קשרו קשר לנסוע יחדיו במזדה כשברשותם שני כלי נשק ותחמושת, והם רעולי פנים וברשותם כפפות </w:t>
      </w:r>
      <w:r w:rsidRPr="00D82FB5">
        <w:rPr>
          <w:rFonts w:ascii="David" w:hAnsi="David"/>
          <w:rtl/>
        </w:rPr>
        <w:t>–</w:t>
      </w:r>
      <w:r w:rsidRPr="00D82FB5">
        <w:rPr>
          <w:rFonts w:ascii="David" w:hAnsi="David" w:hint="cs"/>
          <w:rtl/>
        </w:rPr>
        <w:t xml:space="preserve"> וזאת בדרך ליעד שאינו ידוע למאשימה. נטען כי לשם קידום התכנית, במועד שאינו ידוע במדויק למאשימה, עובר ליום 22.11.2022, זייפו האחרים את סימני הזיהוי של רכב המזדה בכך שהחליפו את לוחיות הרישוי שלו בלוחיות הרישוי שנגנבו מהסקודה.</w:t>
      </w:r>
    </w:p>
    <w:p w14:paraId="36383233" w14:textId="77777777" w:rsidR="00E27212" w:rsidRPr="00D82FB5" w:rsidRDefault="00E27212" w:rsidP="00E27212">
      <w:pPr>
        <w:pStyle w:val="a9"/>
        <w:rPr>
          <w:rFonts w:ascii="David" w:hAnsi="David"/>
          <w:rtl/>
        </w:rPr>
      </w:pPr>
    </w:p>
    <w:p w14:paraId="24EAA9A4"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hint="cs"/>
          <w:rtl/>
        </w:rPr>
        <w:t xml:space="preserve">בכתב האישום צוין כי ביום 22.11.2022 סמוך לשעה 1:53, נסעו בני החבורה ברכב המזדה שעליו מותקנות לוחיות הרישוי של הסקודה. במהלך הנסיעה, בני החבורה אשר פעלו בצוותא, החזיקו, נשאו והובילו כלי נשק, תחמושת ואביזרים לנשק כלהלן: רובה סער מסוג קלצ'ניקוב מספר סידורי 1705; חפץ דמוי רובה סער מסוג </w:t>
      </w:r>
      <w:r w:rsidRPr="00D82FB5">
        <w:rPr>
          <w:rFonts w:ascii="David" w:hAnsi="David" w:hint="cs"/>
        </w:rPr>
        <w:t>M16</w:t>
      </w:r>
      <w:r w:rsidRPr="00D82FB5">
        <w:rPr>
          <w:rFonts w:ascii="David" w:hAnsi="David" w:hint="cs"/>
          <w:rtl/>
        </w:rPr>
        <w:t xml:space="preserve"> מספר סידורי 7305741, עם כדור בקנה; שתי מחסניות תואמות שהכילו כל אחת 29 כדורים בקוטר 5.56 מ"מ; מחסנית התואמת לרובה מסוג קלצ'ניקוב שהכילה 29 כדורים בקוטר 7.62 מ"מ. צוין כי במהלך הנסיעה, מי מהנאשמים או האחרים כיסו את פניהם באמצעות רעלות ועטו כפפות על ידיהם. </w:t>
      </w:r>
    </w:p>
    <w:p w14:paraId="597ACD9F" w14:textId="77777777" w:rsidR="00E27212" w:rsidRPr="00D82FB5" w:rsidRDefault="00E27212" w:rsidP="00E27212">
      <w:pPr>
        <w:pStyle w:val="a9"/>
        <w:rPr>
          <w:rFonts w:ascii="David" w:hAnsi="David"/>
          <w:rtl/>
        </w:rPr>
      </w:pPr>
    </w:p>
    <w:p w14:paraId="572F2CD2"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hint="cs"/>
          <w:rtl/>
        </w:rPr>
        <w:t xml:space="preserve">כתב האישום ממשיך ומתאר כי במהלך הנסיעה, עברו בני החבורה ביישוב ג'דיידה-מכר ממזרח למערב, כשאורות המזדה כבויים, על אף שהייתה זו שעת לילה. באותה עת שהו בקרבת מקום השוטרים חביב ואיימן שנסעו בניידת משטרתית בצבעי כחול לבן הנושאת סימני זיהוי משטרתיים. השוטרים הבחינו ברכב המזדה שנסע ללא אורות ובאופן שעורר את חשדם, סימנו לרכב המזדה והורו לו לעצור; השוטר איימן הפעיל אורות כחולים בניידת ונסע לעבר רכב המזדה במטרה לחסום אותו. בעקבות זאת נסעו בני החבורה באמצעות המזדה מספר מטרים לאחור, ביצעו פניית פרסה במקום ונמלטו בנסיעה מהירה על כביש 1003 בתוך היישוב ג'דידה-מכר, בכוונה להפריע לשוטרים או להכשילם במילוי תפקידם. השוטרים דלקו אחר המזדה כשהם מפעילים אורות כחולים ומורים לרכב המזדה באמצעות הכריזה לעצור, אך בני החבורה לא שעו להוראות השוטרים והמשיכו במנוסה. בהמשך לכך, פנו בני החבורה בנסיעה מהירה לכיוון ימין לעבר שביל עפר משובש בתוך מטע זיתים בעוד הניידת נוסעת בעקבותיהם. או אז, הבחין השוטר איימן באחד מנוסעי המזדה אשר ישב במושב האחורי כשהוא מחזיק בחפץ הנראה רובה ומכוון אותו לעבר השוטרים. בני החבורה המשיכו במנוסתם בעוד השוטרים דולקים אחריהם, עד שרכב המזדה נפל לתוך תעלת עפר שהייתה בקצה המטע, והניידת נפלה אף היא לתעלה ונתקעה על גג המזדה. לאחר התאונה, ברחו לפחות שניים מהאחרים מהמזדה ולא אותרו. הנאשם 1 יצא מצדו השמאלי של המזדה, נפל וצעק שהוא פצוע. הנאשם 2 יצא אף הוא מצדו השמאלי של המזדה וניסה לברוח מהמקום. השוטר איימן יצא מדלת הנהג, הבחין בבריחתו של הנאשם 2, שלף את אקדחו וצעק לעברו "משטרה עצור". הנאשם 2 לא שעה לקריאות השוטר; השוטר איימן ירה באוויר כדור בודד, קרא שוב לעברו לעצור לפני שהוא יורה ואז ירה מספר כדורים לעבר פלג גופו התחתון של הנאשם 2 שנפגע ונפל במרחק של 4 מטר לערך משמאל למזדה. כלי הנשק, האביזרים והתחמושת נתפסו סמוך למזדה וליד הנאשמים. אחת המחסניות נתפסה בתוך המזדה. </w:t>
      </w:r>
    </w:p>
    <w:p w14:paraId="47D748E2" w14:textId="77777777" w:rsidR="00E27212" w:rsidRPr="00D82FB5" w:rsidRDefault="00E27212" w:rsidP="00E27212">
      <w:pPr>
        <w:pStyle w:val="a9"/>
        <w:spacing w:before="100" w:beforeAutospacing="1" w:after="100" w:afterAutospacing="1" w:line="360" w:lineRule="auto"/>
        <w:ind w:left="0"/>
        <w:jc w:val="both"/>
      </w:pPr>
    </w:p>
    <w:p w14:paraId="2913E2B7" w14:textId="77777777" w:rsidR="00E27212" w:rsidRPr="00D82FB5" w:rsidRDefault="00E27212" w:rsidP="00E27212">
      <w:pPr>
        <w:pStyle w:val="a9"/>
        <w:numPr>
          <w:ilvl w:val="0"/>
          <w:numId w:val="1"/>
        </w:numPr>
        <w:spacing w:before="100" w:beforeAutospacing="1" w:after="100" w:afterAutospacing="1" w:line="360" w:lineRule="auto"/>
        <w:jc w:val="both"/>
        <w:rPr>
          <w:rtl/>
        </w:rPr>
      </w:pPr>
      <w:r w:rsidRPr="00D82FB5">
        <w:rPr>
          <w:rFonts w:ascii="David" w:hAnsi="David" w:hint="cs"/>
          <w:rtl/>
        </w:rPr>
        <w:lastRenderedPageBreak/>
        <w:t xml:space="preserve">עוד צוין בכתב האישום כי כתוצאה מהתאונה נגרמו לשוטר איימן חבלות בכתף ימין ובגב התחתון והוא פונה לבית החולים לקבלת טיפול רפואי. הנאשם 1 התלונן על כאבים בגב, בחזה וברגל ימין עם הגבלת תנועה ופונה למרכז הרפואי לגליל, שם נבדק ושוחרר באותו יום. לנאשם 2 נגרם פצע בדופן בית חזה משמאל ובית שחי משמאל וכן פצע ירי בזרוע שמאל קדמי ואחורי, שיכולים להתאים לכניסת ויציאת כדור. לבסוף צוין כי כתוצאה מהאירוע נגרמו נזקים למזדה ולניידת המשטרה.   </w:t>
      </w:r>
    </w:p>
    <w:p w14:paraId="7AED4D6F" w14:textId="77777777" w:rsidR="00E27212" w:rsidRPr="00D82FB5" w:rsidRDefault="00E27212" w:rsidP="00E27212">
      <w:pPr>
        <w:pStyle w:val="a9"/>
        <w:numPr>
          <w:ilvl w:val="0"/>
          <w:numId w:val="1"/>
        </w:numPr>
        <w:spacing w:before="100" w:beforeAutospacing="1" w:after="100" w:afterAutospacing="1" w:line="360" w:lineRule="auto"/>
        <w:jc w:val="both"/>
        <w:rPr>
          <w:rFonts w:ascii="David" w:hAnsi="David"/>
          <w:rtl/>
        </w:rPr>
      </w:pPr>
      <w:r w:rsidRPr="00D82FB5">
        <w:rPr>
          <w:rFonts w:ascii="David" w:hAnsi="David" w:hint="cs"/>
          <w:rtl/>
        </w:rPr>
        <w:t>ביום 31.3.2023 הגישו הנאשמים תשובה כתובה לכתב האישום, ובה כפרו בעובדות כתב האישום. לאחר שהתקיימו 6 ישיבות לשמיעת ראיות, בדיון שהתקיים ביום 25.3.2024 הודיעו הצדדים כי הגיעו להסדר טיעון לפיו הנאשמים יבקשו לחזור בהם מכפירתם ולהודות בכתב אישום מתוקן, וזאת מבלי שתהיינה הסכמות לעניין העונש. באותו יום הרשעתי את הנאשמים בעובדות כתב האישום המתוקן, על פי הודאתם.</w:t>
      </w:r>
    </w:p>
    <w:p w14:paraId="7CC09C0C" w14:textId="77777777" w:rsidR="00E27212" w:rsidRPr="00D82FB5" w:rsidRDefault="00E27212" w:rsidP="00E27212">
      <w:pPr>
        <w:spacing w:line="360" w:lineRule="auto"/>
        <w:jc w:val="both"/>
        <w:rPr>
          <w:rFonts w:ascii="David" w:hAnsi="David"/>
          <w:b/>
          <w:bCs/>
          <w:rtl/>
        </w:rPr>
      </w:pPr>
      <w:r w:rsidRPr="00D82FB5">
        <w:rPr>
          <w:rFonts w:ascii="David" w:hAnsi="David"/>
          <w:b/>
          <w:bCs/>
          <w:rtl/>
        </w:rPr>
        <w:t>ראיות וטיעוני הצדדים לעונש</w:t>
      </w:r>
    </w:p>
    <w:p w14:paraId="042F7AF7" w14:textId="77777777" w:rsidR="00E27212" w:rsidRPr="00D82FB5" w:rsidRDefault="00E27212" w:rsidP="00E27212">
      <w:pPr>
        <w:spacing w:line="360" w:lineRule="auto"/>
        <w:jc w:val="both"/>
        <w:rPr>
          <w:rFonts w:ascii="David" w:hAnsi="David"/>
          <w:b/>
          <w:bCs/>
          <w:rtl/>
        </w:rPr>
      </w:pPr>
    </w:p>
    <w:p w14:paraId="2C8CF9EC" w14:textId="77777777" w:rsidR="00E27212" w:rsidRPr="00D82FB5" w:rsidRDefault="00E27212" w:rsidP="00E27212">
      <w:pPr>
        <w:pStyle w:val="a9"/>
        <w:numPr>
          <w:ilvl w:val="0"/>
          <w:numId w:val="1"/>
        </w:numPr>
        <w:spacing w:line="360" w:lineRule="auto"/>
        <w:jc w:val="both"/>
        <w:rPr>
          <w:rFonts w:ascii="David" w:hAnsi="David"/>
        </w:rPr>
      </w:pPr>
      <w:r w:rsidRPr="00D82FB5">
        <w:rPr>
          <w:rFonts w:ascii="David" w:hAnsi="David" w:hint="cs"/>
          <w:rtl/>
        </w:rPr>
        <w:t xml:space="preserve">המאשימה הגישה טיעון בכתב לעונש והוסיפה וטענה בעל פה. כמו כן הוגש גיליון הרשעותיו הקודמות של הנאשם 2. </w:t>
      </w:r>
    </w:p>
    <w:p w14:paraId="375CA24F" w14:textId="77777777" w:rsidR="00E27212" w:rsidRPr="00D82FB5" w:rsidRDefault="00E27212" w:rsidP="00E27212">
      <w:pPr>
        <w:pStyle w:val="a9"/>
        <w:spacing w:line="360" w:lineRule="auto"/>
        <w:ind w:left="57"/>
        <w:jc w:val="both"/>
        <w:rPr>
          <w:rFonts w:ascii="David" w:hAnsi="David"/>
        </w:rPr>
      </w:pPr>
    </w:p>
    <w:p w14:paraId="77CB86CA" w14:textId="77777777" w:rsidR="00E27212" w:rsidRPr="00D82FB5" w:rsidRDefault="00E27212" w:rsidP="00E27212">
      <w:pPr>
        <w:pStyle w:val="a9"/>
        <w:numPr>
          <w:ilvl w:val="0"/>
          <w:numId w:val="1"/>
        </w:numPr>
        <w:spacing w:line="360" w:lineRule="auto"/>
        <w:jc w:val="both"/>
        <w:rPr>
          <w:rFonts w:ascii="David" w:hAnsi="David"/>
        </w:rPr>
      </w:pPr>
      <w:r w:rsidRPr="00D82FB5">
        <w:rPr>
          <w:rFonts w:ascii="David" w:hAnsi="David" w:hint="cs"/>
          <w:i/>
          <w:iCs/>
          <w:rtl/>
        </w:rPr>
        <w:t>טיעוני המאשימה</w:t>
      </w:r>
      <w:r w:rsidRPr="00D82FB5">
        <w:rPr>
          <w:rFonts w:ascii="David" w:hAnsi="David" w:hint="cs"/>
          <w:rtl/>
        </w:rPr>
        <w:t xml:space="preserve"> </w:t>
      </w:r>
      <w:r w:rsidRPr="00D82FB5">
        <w:rPr>
          <w:rFonts w:ascii="David" w:hAnsi="David"/>
          <w:rtl/>
        </w:rPr>
        <w:t>–</w:t>
      </w:r>
      <w:r w:rsidRPr="00D82FB5">
        <w:rPr>
          <w:rFonts w:ascii="David" w:hAnsi="David" w:hint="cs"/>
          <w:rtl/>
        </w:rPr>
        <w:t xml:space="preserve"> בטיעוניה, הפנתה המאשימה לערכים המוגנים בעבירות הנשק והדגישה את מדיניות הענישה המחמירה. </w:t>
      </w:r>
    </w:p>
    <w:p w14:paraId="55FEE845" w14:textId="77777777" w:rsidR="00E27212" w:rsidRPr="00D82FB5" w:rsidRDefault="00E27212" w:rsidP="00E27212">
      <w:pPr>
        <w:pStyle w:val="a9"/>
        <w:rPr>
          <w:rFonts w:ascii="David" w:hAnsi="David"/>
          <w:rtl/>
        </w:rPr>
      </w:pPr>
    </w:p>
    <w:p w14:paraId="2F2186B2" w14:textId="77777777" w:rsidR="00E27212" w:rsidRPr="00D82FB5" w:rsidRDefault="00E27212" w:rsidP="00E27212">
      <w:pPr>
        <w:pStyle w:val="a9"/>
        <w:spacing w:line="360" w:lineRule="auto"/>
        <w:ind w:left="0" w:firstLine="567"/>
        <w:jc w:val="both"/>
        <w:rPr>
          <w:rFonts w:ascii="David" w:hAnsi="David"/>
        </w:rPr>
      </w:pPr>
      <w:r w:rsidRPr="00D82FB5">
        <w:rPr>
          <w:rFonts w:ascii="David" w:hAnsi="David" w:hint="cs"/>
          <w:rtl/>
        </w:rPr>
        <w:t xml:space="preserve">המאשימה הפנתה לנסיבות המקרה שהוגדרו על ידה "חמורות". המאשימה ביקשה להדגיש את הנסיבות שכללו בין היתר נשיאת והובלת שני רובים, שלוש מחסניות וכמות גדולה של תחמושת </w:t>
      </w:r>
      <w:r w:rsidRPr="00D82FB5">
        <w:rPr>
          <w:rFonts w:ascii="David" w:hAnsi="David"/>
          <w:rtl/>
        </w:rPr>
        <w:t>–</w:t>
      </w:r>
      <w:r w:rsidRPr="00D82FB5">
        <w:rPr>
          <w:rFonts w:ascii="David" w:hAnsi="David" w:hint="cs"/>
          <w:rtl/>
        </w:rPr>
        <w:t xml:space="preserve"> 87 כדורים; המתאימים לרובים שנתפסו.</w:t>
      </w:r>
      <w:r w:rsidRPr="00D82FB5">
        <w:rPr>
          <w:rFonts w:ascii="David" w:hAnsi="David" w:hint="cs"/>
        </w:rPr>
        <w:t xml:space="preserve"> </w:t>
      </w:r>
      <w:r w:rsidRPr="00D82FB5">
        <w:rPr>
          <w:rFonts w:ascii="David" w:hAnsi="David" w:hint="cs"/>
          <w:rtl/>
        </w:rPr>
        <w:t xml:space="preserve">נטען כי כלי הנשק היו רובי סער, שמידת הדיוק שלהם רבה ופגיעתם הפוטנציאלית גדולה והרסנית; כמו כן נטען כי פוטנציאל השימוש בכלי הנשק היה מידי בהינתן זמינות התחמושת ליד הנשק, והיות אחד מכלי הנשק טעון עם כדור בקנה. עוד הפנתה המאשימה לכך כי המעשים בוצעו בצוותא; כי קדם להם תכנון מוקדם </w:t>
      </w:r>
      <w:r w:rsidRPr="00D82FB5">
        <w:rPr>
          <w:rFonts w:ascii="David" w:hAnsi="David"/>
          <w:rtl/>
        </w:rPr>
        <w:t>–</w:t>
      </w:r>
      <w:r w:rsidRPr="00D82FB5">
        <w:rPr>
          <w:rFonts w:ascii="David" w:hAnsi="David" w:hint="cs"/>
          <w:rtl/>
        </w:rPr>
        <w:t xml:space="preserve"> הצטיידות בנשק ותחמושת, נסיעה ברכב שפרטיו זויפו, הצטיידות בכפפות וכיסויים להסתרת הפנים; וכי הנאשמים לא שעו להוראות השוטרים </w:t>
      </w:r>
      <w:r w:rsidRPr="00D82FB5">
        <w:rPr>
          <w:rFonts w:ascii="David" w:hAnsi="David"/>
          <w:rtl/>
        </w:rPr>
        <w:t>–</w:t>
      </w:r>
      <w:r w:rsidRPr="00D82FB5">
        <w:rPr>
          <w:rFonts w:ascii="David" w:hAnsi="David" w:hint="cs"/>
          <w:rtl/>
        </w:rPr>
        <w:t xml:space="preserve"> מה שמלמד על תעוזתם הרבה. </w:t>
      </w:r>
    </w:p>
    <w:p w14:paraId="34391628" w14:textId="77777777" w:rsidR="00E27212" w:rsidRPr="00D82FB5" w:rsidRDefault="00E27212" w:rsidP="00E27212">
      <w:pPr>
        <w:pStyle w:val="a9"/>
        <w:spacing w:line="360" w:lineRule="auto"/>
        <w:ind w:left="57"/>
        <w:jc w:val="both"/>
        <w:rPr>
          <w:rFonts w:ascii="David" w:hAnsi="David"/>
          <w:rtl/>
        </w:rPr>
      </w:pPr>
    </w:p>
    <w:p w14:paraId="0D13DEEA"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המאשימה הפנתה לפסיקה, וטענה כי בנסיבות המקרה מתחם העונש נע בין 5 ל-7 שנות מאסר. המאשימה הוסיפה כי נשיאת נשק בחברה הערבית גובה קורבנות רבים, ולכן הדגישה את חשיבות ההחמרה בענישה ומיצוי הדין עם הנאשמים.</w:t>
      </w:r>
    </w:p>
    <w:p w14:paraId="4E5B7D71" w14:textId="77777777" w:rsidR="00E27212" w:rsidRPr="00D82FB5" w:rsidRDefault="00E27212" w:rsidP="00E27212">
      <w:pPr>
        <w:pStyle w:val="a9"/>
        <w:spacing w:line="360" w:lineRule="auto"/>
        <w:ind w:left="57"/>
        <w:jc w:val="both"/>
        <w:rPr>
          <w:rFonts w:ascii="David" w:hAnsi="David"/>
          <w:rtl/>
        </w:rPr>
      </w:pPr>
    </w:p>
    <w:p w14:paraId="26E82800"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 xml:space="preserve">אשר לגזירת העונש בתוך המתחם </w:t>
      </w:r>
      <w:r w:rsidRPr="00D82FB5">
        <w:rPr>
          <w:rFonts w:ascii="David" w:hAnsi="David"/>
          <w:rtl/>
        </w:rPr>
        <w:t>–</w:t>
      </w:r>
      <w:r w:rsidRPr="00D82FB5">
        <w:rPr>
          <w:rFonts w:ascii="David" w:hAnsi="David" w:hint="cs"/>
          <w:rtl/>
        </w:rPr>
        <w:t xml:space="preserve"> המאשימה ציינה כי בתיק נוהלו ישיבות לשמיעת ראיות ונשמעו מרבית עדי התביעה. צוין כי לנאשם 1 אין הרשעות קודמות; ואילו לנאשם 2 יש שתי הרשעות קודמות כאשר האחרונה היא בגין עבירת נשק משנת 2013 במסגרתה נידון לעונש מאסר בפועל של 55 חודשים. המאשימה ציינה כי הנאשמים עצורים עד תום ההליכים מיום 22.11.2022. </w:t>
      </w:r>
    </w:p>
    <w:p w14:paraId="33535A92" w14:textId="77777777" w:rsidR="00E27212" w:rsidRPr="00D82FB5" w:rsidRDefault="00E27212" w:rsidP="00E27212">
      <w:pPr>
        <w:pStyle w:val="a9"/>
        <w:spacing w:line="360" w:lineRule="auto"/>
        <w:ind w:left="57" w:firstLine="651"/>
        <w:jc w:val="both"/>
        <w:rPr>
          <w:rFonts w:ascii="David" w:hAnsi="David"/>
          <w:rtl/>
        </w:rPr>
      </w:pPr>
    </w:p>
    <w:p w14:paraId="1FC67353"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 xml:space="preserve">לסיכום, המאשימה ביקשה לגזור את עונשו של נאשם 1 בחלק הבינוני-תחתון של המתחם הנטען; ואת עונשו של הנאשם 2 </w:t>
      </w:r>
      <w:r w:rsidRPr="00D82FB5">
        <w:rPr>
          <w:rFonts w:ascii="David" w:hAnsi="David"/>
          <w:rtl/>
        </w:rPr>
        <w:t>–</w:t>
      </w:r>
      <w:r w:rsidRPr="00D82FB5">
        <w:rPr>
          <w:rFonts w:ascii="David" w:hAnsi="David" w:hint="cs"/>
          <w:rtl/>
        </w:rPr>
        <w:t xml:space="preserve"> ברף הבינוני של המתחם. כמו כן, ביקשה המאשימה להטיל על הנאשמים מאסר על תנאי ארוך וקנס כספי גבוה.  </w:t>
      </w:r>
    </w:p>
    <w:p w14:paraId="1B42FA4A" w14:textId="77777777" w:rsidR="00E27212" w:rsidRPr="00D82FB5" w:rsidRDefault="00E27212" w:rsidP="00E27212">
      <w:pPr>
        <w:spacing w:line="360" w:lineRule="auto"/>
        <w:jc w:val="both"/>
        <w:rPr>
          <w:rFonts w:ascii="David" w:hAnsi="David"/>
          <w:rtl/>
        </w:rPr>
      </w:pPr>
    </w:p>
    <w:p w14:paraId="7388B921" w14:textId="77777777" w:rsidR="00E27212" w:rsidRPr="00D82FB5" w:rsidRDefault="00E27212" w:rsidP="00E27212">
      <w:pPr>
        <w:pStyle w:val="a9"/>
        <w:numPr>
          <w:ilvl w:val="0"/>
          <w:numId w:val="1"/>
        </w:numPr>
        <w:spacing w:line="360" w:lineRule="auto"/>
        <w:jc w:val="both"/>
        <w:rPr>
          <w:rFonts w:ascii="David" w:hAnsi="David"/>
        </w:rPr>
      </w:pPr>
      <w:r w:rsidRPr="00D82FB5">
        <w:rPr>
          <w:rFonts w:ascii="David" w:hAnsi="David" w:hint="cs"/>
          <w:rtl/>
        </w:rPr>
        <w:t>הנאשם 1 הגיש מסמך רפואי לגבי מצבו הרפואי של בנו שלפי הנטען נולד בנסיבות קשות והיה מורדם ומונשם בלידתו.</w:t>
      </w:r>
      <w:r w:rsidRPr="00D82FB5">
        <w:rPr>
          <w:rtl/>
        </w:rPr>
        <w:t xml:space="preserve"> </w:t>
      </w:r>
      <w:r w:rsidRPr="00D82FB5">
        <w:rPr>
          <w:rFonts w:ascii="David" w:hAnsi="David"/>
          <w:rtl/>
        </w:rPr>
        <w:t>במסמך הרפואי צוין כי ה</w:t>
      </w:r>
      <w:r w:rsidRPr="00D82FB5">
        <w:rPr>
          <w:rFonts w:ascii="David" w:hAnsi="David" w:hint="cs"/>
          <w:rtl/>
        </w:rPr>
        <w:t>תינוק</w:t>
      </w:r>
      <w:r w:rsidRPr="00D82FB5">
        <w:rPr>
          <w:rFonts w:ascii="David" w:hAnsi="David"/>
          <w:rtl/>
        </w:rPr>
        <w:t xml:space="preserve"> נולד פג בשבוע 26, היה מורדם ומונשם, כיום סובל מאיחור התפתחותי מוטורי ושפתי ונמצא במעקב וטיפול.</w:t>
      </w:r>
    </w:p>
    <w:p w14:paraId="5F33156E" w14:textId="77777777" w:rsidR="00E27212" w:rsidRPr="00D82FB5" w:rsidRDefault="00E27212" w:rsidP="00E27212">
      <w:pPr>
        <w:pStyle w:val="a9"/>
        <w:spacing w:line="360" w:lineRule="auto"/>
        <w:ind w:left="57"/>
        <w:jc w:val="both"/>
        <w:rPr>
          <w:rFonts w:ascii="David" w:hAnsi="David"/>
        </w:rPr>
      </w:pPr>
    </w:p>
    <w:p w14:paraId="45CA1346"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 xml:space="preserve">אשת הנאשם 1 העידה מטעמו. היא ציינה כי היא יודעת שהנאשם טעה. היא סיפרה שהיא ילדה את בנם כשהיא הייתה בחודש השישי להריונה בעוד הנאשם היה עצור, וכי התינוק נותר בפגיה למשך חודשיים. העדה ציינה כי היא כבת 23, מגדלת לבד שני ילדים, ומתפרנסת מקצבת ביטוח לאומי. על כן, ביקשה מבית המשפט להתחשב בנאשם 1. </w:t>
      </w:r>
    </w:p>
    <w:p w14:paraId="745236FF" w14:textId="77777777" w:rsidR="00E27212" w:rsidRPr="00D82FB5" w:rsidRDefault="00E27212" w:rsidP="00E27212">
      <w:pPr>
        <w:pStyle w:val="a9"/>
        <w:spacing w:line="360" w:lineRule="auto"/>
        <w:ind w:left="57"/>
        <w:jc w:val="both"/>
        <w:rPr>
          <w:rFonts w:ascii="David" w:hAnsi="David"/>
          <w:rtl/>
        </w:rPr>
      </w:pPr>
    </w:p>
    <w:p w14:paraId="1114DB49" w14:textId="77777777" w:rsidR="00E27212" w:rsidRPr="00D82FB5" w:rsidRDefault="00E27212" w:rsidP="00E27212">
      <w:pPr>
        <w:pStyle w:val="a9"/>
        <w:numPr>
          <w:ilvl w:val="0"/>
          <w:numId w:val="1"/>
        </w:numPr>
        <w:spacing w:line="360" w:lineRule="auto"/>
        <w:jc w:val="both"/>
        <w:rPr>
          <w:rFonts w:ascii="David" w:hAnsi="David"/>
        </w:rPr>
      </w:pPr>
      <w:r w:rsidRPr="00D82FB5">
        <w:rPr>
          <w:rFonts w:ascii="David" w:hAnsi="David" w:hint="cs"/>
          <w:i/>
          <w:iCs/>
          <w:rtl/>
        </w:rPr>
        <w:t>טיעוני הנאשמים</w:t>
      </w:r>
      <w:r w:rsidRPr="00D82FB5">
        <w:rPr>
          <w:rFonts w:ascii="David" w:hAnsi="David" w:hint="cs"/>
          <w:rtl/>
        </w:rPr>
        <w:t xml:space="preserve"> </w:t>
      </w:r>
      <w:r w:rsidRPr="00D82FB5">
        <w:rPr>
          <w:rFonts w:ascii="David" w:hAnsi="David"/>
          <w:rtl/>
        </w:rPr>
        <w:t>–</w:t>
      </w:r>
      <w:r w:rsidRPr="00D82FB5">
        <w:rPr>
          <w:rFonts w:ascii="David" w:hAnsi="David" w:hint="cs"/>
          <w:rtl/>
        </w:rPr>
        <w:t xml:space="preserve"> הסנגור הפנה לפערים בין כתב האישום המתוקן לבין כתב האישום המקורי,  הפנה להתנהלות השוטרים בנסיבות המקרה, והדגיש את העובדה כי הנאשמים לא עשו שימוש בכלי הנשק שנתפסו. </w:t>
      </w:r>
    </w:p>
    <w:p w14:paraId="682D42BA" w14:textId="77777777" w:rsidR="00E27212" w:rsidRPr="00D82FB5" w:rsidRDefault="00E27212" w:rsidP="00E27212">
      <w:pPr>
        <w:pStyle w:val="a9"/>
        <w:spacing w:line="360" w:lineRule="auto"/>
        <w:ind w:left="57"/>
        <w:jc w:val="both"/>
        <w:rPr>
          <w:rFonts w:ascii="David" w:hAnsi="David"/>
          <w:rtl/>
        </w:rPr>
      </w:pPr>
    </w:p>
    <w:p w14:paraId="2B65D727"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לשיטת הסנגור, מדיניות הענישה הנוהגת מקלה יותר לעומת המתחם לו טענה המאשימה, ובתוך כך הפנה לפסיקה וטען כי בנסיבות המקרה יש לקבוע כי מתחם העונש נע בין 15 ל-24 חודשי מאסר.</w:t>
      </w:r>
    </w:p>
    <w:p w14:paraId="7CFBB720" w14:textId="77777777" w:rsidR="00E27212" w:rsidRPr="00D82FB5" w:rsidRDefault="00E27212" w:rsidP="00E27212">
      <w:pPr>
        <w:pStyle w:val="a9"/>
        <w:spacing w:line="360" w:lineRule="auto"/>
        <w:ind w:left="57"/>
        <w:jc w:val="both"/>
        <w:rPr>
          <w:rFonts w:ascii="David" w:hAnsi="David"/>
          <w:rtl/>
        </w:rPr>
      </w:pPr>
    </w:p>
    <w:p w14:paraId="5FAD3D29" w14:textId="77777777" w:rsidR="00E27212" w:rsidRPr="00D82FB5" w:rsidRDefault="00E27212" w:rsidP="00E27212">
      <w:pPr>
        <w:pStyle w:val="a9"/>
        <w:spacing w:line="360" w:lineRule="auto"/>
        <w:ind w:left="57" w:firstLine="651"/>
        <w:jc w:val="both"/>
        <w:rPr>
          <w:rFonts w:ascii="David" w:hAnsi="David"/>
          <w:rtl/>
        </w:rPr>
      </w:pPr>
      <w:r w:rsidRPr="00D82FB5">
        <w:rPr>
          <w:rFonts w:ascii="David" w:hAnsi="David" w:hint="cs"/>
          <w:rtl/>
        </w:rPr>
        <w:t xml:space="preserve">אשר לגזירת העונש בתוך המתחם </w:t>
      </w:r>
      <w:r w:rsidRPr="00D82FB5">
        <w:rPr>
          <w:rFonts w:ascii="David" w:hAnsi="David"/>
          <w:rtl/>
        </w:rPr>
        <w:t>–</w:t>
      </w:r>
      <w:r w:rsidRPr="00D82FB5">
        <w:rPr>
          <w:rFonts w:ascii="David" w:hAnsi="David" w:hint="cs"/>
          <w:rtl/>
        </w:rPr>
        <w:t xml:space="preserve"> הסנגור ביקש להדגיש כי ניהול ההוכחות לא היה לשווא, אלא הוביל לתיקון כתב האישום ומחיקת סעיפי אישום מכתב האישום המקורי; </w:t>
      </w:r>
      <w:r w:rsidRPr="00D82FB5">
        <w:rPr>
          <w:rFonts w:ascii="David" w:hAnsi="David"/>
          <w:rtl/>
        </w:rPr>
        <w:t>כן הפנה להודאתם וחרטתם של הנאשמים</w:t>
      </w:r>
      <w:r w:rsidRPr="00D82FB5">
        <w:rPr>
          <w:rFonts w:ascii="David" w:hAnsi="David" w:hint="cs"/>
          <w:rtl/>
        </w:rPr>
        <w:t>; ו</w:t>
      </w:r>
      <w:r w:rsidRPr="00D82FB5">
        <w:rPr>
          <w:rFonts w:ascii="David" w:hAnsi="David"/>
          <w:rtl/>
        </w:rPr>
        <w:t xml:space="preserve">לעובדה כי </w:t>
      </w:r>
      <w:r w:rsidRPr="00D82FB5">
        <w:rPr>
          <w:rFonts w:ascii="David" w:hAnsi="David" w:hint="cs"/>
          <w:rtl/>
        </w:rPr>
        <w:t xml:space="preserve">הם </w:t>
      </w:r>
      <w:r w:rsidRPr="00D82FB5">
        <w:rPr>
          <w:rFonts w:ascii="David" w:hAnsi="David"/>
          <w:rtl/>
        </w:rPr>
        <w:t>עצורים מז</w:t>
      </w:r>
      <w:r w:rsidRPr="00D82FB5">
        <w:rPr>
          <w:rFonts w:ascii="David" w:hAnsi="David" w:hint="cs"/>
          <w:rtl/>
        </w:rPr>
        <w:t>ה</w:t>
      </w:r>
      <w:r w:rsidRPr="00D82FB5">
        <w:rPr>
          <w:rFonts w:ascii="David" w:hAnsi="David"/>
          <w:rtl/>
        </w:rPr>
        <w:t xml:space="preserve"> תקופה ארוכה. </w:t>
      </w:r>
      <w:r w:rsidRPr="00D82FB5">
        <w:rPr>
          <w:rFonts w:ascii="David" w:hAnsi="David" w:hint="cs"/>
          <w:rtl/>
        </w:rPr>
        <w:t xml:space="preserve">לגבי הנאשם 2 </w:t>
      </w:r>
      <w:r w:rsidRPr="00D82FB5">
        <w:rPr>
          <w:rFonts w:ascii="David" w:hAnsi="David"/>
          <w:rtl/>
        </w:rPr>
        <w:t>–</w:t>
      </w:r>
      <w:r w:rsidRPr="00D82FB5">
        <w:rPr>
          <w:rFonts w:ascii="David" w:hAnsi="David" w:hint="cs"/>
          <w:rtl/>
        </w:rPr>
        <w:t xml:space="preserve"> הפנה הסנגור לכך שהוא נפצע במהלך האירוע, כי פגיעתו הייתה משמעותית ובעקבותיה היה מאושפז פרק זמן ארוך. כן צוין כי הנאשם 2 צפוי להתחתן לאחר ריצוי העונש. </w:t>
      </w:r>
    </w:p>
    <w:p w14:paraId="14103586" w14:textId="77777777" w:rsidR="00E27212" w:rsidRPr="00D82FB5" w:rsidRDefault="00E27212" w:rsidP="00E27212">
      <w:pPr>
        <w:pStyle w:val="a9"/>
        <w:spacing w:line="360" w:lineRule="auto"/>
        <w:ind w:left="57"/>
        <w:jc w:val="both"/>
        <w:rPr>
          <w:rFonts w:ascii="David" w:hAnsi="David"/>
          <w:rtl/>
        </w:rPr>
      </w:pPr>
    </w:p>
    <w:p w14:paraId="4CE2112C" w14:textId="77777777" w:rsidR="00E27212" w:rsidRPr="00D82FB5" w:rsidRDefault="00E27212" w:rsidP="00E27212">
      <w:pPr>
        <w:pStyle w:val="a9"/>
        <w:numPr>
          <w:ilvl w:val="0"/>
          <w:numId w:val="1"/>
        </w:numPr>
        <w:spacing w:line="360" w:lineRule="auto"/>
        <w:jc w:val="both"/>
        <w:rPr>
          <w:rFonts w:ascii="David" w:hAnsi="David"/>
          <w:rtl/>
        </w:rPr>
      </w:pPr>
      <w:r w:rsidRPr="00D82FB5">
        <w:rPr>
          <w:rFonts w:ascii="David" w:hAnsi="David" w:hint="cs"/>
          <w:rtl/>
        </w:rPr>
        <w:t xml:space="preserve">בדברו של הנאשם 1 לפניי הוא אמר שהוא מצטער על מה שעשה, וביקש שבית המשפט יקל עמו על מנת שיוכל לשוב ולראות את ילדיו. הנאשם 2 אמר שהוא מצטער ומתחרט על מה שקרה וכי הוא לוקח אחריות על מעשיו. הוא ציין כי הוא עומד להתחתן וכי שילם מחיר כבד בחייו ובבריאותו. הנאשם ציין כי למד לקח וביקש הזדמנות לצאת מהכלא ולהקים משפחה. </w:t>
      </w:r>
    </w:p>
    <w:p w14:paraId="17B9A75E" w14:textId="77777777" w:rsidR="00E27212" w:rsidRPr="00D82FB5" w:rsidRDefault="00D42FA3" w:rsidP="00E27212">
      <w:pPr>
        <w:spacing w:line="360" w:lineRule="auto"/>
        <w:jc w:val="both"/>
        <w:rPr>
          <w:rtl/>
        </w:rPr>
      </w:pPr>
      <w:r w:rsidRPr="00D82FB5">
        <w:rPr>
          <w:rFonts w:ascii="David" w:hAnsi="David"/>
          <w:rtl/>
        </w:rPr>
        <w:t xml:space="preserve"> </w:t>
      </w:r>
      <w:r w:rsidRPr="00D82FB5">
        <w:rPr>
          <w:rtl/>
        </w:rPr>
        <w:t xml:space="preserve">     </w:t>
      </w:r>
    </w:p>
    <w:p w14:paraId="48568795" w14:textId="77777777" w:rsidR="00E27212" w:rsidRPr="00D82FB5" w:rsidRDefault="00E27212" w:rsidP="00E27212">
      <w:pPr>
        <w:spacing w:line="360" w:lineRule="auto"/>
        <w:jc w:val="both"/>
        <w:rPr>
          <w:rtl/>
        </w:rPr>
      </w:pPr>
      <w:r w:rsidRPr="00D82FB5">
        <w:rPr>
          <w:rFonts w:ascii="David" w:hAnsi="David"/>
          <w:b/>
          <w:bCs/>
          <w:rtl/>
        </w:rPr>
        <w:t>מתחם העונש ההולם</w:t>
      </w:r>
    </w:p>
    <w:p w14:paraId="3A9C2F14" w14:textId="77777777" w:rsidR="00E27212" w:rsidRPr="00D82FB5" w:rsidRDefault="00D42FA3" w:rsidP="00E27212">
      <w:pPr>
        <w:spacing w:line="360" w:lineRule="auto"/>
        <w:jc w:val="both"/>
        <w:rPr>
          <w:rtl/>
        </w:rPr>
      </w:pPr>
      <w:r w:rsidRPr="00D82FB5">
        <w:rPr>
          <w:rFonts w:ascii="David" w:hAnsi="David"/>
        </w:rPr>
        <w:t xml:space="preserve"> </w:t>
      </w:r>
    </w:p>
    <w:p w14:paraId="14C6E4D7"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rtl/>
        </w:rPr>
        <w:t>כידוע, גזירת הדין נעשית, בדרך כלל, בשני שלבים עיקריים: קביעת מתחם עונש הולם ולאחר מכן גזירת העונש בתוך המתחם (</w:t>
      </w:r>
      <w:hyperlink r:id="rId19" w:history="1">
        <w:r w:rsidR="00D82FB5" w:rsidRPr="00D82FB5">
          <w:rPr>
            <w:rStyle w:val="Hyperlink"/>
            <w:rFonts w:ascii="David" w:hAnsi="David"/>
            <w:color w:val="0000FF"/>
            <w:rtl/>
          </w:rPr>
          <w:t>סעיף 40ג'</w:t>
        </w:r>
      </w:hyperlink>
      <w:r w:rsidR="00D42FA3" w:rsidRPr="00D82FB5">
        <w:rPr>
          <w:rFonts w:ascii="David" w:hAnsi="David"/>
          <w:rtl/>
        </w:rPr>
        <w:t xml:space="preserve"> </w:t>
      </w:r>
      <w:r w:rsidRPr="00D82FB5">
        <w:rPr>
          <w:rFonts w:ascii="David" w:hAnsi="David"/>
          <w:rtl/>
        </w:rPr>
        <w:t>ל</w:t>
      </w:r>
      <w:hyperlink r:id="rId20" w:history="1">
        <w:r w:rsidR="00D42FA3" w:rsidRPr="00D82FB5">
          <w:rPr>
            <w:rFonts w:ascii="David" w:hAnsi="David"/>
            <w:color w:val="0000FF"/>
            <w:u w:val="single"/>
            <w:rtl/>
          </w:rPr>
          <w:t>חוק העונשין</w:t>
        </w:r>
      </w:hyperlink>
      <w:r w:rsidRPr="00D82FB5">
        <w:rPr>
          <w:rFonts w:ascii="David" w:hAnsi="David"/>
          <w:rtl/>
        </w:rPr>
        <w:t>). בתוך כך יש לבחון אם קיימים שיקולים המצדיקים סטייה מהמתחם. בבוא בית המשפט לקבוע את מתחם העונש, עליו לעשות כן בהתאם לעיקרון המנחה, כלומר קיומו של יחס הולם בין חומרת מעשה העבירה בנסיבותיו ומידת אשמו של הנאשם</w:t>
      </w:r>
      <w:r w:rsidRPr="00D82FB5">
        <w:rPr>
          <w:rFonts w:ascii="David" w:hAnsi="David" w:hint="cs"/>
          <w:rtl/>
        </w:rPr>
        <w:t>,</w:t>
      </w:r>
      <w:r w:rsidRPr="00D82FB5">
        <w:rPr>
          <w:rFonts w:ascii="David" w:hAnsi="David"/>
          <w:rtl/>
        </w:rPr>
        <w:t xml:space="preserve"> </w:t>
      </w:r>
      <w:r w:rsidRPr="00D82FB5">
        <w:rPr>
          <w:rFonts w:ascii="David" w:hAnsi="David" w:hint="cs"/>
          <w:rtl/>
        </w:rPr>
        <w:t>ל</w:t>
      </w:r>
      <w:r w:rsidRPr="00D82FB5">
        <w:rPr>
          <w:rFonts w:ascii="David" w:hAnsi="David"/>
          <w:rtl/>
        </w:rPr>
        <w:t>בין סוג ומידת העונש המוטל עליו. לצורך קביעת המתחם, בית המשפט יתחשב בערך החברתי שנפגע מביצוע העבירה, במידת הפגיעה בו, במדיניות הענישה הנהוגה</w:t>
      </w:r>
      <w:r w:rsidRPr="00D82FB5">
        <w:rPr>
          <w:rFonts w:ascii="David" w:hAnsi="David" w:hint="cs"/>
          <w:rtl/>
        </w:rPr>
        <w:t>,</w:t>
      </w:r>
      <w:r w:rsidRPr="00D82FB5">
        <w:rPr>
          <w:rFonts w:ascii="David" w:hAnsi="David"/>
          <w:rtl/>
        </w:rPr>
        <w:t xml:space="preserve"> ובנסיבות הקשורות בביצוע העבירה</w:t>
      </w:r>
      <w:r w:rsidRPr="00D82FB5">
        <w:rPr>
          <w:rFonts w:ascii="David" w:hAnsi="David" w:hint="cs"/>
          <w:rtl/>
        </w:rPr>
        <w:t>,</w:t>
      </w:r>
      <w:r w:rsidRPr="00D82FB5">
        <w:rPr>
          <w:rFonts w:ascii="David" w:hAnsi="David"/>
          <w:rtl/>
        </w:rPr>
        <w:t xml:space="preserve"> כאמור</w:t>
      </w:r>
      <w:r w:rsidR="00D42FA3" w:rsidRPr="00D82FB5">
        <w:rPr>
          <w:rFonts w:ascii="David" w:hAnsi="David"/>
          <w:rtl/>
        </w:rPr>
        <w:t xml:space="preserve"> </w:t>
      </w:r>
      <w:hyperlink r:id="rId21" w:history="1">
        <w:r w:rsidR="00D82FB5" w:rsidRPr="00D82FB5">
          <w:rPr>
            <w:rStyle w:val="Hyperlink"/>
            <w:rFonts w:ascii="David" w:hAnsi="David"/>
            <w:color w:val="0000FF"/>
            <w:rtl/>
          </w:rPr>
          <w:t>בסעיף 40ט'</w:t>
        </w:r>
      </w:hyperlink>
      <w:r w:rsidR="00D42FA3" w:rsidRPr="00D82FB5">
        <w:rPr>
          <w:rFonts w:ascii="David" w:hAnsi="David"/>
          <w:rtl/>
        </w:rPr>
        <w:t xml:space="preserve"> </w:t>
      </w:r>
      <w:r w:rsidRPr="00D82FB5">
        <w:rPr>
          <w:rFonts w:ascii="David" w:hAnsi="David"/>
          <w:rtl/>
        </w:rPr>
        <w:t>ל</w:t>
      </w:r>
      <w:hyperlink r:id="rId22" w:history="1">
        <w:r w:rsidR="00D42FA3" w:rsidRPr="00D82FB5">
          <w:rPr>
            <w:rFonts w:ascii="David" w:hAnsi="David"/>
            <w:color w:val="0000FF"/>
            <w:u w:val="single"/>
            <w:rtl/>
          </w:rPr>
          <w:t>חוק העונשין</w:t>
        </w:r>
      </w:hyperlink>
      <w:r w:rsidRPr="00D82FB5">
        <w:rPr>
          <w:rFonts w:ascii="David" w:hAnsi="David"/>
          <w:rtl/>
        </w:rPr>
        <w:t>.</w:t>
      </w:r>
    </w:p>
    <w:p w14:paraId="2D45C607" w14:textId="77777777" w:rsidR="00E27212" w:rsidRPr="00D82FB5" w:rsidRDefault="00E27212" w:rsidP="00E27212">
      <w:pPr>
        <w:pStyle w:val="a9"/>
        <w:spacing w:before="100" w:beforeAutospacing="1" w:after="100" w:afterAutospacing="1" w:line="360" w:lineRule="auto"/>
        <w:ind w:left="57"/>
        <w:jc w:val="both"/>
      </w:pPr>
    </w:p>
    <w:p w14:paraId="68CABDAD"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rtl/>
        </w:rPr>
        <w:t>הנאש</w:t>
      </w:r>
      <w:r w:rsidRPr="00D82FB5">
        <w:rPr>
          <w:rFonts w:ascii="David" w:hAnsi="David" w:hint="cs"/>
          <w:rtl/>
        </w:rPr>
        <w:t>מי</w:t>
      </w:r>
      <w:r w:rsidRPr="00D82FB5">
        <w:rPr>
          <w:rFonts w:ascii="David" w:hAnsi="David"/>
          <w:rtl/>
        </w:rPr>
        <w:t>ם הורשע</w:t>
      </w:r>
      <w:r w:rsidRPr="00D82FB5">
        <w:rPr>
          <w:rFonts w:ascii="David" w:hAnsi="David" w:hint="cs"/>
          <w:rtl/>
        </w:rPr>
        <w:t>ו</w:t>
      </w:r>
      <w:r w:rsidRPr="00D82FB5">
        <w:rPr>
          <w:rFonts w:ascii="David" w:hAnsi="David"/>
          <w:rtl/>
        </w:rPr>
        <w:t xml:space="preserve"> </w:t>
      </w:r>
      <w:r w:rsidRPr="00D82FB5">
        <w:rPr>
          <w:rFonts w:ascii="David" w:hAnsi="David" w:hint="cs"/>
          <w:rtl/>
        </w:rPr>
        <w:t>ב</w:t>
      </w:r>
      <w:r w:rsidRPr="00D82FB5">
        <w:rPr>
          <w:rFonts w:ascii="David" w:hAnsi="David"/>
          <w:rtl/>
        </w:rPr>
        <w:t>עביר</w:t>
      </w:r>
      <w:r w:rsidRPr="00D82FB5">
        <w:rPr>
          <w:rFonts w:ascii="David" w:hAnsi="David" w:hint="cs"/>
          <w:rtl/>
        </w:rPr>
        <w:t xml:space="preserve">ות </w:t>
      </w:r>
      <w:r w:rsidRPr="00D82FB5">
        <w:rPr>
          <w:rFonts w:ascii="David" w:hAnsi="David"/>
          <w:rtl/>
        </w:rPr>
        <w:t>של נשיאת, הובלת והחזקת נשק</w:t>
      </w:r>
      <w:r w:rsidRPr="00D82FB5">
        <w:rPr>
          <w:rFonts w:ascii="David" w:hAnsi="David" w:hint="cs"/>
          <w:rtl/>
        </w:rPr>
        <w:t xml:space="preserve">. </w:t>
      </w:r>
      <w:r w:rsidRPr="00D82FB5">
        <w:rPr>
          <w:rFonts w:ascii="David" w:hAnsi="David"/>
          <w:rtl/>
        </w:rPr>
        <w:t>עבירות הנשק נועדו להגן על חיי אדם ועל שלום הציבור וביטחונו. אין צורך להכביר מילים לגבי הסכנה הרבה הטמונה בעבירות הנשק ולנזק שעבירות אלו עלולות ל</w:t>
      </w:r>
      <w:r w:rsidRPr="00D82FB5">
        <w:rPr>
          <w:rFonts w:ascii="David" w:hAnsi="David" w:hint="cs"/>
          <w:rtl/>
        </w:rPr>
        <w:t>הסב לביטחון האישי ולחיי אדם (</w:t>
      </w:r>
      <w:r w:rsidRPr="00D82FB5">
        <w:rPr>
          <w:rFonts w:ascii="David" w:hAnsi="David"/>
          <w:rtl/>
        </w:rPr>
        <w:t>ראו:</w:t>
      </w:r>
      <w:r w:rsidR="00D42FA3" w:rsidRPr="00D82FB5">
        <w:rPr>
          <w:rFonts w:ascii="David" w:hAnsi="David"/>
          <w:rtl/>
        </w:rPr>
        <w:t xml:space="preserve"> </w:t>
      </w:r>
      <w:hyperlink r:id="rId23" w:history="1">
        <w:r w:rsidR="00D42FA3" w:rsidRPr="00D82FB5">
          <w:rPr>
            <w:rFonts w:ascii="David" w:hAnsi="David"/>
            <w:color w:val="0000FF"/>
            <w:u w:val="single"/>
            <w:rtl/>
          </w:rPr>
          <w:t>ע"פ 3491/13</w:t>
        </w:r>
      </w:hyperlink>
      <w:r w:rsidR="00D42FA3" w:rsidRPr="00D82FB5">
        <w:rPr>
          <w:rFonts w:ascii="David" w:hAnsi="David"/>
          <w:rtl/>
        </w:rPr>
        <w:t xml:space="preserve"> </w:t>
      </w:r>
      <w:r w:rsidRPr="00D82FB5">
        <w:rPr>
          <w:rFonts w:ascii="David" w:hAnsi="David"/>
          <w:b/>
          <w:bCs/>
          <w:rtl/>
        </w:rPr>
        <w:t>טוויק נ' מדינת ישראל</w:t>
      </w:r>
      <w:r w:rsidR="00D42FA3" w:rsidRPr="00D82FB5">
        <w:rPr>
          <w:rFonts w:ascii="David" w:hAnsi="David"/>
          <w:rtl/>
        </w:rPr>
        <w:t xml:space="preserve"> </w:t>
      </w:r>
      <w:r w:rsidRPr="00D82FB5">
        <w:rPr>
          <w:rFonts w:ascii="David" w:hAnsi="David"/>
          <w:rtl/>
        </w:rPr>
        <w:t>(15.11.2013)). בית המשפט העליון עמד לא פעם על חומרתן של עבירות מסוג זה ועל מדיניות הענישה הנוהגת, בציינו את החובה להטיל בעבירות אלו עונש חמור ומרתיע (ראו:</w:t>
      </w:r>
      <w:r w:rsidR="00D42FA3" w:rsidRPr="00D82FB5">
        <w:rPr>
          <w:rFonts w:ascii="David" w:hAnsi="David"/>
          <w:rtl/>
        </w:rPr>
        <w:t xml:space="preserve"> </w:t>
      </w:r>
      <w:hyperlink r:id="rId24" w:history="1">
        <w:r w:rsidR="00D42FA3" w:rsidRPr="00D82FB5">
          <w:rPr>
            <w:rFonts w:ascii="David" w:hAnsi="David"/>
            <w:color w:val="0000FF"/>
            <w:u w:val="single"/>
            <w:rtl/>
          </w:rPr>
          <w:t>רע"פ 2718/04</w:t>
        </w:r>
      </w:hyperlink>
      <w:r w:rsidR="00D42FA3" w:rsidRPr="00D82FB5">
        <w:rPr>
          <w:rFonts w:ascii="David" w:hAnsi="David"/>
          <w:rtl/>
        </w:rPr>
        <w:t xml:space="preserve"> </w:t>
      </w:r>
      <w:r w:rsidRPr="00D82FB5">
        <w:rPr>
          <w:rFonts w:ascii="David" w:hAnsi="David"/>
          <w:b/>
          <w:bCs/>
          <w:rtl/>
        </w:rPr>
        <w:t>אבו דאחל נ' מדינת ישראל</w:t>
      </w:r>
      <w:r w:rsidR="00D42FA3" w:rsidRPr="00D82FB5">
        <w:rPr>
          <w:rFonts w:ascii="David" w:hAnsi="David"/>
          <w:rtl/>
        </w:rPr>
        <w:t xml:space="preserve"> </w:t>
      </w:r>
      <w:r w:rsidRPr="00D82FB5">
        <w:rPr>
          <w:rFonts w:ascii="David" w:hAnsi="David"/>
          <w:rtl/>
        </w:rPr>
        <w:t>(29.3.2004);</w:t>
      </w:r>
      <w:r w:rsidR="00D42FA3" w:rsidRPr="00D82FB5">
        <w:rPr>
          <w:rFonts w:ascii="David" w:hAnsi="David"/>
          <w:rtl/>
        </w:rPr>
        <w:t xml:space="preserve"> </w:t>
      </w:r>
      <w:hyperlink r:id="rId25" w:history="1">
        <w:r w:rsidR="00D42FA3" w:rsidRPr="00D82FB5">
          <w:rPr>
            <w:rFonts w:ascii="David" w:hAnsi="David"/>
            <w:color w:val="0000FF"/>
            <w:u w:val="single"/>
            <w:rtl/>
          </w:rPr>
          <w:t>ע"פ 5336/13</w:t>
        </w:r>
      </w:hyperlink>
      <w:r w:rsidR="00D42FA3" w:rsidRPr="00D82FB5">
        <w:rPr>
          <w:rFonts w:ascii="David" w:hAnsi="David"/>
          <w:rtl/>
        </w:rPr>
        <w:t xml:space="preserve"> </w:t>
      </w:r>
      <w:r w:rsidRPr="00D82FB5">
        <w:rPr>
          <w:rFonts w:ascii="David" w:hAnsi="David"/>
          <w:b/>
          <w:bCs/>
          <w:rtl/>
        </w:rPr>
        <w:t>צדוק נ' מדינת ישראל</w:t>
      </w:r>
      <w:r w:rsidR="00D42FA3" w:rsidRPr="00D82FB5">
        <w:rPr>
          <w:rFonts w:ascii="David" w:hAnsi="David"/>
          <w:rtl/>
        </w:rPr>
        <w:t xml:space="preserve"> </w:t>
      </w:r>
      <w:r w:rsidRPr="00D82FB5">
        <w:rPr>
          <w:rFonts w:ascii="David" w:hAnsi="David"/>
          <w:rtl/>
        </w:rPr>
        <w:t>(17.11.2013)).</w:t>
      </w:r>
      <w:r w:rsidRPr="00D82FB5">
        <w:rPr>
          <w:rFonts w:hint="cs"/>
          <w:rtl/>
        </w:rPr>
        <w:t xml:space="preserve"> </w:t>
      </w:r>
      <w:r w:rsidRPr="00D82FB5">
        <w:rPr>
          <w:rFonts w:ascii="David" w:hAnsi="David"/>
          <w:rtl/>
        </w:rPr>
        <w:t xml:space="preserve">וראו את פסק הדין שניתן לאחרונה </w:t>
      </w:r>
      <w:r w:rsidRPr="00D82FB5">
        <w:rPr>
          <w:rFonts w:ascii="David" w:hAnsi="David" w:hint="cs"/>
          <w:rtl/>
        </w:rPr>
        <w:t>ב</w:t>
      </w:r>
      <w:hyperlink r:id="rId26" w:history="1">
        <w:r w:rsidR="00D42FA3" w:rsidRPr="00D82FB5">
          <w:rPr>
            <w:rFonts w:ascii="David" w:hAnsi="David"/>
            <w:color w:val="0000FF"/>
            <w:u w:val="single"/>
            <w:rtl/>
          </w:rPr>
          <w:t>ע"פ 6753/23</w:t>
        </w:r>
      </w:hyperlink>
      <w:r w:rsidRPr="00D82FB5">
        <w:rPr>
          <w:rFonts w:ascii="David" w:hAnsi="David" w:hint="cs"/>
          <w:rtl/>
        </w:rPr>
        <w:t xml:space="preserve"> </w:t>
      </w:r>
      <w:r w:rsidRPr="00D82FB5">
        <w:rPr>
          <w:rFonts w:ascii="David" w:hAnsi="David" w:hint="cs"/>
          <w:b/>
          <w:bCs/>
          <w:rtl/>
        </w:rPr>
        <w:t>בסול נ' מדינת ישראל</w:t>
      </w:r>
      <w:r w:rsidRPr="00D82FB5">
        <w:rPr>
          <w:rFonts w:ascii="David" w:hAnsi="David" w:hint="cs"/>
          <w:rtl/>
        </w:rPr>
        <w:t xml:space="preserve"> (1.4.2024). </w:t>
      </w:r>
    </w:p>
    <w:p w14:paraId="44DB8C76" w14:textId="77777777" w:rsidR="00E27212" w:rsidRPr="00D82FB5" w:rsidRDefault="00E27212" w:rsidP="00E27212">
      <w:pPr>
        <w:pStyle w:val="a9"/>
        <w:rPr>
          <w:rtl/>
        </w:rPr>
      </w:pPr>
    </w:p>
    <w:p w14:paraId="35A852F3" w14:textId="77777777" w:rsidR="00E27212" w:rsidRPr="00D82FB5" w:rsidRDefault="00E27212" w:rsidP="00E27212">
      <w:pPr>
        <w:pStyle w:val="a9"/>
        <w:spacing w:before="100" w:beforeAutospacing="1" w:after="100" w:afterAutospacing="1" w:line="360" w:lineRule="auto"/>
        <w:ind w:left="0" w:firstLine="567"/>
        <w:jc w:val="both"/>
      </w:pPr>
      <w:r w:rsidRPr="00D82FB5">
        <w:rPr>
          <w:rFonts w:ascii="David" w:hAnsi="David"/>
          <w:rtl/>
        </w:rPr>
        <w:t>הקריאות להחמיר עוד יותר בעונשים בגין עבירות נשק הולכות וגוברות, זאת בשל נפיצותן של עבירות אלו והסיכון החמור שהן גורמות (ראו בין היתר</w:t>
      </w:r>
      <w:r w:rsidR="00D42FA3" w:rsidRPr="00D82FB5">
        <w:rPr>
          <w:rFonts w:ascii="David" w:hAnsi="David"/>
          <w:rtl/>
        </w:rPr>
        <w:t xml:space="preserve"> </w:t>
      </w:r>
      <w:hyperlink r:id="rId27" w:history="1">
        <w:r w:rsidR="00D42FA3" w:rsidRPr="00D82FB5">
          <w:rPr>
            <w:rFonts w:ascii="David" w:hAnsi="David"/>
            <w:color w:val="0000FF"/>
            <w:u w:val="single"/>
            <w:rtl/>
          </w:rPr>
          <w:t>ע"פ 4406/19</w:t>
        </w:r>
      </w:hyperlink>
      <w:r w:rsidR="00D42FA3" w:rsidRPr="00D82FB5">
        <w:rPr>
          <w:rFonts w:ascii="David" w:hAnsi="David"/>
          <w:rtl/>
        </w:rPr>
        <w:t xml:space="preserve"> </w:t>
      </w:r>
      <w:r w:rsidRPr="00D82FB5">
        <w:rPr>
          <w:rFonts w:ascii="David" w:hAnsi="David"/>
          <w:b/>
          <w:bCs/>
          <w:rtl/>
        </w:rPr>
        <w:t>מדינת ישראל נ' סובח</w:t>
      </w:r>
      <w:r w:rsidRPr="00D82FB5">
        <w:rPr>
          <w:rFonts w:ascii="David" w:hAnsi="David"/>
          <w:rtl/>
        </w:rPr>
        <w:t>, פסקאות 16-15 (5.11.2019);</w:t>
      </w:r>
      <w:r w:rsidR="00D42FA3" w:rsidRPr="00D82FB5">
        <w:rPr>
          <w:rFonts w:ascii="David" w:hAnsi="David"/>
          <w:rtl/>
        </w:rPr>
        <w:t xml:space="preserve"> </w:t>
      </w:r>
      <w:hyperlink r:id="rId28" w:history="1">
        <w:r w:rsidR="00D42FA3" w:rsidRPr="00D82FB5">
          <w:rPr>
            <w:rFonts w:ascii="David" w:hAnsi="David"/>
            <w:color w:val="0000FF"/>
            <w:u w:val="single"/>
            <w:rtl/>
          </w:rPr>
          <w:t>ע"פ 147/21</w:t>
        </w:r>
      </w:hyperlink>
      <w:r w:rsidR="00D42FA3" w:rsidRPr="00D82FB5">
        <w:rPr>
          <w:rFonts w:ascii="David" w:hAnsi="David"/>
          <w:rtl/>
        </w:rPr>
        <w:t xml:space="preserve"> </w:t>
      </w:r>
      <w:r w:rsidRPr="00D82FB5">
        <w:rPr>
          <w:rFonts w:ascii="David" w:hAnsi="David"/>
          <w:b/>
          <w:bCs/>
          <w:rtl/>
        </w:rPr>
        <w:t>מדינת ישראל נ' ביטון</w:t>
      </w:r>
      <w:r w:rsidR="00D42FA3" w:rsidRPr="00D82FB5">
        <w:rPr>
          <w:rFonts w:ascii="David" w:hAnsi="David"/>
          <w:rtl/>
        </w:rPr>
        <w:t xml:space="preserve"> </w:t>
      </w:r>
      <w:r w:rsidRPr="00D82FB5">
        <w:rPr>
          <w:rFonts w:ascii="David" w:hAnsi="David"/>
          <w:rtl/>
        </w:rPr>
        <w:t>(14.2.2021);</w:t>
      </w:r>
      <w:r w:rsidR="00D42FA3" w:rsidRPr="00D82FB5">
        <w:rPr>
          <w:rFonts w:ascii="David" w:hAnsi="David"/>
          <w:rtl/>
        </w:rPr>
        <w:t xml:space="preserve"> </w:t>
      </w:r>
      <w:hyperlink r:id="rId29" w:history="1">
        <w:r w:rsidR="00D42FA3" w:rsidRPr="00D82FB5">
          <w:rPr>
            <w:rFonts w:ascii="David" w:hAnsi="David"/>
            <w:color w:val="0000FF"/>
            <w:u w:val="single"/>
            <w:rtl/>
          </w:rPr>
          <w:t>ע"פ 5522/20</w:t>
        </w:r>
      </w:hyperlink>
      <w:r w:rsidR="00D42FA3" w:rsidRPr="00D82FB5">
        <w:rPr>
          <w:rFonts w:ascii="David" w:hAnsi="David"/>
          <w:rtl/>
        </w:rPr>
        <w:t xml:space="preserve"> </w:t>
      </w:r>
      <w:r w:rsidRPr="00D82FB5">
        <w:rPr>
          <w:rFonts w:ascii="David" w:hAnsi="David"/>
          <w:b/>
          <w:bCs/>
          <w:rtl/>
        </w:rPr>
        <w:t>חלייחל נ' מדינת ישראל</w:t>
      </w:r>
      <w:r w:rsidR="00D42FA3" w:rsidRPr="00D82FB5">
        <w:rPr>
          <w:rFonts w:ascii="David" w:hAnsi="David"/>
          <w:rtl/>
        </w:rPr>
        <w:t xml:space="preserve"> </w:t>
      </w:r>
      <w:r w:rsidRPr="00D82FB5">
        <w:rPr>
          <w:rFonts w:ascii="David" w:hAnsi="David"/>
          <w:rtl/>
        </w:rPr>
        <w:t>(24.2.2021);</w:t>
      </w:r>
      <w:r w:rsidR="00D42FA3" w:rsidRPr="00D82FB5">
        <w:rPr>
          <w:rFonts w:ascii="David" w:hAnsi="David"/>
          <w:rtl/>
        </w:rPr>
        <w:t xml:space="preserve"> </w:t>
      </w:r>
      <w:hyperlink r:id="rId30" w:history="1">
        <w:r w:rsidR="00D42FA3" w:rsidRPr="00D82FB5">
          <w:rPr>
            <w:rFonts w:ascii="David" w:hAnsi="David"/>
            <w:color w:val="0000FF"/>
            <w:u w:val="single"/>
            <w:rtl/>
          </w:rPr>
          <w:t>ע"פ 4207/21</w:t>
        </w:r>
      </w:hyperlink>
      <w:r w:rsidR="00D42FA3" w:rsidRPr="00D82FB5">
        <w:rPr>
          <w:rFonts w:ascii="David" w:hAnsi="David"/>
          <w:rtl/>
        </w:rPr>
        <w:t xml:space="preserve"> </w:t>
      </w:r>
      <w:r w:rsidRPr="00D82FB5">
        <w:rPr>
          <w:rFonts w:ascii="David" w:hAnsi="David"/>
          <w:b/>
          <w:bCs/>
          <w:rtl/>
        </w:rPr>
        <w:t>נורי נ' מדינת ישראל</w:t>
      </w:r>
      <w:r w:rsidR="00D42FA3" w:rsidRPr="00D82FB5">
        <w:rPr>
          <w:rFonts w:ascii="David" w:hAnsi="David"/>
          <w:rtl/>
        </w:rPr>
        <w:t xml:space="preserve"> </w:t>
      </w:r>
      <w:r w:rsidRPr="00D82FB5">
        <w:rPr>
          <w:rFonts w:ascii="David" w:hAnsi="David"/>
          <w:rtl/>
        </w:rPr>
        <w:t>(28.7.2021);</w:t>
      </w:r>
      <w:r w:rsidR="00D42FA3" w:rsidRPr="00D82FB5">
        <w:rPr>
          <w:rFonts w:ascii="David" w:hAnsi="David"/>
          <w:rtl/>
        </w:rPr>
        <w:t xml:space="preserve"> </w:t>
      </w:r>
      <w:hyperlink r:id="rId31" w:history="1">
        <w:r w:rsidR="00D42FA3" w:rsidRPr="00D82FB5">
          <w:rPr>
            <w:rFonts w:ascii="David" w:hAnsi="David"/>
            <w:color w:val="0000FF"/>
            <w:u w:val="single"/>
            <w:rtl/>
          </w:rPr>
          <w:t>ע"פ 4456/21</w:t>
        </w:r>
      </w:hyperlink>
      <w:r w:rsidR="00D42FA3" w:rsidRPr="00D82FB5">
        <w:rPr>
          <w:rFonts w:ascii="David" w:hAnsi="David"/>
          <w:rtl/>
        </w:rPr>
        <w:t xml:space="preserve"> </w:t>
      </w:r>
      <w:r w:rsidRPr="00D82FB5">
        <w:rPr>
          <w:rFonts w:ascii="David" w:hAnsi="David"/>
          <w:b/>
          <w:bCs/>
          <w:rtl/>
        </w:rPr>
        <w:t>מדינת ישראל נ' אבו עבסה</w:t>
      </w:r>
      <w:r w:rsidR="00D42FA3" w:rsidRPr="00D82FB5">
        <w:rPr>
          <w:rFonts w:ascii="David" w:hAnsi="David"/>
          <w:rtl/>
        </w:rPr>
        <w:t xml:space="preserve"> </w:t>
      </w:r>
      <w:r w:rsidRPr="00D82FB5">
        <w:rPr>
          <w:rFonts w:ascii="David" w:hAnsi="David"/>
          <w:rtl/>
        </w:rPr>
        <w:t>(23.1.2022);</w:t>
      </w:r>
      <w:r w:rsidR="00D42FA3" w:rsidRPr="00D82FB5">
        <w:rPr>
          <w:rFonts w:ascii="David" w:hAnsi="David"/>
          <w:rtl/>
        </w:rPr>
        <w:t xml:space="preserve"> </w:t>
      </w:r>
      <w:hyperlink r:id="rId32" w:history="1">
        <w:r w:rsidR="00D42FA3" w:rsidRPr="00D82FB5">
          <w:rPr>
            <w:rFonts w:ascii="David" w:hAnsi="David"/>
            <w:color w:val="0000FF"/>
            <w:u w:val="single"/>
            <w:rtl/>
          </w:rPr>
          <w:t>ע"פ 8869/21</w:t>
        </w:r>
      </w:hyperlink>
      <w:r w:rsidR="00D42FA3" w:rsidRPr="00D82FB5">
        <w:rPr>
          <w:rFonts w:ascii="David" w:hAnsi="David"/>
          <w:rtl/>
        </w:rPr>
        <w:t xml:space="preserve"> </w:t>
      </w:r>
      <w:r w:rsidRPr="00D82FB5">
        <w:rPr>
          <w:rFonts w:ascii="David" w:hAnsi="David"/>
          <w:b/>
          <w:bCs/>
          <w:rtl/>
        </w:rPr>
        <w:t>מדינת ישראל נ' קואסמה</w:t>
      </w:r>
      <w:r w:rsidR="00D42FA3" w:rsidRPr="00D82FB5">
        <w:rPr>
          <w:rFonts w:ascii="David" w:hAnsi="David"/>
          <w:rtl/>
        </w:rPr>
        <w:t xml:space="preserve"> </w:t>
      </w:r>
      <w:r w:rsidRPr="00D82FB5">
        <w:rPr>
          <w:rFonts w:ascii="David" w:hAnsi="David"/>
          <w:rtl/>
        </w:rPr>
        <w:t>(13.3.2022);</w:t>
      </w:r>
      <w:r w:rsidR="00D42FA3" w:rsidRPr="00D82FB5">
        <w:rPr>
          <w:rFonts w:ascii="David" w:hAnsi="David"/>
          <w:rtl/>
        </w:rPr>
        <w:t xml:space="preserve"> </w:t>
      </w:r>
      <w:hyperlink r:id="rId33" w:history="1">
        <w:r w:rsidR="00D42FA3" w:rsidRPr="00D82FB5">
          <w:rPr>
            <w:rFonts w:ascii="David" w:hAnsi="David"/>
            <w:color w:val="0000FF"/>
            <w:u w:val="single"/>
            <w:rtl/>
          </w:rPr>
          <w:t>ע"פ 579/22</w:t>
        </w:r>
      </w:hyperlink>
      <w:r w:rsidR="00D42FA3" w:rsidRPr="00D82FB5">
        <w:rPr>
          <w:rFonts w:ascii="David" w:hAnsi="David"/>
          <w:rtl/>
        </w:rPr>
        <w:t xml:space="preserve"> </w:t>
      </w:r>
      <w:r w:rsidRPr="00D82FB5">
        <w:rPr>
          <w:rFonts w:ascii="David" w:hAnsi="David"/>
          <w:b/>
          <w:bCs/>
          <w:rtl/>
        </w:rPr>
        <w:t>מדינת ישראל נ' טחאינה</w:t>
      </w:r>
      <w:r w:rsidR="00D42FA3" w:rsidRPr="00D82FB5">
        <w:rPr>
          <w:rFonts w:ascii="David" w:hAnsi="David"/>
          <w:rtl/>
        </w:rPr>
        <w:t xml:space="preserve"> </w:t>
      </w:r>
      <w:r w:rsidRPr="00D82FB5">
        <w:rPr>
          <w:rFonts w:ascii="David" w:hAnsi="David"/>
          <w:rtl/>
        </w:rPr>
        <w:t>(13.6.2022)). גם המחוקק ביטא עמדה ברורה שיש להחמיר בעונשים בגין עבירות נשק, זאת במסגרת</w:t>
      </w:r>
      <w:r w:rsidR="00D42FA3" w:rsidRPr="00D82FB5">
        <w:rPr>
          <w:rFonts w:ascii="David" w:hAnsi="David"/>
          <w:rtl/>
        </w:rPr>
        <w:t xml:space="preserve"> </w:t>
      </w:r>
      <w:hyperlink r:id="rId34" w:history="1">
        <w:r w:rsidR="00D82FB5" w:rsidRPr="00D82FB5">
          <w:rPr>
            <w:rStyle w:val="Hyperlink"/>
            <w:rFonts w:ascii="David" w:hAnsi="David"/>
            <w:color w:val="0000FF"/>
            <w:rtl/>
          </w:rPr>
          <w:t>סעיף 144(ז)</w:t>
        </w:r>
      </w:hyperlink>
      <w:r w:rsidR="00D42FA3" w:rsidRPr="00D82FB5">
        <w:rPr>
          <w:rFonts w:ascii="David" w:hAnsi="David"/>
          <w:rtl/>
        </w:rPr>
        <w:t xml:space="preserve"> </w:t>
      </w:r>
      <w:r w:rsidRPr="00D82FB5">
        <w:rPr>
          <w:rFonts w:ascii="David" w:hAnsi="David"/>
          <w:rtl/>
        </w:rPr>
        <w:t>ל</w:t>
      </w:r>
      <w:hyperlink r:id="rId35" w:history="1">
        <w:r w:rsidR="00D42FA3" w:rsidRPr="00D82FB5">
          <w:rPr>
            <w:rFonts w:ascii="David" w:hAnsi="David"/>
            <w:color w:val="0000FF"/>
            <w:u w:val="single"/>
            <w:rtl/>
          </w:rPr>
          <w:t>חוק העונשין</w:t>
        </w:r>
      </w:hyperlink>
      <w:r w:rsidRPr="00D82FB5">
        <w:rPr>
          <w:rFonts w:ascii="David" w:hAnsi="David"/>
          <w:rtl/>
        </w:rPr>
        <w:t>, אשר חוקק בתיקון מס' 140 (חוק העונשין (תיקון מס' 140 – הוראת שעה), התשפ"ב-2021, ס"ח 2938).</w:t>
      </w:r>
    </w:p>
    <w:p w14:paraId="15830414" w14:textId="77777777" w:rsidR="00E27212" w:rsidRPr="00D82FB5" w:rsidRDefault="00E27212" w:rsidP="00E27212">
      <w:pPr>
        <w:pStyle w:val="a9"/>
        <w:spacing w:before="100" w:beforeAutospacing="1" w:after="100" w:afterAutospacing="1" w:line="360" w:lineRule="auto"/>
        <w:ind w:left="57"/>
        <w:jc w:val="both"/>
      </w:pPr>
    </w:p>
    <w:p w14:paraId="5E4037E6"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hint="cs"/>
          <w:rtl/>
        </w:rPr>
        <w:t>במסגרת הנסיבות הקשורות בביצוע עבירת הנשק בה הורשעו הנאשמים יש לתת את הדעת לעובדה כי נסיבות המקרה מלמדות על פגיעה חמורה בערכים המוגנים. פגיעה זו מתבטאת במספר נסיבות הקשורות בביצוע העבירות:</w:t>
      </w:r>
    </w:p>
    <w:p w14:paraId="60AD5B14" w14:textId="77777777" w:rsidR="00E27212" w:rsidRPr="00D82FB5" w:rsidRDefault="00E27212" w:rsidP="00E27212">
      <w:pPr>
        <w:pStyle w:val="a9"/>
        <w:spacing w:before="100" w:beforeAutospacing="1" w:after="100" w:afterAutospacing="1" w:line="360" w:lineRule="auto"/>
        <w:ind w:left="0"/>
        <w:jc w:val="both"/>
      </w:pPr>
      <w:r w:rsidRPr="00D82FB5">
        <w:rPr>
          <w:rFonts w:hint="cs"/>
          <w:rtl/>
        </w:rPr>
        <w:t xml:space="preserve"> </w:t>
      </w:r>
    </w:p>
    <w:p w14:paraId="758BF703" w14:textId="77777777" w:rsidR="00E27212" w:rsidRPr="00D82FB5" w:rsidRDefault="00E27212" w:rsidP="00E27212">
      <w:pPr>
        <w:pStyle w:val="a9"/>
        <w:spacing w:before="100" w:beforeAutospacing="1" w:after="100" w:afterAutospacing="1" w:line="360" w:lineRule="auto"/>
        <w:ind w:left="0" w:firstLine="567"/>
        <w:jc w:val="both"/>
      </w:pPr>
      <w:r w:rsidRPr="00D82FB5">
        <w:rPr>
          <w:rFonts w:ascii="David" w:hAnsi="David" w:hint="cs"/>
          <w:rtl/>
        </w:rPr>
        <w:t xml:space="preserve">ראשית, טיב וכמות הנשק מושא העבירות </w:t>
      </w:r>
      <w:r w:rsidRPr="00D82FB5">
        <w:rPr>
          <w:rFonts w:ascii="David" w:hAnsi="David"/>
          <w:rtl/>
        </w:rPr>
        <w:t>–</w:t>
      </w:r>
      <w:r w:rsidRPr="00D82FB5">
        <w:rPr>
          <w:rFonts w:ascii="David" w:hAnsi="David" w:hint="cs"/>
          <w:rtl/>
        </w:rPr>
        <w:t xml:space="preserve"> כפי שצוין בכתב האישום, עבירות הנשק התייחסו </w:t>
      </w:r>
    </w:p>
    <w:p w14:paraId="15902BBF" w14:textId="77777777" w:rsidR="00E27212" w:rsidRPr="00D82FB5" w:rsidRDefault="00E27212" w:rsidP="00E27212">
      <w:pPr>
        <w:pStyle w:val="a9"/>
        <w:spacing w:before="100" w:beforeAutospacing="1" w:after="100" w:afterAutospacing="1" w:line="360" w:lineRule="auto"/>
        <w:ind w:left="0"/>
        <w:jc w:val="both"/>
        <w:rPr>
          <w:rFonts w:ascii="David" w:hAnsi="David"/>
          <w:rtl/>
        </w:rPr>
      </w:pPr>
      <w:r w:rsidRPr="00D82FB5">
        <w:rPr>
          <w:rFonts w:ascii="David" w:hAnsi="David" w:hint="cs"/>
          <w:rtl/>
        </w:rPr>
        <w:t xml:space="preserve">למכלול של </w:t>
      </w:r>
      <w:r w:rsidRPr="00D82FB5">
        <w:rPr>
          <w:rFonts w:ascii="David" w:hAnsi="David"/>
          <w:rtl/>
        </w:rPr>
        <w:t>כלי נשק, תחמושת ואביזרים לנשק</w:t>
      </w:r>
      <w:r w:rsidRPr="00D82FB5">
        <w:rPr>
          <w:rFonts w:ascii="David" w:hAnsi="David" w:hint="cs"/>
          <w:rtl/>
        </w:rPr>
        <w:t xml:space="preserve"> שכללו</w:t>
      </w:r>
      <w:r w:rsidRPr="00D82FB5">
        <w:rPr>
          <w:rFonts w:ascii="David" w:hAnsi="David"/>
          <w:rtl/>
        </w:rPr>
        <w:t xml:space="preserve">: רובה סער מסוג קלצ'ניקוב; חפץ דמוי רובה סער מסוג </w:t>
      </w:r>
      <w:r w:rsidRPr="00D82FB5">
        <w:rPr>
          <w:rFonts w:ascii="David" w:hAnsi="David"/>
        </w:rPr>
        <w:t>M16</w:t>
      </w:r>
      <w:r w:rsidRPr="00D82FB5">
        <w:rPr>
          <w:rFonts w:ascii="David" w:hAnsi="David" w:hint="cs"/>
          <w:rtl/>
        </w:rPr>
        <w:t xml:space="preserve">; </w:t>
      </w:r>
      <w:r w:rsidRPr="00D82FB5">
        <w:rPr>
          <w:rFonts w:ascii="David" w:hAnsi="David"/>
          <w:rtl/>
        </w:rPr>
        <w:t>שתי מחסניות תואמות שהכילו כל אחת 29 כדורים בקוטר 5.56 מ"מ; מחסנית התואמת לרובה מסוג קלצ'ניקוב שהכילה 29 כדורים בקוטר 7.62 מ"מ</w:t>
      </w:r>
      <w:r w:rsidRPr="00D82FB5">
        <w:rPr>
          <w:rFonts w:ascii="David" w:hAnsi="David" w:hint="cs"/>
          <w:rtl/>
        </w:rPr>
        <w:t>. הנה אפוא נתפסו שני כלי נשק "ארוכים",  אשר בשונה מאקדח, החומרה הטמונה בהחזקתם ונשיאתם גבוהה יותר ועל כן הענישה צריכה להיות מחמירה יותר (</w:t>
      </w:r>
      <w:r w:rsidRPr="00D82FB5">
        <w:rPr>
          <w:rFonts w:ascii="David" w:hAnsi="David"/>
          <w:rtl/>
        </w:rPr>
        <w:t xml:space="preserve">ראו למשל: </w:t>
      </w:r>
      <w:hyperlink r:id="rId36" w:history="1">
        <w:r w:rsidR="00D42FA3" w:rsidRPr="00D82FB5">
          <w:rPr>
            <w:rFonts w:ascii="David" w:hAnsi="David"/>
            <w:color w:val="0000FF"/>
            <w:u w:val="single"/>
            <w:rtl/>
          </w:rPr>
          <w:t>ע"פ 8045/17</w:t>
        </w:r>
      </w:hyperlink>
      <w:r w:rsidRPr="00D82FB5">
        <w:rPr>
          <w:rFonts w:ascii="David" w:hAnsi="David"/>
          <w:rtl/>
        </w:rPr>
        <w:t xml:space="preserve"> </w:t>
      </w:r>
      <w:r w:rsidRPr="00D82FB5">
        <w:rPr>
          <w:rFonts w:ascii="David" w:hAnsi="David"/>
          <w:b/>
          <w:bCs/>
          <w:rtl/>
        </w:rPr>
        <w:t>בראנסי נ' מדינת ישראל</w:t>
      </w:r>
      <w:r w:rsidRPr="00D82FB5">
        <w:rPr>
          <w:rFonts w:ascii="David" w:hAnsi="David"/>
          <w:rtl/>
        </w:rPr>
        <w:t xml:space="preserve"> (16.8.2018)</w:t>
      </w:r>
      <w:r w:rsidRPr="00D82FB5">
        <w:rPr>
          <w:rFonts w:ascii="David" w:hAnsi="David" w:hint="cs"/>
          <w:rtl/>
        </w:rPr>
        <w:t>). לצד כלי הנשק נתפסה כמות משמעותית של תחמושת.</w:t>
      </w:r>
    </w:p>
    <w:p w14:paraId="56EB0964" w14:textId="77777777" w:rsidR="00E27212" w:rsidRPr="00D82FB5" w:rsidRDefault="00E27212" w:rsidP="00E27212">
      <w:pPr>
        <w:pStyle w:val="a9"/>
        <w:spacing w:before="100" w:beforeAutospacing="1" w:after="100" w:afterAutospacing="1" w:line="360" w:lineRule="auto"/>
        <w:ind w:left="0" w:firstLine="720"/>
        <w:jc w:val="both"/>
        <w:rPr>
          <w:rFonts w:ascii="David" w:hAnsi="David"/>
          <w:rtl/>
        </w:rPr>
      </w:pPr>
    </w:p>
    <w:p w14:paraId="11D4145A" w14:textId="77777777" w:rsidR="00E27212" w:rsidRPr="00D82FB5" w:rsidRDefault="00E27212" w:rsidP="00E27212">
      <w:pPr>
        <w:pStyle w:val="a9"/>
        <w:spacing w:before="100" w:beforeAutospacing="1" w:after="100" w:afterAutospacing="1" w:line="360" w:lineRule="auto"/>
        <w:ind w:left="0" w:firstLine="720"/>
        <w:jc w:val="both"/>
        <w:rPr>
          <w:rFonts w:ascii="David" w:hAnsi="David"/>
          <w:rtl/>
        </w:rPr>
      </w:pPr>
      <w:r w:rsidRPr="00D82FB5">
        <w:rPr>
          <w:rFonts w:ascii="David" w:hAnsi="David" w:hint="cs"/>
          <w:rtl/>
        </w:rPr>
        <w:t xml:space="preserve">שנית, השילוב של כלי נשק וכלי תחמושת, הובלתם ונשיאתם יחד, והעובדה כי אחד מכלי הנשק היה טעון, מלמדים על חומרה, משום שנסיבות ביצוע העבירה מביאות את פוטנציאל הנזק הטמון בעבירות הנשק למצב קיצון. החשש לפגיעה כתוצאה מכלי הנשק היה בקנה </w:t>
      </w:r>
      <w:r w:rsidRPr="00D82FB5">
        <w:rPr>
          <w:rFonts w:ascii="David" w:hAnsi="David"/>
          <w:rtl/>
        </w:rPr>
        <w:t>–</w:t>
      </w:r>
      <w:r w:rsidRPr="00D82FB5">
        <w:rPr>
          <w:rFonts w:ascii="David" w:hAnsi="David" w:hint="cs"/>
          <w:rtl/>
        </w:rPr>
        <w:t xml:space="preserve"> תרתי משמע. זאת ועוד, להבדיל ממקרים אחרים בהם הסיכון נשקף מעצם החזקת, נשיאת או הובלת הנשק </w:t>
      </w:r>
      <w:r w:rsidRPr="00D82FB5">
        <w:rPr>
          <w:rFonts w:ascii="David" w:hAnsi="David"/>
          <w:rtl/>
        </w:rPr>
        <w:t>–</w:t>
      </w:r>
      <w:r w:rsidRPr="00D82FB5">
        <w:rPr>
          <w:rFonts w:ascii="David" w:hAnsi="David" w:hint="cs"/>
          <w:rtl/>
        </w:rPr>
        <w:t xml:space="preserve"> במקרה זה הסיכון היה חמור שבעתיים בשל מעשיהם האקטיביים של הנאשמים.</w:t>
      </w:r>
    </w:p>
    <w:p w14:paraId="101D7E11" w14:textId="77777777" w:rsidR="00E27212" w:rsidRPr="00D82FB5" w:rsidRDefault="00E27212" w:rsidP="00E27212">
      <w:pPr>
        <w:spacing w:before="100" w:beforeAutospacing="1" w:after="100" w:afterAutospacing="1" w:line="360" w:lineRule="auto"/>
        <w:jc w:val="both"/>
        <w:rPr>
          <w:rFonts w:ascii="David" w:hAnsi="David"/>
        </w:rPr>
      </w:pPr>
      <w:r w:rsidRPr="00D82FB5">
        <w:rPr>
          <w:rFonts w:ascii="David" w:hAnsi="David"/>
          <w:rtl/>
        </w:rPr>
        <w:tab/>
      </w:r>
      <w:r w:rsidRPr="00D82FB5">
        <w:rPr>
          <w:rFonts w:ascii="David" w:hAnsi="David" w:hint="cs"/>
          <w:rtl/>
        </w:rPr>
        <w:t>שלישית, כמתואר בכתב האישום, הנאשמים נסעו ברכב באורות כבויים, כאשר לוחיות הרישוי שלו שונו וחלק מבני החבורה היו רעולי פנים ועטו כפפות על ידיהם. נתונים אלו מוסיפים חומרה לנסיבות ומלמדים על תכנון שכרוך בביצוע העבירות.</w:t>
      </w:r>
    </w:p>
    <w:p w14:paraId="5679FC96" w14:textId="77777777" w:rsidR="00E27212" w:rsidRPr="00D82FB5" w:rsidRDefault="00E27212" w:rsidP="00E27212">
      <w:pPr>
        <w:pStyle w:val="a9"/>
        <w:spacing w:before="100" w:beforeAutospacing="1" w:after="100" w:afterAutospacing="1" w:line="360" w:lineRule="auto"/>
        <w:ind w:left="57" w:firstLine="651"/>
        <w:jc w:val="both"/>
        <w:rPr>
          <w:rFonts w:ascii="David" w:hAnsi="David"/>
          <w:rtl/>
        </w:rPr>
      </w:pPr>
      <w:r w:rsidRPr="00D82FB5">
        <w:rPr>
          <w:rFonts w:ascii="David" w:hAnsi="David" w:hint="cs"/>
          <w:rtl/>
        </w:rPr>
        <w:t xml:space="preserve">רביעית, התנהלות הנאשמים כאשר הבחינו בשוטרים מוסיפה נדבך נוסף של חומרה. לא זו בלבד שהנאשמים לא שעו להוראות השוטרים וברחו בנסיעה מהירה בדרך לא דרך, אלא שבמהלך הנסיעה, אחד הנוסעים ברכב כיוון כלי נשק לעבר השוטרים. בעוד שלא ניתן לומר על מי שמחזיק בנשק, לא כל שכן נשק כמו זה שנתפס עם הנאשמים, כי כוונותיו תמימות </w:t>
      </w:r>
      <w:r w:rsidRPr="00D82FB5">
        <w:rPr>
          <w:rFonts w:ascii="David" w:hAnsi="David"/>
          <w:rtl/>
        </w:rPr>
        <w:t>–</w:t>
      </w:r>
      <w:r w:rsidRPr="00D82FB5">
        <w:rPr>
          <w:rFonts w:ascii="David" w:hAnsi="David" w:hint="cs"/>
          <w:rtl/>
        </w:rPr>
        <w:t xml:space="preserve"> התנהלות הנאשמים לפני ואחרי שהבחינו בשוטרים, צובעת את המקרה בחומרה נוספת. בכך לא תם העניין. גם לאחר שרכב המזדה נעצר עקב "נפילתו" לתעלה, הנאשם 2, לא אמר נואש וניסה לברוח. אחד השוטרים דלק אחריו, הנאשם 2 לא שעה לקריאותיו עד אשר נאלץ השוטר להשתמש בירי חי: תחילה יריות לאוויר ולאחר מכן יריות לעבר גופו של הנאשם 2. בהקשר לכך, יש לדחות את טענותיו של הסנגור בכל הנוגע לשאלה לאן כיוונו השוטרים את הירי שבוצע לעבר נאשם 2 שניסה להימלט, זאת לאור הודאת הנאשמים בעובדות כתב האישום המתוקן. </w:t>
      </w:r>
    </w:p>
    <w:p w14:paraId="20DBD8FE" w14:textId="77777777" w:rsidR="00E27212" w:rsidRPr="00D82FB5" w:rsidRDefault="00E27212" w:rsidP="00E27212">
      <w:pPr>
        <w:pStyle w:val="a9"/>
        <w:spacing w:before="100" w:beforeAutospacing="1" w:after="100" w:afterAutospacing="1" w:line="360" w:lineRule="auto"/>
        <w:ind w:left="57" w:firstLine="651"/>
        <w:jc w:val="both"/>
        <w:rPr>
          <w:rFonts w:ascii="David" w:hAnsi="David"/>
          <w:rtl/>
        </w:rPr>
      </w:pPr>
    </w:p>
    <w:p w14:paraId="2D203B3A" w14:textId="77777777" w:rsidR="00E27212" w:rsidRPr="00D82FB5" w:rsidRDefault="00E27212" w:rsidP="00E27212">
      <w:pPr>
        <w:pStyle w:val="a9"/>
        <w:spacing w:before="100" w:beforeAutospacing="1" w:after="100" w:afterAutospacing="1" w:line="360" w:lineRule="auto"/>
        <w:ind w:left="57" w:firstLine="651"/>
        <w:jc w:val="both"/>
        <w:rPr>
          <w:rtl/>
        </w:rPr>
      </w:pPr>
      <w:r w:rsidRPr="00D82FB5">
        <w:rPr>
          <w:rFonts w:ascii="David" w:hAnsi="David" w:hint="cs"/>
          <w:rtl/>
        </w:rPr>
        <w:t xml:space="preserve">חמישית, יש לתת את הדעת לנזק שנגרם ולנזק שהיה צפוי להיגרם מביצוע העבירות. לנזק הצפוי הטמון בעבירות הנשק </w:t>
      </w:r>
      <w:r w:rsidRPr="00D82FB5">
        <w:rPr>
          <w:rFonts w:ascii="David" w:hAnsi="David"/>
          <w:rtl/>
        </w:rPr>
        <w:t>–</w:t>
      </w:r>
      <w:r w:rsidRPr="00D82FB5">
        <w:rPr>
          <w:rFonts w:ascii="David" w:hAnsi="David" w:hint="cs"/>
          <w:rtl/>
        </w:rPr>
        <w:t xml:space="preserve"> התייחסנו מקודם. נוסף לנזק פוטנציאלי זה, נגרם נזק בפועל. עקב התנהגות הנאשמים נגרמו חבלות לשלושה אנשים: לאחד השוטרים ולנאשמים. הנזק שנגרם לשוטר היה פועל יוצא של התאונה שנגרמה כתוצאה מבריחת הנאשמים מהשוטרים. גם לנאשמים נגרמו חבלות. לאור העובדה כי השוטרים נאצלו לעשות שימוש בנשק, לנאשם 2 נגרמו פצעי ירי.</w:t>
      </w:r>
    </w:p>
    <w:p w14:paraId="488CE754" w14:textId="77777777" w:rsidR="00E27212" w:rsidRPr="00D82FB5" w:rsidRDefault="00E27212" w:rsidP="00E27212">
      <w:pPr>
        <w:pStyle w:val="a9"/>
        <w:spacing w:before="100" w:beforeAutospacing="1" w:after="100" w:afterAutospacing="1" w:line="360" w:lineRule="auto"/>
        <w:ind w:left="57" w:firstLine="651"/>
        <w:jc w:val="both"/>
        <w:rPr>
          <w:rtl/>
        </w:rPr>
      </w:pPr>
    </w:p>
    <w:p w14:paraId="60935163" w14:textId="77777777" w:rsidR="00E27212" w:rsidRPr="00D82FB5" w:rsidRDefault="00E27212" w:rsidP="00E27212">
      <w:pPr>
        <w:pStyle w:val="a9"/>
        <w:spacing w:before="100" w:beforeAutospacing="1" w:after="100" w:afterAutospacing="1" w:line="360" w:lineRule="auto"/>
        <w:ind w:left="57" w:firstLine="651"/>
        <w:jc w:val="both"/>
        <w:rPr>
          <w:rFonts w:ascii="David" w:hAnsi="David"/>
          <w:rtl/>
        </w:rPr>
      </w:pPr>
      <w:r w:rsidRPr="00D82FB5">
        <w:rPr>
          <w:rFonts w:ascii="David" w:hAnsi="David"/>
          <w:rtl/>
        </w:rPr>
        <w:t xml:space="preserve">שישית, </w:t>
      </w:r>
      <w:r w:rsidRPr="00D82FB5">
        <w:rPr>
          <w:rFonts w:ascii="David" w:hAnsi="David" w:hint="cs"/>
          <w:rtl/>
        </w:rPr>
        <w:t>עצם העובדה כי הנאשמים ביצעו את העבירות בצוותא, ואף כחלק מקבוצה יותר גדולה, מוסיפה חומרה נוספת.</w:t>
      </w:r>
    </w:p>
    <w:p w14:paraId="0EA634EF" w14:textId="77777777" w:rsidR="00E27212" w:rsidRPr="00D82FB5" w:rsidRDefault="00E27212" w:rsidP="00E27212">
      <w:pPr>
        <w:pStyle w:val="a9"/>
        <w:spacing w:before="100" w:beforeAutospacing="1" w:after="100" w:afterAutospacing="1" w:line="360" w:lineRule="auto"/>
        <w:ind w:left="57" w:firstLine="651"/>
        <w:jc w:val="both"/>
        <w:rPr>
          <w:rFonts w:ascii="David" w:hAnsi="David"/>
          <w:rtl/>
        </w:rPr>
      </w:pPr>
    </w:p>
    <w:p w14:paraId="194972DE" w14:textId="77777777" w:rsidR="00E27212" w:rsidRPr="00D82FB5" w:rsidRDefault="00E27212" w:rsidP="00E27212">
      <w:pPr>
        <w:pStyle w:val="a9"/>
        <w:spacing w:before="100" w:beforeAutospacing="1" w:after="100" w:afterAutospacing="1" w:line="360" w:lineRule="auto"/>
        <w:ind w:left="57" w:firstLine="651"/>
        <w:jc w:val="both"/>
        <w:rPr>
          <w:rFonts w:ascii="David" w:hAnsi="David"/>
          <w:rtl/>
        </w:rPr>
      </w:pPr>
      <w:r w:rsidRPr="00D82FB5">
        <w:rPr>
          <w:rFonts w:ascii="David" w:hAnsi="David" w:hint="cs"/>
          <w:rtl/>
        </w:rPr>
        <w:t>המקרה שלפנינו נושא אפוא חומרה רבה בכל מרכיב ומרכיב.</w:t>
      </w:r>
    </w:p>
    <w:p w14:paraId="31C87169" w14:textId="77777777" w:rsidR="00E27212" w:rsidRPr="00D82FB5" w:rsidRDefault="00E27212" w:rsidP="00E27212">
      <w:pPr>
        <w:pStyle w:val="a9"/>
        <w:rPr>
          <w:rtl/>
        </w:rPr>
      </w:pPr>
    </w:p>
    <w:p w14:paraId="71B39CE9"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rtl/>
        </w:rPr>
        <w:t>לצורך בחינת מדיניות הענישה בעביר</w:t>
      </w:r>
      <w:r w:rsidRPr="00D82FB5">
        <w:rPr>
          <w:rFonts w:ascii="David" w:hAnsi="David" w:hint="cs"/>
          <w:rtl/>
        </w:rPr>
        <w:t>ו</w:t>
      </w:r>
      <w:r w:rsidRPr="00D82FB5">
        <w:rPr>
          <w:rFonts w:ascii="David" w:hAnsi="David"/>
          <w:rtl/>
        </w:rPr>
        <w:t xml:space="preserve">ת </w:t>
      </w:r>
      <w:r w:rsidRPr="00D82FB5">
        <w:rPr>
          <w:rFonts w:ascii="David" w:hAnsi="David" w:hint="cs"/>
          <w:rtl/>
        </w:rPr>
        <w:t>ה</w:t>
      </w:r>
      <w:r w:rsidRPr="00D82FB5">
        <w:rPr>
          <w:rFonts w:ascii="David" w:hAnsi="David"/>
          <w:rtl/>
        </w:rPr>
        <w:t>נשק, הפנו הצדדים לפסקי דין רבים, התומכים לשיטתם במדיניות הענישה הנטענת.  אסתפק בהפניה למספר פסקי דין שניתנו על ידי בית המשפט העליון.</w:t>
      </w:r>
    </w:p>
    <w:p w14:paraId="129799B2" w14:textId="77777777" w:rsidR="00E27212" w:rsidRPr="00D82FB5" w:rsidRDefault="00E27212" w:rsidP="00E27212">
      <w:pPr>
        <w:pStyle w:val="a9"/>
        <w:spacing w:before="100" w:beforeAutospacing="1" w:after="100" w:afterAutospacing="1" w:line="360" w:lineRule="auto"/>
        <w:ind w:left="0"/>
        <w:jc w:val="both"/>
      </w:pPr>
    </w:p>
    <w:p w14:paraId="5CF00FAA" w14:textId="77777777" w:rsidR="00E27212" w:rsidRPr="00D82FB5" w:rsidRDefault="00E27212" w:rsidP="00E27212">
      <w:pPr>
        <w:pStyle w:val="a9"/>
        <w:spacing w:before="100" w:beforeAutospacing="1" w:after="100" w:afterAutospacing="1" w:line="360" w:lineRule="auto"/>
        <w:ind w:left="0" w:firstLine="567"/>
        <w:jc w:val="both"/>
        <w:rPr>
          <w:rtl/>
        </w:rPr>
      </w:pPr>
      <w:r w:rsidRPr="00D82FB5">
        <w:rPr>
          <w:rFonts w:ascii="David" w:hAnsi="David" w:hint="cs"/>
          <w:rtl/>
        </w:rPr>
        <w:t>ראש וראשון יש להפנות ל</w:t>
      </w:r>
      <w:hyperlink r:id="rId37" w:history="1">
        <w:r w:rsidR="00D42FA3" w:rsidRPr="00D82FB5">
          <w:rPr>
            <w:rFonts w:ascii="David" w:hAnsi="David"/>
            <w:color w:val="0000FF"/>
            <w:u w:val="single"/>
            <w:rtl/>
          </w:rPr>
          <w:t>ע"פ 5602/22</w:t>
        </w:r>
      </w:hyperlink>
      <w:r w:rsidR="00D42FA3" w:rsidRPr="00D82FB5">
        <w:rPr>
          <w:rFonts w:ascii="David" w:hAnsi="David"/>
          <w:rtl/>
        </w:rPr>
        <w:t xml:space="preserve"> </w:t>
      </w:r>
      <w:r w:rsidRPr="00D82FB5">
        <w:rPr>
          <w:rFonts w:ascii="David" w:hAnsi="David"/>
          <w:b/>
          <w:bCs/>
          <w:rtl/>
        </w:rPr>
        <w:t>מדינת ישראל נ' פלוני</w:t>
      </w:r>
      <w:r w:rsidRPr="00D82FB5">
        <w:rPr>
          <w:rFonts w:ascii="David" w:hAnsi="David"/>
          <w:rtl/>
        </w:rPr>
        <w:t>, שניתן ביום 14.9.2022 (להלן: ע"פ</w:t>
      </w:r>
      <w:r w:rsidR="00D42FA3" w:rsidRPr="00D82FB5">
        <w:rPr>
          <w:rFonts w:ascii="David" w:hAnsi="David"/>
          <w:rtl/>
        </w:rPr>
        <w:t xml:space="preserve"> </w:t>
      </w:r>
      <w:r w:rsidRPr="00D82FB5">
        <w:rPr>
          <w:rFonts w:ascii="David" w:hAnsi="David"/>
          <w:b/>
          <w:bCs/>
          <w:rtl/>
        </w:rPr>
        <w:t>פלוני</w:t>
      </w:r>
      <w:r w:rsidRPr="00D82FB5">
        <w:rPr>
          <w:rFonts w:ascii="David" w:hAnsi="David"/>
          <w:rtl/>
        </w:rPr>
        <w:t xml:space="preserve">), </w:t>
      </w:r>
      <w:r w:rsidRPr="00D82FB5">
        <w:rPr>
          <w:rFonts w:ascii="David" w:hAnsi="David" w:hint="cs"/>
          <w:rtl/>
        </w:rPr>
        <w:t xml:space="preserve">בו קבע </w:t>
      </w:r>
      <w:r w:rsidRPr="00D82FB5">
        <w:rPr>
          <w:rFonts w:ascii="David" w:hAnsi="David"/>
          <w:rtl/>
        </w:rPr>
        <w:t xml:space="preserve">בית המשפט העליון כי מתחם העונש שראוי ברגיל לקבוע לנאשם בגין נשיאה בלתי חוקית של נשק חם במרחב הציבורי נע בין 30 ל-42 חודשי מאסר בפועל לצד רכיבי ענישה נוספים. נזכיר כי בע"פ פלוני דובר על נאשם בן כ-27 שלחובתו לא היו הרשעות קודמות, שהורשע בעבירה של נשיאת והובלת נשק ברכבו – </w:t>
      </w:r>
      <w:r w:rsidRPr="00D82FB5">
        <w:rPr>
          <w:rFonts w:ascii="David" w:hAnsi="David" w:hint="cs"/>
          <w:rtl/>
        </w:rPr>
        <w:t>כאשר היה מדובר ב</w:t>
      </w:r>
      <w:r w:rsidRPr="00D82FB5">
        <w:rPr>
          <w:rFonts w:ascii="David" w:hAnsi="David"/>
          <w:rtl/>
        </w:rPr>
        <w:t>אקדח חצי אוטומטי</w:t>
      </w:r>
      <w:r w:rsidRPr="00D82FB5">
        <w:rPr>
          <w:rFonts w:ascii="David" w:hAnsi="David" w:hint="cs"/>
          <w:rtl/>
        </w:rPr>
        <w:t>, ואילו במקרה שלפנינו דובר על שני נשקים ארוכים.</w:t>
      </w:r>
      <w:r w:rsidRPr="00D82FB5">
        <w:rPr>
          <w:rFonts w:hint="cs"/>
          <w:rtl/>
        </w:rPr>
        <w:t xml:space="preserve"> </w:t>
      </w:r>
    </w:p>
    <w:p w14:paraId="0095C9F9" w14:textId="77777777" w:rsidR="00E27212" w:rsidRPr="00D82FB5" w:rsidRDefault="00E27212" w:rsidP="00E27212">
      <w:pPr>
        <w:pStyle w:val="a9"/>
        <w:spacing w:before="100" w:beforeAutospacing="1" w:after="100" w:afterAutospacing="1" w:line="360" w:lineRule="auto"/>
        <w:ind w:left="0" w:firstLine="567"/>
        <w:jc w:val="both"/>
        <w:rPr>
          <w:rtl/>
        </w:rPr>
      </w:pPr>
    </w:p>
    <w:p w14:paraId="0D720770"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r w:rsidRPr="00D82FB5">
        <w:rPr>
          <w:rFonts w:ascii="David" w:hAnsi="David"/>
          <w:rtl/>
        </w:rPr>
        <w:t xml:space="preserve">ראו גם </w:t>
      </w:r>
      <w:hyperlink r:id="rId38" w:history="1">
        <w:r w:rsidR="00D42FA3" w:rsidRPr="00D82FB5">
          <w:rPr>
            <w:rFonts w:ascii="David" w:hAnsi="David"/>
            <w:color w:val="0000FF"/>
            <w:u w:val="single"/>
            <w:rtl/>
          </w:rPr>
          <w:t>ע"פ 7971/23</w:t>
        </w:r>
      </w:hyperlink>
      <w:r w:rsidRPr="00D82FB5">
        <w:rPr>
          <w:rFonts w:ascii="David" w:hAnsi="David"/>
          <w:rtl/>
        </w:rPr>
        <w:t xml:space="preserve"> </w:t>
      </w:r>
      <w:r w:rsidRPr="00D82FB5">
        <w:rPr>
          <w:rFonts w:ascii="David" w:hAnsi="David"/>
          <w:b/>
          <w:bCs/>
          <w:rtl/>
        </w:rPr>
        <w:t>אגבאריה נ' מדינת ישראל</w:t>
      </w:r>
      <w:r w:rsidRPr="00D82FB5">
        <w:rPr>
          <w:rFonts w:ascii="David" w:hAnsi="David"/>
          <w:rtl/>
        </w:rPr>
        <w:t xml:space="preserve"> (26.5.2024)</w:t>
      </w:r>
      <w:r w:rsidRPr="00D82FB5">
        <w:rPr>
          <w:rFonts w:ascii="David" w:hAnsi="David" w:hint="cs"/>
          <w:rtl/>
        </w:rPr>
        <w:t xml:space="preserve"> (להלן: </w:t>
      </w:r>
      <w:r w:rsidRPr="00D82FB5">
        <w:rPr>
          <w:rFonts w:ascii="David" w:hAnsi="David" w:hint="cs"/>
          <w:b/>
          <w:bCs/>
          <w:rtl/>
        </w:rPr>
        <w:t>עניין אגבאריה</w:t>
      </w:r>
      <w:r w:rsidRPr="00D82FB5">
        <w:rPr>
          <w:rFonts w:ascii="David" w:hAnsi="David" w:hint="cs"/>
          <w:rtl/>
        </w:rPr>
        <w:t>)</w:t>
      </w:r>
      <w:r w:rsidRPr="00D82FB5">
        <w:rPr>
          <w:rFonts w:ascii="David" w:hAnsi="David"/>
          <w:rtl/>
        </w:rPr>
        <w:t>, בו בית המשפט העליון החמיר בעונשם של הנאשמים. הנאשמים נשאו הובילו ברכב תת מקלע מאולתר טעון במחסנית שבתוכה עשרה כדורים, וכדור נוסף בבית הבליעה של הנשק; קפיץ ופין נעילה מכסה אחורי שיחד עם הנשק בכוחם להמית אדם; שקית ובה תשעה כדורים. כמו כן הצטיידו הנאשמים בכפפה שחורה</w:t>
      </w:r>
      <w:r w:rsidRPr="00D82FB5">
        <w:rPr>
          <w:rFonts w:ascii="David" w:hAnsi="David" w:hint="cs"/>
          <w:rtl/>
        </w:rPr>
        <w:t>,</w:t>
      </w:r>
      <w:r w:rsidRPr="00D82FB5">
        <w:rPr>
          <w:rFonts w:ascii="David" w:hAnsi="David"/>
          <w:rtl/>
        </w:rPr>
        <w:t xml:space="preserve"> כפייה וכובע גרב שחור ובו פתחים לעיניים. בית המשפט העליון קיבל את ערעור המדינה והחמיר את עונשים של הנאשמים ל- 32 חודשי מאסר בפועל.</w:t>
      </w:r>
    </w:p>
    <w:p w14:paraId="6A940D15" w14:textId="77777777" w:rsidR="00E27212" w:rsidRPr="00D82FB5" w:rsidRDefault="00E27212" w:rsidP="00E27212">
      <w:pPr>
        <w:pStyle w:val="a9"/>
        <w:spacing w:before="100" w:beforeAutospacing="1" w:after="100" w:afterAutospacing="1" w:line="360" w:lineRule="auto"/>
        <w:ind w:left="0" w:firstLine="567"/>
        <w:jc w:val="both"/>
        <w:rPr>
          <w:rtl/>
        </w:rPr>
      </w:pPr>
    </w:p>
    <w:p w14:paraId="4CC6C937" w14:textId="77777777" w:rsidR="00E27212" w:rsidRPr="00D82FB5" w:rsidRDefault="00E27212" w:rsidP="00E27212">
      <w:pPr>
        <w:pStyle w:val="a9"/>
        <w:spacing w:before="100" w:beforeAutospacing="1" w:after="100" w:afterAutospacing="1" w:line="360" w:lineRule="auto"/>
        <w:ind w:left="0" w:firstLine="567"/>
        <w:jc w:val="both"/>
        <w:rPr>
          <w:rFonts w:ascii="David" w:hAnsi="David"/>
          <w:b/>
          <w:rtl/>
        </w:rPr>
      </w:pPr>
      <w:r w:rsidRPr="00D82FB5">
        <w:rPr>
          <w:rFonts w:ascii="David" w:hAnsi="David"/>
          <w:rtl/>
        </w:rPr>
        <w:t>לאחרונה ניתן בבית המשפט העליון פסק דין ב</w:t>
      </w:r>
      <w:hyperlink r:id="rId39" w:history="1">
        <w:r w:rsidR="00D42FA3" w:rsidRPr="00D82FB5">
          <w:rPr>
            <w:rFonts w:ascii="David" w:hAnsi="David"/>
            <w:color w:val="0000FF"/>
            <w:u w:val="single"/>
            <w:rtl/>
          </w:rPr>
          <w:t>ע"פ 6559/23</w:t>
        </w:r>
      </w:hyperlink>
      <w:r w:rsidRPr="00D82FB5">
        <w:rPr>
          <w:rFonts w:ascii="David" w:hAnsi="David"/>
          <w:rtl/>
        </w:rPr>
        <w:t xml:space="preserve"> </w:t>
      </w:r>
      <w:r w:rsidRPr="00D82FB5">
        <w:rPr>
          <w:rFonts w:ascii="David" w:hAnsi="David"/>
          <w:b/>
          <w:bCs/>
          <w:rtl/>
        </w:rPr>
        <w:t>מדינת ישראל נ' חסארמה</w:t>
      </w:r>
      <w:r w:rsidRPr="00D82FB5">
        <w:rPr>
          <w:rFonts w:ascii="David" w:hAnsi="David"/>
          <w:rtl/>
        </w:rPr>
        <w:t xml:space="preserve"> (2.6.2024)</w:t>
      </w:r>
      <w:r w:rsidRPr="00D82FB5">
        <w:rPr>
          <w:rFonts w:ascii="David" w:hAnsi="David" w:hint="cs"/>
          <w:rtl/>
        </w:rPr>
        <w:t xml:space="preserve"> (להלן: </w:t>
      </w:r>
      <w:r w:rsidRPr="00D82FB5">
        <w:rPr>
          <w:rFonts w:ascii="David" w:hAnsi="David" w:hint="cs"/>
          <w:b/>
          <w:bCs/>
          <w:rtl/>
        </w:rPr>
        <w:t>עניין חסארמה</w:t>
      </w:r>
      <w:r w:rsidRPr="00D82FB5">
        <w:rPr>
          <w:rFonts w:ascii="David" w:hAnsi="David" w:hint="cs"/>
          <w:rtl/>
        </w:rPr>
        <w:t>)</w:t>
      </w:r>
      <w:r w:rsidRPr="00D82FB5">
        <w:rPr>
          <w:rFonts w:ascii="David" w:hAnsi="David"/>
          <w:rtl/>
        </w:rPr>
        <w:t>, בו הורשעו שלושה נאשמים בעבירות החזקה, נשיאה והובלה של נשק לצד עבירות של קשירת קשר לביצוע פשע</w:t>
      </w:r>
      <w:r w:rsidRPr="00D82FB5">
        <w:rPr>
          <w:rFonts w:ascii="David" w:hAnsi="David" w:hint="cs"/>
          <w:rtl/>
        </w:rPr>
        <w:t>;</w:t>
      </w:r>
      <w:r w:rsidRPr="00D82FB5">
        <w:rPr>
          <w:rFonts w:ascii="David" w:hAnsi="David"/>
          <w:rtl/>
        </w:rPr>
        <w:t xml:space="preserve"> קבלת רכב גנוב; שימוש ברכב ללא רשות; ובשיבוש מהלכי משפט. באותו מקרה </w:t>
      </w:r>
      <w:r w:rsidRPr="00D82FB5">
        <w:rPr>
          <w:rFonts w:ascii="David" w:hAnsi="David"/>
          <w:b/>
          <w:rtl/>
        </w:rPr>
        <w:t xml:space="preserve">עבירות הנשק התייחסו לרובה סער קלאצ'ניקוב, אקדח חצי-אוטומטי, מחסניות ותחמושת לרובה ולאקדח. בית המשפט המחוזי הטיל על הנאשמים עונשים של 36 ו- 40 חודשי מאסר בפועל וענישה נלווית. בית המשפט העליון החמיר בעונשם של הנאשמים והטיל על כל אחד </w:t>
      </w:r>
      <w:r w:rsidRPr="00D82FB5">
        <w:rPr>
          <w:rFonts w:ascii="David" w:hAnsi="David" w:hint="cs"/>
          <w:b/>
          <w:rtl/>
        </w:rPr>
        <w:t xml:space="preserve">מהם </w:t>
      </w:r>
      <w:r w:rsidRPr="00D82FB5">
        <w:rPr>
          <w:rFonts w:ascii="David" w:hAnsi="David"/>
          <w:b/>
          <w:rtl/>
        </w:rPr>
        <w:t>54 חודשי מאסר בפועל.</w:t>
      </w:r>
    </w:p>
    <w:p w14:paraId="01221867" w14:textId="77777777" w:rsidR="00E27212" w:rsidRPr="00D82FB5" w:rsidRDefault="00E27212" w:rsidP="00E27212">
      <w:pPr>
        <w:pStyle w:val="a9"/>
        <w:spacing w:before="100" w:beforeAutospacing="1" w:after="100" w:afterAutospacing="1" w:line="360" w:lineRule="auto"/>
        <w:ind w:left="0" w:firstLine="567"/>
        <w:jc w:val="both"/>
        <w:rPr>
          <w:b/>
          <w:rtl/>
        </w:rPr>
      </w:pPr>
    </w:p>
    <w:p w14:paraId="140EDD98" w14:textId="77777777" w:rsidR="00E27212" w:rsidRPr="00D82FB5" w:rsidRDefault="00E27212" w:rsidP="00E27212">
      <w:pPr>
        <w:pStyle w:val="a9"/>
        <w:spacing w:before="100" w:beforeAutospacing="1" w:after="100" w:afterAutospacing="1" w:line="360" w:lineRule="auto"/>
        <w:ind w:left="0" w:firstLine="567"/>
        <w:jc w:val="both"/>
        <w:rPr>
          <w:rFonts w:ascii="David" w:hAnsi="David"/>
          <w:b/>
          <w:rtl/>
        </w:rPr>
      </w:pPr>
      <w:r w:rsidRPr="00D82FB5">
        <w:rPr>
          <w:rFonts w:ascii="David" w:hAnsi="David"/>
          <w:b/>
          <w:rtl/>
        </w:rPr>
        <w:t>במקרה שלפנינו הנאשמים הורשעו בעבירות נשק בלבד. נסיבות ביצוע העבירה חמורות מאלו שהיו בעניין פלוני, אך חמורות פחות מאלו שנדונו בעניין חסארמה בו הורשעו הנאשמים בעבירות נוספת מלבד עבירות הנשק</w:t>
      </w:r>
      <w:r w:rsidRPr="00D82FB5">
        <w:rPr>
          <w:rFonts w:ascii="David" w:hAnsi="David" w:hint="cs"/>
          <w:b/>
          <w:rtl/>
        </w:rPr>
        <w:t>. נדגיש עוד כי במקרה שלפנינו מדובר בעבירות נשק המתייחסות לשני כלי נשק "ארוכים", שבוצעו בנסיבות חמורות.</w:t>
      </w:r>
    </w:p>
    <w:p w14:paraId="1957D036" w14:textId="77777777" w:rsidR="00E27212" w:rsidRPr="00D82FB5" w:rsidRDefault="00E27212" w:rsidP="00E27212">
      <w:pPr>
        <w:spacing w:line="360" w:lineRule="auto"/>
        <w:ind w:firstLine="567"/>
        <w:jc w:val="both"/>
        <w:rPr>
          <w:rFonts w:ascii="David" w:hAnsi="David"/>
          <w:rtl/>
        </w:rPr>
      </w:pPr>
      <w:r w:rsidRPr="00D82FB5">
        <w:rPr>
          <w:rFonts w:ascii="David" w:hAnsi="David" w:hint="cs"/>
          <w:rtl/>
        </w:rPr>
        <w:t xml:space="preserve">ניתן גם להפנות למקרים הבאים: </w:t>
      </w:r>
      <w:hyperlink r:id="rId40" w:history="1">
        <w:r w:rsidR="00D42FA3" w:rsidRPr="00D82FB5">
          <w:rPr>
            <w:rFonts w:ascii="David" w:hAnsi="David"/>
            <w:color w:val="0000FF"/>
            <w:u w:val="single"/>
            <w:rtl/>
          </w:rPr>
          <w:t>ע"פ 309/22</w:t>
        </w:r>
      </w:hyperlink>
      <w:r w:rsidRPr="00D82FB5">
        <w:rPr>
          <w:rFonts w:ascii="David" w:hAnsi="David"/>
          <w:rtl/>
        </w:rPr>
        <w:t xml:space="preserve"> </w:t>
      </w:r>
      <w:r w:rsidRPr="00D82FB5">
        <w:rPr>
          <w:rFonts w:ascii="David" w:hAnsi="David"/>
          <w:b/>
          <w:bCs/>
          <w:rtl/>
        </w:rPr>
        <w:t>מדינת ישראל נ' ביאדסה</w:t>
      </w:r>
      <w:r w:rsidRPr="00D82FB5">
        <w:rPr>
          <w:rFonts w:ascii="David" w:hAnsi="David"/>
          <w:rtl/>
        </w:rPr>
        <w:t xml:space="preserve"> (10.5.2022) –</w:t>
      </w:r>
      <w:r w:rsidRPr="00D82FB5">
        <w:rPr>
          <w:rFonts w:ascii="David" w:hAnsi="David" w:hint="cs"/>
          <w:rtl/>
        </w:rPr>
        <w:t xml:space="preserve"> בו </w:t>
      </w:r>
      <w:r w:rsidRPr="00D82FB5">
        <w:rPr>
          <w:rFonts w:ascii="David" w:hAnsi="David"/>
          <w:rtl/>
        </w:rPr>
        <w:t>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w:t>
      </w:r>
      <w:r w:rsidRPr="00D82FB5">
        <w:rPr>
          <w:rFonts w:ascii="David" w:hAnsi="David" w:hint="cs"/>
          <w:rtl/>
        </w:rPr>
        <w:t xml:space="preserve"> </w:t>
      </w:r>
      <w:r w:rsidRPr="00D82FB5">
        <w:rPr>
          <w:rFonts w:ascii="David" w:hAnsi="David"/>
          <w:rtl/>
        </w:rPr>
        <w:t>אוטומטי טעון במחסנית תואמת שמכילה 27 כדורים ומחסנית נוספת שמכילה 14 כדורים. בית המשפט המחוזי</w:t>
      </w:r>
      <w:r w:rsidRPr="00D82FB5">
        <w:rPr>
          <w:rFonts w:ascii="David" w:hAnsi="David" w:hint="cs"/>
          <w:rtl/>
        </w:rPr>
        <w:t xml:space="preserve"> קבע מתחם שנע בין 19 ל-54 חודשי מאסר בפועל, ו</w:t>
      </w:r>
      <w:r w:rsidRPr="00D82FB5">
        <w:rPr>
          <w:rFonts w:ascii="David" w:hAnsi="David"/>
          <w:rtl/>
        </w:rPr>
        <w:t>גזר על ה</w:t>
      </w:r>
      <w:r w:rsidRPr="00D82FB5">
        <w:rPr>
          <w:rFonts w:ascii="David" w:hAnsi="David" w:hint="cs"/>
          <w:rtl/>
        </w:rPr>
        <w:t>נאשם</w:t>
      </w:r>
      <w:r w:rsidRPr="00D82FB5">
        <w:rPr>
          <w:rFonts w:ascii="David" w:hAnsi="David"/>
          <w:rtl/>
        </w:rPr>
        <w:t>, אשר הורשע על סמך הודאתו, שניתנה במסגרת הסדר טיעון, 19 חודשי מאסר לריצוי בפועל בצירוף עונשים נלווים. בית המשפט העליון התערב בקולת העונש וראה להחמירו ולהעמידו על 30 חודשי מאסר.</w:t>
      </w:r>
      <w:r w:rsidRPr="00D82FB5">
        <w:rPr>
          <w:rFonts w:ascii="David" w:hAnsi="David" w:hint="cs"/>
          <w:rtl/>
        </w:rPr>
        <w:t xml:space="preserve"> </w:t>
      </w:r>
    </w:p>
    <w:p w14:paraId="58DB6B3D" w14:textId="77777777" w:rsidR="00E27212" w:rsidRPr="00D82FB5" w:rsidRDefault="00E27212" w:rsidP="00E27212">
      <w:pPr>
        <w:spacing w:line="360" w:lineRule="auto"/>
        <w:jc w:val="both"/>
        <w:rPr>
          <w:rFonts w:ascii="David" w:hAnsi="David"/>
          <w:rtl/>
        </w:rPr>
      </w:pPr>
    </w:p>
    <w:p w14:paraId="74ADED85" w14:textId="77777777" w:rsidR="00E27212" w:rsidRPr="00D82FB5" w:rsidRDefault="00D42FA3" w:rsidP="00E27212">
      <w:pPr>
        <w:spacing w:line="360" w:lineRule="auto"/>
        <w:ind w:firstLine="567"/>
        <w:jc w:val="both"/>
        <w:rPr>
          <w:rFonts w:ascii="David" w:hAnsi="David"/>
          <w:rtl/>
        </w:rPr>
      </w:pPr>
      <w:hyperlink r:id="rId41" w:history="1">
        <w:r w:rsidRPr="00D82FB5">
          <w:rPr>
            <w:rFonts w:ascii="David" w:hAnsi="David"/>
            <w:color w:val="0000FF"/>
            <w:u w:val="single"/>
            <w:rtl/>
          </w:rPr>
          <w:t>ע"פ 1658/20</w:t>
        </w:r>
      </w:hyperlink>
      <w:r w:rsidR="00E27212" w:rsidRPr="00D82FB5">
        <w:rPr>
          <w:rFonts w:ascii="David" w:hAnsi="David"/>
          <w:rtl/>
        </w:rPr>
        <w:t xml:space="preserve"> </w:t>
      </w:r>
      <w:r w:rsidR="00E27212" w:rsidRPr="00D82FB5">
        <w:rPr>
          <w:rFonts w:ascii="David" w:hAnsi="David"/>
          <w:b/>
          <w:bCs/>
          <w:rtl/>
        </w:rPr>
        <w:t>ג'מאחנה נ' מדינת ישראל</w:t>
      </w:r>
      <w:r w:rsidR="00E27212" w:rsidRPr="00D82FB5">
        <w:rPr>
          <w:rFonts w:ascii="David" w:hAnsi="David"/>
          <w:rtl/>
        </w:rPr>
        <w:t xml:space="preserve"> (21</w:t>
      </w:r>
      <w:r w:rsidR="00E27212" w:rsidRPr="00D82FB5">
        <w:rPr>
          <w:rFonts w:ascii="David" w:hAnsi="David" w:hint="cs"/>
          <w:rtl/>
        </w:rPr>
        <w:t>.6</w:t>
      </w:r>
      <w:r w:rsidR="00E27212" w:rsidRPr="00D82FB5">
        <w:rPr>
          <w:rFonts w:ascii="David" w:hAnsi="David"/>
          <w:rtl/>
        </w:rPr>
        <w:t>.</w:t>
      </w:r>
      <w:r w:rsidR="00E27212" w:rsidRPr="00D82FB5">
        <w:rPr>
          <w:rFonts w:ascii="David" w:hAnsi="David" w:hint="cs"/>
          <w:rtl/>
        </w:rPr>
        <w:t>20</w:t>
      </w:r>
      <w:r w:rsidR="00E27212" w:rsidRPr="00D82FB5">
        <w:rPr>
          <w:rFonts w:ascii="David" w:hAnsi="David"/>
          <w:rtl/>
        </w:rPr>
        <w:t xml:space="preserve">20), נדחה ערעורו של מי שהורשע בעבירות של נשיאה והובלה של נשק ורכישת נשק, ונגזר עליו עונש של 24 חודשי מאסר בפועל. במקרה הנדון רכש המערער נשק מסוג </w:t>
      </w:r>
      <w:r w:rsidR="00E27212" w:rsidRPr="00D82FB5">
        <w:rPr>
          <w:rFonts w:ascii="David" w:hAnsi="David"/>
        </w:rPr>
        <w:t>M16</w:t>
      </w:r>
      <w:r w:rsidR="00E27212" w:rsidRPr="00D82FB5">
        <w:rPr>
          <w:rFonts w:ascii="David" w:hAnsi="David" w:hint="cs"/>
          <w:rtl/>
        </w:rPr>
        <w:t xml:space="preserve">. </w:t>
      </w:r>
      <w:r w:rsidR="00E27212" w:rsidRPr="00D82FB5">
        <w:rPr>
          <w:rFonts w:ascii="David" w:hAnsi="David"/>
          <w:rtl/>
        </w:rPr>
        <w:t>כאמור, בית המשפט העליון דחה את הערעור, תוך שציין כי העונש שהוטל על המערער הינו מאוזן ואולי אף מקל.</w:t>
      </w:r>
    </w:p>
    <w:p w14:paraId="4F7DEE1E" w14:textId="77777777" w:rsidR="00E27212" w:rsidRPr="00D82FB5" w:rsidRDefault="00E27212" w:rsidP="00E27212">
      <w:pPr>
        <w:pStyle w:val="a9"/>
        <w:spacing w:before="100" w:beforeAutospacing="1" w:after="100" w:afterAutospacing="1" w:line="360" w:lineRule="auto"/>
        <w:ind w:left="57" w:firstLine="510"/>
        <w:jc w:val="both"/>
        <w:rPr>
          <w:rFonts w:ascii="David" w:hAnsi="David"/>
          <w:rtl/>
        </w:rPr>
      </w:pPr>
      <w:r w:rsidRPr="00D82FB5">
        <w:rPr>
          <w:rFonts w:ascii="David" w:hAnsi="David" w:hint="cs"/>
          <w:rtl/>
        </w:rPr>
        <w:t>לבסוף נפנה לדברים שבית המשפט העליון ציין בעניין אגבאריה:</w:t>
      </w:r>
    </w:p>
    <w:p w14:paraId="2D24D6D5" w14:textId="77777777" w:rsidR="00E27212" w:rsidRPr="00D82FB5" w:rsidRDefault="00E27212" w:rsidP="00E27212">
      <w:pPr>
        <w:pStyle w:val="a9"/>
        <w:spacing w:before="100" w:beforeAutospacing="1" w:after="100" w:afterAutospacing="1" w:line="360" w:lineRule="auto"/>
        <w:ind w:left="57"/>
        <w:jc w:val="both"/>
        <w:rPr>
          <w:rFonts w:ascii="David" w:hAnsi="David"/>
          <w:rtl/>
        </w:rPr>
      </w:pPr>
    </w:p>
    <w:p w14:paraId="79526C5D" w14:textId="77777777" w:rsidR="00E27212" w:rsidRPr="00D82FB5" w:rsidRDefault="00E27212" w:rsidP="00E27212">
      <w:pPr>
        <w:pStyle w:val="a9"/>
        <w:spacing w:before="100" w:beforeAutospacing="1" w:after="100" w:afterAutospacing="1"/>
        <w:ind w:left="850" w:right="1276"/>
        <w:jc w:val="both"/>
        <w:rPr>
          <w:rFonts w:ascii="David" w:hAnsi="David"/>
          <w:rtl/>
        </w:rPr>
      </w:pPr>
      <w:r w:rsidRPr="00D82FB5">
        <w:rPr>
          <w:rFonts w:ascii="David" w:hAnsi="David" w:hint="cs"/>
          <w:rtl/>
        </w:rPr>
        <w:t>"</w:t>
      </w:r>
      <w:r w:rsidRPr="00D82FB5">
        <w:rPr>
          <w:rFonts w:ascii="David" w:hAnsi="David"/>
          <w:b/>
          <w:bCs/>
          <w:rtl/>
        </w:rPr>
        <w:t xml:space="preserve">אשר למדיניות הענישה הנוהגת בעבירות שבענייננו. 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(ראו: </w:t>
      </w:r>
      <w:hyperlink r:id="rId42" w:history="1">
        <w:r w:rsidR="00D42FA3" w:rsidRPr="00D82FB5">
          <w:rPr>
            <w:rFonts w:ascii="David" w:hAnsi="David"/>
            <w:b/>
            <w:bCs/>
            <w:color w:val="0000FF"/>
            <w:u w:val="single"/>
            <w:rtl/>
          </w:rPr>
          <w:t>ע"פ 1695/22</w:t>
        </w:r>
      </w:hyperlink>
      <w:r w:rsidRPr="00D82FB5">
        <w:rPr>
          <w:rFonts w:ascii="David" w:hAnsi="David"/>
          <w:b/>
          <w:bCs/>
          <w:rtl/>
        </w:rPr>
        <w:t xml:space="preserve"> מדינת ישראל נ' גנאים, פסקה 11 [נבו] (29.3.2022); </w:t>
      </w:r>
      <w:hyperlink r:id="rId43" w:history="1">
        <w:r w:rsidR="00D42FA3" w:rsidRPr="00D82FB5">
          <w:rPr>
            <w:rFonts w:ascii="David" w:hAnsi="David"/>
            <w:b/>
            <w:bCs/>
            <w:color w:val="0000FF"/>
            <w:u w:val="single"/>
            <w:rtl/>
          </w:rPr>
          <w:t>ע"פ 309/22</w:t>
        </w:r>
      </w:hyperlink>
      <w:r w:rsidRPr="00D82FB5">
        <w:rPr>
          <w:rFonts w:ascii="David" w:hAnsi="David"/>
          <w:b/>
          <w:bCs/>
          <w:rtl/>
        </w:rPr>
        <w:t xml:space="preserve"> מדינת ישראל נ' ביאדסה, פסקה 6 [נבו] (10.5.2022) (להלן: עניין ביאדסה)). ענישה זו כוללת לרוב עונשי מאסר ממושכים לריצוי בפועל, המושתים גם על נאשמים צעירים נעדרי עבר פלילי (</w:t>
      </w:r>
      <w:hyperlink r:id="rId44" w:history="1">
        <w:r w:rsidR="00D42FA3" w:rsidRPr="00D82FB5">
          <w:rPr>
            <w:rFonts w:ascii="David" w:hAnsi="David"/>
            <w:b/>
            <w:bCs/>
            <w:color w:val="0000FF"/>
            <w:u w:val="single"/>
            <w:rtl/>
          </w:rPr>
          <w:t>ע"פ 5330/20</w:t>
        </w:r>
      </w:hyperlink>
      <w:r w:rsidRPr="00D82FB5">
        <w:rPr>
          <w:rFonts w:ascii="David" w:hAnsi="David" w:hint="cs"/>
          <w:b/>
          <w:bCs/>
          <w:rtl/>
        </w:rPr>
        <w:t xml:space="preserve"> </w:t>
      </w:r>
      <w:r w:rsidRPr="00D82FB5">
        <w:rPr>
          <w:rFonts w:ascii="David" w:hAnsi="David"/>
          <w:b/>
          <w:bCs/>
          <w:rtl/>
        </w:rPr>
        <w:t>ענבתאוי נ' מדינת ישראל, פסקה 14 [נבו] (22.11.2020))</w:t>
      </w:r>
      <w:r w:rsidRPr="00D82FB5">
        <w:rPr>
          <w:rFonts w:ascii="David" w:hAnsi="David" w:hint="cs"/>
          <w:rtl/>
        </w:rPr>
        <w:t>"</w:t>
      </w:r>
      <w:r w:rsidRPr="00D82FB5">
        <w:rPr>
          <w:rFonts w:ascii="David" w:hAnsi="David"/>
          <w:rtl/>
        </w:rPr>
        <w:t>.</w:t>
      </w:r>
    </w:p>
    <w:p w14:paraId="6A141475" w14:textId="77777777" w:rsidR="00E27212" w:rsidRPr="00D82FB5" w:rsidRDefault="00E27212" w:rsidP="00E27212">
      <w:pPr>
        <w:pStyle w:val="a9"/>
        <w:spacing w:before="100" w:beforeAutospacing="1" w:after="100" w:afterAutospacing="1" w:line="360" w:lineRule="auto"/>
        <w:ind w:left="57"/>
        <w:jc w:val="both"/>
      </w:pPr>
    </w:p>
    <w:p w14:paraId="1F61C344"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rtl/>
        </w:rPr>
        <w:t xml:space="preserve">לאור האמור, אני קובע כי מתחם העונש בנסיבות מקרה זה נע בין </w:t>
      </w:r>
      <w:r w:rsidRPr="00D82FB5">
        <w:rPr>
          <w:rFonts w:ascii="David" w:hAnsi="David" w:hint="cs"/>
          <w:rtl/>
        </w:rPr>
        <w:t>36 ל- 54</w:t>
      </w:r>
      <w:r w:rsidRPr="00D82FB5">
        <w:rPr>
          <w:rFonts w:ascii="David" w:hAnsi="David"/>
          <w:rtl/>
        </w:rPr>
        <w:t xml:space="preserve"> חודשי מאסר בפועל</w:t>
      </w:r>
      <w:r w:rsidRPr="00D82FB5">
        <w:rPr>
          <w:rFonts w:ascii="David" w:hAnsi="David" w:hint="cs"/>
          <w:rtl/>
        </w:rPr>
        <w:t xml:space="preserve"> ו</w:t>
      </w:r>
      <w:r w:rsidRPr="00D82FB5">
        <w:rPr>
          <w:rFonts w:ascii="David" w:hAnsi="David"/>
          <w:rtl/>
        </w:rPr>
        <w:t>מאסר על תנאי</w:t>
      </w:r>
      <w:r w:rsidRPr="00D82FB5">
        <w:rPr>
          <w:rFonts w:ascii="David" w:hAnsi="David" w:hint="cs"/>
          <w:rtl/>
        </w:rPr>
        <w:t>. נוכח תקופות המאסר שיוטלו על הנאשמים, אינני סבור כי יש לכלול קנס.</w:t>
      </w:r>
      <w:r w:rsidRPr="00D82FB5">
        <w:rPr>
          <w:rFonts w:hint="cs"/>
          <w:rtl/>
        </w:rPr>
        <w:t xml:space="preserve"> </w:t>
      </w:r>
    </w:p>
    <w:p w14:paraId="048CDDBA" w14:textId="77777777" w:rsidR="00E27212" w:rsidRPr="00D82FB5" w:rsidRDefault="00E27212" w:rsidP="00E27212">
      <w:pPr>
        <w:pStyle w:val="a9"/>
        <w:spacing w:before="100" w:beforeAutospacing="1" w:after="100" w:afterAutospacing="1" w:line="360" w:lineRule="auto"/>
        <w:ind w:left="57"/>
        <w:jc w:val="both"/>
        <w:rPr>
          <w:rtl/>
        </w:rPr>
      </w:pPr>
    </w:p>
    <w:p w14:paraId="2B22C9C4" w14:textId="77777777" w:rsidR="00E27212" w:rsidRPr="00D82FB5" w:rsidRDefault="00E27212" w:rsidP="00E27212">
      <w:pPr>
        <w:pStyle w:val="a9"/>
        <w:spacing w:before="100" w:beforeAutospacing="1" w:after="100" w:afterAutospacing="1" w:line="360" w:lineRule="auto"/>
        <w:ind w:left="57"/>
        <w:jc w:val="both"/>
        <w:rPr>
          <w:rFonts w:ascii="David" w:hAnsi="David"/>
          <w:b/>
          <w:bCs/>
          <w:rtl/>
        </w:rPr>
      </w:pPr>
      <w:r w:rsidRPr="00D82FB5">
        <w:rPr>
          <w:rFonts w:ascii="David" w:hAnsi="David"/>
          <w:b/>
          <w:bCs/>
          <w:rtl/>
        </w:rPr>
        <w:t>נסיבות שאינן קשורות בביצוע העבירות</w:t>
      </w:r>
    </w:p>
    <w:p w14:paraId="70A32996" w14:textId="77777777" w:rsidR="00E27212" w:rsidRPr="00D82FB5" w:rsidRDefault="00E27212" w:rsidP="00E27212">
      <w:pPr>
        <w:pStyle w:val="a9"/>
        <w:spacing w:before="100" w:beforeAutospacing="1" w:after="100" w:afterAutospacing="1" w:line="360" w:lineRule="auto"/>
        <w:ind w:left="57"/>
        <w:jc w:val="both"/>
        <w:rPr>
          <w:rFonts w:ascii="David" w:hAnsi="David"/>
          <w:b/>
          <w:bCs/>
        </w:rPr>
      </w:pPr>
    </w:p>
    <w:p w14:paraId="3E7F40F9" w14:textId="77777777" w:rsidR="00E27212" w:rsidRPr="00D82FB5" w:rsidRDefault="00E27212" w:rsidP="00E27212">
      <w:pPr>
        <w:pStyle w:val="a9"/>
        <w:numPr>
          <w:ilvl w:val="0"/>
          <w:numId w:val="1"/>
        </w:numPr>
        <w:spacing w:before="100" w:beforeAutospacing="1" w:after="100" w:afterAutospacing="1" w:line="360" w:lineRule="auto"/>
        <w:jc w:val="both"/>
      </w:pPr>
      <w:r w:rsidRPr="00D82FB5">
        <w:rPr>
          <w:rFonts w:ascii="David" w:hAnsi="David"/>
          <w:rtl/>
        </w:rPr>
        <w:t>בגזירת העונש בגדרי מתחם העונש ההולם יש לשקול את הנסיבות שאינן קשורות בביצוע העבירה (סעיף</w:t>
      </w:r>
      <w:r w:rsidR="00D42FA3" w:rsidRPr="00D82FB5">
        <w:rPr>
          <w:rFonts w:ascii="David" w:hAnsi="David"/>
          <w:rtl/>
        </w:rPr>
        <w:t xml:space="preserve"> </w:t>
      </w:r>
      <w:hyperlink r:id="rId45" w:history="1">
        <w:r w:rsidR="00D82FB5" w:rsidRPr="00D82FB5">
          <w:rPr>
            <w:rStyle w:val="Hyperlink"/>
            <w:rFonts w:ascii="David" w:hAnsi="David"/>
            <w:color w:val="0000FF"/>
            <w:rtl/>
          </w:rPr>
          <w:t>40 יא'</w:t>
        </w:r>
      </w:hyperlink>
      <w:r w:rsidR="00D42FA3" w:rsidRPr="00D82FB5">
        <w:rPr>
          <w:rFonts w:ascii="David" w:hAnsi="David"/>
          <w:rtl/>
        </w:rPr>
        <w:t xml:space="preserve"> </w:t>
      </w:r>
      <w:r w:rsidRPr="00D82FB5">
        <w:rPr>
          <w:rFonts w:ascii="David" w:hAnsi="David"/>
          <w:rtl/>
        </w:rPr>
        <w:t>ל</w:t>
      </w:r>
      <w:hyperlink r:id="rId46" w:history="1">
        <w:r w:rsidR="00D42FA3" w:rsidRPr="00D82FB5">
          <w:rPr>
            <w:rFonts w:ascii="David" w:hAnsi="David"/>
            <w:color w:val="0000FF"/>
            <w:u w:val="single"/>
            <w:rtl/>
          </w:rPr>
          <w:t>חוק העונשין</w:t>
        </w:r>
      </w:hyperlink>
      <w:r w:rsidRPr="00D82FB5">
        <w:rPr>
          <w:rFonts w:ascii="David" w:hAnsi="David"/>
          <w:rtl/>
        </w:rPr>
        <w:t>). במקרה שלפנינו, שקלתי את הש</w:t>
      </w:r>
      <w:r w:rsidRPr="00D82FB5">
        <w:rPr>
          <w:rFonts w:ascii="David" w:hAnsi="David" w:hint="cs"/>
          <w:rtl/>
        </w:rPr>
        <w:t>יקולים הבאים:</w:t>
      </w:r>
    </w:p>
    <w:p w14:paraId="32EC7670" w14:textId="77777777" w:rsidR="00E27212" w:rsidRPr="00D82FB5" w:rsidRDefault="00E27212" w:rsidP="00E27212">
      <w:pPr>
        <w:pStyle w:val="a9"/>
        <w:spacing w:before="100" w:beforeAutospacing="1" w:after="100" w:afterAutospacing="1" w:line="360" w:lineRule="auto"/>
        <w:ind w:left="0"/>
        <w:jc w:val="both"/>
      </w:pPr>
    </w:p>
    <w:p w14:paraId="34886255" w14:textId="77777777" w:rsidR="00E27212" w:rsidRPr="00D82FB5" w:rsidRDefault="00E27212" w:rsidP="00E27212">
      <w:pPr>
        <w:pStyle w:val="a9"/>
        <w:spacing w:before="100" w:beforeAutospacing="1" w:after="100" w:afterAutospacing="1" w:line="360" w:lineRule="auto"/>
        <w:ind w:left="0" w:firstLine="567"/>
        <w:jc w:val="both"/>
        <w:rPr>
          <w:rtl/>
        </w:rPr>
      </w:pPr>
      <w:r w:rsidRPr="00D82FB5">
        <w:rPr>
          <w:rFonts w:ascii="David" w:hAnsi="David" w:hint="cs"/>
          <w:i/>
          <w:iCs/>
          <w:rtl/>
        </w:rPr>
        <w:t>הרשעות קודמות</w:t>
      </w:r>
      <w:r w:rsidRPr="00D82FB5">
        <w:rPr>
          <w:rFonts w:ascii="David" w:hAnsi="David" w:hint="cs"/>
          <w:rtl/>
        </w:rPr>
        <w:t xml:space="preserve"> </w:t>
      </w:r>
      <w:r w:rsidRPr="00D82FB5">
        <w:rPr>
          <w:rFonts w:ascii="David" w:hAnsi="David"/>
          <w:rtl/>
        </w:rPr>
        <w:t>–</w:t>
      </w:r>
      <w:r w:rsidRPr="00D82FB5">
        <w:rPr>
          <w:rFonts w:ascii="David" w:hAnsi="David" w:hint="cs"/>
          <w:rtl/>
        </w:rPr>
        <w:t xml:space="preserve"> בעוד שלנאשם 1 אין עבר פלילי; לנאשם 2 שתי הרשעות קודמות: האחת מיום 15.1.2013 בעבירות של החזקת ונשיאת נשק, חבלה חמורה, וחבלה כשהעבריין מזוין </w:t>
      </w:r>
      <w:r w:rsidRPr="00D82FB5">
        <w:rPr>
          <w:rFonts w:ascii="David" w:hAnsi="David"/>
          <w:rtl/>
        </w:rPr>
        <w:t>–</w:t>
      </w:r>
      <w:r w:rsidRPr="00D82FB5">
        <w:rPr>
          <w:rFonts w:ascii="David" w:hAnsi="David" w:hint="cs"/>
          <w:rtl/>
        </w:rPr>
        <w:t xml:space="preserve"> בגינן הוטל עליו עונש מאסר של 55 חודשים בפועל; והשנייה הרשעה מיום 9.5.2007 שהתיישנה, בעבירות של חבלה כשהעבריין מזוין, פציעה, גניבה מרכב ואיומים </w:t>
      </w:r>
      <w:r w:rsidRPr="00D82FB5">
        <w:rPr>
          <w:rFonts w:ascii="David" w:hAnsi="David"/>
          <w:rtl/>
        </w:rPr>
        <w:t>–</w:t>
      </w:r>
      <w:r w:rsidRPr="00D82FB5">
        <w:rPr>
          <w:rFonts w:ascii="David" w:hAnsi="David" w:hint="cs"/>
          <w:rtl/>
        </w:rPr>
        <w:t xml:space="preserve"> בגינן הוטל עליו עונש מאסר של חודשיים. </w:t>
      </w:r>
    </w:p>
    <w:p w14:paraId="6F3120D5" w14:textId="77777777" w:rsidR="00E27212" w:rsidRPr="00D82FB5" w:rsidRDefault="00E27212" w:rsidP="00E27212">
      <w:pPr>
        <w:pStyle w:val="a9"/>
        <w:spacing w:before="100" w:beforeAutospacing="1" w:after="100" w:afterAutospacing="1" w:line="360" w:lineRule="auto"/>
        <w:ind w:left="0" w:firstLine="567"/>
        <w:jc w:val="both"/>
        <w:rPr>
          <w:rFonts w:ascii="David" w:hAnsi="David"/>
          <w:i/>
          <w:iCs/>
          <w:rtl/>
        </w:rPr>
      </w:pPr>
    </w:p>
    <w:p w14:paraId="4AC56FEF"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r w:rsidRPr="00D82FB5">
        <w:rPr>
          <w:rFonts w:ascii="David" w:hAnsi="David"/>
          <w:i/>
          <w:iCs/>
          <w:rtl/>
        </w:rPr>
        <w:t>פציעת</w:t>
      </w:r>
      <w:r w:rsidRPr="00D82FB5">
        <w:rPr>
          <w:rFonts w:ascii="David" w:hAnsi="David" w:hint="cs"/>
          <w:i/>
          <w:iCs/>
          <w:rtl/>
        </w:rPr>
        <w:t xml:space="preserve"> הנאשמים</w:t>
      </w:r>
      <w:r w:rsidRPr="00D82FB5">
        <w:rPr>
          <w:rFonts w:ascii="David" w:hAnsi="David"/>
          <w:rtl/>
        </w:rPr>
        <w:t xml:space="preserve"> – כעולה מעובדות כתב האישום במהלך האירוע, נפצע הנאשם 2 לאחר שנס מפני השוטרים </w:t>
      </w:r>
      <w:r w:rsidRPr="00D82FB5">
        <w:rPr>
          <w:rFonts w:ascii="David" w:hAnsi="David" w:hint="cs"/>
          <w:rtl/>
        </w:rPr>
        <w:t xml:space="preserve">אף </w:t>
      </w:r>
      <w:r w:rsidRPr="00D82FB5">
        <w:rPr>
          <w:rFonts w:ascii="David" w:hAnsi="David"/>
          <w:rtl/>
        </w:rPr>
        <w:t xml:space="preserve">בתום המרדף של הניידת לאחר הרכב בו נסע. </w:t>
      </w:r>
      <w:r w:rsidRPr="00D82FB5">
        <w:rPr>
          <w:rFonts w:ascii="David" w:hAnsi="David" w:hint="cs"/>
          <w:rtl/>
        </w:rPr>
        <w:t xml:space="preserve">לנאשם 2 נגרם פצע בדופן בית החזה ובית השחי משמאל וכן פצע בזרוע שמאל קדמי ואחורי </w:t>
      </w:r>
      <w:r w:rsidRPr="00D82FB5">
        <w:rPr>
          <w:rFonts w:ascii="David" w:hAnsi="David"/>
          <w:rtl/>
        </w:rPr>
        <w:t>–</w:t>
      </w:r>
      <w:r w:rsidRPr="00D82FB5">
        <w:rPr>
          <w:rFonts w:ascii="David" w:hAnsi="David" w:hint="cs"/>
          <w:rtl/>
        </w:rPr>
        <w:t xml:space="preserve"> פציעות שיכולות להתאים לכניסת ויציאת כדור. </w:t>
      </w:r>
      <w:r w:rsidRPr="00D82FB5">
        <w:rPr>
          <w:rFonts w:ascii="David" w:hAnsi="David"/>
          <w:rtl/>
        </w:rPr>
        <w:t xml:space="preserve">אני סבור כי </w:t>
      </w:r>
      <w:r w:rsidRPr="00D82FB5">
        <w:rPr>
          <w:rFonts w:ascii="David" w:hAnsi="David" w:hint="cs"/>
          <w:rtl/>
        </w:rPr>
        <w:t xml:space="preserve">פציעת הנאשם 2 היא שיקול שעשוי להקל עם הנאשם במיקום העונש בתוך המתחם, </w:t>
      </w:r>
      <w:r w:rsidRPr="00D82FB5">
        <w:rPr>
          <w:rFonts w:ascii="David" w:hAnsi="David"/>
          <w:rtl/>
        </w:rPr>
        <w:t xml:space="preserve">אך יודגש כי שקילת עובדה זו </w:t>
      </w:r>
      <w:r w:rsidRPr="00D82FB5">
        <w:rPr>
          <w:rFonts w:ascii="David" w:hAnsi="David" w:hint="cs"/>
          <w:rtl/>
        </w:rPr>
        <w:t xml:space="preserve">היא תולדה של </w:t>
      </w:r>
      <w:r w:rsidRPr="00D82FB5">
        <w:rPr>
          <w:rFonts w:ascii="David" w:hAnsi="David"/>
          <w:rtl/>
        </w:rPr>
        <w:t>התוצאה בלבד. במ</w:t>
      </w:r>
      <w:r w:rsidRPr="00D82FB5">
        <w:rPr>
          <w:rFonts w:ascii="David" w:hAnsi="David" w:hint="cs"/>
          <w:rtl/>
        </w:rPr>
        <w:t>י</w:t>
      </w:r>
      <w:r w:rsidRPr="00D82FB5">
        <w:rPr>
          <w:rFonts w:ascii="David" w:hAnsi="David"/>
          <w:rtl/>
        </w:rPr>
        <w:t>לים אחרות, העובדה כי התחשבתי בפציעתו של הנאשם 2 אין משמעותה הטלת דופי בדרך פעולתם של השוטרים. כמו כן, נתתי את דעתי לכך שגם הנאשם 1 נפגע עקב "התאונה" שהתרחשה בתום המרדף</w:t>
      </w:r>
      <w:r w:rsidRPr="00D82FB5">
        <w:rPr>
          <w:rFonts w:ascii="David" w:hAnsi="David" w:hint="cs"/>
          <w:rtl/>
        </w:rPr>
        <w:t xml:space="preserve"> והתלונן על כאבים לרבות כאבים ברגל ימין ו</w:t>
      </w:r>
      <w:r w:rsidRPr="00D82FB5">
        <w:rPr>
          <w:rFonts w:ascii="David" w:hAnsi="David"/>
          <w:rtl/>
        </w:rPr>
        <w:t>על הגבלה בתנועה. בגין תלונותיו</w:t>
      </w:r>
      <w:r w:rsidRPr="00D82FB5">
        <w:rPr>
          <w:rFonts w:ascii="David" w:hAnsi="David" w:hint="cs"/>
          <w:rtl/>
        </w:rPr>
        <w:t xml:space="preserve">, </w:t>
      </w:r>
      <w:r w:rsidRPr="00D82FB5">
        <w:rPr>
          <w:rFonts w:ascii="David" w:hAnsi="David"/>
          <w:rtl/>
        </w:rPr>
        <w:t xml:space="preserve">פונה הנאשם 1 למרכז הרפואי לגליל, שם נבדק ושוחרר באותו יום. </w:t>
      </w:r>
    </w:p>
    <w:p w14:paraId="1363F4AD"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p>
    <w:p w14:paraId="7CAE43F2"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r w:rsidRPr="00D82FB5">
        <w:rPr>
          <w:rFonts w:ascii="David" w:hAnsi="David"/>
          <w:i/>
          <w:iCs/>
          <w:rtl/>
        </w:rPr>
        <w:t>הודאה</w:t>
      </w:r>
      <w:r w:rsidRPr="00D82FB5">
        <w:rPr>
          <w:rFonts w:ascii="David" w:hAnsi="David"/>
          <w:rtl/>
        </w:rPr>
        <w:t xml:space="preserve"> – הנאשמים הודו בעובדות כתב אישום מתוקן.</w:t>
      </w:r>
      <w:r w:rsidRPr="00D82FB5">
        <w:rPr>
          <w:rFonts w:ascii="David" w:hAnsi="David" w:hint="cs"/>
          <w:rtl/>
        </w:rPr>
        <w:t xml:space="preserve"> יצוין כי הודאת הנאשמים באה לאחר שהתקיימו מספר ישיבות הוכחות בהן העידו מרבית עדי התביעה.</w:t>
      </w:r>
    </w:p>
    <w:p w14:paraId="44719679"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p>
    <w:p w14:paraId="54A667AA"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r w:rsidRPr="00D82FB5">
        <w:rPr>
          <w:rFonts w:ascii="David" w:hAnsi="David" w:hint="cs"/>
          <w:i/>
          <w:iCs/>
          <w:rtl/>
        </w:rPr>
        <w:t>נסיבות אישיות</w:t>
      </w:r>
      <w:r w:rsidRPr="00D82FB5">
        <w:rPr>
          <w:rFonts w:ascii="David" w:hAnsi="David" w:hint="cs"/>
          <w:rtl/>
        </w:rPr>
        <w:t xml:space="preserve"> </w:t>
      </w:r>
      <w:r w:rsidRPr="00D82FB5">
        <w:rPr>
          <w:rFonts w:ascii="David" w:hAnsi="David"/>
          <w:rtl/>
        </w:rPr>
        <w:t>–</w:t>
      </w:r>
      <w:r w:rsidRPr="00D82FB5">
        <w:rPr>
          <w:rFonts w:ascii="David" w:hAnsi="David" w:hint="cs"/>
          <w:rtl/>
        </w:rPr>
        <w:t xml:space="preserve"> נתתי דעתי לנסיבותיהם האישיות של הנאשמים וכן להשפעת המאסר עליהם ועל משפחתם, בין היתר </w:t>
      </w:r>
      <w:r w:rsidRPr="00D82FB5">
        <w:rPr>
          <w:rFonts w:ascii="David" w:hAnsi="David"/>
          <w:rtl/>
        </w:rPr>
        <w:t>–</w:t>
      </w:r>
      <w:r w:rsidRPr="00D82FB5">
        <w:rPr>
          <w:rFonts w:ascii="David" w:hAnsi="David" w:hint="cs"/>
          <w:rtl/>
        </w:rPr>
        <w:t xml:space="preserve"> הולדת בנו של הנאשם 1 בהיותו עצור, והעובדה כי לידתו לוותה בסיבוכים רפואיים וכי הוא סובל מעיכוב התפתחותי בשל כך. </w:t>
      </w:r>
    </w:p>
    <w:p w14:paraId="0EE3B815"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p>
    <w:p w14:paraId="5119B081" w14:textId="77777777" w:rsidR="00E27212" w:rsidRPr="00D82FB5" w:rsidRDefault="00E27212" w:rsidP="00E27212">
      <w:pPr>
        <w:pStyle w:val="a9"/>
        <w:spacing w:before="100" w:beforeAutospacing="1" w:after="100" w:afterAutospacing="1" w:line="360" w:lineRule="auto"/>
        <w:ind w:left="0" w:firstLine="567"/>
        <w:jc w:val="both"/>
        <w:rPr>
          <w:rFonts w:ascii="David" w:hAnsi="David"/>
          <w:rtl/>
        </w:rPr>
      </w:pPr>
      <w:r w:rsidRPr="00D82FB5">
        <w:rPr>
          <w:rFonts w:ascii="David" w:hAnsi="David" w:hint="cs"/>
          <w:i/>
          <w:iCs/>
          <w:rtl/>
        </w:rPr>
        <w:t>תקופת המעצר</w:t>
      </w:r>
      <w:r w:rsidRPr="00D82FB5">
        <w:rPr>
          <w:rFonts w:ascii="David" w:hAnsi="David" w:hint="cs"/>
          <w:rtl/>
        </w:rPr>
        <w:t xml:space="preserve"> </w:t>
      </w:r>
      <w:r w:rsidRPr="00D82FB5">
        <w:rPr>
          <w:rFonts w:ascii="David" w:hAnsi="David"/>
          <w:rtl/>
        </w:rPr>
        <w:t>–</w:t>
      </w:r>
      <w:r w:rsidRPr="00D82FB5">
        <w:rPr>
          <w:rFonts w:ascii="David" w:hAnsi="David" w:hint="cs"/>
          <w:rtl/>
        </w:rPr>
        <w:t xml:space="preserve">  לבסוף נתתי דעתי לעובדה כי הנאשמים נתונים במעצר מאז </w:t>
      </w:r>
      <w:r w:rsidRPr="00D82FB5">
        <w:rPr>
          <w:rFonts w:ascii="David" w:hAnsi="David"/>
          <w:rtl/>
        </w:rPr>
        <w:t>יום 22.11.2022.</w:t>
      </w:r>
    </w:p>
    <w:p w14:paraId="61952B83" w14:textId="77777777" w:rsidR="00E27212" w:rsidRPr="00D82FB5" w:rsidRDefault="00E27212" w:rsidP="00E27212">
      <w:pPr>
        <w:pStyle w:val="a9"/>
        <w:spacing w:before="100" w:beforeAutospacing="1" w:after="100" w:afterAutospacing="1" w:line="360" w:lineRule="auto"/>
        <w:ind w:left="0"/>
        <w:jc w:val="both"/>
        <w:rPr>
          <w:rFonts w:ascii="David" w:hAnsi="David"/>
        </w:rPr>
      </w:pPr>
    </w:p>
    <w:p w14:paraId="32B33AF3" w14:textId="77777777" w:rsidR="00E27212" w:rsidRPr="00D82FB5" w:rsidRDefault="00E27212" w:rsidP="00E27212">
      <w:pPr>
        <w:pStyle w:val="a9"/>
        <w:numPr>
          <w:ilvl w:val="0"/>
          <w:numId w:val="1"/>
        </w:numPr>
        <w:spacing w:before="100" w:beforeAutospacing="1" w:after="100" w:afterAutospacing="1" w:line="360" w:lineRule="auto"/>
        <w:jc w:val="both"/>
        <w:rPr>
          <w:rFonts w:ascii="David" w:hAnsi="David"/>
          <w:rtl/>
        </w:rPr>
      </w:pPr>
      <w:r w:rsidRPr="00D82FB5">
        <w:rPr>
          <w:rFonts w:ascii="David" w:hAnsi="David" w:hint="cs"/>
          <w:rtl/>
        </w:rPr>
        <w:t xml:space="preserve">לפני שאגזור את דינם של הנאשמים אעיר לגבי היחס בין שני הנאשמים. ברי כי עונשו של הנאשם 2 היה אמור להיות חמור יותר מעונשו של הנאשם 1, זאת נוכח העובדה כי לנאשם 2 הרשעות קודמות משמעותיות בין היתר בעבירות נזק, ואילו לנאשם 1 אין הרשעות. ברם, פציעתו של הנאשם 2 במהלך האירוע (הגם שהיא הייתה תוצאה של התנהגותו) הביאה אותי לכלל מסקנה שיש להטיל על שניהם עונש זהה. </w:t>
      </w:r>
    </w:p>
    <w:p w14:paraId="20E94782" w14:textId="77777777" w:rsidR="00E27212" w:rsidRPr="00D82FB5" w:rsidRDefault="00D42FA3" w:rsidP="00E27212">
      <w:pPr>
        <w:spacing w:before="100" w:beforeAutospacing="1" w:after="100" w:afterAutospacing="1" w:line="360" w:lineRule="auto"/>
        <w:jc w:val="both"/>
        <w:rPr>
          <w:rtl/>
        </w:rPr>
      </w:pPr>
      <w:r w:rsidRPr="00D82FB5">
        <w:rPr>
          <w:rFonts w:ascii="David" w:hAnsi="David"/>
          <w:b/>
          <w:bCs/>
          <w:rtl/>
        </w:rPr>
        <w:t xml:space="preserve"> </w:t>
      </w:r>
      <w:r w:rsidR="00E27212" w:rsidRPr="00D82FB5">
        <w:rPr>
          <w:rFonts w:ascii="David" w:hAnsi="David"/>
          <w:b/>
          <w:bCs/>
          <w:rtl/>
        </w:rPr>
        <w:t>גזר הדין</w:t>
      </w:r>
    </w:p>
    <w:p w14:paraId="306907CA" w14:textId="77777777" w:rsidR="00E27212" w:rsidRPr="00D82FB5" w:rsidRDefault="00D42FA3" w:rsidP="00E27212">
      <w:pPr>
        <w:pStyle w:val="a9"/>
        <w:numPr>
          <w:ilvl w:val="0"/>
          <w:numId w:val="1"/>
        </w:numPr>
        <w:spacing w:before="100" w:beforeAutospacing="1" w:after="100" w:afterAutospacing="1" w:line="360" w:lineRule="auto"/>
        <w:jc w:val="both"/>
        <w:rPr>
          <w:rtl/>
        </w:rPr>
      </w:pPr>
      <w:r w:rsidRPr="00D82FB5">
        <w:rPr>
          <w:rFonts w:ascii="David" w:hAnsi="David"/>
          <w:rtl/>
        </w:rPr>
        <w:t xml:space="preserve"> </w:t>
      </w:r>
      <w:r w:rsidR="00E27212" w:rsidRPr="00D82FB5">
        <w:rPr>
          <w:rFonts w:ascii="David" w:hAnsi="David"/>
          <w:rtl/>
        </w:rPr>
        <w:t>בשים לב למתחם העונש שקבעתי ולשיקולים הקשורים לגזירת העונש, אני גוזר על הנאש</w:t>
      </w:r>
      <w:r w:rsidR="00E27212" w:rsidRPr="00D82FB5">
        <w:rPr>
          <w:rFonts w:ascii="David" w:hAnsi="David" w:hint="cs"/>
          <w:rtl/>
        </w:rPr>
        <w:t>מי</w:t>
      </w:r>
      <w:r w:rsidR="00E27212" w:rsidRPr="00D82FB5">
        <w:rPr>
          <w:rFonts w:ascii="David" w:hAnsi="David"/>
          <w:rtl/>
        </w:rPr>
        <w:t>ם את העונשים הבאים:</w:t>
      </w:r>
    </w:p>
    <w:p w14:paraId="485CA7C0" w14:textId="77777777" w:rsidR="00E27212" w:rsidRPr="00D82FB5" w:rsidRDefault="00E27212" w:rsidP="00E27212">
      <w:pPr>
        <w:spacing w:line="360" w:lineRule="auto"/>
        <w:jc w:val="both"/>
        <w:rPr>
          <w:rFonts w:ascii="David" w:hAnsi="David"/>
          <w:rtl/>
        </w:rPr>
      </w:pPr>
    </w:p>
    <w:p w14:paraId="259C42A6" w14:textId="77777777" w:rsidR="00E27212" w:rsidRPr="00D82FB5" w:rsidRDefault="00E27212" w:rsidP="00E27212">
      <w:pPr>
        <w:spacing w:line="360" w:lineRule="auto"/>
        <w:jc w:val="both"/>
        <w:rPr>
          <w:rFonts w:ascii="David" w:hAnsi="David"/>
          <w:u w:val="single"/>
          <w:rtl/>
        </w:rPr>
      </w:pPr>
      <w:r w:rsidRPr="00D82FB5">
        <w:rPr>
          <w:rFonts w:ascii="David" w:hAnsi="David" w:hint="cs"/>
          <w:u w:val="single"/>
          <w:rtl/>
        </w:rPr>
        <w:t>הנאשם 1</w:t>
      </w:r>
    </w:p>
    <w:p w14:paraId="76B5A23C" w14:textId="77777777" w:rsidR="00E27212" w:rsidRPr="00D82FB5" w:rsidRDefault="00E27212" w:rsidP="00E27212">
      <w:pPr>
        <w:pStyle w:val="a9"/>
        <w:numPr>
          <w:ilvl w:val="0"/>
          <w:numId w:val="2"/>
        </w:numPr>
        <w:spacing w:line="360" w:lineRule="auto"/>
        <w:jc w:val="both"/>
      </w:pPr>
      <w:r w:rsidRPr="00D82FB5">
        <w:rPr>
          <w:rFonts w:ascii="David" w:hAnsi="David"/>
          <w:rtl/>
        </w:rPr>
        <w:t xml:space="preserve">מאסר בפועל לתקופה של </w:t>
      </w:r>
      <w:r w:rsidRPr="00D82FB5">
        <w:rPr>
          <w:rFonts w:ascii="David" w:hAnsi="David" w:hint="cs"/>
          <w:rtl/>
        </w:rPr>
        <w:t>40</w:t>
      </w:r>
      <w:r w:rsidRPr="00D82FB5">
        <w:rPr>
          <w:rFonts w:ascii="David" w:hAnsi="David"/>
          <w:rtl/>
        </w:rPr>
        <w:t xml:space="preserve"> חודשים בניכוי ימי מעצרו החל מיום </w:t>
      </w:r>
      <w:r w:rsidRPr="00D82FB5">
        <w:rPr>
          <w:rFonts w:ascii="David" w:hAnsi="David" w:hint="cs"/>
          <w:rtl/>
        </w:rPr>
        <w:t>22.11.2022.</w:t>
      </w:r>
    </w:p>
    <w:p w14:paraId="311DC006" w14:textId="77777777" w:rsidR="00E27212" w:rsidRPr="00D82FB5" w:rsidRDefault="00E27212" w:rsidP="00E27212">
      <w:pPr>
        <w:pStyle w:val="a9"/>
        <w:spacing w:line="360" w:lineRule="auto"/>
      </w:pPr>
    </w:p>
    <w:p w14:paraId="5D5C7321" w14:textId="77777777" w:rsidR="00E27212" w:rsidRPr="00D82FB5" w:rsidRDefault="00E27212" w:rsidP="00E27212">
      <w:pPr>
        <w:pStyle w:val="a9"/>
        <w:numPr>
          <w:ilvl w:val="0"/>
          <w:numId w:val="2"/>
        </w:numPr>
        <w:spacing w:line="360" w:lineRule="auto"/>
        <w:jc w:val="both"/>
      </w:pPr>
      <w:r w:rsidRPr="00D82FB5">
        <w:rPr>
          <w:rFonts w:ascii="David" w:hAnsi="David"/>
          <w:rtl/>
        </w:rPr>
        <w:t>מאסר על תנאי למשך 1</w:t>
      </w:r>
      <w:r w:rsidRPr="00D82FB5">
        <w:rPr>
          <w:rFonts w:ascii="David" w:hAnsi="David" w:hint="cs"/>
          <w:rtl/>
        </w:rPr>
        <w:t>2</w:t>
      </w:r>
      <w:r w:rsidRPr="00D82FB5">
        <w:rPr>
          <w:rFonts w:ascii="David" w:hAnsi="David"/>
          <w:rtl/>
        </w:rPr>
        <w:t xml:space="preserve"> חודשים והתנאי כי הנאשם לא יעבור בתוך שלוש שנים עבירת נשק; ואולם אם יורשע בעביר</w:t>
      </w:r>
      <w:r w:rsidRPr="00D82FB5">
        <w:rPr>
          <w:rFonts w:ascii="David" w:hAnsi="David" w:hint="cs"/>
          <w:rtl/>
        </w:rPr>
        <w:t xml:space="preserve">ת נשק מסוג עוון </w:t>
      </w:r>
      <w:r w:rsidRPr="00D82FB5">
        <w:rPr>
          <w:rFonts w:ascii="David" w:hAnsi="David"/>
          <w:rtl/>
        </w:rPr>
        <w:t>יישא ב- 6 חודשים בלבד מתוכם.</w:t>
      </w:r>
    </w:p>
    <w:p w14:paraId="3EB9A7BC" w14:textId="77777777" w:rsidR="00E27212" w:rsidRPr="00D82FB5" w:rsidRDefault="00E27212" w:rsidP="00E27212">
      <w:pPr>
        <w:spacing w:line="360" w:lineRule="auto"/>
        <w:jc w:val="both"/>
        <w:rPr>
          <w:rFonts w:ascii="David" w:hAnsi="David"/>
          <w:b/>
          <w:bCs/>
          <w:rtl/>
        </w:rPr>
      </w:pPr>
    </w:p>
    <w:p w14:paraId="73649C9A" w14:textId="77777777" w:rsidR="00E27212" w:rsidRPr="00D82FB5" w:rsidRDefault="00E27212" w:rsidP="00E27212">
      <w:pPr>
        <w:spacing w:line="360" w:lineRule="auto"/>
        <w:jc w:val="both"/>
        <w:rPr>
          <w:rFonts w:ascii="David" w:hAnsi="David"/>
          <w:u w:val="single"/>
          <w:rtl/>
        </w:rPr>
      </w:pPr>
      <w:r w:rsidRPr="00D82FB5">
        <w:rPr>
          <w:rFonts w:ascii="David" w:hAnsi="David" w:hint="cs"/>
          <w:u w:val="single"/>
          <w:rtl/>
        </w:rPr>
        <w:t>הנאשם 2</w:t>
      </w:r>
    </w:p>
    <w:p w14:paraId="75D8C0D2" w14:textId="77777777" w:rsidR="00E27212" w:rsidRPr="00D82FB5" w:rsidRDefault="00E27212" w:rsidP="00E27212">
      <w:pPr>
        <w:pStyle w:val="a9"/>
        <w:numPr>
          <w:ilvl w:val="0"/>
          <w:numId w:val="3"/>
        </w:numPr>
        <w:spacing w:line="360" w:lineRule="auto"/>
        <w:jc w:val="both"/>
      </w:pPr>
      <w:r w:rsidRPr="00D82FB5">
        <w:rPr>
          <w:rFonts w:ascii="David" w:hAnsi="David"/>
          <w:rtl/>
        </w:rPr>
        <w:t xml:space="preserve">מאסר בפועל לתקופה של </w:t>
      </w:r>
      <w:r w:rsidRPr="00D82FB5">
        <w:rPr>
          <w:rFonts w:ascii="David" w:hAnsi="David" w:hint="cs"/>
          <w:rtl/>
        </w:rPr>
        <w:t>40</w:t>
      </w:r>
      <w:r w:rsidRPr="00D82FB5">
        <w:rPr>
          <w:rFonts w:ascii="David" w:hAnsi="David"/>
          <w:rtl/>
        </w:rPr>
        <w:t xml:space="preserve"> חודשים בניכוי ימי מעצרו החל מיום </w:t>
      </w:r>
      <w:r w:rsidRPr="00D82FB5">
        <w:rPr>
          <w:rFonts w:ascii="David" w:hAnsi="David" w:hint="cs"/>
          <w:rtl/>
        </w:rPr>
        <w:t>22.11.2022.</w:t>
      </w:r>
    </w:p>
    <w:p w14:paraId="176A2251" w14:textId="77777777" w:rsidR="00E27212" w:rsidRPr="00D82FB5" w:rsidRDefault="00E27212" w:rsidP="00E27212">
      <w:pPr>
        <w:pStyle w:val="a9"/>
        <w:spacing w:line="360" w:lineRule="auto"/>
      </w:pPr>
    </w:p>
    <w:p w14:paraId="5DB331CD" w14:textId="77777777" w:rsidR="00E27212" w:rsidRPr="00D82FB5" w:rsidRDefault="00E27212" w:rsidP="00E27212">
      <w:pPr>
        <w:pStyle w:val="a9"/>
        <w:numPr>
          <w:ilvl w:val="0"/>
          <w:numId w:val="3"/>
        </w:numPr>
        <w:spacing w:line="360" w:lineRule="auto"/>
        <w:jc w:val="both"/>
      </w:pPr>
      <w:r w:rsidRPr="00D82FB5">
        <w:rPr>
          <w:rFonts w:ascii="David" w:hAnsi="David"/>
          <w:rtl/>
        </w:rPr>
        <w:t>מאסר על תנאי למשך 1</w:t>
      </w:r>
      <w:r w:rsidRPr="00D82FB5">
        <w:rPr>
          <w:rFonts w:ascii="David" w:hAnsi="David" w:hint="cs"/>
          <w:rtl/>
        </w:rPr>
        <w:t>2</w:t>
      </w:r>
      <w:r w:rsidRPr="00D82FB5">
        <w:rPr>
          <w:rFonts w:ascii="David" w:hAnsi="David"/>
          <w:rtl/>
        </w:rPr>
        <w:t xml:space="preserve"> חודשים והתנאי כי הנאשם לא יעבור בתוך שלוש שנים עבירת נשק; ואולם אם יורשע בעביר</w:t>
      </w:r>
      <w:r w:rsidRPr="00D82FB5">
        <w:rPr>
          <w:rFonts w:ascii="David" w:hAnsi="David" w:hint="cs"/>
          <w:rtl/>
        </w:rPr>
        <w:t xml:space="preserve">ת נשק מסוג עוון </w:t>
      </w:r>
      <w:r w:rsidRPr="00D82FB5">
        <w:rPr>
          <w:rFonts w:ascii="David" w:hAnsi="David"/>
          <w:rtl/>
        </w:rPr>
        <w:t>יישא ב- 6 חודשים בלבד מתוכם.</w:t>
      </w:r>
    </w:p>
    <w:p w14:paraId="3E8A5E0A" w14:textId="77777777" w:rsidR="00E27212" w:rsidRPr="00D82FB5" w:rsidRDefault="00E27212" w:rsidP="00E27212">
      <w:pPr>
        <w:spacing w:line="360" w:lineRule="auto"/>
        <w:jc w:val="both"/>
        <w:rPr>
          <w:rFonts w:ascii="David" w:hAnsi="David"/>
          <w:b/>
          <w:bCs/>
          <w:rtl/>
        </w:rPr>
      </w:pPr>
    </w:p>
    <w:p w14:paraId="5D4673EE" w14:textId="77777777" w:rsidR="00E27212" w:rsidRPr="00D82FB5" w:rsidRDefault="00D42FA3" w:rsidP="00E27212">
      <w:pPr>
        <w:spacing w:line="360" w:lineRule="auto"/>
        <w:jc w:val="both"/>
        <w:rPr>
          <w:rtl/>
        </w:rPr>
      </w:pPr>
      <w:r w:rsidRPr="00D82FB5">
        <w:rPr>
          <w:rFonts w:ascii="David" w:hAnsi="David"/>
          <w:b/>
          <w:bCs/>
          <w:color w:val="FFFFFF"/>
          <w:sz w:val="2"/>
          <w:szCs w:val="2"/>
          <w:rtl/>
        </w:rPr>
        <w:t>5129371</w:t>
      </w:r>
      <w:r w:rsidR="00E27212" w:rsidRPr="00D82FB5">
        <w:rPr>
          <w:rFonts w:ascii="David" w:hAnsi="David"/>
          <w:b/>
          <w:bCs/>
          <w:rtl/>
        </w:rPr>
        <w:t>זכות ערעור לבית המשפט העליון תוך 45 ימים.</w:t>
      </w:r>
    </w:p>
    <w:p w14:paraId="72DA6A8B" w14:textId="77777777" w:rsidR="00E27212" w:rsidRPr="00D82FB5" w:rsidRDefault="00D42FA3" w:rsidP="00E27212">
      <w:pPr>
        <w:rPr>
          <w:rFonts w:ascii="Arial" w:hAnsi="Arial"/>
          <w:b/>
          <w:bCs/>
          <w:color w:val="FFFFFF"/>
          <w:sz w:val="2"/>
          <w:szCs w:val="2"/>
          <w:rtl/>
        </w:rPr>
      </w:pPr>
      <w:r w:rsidRPr="00D82FB5">
        <w:rPr>
          <w:rFonts w:ascii="Arial" w:hAnsi="Arial"/>
          <w:b/>
          <w:bCs/>
          <w:color w:val="FFFFFF"/>
          <w:sz w:val="2"/>
          <w:szCs w:val="2"/>
          <w:rtl/>
        </w:rPr>
        <w:t>54678313</w:t>
      </w:r>
    </w:p>
    <w:p w14:paraId="403644B7" w14:textId="77777777" w:rsidR="00E27212" w:rsidRPr="00D82FB5" w:rsidRDefault="00E27212" w:rsidP="00E27212">
      <w:pPr>
        <w:rPr>
          <w:rFonts w:ascii="Arial" w:hAnsi="Arial"/>
          <w:b/>
          <w:bCs/>
          <w:sz w:val="26"/>
          <w:szCs w:val="26"/>
          <w:rtl/>
        </w:rPr>
      </w:pPr>
    </w:p>
    <w:p w14:paraId="7CF701CF" w14:textId="77777777" w:rsidR="00E27212" w:rsidRPr="00D82FB5" w:rsidRDefault="00D42FA3" w:rsidP="00E27212">
      <w:pPr>
        <w:spacing w:line="360" w:lineRule="auto"/>
        <w:jc w:val="both"/>
        <w:rPr>
          <w:rFonts w:ascii="Arial" w:hAnsi="Arial"/>
          <w:b/>
          <w:bCs/>
          <w:sz w:val="26"/>
          <w:szCs w:val="26"/>
          <w:rtl/>
        </w:rPr>
      </w:pPr>
      <w:bookmarkStart w:id="7" w:name="Nitan"/>
      <w:r w:rsidRPr="00D82FB5">
        <w:rPr>
          <w:rFonts w:ascii="Arial" w:hAnsi="Arial"/>
          <w:b/>
          <w:bCs/>
          <w:sz w:val="26"/>
          <w:szCs w:val="26"/>
          <w:rtl/>
        </w:rPr>
        <w:t xml:space="preserve">ניתן היום,  י"ח סיוון תשפ"ד, 24 יוני 2024, בנוכחות הנאשמים וב"כ הצדדים. </w:t>
      </w:r>
      <w:bookmarkEnd w:id="7"/>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b/>
          <w:bCs/>
          <w:sz w:val="26"/>
          <w:szCs w:val="26"/>
          <w:rtl/>
        </w:rPr>
        <w:tab/>
      </w:r>
      <w:r w:rsidR="00E27212" w:rsidRPr="00D82FB5">
        <w:rPr>
          <w:rFonts w:ascii="Arial" w:hAnsi="Arial" w:hint="cs"/>
          <w:b/>
          <w:bCs/>
          <w:sz w:val="26"/>
          <w:szCs w:val="26"/>
          <w:rtl/>
        </w:rPr>
        <w:t xml:space="preserve">         </w:t>
      </w:r>
    </w:p>
    <w:p w14:paraId="2B0D6088" w14:textId="77777777" w:rsidR="00E27212" w:rsidRPr="00D82FB5" w:rsidRDefault="00E27212" w:rsidP="00D42FA3">
      <w:pPr>
        <w:jc w:val="center"/>
      </w:pPr>
      <w:r w:rsidRPr="00D82FB5">
        <w:rPr>
          <w:rFonts w:ascii="Arial" w:hAnsi="Arial"/>
          <w:b/>
          <w:bCs/>
          <w:sz w:val="26"/>
          <w:szCs w:val="26"/>
          <w:rtl/>
        </w:rPr>
        <w:t xml:space="preserve">   </w:t>
      </w:r>
      <w:r w:rsidRPr="00D82FB5">
        <w:rPr>
          <w:rFonts w:ascii="Arial" w:hAnsi="Arial"/>
          <w:b/>
          <w:bCs/>
          <w:sz w:val="26"/>
          <w:szCs w:val="26"/>
          <w:rtl/>
        </w:rPr>
        <w:tab/>
      </w:r>
      <w:r w:rsidRPr="00D82FB5">
        <w:rPr>
          <w:rFonts w:ascii="Arial" w:hAnsi="Arial"/>
          <w:b/>
          <w:bCs/>
          <w:sz w:val="26"/>
          <w:szCs w:val="26"/>
          <w:rtl/>
        </w:rPr>
        <w:tab/>
      </w:r>
      <w:r w:rsidRPr="00D82FB5">
        <w:rPr>
          <w:rFonts w:ascii="Arial" w:hAnsi="Arial"/>
          <w:b/>
          <w:bCs/>
          <w:sz w:val="26"/>
          <w:szCs w:val="26"/>
          <w:rtl/>
        </w:rPr>
        <w:tab/>
      </w:r>
      <w:r w:rsidRPr="00D82FB5">
        <w:rPr>
          <w:rFonts w:ascii="Arial" w:hAnsi="Arial"/>
          <w:b/>
          <w:bCs/>
          <w:sz w:val="26"/>
          <w:szCs w:val="26"/>
          <w:rtl/>
        </w:rPr>
        <w:tab/>
      </w:r>
      <w:r w:rsidRPr="00D82FB5">
        <w:rPr>
          <w:rFonts w:ascii="Arial" w:hAnsi="Arial"/>
          <w:b/>
          <w:bCs/>
          <w:sz w:val="26"/>
          <w:szCs w:val="26"/>
          <w:rtl/>
        </w:rPr>
        <w:tab/>
      </w:r>
    </w:p>
    <w:p w14:paraId="3B3CFE79" w14:textId="77777777" w:rsidR="00E27212" w:rsidRPr="00D82FB5" w:rsidRDefault="00E27212" w:rsidP="00E27212">
      <w:pPr>
        <w:jc w:val="center"/>
        <w:rPr>
          <w:rFonts w:ascii="Arial" w:hAnsi="Arial"/>
          <w:b/>
          <w:bCs/>
          <w:sz w:val="26"/>
          <w:szCs w:val="26"/>
          <w:rtl/>
        </w:rPr>
      </w:pPr>
    </w:p>
    <w:p w14:paraId="2DFB4339" w14:textId="77777777" w:rsidR="00153027" w:rsidRPr="00D82FB5" w:rsidRDefault="00153027" w:rsidP="00D42FA3">
      <w:pPr>
        <w:keepNext/>
        <w:rPr>
          <w:rFonts w:ascii="David" w:hAnsi="David"/>
          <w:color w:val="000000"/>
          <w:sz w:val="22"/>
          <w:szCs w:val="22"/>
          <w:rtl/>
        </w:rPr>
      </w:pPr>
    </w:p>
    <w:p w14:paraId="1B4E9E54" w14:textId="77777777" w:rsidR="00D42FA3" w:rsidRPr="00D82FB5" w:rsidRDefault="00D42FA3" w:rsidP="00D42FA3">
      <w:pPr>
        <w:keepNext/>
        <w:rPr>
          <w:rFonts w:ascii="David" w:hAnsi="David"/>
          <w:color w:val="000000"/>
          <w:sz w:val="22"/>
          <w:szCs w:val="22"/>
          <w:rtl/>
        </w:rPr>
      </w:pPr>
      <w:r w:rsidRPr="00D82FB5">
        <w:rPr>
          <w:rFonts w:ascii="David" w:hAnsi="David"/>
          <w:color w:val="000000"/>
          <w:sz w:val="22"/>
          <w:szCs w:val="22"/>
          <w:rtl/>
        </w:rPr>
        <w:t>מוחמד עלי 54678313</w:t>
      </w:r>
    </w:p>
    <w:p w14:paraId="321CADF8" w14:textId="77777777" w:rsidR="00D42FA3" w:rsidRPr="00D82FB5" w:rsidRDefault="00D42FA3" w:rsidP="00D42FA3">
      <w:r w:rsidRPr="00D82FB5">
        <w:rPr>
          <w:color w:val="000000"/>
          <w:rtl/>
        </w:rPr>
        <w:t>נוסח מסמך זה כפוף לשינויי ניסוח ועריכה</w:t>
      </w:r>
    </w:p>
    <w:p w14:paraId="114AD871" w14:textId="77777777" w:rsidR="00D42FA3" w:rsidRPr="00D82FB5" w:rsidRDefault="00D42FA3" w:rsidP="00D42FA3">
      <w:pPr>
        <w:rPr>
          <w:rtl/>
        </w:rPr>
      </w:pPr>
    </w:p>
    <w:p w14:paraId="7F5E1641" w14:textId="77777777" w:rsidR="00D42FA3" w:rsidRPr="00D82FB5" w:rsidRDefault="00D42FA3" w:rsidP="00D42FA3">
      <w:pPr>
        <w:jc w:val="center"/>
        <w:rPr>
          <w:color w:val="0000FF"/>
          <w:u w:val="single"/>
        </w:rPr>
      </w:pPr>
      <w:hyperlink r:id="rId47" w:history="1">
        <w:r w:rsidRPr="00D82FB5">
          <w:rPr>
            <w:color w:val="0000FF"/>
            <w:u w:val="single"/>
            <w:rtl/>
          </w:rPr>
          <w:t>בעניין עריכה ושינויים במסמכי פסיקה, חקיקה ועוד באתר נבו – הקש כאן</w:t>
        </w:r>
      </w:hyperlink>
    </w:p>
    <w:p w14:paraId="5788A616" w14:textId="77777777" w:rsidR="00D42FA3" w:rsidRPr="00D82FB5" w:rsidRDefault="00D42FA3" w:rsidP="00D42FA3">
      <w:pPr>
        <w:jc w:val="center"/>
        <w:rPr>
          <w:color w:val="0000FF"/>
          <w:u w:val="single"/>
        </w:rPr>
      </w:pPr>
    </w:p>
    <w:sectPr w:rsidR="00D42FA3" w:rsidRPr="00D82FB5" w:rsidSect="00D42FA3">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0C5C5" w14:textId="77777777" w:rsidR="00391D57" w:rsidRDefault="00391D57" w:rsidP="009D68EB">
      <w:r>
        <w:separator/>
      </w:r>
    </w:p>
  </w:endnote>
  <w:endnote w:type="continuationSeparator" w:id="0">
    <w:p w14:paraId="25FD966C" w14:textId="77777777" w:rsidR="00391D57" w:rsidRDefault="00391D57" w:rsidP="009D6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C6565" w14:textId="77777777" w:rsidR="00D42FA3" w:rsidRDefault="00D42FA3" w:rsidP="00D42F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DAC416" w14:textId="77777777" w:rsidR="00796D73" w:rsidRPr="00D42FA3" w:rsidRDefault="00D42FA3" w:rsidP="00D42F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6B5BF" w14:textId="77777777" w:rsidR="00D42FA3" w:rsidRDefault="00D42FA3" w:rsidP="00D42FA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53922">
      <w:rPr>
        <w:rFonts w:ascii="FrankRuehl" w:hAnsi="FrankRuehl" w:cs="FrankRuehl"/>
        <w:noProof/>
        <w:rtl/>
      </w:rPr>
      <w:t>1</w:t>
    </w:r>
    <w:r>
      <w:rPr>
        <w:rFonts w:ascii="FrankRuehl" w:hAnsi="FrankRuehl" w:cs="FrankRuehl"/>
        <w:rtl/>
      </w:rPr>
      <w:fldChar w:fldCharType="end"/>
    </w:r>
  </w:p>
  <w:p w14:paraId="7DD72C49" w14:textId="77777777" w:rsidR="00796D73" w:rsidRPr="00D42FA3" w:rsidRDefault="00D42FA3" w:rsidP="00D42FA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13A6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73C8D" w14:textId="77777777" w:rsidR="00391D57" w:rsidRDefault="00391D57" w:rsidP="009D68EB">
      <w:r>
        <w:separator/>
      </w:r>
    </w:p>
  </w:footnote>
  <w:footnote w:type="continuationSeparator" w:id="0">
    <w:p w14:paraId="163F1286" w14:textId="77777777" w:rsidR="00391D57" w:rsidRDefault="00391D57" w:rsidP="009D6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8AF41" w14:textId="77777777" w:rsidR="00D42FA3" w:rsidRPr="00D42FA3" w:rsidRDefault="00D42FA3" w:rsidP="00D42F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38886-12-22</w:t>
    </w:r>
    <w:r>
      <w:rPr>
        <w:rFonts w:ascii="David" w:hAnsi="David"/>
        <w:color w:val="000000"/>
        <w:sz w:val="22"/>
        <w:szCs w:val="22"/>
        <w:rtl/>
      </w:rPr>
      <w:tab/>
      <w:t xml:space="preserve"> מדינת ישראל נ' אברהים סיידה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BFC89" w14:textId="77777777" w:rsidR="00D42FA3" w:rsidRPr="00D42FA3" w:rsidRDefault="00D42FA3" w:rsidP="00D42FA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38886-12-22</w:t>
    </w:r>
    <w:r>
      <w:rPr>
        <w:rFonts w:ascii="David" w:hAnsi="David"/>
        <w:color w:val="000000"/>
        <w:sz w:val="22"/>
        <w:szCs w:val="22"/>
        <w:rtl/>
      </w:rPr>
      <w:tab/>
      <w:t xml:space="preserve"> מדינת ישראל נ' אברהים סיידה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39A"/>
    <w:multiLevelType w:val="hybridMultilevel"/>
    <w:tmpl w:val="313E91A4"/>
    <w:lvl w:ilvl="0" w:tplc="E3D60CDE">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96639A"/>
    <w:multiLevelType w:val="hybridMultilevel"/>
    <w:tmpl w:val="64825266"/>
    <w:lvl w:ilvl="0" w:tplc="4DC25A6A">
      <w:start w:val="1"/>
      <w:numFmt w:val="decimal"/>
      <w:lvlText w:val="%1."/>
      <w:lvlJc w:val="left"/>
      <w:pPr>
        <w:tabs>
          <w:tab w:val="num" w:pos="567"/>
        </w:tabs>
        <w:ind w:left="0" w:firstLine="0"/>
      </w:pPr>
      <w:rPr>
        <w:rFonts w:ascii="David" w:hAnsi="David" w:cs="David"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2404DD"/>
    <w:multiLevelType w:val="hybridMultilevel"/>
    <w:tmpl w:val="313E91A4"/>
    <w:lvl w:ilvl="0" w:tplc="E3D60CDE">
      <w:start w:val="1"/>
      <w:numFmt w:val="hebrew1"/>
      <w:lvlText w:val="%1."/>
      <w:lvlJc w:val="center"/>
      <w:pPr>
        <w:ind w:left="720" w:hanging="360"/>
      </w:pPr>
      <w:rPr>
        <w:rFonts w:ascii="David" w:hAnsi="David"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2261111">
    <w:abstractNumId w:val="1"/>
  </w:num>
  <w:num w:numId="2" w16cid:durableId="1112360126">
    <w:abstractNumId w:val="2"/>
  </w:num>
  <w:num w:numId="3" w16cid:durableId="1859001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7212"/>
    <w:rsid w:val="00153027"/>
    <w:rsid w:val="001B5A3B"/>
    <w:rsid w:val="00391D57"/>
    <w:rsid w:val="00796D73"/>
    <w:rsid w:val="009D68EB"/>
    <w:rsid w:val="00C12BF9"/>
    <w:rsid w:val="00D42FA3"/>
    <w:rsid w:val="00D53922"/>
    <w:rsid w:val="00D82FB5"/>
    <w:rsid w:val="00E27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8497D8"/>
  <w15:chartTrackingRefBased/>
  <w15:docId w15:val="{DCE0E28B-C3A0-43F0-A700-CD833CCA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721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7212"/>
    <w:pPr>
      <w:tabs>
        <w:tab w:val="center" w:pos="4153"/>
        <w:tab w:val="right" w:pos="8306"/>
      </w:tabs>
    </w:pPr>
  </w:style>
  <w:style w:type="character" w:customStyle="1" w:styleId="a4">
    <w:name w:val="כותרת עליונה תו"/>
    <w:link w:val="a3"/>
    <w:rsid w:val="00E27212"/>
    <w:rPr>
      <w:rFonts w:ascii="Times New Roman" w:eastAsia="Times New Roman" w:hAnsi="Times New Roman" w:cs="David"/>
      <w:sz w:val="24"/>
      <w:szCs w:val="24"/>
    </w:rPr>
  </w:style>
  <w:style w:type="paragraph" w:styleId="a5">
    <w:name w:val="footer"/>
    <w:basedOn w:val="a"/>
    <w:link w:val="a6"/>
    <w:rsid w:val="00E27212"/>
    <w:pPr>
      <w:tabs>
        <w:tab w:val="center" w:pos="4153"/>
        <w:tab w:val="right" w:pos="8306"/>
      </w:tabs>
    </w:pPr>
  </w:style>
  <w:style w:type="character" w:customStyle="1" w:styleId="a6">
    <w:name w:val="כותרת תחתונה תו"/>
    <w:link w:val="a5"/>
    <w:rsid w:val="00E27212"/>
    <w:rPr>
      <w:rFonts w:ascii="Times New Roman" w:eastAsia="Times New Roman" w:hAnsi="Times New Roman" w:cs="David"/>
      <w:sz w:val="24"/>
      <w:szCs w:val="24"/>
    </w:rPr>
  </w:style>
  <w:style w:type="table" w:styleId="a7">
    <w:name w:val="Table Grid"/>
    <w:basedOn w:val="a1"/>
    <w:rsid w:val="00E2721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27212"/>
  </w:style>
  <w:style w:type="paragraph" w:styleId="a9">
    <w:name w:val="List Paragraph"/>
    <w:basedOn w:val="a"/>
    <w:qFormat/>
    <w:rsid w:val="00E27212"/>
    <w:pPr>
      <w:ind w:left="720"/>
      <w:contextualSpacing/>
    </w:pPr>
  </w:style>
  <w:style w:type="character" w:styleId="Hyperlink">
    <w:name w:val="Hyperlink"/>
    <w:rsid w:val="00D42FA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g"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30019073" TargetMode="External"/><Relationship Id="rId39" Type="http://schemas.openxmlformats.org/officeDocument/2006/relationships/hyperlink" Target="http://www.nevo.co.il/case/30003285" TargetMode="External"/><Relationship Id="rId21" Type="http://schemas.openxmlformats.org/officeDocument/2006/relationships/hyperlink" Target="http://www.nevo.co.il/law/70301/40i" TargetMode="External"/><Relationship Id="rId34" Type="http://schemas.openxmlformats.org/officeDocument/2006/relationships/hyperlink" Target="http://www.nevo.co.il/law/70301/144.g" TargetMode="External"/><Relationship Id="rId42" Type="http://schemas.openxmlformats.org/officeDocument/2006/relationships/hyperlink" Target="http://www.nevo.co.il/case/28384637"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26905927"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5852404" TargetMode="External"/><Relationship Id="rId32" Type="http://schemas.openxmlformats.org/officeDocument/2006/relationships/hyperlink" Target="http://www.nevo.co.il/case/28200855" TargetMode="External"/><Relationship Id="rId37" Type="http://schemas.openxmlformats.org/officeDocument/2006/relationships/hyperlink" Target="http://www.nevo.co.il/case/28883087" TargetMode="External"/><Relationship Id="rId40" Type="http://schemas.openxmlformats.org/officeDocument/2006/relationships/hyperlink" Target="http://www.nevo.co.il/case/28243273" TargetMode="External"/><Relationship Id="rId45" Type="http://schemas.openxmlformats.org/officeDocument/2006/relationships/hyperlink" Target="http://www.nevo.co.il/law/70301/40j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40i" TargetMode="External"/><Relationship Id="rId19" Type="http://schemas.openxmlformats.org/officeDocument/2006/relationships/hyperlink" Target="http://www.nevo.co.il/law/70301/40c" TargetMode="External"/><Relationship Id="rId31" Type="http://schemas.openxmlformats.org/officeDocument/2006/relationships/hyperlink" Target="http://www.nevo.co.il/case/27734980" TargetMode="External"/><Relationship Id="rId44" Type="http://schemas.openxmlformats.org/officeDocument/2006/relationships/hyperlink" Target="http://www.nevo.co.il/case/26888657"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7708542"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8243273" TargetMode="External"/><Relationship Id="rId48" Type="http://schemas.openxmlformats.org/officeDocument/2006/relationships/header" Target="header1.xml"/><Relationship Id="rId8" Type="http://schemas.openxmlformats.org/officeDocument/2006/relationships/hyperlink" Target="http://www.nevo.co.il/law/70301/29"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25" Type="http://schemas.openxmlformats.org/officeDocument/2006/relationships/hyperlink" Target="http://www.nevo.co.il/case/7821883" TargetMode="External"/><Relationship Id="rId33" Type="http://schemas.openxmlformats.org/officeDocument/2006/relationships/hyperlink" Target="http://www.nevo.co.il/case/28266138" TargetMode="External"/><Relationship Id="rId38" Type="http://schemas.openxmlformats.org/officeDocument/2006/relationships/hyperlink" Target="http://www.nevo.co.il/case/30168342"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651096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10485615" TargetMode="External"/><Relationship Id="rId28" Type="http://schemas.openxmlformats.org/officeDocument/2006/relationships/hyperlink" Target="http://www.nevo.co.il/case/27309272" TargetMode="External"/><Relationship Id="rId36" Type="http://schemas.openxmlformats.org/officeDocument/2006/relationships/hyperlink" Target="http://www.nevo.co.il/case/2375062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3475</Words>
  <Characters>17375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20809</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7995492</vt:i4>
      </vt:variant>
      <vt:variant>
        <vt:i4>117</vt:i4>
      </vt:variant>
      <vt:variant>
        <vt:i4>0</vt:i4>
      </vt:variant>
      <vt:variant>
        <vt:i4>5</vt:i4>
      </vt:variant>
      <vt:variant>
        <vt:lpwstr>http://www.nevo.co.il/law/70301</vt:lpwstr>
      </vt:variant>
      <vt:variant>
        <vt:lpwstr/>
      </vt:variant>
      <vt:variant>
        <vt:i4>262155</vt:i4>
      </vt:variant>
      <vt:variant>
        <vt:i4>114</vt:i4>
      </vt:variant>
      <vt:variant>
        <vt:i4>0</vt:i4>
      </vt:variant>
      <vt:variant>
        <vt:i4>5</vt:i4>
      </vt:variant>
      <vt:variant>
        <vt:lpwstr>http://www.nevo.co.il/law/70301/40ja</vt:lpwstr>
      </vt:variant>
      <vt:variant>
        <vt:lpwstr/>
      </vt:variant>
      <vt:variant>
        <vt:i4>3604604</vt:i4>
      </vt:variant>
      <vt:variant>
        <vt:i4>111</vt:i4>
      </vt:variant>
      <vt:variant>
        <vt:i4>0</vt:i4>
      </vt:variant>
      <vt:variant>
        <vt:i4>5</vt:i4>
      </vt:variant>
      <vt:variant>
        <vt:lpwstr>http://www.nevo.co.il/case/26888657</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3539058</vt:i4>
      </vt:variant>
      <vt:variant>
        <vt:i4>105</vt:i4>
      </vt:variant>
      <vt:variant>
        <vt:i4>0</vt:i4>
      </vt:variant>
      <vt:variant>
        <vt:i4>5</vt:i4>
      </vt:variant>
      <vt:variant>
        <vt:lpwstr>http://www.nevo.co.il/case/28384637</vt:lpwstr>
      </vt:variant>
      <vt:variant>
        <vt:lpwstr/>
      </vt:variant>
      <vt:variant>
        <vt:i4>3211386</vt:i4>
      </vt:variant>
      <vt:variant>
        <vt:i4>102</vt:i4>
      </vt:variant>
      <vt:variant>
        <vt:i4>0</vt:i4>
      </vt:variant>
      <vt:variant>
        <vt:i4>5</vt:i4>
      </vt:variant>
      <vt:variant>
        <vt:lpwstr>http://www.nevo.co.il/case/26510968</vt:lpwstr>
      </vt:variant>
      <vt:variant>
        <vt:lpwstr/>
      </vt:variant>
      <vt:variant>
        <vt:i4>3407994</vt:i4>
      </vt:variant>
      <vt:variant>
        <vt:i4>99</vt:i4>
      </vt:variant>
      <vt:variant>
        <vt:i4>0</vt:i4>
      </vt:variant>
      <vt:variant>
        <vt:i4>5</vt:i4>
      </vt:variant>
      <vt:variant>
        <vt:lpwstr>http://www.nevo.co.il/case/28243273</vt:lpwstr>
      </vt:variant>
      <vt:variant>
        <vt:lpwstr/>
      </vt:variant>
      <vt:variant>
        <vt:i4>3670134</vt:i4>
      </vt:variant>
      <vt:variant>
        <vt:i4>96</vt:i4>
      </vt:variant>
      <vt:variant>
        <vt:i4>0</vt:i4>
      </vt:variant>
      <vt:variant>
        <vt:i4>5</vt:i4>
      </vt:variant>
      <vt:variant>
        <vt:lpwstr>http://www.nevo.co.il/case/30003285</vt:lpwstr>
      </vt:variant>
      <vt:variant>
        <vt:lpwstr/>
      </vt:variant>
      <vt:variant>
        <vt:i4>4063345</vt:i4>
      </vt:variant>
      <vt:variant>
        <vt:i4>93</vt:i4>
      </vt:variant>
      <vt:variant>
        <vt:i4>0</vt:i4>
      </vt:variant>
      <vt:variant>
        <vt:i4>5</vt:i4>
      </vt:variant>
      <vt:variant>
        <vt:lpwstr>http://www.nevo.co.il/case/30168342</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3604596</vt:i4>
      </vt:variant>
      <vt:variant>
        <vt:i4>87</vt:i4>
      </vt:variant>
      <vt:variant>
        <vt:i4>0</vt:i4>
      </vt:variant>
      <vt:variant>
        <vt:i4>5</vt:i4>
      </vt:variant>
      <vt:variant>
        <vt:lpwstr>http://www.nevo.co.il/case/23750625</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3473531</vt:i4>
      </vt:variant>
      <vt:variant>
        <vt:i4>78</vt:i4>
      </vt:variant>
      <vt:variant>
        <vt:i4>0</vt:i4>
      </vt:variant>
      <vt:variant>
        <vt:i4>5</vt:i4>
      </vt:variant>
      <vt:variant>
        <vt:lpwstr>http://www.nevo.co.il/case/28266138</vt:lpwstr>
      </vt:variant>
      <vt:variant>
        <vt:lpwstr/>
      </vt:variant>
      <vt:variant>
        <vt:i4>3473524</vt:i4>
      </vt:variant>
      <vt:variant>
        <vt:i4>75</vt:i4>
      </vt:variant>
      <vt:variant>
        <vt:i4>0</vt:i4>
      </vt:variant>
      <vt:variant>
        <vt:i4>5</vt:i4>
      </vt:variant>
      <vt:variant>
        <vt:lpwstr>http://www.nevo.co.il/case/28200855</vt:lpwstr>
      </vt:variant>
      <vt:variant>
        <vt:lpwstr/>
      </vt:variant>
      <vt:variant>
        <vt:i4>3735673</vt:i4>
      </vt:variant>
      <vt:variant>
        <vt:i4>72</vt:i4>
      </vt:variant>
      <vt:variant>
        <vt:i4>0</vt:i4>
      </vt:variant>
      <vt:variant>
        <vt:i4>5</vt:i4>
      </vt:variant>
      <vt:variant>
        <vt:lpwstr>http://www.nevo.co.il/case/27734980</vt:lpwstr>
      </vt:variant>
      <vt:variant>
        <vt:lpwstr/>
      </vt:variant>
      <vt:variant>
        <vt:i4>3735670</vt:i4>
      </vt:variant>
      <vt:variant>
        <vt:i4>69</vt:i4>
      </vt:variant>
      <vt:variant>
        <vt:i4>0</vt:i4>
      </vt:variant>
      <vt:variant>
        <vt:i4>5</vt:i4>
      </vt:variant>
      <vt:variant>
        <vt:lpwstr>http://www.nevo.co.il/case/27708542</vt:lpwstr>
      </vt:variant>
      <vt:variant>
        <vt:lpwstr/>
      </vt:variant>
      <vt:variant>
        <vt:i4>3932283</vt:i4>
      </vt:variant>
      <vt:variant>
        <vt:i4>66</vt:i4>
      </vt:variant>
      <vt:variant>
        <vt:i4>0</vt:i4>
      </vt:variant>
      <vt:variant>
        <vt:i4>5</vt:i4>
      </vt:variant>
      <vt:variant>
        <vt:lpwstr>http://www.nevo.co.il/case/26905927</vt:lpwstr>
      </vt:variant>
      <vt:variant>
        <vt:lpwstr/>
      </vt:variant>
      <vt:variant>
        <vt:i4>4128881</vt:i4>
      </vt:variant>
      <vt:variant>
        <vt:i4>63</vt:i4>
      </vt:variant>
      <vt:variant>
        <vt:i4>0</vt:i4>
      </vt:variant>
      <vt:variant>
        <vt:i4>5</vt:i4>
      </vt:variant>
      <vt:variant>
        <vt:lpwstr>http://www.nevo.co.il/case/27309272</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3997813</vt:i4>
      </vt:variant>
      <vt:variant>
        <vt:i4>57</vt:i4>
      </vt:variant>
      <vt:variant>
        <vt:i4>0</vt:i4>
      </vt:variant>
      <vt:variant>
        <vt:i4>5</vt:i4>
      </vt:variant>
      <vt:variant>
        <vt:lpwstr>http://www.nevo.co.il/case/30019073</vt:lpwstr>
      </vt:variant>
      <vt:variant>
        <vt:lpwstr/>
      </vt:variant>
      <vt:variant>
        <vt:i4>4063349</vt:i4>
      </vt:variant>
      <vt:variant>
        <vt:i4>54</vt:i4>
      </vt:variant>
      <vt:variant>
        <vt:i4>0</vt:i4>
      </vt:variant>
      <vt:variant>
        <vt:i4>5</vt:i4>
      </vt:variant>
      <vt:variant>
        <vt:lpwstr>http://www.nevo.co.il/case/7821883</vt:lpwstr>
      </vt:variant>
      <vt:variant>
        <vt:lpwstr/>
      </vt:variant>
      <vt:variant>
        <vt:i4>3145854</vt:i4>
      </vt:variant>
      <vt:variant>
        <vt:i4>51</vt:i4>
      </vt:variant>
      <vt:variant>
        <vt:i4>0</vt:i4>
      </vt:variant>
      <vt:variant>
        <vt:i4>5</vt:i4>
      </vt:variant>
      <vt:variant>
        <vt:lpwstr>http://www.nevo.co.il/case/5852404</vt:lpwstr>
      </vt:variant>
      <vt:variant>
        <vt:lpwstr/>
      </vt:variant>
      <vt:variant>
        <vt:i4>3211386</vt:i4>
      </vt:variant>
      <vt:variant>
        <vt:i4>48</vt:i4>
      </vt:variant>
      <vt:variant>
        <vt:i4>0</vt:i4>
      </vt:variant>
      <vt:variant>
        <vt:i4>5</vt:i4>
      </vt:variant>
      <vt:variant>
        <vt:lpwstr>http://www.nevo.co.il/case/10485615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http://www.nevo.co.il/law/70301/40c</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http://www.nevo.co.il/law/70301/144.g</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38886</vt:lpwstr>
  </property>
  <property fmtid="{D5CDD505-2E9C-101B-9397-08002B2CF9AE}" pid="6" name="NEWPARTB">
    <vt:lpwstr>12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אברהים סיידה;מחמוד עריד</vt:lpwstr>
  </property>
  <property fmtid="{D5CDD505-2E9C-101B-9397-08002B2CF9AE}" pid="10" name="JUDGE">
    <vt:lpwstr>מוחמד עלי</vt:lpwstr>
  </property>
  <property fmtid="{D5CDD505-2E9C-101B-9397-08002B2CF9AE}" pid="11" name="CITY">
    <vt:lpwstr>חי'</vt:lpwstr>
  </property>
  <property fmtid="{D5CDD505-2E9C-101B-9397-08002B2CF9AE}" pid="12" name="DATE">
    <vt:lpwstr>20240624</vt:lpwstr>
  </property>
  <property fmtid="{D5CDD505-2E9C-101B-9397-08002B2CF9AE}" pid="13" name="TYPE_N_DATE">
    <vt:lpwstr>39020240624</vt:lpwstr>
  </property>
  <property fmtid="{D5CDD505-2E9C-101B-9397-08002B2CF9AE}" pid="14" name="CASESLISTTMP1">
    <vt:lpwstr>10485615;5852404;7821883;30019073;25824863;27309272;26905927;27708542;27734980;28200855;28266138;23750625;28883087;30168342;30003285;28243273:2;26510968;28384637;26888657</vt:lpwstr>
  </property>
  <property fmtid="{D5CDD505-2E9C-101B-9397-08002B2CF9AE}" pid="15" name="ISABSTRACT">
    <vt:lpwstr>Y</vt:lpwstr>
  </property>
  <property fmtid="{D5CDD505-2E9C-101B-9397-08002B2CF9AE}" pid="16" name="WORDNUMPAGES">
    <vt:lpwstr>10</vt:lpwstr>
  </property>
  <property fmtid="{D5CDD505-2E9C-101B-9397-08002B2CF9AE}" pid="17" name="TYPE_ABS_DATE">
    <vt:lpwstr>390020240624</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70301/144.a;144.b;029;040c;040i;144.g;40ja</vt:lpwstr>
  </property>
</Properties>
</file>