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C7351" w:rsidRPr="00DF3396" w14:paraId="1FEE8F57" w14:textId="77777777" w:rsidTr="00FA2CAB">
        <w:trPr>
          <w:trHeight w:hRule="exact" w:val="418"/>
          <w:jc w:val="center"/>
        </w:trPr>
        <w:tc>
          <w:tcPr>
            <w:tcW w:w="8721" w:type="dxa"/>
            <w:gridSpan w:val="2"/>
          </w:tcPr>
          <w:p w14:paraId="23842790" w14:textId="77777777" w:rsidR="001C7351" w:rsidRPr="00DF3396" w:rsidRDefault="001C7351" w:rsidP="00E82D81">
            <w:pPr>
              <w:pStyle w:val="a3"/>
              <w:jc w:val="center"/>
              <w:rPr>
                <w:rFonts w:ascii="Tahoma" w:hAnsi="Tahoma" w:cs="Tahoma"/>
                <w:color w:val="000080"/>
                <w:rtl/>
              </w:rPr>
            </w:pPr>
            <w:bookmarkStart w:id="0" w:name="LastJudge"/>
            <w:r w:rsidRPr="00DF3396">
              <w:rPr>
                <w:rFonts w:ascii="Tahoma" w:hAnsi="Tahoma" w:cs="Tahoma"/>
                <w:b/>
                <w:bCs/>
                <w:color w:val="000080"/>
                <w:rtl/>
              </w:rPr>
              <w:t>בית המשפט המחוזי בירושלים</w:t>
            </w:r>
          </w:p>
        </w:tc>
      </w:tr>
      <w:tr w:rsidR="001C7351" w:rsidRPr="00A32D9C" w14:paraId="3C94A6CD" w14:textId="77777777" w:rsidTr="00FA2CAB">
        <w:trPr>
          <w:trHeight w:val="337"/>
          <w:jc w:val="center"/>
        </w:trPr>
        <w:tc>
          <w:tcPr>
            <w:tcW w:w="5054" w:type="dxa"/>
          </w:tcPr>
          <w:p w14:paraId="1DFDAFC9" w14:textId="77777777" w:rsidR="001C7351" w:rsidRPr="00A32D9C" w:rsidRDefault="001C7351" w:rsidP="00A32D9C">
            <w:pPr>
              <w:pStyle w:val="a3"/>
              <w:spacing w:before="120" w:after="120" w:line="240" w:lineRule="exact"/>
              <w:rPr>
                <w:rFonts w:ascii="David" w:hAnsi="David"/>
                <w:b/>
                <w:bCs/>
                <w:sz w:val="26"/>
                <w:szCs w:val="26"/>
                <w:rtl/>
              </w:rPr>
            </w:pPr>
            <w:r w:rsidRPr="00A32D9C">
              <w:rPr>
                <w:rFonts w:ascii="David" w:hAnsi="David"/>
                <w:b/>
                <w:bCs/>
                <w:sz w:val="26"/>
                <w:szCs w:val="26"/>
                <w:rtl/>
              </w:rPr>
              <w:t>ת"פ 39723-12-22 מדינת ישראל נ' אבו זראקי</w:t>
            </w:r>
          </w:p>
        </w:tc>
        <w:tc>
          <w:tcPr>
            <w:tcW w:w="3667" w:type="dxa"/>
          </w:tcPr>
          <w:p w14:paraId="284D67D2" w14:textId="77777777" w:rsidR="001C7351" w:rsidRPr="00A32D9C" w:rsidRDefault="001C7351" w:rsidP="00A32D9C">
            <w:pPr>
              <w:pStyle w:val="a3"/>
              <w:spacing w:before="120" w:after="120" w:line="240" w:lineRule="exact"/>
              <w:jc w:val="right"/>
              <w:rPr>
                <w:rFonts w:ascii="David" w:hAnsi="David"/>
                <w:b/>
                <w:bCs/>
                <w:sz w:val="26"/>
                <w:szCs w:val="26"/>
                <w:rtl/>
              </w:rPr>
            </w:pPr>
          </w:p>
        </w:tc>
      </w:tr>
    </w:tbl>
    <w:p w14:paraId="2DCFD333" w14:textId="77777777" w:rsidR="001C7351" w:rsidRPr="00A32D9C" w:rsidRDefault="001C7351" w:rsidP="00A32D9C">
      <w:pPr>
        <w:pStyle w:val="a3"/>
        <w:spacing w:before="120" w:after="120" w:line="240" w:lineRule="exact"/>
        <w:rPr>
          <w:rFonts w:ascii="David" w:hAnsi="David"/>
          <w:b/>
          <w:bCs/>
          <w:sz w:val="26"/>
          <w:szCs w:val="26"/>
          <w:rtl/>
        </w:rPr>
      </w:pPr>
      <w:r w:rsidRPr="00A32D9C">
        <w:rPr>
          <w:rFonts w:ascii="David" w:hAnsi="David"/>
          <w:b/>
          <w:bCs/>
          <w:sz w:val="26"/>
          <w:szCs w:val="26"/>
          <w:rtl/>
        </w:rPr>
        <w:t xml:space="preserve"> </w:t>
      </w:r>
    </w:p>
    <w:tbl>
      <w:tblPr>
        <w:bidiVisual/>
        <w:tblW w:w="8820" w:type="dxa"/>
        <w:jc w:val="center"/>
        <w:tblLook w:val="01E0" w:firstRow="1" w:lastRow="1" w:firstColumn="1" w:lastColumn="1" w:noHBand="0" w:noVBand="0"/>
      </w:tblPr>
      <w:tblGrid>
        <w:gridCol w:w="3578"/>
        <w:gridCol w:w="5242"/>
      </w:tblGrid>
      <w:tr w:rsidR="001C7351" w:rsidRPr="00A32D9C" w14:paraId="503458D2" w14:textId="77777777" w:rsidTr="001C7351">
        <w:trPr>
          <w:jc w:val="center"/>
        </w:trPr>
        <w:tc>
          <w:tcPr>
            <w:tcW w:w="8820" w:type="dxa"/>
            <w:gridSpan w:val="2"/>
            <w:shd w:val="clear" w:color="auto" w:fill="auto"/>
          </w:tcPr>
          <w:p w14:paraId="18E6255E" w14:textId="77777777" w:rsidR="001C7351" w:rsidRPr="00A32D9C" w:rsidRDefault="001C7351" w:rsidP="00A32D9C">
            <w:pPr>
              <w:suppressLineNumbers/>
              <w:spacing w:before="120" w:after="120" w:line="240" w:lineRule="exact"/>
              <w:jc w:val="right"/>
              <w:rPr>
                <w:rFonts w:ascii="David" w:hAnsi="David"/>
                <w:b/>
                <w:bCs/>
                <w:sz w:val="26"/>
                <w:szCs w:val="26"/>
              </w:rPr>
            </w:pPr>
            <w:r w:rsidRPr="00A32D9C">
              <w:rPr>
                <w:rFonts w:ascii="David" w:hAnsi="David"/>
                <w:b/>
                <w:bCs/>
                <w:sz w:val="26"/>
                <w:szCs w:val="26"/>
                <w:rtl/>
              </w:rPr>
              <w:t>26.2.2025</w:t>
            </w:r>
          </w:p>
        </w:tc>
      </w:tr>
      <w:tr w:rsidR="001C7351" w:rsidRPr="00A32D9C" w14:paraId="5457666F" w14:textId="77777777" w:rsidTr="001C7351">
        <w:trPr>
          <w:jc w:val="center"/>
        </w:trPr>
        <w:tc>
          <w:tcPr>
            <w:tcW w:w="8820" w:type="dxa"/>
            <w:gridSpan w:val="2"/>
            <w:shd w:val="clear" w:color="auto" w:fill="auto"/>
          </w:tcPr>
          <w:p w14:paraId="034049AF" w14:textId="77777777" w:rsidR="001C7351" w:rsidRPr="00A32D9C" w:rsidRDefault="001C7351" w:rsidP="00A32D9C">
            <w:pPr>
              <w:suppressLineNumbers/>
              <w:spacing w:before="120" w:after="120" w:line="240" w:lineRule="exact"/>
              <w:rPr>
                <w:rFonts w:ascii="David" w:hAnsi="David"/>
                <w:b/>
                <w:bCs/>
                <w:sz w:val="26"/>
                <w:szCs w:val="26"/>
                <w:rtl/>
              </w:rPr>
            </w:pPr>
            <w:r w:rsidRPr="00A32D9C">
              <w:rPr>
                <w:rFonts w:ascii="David" w:hAnsi="David"/>
                <w:b/>
                <w:bCs/>
                <w:sz w:val="26"/>
                <w:szCs w:val="26"/>
                <w:rtl/>
              </w:rPr>
              <w:t>לפני כבוד השופטת תמר בר-אשר</w:t>
            </w:r>
          </w:p>
        </w:tc>
      </w:tr>
      <w:tr w:rsidR="001C7351" w:rsidRPr="00A32D9C" w14:paraId="65CA3C8C" w14:textId="77777777" w:rsidTr="001C7351">
        <w:trPr>
          <w:jc w:val="center"/>
        </w:trPr>
        <w:tc>
          <w:tcPr>
            <w:tcW w:w="3578" w:type="dxa"/>
            <w:shd w:val="clear" w:color="auto" w:fill="auto"/>
          </w:tcPr>
          <w:p w14:paraId="3801A271" w14:textId="77777777" w:rsidR="001C7351" w:rsidRPr="00A32D9C" w:rsidRDefault="001C7351" w:rsidP="00A32D9C">
            <w:pPr>
              <w:suppressLineNumbers/>
              <w:spacing w:before="120" w:after="120" w:line="240" w:lineRule="exact"/>
              <w:rPr>
                <w:rFonts w:ascii="David" w:hAnsi="David"/>
                <w:b/>
                <w:bCs/>
                <w:sz w:val="26"/>
                <w:szCs w:val="26"/>
              </w:rPr>
            </w:pPr>
            <w:bookmarkStart w:id="1" w:name="FirstAppellant"/>
            <w:r w:rsidRPr="00A32D9C">
              <w:rPr>
                <w:rFonts w:ascii="David" w:hAnsi="David"/>
                <w:b/>
                <w:bCs/>
                <w:sz w:val="26"/>
                <w:szCs w:val="26"/>
                <w:rtl/>
              </w:rPr>
              <w:t>המאשימה</w:t>
            </w:r>
          </w:p>
        </w:tc>
        <w:tc>
          <w:tcPr>
            <w:tcW w:w="5242" w:type="dxa"/>
            <w:shd w:val="clear" w:color="auto" w:fill="auto"/>
          </w:tcPr>
          <w:p w14:paraId="31C1AC08" w14:textId="77777777" w:rsidR="001C7351" w:rsidRDefault="001C7351" w:rsidP="00A32D9C">
            <w:pPr>
              <w:suppressLineNumbers/>
              <w:spacing w:before="120" w:after="120" w:line="240" w:lineRule="exact"/>
              <w:rPr>
                <w:rFonts w:ascii="David" w:hAnsi="David" w:hint="cs"/>
                <w:b/>
                <w:bCs/>
                <w:sz w:val="26"/>
                <w:szCs w:val="26"/>
                <w:rtl/>
              </w:rPr>
            </w:pPr>
            <w:r w:rsidRPr="00A32D9C">
              <w:rPr>
                <w:rFonts w:ascii="David" w:hAnsi="David"/>
                <w:b/>
                <w:bCs/>
                <w:sz w:val="26"/>
                <w:szCs w:val="26"/>
                <w:rtl/>
              </w:rPr>
              <w:t>מדינת ישראל</w:t>
            </w:r>
          </w:p>
          <w:p w14:paraId="6DF186B8" w14:textId="77777777" w:rsidR="00A32D9C" w:rsidRPr="00A32D9C" w:rsidRDefault="00A32D9C" w:rsidP="00A32D9C">
            <w:pPr>
              <w:suppressLineNumbers/>
              <w:spacing w:before="120" w:after="120" w:line="240" w:lineRule="exact"/>
              <w:rPr>
                <w:rFonts w:ascii="David" w:hAnsi="David" w:hint="cs"/>
                <w:b/>
                <w:bCs/>
                <w:noProof/>
                <w:sz w:val="26"/>
                <w:szCs w:val="26"/>
                <w:rtl/>
              </w:rPr>
            </w:pPr>
            <w:r w:rsidRPr="00A32D9C">
              <w:rPr>
                <w:rFonts w:ascii="David" w:hAnsi="David"/>
                <w:b/>
                <w:bCs/>
                <w:sz w:val="26"/>
                <w:szCs w:val="26"/>
                <w:rtl/>
              </w:rPr>
              <w:t>עו"ד סלי נצר (פרקליטות מחוז ירושלים (פלילי))</w:t>
            </w:r>
          </w:p>
        </w:tc>
      </w:tr>
      <w:bookmarkEnd w:id="1"/>
      <w:tr w:rsidR="001C7351" w:rsidRPr="00A32D9C" w14:paraId="7F1D89B9" w14:textId="77777777" w:rsidTr="001C7351">
        <w:trPr>
          <w:jc w:val="center"/>
        </w:trPr>
        <w:tc>
          <w:tcPr>
            <w:tcW w:w="8820" w:type="dxa"/>
            <w:gridSpan w:val="2"/>
            <w:shd w:val="clear" w:color="auto" w:fill="auto"/>
          </w:tcPr>
          <w:p w14:paraId="1A81C2DE" w14:textId="77777777" w:rsidR="001C7351" w:rsidRPr="00A32D9C" w:rsidRDefault="001C7351" w:rsidP="00A32D9C">
            <w:pPr>
              <w:suppressLineNumbers/>
              <w:spacing w:before="240" w:after="240" w:line="240" w:lineRule="exact"/>
              <w:jc w:val="center"/>
              <w:rPr>
                <w:rFonts w:ascii="David" w:hAnsi="David" w:hint="cs"/>
                <w:b/>
                <w:bCs/>
                <w:sz w:val="26"/>
                <w:szCs w:val="26"/>
                <w:rtl/>
              </w:rPr>
            </w:pPr>
            <w:r w:rsidRPr="00A32D9C">
              <w:rPr>
                <w:rFonts w:ascii="David" w:hAnsi="David"/>
                <w:b/>
                <w:bCs/>
                <w:sz w:val="26"/>
                <w:szCs w:val="26"/>
                <w:rtl/>
              </w:rPr>
              <w:t>נגד</w:t>
            </w:r>
          </w:p>
        </w:tc>
      </w:tr>
      <w:tr w:rsidR="001C7351" w:rsidRPr="00A32D9C" w14:paraId="2A78C5F3" w14:textId="77777777" w:rsidTr="001C7351">
        <w:trPr>
          <w:jc w:val="center"/>
        </w:trPr>
        <w:tc>
          <w:tcPr>
            <w:tcW w:w="3578" w:type="dxa"/>
            <w:shd w:val="clear" w:color="auto" w:fill="auto"/>
          </w:tcPr>
          <w:p w14:paraId="2B397E90" w14:textId="77777777" w:rsidR="001C7351" w:rsidRPr="00A32D9C" w:rsidRDefault="001C7351" w:rsidP="00A32D9C">
            <w:pPr>
              <w:suppressLineNumbers/>
              <w:spacing w:before="120" w:after="120" w:line="240" w:lineRule="exact"/>
              <w:rPr>
                <w:rFonts w:ascii="David" w:hAnsi="David"/>
                <w:b/>
                <w:bCs/>
                <w:sz w:val="26"/>
                <w:szCs w:val="26"/>
              </w:rPr>
            </w:pPr>
            <w:r w:rsidRPr="00A32D9C">
              <w:rPr>
                <w:rFonts w:ascii="David" w:hAnsi="David"/>
                <w:b/>
                <w:bCs/>
                <w:sz w:val="26"/>
                <w:szCs w:val="26"/>
                <w:rtl/>
              </w:rPr>
              <w:t>הנאשם</w:t>
            </w:r>
          </w:p>
        </w:tc>
        <w:tc>
          <w:tcPr>
            <w:tcW w:w="5242" w:type="dxa"/>
            <w:shd w:val="clear" w:color="auto" w:fill="auto"/>
          </w:tcPr>
          <w:p w14:paraId="57B913A2" w14:textId="77777777" w:rsidR="001C7351" w:rsidRDefault="001C7351" w:rsidP="00A32D9C">
            <w:pPr>
              <w:suppressLineNumbers/>
              <w:spacing w:before="120" w:after="120" w:line="240" w:lineRule="exact"/>
              <w:rPr>
                <w:rFonts w:ascii="David" w:hAnsi="David" w:hint="cs"/>
                <w:b/>
                <w:bCs/>
                <w:sz w:val="26"/>
                <w:szCs w:val="26"/>
                <w:rtl/>
              </w:rPr>
            </w:pPr>
            <w:r w:rsidRPr="00A32D9C">
              <w:rPr>
                <w:rFonts w:ascii="David" w:hAnsi="David"/>
                <w:b/>
                <w:bCs/>
                <w:sz w:val="26"/>
                <w:szCs w:val="26"/>
                <w:rtl/>
              </w:rPr>
              <w:t xml:space="preserve">מאג'ד אבו זראקי </w:t>
            </w:r>
          </w:p>
          <w:p w14:paraId="723305F7" w14:textId="77777777" w:rsidR="00A32D9C" w:rsidRPr="00A32D9C" w:rsidRDefault="00A32D9C" w:rsidP="00A32D9C">
            <w:pPr>
              <w:suppressLineNumbers/>
              <w:spacing w:before="120" w:after="120" w:line="240" w:lineRule="exact"/>
              <w:rPr>
                <w:rFonts w:ascii="David" w:hAnsi="David" w:hint="cs"/>
                <w:b/>
                <w:bCs/>
                <w:sz w:val="26"/>
                <w:szCs w:val="26"/>
              </w:rPr>
            </w:pPr>
            <w:r w:rsidRPr="00A32D9C">
              <w:rPr>
                <w:rFonts w:ascii="David" w:hAnsi="David"/>
                <w:b/>
                <w:bCs/>
                <w:sz w:val="26"/>
                <w:szCs w:val="26"/>
                <w:rtl/>
              </w:rPr>
              <w:t>עו"ד מיכאל עירוני</w:t>
            </w:r>
          </w:p>
        </w:tc>
      </w:tr>
    </w:tbl>
    <w:p w14:paraId="764EC06F" w14:textId="77777777" w:rsidR="00A32D9C" w:rsidRPr="00A32D9C" w:rsidRDefault="00A32D9C" w:rsidP="00A32D9C">
      <w:pPr>
        <w:spacing w:before="120" w:after="120" w:line="240" w:lineRule="exact"/>
        <w:ind w:left="283" w:hanging="283"/>
        <w:jc w:val="both"/>
        <w:rPr>
          <w:rFonts w:ascii="FrankRuehl" w:hAnsi="FrankRuehl" w:cs="FrankRuehl"/>
          <w:rtl/>
        </w:rPr>
      </w:pPr>
      <w:bookmarkStart w:id="2" w:name="PsakDin"/>
      <w:bookmarkStart w:id="3" w:name="LawTable"/>
      <w:bookmarkEnd w:id="3"/>
    </w:p>
    <w:p w14:paraId="46395544" w14:textId="77777777" w:rsidR="00A32D9C" w:rsidRPr="00A32D9C" w:rsidRDefault="00A32D9C" w:rsidP="00A32D9C">
      <w:pPr>
        <w:spacing w:before="120" w:after="120" w:line="240" w:lineRule="exact"/>
        <w:ind w:left="283" w:hanging="283"/>
        <w:jc w:val="both"/>
        <w:rPr>
          <w:rFonts w:ascii="FrankRuehl" w:hAnsi="FrankRuehl" w:cs="FrankRuehl"/>
          <w:rtl/>
        </w:rPr>
      </w:pPr>
      <w:r w:rsidRPr="00A32D9C">
        <w:rPr>
          <w:rFonts w:ascii="FrankRuehl" w:hAnsi="FrankRuehl" w:cs="FrankRuehl"/>
          <w:rtl/>
        </w:rPr>
        <w:t xml:space="preserve">חקיקה שאוזכרה: </w:t>
      </w:r>
    </w:p>
    <w:p w14:paraId="2088DDC2" w14:textId="77777777" w:rsidR="00A32D9C" w:rsidRPr="00A32D9C" w:rsidRDefault="00A32D9C" w:rsidP="00A32D9C">
      <w:pPr>
        <w:spacing w:before="120" w:after="120" w:line="240" w:lineRule="exact"/>
        <w:ind w:left="283" w:hanging="283"/>
        <w:jc w:val="both"/>
        <w:rPr>
          <w:rFonts w:ascii="FrankRuehl" w:hAnsi="FrankRuehl" w:cs="FrankRuehl"/>
          <w:color w:val="0000FF"/>
          <w:rtl/>
        </w:rPr>
      </w:pPr>
      <w:hyperlink r:id="rId6" w:history="1">
        <w:r w:rsidRPr="00A32D9C">
          <w:rPr>
            <w:rStyle w:val="Hyperlink"/>
            <w:rFonts w:ascii="FrankRuehl" w:hAnsi="FrankRuehl" w:cs="FrankRuehl"/>
            <w:u w:val="none"/>
            <w:rtl/>
          </w:rPr>
          <w:t>חוק העונשין, תשל"ז-1977</w:t>
        </w:r>
      </w:hyperlink>
      <w:r w:rsidRPr="00A32D9C">
        <w:rPr>
          <w:rFonts w:ascii="FrankRuehl" w:hAnsi="FrankRuehl" w:cs="FrankRuehl"/>
          <w:color w:val="0000FF"/>
          <w:rtl/>
        </w:rPr>
        <w:t xml:space="preserve">: סע'  </w:t>
      </w:r>
      <w:hyperlink r:id="rId7" w:history="1">
        <w:r w:rsidRPr="00A32D9C">
          <w:rPr>
            <w:rStyle w:val="Hyperlink"/>
            <w:rFonts w:ascii="FrankRuehl" w:hAnsi="FrankRuehl" w:cs="FrankRuehl"/>
            <w:u w:val="none"/>
          </w:rPr>
          <w:t>40</w:t>
        </w:r>
        <w:r w:rsidRPr="00A32D9C">
          <w:rPr>
            <w:rStyle w:val="Hyperlink"/>
            <w:rFonts w:ascii="FrankRuehl" w:hAnsi="FrankRuehl" w:cs="FrankRuehl"/>
            <w:u w:val="none"/>
            <w:rtl/>
          </w:rPr>
          <w:t>ד</w:t>
        </w:r>
      </w:hyperlink>
      <w:r w:rsidRPr="00A32D9C">
        <w:rPr>
          <w:rFonts w:ascii="FrankRuehl" w:hAnsi="FrankRuehl" w:cs="FrankRuehl"/>
          <w:color w:val="0000FF"/>
          <w:rtl/>
        </w:rPr>
        <w:t xml:space="preserve">(א), </w:t>
      </w:r>
      <w:hyperlink r:id="rId8" w:history="1">
        <w:r w:rsidRPr="00A32D9C">
          <w:rPr>
            <w:rStyle w:val="Hyperlink"/>
            <w:rFonts w:ascii="FrankRuehl" w:hAnsi="FrankRuehl" w:cs="FrankRuehl"/>
            <w:u w:val="none"/>
          </w:rPr>
          <w:t>144</w:t>
        </w:r>
      </w:hyperlink>
      <w:r w:rsidRPr="00A32D9C">
        <w:rPr>
          <w:rFonts w:ascii="FrankRuehl" w:hAnsi="FrankRuehl" w:cs="FrankRuehl"/>
          <w:color w:val="0000FF"/>
          <w:rtl/>
        </w:rPr>
        <w:t xml:space="preserve">(ב), </w:t>
      </w:r>
      <w:hyperlink r:id="rId9" w:history="1">
        <w:r w:rsidRPr="00A32D9C">
          <w:rPr>
            <w:rStyle w:val="Hyperlink"/>
            <w:rFonts w:ascii="FrankRuehl" w:hAnsi="FrankRuehl" w:cs="FrankRuehl"/>
            <w:u w:val="none"/>
          </w:rPr>
          <w:t>144</w:t>
        </w:r>
      </w:hyperlink>
      <w:r w:rsidRPr="00A32D9C">
        <w:rPr>
          <w:rFonts w:ascii="FrankRuehl" w:hAnsi="FrankRuehl" w:cs="FrankRuehl"/>
          <w:color w:val="0000FF"/>
          <w:rtl/>
        </w:rPr>
        <w:t xml:space="preserve">(ג)(1), </w:t>
      </w:r>
      <w:hyperlink r:id="rId10" w:history="1">
        <w:r w:rsidRPr="00A32D9C">
          <w:rPr>
            <w:rStyle w:val="Hyperlink"/>
            <w:rFonts w:ascii="FrankRuehl" w:hAnsi="FrankRuehl" w:cs="FrankRuehl"/>
            <w:u w:val="none"/>
          </w:rPr>
          <w:t>144</w:t>
        </w:r>
      </w:hyperlink>
      <w:r w:rsidRPr="00A32D9C">
        <w:rPr>
          <w:rFonts w:ascii="FrankRuehl" w:hAnsi="FrankRuehl" w:cs="FrankRuehl"/>
          <w:color w:val="0000FF"/>
          <w:rtl/>
        </w:rPr>
        <w:t xml:space="preserve">(ז), </w:t>
      </w:r>
      <w:hyperlink r:id="rId11" w:history="1">
        <w:r w:rsidRPr="00A32D9C">
          <w:rPr>
            <w:rStyle w:val="Hyperlink"/>
            <w:rFonts w:ascii="FrankRuehl" w:hAnsi="FrankRuehl" w:cs="FrankRuehl"/>
            <w:u w:val="none"/>
          </w:rPr>
          <w:t>244</w:t>
        </w:r>
      </w:hyperlink>
      <w:r w:rsidRPr="00A32D9C">
        <w:rPr>
          <w:rFonts w:ascii="FrankRuehl" w:hAnsi="FrankRuehl" w:cs="FrankRuehl"/>
          <w:color w:val="0000FF"/>
          <w:rtl/>
        </w:rPr>
        <w:t xml:space="preserve">, </w:t>
      </w:r>
      <w:hyperlink r:id="rId12" w:history="1">
        <w:r w:rsidRPr="00A32D9C">
          <w:rPr>
            <w:rStyle w:val="Hyperlink"/>
            <w:rFonts w:ascii="FrankRuehl" w:hAnsi="FrankRuehl" w:cs="FrankRuehl"/>
            <w:u w:val="none"/>
          </w:rPr>
          <w:t>275</w:t>
        </w:r>
      </w:hyperlink>
    </w:p>
    <w:p w14:paraId="3DB01CF7" w14:textId="77777777" w:rsidR="00FA2CAB" w:rsidRDefault="00FA2CAB" w:rsidP="00A32D9C">
      <w:pPr>
        <w:jc w:val="center"/>
        <w:rPr>
          <w:rFonts w:ascii="David" w:hAnsi="David" w:hint="cs"/>
          <w:sz w:val="32"/>
          <w:szCs w:val="32"/>
          <w:rtl/>
        </w:rPr>
      </w:pPr>
      <w:bookmarkStart w:id="4" w:name="LawTable_End"/>
      <w:bookmarkEnd w:id="4"/>
    </w:p>
    <w:p w14:paraId="28540021" w14:textId="77777777" w:rsidR="00EB61C6" w:rsidRPr="00106E33" w:rsidRDefault="00EB61C6" w:rsidP="00EB61C6">
      <w:pPr>
        <w:pBdr>
          <w:top w:val="single" w:sz="4" w:space="1" w:color="auto"/>
          <w:bottom w:val="single" w:sz="4" w:space="1" w:color="auto"/>
        </w:pBdr>
        <w:spacing w:after="120" w:line="320" w:lineRule="exact"/>
        <w:jc w:val="both"/>
        <w:rPr>
          <w:rFonts w:cs="FrankRuehl"/>
          <w:szCs w:val="26"/>
          <w:rtl/>
        </w:rPr>
      </w:pPr>
      <w:bookmarkStart w:id="5" w:name="ABSTRACT_START"/>
      <w:bookmarkEnd w:id="5"/>
      <w:r w:rsidRPr="00106E33">
        <w:rPr>
          <w:rFonts w:cs="FrankRuehl" w:hint="cs"/>
          <w:szCs w:val="26"/>
          <w:rtl/>
        </w:rPr>
        <w:t>מיני-רציו:</w:t>
      </w:r>
    </w:p>
    <w:p w14:paraId="3995C802" w14:textId="77777777" w:rsidR="00EB61C6" w:rsidRPr="00106E33" w:rsidRDefault="00EB61C6" w:rsidP="00EB61C6">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106E33">
        <w:rPr>
          <w:rFonts w:cs="FrankRuehl" w:hint="cs"/>
          <w:szCs w:val="26"/>
          <w:rtl/>
        </w:rPr>
        <w:t xml:space="preserve">בית המשפט גזר את דינו של </w:t>
      </w:r>
      <w:r w:rsidRPr="00106E33">
        <w:rPr>
          <w:rFonts w:cs="FrankRuehl"/>
          <w:szCs w:val="26"/>
          <w:rtl/>
        </w:rPr>
        <w:t xml:space="preserve">נאשם </w:t>
      </w:r>
      <w:r w:rsidRPr="00106E33">
        <w:rPr>
          <w:rFonts w:cs="FrankRuehl" w:hint="cs"/>
          <w:szCs w:val="26"/>
          <w:rtl/>
        </w:rPr>
        <w:t>ש</w:t>
      </w:r>
      <w:r w:rsidRPr="00106E33">
        <w:rPr>
          <w:rFonts w:cs="FrankRuehl"/>
          <w:szCs w:val="26"/>
          <w:rtl/>
        </w:rPr>
        <w:t>הורשע בעבירת נשיאת נשק, נשיאת אביזר נשק, שיבוש מהלכי משפט והפרעה לשוטר בשעת מילוי תפקידו.</w:t>
      </w:r>
      <w:r w:rsidRPr="00106E33">
        <w:rPr>
          <w:rFonts w:cs="FrankRuehl" w:hint="cs"/>
          <w:szCs w:val="26"/>
          <w:rtl/>
        </w:rPr>
        <w:t xml:space="preserve"> הנאשם נידון ל</w:t>
      </w:r>
      <w:r w:rsidRPr="00106E33">
        <w:rPr>
          <w:rFonts w:cs="FrankRuehl"/>
          <w:szCs w:val="26"/>
          <w:rtl/>
        </w:rPr>
        <w:t>עונש מאסר בפועל למשך 22 חודש בניכוי מעצר</w:t>
      </w:r>
      <w:r w:rsidRPr="00106E33">
        <w:rPr>
          <w:rFonts w:cs="FrankRuehl" w:hint="cs"/>
          <w:szCs w:val="26"/>
          <w:rtl/>
        </w:rPr>
        <w:t>ו</w:t>
      </w:r>
      <w:r w:rsidRPr="00106E33">
        <w:rPr>
          <w:rFonts w:cs="FrankRuehl"/>
          <w:szCs w:val="26"/>
          <w:rtl/>
        </w:rPr>
        <w:t>, שני מאסרים על תנאי וקנס כספי בסך 7,000 ₪.</w:t>
      </w:r>
    </w:p>
    <w:p w14:paraId="4226BC49" w14:textId="77777777" w:rsidR="00EB61C6" w:rsidRPr="00106E33" w:rsidRDefault="00EB61C6" w:rsidP="00EB61C6">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106E33">
        <w:rPr>
          <w:rFonts w:cs="FrankRuehl" w:hint="cs"/>
          <w:szCs w:val="26"/>
          <w:rtl/>
        </w:rPr>
        <w:t xml:space="preserve">עונשין </w:t>
      </w:r>
      <w:r w:rsidRPr="00106E33">
        <w:rPr>
          <w:rFonts w:cs="FrankRuehl"/>
          <w:szCs w:val="26"/>
          <w:rtl/>
        </w:rPr>
        <w:t>–</w:t>
      </w:r>
      <w:r w:rsidRPr="00106E33">
        <w:rPr>
          <w:rFonts w:cs="FrankRuehl" w:hint="cs"/>
          <w:szCs w:val="26"/>
          <w:rtl/>
        </w:rPr>
        <w:t xml:space="preserve"> ענישה </w:t>
      </w:r>
      <w:r w:rsidRPr="00106E33">
        <w:rPr>
          <w:rFonts w:cs="FrankRuehl"/>
          <w:szCs w:val="26"/>
          <w:rtl/>
        </w:rPr>
        <w:t>–</w:t>
      </w:r>
      <w:r w:rsidRPr="00106E33">
        <w:rPr>
          <w:rFonts w:cs="FrankRuehl" w:hint="cs"/>
          <w:szCs w:val="26"/>
          <w:rtl/>
        </w:rPr>
        <w:t xml:space="preserve"> מדיניות ענישה: עבירות נשק</w:t>
      </w:r>
    </w:p>
    <w:p w14:paraId="631201E7" w14:textId="77777777" w:rsidR="00EB61C6" w:rsidRPr="00106E33" w:rsidRDefault="00EB61C6" w:rsidP="00EB61C6">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106E33">
        <w:rPr>
          <w:rFonts w:cs="FrankRuehl" w:hint="cs"/>
          <w:szCs w:val="26"/>
          <w:rtl/>
        </w:rPr>
        <w:t xml:space="preserve">עונשין </w:t>
      </w:r>
      <w:r w:rsidRPr="00106E33">
        <w:rPr>
          <w:rFonts w:cs="FrankRuehl"/>
          <w:szCs w:val="26"/>
          <w:rtl/>
        </w:rPr>
        <w:t>–</w:t>
      </w:r>
      <w:r w:rsidRPr="00106E33">
        <w:rPr>
          <w:rFonts w:cs="FrankRuehl" w:hint="cs"/>
          <w:szCs w:val="26"/>
          <w:rtl/>
        </w:rPr>
        <w:t xml:space="preserve"> ענישה </w:t>
      </w:r>
      <w:r w:rsidRPr="00106E33">
        <w:rPr>
          <w:rFonts w:cs="FrankRuehl"/>
          <w:szCs w:val="26"/>
          <w:rtl/>
        </w:rPr>
        <w:t>–</w:t>
      </w:r>
      <w:r w:rsidRPr="00106E33">
        <w:rPr>
          <w:rFonts w:cs="FrankRuehl" w:hint="cs"/>
          <w:szCs w:val="26"/>
          <w:rtl/>
        </w:rPr>
        <w:t xml:space="preserve"> מדיניות ענישה:</w:t>
      </w:r>
      <w:r w:rsidRPr="00106E33">
        <w:rPr>
          <w:rFonts w:cs="FrankRuehl"/>
          <w:szCs w:val="26"/>
          <w:rtl/>
        </w:rPr>
        <w:t xml:space="preserve"> שיבוש הל</w:t>
      </w:r>
      <w:r w:rsidRPr="00106E33">
        <w:rPr>
          <w:rFonts w:cs="FrankRuehl" w:hint="cs"/>
          <w:szCs w:val="26"/>
          <w:rtl/>
        </w:rPr>
        <w:t>י</w:t>
      </w:r>
      <w:r w:rsidRPr="00106E33">
        <w:rPr>
          <w:rFonts w:cs="FrankRuehl"/>
          <w:szCs w:val="26"/>
          <w:rtl/>
        </w:rPr>
        <w:t>כי משפט</w:t>
      </w:r>
    </w:p>
    <w:p w14:paraId="44DFDC66" w14:textId="77777777" w:rsidR="00EB61C6" w:rsidRPr="00106E33" w:rsidRDefault="00EB61C6" w:rsidP="00EB61C6">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106E33">
        <w:rPr>
          <w:rFonts w:cs="FrankRuehl" w:hint="cs"/>
          <w:szCs w:val="26"/>
          <w:rtl/>
        </w:rPr>
        <w:t xml:space="preserve">עונשין </w:t>
      </w:r>
      <w:r w:rsidRPr="00106E33">
        <w:rPr>
          <w:rFonts w:cs="FrankRuehl"/>
          <w:szCs w:val="26"/>
          <w:rtl/>
        </w:rPr>
        <w:t>–</w:t>
      </w:r>
      <w:r w:rsidRPr="00106E33">
        <w:rPr>
          <w:rFonts w:cs="FrankRuehl" w:hint="cs"/>
          <w:szCs w:val="26"/>
          <w:rtl/>
        </w:rPr>
        <w:t xml:space="preserve"> ענישה </w:t>
      </w:r>
      <w:r w:rsidRPr="00106E33">
        <w:rPr>
          <w:rFonts w:cs="FrankRuehl"/>
          <w:szCs w:val="26"/>
          <w:rtl/>
        </w:rPr>
        <w:t>–</w:t>
      </w:r>
      <w:r w:rsidRPr="00106E33">
        <w:rPr>
          <w:rFonts w:cs="FrankRuehl" w:hint="cs"/>
          <w:szCs w:val="26"/>
          <w:rtl/>
        </w:rPr>
        <w:t xml:space="preserve"> מדיניות ענישה:</w:t>
      </w:r>
      <w:r w:rsidRPr="00106E33">
        <w:rPr>
          <w:rFonts w:cs="FrankRuehl"/>
          <w:szCs w:val="26"/>
          <w:rtl/>
        </w:rPr>
        <w:t xml:space="preserve"> הפרעה לשוטר בשעת מילוי תפקידו</w:t>
      </w:r>
    </w:p>
    <w:p w14:paraId="5B171AF5" w14:textId="77777777" w:rsidR="00EB61C6" w:rsidRPr="00106E33" w:rsidRDefault="00EB61C6" w:rsidP="00EB61C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072040B" w14:textId="77777777" w:rsidR="00EB61C6" w:rsidRPr="00106E33" w:rsidRDefault="00EB61C6" w:rsidP="00EB61C6">
      <w:pPr>
        <w:pBdr>
          <w:top w:val="single" w:sz="4" w:space="1" w:color="auto"/>
          <w:bottom w:val="single" w:sz="4" w:space="1" w:color="auto"/>
        </w:pBdr>
        <w:spacing w:after="120" w:line="320" w:lineRule="exact"/>
        <w:jc w:val="both"/>
        <w:rPr>
          <w:rFonts w:cs="FrankRuehl"/>
          <w:szCs w:val="26"/>
          <w:rtl/>
        </w:rPr>
      </w:pPr>
      <w:r w:rsidRPr="00106E33">
        <w:rPr>
          <w:rFonts w:cs="FrankRuehl"/>
          <w:szCs w:val="26"/>
          <w:rtl/>
        </w:rPr>
        <w:t>הנאשם הורשע על-פי הודאתו בעבירת נשיאת נשק, נשיאת אביזר נשק, שיבוש מהלכי משפט והפרעה לשוטר בשעת מילוי תפקידו.</w:t>
      </w:r>
    </w:p>
    <w:p w14:paraId="5111E812" w14:textId="77777777" w:rsidR="00EB61C6" w:rsidRDefault="00EB61C6" w:rsidP="00EB61C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700DEB8" w14:textId="77777777" w:rsidR="00EB61C6" w:rsidRPr="00106E33" w:rsidRDefault="00EB61C6" w:rsidP="00EB61C6">
      <w:pPr>
        <w:pBdr>
          <w:top w:val="single" w:sz="4" w:space="1" w:color="auto"/>
          <w:bottom w:val="single" w:sz="4" w:space="1" w:color="auto"/>
        </w:pBdr>
        <w:spacing w:after="120" w:line="320" w:lineRule="exact"/>
        <w:jc w:val="both"/>
        <w:rPr>
          <w:rFonts w:cs="FrankRuehl"/>
          <w:szCs w:val="26"/>
          <w:rtl/>
        </w:rPr>
      </w:pPr>
      <w:r w:rsidRPr="00106E33">
        <w:rPr>
          <w:rFonts w:cs="FrankRuehl"/>
          <w:szCs w:val="26"/>
          <w:rtl/>
        </w:rPr>
        <w:t>בית המשפט המחוזי גזר את הדין כדלהלן:</w:t>
      </w:r>
    </w:p>
    <w:p w14:paraId="376D0D10" w14:textId="77777777" w:rsidR="00EB61C6" w:rsidRPr="00106E33" w:rsidRDefault="00EB61C6" w:rsidP="00EB61C6">
      <w:pPr>
        <w:pBdr>
          <w:top w:val="single" w:sz="4" w:space="1" w:color="auto"/>
          <w:bottom w:val="single" w:sz="4" w:space="1" w:color="auto"/>
        </w:pBdr>
        <w:spacing w:after="120" w:line="320" w:lineRule="exact"/>
        <w:jc w:val="both"/>
        <w:rPr>
          <w:rFonts w:cs="FrankRuehl"/>
          <w:szCs w:val="26"/>
          <w:rtl/>
        </w:rPr>
      </w:pPr>
      <w:r w:rsidRPr="00106E33">
        <w:rPr>
          <w:rFonts w:cs="FrankRuehl"/>
          <w:szCs w:val="26"/>
          <w:rtl/>
        </w:rPr>
        <w:t xml:space="preserve">עבירות נשק ובכלל זה עבירות נשיאת נשק ונשיאת אביזר נשק, פוגעות בערכים אשר נועדו להגן על הציבור, על שלמות גופו, רכושו וביטחונו. פעם אחר פעם </w:t>
      </w:r>
      <w:r w:rsidRPr="00106E33">
        <w:rPr>
          <w:rFonts w:cs="FrankRuehl" w:hint="cs"/>
          <w:szCs w:val="26"/>
          <w:rtl/>
        </w:rPr>
        <w:t>הדגיש</w:t>
      </w:r>
      <w:r w:rsidRPr="00106E33">
        <w:rPr>
          <w:rFonts w:cs="FrankRuehl"/>
          <w:szCs w:val="26"/>
          <w:rtl/>
        </w:rPr>
        <w:t xml:space="preserve"> בית המשפט העליון את חומרתן של עבירות נשק שהפכו ל"מכת מדינה"</w:t>
      </w:r>
      <w:r w:rsidRPr="00106E33">
        <w:rPr>
          <w:rFonts w:cs="FrankRuehl" w:hint="cs"/>
          <w:szCs w:val="26"/>
          <w:rtl/>
        </w:rPr>
        <w:t>, ו</w:t>
      </w:r>
      <w:r w:rsidRPr="00106E33">
        <w:rPr>
          <w:rFonts w:cs="FrankRuehl"/>
          <w:szCs w:val="26"/>
          <w:rtl/>
        </w:rPr>
        <w:t xml:space="preserve">לא אחת אף הודגש הצורך להרתיע את היחיד ואת הרבים מפני עיסוק בנשק ומפני העבירות הנדונות. עבירת שיבוש מהלכי משפט פוגעת בערכים שעניינם ההגנה על שלטון החוק והגנה על הסדר הציבורי, הבטחת תקינות ההליכים המשפטיים והגנה על טוהר ההליך המשפטי הדרוש לשם קיומה של מערכת משפט תקינה הזוכה לאמון הציבור. בדומה, אף עבירת הפרעה </w:t>
      </w:r>
      <w:r w:rsidRPr="00106E33">
        <w:rPr>
          <w:rFonts w:cs="FrankRuehl"/>
          <w:szCs w:val="26"/>
          <w:rtl/>
        </w:rPr>
        <w:lastRenderedPageBreak/>
        <w:t>לשוטר בעת מילוי תפקידו פוגעת בערכים שעניינם ההגנה על שלטון החוק והסדר הציבורי, ואף בצורך להבטיח את פעילות המשטרה.</w:t>
      </w:r>
    </w:p>
    <w:p w14:paraId="6D9AFEF1" w14:textId="77777777" w:rsidR="00EB61C6" w:rsidRPr="00106E33" w:rsidRDefault="00EB61C6" w:rsidP="00EB61C6">
      <w:pPr>
        <w:pBdr>
          <w:top w:val="single" w:sz="4" w:space="1" w:color="auto"/>
          <w:bottom w:val="single" w:sz="4" w:space="1" w:color="auto"/>
        </w:pBdr>
        <w:spacing w:after="120" w:line="320" w:lineRule="exact"/>
        <w:jc w:val="both"/>
        <w:rPr>
          <w:rFonts w:cs="FrankRuehl"/>
          <w:szCs w:val="26"/>
          <w:rtl/>
        </w:rPr>
      </w:pPr>
      <w:r w:rsidRPr="00106E33">
        <w:rPr>
          <w:rFonts w:cs="FrankRuehl"/>
          <w:szCs w:val="26"/>
          <w:rtl/>
        </w:rPr>
        <w:t>בנסיבות הנדונות, מידת הפגיעה בערכים המוגנים היא לכל הפחות במידה בינונית. בהתאם לעיקרון ההלימה, בהתחשב בערכים החברתיים שנפגעו ממעשיי העבירות ומידת הפגיעה בהם וכן תוך התחשבות במדיניות הענישה הנהוגה ובנסיבות שבהן העבירה נעברה, יש להעמיד את מתחם העונש בין 22 ל-44 חודשי מאסר. אין מקום לאימוץ המלצת שירות המבחן ולא התקיימו נסיבות חריגות המצדיקות חריגה ממתחם העונש מטעמי שיקום. איזון כל השיקולים מביא להטלת עונש של מאסר בפועל למשך 22 חודש בניכוי המעצר, שני מאסרים על תנאי וקנס כספי בסך 7,000 ₪.</w:t>
      </w:r>
    </w:p>
    <w:p w14:paraId="6E336579" w14:textId="77777777" w:rsidR="00EB61C6" w:rsidRPr="00A32D9C" w:rsidRDefault="00EB61C6" w:rsidP="00A32D9C">
      <w:pPr>
        <w:jc w:val="center"/>
        <w:rPr>
          <w:rFonts w:ascii="David" w:hAnsi="David" w:hint="cs"/>
          <w:sz w:val="32"/>
          <w:szCs w:val="32"/>
          <w:rtl/>
        </w:rPr>
      </w:pPr>
      <w:bookmarkStart w:id="6" w:name="ABSTRACT_END"/>
      <w:bookmarkEnd w:id="6"/>
    </w:p>
    <w:p w14:paraId="44C8D1F6" w14:textId="77777777" w:rsidR="00FA2CAB" w:rsidRDefault="00FA2CAB" w:rsidP="00DF3396">
      <w:pPr>
        <w:jc w:val="center"/>
        <w:rPr>
          <w:rFonts w:ascii="David" w:hAnsi="David" w:hint="cs"/>
          <w:sz w:val="32"/>
          <w:szCs w:val="32"/>
          <w:rtl/>
        </w:rPr>
      </w:pPr>
    </w:p>
    <w:p w14:paraId="672B9FB5" w14:textId="77777777" w:rsidR="00FA2CAB" w:rsidRPr="00DF3396" w:rsidRDefault="00FA2CAB" w:rsidP="00DF3396">
      <w:pPr>
        <w:jc w:val="center"/>
        <w:rPr>
          <w:rFonts w:ascii="David" w:hAnsi="David"/>
          <w:b/>
          <w:bCs/>
          <w:sz w:val="32"/>
          <w:szCs w:val="32"/>
          <w:u w:val="single"/>
          <w:rtl/>
        </w:rPr>
      </w:pPr>
      <w:r w:rsidRPr="00DF3396">
        <w:rPr>
          <w:rFonts w:ascii="David" w:hAnsi="David"/>
          <w:b/>
          <w:bCs/>
          <w:sz w:val="32"/>
          <w:szCs w:val="32"/>
          <w:u w:val="single"/>
          <w:rtl/>
        </w:rPr>
        <w:t>גזר דין</w:t>
      </w:r>
    </w:p>
    <w:bookmarkEnd w:id="2"/>
    <w:p w14:paraId="0F9ADEB0" w14:textId="77777777" w:rsidR="00FA2CAB" w:rsidRPr="001C7351" w:rsidRDefault="00FA2CAB" w:rsidP="001C7351">
      <w:pPr>
        <w:jc w:val="center"/>
        <w:rPr>
          <w:rFonts w:ascii="David" w:hAnsi="David"/>
          <w:sz w:val="28"/>
          <w:szCs w:val="28"/>
          <w:u w:val="single"/>
          <w:rtl/>
        </w:rPr>
      </w:pPr>
    </w:p>
    <w:bookmarkEnd w:id="0"/>
    <w:p w14:paraId="435DCA0C" w14:textId="77777777" w:rsidR="001C7351" w:rsidRPr="00324407" w:rsidRDefault="001C7351" w:rsidP="001C7351">
      <w:pPr>
        <w:spacing w:line="360" w:lineRule="auto"/>
        <w:jc w:val="both"/>
        <w:rPr>
          <w:rFonts w:ascii="Arial" w:hAnsi="Arial"/>
          <w:rtl/>
        </w:rPr>
      </w:pPr>
      <w:r w:rsidRPr="00324407">
        <w:rPr>
          <w:rFonts w:ascii="Arial" w:hAnsi="Arial"/>
          <w:rtl/>
        </w:rPr>
        <w:t xml:space="preserve">על-פי הכרעת הדין מיום 9.6.2024, הנאשם, יליד 8.1.1997 (כבן 26 במועד העבירות וכיום כבן 28), הורשע על-פי הודאתו בעבירת </w:t>
      </w:r>
      <w:r w:rsidRPr="00324407">
        <w:rPr>
          <w:rFonts w:ascii="Arial" w:hAnsi="Arial"/>
          <w:b/>
          <w:bCs/>
          <w:rtl/>
        </w:rPr>
        <w:t>נשיאת נשק</w:t>
      </w:r>
      <w:r w:rsidRPr="00324407">
        <w:rPr>
          <w:rFonts w:ascii="Arial" w:hAnsi="Arial"/>
          <w:rtl/>
        </w:rPr>
        <w:t xml:space="preserve">, לפי </w:t>
      </w:r>
      <w:hyperlink r:id="rId13" w:history="1">
        <w:r w:rsidR="00FA2CAB" w:rsidRPr="00FA2CAB">
          <w:rPr>
            <w:rStyle w:val="Hyperlink"/>
            <w:rFonts w:ascii="Arial" w:hAnsi="Arial"/>
            <w:rtl/>
          </w:rPr>
          <w:t>סעיף 144(ב)</w:t>
        </w:r>
      </w:hyperlink>
      <w:r w:rsidRPr="00324407">
        <w:rPr>
          <w:rFonts w:ascii="Arial" w:hAnsi="Arial"/>
          <w:rtl/>
        </w:rPr>
        <w:t xml:space="preserve"> רישה בצירוף </w:t>
      </w:r>
      <w:hyperlink r:id="rId14" w:history="1">
        <w:r w:rsidR="00FA2CAB" w:rsidRPr="00FA2CAB">
          <w:rPr>
            <w:rStyle w:val="Hyperlink"/>
            <w:rFonts w:ascii="Arial" w:hAnsi="Arial"/>
            <w:rtl/>
          </w:rPr>
          <w:t>סעיף 144(ג)(1)</w:t>
        </w:r>
      </w:hyperlink>
      <w:r w:rsidRPr="00324407">
        <w:rPr>
          <w:rFonts w:ascii="Arial" w:hAnsi="Arial"/>
          <w:rtl/>
        </w:rPr>
        <w:t xml:space="preserve"> ב</w:t>
      </w:r>
      <w:hyperlink r:id="rId15" w:history="1">
        <w:r w:rsidR="00DF3396" w:rsidRPr="00DF3396">
          <w:rPr>
            <w:rFonts w:ascii="Arial" w:hAnsi="Arial"/>
            <w:color w:val="0000FF"/>
            <w:u w:val="single"/>
            <w:rtl/>
          </w:rPr>
          <w:t>חוק העונשין</w:t>
        </w:r>
      </w:hyperlink>
      <w:r w:rsidRPr="00324407">
        <w:rPr>
          <w:rFonts w:ascii="Arial" w:hAnsi="Arial"/>
          <w:rtl/>
        </w:rPr>
        <w:t xml:space="preserve">, התשל"ז-1977 (להלן – </w:t>
      </w:r>
      <w:r w:rsidRPr="00324407">
        <w:rPr>
          <w:rFonts w:ascii="Arial" w:hAnsi="Arial"/>
          <w:b/>
          <w:bCs/>
          <w:rtl/>
        </w:rPr>
        <w:t>החוק</w:t>
      </w:r>
      <w:r w:rsidRPr="00324407">
        <w:rPr>
          <w:rFonts w:ascii="Arial" w:hAnsi="Arial"/>
          <w:rtl/>
        </w:rPr>
        <w:t>), בעבירת</w:t>
      </w:r>
      <w:r w:rsidRPr="00324407">
        <w:rPr>
          <w:rFonts w:ascii="Arial" w:hAnsi="Arial"/>
          <w:b/>
          <w:bCs/>
          <w:rtl/>
        </w:rPr>
        <w:t xml:space="preserve"> נשיאת אביזר נשק</w:t>
      </w:r>
      <w:r w:rsidRPr="00324407">
        <w:rPr>
          <w:rFonts w:ascii="Arial" w:hAnsi="Arial"/>
          <w:rtl/>
        </w:rPr>
        <w:t xml:space="preserve">, לפי </w:t>
      </w:r>
      <w:hyperlink r:id="rId16" w:history="1">
        <w:r w:rsidR="00FA2CAB" w:rsidRPr="00FA2CAB">
          <w:rPr>
            <w:rStyle w:val="Hyperlink"/>
            <w:rFonts w:ascii="Arial" w:hAnsi="Arial"/>
            <w:rtl/>
          </w:rPr>
          <w:t>סעיף 144(ב)</w:t>
        </w:r>
      </w:hyperlink>
      <w:r w:rsidRPr="00324407">
        <w:rPr>
          <w:rFonts w:ascii="Arial" w:hAnsi="Arial"/>
          <w:rtl/>
        </w:rPr>
        <w:t xml:space="preserve"> סיפה בצירוף </w:t>
      </w:r>
      <w:hyperlink r:id="rId17" w:history="1">
        <w:r w:rsidR="00FA2CAB" w:rsidRPr="00FA2CAB">
          <w:rPr>
            <w:rStyle w:val="Hyperlink"/>
            <w:rFonts w:ascii="Arial" w:hAnsi="Arial"/>
            <w:rtl/>
          </w:rPr>
          <w:t>סעיף 144(ג)(1)</w:t>
        </w:r>
      </w:hyperlink>
      <w:r w:rsidRPr="00324407">
        <w:rPr>
          <w:rFonts w:ascii="Arial" w:hAnsi="Arial"/>
          <w:rtl/>
        </w:rPr>
        <w:t xml:space="preserve"> בחוק, בעבירת </w:t>
      </w:r>
      <w:r w:rsidRPr="00324407">
        <w:rPr>
          <w:rFonts w:ascii="Arial" w:hAnsi="Arial"/>
          <w:b/>
          <w:bCs/>
          <w:rtl/>
        </w:rPr>
        <w:t>שיבוש מהלכי משפט</w:t>
      </w:r>
      <w:r w:rsidRPr="00324407">
        <w:rPr>
          <w:rFonts w:ascii="Arial" w:hAnsi="Arial"/>
          <w:rtl/>
        </w:rPr>
        <w:t xml:space="preserve">, לפי </w:t>
      </w:r>
      <w:hyperlink r:id="rId18" w:history="1">
        <w:r w:rsidR="00FA2CAB" w:rsidRPr="00FA2CAB">
          <w:rPr>
            <w:rStyle w:val="Hyperlink"/>
            <w:rFonts w:ascii="Arial" w:hAnsi="Arial"/>
            <w:rtl/>
          </w:rPr>
          <w:t>סעיף 244</w:t>
        </w:r>
      </w:hyperlink>
      <w:r w:rsidRPr="00324407">
        <w:rPr>
          <w:rFonts w:ascii="Arial" w:hAnsi="Arial"/>
          <w:rtl/>
        </w:rPr>
        <w:t xml:space="preserve"> בחוק וב</w:t>
      </w:r>
      <w:r w:rsidRPr="00324407">
        <w:rPr>
          <w:rFonts w:ascii="Arial" w:hAnsi="Arial"/>
          <w:b/>
          <w:bCs/>
          <w:rtl/>
        </w:rPr>
        <w:t>שתי עבירות הפרעה לשוטר בשעת מילוי תפקידו</w:t>
      </w:r>
      <w:r w:rsidRPr="00324407">
        <w:rPr>
          <w:rFonts w:ascii="Arial" w:hAnsi="Arial"/>
          <w:rtl/>
        </w:rPr>
        <w:t xml:space="preserve">, לפי </w:t>
      </w:r>
      <w:hyperlink r:id="rId19" w:history="1">
        <w:r w:rsidR="00FA2CAB" w:rsidRPr="00FA2CAB">
          <w:rPr>
            <w:rStyle w:val="Hyperlink"/>
            <w:rFonts w:ascii="Arial" w:hAnsi="Arial"/>
            <w:rtl/>
          </w:rPr>
          <w:t>סעיף 275</w:t>
        </w:r>
      </w:hyperlink>
      <w:r w:rsidRPr="00324407">
        <w:rPr>
          <w:rFonts w:ascii="Arial" w:hAnsi="Arial"/>
          <w:rtl/>
        </w:rPr>
        <w:t xml:space="preserve"> בחוק.</w:t>
      </w:r>
    </w:p>
    <w:p w14:paraId="001D0C79" w14:textId="77777777" w:rsidR="001C7351" w:rsidRPr="00324407" w:rsidRDefault="001C7351" w:rsidP="001C7351">
      <w:pPr>
        <w:spacing w:line="360" w:lineRule="auto"/>
        <w:jc w:val="both"/>
        <w:rPr>
          <w:rFonts w:ascii="Arial" w:hAnsi="Arial"/>
          <w:rtl/>
        </w:rPr>
      </w:pPr>
    </w:p>
    <w:p w14:paraId="757436D3" w14:textId="77777777" w:rsidR="001C7351" w:rsidRPr="00324407" w:rsidRDefault="001C7351" w:rsidP="001C7351">
      <w:pPr>
        <w:spacing w:line="360" w:lineRule="auto"/>
        <w:jc w:val="both"/>
        <w:rPr>
          <w:rFonts w:ascii="Arial" w:hAnsi="Arial"/>
          <w:rtl/>
        </w:rPr>
      </w:pPr>
      <w:r w:rsidRPr="00324407">
        <w:rPr>
          <w:rFonts w:ascii="Arial" w:hAnsi="Arial"/>
          <w:rtl/>
        </w:rPr>
        <w:t xml:space="preserve">הודאת הנאשם הייתה לאחר שמיעת עדויות </w:t>
      </w:r>
      <w:r>
        <w:rPr>
          <w:rFonts w:ascii="Arial" w:hAnsi="Arial" w:hint="cs"/>
          <w:rtl/>
        </w:rPr>
        <w:t>ארבעה עדי תביעה מהותיים</w:t>
      </w:r>
      <w:r w:rsidRPr="00324407">
        <w:rPr>
          <w:rFonts w:ascii="Arial" w:hAnsi="Arial"/>
          <w:rtl/>
        </w:rPr>
        <w:t>. תחילה הוסכם על הגשת סיכומים בכתב בעניין מחלוקות הצדדים על יסוד עובדות כתב האישום (עמ' 66-64 בפרוטוקול מיום 22.5.2024). מאוחר יותר ביקש הנאשם להודות בעובדות כתב האישום כפי שהן ולהזמין תסקיר לעונש משירות המבחן (בקשה והחלטה מיום 26.5.2024). בהתאם לכך הנאשם הודה והורשע בדיון מיום 9.6.2024. הוגשו תסקירים והטיעונים לעונש נשמעו ביום 12.2.2025.</w:t>
      </w:r>
    </w:p>
    <w:p w14:paraId="066837B1" w14:textId="77777777" w:rsidR="001C7351" w:rsidRPr="00324407" w:rsidRDefault="001C7351" w:rsidP="001C7351">
      <w:pPr>
        <w:spacing w:line="360" w:lineRule="auto"/>
        <w:jc w:val="both"/>
        <w:rPr>
          <w:rFonts w:ascii="Arial" w:hAnsi="Arial"/>
          <w:rtl/>
        </w:rPr>
      </w:pPr>
    </w:p>
    <w:p w14:paraId="672D268A" w14:textId="77777777" w:rsidR="001C7351" w:rsidRPr="00324407" w:rsidRDefault="001C7351" w:rsidP="001C7351">
      <w:pPr>
        <w:spacing w:line="360" w:lineRule="auto"/>
        <w:jc w:val="both"/>
        <w:rPr>
          <w:rFonts w:ascii="Arial" w:hAnsi="Arial"/>
          <w:b/>
          <w:bCs/>
          <w:u w:val="single"/>
          <w:rtl/>
        </w:rPr>
      </w:pPr>
      <w:r w:rsidRPr="00324407">
        <w:rPr>
          <w:rFonts w:ascii="Arial" w:hAnsi="Arial"/>
          <w:b/>
          <w:bCs/>
          <w:u w:val="single"/>
          <w:rtl/>
        </w:rPr>
        <w:t>עובדות כתב האישום</w:t>
      </w:r>
    </w:p>
    <w:p w14:paraId="4A2C6089" w14:textId="77777777" w:rsidR="001C7351" w:rsidRPr="00324407" w:rsidRDefault="001C7351" w:rsidP="001C7351">
      <w:pPr>
        <w:spacing w:line="360" w:lineRule="auto"/>
        <w:jc w:val="both"/>
        <w:rPr>
          <w:rFonts w:ascii="Arial" w:hAnsi="Arial"/>
          <w:sz w:val="16"/>
          <w:szCs w:val="16"/>
          <w:rtl/>
        </w:rPr>
      </w:pPr>
    </w:p>
    <w:p w14:paraId="238050E5" w14:textId="77777777" w:rsidR="001C7351" w:rsidRPr="00324407" w:rsidRDefault="001C7351" w:rsidP="001C7351">
      <w:pPr>
        <w:spacing w:line="360" w:lineRule="auto"/>
        <w:jc w:val="both"/>
        <w:rPr>
          <w:rFonts w:ascii="Arial" w:hAnsi="Arial"/>
          <w:rtl/>
        </w:rPr>
      </w:pPr>
      <w:r w:rsidRPr="00324407">
        <w:rPr>
          <w:rFonts w:ascii="Arial" w:hAnsi="Arial"/>
          <w:rtl/>
        </w:rPr>
        <w:t>2.</w:t>
      </w:r>
      <w:r w:rsidRPr="00324407">
        <w:rPr>
          <w:rFonts w:ascii="Arial" w:hAnsi="Arial"/>
          <w:rtl/>
        </w:rPr>
        <w:tab/>
        <w:t xml:space="preserve">על-פי עובדות כתב האישום, ביום 6.12.2022 סמוך לשעה 04:00 לפנות בוקר, נסע הנאשם ברכב טויוטה כשהוא נושא עמו ברכב אקדח חצי אוטומטי מדגם </w:t>
      </w:r>
      <w:r w:rsidRPr="00324407">
        <w:rPr>
          <w:rFonts w:ascii="Arial" w:hAnsi="Arial"/>
        </w:rPr>
        <w:t>DDG</w:t>
      </w:r>
      <w:r w:rsidRPr="00324407">
        <w:rPr>
          <w:rFonts w:ascii="Arial" w:hAnsi="Arial"/>
          <w:rtl/>
        </w:rPr>
        <w:t xml:space="preserve">, שבו מחסנית ו-12 כדורים בקליבר 9 מ"מ (להלן – </w:t>
      </w:r>
      <w:r w:rsidRPr="00324407">
        <w:rPr>
          <w:rFonts w:ascii="Arial" w:hAnsi="Arial"/>
          <w:b/>
          <w:bCs/>
          <w:rtl/>
        </w:rPr>
        <w:t>האקדח</w:t>
      </w:r>
      <w:r w:rsidRPr="00324407">
        <w:rPr>
          <w:rFonts w:ascii="Arial" w:hAnsi="Arial"/>
          <w:rtl/>
        </w:rPr>
        <w:t xml:space="preserve">; </w:t>
      </w:r>
      <w:r w:rsidRPr="00324407">
        <w:rPr>
          <w:rFonts w:ascii="Arial" w:hAnsi="Arial"/>
          <w:b/>
          <w:bCs/>
          <w:rtl/>
        </w:rPr>
        <w:t>המחסנית</w:t>
      </w:r>
      <w:r w:rsidRPr="00324407">
        <w:rPr>
          <w:rFonts w:ascii="Arial" w:hAnsi="Arial"/>
          <w:rtl/>
        </w:rPr>
        <w:t xml:space="preserve">). אותה עת הקימה המשטרה מחסום בכיכר "אהרן הכהן" לכיוון אום טובה, שבו עמדו השוטרים רידאן ומוריה (להלן – </w:t>
      </w:r>
      <w:r w:rsidRPr="00324407">
        <w:rPr>
          <w:rFonts w:ascii="Arial" w:hAnsi="Arial"/>
          <w:b/>
          <w:bCs/>
          <w:rtl/>
        </w:rPr>
        <w:t>השוטרים</w:t>
      </w:r>
      <w:r w:rsidRPr="00324407">
        <w:rPr>
          <w:rFonts w:ascii="Arial" w:hAnsi="Arial"/>
          <w:rtl/>
        </w:rPr>
        <w:t xml:space="preserve">). </w:t>
      </w:r>
    </w:p>
    <w:p w14:paraId="0CAC34F7" w14:textId="77777777" w:rsidR="001C7351" w:rsidRPr="00324407" w:rsidRDefault="001C7351" w:rsidP="001C7351">
      <w:pPr>
        <w:spacing w:line="360" w:lineRule="auto"/>
        <w:jc w:val="both"/>
        <w:rPr>
          <w:rFonts w:ascii="Arial" w:hAnsi="Arial"/>
          <w:rtl/>
        </w:rPr>
      </w:pPr>
    </w:p>
    <w:p w14:paraId="45789E0E" w14:textId="77777777" w:rsidR="001C7351" w:rsidRPr="00324407" w:rsidRDefault="001C7351" w:rsidP="001C7351">
      <w:pPr>
        <w:spacing w:line="360" w:lineRule="auto"/>
        <w:jc w:val="both"/>
        <w:rPr>
          <w:rFonts w:ascii="Arial" w:hAnsi="Arial"/>
          <w:rtl/>
        </w:rPr>
      </w:pPr>
      <w:r w:rsidRPr="00324407">
        <w:rPr>
          <w:rFonts w:ascii="Arial" w:hAnsi="Arial"/>
          <w:rtl/>
        </w:rPr>
        <w:t>עם הגעת הנאשם אל המחסום, השוטר רידאן סימן לו עם פנס מהבהב לעצור לבדיקה. הנאשם שהבחין במחסום, האיץ את מהירות נסיעתו ונמלט במהירות לכיוון "הדרך האמריקאית" ומשם אל רחוב דיר אל עמוד. השוטרים נסעו אחריו וקראו לו באמצעות מערכת כריזה וצופר משטרתי לעצור, אך הוא המשיך במנוסה בכוונה להפריע לשוטרים במילוי תפקידם ולאחר מספר דקות, השליך דרך חלון רכבו את האקדח ואת המחסנית, בכוונה להכשיל הליך שיפוטי.</w:t>
      </w:r>
    </w:p>
    <w:p w14:paraId="3F544D03" w14:textId="77777777" w:rsidR="001C7351" w:rsidRPr="00324407" w:rsidRDefault="001C7351" w:rsidP="001C7351">
      <w:pPr>
        <w:spacing w:line="360" w:lineRule="auto"/>
        <w:jc w:val="both"/>
        <w:rPr>
          <w:rFonts w:ascii="Arial" w:hAnsi="Arial"/>
          <w:rtl/>
        </w:rPr>
      </w:pPr>
    </w:p>
    <w:p w14:paraId="201B4256" w14:textId="77777777" w:rsidR="001C7351" w:rsidRPr="00324407" w:rsidRDefault="001C7351" w:rsidP="001C7351">
      <w:pPr>
        <w:spacing w:line="360" w:lineRule="auto"/>
        <w:jc w:val="both"/>
        <w:rPr>
          <w:rFonts w:ascii="Arial" w:hAnsi="Arial"/>
          <w:rtl/>
        </w:rPr>
      </w:pPr>
      <w:r w:rsidRPr="00324407">
        <w:rPr>
          <w:rFonts w:ascii="Arial" w:hAnsi="Arial"/>
          <w:rtl/>
        </w:rPr>
        <w:t>סמוך לאחר מכן הגיע הנאשם אל דרך ללא מוצא בקרבת ביתו ושם נעצר. לאחר מעצרו, סירב הנאשם להזדהות בפני השוטרים וזאת בכוונה להפריע להם במילוי תפקידם.</w:t>
      </w:r>
    </w:p>
    <w:p w14:paraId="50CC9357" w14:textId="77777777" w:rsidR="001C7351" w:rsidRPr="00324407" w:rsidRDefault="001C7351" w:rsidP="001C7351">
      <w:pPr>
        <w:spacing w:line="360" w:lineRule="auto"/>
        <w:jc w:val="both"/>
        <w:rPr>
          <w:rFonts w:ascii="Arial" w:hAnsi="Arial"/>
          <w:rtl/>
        </w:rPr>
      </w:pPr>
    </w:p>
    <w:p w14:paraId="533D4FFD" w14:textId="77777777" w:rsidR="001C7351" w:rsidRPr="00324407" w:rsidRDefault="001C7351" w:rsidP="001C7351">
      <w:pPr>
        <w:spacing w:line="360" w:lineRule="auto"/>
        <w:jc w:val="both"/>
        <w:rPr>
          <w:rFonts w:ascii="Arial" w:hAnsi="Arial"/>
          <w:rtl/>
        </w:rPr>
      </w:pPr>
      <w:r w:rsidRPr="00324407">
        <w:rPr>
          <w:rFonts w:ascii="Arial" w:hAnsi="Arial"/>
          <w:b/>
          <w:bCs/>
          <w:u w:val="single"/>
          <w:rtl/>
        </w:rPr>
        <w:t>התסקירים מטעם שירות המבחן</w:t>
      </w:r>
      <w:r w:rsidRPr="00324407">
        <w:rPr>
          <w:rFonts w:ascii="Arial" w:hAnsi="Arial"/>
          <w:rtl/>
        </w:rPr>
        <w:t xml:space="preserve"> </w:t>
      </w:r>
    </w:p>
    <w:p w14:paraId="72327F83" w14:textId="77777777" w:rsidR="001C7351" w:rsidRPr="00324407" w:rsidRDefault="001C7351" w:rsidP="001C7351">
      <w:pPr>
        <w:spacing w:line="360" w:lineRule="auto"/>
        <w:jc w:val="both"/>
        <w:rPr>
          <w:rFonts w:ascii="Arial" w:hAnsi="Arial"/>
          <w:sz w:val="16"/>
          <w:szCs w:val="16"/>
          <w:rtl/>
        </w:rPr>
      </w:pPr>
    </w:p>
    <w:p w14:paraId="1652C64B" w14:textId="77777777" w:rsidR="001C7351" w:rsidRPr="00324407" w:rsidRDefault="001C7351" w:rsidP="001C7351">
      <w:pPr>
        <w:spacing w:line="360" w:lineRule="auto"/>
        <w:jc w:val="both"/>
        <w:rPr>
          <w:rFonts w:ascii="Arial" w:hAnsi="Arial"/>
          <w:rtl/>
        </w:rPr>
      </w:pPr>
      <w:r w:rsidRPr="00324407">
        <w:rPr>
          <w:rFonts w:ascii="Arial" w:hAnsi="Arial"/>
          <w:rtl/>
        </w:rPr>
        <w:t>3.</w:t>
      </w:r>
      <w:r w:rsidRPr="00324407">
        <w:rPr>
          <w:rFonts w:ascii="Arial" w:hAnsi="Arial"/>
          <w:rtl/>
        </w:rPr>
        <w:tab/>
      </w:r>
      <w:r w:rsidRPr="00324407">
        <w:rPr>
          <w:rFonts w:ascii="Arial" w:hAnsi="Arial"/>
          <w:b/>
          <w:bCs/>
          <w:u w:val="single"/>
          <w:rtl/>
        </w:rPr>
        <w:t>התסקיר מיום 29.9.2024</w:t>
      </w:r>
      <w:r w:rsidRPr="00324407">
        <w:rPr>
          <w:rFonts w:ascii="Arial" w:hAnsi="Arial"/>
          <w:b/>
          <w:bCs/>
          <w:rtl/>
        </w:rPr>
        <w:t>:</w:t>
      </w:r>
      <w:r w:rsidRPr="00324407">
        <w:rPr>
          <w:rFonts w:ascii="Arial" w:hAnsi="Arial"/>
          <w:rtl/>
        </w:rPr>
        <w:t xml:space="preserve"> על-פי התסקיר, הנאשם כבן 27, רווק. עד מעצרו עבד בחברת בנייה של אחיו וגר לסירוגין בבתים של משפחתו בירושלים ובדבוריה. כיום במעצר בית בבית משפחתו בשכונת צור באהר ובמועד מתן התסקיר, לא עבד.</w:t>
      </w:r>
    </w:p>
    <w:p w14:paraId="008DEEE9" w14:textId="77777777" w:rsidR="001C7351" w:rsidRPr="00324407" w:rsidRDefault="001C7351" w:rsidP="001C7351">
      <w:pPr>
        <w:spacing w:line="360" w:lineRule="auto"/>
        <w:jc w:val="both"/>
        <w:rPr>
          <w:rFonts w:ascii="Arial" w:hAnsi="Arial"/>
          <w:rtl/>
        </w:rPr>
      </w:pPr>
    </w:p>
    <w:p w14:paraId="601314F1" w14:textId="77777777" w:rsidR="001C7351" w:rsidRPr="00324407" w:rsidRDefault="001C7351" w:rsidP="001C7351">
      <w:pPr>
        <w:spacing w:line="360" w:lineRule="auto"/>
        <w:jc w:val="both"/>
        <w:rPr>
          <w:rFonts w:ascii="Arial" w:hAnsi="Arial"/>
          <w:rtl/>
        </w:rPr>
      </w:pPr>
      <w:r w:rsidRPr="00324407">
        <w:rPr>
          <w:rFonts w:ascii="Arial" w:hAnsi="Arial"/>
          <w:rtl/>
        </w:rPr>
        <w:t>הוריו של הנאשם פרודים, הוא הרביעי מבין חמישה ילדים. אביו עורך-דין במקצועו, אך עובד כמנהל חברת אבטחה. הוא תואר כהורה שלא נכח בחיי ילדיו ושהיחסים עמו רופפים, אך נטען כי לאחרונה בני המשפחה פועלים לחיזוק הקשר עמו. האם עקרת בית. היא תוארה כמשמעותית בחיי הילדים ונטען שחינכה אותם לערכי כבוד ולרכישת השכלה. לדברי הנאשם, אחיו מנהלים אורח חיים נורמטיבי וכי הקשר בינם תקין. הנאשם תיאר את מצבה הכלכלי של משפחתו כדחוק ולדבריו, חיי המשפחה התאפיינו בחוסר יציבות במקומות המגורים.</w:t>
      </w:r>
    </w:p>
    <w:p w14:paraId="57175983" w14:textId="77777777" w:rsidR="001C7351" w:rsidRPr="00324407" w:rsidRDefault="001C7351" w:rsidP="001C7351">
      <w:pPr>
        <w:spacing w:line="360" w:lineRule="auto"/>
        <w:jc w:val="both"/>
        <w:rPr>
          <w:rFonts w:ascii="Arial" w:hAnsi="Arial"/>
          <w:rtl/>
        </w:rPr>
      </w:pPr>
    </w:p>
    <w:p w14:paraId="35D1D47A" w14:textId="77777777" w:rsidR="001C7351" w:rsidRPr="00324407" w:rsidRDefault="001C7351" w:rsidP="001C7351">
      <w:pPr>
        <w:spacing w:line="360" w:lineRule="auto"/>
        <w:jc w:val="both"/>
        <w:rPr>
          <w:rFonts w:ascii="Arial" w:hAnsi="Arial"/>
          <w:rtl/>
        </w:rPr>
      </w:pPr>
      <w:r w:rsidRPr="00324407">
        <w:rPr>
          <w:rFonts w:ascii="Arial" w:hAnsi="Arial"/>
          <w:rtl/>
        </w:rPr>
        <w:t>הנאשם סיים שתיים-עשרה שנות לימוד עם תעודת בגרות מלאה. על רקע שינויים במקום מגורי המשפחה, עבר הנאשם מספר מסגרות לימוד ולטענתו, הדבר יצר תחושת זרות, גרם לפגיעתו מחבריו ללימודים ופגע בו רגשית. בשל מצב זה, בתקופת לימודי התיכון, העדיף להתבודד.</w:t>
      </w:r>
    </w:p>
    <w:p w14:paraId="4DD116A6" w14:textId="77777777" w:rsidR="001C7351" w:rsidRPr="00324407" w:rsidRDefault="001C7351" w:rsidP="001C7351">
      <w:pPr>
        <w:spacing w:line="360" w:lineRule="auto"/>
        <w:jc w:val="both"/>
        <w:rPr>
          <w:rFonts w:ascii="Arial" w:hAnsi="Arial"/>
          <w:rtl/>
        </w:rPr>
      </w:pPr>
    </w:p>
    <w:p w14:paraId="695EBF56" w14:textId="77777777" w:rsidR="001C7351" w:rsidRPr="00324407" w:rsidRDefault="001C7351" w:rsidP="001C7351">
      <w:pPr>
        <w:spacing w:line="360" w:lineRule="auto"/>
        <w:jc w:val="both"/>
        <w:rPr>
          <w:rFonts w:ascii="Arial" w:hAnsi="Arial"/>
          <w:rtl/>
        </w:rPr>
      </w:pPr>
      <w:r w:rsidRPr="00324407">
        <w:rPr>
          <w:rFonts w:ascii="Arial" w:hAnsi="Arial"/>
          <w:rtl/>
        </w:rPr>
        <w:t>לדברי הנאשם, הוא עבד מגיל צעיר כדי לסייע בפרנסת המשפחה וכאמור, עד מעצרו עבד בעסק משפחתי של אחיו בתחום הבניה בתפקיד אחראי צוות עובדים ועוזר בטיחות (הציג תעודה בעניין). לטענתו, הוא מתקשה למלא את צרכיו הבסיסיים בשל מצב כלכלי קשה הנובע מחובות שנוצרו לאחר שאחיו רשם עסק משפחתי שנקלע לקשיים על שמו. טרם מעצרו, החל בהליך חדלות פירעון שהופסק בשל ההליך הנדון. בהיבט החברתי, תיאר התחברות לחברה שולית ולמעורבים בפלילים ולדבריו, הדבר החמיר קונפליקטים עם בני משפחתו. עתה מתמקד ברצון לבניית עתיד חיובי והקמת משפחה. לדבריו, לאחרונה התארס אך האירוסים בוטלו בשל ההליך הנדון.</w:t>
      </w:r>
    </w:p>
    <w:p w14:paraId="72DF28B2" w14:textId="77777777" w:rsidR="001C7351" w:rsidRPr="00324407" w:rsidRDefault="001C7351" w:rsidP="001C7351">
      <w:pPr>
        <w:spacing w:line="360" w:lineRule="auto"/>
        <w:jc w:val="both"/>
        <w:rPr>
          <w:rFonts w:ascii="Arial" w:hAnsi="Arial"/>
          <w:rtl/>
        </w:rPr>
      </w:pPr>
    </w:p>
    <w:p w14:paraId="7629286D" w14:textId="77777777" w:rsidR="001C7351" w:rsidRPr="00324407" w:rsidRDefault="001C7351" w:rsidP="001C7351">
      <w:pPr>
        <w:spacing w:line="360" w:lineRule="auto"/>
        <w:jc w:val="both"/>
        <w:rPr>
          <w:rFonts w:ascii="Arial" w:hAnsi="Arial"/>
          <w:rtl/>
        </w:rPr>
      </w:pPr>
      <w:r w:rsidRPr="00324407">
        <w:rPr>
          <w:rFonts w:ascii="Arial" w:hAnsi="Arial"/>
          <w:rtl/>
        </w:rPr>
        <w:t>הנאשם שלל שימוש בחומרים פסיכו-אקטיביים ולדבריו, צרך אלכוהול רק באירועים חברתיים. בדיקה לשריד סם אמנם נמצאה נקייה. אין לחובתו הרשעות קודמות.</w:t>
      </w:r>
    </w:p>
    <w:p w14:paraId="2400CFDE" w14:textId="77777777" w:rsidR="001C7351" w:rsidRPr="00324407" w:rsidRDefault="001C7351" w:rsidP="001C7351">
      <w:pPr>
        <w:spacing w:line="360" w:lineRule="auto"/>
        <w:jc w:val="both"/>
        <w:rPr>
          <w:rFonts w:ascii="Arial" w:hAnsi="Arial"/>
          <w:rtl/>
        </w:rPr>
      </w:pPr>
    </w:p>
    <w:p w14:paraId="4E332B46" w14:textId="77777777" w:rsidR="001C7351" w:rsidRPr="00324407" w:rsidRDefault="001C7351" w:rsidP="001C7351">
      <w:pPr>
        <w:spacing w:line="360" w:lineRule="auto"/>
        <w:jc w:val="both"/>
        <w:rPr>
          <w:rFonts w:ascii="Arial" w:hAnsi="Arial"/>
          <w:rtl/>
        </w:rPr>
      </w:pPr>
      <w:r w:rsidRPr="00324407">
        <w:rPr>
          <w:rFonts w:ascii="Arial" w:hAnsi="Arial"/>
          <w:rtl/>
        </w:rPr>
        <w:t>בתקופת מעצרו היה נתון לצו פיקוח מעצרים שבמסגרתו שולב בקבוצה טיפולית בנצרת, המיועדת לעצורי בית והשתתף בה עד פקיעת הצו בחודש ספטמבר 2023. לפי הדיווח של מנחי הקבוצה, הוא הגיע למפגשים באופן סדיר, רקם קשרים חברתיים חיוביים והשתתף באופן פעיל. בין השאר, שיתף בקושי בשהייה הממושכת במעצר בפיקוח ללא עבודה. על-פי התרשמותם, חל שיפור קל ביכולת הנאשם להבין כי הרקע להתחברותו לחברה שולית היה רצון להעלאת דימויו העצמי.</w:t>
      </w:r>
    </w:p>
    <w:p w14:paraId="1C0FFC0A" w14:textId="77777777" w:rsidR="001C7351" w:rsidRPr="00324407" w:rsidRDefault="001C7351" w:rsidP="001C7351">
      <w:pPr>
        <w:spacing w:line="360" w:lineRule="auto"/>
        <w:jc w:val="both"/>
        <w:rPr>
          <w:rFonts w:ascii="Arial" w:hAnsi="Arial"/>
          <w:rtl/>
        </w:rPr>
      </w:pPr>
    </w:p>
    <w:p w14:paraId="2C44DCC8" w14:textId="77777777" w:rsidR="001C7351" w:rsidRPr="00324407" w:rsidRDefault="001C7351" w:rsidP="001C7351">
      <w:pPr>
        <w:spacing w:line="360" w:lineRule="auto"/>
        <w:jc w:val="both"/>
        <w:rPr>
          <w:rFonts w:ascii="Arial" w:hAnsi="Arial"/>
          <w:rtl/>
        </w:rPr>
      </w:pPr>
      <w:r w:rsidRPr="00324407">
        <w:rPr>
          <w:rFonts w:ascii="Arial" w:hAnsi="Arial"/>
          <w:rtl/>
        </w:rPr>
        <w:t xml:space="preserve">הנאשם הכיר באופן מלא באחריותו למעשיו, תיאר את מעורבותו בעבירות כנובעת מקשר עם חברה שולית. בעניין העבירות ונסיבותיהן נאמר, כי לדברי הנאשם, החזיק בנשק לבקשת חבר, כי חווה פחד ואיום שחיבלו ביכולתו לשקול את הפסול במעשיו ולדבריו, האיץ את נסיעתו בשל פחד להיתפס. נטען כי הוא שלל את האפשרות שמעשיו היו פרי תכנון, כי הייתה לו כוונה לפגוע או להשיג רווח כספי וטען כי פעל מתוך רצון להשתייכות, ריצוי אחרים וחיזוק דימויו העצמי. לדבריו, המעצר וההליך המשפטי הבהירו לו את חומרת מעשיו, והוא הביע אכזבה ותסכול מכך שמעשיו </w:t>
      </w:r>
      <w:r>
        <w:rPr>
          <w:rFonts w:ascii="Arial" w:hAnsi="Arial" w:hint="cs"/>
          <w:rtl/>
        </w:rPr>
        <w:t>קטעו את</w:t>
      </w:r>
      <w:r w:rsidRPr="00324407">
        <w:rPr>
          <w:rFonts w:ascii="Arial" w:hAnsi="Arial"/>
          <w:rtl/>
        </w:rPr>
        <w:t xml:space="preserve"> הרצף התעסוקתי שלו ובניית עתידו. הנאשם הביע רצון לערוך שינוי משמעותי בחייו כדי להימנע ממעורבות בפלילים והתחברות לחברה שולית, הביע צער על התנהלותו ובדיעבד הבין כי היה עליו לסרב לבקשת החבר ולפנות אל גורמי החוק. כן נאמר, כי ה</w:t>
      </w:r>
      <w:r>
        <w:rPr>
          <w:rFonts w:ascii="Arial" w:hAnsi="Arial" w:hint="cs"/>
          <w:rtl/>
        </w:rPr>
        <w:t>וא</w:t>
      </w:r>
      <w:r w:rsidRPr="00324407">
        <w:rPr>
          <w:rFonts w:ascii="Arial" w:hAnsi="Arial"/>
          <w:rtl/>
        </w:rPr>
        <w:t xml:space="preserve"> הביע עמדות המתנגדות לאלימות ו</w:t>
      </w:r>
      <w:r>
        <w:rPr>
          <w:rFonts w:ascii="Arial" w:hAnsi="Arial" w:hint="cs"/>
          <w:rtl/>
        </w:rPr>
        <w:t xml:space="preserve">ביטא </w:t>
      </w:r>
      <w:r w:rsidRPr="00324407">
        <w:rPr>
          <w:rFonts w:ascii="Arial" w:hAnsi="Arial"/>
          <w:rtl/>
        </w:rPr>
        <w:t>ביקורת עצמית.</w:t>
      </w:r>
    </w:p>
    <w:p w14:paraId="68D6B3A1" w14:textId="77777777" w:rsidR="001C7351" w:rsidRPr="00324407" w:rsidRDefault="001C7351" w:rsidP="001C7351">
      <w:pPr>
        <w:spacing w:line="360" w:lineRule="auto"/>
        <w:jc w:val="both"/>
        <w:rPr>
          <w:rFonts w:ascii="Arial" w:hAnsi="Arial"/>
          <w:rtl/>
        </w:rPr>
      </w:pPr>
    </w:p>
    <w:p w14:paraId="0FB61290" w14:textId="77777777" w:rsidR="001C7351" w:rsidRPr="00324407" w:rsidRDefault="001C7351" w:rsidP="001C7351">
      <w:pPr>
        <w:spacing w:line="360" w:lineRule="auto"/>
        <w:jc w:val="both"/>
        <w:rPr>
          <w:rFonts w:ascii="Arial" w:hAnsi="Arial"/>
          <w:rtl/>
        </w:rPr>
      </w:pPr>
      <w:r w:rsidRPr="00324407">
        <w:rPr>
          <w:rFonts w:ascii="Arial" w:hAnsi="Arial"/>
          <w:rtl/>
        </w:rPr>
        <w:t>בעניין הסיכוי לשיקום נאמר, כי הנאשם צעיר, נעדר הרשעות קודמות, בעל יכולות ורבאליות, הסתגלות ותפקוד תקינות, בעל שאיפות נורמטיביות ויכולת להתבונן באופן ביקורתי על התנהלותו וכי באלו יש כדי להצביע על סיכוי לשיקום. לעומת זאת, כגורמי סיכון צוין כי הנאשם בעל דימוי עצמי נמוך, על רקע חסכים רגשיים שחווה בילדותו ואף ניכר כי הוריו התקשו לספק מענה לקשייו. משפחתו מאופיינת באורח חיים הישרדותי, לא סיפקה את כל צרכיו ותרמה לתסכולים מתמשכים שעמם התקשה להתמודד. בשל כך פיתח עצמאות שלא תאמה את גילו והובילה להתחברות לחברה שולית.</w:t>
      </w:r>
    </w:p>
    <w:p w14:paraId="56F2E771" w14:textId="77777777" w:rsidR="001C7351" w:rsidRPr="00324407" w:rsidRDefault="001C7351" w:rsidP="001C7351">
      <w:pPr>
        <w:spacing w:line="360" w:lineRule="auto"/>
        <w:jc w:val="both"/>
        <w:rPr>
          <w:rFonts w:ascii="Arial" w:hAnsi="Arial"/>
          <w:rtl/>
        </w:rPr>
      </w:pPr>
    </w:p>
    <w:p w14:paraId="3FA5BEAE" w14:textId="77777777" w:rsidR="001C7351" w:rsidRPr="00324407" w:rsidRDefault="001C7351" w:rsidP="001C7351">
      <w:pPr>
        <w:spacing w:line="360" w:lineRule="auto"/>
        <w:jc w:val="both"/>
        <w:rPr>
          <w:rFonts w:ascii="Arial" w:hAnsi="Arial"/>
          <w:rtl/>
        </w:rPr>
      </w:pPr>
      <w:r w:rsidRPr="00324407">
        <w:rPr>
          <w:rFonts w:ascii="Arial" w:hAnsi="Arial"/>
          <w:rtl/>
        </w:rPr>
        <w:t>לנוכח התרשמות שירות המבחן כאמור, החרטה הכנה שהנאשם הביע, יכולת החשיבה הביקורתית שהציג, העובדה שביטא נזקקות טיפולית, מאחר שההליך המשפטי משמש עבורו גורם מרתיע ובשל שיתוף הפעולה, הוערך כי רמת הסיכון להישנות התנהלות אלימה היא ברף נמוך-בינוני ואם תישנה, חומרתה תהיה נמוכה. על רקע האמור הומלץ על דחיית הטיעונים לעונש בארבעה חודשים, כדי לאפשר לנאשם בתקופה זו להשתלב בקבוצה ייעודית לעוברי חוק במחוז ירושלים.</w:t>
      </w:r>
    </w:p>
    <w:p w14:paraId="5490F0E0" w14:textId="77777777" w:rsidR="001C7351" w:rsidRPr="00324407" w:rsidRDefault="001C7351" w:rsidP="001C7351">
      <w:pPr>
        <w:spacing w:line="360" w:lineRule="auto"/>
        <w:jc w:val="both"/>
        <w:rPr>
          <w:rFonts w:ascii="Arial" w:hAnsi="Arial"/>
          <w:rtl/>
        </w:rPr>
      </w:pPr>
    </w:p>
    <w:p w14:paraId="5775AF25" w14:textId="77777777" w:rsidR="001C7351" w:rsidRPr="00324407" w:rsidRDefault="001C7351" w:rsidP="001C7351">
      <w:pPr>
        <w:spacing w:line="360" w:lineRule="auto"/>
        <w:jc w:val="both"/>
        <w:rPr>
          <w:rFonts w:ascii="Arial" w:hAnsi="Arial"/>
          <w:u w:val="single"/>
          <w:rtl/>
        </w:rPr>
      </w:pPr>
      <w:r w:rsidRPr="00324407">
        <w:rPr>
          <w:rFonts w:ascii="Arial" w:hAnsi="Arial"/>
          <w:rtl/>
        </w:rPr>
        <w:t>4.</w:t>
      </w:r>
      <w:r w:rsidRPr="00324407">
        <w:rPr>
          <w:rFonts w:ascii="Arial" w:hAnsi="Arial"/>
          <w:rtl/>
        </w:rPr>
        <w:tab/>
      </w:r>
      <w:r w:rsidRPr="00324407">
        <w:rPr>
          <w:rFonts w:ascii="Arial" w:hAnsi="Arial"/>
          <w:b/>
          <w:bCs/>
          <w:u w:val="single"/>
          <w:rtl/>
        </w:rPr>
        <w:t>התסקיר מיום 7.1.2025</w:t>
      </w:r>
      <w:r w:rsidRPr="00324407">
        <w:rPr>
          <w:rFonts w:ascii="Arial" w:hAnsi="Arial"/>
          <w:b/>
          <w:bCs/>
          <w:rtl/>
        </w:rPr>
        <w:t>:</w:t>
      </w:r>
      <w:r w:rsidRPr="00324407">
        <w:rPr>
          <w:rFonts w:ascii="Arial" w:hAnsi="Arial"/>
          <w:rtl/>
        </w:rPr>
        <w:t xml:space="preserve"> דווח על כך שהנאשם בקשר טלפוני עם שירות המבחן וכן על כך שהחל לעבוד עם אביו באבטחה בשעות הבוקר ושאביו ערב לעמידתו בתנאים. בעניין הקבוצה הטיפולית, נאמר כי הנאשם היה ברשימת המתנה, וכי רק ביום 6.1.2025 שולב בקבוצה הטיפולית ונכח במפגש הראשון. לנוכח ההתרשמות מנכונות הנאשם להשתלב בתהליך טיפולי והמוטיבציה הראשונית שגילה לכך הומלץ על דחייה נוספת בת שלושה חודשים שתאפשר לבחון את מידת הירתמות הנאשם למסגרת הטיפולית.</w:t>
      </w:r>
    </w:p>
    <w:p w14:paraId="58CCFC40" w14:textId="77777777" w:rsidR="001C7351" w:rsidRPr="00324407" w:rsidRDefault="001C7351" w:rsidP="001C7351">
      <w:pPr>
        <w:spacing w:line="360" w:lineRule="auto"/>
        <w:jc w:val="both"/>
        <w:rPr>
          <w:rFonts w:ascii="Arial" w:hAnsi="Arial"/>
          <w:u w:val="single"/>
          <w:rtl/>
        </w:rPr>
      </w:pPr>
    </w:p>
    <w:p w14:paraId="4AF60CF9" w14:textId="77777777" w:rsidR="001C7351" w:rsidRPr="00324407" w:rsidRDefault="001C7351" w:rsidP="001C7351">
      <w:pPr>
        <w:spacing w:line="360" w:lineRule="auto"/>
        <w:jc w:val="both"/>
        <w:rPr>
          <w:rFonts w:ascii="Arial" w:hAnsi="Arial"/>
          <w:u w:val="single"/>
          <w:rtl/>
        </w:rPr>
      </w:pPr>
      <w:r w:rsidRPr="00324407">
        <w:rPr>
          <w:rFonts w:ascii="Arial" w:hAnsi="Arial"/>
          <w:rtl/>
        </w:rPr>
        <w:t>5.</w:t>
      </w:r>
      <w:r w:rsidRPr="00324407">
        <w:rPr>
          <w:rFonts w:ascii="Arial" w:hAnsi="Arial"/>
          <w:rtl/>
        </w:rPr>
        <w:tab/>
      </w:r>
      <w:r w:rsidRPr="00324407">
        <w:rPr>
          <w:rFonts w:ascii="Arial" w:hAnsi="Arial"/>
          <w:b/>
          <w:bCs/>
          <w:u w:val="single"/>
          <w:rtl/>
        </w:rPr>
        <w:t>התסקיר מיום 8.1.2025</w:t>
      </w:r>
      <w:r w:rsidRPr="00324407">
        <w:rPr>
          <w:rFonts w:ascii="Arial" w:hAnsi="Arial"/>
          <w:b/>
          <w:bCs/>
          <w:rtl/>
        </w:rPr>
        <w:t>:</w:t>
      </w:r>
      <w:r w:rsidRPr="00324407">
        <w:rPr>
          <w:rFonts w:ascii="Arial" w:hAnsi="Arial"/>
          <w:rtl/>
        </w:rPr>
        <w:t xml:space="preserve"> בעקבות החלטה מיום 8.1.2025, שדחתה את בקשת שירות המבחן לדחיית הדיון בשלושה חודשים נוספים, הוגש תסקיר משלים שכלל המלצה לעונש. בתסקיר נאמר כי עמדת שירות המבחן היא כי יש להעדיף את השיקול השיקומי ובהתאם לכך הומלץ להעמיד את הנאשם בצו מבחן למשך שמונה-עשר חודש שבמהלכו ימשיך בתהליך הטיפולי. כמו כן הומלץ להימנע מהשתת מאסר בפועל, שעשוי לגרום לרגרסיה בתפקוד הנאשם ולחשוף אותו בכלא לעוברי חוק. לפיכך הומלץ להשית מאסר בעבודות שירות, עונש מותנה מרתיע וקנס.</w:t>
      </w:r>
    </w:p>
    <w:p w14:paraId="5C5C919C" w14:textId="77777777" w:rsidR="001C7351" w:rsidRPr="00324407" w:rsidRDefault="001C7351" w:rsidP="001C7351">
      <w:pPr>
        <w:spacing w:line="360" w:lineRule="auto"/>
        <w:jc w:val="both"/>
        <w:rPr>
          <w:rFonts w:ascii="Arial" w:hAnsi="Arial"/>
          <w:rtl/>
        </w:rPr>
      </w:pPr>
    </w:p>
    <w:p w14:paraId="664AEFC0" w14:textId="77777777" w:rsidR="001C7351" w:rsidRPr="00324407" w:rsidRDefault="001C7351" w:rsidP="001C7351">
      <w:pPr>
        <w:spacing w:line="360" w:lineRule="auto"/>
        <w:jc w:val="both"/>
        <w:rPr>
          <w:rFonts w:ascii="Arial" w:hAnsi="Arial"/>
          <w:rtl/>
        </w:rPr>
      </w:pPr>
      <w:r w:rsidRPr="00324407">
        <w:rPr>
          <w:rFonts w:ascii="Arial" w:hAnsi="Arial"/>
          <w:rtl/>
        </w:rPr>
        <w:t>6.</w:t>
      </w:r>
      <w:r w:rsidRPr="00324407">
        <w:rPr>
          <w:rFonts w:ascii="Arial" w:hAnsi="Arial"/>
          <w:rtl/>
        </w:rPr>
        <w:tab/>
      </w:r>
      <w:r w:rsidRPr="00324407">
        <w:rPr>
          <w:rFonts w:ascii="Arial" w:hAnsi="Arial"/>
          <w:b/>
          <w:bCs/>
          <w:u w:val="single"/>
          <w:rtl/>
        </w:rPr>
        <w:t>התסקיר מיום 10.2.2025</w:t>
      </w:r>
      <w:r w:rsidRPr="00324407">
        <w:rPr>
          <w:rFonts w:ascii="Arial" w:hAnsi="Arial"/>
          <w:b/>
          <w:bCs/>
          <w:rtl/>
        </w:rPr>
        <w:t>:</w:t>
      </w:r>
      <w:r w:rsidRPr="00324407">
        <w:rPr>
          <w:rFonts w:ascii="Arial" w:hAnsi="Arial"/>
          <w:rtl/>
        </w:rPr>
        <w:t xml:space="preserve"> דווח על המשך השתתפות הנאשם בקבוצה הטיפולית שבה שולב. נמסר כי הוא משתתף פעיל, כי נכח בכל המפגשים וכי הוא מייצר קשרים חיוביים עם משתתפי הקבוצה, מביע רצון לניהול אורח חיים נורמטיבי ונכונות להמשך השתתפותו בקבוצה. לפיכך שירות המבחן המליץ על המשך השתתפות הנאשם במסגרת הטיפולית. </w:t>
      </w:r>
    </w:p>
    <w:p w14:paraId="63DC9009" w14:textId="77777777" w:rsidR="001C7351" w:rsidRPr="00324407" w:rsidRDefault="001C7351" w:rsidP="001C7351">
      <w:pPr>
        <w:spacing w:line="360" w:lineRule="auto"/>
        <w:jc w:val="both"/>
        <w:rPr>
          <w:rFonts w:ascii="Arial" w:hAnsi="Arial"/>
          <w:rtl/>
        </w:rPr>
      </w:pPr>
    </w:p>
    <w:p w14:paraId="1F8E89B4" w14:textId="77777777" w:rsidR="001C7351" w:rsidRPr="00324407" w:rsidRDefault="001C7351" w:rsidP="001C7351">
      <w:pPr>
        <w:spacing w:line="360" w:lineRule="auto"/>
        <w:jc w:val="both"/>
        <w:rPr>
          <w:rFonts w:ascii="Arial" w:hAnsi="Arial"/>
          <w:rtl/>
        </w:rPr>
      </w:pPr>
      <w:r w:rsidRPr="00324407">
        <w:rPr>
          <w:rFonts w:ascii="Arial" w:hAnsi="Arial"/>
          <w:b/>
          <w:bCs/>
          <w:u w:val="single"/>
          <w:rtl/>
        </w:rPr>
        <w:t>טענות הצדדים בעניין העונש ודברי הנאשם</w:t>
      </w:r>
    </w:p>
    <w:p w14:paraId="3A458F77" w14:textId="77777777" w:rsidR="001C7351" w:rsidRPr="00731802" w:rsidRDefault="001C7351" w:rsidP="001C7351">
      <w:pPr>
        <w:spacing w:line="360" w:lineRule="auto"/>
        <w:jc w:val="both"/>
        <w:rPr>
          <w:rFonts w:ascii="Arial" w:hAnsi="Arial"/>
          <w:sz w:val="16"/>
          <w:szCs w:val="16"/>
          <w:rtl/>
        </w:rPr>
      </w:pPr>
    </w:p>
    <w:p w14:paraId="199D903D" w14:textId="77777777" w:rsidR="001C7351" w:rsidRPr="00324407" w:rsidRDefault="001C7351" w:rsidP="001C7351">
      <w:pPr>
        <w:spacing w:line="360" w:lineRule="auto"/>
        <w:jc w:val="both"/>
        <w:rPr>
          <w:rFonts w:ascii="Arial" w:hAnsi="Arial"/>
          <w:rtl/>
        </w:rPr>
      </w:pPr>
      <w:r w:rsidRPr="00324407">
        <w:rPr>
          <w:rFonts w:ascii="Arial" w:hAnsi="Arial"/>
          <w:rtl/>
        </w:rPr>
        <w:t>7.</w:t>
      </w:r>
      <w:r w:rsidRPr="00324407">
        <w:rPr>
          <w:rFonts w:ascii="Arial" w:hAnsi="Arial"/>
          <w:rtl/>
        </w:rPr>
        <w:tab/>
      </w:r>
      <w:r w:rsidRPr="00324407">
        <w:rPr>
          <w:rFonts w:ascii="Arial" w:hAnsi="Arial"/>
          <w:b/>
          <w:bCs/>
          <w:u w:val="single"/>
          <w:rtl/>
        </w:rPr>
        <w:t>טענות המאשימה</w:t>
      </w:r>
      <w:r w:rsidRPr="00324407">
        <w:rPr>
          <w:rFonts w:ascii="Arial" w:hAnsi="Arial"/>
          <w:b/>
          <w:bCs/>
          <w:rtl/>
        </w:rPr>
        <w:t>:</w:t>
      </w:r>
      <w:r w:rsidRPr="00324407">
        <w:rPr>
          <w:rFonts w:ascii="Arial" w:hAnsi="Arial"/>
          <w:rtl/>
        </w:rPr>
        <w:t xml:space="preserve"> באת-כוח המאשימה הדגישה את חומרת עבירות הנשק ואת פוטנציאל הנזק הגלום בהן וכן הטעימה את העובדה שלעבירות אלו נקבע עונש מזערי חובה, שבנסיבות הנדונות עומד על 30 חודשי מאסר. נטען כי חומרת נסיבות העבירה נובעות גם מכך שהנאשם נשא את האקדח עם מחסנית תואמת וכדורים, כך שהנשק היה זמין לשימוש וכן מהתנהלותו, שכללה את הימלטותו מהשוטרים, את השלכת הנשק ואת סירובו להזדהות.</w:t>
      </w:r>
    </w:p>
    <w:p w14:paraId="4CB33CFD" w14:textId="77777777" w:rsidR="001C7351" w:rsidRPr="00324407" w:rsidRDefault="001C7351" w:rsidP="001C7351">
      <w:pPr>
        <w:spacing w:line="360" w:lineRule="auto"/>
        <w:jc w:val="both"/>
        <w:rPr>
          <w:rFonts w:ascii="Arial" w:hAnsi="Arial"/>
          <w:rtl/>
        </w:rPr>
      </w:pPr>
    </w:p>
    <w:p w14:paraId="1337A508" w14:textId="77777777" w:rsidR="001C7351" w:rsidRPr="00324407" w:rsidRDefault="001C7351" w:rsidP="001C7351">
      <w:pPr>
        <w:spacing w:line="360" w:lineRule="auto"/>
        <w:jc w:val="both"/>
        <w:rPr>
          <w:rFonts w:ascii="Arial" w:hAnsi="Arial"/>
          <w:rtl/>
        </w:rPr>
      </w:pPr>
      <w:r w:rsidRPr="00324407">
        <w:rPr>
          <w:rFonts w:ascii="Arial" w:hAnsi="Arial"/>
          <w:rtl/>
        </w:rPr>
        <w:t xml:space="preserve">בעניין מדיניות הענישה הנוהגת הפנתה באת-כוח המאשימה אל חמישה פסקי-דין, שיפורטו בהמשך הדברים. בהתאם למדיניות זו ולאמור, עמדת המאשימה היא כי יש לקבוע מתחם עונש הולם אחד לכל העבירות, שיהיה בין 27 ל-50 חודשי מאסר בפועל לצד ענישה נלווית. </w:t>
      </w:r>
    </w:p>
    <w:p w14:paraId="58C2E5B1" w14:textId="77777777" w:rsidR="001C7351" w:rsidRPr="00324407" w:rsidRDefault="001C7351" w:rsidP="001C7351">
      <w:pPr>
        <w:spacing w:line="360" w:lineRule="auto"/>
        <w:jc w:val="both"/>
        <w:rPr>
          <w:rFonts w:ascii="Arial" w:hAnsi="Arial"/>
          <w:rtl/>
        </w:rPr>
      </w:pPr>
    </w:p>
    <w:p w14:paraId="47F2A392" w14:textId="77777777" w:rsidR="001C7351" w:rsidRPr="00324407" w:rsidRDefault="001C7351" w:rsidP="001C7351">
      <w:pPr>
        <w:spacing w:line="360" w:lineRule="auto"/>
        <w:jc w:val="both"/>
        <w:rPr>
          <w:rFonts w:ascii="Arial" w:hAnsi="Arial"/>
          <w:rtl/>
        </w:rPr>
      </w:pPr>
      <w:r w:rsidRPr="00324407">
        <w:rPr>
          <w:rFonts w:ascii="Arial" w:hAnsi="Arial"/>
          <w:rtl/>
        </w:rPr>
        <w:t>בכל הנוגע לנסיבותיו של הנאשם ולמיקום העונש בגדרי המתחם, נטען כי הנאשם הודה, הכיר באחריותו למעשיי העבירות, הוא נעדר עבר פלילי ומשתף פעולה עם שירות המבחן. עם זאת הודגש, כי מדובר בעבירות נשק שלגביהן נקבע לא אחת, כי לנוכח חומרתן הרבה, יש להחמיר בעונשם של עובריהן, תוך מתן משקל גם לשיקולי הרתעת הרבים ולשיקולי הרתעת היחיד.</w:t>
      </w:r>
    </w:p>
    <w:p w14:paraId="427A03F0" w14:textId="77777777" w:rsidR="001C7351" w:rsidRPr="00324407" w:rsidRDefault="001C7351" w:rsidP="001C7351">
      <w:pPr>
        <w:spacing w:line="360" w:lineRule="auto"/>
        <w:jc w:val="both"/>
        <w:rPr>
          <w:rFonts w:ascii="Arial" w:hAnsi="Arial"/>
          <w:rtl/>
        </w:rPr>
      </w:pPr>
    </w:p>
    <w:p w14:paraId="5DF5D73E" w14:textId="77777777" w:rsidR="001C7351" w:rsidRPr="00324407" w:rsidRDefault="001C7351" w:rsidP="001C7351">
      <w:pPr>
        <w:spacing w:line="360" w:lineRule="auto"/>
        <w:jc w:val="both"/>
        <w:rPr>
          <w:rFonts w:ascii="Arial" w:hAnsi="Arial"/>
          <w:rtl/>
        </w:rPr>
      </w:pPr>
      <w:r w:rsidRPr="00324407">
        <w:rPr>
          <w:rFonts w:ascii="Arial" w:hAnsi="Arial"/>
          <w:rtl/>
        </w:rPr>
        <w:t xml:space="preserve">עוד נטען, כי אין לקבל את המלצת שירות המבחן, תוך חריגה ממתחם העונש משיקולי שיקום והסתפקות בעבודות שירות. נטען כי אפשרות זו שמורה למקרים חריגים שהמקרה הנדון אינו נמנה עמם. המאשימה הפנתה לכך שרק חודש קודם לדיון התבקשה דחייה כדי לבחון את יכולת הנאשם להירתם לטיפול ולמחרת כבר הומלץ על חריגה ממתחם העונש. כמו כן נטען, כי בכל מקרה, שיקולי שיקום אינם חזות הכול, כי עבירת הנשק חמורה ואף נעברה בנסיבות חמורות. לנוכח כלל טענותיה של המאשימה, נטען כי על עונשו של הנאשם להיקבע בתחתית מתחם העונש, תוך הטלת 27 חודשי מאסר בפועל, מאסר מותנה וקנס. </w:t>
      </w:r>
    </w:p>
    <w:p w14:paraId="3B4F432F" w14:textId="77777777" w:rsidR="001C7351" w:rsidRPr="00324407" w:rsidRDefault="001C7351" w:rsidP="001C7351">
      <w:pPr>
        <w:spacing w:line="360" w:lineRule="auto"/>
        <w:jc w:val="both"/>
        <w:rPr>
          <w:rFonts w:ascii="Arial" w:hAnsi="Arial"/>
          <w:rtl/>
        </w:rPr>
      </w:pPr>
    </w:p>
    <w:p w14:paraId="6AD13DDC" w14:textId="77777777" w:rsidR="001C7351" w:rsidRPr="00324407" w:rsidRDefault="001C7351" w:rsidP="001C7351">
      <w:pPr>
        <w:spacing w:line="360" w:lineRule="auto"/>
        <w:jc w:val="both"/>
        <w:rPr>
          <w:rFonts w:ascii="Arial" w:hAnsi="Arial"/>
          <w:rtl/>
        </w:rPr>
      </w:pPr>
      <w:r w:rsidRPr="00324407">
        <w:rPr>
          <w:rFonts w:ascii="Arial" w:hAnsi="Arial"/>
          <w:rtl/>
        </w:rPr>
        <w:t>8.</w:t>
      </w:r>
      <w:r w:rsidRPr="00324407">
        <w:rPr>
          <w:rFonts w:ascii="Arial" w:hAnsi="Arial"/>
          <w:rtl/>
        </w:rPr>
        <w:tab/>
      </w:r>
      <w:r w:rsidRPr="00324407">
        <w:rPr>
          <w:rFonts w:ascii="Arial" w:hAnsi="Arial"/>
          <w:b/>
          <w:bCs/>
          <w:u w:val="single"/>
          <w:rtl/>
        </w:rPr>
        <w:t>טענות ההגנה</w:t>
      </w:r>
      <w:r w:rsidRPr="00324407">
        <w:rPr>
          <w:rFonts w:ascii="Arial" w:hAnsi="Arial"/>
          <w:b/>
          <w:bCs/>
          <w:rtl/>
        </w:rPr>
        <w:t>:</w:t>
      </w:r>
      <w:r w:rsidRPr="00324407">
        <w:rPr>
          <w:rFonts w:ascii="Arial" w:hAnsi="Arial"/>
          <w:rtl/>
        </w:rPr>
        <w:t xml:space="preserve"> בא-כוח הנאשם הדגיש את חשיבות הענישה האינדיבידואלית ואת ההצדקה לסטייה ממדיניות הענישה הנהוגה בנסיבות המצדיקות זאת, כמו בנסיבות הנדונות. נטען כי הנאשם מצוי בעיצומו של תהליך טיפולי וכי שירות המבחן התרשם מכך שהוא נתרם מהטיפול. אמנם המחוקק קבע ענישה מזערית לעבירות נשק, אך גם נקבע כי ניתן לחרוג מענישה זו בנסיבות מתאימות, אם בפועל, לא נדרשת הרתעת הרבים והיחיד. כן נטען, כי לא אחת בתי המשפט סטו מהענישה הנוהגת גם לגבי עבירות נשק, אם נמצאה הצדקה לענישה מופחתת.  </w:t>
      </w:r>
    </w:p>
    <w:p w14:paraId="783F0E50" w14:textId="77777777" w:rsidR="001C7351" w:rsidRPr="00324407" w:rsidRDefault="001C7351" w:rsidP="001C7351">
      <w:pPr>
        <w:spacing w:line="360" w:lineRule="auto"/>
        <w:jc w:val="both"/>
        <w:rPr>
          <w:rFonts w:ascii="Arial" w:hAnsi="Arial"/>
          <w:rtl/>
        </w:rPr>
      </w:pPr>
    </w:p>
    <w:p w14:paraId="26151AC2" w14:textId="77777777" w:rsidR="001C7351" w:rsidRPr="00324407" w:rsidRDefault="001C7351" w:rsidP="001C7351">
      <w:pPr>
        <w:spacing w:line="360" w:lineRule="auto"/>
        <w:jc w:val="both"/>
        <w:rPr>
          <w:rFonts w:ascii="Arial" w:hAnsi="Arial"/>
          <w:rtl/>
        </w:rPr>
      </w:pPr>
      <w:r w:rsidRPr="00324407">
        <w:rPr>
          <w:rFonts w:ascii="Arial" w:hAnsi="Arial"/>
          <w:rtl/>
        </w:rPr>
        <w:t xml:space="preserve">בעניין נסיבותיו של הנאשם, הודגש כי הוא נעדר עבר פלילי, נטען כי היה במהלך לימודי השכלה גבוהה וכן נטען, כי הוא מתפקד בחברה ובמשפחה נורמטיביות לחלוטין. הוטעם כי לעתים אף בנסיבות חריגות בית המשפט ביטל הרשעה תוך ציון כי שיקום הנאשם הוא לא רק לטובתו, אלא לטובת החברה כולה (כדוגמה, הפנה אל </w:t>
      </w:r>
      <w:hyperlink r:id="rId20" w:history="1">
        <w:r w:rsidR="00DF3396" w:rsidRPr="00DF3396">
          <w:rPr>
            <w:rFonts w:ascii="Arial" w:hAnsi="Arial"/>
            <w:color w:val="0000FF"/>
            <w:u w:val="single"/>
            <w:rtl/>
          </w:rPr>
          <w:t>ע"פ 9090/00</w:t>
        </w:r>
      </w:hyperlink>
      <w:r w:rsidR="00DF3396">
        <w:rPr>
          <w:rFonts w:ascii="Arial" w:hAnsi="Arial"/>
          <w:rtl/>
        </w:rPr>
        <w:t xml:space="preserve"> </w:t>
      </w:r>
      <w:r w:rsidRPr="00324407">
        <w:rPr>
          <w:rFonts w:ascii="Arial" w:hAnsi="Arial"/>
          <w:b/>
          <w:bCs/>
          <w:rtl/>
        </w:rPr>
        <w:t>שניידרמן נ' מדינת ישראל</w:t>
      </w:r>
      <w:r w:rsidRPr="00324407">
        <w:rPr>
          <w:rFonts w:ascii="Arial" w:hAnsi="Arial"/>
          <w:rtl/>
        </w:rPr>
        <w:t xml:space="preserve"> </w:t>
      </w:r>
      <w:r w:rsidR="00A32D9C">
        <w:rPr>
          <w:rFonts w:ascii="Arial" w:hAnsi="Arial"/>
          <w:rtl/>
        </w:rPr>
        <w:t>[נבו]</w:t>
      </w:r>
      <w:r w:rsidR="00A32D9C">
        <w:rPr>
          <w:rFonts w:ascii="Arial" w:hAnsi="Arial" w:hint="cs"/>
          <w:rtl/>
        </w:rPr>
        <w:t xml:space="preserve"> </w:t>
      </w:r>
      <w:r w:rsidRPr="00324407">
        <w:rPr>
          <w:rFonts w:ascii="Arial" w:hAnsi="Arial"/>
          <w:rtl/>
        </w:rPr>
        <w:t xml:space="preserve">(22.2.2001)‏‏). נטען כי מדובר בנאשם בעל פוטנציאל שיקומי רב, שטעה ואף שילם על כך מחיר כבד, אשר התבטא בתקופת מעצרו הממושכת, בתקופת המעצר בפיקוח ובמשך מעצר הבית והעובדה שהנאשם הורשה לצאת מהבית לשעות מצומצמות בלבד לצורכי עבודה. </w:t>
      </w:r>
    </w:p>
    <w:p w14:paraId="12B05C85" w14:textId="77777777" w:rsidR="001C7351" w:rsidRPr="00324407" w:rsidRDefault="001C7351" w:rsidP="001C7351">
      <w:pPr>
        <w:spacing w:line="360" w:lineRule="auto"/>
        <w:jc w:val="both"/>
        <w:rPr>
          <w:rFonts w:ascii="Arial" w:hAnsi="Arial"/>
          <w:rtl/>
        </w:rPr>
      </w:pPr>
    </w:p>
    <w:p w14:paraId="12DA1E34" w14:textId="77777777" w:rsidR="001C7351" w:rsidRPr="00324407" w:rsidRDefault="001C7351" w:rsidP="001C7351">
      <w:pPr>
        <w:spacing w:line="360" w:lineRule="auto"/>
        <w:jc w:val="both"/>
        <w:rPr>
          <w:rFonts w:ascii="Arial" w:hAnsi="Arial"/>
          <w:rtl/>
        </w:rPr>
      </w:pPr>
      <w:r w:rsidRPr="00324407">
        <w:rPr>
          <w:rFonts w:ascii="Arial" w:hAnsi="Arial"/>
          <w:rtl/>
        </w:rPr>
        <w:t xml:space="preserve">בעניין התסקירים נטען, כי אין מקרים דוגמת המקרה הנדון, שבו שירות המבחן משבח את הנאשם לנוכח פוטנציאל השיקום. נטען כי יש לשקול את העובדה שחלפו שלוש שנים ממועד העבירות, כי זו הסתבכותו הראשונה של הנאשם בפלילים, כי הוא מכיר באחריותו למעשים, משתתף בטיפול, מורחק זמן רב מביתו חלקו במעצר בפועל וחלקו במעצר בפיקוח ובמעצר בית. הודגש כי הנאשם גדל במשפחה נורמטיבית, אביו עורך דין בהכשרתו ואחיו מנהלים חברת בניה גדולה ומשתפים פעולה עם גורמי הביטחון. כן נטען, כי מעשיי הנאשם ביישו את בני משפחתו ואף נפגעו מכך. כן הודגש שוב, כי הנאשם הפסיק את לימודיו הגבוהים וכן כי עבר תהליך מעמיק של התבוננות עצמית ותובנה כלפי מעשיו. </w:t>
      </w:r>
    </w:p>
    <w:p w14:paraId="54C57A18" w14:textId="77777777" w:rsidR="001C7351" w:rsidRPr="00324407" w:rsidRDefault="001C7351" w:rsidP="001C7351">
      <w:pPr>
        <w:spacing w:line="360" w:lineRule="auto"/>
        <w:jc w:val="both"/>
        <w:rPr>
          <w:rFonts w:ascii="Arial" w:hAnsi="Arial"/>
          <w:rtl/>
        </w:rPr>
      </w:pPr>
    </w:p>
    <w:p w14:paraId="36E9D651" w14:textId="77777777" w:rsidR="001C7351" w:rsidRPr="00324407" w:rsidRDefault="001C7351" w:rsidP="001C7351">
      <w:pPr>
        <w:spacing w:line="360" w:lineRule="auto"/>
        <w:jc w:val="both"/>
        <w:rPr>
          <w:rFonts w:ascii="Arial" w:hAnsi="Arial"/>
          <w:rtl/>
        </w:rPr>
      </w:pPr>
      <w:r w:rsidRPr="00324407">
        <w:rPr>
          <w:rFonts w:ascii="Arial" w:hAnsi="Arial"/>
          <w:rtl/>
        </w:rPr>
        <w:t xml:space="preserve">בכל הנוגע למדיניות הענישה הנהוגה, הפנה בא-כוח הנאשם אל שניים-עשר פסקי-דין שיידונו בהמשך הדברים. </w:t>
      </w:r>
      <w:r>
        <w:rPr>
          <w:rFonts w:ascii="Arial" w:hAnsi="Arial" w:hint="cs"/>
          <w:rtl/>
        </w:rPr>
        <w:t>נטען</w:t>
      </w:r>
      <w:r w:rsidRPr="00324407">
        <w:rPr>
          <w:rFonts w:ascii="Arial" w:hAnsi="Arial"/>
          <w:rtl/>
        </w:rPr>
        <w:t xml:space="preserve"> כי יש לתת משקל יתר לנסיבותיו של הנאשם לעומת </w:t>
      </w:r>
      <w:r>
        <w:rPr>
          <w:rFonts w:ascii="Arial" w:hAnsi="Arial" w:hint="cs"/>
          <w:rtl/>
        </w:rPr>
        <w:t>המשקל שניתן ל</w:t>
      </w:r>
      <w:r w:rsidRPr="00324407">
        <w:rPr>
          <w:rFonts w:ascii="Arial" w:hAnsi="Arial"/>
          <w:rtl/>
        </w:rPr>
        <w:t xml:space="preserve">עבירות שבהן הורשע, וכן </w:t>
      </w:r>
      <w:r>
        <w:rPr>
          <w:rFonts w:ascii="Arial" w:hAnsi="Arial" w:hint="cs"/>
          <w:rtl/>
        </w:rPr>
        <w:t xml:space="preserve">כי יש </w:t>
      </w:r>
      <w:r w:rsidRPr="00324407">
        <w:rPr>
          <w:rFonts w:ascii="Arial" w:hAnsi="Arial"/>
          <w:rtl/>
        </w:rPr>
        <w:t xml:space="preserve">לתת משקל רב לסיכויי שיקומו ובהתאם לכך לחרוג ממתחם העונש. כך בייחוד מהטעם שנדון בדו"ח ועדת דורנר, כי ככלל אין במאסר בפועל כדי בהכרח להביא תועלת ציבורית. </w:t>
      </w:r>
    </w:p>
    <w:p w14:paraId="43CFB4F9" w14:textId="77777777" w:rsidR="001C7351" w:rsidRPr="00324407" w:rsidRDefault="001C7351" w:rsidP="001C7351">
      <w:pPr>
        <w:spacing w:line="360" w:lineRule="auto"/>
        <w:jc w:val="both"/>
        <w:rPr>
          <w:rFonts w:ascii="Arial" w:hAnsi="Arial"/>
          <w:rtl/>
        </w:rPr>
      </w:pPr>
    </w:p>
    <w:p w14:paraId="125E7C3E" w14:textId="77777777" w:rsidR="001C7351" w:rsidRPr="00324407" w:rsidRDefault="001C7351" w:rsidP="001C7351">
      <w:pPr>
        <w:spacing w:line="360" w:lineRule="auto"/>
        <w:jc w:val="both"/>
        <w:rPr>
          <w:rFonts w:ascii="Arial" w:hAnsi="Arial"/>
          <w:rtl/>
        </w:rPr>
      </w:pPr>
      <w:r w:rsidRPr="00324407">
        <w:rPr>
          <w:rFonts w:ascii="Arial" w:hAnsi="Arial"/>
          <w:rtl/>
        </w:rPr>
        <w:t>9.</w:t>
      </w:r>
      <w:r w:rsidRPr="00324407">
        <w:rPr>
          <w:rFonts w:ascii="Arial" w:hAnsi="Arial"/>
          <w:rtl/>
        </w:rPr>
        <w:tab/>
      </w:r>
      <w:r w:rsidRPr="00324407">
        <w:rPr>
          <w:rFonts w:ascii="Arial" w:hAnsi="Arial"/>
          <w:b/>
          <w:bCs/>
          <w:u w:val="single"/>
          <w:rtl/>
        </w:rPr>
        <w:t>דברי הנאשם</w:t>
      </w:r>
      <w:r w:rsidRPr="00324407">
        <w:rPr>
          <w:rFonts w:ascii="Arial" w:hAnsi="Arial"/>
          <w:b/>
          <w:bCs/>
          <w:rtl/>
        </w:rPr>
        <w:t>:</w:t>
      </w:r>
      <w:r w:rsidRPr="00324407">
        <w:rPr>
          <w:rFonts w:ascii="Arial" w:hAnsi="Arial"/>
          <w:rtl/>
        </w:rPr>
        <w:t xml:space="preserve"> "אני מצטער על כל מה שקרה. אני ביישתי את המשפחה שלי. אנחנו לא אנשים כאלה. למדתי הרבה דברים. נהייתי מובס, עזבתי את האישה, עזבתי את הלימודים, עזבתי הכול. אני מצטער על הכול. אני מבקש סליחה". </w:t>
      </w:r>
    </w:p>
    <w:p w14:paraId="4DD10A73" w14:textId="77777777" w:rsidR="001C7351" w:rsidRPr="00324407" w:rsidRDefault="001C7351" w:rsidP="001C7351">
      <w:pPr>
        <w:spacing w:line="360" w:lineRule="auto"/>
        <w:jc w:val="both"/>
        <w:rPr>
          <w:rFonts w:ascii="Arial" w:hAnsi="Arial"/>
          <w:rtl/>
        </w:rPr>
      </w:pPr>
    </w:p>
    <w:p w14:paraId="678AB2E5" w14:textId="77777777" w:rsidR="001C7351" w:rsidRPr="00324407" w:rsidRDefault="001C7351" w:rsidP="001C7351">
      <w:pPr>
        <w:spacing w:line="360" w:lineRule="auto"/>
        <w:jc w:val="both"/>
        <w:rPr>
          <w:rFonts w:ascii="Arial" w:hAnsi="Arial"/>
          <w:b/>
          <w:bCs/>
          <w:u w:val="single"/>
          <w:rtl/>
        </w:rPr>
      </w:pPr>
      <w:r w:rsidRPr="00324407">
        <w:rPr>
          <w:rFonts w:ascii="Arial" w:hAnsi="Arial"/>
          <w:b/>
          <w:bCs/>
          <w:u w:val="single"/>
          <w:rtl/>
        </w:rPr>
        <w:t>דיון והכרעה</w:t>
      </w:r>
    </w:p>
    <w:p w14:paraId="4EFDE238" w14:textId="77777777" w:rsidR="001C7351" w:rsidRPr="00E62F97" w:rsidRDefault="001C7351" w:rsidP="001C7351">
      <w:pPr>
        <w:spacing w:line="360" w:lineRule="auto"/>
        <w:jc w:val="both"/>
        <w:rPr>
          <w:rFonts w:ascii="Arial" w:hAnsi="Arial"/>
          <w:b/>
          <w:bCs/>
          <w:sz w:val="16"/>
          <w:szCs w:val="16"/>
          <w:u w:val="single"/>
          <w:rtl/>
        </w:rPr>
      </w:pPr>
    </w:p>
    <w:p w14:paraId="7CDC4ED0" w14:textId="77777777" w:rsidR="001C7351" w:rsidRPr="00324407" w:rsidRDefault="001C7351" w:rsidP="001C7351">
      <w:pPr>
        <w:spacing w:line="360" w:lineRule="auto"/>
        <w:ind w:firstLine="720"/>
        <w:jc w:val="both"/>
        <w:rPr>
          <w:rFonts w:ascii="Arial" w:hAnsi="Arial"/>
          <w:u w:val="single"/>
          <w:rtl/>
        </w:rPr>
      </w:pPr>
      <w:r w:rsidRPr="00324407">
        <w:rPr>
          <w:rFonts w:ascii="Arial" w:hAnsi="Arial"/>
          <w:b/>
          <w:bCs/>
          <w:u w:val="single"/>
          <w:rtl/>
        </w:rPr>
        <w:t>- קביעת מתחם העונש ההולם</w:t>
      </w:r>
    </w:p>
    <w:p w14:paraId="2AC884EA" w14:textId="77777777" w:rsidR="001C7351" w:rsidRPr="00E62F97" w:rsidRDefault="001C7351" w:rsidP="001C7351">
      <w:pPr>
        <w:spacing w:line="360" w:lineRule="auto"/>
        <w:jc w:val="both"/>
        <w:rPr>
          <w:rFonts w:ascii="Arial" w:hAnsi="Arial"/>
          <w:sz w:val="16"/>
          <w:szCs w:val="16"/>
          <w:u w:val="single"/>
          <w:rtl/>
        </w:rPr>
      </w:pPr>
    </w:p>
    <w:p w14:paraId="699FC884" w14:textId="77777777" w:rsidR="001C7351" w:rsidRPr="00324407" w:rsidRDefault="001C7351" w:rsidP="001C7351">
      <w:pPr>
        <w:spacing w:line="360" w:lineRule="auto"/>
        <w:jc w:val="both"/>
        <w:rPr>
          <w:rFonts w:ascii="Arial" w:hAnsi="Arial"/>
          <w:rtl/>
        </w:rPr>
      </w:pPr>
      <w:r w:rsidRPr="00324407">
        <w:rPr>
          <w:rFonts w:ascii="Arial" w:hAnsi="Arial"/>
          <w:rtl/>
        </w:rPr>
        <w:t>10.</w:t>
      </w:r>
      <w:r w:rsidRPr="00324407">
        <w:rPr>
          <w:rFonts w:ascii="Arial" w:hAnsi="Arial"/>
          <w:rtl/>
        </w:rPr>
        <w:tab/>
      </w:r>
      <w:r w:rsidRPr="00324407">
        <w:rPr>
          <w:rFonts w:ascii="Arial" w:hAnsi="Arial"/>
          <w:b/>
          <w:bCs/>
          <w:u w:val="single"/>
          <w:rtl/>
        </w:rPr>
        <w:t>הערכים החברתיים שנפגעו מהעבירות</w:t>
      </w:r>
      <w:r w:rsidRPr="00324407">
        <w:rPr>
          <w:rFonts w:ascii="Arial" w:hAnsi="Arial"/>
          <w:u w:val="single"/>
          <w:rtl/>
        </w:rPr>
        <w:t xml:space="preserve"> </w:t>
      </w:r>
      <w:r w:rsidRPr="00324407">
        <w:rPr>
          <w:rFonts w:ascii="Arial" w:hAnsi="Arial"/>
          <w:b/>
          <w:bCs/>
          <w:u w:val="single"/>
          <w:rtl/>
        </w:rPr>
        <w:t>ומידת הפגיעה בהם</w:t>
      </w:r>
      <w:r w:rsidRPr="00324407">
        <w:rPr>
          <w:rFonts w:ascii="Arial" w:hAnsi="Arial"/>
          <w:b/>
          <w:bCs/>
          <w:rtl/>
        </w:rPr>
        <w:t>:</w:t>
      </w:r>
      <w:r w:rsidRPr="00324407">
        <w:rPr>
          <w:rFonts w:ascii="Arial" w:hAnsi="Arial"/>
          <w:rtl/>
        </w:rPr>
        <w:t xml:space="preserve"> עבירות נשק ובכלל זה, עבירות </w:t>
      </w:r>
      <w:r w:rsidRPr="00324407">
        <w:rPr>
          <w:rFonts w:ascii="Arial" w:hAnsi="Arial"/>
          <w:b/>
          <w:bCs/>
          <w:rtl/>
        </w:rPr>
        <w:t>נשיאת נשק</w:t>
      </w:r>
      <w:r w:rsidRPr="00324407">
        <w:rPr>
          <w:rFonts w:ascii="Arial" w:hAnsi="Arial"/>
          <w:rtl/>
        </w:rPr>
        <w:t xml:space="preserve"> ו</w:t>
      </w:r>
      <w:r w:rsidRPr="00324407">
        <w:rPr>
          <w:rFonts w:ascii="Arial" w:hAnsi="Arial"/>
          <w:b/>
          <w:bCs/>
          <w:rtl/>
        </w:rPr>
        <w:t>נשיאת אביזר נשק</w:t>
      </w:r>
      <w:r w:rsidRPr="00324407">
        <w:rPr>
          <w:rFonts w:ascii="Arial" w:hAnsi="Arial"/>
          <w:rtl/>
        </w:rPr>
        <w:t>, פוגעות בערכים אשר נועדו להגן על הציבור, על שלמות גופו, רכושו וביטחונו. פעם אחר פעם חוזר בית המשפט העליון ומדגיש את חומרתן של עבירות נשק, שזה מכבר הפכו ל</w:t>
      </w:r>
      <w:r w:rsidRPr="00324407">
        <w:rPr>
          <w:rFonts w:ascii="Arial" w:hAnsi="Arial"/>
          <w:b/>
          <w:bCs/>
          <w:rtl/>
        </w:rPr>
        <w:t>"מכת מדינה"</w:t>
      </w:r>
      <w:r w:rsidRPr="00324407">
        <w:rPr>
          <w:rFonts w:ascii="Arial" w:hAnsi="Arial"/>
          <w:rtl/>
        </w:rPr>
        <w:t xml:space="preserve"> ובהן העבירות הנדונות, אשר חומרתן נעוצה בפוטנציאל הנזק הרב הכרוך בהן ובסכנה לציבור הנשקפת מהן. לא אחת אף הודגש הצורך להרתיע את היחיד ואת הרבים מפני עיסוק בנשק ומפני העבירות הנדונות. הוטעם כי </w:t>
      </w:r>
      <w:r w:rsidRPr="00324407">
        <w:rPr>
          <w:rFonts w:ascii="Arial" w:hAnsi="Arial"/>
          <w:b/>
          <w:bCs/>
          <w:rtl/>
        </w:rPr>
        <w:t>"בשורה ארוכה של פסקי דין עמד בית משפט זה על החומרה הרבה הטמונה בעבירות נשק, עבירות שהפכו ל'מכת מדינה' ומגלמות סכנה ממשית לשלום הציבור ולביטחונו. בהתאם, ניכרת במהלך השנים מגמה של החמרה בענישה לצורך מיגור עבירות אלו, תוך מתן משקל לשיקולי הרתעה"</w:t>
      </w:r>
      <w:r w:rsidRPr="00324407">
        <w:rPr>
          <w:rFonts w:ascii="Arial" w:hAnsi="Arial"/>
          <w:rtl/>
        </w:rPr>
        <w:t xml:space="preserve"> (</w:t>
      </w:r>
      <w:hyperlink r:id="rId21" w:history="1">
        <w:r w:rsidR="00DF3396" w:rsidRPr="00DF3396">
          <w:rPr>
            <w:rFonts w:ascii="Arial" w:hAnsi="Arial"/>
            <w:color w:val="0000FF"/>
            <w:u w:val="single"/>
            <w:rtl/>
          </w:rPr>
          <w:t>ע"פ 2482/22</w:t>
        </w:r>
      </w:hyperlink>
      <w:r w:rsidRPr="00324407">
        <w:rPr>
          <w:rFonts w:ascii="Arial" w:hAnsi="Arial"/>
          <w:rtl/>
        </w:rPr>
        <w:t xml:space="preserve"> </w:t>
      </w:r>
      <w:r w:rsidRPr="00324407">
        <w:rPr>
          <w:rFonts w:ascii="Arial" w:hAnsi="Arial"/>
          <w:b/>
          <w:bCs/>
          <w:rtl/>
        </w:rPr>
        <w:t>מדינת ישראל נ'</w:t>
      </w:r>
      <w:r w:rsidRPr="00324407">
        <w:rPr>
          <w:rFonts w:ascii="Arial" w:hAnsi="Arial"/>
          <w:rtl/>
        </w:rPr>
        <w:t xml:space="preserve"> </w:t>
      </w:r>
      <w:r w:rsidRPr="00324407">
        <w:rPr>
          <w:rFonts w:ascii="Arial" w:hAnsi="Arial"/>
          <w:b/>
          <w:bCs/>
          <w:rtl/>
        </w:rPr>
        <w:t>קדורה</w:t>
      </w:r>
      <w:r w:rsidR="00DF3396">
        <w:rPr>
          <w:rFonts w:ascii="Arial" w:hAnsi="Arial"/>
          <w:rtl/>
        </w:rPr>
        <w:t xml:space="preserve"> </w:t>
      </w:r>
      <w:r w:rsidR="00A32D9C">
        <w:rPr>
          <w:rFonts w:ascii="Arial" w:hAnsi="Arial"/>
          <w:rtl/>
        </w:rPr>
        <w:t>[נבו]</w:t>
      </w:r>
      <w:r w:rsidR="00A32D9C">
        <w:rPr>
          <w:rFonts w:ascii="Arial" w:hAnsi="Arial" w:hint="cs"/>
          <w:rtl/>
        </w:rPr>
        <w:t xml:space="preserve"> </w:t>
      </w:r>
      <w:r w:rsidRPr="00324407">
        <w:rPr>
          <w:rFonts w:ascii="Arial" w:hAnsi="Arial"/>
          <w:rtl/>
        </w:rPr>
        <w:t xml:space="preserve">(14.4.2022)‏‏, כבוד השופט י' עמית, פסקה 5 והפסיקה שם. כן ראו, מתוך רבים: </w:t>
      </w:r>
      <w:hyperlink r:id="rId22" w:history="1">
        <w:r w:rsidR="00DF3396" w:rsidRPr="00DF3396">
          <w:rPr>
            <w:rFonts w:ascii="Arial" w:hAnsi="Arial"/>
            <w:color w:val="0000FF"/>
            <w:u w:val="single"/>
            <w:rtl/>
          </w:rPr>
          <w:t>ע"פ 135/17</w:t>
        </w:r>
      </w:hyperlink>
      <w:r w:rsidR="00DF3396">
        <w:rPr>
          <w:rFonts w:ascii="Arial" w:hAnsi="Arial"/>
          <w:rtl/>
        </w:rPr>
        <w:t xml:space="preserve"> </w:t>
      </w:r>
      <w:r w:rsidRPr="00324407">
        <w:rPr>
          <w:rFonts w:ascii="Arial" w:hAnsi="Arial"/>
          <w:b/>
          <w:bCs/>
          <w:rtl/>
        </w:rPr>
        <w:t>מדינת ישראל נ' בסל</w:t>
      </w:r>
      <w:r w:rsidR="00DF3396">
        <w:rPr>
          <w:rFonts w:ascii="Arial" w:hAnsi="Arial"/>
          <w:rtl/>
        </w:rPr>
        <w:t xml:space="preserve"> </w:t>
      </w:r>
      <w:r w:rsidR="00A32D9C">
        <w:rPr>
          <w:rFonts w:ascii="Arial" w:hAnsi="Arial"/>
          <w:rtl/>
        </w:rPr>
        <w:t>[נבו]</w:t>
      </w:r>
      <w:r w:rsidR="00A32D9C">
        <w:rPr>
          <w:rFonts w:ascii="Arial" w:hAnsi="Arial" w:hint="cs"/>
          <w:rtl/>
        </w:rPr>
        <w:t xml:space="preserve"> </w:t>
      </w:r>
      <w:r w:rsidRPr="00324407">
        <w:rPr>
          <w:rFonts w:ascii="Arial" w:hAnsi="Arial"/>
          <w:rtl/>
        </w:rPr>
        <w:t xml:space="preserve">(8.3.2017)‏‏, כבוד השופט נ' סולברג, פסקה 10; </w:t>
      </w:r>
      <w:hyperlink r:id="rId23" w:history="1">
        <w:r w:rsidR="00A32D9C" w:rsidRPr="00A32D9C">
          <w:rPr>
            <w:rStyle w:val="Hyperlink"/>
            <w:rFonts w:ascii="Arial" w:hAnsi="Arial"/>
            <w:rtl/>
          </w:rPr>
          <w:t>ע"פ 78/21</w:t>
        </w:r>
      </w:hyperlink>
      <w:r w:rsidRPr="00324407">
        <w:rPr>
          <w:rFonts w:ascii="Arial" w:hAnsi="Arial"/>
          <w:rtl/>
        </w:rPr>
        <w:t xml:space="preserve"> </w:t>
      </w:r>
      <w:r w:rsidRPr="00324407">
        <w:rPr>
          <w:rFonts w:ascii="Arial" w:hAnsi="Arial"/>
          <w:b/>
          <w:bCs/>
          <w:rtl/>
        </w:rPr>
        <w:t>פלוני נ' מדינת ישראל</w:t>
      </w:r>
      <w:r w:rsidR="00DF3396">
        <w:rPr>
          <w:rFonts w:ascii="Arial" w:hAnsi="Arial"/>
          <w:rtl/>
        </w:rPr>
        <w:t xml:space="preserve"> </w:t>
      </w:r>
      <w:r w:rsidR="00A32D9C">
        <w:rPr>
          <w:rFonts w:ascii="Arial" w:hAnsi="Arial"/>
          <w:rtl/>
        </w:rPr>
        <w:t>[נבו]</w:t>
      </w:r>
      <w:r w:rsidR="00A32D9C">
        <w:rPr>
          <w:rFonts w:ascii="Arial" w:hAnsi="Arial" w:hint="cs"/>
          <w:rtl/>
        </w:rPr>
        <w:t xml:space="preserve"> </w:t>
      </w:r>
      <w:r w:rsidRPr="00324407">
        <w:rPr>
          <w:rFonts w:ascii="Arial" w:hAnsi="Arial"/>
          <w:rtl/>
        </w:rPr>
        <w:t>(26.7.2022)‏‏, כבוד השופט י' אלרון, פסקאות 10-9).</w:t>
      </w:r>
    </w:p>
    <w:p w14:paraId="31DC630B" w14:textId="77777777" w:rsidR="001C7351" w:rsidRPr="00324407" w:rsidRDefault="001C7351" w:rsidP="001C7351">
      <w:pPr>
        <w:spacing w:line="360" w:lineRule="auto"/>
        <w:jc w:val="both"/>
        <w:rPr>
          <w:rFonts w:ascii="Arial" w:hAnsi="Arial"/>
          <w:rtl/>
        </w:rPr>
      </w:pPr>
    </w:p>
    <w:p w14:paraId="6ED076D5" w14:textId="77777777" w:rsidR="001C7351" w:rsidRPr="00324407" w:rsidRDefault="001C7351" w:rsidP="001C7351">
      <w:pPr>
        <w:spacing w:line="360" w:lineRule="auto"/>
        <w:jc w:val="both"/>
        <w:rPr>
          <w:rFonts w:ascii="Arial" w:hAnsi="Arial"/>
          <w:rtl/>
        </w:rPr>
      </w:pPr>
      <w:r w:rsidRPr="00324407">
        <w:rPr>
          <w:rFonts w:ascii="Arial" w:hAnsi="Arial"/>
          <w:rtl/>
        </w:rPr>
        <w:t xml:space="preserve">עבירת </w:t>
      </w:r>
      <w:r w:rsidRPr="00324407">
        <w:rPr>
          <w:rFonts w:ascii="Arial" w:hAnsi="Arial"/>
          <w:b/>
          <w:bCs/>
          <w:rtl/>
        </w:rPr>
        <w:t>שיבוש מהלכי משפט</w:t>
      </w:r>
      <w:r w:rsidRPr="00324407">
        <w:rPr>
          <w:rFonts w:ascii="Arial" w:hAnsi="Arial"/>
          <w:rtl/>
        </w:rPr>
        <w:t xml:space="preserve"> פוגעת בערכים שעניינם ההגנה על שלטון החוק והגנה על הסדר הציבורי, הבטחת תקינות ההליכים המשפטיים והגנה על טוהר ההליך המשפטי הדרוש לשם קיומה של מערכת משפט תקינה הזוכה לאמון הציבור (</w:t>
      </w:r>
      <w:hyperlink r:id="rId24" w:history="1">
        <w:r w:rsidR="00DF3396" w:rsidRPr="00DF3396">
          <w:rPr>
            <w:rFonts w:ascii="Arial" w:hAnsi="Arial"/>
            <w:color w:val="0000FF"/>
            <w:u w:val="single"/>
            <w:rtl/>
          </w:rPr>
          <w:t>ע"פ 8721/04</w:t>
        </w:r>
      </w:hyperlink>
      <w:r w:rsidRPr="00324407">
        <w:rPr>
          <w:rFonts w:ascii="Arial" w:hAnsi="Arial"/>
          <w:rtl/>
        </w:rPr>
        <w:t xml:space="preserve"> </w:t>
      </w:r>
      <w:r w:rsidRPr="00324407">
        <w:rPr>
          <w:rFonts w:ascii="Arial" w:hAnsi="Arial"/>
          <w:b/>
          <w:bCs/>
          <w:rtl/>
        </w:rPr>
        <w:t>אוחנה נ' מדינת ישראל</w:t>
      </w:r>
      <w:r w:rsidRPr="00324407">
        <w:rPr>
          <w:rFonts w:ascii="Arial" w:hAnsi="Arial"/>
          <w:rtl/>
        </w:rPr>
        <w:t xml:space="preserve"> </w:t>
      </w:r>
      <w:r w:rsidR="00A32D9C">
        <w:rPr>
          <w:rFonts w:ascii="Arial" w:hAnsi="Arial"/>
          <w:rtl/>
        </w:rPr>
        <w:t>[נבו]</w:t>
      </w:r>
      <w:r w:rsidR="00A32D9C">
        <w:rPr>
          <w:rFonts w:ascii="Arial" w:hAnsi="Arial" w:hint="cs"/>
          <w:rtl/>
        </w:rPr>
        <w:t xml:space="preserve"> </w:t>
      </w:r>
      <w:r w:rsidRPr="00324407">
        <w:rPr>
          <w:rFonts w:ascii="Arial" w:hAnsi="Arial"/>
          <w:rtl/>
        </w:rPr>
        <w:t xml:space="preserve">(17.6.2007), כבוד השופטת א' פרוקצ'יה, פסקה 21). בדומה, אף עבירת </w:t>
      </w:r>
      <w:r w:rsidRPr="00324407">
        <w:rPr>
          <w:rFonts w:ascii="Arial" w:hAnsi="Arial"/>
          <w:b/>
          <w:bCs/>
          <w:rtl/>
        </w:rPr>
        <w:t xml:space="preserve">הפרעה לשוטר בעת מילוי תפקידו </w:t>
      </w:r>
      <w:r w:rsidRPr="00324407">
        <w:rPr>
          <w:rFonts w:ascii="Arial" w:hAnsi="Arial"/>
          <w:rtl/>
        </w:rPr>
        <w:t>פוגעת בערכים שעניינם ההגנה על שלטון החוק והסדר הציבורי. עבירה זו אף פוגעת בצורך להבטיח את פעילות המשטרה, אשר יעילות פעילותה התקינה חיונית להבטחת הסדר הציבורי.</w:t>
      </w:r>
    </w:p>
    <w:p w14:paraId="4E6BC16A" w14:textId="77777777" w:rsidR="001C7351" w:rsidRPr="00324407" w:rsidRDefault="001C7351" w:rsidP="001C7351">
      <w:pPr>
        <w:spacing w:line="360" w:lineRule="auto"/>
        <w:jc w:val="both"/>
        <w:rPr>
          <w:rFonts w:ascii="Arial" w:hAnsi="Arial"/>
          <w:rtl/>
        </w:rPr>
      </w:pPr>
    </w:p>
    <w:p w14:paraId="16E7D90D" w14:textId="77777777" w:rsidR="001C7351" w:rsidRPr="00324407" w:rsidRDefault="001C7351" w:rsidP="001C7351">
      <w:pPr>
        <w:spacing w:line="360" w:lineRule="auto"/>
        <w:jc w:val="both"/>
        <w:rPr>
          <w:rFonts w:ascii="Arial" w:hAnsi="Arial"/>
          <w:rtl/>
        </w:rPr>
      </w:pPr>
      <w:r w:rsidRPr="00324407">
        <w:rPr>
          <w:rFonts w:ascii="Arial" w:hAnsi="Arial"/>
          <w:rtl/>
        </w:rPr>
        <w:t>בנסיבות הנדונות, הנאשם נשא נשק עם מחסנית וכדורים המוכנים לשימוש. עבירת שיבוש מהלכי משפט התבטאה בהשלכת האקדח והמחסנית הטעונה וההפרעה לשוטרים בעת מילוי תפקידם התבטאה בהימלטות מהם ובסירוב להזדהות. בנסיבות אלו, מידת הפגיעה בערכים המוגנים היא לכל הפחות במידה בינונית.</w:t>
      </w:r>
    </w:p>
    <w:p w14:paraId="577E7D85" w14:textId="77777777" w:rsidR="001C7351" w:rsidRPr="00324407" w:rsidRDefault="001C7351" w:rsidP="001C7351">
      <w:pPr>
        <w:spacing w:line="360" w:lineRule="auto"/>
        <w:jc w:val="both"/>
        <w:rPr>
          <w:rFonts w:ascii="Arial" w:hAnsi="Arial"/>
        </w:rPr>
      </w:pPr>
    </w:p>
    <w:p w14:paraId="2AA24131" w14:textId="77777777" w:rsidR="001C7351" w:rsidRPr="00324407" w:rsidRDefault="001C7351" w:rsidP="001C7351">
      <w:pPr>
        <w:spacing w:line="360" w:lineRule="auto"/>
        <w:jc w:val="both"/>
        <w:rPr>
          <w:rFonts w:ascii="Arial" w:hAnsi="Arial"/>
          <w:rtl/>
        </w:rPr>
      </w:pPr>
      <w:r w:rsidRPr="00324407">
        <w:rPr>
          <w:rFonts w:ascii="Arial" w:hAnsi="Arial"/>
          <w:rtl/>
        </w:rPr>
        <w:t>11.</w:t>
      </w:r>
      <w:r w:rsidRPr="00324407">
        <w:rPr>
          <w:rFonts w:ascii="Arial" w:hAnsi="Arial"/>
          <w:rtl/>
        </w:rPr>
        <w:tab/>
      </w:r>
      <w:r w:rsidRPr="00324407">
        <w:rPr>
          <w:rFonts w:ascii="Arial" w:hAnsi="Arial"/>
          <w:b/>
          <w:bCs/>
          <w:u w:val="single"/>
          <w:rtl/>
        </w:rPr>
        <w:t>מדיניות הענישה הנוהגת</w:t>
      </w:r>
      <w:r w:rsidRPr="00324407">
        <w:rPr>
          <w:rFonts w:ascii="Arial" w:hAnsi="Arial"/>
          <w:b/>
          <w:bCs/>
          <w:rtl/>
        </w:rPr>
        <w:t>:</w:t>
      </w:r>
      <w:r w:rsidRPr="00324407">
        <w:rPr>
          <w:rFonts w:ascii="Arial" w:hAnsi="Arial"/>
          <w:rtl/>
        </w:rPr>
        <w:t xml:space="preserve"> כאמור לעיל, באי-כוח שני הצדדים הפנו לפסיקה כלהלן.</w:t>
      </w:r>
    </w:p>
    <w:p w14:paraId="2DABC187" w14:textId="77777777" w:rsidR="001C7351" w:rsidRPr="00324407" w:rsidRDefault="001C7351" w:rsidP="001C7351">
      <w:pPr>
        <w:spacing w:line="360" w:lineRule="auto"/>
        <w:jc w:val="both"/>
        <w:rPr>
          <w:rFonts w:ascii="Arial" w:hAnsi="Arial"/>
          <w:rtl/>
        </w:rPr>
      </w:pPr>
    </w:p>
    <w:p w14:paraId="312C31E2" w14:textId="77777777" w:rsidR="001C7351" w:rsidRPr="00324407" w:rsidRDefault="001C7351" w:rsidP="001C7351">
      <w:pPr>
        <w:spacing w:line="360" w:lineRule="auto"/>
        <w:jc w:val="both"/>
        <w:rPr>
          <w:rFonts w:ascii="Arial" w:hAnsi="Arial"/>
          <w:rtl/>
        </w:rPr>
      </w:pPr>
      <w:r w:rsidRPr="00324407">
        <w:rPr>
          <w:rFonts w:ascii="Arial" w:hAnsi="Arial"/>
          <w:b/>
          <w:bCs/>
          <w:u w:val="single"/>
          <w:rtl/>
        </w:rPr>
        <w:t>פסקי הדין שהוגשו מטעם המאשימה</w:t>
      </w:r>
      <w:r w:rsidRPr="00324407">
        <w:rPr>
          <w:rFonts w:ascii="Arial" w:hAnsi="Arial"/>
          <w:b/>
          <w:bCs/>
          <w:rtl/>
        </w:rPr>
        <w:t>:</w:t>
      </w:r>
      <w:r w:rsidRPr="00324407">
        <w:rPr>
          <w:rFonts w:ascii="Arial" w:hAnsi="Arial"/>
          <w:rtl/>
        </w:rPr>
        <w:t xml:space="preserve"> המאשימה הפנתה אל </w:t>
      </w:r>
      <w:hyperlink r:id="rId25" w:history="1">
        <w:r w:rsidR="00DF3396" w:rsidRPr="00DF3396">
          <w:rPr>
            <w:rFonts w:ascii="Arial" w:hAnsi="Arial"/>
            <w:color w:val="0000FF"/>
            <w:u w:val="single"/>
            <w:rtl/>
          </w:rPr>
          <w:t>ע"פ 5602/22</w:t>
        </w:r>
      </w:hyperlink>
      <w:r w:rsidRPr="00324407">
        <w:rPr>
          <w:rFonts w:ascii="Arial" w:hAnsi="Arial"/>
          <w:rtl/>
        </w:rPr>
        <w:t xml:space="preserve"> </w:t>
      </w:r>
      <w:r w:rsidRPr="00324407">
        <w:rPr>
          <w:rFonts w:ascii="Arial" w:hAnsi="Arial"/>
          <w:b/>
          <w:bCs/>
          <w:rtl/>
        </w:rPr>
        <w:t>מדינת ישראל נ' פלוני</w:t>
      </w:r>
      <w:r w:rsidRPr="00324407">
        <w:rPr>
          <w:rFonts w:ascii="Arial" w:hAnsi="Arial"/>
          <w:rtl/>
        </w:rPr>
        <w:t xml:space="preserve"> </w:t>
      </w:r>
      <w:r w:rsidR="00A32D9C">
        <w:rPr>
          <w:rFonts w:ascii="Arial" w:hAnsi="Arial"/>
          <w:rtl/>
        </w:rPr>
        <w:t>[נבו]</w:t>
      </w:r>
      <w:r w:rsidR="00A32D9C">
        <w:rPr>
          <w:rFonts w:ascii="Arial" w:hAnsi="Arial" w:hint="cs"/>
          <w:rtl/>
        </w:rPr>
        <w:t xml:space="preserve"> </w:t>
      </w:r>
      <w:r w:rsidRPr="00324407">
        <w:rPr>
          <w:rFonts w:ascii="Arial" w:hAnsi="Arial"/>
          <w:rtl/>
        </w:rPr>
        <w:t xml:space="preserve">(14.9.2022) (להלן – </w:t>
      </w:r>
      <w:r w:rsidRPr="00324407">
        <w:rPr>
          <w:rFonts w:ascii="Arial" w:hAnsi="Arial"/>
          <w:b/>
          <w:bCs/>
          <w:rtl/>
        </w:rPr>
        <w:t>עניין פלוני</w:t>
      </w:r>
      <w:r w:rsidRPr="00324407">
        <w:rPr>
          <w:rFonts w:ascii="Arial" w:hAnsi="Arial"/>
          <w:rtl/>
        </w:rPr>
        <w:t xml:space="preserve">), אשר בגדרו נקבע הכלל שלפיו, </w:t>
      </w:r>
      <w:r w:rsidRPr="00324407">
        <w:rPr>
          <w:rFonts w:ascii="Arial" w:hAnsi="Arial"/>
          <w:b/>
          <w:bCs/>
          <w:rtl/>
        </w:rPr>
        <w:t xml:space="preserve">"מתחם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 הווה אומר: באין נסיבות מיוחדות לחומרא או לקולא, יהא זה בהחלט סביר אם בית משפט יטיל על נאשם כאמור עונש של 36 חודשי מאסר לריצוי בפועל. </w:t>
      </w:r>
      <w:r w:rsidRPr="00324407">
        <w:rPr>
          <w:rFonts w:ascii="Arial" w:hAnsi="Arial"/>
          <w:b/>
          <w:bCs/>
          <w:u w:val="single"/>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r w:rsidRPr="00324407">
        <w:rPr>
          <w:rFonts w:ascii="Arial" w:hAnsi="Arial"/>
          <w:b/>
          <w:bCs/>
          <w:rtl/>
        </w:rPr>
        <w:t>"</w:t>
      </w:r>
      <w:r w:rsidRPr="00324407">
        <w:rPr>
          <w:rFonts w:ascii="Arial" w:hAnsi="Arial"/>
          <w:rtl/>
        </w:rPr>
        <w:t xml:space="preserve"> (ההדגשה במקור) (כבוד השופט א' שטיין, פסקה 16).</w:t>
      </w:r>
    </w:p>
    <w:p w14:paraId="07827CC7" w14:textId="77777777" w:rsidR="001C7351" w:rsidRPr="00324407" w:rsidRDefault="001C7351" w:rsidP="001C7351">
      <w:pPr>
        <w:spacing w:line="360" w:lineRule="auto"/>
        <w:jc w:val="both"/>
        <w:rPr>
          <w:rFonts w:ascii="Arial" w:hAnsi="Arial"/>
          <w:rtl/>
        </w:rPr>
      </w:pPr>
    </w:p>
    <w:p w14:paraId="33F99152" w14:textId="77777777" w:rsidR="001C7351" w:rsidRPr="00324407" w:rsidRDefault="001C7351" w:rsidP="001C7351">
      <w:pPr>
        <w:spacing w:line="360" w:lineRule="auto"/>
        <w:jc w:val="both"/>
        <w:rPr>
          <w:rFonts w:ascii="Arial" w:hAnsi="Arial"/>
          <w:rtl/>
        </w:rPr>
      </w:pPr>
      <w:r w:rsidRPr="00324407">
        <w:rPr>
          <w:rFonts w:ascii="Arial" w:hAnsi="Arial"/>
          <w:rtl/>
        </w:rPr>
        <w:t>בנוסף לכך הפנתה המאשימה אל ארבעת פסקי הדין הבאים:</w:t>
      </w:r>
    </w:p>
    <w:p w14:paraId="0848C505" w14:textId="77777777" w:rsidR="001C7351" w:rsidRPr="00324407" w:rsidRDefault="001C7351" w:rsidP="001C7351">
      <w:pPr>
        <w:spacing w:line="360" w:lineRule="auto"/>
        <w:jc w:val="both"/>
        <w:rPr>
          <w:rFonts w:ascii="Arial" w:hAnsi="Arial"/>
          <w:rtl/>
        </w:rPr>
      </w:pPr>
    </w:p>
    <w:p w14:paraId="6ABAF634" w14:textId="77777777" w:rsidR="001C7351" w:rsidRPr="00324407" w:rsidRDefault="00DF3396" w:rsidP="001C7351">
      <w:pPr>
        <w:spacing w:line="360" w:lineRule="auto"/>
        <w:jc w:val="both"/>
        <w:rPr>
          <w:rFonts w:ascii="Arial" w:hAnsi="Arial"/>
          <w:rtl/>
        </w:rPr>
      </w:pPr>
      <w:hyperlink r:id="rId26" w:history="1">
        <w:r w:rsidRPr="00DF3396">
          <w:rPr>
            <w:rFonts w:ascii="Arial" w:hAnsi="Arial"/>
            <w:color w:val="0000FF"/>
            <w:u w:val="single"/>
            <w:rtl/>
          </w:rPr>
          <w:t>ת"פ (מחוזי חיפה) 52964-03-22</w:t>
        </w:r>
      </w:hyperlink>
      <w:r w:rsidR="001C7351" w:rsidRPr="00324407">
        <w:rPr>
          <w:rFonts w:ascii="Arial" w:hAnsi="Arial"/>
          <w:rtl/>
        </w:rPr>
        <w:t xml:space="preserve"> </w:t>
      </w:r>
      <w:r w:rsidR="001C7351" w:rsidRPr="00324407">
        <w:rPr>
          <w:rFonts w:ascii="Arial" w:hAnsi="Arial"/>
          <w:b/>
          <w:bCs/>
          <w:rtl/>
        </w:rPr>
        <w:t xml:space="preserve">מדינת ישראל נ' סנעאלה </w:t>
      </w:r>
      <w:r w:rsidR="00A32D9C">
        <w:rPr>
          <w:rFonts w:ascii="Arial" w:hAnsi="Arial"/>
          <w:b/>
          <w:bCs/>
          <w:rtl/>
        </w:rPr>
        <w:t>[נבו]</w:t>
      </w:r>
      <w:r w:rsidR="00A32D9C">
        <w:rPr>
          <w:rFonts w:ascii="Arial" w:hAnsi="Arial" w:hint="cs"/>
          <w:b/>
          <w:bCs/>
          <w:rtl/>
        </w:rPr>
        <w:t xml:space="preserve"> </w:t>
      </w:r>
      <w:r w:rsidR="001C7351" w:rsidRPr="00324407">
        <w:rPr>
          <w:rFonts w:ascii="Arial" w:hAnsi="Arial"/>
          <w:rtl/>
        </w:rPr>
        <w:t>(10.1.2023) – הרשעה בעבירות חזקת נשק, נשיאתו והובלתו והפרעה לשוטר במילוי תפקידו. נקבע מתחם עונש בין 30 ל-45 חודשי מאסר והושתו 26 חודשי מאסר בפועל, מאסר מותנה וקנס בסך 5,000 ₪. בהמלצת בית המשפט העליון, הנאשם חזר בו מהערעור שהגיש (</w:t>
      </w:r>
      <w:hyperlink r:id="rId27" w:history="1">
        <w:r w:rsidRPr="00DF3396">
          <w:rPr>
            <w:rFonts w:ascii="Arial" w:hAnsi="Arial"/>
            <w:color w:val="0000FF"/>
            <w:u w:val="single"/>
            <w:rtl/>
          </w:rPr>
          <w:t>ע"פ 1645/23</w:t>
        </w:r>
      </w:hyperlink>
      <w:r w:rsidR="001C7351" w:rsidRPr="00324407">
        <w:rPr>
          <w:rFonts w:ascii="Arial" w:hAnsi="Arial"/>
          <w:rtl/>
        </w:rPr>
        <w:t xml:space="preserve"> </w:t>
      </w:r>
      <w:r w:rsidR="001C7351" w:rsidRPr="00324407">
        <w:rPr>
          <w:rFonts w:ascii="Arial" w:hAnsi="Arial"/>
          <w:b/>
          <w:bCs/>
          <w:rtl/>
        </w:rPr>
        <w:t>סנעאלה נ' מדינת ישראל</w:t>
      </w:r>
      <w:r w:rsidR="001C7351" w:rsidRPr="00324407">
        <w:rPr>
          <w:rFonts w:ascii="Arial" w:hAnsi="Arial"/>
          <w:rtl/>
        </w:rPr>
        <w:t xml:space="preserve"> </w:t>
      </w:r>
      <w:r w:rsidR="00A32D9C">
        <w:rPr>
          <w:rFonts w:ascii="Arial" w:hAnsi="Arial"/>
          <w:rtl/>
        </w:rPr>
        <w:t>[נבו]</w:t>
      </w:r>
      <w:r w:rsidR="00A32D9C">
        <w:rPr>
          <w:rFonts w:ascii="Arial" w:hAnsi="Arial" w:hint="cs"/>
          <w:rtl/>
        </w:rPr>
        <w:t xml:space="preserve"> </w:t>
      </w:r>
      <w:r w:rsidR="001C7351" w:rsidRPr="00324407">
        <w:rPr>
          <w:rFonts w:ascii="Arial" w:hAnsi="Arial"/>
          <w:rtl/>
        </w:rPr>
        <w:t>(26.2.2024)).</w:t>
      </w:r>
    </w:p>
    <w:p w14:paraId="21841B3C" w14:textId="77777777" w:rsidR="001C7351" w:rsidRPr="00324407" w:rsidRDefault="001C7351" w:rsidP="001C7351">
      <w:pPr>
        <w:spacing w:line="360" w:lineRule="auto"/>
        <w:jc w:val="both"/>
        <w:rPr>
          <w:rFonts w:ascii="Arial" w:hAnsi="Arial"/>
          <w:rtl/>
        </w:rPr>
      </w:pPr>
      <w:r w:rsidRPr="00324407">
        <w:rPr>
          <w:rFonts w:ascii="Arial" w:hAnsi="Arial"/>
          <w:rtl/>
        </w:rPr>
        <w:t xml:space="preserve"> </w:t>
      </w:r>
    </w:p>
    <w:p w14:paraId="64158750" w14:textId="77777777" w:rsidR="001C7351" w:rsidRPr="00324407" w:rsidRDefault="00DF3396" w:rsidP="001C7351">
      <w:pPr>
        <w:spacing w:line="360" w:lineRule="auto"/>
        <w:jc w:val="both"/>
        <w:rPr>
          <w:rFonts w:ascii="Arial" w:hAnsi="Arial"/>
          <w:rtl/>
        </w:rPr>
      </w:pPr>
      <w:hyperlink r:id="rId28" w:history="1">
        <w:r w:rsidRPr="00DF3396">
          <w:rPr>
            <w:rFonts w:ascii="Arial" w:hAnsi="Arial"/>
            <w:color w:val="0000FF"/>
            <w:u w:val="single"/>
            <w:rtl/>
          </w:rPr>
          <w:t>ת"פ (מחוזי חיפה) 59464-09-23</w:t>
        </w:r>
      </w:hyperlink>
      <w:r w:rsidR="001C7351" w:rsidRPr="00324407">
        <w:rPr>
          <w:rFonts w:ascii="Arial" w:hAnsi="Arial"/>
          <w:rtl/>
        </w:rPr>
        <w:t xml:space="preserve"> </w:t>
      </w:r>
      <w:r w:rsidR="001C7351" w:rsidRPr="00324407">
        <w:rPr>
          <w:rFonts w:ascii="Arial" w:hAnsi="Arial"/>
          <w:b/>
          <w:bCs/>
          <w:rtl/>
        </w:rPr>
        <w:t>מדינת ישראל נ' חאלדי</w:t>
      </w:r>
      <w:r w:rsidR="001C7351" w:rsidRPr="00324407">
        <w:rPr>
          <w:rFonts w:ascii="Arial" w:hAnsi="Arial"/>
          <w:rtl/>
        </w:rPr>
        <w:t xml:space="preserve"> </w:t>
      </w:r>
      <w:r w:rsidR="00A32D9C">
        <w:rPr>
          <w:rFonts w:ascii="Arial" w:hAnsi="Arial"/>
          <w:rtl/>
        </w:rPr>
        <w:t>[נבו]</w:t>
      </w:r>
      <w:r w:rsidR="00A32D9C">
        <w:rPr>
          <w:rFonts w:ascii="Arial" w:hAnsi="Arial" w:hint="cs"/>
          <w:rtl/>
        </w:rPr>
        <w:t xml:space="preserve"> </w:t>
      </w:r>
      <w:r w:rsidR="001C7351" w:rsidRPr="00324407">
        <w:rPr>
          <w:rFonts w:ascii="Arial" w:hAnsi="Arial"/>
          <w:rtl/>
        </w:rPr>
        <w:t>(18.07.2024) – הנאשם 1 הורשע בעבירת נשיאת נשק והובלתו, הנאשם 2 הורשע בסיוע לכך ושניהם הורשעו גם בעבירת הפרעה לשוטר בעת מילוי תפקידו. בעניין הנאשם 1 נקבע מתחם עונש בין 28 ל-46 חודשי מאסר והושתו עליו 28 חודשי מאסר בפועל. מתחם העונש בעניין הנאשם 2 נקבע בין 14 ל-28 חודשי מאסר והושתו עליו 14 חודשי מאסר בפועל. על שניהם הושתו גם עונשי מאסר מותנים.</w:t>
      </w:r>
    </w:p>
    <w:p w14:paraId="28F502F2" w14:textId="77777777" w:rsidR="001C7351" w:rsidRPr="00324407" w:rsidRDefault="001C7351" w:rsidP="001C7351">
      <w:pPr>
        <w:spacing w:line="360" w:lineRule="auto"/>
        <w:jc w:val="both"/>
        <w:rPr>
          <w:rFonts w:ascii="Arial" w:hAnsi="Arial"/>
          <w:rtl/>
        </w:rPr>
      </w:pPr>
    </w:p>
    <w:p w14:paraId="5A7ED38E" w14:textId="77777777" w:rsidR="001C7351" w:rsidRPr="00324407" w:rsidRDefault="00DF3396" w:rsidP="001C7351">
      <w:pPr>
        <w:spacing w:line="360" w:lineRule="auto"/>
        <w:jc w:val="both"/>
        <w:rPr>
          <w:rFonts w:ascii="Arial" w:hAnsi="Arial"/>
          <w:rtl/>
        </w:rPr>
      </w:pPr>
      <w:hyperlink r:id="rId29" w:history="1">
        <w:r w:rsidRPr="00DF3396">
          <w:rPr>
            <w:rFonts w:ascii="Arial" w:hAnsi="Arial"/>
            <w:color w:val="0000FF"/>
            <w:u w:val="single"/>
            <w:rtl/>
          </w:rPr>
          <w:t>ת"פ (מחוזי חיפה) 2077-10-23</w:t>
        </w:r>
      </w:hyperlink>
      <w:r w:rsidR="001C7351" w:rsidRPr="00324407">
        <w:rPr>
          <w:rFonts w:ascii="Arial" w:hAnsi="Arial"/>
          <w:rtl/>
        </w:rPr>
        <w:t xml:space="preserve"> </w:t>
      </w:r>
      <w:r w:rsidR="001C7351" w:rsidRPr="00324407">
        <w:rPr>
          <w:rFonts w:ascii="Arial" w:hAnsi="Arial"/>
          <w:b/>
          <w:bCs/>
          <w:rtl/>
        </w:rPr>
        <w:t xml:space="preserve">מדינת ישראל נ' עישאן </w:t>
      </w:r>
      <w:r w:rsidR="00A32D9C">
        <w:rPr>
          <w:rFonts w:ascii="Arial" w:hAnsi="Arial"/>
          <w:b/>
          <w:bCs/>
          <w:rtl/>
        </w:rPr>
        <w:t>[נבו]</w:t>
      </w:r>
      <w:r w:rsidR="00A32D9C">
        <w:rPr>
          <w:rFonts w:ascii="Arial" w:hAnsi="Arial" w:hint="cs"/>
          <w:b/>
          <w:bCs/>
          <w:rtl/>
        </w:rPr>
        <w:t xml:space="preserve"> </w:t>
      </w:r>
      <w:r w:rsidR="001C7351" w:rsidRPr="00324407">
        <w:rPr>
          <w:rFonts w:ascii="Arial" w:hAnsi="Arial"/>
          <w:rtl/>
        </w:rPr>
        <w:t>(12.2.2024) – הרשעה בעבירות נשיאת נשק (אקדח טעון במחסנית) ו הפרעה לשוטר בעת מילוי תפקידו. נקבע מתחם עונש בין 30 ל-55 חודשי מאסר והושתו 36 חודשי מאסר בפועל, הופעלו 10 חודשי מאסר מותנה שחלקו במצטבר ובכך הכול, 41 חודשי מאסר בפועל. כן הושתו עונשי מאסר מותנים.</w:t>
      </w:r>
    </w:p>
    <w:p w14:paraId="4E86E007" w14:textId="77777777" w:rsidR="001C7351" w:rsidRPr="00324407" w:rsidRDefault="001C7351" w:rsidP="001C7351">
      <w:pPr>
        <w:spacing w:line="360" w:lineRule="auto"/>
        <w:jc w:val="both"/>
        <w:rPr>
          <w:rFonts w:ascii="Arial" w:hAnsi="Arial"/>
          <w:rtl/>
        </w:rPr>
      </w:pPr>
    </w:p>
    <w:p w14:paraId="274D4689" w14:textId="77777777" w:rsidR="001C7351" w:rsidRPr="00324407" w:rsidRDefault="00DF3396" w:rsidP="001C7351">
      <w:pPr>
        <w:spacing w:line="360" w:lineRule="auto"/>
        <w:jc w:val="both"/>
        <w:rPr>
          <w:rFonts w:ascii="Arial" w:hAnsi="Arial"/>
          <w:rtl/>
        </w:rPr>
      </w:pPr>
      <w:hyperlink r:id="rId30" w:history="1">
        <w:r w:rsidRPr="00DF3396">
          <w:rPr>
            <w:rFonts w:ascii="Arial" w:hAnsi="Arial"/>
            <w:color w:val="0000FF"/>
            <w:u w:val="single"/>
            <w:rtl/>
          </w:rPr>
          <w:t>ת"פ (מחוזי ירושלים) 1136-11-21</w:t>
        </w:r>
      </w:hyperlink>
      <w:r w:rsidR="001C7351" w:rsidRPr="00324407">
        <w:rPr>
          <w:rFonts w:ascii="Arial" w:hAnsi="Arial"/>
          <w:rtl/>
        </w:rPr>
        <w:t xml:space="preserve"> </w:t>
      </w:r>
      <w:r w:rsidR="001C7351" w:rsidRPr="00324407">
        <w:rPr>
          <w:rFonts w:ascii="Arial" w:hAnsi="Arial"/>
          <w:b/>
          <w:bCs/>
          <w:rtl/>
        </w:rPr>
        <w:t xml:space="preserve">מדינת ישראל נ' שאריף </w:t>
      </w:r>
      <w:r w:rsidR="00A32D9C">
        <w:rPr>
          <w:rFonts w:ascii="Arial" w:hAnsi="Arial"/>
          <w:b/>
          <w:bCs/>
          <w:rtl/>
        </w:rPr>
        <w:t>[נבו]</w:t>
      </w:r>
      <w:r w:rsidR="00A32D9C">
        <w:rPr>
          <w:rFonts w:ascii="Arial" w:hAnsi="Arial" w:hint="cs"/>
          <w:b/>
          <w:bCs/>
          <w:rtl/>
        </w:rPr>
        <w:t xml:space="preserve"> </w:t>
      </w:r>
      <w:r w:rsidR="001C7351" w:rsidRPr="00324407">
        <w:rPr>
          <w:rFonts w:ascii="Arial" w:hAnsi="Arial"/>
          <w:rtl/>
        </w:rPr>
        <w:t>(20.7.2022) – הרשעה בעבירות החזקת סמים שלא לצריכה עצמית, נשיאת נשק, החזקת נשק והחזקת תחמושת. בעניין עבירות הנשק נקבע מתחם עונש בין 25 ל-40 חודשי מאסר ובעניין עבירות הסמים בין 35 ל-60 חודש. הושתו 40 חודשי מאסר ומאסר מותנה.</w:t>
      </w:r>
    </w:p>
    <w:p w14:paraId="5A97AF03" w14:textId="77777777" w:rsidR="001C7351" w:rsidRPr="00324407" w:rsidRDefault="001C7351" w:rsidP="001C7351">
      <w:pPr>
        <w:spacing w:line="360" w:lineRule="auto"/>
        <w:jc w:val="both"/>
        <w:rPr>
          <w:rFonts w:ascii="Arial" w:hAnsi="Arial"/>
          <w:rtl/>
        </w:rPr>
      </w:pPr>
    </w:p>
    <w:p w14:paraId="0821FD9B" w14:textId="77777777" w:rsidR="001C7351" w:rsidRPr="00324407" w:rsidRDefault="001C7351" w:rsidP="001C7351">
      <w:pPr>
        <w:spacing w:line="360" w:lineRule="auto"/>
        <w:jc w:val="both"/>
        <w:rPr>
          <w:rFonts w:ascii="Arial" w:hAnsi="Arial"/>
          <w:rtl/>
        </w:rPr>
      </w:pPr>
      <w:r w:rsidRPr="00324407">
        <w:rPr>
          <w:rFonts w:ascii="Arial" w:hAnsi="Arial"/>
          <w:b/>
          <w:bCs/>
          <w:u w:val="single"/>
          <w:rtl/>
        </w:rPr>
        <w:t>פסקי הדין שהוגשו מטעם ההגנה</w:t>
      </w:r>
      <w:r w:rsidRPr="00324407">
        <w:rPr>
          <w:rFonts w:ascii="Arial" w:hAnsi="Arial"/>
          <w:b/>
          <w:bCs/>
          <w:rtl/>
        </w:rPr>
        <w:t>:</w:t>
      </w:r>
      <w:r w:rsidRPr="00324407">
        <w:rPr>
          <w:rFonts w:ascii="Arial" w:hAnsi="Arial"/>
          <w:rtl/>
        </w:rPr>
        <w:t xml:space="preserve"> מטעם ההגנה הוגשו שניים-עשר פסקי-דין. כפי שהערתי בדיון, דומה כי הגשת מספר כה רב של פסקי-דין מחטיא את מטרת הגשתם, עולה כדי "תפסת מרובה לא תפסת" ומונע את האפשרות לבחון אותם ברצינות ולהשוות באופן מושכל בין כל אותם פסקי-דין לבין הנסיבות הנדונות. הצעתי להגנה להתמקד בחלקם לא התקבלה ולפיכך, מעת שהוגשו כל אותם פסקי-דין, הם נבחנו, אך דומה כי רובם המכריע שונה בנסיבותיהם בהיבטים רבים ומהותיים מהנסיבות הנדונות. להלן תובא תמציתם בלבד:</w:t>
      </w:r>
    </w:p>
    <w:p w14:paraId="1B0ACBEC" w14:textId="77777777" w:rsidR="001C7351" w:rsidRPr="00324407" w:rsidRDefault="001C7351" w:rsidP="001C7351">
      <w:pPr>
        <w:spacing w:line="360" w:lineRule="auto"/>
        <w:jc w:val="both"/>
        <w:rPr>
          <w:rFonts w:ascii="Arial" w:hAnsi="Arial"/>
          <w:rtl/>
        </w:rPr>
      </w:pPr>
    </w:p>
    <w:p w14:paraId="083DE173" w14:textId="77777777" w:rsidR="001C7351" w:rsidRPr="00324407" w:rsidRDefault="00DF3396" w:rsidP="001C7351">
      <w:pPr>
        <w:spacing w:line="360" w:lineRule="auto"/>
        <w:jc w:val="both"/>
        <w:rPr>
          <w:rFonts w:ascii="Arial" w:hAnsi="Arial"/>
          <w:rtl/>
        </w:rPr>
      </w:pPr>
      <w:hyperlink r:id="rId31" w:history="1">
        <w:r w:rsidRPr="00DF3396">
          <w:rPr>
            <w:rFonts w:ascii="Arial" w:hAnsi="Arial"/>
            <w:color w:val="0000FF"/>
            <w:u w:val="single"/>
            <w:rtl/>
          </w:rPr>
          <w:t>עפ"ג (מחוזי חיפה) 12772-05-21</w:t>
        </w:r>
      </w:hyperlink>
      <w:r w:rsidR="001C7351" w:rsidRPr="00324407">
        <w:rPr>
          <w:rFonts w:ascii="Arial" w:hAnsi="Arial"/>
          <w:rtl/>
        </w:rPr>
        <w:t xml:space="preserve"> </w:t>
      </w:r>
      <w:r w:rsidR="001C7351" w:rsidRPr="00324407">
        <w:rPr>
          <w:rFonts w:ascii="Arial" w:hAnsi="Arial"/>
          <w:b/>
          <w:bCs/>
          <w:rtl/>
        </w:rPr>
        <w:t>מדינת ישראל נ' חפאג'ה</w:t>
      </w:r>
      <w:r w:rsidR="001C7351" w:rsidRPr="00324407">
        <w:rPr>
          <w:rFonts w:ascii="Arial" w:hAnsi="Arial"/>
          <w:rtl/>
        </w:rPr>
        <w:t xml:space="preserve"> </w:t>
      </w:r>
      <w:r w:rsidR="00A32D9C">
        <w:rPr>
          <w:rFonts w:ascii="Arial" w:hAnsi="Arial"/>
          <w:rtl/>
        </w:rPr>
        <w:t>[נבו]</w:t>
      </w:r>
      <w:r w:rsidR="00A32D9C">
        <w:rPr>
          <w:rFonts w:ascii="Arial" w:hAnsi="Arial" w:hint="cs"/>
          <w:rtl/>
        </w:rPr>
        <w:t xml:space="preserve"> </w:t>
      </w:r>
      <w:r w:rsidR="001C7351" w:rsidRPr="00324407">
        <w:rPr>
          <w:rFonts w:ascii="Arial" w:hAnsi="Arial"/>
          <w:rtl/>
        </w:rPr>
        <w:t xml:space="preserve">(15.7.2021) – הרשעה בעבירת החזקת נשק (תת-מקלע ותחמושת שנמצאו בחיפוש). בשל אי מיצוי העונש בערכאת הערעור, תשעה חודשי עבודות שירות הומרו רק לתשעה חודשי מאסר בפועל; </w:t>
      </w:r>
      <w:hyperlink r:id="rId32" w:history="1">
        <w:r w:rsidRPr="00DF3396">
          <w:rPr>
            <w:rFonts w:ascii="Arial" w:hAnsi="Arial"/>
            <w:color w:val="0000FF"/>
            <w:u w:val="single"/>
            <w:rtl/>
          </w:rPr>
          <w:t>ת"פ (מחוזי חיפה) 16505-02-18</w:t>
        </w:r>
      </w:hyperlink>
      <w:r w:rsidR="001C7351" w:rsidRPr="00324407">
        <w:rPr>
          <w:rFonts w:ascii="Arial" w:hAnsi="Arial"/>
          <w:rtl/>
        </w:rPr>
        <w:t xml:space="preserve"> </w:t>
      </w:r>
      <w:r w:rsidR="001C7351" w:rsidRPr="00324407">
        <w:rPr>
          <w:rFonts w:ascii="Arial" w:hAnsi="Arial"/>
          <w:b/>
          <w:bCs/>
          <w:rtl/>
        </w:rPr>
        <w:t>מדינת ישראל נ' סעדי</w:t>
      </w:r>
      <w:r w:rsidR="001C7351" w:rsidRPr="00324407">
        <w:rPr>
          <w:rFonts w:ascii="Arial" w:hAnsi="Arial"/>
          <w:rtl/>
        </w:rPr>
        <w:t xml:space="preserve"> </w:t>
      </w:r>
      <w:r w:rsidR="00A32D9C">
        <w:rPr>
          <w:rFonts w:ascii="Arial" w:hAnsi="Arial"/>
          <w:rtl/>
        </w:rPr>
        <w:t>[נבו]</w:t>
      </w:r>
      <w:r w:rsidR="00A32D9C">
        <w:rPr>
          <w:rFonts w:ascii="Arial" w:hAnsi="Arial" w:hint="cs"/>
          <w:rtl/>
        </w:rPr>
        <w:t xml:space="preserve"> </w:t>
      </w:r>
      <w:r w:rsidR="001C7351" w:rsidRPr="00324407">
        <w:rPr>
          <w:rFonts w:ascii="Arial" w:hAnsi="Arial"/>
          <w:rtl/>
        </w:rPr>
        <w:t xml:space="preserve">(26.06.2018) – הרשעה בעבירת החזקת נשק והובלתו (אקדח טעון במחסנית). נקבע מתחם בין 10 ל-30 חודשי מאסר. בהתחשב בין השאר בהודאה המוקדמת והעבר הפלילי הלא מכביד, הושתו 11 חודשי מאסר בפועל ומאסר מותנה; </w:t>
      </w:r>
      <w:hyperlink r:id="rId33" w:history="1">
        <w:r w:rsidRPr="00DF3396">
          <w:rPr>
            <w:rFonts w:ascii="Arial" w:hAnsi="Arial"/>
            <w:color w:val="0000FF"/>
            <w:u w:val="single"/>
            <w:rtl/>
          </w:rPr>
          <w:t>ת"פ (מחוזי מרכז) 11059-05-12</w:t>
        </w:r>
      </w:hyperlink>
      <w:r w:rsidR="001C7351" w:rsidRPr="00324407">
        <w:rPr>
          <w:rFonts w:ascii="Arial" w:hAnsi="Arial"/>
          <w:rtl/>
        </w:rPr>
        <w:t xml:space="preserve"> </w:t>
      </w:r>
      <w:r w:rsidR="001C7351" w:rsidRPr="00324407">
        <w:rPr>
          <w:rFonts w:ascii="Arial" w:hAnsi="Arial"/>
          <w:b/>
          <w:bCs/>
          <w:rtl/>
        </w:rPr>
        <w:t xml:space="preserve">מדינת ישראל נ' אבו מוסא </w:t>
      </w:r>
      <w:r w:rsidR="00A32D9C">
        <w:rPr>
          <w:rFonts w:ascii="Arial" w:hAnsi="Arial"/>
          <w:b/>
          <w:bCs/>
          <w:rtl/>
        </w:rPr>
        <w:t>[נבו]</w:t>
      </w:r>
      <w:r w:rsidR="00A32D9C">
        <w:rPr>
          <w:rFonts w:ascii="Arial" w:hAnsi="Arial" w:hint="cs"/>
          <w:b/>
          <w:bCs/>
          <w:rtl/>
        </w:rPr>
        <w:t xml:space="preserve"> </w:t>
      </w:r>
      <w:r w:rsidR="001C7351" w:rsidRPr="00324407">
        <w:rPr>
          <w:rFonts w:ascii="Arial" w:hAnsi="Arial"/>
          <w:rtl/>
        </w:rPr>
        <w:t xml:space="preserve">(19.5.2013) – הרשעה בעבירות החזקת נשק וירי במקום מגורים. הושתו חודשי מאסר בעבודות שירות ומאסר מותנה; </w:t>
      </w:r>
      <w:hyperlink r:id="rId34" w:history="1">
        <w:r w:rsidRPr="00DF3396">
          <w:rPr>
            <w:rFonts w:ascii="Arial" w:hAnsi="Arial"/>
            <w:color w:val="0000FF"/>
            <w:u w:val="single"/>
            <w:rtl/>
          </w:rPr>
          <w:t>ת"פ (מחוזי ירושלים) 51523-10-17</w:t>
        </w:r>
      </w:hyperlink>
      <w:r w:rsidR="001C7351" w:rsidRPr="00324407">
        <w:rPr>
          <w:rFonts w:ascii="Arial" w:hAnsi="Arial"/>
          <w:rtl/>
        </w:rPr>
        <w:t xml:space="preserve"> </w:t>
      </w:r>
      <w:r w:rsidR="001C7351" w:rsidRPr="00324407">
        <w:rPr>
          <w:rFonts w:ascii="Arial" w:hAnsi="Arial"/>
          <w:b/>
          <w:bCs/>
          <w:rtl/>
        </w:rPr>
        <w:t>מדינת ישראל נ' בזלמית</w:t>
      </w:r>
      <w:r w:rsidR="001C7351" w:rsidRPr="00324407">
        <w:rPr>
          <w:rFonts w:ascii="Arial" w:hAnsi="Arial"/>
          <w:rtl/>
        </w:rPr>
        <w:t xml:space="preserve"> </w:t>
      </w:r>
      <w:r w:rsidR="00A32D9C">
        <w:rPr>
          <w:rFonts w:ascii="Arial" w:hAnsi="Arial"/>
          <w:rtl/>
        </w:rPr>
        <w:t>[נבו]</w:t>
      </w:r>
      <w:r w:rsidR="00A32D9C">
        <w:rPr>
          <w:rFonts w:ascii="Arial" w:hAnsi="Arial" w:hint="cs"/>
          <w:rtl/>
        </w:rPr>
        <w:t xml:space="preserve"> </w:t>
      </w:r>
      <w:r w:rsidR="001C7351" w:rsidRPr="00324407">
        <w:rPr>
          <w:rFonts w:ascii="Arial" w:hAnsi="Arial"/>
          <w:rtl/>
        </w:rPr>
        <w:t xml:space="preserve">(2.5.2018) – הרשעה בעבירת רכישת נשק ואביזר נשק. נקבע מתחם עונש בין 9 ל-24 חודשי מאסר והושתו 9 חודשי מאסר בפועל ועונשי מאסר מותנים; </w:t>
      </w:r>
      <w:hyperlink r:id="rId35" w:history="1">
        <w:r w:rsidRPr="00DF3396">
          <w:rPr>
            <w:rFonts w:ascii="Arial" w:hAnsi="Arial"/>
            <w:color w:val="0000FF"/>
            <w:u w:val="single"/>
            <w:rtl/>
          </w:rPr>
          <w:t>ת"פ (מחוזי מרכז) 59812-02-16</w:t>
        </w:r>
      </w:hyperlink>
      <w:r w:rsidR="001C7351" w:rsidRPr="00324407">
        <w:rPr>
          <w:rFonts w:ascii="Arial" w:hAnsi="Arial"/>
          <w:rtl/>
        </w:rPr>
        <w:t xml:space="preserve"> </w:t>
      </w:r>
      <w:r w:rsidR="001C7351" w:rsidRPr="00324407">
        <w:rPr>
          <w:rFonts w:ascii="Arial" w:hAnsi="Arial"/>
          <w:b/>
          <w:bCs/>
          <w:rtl/>
        </w:rPr>
        <w:t>מדינת ישראל נ' בוזגלו</w:t>
      </w:r>
      <w:r w:rsidR="001C7351" w:rsidRPr="00324407">
        <w:rPr>
          <w:rFonts w:ascii="Arial" w:hAnsi="Arial"/>
          <w:rtl/>
        </w:rPr>
        <w:t xml:space="preserve"> </w:t>
      </w:r>
      <w:r w:rsidR="00A32D9C">
        <w:rPr>
          <w:rFonts w:ascii="Arial" w:hAnsi="Arial"/>
          <w:rtl/>
        </w:rPr>
        <w:t>[נבו]</w:t>
      </w:r>
      <w:r w:rsidR="00A32D9C">
        <w:rPr>
          <w:rFonts w:ascii="Arial" w:hAnsi="Arial" w:hint="cs"/>
          <w:rtl/>
        </w:rPr>
        <w:t xml:space="preserve"> </w:t>
      </w:r>
      <w:r w:rsidR="001C7351" w:rsidRPr="00324407">
        <w:rPr>
          <w:rFonts w:ascii="Arial" w:hAnsi="Arial"/>
          <w:rtl/>
        </w:rPr>
        <w:t xml:space="preserve">(15.3.2018) – הרשעה בעבירות סחר בנשק, מסירה ידיעה כוזבת על עבירת פשע ושיבוש מהלכי משפט. נקבע מתחם עונש בין 18 ל-36 חודשי מאסר. מטעמי שיקום הושתו 6 חודשי עבודות שירות, מאסר מותנה, קנס בסך 25,000 ₪ וצו מבחן; </w:t>
      </w:r>
      <w:hyperlink r:id="rId36" w:history="1">
        <w:r w:rsidR="00A32D9C" w:rsidRPr="00A32D9C">
          <w:rPr>
            <w:rStyle w:val="Hyperlink"/>
            <w:rFonts w:ascii="Arial" w:hAnsi="Arial"/>
            <w:rtl/>
          </w:rPr>
          <w:t>ת"פ (מחוזי חיפה) 49995-05-19</w:t>
        </w:r>
      </w:hyperlink>
      <w:r w:rsidR="001C7351" w:rsidRPr="00324407">
        <w:rPr>
          <w:rFonts w:ascii="Arial" w:hAnsi="Arial"/>
          <w:rtl/>
        </w:rPr>
        <w:t xml:space="preserve"> </w:t>
      </w:r>
      <w:r w:rsidR="001C7351" w:rsidRPr="00324407">
        <w:rPr>
          <w:rFonts w:ascii="Arial" w:hAnsi="Arial"/>
          <w:b/>
          <w:bCs/>
          <w:rtl/>
        </w:rPr>
        <w:t>מדינת ישראל נ' עלי</w:t>
      </w:r>
      <w:r w:rsidR="001C7351" w:rsidRPr="00324407">
        <w:rPr>
          <w:rFonts w:ascii="Arial" w:hAnsi="Arial"/>
          <w:rtl/>
        </w:rPr>
        <w:t xml:space="preserve"> </w:t>
      </w:r>
      <w:r w:rsidR="00A32D9C">
        <w:rPr>
          <w:rFonts w:ascii="Arial" w:hAnsi="Arial"/>
          <w:rtl/>
        </w:rPr>
        <w:t>[נבו]</w:t>
      </w:r>
      <w:r w:rsidR="00A32D9C">
        <w:rPr>
          <w:rFonts w:ascii="Arial" w:hAnsi="Arial" w:hint="cs"/>
          <w:rtl/>
        </w:rPr>
        <w:t xml:space="preserve"> </w:t>
      </w:r>
      <w:r w:rsidR="001C7351" w:rsidRPr="00324407">
        <w:rPr>
          <w:rFonts w:ascii="Arial" w:hAnsi="Arial"/>
          <w:rtl/>
        </w:rPr>
        <w:t xml:space="preserve">(4.11.2018) – הרשעה בעבירות ייצור נשק, החזקת נשק והחזקת סכין. נקבע מתחם עונש בין 6 ל-18 חודשי מאסר והושתו 6 חודשי עבודות שירות, מאסר מותנה וקנס בסך 10,000 ₪; </w:t>
      </w:r>
      <w:hyperlink r:id="rId37" w:history="1">
        <w:r w:rsidRPr="00DF3396">
          <w:rPr>
            <w:rFonts w:ascii="Arial" w:hAnsi="Arial"/>
            <w:color w:val="0000FF"/>
            <w:u w:val="single"/>
            <w:rtl/>
          </w:rPr>
          <w:t>ת"פ (מחוזי באר שבע) 53612-08-20</w:t>
        </w:r>
      </w:hyperlink>
      <w:r w:rsidR="001C7351" w:rsidRPr="00324407">
        <w:rPr>
          <w:rFonts w:ascii="Arial" w:hAnsi="Arial"/>
          <w:rtl/>
        </w:rPr>
        <w:t xml:space="preserve"> </w:t>
      </w:r>
      <w:r w:rsidR="001C7351" w:rsidRPr="00324407">
        <w:rPr>
          <w:rFonts w:ascii="Arial" w:hAnsi="Arial"/>
          <w:b/>
          <w:bCs/>
          <w:rtl/>
        </w:rPr>
        <w:t>מדינת ישראל נ' אזולאי</w:t>
      </w:r>
      <w:r w:rsidR="001C7351" w:rsidRPr="00324407">
        <w:rPr>
          <w:rFonts w:ascii="Arial" w:hAnsi="Arial"/>
          <w:rtl/>
        </w:rPr>
        <w:t xml:space="preserve"> </w:t>
      </w:r>
      <w:r w:rsidR="00A32D9C">
        <w:rPr>
          <w:rFonts w:ascii="Arial" w:hAnsi="Arial"/>
          <w:rtl/>
        </w:rPr>
        <w:t>[נבו]</w:t>
      </w:r>
      <w:r w:rsidR="00A32D9C">
        <w:rPr>
          <w:rFonts w:ascii="Arial" w:hAnsi="Arial" w:hint="cs"/>
          <w:rtl/>
        </w:rPr>
        <w:t xml:space="preserve"> </w:t>
      </w:r>
      <w:r w:rsidR="001C7351" w:rsidRPr="00324407">
        <w:rPr>
          <w:rFonts w:ascii="Arial" w:hAnsi="Arial"/>
          <w:rtl/>
        </w:rPr>
        <w:t xml:space="preserve">(28.4.2022) – הרשעה בעבירת עסקה בנשק, נשיאת נשק והובלתו וכן מתן אמצעים לפשע. נקבע מתחם עונש בין 24 ל-48 חודשי מאסר. מטעמי שיקום הושתו 6 חודשי עבודות שירות, מאסר מותנה וצו מבחן; </w:t>
      </w:r>
      <w:hyperlink r:id="rId38" w:history="1">
        <w:r w:rsidRPr="00DF3396">
          <w:rPr>
            <w:rFonts w:ascii="Arial" w:hAnsi="Arial"/>
            <w:color w:val="0000FF"/>
            <w:u w:val="single"/>
            <w:rtl/>
          </w:rPr>
          <w:t>ת"פ (מחוזי באר שבע) 41694-03-20</w:t>
        </w:r>
      </w:hyperlink>
      <w:r w:rsidR="001C7351" w:rsidRPr="00324407">
        <w:rPr>
          <w:rFonts w:ascii="Arial" w:hAnsi="Arial"/>
          <w:rtl/>
        </w:rPr>
        <w:t xml:space="preserve"> </w:t>
      </w:r>
      <w:r w:rsidR="001C7351" w:rsidRPr="00324407">
        <w:rPr>
          <w:rFonts w:ascii="Arial" w:hAnsi="Arial"/>
          <w:b/>
          <w:bCs/>
          <w:rtl/>
        </w:rPr>
        <w:t>מדינת ישראל נ' אל עסלה</w:t>
      </w:r>
      <w:r w:rsidR="001C7351" w:rsidRPr="00324407">
        <w:rPr>
          <w:rFonts w:ascii="Arial" w:hAnsi="Arial"/>
          <w:rtl/>
        </w:rPr>
        <w:t xml:space="preserve"> </w:t>
      </w:r>
      <w:r w:rsidR="00A32D9C">
        <w:rPr>
          <w:rFonts w:ascii="Arial" w:hAnsi="Arial"/>
          <w:rtl/>
        </w:rPr>
        <w:t>[נבו]</w:t>
      </w:r>
      <w:r w:rsidR="00A32D9C">
        <w:rPr>
          <w:rFonts w:ascii="Arial" w:hAnsi="Arial" w:hint="cs"/>
          <w:rtl/>
        </w:rPr>
        <w:t xml:space="preserve"> </w:t>
      </w:r>
      <w:r w:rsidR="001C7351" w:rsidRPr="00324407">
        <w:rPr>
          <w:rFonts w:ascii="Arial" w:hAnsi="Arial"/>
          <w:rtl/>
        </w:rPr>
        <w:t xml:space="preserve">(12.05.2022) – הנאשמים 2 ו-3 הורשעו בעבירות נשיאה והובלת נשק, ניסיון עסקה בנשק והחזקת נכס חשוד (הנאשם 1 הורשע בעבירות דומות וצירף הליך נוסף), נקבע מתחם עונש בין 12 ל-24 חודשי מאסר והושתו 6 חודשי עבודות שירות, צו מבחן ומאסר מותנה; </w:t>
      </w:r>
      <w:hyperlink r:id="rId39" w:history="1">
        <w:r w:rsidRPr="00DF3396">
          <w:rPr>
            <w:rFonts w:ascii="Arial" w:hAnsi="Arial"/>
            <w:color w:val="0000FF"/>
            <w:u w:val="single"/>
            <w:rtl/>
          </w:rPr>
          <w:t>ת"פ (מחוזי חיפה) 44620-01-22</w:t>
        </w:r>
      </w:hyperlink>
      <w:r w:rsidR="001C7351" w:rsidRPr="00324407">
        <w:rPr>
          <w:rFonts w:ascii="Arial" w:hAnsi="Arial"/>
          <w:rtl/>
        </w:rPr>
        <w:t xml:space="preserve"> </w:t>
      </w:r>
      <w:r w:rsidR="001C7351" w:rsidRPr="00324407">
        <w:rPr>
          <w:rFonts w:ascii="Arial" w:hAnsi="Arial"/>
          <w:b/>
          <w:bCs/>
          <w:rtl/>
        </w:rPr>
        <w:t>מדינת ישראל נ' היב</w:t>
      </w:r>
      <w:r w:rsidR="001C7351" w:rsidRPr="00324407">
        <w:rPr>
          <w:rFonts w:ascii="Arial" w:hAnsi="Arial"/>
          <w:rtl/>
        </w:rPr>
        <w:t xml:space="preserve"> </w:t>
      </w:r>
      <w:r w:rsidR="00A32D9C">
        <w:rPr>
          <w:rFonts w:ascii="Arial" w:hAnsi="Arial"/>
          <w:rtl/>
        </w:rPr>
        <w:t>[נבו]</w:t>
      </w:r>
      <w:r w:rsidR="00A32D9C">
        <w:rPr>
          <w:rFonts w:ascii="Arial" w:hAnsi="Arial" w:hint="cs"/>
          <w:rtl/>
        </w:rPr>
        <w:t xml:space="preserve"> </w:t>
      </w:r>
      <w:r w:rsidR="001C7351" w:rsidRPr="00324407">
        <w:rPr>
          <w:rFonts w:ascii="Arial" w:hAnsi="Arial"/>
          <w:rtl/>
        </w:rPr>
        <w:t xml:space="preserve">(14.12.2022) – הרשעה בעבירות נשק ובירי מנזק חם. נקבע מתחם עונש בין 20 ל-48 חודשי מאסר. מטעמי שיקום, הושתו 9 חודשי עבודות שירות, מאסר מותנה וקנס בסך 10,000 ₪; </w:t>
      </w:r>
      <w:hyperlink r:id="rId40" w:history="1">
        <w:r w:rsidRPr="00DF3396">
          <w:rPr>
            <w:rFonts w:ascii="Arial" w:hAnsi="Arial"/>
            <w:color w:val="0000FF"/>
            <w:u w:val="single"/>
            <w:rtl/>
          </w:rPr>
          <w:t>ת"פ (שלום ירושלים) 30867-06-22</w:t>
        </w:r>
      </w:hyperlink>
      <w:r w:rsidR="001C7351" w:rsidRPr="00324407">
        <w:rPr>
          <w:rFonts w:ascii="Arial" w:hAnsi="Arial"/>
          <w:rtl/>
        </w:rPr>
        <w:t xml:space="preserve"> </w:t>
      </w:r>
      <w:r w:rsidR="001C7351" w:rsidRPr="00324407">
        <w:rPr>
          <w:rFonts w:ascii="Arial" w:hAnsi="Arial"/>
          <w:b/>
          <w:bCs/>
          <w:rtl/>
        </w:rPr>
        <w:t>מדינת ישראל נ' אבו קטיש</w:t>
      </w:r>
      <w:r w:rsidR="001C7351" w:rsidRPr="00324407">
        <w:rPr>
          <w:rFonts w:ascii="Arial" w:hAnsi="Arial"/>
          <w:rtl/>
        </w:rPr>
        <w:t xml:space="preserve"> </w:t>
      </w:r>
      <w:r w:rsidR="00A32D9C">
        <w:rPr>
          <w:rFonts w:ascii="Arial" w:hAnsi="Arial"/>
          <w:rtl/>
        </w:rPr>
        <w:t>[נבו]</w:t>
      </w:r>
      <w:r w:rsidR="00A32D9C">
        <w:rPr>
          <w:rFonts w:ascii="Arial" w:hAnsi="Arial" w:hint="cs"/>
          <w:rtl/>
        </w:rPr>
        <w:t xml:space="preserve"> </w:t>
      </w:r>
      <w:r w:rsidR="001C7351" w:rsidRPr="00324407">
        <w:rPr>
          <w:rFonts w:ascii="Arial" w:hAnsi="Arial"/>
          <w:rtl/>
        </w:rPr>
        <w:t xml:space="preserve">(28.5.2024) – הרשעה בעבירת החזקת נשק. נקבע מתחם עונש בין 12 ל-32 חודשי מאסר. מטעמי שיקום, הושתו 9 חודשי עבודות שירות, מאסר מותנה וקנס בסך 6,000 ₪; </w:t>
      </w:r>
      <w:hyperlink r:id="rId41" w:history="1">
        <w:r w:rsidRPr="00DF3396">
          <w:rPr>
            <w:rFonts w:ascii="Arial" w:hAnsi="Arial"/>
            <w:color w:val="0000FF"/>
            <w:u w:val="single"/>
            <w:rtl/>
          </w:rPr>
          <w:t>ת"פ (שלום באר שבע) 47445-08-17</w:t>
        </w:r>
      </w:hyperlink>
      <w:r w:rsidR="001C7351" w:rsidRPr="00324407">
        <w:rPr>
          <w:rFonts w:ascii="Arial" w:hAnsi="Arial"/>
          <w:rtl/>
        </w:rPr>
        <w:t xml:space="preserve"> </w:t>
      </w:r>
      <w:r w:rsidR="001C7351" w:rsidRPr="00324407">
        <w:rPr>
          <w:rFonts w:ascii="Arial" w:hAnsi="Arial"/>
          <w:b/>
          <w:bCs/>
          <w:rtl/>
        </w:rPr>
        <w:t>מדינת ישראל נ' גבועה</w:t>
      </w:r>
      <w:r w:rsidR="001C7351" w:rsidRPr="00324407">
        <w:rPr>
          <w:rFonts w:ascii="Arial" w:hAnsi="Arial"/>
          <w:rtl/>
        </w:rPr>
        <w:t xml:space="preserve"> </w:t>
      </w:r>
      <w:r w:rsidR="00A32D9C">
        <w:rPr>
          <w:rFonts w:ascii="Arial" w:hAnsi="Arial"/>
          <w:rtl/>
        </w:rPr>
        <w:t>[נבו]</w:t>
      </w:r>
      <w:r w:rsidR="00A32D9C">
        <w:rPr>
          <w:rFonts w:ascii="Arial" w:hAnsi="Arial" w:hint="cs"/>
          <w:rtl/>
        </w:rPr>
        <w:t xml:space="preserve"> </w:t>
      </w:r>
      <w:r w:rsidR="001C7351" w:rsidRPr="00324407">
        <w:rPr>
          <w:rFonts w:ascii="Arial" w:hAnsi="Arial"/>
          <w:rtl/>
        </w:rPr>
        <w:t xml:space="preserve">(11.9.2019) – הרשעה בעבירת החזקת נשק. נקבע מתחם עונש בין 12 ל-24 חודשי מאסר. בשל  נסיבותיו המיוחדות, הושתו 9 חודשי עבודות שירות, מאסר מותנה וקנס בסך 25,000 ₪; </w:t>
      </w:r>
      <w:hyperlink r:id="rId42" w:history="1">
        <w:r w:rsidRPr="00DF3396">
          <w:rPr>
            <w:rFonts w:ascii="Arial" w:hAnsi="Arial"/>
            <w:color w:val="0000FF"/>
            <w:u w:val="single"/>
            <w:rtl/>
          </w:rPr>
          <w:t>ת"פ (שלום קריות) 30433-06-22</w:t>
        </w:r>
      </w:hyperlink>
      <w:r w:rsidR="001C7351" w:rsidRPr="00324407">
        <w:rPr>
          <w:rFonts w:ascii="Arial" w:hAnsi="Arial"/>
          <w:rtl/>
        </w:rPr>
        <w:t xml:space="preserve"> </w:t>
      </w:r>
      <w:r w:rsidR="001C7351" w:rsidRPr="00324407">
        <w:rPr>
          <w:rFonts w:ascii="Arial" w:hAnsi="Arial"/>
          <w:b/>
          <w:bCs/>
          <w:rtl/>
        </w:rPr>
        <w:t>מדינת ישראל נ' מיעארי</w:t>
      </w:r>
      <w:r w:rsidR="001C7351" w:rsidRPr="00324407">
        <w:rPr>
          <w:rFonts w:ascii="Arial" w:hAnsi="Arial"/>
          <w:rtl/>
        </w:rPr>
        <w:t xml:space="preserve"> </w:t>
      </w:r>
      <w:r w:rsidR="00A32D9C">
        <w:rPr>
          <w:rFonts w:ascii="Arial" w:hAnsi="Arial"/>
          <w:rtl/>
        </w:rPr>
        <w:t>[נבו]</w:t>
      </w:r>
      <w:r w:rsidR="00A32D9C">
        <w:rPr>
          <w:rFonts w:ascii="Arial" w:hAnsi="Arial" w:hint="cs"/>
          <w:rtl/>
        </w:rPr>
        <w:t xml:space="preserve"> </w:t>
      </w:r>
      <w:r w:rsidR="001C7351" w:rsidRPr="00324407">
        <w:rPr>
          <w:rFonts w:ascii="Arial" w:hAnsi="Arial"/>
          <w:rtl/>
        </w:rPr>
        <w:t xml:space="preserve">(18.6.2024) – הרשעה בעבירות החזקת נשק ורכישת חלק נשק. נקבע מתחם עונש בין 14 ל-30 חודשי מאסר והושתו 9 חודשי עבודות שירות, מאסר מותנה וקנס בסך 10,000 ₪. </w:t>
      </w:r>
    </w:p>
    <w:p w14:paraId="48FE9B8B" w14:textId="77777777" w:rsidR="001C7351" w:rsidRPr="00324407" w:rsidRDefault="001C7351" w:rsidP="001C7351">
      <w:pPr>
        <w:spacing w:line="360" w:lineRule="auto"/>
        <w:jc w:val="both"/>
        <w:rPr>
          <w:rFonts w:ascii="Arial" w:hAnsi="Arial"/>
          <w:rtl/>
        </w:rPr>
      </w:pPr>
    </w:p>
    <w:p w14:paraId="6AA2081F" w14:textId="77777777" w:rsidR="001C7351" w:rsidRPr="00324407" w:rsidRDefault="001C7351" w:rsidP="001C7351">
      <w:pPr>
        <w:spacing w:line="360" w:lineRule="auto"/>
        <w:jc w:val="both"/>
        <w:rPr>
          <w:rFonts w:ascii="Arial" w:hAnsi="Arial"/>
          <w:rtl/>
        </w:rPr>
      </w:pPr>
      <w:r w:rsidRPr="00324407">
        <w:rPr>
          <w:rFonts w:ascii="Arial" w:hAnsi="Arial"/>
          <w:rtl/>
        </w:rPr>
        <w:t>1</w:t>
      </w:r>
      <w:r>
        <w:rPr>
          <w:rFonts w:ascii="Arial" w:hAnsi="Arial" w:hint="cs"/>
          <w:rtl/>
        </w:rPr>
        <w:t>2</w:t>
      </w:r>
      <w:r w:rsidRPr="00324407">
        <w:rPr>
          <w:rFonts w:ascii="Arial" w:hAnsi="Arial"/>
          <w:rtl/>
        </w:rPr>
        <w:t>.</w:t>
      </w:r>
      <w:r w:rsidRPr="00324407">
        <w:rPr>
          <w:rFonts w:ascii="Arial" w:hAnsi="Arial"/>
          <w:rtl/>
        </w:rPr>
        <w:tab/>
      </w:r>
      <w:r w:rsidRPr="00324407">
        <w:rPr>
          <w:rFonts w:ascii="Arial" w:hAnsi="Arial"/>
          <w:b/>
          <w:bCs/>
          <w:u w:val="single"/>
          <w:rtl/>
        </w:rPr>
        <w:t>נסיבות העבירות</w:t>
      </w:r>
      <w:r w:rsidRPr="00324407">
        <w:rPr>
          <w:rFonts w:ascii="Arial" w:hAnsi="Arial"/>
          <w:b/>
          <w:bCs/>
          <w:rtl/>
        </w:rPr>
        <w:t>:</w:t>
      </w:r>
      <w:r w:rsidRPr="00324407">
        <w:rPr>
          <w:rFonts w:ascii="Arial" w:hAnsi="Arial"/>
          <w:rtl/>
        </w:rPr>
        <w:t xml:space="preserve"> נסיבות מעשיי העבירות הן אפוא, אלו:</w:t>
      </w:r>
    </w:p>
    <w:p w14:paraId="651E8B4A" w14:textId="77777777" w:rsidR="001C7351" w:rsidRPr="00324407" w:rsidRDefault="001C7351" w:rsidP="001C7351">
      <w:pPr>
        <w:spacing w:line="360" w:lineRule="auto"/>
        <w:jc w:val="both"/>
        <w:rPr>
          <w:rFonts w:ascii="Arial" w:hAnsi="Arial"/>
          <w:rtl/>
        </w:rPr>
      </w:pPr>
    </w:p>
    <w:p w14:paraId="5FD283A7" w14:textId="77777777" w:rsidR="001C7351" w:rsidRPr="00324407" w:rsidRDefault="001C7351" w:rsidP="001C7351">
      <w:pPr>
        <w:spacing w:line="360" w:lineRule="auto"/>
        <w:jc w:val="both"/>
        <w:rPr>
          <w:rFonts w:ascii="Arial" w:hAnsi="Arial"/>
          <w:rtl/>
        </w:rPr>
      </w:pPr>
      <w:r w:rsidRPr="00324407">
        <w:rPr>
          <w:rFonts w:ascii="Arial" w:hAnsi="Arial"/>
          <w:b/>
          <w:bCs/>
          <w:u w:val="single"/>
          <w:rtl/>
        </w:rPr>
        <w:t>ראשית</w:t>
      </w:r>
      <w:r w:rsidRPr="00324407">
        <w:rPr>
          <w:rFonts w:ascii="Arial" w:hAnsi="Arial"/>
          <w:b/>
          <w:bCs/>
          <w:rtl/>
        </w:rPr>
        <w:t>,</w:t>
      </w:r>
      <w:r w:rsidRPr="00324407">
        <w:rPr>
          <w:rFonts w:ascii="Arial" w:hAnsi="Arial"/>
          <w:rtl/>
        </w:rPr>
        <w:t xml:space="preserve"> עבירות נשיאת נשק ונשיאת אביזר נשק, כללו החזקת אקדח ומחסנית תואמת עם כדורים הזמינים לשימוש ומכאן חומרת נסיבות העבירות. עם זאת, נשקלה העובדה שדובר באקדח, וכי הענישה לגבי אקדח פחות מחמירה מהענישה במצב שבו מדובר למשל, ברובה סער.</w:t>
      </w:r>
    </w:p>
    <w:p w14:paraId="2A117B7B" w14:textId="77777777" w:rsidR="001C7351" w:rsidRPr="00324407" w:rsidRDefault="001C7351" w:rsidP="001C7351">
      <w:pPr>
        <w:spacing w:line="360" w:lineRule="auto"/>
        <w:jc w:val="both"/>
        <w:rPr>
          <w:rFonts w:ascii="Arial" w:hAnsi="Arial"/>
          <w:rtl/>
        </w:rPr>
      </w:pPr>
    </w:p>
    <w:p w14:paraId="7BBAE10A" w14:textId="77777777" w:rsidR="001C7351" w:rsidRPr="00324407" w:rsidRDefault="001C7351" w:rsidP="001C7351">
      <w:pPr>
        <w:spacing w:line="360" w:lineRule="auto"/>
        <w:jc w:val="both"/>
        <w:rPr>
          <w:rFonts w:ascii="Arial" w:hAnsi="Arial"/>
          <w:rtl/>
        </w:rPr>
      </w:pPr>
      <w:r w:rsidRPr="00324407">
        <w:rPr>
          <w:rFonts w:ascii="Arial" w:hAnsi="Arial"/>
          <w:b/>
          <w:bCs/>
          <w:u w:val="single"/>
          <w:rtl/>
        </w:rPr>
        <w:t>שנית</w:t>
      </w:r>
      <w:r w:rsidRPr="00324407">
        <w:rPr>
          <w:rFonts w:ascii="Arial" w:hAnsi="Arial"/>
          <w:b/>
          <w:bCs/>
          <w:rtl/>
        </w:rPr>
        <w:t xml:space="preserve">, </w:t>
      </w:r>
      <w:r w:rsidRPr="00324407">
        <w:rPr>
          <w:rFonts w:ascii="Arial" w:hAnsi="Arial"/>
          <w:rtl/>
        </w:rPr>
        <w:t>עבירת שיבוש מהלכי משפט ושתי עבירות הפרעה לשוטר במילוי תפקידו לא כללו רק מעשה אחד מקרי שנעבר בלהט האירוע, אלא התנהלות סדרתית שראשיתה ההימלטות מהשוטרים, השלכת האקדח והמחסנית מהחלון, המשך ההימלטות וסירוב הנאשם להזדהות.</w:t>
      </w:r>
    </w:p>
    <w:p w14:paraId="4B584826" w14:textId="77777777" w:rsidR="001C7351" w:rsidRPr="00324407" w:rsidRDefault="001C7351" w:rsidP="001C7351">
      <w:pPr>
        <w:spacing w:line="360" w:lineRule="auto"/>
        <w:jc w:val="both"/>
        <w:rPr>
          <w:rFonts w:ascii="Arial" w:hAnsi="Arial"/>
          <w:rtl/>
        </w:rPr>
      </w:pPr>
    </w:p>
    <w:p w14:paraId="14D4BC0A" w14:textId="77777777" w:rsidR="001C7351" w:rsidRPr="00324407" w:rsidRDefault="001C7351" w:rsidP="001C7351">
      <w:pPr>
        <w:spacing w:line="360" w:lineRule="auto"/>
        <w:jc w:val="both"/>
        <w:rPr>
          <w:rFonts w:ascii="Arial" w:hAnsi="Arial"/>
          <w:rtl/>
        </w:rPr>
      </w:pPr>
      <w:r w:rsidRPr="00324407">
        <w:rPr>
          <w:rFonts w:ascii="Arial" w:hAnsi="Arial"/>
          <w:b/>
          <w:bCs/>
          <w:u w:val="single"/>
          <w:rtl/>
        </w:rPr>
        <w:t>שלישית</w:t>
      </w:r>
      <w:r w:rsidRPr="00324407">
        <w:rPr>
          <w:rFonts w:ascii="Arial" w:hAnsi="Arial"/>
          <w:b/>
          <w:bCs/>
          <w:rtl/>
        </w:rPr>
        <w:t>,</w:t>
      </w:r>
      <w:r w:rsidRPr="00324407">
        <w:rPr>
          <w:rFonts w:ascii="Arial" w:hAnsi="Arial"/>
          <w:rtl/>
        </w:rPr>
        <w:t xml:space="preserve"> יש לזכור שהעבירות נעברו בנסיבות אשר במקרה הטוב, מעלות תמיהות ותהיות, אשר נותרו ללא מענה. כך וכזכור, העבירות נעברו בשעה 04:00 לפנות בוקר. אמנם הנאשם הודה במעשיי העבירות, כפי שצוין בתסקירים, אולם עיון בתסקירים לא נותן מענה לנסיבות העבירה. שכן, כל אשר נאמר שם כי דובר באקדח ומחסנית של חבר. אך קשה לומר כי יש בכך כדי לתת מענה למכלול מעשיו של הנאשם, לרבות להסתובבותו עם אקדח טעון בשעה שבה הסתובב. לפיכך אף המניע לעבירות והסיבות שהביאו את הנאשם לעבור אותן נותרו לא ידועות.</w:t>
      </w:r>
    </w:p>
    <w:p w14:paraId="403E8421" w14:textId="77777777" w:rsidR="001C7351" w:rsidRPr="00324407" w:rsidRDefault="001C7351" w:rsidP="001C7351">
      <w:pPr>
        <w:spacing w:line="360" w:lineRule="auto"/>
        <w:jc w:val="both"/>
        <w:rPr>
          <w:rFonts w:ascii="Arial" w:hAnsi="Arial"/>
          <w:rtl/>
        </w:rPr>
      </w:pPr>
    </w:p>
    <w:p w14:paraId="395FBE2E" w14:textId="77777777" w:rsidR="001C7351" w:rsidRPr="00324407" w:rsidRDefault="001C7351" w:rsidP="001C7351">
      <w:pPr>
        <w:spacing w:line="360" w:lineRule="auto"/>
        <w:jc w:val="both"/>
        <w:rPr>
          <w:rFonts w:ascii="Arial" w:hAnsi="Arial"/>
          <w:rtl/>
        </w:rPr>
      </w:pPr>
      <w:r w:rsidRPr="00324407">
        <w:rPr>
          <w:rFonts w:ascii="Arial" w:hAnsi="Arial"/>
          <w:b/>
          <w:bCs/>
          <w:u w:val="single"/>
          <w:rtl/>
        </w:rPr>
        <w:t>רביעית</w:t>
      </w:r>
      <w:r w:rsidRPr="00324407">
        <w:rPr>
          <w:rFonts w:ascii="Arial" w:hAnsi="Arial"/>
          <w:b/>
          <w:bCs/>
          <w:rtl/>
        </w:rPr>
        <w:t>,</w:t>
      </w:r>
      <w:r w:rsidRPr="00324407">
        <w:rPr>
          <w:rFonts w:ascii="Arial" w:hAnsi="Arial"/>
          <w:rtl/>
        </w:rPr>
        <w:t xml:space="preserve"> כפי שכבר נאמר, פוטנציאל הנזק הגלום בעבירות הנשק שעבר הנאשם הוא רב ואף אין להקל ראש בפוטנציאל הנזק מעבירות ההפרעה לשוטרים ושיבוש עבירות הנשק.</w:t>
      </w:r>
    </w:p>
    <w:p w14:paraId="290FBC89" w14:textId="77777777" w:rsidR="001C7351" w:rsidRPr="00324407" w:rsidRDefault="001C7351" w:rsidP="001C7351">
      <w:pPr>
        <w:spacing w:line="360" w:lineRule="auto"/>
        <w:jc w:val="both"/>
        <w:rPr>
          <w:rFonts w:ascii="Arial" w:hAnsi="Arial"/>
          <w:rtl/>
        </w:rPr>
      </w:pPr>
    </w:p>
    <w:p w14:paraId="5BC094BB" w14:textId="77777777" w:rsidR="001C7351" w:rsidRPr="00324407" w:rsidRDefault="001C7351" w:rsidP="001C7351">
      <w:pPr>
        <w:spacing w:line="360" w:lineRule="auto"/>
        <w:jc w:val="both"/>
        <w:rPr>
          <w:rFonts w:ascii="Arial" w:hAnsi="Arial"/>
          <w:rtl/>
        </w:rPr>
      </w:pPr>
      <w:r w:rsidRPr="00324407">
        <w:rPr>
          <w:rFonts w:ascii="Arial" w:hAnsi="Arial"/>
          <w:b/>
          <w:bCs/>
          <w:u w:val="single"/>
          <w:rtl/>
        </w:rPr>
        <w:t>חמישית</w:t>
      </w:r>
      <w:r w:rsidRPr="00324407">
        <w:rPr>
          <w:rFonts w:ascii="Arial" w:hAnsi="Arial"/>
          <w:b/>
          <w:bCs/>
          <w:rtl/>
        </w:rPr>
        <w:t>,</w:t>
      </w:r>
      <w:r w:rsidRPr="00324407">
        <w:rPr>
          <w:rFonts w:ascii="Arial" w:hAnsi="Arial"/>
          <w:rtl/>
        </w:rPr>
        <w:t xml:space="preserve"> חזקה על הנאשם שהבין היטב את חומרת מעשיו ואת הפסול שבמעשיו ומטעם זה, אף ביקש להיפטר מהנשק ולהימלט מהשוטרים. אף חזקה עליו כי יכול היה להימנע מהמעשים.</w:t>
      </w:r>
    </w:p>
    <w:p w14:paraId="0616B649" w14:textId="77777777" w:rsidR="001C7351" w:rsidRPr="00324407" w:rsidRDefault="001C7351" w:rsidP="001C7351">
      <w:pPr>
        <w:spacing w:line="360" w:lineRule="auto"/>
        <w:jc w:val="both"/>
        <w:rPr>
          <w:rFonts w:ascii="Arial" w:hAnsi="Arial"/>
          <w:rtl/>
        </w:rPr>
      </w:pPr>
    </w:p>
    <w:p w14:paraId="305BB4A9" w14:textId="77777777" w:rsidR="001C7351" w:rsidRPr="00324407" w:rsidRDefault="001C7351" w:rsidP="001C7351">
      <w:pPr>
        <w:spacing w:line="360" w:lineRule="auto"/>
        <w:jc w:val="both"/>
        <w:rPr>
          <w:rFonts w:ascii="Arial" w:hAnsi="Arial"/>
          <w:rtl/>
        </w:rPr>
      </w:pPr>
      <w:r w:rsidRPr="00324407">
        <w:rPr>
          <w:rFonts w:ascii="Arial" w:hAnsi="Arial"/>
          <w:rtl/>
        </w:rPr>
        <w:t>1</w:t>
      </w:r>
      <w:r>
        <w:rPr>
          <w:rFonts w:ascii="Arial" w:hAnsi="Arial" w:hint="cs"/>
          <w:rtl/>
        </w:rPr>
        <w:t>3</w:t>
      </w:r>
      <w:r w:rsidRPr="00324407">
        <w:rPr>
          <w:rFonts w:ascii="Arial" w:hAnsi="Arial"/>
          <w:rtl/>
        </w:rPr>
        <w:t>.</w:t>
      </w:r>
      <w:r w:rsidRPr="00324407">
        <w:rPr>
          <w:rFonts w:ascii="Arial" w:hAnsi="Arial"/>
          <w:rtl/>
        </w:rPr>
        <w:tab/>
      </w:r>
      <w:r w:rsidRPr="00324407">
        <w:rPr>
          <w:rFonts w:ascii="Arial" w:hAnsi="Arial"/>
          <w:b/>
          <w:bCs/>
          <w:u w:val="single"/>
          <w:rtl/>
        </w:rPr>
        <w:t>קביעת מתחם העונש ההולם – סיכום</w:t>
      </w:r>
      <w:r w:rsidRPr="00324407">
        <w:rPr>
          <w:rFonts w:ascii="Arial" w:hAnsi="Arial"/>
          <w:b/>
          <w:bCs/>
          <w:rtl/>
        </w:rPr>
        <w:t>:</w:t>
      </w:r>
      <w:r w:rsidRPr="00324407">
        <w:rPr>
          <w:rFonts w:ascii="Arial" w:hAnsi="Arial"/>
          <w:rtl/>
        </w:rPr>
        <w:t xml:space="preserve"> בהתאם לעיקרון ההלימה, בהתחשב בערכים החברתיים שנפגעו ממעשיי העבירות ומידת הפגיעה בהם וכן תוך התחשבות במדיניות הענישה הנהוגה, לרבות עניין </w:t>
      </w:r>
      <w:r w:rsidRPr="00324407">
        <w:rPr>
          <w:rFonts w:ascii="Arial" w:hAnsi="Arial"/>
          <w:b/>
          <w:bCs/>
          <w:rtl/>
        </w:rPr>
        <w:t>פלוני</w:t>
      </w:r>
      <w:r w:rsidRPr="00324407">
        <w:rPr>
          <w:rFonts w:ascii="Arial" w:hAnsi="Arial"/>
          <w:rtl/>
        </w:rPr>
        <w:t xml:space="preserve">, ובנסיבות שבהן העבירה נעברה, כפי שכל אלו פורטו לעיל, נמצא כי יש להעמיד את מתחם העונש בין </w:t>
      </w:r>
      <w:r w:rsidRPr="00324407">
        <w:rPr>
          <w:rFonts w:ascii="Arial" w:hAnsi="Arial"/>
          <w:b/>
          <w:bCs/>
          <w:rtl/>
        </w:rPr>
        <w:t>בין 22 ל-44 חודשי מאסר</w:t>
      </w:r>
      <w:r w:rsidRPr="00324407">
        <w:rPr>
          <w:rFonts w:ascii="Arial" w:hAnsi="Arial"/>
          <w:rtl/>
        </w:rPr>
        <w:t xml:space="preserve">. </w:t>
      </w:r>
    </w:p>
    <w:p w14:paraId="492E7C54" w14:textId="77777777" w:rsidR="001C7351" w:rsidRPr="00324407" w:rsidRDefault="001C7351" w:rsidP="001C7351">
      <w:pPr>
        <w:spacing w:line="360" w:lineRule="auto"/>
        <w:jc w:val="both"/>
        <w:rPr>
          <w:rFonts w:ascii="Arial" w:hAnsi="Arial"/>
          <w:rtl/>
        </w:rPr>
      </w:pPr>
    </w:p>
    <w:p w14:paraId="1764808E" w14:textId="77777777" w:rsidR="001C7351" w:rsidRPr="00324407" w:rsidRDefault="001C7351" w:rsidP="001C7351">
      <w:pPr>
        <w:spacing w:line="360" w:lineRule="auto"/>
        <w:ind w:firstLine="720"/>
        <w:jc w:val="both"/>
        <w:rPr>
          <w:rFonts w:ascii="Arial" w:hAnsi="Arial"/>
          <w:u w:val="single"/>
          <w:rtl/>
        </w:rPr>
      </w:pPr>
      <w:r>
        <w:rPr>
          <w:rFonts w:ascii="Arial" w:hAnsi="Arial" w:hint="cs"/>
          <w:b/>
          <w:bCs/>
          <w:u w:val="single"/>
          <w:rtl/>
        </w:rPr>
        <w:t xml:space="preserve">- </w:t>
      </w:r>
      <w:r w:rsidRPr="00324407">
        <w:rPr>
          <w:rFonts w:ascii="Arial" w:hAnsi="Arial"/>
          <w:b/>
          <w:bCs/>
          <w:u w:val="single"/>
          <w:rtl/>
        </w:rPr>
        <w:t>גזירת עונשו של הנאשם</w:t>
      </w:r>
      <w:r w:rsidRPr="00324407">
        <w:rPr>
          <w:rFonts w:ascii="Arial" w:hAnsi="Arial"/>
          <w:rtl/>
        </w:rPr>
        <w:t xml:space="preserve">  </w:t>
      </w:r>
    </w:p>
    <w:p w14:paraId="05A4797E" w14:textId="77777777" w:rsidR="001C7351" w:rsidRPr="00E62F97" w:rsidRDefault="001C7351" w:rsidP="001C7351">
      <w:pPr>
        <w:spacing w:line="360" w:lineRule="auto"/>
        <w:jc w:val="both"/>
        <w:rPr>
          <w:rFonts w:ascii="Arial" w:hAnsi="Arial"/>
          <w:sz w:val="16"/>
          <w:szCs w:val="16"/>
          <w:u w:val="single"/>
          <w:rtl/>
        </w:rPr>
      </w:pPr>
    </w:p>
    <w:p w14:paraId="11D58934" w14:textId="77777777" w:rsidR="001C7351" w:rsidRPr="00324407" w:rsidRDefault="001C7351" w:rsidP="001C7351">
      <w:pPr>
        <w:spacing w:line="360" w:lineRule="auto"/>
        <w:jc w:val="both"/>
        <w:rPr>
          <w:rFonts w:ascii="Arial" w:hAnsi="Arial"/>
          <w:rtl/>
        </w:rPr>
      </w:pPr>
      <w:r w:rsidRPr="00324407">
        <w:rPr>
          <w:rFonts w:ascii="Arial" w:hAnsi="Arial"/>
          <w:rtl/>
        </w:rPr>
        <w:t>1</w:t>
      </w:r>
      <w:r>
        <w:rPr>
          <w:rFonts w:ascii="Arial" w:hAnsi="Arial" w:hint="cs"/>
          <w:rtl/>
        </w:rPr>
        <w:t>4</w:t>
      </w:r>
      <w:r w:rsidRPr="00324407">
        <w:rPr>
          <w:rFonts w:ascii="Arial" w:hAnsi="Arial"/>
          <w:rtl/>
        </w:rPr>
        <w:t>.</w:t>
      </w:r>
      <w:r w:rsidRPr="00324407">
        <w:rPr>
          <w:rFonts w:ascii="Arial" w:hAnsi="Arial"/>
          <w:rtl/>
        </w:rPr>
        <w:tab/>
      </w:r>
      <w:r w:rsidRPr="00324407">
        <w:rPr>
          <w:rFonts w:ascii="Arial" w:hAnsi="Arial"/>
          <w:b/>
          <w:bCs/>
          <w:u w:val="single"/>
          <w:rtl/>
        </w:rPr>
        <w:t>נסיבותיו של הנאשם</w:t>
      </w:r>
      <w:r w:rsidRPr="00324407">
        <w:rPr>
          <w:rFonts w:ascii="Arial" w:hAnsi="Arial"/>
          <w:b/>
          <w:bCs/>
          <w:rtl/>
        </w:rPr>
        <w:t>:</w:t>
      </w:r>
      <w:r w:rsidRPr="00324407">
        <w:rPr>
          <w:rFonts w:ascii="Arial" w:hAnsi="Arial"/>
          <w:rtl/>
        </w:rPr>
        <w:t xml:space="preserve"> נסיבותיו של הנאשם אשר אינן קשורות במעשיי העבירות ואשר נשקלו הן אלו:</w:t>
      </w:r>
    </w:p>
    <w:p w14:paraId="47FD4CBB" w14:textId="77777777" w:rsidR="001C7351" w:rsidRPr="00324407" w:rsidRDefault="001C7351" w:rsidP="001C7351">
      <w:pPr>
        <w:spacing w:line="360" w:lineRule="auto"/>
        <w:jc w:val="both"/>
        <w:rPr>
          <w:rFonts w:ascii="Arial" w:hAnsi="Arial"/>
          <w:rtl/>
        </w:rPr>
      </w:pPr>
    </w:p>
    <w:p w14:paraId="5B758EA7" w14:textId="77777777" w:rsidR="001C7351" w:rsidRPr="00324407" w:rsidRDefault="001C7351" w:rsidP="001C7351">
      <w:pPr>
        <w:spacing w:line="360" w:lineRule="auto"/>
        <w:jc w:val="both"/>
        <w:rPr>
          <w:rFonts w:ascii="Arial" w:hAnsi="Arial"/>
          <w:rtl/>
        </w:rPr>
      </w:pPr>
      <w:r w:rsidRPr="00324407">
        <w:rPr>
          <w:rFonts w:ascii="Arial" w:hAnsi="Arial"/>
          <w:b/>
          <w:bCs/>
          <w:u w:val="single"/>
          <w:rtl/>
        </w:rPr>
        <w:t>ראשית</w:t>
      </w:r>
      <w:r w:rsidRPr="00324407">
        <w:rPr>
          <w:rFonts w:ascii="Arial" w:hAnsi="Arial"/>
          <w:b/>
          <w:bCs/>
          <w:rtl/>
        </w:rPr>
        <w:t>,</w:t>
      </w:r>
      <w:r w:rsidRPr="00324407">
        <w:rPr>
          <w:rFonts w:ascii="Arial" w:hAnsi="Arial"/>
          <w:rtl/>
        </w:rPr>
        <w:t xml:space="preserve"> הנאשם אמנם הודה בעובדות כתב האישום והורשע על-פי הודאתו, אולם הודאה זו הייתה בשלב מתקדם של ההליכים. היה זה לאחר עתירה לגילוי ראיה (בדיון מיום 15.6.2023), שתי ישיבות הוכחות (מיום 24.12.2023 ומיום 22.5.2024 נוסף לישיבת הוכחות שהייתה קבועה ליום 8.4.2024 ובוטלה בשל מחלת הנאשם), ובסך הכול עשרה דיונים עד הודאת הנאשם והרשעתו. במהלך ישיבות ההוכחות שהתקיימו, נשמעו עדי התביעה המהותיים, שכללו את שני השוטרים הנזכרים בעובדות כתב האישום ואת שתי המומחיות בנושא טביעות האצבע אשר נמצאו על המחסנית, לאחר שהנאשם השליך את האקדח והמחסנית מחלון הרכב במהלך הימלטותו מהשוטרים. בעניין הודאת נאשם בשלב מתקדם של ההליך, הודגש לא אחת כי </w:t>
      </w:r>
      <w:r w:rsidRPr="00324407">
        <w:rPr>
          <w:rFonts w:ascii="Arial" w:hAnsi="Arial"/>
          <w:b/>
          <w:bCs/>
          <w:rtl/>
        </w:rPr>
        <w:t>"שאלת המועד בו חזר הנאשם מכפירתו או הודה באישומים שיוחסו לו, היא רלוונטית לעוצמת המשקל שיש ליתן לשיקול זה. כך, בין שאר התכליות העומדות בבסיס שקילתה לקולא של הודאת הנאשם, נמצאת תכלית החיסכון בזמן השיפוטי. לכן, ככל שהודאת הנאשם ניתנה בשלב מוקדם יותר של ההליך בעניינו, הרי שבכך חסך הנאשם זמן שיפוטי רב יותר, ומשקלה לקולא של הודאתו גובר"</w:t>
      </w:r>
      <w:r w:rsidRPr="00324407">
        <w:rPr>
          <w:rFonts w:ascii="Arial" w:hAnsi="Arial"/>
          <w:rtl/>
        </w:rPr>
        <w:t xml:space="preserve"> (</w:t>
      </w:r>
      <w:hyperlink r:id="rId43" w:history="1">
        <w:r w:rsidR="00DF3396" w:rsidRPr="00DF3396">
          <w:rPr>
            <w:rFonts w:ascii="Arial" w:hAnsi="Arial"/>
            <w:color w:val="0000FF"/>
            <w:u w:val="single"/>
            <w:rtl/>
          </w:rPr>
          <w:t>ע"פ 4597/13</w:t>
        </w:r>
      </w:hyperlink>
      <w:r w:rsidRPr="00324407">
        <w:rPr>
          <w:rFonts w:ascii="Arial" w:hAnsi="Arial"/>
          <w:rtl/>
        </w:rPr>
        <w:t xml:space="preserve"> </w:t>
      </w:r>
      <w:r w:rsidRPr="00324407">
        <w:rPr>
          <w:rFonts w:ascii="Arial" w:hAnsi="Arial"/>
          <w:b/>
          <w:bCs/>
          <w:rtl/>
        </w:rPr>
        <w:t>פיצו נ' מדינת ישראל</w:t>
      </w:r>
      <w:r w:rsidRPr="00324407">
        <w:rPr>
          <w:rFonts w:ascii="Arial" w:hAnsi="Arial"/>
          <w:rtl/>
        </w:rPr>
        <w:t xml:space="preserve"> </w:t>
      </w:r>
      <w:r w:rsidR="00A32D9C">
        <w:rPr>
          <w:rFonts w:ascii="Arial" w:hAnsi="Arial"/>
          <w:rtl/>
        </w:rPr>
        <w:t>[נבו]</w:t>
      </w:r>
      <w:r w:rsidR="00A32D9C">
        <w:rPr>
          <w:rFonts w:ascii="Arial" w:hAnsi="Arial" w:hint="cs"/>
          <w:rtl/>
        </w:rPr>
        <w:t xml:space="preserve"> </w:t>
      </w:r>
      <w:r w:rsidRPr="00324407">
        <w:rPr>
          <w:rFonts w:ascii="Arial" w:hAnsi="Arial"/>
          <w:rtl/>
        </w:rPr>
        <w:t>(22.9.2014), כבוד השופט י' דנציגר, פסקה 19).</w:t>
      </w:r>
    </w:p>
    <w:p w14:paraId="47EE8C03" w14:textId="77777777" w:rsidR="001C7351" w:rsidRPr="00324407" w:rsidRDefault="001C7351" w:rsidP="001C7351">
      <w:pPr>
        <w:spacing w:line="360" w:lineRule="auto"/>
        <w:jc w:val="both"/>
        <w:rPr>
          <w:rFonts w:ascii="Arial" w:hAnsi="Arial"/>
          <w:rtl/>
        </w:rPr>
      </w:pPr>
    </w:p>
    <w:p w14:paraId="257E25C9" w14:textId="77777777" w:rsidR="001C7351" w:rsidRPr="00324407" w:rsidRDefault="001C7351" w:rsidP="001C7351">
      <w:pPr>
        <w:spacing w:line="360" w:lineRule="auto"/>
        <w:jc w:val="both"/>
        <w:rPr>
          <w:rFonts w:ascii="Arial" w:hAnsi="Arial"/>
          <w:rtl/>
        </w:rPr>
      </w:pPr>
      <w:r w:rsidRPr="00324407">
        <w:rPr>
          <w:rFonts w:ascii="Arial" w:hAnsi="Arial"/>
          <w:b/>
          <w:bCs/>
          <w:u w:val="single"/>
          <w:rtl/>
        </w:rPr>
        <w:t>שנית</w:t>
      </w:r>
      <w:r w:rsidRPr="00324407">
        <w:rPr>
          <w:rFonts w:ascii="Arial" w:hAnsi="Arial"/>
          <w:b/>
          <w:bCs/>
          <w:rtl/>
        </w:rPr>
        <w:t>,</w:t>
      </w:r>
      <w:r w:rsidRPr="00324407">
        <w:rPr>
          <w:rFonts w:ascii="Arial" w:hAnsi="Arial"/>
          <w:rtl/>
        </w:rPr>
        <w:t xml:space="preserve"> ניתן משקל של ממש לכך שהנאשם נעדר הרשעות קודמות ולכך שנראה כי אמנם, עד מעשיי העבירות הנדונות הוא ניהל אורח חיים נורמטיבי. עם זאת, על-פי התסקיר ועל-פי דברי הנאשם לשירות המבחן, עד מעצרו עבד הנאשם בחברה של אחיו העוסקת בבנייה, כך שלחלוטין לא ברור על יסוד מה נטען במהלך הטיעונים לעונש כי הנאשם היה בעיצומם של לימודי השכלה גבוהה. לא רק שהדבר לא נתמך בדבר, אלא הסתירה לנטען בתסקירים מטילה צל על כלל טענות הנאשם. אף טענותיו הנוספות בעניין התנהלותו ובעניין בני משפחתו לא נתמכו בדבר. בכלל זה, הטענות בעניין חברת הבנייה שנטען כי אחיו מנהלים או הטענות לשיתוף פעולה עם גורמי ביטחון.</w:t>
      </w:r>
    </w:p>
    <w:p w14:paraId="737C4990" w14:textId="77777777" w:rsidR="001C7351" w:rsidRPr="00324407" w:rsidRDefault="001C7351" w:rsidP="001C7351">
      <w:pPr>
        <w:spacing w:line="360" w:lineRule="auto"/>
        <w:jc w:val="both"/>
        <w:rPr>
          <w:rFonts w:ascii="Arial" w:hAnsi="Arial"/>
          <w:rtl/>
        </w:rPr>
      </w:pPr>
    </w:p>
    <w:p w14:paraId="021F0656" w14:textId="77777777" w:rsidR="001C7351" w:rsidRPr="00324407" w:rsidRDefault="001C7351" w:rsidP="001C7351">
      <w:pPr>
        <w:spacing w:line="360" w:lineRule="auto"/>
        <w:jc w:val="both"/>
        <w:rPr>
          <w:rFonts w:ascii="Arial" w:hAnsi="Arial"/>
          <w:rtl/>
        </w:rPr>
      </w:pPr>
      <w:r w:rsidRPr="00324407">
        <w:rPr>
          <w:rFonts w:ascii="Arial" w:hAnsi="Arial"/>
          <w:b/>
          <w:bCs/>
          <w:u w:val="single"/>
          <w:rtl/>
        </w:rPr>
        <w:t>שלישית</w:t>
      </w:r>
      <w:r w:rsidRPr="00324407">
        <w:rPr>
          <w:rFonts w:ascii="Arial" w:hAnsi="Arial"/>
          <w:b/>
          <w:bCs/>
          <w:rtl/>
        </w:rPr>
        <w:t xml:space="preserve">, </w:t>
      </w:r>
      <w:r w:rsidRPr="00324407">
        <w:rPr>
          <w:rFonts w:ascii="Arial" w:hAnsi="Arial"/>
          <w:rtl/>
        </w:rPr>
        <w:t xml:space="preserve">כתב האישום הוגש לפני כשנתיים וחודשיים, ביום 19.12.2022 (לא לפני שלוש שנים). הנאשם היה עצור במשך כשלושה חודשים וחצי (מיום 6.12.2022 עד יום 21.03.2023), לאחר מכן היה במעצר בפיקוח במשך כשנה וחודשיים (עד יום 21.5.2024), ומאז הוא במעצר בית עם אפשרות יציאה לעבודה. עם זאת וכמתואר, חלוף הזמן נבע מהתנהלות הנאשם בהליך הנדון, כך שיש קושי לקבל את הטענה בדבר משך הזמן שבו הוא היה נתון במעצר ובתנאים מגבילים. </w:t>
      </w:r>
    </w:p>
    <w:p w14:paraId="7B42CFCE" w14:textId="77777777" w:rsidR="001C7351" w:rsidRPr="00324407" w:rsidRDefault="001C7351" w:rsidP="001C7351">
      <w:pPr>
        <w:spacing w:line="360" w:lineRule="auto"/>
        <w:jc w:val="both"/>
        <w:rPr>
          <w:rFonts w:ascii="Arial" w:hAnsi="Arial"/>
          <w:rtl/>
        </w:rPr>
      </w:pPr>
    </w:p>
    <w:p w14:paraId="4D2B0561" w14:textId="77777777" w:rsidR="001C7351" w:rsidRPr="00324407" w:rsidRDefault="001C7351" w:rsidP="001C7351">
      <w:pPr>
        <w:spacing w:line="360" w:lineRule="auto"/>
        <w:jc w:val="both"/>
        <w:rPr>
          <w:rFonts w:ascii="Arial" w:hAnsi="Arial"/>
          <w:rtl/>
        </w:rPr>
      </w:pPr>
      <w:r w:rsidRPr="00324407">
        <w:rPr>
          <w:rFonts w:ascii="Arial" w:hAnsi="Arial"/>
          <w:b/>
          <w:bCs/>
          <w:u w:val="single"/>
          <w:rtl/>
        </w:rPr>
        <w:t>רביעית</w:t>
      </w:r>
      <w:r w:rsidRPr="00324407">
        <w:rPr>
          <w:rFonts w:ascii="Arial" w:hAnsi="Arial"/>
          <w:b/>
          <w:bCs/>
          <w:rtl/>
        </w:rPr>
        <w:t xml:space="preserve">, </w:t>
      </w:r>
      <w:r w:rsidRPr="00324407">
        <w:rPr>
          <w:rFonts w:ascii="Arial" w:hAnsi="Arial"/>
          <w:rtl/>
        </w:rPr>
        <w:t>נשקלו נסיבותיו האישיות של הנאשם כפי שפורטו בתסקירים וכמפורט לעיל, וכן נשקל שיתוף הפעולה שלו עם שירות המבחן. עם זאת, כפי שעמדה על כך באת-כוח המאשימה, חרף חלוף קרוב לשנתיים מאז שוחרר הנאשם מהמעצר, בפועל דובר בהשתתפות מצומצמת יחסית במסגרות טיפוליות. שכן, דובר בקבוצה לעצורי מעצר בית במשך כחצי שנה בכפר דבוריה (מיום 30.3.2023 ועד יום 20.9.2023), ובמסגרת טיפולית בירושלים, שהחלה רק בחודש ינואר האחרון. אמנם בשל חוסר מקום, הנאשם היה ברשימת המתנה לקבוצה, אך בפועל, אין מדובר בהליכי טיפול חריגים.</w:t>
      </w:r>
    </w:p>
    <w:p w14:paraId="067A283E" w14:textId="77777777" w:rsidR="001C7351" w:rsidRPr="00324407" w:rsidRDefault="001C7351" w:rsidP="001C7351">
      <w:pPr>
        <w:spacing w:line="360" w:lineRule="auto"/>
        <w:jc w:val="both"/>
        <w:rPr>
          <w:rFonts w:ascii="Arial" w:hAnsi="Arial"/>
          <w:b/>
          <w:bCs/>
          <w:rtl/>
        </w:rPr>
      </w:pPr>
    </w:p>
    <w:p w14:paraId="17668960" w14:textId="77777777" w:rsidR="001C7351" w:rsidRPr="00324407" w:rsidRDefault="001C7351" w:rsidP="001C7351">
      <w:pPr>
        <w:spacing w:line="360" w:lineRule="auto"/>
        <w:jc w:val="both"/>
        <w:rPr>
          <w:rFonts w:ascii="Arial" w:hAnsi="Arial"/>
          <w:u w:val="single"/>
          <w:rtl/>
        </w:rPr>
      </w:pPr>
      <w:r w:rsidRPr="00324407">
        <w:rPr>
          <w:rFonts w:ascii="Arial" w:hAnsi="Arial"/>
          <w:rtl/>
        </w:rPr>
        <w:t>1</w:t>
      </w:r>
      <w:r>
        <w:rPr>
          <w:rFonts w:ascii="Arial" w:hAnsi="Arial" w:hint="cs"/>
          <w:rtl/>
        </w:rPr>
        <w:t>5</w:t>
      </w:r>
      <w:r w:rsidRPr="00324407">
        <w:rPr>
          <w:rFonts w:ascii="Arial" w:hAnsi="Arial"/>
          <w:rtl/>
        </w:rPr>
        <w:t>.</w:t>
      </w:r>
      <w:r w:rsidRPr="00324407">
        <w:rPr>
          <w:rFonts w:ascii="Arial" w:hAnsi="Arial"/>
          <w:rtl/>
        </w:rPr>
        <w:tab/>
      </w:r>
      <w:r w:rsidRPr="00324407">
        <w:rPr>
          <w:rFonts w:ascii="Arial" w:hAnsi="Arial"/>
          <w:b/>
          <w:bCs/>
          <w:u w:val="single"/>
          <w:rtl/>
        </w:rPr>
        <w:t>המלצת שירות המבחן ושאלת ההצדקה לחריגה ממתחם העונש מטעמי שיקום</w:t>
      </w:r>
      <w:r w:rsidRPr="00324407">
        <w:rPr>
          <w:rFonts w:ascii="Arial" w:hAnsi="Arial"/>
          <w:b/>
          <w:bCs/>
          <w:rtl/>
        </w:rPr>
        <w:t>:</w:t>
      </w:r>
      <w:r w:rsidRPr="00324407">
        <w:rPr>
          <w:rFonts w:ascii="Arial" w:hAnsi="Arial"/>
          <w:rtl/>
        </w:rPr>
        <w:t xml:space="preserve"> כפי שעמדה על כך המאשימה, לפני כחודש הודיע שירות המבחן על כך שזה מקרוב החל הנאשם בתהליך טיפולי וכי יש לבחון את מידת הירתמותו אל התהליך. כעבור יום כבר הוגשה המלצה להסתפק במאסר בעבודות שירות, במאסר מותנה מרתיע, בקנס ובצו מבחן. המלצה זו אינה מתיישבת עם מדיניות הענישה הנהוגה ואף לא נמצאו בה שיקולים ממשיים להצדקת חריגה כה מפליגה מהענישה הנהוגה בעבירות הנדונות, שלגביהן אף נקבעה חובת השתת ענישה מזערית. כידוע, </w:t>
      </w:r>
      <w:r w:rsidRPr="00324407">
        <w:rPr>
          <w:rFonts w:ascii="Arial" w:hAnsi="Arial"/>
          <w:b/>
          <w:bCs/>
          <w:rtl/>
        </w:rPr>
        <w:t>"כפי שנקבע לא אחת, בית המשפט אינו מחויב לאמץ את המלצות שירות המבחן, הגם שיש ליתן להן את המשקל הראוי. ראייתו של בית המשפט רחבה יותר, וכוללת התייחסות למכלול של נסיבות ושיקולים, אשר אינם נמנים, בהכרח, על מערכת השיקולים המנחים את קצין המבחן"</w:t>
      </w:r>
      <w:r w:rsidRPr="00324407">
        <w:rPr>
          <w:rFonts w:ascii="Arial" w:hAnsi="Arial"/>
          <w:rtl/>
        </w:rPr>
        <w:t xml:space="preserve"> (</w:t>
      </w:r>
      <w:hyperlink r:id="rId44" w:history="1">
        <w:r w:rsidR="00DF3396" w:rsidRPr="00DF3396">
          <w:rPr>
            <w:rFonts w:ascii="Arial" w:hAnsi="Arial"/>
            <w:color w:val="0000FF"/>
            <w:u w:val="single"/>
            <w:rtl/>
          </w:rPr>
          <w:t>רע"פ 638/18</w:t>
        </w:r>
      </w:hyperlink>
      <w:r w:rsidR="00DF3396">
        <w:rPr>
          <w:rFonts w:ascii="Arial" w:hAnsi="Arial"/>
          <w:rtl/>
        </w:rPr>
        <w:t xml:space="preserve"> </w:t>
      </w:r>
      <w:r w:rsidRPr="00324407">
        <w:rPr>
          <w:rFonts w:ascii="Arial" w:hAnsi="Arial"/>
          <w:b/>
          <w:bCs/>
          <w:rtl/>
        </w:rPr>
        <w:t>גולן נ' מדינת ישראל</w:t>
      </w:r>
      <w:r w:rsidR="00DF3396">
        <w:rPr>
          <w:rFonts w:ascii="Arial" w:hAnsi="Arial"/>
          <w:rtl/>
        </w:rPr>
        <w:t xml:space="preserve"> </w:t>
      </w:r>
      <w:r w:rsidR="00A32D9C">
        <w:rPr>
          <w:rFonts w:ascii="Arial" w:hAnsi="Arial"/>
          <w:rtl/>
        </w:rPr>
        <w:t>[נבו]</w:t>
      </w:r>
      <w:r w:rsidR="00A32D9C">
        <w:rPr>
          <w:rFonts w:ascii="Arial" w:hAnsi="Arial" w:hint="cs"/>
          <w:rtl/>
        </w:rPr>
        <w:t xml:space="preserve"> </w:t>
      </w:r>
      <w:r w:rsidRPr="00324407">
        <w:rPr>
          <w:rFonts w:ascii="Arial" w:hAnsi="Arial"/>
          <w:rtl/>
        </w:rPr>
        <w:t>(1.5.2018)‏, כבוד השופט‏ א' שוהם, פסקה 13).</w:t>
      </w:r>
    </w:p>
    <w:p w14:paraId="53B0D9DA" w14:textId="77777777" w:rsidR="001C7351" w:rsidRPr="00324407" w:rsidRDefault="001C7351" w:rsidP="001C7351">
      <w:pPr>
        <w:spacing w:line="360" w:lineRule="auto"/>
        <w:jc w:val="both"/>
        <w:rPr>
          <w:rFonts w:ascii="Arial" w:hAnsi="Arial"/>
          <w:rtl/>
        </w:rPr>
      </w:pPr>
    </w:p>
    <w:p w14:paraId="42A25FF4" w14:textId="77777777" w:rsidR="001C7351" w:rsidRPr="00324407" w:rsidRDefault="001C7351" w:rsidP="001C7351">
      <w:pPr>
        <w:spacing w:line="360" w:lineRule="auto"/>
        <w:jc w:val="both"/>
        <w:rPr>
          <w:rFonts w:ascii="Arial" w:hAnsi="Arial"/>
          <w:rtl/>
        </w:rPr>
      </w:pPr>
      <w:r w:rsidRPr="00324407">
        <w:rPr>
          <w:rFonts w:ascii="Arial" w:hAnsi="Arial"/>
          <w:rtl/>
        </w:rPr>
        <w:t xml:space="preserve">בנסיבות הנדונות לא נמצא מקום לאימוץ המלצת שירות המבחן. אף לא נמצא כי התקיימו נסיבות חריגות המצדיקות חריגה ממתחם העונש מטעמי שיקום, על-פי </w:t>
      </w:r>
      <w:hyperlink r:id="rId45" w:history="1">
        <w:r w:rsidR="00FA2CAB" w:rsidRPr="00FA2CAB">
          <w:rPr>
            <w:rStyle w:val="Hyperlink"/>
            <w:rFonts w:ascii="Arial" w:hAnsi="Arial"/>
            <w:rtl/>
          </w:rPr>
          <w:t>סעיף 40ד(א)</w:t>
        </w:r>
      </w:hyperlink>
      <w:r w:rsidRPr="00324407">
        <w:rPr>
          <w:rFonts w:ascii="Arial" w:hAnsi="Arial"/>
          <w:rtl/>
        </w:rPr>
        <w:t xml:space="preserve"> בחוק, המאפשר זאת אם נמצא כי הנאשם השתלב בהליך שיקום שהסתיים או שנמצא כי ישנו סיכוי של ממש שישתקם. השיקולים המצדיקים חריגה ממתחם העונש מטעמי שיקום הם בין השאר, </w:t>
      </w:r>
      <w:r w:rsidRPr="00324407">
        <w:rPr>
          <w:rFonts w:ascii="Arial" w:hAnsi="Arial"/>
          <w:b/>
          <w:bCs/>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sidRPr="00324407">
        <w:rPr>
          <w:rFonts w:ascii="Arial" w:hAnsi="Arial"/>
          <w:rtl/>
        </w:rPr>
        <w:t xml:space="preserve"> (</w:t>
      </w:r>
      <w:hyperlink r:id="rId46" w:history="1">
        <w:r w:rsidR="00DF3396" w:rsidRPr="00DF3396">
          <w:rPr>
            <w:rFonts w:ascii="Arial" w:hAnsi="Arial"/>
            <w:color w:val="0000FF"/>
            <w:u w:val="single"/>
            <w:rtl/>
          </w:rPr>
          <w:t>ע"פ 6637/17</w:t>
        </w:r>
      </w:hyperlink>
      <w:r w:rsidRPr="00324407">
        <w:rPr>
          <w:rFonts w:ascii="Arial" w:hAnsi="Arial"/>
          <w:rtl/>
        </w:rPr>
        <w:t xml:space="preserve"> </w:t>
      </w:r>
      <w:r w:rsidRPr="00324407">
        <w:rPr>
          <w:rFonts w:ascii="Arial" w:hAnsi="Arial"/>
          <w:b/>
          <w:bCs/>
          <w:rtl/>
        </w:rPr>
        <w:t>קרנדל נ' מדינת ישראל</w:t>
      </w:r>
      <w:r>
        <w:rPr>
          <w:rFonts w:ascii="Arial" w:hAnsi="Arial" w:hint="cs"/>
          <w:rtl/>
        </w:rPr>
        <w:t xml:space="preserve"> </w:t>
      </w:r>
      <w:r w:rsidR="00A32D9C">
        <w:rPr>
          <w:rFonts w:ascii="Arial" w:hAnsi="Arial"/>
          <w:rtl/>
        </w:rPr>
        <w:t>[נבו]</w:t>
      </w:r>
      <w:r w:rsidR="00A32D9C">
        <w:rPr>
          <w:rFonts w:ascii="Arial" w:hAnsi="Arial" w:hint="cs"/>
          <w:rtl/>
        </w:rPr>
        <w:t xml:space="preserve"> </w:t>
      </w:r>
      <w:r w:rsidRPr="00324407">
        <w:rPr>
          <w:rFonts w:ascii="Arial" w:hAnsi="Arial"/>
          <w:rtl/>
        </w:rPr>
        <w:t xml:space="preserve">(18.4.2018)‏‏, כבוד השופטת ד' ברק-ארז, פסקה 24 (להלן – </w:t>
      </w:r>
      <w:r w:rsidRPr="00324407">
        <w:rPr>
          <w:rFonts w:ascii="Arial" w:hAnsi="Arial"/>
          <w:b/>
          <w:bCs/>
          <w:rtl/>
        </w:rPr>
        <w:t>עניין קרנדל</w:t>
      </w:r>
      <w:r w:rsidRPr="00324407">
        <w:rPr>
          <w:rFonts w:ascii="Arial" w:hAnsi="Arial"/>
          <w:rtl/>
        </w:rPr>
        <w:t xml:space="preserve">)). </w:t>
      </w:r>
    </w:p>
    <w:p w14:paraId="6A47F2B9" w14:textId="77777777" w:rsidR="001C7351" w:rsidRPr="00324407" w:rsidRDefault="001C7351" w:rsidP="001C7351">
      <w:pPr>
        <w:spacing w:line="360" w:lineRule="auto"/>
        <w:jc w:val="both"/>
        <w:rPr>
          <w:rFonts w:ascii="Arial" w:hAnsi="Arial"/>
          <w:rtl/>
        </w:rPr>
      </w:pPr>
    </w:p>
    <w:p w14:paraId="6537904D" w14:textId="77777777" w:rsidR="001C7351" w:rsidRPr="00324407" w:rsidRDefault="001C7351" w:rsidP="001C7351">
      <w:pPr>
        <w:spacing w:line="360" w:lineRule="auto"/>
        <w:jc w:val="both"/>
        <w:rPr>
          <w:rFonts w:ascii="Arial" w:hAnsi="Arial"/>
          <w:rtl/>
        </w:rPr>
      </w:pPr>
      <w:r w:rsidRPr="00324407">
        <w:rPr>
          <w:rFonts w:ascii="Arial" w:hAnsi="Arial"/>
          <w:rtl/>
        </w:rPr>
        <w:t xml:space="preserve">עם זאת הודגש, כי </w:t>
      </w:r>
      <w:r w:rsidRPr="00324407">
        <w:rPr>
          <w:rFonts w:ascii="Arial" w:hAnsi="Arial"/>
          <w:b/>
          <w:bCs/>
          <w:rtl/>
        </w:rPr>
        <w:t>"על הנאשם להציג עובדות וראיות לסיכויי השיקום, להבדיל מטענות בעלמא"</w:t>
      </w:r>
      <w:r w:rsidRPr="00324407">
        <w:rPr>
          <w:rFonts w:ascii="Arial" w:hAnsi="Arial"/>
          <w:rtl/>
        </w:rPr>
        <w:t>, בין השאר באמצעות תסקיר שירות המבחן (שם, פסקה 23). עוד הוטעם, כי אין די בכך שאחד או חלק מהשיקולים שנמנו מתקיימים, מאחר ששיקולים אלו נשקלים בכל מקרה בעת קביעת עונשו של הנאשם בגדרי מתחם העונש (שם, פסקה 25). חריגה ממתחם העונש תיעשה רק אם נמצא שינוי מהותי בהתנהלות הנאשם, אשר בכוחה להצביע על סיכוי ממשי לשיקום (שם. ראו גם:</w:t>
      </w:r>
      <w:r w:rsidRPr="00324407">
        <w:rPr>
          <w:rFonts w:ascii="Arial" w:hAnsi="Arial" w:hint="cs"/>
        </w:rPr>
        <w:t xml:space="preserve"> </w:t>
      </w:r>
      <w:hyperlink r:id="rId47" w:history="1">
        <w:r w:rsidR="00DF3396" w:rsidRPr="00DF3396">
          <w:rPr>
            <w:rFonts w:ascii="Arial" w:hAnsi="Arial"/>
            <w:color w:val="0000FF"/>
            <w:u w:val="single"/>
            <w:rtl/>
          </w:rPr>
          <w:t>ע"פ 9147/17</w:t>
        </w:r>
      </w:hyperlink>
      <w:r w:rsidRPr="00324407">
        <w:rPr>
          <w:rFonts w:ascii="Arial" w:hAnsi="Arial"/>
          <w:rtl/>
        </w:rPr>
        <w:t xml:space="preserve"> </w:t>
      </w:r>
      <w:r w:rsidRPr="00324407">
        <w:rPr>
          <w:rFonts w:ascii="Arial" w:hAnsi="Arial"/>
          <w:b/>
          <w:bCs/>
          <w:rtl/>
        </w:rPr>
        <w:t>אבו עביד נ'</w:t>
      </w:r>
      <w:r w:rsidRPr="00324407">
        <w:rPr>
          <w:rFonts w:ascii="Arial" w:hAnsi="Arial"/>
          <w:rtl/>
        </w:rPr>
        <w:t xml:space="preserve"> </w:t>
      </w:r>
      <w:r w:rsidRPr="00324407">
        <w:rPr>
          <w:rFonts w:ascii="Arial" w:hAnsi="Arial"/>
          <w:b/>
          <w:bCs/>
          <w:rtl/>
        </w:rPr>
        <w:t>מדינת ישראל</w:t>
      </w:r>
      <w:r w:rsidR="00DF3396">
        <w:rPr>
          <w:rFonts w:ascii="Arial" w:hAnsi="Arial"/>
          <w:rtl/>
        </w:rPr>
        <w:t xml:space="preserve"> </w:t>
      </w:r>
      <w:r w:rsidR="00A32D9C">
        <w:rPr>
          <w:rFonts w:ascii="Arial" w:hAnsi="Arial"/>
          <w:rtl/>
        </w:rPr>
        <w:t>[נבו]</w:t>
      </w:r>
      <w:r w:rsidR="00A32D9C">
        <w:rPr>
          <w:rFonts w:ascii="Arial" w:hAnsi="Arial" w:hint="cs"/>
          <w:rtl/>
        </w:rPr>
        <w:t xml:space="preserve"> </w:t>
      </w:r>
      <w:r w:rsidRPr="00324407">
        <w:rPr>
          <w:rFonts w:ascii="Arial" w:hAnsi="Arial"/>
          <w:rtl/>
        </w:rPr>
        <w:t xml:space="preserve">(20.9.2018)‏‏, כבוד השופטת י' וילנר, 14-13). </w:t>
      </w:r>
    </w:p>
    <w:p w14:paraId="1FA7C5CC" w14:textId="77777777" w:rsidR="001C7351" w:rsidRPr="00324407" w:rsidRDefault="001C7351" w:rsidP="001C7351">
      <w:pPr>
        <w:spacing w:line="360" w:lineRule="auto"/>
        <w:jc w:val="both"/>
        <w:rPr>
          <w:rFonts w:ascii="Arial" w:hAnsi="Arial"/>
          <w:rtl/>
        </w:rPr>
      </w:pPr>
    </w:p>
    <w:p w14:paraId="025BE533" w14:textId="77777777" w:rsidR="001C7351" w:rsidRPr="00324407" w:rsidRDefault="001C7351" w:rsidP="001C7351">
      <w:pPr>
        <w:spacing w:line="360" w:lineRule="auto"/>
        <w:jc w:val="both"/>
        <w:rPr>
          <w:rFonts w:ascii="Arial" w:hAnsi="Arial"/>
          <w:rtl/>
        </w:rPr>
      </w:pPr>
      <w:r w:rsidRPr="00324407">
        <w:rPr>
          <w:rFonts w:ascii="Arial" w:hAnsi="Arial"/>
          <w:rtl/>
        </w:rPr>
        <w:t>אכן, נראה כי הנאשם מבקש להעלות את חייו על מסלול תקין ויש לקוות שכך גם יהיה, אולם לא ניתן לומר כי נסיבותיו חריגות עד כדי הצדקה לסטייה מקלה ממתחם העונש מטעמי שיקום.</w:t>
      </w:r>
    </w:p>
    <w:p w14:paraId="1A7490F3" w14:textId="77777777" w:rsidR="001C7351" w:rsidRPr="00324407" w:rsidRDefault="001C7351" w:rsidP="001C7351">
      <w:pPr>
        <w:spacing w:line="360" w:lineRule="auto"/>
        <w:jc w:val="both"/>
        <w:rPr>
          <w:rFonts w:ascii="Arial" w:hAnsi="Arial"/>
          <w:rtl/>
        </w:rPr>
      </w:pPr>
    </w:p>
    <w:p w14:paraId="04E96F55" w14:textId="77777777" w:rsidR="001C7351" w:rsidRPr="00324407" w:rsidRDefault="001C7351" w:rsidP="001C7351">
      <w:pPr>
        <w:spacing w:line="360" w:lineRule="auto"/>
        <w:jc w:val="both"/>
        <w:rPr>
          <w:rFonts w:ascii="Arial" w:hAnsi="Arial"/>
          <w:rtl/>
        </w:rPr>
      </w:pPr>
      <w:r w:rsidRPr="00324407">
        <w:rPr>
          <w:rFonts w:ascii="Arial" w:hAnsi="Arial"/>
          <w:rtl/>
        </w:rPr>
        <w:t>1</w:t>
      </w:r>
      <w:r>
        <w:rPr>
          <w:rFonts w:ascii="Arial" w:hAnsi="Arial" w:hint="cs"/>
          <w:rtl/>
        </w:rPr>
        <w:t>6</w:t>
      </w:r>
      <w:r w:rsidRPr="00324407">
        <w:rPr>
          <w:rFonts w:ascii="Arial" w:hAnsi="Arial"/>
          <w:rtl/>
        </w:rPr>
        <w:t>.</w:t>
      </w:r>
      <w:r w:rsidRPr="00324407">
        <w:rPr>
          <w:rFonts w:ascii="Arial" w:hAnsi="Arial"/>
          <w:rtl/>
        </w:rPr>
        <w:tab/>
      </w:r>
      <w:r w:rsidRPr="00324407">
        <w:rPr>
          <w:rFonts w:ascii="Arial" w:hAnsi="Arial"/>
          <w:b/>
          <w:bCs/>
          <w:u w:val="single"/>
          <w:rtl/>
        </w:rPr>
        <w:t>גזירת עונשו של הנאשם</w:t>
      </w:r>
      <w:r w:rsidRPr="00324407">
        <w:rPr>
          <w:rFonts w:ascii="Arial" w:hAnsi="Arial"/>
          <w:b/>
          <w:bCs/>
          <w:rtl/>
        </w:rPr>
        <w:t>:</w:t>
      </w:r>
      <w:r w:rsidRPr="00324407">
        <w:rPr>
          <w:rFonts w:ascii="Arial" w:hAnsi="Arial"/>
          <w:rtl/>
        </w:rPr>
        <w:t xml:space="preserve"> איזון כל השיקולים האמורים, לרבות שיקולי הגנה על שלום הציבור, הרתעה אישית של הנאשם, הרתעת הרבים והעובדה שנקבע עונש מזערי חובה (שעל-פי </w:t>
      </w:r>
      <w:hyperlink r:id="rId48" w:history="1">
        <w:r w:rsidR="00FA2CAB" w:rsidRPr="00FA2CAB">
          <w:rPr>
            <w:rStyle w:val="Hyperlink"/>
            <w:rFonts w:ascii="Arial" w:hAnsi="Arial"/>
            <w:rtl/>
          </w:rPr>
          <w:t>סעיף 144(ז)</w:t>
        </w:r>
      </w:hyperlink>
      <w:r w:rsidRPr="00324407">
        <w:rPr>
          <w:rFonts w:ascii="Arial" w:hAnsi="Arial"/>
          <w:rtl/>
        </w:rPr>
        <w:t xml:space="preserve"> בחוק, חלקו יכול להיקבע כעונש מאסר מותנה), תוך שקילת עמדת המאשימה וטענותיו של בא-כוח הנאשם, מובילים להעמדת עונשו של הנאשם בתחתית מתחם העונש ההולם. זאת לצד מאסר מותנה שישמש גורם מרתיע מפני חזרה על עבירות וקנס.</w:t>
      </w:r>
    </w:p>
    <w:p w14:paraId="0A60CB13" w14:textId="77777777" w:rsidR="001C7351" w:rsidRPr="00324407" w:rsidRDefault="001C7351" w:rsidP="001C7351">
      <w:pPr>
        <w:spacing w:line="360" w:lineRule="auto"/>
        <w:jc w:val="both"/>
        <w:rPr>
          <w:rFonts w:ascii="Arial" w:hAnsi="Arial"/>
          <w:rtl/>
        </w:rPr>
      </w:pPr>
    </w:p>
    <w:p w14:paraId="3E5B5E69" w14:textId="77777777" w:rsidR="001C7351" w:rsidRPr="00324407" w:rsidRDefault="001C7351" w:rsidP="001C7351">
      <w:pPr>
        <w:spacing w:line="360" w:lineRule="auto"/>
        <w:jc w:val="both"/>
        <w:rPr>
          <w:rFonts w:ascii="Arial" w:hAnsi="Arial"/>
          <w:rtl/>
        </w:rPr>
      </w:pPr>
      <w:r w:rsidRPr="00324407">
        <w:rPr>
          <w:rFonts w:ascii="Arial" w:hAnsi="Arial"/>
          <w:b/>
          <w:bCs/>
          <w:u w:val="single"/>
          <w:rtl/>
        </w:rPr>
        <w:t>גזר הדין – סיכום</w:t>
      </w:r>
    </w:p>
    <w:p w14:paraId="5241B910" w14:textId="77777777" w:rsidR="001C7351" w:rsidRPr="002241E4" w:rsidRDefault="001C7351" w:rsidP="001C7351">
      <w:pPr>
        <w:spacing w:line="360" w:lineRule="auto"/>
        <w:jc w:val="both"/>
        <w:rPr>
          <w:rFonts w:ascii="Arial" w:hAnsi="Arial"/>
          <w:sz w:val="16"/>
          <w:szCs w:val="16"/>
          <w:rtl/>
        </w:rPr>
      </w:pPr>
    </w:p>
    <w:p w14:paraId="3E656943" w14:textId="77777777" w:rsidR="001C7351" w:rsidRPr="00324407" w:rsidRDefault="001C7351" w:rsidP="001C7351">
      <w:pPr>
        <w:spacing w:line="360" w:lineRule="auto"/>
        <w:jc w:val="both"/>
        <w:rPr>
          <w:rFonts w:ascii="Arial" w:hAnsi="Arial"/>
          <w:rtl/>
        </w:rPr>
      </w:pPr>
      <w:r w:rsidRPr="00324407">
        <w:rPr>
          <w:rFonts w:ascii="Arial" w:hAnsi="Arial"/>
          <w:rtl/>
        </w:rPr>
        <w:t>1</w:t>
      </w:r>
      <w:r>
        <w:rPr>
          <w:rFonts w:ascii="Arial" w:hAnsi="Arial" w:hint="cs"/>
          <w:rtl/>
        </w:rPr>
        <w:t>7</w:t>
      </w:r>
      <w:r w:rsidRPr="00324407">
        <w:rPr>
          <w:rFonts w:ascii="Arial" w:hAnsi="Arial"/>
          <w:rtl/>
        </w:rPr>
        <w:t>.</w:t>
      </w:r>
      <w:r w:rsidRPr="00324407">
        <w:rPr>
          <w:rFonts w:ascii="Arial" w:hAnsi="Arial"/>
          <w:rtl/>
        </w:rPr>
        <w:tab/>
        <w:t>לנוכח כל השיקולים שהובאו לעיל, על הנאשם נגזרים העונשים הבאים:</w:t>
      </w:r>
    </w:p>
    <w:p w14:paraId="53840FFF" w14:textId="77777777" w:rsidR="001C7351" w:rsidRPr="00324407" w:rsidRDefault="001C7351" w:rsidP="001C7351">
      <w:pPr>
        <w:spacing w:line="360" w:lineRule="auto"/>
        <w:jc w:val="both"/>
        <w:rPr>
          <w:rFonts w:ascii="Arial" w:hAnsi="Arial"/>
          <w:rtl/>
        </w:rPr>
      </w:pPr>
    </w:p>
    <w:p w14:paraId="0C668F9E" w14:textId="77777777" w:rsidR="001C7351" w:rsidRPr="00324407" w:rsidRDefault="001C7351" w:rsidP="001C7351">
      <w:pPr>
        <w:spacing w:line="360" w:lineRule="auto"/>
        <w:ind w:left="1440" w:hanging="720"/>
        <w:jc w:val="both"/>
        <w:rPr>
          <w:rFonts w:ascii="Arial" w:hAnsi="Arial"/>
          <w:rtl/>
        </w:rPr>
      </w:pPr>
      <w:r w:rsidRPr="00324407">
        <w:rPr>
          <w:rFonts w:ascii="Arial" w:hAnsi="Arial"/>
          <w:rtl/>
        </w:rPr>
        <w:t>א.</w:t>
      </w:r>
      <w:r w:rsidRPr="00324407">
        <w:rPr>
          <w:rFonts w:ascii="Arial" w:hAnsi="Arial"/>
          <w:rtl/>
        </w:rPr>
        <w:tab/>
      </w:r>
      <w:r w:rsidRPr="00324407">
        <w:rPr>
          <w:rFonts w:ascii="Arial" w:hAnsi="Arial"/>
          <w:b/>
          <w:bCs/>
          <w:rtl/>
        </w:rPr>
        <w:t>מאסר בפועל למשך עשרים ושניים חודש,</w:t>
      </w:r>
      <w:r w:rsidRPr="00324407">
        <w:rPr>
          <w:rFonts w:ascii="Arial" w:hAnsi="Arial"/>
          <w:rtl/>
        </w:rPr>
        <w:t xml:space="preserve"> בניכוי ימי מעצרו מיום 6.12.2022 ועד יום 21.3.2023. במקרה של סתירה לרישומי שב"ס, יש לפעול על-פי רישומיו.</w:t>
      </w:r>
    </w:p>
    <w:p w14:paraId="55A05C0A" w14:textId="77777777" w:rsidR="001C7351" w:rsidRPr="00324407" w:rsidRDefault="001C7351" w:rsidP="001C7351">
      <w:pPr>
        <w:spacing w:line="360" w:lineRule="auto"/>
        <w:ind w:left="1440" w:hanging="1440"/>
        <w:jc w:val="both"/>
        <w:rPr>
          <w:rFonts w:ascii="Arial" w:hAnsi="Arial"/>
          <w:rtl/>
        </w:rPr>
      </w:pPr>
    </w:p>
    <w:p w14:paraId="03F7DBF4" w14:textId="77777777" w:rsidR="001C7351" w:rsidRPr="00324407" w:rsidRDefault="001C7351" w:rsidP="001C7351">
      <w:pPr>
        <w:spacing w:line="360" w:lineRule="auto"/>
        <w:ind w:left="1440" w:hanging="720"/>
        <w:jc w:val="both"/>
        <w:rPr>
          <w:rFonts w:ascii="Arial" w:hAnsi="Arial"/>
          <w:rtl/>
        </w:rPr>
      </w:pPr>
      <w:r w:rsidRPr="00324407">
        <w:rPr>
          <w:rFonts w:ascii="Arial" w:hAnsi="Arial"/>
          <w:rtl/>
        </w:rPr>
        <w:t>ב.</w:t>
      </w:r>
      <w:r w:rsidRPr="00324407">
        <w:rPr>
          <w:rFonts w:ascii="Arial" w:hAnsi="Arial"/>
          <w:rtl/>
        </w:rPr>
        <w:tab/>
      </w:r>
      <w:r w:rsidRPr="00324407">
        <w:rPr>
          <w:rFonts w:ascii="Arial" w:hAnsi="Arial"/>
          <w:b/>
          <w:bCs/>
          <w:rtl/>
        </w:rPr>
        <w:t>מאסר מותנה למשך עשרה חודשים.</w:t>
      </w:r>
      <w:r w:rsidRPr="00324407">
        <w:rPr>
          <w:rFonts w:ascii="Arial" w:hAnsi="Arial"/>
          <w:rtl/>
        </w:rPr>
        <w:t xml:space="preserve"> הנאשם יישא עונש זה אם תוך שלוש שנים מיום שחרורו מן המאסר יעבור עבירת נשק, או ניסיון לעבור עבירה כאמור.</w:t>
      </w:r>
    </w:p>
    <w:p w14:paraId="56BDDDD4" w14:textId="77777777" w:rsidR="001C7351" w:rsidRPr="00324407" w:rsidRDefault="001C7351" w:rsidP="001C7351">
      <w:pPr>
        <w:spacing w:line="360" w:lineRule="auto"/>
        <w:ind w:left="1440" w:hanging="1440"/>
        <w:jc w:val="both"/>
        <w:rPr>
          <w:rFonts w:ascii="Arial" w:hAnsi="Arial"/>
          <w:rtl/>
        </w:rPr>
      </w:pPr>
    </w:p>
    <w:p w14:paraId="4CF40514" w14:textId="77777777" w:rsidR="001C7351" w:rsidRPr="00324407" w:rsidRDefault="001C7351" w:rsidP="001C7351">
      <w:pPr>
        <w:spacing w:line="360" w:lineRule="auto"/>
        <w:ind w:left="1440" w:hanging="720"/>
        <w:jc w:val="both"/>
        <w:rPr>
          <w:rFonts w:ascii="Arial" w:hAnsi="Arial"/>
          <w:rtl/>
        </w:rPr>
      </w:pPr>
      <w:r w:rsidRPr="00324407">
        <w:rPr>
          <w:rFonts w:ascii="Arial" w:hAnsi="Arial"/>
          <w:rtl/>
        </w:rPr>
        <w:t>ג.</w:t>
      </w:r>
      <w:r w:rsidRPr="00324407">
        <w:rPr>
          <w:rFonts w:ascii="Arial" w:hAnsi="Arial"/>
          <w:rtl/>
        </w:rPr>
        <w:tab/>
      </w:r>
      <w:r w:rsidRPr="00324407">
        <w:rPr>
          <w:rFonts w:ascii="Arial" w:hAnsi="Arial"/>
          <w:b/>
          <w:bCs/>
          <w:rtl/>
        </w:rPr>
        <w:t>מאסר מותנה למשך ארבעה חודשים.</w:t>
      </w:r>
      <w:r w:rsidRPr="00324407">
        <w:rPr>
          <w:rFonts w:ascii="Arial" w:hAnsi="Arial"/>
          <w:rtl/>
        </w:rPr>
        <w:t xml:space="preserve"> הנאשם יישא עונש זה אם תוך שלוש שנים מיום שחרורו מן המאסר יעבור עבירת הפרעה לשוטר, תקיפת שוטר, שיבוש מהלכי משפט או ניסיון לעבור עבירה כאמור.</w:t>
      </w:r>
    </w:p>
    <w:p w14:paraId="48739BCB" w14:textId="77777777" w:rsidR="001C7351" w:rsidRPr="00324407" w:rsidRDefault="001C7351" w:rsidP="001C7351">
      <w:pPr>
        <w:spacing w:line="360" w:lineRule="auto"/>
        <w:ind w:left="1440" w:hanging="1440"/>
        <w:jc w:val="both"/>
        <w:rPr>
          <w:rFonts w:ascii="Arial" w:hAnsi="Arial"/>
          <w:rtl/>
        </w:rPr>
      </w:pPr>
    </w:p>
    <w:p w14:paraId="162C982F" w14:textId="77777777" w:rsidR="001C7351" w:rsidRPr="00324407" w:rsidRDefault="001C7351" w:rsidP="001C7351">
      <w:pPr>
        <w:spacing w:line="360" w:lineRule="auto"/>
        <w:ind w:left="1440" w:hanging="720"/>
        <w:jc w:val="both"/>
        <w:rPr>
          <w:rFonts w:ascii="Arial" w:hAnsi="Arial"/>
          <w:rtl/>
        </w:rPr>
      </w:pPr>
      <w:r w:rsidRPr="00324407">
        <w:rPr>
          <w:rFonts w:ascii="Arial" w:hAnsi="Arial"/>
          <w:rtl/>
        </w:rPr>
        <w:t>ד.</w:t>
      </w:r>
      <w:r w:rsidRPr="00324407">
        <w:rPr>
          <w:rFonts w:ascii="Arial" w:hAnsi="Arial"/>
          <w:rtl/>
        </w:rPr>
        <w:tab/>
      </w:r>
      <w:r w:rsidRPr="00324407">
        <w:rPr>
          <w:rFonts w:ascii="Arial" w:hAnsi="Arial"/>
          <w:b/>
          <w:bCs/>
          <w:rtl/>
        </w:rPr>
        <w:t>קנס כספי בסך 7,000 ₪</w:t>
      </w:r>
      <w:r w:rsidRPr="00324407">
        <w:rPr>
          <w:rFonts w:ascii="Arial" w:hAnsi="Arial"/>
          <w:rtl/>
        </w:rPr>
        <w:t xml:space="preserve">. הנאשם רשאי לשלמו בארבעה-עשר תשלומים שווים, </w:t>
      </w:r>
      <w:bookmarkStart w:id="7" w:name="Nitan"/>
      <w:r w:rsidR="00DF3396">
        <w:rPr>
          <w:rFonts w:ascii="Arial" w:hAnsi="Arial"/>
          <w:rtl/>
        </w:rPr>
        <w:t xml:space="preserve">חודשיים ועוקבים החל מיום 1.5.2025. במקרה של אי תשלום שני תשלומים </w:t>
      </w:r>
      <w:bookmarkEnd w:id="7"/>
      <w:r w:rsidRPr="00324407">
        <w:rPr>
          <w:rFonts w:ascii="Arial" w:hAnsi="Arial"/>
          <w:rtl/>
        </w:rPr>
        <w:t>עוקבים במועד, תעמוד היתרה לפירעון מידי.</w:t>
      </w:r>
    </w:p>
    <w:p w14:paraId="47D709F5" w14:textId="77777777" w:rsidR="001C7351" w:rsidRPr="00324407" w:rsidRDefault="001C7351" w:rsidP="001C7351">
      <w:pPr>
        <w:spacing w:line="360" w:lineRule="auto"/>
        <w:jc w:val="both"/>
        <w:rPr>
          <w:rFonts w:ascii="Arial" w:hAnsi="Arial"/>
          <w:rtl/>
        </w:rPr>
      </w:pPr>
    </w:p>
    <w:p w14:paraId="1FA5CF67" w14:textId="77777777" w:rsidR="001C7351" w:rsidRPr="00324407" w:rsidRDefault="001C7351" w:rsidP="001C7351">
      <w:pPr>
        <w:spacing w:line="360" w:lineRule="auto"/>
        <w:jc w:val="both"/>
        <w:rPr>
          <w:rFonts w:ascii="Arial" w:hAnsi="Arial"/>
          <w:rtl/>
        </w:rPr>
      </w:pPr>
      <w:r w:rsidRPr="00324407">
        <w:rPr>
          <w:rFonts w:ascii="Arial" w:hAnsi="Arial"/>
          <w:rtl/>
        </w:rPr>
        <w:t>הנאשם יתייצב למאסרו</w:t>
      </w:r>
      <w:r w:rsidR="00DF3396">
        <w:rPr>
          <w:rFonts w:ascii="Arial" w:hAnsi="Arial"/>
          <w:rtl/>
        </w:rPr>
        <w:t xml:space="preserve"> </w:t>
      </w:r>
      <w:r w:rsidRPr="00324407">
        <w:rPr>
          <w:rFonts w:ascii="Arial" w:hAnsi="Arial"/>
          <w:rtl/>
        </w:rPr>
        <w:t xml:space="preserve">בבית המעצר ניצן </w:t>
      </w:r>
      <w:r w:rsidRPr="00324407">
        <w:rPr>
          <w:rFonts w:ascii="Arial" w:hAnsi="Arial"/>
          <w:b/>
          <w:bCs/>
          <w:rtl/>
        </w:rPr>
        <w:t>ביום 18.3.2025 עד השעה 10:00,</w:t>
      </w:r>
      <w:r w:rsidRPr="00324407">
        <w:rPr>
          <w:rFonts w:ascii="Arial" w:hAnsi="Arial"/>
          <w:rtl/>
        </w:rPr>
        <w:t xml:space="preserve"> או במקום אחר על פי החלטת שירות בתי הסוהר, כשברשותו תעודת זהות או דרכון ועותק גזר הדין. </w:t>
      </w:r>
    </w:p>
    <w:p w14:paraId="37125C43" w14:textId="77777777" w:rsidR="001C7351" w:rsidRPr="00324407" w:rsidRDefault="001C7351" w:rsidP="001C7351">
      <w:pPr>
        <w:spacing w:line="360" w:lineRule="auto"/>
        <w:jc w:val="both"/>
        <w:rPr>
          <w:rFonts w:ascii="Arial" w:hAnsi="Arial"/>
          <w:rtl/>
        </w:rPr>
      </w:pPr>
    </w:p>
    <w:p w14:paraId="566A58DF" w14:textId="77777777" w:rsidR="001C7351" w:rsidRPr="00324407" w:rsidRDefault="001C7351" w:rsidP="001C7351">
      <w:pPr>
        <w:spacing w:line="360" w:lineRule="auto"/>
        <w:jc w:val="both"/>
        <w:rPr>
          <w:rFonts w:ascii="Arial" w:hAnsi="Arial"/>
          <w:b/>
          <w:bCs/>
          <w:rtl/>
        </w:rPr>
      </w:pPr>
      <w:r w:rsidRPr="00324407">
        <w:rPr>
          <w:rFonts w:ascii="Arial" w:hAnsi="Arial"/>
          <w:rtl/>
        </w:rPr>
        <w:t xml:space="preserve">הנאשם יתאם את הכניסה למאסר, כולל אפשרות למיון מוקדם, עם ענף אבחון ומיון של שירות בתי הסוהר [טל': 08-9787377, 08-9787336; פקס' 08-9193314; דוא"ל:  </w:t>
      </w:r>
      <w:hyperlink r:id="rId49" w:history="1">
        <w:r w:rsidRPr="00324407">
          <w:rPr>
            <w:rStyle w:val="Hyperlink"/>
            <w:rFonts w:ascii="Arial" w:hAnsi="Arial"/>
          </w:rPr>
          <w:t>MaasarN@ips.gov.il</w:t>
        </w:r>
      </w:hyperlink>
      <w:r w:rsidRPr="00324407">
        <w:rPr>
          <w:rFonts w:ascii="Arial" w:hAnsi="Arial"/>
          <w:rtl/>
        </w:rPr>
        <w:t>]. כמו כן, עליו להתעדכן באתר של שב"ס, ברשימת הציוד הראשוני שניתן להביא בעת ההתייצבות.</w:t>
      </w:r>
    </w:p>
    <w:p w14:paraId="48E03761" w14:textId="77777777" w:rsidR="001C7351" w:rsidRPr="00324407" w:rsidRDefault="001C7351" w:rsidP="001C7351">
      <w:pPr>
        <w:spacing w:line="360" w:lineRule="auto"/>
        <w:jc w:val="both"/>
        <w:rPr>
          <w:rFonts w:ascii="Arial" w:hAnsi="Arial"/>
          <w:rtl/>
        </w:rPr>
      </w:pPr>
    </w:p>
    <w:p w14:paraId="5CB9724E" w14:textId="77777777" w:rsidR="001C7351" w:rsidRDefault="001C7351" w:rsidP="001C7351">
      <w:pPr>
        <w:spacing w:line="360" w:lineRule="auto"/>
        <w:jc w:val="both"/>
        <w:rPr>
          <w:rFonts w:ascii="Arial" w:hAnsi="Arial" w:hint="cs"/>
          <w:b/>
          <w:bCs/>
          <w:rtl/>
        </w:rPr>
      </w:pPr>
      <w:r w:rsidRPr="00324407">
        <w:rPr>
          <w:rFonts w:ascii="Arial" w:hAnsi="Arial"/>
          <w:b/>
          <w:bCs/>
          <w:rtl/>
        </w:rPr>
        <w:t>זכות ערעור לבית המשפט העליון תוך ארבעים וחמישה יום.</w:t>
      </w:r>
    </w:p>
    <w:p w14:paraId="51631405" w14:textId="77777777" w:rsidR="00A32D9C" w:rsidRDefault="00A32D9C" w:rsidP="001C7351">
      <w:pPr>
        <w:spacing w:line="360" w:lineRule="auto"/>
        <w:jc w:val="both"/>
        <w:rPr>
          <w:rFonts w:ascii="Arial" w:hAnsi="Arial" w:hint="cs"/>
          <w:b/>
          <w:bCs/>
          <w:rtl/>
        </w:rPr>
      </w:pPr>
    </w:p>
    <w:p w14:paraId="6103DD0E" w14:textId="77777777" w:rsidR="00A32D9C" w:rsidRPr="00324407" w:rsidRDefault="00A32D9C" w:rsidP="001C7351">
      <w:pPr>
        <w:spacing w:line="360" w:lineRule="auto"/>
        <w:jc w:val="both"/>
        <w:rPr>
          <w:rFonts w:ascii="Arial" w:hAnsi="Arial" w:hint="cs"/>
          <w:b/>
          <w:bCs/>
          <w:rtl/>
        </w:rPr>
      </w:pPr>
      <w:r w:rsidRPr="00DF3396">
        <w:rPr>
          <w:rFonts w:ascii="Arial" w:hAnsi="Arial"/>
          <w:color w:val="FFFFFF"/>
          <w:sz w:val="2"/>
          <w:szCs w:val="2"/>
          <w:rtl/>
        </w:rPr>
        <w:t>54678313</w:t>
      </w:r>
      <w:r>
        <w:rPr>
          <w:rFonts w:ascii="Arial" w:hAnsi="Arial"/>
          <w:rtl/>
        </w:rPr>
        <w:t xml:space="preserve">ניתן היום, כ"ח בשבט </w:t>
      </w:r>
      <w:r>
        <w:rPr>
          <w:rFonts w:ascii="Arial" w:hAnsi="Arial" w:hint="cs"/>
          <w:rtl/>
        </w:rPr>
        <w:t>ה</w:t>
      </w:r>
      <w:r w:rsidRPr="00324407">
        <w:rPr>
          <w:rFonts w:ascii="Arial" w:hAnsi="Arial"/>
          <w:rtl/>
        </w:rPr>
        <w:t xml:space="preserve">תשפ"ה, </w:t>
      </w:r>
      <w:r>
        <w:rPr>
          <w:rFonts w:ascii="Arial" w:hAnsi="Arial" w:hint="cs"/>
          <w:rtl/>
        </w:rPr>
        <w:t>26</w:t>
      </w:r>
      <w:r w:rsidRPr="00324407">
        <w:rPr>
          <w:rFonts w:ascii="Arial" w:hAnsi="Arial"/>
          <w:rtl/>
        </w:rPr>
        <w:t xml:space="preserve"> </w:t>
      </w:r>
      <w:r>
        <w:rPr>
          <w:rFonts w:ascii="Arial" w:hAnsi="Arial" w:hint="cs"/>
          <w:rtl/>
        </w:rPr>
        <w:t>ב</w:t>
      </w:r>
      <w:r w:rsidRPr="00324407">
        <w:rPr>
          <w:rFonts w:ascii="Arial" w:hAnsi="Arial"/>
          <w:rtl/>
        </w:rPr>
        <w:t xml:space="preserve">פברואר 2025, </w:t>
      </w:r>
      <w:r>
        <w:rPr>
          <w:rFonts w:ascii="Arial" w:hAnsi="Arial" w:hint="cs"/>
          <w:rtl/>
        </w:rPr>
        <w:t xml:space="preserve">במעמד הנאשם ובאי-כוח הצדדים כמפורט </w:t>
      </w:r>
      <w:r>
        <w:rPr>
          <w:rFonts w:ascii="Arial" w:hAnsi="Arial"/>
          <w:rtl/>
        </w:rPr>
        <w:t>בפרוטוקול הדיון מהיום.</w:t>
      </w:r>
    </w:p>
    <w:p w14:paraId="6C4448BC" w14:textId="77777777" w:rsidR="001C7351" w:rsidRPr="00324407" w:rsidRDefault="001C7351" w:rsidP="001C7351">
      <w:pPr>
        <w:spacing w:line="360" w:lineRule="auto"/>
        <w:jc w:val="both"/>
        <w:rPr>
          <w:rFonts w:ascii="Arial" w:hAnsi="Arial"/>
          <w:rtl/>
        </w:rPr>
      </w:pPr>
    </w:p>
    <w:p w14:paraId="12A74EA8" w14:textId="77777777" w:rsidR="001C7351" w:rsidRPr="00DF3396" w:rsidRDefault="00DF3396" w:rsidP="001C7351">
      <w:pPr>
        <w:spacing w:line="360" w:lineRule="auto"/>
        <w:jc w:val="both"/>
        <w:rPr>
          <w:rFonts w:ascii="Arial" w:hAnsi="Arial"/>
          <w:color w:val="FFFFFF"/>
          <w:sz w:val="2"/>
          <w:szCs w:val="2"/>
          <w:rtl/>
        </w:rPr>
      </w:pPr>
      <w:r w:rsidRPr="00DF3396">
        <w:rPr>
          <w:rFonts w:ascii="Arial" w:hAnsi="Arial"/>
          <w:color w:val="FFFFFF"/>
          <w:sz w:val="2"/>
          <w:szCs w:val="2"/>
          <w:rtl/>
        </w:rPr>
        <w:t>5129371</w:t>
      </w:r>
    </w:p>
    <w:tbl>
      <w:tblPr>
        <w:bidiVisual/>
        <w:tblW w:w="0" w:type="auto"/>
        <w:jc w:val="right"/>
        <w:tblLook w:val="01E0" w:firstRow="1" w:lastRow="1" w:firstColumn="1" w:lastColumn="1" w:noHBand="0" w:noVBand="0"/>
      </w:tblPr>
      <w:tblGrid>
        <w:gridCol w:w="2392"/>
      </w:tblGrid>
      <w:tr w:rsidR="001C7351" w14:paraId="76A701C5" w14:textId="77777777" w:rsidTr="001C7351">
        <w:trPr>
          <w:jc w:val="right"/>
        </w:trPr>
        <w:tc>
          <w:tcPr>
            <w:tcW w:w="2392" w:type="dxa"/>
            <w:tcBorders>
              <w:top w:val="nil"/>
              <w:left w:val="nil"/>
              <w:bottom w:val="single" w:sz="4" w:space="0" w:color="auto"/>
              <w:right w:val="nil"/>
            </w:tcBorders>
            <w:shd w:val="clear" w:color="auto" w:fill="auto"/>
            <w:vAlign w:val="center"/>
          </w:tcPr>
          <w:p w14:paraId="37814E56" w14:textId="77777777" w:rsidR="001C7351" w:rsidRPr="001C7351" w:rsidRDefault="001C7351" w:rsidP="00DF3396">
            <w:pPr>
              <w:spacing w:before="40" w:after="40"/>
              <w:jc w:val="center"/>
              <w:rPr>
                <w:rFonts w:ascii="Courier New" w:hAnsi="Courier New"/>
                <w:b/>
                <w:bCs/>
                <w:rtl/>
              </w:rPr>
            </w:pPr>
          </w:p>
        </w:tc>
      </w:tr>
      <w:tr w:rsidR="001C7351" w14:paraId="7C3A7CB1" w14:textId="77777777" w:rsidTr="001C7351">
        <w:trPr>
          <w:jc w:val="right"/>
        </w:trPr>
        <w:tc>
          <w:tcPr>
            <w:tcW w:w="2392" w:type="dxa"/>
            <w:tcBorders>
              <w:top w:val="single" w:sz="4" w:space="0" w:color="auto"/>
              <w:left w:val="nil"/>
              <w:bottom w:val="nil"/>
              <w:right w:val="nil"/>
            </w:tcBorders>
            <w:shd w:val="clear" w:color="auto" w:fill="auto"/>
          </w:tcPr>
          <w:p w14:paraId="7FFBDC2C" w14:textId="77777777" w:rsidR="001C7351" w:rsidRPr="001C7351" w:rsidRDefault="001C7351" w:rsidP="001C7351">
            <w:pPr>
              <w:pStyle w:val="3"/>
              <w:spacing w:before="40" w:after="40" w:line="240" w:lineRule="auto"/>
              <w:jc w:val="center"/>
              <w:rPr>
                <w:sz w:val="28"/>
                <w:rtl/>
              </w:rPr>
            </w:pPr>
            <w:r w:rsidRPr="001C7351">
              <w:rPr>
                <w:rFonts w:hint="cs"/>
                <w:sz w:val="28"/>
                <w:rtl/>
              </w:rPr>
              <w:t>תמר בר-אשר, שופטת</w:t>
            </w:r>
          </w:p>
        </w:tc>
      </w:tr>
    </w:tbl>
    <w:p w14:paraId="6ACE841D" w14:textId="77777777" w:rsidR="001C7351" w:rsidRPr="00FA2CAB" w:rsidRDefault="00FA2CAB" w:rsidP="001C7351">
      <w:pPr>
        <w:spacing w:line="360" w:lineRule="auto"/>
        <w:jc w:val="both"/>
        <w:rPr>
          <w:rFonts w:ascii="Arial" w:hAnsi="Arial"/>
          <w:color w:val="FFFFFF"/>
          <w:sz w:val="2"/>
          <w:szCs w:val="2"/>
          <w:rtl/>
        </w:rPr>
      </w:pPr>
      <w:r w:rsidRPr="00FA2CAB">
        <w:rPr>
          <w:rFonts w:ascii="Arial" w:hAnsi="Arial"/>
          <w:color w:val="FFFFFF"/>
          <w:sz w:val="2"/>
          <w:szCs w:val="2"/>
          <w:rtl/>
        </w:rPr>
        <w:t>5129371</w:t>
      </w:r>
    </w:p>
    <w:p w14:paraId="0FAF4972" w14:textId="77777777" w:rsidR="00E82D81" w:rsidRPr="00FA2CAB" w:rsidRDefault="00FA2CAB" w:rsidP="00DF3396">
      <w:pPr>
        <w:keepNext/>
        <w:rPr>
          <w:rFonts w:ascii="David" w:hAnsi="David"/>
          <w:color w:val="FFFFFF"/>
          <w:sz w:val="2"/>
          <w:szCs w:val="2"/>
          <w:rtl/>
        </w:rPr>
      </w:pPr>
      <w:r w:rsidRPr="00FA2CAB">
        <w:rPr>
          <w:rFonts w:ascii="David" w:hAnsi="David"/>
          <w:color w:val="FFFFFF"/>
          <w:sz w:val="2"/>
          <w:szCs w:val="2"/>
          <w:rtl/>
        </w:rPr>
        <w:t>54678313</w:t>
      </w:r>
    </w:p>
    <w:p w14:paraId="52A14619" w14:textId="77777777" w:rsidR="00DF3396" w:rsidRDefault="00DF3396" w:rsidP="00DF3396">
      <w:pPr>
        <w:rPr>
          <w:rtl/>
        </w:rPr>
      </w:pPr>
    </w:p>
    <w:p w14:paraId="100B02F4" w14:textId="77777777" w:rsidR="00DF3396" w:rsidRDefault="00DF3396" w:rsidP="00DF3396">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117D0443" w14:textId="77777777" w:rsidR="00FA2CAB" w:rsidRPr="00FA2CAB" w:rsidRDefault="00FA2CAB" w:rsidP="00FA2CAB">
      <w:pPr>
        <w:keepNext/>
        <w:rPr>
          <w:rFonts w:ascii="David" w:hAnsi="David"/>
          <w:color w:val="000000"/>
          <w:sz w:val="22"/>
          <w:szCs w:val="22"/>
          <w:rtl/>
        </w:rPr>
      </w:pPr>
    </w:p>
    <w:p w14:paraId="04194BF8" w14:textId="77777777" w:rsidR="00FA2CAB" w:rsidRPr="00FA2CAB" w:rsidRDefault="00FA2CAB" w:rsidP="00FA2CAB">
      <w:pPr>
        <w:keepNext/>
        <w:rPr>
          <w:rFonts w:ascii="David" w:hAnsi="David"/>
          <w:color w:val="000000"/>
          <w:sz w:val="22"/>
          <w:szCs w:val="22"/>
          <w:rtl/>
        </w:rPr>
      </w:pPr>
      <w:r w:rsidRPr="00FA2CAB">
        <w:rPr>
          <w:rFonts w:ascii="David" w:hAnsi="David"/>
          <w:color w:val="000000"/>
          <w:sz w:val="22"/>
          <w:szCs w:val="22"/>
          <w:rtl/>
        </w:rPr>
        <w:t>תמר בר אשר 54678313-/</w:t>
      </w:r>
    </w:p>
    <w:p w14:paraId="59842376" w14:textId="77777777" w:rsidR="00DF3396" w:rsidRPr="00DF3396" w:rsidRDefault="00FA2CAB" w:rsidP="00FA2CAB">
      <w:pPr>
        <w:rPr>
          <w:color w:val="0000FF"/>
          <w:u w:val="single"/>
        </w:rPr>
      </w:pPr>
      <w:r w:rsidRPr="00FA2CAB">
        <w:rPr>
          <w:color w:val="000000"/>
          <w:u w:val="single"/>
          <w:rtl/>
        </w:rPr>
        <w:t>נוסח מסמך זה כפוף לשינויי ניסוח ועריכה</w:t>
      </w:r>
    </w:p>
    <w:sectPr w:rsidR="00DF3396" w:rsidRPr="00DF3396" w:rsidSect="00FA2CAB">
      <w:headerReference w:type="even" r:id="rId51"/>
      <w:headerReference w:type="default" r:id="rId52"/>
      <w:footerReference w:type="even" r:id="rId53"/>
      <w:footerReference w:type="default" r:id="rId54"/>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F80B7" w14:textId="77777777" w:rsidR="00A115A5" w:rsidRDefault="00A115A5" w:rsidP="007879AE">
      <w:r>
        <w:separator/>
      </w:r>
    </w:p>
  </w:endnote>
  <w:endnote w:type="continuationSeparator" w:id="0">
    <w:p w14:paraId="106081A6" w14:textId="77777777" w:rsidR="00A115A5" w:rsidRDefault="00A115A5" w:rsidP="00787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D6F83" w14:textId="77777777" w:rsidR="00FA2CAB" w:rsidRDefault="00FA2CAB" w:rsidP="00FA2CA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15BD1CD" w14:textId="77777777" w:rsidR="00E82D81" w:rsidRPr="00FA2CAB" w:rsidRDefault="00FA2CAB" w:rsidP="00FA2CAB">
    <w:pPr>
      <w:pStyle w:val="a5"/>
      <w:pBdr>
        <w:top w:val="single" w:sz="4" w:space="1" w:color="auto"/>
        <w:between w:val="single" w:sz="4" w:space="0" w:color="auto"/>
      </w:pBdr>
      <w:spacing w:after="60"/>
      <w:jc w:val="center"/>
      <w:rPr>
        <w:rFonts w:ascii="FrankRuehl" w:hAnsi="FrankRuehl" w:cs="FrankRuehl"/>
        <w:color w:val="000000"/>
      </w:rPr>
    </w:pPr>
    <w:r w:rsidRPr="00FA2C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37453" w14:textId="77777777" w:rsidR="00FA2CAB" w:rsidRDefault="00FA2CAB" w:rsidP="00FA2CA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5665">
      <w:rPr>
        <w:rFonts w:ascii="FrankRuehl" w:hAnsi="FrankRuehl" w:cs="FrankRuehl"/>
        <w:noProof/>
        <w:rtl/>
      </w:rPr>
      <w:t>1</w:t>
    </w:r>
    <w:r>
      <w:rPr>
        <w:rFonts w:ascii="FrankRuehl" w:hAnsi="FrankRuehl" w:cs="FrankRuehl"/>
        <w:rtl/>
      </w:rPr>
      <w:fldChar w:fldCharType="end"/>
    </w:r>
  </w:p>
  <w:p w14:paraId="57524CDF" w14:textId="77777777" w:rsidR="00E82D81" w:rsidRPr="00FA2CAB" w:rsidRDefault="00FA2CAB" w:rsidP="00FA2CAB">
    <w:pPr>
      <w:pStyle w:val="a5"/>
      <w:pBdr>
        <w:top w:val="single" w:sz="4" w:space="1" w:color="auto"/>
        <w:between w:val="single" w:sz="4" w:space="0" w:color="auto"/>
      </w:pBdr>
      <w:spacing w:after="60"/>
      <w:jc w:val="center"/>
      <w:rPr>
        <w:rFonts w:ascii="FrankRuehl" w:hAnsi="FrankRuehl" w:cs="FrankRuehl"/>
        <w:color w:val="000000"/>
      </w:rPr>
    </w:pPr>
    <w:r w:rsidRPr="00FA2CAB">
      <w:rPr>
        <w:rFonts w:ascii="FrankRuehl" w:hAnsi="FrankRuehl" w:cs="FrankRuehl"/>
        <w:color w:val="000000"/>
      </w:rPr>
      <w:pict w14:anchorId="4F4F57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2D372" w14:textId="77777777" w:rsidR="00A115A5" w:rsidRDefault="00A115A5" w:rsidP="007879AE">
      <w:r>
        <w:separator/>
      </w:r>
    </w:p>
  </w:footnote>
  <w:footnote w:type="continuationSeparator" w:id="0">
    <w:p w14:paraId="49BBC5D7" w14:textId="77777777" w:rsidR="00A115A5" w:rsidRDefault="00A115A5" w:rsidP="00787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59548" w14:textId="77777777" w:rsidR="00DF3396" w:rsidRPr="00FA2CAB" w:rsidRDefault="00FA2CAB" w:rsidP="00FA2CA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39723-12-22</w:t>
    </w:r>
    <w:r>
      <w:rPr>
        <w:rFonts w:ascii="David" w:hAnsi="David"/>
        <w:color w:val="000000"/>
        <w:sz w:val="22"/>
        <w:szCs w:val="22"/>
        <w:rtl/>
      </w:rPr>
      <w:tab/>
      <w:t xml:space="preserve"> מדינת ישראל נ' מאג'ד אבו זראקי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5E76A" w14:textId="77777777" w:rsidR="00DF3396" w:rsidRPr="00FA2CAB" w:rsidRDefault="00FA2CAB" w:rsidP="00FA2CA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39723-12-22</w:t>
    </w:r>
    <w:r>
      <w:rPr>
        <w:rFonts w:ascii="David" w:hAnsi="David"/>
        <w:color w:val="000000"/>
        <w:sz w:val="22"/>
        <w:szCs w:val="22"/>
        <w:rtl/>
      </w:rPr>
      <w:tab/>
      <w:t xml:space="preserve"> מדינת ישראל נ' מאג'ד אבו זראקי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7351"/>
    <w:rsid w:val="0018641C"/>
    <w:rsid w:val="001C7351"/>
    <w:rsid w:val="00676B76"/>
    <w:rsid w:val="0070322B"/>
    <w:rsid w:val="00725665"/>
    <w:rsid w:val="007879AE"/>
    <w:rsid w:val="00872313"/>
    <w:rsid w:val="00A115A5"/>
    <w:rsid w:val="00A32D9C"/>
    <w:rsid w:val="00BD69CE"/>
    <w:rsid w:val="00C23E62"/>
    <w:rsid w:val="00DF3396"/>
    <w:rsid w:val="00E82D81"/>
    <w:rsid w:val="00EB61C6"/>
    <w:rsid w:val="00FA2C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86CC81"/>
  <w15:chartTrackingRefBased/>
  <w15:docId w15:val="{7C30B38F-7970-4C38-B468-5ED6BEF2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7351"/>
    <w:pPr>
      <w:bidi/>
    </w:pPr>
    <w:rPr>
      <w:rFonts w:ascii="Times New Roman" w:eastAsia="Times New Roman" w:hAnsi="Times New Roman" w:cs="David"/>
      <w:sz w:val="24"/>
      <w:szCs w:val="24"/>
    </w:rPr>
  </w:style>
  <w:style w:type="paragraph" w:styleId="3">
    <w:name w:val="heading 3"/>
    <w:basedOn w:val="a"/>
    <w:next w:val="a"/>
    <w:link w:val="30"/>
    <w:qFormat/>
    <w:rsid w:val="001C7351"/>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1C7351"/>
    <w:rPr>
      <w:rFonts w:ascii="Times New Roman" w:eastAsia="Times New Roman" w:hAnsi="Times New Roman" w:cs="David"/>
      <w:b/>
      <w:bCs/>
      <w:noProof/>
      <w:sz w:val="20"/>
      <w:szCs w:val="24"/>
      <w:lang w:eastAsia="he-IL"/>
    </w:rPr>
  </w:style>
  <w:style w:type="paragraph" w:styleId="a3">
    <w:name w:val="header"/>
    <w:basedOn w:val="a"/>
    <w:link w:val="a4"/>
    <w:rsid w:val="001C7351"/>
    <w:pPr>
      <w:tabs>
        <w:tab w:val="center" w:pos="4153"/>
        <w:tab w:val="right" w:pos="8306"/>
      </w:tabs>
    </w:pPr>
  </w:style>
  <w:style w:type="character" w:customStyle="1" w:styleId="a4">
    <w:name w:val="כותרת עליונה תו"/>
    <w:link w:val="a3"/>
    <w:rsid w:val="001C7351"/>
    <w:rPr>
      <w:rFonts w:ascii="Times New Roman" w:eastAsia="Times New Roman" w:hAnsi="Times New Roman" w:cs="David"/>
      <w:sz w:val="24"/>
      <w:szCs w:val="24"/>
    </w:rPr>
  </w:style>
  <w:style w:type="paragraph" w:styleId="a5">
    <w:name w:val="footer"/>
    <w:basedOn w:val="a"/>
    <w:link w:val="a6"/>
    <w:rsid w:val="001C7351"/>
    <w:pPr>
      <w:tabs>
        <w:tab w:val="center" w:pos="4153"/>
        <w:tab w:val="right" w:pos="8306"/>
      </w:tabs>
    </w:pPr>
  </w:style>
  <w:style w:type="character" w:customStyle="1" w:styleId="a6">
    <w:name w:val="כותרת תחתונה תו"/>
    <w:link w:val="a5"/>
    <w:rsid w:val="001C7351"/>
    <w:rPr>
      <w:rFonts w:ascii="Times New Roman" w:eastAsia="Times New Roman" w:hAnsi="Times New Roman" w:cs="David"/>
      <w:sz w:val="24"/>
      <w:szCs w:val="24"/>
    </w:rPr>
  </w:style>
  <w:style w:type="table" w:styleId="a7">
    <w:name w:val="Table Grid"/>
    <w:basedOn w:val="a1"/>
    <w:rsid w:val="001C735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C7351"/>
  </w:style>
  <w:style w:type="character" w:styleId="Hyperlink">
    <w:name w:val="Hyperlink"/>
    <w:rsid w:val="001C73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244" TargetMode="External"/><Relationship Id="rId26" Type="http://schemas.openxmlformats.org/officeDocument/2006/relationships/hyperlink" Target="http://www.nevo.co.il/case/28426907" TargetMode="External"/><Relationship Id="rId39" Type="http://schemas.openxmlformats.org/officeDocument/2006/relationships/hyperlink" Target="http://www.nevo.co.il/case/28259966" TargetMode="External"/><Relationship Id="rId21" Type="http://schemas.openxmlformats.org/officeDocument/2006/relationships/hyperlink" Target="http://www.nevo.co.il/case/28513828" TargetMode="External"/><Relationship Id="rId34" Type="http://schemas.openxmlformats.org/officeDocument/2006/relationships/hyperlink" Target="http://www.nevo.co.il/case/23169485" TargetMode="External"/><Relationship Id="rId42" Type="http://schemas.openxmlformats.org/officeDocument/2006/relationships/hyperlink" Target="http://www.nevo.co.il/case/28690754" TargetMode="External"/><Relationship Id="rId47" Type="http://schemas.openxmlformats.org/officeDocument/2006/relationships/hyperlink" Target="http://www.nevo.co.il/case/23506543"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40d.a" TargetMode="External"/><Relationship Id="rId2" Type="http://schemas.openxmlformats.org/officeDocument/2006/relationships/settings" Target="settings.xml"/><Relationship Id="rId16" Type="http://schemas.openxmlformats.org/officeDocument/2006/relationships/hyperlink" Target="http://www.nevo.co.il/law/70301/144.b" TargetMode="External"/><Relationship Id="rId29" Type="http://schemas.openxmlformats.org/officeDocument/2006/relationships/hyperlink" Target="http://www.nevo.co.il/case/30075181" TargetMode="External"/><Relationship Id="rId11" Type="http://schemas.openxmlformats.org/officeDocument/2006/relationships/hyperlink" Target="http://www.nevo.co.il/law/70301/244" TargetMode="External"/><Relationship Id="rId24" Type="http://schemas.openxmlformats.org/officeDocument/2006/relationships/hyperlink" Target="http://www.nevo.co.il/case/6022483" TargetMode="External"/><Relationship Id="rId32" Type="http://schemas.openxmlformats.org/officeDocument/2006/relationships/hyperlink" Target="http://www.nevo.co.il/case/23626987" TargetMode="External"/><Relationship Id="rId37" Type="http://schemas.openxmlformats.org/officeDocument/2006/relationships/hyperlink" Target="http://www.nevo.co.il/case/26952144" TargetMode="External"/><Relationship Id="rId40" Type="http://schemas.openxmlformats.org/officeDocument/2006/relationships/hyperlink" Target="http://www.nevo.co.il/case/28691189" TargetMode="External"/><Relationship Id="rId45" Type="http://schemas.openxmlformats.org/officeDocument/2006/relationships/hyperlink" Target="http://www.nevo.co.il/law/70301/40d.a"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70301/144.g" TargetMode="External"/><Relationship Id="rId19" Type="http://schemas.openxmlformats.org/officeDocument/2006/relationships/hyperlink" Target="http://www.nevo.co.il/law/70301/275" TargetMode="External"/><Relationship Id="rId31" Type="http://schemas.openxmlformats.org/officeDocument/2006/relationships/hyperlink" Target="http://www.nevo.co.il/case/27601772" TargetMode="External"/><Relationship Id="rId44" Type="http://schemas.openxmlformats.org/officeDocument/2006/relationships/hyperlink" Target="http://www.nevo.co.il/case/23579006"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c.1" TargetMode="External"/><Relationship Id="rId14" Type="http://schemas.openxmlformats.org/officeDocument/2006/relationships/hyperlink" Target="http://www.nevo.co.il/law/70301/144.c.1" TargetMode="External"/><Relationship Id="rId22" Type="http://schemas.openxmlformats.org/officeDocument/2006/relationships/hyperlink" Target="http://www.nevo.co.il/case/22006503" TargetMode="External"/><Relationship Id="rId27" Type="http://schemas.openxmlformats.org/officeDocument/2006/relationships/hyperlink" Target="http://www.nevo.co.il/case/29441578" TargetMode="External"/><Relationship Id="rId30" Type="http://schemas.openxmlformats.org/officeDocument/2006/relationships/hyperlink" Target="http://www.nevo.co.il/case/28053021" TargetMode="External"/><Relationship Id="rId35" Type="http://schemas.openxmlformats.org/officeDocument/2006/relationships/hyperlink" Target="http://www.nevo.co.il/case/20998872" TargetMode="External"/><Relationship Id="rId43" Type="http://schemas.openxmlformats.org/officeDocument/2006/relationships/hyperlink" Target="http://www.nevo.co.il/case/7697315" TargetMode="External"/><Relationship Id="rId48" Type="http://schemas.openxmlformats.org/officeDocument/2006/relationships/hyperlink" Target="http://www.nevo.co.il/law/70301/144.g" TargetMode="External"/><Relationship Id="rId56" Type="http://schemas.openxmlformats.org/officeDocument/2006/relationships/theme" Target="theme/theme1.xml"/><Relationship Id="rId8" Type="http://schemas.openxmlformats.org/officeDocument/2006/relationships/hyperlink" Target="http://www.nevo.co.il/law/70301/144.b"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0301/275" TargetMode="External"/><Relationship Id="rId17" Type="http://schemas.openxmlformats.org/officeDocument/2006/relationships/hyperlink" Target="http://www.nevo.co.il/law/70301/144.c.1" TargetMode="External"/><Relationship Id="rId25" Type="http://schemas.openxmlformats.org/officeDocument/2006/relationships/hyperlink" Target="http://www.nevo.co.il/case/28883087" TargetMode="External"/><Relationship Id="rId33" Type="http://schemas.openxmlformats.org/officeDocument/2006/relationships/hyperlink" Target="http://www.nevo.co.il/case/4691716" TargetMode="External"/><Relationship Id="rId38" Type="http://schemas.openxmlformats.org/officeDocument/2006/relationships/hyperlink" Target="http://www.nevo.co.il/case/26555362" TargetMode="External"/><Relationship Id="rId46" Type="http://schemas.openxmlformats.org/officeDocument/2006/relationships/hyperlink" Target="http://www.nevo.co.il/case/22938500" TargetMode="External"/><Relationship Id="rId20" Type="http://schemas.openxmlformats.org/officeDocument/2006/relationships/hyperlink" Target="http://www.nevo.co.il/case/6144854" TargetMode="External"/><Relationship Id="rId41" Type="http://schemas.openxmlformats.org/officeDocument/2006/relationships/hyperlink" Target="http://www.nevo.co.il/case/22935305"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case/27305799" TargetMode="External"/><Relationship Id="rId28" Type="http://schemas.openxmlformats.org/officeDocument/2006/relationships/hyperlink" Target="http://www.nevo.co.il/case/30068531" TargetMode="External"/><Relationship Id="rId36" Type="http://schemas.openxmlformats.org/officeDocument/2006/relationships/hyperlink" Target="http://www.nevo.co.il/case/23009435" TargetMode="External"/><Relationship Id="rId49" Type="http://schemas.openxmlformats.org/officeDocument/2006/relationships/hyperlink" Target="mailto:MaasarN@ips.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4975</Words>
  <Characters>24875</Characters>
  <Application>Microsoft Office Word</Application>
  <DocSecurity>0</DocSecurity>
  <Lines>207</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29791</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196725</vt:i4>
      </vt:variant>
      <vt:variant>
        <vt:i4>129</vt:i4>
      </vt:variant>
      <vt:variant>
        <vt:i4>0</vt:i4>
      </vt:variant>
      <vt:variant>
        <vt:i4>5</vt:i4>
      </vt:variant>
      <vt:variant>
        <vt:lpwstr>mailto:MaasarN@ips.gov.il</vt:lpwstr>
      </vt:variant>
      <vt:variant>
        <vt:lpwstr/>
      </vt:variant>
      <vt:variant>
        <vt:i4>5177424</vt:i4>
      </vt:variant>
      <vt:variant>
        <vt:i4>126</vt:i4>
      </vt:variant>
      <vt:variant>
        <vt:i4>0</vt:i4>
      </vt:variant>
      <vt:variant>
        <vt:i4>5</vt:i4>
      </vt:variant>
      <vt:variant>
        <vt:lpwstr>http://www.nevo.co.il/law/70301/144.g</vt:lpwstr>
      </vt:variant>
      <vt:variant>
        <vt:lpwstr/>
      </vt:variant>
      <vt:variant>
        <vt:i4>3473522</vt:i4>
      </vt:variant>
      <vt:variant>
        <vt:i4>123</vt:i4>
      </vt:variant>
      <vt:variant>
        <vt:i4>0</vt:i4>
      </vt:variant>
      <vt:variant>
        <vt:i4>5</vt:i4>
      </vt:variant>
      <vt:variant>
        <vt:lpwstr>http://www.nevo.co.il/case/23506543</vt:lpwstr>
      </vt:variant>
      <vt:variant>
        <vt:lpwstr/>
      </vt:variant>
      <vt:variant>
        <vt:i4>3342448</vt:i4>
      </vt:variant>
      <vt:variant>
        <vt:i4>120</vt:i4>
      </vt:variant>
      <vt:variant>
        <vt:i4>0</vt:i4>
      </vt:variant>
      <vt:variant>
        <vt:i4>5</vt:i4>
      </vt:variant>
      <vt:variant>
        <vt:lpwstr>http://www.nevo.co.il/case/22938500</vt:lpwstr>
      </vt:variant>
      <vt:variant>
        <vt:lpwstr/>
      </vt:variant>
      <vt:variant>
        <vt:i4>4915205</vt:i4>
      </vt:variant>
      <vt:variant>
        <vt:i4>117</vt:i4>
      </vt:variant>
      <vt:variant>
        <vt:i4>0</vt:i4>
      </vt:variant>
      <vt:variant>
        <vt:i4>5</vt:i4>
      </vt:variant>
      <vt:variant>
        <vt:lpwstr>http://www.nevo.co.il/law/70301/40d.a</vt:lpwstr>
      </vt:variant>
      <vt:variant>
        <vt:lpwstr/>
      </vt:variant>
      <vt:variant>
        <vt:i4>4063344</vt:i4>
      </vt:variant>
      <vt:variant>
        <vt:i4>114</vt:i4>
      </vt:variant>
      <vt:variant>
        <vt:i4>0</vt:i4>
      </vt:variant>
      <vt:variant>
        <vt:i4>5</vt:i4>
      </vt:variant>
      <vt:variant>
        <vt:lpwstr>http://www.nevo.co.il/case/23579006</vt:lpwstr>
      </vt:variant>
      <vt:variant>
        <vt:lpwstr/>
      </vt:variant>
      <vt:variant>
        <vt:i4>3670132</vt:i4>
      </vt:variant>
      <vt:variant>
        <vt:i4>111</vt:i4>
      </vt:variant>
      <vt:variant>
        <vt:i4>0</vt:i4>
      </vt:variant>
      <vt:variant>
        <vt:i4>5</vt:i4>
      </vt:variant>
      <vt:variant>
        <vt:lpwstr>http://www.nevo.co.il/case/7697315</vt:lpwstr>
      </vt:variant>
      <vt:variant>
        <vt:lpwstr/>
      </vt:variant>
      <vt:variant>
        <vt:i4>3211378</vt:i4>
      </vt:variant>
      <vt:variant>
        <vt:i4>108</vt:i4>
      </vt:variant>
      <vt:variant>
        <vt:i4>0</vt:i4>
      </vt:variant>
      <vt:variant>
        <vt:i4>5</vt:i4>
      </vt:variant>
      <vt:variant>
        <vt:lpwstr>http://www.nevo.co.il/case/28690754</vt:lpwstr>
      </vt:variant>
      <vt:variant>
        <vt:lpwstr/>
      </vt:variant>
      <vt:variant>
        <vt:i4>4063350</vt:i4>
      </vt:variant>
      <vt:variant>
        <vt:i4>105</vt:i4>
      </vt:variant>
      <vt:variant>
        <vt:i4>0</vt:i4>
      </vt:variant>
      <vt:variant>
        <vt:i4>5</vt:i4>
      </vt:variant>
      <vt:variant>
        <vt:lpwstr>http://www.nevo.co.il/case/22935305</vt:lpwstr>
      </vt:variant>
      <vt:variant>
        <vt:lpwstr/>
      </vt:variant>
      <vt:variant>
        <vt:i4>3997812</vt:i4>
      </vt:variant>
      <vt:variant>
        <vt:i4>102</vt:i4>
      </vt:variant>
      <vt:variant>
        <vt:i4>0</vt:i4>
      </vt:variant>
      <vt:variant>
        <vt:i4>5</vt:i4>
      </vt:variant>
      <vt:variant>
        <vt:lpwstr>http://www.nevo.co.il/case/28691189</vt:lpwstr>
      </vt:variant>
      <vt:variant>
        <vt:lpwstr/>
      </vt:variant>
      <vt:variant>
        <vt:i4>4128880</vt:i4>
      </vt:variant>
      <vt:variant>
        <vt:i4>99</vt:i4>
      </vt:variant>
      <vt:variant>
        <vt:i4>0</vt:i4>
      </vt:variant>
      <vt:variant>
        <vt:i4>5</vt:i4>
      </vt:variant>
      <vt:variant>
        <vt:lpwstr>http://www.nevo.co.il/case/28259966</vt:lpwstr>
      </vt:variant>
      <vt:variant>
        <vt:lpwstr/>
      </vt:variant>
      <vt:variant>
        <vt:i4>3407988</vt:i4>
      </vt:variant>
      <vt:variant>
        <vt:i4>96</vt:i4>
      </vt:variant>
      <vt:variant>
        <vt:i4>0</vt:i4>
      </vt:variant>
      <vt:variant>
        <vt:i4>5</vt:i4>
      </vt:variant>
      <vt:variant>
        <vt:lpwstr>http://www.nevo.co.il/case/26555362</vt:lpwstr>
      </vt:variant>
      <vt:variant>
        <vt:lpwstr/>
      </vt:variant>
      <vt:variant>
        <vt:i4>3997814</vt:i4>
      </vt:variant>
      <vt:variant>
        <vt:i4>93</vt:i4>
      </vt:variant>
      <vt:variant>
        <vt:i4>0</vt:i4>
      </vt:variant>
      <vt:variant>
        <vt:i4>5</vt:i4>
      </vt:variant>
      <vt:variant>
        <vt:lpwstr>http://www.nevo.co.il/case/26952144</vt:lpwstr>
      </vt:variant>
      <vt:variant>
        <vt:lpwstr/>
      </vt:variant>
      <vt:variant>
        <vt:i4>3670131</vt:i4>
      </vt:variant>
      <vt:variant>
        <vt:i4>90</vt:i4>
      </vt:variant>
      <vt:variant>
        <vt:i4>0</vt:i4>
      </vt:variant>
      <vt:variant>
        <vt:i4>5</vt:i4>
      </vt:variant>
      <vt:variant>
        <vt:lpwstr>http://www.nevo.co.il/case/23009435</vt:lpwstr>
      </vt:variant>
      <vt:variant>
        <vt:lpwstr/>
      </vt:variant>
      <vt:variant>
        <vt:i4>3407989</vt:i4>
      </vt:variant>
      <vt:variant>
        <vt:i4>87</vt:i4>
      </vt:variant>
      <vt:variant>
        <vt:i4>0</vt:i4>
      </vt:variant>
      <vt:variant>
        <vt:i4>5</vt:i4>
      </vt:variant>
      <vt:variant>
        <vt:lpwstr>http://www.nevo.co.il/case/20998872</vt:lpwstr>
      </vt:variant>
      <vt:variant>
        <vt:lpwstr/>
      </vt:variant>
      <vt:variant>
        <vt:i4>3276917</vt:i4>
      </vt:variant>
      <vt:variant>
        <vt:i4>84</vt:i4>
      </vt:variant>
      <vt:variant>
        <vt:i4>0</vt:i4>
      </vt:variant>
      <vt:variant>
        <vt:i4>5</vt:i4>
      </vt:variant>
      <vt:variant>
        <vt:lpwstr>http://www.nevo.co.il/case/23169485</vt:lpwstr>
      </vt:variant>
      <vt:variant>
        <vt:lpwstr/>
      </vt:variant>
      <vt:variant>
        <vt:i4>3932274</vt:i4>
      </vt:variant>
      <vt:variant>
        <vt:i4>81</vt:i4>
      </vt:variant>
      <vt:variant>
        <vt:i4>0</vt:i4>
      </vt:variant>
      <vt:variant>
        <vt:i4>5</vt:i4>
      </vt:variant>
      <vt:variant>
        <vt:lpwstr>http://www.nevo.co.il/case/4691716</vt:lpwstr>
      </vt:variant>
      <vt:variant>
        <vt:lpwstr/>
      </vt:variant>
      <vt:variant>
        <vt:i4>3801212</vt:i4>
      </vt:variant>
      <vt:variant>
        <vt:i4>78</vt:i4>
      </vt:variant>
      <vt:variant>
        <vt:i4>0</vt:i4>
      </vt:variant>
      <vt:variant>
        <vt:i4>5</vt:i4>
      </vt:variant>
      <vt:variant>
        <vt:lpwstr>http://www.nevo.co.il/case/23626987</vt:lpwstr>
      </vt:variant>
      <vt:variant>
        <vt:lpwstr/>
      </vt:variant>
      <vt:variant>
        <vt:i4>3276916</vt:i4>
      </vt:variant>
      <vt:variant>
        <vt:i4>75</vt:i4>
      </vt:variant>
      <vt:variant>
        <vt:i4>0</vt:i4>
      </vt:variant>
      <vt:variant>
        <vt:i4>5</vt:i4>
      </vt:variant>
      <vt:variant>
        <vt:lpwstr>http://www.nevo.co.il/case/27601772</vt:lpwstr>
      </vt:variant>
      <vt:variant>
        <vt:lpwstr/>
      </vt:variant>
      <vt:variant>
        <vt:i4>3342457</vt:i4>
      </vt:variant>
      <vt:variant>
        <vt:i4>72</vt:i4>
      </vt:variant>
      <vt:variant>
        <vt:i4>0</vt:i4>
      </vt:variant>
      <vt:variant>
        <vt:i4>5</vt:i4>
      </vt:variant>
      <vt:variant>
        <vt:lpwstr>http://www.nevo.co.il/case/28053021</vt:lpwstr>
      </vt:variant>
      <vt:variant>
        <vt:lpwstr/>
      </vt:variant>
      <vt:variant>
        <vt:i4>4063346</vt:i4>
      </vt:variant>
      <vt:variant>
        <vt:i4>69</vt:i4>
      </vt:variant>
      <vt:variant>
        <vt:i4>0</vt:i4>
      </vt:variant>
      <vt:variant>
        <vt:i4>5</vt:i4>
      </vt:variant>
      <vt:variant>
        <vt:lpwstr>http://www.nevo.co.il/case/30075181</vt:lpwstr>
      </vt:variant>
      <vt:variant>
        <vt:lpwstr/>
      </vt:variant>
      <vt:variant>
        <vt:i4>3670135</vt:i4>
      </vt:variant>
      <vt:variant>
        <vt:i4>66</vt:i4>
      </vt:variant>
      <vt:variant>
        <vt:i4>0</vt:i4>
      </vt:variant>
      <vt:variant>
        <vt:i4>5</vt:i4>
      </vt:variant>
      <vt:variant>
        <vt:lpwstr>http://www.nevo.co.il/case/30068531</vt:lpwstr>
      </vt:variant>
      <vt:variant>
        <vt:lpwstr/>
      </vt:variant>
      <vt:variant>
        <vt:i4>3145852</vt:i4>
      </vt:variant>
      <vt:variant>
        <vt:i4>63</vt:i4>
      </vt:variant>
      <vt:variant>
        <vt:i4>0</vt:i4>
      </vt:variant>
      <vt:variant>
        <vt:i4>5</vt:i4>
      </vt:variant>
      <vt:variant>
        <vt:lpwstr>http://www.nevo.co.il/case/29441578</vt:lpwstr>
      </vt:variant>
      <vt:variant>
        <vt:lpwstr/>
      </vt:variant>
      <vt:variant>
        <vt:i4>3145847</vt:i4>
      </vt:variant>
      <vt:variant>
        <vt:i4>60</vt:i4>
      </vt:variant>
      <vt:variant>
        <vt:i4>0</vt:i4>
      </vt:variant>
      <vt:variant>
        <vt:i4>5</vt:i4>
      </vt:variant>
      <vt:variant>
        <vt:lpwstr>http://www.nevo.co.il/case/28426907</vt:lpwstr>
      </vt:variant>
      <vt:variant>
        <vt:lpwstr/>
      </vt:variant>
      <vt:variant>
        <vt:i4>3211380</vt:i4>
      </vt:variant>
      <vt:variant>
        <vt:i4>57</vt:i4>
      </vt:variant>
      <vt:variant>
        <vt:i4>0</vt:i4>
      </vt:variant>
      <vt:variant>
        <vt:i4>5</vt:i4>
      </vt:variant>
      <vt:variant>
        <vt:lpwstr>http://www.nevo.co.il/case/28883087</vt:lpwstr>
      </vt:variant>
      <vt:variant>
        <vt:lpwstr/>
      </vt:variant>
      <vt:variant>
        <vt:i4>3342462</vt:i4>
      </vt:variant>
      <vt:variant>
        <vt:i4>54</vt:i4>
      </vt:variant>
      <vt:variant>
        <vt:i4>0</vt:i4>
      </vt:variant>
      <vt:variant>
        <vt:i4>5</vt:i4>
      </vt:variant>
      <vt:variant>
        <vt:lpwstr>http://www.nevo.co.il/case/6022483</vt:lpwstr>
      </vt:variant>
      <vt:variant>
        <vt:lpwstr/>
      </vt:variant>
      <vt:variant>
        <vt:i4>3997812</vt:i4>
      </vt:variant>
      <vt:variant>
        <vt:i4>51</vt:i4>
      </vt:variant>
      <vt:variant>
        <vt:i4>0</vt:i4>
      </vt:variant>
      <vt:variant>
        <vt:i4>5</vt:i4>
      </vt:variant>
      <vt:variant>
        <vt:lpwstr>http://www.nevo.co.il/case/27305799</vt:lpwstr>
      </vt:variant>
      <vt:variant>
        <vt:lpwstr/>
      </vt:variant>
      <vt:variant>
        <vt:i4>3407987</vt:i4>
      </vt:variant>
      <vt:variant>
        <vt:i4>48</vt:i4>
      </vt:variant>
      <vt:variant>
        <vt:i4>0</vt:i4>
      </vt:variant>
      <vt:variant>
        <vt:i4>5</vt:i4>
      </vt:variant>
      <vt:variant>
        <vt:lpwstr>http://www.nevo.co.il/case/22006503</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4063348</vt:i4>
      </vt:variant>
      <vt:variant>
        <vt:i4>42</vt:i4>
      </vt:variant>
      <vt:variant>
        <vt:i4>0</vt:i4>
      </vt:variant>
      <vt:variant>
        <vt:i4>5</vt:i4>
      </vt:variant>
      <vt:variant>
        <vt:lpwstr>http://www.nevo.co.il/case/6144854</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6357095</vt:i4>
      </vt:variant>
      <vt:variant>
        <vt:i4>36</vt:i4>
      </vt:variant>
      <vt:variant>
        <vt:i4>0</vt:i4>
      </vt:variant>
      <vt:variant>
        <vt:i4>5</vt:i4>
      </vt:variant>
      <vt:variant>
        <vt:lpwstr>http://www.nevo.co.il/law/70301/244</vt:lpwstr>
      </vt:variant>
      <vt:variant>
        <vt:lpwstr/>
      </vt:variant>
      <vt:variant>
        <vt:i4>6357043</vt:i4>
      </vt:variant>
      <vt:variant>
        <vt:i4>33</vt:i4>
      </vt:variant>
      <vt:variant>
        <vt:i4>0</vt:i4>
      </vt:variant>
      <vt:variant>
        <vt:i4>5</vt:i4>
      </vt:variant>
      <vt:variant>
        <vt:lpwstr>http://www.nevo.co.il/law/70301/144.c.1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6357043</vt:i4>
      </vt:variant>
      <vt:variant>
        <vt:i4>24</vt:i4>
      </vt:variant>
      <vt:variant>
        <vt:i4>0</vt:i4>
      </vt:variant>
      <vt:variant>
        <vt:i4>5</vt:i4>
      </vt:variant>
      <vt:variant>
        <vt:lpwstr>http://www.nevo.co.il/law/70301/144.c.1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6357043</vt:i4>
      </vt:variant>
      <vt:variant>
        <vt:i4>9</vt:i4>
      </vt:variant>
      <vt:variant>
        <vt:i4>0</vt:i4>
      </vt:variant>
      <vt:variant>
        <vt:i4>5</vt:i4>
      </vt:variant>
      <vt:variant>
        <vt:lpwstr>http://www.nevo.co.il/law/70301/144.c.1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2025-04-25T10:57:00Z</dcterms:created>
  <dcterms:modified xsi:type="dcterms:W3CDTF">2025-04-25T10:57:00Z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39723</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מאג'ד אבו זראקי</vt:lpwstr>
  </property>
  <property fmtid="{D5CDD505-2E9C-101B-9397-08002B2CF9AE}" pid="10" name="LAWYER">
    <vt:lpwstr>סלי נצר;מיכאל עירוני</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39020250226</vt:lpwstr>
  </property>
  <property fmtid="{D5CDD505-2E9C-101B-9397-08002B2CF9AE}" pid="14" name="WORDNUMPAGES">
    <vt:lpwstr>12</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YES</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20250226</vt:lpwstr>
  </property>
  <property fmtid="{D5CDD505-2E9C-101B-9397-08002B2CF9AE}" pid="33" name="ISABSTRACT">
    <vt:lpwstr>Y</vt:lpwstr>
  </property>
  <property fmtid="{D5CDD505-2E9C-101B-9397-08002B2CF9AE}" pid="34" name="CASESLISTTMP1">
    <vt:lpwstr>6144854;28513828;22006503;27305799;6022483;28883087;28426907;29441578;30068531;30075181;28053021;27601772;23626987;4691716;23169485;20998872;23009435;26952144;26555362;28259966;28691189;22935305;28690754;7697315;23579006;22938500;23506543</vt:lpwstr>
  </property>
  <property fmtid="{D5CDD505-2E9C-101B-9397-08002B2CF9AE}" pid="35" name="LAWLISTTMP1">
    <vt:lpwstr>70301/144.b:2;144.c.1:2;244;275;040d.a;144.g</vt:lpwstr>
  </property>
  <property fmtid="{D5CDD505-2E9C-101B-9397-08002B2CF9AE}" pid="36" name="TYPE_ABS_DATE">
    <vt:lpwstr>390120250226</vt:lpwstr>
  </property>
  <property fmtid="{D5CDD505-2E9C-101B-9397-08002B2CF9AE}" pid="37" name="METAKZER">
    <vt:lpwstr>מיכל</vt:lpwstr>
  </property>
  <property fmtid="{D5CDD505-2E9C-101B-9397-08002B2CF9AE}" pid="38" name="NOSE1ID">
    <vt:lpwstr>77;77;77</vt:lpwstr>
  </property>
  <property fmtid="{D5CDD505-2E9C-101B-9397-08002B2CF9AE}" pid="39" name="NOSE2ID">
    <vt:lpwstr>1446;1446;1446</vt:lpwstr>
  </property>
  <property fmtid="{D5CDD505-2E9C-101B-9397-08002B2CF9AE}" pid="40" name="NOSE3ID">
    <vt:lpwstr>13800;16342;18113</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שיבוש הליכי משפט</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מדיניות ענישה: הפרעה לשוטר במילוי תפקידו</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20250304</vt:lpwstr>
  </property>
</Properties>
</file>