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A11D0" w:rsidRPr="008632AD" w14:paraId="4D2D354F" w14:textId="77777777" w:rsidTr="00114CAB">
        <w:trPr>
          <w:trHeight w:hRule="exact" w:val="418"/>
          <w:jc w:val="center"/>
        </w:trPr>
        <w:tc>
          <w:tcPr>
            <w:tcW w:w="8721" w:type="dxa"/>
            <w:gridSpan w:val="2"/>
          </w:tcPr>
          <w:p w14:paraId="530A4CB2" w14:textId="77777777" w:rsidR="005A11D0" w:rsidRPr="008632AD" w:rsidRDefault="005A11D0" w:rsidP="00EE6870">
            <w:pPr>
              <w:pStyle w:val="a3"/>
              <w:jc w:val="center"/>
              <w:rPr>
                <w:rFonts w:ascii="Tahoma" w:hAnsi="Tahoma" w:cs="Tahoma"/>
                <w:color w:val="000080"/>
                <w:rtl/>
              </w:rPr>
            </w:pPr>
            <w:bookmarkStart w:id="0" w:name="LastJudge"/>
            <w:r w:rsidRPr="008632AD">
              <w:rPr>
                <w:rFonts w:ascii="Tahoma" w:hAnsi="Tahoma" w:cs="Tahoma"/>
                <w:b/>
                <w:bCs/>
                <w:color w:val="000080"/>
                <w:rtl/>
              </w:rPr>
              <w:t>בית המשפט המחוזי בחיפה</w:t>
            </w:r>
          </w:p>
        </w:tc>
      </w:tr>
      <w:tr w:rsidR="005A11D0" w:rsidRPr="008632AD" w14:paraId="73628AA1" w14:textId="77777777" w:rsidTr="00114CAB">
        <w:trPr>
          <w:trHeight w:val="337"/>
          <w:jc w:val="center"/>
        </w:trPr>
        <w:tc>
          <w:tcPr>
            <w:tcW w:w="5060" w:type="dxa"/>
          </w:tcPr>
          <w:p w14:paraId="5A630013" w14:textId="77777777" w:rsidR="005A11D0" w:rsidRPr="008632AD" w:rsidRDefault="005A11D0" w:rsidP="00EE6870">
            <w:pPr>
              <w:rPr>
                <w:rFonts w:cs="FrankRuehl"/>
                <w:sz w:val="28"/>
                <w:szCs w:val="28"/>
                <w:rtl/>
              </w:rPr>
            </w:pPr>
            <w:r w:rsidRPr="008632AD">
              <w:rPr>
                <w:rFonts w:cs="FrankRuehl"/>
                <w:sz w:val="28"/>
                <w:szCs w:val="28"/>
                <w:rtl/>
              </w:rPr>
              <w:t>ת"פ</w:t>
            </w:r>
            <w:r w:rsidRPr="008632AD">
              <w:rPr>
                <w:rFonts w:cs="FrankRuehl" w:hint="cs"/>
                <w:sz w:val="28"/>
                <w:szCs w:val="28"/>
                <w:rtl/>
              </w:rPr>
              <w:t xml:space="preserve"> </w:t>
            </w:r>
            <w:r w:rsidRPr="008632AD">
              <w:rPr>
                <w:rFonts w:cs="FrankRuehl"/>
                <w:sz w:val="28"/>
                <w:szCs w:val="28"/>
                <w:rtl/>
              </w:rPr>
              <w:t>45226-12-22</w:t>
            </w:r>
            <w:r w:rsidRPr="008632AD">
              <w:rPr>
                <w:rFonts w:cs="FrankRuehl" w:hint="cs"/>
                <w:sz w:val="28"/>
                <w:szCs w:val="28"/>
                <w:rtl/>
              </w:rPr>
              <w:t xml:space="preserve"> </w:t>
            </w:r>
            <w:r w:rsidRPr="008632AD">
              <w:rPr>
                <w:rFonts w:cs="FrankRuehl"/>
                <w:sz w:val="28"/>
                <w:szCs w:val="28"/>
                <w:rtl/>
              </w:rPr>
              <w:t>מדינת ישראל נ' סעדיאיב(עציר)</w:t>
            </w:r>
          </w:p>
          <w:p w14:paraId="2306B3B8" w14:textId="77777777" w:rsidR="005A11D0" w:rsidRPr="008632AD" w:rsidRDefault="005A11D0" w:rsidP="00EE6870">
            <w:pPr>
              <w:pStyle w:val="a3"/>
              <w:rPr>
                <w:rFonts w:cs="FrankRuehl"/>
                <w:sz w:val="28"/>
                <w:szCs w:val="28"/>
                <w:rtl/>
              </w:rPr>
            </w:pPr>
          </w:p>
        </w:tc>
        <w:tc>
          <w:tcPr>
            <w:tcW w:w="3661" w:type="dxa"/>
          </w:tcPr>
          <w:p w14:paraId="53295303" w14:textId="77777777" w:rsidR="005A11D0" w:rsidRPr="008632AD" w:rsidRDefault="005A11D0" w:rsidP="00EE6870">
            <w:pPr>
              <w:pStyle w:val="a3"/>
              <w:jc w:val="right"/>
              <w:rPr>
                <w:rFonts w:cs="FrankRuehl"/>
                <w:sz w:val="28"/>
                <w:szCs w:val="28"/>
                <w:rtl/>
              </w:rPr>
            </w:pPr>
          </w:p>
        </w:tc>
      </w:tr>
    </w:tbl>
    <w:p w14:paraId="266D3BF3" w14:textId="77777777" w:rsidR="005A11D0" w:rsidRPr="008632AD" w:rsidRDefault="005A11D0" w:rsidP="005A11D0">
      <w:pPr>
        <w:pStyle w:val="a3"/>
        <w:rPr>
          <w:rtl/>
        </w:rPr>
      </w:pPr>
      <w:r w:rsidRPr="008632AD">
        <w:rPr>
          <w:rFonts w:hint="cs"/>
          <w:rtl/>
        </w:rPr>
        <w:t xml:space="preserve"> </w:t>
      </w:r>
    </w:p>
    <w:p w14:paraId="47A19DB0" w14:textId="77777777" w:rsidR="005A11D0" w:rsidRPr="008632AD" w:rsidRDefault="005A11D0" w:rsidP="005A11D0">
      <w:pPr>
        <w:rPr>
          <w:rtl/>
        </w:rPr>
      </w:pPr>
    </w:p>
    <w:p w14:paraId="1E2B3C8F" w14:textId="77777777" w:rsidR="005A11D0" w:rsidRPr="008632AD" w:rsidRDefault="005A11D0" w:rsidP="005A11D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A11D0" w:rsidRPr="008632AD" w14:paraId="5E1A0DC8" w14:textId="77777777" w:rsidTr="005A11D0">
        <w:trPr>
          <w:trHeight w:val="295"/>
          <w:jc w:val="center"/>
        </w:trPr>
        <w:tc>
          <w:tcPr>
            <w:tcW w:w="923" w:type="dxa"/>
            <w:tcBorders>
              <w:top w:val="nil"/>
              <w:left w:val="nil"/>
              <w:bottom w:val="nil"/>
              <w:right w:val="nil"/>
            </w:tcBorders>
            <w:shd w:val="clear" w:color="auto" w:fill="auto"/>
          </w:tcPr>
          <w:p w14:paraId="7BBF08B2" w14:textId="77777777" w:rsidR="005A11D0" w:rsidRPr="008632AD" w:rsidRDefault="005A11D0" w:rsidP="005A11D0">
            <w:pPr>
              <w:jc w:val="both"/>
              <w:rPr>
                <w:rFonts w:ascii="David" w:hAnsi="David"/>
                <w:sz w:val="26"/>
                <w:szCs w:val="26"/>
              </w:rPr>
            </w:pPr>
            <w:r w:rsidRPr="008632A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ABD9131" w14:textId="77777777" w:rsidR="005A11D0" w:rsidRPr="008632AD" w:rsidRDefault="005A11D0" w:rsidP="00EE6870">
            <w:pPr>
              <w:rPr>
                <w:rFonts w:ascii="David" w:hAnsi="David"/>
                <w:b/>
                <w:bCs/>
                <w:sz w:val="26"/>
                <w:szCs w:val="26"/>
                <w:rtl/>
              </w:rPr>
            </w:pPr>
            <w:r w:rsidRPr="008632AD">
              <w:rPr>
                <w:rFonts w:ascii="David" w:hAnsi="David"/>
                <w:b/>
                <w:bCs/>
                <w:sz w:val="26"/>
                <w:szCs w:val="26"/>
                <w:rtl/>
              </w:rPr>
              <w:t>כבוד השופט  גיל קרזבום</w:t>
            </w:r>
          </w:p>
          <w:p w14:paraId="057800D0" w14:textId="77777777" w:rsidR="005A11D0" w:rsidRPr="008632AD" w:rsidRDefault="005A11D0" w:rsidP="00EE6870">
            <w:pPr>
              <w:rPr>
                <w:rFonts w:ascii="David" w:hAnsi="David"/>
                <w:sz w:val="26"/>
                <w:szCs w:val="26"/>
                <w:rtl/>
              </w:rPr>
            </w:pPr>
          </w:p>
          <w:p w14:paraId="67C3D046" w14:textId="77777777" w:rsidR="005A11D0" w:rsidRPr="008632AD" w:rsidRDefault="005A11D0" w:rsidP="005A11D0">
            <w:pPr>
              <w:jc w:val="both"/>
              <w:rPr>
                <w:rFonts w:ascii="David" w:hAnsi="David"/>
                <w:sz w:val="26"/>
                <w:szCs w:val="26"/>
              </w:rPr>
            </w:pPr>
          </w:p>
        </w:tc>
      </w:tr>
      <w:tr w:rsidR="005A11D0" w:rsidRPr="008632AD" w14:paraId="2AC57D60" w14:textId="77777777" w:rsidTr="005A11D0">
        <w:trPr>
          <w:trHeight w:val="355"/>
          <w:jc w:val="center"/>
        </w:trPr>
        <w:tc>
          <w:tcPr>
            <w:tcW w:w="923" w:type="dxa"/>
            <w:tcBorders>
              <w:top w:val="nil"/>
              <w:left w:val="nil"/>
              <w:bottom w:val="nil"/>
              <w:right w:val="nil"/>
            </w:tcBorders>
            <w:shd w:val="clear" w:color="auto" w:fill="auto"/>
          </w:tcPr>
          <w:p w14:paraId="288F9144" w14:textId="77777777" w:rsidR="005A11D0" w:rsidRPr="008632AD" w:rsidRDefault="005A11D0" w:rsidP="005A11D0">
            <w:pPr>
              <w:jc w:val="both"/>
              <w:rPr>
                <w:rFonts w:ascii="David" w:hAnsi="David"/>
                <w:sz w:val="26"/>
                <w:szCs w:val="26"/>
              </w:rPr>
            </w:pPr>
            <w:bookmarkStart w:id="1" w:name="FirstAppellant"/>
            <w:r w:rsidRPr="008632AD">
              <w:rPr>
                <w:rFonts w:ascii="David" w:hAnsi="David"/>
                <w:sz w:val="26"/>
                <w:szCs w:val="26"/>
                <w:rtl/>
              </w:rPr>
              <w:t>בעניין:</w:t>
            </w:r>
          </w:p>
        </w:tc>
        <w:tc>
          <w:tcPr>
            <w:tcW w:w="3219" w:type="dxa"/>
            <w:tcBorders>
              <w:top w:val="nil"/>
              <w:left w:val="nil"/>
              <w:bottom w:val="nil"/>
              <w:right w:val="nil"/>
            </w:tcBorders>
            <w:shd w:val="clear" w:color="auto" w:fill="auto"/>
          </w:tcPr>
          <w:p w14:paraId="26C4AEDA" w14:textId="77777777" w:rsidR="005A11D0" w:rsidRPr="008632AD" w:rsidRDefault="005A11D0" w:rsidP="005A11D0">
            <w:pPr>
              <w:suppressLineNumbers/>
            </w:pPr>
            <w:r w:rsidRPr="008632AD">
              <w:rPr>
                <w:rFonts w:ascii="Arial" w:hAnsi="Arial" w:hint="cs"/>
                <w:b/>
                <w:bCs/>
                <w:sz w:val="26"/>
                <w:szCs w:val="26"/>
                <w:rtl/>
              </w:rPr>
              <w:t>ה</w:t>
            </w:r>
            <w:r w:rsidRPr="008632AD">
              <w:rPr>
                <w:rFonts w:ascii="Arial" w:hAnsi="Arial"/>
                <w:b/>
                <w:bCs/>
                <w:sz w:val="26"/>
                <w:szCs w:val="26"/>
                <w:rtl/>
              </w:rPr>
              <w:t>מאשימה</w:t>
            </w:r>
          </w:p>
          <w:p w14:paraId="6274B02B" w14:textId="77777777" w:rsidR="005A11D0" w:rsidRPr="008632AD" w:rsidRDefault="005A11D0" w:rsidP="00EE6870">
            <w:pPr>
              <w:rPr>
                <w:rFonts w:ascii="David" w:hAnsi="David"/>
                <w:sz w:val="26"/>
                <w:szCs w:val="26"/>
              </w:rPr>
            </w:pPr>
          </w:p>
        </w:tc>
        <w:tc>
          <w:tcPr>
            <w:tcW w:w="4678" w:type="dxa"/>
            <w:tcBorders>
              <w:top w:val="nil"/>
              <w:left w:val="nil"/>
              <w:bottom w:val="nil"/>
              <w:right w:val="nil"/>
            </w:tcBorders>
            <w:shd w:val="clear" w:color="auto" w:fill="auto"/>
            <w:vAlign w:val="center"/>
          </w:tcPr>
          <w:p w14:paraId="31974CB2" w14:textId="77777777" w:rsidR="005A11D0" w:rsidRPr="008632AD" w:rsidRDefault="005A11D0" w:rsidP="005A11D0">
            <w:pPr>
              <w:suppressLineNumbers/>
            </w:pPr>
            <w:r w:rsidRPr="008632AD">
              <w:rPr>
                <w:rFonts w:ascii="Arial" w:hAnsi="Arial"/>
                <w:b/>
                <w:bCs/>
                <w:sz w:val="26"/>
                <w:szCs w:val="26"/>
                <w:rtl/>
              </w:rPr>
              <w:t>מדינת ישראל</w:t>
            </w:r>
            <w:r w:rsidRPr="008632AD">
              <w:rPr>
                <w:rFonts w:ascii="Arial" w:hAnsi="Arial" w:hint="cs"/>
                <w:b/>
                <w:bCs/>
                <w:sz w:val="26"/>
                <w:szCs w:val="26"/>
                <w:rtl/>
              </w:rPr>
              <w:t xml:space="preserve"> </w:t>
            </w:r>
          </w:p>
          <w:p w14:paraId="146611CC" w14:textId="77777777" w:rsidR="005A11D0" w:rsidRPr="008632AD" w:rsidRDefault="005A11D0" w:rsidP="00EE6870">
            <w:pPr>
              <w:rPr>
                <w:rFonts w:ascii="David" w:hAnsi="David"/>
                <w:sz w:val="26"/>
                <w:szCs w:val="26"/>
              </w:rPr>
            </w:pPr>
          </w:p>
        </w:tc>
      </w:tr>
      <w:bookmarkEnd w:id="1"/>
      <w:tr w:rsidR="005A11D0" w:rsidRPr="008632AD" w14:paraId="160D3E4B" w14:textId="77777777" w:rsidTr="005A11D0">
        <w:trPr>
          <w:trHeight w:val="355"/>
          <w:jc w:val="center"/>
        </w:trPr>
        <w:tc>
          <w:tcPr>
            <w:tcW w:w="923" w:type="dxa"/>
            <w:tcBorders>
              <w:top w:val="nil"/>
              <w:left w:val="nil"/>
              <w:bottom w:val="nil"/>
              <w:right w:val="nil"/>
            </w:tcBorders>
            <w:shd w:val="clear" w:color="auto" w:fill="auto"/>
          </w:tcPr>
          <w:p w14:paraId="7567A38A" w14:textId="77777777" w:rsidR="005A11D0" w:rsidRPr="008632AD" w:rsidRDefault="005A11D0" w:rsidP="005A11D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3F9D2E8" w14:textId="77777777" w:rsidR="005A11D0" w:rsidRPr="008632AD" w:rsidRDefault="005A11D0" w:rsidP="005A11D0">
            <w:pPr>
              <w:jc w:val="center"/>
              <w:rPr>
                <w:rFonts w:ascii="David" w:hAnsi="David"/>
                <w:b/>
                <w:bCs/>
                <w:sz w:val="26"/>
                <w:szCs w:val="26"/>
                <w:rtl/>
              </w:rPr>
            </w:pPr>
          </w:p>
          <w:p w14:paraId="421CC5CE" w14:textId="77777777" w:rsidR="005A11D0" w:rsidRPr="008632AD" w:rsidRDefault="005A11D0" w:rsidP="005A11D0">
            <w:pPr>
              <w:jc w:val="center"/>
              <w:rPr>
                <w:rFonts w:ascii="David" w:hAnsi="David"/>
                <w:b/>
                <w:bCs/>
                <w:sz w:val="26"/>
                <w:szCs w:val="26"/>
                <w:rtl/>
              </w:rPr>
            </w:pPr>
            <w:r w:rsidRPr="008632AD">
              <w:rPr>
                <w:rFonts w:ascii="David" w:hAnsi="David"/>
                <w:b/>
                <w:bCs/>
                <w:sz w:val="26"/>
                <w:szCs w:val="26"/>
                <w:rtl/>
              </w:rPr>
              <w:t>נגד</w:t>
            </w:r>
          </w:p>
          <w:p w14:paraId="64DD3A2A" w14:textId="77777777" w:rsidR="005A11D0" w:rsidRPr="008632AD" w:rsidRDefault="005A11D0" w:rsidP="005A11D0">
            <w:pPr>
              <w:jc w:val="both"/>
              <w:rPr>
                <w:rFonts w:ascii="David" w:hAnsi="David"/>
                <w:sz w:val="26"/>
                <w:szCs w:val="26"/>
              </w:rPr>
            </w:pPr>
          </w:p>
        </w:tc>
      </w:tr>
      <w:tr w:rsidR="005A11D0" w:rsidRPr="008632AD" w14:paraId="6E656A2A" w14:textId="77777777" w:rsidTr="005A11D0">
        <w:trPr>
          <w:trHeight w:val="355"/>
          <w:jc w:val="center"/>
        </w:trPr>
        <w:tc>
          <w:tcPr>
            <w:tcW w:w="923" w:type="dxa"/>
            <w:tcBorders>
              <w:top w:val="nil"/>
              <w:left w:val="nil"/>
              <w:bottom w:val="nil"/>
              <w:right w:val="nil"/>
            </w:tcBorders>
            <w:shd w:val="clear" w:color="auto" w:fill="auto"/>
          </w:tcPr>
          <w:p w14:paraId="151B7F57" w14:textId="77777777" w:rsidR="005A11D0" w:rsidRPr="008632AD" w:rsidRDefault="005A11D0" w:rsidP="00EE6870">
            <w:pPr>
              <w:rPr>
                <w:rFonts w:ascii="David" w:hAnsi="David"/>
                <w:sz w:val="26"/>
                <w:szCs w:val="26"/>
                <w:rtl/>
              </w:rPr>
            </w:pPr>
          </w:p>
        </w:tc>
        <w:tc>
          <w:tcPr>
            <w:tcW w:w="3219" w:type="dxa"/>
            <w:tcBorders>
              <w:top w:val="nil"/>
              <w:left w:val="nil"/>
              <w:bottom w:val="nil"/>
              <w:right w:val="nil"/>
            </w:tcBorders>
            <w:shd w:val="clear" w:color="auto" w:fill="auto"/>
          </w:tcPr>
          <w:p w14:paraId="5AF0FA01" w14:textId="77777777" w:rsidR="005A11D0" w:rsidRPr="008632AD" w:rsidRDefault="005A11D0" w:rsidP="00EE6870">
            <w:pPr>
              <w:rPr>
                <w:rFonts w:ascii="Arial" w:hAnsi="Arial"/>
                <w:b/>
                <w:bCs/>
                <w:sz w:val="26"/>
                <w:szCs w:val="26"/>
                <w:rtl/>
              </w:rPr>
            </w:pPr>
            <w:r w:rsidRPr="008632A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9B3EA8D" w14:textId="77777777" w:rsidR="005A11D0" w:rsidRPr="008632AD" w:rsidRDefault="005A11D0" w:rsidP="005A11D0">
            <w:pPr>
              <w:suppressLineNumbers/>
            </w:pPr>
            <w:r w:rsidRPr="008632AD">
              <w:rPr>
                <w:rFonts w:ascii="Arial" w:hAnsi="Arial"/>
                <w:b/>
                <w:bCs/>
                <w:sz w:val="26"/>
                <w:szCs w:val="26"/>
                <w:rtl/>
              </w:rPr>
              <w:t>שחר סעדיאיב (עציר)</w:t>
            </w:r>
            <w:r w:rsidRPr="008632AD">
              <w:rPr>
                <w:rFonts w:ascii="Arial" w:hAnsi="Arial" w:hint="cs"/>
                <w:b/>
                <w:bCs/>
                <w:sz w:val="26"/>
                <w:szCs w:val="26"/>
                <w:rtl/>
              </w:rPr>
              <w:t xml:space="preserve"> </w:t>
            </w:r>
          </w:p>
          <w:p w14:paraId="363A1C88" w14:textId="77777777" w:rsidR="005A11D0" w:rsidRPr="008632AD" w:rsidRDefault="005A11D0" w:rsidP="00EE6870">
            <w:pPr>
              <w:rPr>
                <w:rFonts w:ascii="David" w:hAnsi="David"/>
                <w:sz w:val="26"/>
                <w:szCs w:val="26"/>
              </w:rPr>
            </w:pPr>
          </w:p>
        </w:tc>
      </w:tr>
    </w:tbl>
    <w:p w14:paraId="43A6C884" w14:textId="77777777" w:rsidR="00F513CF" w:rsidRPr="00F513CF" w:rsidRDefault="00F513CF" w:rsidP="00F513CF">
      <w:pPr>
        <w:spacing w:before="120" w:after="120" w:line="240" w:lineRule="exact"/>
        <w:ind w:left="283" w:hanging="283"/>
        <w:jc w:val="both"/>
        <w:rPr>
          <w:rFonts w:ascii="FrankRuehl" w:hAnsi="FrankRuehl" w:cs="FrankRuehl"/>
          <w:rtl/>
        </w:rPr>
      </w:pPr>
    </w:p>
    <w:p w14:paraId="70674226" w14:textId="77777777" w:rsidR="000C484C" w:rsidRDefault="000C484C" w:rsidP="000C484C">
      <w:pPr>
        <w:rPr>
          <w:sz w:val="26"/>
          <w:szCs w:val="26"/>
          <w:rtl/>
        </w:rPr>
      </w:pPr>
      <w:bookmarkStart w:id="2" w:name="LawTable"/>
      <w:bookmarkEnd w:id="2"/>
    </w:p>
    <w:p w14:paraId="44618F9C" w14:textId="77777777" w:rsidR="000C484C" w:rsidRPr="000C484C" w:rsidRDefault="000C484C" w:rsidP="000C484C">
      <w:pPr>
        <w:spacing w:before="120" w:after="120" w:line="240" w:lineRule="exact"/>
        <w:ind w:left="283" w:hanging="283"/>
        <w:jc w:val="both"/>
        <w:rPr>
          <w:rFonts w:ascii="FrankRuehl" w:hAnsi="FrankRuehl" w:cs="FrankRuehl"/>
          <w:rtl/>
        </w:rPr>
      </w:pPr>
    </w:p>
    <w:p w14:paraId="6DCF2B69" w14:textId="77777777" w:rsidR="000C484C" w:rsidRPr="000C484C" w:rsidRDefault="000C484C" w:rsidP="000C484C">
      <w:pPr>
        <w:spacing w:before="120" w:after="120" w:line="240" w:lineRule="exact"/>
        <w:ind w:left="283" w:hanging="283"/>
        <w:jc w:val="both"/>
        <w:rPr>
          <w:rFonts w:ascii="FrankRuehl" w:hAnsi="FrankRuehl" w:cs="FrankRuehl"/>
          <w:rtl/>
        </w:rPr>
      </w:pPr>
    </w:p>
    <w:p w14:paraId="3FC14FE2" w14:textId="77777777" w:rsidR="000C484C" w:rsidRPr="000C484C" w:rsidRDefault="000C484C" w:rsidP="000C484C">
      <w:pPr>
        <w:spacing w:before="120" w:after="120" w:line="240" w:lineRule="exact"/>
        <w:ind w:left="283" w:hanging="283"/>
        <w:jc w:val="both"/>
        <w:rPr>
          <w:rFonts w:ascii="FrankRuehl" w:hAnsi="FrankRuehl" w:cs="FrankRuehl"/>
          <w:rtl/>
        </w:rPr>
      </w:pPr>
      <w:r w:rsidRPr="000C484C">
        <w:rPr>
          <w:rFonts w:ascii="FrankRuehl" w:hAnsi="FrankRuehl" w:cs="FrankRuehl"/>
          <w:rtl/>
        </w:rPr>
        <w:t xml:space="preserve">חקיקה שאוזכרה: </w:t>
      </w:r>
    </w:p>
    <w:p w14:paraId="76226AF0" w14:textId="77777777" w:rsidR="000C484C" w:rsidRPr="000C484C" w:rsidRDefault="000C484C" w:rsidP="000C484C">
      <w:pPr>
        <w:spacing w:before="120" w:after="120" w:line="240" w:lineRule="exact"/>
        <w:ind w:left="283" w:hanging="283"/>
        <w:jc w:val="both"/>
        <w:rPr>
          <w:rFonts w:ascii="FrankRuehl" w:hAnsi="FrankRuehl" w:cs="FrankRuehl"/>
          <w:rtl/>
        </w:rPr>
      </w:pPr>
      <w:hyperlink r:id="rId7" w:history="1">
        <w:r w:rsidRPr="000C484C">
          <w:rPr>
            <w:rFonts w:ascii="FrankRuehl" w:hAnsi="FrankRuehl" w:cs="FrankRuehl"/>
            <w:color w:val="0000FF"/>
            <w:rtl/>
          </w:rPr>
          <w:t>חוק העונשין, תשל"ז-1977</w:t>
        </w:r>
      </w:hyperlink>
      <w:r w:rsidRPr="000C484C">
        <w:rPr>
          <w:rFonts w:ascii="FrankRuehl" w:hAnsi="FrankRuehl" w:cs="FrankRuehl"/>
          <w:rtl/>
        </w:rPr>
        <w:t xml:space="preserve">: סע'  </w:t>
      </w:r>
      <w:hyperlink r:id="rId8" w:history="1">
        <w:r w:rsidRPr="000C484C">
          <w:rPr>
            <w:rFonts w:ascii="FrankRuehl" w:hAnsi="FrankRuehl" w:cs="FrankRuehl"/>
            <w:color w:val="0000FF"/>
            <w:rtl/>
          </w:rPr>
          <w:t>34י.</w:t>
        </w:r>
      </w:hyperlink>
      <w:r w:rsidRPr="000C484C">
        <w:rPr>
          <w:rFonts w:ascii="FrankRuehl" w:hAnsi="FrankRuehl" w:cs="FrankRuehl"/>
          <w:rtl/>
        </w:rPr>
        <w:t xml:space="preserve">, </w:t>
      </w:r>
      <w:hyperlink r:id="rId9" w:history="1">
        <w:r w:rsidRPr="000C484C">
          <w:rPr>
            <w:rFonts w:ascii="FrankRuehl" w:hAnsi="FrankRuehl" w:cs="FrankRuehl"/>
            <w:color w:val="0000FF"/>
            <w:rtl/>
          </w:rPr>
          <w:t>40 א</w:t>
        </w:r>
      </w:hyperlink>
      <w:r w:rsidRPr="000C484C">
        <w:rPr>
          <w:rFonts w:ascii="FrankRuehl" w:hAnsi="FrankRuehl" w:cs="FrankRuehl"/>
          <w:rtl/>
        </w:rPr>
        <w:t xml:space="preserve">, </w:t>
      </w:r>
      <w:hyperlink r:id="rId10" w:history="1">
        <w:r w:rsidRPr="000C484C">
          <w:rPr>
            <w:rFonts w:ascii="FrankRuehl" w:hAnsi="FrankRuehl" w:cs="FrankRuehl"/>
            <w:color w:val="0000FF"/>
            <w:rtl/>
          </w:rPr>
          <w:t>144(א)</w:t>
        </w:r>
      </w:hyperlink>
      <w:r w:rsidRPr="000C484C">
        <w:rPr>
          <w:rFonts w:ascii="FrankRuehl" w:hAnsi="FrankRuehl" w:cs="FrankRuehl"/>
          <w:rtl/>
        </w:rPr>
        <w:t xml:space="preserve">, </w:t>
      </w:r>
      <w:hyperlink r:id="rId11" w:history="1">
        <w:r w:rsidRPr="000C484C">
          <w:rPr>
            <w:rFonts w:ascii="FrankRuehl" w:hAnsi="FrankRuehl" w:cs="FrankRuehl"/>
            <w:color w:val="0000FF"/>
            <w:rtl/>
          </w:rPr>
          <w:t>144(ב)</w:t>
        </w:r>
      </w:hyperlink>
      <w:r w:rsidRPr="000C484C">
        <w:rPr>
          <w:rFonts w:ascii="FrankRuehl" w:hAnsi="FrankRuehl" w:cs="FrankRuehl"/>
          <w:rtl/>
        </w:rPr>
        <w:t xml:space="preserve">, </w:t>
      </w:r>
      <w:hyperlink r:id="rId12" w:history="1">
        <w:r w:rsidRPr="000C484C">
          <w:rPr>
            <w:rFonts w:ascii="FrankRuehl" w:hAnsi="FrankRuehl" w:cs="FrankRuehl"/>
            <w:color w:val="0000FF"/>
            <w:rtl/>
          </w:rPr>
          <w:t>פרק ו'</w:t>
        </w:r>
      </w:hyperlink>
    </w:p>
    <w:p w14:paraId="216D713A" w14:textId="77777777" w:rsidR="000C484C" w:rsidRPr="000C484C" w:rsidRDefault="000C484C" w:rsidP="000C484C">
      <w:pPr>
        <w:rPr>
          <w:sz w:val="26"/>
          <w:szCs w:val="26"/>
          <w:rtl/>
        </w:rPr>
      </w:pPr>
      <w:bookmarkStart w:id="3" w:name="LawTable_End"/>
      <w:bookmarkEnd w:id="3"/>
    </w:p>
    <w:p w14:paraId="7E9D713E" w14:textId="77777777" w:rsidR="005A11D0" w:rsidRPr="00F513CF" w:rsidRDefault="005A11D0" w:rsidP="00F513C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11D0" w14:paraId="692E5256" w14:textId="77777777" w:rsidTr="005A11D0">
        <w:trPr>
          <w:trHeight w:val="355"/>
          <w:jc w:val="center"/>
        </w:trPr>
        <w:tc>
          <w:tcPr>
            <w:tcW w:w="8820" w:type="dxa"/>
            <w:tcBorders>
              <w:top w:val="nil"/>
              <w:left w:val="nil"/>
              <w:bottom w:val="nil"/>
              <w:right w:val="nil"/>
            </w:tcBorders>
            <w:shd w:val="clear" w:color="auto" w:fill="auto"/>
          </w:tcPr>
          <w:p w14:paraId="790E5A0C" w14:textId="77777777" w:rsidR="008632AD" w:rsidRPr="008632AD" w:rsidRDefault="008632AD" w:rsidP="008632AD">
            <w:pPr>
              <w:jc w:val="center"/>
              <w:rPr>
                <w:rFonts w:ascii="David" w:hAnsi="David"/>
                <w:b/>
                <w:bCs/>
                <w:sz w:val="32"/>
                <w:szCs w:val="32"/>
                <w:u w:val="single"/>
                <w:rtl/>
              </w:rPr>
            </w:pPr>
            <w:bookmarkStart w:id="4" w:name="PsakDin" w:colFirst="0" w:colLast="0"/>
            <w:bookmarkEnd w:id="0"/>
            <w:r w:rsidRPr="008632AD">
              <w:rPr>
                <w:rFonts w:ascii="David" w:hAnsi="David"/>
                <w:b/>
                <w:bCs/>
                <w:sz w:val="32"/>
                <w:szCs w:val="32"/>
                <w:u w:val="single"/>
                <w:rtl/>
              </w:rPr>
              <w:t>גזר דין</w:t>
            </w:r>
          </w:p>
          <w:p w14:paraId="36A16862" w14:textId="77777777" w:rsidR="005A11D0" w:rsidRPr="008632AD" w:rsidRDefault="005A11D0" w:rsidP="008632AD">
            <w:pPr>
              <w:jc w:val="center"/>
              <w:rPr>
                <w:rFonts w:ascii="David" w:hAnsi="David"/>
                <w:bCs/>
                <w:sz w:val="32"/>
                <w:szCs w:val="32"/>
                <w:u w:val="single"/>
                <w:rtl/>
              </w:rPr>
            </w:pPr>
          </w:p>
        </w:tc>
      </w:tr>
      <w:bookmarkEnd w:id="4"/>
    </w:tbl>
    <w:p w14:paraId="3119AC2C" w14:textId="77777777" w:rsidR="005A11D0" w:rsidRPr="000F2247" w:rsidRDefault="005A11D0" w:rsidP="005A11D0">
      <w:pPr>
        <w:rPr>
          <w:rFonts w:ascii="Arial" w:hAnsi="Arial"/>
          <w:b/>
          <w:bCs/>
          <w:sz w:val="26"/>
          <w:szCs w:val="26"/>
          <w:rtl/>
        </w:rPr>
      </w:pPr>
    </w:p>
    <w:p w14:paraId="40EEE249" w14:textId="77777777" w:rsidR="005A11D0" w:rsidRPr="001832CD" w:rsidRDefault="005A11D0" w:rsidP="005A11D0">
      <w:pPr>
        <w:spacing w:line="360" w:lineRule="auto"/>
        <w:ind w:left="360"/>
        <w:jc w:val="both"/>
        <w:rPr>
          <w:rFonts w:ascii="David" w:eastAsia="David" w:hAnsi="David"/>
          <w:b/>
          <w:bCs/>
          <w:u w:val="single"/>
        </w:rPr>
      </w:pPr>
      <w:r w:rsidRPr="001832CD">
        <w:rPr>
          <w:rFonts w:ascii="David" w:eastAsia="David" w:hAnsi="David"/>
          <w:b/>
          <w:bCs/>
          <w:u w:val="single"/>
          <w:rtl/>
        </w:rPr>
        <w:t>כללי</w:t>
      </w:r>
    </w:p>
    <w:p w14:paraId="276BDD3E" w14:textId="77777777" w:rsidR="005A11D0" w:rsidRPr="001832CD" w:rsidRDefault="005A11D0" w:rsidP="005A11D0">
      <w:pPr>
        <w:spacing w:line="360" w:lineRule="auto"/>
        <w:jc w:val="both"/>
        <w:rPr>
          <w:rFonts w:ascii="David" w:eastAsia="David" w:hAnsi="David"/>
        </w:rPr>
      </w:pPr>
    </w:p>
    <w:p w14:paraId="70135B61" w14:textId="77777777" w:rsidR="005A11D0" w:rsidRPr="001832CD" w:rsidRDefault="005A11D0" w:rsidP="005A11D0">
      <w:pPr>
        <w:numPr>
          <w:ilvl w:val="0"/>
          <w:numId w:val="1"/>
        </w:numPr>
        <w:spacing w:after="160" w:line="360" w:lineRule="auto"/>
        <w:contextualSpacing/>
        <w:jc w:val="both"/>
        <w:rPr>
          <w:rFonts w:ascii="David" w:eastAsia="David" w:hAnsi="David"/>
          <w:rtl/>
        </w:rPr>
      </w:pPr>
      <w:bookmarkStart w:id="5" w:name="ABSTRACT_START"/>
      <w:bookmarkEnd w:id="5"/>
      <w:r w:rsidRPr="001832CD">
        <w:rPr>
          <w:rFonts w:ascii="David" w:eastAsia="David" w:hAnsi="David"/>
          <w:rtl/>
        </w:rPr>
        <w:t xml:space="preserve">הנאשם הודה והורשע בעבירות נשק (החזקה, נשיאה והובלה) – עבירות לפי </w:t>
      </w:r>
      <w:hyperlink r:id="rId13" w:history="1">
        <w:r w:rsidR="00114CAB" w:rsidRPr="00114CAB">
          <w:rPr>
            <w:rStyle w:val="Hyperlink"/>
            <w:rFonts w:ascii="David" w:eastAsia="David" w:hAnsi="David"/>
            <w:rtl/>
          </w:rPr>
          <w:t>סעיפים 144(א)</w:t>
        </w:r>
      </w:hyperlink>
      <w:r w:rsidRPr="001832CD">
        <w:rPr>
          <w:rFonts w:ascii="David" w:eastAsia="David" w:hAnsi="David"/>
          <w:rtl/>
        </w:rPr>
        <w:t xml:space="preserve"> רישא וסיפא + </w:t>
      </w:r>
      <w:hyperlink r:id="rId14" w:history="1">
        <w:r w:rsidR="00114CAB" w:rsidRPr="00114CAB">
          <w:rPr>
            <w:rStyle w:val="Hyperlink"/>
            <w:rFonts w:ascii="David" w:eastAsia="David" w:hAnsi="David"/>
            <w:rtl/>
          </w:rPr>
          <w:t>144(ב)</w:t>
        </w:r>
      </w:hyperlink>
      <w:r w:rsidRPr="001832CD">
        <w:rPr>
          <w:rFonts w:ascii="David" w:eastAsia="David" w:hAnsi="David"/>
          <w:rtl/>
        </w:rPr>
        <w:t xml:space="preserve"> רישא וסיפא ל</w:t>
      </w:r>
      <w:hyperlink r:id="rId15" w:history="1">
        <w:r w:rsidR="008632AD" w:rsidRPr="008632AD">
          <w:rPr>
            <w:rFonts w:ascii="David" w:eastAsia="David" w:hAnsi="David"/>
            <w:color w:val="0000FF"/>
            <w:u w:val="single"/>
            <w:rtl/>
          </w:rPr>
          <w:t>חוק העונשין</w:t>
        </w:r>
      </w:hyperlink>
      <w:r w:rsidRPr="001832CD">
        <w:rPr>
          <w:rFonts w:ascii="David" w:eastAsia="David" w:hAnsi="David"/>
          <w:rtl/>
        </w:rPr>
        <w:t xml:space="preserve">. </w:t>
      </w:r>
    </w:p>
    <w:p w14:paraId="31A5797F" w14:textId="77777777" w:rsidR="005A11D0" w:rsidRPr="001832CD" w:rsidRDefault="005A11D0" w:rsidP="005A11D0">
      <w:pPr>
        <w:spacing w:line="360" w:lineRule="auto"/>
        <w:jc w:val="both"/>
        <w:rPr>
          <w:rFonts w:ascii="David" w:eastAsia="David" w:hAnsi="David"/>
        </w:rPr>
      </w:pPr>
    </w:p>
    <w:p w14:paraId="3432CE49" w14:textId="77777777" w:rsidR="005A11D0" w:rsidRPr="001832CD" w:rsidRDefault="005A11D0" w:rsidP="005A11D0">
      <w:pPr>
        <w:spacing w:line="360" w:lineRule="auto"/>
        <w:ind w:left="425"/>
        <w:jc w:val="both"/>
        <w:rPr>
          <w:rFonts w:ascii="David" w:eastAsia="David" w:hAnsi="David"/>
          <w:b/>
          <w:bCs/>
          <w:u w:val="single"/>
        </w:rPr>
      </w:pPr>
      <w:bookmarkStart w:id="6" w:name="ABSTRACT_END"/>
      <w:bookmarkEnd w:id="6"/>
      <w:r w:rsidRPr="001832CD">
        <w:rPr>
          <w:rFonts w:ascii="David" w:eastAsia="David" w:hAnsi="David"/>
          <w:b/>
          <w:bCs/>
          <w:u w:val="single"/>
          <w:rtl/>
        </w:rPr>
        <w:t>עובדות כתב האישום</w:t>
      </w:r>
    </w:p>
    <w:p w14:paraId="1C20957F" w14:textId="77777777" w:rsidR="005A11D0" w:rsidRPr="00EC0CEB" w:rsidRDefault="005A11D0" w:rsidP="005A11D0">
      <w:pPr>
        <w:pStyle w:val="a9"/>
        <w:numPr>
          <w:ilvl w:val="0"/>
          <w:numId w:val="1"/>
        </w:numPr>
        <w:overflowPunct w:val="0"/>
        <w:autoSpaceDE w:val="0"/>
        <w:autoSpaceDN w:val="0"/>
        <w:spacing w:after="200" w:line="360" w:lineRule="auto"/>
        <w:ind w:right="-142"/>
        <w:jc w:val="both"/>
        <w:rPr>
          <w:rFonts w:ascii="David" w:hAnsi="David"/>
          <w:rtl/>
        </w:rPr>
      </w:pPr>
      <w:r w:rsidRPr="00EC0CEB">
        <w:rPr>
          <w:rFonts w:ascii="David" w:hAnsi="David"/>
          <w:rtl/>
        </w:rPr>
        <w:t>במועד הרלוונטי לכתב אישום זה, התגורר הנאשם בדירה ברחוב אהוד מנור 4/62 בקרית ביאלי</w:t>
      </w:r>
      <w:r w:rsidRPr="00EC0CEB">
        <w:rPr>
          <w:rFonts w:ascii="David" w:hAnsi="David" w:hint="cs"/>
          <w:rtl/>
        </w:rPr>
        <w:t>ק</w:t>
      </w:r>
      <w:r w:rsidRPr="00EC0CEB">
        <w:rPr>
          <w:rFonts w:ascii="David" w:hAnsi="David"/>
          <w:rtl/>
        </w:rPr>
        <w:t xml:space="preserve"> (להלן: "הדירה").  בתאריך 2/12/22 הוצא כנגד הנאשם צו מעצר בבית משפט השלום בבאר-שבע, המורה על מעצרו של הנאשם בכל מקום ובכל עת (להלן: "צו המעצר"). בתאריך 5/12/22 בשעה 12:00 לערך, אותר הנאשם על ידי שוטרים כשהוא הולך בחניון הבניין בו נמצאת הדירה, והוא  נעצר בהתאם לצו המעצר.  בזמן מעצרו החזיק, הוביל ונשא  הנאשם בכיס מעילו בלא רשות על פי דין, אקדח  חצי  אוטומטי בקוטר 6.35 מ"מ, מודל 950</w:t>
      </w:r>
      <w:r w:rsidRPr="00EC0CEB">
        <w:rPr>
          <w:rFonts w:ascii="David" w:hAnsi="David"/>
        </w:rPr>
        <w:t>B</w:t>
      </w:r>
      <w:r w:rsidRPr="00EC0CEB">
        <w:rPr>
          <w:rFonts w:ascii="David" w:hAnsi="David"/>
          <w:rtl/>
        </w:rPr>
        <w:t xml:space="preserve"> מתוצרת חברת ברטה נושא מספר טבוע 88006</w:t>
      </w:r>
      <w:r w:rsidRPr="00EC0CEB">
        <w:rPr>
          <w:rFonts w:ascii="David" w:hAnsi="David"/>
        </w:rPr>
        <w:t>E</w:t>
      </w:r>
      <w:r w:rsidRPr="00EC0CEB">
        <w:rPr>
          <w:rFonts w:ascii="David" w:hAnsi="David"/>
          <w:rtl/>
        </w:rPr>
        <w:t xml:space="preserve"> אשר יורה ובכוחו להמית אדם, עם מחסנית </w:t>
      </w:r>
      <w:r w:rsidRPr="00EC0CEB">
        <w:rPr>
          <w:rFonts w:ascii="David" w:hAnsi="David"/>
          <w:rtl/>
        </w:rPr>
        <w:lastRenderedPageBreak/>
        <w:t xml:space="preserve">תואמת טעונה ב-5 כדורי תחמושת (להלן: "הנשק"). עוד החזיק הנאשם בדירה בלא רשות על פי דין 34 כדורי תחמושת בקוטר 9 מ"מ וכדור נוסף בקוטר 6.35 מ"מ.  </w:t>
      </w:r>
    </w:p>
    <w:p w14:paraId="2913EDD9" w14:textId="77777777" w:rsidR="005A11D0" w:rsidRPr="001832CD" w:rsidRDefault="005A11D0" w:rsidP="005A11D0">
      <w:pPr>
        <w:pStyle w:val="a9"/>
        <w:spacing w:line="360" w:lineRule="auto"/>
        <w:jc w:val="both"/>
        <w:rPr>
          <w:rFonts w:ascii="David" w:hAnsi="David"/>
        </w:rPr>
      </w:pPr>
      <w:r w:rsidRPr="00422E53">
        <w:rPr>
          <w:rFonts w:ascii="David" w:hAnsi="David"/>
          <w:rtl/>
        </w:rPr>
        <w:t>במעשיו המתוארים לעיל, הנאשם החזיק, נשא והוביל נשק, אביזר לנ</w:t>
      </w:r>
      <w:r>
        <w:rPr>
          <w:rFonts w:ascii="David" w:hAnsi="David"/>
          <w:rtl/>
        </w:rPr>
        <w:t>שק ותחמושת, בלא רשות על פי דין.</w:t>
      </w:r>
    </w:p>
    <w:p w14:paraId="7C9866F5" w14:textId="77777777" w:rsidR="005A11D0" w:rsidRPr="00EC0CEB" w:rsidRDefault="005A11D0" w:rsidP="005A11D0">
      <w:pPr>
        <w:overflowPunct w:val="0"/>
        <w:autoSpaceDE w:val="0"/>
        <w:autoSpaceDN w:val="0"/>
        <w:spacing w:after="200" w:line="360" w:lineRule="auto"/>
        <w:ind w:left="360" w:right="-142"/>
        <w:contextualSpacing/>
        <w:jc w:val="both"/>
        <w:rPr>
          <w:rFonts w:ascii="David" w:hAnsi="David"/>
          <w:sz w:val="16"/>
          <w:szCs w:val="16"/>
        </w:rPr>
      </w:pPr>
    </w:p>
    <w:p w14:paraId="7DB2CFFE" w14:textId="77777777" w:rsidR="005A11D0" w:rsidRPr="001832CD" w:rsidRDefault="005A11D0" w:rsidP="005A11D0">
      <w:pPr>
        <w:spacing w:after="200" w:line="360" w:lineRule="auto"/>
        <w:ind w:left="360"/>
        <w:contextualSpacing/>
        <w:jc w:val="both"/>
        <w:rPr>
          <w:rFonts w:ascii="David" w:eastAsia="David" w:hAnsi="David"/>
          <w:b/>
          <w:bCs/>
          <w:u w:val="single"/>
        </w:rPr>
      </w:pPr>
      <w:r w:rsidRPr="001832CD">
        <w:rPr>
          <w:rFonts w:ascii="David" w:eastAsia="David" w:hAnsi="David"/>
          <w:b/>
          <w:bCs/>
          <w:u w:val="single"/>
          <w:rtl/>
        </w:rPr>
        <w:t>ראיות המאשימה לעונש</w:t>
      </w:r>
    </w:p>
    <w:p w14:paraId="4FE24161" w14:textId="77777777" w:rsidR="005A11D0" w:rsidRPr="001832CD" w:rsidRDefault="005A11D0" w:rsidP="005A11D0">
      <w:pPr>
        <w:numPr>
          <w:ilvl w:val="0"/>
          <w:numId w:val="1"/>
        </w:numPr>
        <w:spacing w:after="200" w:line="360" w:lineRule="auto"/>
        <w:contextualSpacing/>
        <w:jc w:val="both"/>
        <w:rPr>
          <w:rFonts w:ascii="David" w:eastAsia="David" w:hAnsi="David"/>
          <w:b/>
          <w:bCs/>
          <w:u w:val="single"/>
          <w:rtl/>
        </w:rPr>
      </w:pPr>
      <w:r>
        <w:rPr>
          <w:rFonts w:ascii="David" w:eastAsia="David" w:hAnsi="David" w:hint="cs"/>
          <w:rtl/>
        </w:rPr>
        <w:t xml:space="preserve">הוגש גיליון </w:t>
      </w:r>
      <w:r>
        <w:rPr>
          <w:rFonts w:ascii="David" w:eastAsia="David" w:hAnsi="David"/>
          <w:rtl/>
        </w:rPr>
        <w:t xml:space="preserve">רישום פלילי </w:t>
      </w:r>
      <w:r>
        <w:rPr>
          <w:rFonts w:ascii="David" w:eastAsia="David" w:hAnsi="David" w:hint="cs"/>
          <w:rtl/>
        </w:rPr>
        <w:t>של הנאשם.</w:t>
      </w:r>
    </w:p>
    <w:p w14:paraId="35F2F4B0" w14:textId="77777777" w:rsidR="005A11D0" w:rsidRPr="00EC0CEB" w:rsidRDefault="005A11D0" w:rsidP="005A11D0">
      <w:pPr>
        <w:spacing w:after="200" w:line="360" w:lineRule="auto"/>
        <w:ind w:left="360"/>
        <w:contextualSpacing/>
        <w:jc w:val="both"/>
        <w:rPr>
          <w:rFonts w:ascii="David" w:eastAsia="David" w:hAnsi="David"/>
          <w:b/>
          <w:bCs/>
          <w:sz w:val="12"/>
          <w:szCs w:val="12"/>
          <w:u w:val="single"/>
          <w:rtl/>
        </w:rPr>
      </w:pPr>
    </w:p>
    <w:p w14:paraId="44A1E498" w14:textId="77777777" w:rsidR="005A11D0" w:rsidRDefault="005A11D0" w:rsidP="005A11D0">
      <w:pPr>
        <w:spacing w:after="200" w:line="360" w:lineRule="auto"/>
        <w:ind w:left="360"/>
        <w:contextualSpacing/>
        <w:jc w:val="both"/>
        <w:rPr>
          <w:rFonts w:ascii="David" w:eastAsia="David" w:hAnsi="David"/>
          <w:b/>
          <w:bCs/>
          <w:u w:val="single"/>
          <w:rtl/>
        </w:rPr>
      </w:pPr>
    </w:p>
    <w:p w14:paraId="11CB8133" w14:textId="77777777" w:rsidR="005A11D0" w:rsidRDefault="005A11D0" w:rsidP="005A11D0">
      <w:pPr>
        <w:spacing w:after="200" w:line="360" w:lineRule="auto"/>
        <w:ind w:left="360"/>
        <w:contextualSpacing/>
        <w:jc w:val="both"/>
        <w:rPr>
          <w:rFonts w:ascii="David" w:eastAsia="David" w:hAnsi="David"/>
          <w:b/>
          <w:bCs/>
          <w:u w:val="single"/>
          <w:rtl/>
        </w:rPr>
      </w:pPr>
    </w:p>
    <w:p w14:paraId="47283D2C" w14:textId="77777777" w:rsidR="005A11D0" w:rsidRPr="001832CD" w:rsidRDefault="005A11D0" w:rsidP="005A11D0">
      <w:pPr>
        <w:spacing w:after="200" w:line="360" w:lineRule="auto"/>
        <w:ind w:left="360"/>
        <w:contextualSpacing/>
        <w:jc w:val="both"/>
        <w:rPr>
          <w:rFonts w:ascii="David" w:eastAsia="David" w:hAnsi="David"/>
          <w:b/>
          <w:bCs/>
          <w:u w:val="single"/>
          <w:rtl/>
        </w:rPr>
      </w:pPr>
      <w:r w:rsidRPr="001832CD">
        <w:rPr>
          <w:rFonts w:ascii="David" w:eastAsia="David" w:hAnsi="David"/>
          <w:b/>
          <w:bCs/>
          <w:u w:val="single"/>
          <w:rtl/>
        </w:rPr>
        <w:t>עיקרי טיעוני המאשימה לעונש</w:t>
      </w:r>
    </w:p>
    <w:p w14:paraId="6DBF8AF0" w14:textId="77777777" w:rsidR="005A11D0" w:rsidRPr="001832CD" w:rsidRDefault="005A11D0" w:rsidP="005A11D0">
      <w:pPr>
        <w:spacing w:line="360" w:lineRule="auto"/>
        <w:ind w:firstLine="360"/>
        <w:jc w:val="both"/>
        <w:rPr>
          <w:rFonts w:ascii="David" w:eastAsia="David" w:hAnsi="David"/>
          <w:b/>
          <w:bCs/>
          <w:u w:val="single"/>
        </w:rPr>
      </w:pPr>
    </w:p>
    <w:p w14:paraId="6841FDBD" w14:textId="77777777" w:rsidR="005A11D0" w:rsidRPr="001832CD" w:rsidRDefault="005A11D0" w:rsidP="005A11D0">
      <w:pPr>
        <w:numPr>
          <w:ilvl w:val="0"/>
          <w:numId w:val="1"/>
        </w:numPr>
        <w:spacing w:after="160" w:line="360" w:lineRule="auto"/>
        <w:contextualSpacing/>
        <w:jc w:val="both"/>
        <w:rPr>
          <w:rFonts w:ascii="David" w:eastAsia="David" w:hAnsi="David"/>
          <w:b/>
          <w:bCs/>
          <w:u w:val="single"/>
          <w:rtl/>
        </w:rPr>
      </w:pPr>
      <w:r w:rsidRPr="001832CD">
        <w:rPr>
          <w:rFonts w:ascii="David" w:eastAsia="Calibri" w:hAnsi="David"/>
          <w:rtl/>
        </w:rPr>
        <w:t xml:space="preserve">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ועל חיי אדם, שכן זמינות הנשק תורמת להגדלת מעגל האלימות ולתוצאות הקשות הנובעות מכך. </w:t>
      </w:r>
      <w:r w:rsidRPr="001832CD">
        <w:rPr>
          <w:rFonts w:ascii="David" w:hAnsi="David"/>
          <w:rtl/>
        </w:rPr>
        <w:t>הפנתה לתיקון 140 ל</w:t>
      </w:r>
      <w:hyperlink r:id="rId16" w:history="1">
        <w:r w:rsidR="008632AD" w:rsidRPr="008632AD">
          <w:rPr>
            <w:rFonts w:ascii="David" w:hAnsi="David"/>
            <w:color w:val="0000FF"/>
            <w:u w:val="single"/>
            <w:rtl/>
          </w:rPr>
          <w:t>חוק העונשין</w:t>
        </w:r>
      </w:hyperlink>
      <w:r w:rsidRPr="001832CD">
        <w:rPr>
          <w:rFonts w:ascii="David" w:hAnsi="David"/>
          <w:rtl/>
        </w:rPr>
        <w:t xml:space="preserve"> (עונש מינימום) המלמד על עמדתו של המחוקק ועל הצורך להחמיר בעבירות נשק, </w:t>
      </w:r>
      <w:r w:rsidRPr="001832CD">
        <w:rPr>
          <w:rFonts w:ascii="David" w:eastAsia="Calibri" w:hAnsi="David"/>
          <w:rtl/>
        </w:rPr>
        <w:t>בכלל זה הפנתה להנחיית פרקליט המדינה בדבר מדיניות הענישה המחמירה בעבירות נשק והמאמץ התביעתי להביא לצמצום תופעת עבירות הנשק. בכל הקשור לנסיבות ביצוע העבירות, הדגישה את העובדה כי בביתו של הנאשם נמצאו 35 כדורים, כאשר רק כדור אחד</w:t>
      </w:r>
      <w:r>
        <w:rPr>
          <w:rFonts w:ascii="David" w:eastAsia="Calibri" w:hAnsi="David"/>
          <w:rtl/>
        </w:rPr>
        <w:t xml:space="preserve"> נמצא כמתאים לאקדח אותו הוא נשא</w:t>
      </w:r>
      <w:r>
        <w:rPr>
          <w:rFonts w:ascii="David" w:eastAsia="Calibri" w:hAnsi="David" w:hint="cs"/>
          <w:rtl/>
        </w:rPr>
        <w:t>.</w:t>
      </w:r>
      <w:r w:rsidRPr="001832CD">
        <w:rPr>
          <w:rFonts w:ascii="David" w:eastAsia="Calibri" w:hAnsi="David"/>
          <w:rtl/>
        </w:rPr>
        <w:t xml:space="preserve"> הפנתה לעובדה כי הנאשם</w:t>
      </w:r>
      <w:r>
        <w:rPr>
          <w:rFonts w:ascii="David" w:eastAsia="Calibri" w:hAnsi="David"/>
          <w:rtl/>
        </w:rPr>
        <w:t xml:space="preserve"> ביצע את העבירות חודשים ארוכים </w:t>
      </w:r>
      <w:r>
        <w:rPr>
          <w:rFonts w:ascii="David" w:eastAsia="Calibri" w:hAnsi="David" w:hint="cs"/>
          <w:rtl/>
        </w:rPr>
        <w:t>לאחר</w:t>
      </w:r>
      <w:r w:rsidRPr="001832CD">
        <w:rPr>
          <w:rFonts w:ascii="David" w:eastAsia="Calibri" w:hAnsi="David"/>
          <w:rtl/>
        </w:rPr>
        <w:t xml:space="preserve"> האירוע</w:t>
      </w:r>
      <w:r>
        <w:rPr>
          <w:rFonts w:ascii="David" w:eastAsia="Calibri" w:hAnsi="David" w:hint="cs"/>
          <w:rtl/>
        </w:rPr>
        <w:t xml:space="preserve"> בו נורה,  וגם אם חשש לחייו ועבר מספר </w:t>
      </w:r>
      <w:r w:rsidRPr="001832CD">
        <w:rPr>
          <w:rFonts w:ascii="David" w:eastAsia="Calibri" w:hAnsi="David"/>
          <w:rtl/>
        </w:rPr>
        <w:t xml:space="preserve"> דירות, </w:t>
      </w:r>
      <w:r>
        <w:rPr>
          <w:rFonts w:ascii="David" w:eastAsia="Calibri" w:hAnsi="David" w:hint="cs"/>
          <w:rtl/>
        </w:rPr>
        <w:t xml:space="preserve">לא היה בכך כדי להצדיק החזקת אקדח שלא כדין, והיה עליו לפנות למשטרה. עוד הדגישה כי </w:t>
      </w:r>
      <w:r w:rsidRPr="001832CD">
        <w:rPr>
          <w:rFonts w:ascii="David" w:eastAsia="Calibri" w:hAnsi="David"/>
          <w:rtl/>
        </w:rPr>
        <w:t xml:space="preserve">דובר </w:t>
      </w:r>
      <w:r>
        <w:rPr>
          <w:rFonts w:ascii="David" w:eastAsia="Calibri" w:hAnsi="David"/>
          <w:rtl/>
        </w:rPr>
        <w:t xml:space="preserve">בנאשם </w:t>
      </w:r>
      <w:r>
        <w:rPr>
          <w:rFonts w:ascii="David" w:eastAsia="Calibri" w:hAnsi="David" w:hint="cs"/>
          <w:rtl/>
        </w:rPr>
        <w:t xml:space="preserve">שאינו מיומן בשימוש בנשק </w:t>
      </w:r>
      <w:r w:rsidRPr="001832CD">
        <w:rPr>
          <w:rFonts w:ascii="David" w:eastAsia="Calibri" w:hAnsi="David"/>
          <w:rtl/>
        </w:rPr>
        <w:t>ואין לו הכשרה להחזקת</w:t>
      </w:r>
      <w:r>
        <w:rPr>
          <w:rFonts w:ascii="David" w:eastAsia="Calibri" w:hAnsi="David" w:hint="cs"/>
          <w:rtl/>
        </w:rPr>
        <w:t xml:space="preserve">ו. </w:t>
      </w:r>
      <w:r w:rsidRPr="001832CD">
        <w:rPr>
          <w:rFonts w:ascii="David" w:eastAsia="Calibri" w:hAnsi="David"/>
          <w:rtl/>
        </w:rPr>
        <w:t>בהתאם, ביקשה לדחות את טענה ההגנה לקרבה לסייג לאחריות פלילית</w:t>
      </w:r>
      <w:r>
        <w:rPr>
          <w:rFonts w:ascii="David" w:eastAsia="Calibri" w:hAnsi="David" w:hint="cs"/>
          <w:rtl/>
        </w:rPr>
        <w:t xml:space="preserve"> מסוג "הגנה עצמית"</w:t>
      </w:r>
      <w:r w:rsidRPr="001832CD">
        <w:rPr>
          <w:rFonts w:ascii="David" w:eastAsia="Calibri" w:hAnsi="David"/>
          <w:rtl/>
        </w:rPr>
        <w:t xml:space="preserve">, </w:t>
      </w:r>
      <w:r>
        <w:rPr>
          <w:rFonts w:ascii="David" w:eastAsia="Calibri" w:hAnsi="David" w:hint="cs"/>
          <w:rtl/>
        </w:rPr>
        <w:t>אחרת יהווה הדבר עידוד לביצוע עבירות דומות</w:t>
      </w:r>
      <w:r w:rsidRPr="001832CD">
        <w:rPr>
          <w:rFonts w:ascii="David" w:eastAsia="Calibri" w:hAnsi="David"/>
          <w:rtl/>
        </w:rPr>
        <w:t xml:space="preserve">. אשר לנסיבות שאינן קשורות בביצוע העבירות, הפנתה להודאתו של הנאשם, ולעברו הפלילי </w:t>
      </w:r>
      <w:r>
        <w:rPr>
          <w:rFonts w:ascii="David" w:eastAsia="Calibri" w:hAnsi="David"/>
          <w:rtl/>
        </w:rPr>
        <w:t xml:space="preserve">הכולל 4 הרשעות </w:t>
      </w:r>
      <w:r>
        <w:rPr>
          <w:rFonts w:ascii="David" w:eastAsia="Calibri" w:hAnsi="David" w:hint="cs"/>
          <w:rtl/>
        </w:rPr>
        <w:t>ב</w:t>
      </w:r>
      <w:r>
        <w:rPr>
          <w:rFonts w:ascii="David" w:eastAsia="Calibri" w:hAnsi="David"/>
          <w:rtl/>
        </w:rPr>
        <w:t>עבירות סמים</w:t>
      </w:r>
      <w:r>
        <w:rPr>
          <w:rFonts w:ascii="David" w:eastAsia="Calibri" w:hAnsi="David" w:hint="cs"/>
          <w:rtl/>
        </w:rPr>
        <w:t xml:space="preserve"> ו</w:t>
      </w:r>
      <w:r w:rsidRPr="001832CD">
        <w:rPr>
          <w:rFonts w:ascii="David" w:eastAsia="Calibri" w:hAnsi="David"/>
          <w:rtl/>
        </w:rPr>
        <w:t xml:space="preserve">רכוש, </w:t>
      </w:r>
      <w:r>
        <w:rPr>
          <w:rFonts w:ascii="David" w:eastAsia="Calibri" w:hAnsi="David" w:hint="cs"/>
          <w:rtl/>
        </w:rPr>
        <w:t xml:space="preserve">ולכך שריצה בעברו שלושה </w:t>
      </w:r>
      <w:r w:rsidRPr="001832CD">
        <w:rPr>
          <w:rFonts w:ascii="David" w:eastAsia="Calibri" w:hAnsi="David"/>
          <w:rtl/>
        </w:rPr>
        <w:t xml:space="preserve"> מאסרים</w:t>
      </w:r>
      <w:r>
        <w:rPr>
          <w:rFonts w:ascii="David" w:eastAsia="Calibri" w:hAnsi="David" w:hint="cs"/>
          <w:rtl/>
        </w:rPr>
        <w:t xml:space="preserve"> בפועל</w:t>
      </w:r>
      <w:r w:rsidRPr="001832CD">
        <w:rPr>
          <w:rFonts w:ascii="David" w:eastAsia="Calibri" w:hAnsi="David"/>
          <w:rtl/>
        </w:rPr>
        <w:t xml:space="preserve">. בכל הקשור למדיניות הענישה, הפנתה לפסיקה רלוונטית וטענה למתחם עונש הולם אשר נע בין 2.5 ועד 4.5 </w:t>
      </w:r>
      <w:r>
        <w:rPr>
          <w:rFonts w:ascii="David" w:eastAsia="Calibri" w:hAnsi="David" w:hint="cs"/>
          <w:rtl/>
        </w:rPr>
        <w:t xml:space="preserve">שנות </w:t>
      </w:r>
      <w:r w:rsidRPr="001832CD">
        <w:rPr>
          <w:rFonts w:ascii="David" w:eastAsia="Calibri" w:hAnsi="David"/>
          <w:rtl/>
        </w:rPr>
        <w:t xml:space="preserve">מאסר בפועל לצד ענישה נלווית. לאור כל האמור לעיל, ביקשה למקם את עונשו של הנאשם ברף הבינוני של המתחם. </w:t>
      </w:r>
    </w:p>
    <w:p w14:paraId="46B032DF" w14:textId="77777777" w:rsidR="005A11D0" w:rsidRPr="00EC0CEB" w:rsidRDefault="005A11D0" w:rsidP="005A11D0">
      <w:pPr>
        <w:spacing w:line="360" w:lineRule="auto"/>
        <w:ind w:left="720"/>
        <w:contextualSpacing/>
        <w:jc w:val="both"/>
        <w:rPr>
          <w:rFonts w:ascii="David" w:eastAsia="David" w:hAnsi="David"/>
          <w:b/>
          <w:bCs/>
          <w:sz w:val="14"/>
          <w:szCs w:val="14"/>
          <w:u w:val="single"/>
        </w:rPr>
      </w:pPr>
    </w:p>
    <w:p w14:paraId="709C6E79" w14:textId="77777777" w:rsidR="005A11D0" w:rsidRPr="001832CD" w:rsidRDefault="005A11D0" w:rsidP="005A11D0">
      <w:pPr>
        <w:spacing w:line="360" w:lineRule="auto"/>
        <w:ind w:left="360"/>
        <w:jc w:val="both"/>
        <w:rPr>
          <w:rFonts w:ascii="David" w:eastAsia="David" w:hAnsi="David"/>
          <w:b/>
          <w:bCs/>
          <w:u w:val="single"/>
        </w:rPr>
      </w:pPr>
      <w:r w:rsidRPr="001832CD">
        <w:rPr>
          <w:rFonts w:ascii="David" w:eastAsia="David" w:hAnsi="David"/>
          <w:b/>
          <w:bCs/>
          <w:u w:val="single"/>
          <w:rtl/>
        </w:rPr>
        <w:t>עיקרי טיעוני הנאשם לעונש</w:t>
      </w:r>
    </w:p>
    <w:p w14:paraId="3C471384" w14:textId="77777777" w:rsidR="005A11D0" w:rsidRPr="00EC0CEB" w:rsidRDefault="005A11D0" w:rsidP="005A11D0">
      <w:pPr>
        <w:spacing w:line="360" w:lineRule="auto"/>
        <w:ind w:left="360"/>
        <w:jc w:val="both"/>
        <w:rPr>
          <w:rFonts w:ascii="David" w:eastAsia="David" w:hAnsi="David"/>
          <w:b/>
          <w:bCs/>
          <w:sz w:val="14"/>
          <w:szCs w:val="14"/>
          <w:u w:val="single"/>
        </w:rPr>
      </w:pPr>
    </w:p>
    <w:p w14:paraId="0DC476AA" w14:textId="77777777" w:rsidR="005A11D0" w:rsidRPr="00273982" w:rsidRDefault="005A11D0" w:rsidP="005A11D0">
      <w:pPr>
        <w:numPr>
          <w:ilvl w:val="0"/>
          <w:numId w:val="1"/>
        </w:numPr>
        <w:spacing w:after="160" w:line="360" w:lineRule="auto"/>
        <w:contextualSpacing/>
        <w:jc w:val="both"/>
        <w:rPr>
          <w:rFonts w:ascii="David" w:eastAsia="Calibri" w:hAnsi="David"/>
          <w:rtl/>
        </w:rPr>
      </w:pPr>
      <w:r w:rsidRPr="00273982">
        <w:rPr>
          <w:rFonts w:ascii="David" w:eastAsia="Calibri" w:hAnsi="David"/>
          <w:rtl/>
        </w:rPr>
        <w:t xml:space="preserve">ב"כ הנאשם, הפנה להודאתו המידית של הנאשם, </w:t>
      </w:r>
      <w:r w:rsidRPr="00273982">
        <w:rPr>
          <w:rFonts w:ascii="David" w:eastAsia="Calibri" w:hAnsi="David" w:hint="cs"/>
          <w:rtl/>
        </w:rPr>
        <w:t>ל</w:t>
      </w:r>
      <w:r w:rsidRPr="00273982">
        <w:rPr>
          <w:rFonts w:ascii="David" w:eastAsia="Calibri" w:hAnsi="David"/>
          <w:rtl/>
        </w:rPr>
        <w:t xml:space="preserve">קבלת האחריות, </w:t>
      </w:r>
      <w:r w:rsidRPr="00273982">
        <w:rPr>
          <w:rFonts w:ascii="David" w:eastAsia="Calibri" w:hAnsi="David" w:hint="cs"/>
          <w:rtl/>
        </w:rPr>
        <w:t>ל</w:t>
      </w:r>
      <w:r w:rsidRPr="00273982">
        <w:rPr>
          <w:rFonts w:ascii="David" w:eastAsia="Calibri" w:hAnsi="David"/>
          <w:rtl/>
        </w:rPr>
        <w:t>הבעת החרטה, ו</w:t>
      </w:r>
      <w:r w:rsidRPr="00273982">
        <w:rPr>
          <w:rFonts w:ascii="David" w:eastAsia="Calibri" w:hAnsi="David" w:hint="cs"/>
          <w:rtl/>
        </w:rPr>
        <w:t>ל</w:t>
      </w:r>
      <w:r w:rsidRPr="00273982">
        <w:rPr>
          <w:rFonts w:ascii="David" w:eastAsia="Calibri" w:hAnsi="David"/>
          <w:rtl/>
        </w:rPr>
        <w:t xml:space="preserve">חיסכון בזמן שיפוטי יקר. עוד הפנה לנסיבותיו האישיות של הנאשם, בין היתר לעובדה כי </w:t>
      </w:r>
      <w:r w:rsidRPr="00273982">
        <w:rPr>
          <w:rFonts w:ascii="David" w:eastAsia="Calibri" w:hAnsi="David" w:hint="cs"/>
          <w:rtl/>
        </w:rPr>
        <w:t xml:space="preserve">הנאשם </w:t>
      </w:r>
      <w:r w:rsidRPr="00273982">
        <w:rPr>
          <w:rFonts w:ascii="David" w:eastAsia="Calibri" w:hAnsi="David"/>
          <w:rtl/>
        </w:rPr>
        <w:t xml:space="preserve">שירת בצבא, סובל ממצב הרפואי קשה </w:t>
      </w:r>
      <w:r w:rsidRPr="00273982">
        <w:rPr>
          <w:rFonts w:ascii="David" w:eastAsia="Calibri" w:hAnsi="David" w:hint="cs"/>
          <w:rtl/>
        </w:rPr>
        <w:t>לאחר שנורה ו</w:t>
      </w:r>
      <w:r w:rsidRPr="00273982">
        <w:rPr>
          <w:rFonts w:ascii="David" w:eastAsia="Calibri" w:hAnsi="David"/>
          <w:rtl/>
        </w:rPr>
        <w:t xml:space="preserve">מתהלך על קביים. הדגיש את מאמצי הנאשם לחזור לחיים נורמטיביים, בין היתר </w:t>
      </w:r>
      <w:r w:rsidRPr="00273982">
        <w:rPr>
          <w:rFonts w:ascii="David" w:eastAsia="Calibri" w:hAnsi="David" w:hint="cs"/>
          <w:rtl/>
        </w:rPr>
        <w:t>לעובדה ש</w:t>
      </w:r>
      <w:r w:rsidRPr="00273982">
        <w:rPr>
          <w:rFonts w:ascii="David" w:eastAsia="Calibri" w:hAnsi="David"/>
          <w:rtl/>
        </w:rPr>
        <w:t xml:space="preserve">החל לעבוד בביטוח לאחר </w:t>
      </w:r>
      <w:r w:rsidRPr="00273982">
        <w:rPr>
          <w:rFonts w:ascii="David" w:eastAsia="Calibri" w:hAnsi="David"/>
          <w:rtl/>
        </w:rPr>
        <w:lastRenderedPageBreak/>
        <w:t xml:space="preserve">שחרורו מהכלא.  בכל הקשור לנסיבות ביצוע העבירות, ציין כי מדובר באקדח קטן שהנאשם נשא אותו לתקופה קצרה למטרות הגנתיות, כאשר זה נרכש יום קודם לתפיסתו על ידי המשטרה, ורכישתו בוצעה כמוצא אחרון של הנאשם להגן על עצמו, לאחר שעבר מספר דירות, נשרף ביתו, איימו על חייו, בוצע מרדף אחריו, ואף הועבר אליו </w:t>
      </w:r>
      <w:r w:rsidRPr="00273982">
        <w:rPr>
          <w:rFonts w:ascii="David" w:eastAsia="Calibri" w:hAnsi="David" w:hint="cs"/>
          <w:rtl/>
        </w:rPr>
        <w:t xml:space="preserve">על ידי המשטרה </w:t>
      </w:r>
      <w:r w:rsidRPr="00273982">
        <w:rPr>
          <w:rFonts w:ascii="David" w:eastAsia="Calibri" w:hAnsi="David"/>
          <w:rtl/>
        </w:rPr>
        <w:t>מידע מודיעיני</w:t>
      </w:r>
      <w:r w:rsidRPr="00273982">
        <w:rPr>
          <w:rFonts w:ascii="David" w:eastAsia="Calibri" w:hAnsi="David" w:hint="cs"/>
          <w:rtl/>
        </w:rPr>
        <w:t xml:space="preserve"> לפיו קיימת כוונה לפגוע בו ובמשפחתו. הדגיש,  כי מדובר בנסיבות המצביעות על כך שהנאשם היה נתון ב</w:t>
      </w:r>
      <w:r w:rsidRPr="00273982">
        <w:rPr>
          <w:rFonts w:ascii="David" w:eastAsia="Calibri" w:hAnsi="David"/>
          <w:rtl/>
        </w:rPr>
        <w:t>סכנה</w:t>
      </w:r>
      <w:r w:rsidRPr="00273982">
        <w:rPr>
          <w:rFonts w:ascii="David" w:eastAsia="Calibri" w:hAnsi="David" w:hint="cs"/>
          <w:rtl/>
        </w:rPr>
        <w:t xml:space="preserve"> ממשית</w:t>
      </w:r>
      <w:r w:rsidRPr="00273982">
        <w:rPr>
          <w:rFonts w:ascii="David" w:eastAsia="Calibri" w:hAnsi="David"/>
          <w:rtl/>
        </w:rPr>
        <w:t xml:space="preserve"> ו</w:t>
      </w:r>
      <w:r w:rsidRPr="00273982">
        <w:rPr>
          <w:rFonts w:ascii="David" w:eastAsia="Calibri" w:hAnsi="David" w:hint="cs"/>
          <w:rtl/>
        </w:rPr>
        <w:t>ב</w:t>
      </w:r>
      <w:r w:rsidRPr="00273982">
        <w:rPr>
          <w:rFonts w:ascii="David" w:eastAsia="Calibri" w:hAnsi="David"/>
          <w:rtl/>
        </w:rPr>
        <w:t xml:space="preserve">איום מוחשי </w:t>
      </w:r>
      <w:r w:rsidRPr="00273982">
        <w:rPr>
          <w:rFonts w:ascii="David" w:eastAsia="Calibri" w:hAnsi="David" w:hint="cs"/>
          <w:rtl/>
        </w:rPr>
        <w:t>ע</w:t>
      </w:r>
      <w:r w:rsidRPr="00273982">
        <w:rPr>
          <w:rFonts w:ascii="David" w:eastAsia="Calibri" w:hAnsi="David"/>
          <w:rtl/>
        </w:rPr>
        <w:t>ל</w:t>
      </w:r>
      <w:r w:rsidRPr="00273982">
        <w:rPr>
          <w:rFonts w:ascii="David" w:eastAsia="Calibri" w:hAnsi="David" w:hint="cs"/>
          <w:rtl/>
        </w:rPr>
        <w:t xml:space="preserve"> </w:t>
      </w:r>
      <w:r w:rsidRPr="00273982">
        <w:rPr>
          <w:rFonts w:ascii="David" w:eastAsia="Calibri" w:hAnsi="David"/>
          <w:rtl/>
        </w:rPr>
        <w:t xml:space="preserve">חייו, </w:t>
      </w:r>
      <w:r w:rsidRPr="00273982">
        <w:rPr>
          <w:rFonts w:ascii="David" w:eastAsia="Calibri" w:hAnsi="David" w:hint="cs"/>
          <w:rtl/>
        </w:rPr>
        <w:t xml:space="preserve">כאשר </w:t>
      </w:r>
      <w:r w:rsidRPr="00273982">
        <w:rPr>
          <w:rFonts w:ascii="David" w:eastAsia="Calibri" w:hAnsi="David"/>
          <w:rtl/>
        </w:rPr>
        <w:t xml:space="preserve">המשטרה ידעה על </w:t>
      </w:r>
      <w:r w:rsidRPr="00273982">
        <w:rPr>
          <w:rFonts w:ascii="David" w:eastAsia="Calibri" w:hAnsi="David" w:hint="cs"/>
          <w:rtl/>
        </w:rPr>
        <w:t xml:space="preserve">כך </w:t>
      </w:r>
      <w:r w:rsidRPr="00273982">
        <w:rPr>
          <w:rFonts w:ascii="David" w:eastAsia="Calibri" w:hAnsi="David"/>
          <w:rtl/>
        </w:rPr>
        <w:t xml:space="preserve">ולא פעלה לחקור את </w:t>
      </w:r>
      <w:r w:rsidRPr="00273982">
        <w:rPr>
          <w:rFonts w:ascii="David" w:eastAsia="Calibri" w:hAnsi="David" w:hint="cs"/>
          <w:rtl/>
        </w:rPr>
        <w:t xml:space="preserve">אותם </w:t>
      </w:r>
      <w:r w:rsidRPr="00273982">
        <w:rPr>
          <w:rFonts w:ascii="David" w:eastAsia="Calibri" w:hAnsi="David"/>
          <w:rtl/>
        </w:rPr>
        <w:t>האירועים כנדרש</w:t>
      </w:r>
      <w:r w:rsidRPr="00273982">
        <w:rPr>
          <w:rFonts w:ascii="David" w:eastAsia="Calibri" w:hAnsi="David" w:hint="cs"/>
          <w:rtl/>
        </w:rPr>
        <w:t>.</w:t>
      </w:r>
      <w:r w:rsidRPr="00273982">
        <w:rPr>
          <w:rFonts w:ascii="David" w:eastAsia="Calibri" w:hAnsi="David"/>
          <w:rtl/>
        </w:rPr>
        <w:t xml:space="preserve"> בהתאם, טען לקרבה לסייג לאחריות פלילית </w:t>
      </w:r>
      <w:r w:rsidRPr="00273982">
        <w:rPr>
          <w:rFonts w:ascii="David" w:eastAsia="Calibri" w:hAnsi="David" w:hint="cs"/>
          <w:rtl/>
        </w:rPr>
        <w:t xml:space="preserve">מסוג "הגנה עצמית", ובהתאם </w:t>
      </w:r>
      <w:r w:rsidRPr="00273982">
        <w:rPr>
          <w:rFonts w:ascii="David" w:eastAsia="Calibri" w:hAnsi="David"/>
          <w:rtl/>
        </w:rPr>
        <w:t xml:space="preserve"> קביעת </w:t>
      </w:r>
      <w:r w:rsidRPr="00273982">
        <w:rPr>
          <w:rFonts w:ascii="David" w:eastAsia="Calibri" w:hAnsi="David" w:hint="cs"/>
          <w:rtl/>
        </w:rPr>
        <w:t xml:space="preserve">מתחם </w:t>
      </w:r>
      <w:r w:rsidRPr="00273982">
        <w:rPr>
          <w:rFonts w:ascii="David" w:eastAsia="Calibri" w:hAnsi="David"/>
          <w:rtl/>
        </w:rPr>
        <w:t>עונש הולם מקל. בכל הקשור לתיקון 140 ל</w:t>
      </w:r>
      <w:hyperlink r:id="rId17" w:history="1">
        <w:r w:rsidR="008632AD" w:rsidRPr="008632AD">
          <w:rPr>
            <w:rFonts w:ascii="David" w:eastAsia="Calibri" w:hAnsi="David"/>
            <w:color w:val="0000FF"/>
            <w:u w:val="single"/>
            <w:rtl/>
          </w:rPr>
          <w:t>חוק העונשין</w:t>
        </w:r>
      </w:hyperlink>
      <w:r w:rsidRPr="00273982">
        <w:rPr>
          <w:rFonts w:ascii="David" w:eastAsia="Calibri" w:hAnsi="David"/>
          <w:rtl/>
        </w:rPr>
        <w:t xml:space="preserve">, ציין כי עונשי מינימום כוללים גם מאסרים מותנים, ואין חובה שכל התקופה תהיה בדרך של מאסר בפועל. </w:t>
      </w:r>
      <w:r w:rsidRPr="00273982">
        <w:rPr>
          <w:rFonts w:ascii="David" w:eastAsia="Calibri" w:hAnsi="David" w:hint="cs"/>
          <w:rtl/>
        </w:rPr>
        <w:t xml:space="preserve">אשר </w:t>
      </w:r>
      <w:r w:rsidRPr="00273982">
        <w:rPr>
          <w:rFonts w:ascii="David" w:eastAsia="Calibri" w:hAnsi="David"/>
          <w:rtl/>
        </w:rPr>
        <w:t xml:space="preserve">לעברו הפלילי של הנאשם, טען כי זה אינו כולל עבירות נשק ומעולם הוא לא היה מעורב בעבירות אלימות. ביקש להתחשב בתקופת המעצר הארוכה בה </w:t>
      </w:r>
      <w:r w:rsidRPr="00273982">
        <w:rPr>
          <w:rFonts w:ascii="David" w:eastAsia="Calibri" w:hAnsi="David" w:hint="cs"/>
          <w:rtl/>
        </w:rPr>
        <w:t xml:space="preserve">הנאשם </w:t>
      </w:r>
      <w:r w:rsidRPr="00273982">
        <w:rPr>
          <w:rFonts w:ascii="David" w:eastAsia="Calibri" w:hAnsi="David"/>
          <w:rtl/>
        </w:rPr>
        <w:t>נתון, שכן תנאי מעצר יותר קשים מתנאי מאסר, מה בפרט שהופרו זכויותיו של הנאשם במהלך תקופה זו, ואף הוגשו עתירות מנהליות,</w:t>
      </w:r>
      <w:r w:rsidRPr="00273982">
        <w:rPr>
          <w:rFonts w:ascii="David" w:eastAsia="Calibri" w:hAnsi="David" w:hint="cs"/>
          <w:rtl/>
        </w:rPr>
        <w:t xml:space="preserve"> ויש בכך כדי להוות נסיבה מקלה</w:t>
      </w:r>
      <w:r w:rsidRPr="00273982">
        <w:rPr>
          <w:rFonts w:ascii="David" w:eastAsia="Calibri" w:hAnsi="David"/>
          <w:rtl/>
        </w:rPr>
        <w:t xml:space="preserve">. בכל הקשור למדיניות הענישה, הפנה לפסיקה רלוונטית וטען למתחם עונש הולם </w:t>
      </w:r>
      <w:r w:rsidRPr="00273982">
        <w:rPr>
          <w:rFonts w:ascii="David" w:eastAsia="Calibri" w:hAnsi="David" w:hint="cs"/>
          <w:rtl/>
        </w:rPr>
        <w:t>שתחילתו ב-</w:t>
      </w:r>
      <w:r w:rsidRPr="00273982">
        <w:rPr>
          <w:rFonts w:ascii="David" w:eastAsia="Calibri" w:hAnsi="David"/>
          <w:rtl/>
        </w:rPr>
        <w:t xml:space="preserve"> 6 חודשי מאסר בפועל</w:t>
      </w:r>
      <w:r>
        <w:rPr>
          <w:rFonts w:ascii="David" w:eastAsia="Calibri" w:hAnsi="David" w:hint="cs"/>
          <w:rtl/>
        </w:rPr>
        <w:t xml:space="preserve"> ולא נקב בחלקו העליון של המתחם</w:t>
      </w:r>
      <w:r w:rsidRPr="00273982">
        <w:rPr>
          <w:rFonts w:ascii="David" w:eastAsia="Calibri" w:hAnsi="David" w:hint="cs"/>
          <w:rtl/>
        </w:rPr>
        <w:t>.</w:t>
      </w:r>
      <w:r>
        <w:rPr>
          <w:rFonts w:ascii="David" w:eastAsia="Calibri" w:hAnsi="David" w:hint="cs"/>
          <w:rtl/>
        </w:rPr>
        <w:t xml:space="preserve"> </w:t>
      </w:r>
      <w:r w:rsidRPr="00273982">
        <w:rPr>
          <w:rFonts w:ascii="David" w:eastAsia="Calibri" w:hAnsi="David"/>
          <w:rtl/>
        </w:rPr>
        <w:t>לאור כל האמור לעיל, ביקש למקם את עונשו של הנאשם ברף התחתון של המתחם, ולהסתפק בימי המעצר בהם</w:t>
      </w:r>
      <w:r w:rsidRPr="00273982">
        <w:rPr>
          <w:rFonts w:ascii="David" w:eastAsia="Calibri" w:hAnsi="David" w:hint="cs"/>
          <w:rtl/>
        </w:rPr>
        <w:t xml:space="preserve"> הנאשם</w:t>
      </w:r>
      <w:r w:rsidRPr="00273982">
        <w:rPr>
          <w:rFonts w:ascii="David" w:eastAsia="Calibri" w:hAnsi="David"/>
          <w:rtl/>
        </w:rPr>
        <w:t xml:space="preserve"> היה נתון עד </w:t>
      </w:r>
      <w:r w:rsidRPr="00273982">
        <w:rPr>
          <w:rFonts w:ascii="David" w:eastAsia="Calibri" w:hAnsi="David" w:hint="cs"/>
          <w:rtl/>
        </w:rPr>
        <w:t>היום</w:t>
      </w:r>
      <w:r w:rsidRPr="00273982">
        <w:rPr>
          <w:rFonts w:ascii="David" w:eastAsia="Calibri" w:hAnsi="David"/>
          <w:rtl/>
        </w:rPr>
        <w:t xml:space="preserve">. </w:t>
      </w:r>
    </w:p>
    <w:p w14:paraId="450904B7" w14:textId="77777777" w:rsidR="005A11D0" w:rsidRPr="00273982" w:rsidRDefault="005A11D0" w:rsidP="005A11D0">
      <w:pPr>
        <w:spacing w:after="160" w:line="360" w:lineRule="auto"/>
        <w:rPr>
          <w:rFonts w:ascii="David" w:hAnsi="David"/>
          <w:sz w:val="2"/>
          <w:szCs w:val="2"/>
        </w:rPr>
      </w:pPr>
    </w:p>
    <w:p w14:paraId="0606B9B9" w14:textId="77777777" w:rsidR="005A11D0" w:rsidRPr="006F552F" w:rsidRDefault="005A11D0" w:rsidP="005A11D0">
      <w:pPr>
        <w:pStyle w:val="a9"/>
        <w:numPr>
          <w:ilvl w:val="0"/>
          <w:numId w:val="1"/>
        </w:numPr>
        <w:spacing w:line="360" w:lineRule="auto"/>
        <w:jc w:val="both"/>
        <w:rPr>
          <w:rFonts w:ascii="David" w:hAnsi="David"/>
        </w:rPr>
      </w:pPr>
      <w:r w:rsidRPr="006F552F">
        <w:rPr>
          <w:rFonts w:ascii="David" w:hAnsi="David"/>
          <w:rtl/>
        </w:rPr>
        <w:t>הנאשם עצמו הביע חרטה</w:t>
      </w:r>
      <w:r>
        <w:rPr>
          <w:rFonts w:ascii="David" w:hAnsi="David" w:hint="cs"/>
          <w:rtl/>
        </w:rPr>
        <w:t xml:space="preserve"> על מעשיו</w:t>
      </w:r>
      <w:r w:rsidRPr="006F552F">
        <w:rPr>
          <w:rFonts w:ascii="David" w:hAnsi="David"/>
          <w:rtl/>
        </w:rPr>
        <w:t>, הפנה למצבו הרפו</w:t>
      </w:r>
      <w:r>
        <w:rPr>
          <w:rFonts w:ascii="David" w:hAnsi="David"/>
          <w:rtl/>
        </w:rPr>
        <w:t>אי וביקש להתחשב בו ובכלל הנסיב</w:t>
      </w:r>
      <w:r>
        <w:rPr>
          <w:rFonts w:ascii="David" w:hAnsi="David" w:hint="cs"/>
          <w:rtl/>
        </w:rPr>
        <w:t>ות</w:t>
      </w:r>
      <w:r w:rsidRPr="006F552F">
        <w:rPr>
          <w:rFonts w:ascii="David" w:hAnsi="David"/>
          <w:rtl/>
        </w:rPr>
        <w:t xml:space="preserve">. הנאשם העיד </w:t>
      </w:r>
      <w:r>
        <w:rPr>
          <w:rFonts w:ascii="David" w:hAnsi="David" w:hint="cs"/>
          <w:rtl/>
        </w:rPr>
        <w:t>על מסכת</w:t>
      </w:r>
      <w:r w:rsidRPr="006F552F">
        <w:rPr>
          <w:rFonts w:ascii="David" w:hAnsi="David"/>
          <w:rtl/>
        </w:rPr>
        <w:t xml:space="preserve"> האירועים</w:t>
      </w:r>
      <w:r>
        <w:rPr>
          <w:rFonts w:ascii="David" w:hAnsi="David" w:hint="cs"/>
          <w:rtl/>
        </w:rPr>
        <w:t xml:space="preserve"> שקדמה לביצוע העבירה</w:t>
      </w:r>
      <w:r w:rsidRPr="006F552F">
        <w:rPr>
          <w:rFonts w:ascii="David" w:hAnsi="David"/>
          <w:rtl/>
        </w:rPr>
        <w:t xml:space="preserve">, כאשר הרקע הוא סכסוך הקשור </w:t>
      </w:r>
      <w:r>
        <w:rPr>
          <w:rFonts w:ascii="David" w:hAnsi="David" w:hint="cs"/>
          <w:rtl/>
        </w:rPr>
        <w:t>ב</w:t>
      </w:r>
      <w:r w:rsidRPr="006F552F">
        <w:rPr>
          <w:rFonts w:ascii="David" w:hAnsi="David"/>
          <w:rtl/>
        </w:rPr>
        <w:t>בן משפחתו</w:t>
      </w:r>
      <w:r>
        <w:rPr>
          <w:rFonts w:ascii="David" w:hAnsi="David" w:hint="cs"/>
          <w:rtl/>
        </w:rPr>
        <w:t xml:space="preserve"> של הנאשם</w:t>
      </w:r>
      <w:r w:rsidRPr="006F552F">
        <w:rPr>
          <w:rFonts w:ascii="David" w:hAnsi="David"/>
          <w:rtl/>
        </w:rPr>
        <w:t xml:space="preserve"> החייב כסף לאנשים </w:t>
      </w:r>
      <w:r>
        <w:rPr>
          <w:rFonts w:ascii="David" w:hAnsi="David" w:hint="cs"/>
          <w:rtl/>
        </w:rPr>
        <w:t>שפעלו לגביית החוב בדרך של הפעלת לחץ  על הנאשם מתוך כוונה לגרום לבן משפחתו ל</w:t>
      </w:r>
      <w:r w:rsidRPr="006F552F">
        <w:rPr>
          <w:rFonts w:ascii="David" w:hAnsi="David"/>
          <w:rtl/>
        </w:rPr>
        <w:t>שלם</w:t>
      </w:r>
      <w:r>
        <w:rPr>
          <w:rFonts w:ascii="David" w:hAnsi="David" w:hint="cs"/>
          <w:rtl/>
        </w:rPr>
        <w:t xml:space="preserve"> </w:t>
      </w:r>
      <w:r w:rsidRPr="006F552F">
        <w:rPr>
          <w:rFonts w:ascii="David" w:hAnsi="David"/>
          <w:rtl/>
        </w:rPr>
        <w:t>את החוב</w:t>
      </w:r>
      <w:r>
        <w:rPr>
          <w:rFonts w:ascii="David" w:hAnsi="David" w:hint="cs"/>
          <w:rtl/>
        </w:rPr>
        <w:t xml:space="preserve">. הנאשם העיד כי </w:t>
      </w:r>
      <w:r w:rsidRPr="006F552F">
        <w:rPr>
          <w:rFonts w:ascii="David" w:hAnsi="David"/>
          <w:rtl/>
        </w:rPr>
        <w:t xml:space="preserve">הוא אוים טלפונית </w:t>
      </w:r>
      <w:r>
        <w:rPr>
          <w:rFonts w:ascii="David" w:hAnsi="David" w:hint="cs"/>
          <w:rtl/>
        </w:rPr>
        <w:t xml:space="preserve">שאם </w:t>
      </w:r>
      <w:r w:rsidRPr="006F552F">
        <w:rPr>
          <w:rFonts w:ascii="David" w:hAnsi="David"/>
          <w:rtl/>
        </w:rPr>
        <w:t>יפנה למשטרה הוא ייפגע ומצבו יחמיר</w:t>
      </w:r>
      <w:r>
        <w:rPr>
          <w:rFonts w:ascii="David" w:hAnsi="David" w:hint="cs"/>
          <w:rtl/>
        </w:rPr>
        <w:t xml:space="preserve">. העיד על </w:t>
      </w:r>
      <w:r w:rsidRPr="006F552F">
        <w:rPr>
          <w:rFonts w:ascii="David" w:hAnsi="David"/>
          <w:rtl/>
        </w:rPr>
        <w:t xml:space="preserve">ירי </w:t>
      </w:r>
      <w:r>
        <w:rPr>
          <w:rFonts w:ascii="David" w:hAnsi="David" w:hint="cs"/>
          <w:rtl/>
        </w:rPr>
        <w:t xml:space="preserve">שבוצע </w:t>
      </w:r>
      <w:r w:rsidRPr="006F552F">
        <w:rPr>
          <w:rFonts w:ascii="David" w:hAnsi="David"/>
          <w:rtl/>
        </w:rPr>
        <w:t xml:space="preserve">לכיוונו על ידי רעול פנים, </w:t>
      </w:r>
      <w:r>
        <w:rPr>
          <w:rFonts w:ascii="David" w:hAnsi="David" w:hint="cs"/>
          <w:rtl/>
        </w:rPr>
        <w:t>ירי שהביא ל</w:t>
      </w:r>
      <w:r w:rsidRPr="006F552F">
        <w:rPr>
          <w:rFonts w:ascii="David" w:hAnsi="David"/>
          <w:rtl/>
        </w:rPr>
        <w:t xml:space="preserve">אשפוזו בבית חולים למשך 6 ימים </w:t>
      </w:r>
      <w:r>
        <w:rPr>
          <w:rFonts w:ascii="David" w:hAnsi="David" w:hint="cs"/>
          <w:rtl/>
        </w:rPr>
        <w:t xml:space="preserve">והוא נזקק </w:t>
      </w:r>
      <w:r w:rsidRPr="006F552F">
        <w:rPr>
          <w:rFonts w:ascii="David" w:hAnsi="David"/>
          <w:rtl/>
        </w:rPr>
        <w:t>שני ניתוחים עם קיבוע חיצוני ברגליים</w:t>
      </w:r>
      <w:r>
        <w:rPr>
          <w:rFonts w:ascii="David" w:hAnsi="David" w:hint="cs"/>
          <w:rtl/>
        </w:rPr>
        <w:t xml:space="preserve"> וכיום הוא נאלץ להיעזר בקביים.  עוד ציין כי נאלץ לעבור </w:t>
      </w:r>
      <w:r w:rsidRPr="006F552F">
        <w:rPr>
          <w:rFonts w:ascii="David" w:hAnsi="David"/>
          <w:rtl/>
        </w:rPr>
        <w:t>מספר דירות</w:t>
      </w:r>
      <w:r>
        <w:rPr>
          <w:rFonts w:ascii="David" w:hAnsi="David" w:hint="cs"/>
          <w:rtl/>
        </w:rPr>
        <w:t>, וזאת</w:t>
      </w:r>
      <w:r w:rsidRPr="006F552F">
        <w:rPr>
          <w:rFonts w:ascii="David" w:hAnsi="David"/>
          <w:rtl/>
        </w:rPr>
        <w:t xml:space="preserve"> לאחר </w:t>
      </w:r>
      <w:r>
        <w:rPr>
          <w:rFonts w:ascii="David" w:hAnsi="David" w:hint="cs"/>
          <w:rtl/>
        </w:rPr>
        <w:t>שהבחין ב</w:t>
      </w:r>
      <w:r w:rsidRPr="006F552F">
        <w:rPr>
          <w:rFonts w:ascii="David" w:hAnsi="David"/>
          <w:rtl/>
        </w:rPr>
        <w:t>דמויות חשודות</w:t>
      </w:r>
      <w:r>
        <w:rPr>
          <w:rFonts w:ascii="David" w:hAnsi="David" w:hint="cs"/>
          <w:rtl/>
        </w:rPr>
        <w:t xml:space="preserve"> מתצפתות  על ביתו, וסיפר על אירוע במהלכו </w:t>
      </w:r>
      <w:r w:rsidRPr="006F552F">
        <w:rPr>
          <w:rFonts w:ascii="David" w:hAnsi="David"/>
          <w:rtl/>
        </w:rPr>
        <w:t>נכנס לחניון ביתו ב</w:t>
      </w:r>
      <w:r>
        <w:rPr>
          <w:rFonts w:ascii="David" w:hAnsi="David" w:hint="cs"/>
          <w:rtl/>
        </w:rPr>
        <w:t xml:space="preserve">שעת </w:t>
      </w:r>
      <w:r w:rsidRPr="006F552F">
        <w:rPr>
          <w:rFonts w:ascii="David" w:hAnsi="David"/>
          <w:rtl/>
        </w:rPr>
        <w:t xml:space="preserve">לילה והבחין ברכב שבתוכו שני </w:t>
      </w:r>
      <w:r>
        <w:rPr>
          <w:rFonts w:ascii="David" w:hAnsi="David"/>
          <w:rtl/>
        </w:rPr>
        <w:t>רעולי פנים שרדפו אחריו בנסיע</w:t>
      </w:r>
      <w:r>
        <w:rPr>
          <w:rFonts w:ascii="David" w:hAnsi="David" w:hint="cs"/>
          <w:rtl/>
        </w:rPr>
        <w:t xml:space="preserve">ה, אך הוא </w:t>
      </w:r>
      <w:r w:rsidRPr="006F552F">
        <w:rPr>
          <w:rFonts w:ascii="David" w:hAnsi="David"/>
          <w:rtl/>
        </w:rPr>
        <w:t xml:space="preserve">הצליח לברוח. </w:t>
      </w:r>
      <w:r>
        <w:rPr>
          <w:rFonts w:ascii="David" w:hAnsi="David" w:hint="cs"/>
          <w:rtl/>
        </w:rPr>
        <w:t xml:space="preserve">סיפר על </w:t>
      </w:r>
      <w:r w:rsidRPr="006F552F">
        <w:rPr>
          <w:rFonts w:ascii="David" w:hAnsi="David"/>
          <w:rtl/>
        </w:rPr>
        <w:t>שיחת טלפון</w:t>
      </w:r>
      <w:r>
        <w:rPr>
          <w:rFonts w:ascii="David" w:hAnsi="David" w:hint="cs"/>
          <w:rtl/>
        </w:rPr>
        <w:t xml:space="preserve"> שקיבל </w:t>
      </w:r>
      <w:r w:rsidRPr="006F552F">
        <w:rPr>
          <w:rFonts w:ascii="David" w:hAnsi="David"/>
          <w:rtl/>
        </w:rPr>
        <w:t>מקצין מודיעין לפיה נמסר לו כי קיים מידע מודיעיני לפגיעה בחייו,</w:t>
      </w:r>
      <w:r>
        <w:rPr>
          <w:rFonts w:ascii="David" w:hAnsi="David" w:hint="cs"/>
          <w:rtl/>
        </w:rPr>
        <w:t xml:space="preserve"> והוא</w:t>
      </w:r>
      <w:r w:rsidRPr="006F552F">
        <w:rPr>
          <w:rFonts w:ascii="David" w:hAnsi="David"/>
          <w:rtl/>
        </w:rPr>
        <w:t xml:space="preserve"> התבקש ל</w:t>
      </w:r>
      <w:r>
        <w:rPr>
          <w:rFonts w:ascii="David" w:hAnsi="David" w:hint="cs"/>
          <w:rtl/>
        </w:rPr>
        <w:t>נקוט בזהירות, ל</w:t>
      </w:r>
      <w:r>
        <w:rPr>
          <w:rFonts w:ascii="David" w:hAnsi="David"/>
          <w:rtl/>
        </w:rPr>
        <w:t>שמור ע</w:t>
      </w:r>
      <w:r>
        <w:rPr>
          <w:rFonts w:ascii="David" w:hAnsi="David" w:hint="cs"/>
          <w:rtl/>
        </w:rPr>
        <w:t>ל חייו ולעדכן את המשטרה ב</w:t>
      </w:r>
      <w:r w:rsidRPr="006F552F">
        <w:rPr>
          <w:rFonts w:ascii="David" w:hAnsi="David"/>
          <w:rtl/>
        </w:rPr>
        <w:t>כל התפתחות</w:t>
      </w:r>
      <w:r>
        <w:rPr>
          <w:rFonts w:ascii="David" w:hAnsi="David" w:hint="cs"/>
          <w:rtl/>
        </w:rPr>
        <w:t xml:space="preserve"> או חשד</w:t>
      </w:r>
      <w:r w:rsidRPr="006F552F">
        <w:rPr>
          <w:rFonts w:ascii="David" w:hAnsi="David"/>
          <w:rtl/>
        </w:rPr>
        <w:t xml:space="preserve">. </w:t>
      </w:r>
      <w:r>
        <w:rPr>
          <w:rFonts w:ascii="David" w:hAnsi="David" w:hint="cs"/>
          <w:rtl/>
        </w:rPr>
        <w:t xml:space="preserve">עוד מסר כי הושלכו </w:t>
      </w:r>
      <w:r w:rsidRPr="006F552F">
        <w:rPr>
          <w:rFonts w:ascii="David" w:hAnsi="David"/>
          <w:rtl/>
        </w:rPr>
        <w:t xml:space="preserve">על ביתו שני בקבוקי תבערה, </w:t>
      </w:r>
      <w:r>
        <w:rPr>
          <w:rFonts w:ascii="David" w:hAnsi="David" w:hint="cs"/>
          <w:rtl/>
        </w:rPr>
        <w:t>וביתו נשרף</w:t>
      </w:r>
      <w:r w:rsidRPr="006F552F">
        <w:rPr>
          <w:rFonts w:ascii="David" w:hAnsi="David"/>
          <w:rtl/>
        </w:rPr>
        <w:t xml:space="preserve">. </w:t>
      </w:r>
      <w:r>
        <w:rPr>
          <w:rFonts w:ascii="David" w:hAnsi="David" w:hint="cs"/>
          <w:rtl/>
        </w:rPr>
        <w:t xml:space="preserve">העיד </w:t>
      </w:r>
      <w:r w:rsidRPr="006F552F">
        <w:rPr>
          <w:rFonts w:ascii="David" w:hAnsi="David"/>
          <w:rtl/>
        </w:rPr>
        <w:t xml:space="preserve">כי כתוצאה </w:t>
      </w:r>
      <w:r>
        <w:rPr>
          <w:rFonts w:ascii="David" w:hAnsi="David" w:hint="cs"/>
          <w:rtl/>
        </w:rPr>
        <w:t xml:space="preserve"> מהחשש </w:t>
      </w:r>
      <w:r w:rsidRPr="006F552F">
        <w:rPr>
          <w:rFonts w:ascii="David" w:hAnsi="David"/>
          <w:rtl/>
        </w:rPr>
        <w:t xml:space="preserve">לחייו הוא רכש אפוד מגן, נטל כדורים נגד חרדות, ורק כמוצא אחרון הוא </w:t>
      </w:r>
      <w:r>
        <w:rPr>
          <w:rFonts w:ascii="David" w:hAnsi="David" w:hint="cs"/>
          <w:rtl/>
        </w:rPr>
        <w:t xml:space="preserve">נאלץ לרכוש </w:t>
      </w:r>
      <w:r w:rsidRPr="006F552F">
        <w:rPr>
          <w:rFonts w:ascii="David" w:hAnsi="David"/>
          <w:rtl/>
        </w:rPr>
        <w:t xml:space="preserve">אקדח קטן </w:t>
      </w:r>
      <w:r>
        <w:rPr>
          <w:rFonts w:ascii="David" w:hAnsi="David" w:hint="cs"/>
          <w:rtl/>
        </w:rPr>
        <w:t>אותו החזיק  ב</w:t>
      </w:r>
      <w:r w:rsidRPr="006F552F">
        <w:rPr>
          <w:rFonts w:ascii="David" w:hAnsi="David"/>
          <w:rtl/>
        </w:rPr>
        <w:t>חניון</w:t>
      </w:r>
      <w:r>
        <w:rPr>
          <w:rFonts w:ascii="David" w:hAnsi="David" w:hint="cs"/>
          <w:rtl/>
        </w:rPr>
        <w:t xml:space="preserve"> ביתו: "</w:t>
      </w:r>
      <w:r w:rsidRPr="006F552F">
        <w:rPr>
          <w:rFonts w:ascii="David" w:eastAsia="Calibri" w:hAnsi="David"/>
          <w:b/>
          <w:bCs/>
          <w:rtl/>
        </w:rPr>
        <w:t>בשביל להגן על עצמי שבפעם הבאה אם במידה חס וחלילה מישהו יבוא יכוון עלי נשק, אני אמנם לא אצליח לירות כי אני עם קביים והכל, אבל לפחות אני במצב הפסיכולוגי שאני אדע שלפחות יש עלי משהו שיכול לעזור לי איכשהו. אם זה להרתיע, אם זה להלחיץ, אם זה להפחיד מישהו, אם זה להבריח מישהו</w:t>
      </w:r>
      <w:r w:rsidRPr="006F552F">
        <w:rPr>
          <w:rFonts w:ascii="David" w:hAnsi="David"/>
          <w:rtl/>
        </w:rPr>
        <w:t xml:space="preserve">" (עמ' 15 שורות 25-30 לתמלול דיון מיום 13/6/23). בכל הקשור </w:t>
      </w:r>
      <w:r>
        <w:rPr>
          <w:rFonts w:ascii="David" w:hAnsi="David"/>
          <w:rtl/>
        </w:rPr>
        <w:t>לעובדה כי נמצאו כדורים שאינ</w:t>
      </w:r>
      <w:r>
        <w:rPr>
          <w:rFonts w:ascii="David" w:hAnsi="David" w:hint="cs"/>
          <w:rtl/>
        </w:rPr>
        <w:t xml:space="preserve">ם תואמים </w:t>
      </w:r>
      <w:r w:rsidRPr="006F552F">
        <w:rPr>
          <w:rFonts w:ascii="David" w:hAnsi="David"/>
          <w:rtl/>
        </w:rPr>
        <w:t xml:space="preserve">לאקדח אותו הוא רכש, ציין כי הוא חשב לתומו כי כל הכדורים </w:t>
      </w:r>
      <w:r>
        <w:rPr>
          <w:rFonts w:ascii="David" w:hAnsi="David" w:hint="cs"/>
          <w:rtl/>
        </w:rPr>
        <w:t>תואמים ל</w:t>
      </w:r>
      <w:r w:rsidRPr="006F552F">
        <w:rPr>
          <w:rFonts w:ascii="David" w:hAnsi="David"/>
          <w:rtl/>
        </w:rPr>
        <w:t xml:space="preserve">אקדח </w:t>
      </w:r>
      <w:r>
        <w:rPr>
          <w:rFonts w:ascii="David" w:hAnsi="David" w:hint="cs"/>
          <w:rtl/>
        </w:rPr>
        <w:t xml:space="preserve"> מאחר וקיבל אותם באותו </w:t>
      </w:r>
      <w:r>
        <w:rPr>
          <w:rFonts w:ascii="David" w:hAnsi="David"/>
          <w:rtl/>
        </w:rPr>
        <w:t xml:space="preserve">הקרטון. </w:t>
      </w:r>
      <w:r w:rsidRPr="006F552F">
        <w:rPr>
          <w:rFonts w:ascii="David" w:hAnsi="David"/>
          <w:rtl/>
        </w:rPr>
        <w:t>לשאלה מ</w:t>
      </w:r>
      <w:r>
        <w:rPr>
          <w:rFonts w:ascii="David" w:hAnsi="David"/>
          <w:rtl/>
        </w:rPr>
        <w:t xml:space="preserve">דוע לא פנה לקצין המודיעין שיצר </w:t>
      </w:r>
      <w:r>
        <w:rPr>
          <w:rFonts w:ascii="David" w:hAnsi="David" w:hint="cs"/>
          <w:rtl/>
        </w:rPr>
        <w:t xml:space="preserve">עמו </w:t>
      </w:r>
      <w:r w:rsidRPr="006F552F">
        <w:rPr>
          <w:rFonts w:ascii="David" w:hAnsi="David"/>
          <w:rtl/>
        </w:rPr>
        <w:t>קשר במקום לעבור על החוק ולרכוש נשק</w:t>
      </w:r>
      <w:r>
        <w:rPr>
          <w:rFonts w:ascii="David" w:hAnsi="David" w:hint="cs"/>
          <w:rtl/>
        </w:rPr>
        <w:t>,</w:t>
      </w:r>
      <w:r w:rsidRPr="006F552F">
        <w:rPr>
          <w:rFonts w:ascii="David" w:hAnsi="David"/>
          <w:rtl/>
        </w:rPr>
        <w:t xml:space="preserve"> השיב</w:t>
      </w:r>
      <w:r>
        <w:rPr>
          <w:rFonts w:ascii="David" w:hAnsi="David" w:hint="cs"/>
          <w:rtl/>
        </w:rPr>
        <w:t>:</w:t>
      </w:r>
      <w:r w:rsidRPr="006F552F">
        <w:rPr>
          <w:rFonts w:ascii="David" w:hAnsi="David"/>
          <w:rtl/>
        </w:rPr>
        <w:t xml:space="preserve"> </w:t>
      </w:r>
      <w:r w:rsidRPr="006F552F">
        <w:rPr>
          <w:rFonts w:ascii="David" w:hAnsi="David"/>
          <w:b/>
          <w:bCs/>
          <w:rtl/>
        </w:rPr>
        <w:t>"</w:t>
      </w:r>
      <w:r w:rsidRPr="006F552F">
        <w:rPr>
          <w:rFonts w:ascii="David" w:eastAsia="Calibri" w:hAnsi="David"/>
          <w:b/>
          <w:bCs/>
          <w:rtl/>
        </w:rPr>
        <w:t>לא פניתי אליו. אני אגיד לך את האמת אדוני השופט אני מפחד כאילו, פחדתי, מה אני מפחד על הילדים שלי, אני אני עם הגב לקיר. המשטרה יודעת את הסיפור היא יודעת את המקרה, היא יודעת מעל ומעבר</w:t>
      </w:r>
      <w:r w:rsidRPr="006F552F">
        <w:rPr>
          <w:rFonts w:ascii="David" w:hAnsi="David"/>
          <w:rtl/>
        </w:rPr>
        <w:t xml:space="preserve">" (עמ' 24 שורות 28-30 לתמלול דיון מיום 13/06/23). </w:t>
      </w:r>
    </w:p>
    <w:p w14:paraId="4B0FAE7F" w14:textId="77777777" w:rsidR="005A11D0" w:rsidRPr="001832CD" w:rsidRDefault="005A11D0" w:rsidP="005A11D0">
      <w:pPr>
        <w:spacing w:line="360" w:lineRule="auto"/>
        <w:ind w:left="720"/>
        <w:contextualSpacing/>
        <w:jc w:val="both"/>
        <w:rPr>
          <w:rFonts w:ascii="David" w:hAnsi="David"/>
          <w:rtl/>
        </w:rPr>
      </w:pPr>
    </w:p>
    <w:p w14:paraId="33A61222" w14:textId="77777777" w:rsidR="005A11D0" w:rsidRDefault="005A11D0" w:rsidP="005A11D0">
      <w:pPr>
        <w:pStyle w:val="a9"/>
        <w:numPr>
          <w:ilvl w:val="0"/>
          <w:numId w:val="1"/>
        </w:numPr>
        <w:spacing w:line="360" w:lineRule="auto"/>
        <w:jc w:val="both"/>
        <w:rPr>
          <w:rFonts w:ascii="David" w:eastAsia="David" w:hAnsi="David"/>
          <w:b/>
          <w:bCs/>
          <w:u w:val="single"/>
        </w:rPr>
      </w:pPr>
      <w:r w:rsidRPr="00954984">
        <w:rPr>
          <w:rFonts w:ascii="David" w:hAnsi="David"/>
          <w:rtl/>
        </w:rPr>
        <w:t xml:space="preserve">בתו זוגו של הנאשם, גב' שיר שמעון, העידה </w:t>
      </w:r>
      <w:r>
        <w:rPr>
          <w:rFonts w:ascii="David" w:hAnsi="David" w:hint="cs"/>
          <w:rtl/>
        </w:rPr>
        <w:t xml:space="preserve"> כי  הנאשם </w:t>
      </w:r>
      <w:r w:rsidRPr="00954984">
        <w:rPr>
          <w:rFonts w:ascii="David" w:hAnsi="David"/>
          <w:rtl/>
        </w:rPr>
        <w:t xml:space="preserve">נורה בעקבות סכסוך </w:t>
      </w:r>
      <w:r w:rsidRPr="00954984">
        <w:rPr>
          <w:rFonts w:ascii="David" w:hAnsi="David" w:hint="cs"/>
          <w:rtl/>
        </w:rPr>
        <w:t>ה</w:t>
      </w:r>
      <w:r w:rsidRPr="00954984">
        <w:rPr>
          <w:rFonts w:ascii="David" w:hAnsi="David"/>
          <w:rtl/>
        </w:rPr>
        <w:t xml:space="preserve">קשור לבן משפחתו, </w:t>
      </w:r>
      <w:r w:rsidRPr="00954984">
        <w:rPr>
          <w:rFonts w:ascii="David" w:hAnsi="David" w:hint="cs"/>
          <w:rtl/>
        </w:rPr>
        <w:t xml:space="preserve">בהמשך הנאשם </w:t>
      </w:r>
      <w:r w:rsidRPr="00954984">
        <w:rPr>
          <w:rFonts w:ascii="David" w:hAnsi="David"/>
          <w:rtl/>
        </w:rPr>
        <w:t>התלונן בפניה כי הוא רואה דמויות חשודות במצלמות ההבטחה,</w:t>
      </w:r>
      <w:r w:rsidRPr="00954984">
        <w:rPr>
          <w:rFonts w:ascii="David" w:hAnsi="David" w:hint="cs"/>
          <w:rtl/>
        </w:rPr>
        <w:t xml:space="preserve"> </w:t>
      </w:r>
      <w:r>
        <w:rPr>
          <w:rFonts w:ascii="David" w:hAnsi="David" w:hint="cs"/>
          <w:rtl/>
        </w:rPr>
        <w:t xml:space="preserve"> ובאירוע אחר הבחין ב</w:t>
      </w:r>
      <w:r w:rsidRPr="00954984">
        <w:rPr>
          <w:rFonts w:ascii="David" w:hAnsi="David"/>
          <w:rtl/>
        </w:rPr>
        <w:t>רעולי פנ</w:t>
      </w:r>
      <w:r>
        <w:rPr>
          <w:rFonts w:ascii="David" w:hAnsi="David"/>
          <w:rtl/>
        </w:rPr>
        <w:t>ים ברכב שהחלו לנסוע אחריו</w:t>
      </w:r>
      <w:r>
        <w:rPr>
          <w:rFonts w:ascii="David" w:hAnsi="David" w:hint="cs"/>
          <w:rtl/>
        </w:rPr>
        <w:t>, ובית הרשום על שמו הוצת ונשרף</w:t>
      </w:r>
      <w:r w:rsidRPr="00954984">
        <w:rPr>
          <w:rFonts w:ascii="David" w:hAnsi="David"/>
          <w:rtl/>
        </w:rPr>
        <w:t>.</w:t>
      </w:r>
      <w:r>
        <w:rPr>
          <w:rFonts w:ascii="David" w:hAnsi="David" w:hint="cs"/>
          <w:rtl/>
        </w:rPr>
        <w:t xml:space="preserve"> העדה ציינה כי בעקבות אותם אירועים הנאשם מצוי בחרדות, החליף מספר דירות ואף</w:t>
      </w:r>
      <w:r w:rsidRPr="00954984">
        <w:rPr>
          <w:rFonts w:ascii="David" w:hAnsi="David"/>
          <w:rtl/>
        </w:rPr>
        <w:t xml:space="preserve">  רכש לעצמו אפוד מגן. </w:t>
      </w:r>
    </w:p>
    <w:p w14:paraId="05126D95" w14:textId="77777777" w:rsidR="005A11D0" w:rsidRPr="00DB1E78" w:rsidRDefault="005A11D0" w:rsidP="005A11D0">
      <w:pPr>
        <w:pStyle w:val="a9"/>
        <w:rPr>
          <w:rFonts w:ascii="David" w:eastAsia="David" w:hAnsi="David"/>
          <w:b/>
          <w:bCs/>
          <w:sz w:val="18"/>
          <w:szCs w:val="18"/>
          <w:u w:val="single"/>
          <w:rtl/>
        </w:rPr>
      </w:pPr>
    </w:p>
    <w:p w14:paraId="2F02AEB1" w14:textId="77777777" w:rsidR="005A11D0" w:rsidRPr="00954984" w:rsidRDefault="005A11D0" w:rsidP="005A11D0">
      <w:pPr>
        <w:spacing w:line="360" w:lineRule="auto"/>
        <w:ind w:firstLine="360"/>
        <w:jc w:val="both"/>
        <w:rPr>
          <w:rFonts w:ascii="David" w:eastAsia="David" w:hAnsi="David"/>
          <w:b/>
          <w:bCs/>
          <w:u w:val="single"/>
          <w:rtl/>
        </w:rPr>
      </w:pPr>
      <w:r w:rsidRPr="00954984">
        <w:rPr>
          <w:rFonts w:ascii="David" w:eastAsia="David" w:hAnsi="David"/>
          <w:b/>
          <w:bCs/>
          <w:u w:val="single"/>
          <w:rtl/>
        </w:rPr>
        <w:t>דיון</w:t>
      </w:r>
    </w:p>
    <w:p w14:paraId="14F493AC" w14:textId="77777777" w:rsidR="005A11D0" w:rsidRPr="001832CD" w:rsidRDefault="005A11D0" w:rsidP="005A11D0">
      <w:pPr>
        <w:spacing w:after="160" w:line="360" w:lineRule="auto"/>
        <w:ind w:firstLine="360"/>
        <w:jc w:val="both"/>
        <w:rPr>
          <w:rFonts w:ascii="David" w:eastAsia="David" w:hAnsi="David"/>
          <w:b/>
          <w:bCs/>
          <w:u w:val="single"/>
        </w:rPr>
      </w:pPr>
      <w:r w:rsidRPr="001832CD">
        <w:rPr>
          <w:rFonts w:ascii="David" w:eastAsia="David" w:hAnsi="David"/>
          <w:b/>
          <w:bCs/>
          <w:u w:val="single"/>
          <w:rtl/>
        </w:rPr>
        <w:t>קביעת מתחם העונש ההולם</w:t>
      </w:r>
    </w:p>
    <w:p w14:paraId="05D1D906" w14:textId="77777777" w:rsidR="005A11D0" w:rsidRPr="001832CD" w:rsidRDefault="00114CAB" w:rsidP="005A11D0">
      <w:pPr>
        <w:numPr>
          <w:ilvl w:val="0"/>
          <w:numId w:val="1"/>
        </w:numPr>
        <w:spacing w:after="160" w:line="360" w:lineRule="auto"/>
        <w:contextualSpacing/>
        <w:jc w:val="both"/>
        <w:rPr>
          <w:rFonts w:ascii="David" w:hAnsi="David"/>
          <w:b/>
          <w:bCs/>
          <w:u w:val="single"/>
        </w:rPr>
      </w:pPr>
      <w:hyperlink r:id="rId18" w:history="1">
        <w:r w:rsidRPr="00114CAB">
          <w:rPr>
            <w:rStyle w:val="Hyperlink"/>
            <w:rFonts w:ascii="David" w:eastAsia="David" w:hAnsi="David"/>
            <w:rtl/>
          </w:rPr>
          <w:t>פרק ו'</w:t>
        </w:r>
      </w:hyperlink>
      <w:r w:rsidR="005A11D0" w:rsidRPr="001832CD">
        <w:rPr>
          <w:rFonts w:ascii="David" w:eastAsia="David" w:hAnsi="David"/>
          <w:rtl/>
        </w:rPr>
        <w:t xml:space="preserve"> סימן א' 1  ל</w:t>
      </w:r>
      <w:hyperlink r:id="rId19" w:history="1">
        <w:r w:rsidR="008632AD" w:rsidRPr="008632AD">
          <w:rPr>
            <w:rFonts w:ascii="David" w:eastAsia="David" w:hAnsi="David"/>
            <w:color w:val="0000FF"/>
            <w:u w:val="single"/>
            <w:rtl/>
          </w:rPr>
          <w:t>חוק העונשין</w:t>
        </w:r>
      </w:hyperlink>
      <w:r w:rsidR="005A11D0" w:rsidRPr="001832CD">
        <w:rPr>
          <w:rFonts w:ascii="David" w:eastAsia="David" w:hAnsi="David"/>
          <w:rtl/>
        </w:rPr>
        <w:t xml:space="preserve"> דן בהבניית שיפוט הדעת השיפוטי בענישה (סעיפים 40א-טו)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w:t>
      </w:r>
      <w:hyperlink r:id="rId20" w:history="1">
        <w:r w:rsidRPr="00114CAB">
          <w:rPr>
            <w:rStyle w:val="Hyperlink"/>
            <w:rFonts w:ascii="David" w:eastAsia="David" w:hAnsi="David"/>
            <w:rtl/>
          </w:rPr>
          <w:t>ס' 40 א</w:t>
        </w:r>
      </w:hyperlink>
      <w:r w:rsidR="005A11D0" w:rsidRPr="001832CD">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5E7F5CBF" w14:textId="77777777" w:rsidR="005A11D0" w:rsidRPr="0005372B" w:rsidRDefault="005A11D0" w:rsidP="005A11D0">
      <w:pPr>
        <w:shd w:val="clear" w:color="auto" w:fill="FFFFFF"/>
        <w:spacing w:after="160" w:line="360" w:lineRule="auto"/>
        <w:ind w:left="720"/>
        <w:contextualSpacing/>
        <w:jc w:val="both"/>
        <w:rPr>
          <w:rFonts w:ascii="David" w:eastAsia="David" w:hAnsi="David"/>
          <w:b/>
          <w:bCs/>
          <w:sz w:val="14"/>
          <w:szCs w:val="14"/>
          <w:u w:val="single"/>
          <w:rtl/>
        </w:rPr>
      </w:pPr>
    </w:p>
    <w:p w14:paraId="5715F39C" w14:textId="77777777" w:rsidR="005A11D0" w:rsidRPr="001832CD" w:rsidRDefault="005A11D0" w:rsidP="005A11D0">
      <w:pPr>
        <w:shd w:val="clear" w:color="auto" w:fill="FFFFFF"/>
        <w:spacing w:after="160" w:line="360" w:lineRule="auto"/>
        <w:ind w:left="391"/>
        <w:contextualSpacing/>
        <w:jc w:val="both"/>
        <w:rPr>
          <w:rFonts w:ascii="David" w:eastAsia="Calibri" w:hAnsi="David"/>
          <w:rtl/>
        </w:rPr>
      </w:pPr>
      <w:r w:rsidRPr="001832CD">
        <w:rPr>
          <w:rFonts w:ascii="David" w:eastAsia="David" w:hAnsi="David"/>
          <w:b/>
          <w:bCs/>
          <w:u w:val="single"/>
          <w:rtl/>
        </w:rPr>
        <w:t>הערכים החברתיים עליהם יש להגן</w:t>
      </w:r>
    </w:p>
    <w:p w14:paraId="002F9AEA" w14:textId="77777777" w:rsidR="005A11D0" w:rsidRPr="0005372B" w:rsidRDefault="005A11D0" w:rsidP="005A11D0">
      <w:pPr>
        <w:shd w:val="clear" w:color="auto" w:fill="FFFFFF"/>
        <w:spacing w:after="160" w:line="360" w:lineRule="auto"/>
        <w:ind w:left="720"/>
        <w:contextualSpacing/>
        <w:jc w:val="both"/>
        <w:rPr>
          <w:rFonts w:ascii="David" w:eastAsia="Calibri" w:hAnsi="David"/>
          <w:sz w:val="12"/>
          <w:szCs w:val="12"/>
          <w:rtl/>
        </w:rPr>
      </w:pPr>
    </w:p>
    <w:p w14:paraId="3D56C46C" w14:textId="77777777" w:rsidR="005A11D0" w:rsidRPr="001832CD" w:rsidRDefault="005A11D0" w:rsidP="005A11D0">
      <w:pPr>
        <w:numPr>
          <w:ilvl w:val="0"/>
          <w:numId w:val="1"/>
        </w:numPr>
        <w:spacing w:after="160" w:line="360" w:lineRule="auto"/>
        <w:contextualSpacing/>
        <w:jc w:val="both"/>
        <w:rPr>
          <w:rFonts w:ascii="David" w:hAnsi="David"/>
        </w:rPr>
      </w:pPr>
      <w:r w:rsidRPr="001832CD">
        <w:rPr>
          <w:rFonts w:ascii="David" w:eastAsia="David" w:hAnsi="David"/>
          <w:rtl/>
        </w:rPr>
        <w:t xml:space="preserve">הערכים המוגנים שנפגעו כתוצאה מביצוע העבירות נשוא כתב האישום המתוקן הינם הצורך לשמור: </w:t>
      </w:r>
      <w:r w:rsidRPr="001832CD">
        <w:rPr>
          <w:rFonts w:ascii="David" w:eastAsia="David" w:hAnsi="David"/>
          <w:spacing w:val="10"/>
          <w:rtl/>
        </w:rPr>
        <w:t>על חיי אדם ושלמות הגוף</w:t>
      </w:r>
      <w:r w:rsidRPr="001832CD">
        <w:rPr>
          <w:rFonts w:ascii="David" w:eastAsia="David" w:hAnsi="David"/>
          <w:rtl/>
          <w:lang w:eastAsia="he-IL"/>
        </w:rPr>
        <w:t xml:space="preserve">;  על שלום הציבור ותחושת בטחונו מפני פגיעות בגוף ונפש,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1832CD">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44BA2CAA" w14:textId="77777777" w:rsidR="005A11D0" w:rsidRPr="004964E1" w:rsidRDefault="005A11D0" w:rsidP="005A11D0">
      <w:pPr>
        <w:spacing w:line="360" w:lineRule="auto"/>
        <w:jc w:val="both"/>
        <w:rPr>
          <w:rFonts w:ascii="David" w:eastAsia="David" w:hAnsi="David"/>
          <w:sz w:val="8"/>
          <w:szCs w:val="8"/>
        </w:rPr>
      </w:pPr>
    </w:p>
    <w:p w14:paraId="35505E49" w14:textId="77777777" w:rsidR="005A11D0" w:rsidRPr="001832CD" w:rsidRDefault="005A11D0" w:rsidP="005A11D0">
      <w:pPr>
        <w:spacing w:line="360" w:lineRule="auto"/>
        <w:ind w:left="720"/>
        <w:contextualSpacing/>
        <w:jc w:val="both"/>
        <w:rPr>
          <w:rFonts w:ascii="David" w:eastAsia="David" w:hAnsi="David"/>
          <w:b/>
          <w:bCs/>
          <w:rtl/>
        </w:rPr>
      </w:pPr>
      <w:r w:rsidRPr="001832CD">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8632AD">
        <w:rPr>
          <w:rFonts w:ascii="David" w:eastAsia="David" w:hAnsi="David"/>
          <w:rtl/>
        </w:rPr>
        <w:t xml:space="preserve"> </w:t>
      </w:r>
      <w:r w:rsidRPr="001832CD">
        <w:rPr>
          <w:rFonts w:ascii="David" w:eastAsia="David" w:hAnsi="David"/>
          <w:rtl/>
        </w:rPr>
        <w:t xml:space="preserve"> </w:t>
      </w:r>
      <w:hyperlink r:id="rId21" w:history="1">
        <w:r w:rsidR="008632AD" w:rsidRPr="008632AD">
          <w:rPr>
            <w:rFonts w:ascii="David" w:eastAsia="David" w:hAnsi="David"/>
            <w:color w:val="0000FF"/>
            <w:u w:val="single"/>
            <w:rtl/>
          </w:rPr>
          <w:t>חוק העונשין</w:t>
        </w:r>
      </w:hyperlink>
      <w:r w:rsidRPr="001832CD">
        <w:rPr>
          <w:rFonts w:ascii="David" w:eastAsia="David" w:hAnsi="David"/>
          <w:rtl/>
        </w:rPr>
        <w:t xml:space="preserve"> (תיקון מס' 140 – הוראת שעה), התשפ"ב-2021, אשר נכנס לתוקף בדצמבר 2021. ר' </w:t>
      </w:r>
      <w:r w:rsidRPr="001832CD">
        <w:rPr>
          <w:rFonts w:ascii="David" w:eastAsia="David" w:hAnsi="David"/>
        </w:rPr>
        <w:t xml:space="preserve"> </w:t>
      </w:r>
      <w:hyperlink r:id="rId22" w:history="1">
        <w:r w:rsidR="008632AD" w:rsidRPr="008632AD">
          <w:rPr>
            <w:rFonts w:ascii="David" w:eastAsia="David" w:hAnsi="David"/>
            <w:b/>
            <w:bCs/>
            <w:color w:val="0000FF"/>
            <w:u w:val="single"/>
            <w:rtl/>
          </w:rPr>
          <w:t>ע"פ 5813/21</w:t>
        </w:r>
      </w:hyperlink>
      <w:r w:rsidRPr="001832CD">
        <w:rPr>
          <w:rFonts w:ascii="David" w:eastAsia="David" w:hAnsi="David"/>
          <w:b/>
          <w:bCs/>
          <w:rtl/>
        </w:rPr>
        <w:t xml:space="preserve"> </w:t>
      </w:r>
      <w:r w:rsidRPr="001832CD">
        <w:rPr>
          <w:rFonts w:ascii="David" w:eastAsia="David" w:hAnsi="David"/>
          <w:b/>
          <w:bCs/>
          <w:u w:val="single"/>
          <w:rtl/>
        </w:rPr>
        <w:t>ג'בארין נ' מדינת ישראל</w:t>
      </w:r>
      <w:r w:rsidRPr="001832CD">
        <w:rPr>
          <w:rFonts w:ascii="David" w:eastAsia="David" w:hAnsi="David"/>
          <w:rtl/>
        </w:rPr>
        <w:t xml:space="preserve"> שם נאמר בין היתר: "</w:t>
      </w:r>
      <w:r w:rsidRPr="001832CD">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23" w:history="1">
        <w:r w:rsidR="008632AD" w:rsidRPr="008632AD">
          <w:rPr>
            <w:rFonts w:ascii="David" w:eastAsia="David" w:hAnsi="David"/>
            <w:b/>
            <w:bCs/>
            <w:color w:val="0000FF"/>
            <w:u w:val="single"/>
            <w:rtl/>
          </w:rPr>
          <w:t>ע"פ 8320/21</w:t>
        </w:r>
      </w:hyperlink>
      <w:r w:rsidRPr="001832CD">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4" w:history="1">
        <w:r w:rsidR="008632AD" w:rsidRPr="008632AD">
          <w:rPr>
            <w:rFonts w:ascii="David" w:eastAsia="David" w:hAnsi="David"/>
            <w:b/>
            <w:bCs/>
            <w:color w:val="0000FF"/>
            <w:u w:val="single"/>
            <w:rtl/>
          </w:rPr>
          <w:t>חוק העונשין</w:t>
        </w:r>
      </w:hyperlink>
      <w:r w:rsidRPr="001832CD">
        <w:rPr>
          <w:rFonts w:ascii="David" w:eastAsia="David" w:hAnsi="David"/>
          <w:b/>
          <w:bCs/>
          <w:rtl/>
        </w:rPr>
        <w:t xml:space="preserve"> (חוק העונשין (תיקון מס' 140 – הוראת שעה), התשפ"ב-2021) – שלא חל בענייננו – הקובע עונשי מינימום לעבירות נשק' (שם, פסקה 25).</w:t>
      </w:r>
      <w:r w:rsidRPr="001832CD">
        <w:rPr>
          <w:rFonts w:ascii="David" w:eastAsia="David" w:hAnsi="David"/>
          <w:b/>
          <w:bCs/>
          <w:rtl/>
          <w:lang w:eastAsia="he-IL"/>
        </w:rPr>
        <w:t xml:space="preserve"> ב</w:t>
      </w:r>
      <w:hyperlink r:id="rId25" w:history="1">
        <w:r w:rsidR="008632AD" w:rsidRPr="008632AD">
          <w:rPr>
            <w:rFonts w:ascii="David" w:eastAsia="David" w:hAnsi="David"/>
            <w:b/>
            <w:bCs/>
            <w:color w:val="0000FF"/>
            <w:u w:val="single"/>
            <w:rtl/>
            <w:lang w:eastAsia="he-IL"/>
          </w:rPr>
          <w:t>ע"פ 7502/12</w:t>
        </w:r>
      </w:hyperlink>
      <w:r w:rsidRPr="001832CD">
        <w:rPr>
          <w:rFonts w:ascii="David" w:eastAsia="David" w:hAnsi="David"/>
          <w:b/>
          <w:bCs/>
          <w:rtl/>
          <w:lang w:eastAsia="he-IL"/>
        </w:rPr>
        <w:t xml:space="preserve"> </w:t>
      </w:r>
      <w:r w:rsidRPr="001832CD">
        <w:rPr>
          <w:rFonts w:ascii="David" w:eastAsia="David" w:hAnsi="David"/>
          <w:b/>
          <w:bCs/>
          <w:u w:val="single"/>
          <w:rtl/>
          <w:lang w:eastAsia="he-IL"/>
        </w:rPr>
        <w:t>כוויס נ' מדינת ישראל</w:t>
      </w:r>
      <w:r w:rsidRPr="001832CD">
        <w:rPr>
          <w:rFonts w:ascii="David" w:eastAsia="David" w:hAnsi="David"/>
          <w:b/>
          <w:bCs/>
          <w:rtl/>
          <w:lang w:eastAsia="he-IL"/>
        </w:rPr>
        <w:t xml:space="preserve">  (בימ"ש העליון)</w:t>
      </w:r>
      <w:r w:rsidRPr="001832CD">
        <w:rPr>
          <w:rFonts w:ascii="David" w:eastAsia="David" w:hAnsi="David"/>
          <w:rtl/>
          <w:lang w:eastAsia="he-IL"/>
        </w:rPr>
        <w:t xml:space="preserve"> נקבע בין היתר כי: </w:t>
      </w:r>
      <w:r w:rsidRPr="001832CD">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26" w:history="1">
        <w:r w:rsidR="008632AD" w:rsidRPr="008632AD">
          <w:rPr>
            <w:rFonts w:ascii="David" w:eastAsia="David" w:hAnsi="David"/>
            <w:b/>
            <w:bCs/>
            <w:color w:val="0000FF"/>
            <w:u w:val="single"/>
            <w:rtl/>
            <w:lang w:eastAsia="he-IL"/>
          </w:rPr>
          <w:t>ע"פ 5833/07</w:t>
        </w:r>
      </w:hyperlink>
      <w:r w:rsidRPr="001832CD">
        <w:rPr>
          <w:rFonts w:ascii="David" w:eastAsia="David" w:hAnsi="David"/>
          <w:rtl/>
          <w:lang w:eastAsia="he-IL"/>
        </w:rPr>
        <w:t xml:space="preserve"> </w:t>
      </w:r>
      <w:r w:rsidRPr="001832CD">
        <w:rPr>
          <w:rFonts w:ascii="David" w:eastAsia="David" w:hAnsi="David"/>
          <w:b/>
          <w:bCs/>
          <w:u w:val="single"/>
          <w:rtl/>
          <w:lang w:eastAsia="he-IL"/>
        </w:rPr>
        <w:t>ח'ורי נ' מדינת ישראל</w:t>
      </w:r>
      <w:r w:rsidRPr="001832CD">
        <w:rPr>
          <w:rFonts w:ascii="David" w:eastAsia="David" w:hAnsi="David"/>
          <w:b/>
          <w:bCs/>
          <w:rtl/>
          <w:lang w:eastAsia="he-IL"/>
        </w:rPr>
        <w:t xml:space="preserve">  (בימ"ש העליון)</w:t>
      </w:r>
      <w:r w:rsidRPr="001832CD">
        <w:rPr>
          <w:rFonts w:ascii="David" w:eastAsia="David" w:hAnsi="David"/>
          <w:rtl/>
          <w:lang w:eastAsia="he-IL"/>
        </w:rPr>
        <w:t xml:space="preserve"> נקבע כי: </w:t>
      </w:r>
      <w:r w:rsidRPr="001832CD">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sidRPr="001832CD">
        <w:rPr>
          <w:rFonts w:ascii="David" w:eastAsia="David" w:hAnsi="David"/>
          <w:rtl/>
        </w:rPr>
        <w:t xml:space="preserve"> עבירות הנשק, הפכו למרבה הצער, ל"מכת מדינה" של ממש:  ראו לעניין זה דבריו של כב' הש' אלרון </w:t>
      </w:r>
      <w:r w:rsidRPr="001832CD">
        <w:rPr>
          <w:rFonts w:ascii="David" w:eastAsia="David" w:hAnsi="David"/>
          <w:b/>
          <w:bCs/>
          <w:rtl/>
        </w:rPr>
        <w:t>ב</w:t>
      </w:r>
      <w:hyperlink r:id="rId27" w:history="1">
        <w:r w:rsidR="008632AD" w:rsidRPr="008632AD">
          <w:rPr>
            <w:rFonts w:ascii="David" w:eastAsia="David" w:hAnsi="David"/>
            <w:b/>
            <w:bCs/>
            <w:color w:val="0000FF"/>
            <w:u w:val="single"/>
            <w:rtl/>
          </w:rPr>
          <w:t>רע"פ 5613/20</w:t>
        </w:r>
      </w:hyperlink>
      <w:r w:rsidRPr="001832CD">
        <w:rPr>
          <w:rFonts w:ascii="David" w:eastAsia="David" w:hAnsi="David"/>
          <w:b/>
          <w:bCs/>
          <w:rtl/>
        </w:rPr>
        <w:t xml:space="preserve"> </w:t>
      </w:r>
      <w:r w:rsidRPr="001832CD">
        <w:rPr>
          <w:rFonts w:ascii="David" w:eastAsia="David" w:hAnsi="David"/>
          <w:b/>
          <w:bCs/>
          <w:u w:val="single"/>
          <w:rtl/>
        </w:rPr>
        <w:t>אלהוזייל</w:t>
      </w:r>
      <w:r w:rsidRPr="001832CD">
        <w:rPr>
          <w:rFonts w:ascii="David" w:eastAsia="David" w:hAnsi="David"/>
          <w:b/>
          <w:bCs/>
          <w:rtl/>
        </w:rPr>
        <w:t xml:space="preserve">  </w:t>
      </w:r>
      <w:r w:rsidRPr="001832CD">
        <w:rPr>
          <w:rFonts w:ascii="David" w:eastAsia="David" w:hAnsi="David"/>
          <w:rtl/>
        </w:rPr>
        <w:t>כדלהלן:</w:t>
      </w:r>
      <w:r w:rsidRPr="001832CD">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673DD8E7" w14:textId="77777777" w:rsidR="005A11D0" w:rsidRPr="004964E1" w:rsidRDefault="005A11D0" w:rsidP="005A11D0">
      <w:pPr>
        <w:spacing w:line="360" w:lineRule="auto"/>
        <w:ind w:firstLine="360"/>
        <w:jc w:val="both"/>
        <w:rPr>
          <w:rFonts w:ascii="David" w:eastAsia="David" w:hAnsi="David"/>
          <w:b/>
          <w:bCs/>
          <w:sz w:val="10"/>
          <w:szCs w:val="10"/>
          <w:u w:val="single"/>
          <w:rtl/>
        </w:rPr>
      </w:pPr>
    </w:p>
    <w:p w14:paraId="4AB71393" w14:textId="77777777" w:rsidR="005A11D0" w:rsidRPr="001832CD" w:rsidRDefault="005A11D0" w:rsidP="005A11D0">
      <w:pPr>
        <w:spacing w:line="360" w:lineRule="auto"/>
        <w:ind w:firstLine="360"/>
        <w:jc w:val="both"/>
        <w:rPr>
          <w:rFonts w:ascii="David" w:eastAsia="David" w:hAnsi="David"/>
          <w:b/>
          <w:bCs/>
          <w:u w:val="single"/>
        </w:rPr>
      </w:pPr>
      <w:r w:rsidRPr="001832CD">
        <w:rPr>
          <w:rFonts w:ascii="David" w:eastAsia="David" w:hAnsi="David"/>
          <w:b/>
          <w:bCs/>
          <w:u w:val="single"/>
          <w:rtl/>
        </w:rPr>
        <w:t>נסיבות ביצוע העבירות</w:t>
      </w:r>
    </w:p>
    <w:p w14:paraId="6C76B954" w14:textId="77777777" w:rsidR="005A11D0" w:rsidRPr="00DB1E78" w:rsidRDefault="005A11D0" w:rsidP="005A11D0">
      <w:pPr>
        <w:spacing w:line="360" w:lineRule="auto"/>
        <w:ind w:firstLine="360"/>
        <w:jc w:val="both"/>
        <w:rPr>
          <w:rFonts w:ascii="David" w:eastAsia="David" w:hAnsi="David"/>
          <w:b/>
          <w:bCs/>
          <w:sz w:val="10"/>
          <w:szCs w:val="10"/>
          <w:u w:val="single"/>
          <w:rtl/>
        </w:rPr>
      </w:pPr>
    </w:p>
    <w:p w14:paraId="21B0BDEF" w14:textId="77777777" w:rsidR="005A11D0" w:rsidRDefault="005A11D0" w:rsidP="005A11D0">
      <w:pPr>
        <w:numPr>
          <w:ilvl w:val="0"/>
          <w:numId w:val="1"/>
        </w:numPr>
        <w:spacing w:after="160" w:line="360" w:lineRule="auto"/>
        <w:jc w:val="both"/>
        <w:rPr>
          <w:rFonts w:ascii="David" w:eastAsia="David" w:hAnsi="David"/>
        </w:rPr>
      </w:pPr>
      <w:r w:rsidRPr="001832CD">
        <w:rPr>
          <w:rFonts w:ascii="David" w:eastAsia="David" w:hAnsi="David"/>
          <w:rtl/>
        </w:rPr>
        <w:t xml:space="preserve">נסיבות ביצוע העבירות פורטו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1832CD">
        <w:rPr>
          <w:rFonts w:ascii="David" w:eastAsia="David" w:hAnsi="David"/>
          <w:b/>
          <w:bCs/>
          <w:rtl/>
        </w:rPr>
        <w:t xml:space="preserve">ע"פ 1530/04 + </w:t>
      </w:r>
      <w:hyperlink r:id="rId28" w:history="1">
        <w:r w:rsidR="00F513CF" w:rsidRPr="00F513CF">
          <w:rPr>
            <w:rFonts w:ascii="David" w:eastAsia="David" w:hAnsi="David"/>
            <w:b/>
            <w:bCs/>
            <w:color w:val="0000FF"/>
            <w:u w:val="single"/>
            <w:rtl/>
          </w:rPr>
          <w:t xml:space="preserve">1332/04 </w:t>
        </w:r>
      </w:hyperlink>
      <w:r w:rsidRPr="001832CD">
        <w:rPr>
          <w:rFonts w:ascii="David" w:eastAsia="David" w:hAnsi="David"/>
          <w:b/>
          <w:bCs/>
          <w:rtl/>
        </w:rPr>
        <w:t xml:space="preserve"> </w:t>
      </w:r>
      <w:r w:rsidRPr="001832CD">
        <w:rPr>
          <w:rFonts w:ascii="David" w:eastAsia="David" w:hAnsi="David"/>
          <w:b/>
          <w:bCs/>
          <w:u w:val="single"/>
          <w:rtl/>
        </w:rPr>
        <w:t>יצחק רפאל פס ואח' נגד מדינת ישראל</w:t>
      </w:r>
      <w:r w:rsidRPr="001832CD">
        <w:rPr>
          <w:rFonts w:ascii="David" w:eastAsia="David" w:hAnsi="David"/>
          <w:b/>
          <w:bCs/>
          <w:rtl/>
        </w:rPr>
        <w:t xml:space="preserve"> (בימ"ש העליון).</w:t>
      </w:r>
    </w:p>
    <w:p w14:paraId="14733B64" w14:textId="77777777" w:rsidR="005A11D0" w:rsidRPr="00EA29D9" w:rsidRDefault="005A11D0" w:rsidP="005A11D0">
      <w:pPr>
        <w:pStyle w:val="a9"/>
        <w:spacing w:line="360" w:lineRule="auto"/>
        <w:jc w:val="both"/>
        <w:rPr>
          <w:rFonts w:ascii="David" w:eastAsia="David" w:hAnsi="David"/>
          <w:rtl/>
        </w:rPr>
      </w:pPr>
      <w:r w:rsidRPr="00EA29D9">
        <w:rPr>
          <w:rFonts w:ascii="David" w:eastAsia="Calibri" w:hAnsi="David"/>
          <w:b/>
          <w:bCs/>
          <w:rtl/>
        </w:rPr>
        <w:t xml:space="preserve">בבש"פ </w:t>
      </w:r>
      <w:hyperlink r:id="rId29" w:history="1">
        <w:r w:rsidR="00F513CF" w:rsidRPr="00F513CF">
          <w:rPr>
            <w:rFonts w:ascii="David" w:eastAsia="Calibri" w:hAnsi="David"/>
            <w:b/>
            <w:bCs/>
            <w:color w:val="0000FF"/>
            <w:u w:val="single"/>
            <w:rtl/>
          </w:rPr>
          <w:t xml:space="preserve">625/82 </w:t>
        </w:r>
      </w:hyperlink>
      <w:r w:rsidRPr="00EA29D9">
        <w:rPr>
          <w:rFonts w:ascii="David" w:eastAsia="Calibri" w:hAnsi="David"/>
          <w:b/>
          <w:bCs/>
          <w:rtl/>
        </w:rPr>
        <w:t xml:space="preserve"> </w:t>
      </w:r>
      <w:r w:rsidRPr="00EA29D9">
        <w:rPr>
          <w:rFonts w:ascii="David" w:eastAsia="Calibri" w:hAnsi="David"/>
          <w:b/>
          <w:bCs/>
          <w:u w:val="single"/>
          <w:rtl/>
        </w:rPr>
        <w:t>אבו-מוך נגד מדינת ישראל</w:t>
      </w:r>
      <w:r w:rsidRPr="00EA29D9">
        <w:rPr>
          <w:rFonts w:ascii="David" w:eastAsia="Calibri" w:hAnsi="David"/>
          <w:rtl/>
        </w:rPr>
        <w:t xml:space="preserve">, </w:t>
      </w:r>
      <w:r>
        <w:rPr>
          <w:rFonts w:ascii="David" w:eastAsia="Calibri" w:hAnsi="David" w:hint="cs"/>
          <w:rtl/>
        </w:rPr>
        <w:t>פורטו ה</w:t>
      </w:r>
      <w:r w:rsidRPr="00EA29D9">
        <w:rPr>
          <w:rFonts w:ascii="David" w:eastAsia="Calibri" w:hAnsi="David"/>
          <w:rtl/>
        </w:rPr>
        <w:t xml:space="preserve">קטיגוריות לבחינת חומרת העבירה מהכבד </w:t>
      </w:r>
      <w:r>
        <w:rPr>
          <w:rFonts w:ascii="David" w:eastAsia="Calibri" w:hAnsi="David" w:hint="cs"/>
          <w:rtl/>
        </w:rPr>
        <w:t xml:space="preserve">את </w:t>
      </w:r>
      <w:r w:rsidRPr="00EA29D9">
        <w:rPr>
          <w:rFonts w:ascii="David" w:eastAsia="Calibri" w:hAnsi="David"/>
          <w:rtl/>
        </w:rPr>
        <w:t xml:space="preserve">לקל: החזקת נשק לצורך פגיעה בביטחון המדינה; החזקת נשק לשם ביצוע עבירות פליליות; החזקת נשק לעת מצוא כדי לאפשר פעילות פלילית לעתיד; צבירת נשק על רקע אידאולוגי; החזקת נשק לצורך הגנה עצמית או הגנת המשפחה; החזקת נשק לצורך ציד או ספורט; החזקת נשק כמזכרת או לאוסף; החזקת נשק למי שפג רשיונו (לאישור סיווג זה, ראו </w:t>
      </w:r>
      <w:r>
        <w:rPr>
          <w:rFonts w:ascii="David" w:eastAsia="Calibri" w:hAnsi="David" w:hint="cs"/>
          <w:rtl/>
        </w:rPr>
        <w:t xml:space="preserve">גם </w:t>
      </w:r>
      <w:hyperlink r:id="rId30" w:history="1">
        <w:r w:rsidR="008632AD" w:rsidRPr="008632AD">
          <w:rPr>
            <w:rFonts w:ascii="David" w:eastAsia="Calibri" w:hAnsi="David"/>
            <w:b/>
            <w:bCs/>
            <w:color w:val="0000FF"/>
            <w:u w:val="single"/>
            <w:rtl/>
          </w:rPr>
          <w:t>ע"פ 8473/13</w:t>
        </w:r>
      </w:hyperlink>
      <w:r w:rsidRPr="00EA29D9">
        <w:rPr>
          <w:rFonts w:ascii="David" w:eastAsia="Calibri" w:hAnsi="David"/>
          <w:b/>
          <w:bCs/>
          <w:rtl/>
        </w:rPr>
        <w:t xml:space="preserve"> </w:t>
      </w:r>
      <w:r w:rsidRPr="00EA29D9">
        <w:rPr>
          <w:rFonts w:ascii="David" w:eastAsia="Calibri" w:hAnsi="David"/>
          <w:b/>
          <w:bCs/>
          <w:u w:val="single"/>
          <w:rtl/>
        </w:rPr>
        <w:t>חוסיין נגד מדינת ישראל</w:t>
      </w:r>
      <w:r>
        <w:rPr>
          <w:rFonts w:ascii="David" w:eastAsia="Calibri" w:hAnsi="David" w:hint="cs"/>
          <w:b/>
          <w:bCs/>
          <w:rtl/>
        </w:rPr>
        <w:t>.</w:t>
      </w:r>
    </w:p>
    <w:p w14:paraId="23BA1C55" w14:textId="77777777" w:rsidR="005A11D0" w:rsidRPr="004964E1" w:rsidRDefault="005A11D0" w:rsidP="005A11D0">
      <w:pPr>
        <w:spacing w:line="360" w:lineRule="auto"/>
        <w:ind w:left="720"/>
        <w:jc w:val="both"/>
        <w:rPr>
          <w:rFonts w:ascii="David" w:eastAsia="David" w:hAnsi="David"/>
          <w:sz w:val="12"/>
          <w:szCs w:val="12"/>
        </w:rPr>
      </w:pPr>
    </w:p>
    <w:p w14:paraId="35DDBAC7" w14:textId="77777777" w:rsidR="005A11D0" w:rsidRPr="00E37FDC" w:rsidRDefault="005A11D0" w:rsidP="005A11D0">
      <w:pPr>
        <w:pStyle w:val="a9"/>
        <w:numPr>
          <w:ilvl w:val="0"/>
          <w:numId w:val="1"/>
        </w:numPr>
        <w:spacing w:line="360" w:lineRule="auto"/>
        <w:jc w:val="both"/>
        <w:rPr>
          <w:rFonts w:ascii="David" w:eastAsia="Calibri" w:hAnsi="David"/>
          <w:rtl/>
        </w:rPr>
      </w:pPr>
      <w:r>
        <w:rPr>
          <w:rFonts w:ascii="David" w:eastAsia="Calibri" w:hAnsi="David" w:hint="cs"/>
          <w:rtl/>
        </w:rPr>
        <w:t xml:space="preserve">הנאשם </w:t>
      </w:r>
      <w:r w:rsidRPr="00E37FDC">
        <w:rPr>
          <w:rFonts w:ascii="David" w:eastAsia="Calibri" w:hAnsi="David"/>
          <w:rtl/>
        </w:rPr>
        <w:t xml:space="preserve">החזיק נשא והוביל בכיס מעילו אקדח חצי אוטומטי </w:t>
      </w:r>
      <w:r w:rsidRPr="00E37FDC">
        <w:rPr>
          <w:rFonts w:ascii="David" w:eastAsia="Calibri" w:hAnsi="David" w:hint="cs"/>
          <w:rtl/>
        </w:rPr>
        <w:t xml:space="preserve">בקוטר </w:t>
      </w:r>
      <w:r>
        <w:rPr>
          <w:rFonts w:ascii="David" w:eastAsia="Calibri" w:hAnsi="David" w:hint="cs"/>
          <w:rtl/>
        </w:rPr>
        <w:t>6.35 מ"מ</w:t>
      </w:r>
      <w:r w:rsidRPr="00E37FDC">
        <w:rPr>
          <w:rFonts w:ascii="David" w:eastAsia="Calibri" w:hAnsi="David" w:hint="cs"/>
          <w:rtl/>
        </w:rPr>
        <w:t xml:space="preserve"> </w:t>
      </w:r>
      <w:r w:rsidRPr="00E37FDC">
        <w:rPr>
          <w:rFonts w:ascii="David" w:eastAsia="Calibri" w:hAnsi="David"/>
          <w:rtl/>
        </w:rPr>
        <w:t>ע</w:t>
      </w:r>
      <w:r>
        <w:rPr>
          <w:rFonts w:ascii="David" w:eastAsia="Calibri" w:hAnsi="David"/>
          <w:rtl/>
        </w:rPr>
        <w:t>ם מחסנית תואמת טעונה ב- 5 כדורי</w:t>
      </w:r>
      <w:r>
        <w:rPr>
          <w:rFonts w:ascii="David" w:eastAsia="Calibri" w:hAnsi="David" w:hint="cs"/>
          <w:rtl/>
        </w:rPr>
        <w:t>ם</w:t>
      </w:r>
      <w:r w:rsidRPr="00E37FDC">
        <w:rPr>
          <w:rFonts w:ascii="David" w:eastAsia="Calibri" w:hAnsi="David"/>
          <w:rtl/>
        </w:rPr>
        <w:t xml:space="preserve">. </w:t>
      </w:r>
      <w:r w:rsidRPr="00E37FDC">
        <w:rPr>
          <w:rFonts w:ascii="David" w:eastAsia="Calibri" w:hAnsi="David" w:hint="cs"/>
          <w:rtl/>
        </w:rPr>
        <w:t xml:space="preserve">בנוסף </w:t>
      </w:r>
      <w:r w:rsidRPr="00E37FDC">
        <w:rPr>
          <w:rFonts w:ascii="David" w:eastAsia="Calibri" w:hAnsi="David"/>
          <w:rtl/>
        </w:rPr>
        <w:t xml:space="preserve">הנאשם </w:t>
      </w:r>
      <w:r>
        <w:rPr>
          <w:rFonts w:ascii="David" w:eastAsia="Calibri" w:hAnsi="David" w:hint="cs"/>
          <w:rtl/>
        </w:rPr>
        <w:t xml:space="preserve"> החזיק  </w:t>
      </w:r>
      <w:r w:rsidRPr="00E37FDC">
        <w:rPr>
          <w:rFonts w:ascii="David" w:eastAsia="Calibri" w:hAnsi="David"/>
          <w:rtl/>
        </w:rPr>
        <w:t xml:space="preserve">בדירתו 34 כדורי תחמושת בקוטר </w:t>
      </w:r>
      <w:r>
        <w:rPr>
          <w:rFonts w:ascii="David" w:eastAsia="Calibri" w:hAnsi="David"/>
          <w:rtl/>
        </w:rPr>
        <w:t>9 מ"מ וכדור נוסף בקוטר 6.35 מ"מ</w:t>
      </w:r>
      <w:r w:rsidRPr="00E37FDC">
        <w:rPr>
          <w:rFonts w:ascii="David" w:eastAsia="Calibri" w:hAnsi="David"/>
          <w:rtl/>
        </w:rPr>
        <w:t xml:space="preserve">. </w:t>
      </w:r>
    </w:p>
    <w:p w14:paraId="16532C3A" w14:textId="77777777" w:rsidR="005A11D0" w:rsidRPr="00D94160" w:rsidRDefault="005A11D0" w:rsidP="005A11D0">
      <w:pPr>
        <w:spacing w:line="360" w:lineRule="auto"/>
        <w:ind w:left="720"/>
        <w:contextualSpacing/>
        <w:jc w:val="both"/>
        <w:rPr>
          <w:rFonts w:ascii="David" w:eastAsia="Calibri" w:hAnsi="David"/>
          <w:sz w:val="4"/>
          <w:szCs w:val="4"/>
          <w:rtl/>
        </w:rPr>
      </w:pPr>
    </w:p>
    <w:p w14:paraId="0FD46EF0" w14:textId="77777777" w:rsidR="005A11D0" w:rsidRPr="00D94160" w:rsidRDefault="005A11D0" w:rsidP="005A11D0">
      <w:pPr>
        <w:spacing w:line="360" w:lineRule="auto"/>
        <w:ind w:left="720"/>
        <w:contextualSpacing/>
        <w:jc w:val="both"/>
        <w:rPr>
          <w:rFonts w:ascii="David" w:eastAsia="Calibri" w:hAnsi="David"/>
          <w:sz w:val="6"/>
          <w:szCs w:val="6"/>
          <w:rtl/>
        </w:rPr>
      </w:pPr>
    </w:p>
    <w:p w14:paraId="63B093B3" w14:textId="77777777" w:rsidR="005A11D0" w:rsidRPr="001832CD" w:rsidRDefault="005A11D0" w:rsidP="005A11D0">
      <w:pPr>
        <w:spacing w:line="360" w:lineRule="auto"/>
        <w:ind w:left="720"/>
        <w:contextualSpacing/>
        <w:jc w:val="both"/>
        <w:rPr>
          <w:rFonts w:ascii="David" w:eastAsia="Calibri" w:hAnsi="David"/>
          <w:rtl/>
        </w:rPr>
      </w:pPr>
      <w:r w:rsidRPr="001832CD">
        <w:rPr>
          <w:rFonts w:ascii="David" w:eastAsia="Calibri" w:hAnsi="David"/>
          <w:rtl/>
        </w:rPr>
        <w:t xml:space="preserve">מדובר בנשק עם מחסנית טעונה המוכן לביצוע ירי מידי, בנוסף לכך הנשק נתפס על גופו של הנאשם בחניון בבניין מגורים, </w:t>
      </w:r>
      <w:r>
        <w:rPr>
          <w:rFonts w:ascii="David" w:eastAsia="Calibri" w:hAnsi="David" w:hint="cs"/>
          <w:rtl/>
        </w:rPr>
        <w:t>ו</w:t>
      </w:r>
      <w:r w:rsidRPr="001832CD">
        <w:rPr>
          <w:rFonts w:ascii="David" w:eastAsia="Calibri" w:hAnsi="David"/>
          <w:rtl/>
        </w:rPr>
        <w:t xml:space="preserve">מדובר בנסיבות מחמירות, שכן אלה מלמדים על פוטנציאל הסיכון הממשי והמידי של שימוש בנשק  ועל הנזק החמור </w:t>
      </w:r>
      <w:r>
        <w:rPr>
          <w:rFonts w:ascii="David" w:eastAsia="Calibri" w:hAnsi="David" w:hint="cs"/>
          <w:rtl/>
        </w:rPr>
        <w:t xml:space="preserve">והקטלני </w:t>
      </w:r>
      <w:r>
        <w:rPr>
          <w:rFonts w:ascii="David" w:eastAsia="Calibri" w:hAnsi="David"/>
          <w:rtl/>
        </w:rPr>
        <w:t>שעלול היה להיגרם ממנו</w:t>
      </w:r>
      <w:r w:rsidRPr="001832CD">
        <w:rPr>
          <w:rFonts w:ascii="David" w:eastAsia="Calibri" w:hAnsi="David"/>
          <w:rtl/>
        </w:rPr>
        <w:t xml:space="preserve">. </w:t>
      </w:r>
    </w:p>
    <w:p w14:paraId="081F21CF" w14:textId="77777777" w:rsidR="005A11D0" w:rsidRPr="004964E1" w:rsidRDefault="005A11D0" w:rsidP="005A11D0">
      <w:pPr>
        <w:spacing w:line="360" w:lineRule="auto"/>
        <w:contextualSpacing/>
        <w:jc w:val="both"/>
        <w:rPr>
          <w:rFonts w:ascii="David" w:eastAsia="Calibri" w:hAnsi="David"/>
          <w:sz w:val="6"/>
          <w:szCs w:val="6"/>
          <w:rtl/>
        </w:rPr>
      </w:pPr>
    </w:p>
    <w:p w14:paraId="2D60A544" w14:textId="77777777" w:rsidR="005A11D0" w:rsidRPr="001832CD" w:rsidRDefault="005A11D0" w:rsidP="005A11D0">
      <w:pPr>
        <w:spacing w:line="360" w:lineRule="auto"/>
        <w:ind w:left="720"/>
        <w:contextualSpacing/>
        <w:jc w:val="both"/>
        <w:rPr>
          <w:rFonts w:ascii="David" w:eastAsia="Calibri" w:hAnsi="David"/>
        </w:rPr>
      </w:pPr>
      <w:r w:rsidRPr="001832CD">
        <w:rPr>
          <w:rFonts w:ascii="David" w:eastAsia="Calibri" w:hAnsi="David"/>
          <w:rtl/>
        </w:rPr>
        <w:t xml:space="preserve">הנאשם אינו מורשה לנשיאת נשק, לא עבר כל הכשרה מותרת ויש בעצם נשיאתו של הנשק </w:t>
      </w:r>
      <w:r w:rsidRPr="001832CD">
        <w:rPr>
          <w:rFonts w:ascii="David" w:hAnsi="David"/>
          <w:rtl/>
        </w:rPr>
        <w:t>כדי להוות סכנה לציבור ללא קשר למטרות נשיאתו.</w:t>
      </w:r>
      <w:r w:rsidRPr="001832CD">
        <w:rPr>
          <w:rFonts w:ascii="David" w:eastAsia="Calibri" w:hAnsi="David"/>
          <w:rtl/>
        </w:rPr>
        <w:t xml:space="preserve"> חלקו של הנאשם בתכנון וביצוע העבירה הינו מרכזי</w:t>
      </w:r>
      <w:r>
        <w:rPr>
          <w:rFonts w:ascii="David" w:eastAsia="Calibri" w:hAnsi="David" w:hint="cs"/>
          <w:rtl/>
        </w:rPr>
        <w:t xml:space="preserve">.  כפי שצוין על ידי ההגנה הנשק נרכש על ידי הנאשם בסמוך למועד ביצוע העבירה ומכאן שלא מדובר באירוע ספונטאני כי אם באירוע מחושב ומתוכנן. </w:t>
      </w:r>
      <w:r w:rsidRPr="001832CD">
        <w:rPr>
          <w:rFonts w:ascii="David" w:eastAsia="Calibri" w:hAnsi="David"/>
          <w:rtl/>
        </w:rPr>
        <w:t xml:space="preserve">בנוסף הנאשם </w:t>
      </w:r>
      <w:r>
        <w:rPr>
          <w:rFonts w:ascii="David" w:eastAsia="Calibri" w:hAnsi="David" w:hint="cs"/>
          <w:rtl/>
        </w:rPr>
        <w:t>יכו</w:t>
      </w:r>
      <w:r w:rsidRPr="001832CD">
        <w:rPr>
          <w:rFonts w:ascii="David" w:eastAsia="Calibri" w:hAnsi="David"/>
          <w:rtl/>
        </w:rPr>
        <w:t xml:space="preserve">ל להימנע מביצוע העבירה, אך הוא לא עשה כן. </w:t>
      </w:r>
    </w:p>
    <w:p w14:paraId="6FB0FBD7" w14:textId="77777777" w:rsidR="005A11D0" w:rsidRPr="00EA29D9" w:rsidRDefault="005A11D0" w:rsidP="005A11D0">
      <w:pPr>
        <w:spacing w:line="360" w:lineRule="auto"/>
        <w:ind w:left="720"/>
        <w:contextualSpacing/>
        <w:jc w:val="both"/>
        <w:rPr>
          <w:rFonts w:ascii="David" w:eastAsia="Calibri" w:hAnsi="David"/>
          <w:sz w:val="14"/>
          <w:szCs w:val="14"/>
          <w:rtl/>
        </w:rPr>
      </w:pPr>
    </w:p>
    <w:p w14:paraId="73BA54A6" w14:textId="77777777" w:rsidR="005A11D0" w:rsidRDefault="005A11D0" w:rsidP="005A11D0">
      <w:pPr>
        <w:pStyle w:val="a9"/>
        <w:numPr>
          <w:ilvl w:val="0"/>
          <w:numId w:val="1"/>
        </w:numPr>
        <w:spacing w:line="360" w:lineRule="auto"/>
        <w:jc w:val="both"/>
        <w:rPr>
          <w:rFonts w:ascii="David" w:eastAsia="Calibri" w:hAnsi="David"/>
        </w:rPr>
      </w:pPr>
      <w:r w:rsidRPr="00EA29D9">
        <w:rPr>
          <w:rFonts w:ascii="David" w:eastAsia="Calibri" w:hAnsi="David"/>
          <w:rtl/>
        </w:rPr>
        <w:t xml:space="preserve">מאחר וכתב האישום לא מציין את פרק הזמן </w:t>
      </w:r>
      <w:r>
        <w:rPr>
          <w:rFonts w:ascii="David" w:eastAsia="Calibri" w:hAnsi="David" w:hint="cs"/>
          <w:rtl/>
        </w:rPr>
        <w:t>בו הנאשם החזיק ב</w:t>
      </w:r>
      <w:r w:rsidRPr="00EA29D9">
        <w:rPr>
          <w:rFonts w:ascii="David" w:eastAsia="Calibri" w:hAnsi="David"/>
          <w:rtl/>
        </w:rPr>
        <w:t xml:space="preserve">נשק, </w:t>
      </w:r>
      <w:r w:rsidRPr="00EA29D9">
        <w:rPr>
          <w:rFonts w:ascii="David" w:eastAsia="Calibri" w:hAnsi="David" w:hint="cs"/>
          <w:rtl/>
        </w:rPr>
        <w:t xml:space="preserve">יש לקבל את טענת ההגנה </w:t>
      </w:r>
      <w:r w:rsidRPr="00EA29D9">
        <w:rPr>
          <w:rFonts w:ascii="David" w:eastAsia="Calibri" w:hAnsi="David"/>
          <w:rtl/>
        </w:rPr>
        <w:t>לפיה הנאשם החזיק את הנשק</w:t>
      </w:r>
      <w:r w:rsidRPr="00EA29D9">
        <w:rPr>
          <w:rFonts w:ascii="David" w:eastAsia="Calibri" w:hAnsi="David" w:hint="cs"/>
          <w:rtl/>
        </w:rPr>
        <w:t xml:space="preserve"> רק ביום שנתפס</w:t>
      </w:r>
      <w:r w:rsidRPr="00EA29D9">
        <w:rPr>
          <w:rFonts w:ascii="David" w:eastAsia="Calibri" w:hAnsi="David"/>
          <w:rtl/>
        </w:rPr>
        <w:t xml:space="preserve">, </w:t>
      </w:r>
      <w:r w:rsidRPr="00EA29D9">
        <w:rPr>
          <w:rFonts w:ascii="David" w:eastAsia="Calibri" w:hAnsi="David" w:hint="cs"/>
          <w:rtl/>
        </w:rPr>
        <w:t>טענה לה המאשימה לא התנגדה.</w:t>
      </w:r>
    </w:p>
    <w:p w14:paraId="4E4E53B9" w14:textId="77777777" w:rsidR="005A11D0" w:rsidRPr="00EA29D9" w:rsidRDefault="005A11D0" w:rsidP="005A11D0">
      <w:pPr>
        <w:pStyle w:val="a9"/>
        <w:spacing w:line="360" w:lineRule="auto"/>
        <w:jc w:val="both"/>
        <w:rPr>
          <w:rFonts w:ascii="David" w:eastAsia="Calibri" w:hAnsi="David"/>
          <w:sz w:val="10"/>
          <w:szCs w:val="10"/>
        </w:rPr>
      </w:pPr>
    </w:p>
    <w:p w14:paraId="2DEEBDF2" w14:textId="77777777" w:rsidR="005A11D0" w:rsidRPr="00EA29D9" w:rsidRDefault="005A11D0" w:rsidP="005A11D0">
      <w:pPr>
        <w:pStyle w:val="a9"/>
        <w:numPr>
          <w:ilvl w:val="0"/>
          <w:numId w:val="1"/>
        </w:numPr>
        <w:spacing w:line="360" w:lineRule="auto"/>
        <w:jc w:val="both"/>
        <w:rPr>
          <w:rFonts w:ascii="David" w:eastAsia="Calibri" w:hAnsi="David"/>
          <w:rtl/>
        </w:rPr>
      </w:pPr>
      <w:r>
        <w:rPr>
          <w:rFonts w:ascii="David" w:eastAsia="Calibri" w:hAnsi="David" w:hint="cs"/>
          <w:rtl/>
        </w:rPr>
        <w:t xml:space="preserve">לאחר ששמעתי את עדותו של הנאשם ועדותה של בת זוגו, ונוכח האירועים שפורטו בעדותם, אירועים שאינם במחלוקת, אני סבור כי הנאשם הוכיח בוודאי במידה הנדרשת ממנו, כי החזיק באקדח מתוך רצון להגן על עצמו ולא למטרה אחר. </w:t>
      </w:r>
    </w:p>
    <w:p w14:paraId="3AF9A94F" w14:textId="77777777" w:rsidR="005A11D0" w:rsidRPr="00B54EE5" w:rsidRDefault="005A11D0" w:rsidP="005A11D0">
      <w:pPr>
        <w:spacing w:line="360" w:lineRule="auto"/>
        <w:ind w:left="720"/>
        <w:contextualSpacing/>
        <w:jc w:val="both"/>
        <w:rPr>
          <w:rFonts w:ascii="David" w:eastAsia="Calibri" w:hAnsi="David"/>
          <w:sz w:val="12"/>
          <w:szCs w:val="12"/>
          <w:rtl/>
        </w:rPr>
      </w:pPr>
    </w:p>
    <w:p w14:paraId="16E0FE9D" w14:textId="77777777" w:rsidR="005A11D0" w:rsidRPr="001832CD" w:rsidRDefault="005A11D0" w:rsidP="005A11D0">
      <w:pPr>
        <w:spacing w:line="360" w:lineRule="auto"/>
        <w:ind w:left="720"/>
        <w:contextualSpacing/>
        <w:jc w:val="both"/>
        <w:rPr>
          <w:rFonts w:ascii="David" w:eastAsia="Calibri" w:hAnsi="David"/>
          <w:rtl/>
        </w:rPr>
      </w:pPr>
      <w:r w:rsidRPr="001832CD">
        <w:rPr>
          <w:rFonts w:ascii="David" w:eastAsia="Calibri" w:hAnsi="David"/>
          <w:rtl/>
        </w:rPr>
        <w:t xml:space="preserve"> </w:t>
      </w:r>
      <w:r>
        <w:rPr>
          <w:rFonts w:ascii="David" w:eastAsia="Calibri" w:hAnsi="David" w:hint="cs"/>
          <w:rtl/>
        </w:rPr>
        <w:t>יצוין כי מדובר באקדח בעל קוטר קטן מאוד, עובדה היכולה אף היא להתיישב עם טענת הנאשם לפיה רכש את האקדח על מנת להגן על עצמו.</w:t>
      </w:r>
    </w:p>
    <w:p w14:paraId="50948861" w14:textId="77777777" w:rsidR="005A11D0" w:rsidRDefault="005A11D0" w:rsidP="005A11D0">
      <w:pPr>
        <w:spacing w:line="360" w:lineRule="auto"/>
        <w:jc w:val="both"/>
        <w:rPr>
          <w:rFonts w:ascii="David" w:hAnsi="David"/>
          <w:rtl/>
        </w:rPr>
      </w:pPr>
    </w:p>
    <w:p w14:paraId="6D40C5AE" w14:textId="77777777" w:rsidR="005A11D0" w:rsidRPr="00461E1C" w:rsidRDefault="005A11D0" w:rsidP="005A11D0">
      <w:pPr>
        <w:spacing w:line="360" w:lineRule="auto"/>
        <w:ind w:firstLine="720"/>
        <w:jc w:val="both"/>
        <w:rPr>
          <w:rFonts w:ascii="David" w:hAnsi="David"/>
          <w:u w:val="single"/>
        </w:rPr>
      </w:pPr>
      <w:r w:rsidRPr="00461E1C">
        <w:rPr>
          <w:rFonts w:ascii="David" w:hAnsi="David" w:hint="cs"/>
          <w:u w:val="single"/>
          <w:rtl/>
        </w:rPr>
        <w:t>טענת ההגנה לקרבה לסייג מסוג הגנה עצמית</w:t>
      </w:r>
    </w:p>
    <w:p w14:paraId="68EC993F" w14:textId="77777777" w:rsidR="005A11D0" w:rsidRDefault="005A11D0" w:rsidP="005A11D0">
      <w:pPr>
        <w:numPr>
          <w:ilvl w:val="0"/>
          <w:numId w:val="1"/>
        </w:numPr>
        <w:spacing w:after="160" w:line="360" w:lineRule="auto"/>
        <w:contextualSpacing/>
        <w:jc w:val="both"/>
        <w:rPr>
          <w:rFonts w:ascii="David" w:hAnsi="David"/>
          <w:b/>
          <w:bCs/>
        </w:rPr>
      </w:pPr>
      <w:r>
        <w:rPr>
          <w:rFonts w:ascii="David" w:hAnsi="David" w:hint="cs"/>
          <w:rtl/>
        </w:rPr>
        <w:t>לטענת ההגנה מסכת האירועים שפקדו את הנאשם כמפורט לעיל מציבה אותו בקרבה לסייג מסוג "</w:t>
      </w:r>
      <w:r>
        <w:rPr>
          <w:rFonts w:ascii="David" w:hAnsi="David"/>
          <w:rtl/>
        </w:rPr>
        <w:t xml:space="preserve">הגנה </w:t>
      </w:r>
      <w:r w:rsidRPr="001832CD">
        <w:rPr>
          <w:rFonts w:ascii="David" w:hAnsi="David"/>
          <w:rtl/>
        </w:rPr>
        <w:t>עצמית</w:t>
      </w:r>
      <w:r>
        <w:rPr>
          <w:rFonts w:ascii="David" w:hAnsi="David" w:hint="cs"/>
          <w:rtl/>
        </w:rPr>
        <w:t>".</w:t>
      </w:r>
      <w:r w:rsidRPr="001832CD">
        <w:rPr>
          <w:rFonts w:ascii="David" w:hAnsi="David"/>
          <w:rtl/>
        </w:rPr>
        <w:t xml:space="preserve"> </w:t>
      </w:r>
      <w:r>
        <w:rPr>
          <w:rFonts w:ascii="David" w:hAnsi="David" w:hint="cs"/>
          <w:rtl/>
        </w:rPr>
        <w:t xml:space="preserve"> </w:t>
      </w:r>
    </w:p>
    <w:p w14:paraId="57BFFB99" w14:textId="77777777" w:rsidR="005A11D0" w:rsidRPr="002F6BF5" w:rsidRDefault="005A11D0" w:rsidP="005A11D0">
      <w:pPr>
        <w:spacing w:after="160" w:line="360" w:lineRule="auto"/>
        <w:ind w:left="720"/>
        <w:contextualSpacing/>
        <w:jc w:val="both"/>
        <w:rPr>
          <w:rFonts w:ascii="David" w:hAnsi="David"/>
          <w:b/>
          <w:bCs/>
          <w:sz w:val="4"/>
          <w:szCs w:val="4"/>
        </w:rPr>
      </w:pPr>
    </w:p>
    <w:p w14:paraId="7B240421" w14:textId="77777777" w:rsidR="005A11D0" w:rsidRPr="001832CD" w:rsidRDefault="005A11D0" w:rsidP="005A11D0">
      <w:pPr>
        <w:spacing w:after="160" w:line="360" w:lineRule="auto"/>
        <w:ind w:left="720"/>
        <w:contextualSpacing/>
        <w:jc w:val="both"/>
        <w:rPr>
          <w:rFonts w:ascii="David" w:hAnsi="David"/>
          <w:b/>
          <w:bCs/>
        </w:rPr>
      </w:pPr>
      <w:r>
        <w:rPr>
          <w:rFonts w:ascii="David" w:hAnsi="David" w:hint="cs"/>
          <w:rtl/>
        </w:rPr>
        <w:t xml:space="preserve">בהתאם </w:t>
      </w:r>
      <w:hyperlink r:id="rId31" w:history="1">
        <w:r w:rsidR="00114CAB" w:rsidRPr="00114CAB">
          <w:rPr>
            <w:rStyle w:val="Hyperlink"/>
            <w:rFonts w:ascii="David" w:hAnsi="David" w:hint="eastAsia"/>
            <w:rtl/>
          </w:rPr>
          <w:t>לסעיף</w:t>
        </w:r>
        <w:r w:rsidR="00114CAB" w:rsidRPr="00114CAB">
          <w:rPr>
            <w:rStyle w:val="Hyperlink"/>
            <w:rFonts w:ascii="David" w:hAnsi="David"/>
            <w:rtl/>
          </w:rPr>
          <w:t xml:space="preserve"> 34י.</w:t>
        </w:r>
      </w:hyperlink>
      <w:r>
        <w:rPr>
          <w:rFonts w:ascii="David" w:hAnsi="David"/>
          <w:rtl/>
        </w:rPr>
        <w:t xml:space="preserve"> ל</w:t>
      </w:r>
      <w:hyperlink r:id="rId32" w:history="1">
        <w:r w:rsidR="008632AD" w:rsidRPr="008632AD">
          <w:rPr>
            <w:rFonts w:ascii="David" w:hAnsi="David"/>
            <w:color w:val="0000FF"/>
            <w:u w:val="single"/>
            <w:rtl/>
          </w:rPr>
          <w:t>חוק העונשין</w:t>
        </w:r>
      </w:hyperlink>
      <w:r w:rsidRPr="001832CD">
        <w:rPr>
          <w:rFonts w:ascii="David" w:hAnsi="David"/>
          <w:rtl/>
        </w:rPr>
        <w:t>: "</w:t>
      </w:r>
      <w:r w:rsidRPr="001832CD">
        <w:rPr>
          <w:rFonts w:ascii="David" w:hAnsi="David"/>
          <w:b/>
          <w:bCs/>
          <w:rtl/>
        </w:rPr>
        <w:t>לא יישא אדם באחריות פלילית למעשה שהיה דרוש באופן מידי כדי להדוף תקיפה שלא כדין שנשקפה ממנה סכנה מוחשית של פגיעה בחייו, בחירותו, בגופו או ברכושו, שלו או של זולתו; ואולם, אין אדם פועל תוך הגנה עצמית מקום שהביא בהתנהגותו הפסולה לתקיפה תוך שהוא צופה מראש את אפשרות התפתחות הדברים.</w:t>
      </w:r>
      <w:r w:rsidRPr="001832CD">
        <w:rPr>
          <w:rFonts w:ascii="David" w:hAnsi="David"/>
          <w:rtl/>
        </w:rPr>
        <w:t xml:space="preserve">"  לצורך ביסוסו של סייג ההגנה העצמית צריך שיתקיימו </w:t>
      </w:r>
      <w:r w:rsidRPr="00332523">
        <w:rPr>
          <w:rFonts w:ascii="David" w:hAnsi="David"/>
          <w:rtl/>
        </w:rPr>
        <w:t xml:space="preserve">מספר תנאים </w:t>
      </w:r>
      <w:r w:rsidRPr="00332523">
        <w:rPr>
          <w:rFonts w:ascii="David" w:hAnsi="David"/>
          <w:u w:val="single"/>
          <w:rtl/>
        </w:rPr>
        <w:t>מצטברים</w:t>
      </w:r>
      <w:r w:rsidRPr="001832CD">
        <w:rPr>
          <w:rFonts w:ascii="David" w:hAnsi="David"/>
          <w:rtl/>
        </w:rPr>
        <w:t xml:space="preserve"> כדלקמן: 1. תקיפה שלא כדין 2. סכנה מוחשית לפגיעה בחיים, בחירות, בגוף או ברכוש 3. מידיות - בהיבט של עיתוי המעשה לצורך הדיפת התקיפה 4. כניסה למצב שלא בהתנהגות פסולה 5. נחיצות – הן איכותית והן כמותית 6. פרופורציונליות - יחס ראוי בין הנזק הצפוי מפעולת המגן לנזק הצפוי מן התקיפה (ר' </w:t>
      </w:r>
      <w:r w:rsidRPr="001832CD">
        <w:rPr>
          <w:rFonts w:ascii="David" w:hAnsi="David"/>
          <w:b/>
          <w:bCs/>
          <w:rtl/>
        </w:rPr>
        <w:t xml:space="preserve"> </w:t>
      </w:r>
      <w:hyperlink r:id="rId33" w:history="1">
        <w:r w:rsidR="008632AD" w:rsidRPr="008632AD">
          <w:rPr>
            <w:rFonts w:ascii="David" w:hAnsi="David"/>
            <w:b/>
            <w:bCs/>
            <w:color w:val="0000FF"/>
            <w:u w:val="single"/>
            <w:rtl/>
          </w:rPr>
          <w:t>ע"פ  4191/05</w:t>
        </w:r>
      </w:hyperlink>
      <w:r w:rsidRPr="001832CD">
        <w:rPr>
          <w:rFonts w:ascii="David" w:hAnsi="David"/>
          <w:b/>
          <w:bCs/>
          <w:rtl/>
        </w:rPr>
        <w:t xml:space="preserve"> </w:t>
      </w:r>
      <w:r w:rsidRPr="001832CD">
        <w:rPr>
          <w:rFonts w:ascii="David" w:hAnsi="David" w:hint="cs"/>
          <w:b/>
          <w:bCs/>
          <w:u w:val="single"/>
          <w:rtl/>
        </w:rPr>
        <w:t>ארנולד אלטגאוז נ' מדינת ישראל)</w:t>
      </w:r>
      <w:r w:rsidRPr="001832CD">
        <w:rPr>
          <w:rFonts w:ascii="David" w:hAnsi="David" w:hint="cs"/>
          <w:b/>
          <w:bCs/>
          <w:rtl/>
        </w:rPr>
        <w:t xml:space="preserve">. </w:t>
      </w:r>
    </w:p>
    <w:p w14:paraId="2FBF673E" w14:textId="77777777" w:rsidR="005A11D0" w:rsidRPr="00FE764F" w:rsidRDefault="005A11D0" w:rsidP="005A11D0">
      <w:pPr>
        <w:spacing w:after="160" w:line="360" w:lineRule="auto"/>
        <w:ind w:left="720"/>
        <w:contextualSpacing/>
        <w:jc w:val="both"/>
        <w:rPr>
          <w:rFonts w:ascii="David" w:hAnsi="David"/>
          <w:sz w:val="12"/>
          <w:szCs w:val="12"/>
        </w:rPr>
      </w:pPr>
    </w:p>
    <w:p w14:paraId="5CE875BC" w14:textId="77777777" w:rsidR="005A11D0" w:rsidRPr="001832CD" w:rsidRDefault="005A11D0" w:rsidP="005A11D0">
      <w:pPr>
        <w:spacing w:after="160" w:line="360" w:lineRule="auto"/>
        <w:ind w:left="720"/>
        <w:contextualSpacing/>
        <w:jc w:val="both"/>
        <w:rPr>
          <w:rFonts w:ascii="David" w:hAnsi="David"/>
          <w:rtl/>
        </w:rPr>
      </w:pPr>
      <w:r>
        <w:rPr>
          <w:rFonts w:ascii="David" w:hAnsi="David" w:hint="cs"/>
          <w:rtl/>
        </w:rPr>
        <w:t xml:space="preserve">על מנת שתתקיים קרבה לסייג צריכים להתקיים </w:t>
      </w:r>
      <w:r w:rsidRPr="000437F2">
        <w:rPr>
          <w:rFonts w:ascii="David" w:hAnsi="David" w:hint="cs"/>
          <w:rtl/>
        </w:rPr>
        <w:t xml:space="preserve">לפחות חלק </w:t>
      </w:r>
      <w:r>
        <w:rPr>
          <w:rFonts w:ascii="David" w:hAnsi="David" w:hint="cs"/>
          <w:rtl/>
        </w:rPr>
        <w:t>משמעותי מהתנאים הנדרשים להגנה עצמית</w:t>
      </w:r>
      <w:r w:rsidRPr="001832CD">
        <w:rPr>
          <w:rFonts w:ascii="David" w:hAnsi="David"/>
          <w:rtl/>
        </w:rPr>
        <w:t>:</w:t>
      </w:r>
      <w:r w:rsidRPr="001832CD">
        <w:rPr>
          <w:rFonts w:ascii="David" w:hAnsi="David"/>
          <w:b/>
          <w:bCs/>
          <w:rtl/>
        </w:rPr>
        <w:t xml:space="preserve"> </w:t>
      </w:r>
      <w:r w:rsidRPr="001832CD">
        <w:rPr>
          <w:rFonts w:ascii="David" w:hAnsi="David"/>
          <w:rtl/>
        </w:rPr>
        <w:t>"</w:t>
      </w:r>
      <w:r w:rsidRPr="001832CD">
        <w:rPr>
          <w:rFonts w:ascii="David" w:hAnsi="David"/>
          <w:b/>
          <w:bCs/>
          <w:rtl/>
        </w:rPr>
        <w:t>אדם שאינו עומד בתנאי ההגנה העצמית, אך חלקם מתקיים, הריהו ראוי על כל פנים להתחשבות בנסיבות המיוחדות שהובילו למעשיו 'בדרך של הקלה בעונש או אפילו פטור מלא, לפי המקרה, תוך מתן משקל מרבי והולם למידת אשמתו המעטה'... כך נקבע בסעיף 40ט(א)(9) ל</w:t>
      </w:r>
      <w:hyperlink r:id="rId34" w:history="1">
        <w:r w:rsidR="008632AD" w:rsidRPr="008632AD">
          <w:rPr>
            <w:rFonts w:ascii="David" w:hAnsi="David"/>
            <w:b/>
            <w:bCs/>
            <w:color w:val="0000FF"/>
            <w:u w:val="single"/>
            <w:rtl/>
          </w:rPr>
          <w:t>חוק העונשין</w:t>
        </w:r>
      </w:hyperlink>
      <w:r w:rsidRPr="001832CD">
        <w:rPr>
          <w:rFonts w:ascii="David" w:hAnsi="David"/>
          <w:b/>
          <w:bCs/>
          <w:rtl/>
        </w:rPr>
        <w:t>, כי בעת קביעת מתחם הענישה, על בית המשפט להביא בין שיקוליו את 'הקרבה לסייג לאחריות פלילית כאמור בסימן ב' לפרק ה'1'</w:t>
      </w:r>
      <w:r w:rsidRPr="001832CD">
        <w:rPr>
          <w:rFonts w:ascii="David" w:hAnsi="David"/>
          <w:rtl/>
        </w:rPr>
        <w:t>." (</w:t>
      </w:r>
      <w:hyperlink r:id="rId35" w:history="1">
        <w:r w:rsidR="008632AD" w:rsidRPr="008632AD">
          <w:rPr>
            <w:rFonts w:ascii="David" w:hAnsi="David"/>
            <w:b/>
            <w:bCs/>
            <w:color w:val="0000FF"/>
            <w:u w:val="single"/>
            <w:rtl/>
          </w:rPr>
          <w:t>ע"פ 9062/12</w:t>
        </w:r>
      </w:hyperlink>
      <w:r w:rsidRPr="001832CD">
        <w:rPr>
          <w:rFonts w:ascii="David" w:hAnsi="David"/>
          <w:rtl/>
        </w:rPr>
        <w:t xml:space="preserve"> </w:t>
      </w:r>
      <w:r w:rsidRPr="001832CD">
        <w:rPr>
          <w:rFonts w:ascii="David" w:hAnsi="David" w:hint="cs"/>
          <w:b/>
          <w:bCs/>
          <w:u w:val="single"/>
          <w:rtl/>
        </w:rPr>
        <w:t>אושרי חבה נ' מדינת ישראל</w:t>
      </w:r>
      <w:r w:rsidRPr="001832CD">
        <w:rPr>
          <w:rFonts w:ascii="David" w:hAnsi="David" w:hint="cs"/>
          <w:rtl/>
        </w:rPr>
        <w:t xml:space="preserve"> ).</w:t>
      </w:r>
    </w:p>
    <w:p w14:paraId="5CF9A0AF" w14:textId="77777777" w:rsidR="005A11D0" w:rsidRPr="008A0A06" w:rsidRDefault="005A11D0" w:rsidP="005A11D0">
      <w:pPr>
        <w:spacing w:after="160" w:line="360" w:lineRule="auto"/>
        <w:ind w:left="720"/>
        <w:contextualSpacing/>
        <w:jc w:val="both"/>
        <w:rPr>
          <w:rFonts w:ascii="David" w:hAnsi="David"/>
          <w:sz w:val="2"/>
          <w:szCs w:val="2"/>
          <w:rtl/>
        </w:rPr>
      </w:pPr>
    </w:p>
    <w:p w14:paraId="6F964F49" w14:textId="77777777" w:rsidR="005A11D0" w:rsidRPr="00FE764F" w:rsidRDefault="005A11D0" w:rsidP="005A11D0">
      <w:pPr>
        <w:pStyle w:val="a9"/>
        <w:spacing w:after="160" w:line="360" w:lineRule="auto"/>
        <w:jc w:val="both"/>
        <w:rPr>
          <w:rFonts w:ascii="David" w:hAnsi="David"/>
          <w:sz w:val="14"/>
          <w:szCs w:val="14"/>
          <w:rtl/>
        </w:rPr>
      </w:pPr>
    </w:p>
    <w:p w14:paraId="746C8B11" w14:textId="77777777" w:rsidR="005A11D0" w:rsidRDefault="005A11D0" w:rsidP="005A11D0">
      <w:pPr>
        <w:pStyle w:val="a9"/>
        <w:numPr>
          <w:ilvl w:val="0"/>
          <w:numId w:val="1"/>
        </w:numPr>
        <w:spacing w:after="160" w:line="360" w:lineRule="auto"/>
        <w:jc w:val="both"/>
        <w:rPr>
          <w:rFonts w:ascii="David" w:hAnsi="David"/>
        </w:rPr>
      </w:pPr>
      <w:r w:rsidRPr="00AD0404">
        <w:rPr>
          <w:rFonts w:ascii="David" w:hAnsi="David" w:hint="cs"/>
          <w:rtl/>
        </w:rPr>
        <w:t>לאחר ששקלתי את טענות הצדדים הגעתי לכלל מסקנה לפיה לא מתקיימת במקרה זה קרבה לסייג לאחריות פלילית מסוג "הגנה עצמית"</w:t>
      </w:r>
      <w:r>
        <w:rPr>
          <w:rFonts w:ascii="David" w:hAnsi="David" w:hint="cs"/>
          <w:rtl/>
        </w:rPr>
        <w:t xml:space="preserve"> וזאת ממספר טעמים:</w:t>
      </w:r>
    </w:p>
    <w:p w14:paraId="03200C95" w14:textId="77777777" w:rsidR="005A11D0" w:rsidRPr="002F6BF5" w:rsidRDefault="005A11D0" w:rsidP="005A11D0">
      <w:pPr>
        <w:pStyle w:val="a9"/>
        <w:spacing w:after="160" w:line="360" w:lineRule="auto"/>
        <w:jc w:val="both"/>
        <w:rPr>
          <w:rFonts w:ascii="David" w:hAnsi="David"/>
          <w:sz w:val="16"/>
          <w:szCs w:val="16"/>
          <w:rtl/>
        </w:rPr>
      </w:pPr>
    </w:p>
    <w:p w14:paraId="7F8F57EA" w14:textId="77777777" w:rsidR="005A11D0" w:rsidRDefault="005A11D0" w:rsidP="005A11D0">
      <w:pPr>
        <w:pStyle w:val="a9"/>
        <w:spacing w:after="160" w:line="360" w:lineRule="auto"/>
        <w:jc w:val="both"/>
        <w:rPr>
          <w:rFonts w:ascii="David" w:hAnsi="David"/>
          <w:rtl/>
        </w:rPr>
      </w:pPr>
      <w:r>
        <w:rPr>
          <w:rFonts w:ascii="David" w:hAnsi="David" w:hint="cs"/>
          <w:rtl/>
        </w:rPr>
        <w:t xml:space="preserve">ראשית, </w:t>
      </w:r>
      <w:r w:rsidRPr="00FE764F">
        <w:rPr>
          <w:rFonts w:ascii="David" w:hAnsi="David" w:hint="cs"/>
          <w:rtl/>
        </w:rPr>
        <w:t xml:space="preserve"> ספק רב אם ניתן להצדיק ביצוע עבירה חמורה של נשיאת נשק שלא כדין לצורך הגנה עצמית, או לצורך קביעת קרבה לסייג,  וצריכים</w:t>
      </w:r>
      <w:r>
        <w:rPr>
          <w:rFonts w:ascii="David" w:hAnsi="David" w:hint="cs"/>
          <w:rtl/>
        </w:rPr>
        <w:t xml:space="preserve"> לטעמי </w:t>
      </w:r>
      <w:r w:rsidRPr="00FE764F">
        <w:rPr>
          <w:rFonts w:ascii="David" w:hAnsi="David" w:hint="cs"/>
          <w:rtl/>
        </w:rPr>
        <w:t xml:space="preserve">להתקיים תנאים </w:t>
      </w:r>
      <w:r>
        <w:rPr>
          <w:rFonts w:ascii="David" w:hAnsi="David" w:hint="cs"/>
          <w:rtl/>
        </w:rPr>
        <w:t>חריגים ביותר.</w:t>
      </w:r>
    </w:p>
    <w:p w14:paraId="392C9729" w14:textId="77777777" w:rsidR="005A11D0" w:rsidRPr="002F6BF5" w:rsidRDefault="005A11D0" w:rsidP="005A11D0">
      <w:pPr>
        <w:pStyle w:val="a9"/>
        <w:spacing w:after="160" w:line="360" w:lineRule="auto"/>
        <w:jc w:val="both"/>
        <w:rPr>
          <w:rFonts w:ascii="David" w:hAnsi="David"/>
          <w:sz w:val="14"/>
          <w:szCs w:val="14"/>
          <w:rtl/>
        </w:rPr>
      </w:pPr>
    </w:p>
    <w:p w14:paraId="7EAFC0B4" w14:textId="77777777" w:rsidR="005A11D0" w:rsidRDefault="005A11D0" w:rsidP="005A11D0">
      <w:pPr>
        <w:pStyle w:val="a9"/>
        <w:spacing w:after="160" w:line="360" w:lineRule="auto"/>
        <w:jc w:val="both"/>
        <w:rPr>
          <w:rFonts w:ascii="David" w:eastAsia="Calibri" w:hAnsi="David"/>
          <w:rtl/>
        </w:rPr>
      </w:pPr>
      <w:r>
        <w:rPr>
          <w:rFonts w:ascii="David" w:hAnsi="David" w:hint="cs"/>
          <w:rtl/>
        </w:rPr>
        <w:t xml:space="preserve">שנית, </w:t>
      </w:r>
      <w:r w:rsidRPr="00FE764F">
        <w:rPr>
          <w:rFonts w:ascii="David" w:hAnsi="David" w:hint="cs"/>
          <w:rtl/>
        </w:rPr>
        <w:t>הנאשם התבקש על ידי המשטרה לעדכן  בכל אירוע חריג אך הוא לא עשה כן, ובמקום זאת</w:t>
      </w:r>
      <w:r>
        <w:rPr>
          <w:rFonts w:ascii="David" w:hAnsi="David" w:hint="cs"/>
          <w:rtl/>
        </w:rPr>
        <w:t xml:space="preserve"> הנאשם</w:t>
      </w:r>
      <w:r w:rsidRPr="00FE764F">
        <w:rPr>
          <w:rFonts w:ascii="David" w:hAnsi="David" w:hint="cs"/>
          <w:rtl/>
        </w:rPr>
        <w:t xml:space="preserve"> החליט לעשות דין לעצמו ולהחזיק באקדח. לא מן הנמנע כי שיתוף פעולה מלא מצד הנאשם עם המשטרה היה נותן מענה למצבו של הנאשם. </w:t>
      </w:r>
      <w:r>
        <w:rPr>
          <w:rFonts w:ascii="David" w:hAnsi="David" w:hint="cs"/>
          <w:rtl/>
        </w:rPr>
        <w:t xml:space="preserve">הנאשם בחר שלא לעשות כן מטעמים השמורים עמו, ופעל כפי שפעל. </w:t>
      </w:r>
      <w:r w:rsidRPr="00FE764F">
        <w:rPr>
          <w:rFonts w:ascii="David" w:hAnsi="David" w:hint="cs"/>
          <w:rtl/>
        </w:rPr>
        <w:t xml:space="preserve"> לטעמי</w:t>
      </w:r>
      <w:r>
        <w:rPr>
          <w:rFonts w:ascii="David" w:hAnsi="David" w:hint="cs"/>
          <w:rtl/>
        </w:rPr>
        <w:t xml:space="preserve"> די</w:t>
      </w:r>
      <w:r w:rsidRPr="00FE764F">
        <w:rPr>
          <w:rFonts w:ascii="David" w:hAnsi="David" w:hint="cs"/>
          <w:rtl/>
        </w:rPr>
        <w:t xml:space="preserve"> </w:t>
      </w:r>
      <w:r>
        <w:rPr>
          <w:rFonts w:ascii="David" w:hAnsi="David" w:hint="cs"/>
          <w:rtl/>
        </w:rPr>
        <w:t>בכך כדי לשלול קרבה לסייג לצורך כך.</w:t>
      </w:r>
      <w:r w:rsidRPr="00FE764F">
        <w:rPr>
          <w:rFonts w:ascii="David" w:hAnsi="David" w:hint="cs"/>
          <w:rtl/>
        </w:rPr>
        <w:t xml:space="preserve"> </w:t>
      </w:r>
    </w:p>
    <w:p w14:paraId="3780BE2A" w14:textId="77777777" w:rsidR="005A11D0" w:rsidRPr="00810355" w:rsidRDefault="005A11D0" w:rsidP="005A11D0">
      <w:pPr>
        <w:pStyle w:val="a9"/>
        <w:spacing w:after="160" w:line="360" w:lineRule="auto"/>
        <w:jc w:val="both"/>
        <w:rPr>
          <w:rFonts w:cs="Times New Roman"/>
          <w:rtl/>
        </w:rPr>
      </w:pPr>
      <w:r w:rsidRPr="00FE764F">
        <w:rPr>
          <w:rFonts w:ascii="David" w:eastAsia="Calibri" w:hAnsi="David" w:hint="cs"/>
          <w:rtl/>
        </w:rPr>
        <w:t>בהקשר זה ר'</w:t>
      </w:r>
      <w:r w:rsidRPr="00FE764F">
        <w:rPr>
          <w:rFonts w:ascii="David" w:eastAsia="Calibri" w:hAnsi="David" w:hint="cs"/>
          <w:b/>
          <w:bCs/>
          <w:rtl/>
        </w:rPr>
        <w:t xml:space="preserve"> </w:t>
      </w:r>
      <w:hyperlink r:id="rId36" w:history="1">
        <w:r w:rsidR="008632AD" w:rsidRPr="008632AD">
          <w:rPr>
            <w:rFonts w:ascii="David" w:eastAsia="Calibri" w:hAnsi="David"/>
            <w:b/>
            <w:bCs/>
            <w:color w:val="0000FF"/>
            <w:u w:val="single"/>
            <w:rtl/>
          </w:rPr>
          <w:t>ע"פ 4945/13</w:t>
        </w:r>
      </w:hyperlink>
      <w:r w:rsidRPr="00FE764F">
        <w:rPr>
          <w:rFonts w:ascii="David" w:eastAsia="Calibri" w:hAnsi="David"/>
          <w:b/>
          <w:bCs/>
          <w:rtl/>
        </w:rPr>
        <w:t xml:space="preserve"> </w:t>
      </w:r>
      <w:r w:rsidRPr="00FE764F">
        <w:rPr>
          <w:rFonts w:ascii="David" w:eastAsia="Calibri" w:hAnsi="David"/>
          <w:b/>
          <w:bCs/>
          <w:u w:val="single"/>
          <w:rtl/>
        </w:rPr>
        <w:t>מדינת ישראל נ' עבד אלכרים</w:t>
      </w:r>
      <w:r w:rsidRPr="00FE764F">
        <w:rPr>
          <w:rFonts w:ascii="David" w:eastAsia="Calibri" w:hAnsi="David"/>
          <w:b/>
          <w:bCs/>
          <w:rtl/>
        </w:rPr>
        <w:t xml:space="preserve"> </w:t>
      </w:r>
      <w:r>
        <w:rPr>
          <w:rFonts w:ascii="David" w:eastAsia="Calibri" w:hAnsi="David"/>
          <w:rtl/>
        </w:rPr>
        <w:t>שם נ</w:t>
      </w:r>
      <w:r>
        <w:rPr>
          <w:rFonts w:ascii="David" w:eastAsia="Calibri" w:hAnsi="David" w:hint="cs"/>
          <w:rtl/>
        </w:rPr>
        <w:t xml:space="preserve">אמר בין היתר </w:t>
      </w:r>
      <w:r w:rsidRPr="00FE764F">
        <w:rPr>
          <w:rFonts w:ascii="David" w:eastAsia="Calibri" w:hAnsi="David"/>
          <w:rtl/>
        </w:rPr>
        <w:t>כי</w:t>
      </w:r>
      <w:r w:rsidRPr="00FE764F">
        <w:rPr>
          <w:rFonts w:ascii="David" w:eastAsia="Calibri" w:hAnsi="David"/>
          <w:b/>
          <w:bCs/>
          <w:rtl/>
        </w:rPr>
        <w:t xml:space="preserve"> </w:t>
      </w:r>
      <w:r w:rsidRPr="002F6BF5">
        <w:rPr>
          <w:rFonts w:ascii="David" w:eastAsia="Calibri" w:hAnsi="David"/>
          <w:rtl/>
        </w:rPr>
        <w:t>"</w:t>
      </w:r>
      <w:r w:rsidRPr="002F6BF5">
        <w:rPr>
          <w:rFonts w:ascii="David" w:eastAsia="Calibri" w:hAnsi="David" w:hint="cs"/>
          <w:b/>
          <w:bCs/>
          <w:rtl/>
        </w:rPr>
        <w:t>... במעשיו של המשיב יש משום יסוד של נטילת החוק לידיים תחת הותרת דבר האיומים על חייו לטיפול הגורם המוסמך לכך – משטרת ישראל. זאת</w:t>
      </w:r>
      <w:r w:rsidRPr="00FE764F">
        <w:rPr>
          <w:rFonts w:ascii="David" w:eastAsia="Calibri" w:hAnsi="David" w:hint="cs"/>
          <w:b/>
          <w:bCs/>
          <w:rtl/>
        </w:rPr>
        <w:t>, כשאין בידו לדעת כיצד עלולה פרשת האיומים להסתיים אלמלא נתפס הנשק על-ידי המשטרה...</w:t>
      </w:r>
      <w:r w:rsidRPr="00FE764F">
        <w:rPr>
          <w:rFonts w:ascii="David" w:eastAsia="Calibri" w:hAnsi="David" w:hint="cs"/>
          <w:rtl/>
        </w:rPr>
        <w:t>"</w:t>
      </w:r>
      <w:r>
        <w:rPr>
          <w:rFonts w:ascii="David" w:eastAsia="Calibri" w:hAnsi="David" w:hint="cs"/>
          <w:rtl/>
        </w:rPr>
        <w:t xml:space="preserve">. </w:t>
      </w:r>
      <w:r>
        <w:rPr>
          <w:rFonts w:hint="cs"/>
          <w:rtl/>
        </w:rPr>
        <w:t>ב</w:t>
      </w:r>
      <w:hyperlink r:id="rId37" w:history="1">
        <w:r w:rsidR="008632AD" w:rsidRPr="008632AD">
          <w:rPr>
            <w:rFonts w:ascii="David" w:hAnsi="David"/>
            <w:b/>
            <w:bCs/>
            <w:color w:val="0000FF"/>
            <w:u w:val="single"/>
            <w:rtl/>
          </w:rPr>
          <w:t>ע"פ 4406/19</w:t>
        </w:r>
      </w:hyperlink>
      <w:r w:rsidRPr="00810355">
        <w:rPr>
          <w:rFonts w:ascii="David" w:hAnsi="David"/>
          <w:b/>
          <w:bCs/>
          <w:rtl/>
        </w:rPr>
        <w:t xml:space="preserve"> </w:t>
      </w:r>
      <w:r w:rsidRPr="00810355">
        <w:rPr>
          <w:rFonts w:ascii="David" w:hAnsi="David"/>
          <w:b/>
          <w:bCs/>
          <w:u w:val="single"/>
          <w:rtl/>
        </w:rPr>
        <w:t>מדינת ישראל נ' יונס סובח</w:t>
      </w:r>
      <w:r w:rsidRPr="00810355">
        <w:rPr>
          <w:rFonts w:ascii="David" w:hAnsi="David"/>
          <w:u w:val="single"/>
          <w:rtl/>
        </w:rPr>
        <w:t xml:space="preserve"> </w:t>
      </w:r>
      <w:r w:rsidRPr="00810355">
        <w:rPr>
          <w:rFonts w:ascii="David" w:hAnsi="David" w:hint="cs"/>
          <w:rtl/>
        </w:rPr>
        <w:t>נקבע</w:t>
      </w:r>
      <w:r>
        <w:rPr>
          <w:rFonts w:ascii="David" w:hAnsi="David" w:hint="cs"/>
          <w:rtl/>
        </w:rPr>
        <w:t xml:space="preserve"> כי יש להחמיר בענישה </w:t>
      </w:r>
      <w:r w:rsidRPr="00810355">
        <w:rPr>
          <w:rFonts w:ascii="David" w:hAnsi="David" w:hint="cs"/>
          <w:rtl/>
        </w:rPr>
        <w:t xml:space="preserve"> : </w:t>
      </w:r>
      <w:r w:rsidRPr="00FE764F">
        <w:rPr>
          <w:rFonts w:ascii="David" w:hAnsi="David"/>
          <w:b/>
          <w:bCs/>
          <w:rtl/>
        </w:rPr>
        <w:t>"</w:t>
      </w:r>
      <w:r w:rsidRPr="00FE764F">
        <w:rPr>
          <w:rFonts w:ascii="David" w:hAnsi="David" w:hint="cs"/>
          <w:b/>
          <w:bCs/>
          <w:rtl/>
        </w:rPr>
        <w:t>...</w:t>
      </w:r>
      <w:r w:rsidRPr="00FE764F">
        <w:rPr>
          <w:rFonts w:ascii="David" w:hAnsi="David"/>
          <w:b/>
          <w:bCs/>
          <w:rtl/>
        </w:rPr>
        <w:t xml:space="preserve"> אף אם הנשק נרכש למטרות "הגנה עצמית", הזמינות של הנשק מעודדת את השימוש בו לביצוע עב</w:t>
      </w:r>
      <w:r>
        <w:rPr>
          <w:rFonts w:ascii="David" w:hAnsi="David"/>
          <w:b/>
          <w:bCs/>
          <w:rtl/>
        </w:rPr>
        <w:t>ירות שונות ולהחרפת תוצאותיהן...</w:t>
      </w:r>
      <w:r w:rsidRPr="00FE764F">
        <w:rPr>
          <w:rFonts w:ascii="David" w:hAnsi="David" w:hint="cs"/>
          <w:b/>
          <w:bCs/>
          <w:rtl/>
        </w:rPr>
        <w:t>"</w:t>
      </w:r>
      <w:r>
        <w:rPr>
          <w:rFonts w:ascii="David" w:hAnsi="David" w:hint="cs"/>
          <w:b/>
          <w:bCs/>
          <w:rtl/>
        </w:rPr>
        <w:t>.</w:t>
      </w:r>
    </w:p>
    <w:p w14:paraId="610C2600" w14:textId="77777777" w:rsidR="005A11D0" w:rsidRDefault="005A11D0" w:rsidP="005A11D0">
      <w:pPr>
        <w:spacing w:after="160" w:line="360" w:lineRule="auto"/>
        <w:ind w:left="720"/>
        <w:contextualSpacing/>
        <w:jc w:val="both"/>
        <w:rPr>
          <w:rFonts w:ascii="David" w:hAnsi="David"/>
          <w:rtl/>
        </w:rPr>
      </w:pPr>
      <w:r>
        <w:rPr>
          <w:rFonts w:ascii="David" w:hAnsi="David" w:hint="cs"/>
          <w:rtl/>
        </w:rPr>
        <w:t xml:space="preserve">שלישית, האירוע החמור בו הנאשם נורה התרחש כשמונה חודשים קודם לכן (4.5.22) וגם האירועים המטרידים והחמורים שהתרחשו לאחר הירי  התרחשו מספר חודשים לפני ביצוע העבירה (דמויות בהן הנאשם הבחין במצלמות האבטחה ביום 19.7.22 ואירוע ההצתה מיום 18.9.22). מכאן שלא מדובר באירועים תכופים לאירוע החזקת ונשיאת האקדח ולא מתקיימת דרישת המידיות.  </w:t>
      </w:r>
    </w:p>
    <w:p w14:paraId="2A1AB88D" w14:textId="77777777" w:rsidR="005A11D0" w:rsidRDefault="005A11D0" w:rsidP="005A11D0">
      <w:pPr>
        <w:spacing w:after="160" w:line="360" w:lineRule="auto"/>
        <w:ind w:left="720"/>
        <w:contextualSpacing/>
        <w:jc w:val="both"/>
        <w:rPr>
          <w:rFonts w:ascii="David" w:hAnsi="David"/>
          <w:rtl/>
        </w:rPr>
      </w:pPr>
      <w:r>
        <w:rPr>
          <w:rFonts w:ascii="David" w:hAnsi="David" w:hint="cs"/>
          <w:rtl/>
        </w:rPr>
        <w:t>אני ער לטענת הנאשם לפיה הבחין באנשים שעוקבים אחריו  (אירוע מיום 1.12.22), אך שוב מדובר  באירוע שהתרחש מספר ימים קודם לביצוע העבירה, והנאשם מצדו לא פנה למשטרת ישראל ולא עדכן אותם בעניין, ובמקום זאת פעל להשגת אקדח ותחמושת.</w:t>
      </w:r>
    </w:p>
    <w:p w14:paraId="5E26B7F0" w14:textId="77777777" w:rsidR="005A11D0" w:rsidRPr="00FD7093" w:rsidRDefault="005A11D0" w:rsidP="005A11D0">
      <w:pPr>
        <w:spacing w:after="160" w:line="360" w:lineRule="auto"/>
        <w:ind w:left="720"/>
        <w:contextualSpacing/>
        <w:jc w:val="both"/>
        <w:rPr>
          <w:rFonts w:ascii="David" w:hAnsi="David"/>
          <w:sz w:val="4"/>
          <w:szCs w:val="4"/>
          <w:rtl/>
        </w:rPr>
      </w:pPr>
    </w:p>
    <w:p w14:paraId="0E6B4D4E" w14:textId="77777777" w:rsidR="005A11D0" w:rsidRPr="00FD7093" w:rsidRDefault="005A11D0" w:rsidP="005A11D0">
      <w:pPr>
        <w:pStyle w:val="a9"/>
        <w:spacing w:after="160" w:line="360" w:lineRule="auto"/>
        <w:jc w:val="both"/>
        <w:rPr>
          <w:rFonts w:ascii="David" w:hAnsi="David"/>
          <w:rtl/>
        </w:rPr>
      </w:pPr>
      <w:r>
        <w:rPr>
          <w:rFonts w:ascii="David" w:hAnsi="David" w:hint="cs"/>
          <w:rtl/>
        </w:rPr>
        <w:t xml:space="preserve">רביעית, </w:t>
      </w:r>
      <w:r w:rsidRPr="00FD7093">
        <w:rPr>
          <w:rFonts w:ascii="David" w:hAnsi="David" w:hint="cs"/>
          <w:rtl/>
        </w:rPr>
        <w:t xml:space="preserve"> אין להתעלם מהעובדה שהנאשם החזיק ב-34 כדורים בקוטר  9 מ"מ ואשר אינם תואמים את האקדח שנתפס ברשותו</w:t>
      </w:r>
      <w:r>
        <w:rPr>
          <w:rFonts w:ascii="David" w:hAnsi="David" w:hint="cs"/>
          <w:rtl/>
        </w:rPr>
        <w:t xml:space="preserve"> שאותו החזיק לטענתו למטרות הגנה</w:t>
      </w:r>
      <w:r w:rsidRPr="00FD7093">
        <w:rPr>
          <w:rFonts w:ascii="David" w:hAnsi="David" w:hint="cs"/>
          <w:rtl/>
        </w:rPr>
        <w:t>. בהקשר זה ספק רב בעיני אם הנאשם אכן לא ידע שמדובר בכדורים בקוטר שונה מזה של האקדח</w:t>
      </w:r>
      <w:r>
        <w:rPr>
          <w:rFonts w:ascii="David" w:hAnsi="David" w:hint="cs"/>
          <w:rtl/>
        </w:rPr>
        <w:t xml:space="preserve"> שהחזיק ברשותו.</w:t>
      </w:r>
    </w:p>
    <w:p w14:paraId="45815804" w14:textId="77777777" w:rsidR="005A11D0" w:rsidRPr="00E25201" w:rsidRDefault="005A11D0" w:rsidP="005A11D0">
      <w:pPr>
        <w:pStyle w:val="a9"/>
        <w:spacing w:after="160" w:line="360" w:lineRule="auto"/>
        <w:jc w:val="both"/>
        <w:rPr>
          <w:rFonts w:ascii="David" w:hAnsi="David"/>
          <w:sz w:val="14"/>
          <w:szCs w:val="14"/>
        </w:rPr>
      </w:pPr>
    </w:p>
    <w:p w14:paraId="0E1A7184" w14:textId="77777777" w:rsidR="005A11D0" w:rsidRPr="00FD7093" w:rsidRDefault="005A11D0" w:rsidP="005A11D0">
      <w:pPr>
        <w:pStyle w:val="a9"/>
        <w:numPr>
          <w:ilvl w:val="0"/>
          <w:numId w:val="1"/>
        </w:numPr>
        <w:spacing w:after="160" w:line="360" w:lineRule="auto"/>
        <w:jc w:val="both"/>
        <w:rPr>
          <w:rFonts w:ascii="David" w:hAnsi="David"/>
        </w:rPr>
      </w:pPr>
      <w:r w:rsidRPr="00FD7093">
        <w:rPr>
          <w:rFonts w:ascii="David" w:hAnsi="David" w:hint="cs"/>
          <w:rtl/>
        </w:rPr>
        <w:t>למעשה הנאשם החזיק באקדח</w:t>
      </w:r>
      <w:r>
        <w:rPr>
          <w:rFonts w:ascii="David" w:hAnsi="David" w:hint="cs"/>
          <w:rtl/>
        </w:rPr>
        <w:t xml:space="preserve"> "לכל מקרה שלא יהיה"</w:t>
      </w:r>
      <w:r w:rsidRPr="00FD7093">
        <w:rPr>
          <w:rFonts w:ascii="David" w:hAnsi="David" w:hint="cs"/>
          <w:rtl/>
        </w:rPr>
        <w:t xml:space="preserve">, ונראה כי אף לא אחד  מהתנאים הקבועים לצורך ביסוס טענת הגנה  עצמית מתקיים במקרה זה </w:t>
      </w:r>
      <w:r w:rsidRPr="00906DCE">
        <w:rPr>
          <w:rFonts w:ascii="David" w:hAnsi="David" w:hint="cs"/>
          <w:rtl/>
        </w:rPr>
        <w:t>במלואו.</w:t>
      </w:r>
      <w:r w:rsidRPr="00FD7093">
        <w:rPr>
          <w:rFonts w:ascii="David" w:hAnsi="David" w:hint="cs"/>
          <w:rtl/>
        </w:rPr>
        <w:t xml:space="preserve"> לאור כל האמור לעיל אני סבור</w:t>
      </w:r>
      <w:r>
        <w:rPr>
          <w:rFonts w:ascii="David" w:hAnsi="David" w:hint="cs"/>
          <w:rtl/>
        </w:rPr>
        <w:t>,</w:t>
      </w:r>
      <w:r w:rsidRPr="00FD7093">
        <w:rPr>
          <w:rFonts w:ascii="David" w:hAnsi="David" w:hint="cs"/>
          <w:rtl/>
        </w:rPr>
        <w:t xml:space="preserve"> שלא עומדת לנאשם טענה מסוג קרבה לסייג לאחריות פלילית. </w:t>
      </w:r>
    </w:p>
    <w:p w14:paraId="27818330" w14:textId="77777777" w:rsidR="005A11D0" w:rsidRPr="00A5790D" w:rsidRDefault="005A11D0" w:rsidP="005A11D0">
      <w:pPr>
        <w:pStyle w:val="a9"/>
        <w:spacing w:after="160" w:line="360" w:lineRule="auto"/>
        <w:jc w:val="both"/>
        <w:rPr>
          <w:rFonts w:ascii="David" w:hAnsi="David"/>
          <w:sz w:val="14"/>
          <w:szCs w:val="14"/>
        </w:rPr>
      </w:pPr>
    </w:p>
    <w:p w14:paraId="2E927EB0" w14:textId="77777777" w:rsidR="005A11D0" w:rsidRDefault="005A11D0" w:rsidP="005A11D0">
      <w:pPr>
        <w:pStyle w:val="a9"/>
        <w:numPr>
          <w:ilvl w:val="0"/>
          <w:numId w:val="1"/>
        </w:numPr>
        <w:spacing w:after="160" w:line="360" w:lineRule="auto"/>
        <w:jc w:val="both"/>
        <w:rPr>
          <w:rFonts w:ascii="David" w:hAnsi="David"/>
        </w:rPr>
      </w:pPr>
      <w:r>
        <w:rPr>
          <w:rFonts w:ascii="David" w:hAnsi="David" w:hint="cs"/>
          <w:rtl/>
        </w:rPr>
        <w:t>הנסיבות שהביאו את הנאשם להחזקת האקדח רלוונטיות אך ורק לשאלת מטרת החזקת הנשק, קרי רצונו להגן על עצמו, וגם אם לא עומדת לנאשם טענה של קרבה לסייג, יש במטרת ההחזקה  כדי לבוא במניין השיקולים בקביעת מתחם העונש ההולם.</w:t>
      </w:r>
    </w:p>
    <w:p w14:paraId="4512ECE5" w14:textId="77777777" w:rsidR="005A11D0" w:rsidRPr="00BA0AA9" w:rsidRDefault="005A11D0" w:rsidP="005A11D0">
      <w:pPr>
        <w:pStyle w:val="a9"/>
        <w:spacing w:line="360" w:lineRule="auto"/>
        <w:jc w:val="both"/>
        <w:rPr>
          <w:rFonts w:ascii="David" w:eastAsia="David" w:hAnsi="David"/>
          <w:sz w:val="16"/>
          <w:szCs w:val="16"/>
        </w:rPr>
      </w:pPr>
    </w:p>
    <w:p w14:paraId="0216E78F" w14:textId="77777777" w:rsidR="005A11D0" w:rsidRPr="00BA0AA9" w:rsidRDefault="005A11D0" w:rsidP="005A11D0">
      <w:pPr>
        <w:pStyle w:val="a9"/>
        <w:numPr>
          <w:ilvl w:val="0"/>
          <w:numId w:val="1"/>
        </w:numPr>
        <w:spacing w:line="360" w:lineRule="auto"/>
        <w:jc w:val="both"/>
        <w:rPr>
          <w:rFonts w:ascii="David" w:eastAsia="David" w:hAnsi="David"/>
          <w:rtl/>
        </w:rPr>
      </w:pPr>
      <w:r w:rsidRPr="00BA0AA9">
        <w:rPr>
          <w:rFonts w:ascii="David" w:eastAsia="David" w:hAnsi="David"/>
          <w:rtl/>
        </w:rPr>
        <w:t xml:space="preserve">מכלול הנסיבות, אני סבור כי  מידת הפגיעה בערכים </w:t>
      </w:r>
      <w:r>
        <w:rPr>
          <w:rFonts w:ascii="David" w:eastAsia="David" w:hAnsi="David"/>
          <w:rtl/>
        </w:rPr>
        <w:t>המוגנים מצויה ברף הבינוני</w:t>
      </w:r>
      <w:r>
        <w:rPr>
          <w:rFonts w:ascii="David" w:eastAsia="David" w:hAnsi="David" w:hint="cs"/>
          <w:rtl/>
        </w:rPr>
        <w:t xml:space="preserve"> ומטה.</w:t>
      </w:r>
    </w:p>
    <w:p w14:paraId="43BE0EAC" w14:textId="77777777" w:rsidR="005A11D0" w:rsidRPr="00FD7093" w:rsidRDefault="005A11D0" w:rsidP="005A11D0">
      <w:pPr>
        <w:spacing w:line="360" w:lineRule="auto"/>
        <w:ind w:left="720"/>
        <w:contextualSpacing/>
        <w:jc w:val="both"/>
        <w:rPr>
          <w:rFonts w:ascii="David" w:hAnsi="David"/>
          <w:sz w:val="14"/>
          <w:szCs w:val="14"/>
          <w:rtl/>
        </w:rPr>
      </w:pPr>
    </w:p>
    <w:p w14:paraId="6D45BF64" w14:textId="77777777" w:rsidR="005A11D0" w:rsidRPr="001832CD" w:rsidRDefault="005A11D0" w:rsidP="005A11D0">
      <w:pPr>
        <w:spacing w:after="160" w:line="360" w:lineRule="auto"/>
        <w:ind w:firstLine="360"/>
        <w:jc w:val="both"/>
        <w:rPr>
          <w:rFonts w:ascii="David" w:eastAsia="David" w:hAnsi="David"/>
          <w:b/>
          <w:bCs/>
          <w:u w:val="single"/>
          <w:rtl/>
        </w:rPr>
      </w:pPr>
      <w:r w:rsidRPr="001832CD">
        <w:rPr>
          <w:rFonts w:ascii="David" w:eastAsia="David" w:hAnsi="David"/>
          <w:b/>
          <w:bCs/>
          <w:u w:val="single"/>
          <w:rtl/>
        </w:rPr>
        <w:t>מדיניות הענישה והפסיקה הנהוגה</w:t>
      </w:r>
    </w:p>
    <w:p w14:paraId="27CC472E" w14:textId="77777777" w:rsidR="005A11D0" w:rsidRPr="001832CD" w:rsidRDefault="005A11D0" w:rsidP="005A11D0">
      <w:pPr>
        <w:numPr>
          <w:ilvl w:val="0"/>
          <w:numId w:val="1"/>
        </w:numPr>
        <w:shd w:val="clear" w:color="auto" w:fill="FFFFFF"/>
        <w:overflowPunct w:val="0"/>
        <w:autoSpaceDE w:val="0"/>
        <w:autoSpaceDN w:val="0"/>
        <w:spacing w:after="160" w:line="360" w:lineRule="auto"/>
        <w:jc w:val="both"/>
        <w:rPr>
          <w:rFonts w:ascii="David" w:eastAsia="Calibri" w:hAnsi="David"/>
        </w:rPr>
      </w:pPr>
      <w:r w:rsidRPr="001832CD">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1832CD">
        <w:rPr>
          <w:rFonts w:ascii="David" w:eastAsia="David" w:hAnsi="David"/>
          <w:b/>
          <w:bCs/>
          <w:rtl/>
        </w:rPr>
        <w:t>ב</w:t>
      </w:r>
      <w:hyperlink r:id="rId38" w:history="1">
        <w:r w:rsidR="008632AD" w:rsidRPr="008632AD">
          <w:rPr>
            <w:rFonts w:ascii="David" w:eastAsia="David" w:hAnsi="David"/>
            <w:b/>
            <w:bCs/>
            <w:color w:val="0000FF"/>
            <w:u w:val="single"/>
            <w:rtl/>
          </w:rPr>
          <w:t>ע"פ 1323/13</w:t>
        </w:r>
      </w:hyperlink>
      <w:r w:rsidRPr="001832CD">
        <w:rPr>
          <w:rFonts w:ascii="David" w:eastAsia="David" w:hAnsi="David"/>
          <w:b/>
          <w:bCs/>
          <w:rtl/>
        </w:rPr>
        <w:t xml:space="preserve"> </w:t>
      </w:r>
      <w:r w:rsidRPr="001832CD">
        <w:rPr>
          <w:rFonts w:ascii="David" w:eastAsia="David" w:hAnsi="David"/>
          <w:b/>
          <w:bCs/>
          <w:u w:val="single"/>
          <w:rtl/>
        </w:rPr>
        <w:t>חסן נ' מדינת ישראל</w:t>
      </w:r>
      <w:r w:rsidRPr="001832CD">
        <w:rPr>
          <w:rFonts w:ascii="David" w:eastAsia="David" w:hAnsi="David"/>
          <w:rtl/>
        </w:rPr>
        <w:t xml:space="preserve"> (בימ"ש העליון) נקבע בין היתר, כי "</w:t>
      </w:r>
      <w:r w:rsidRPr="001832CD">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39" w:history="1">
        <w:r w:rsidR="008632AD" w:rsidRPr="008632AD">
          <w:rPr>
            <w:rFonts w:ascii="David" w:eastAsia="David" w:hAnsi="David"/>
            <w:b/>
            <w:bCs/>
            <w:color w:val="0000FF"/>
            <w:spacing w:val="10"/>
            <w:u w:val="single"/>
            <w:rtl/>
          </w:rPr>
          <w:t>ע"פ 2918/13</w:t>
        </w:r>
      </w:hyperlink>
      <w:r w:rsidRPr="001832CD">
        <w:rPr>
          <w:rFonts w:ascii="David" w:eastAsia="David" w:hAnsi="David"/>
          <w:b/>
          <w:bCs/>
          <w:spacing w:val="10"/>
          <w:rtl/>
        </w:rPr>
        <w:t xml:space="preserve"> </w:t>
      </w:r>
      <w:r w:rsidRPr="001832CD">
        <w:rPr>
          <w:rFonts w:ascii="David" w:eastAsia="David" w:hAnsi="David"/>
          <w:b/>
          <w:bCs/>
          <w:spacing w:val="10"/>
          <w:u w:val="single"/>
          <w:rtl/>
        </w:rPr>
        <w:t>דבס נ' מדינת ישראל</w:t>
      </w:r>
      <w:r w:rsidRPr="001832CD">
        <w:rPr>
          <w:rFonts w:ascii="David" w:eastAsia="David" w:hAnsi="David"/>
          <w:spacing w:val="10"/>
          <w:rtl/>
        </w:rPr>
        <w:t xml:space="preserve"> (בימ"ש העליון) נקבע</w:t>
      </w:r>
      <w:r w:rsidR="008632AD">
        <w:rPr>
          <w:rFonts w:ascii="David" w:eastAsia="David" w:hAnsi="David"/>
          <w:spacing w:val="10"/>
          <w:rtl/>
        </w:rPr>
        <w:t xml:space="preserve"> </w:t>
      </w:r>
      <w:r w:rsidRPr="001832CD">
        <w:rPr>
          <w:rFonts w:ascii="David" w:eastAsia="David" w:hAnsi="David"/>
          <w:spacing w:val="10"/>
          <w:rtl/>
        </w:rPr>
        <w:t xml:space="preserve"> כי "</w:t>
      </w:r>
      <w:r w:rsidRPr="001832CD">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sidRPr="001832CD">
        <w:rPr>
          <w:rFonts w:ascii="David" w:eastAsia="David" w:hAnsi="David"/>
          <w:b/>
          <w:bCs/>
          <w:rtl/>
        </w:rPr>
        <w:t xml:space="preserve">. </w:t>
      </w:r>
    </w:p>
    <w:p w14:paraId="62D38042" w14:textId="77777777" w:rsidR="005A11D0" w:rsidRDefault="005A11D0" w:rsidP="005A11D0">
      <w:pPr>
        <w:shd w:val="clear" w:color="auto" w:fill="FFFFFF"/>
        <w:overflowPunct w:val="0"/>
        <w:autoSpaceDE w:val="0"/>
        <w:autoSpaceDN w:val="0"/>
        <w:spacing w:line="360" w:lineRule="auto"/>
        <w:ind w:left="720"/>
        <w:jc w:val="both"/>
        <w:rPr>
          <w:rFonts w:ascii="David" w:eastAsia="Calibri" w:hAnsi="David"/>
          <w:rtl/>
        </w:rPr>
      </w:pPr>
      <w:r w:rsidRPr="001832CD">
        <w:rPr>
          <w:rFonts w:ascii="David" w:eastAsia="Calibri" w:hAnsi="David"/>
          <w:rtl/>
        </w:rPr>
        <w:t>ב</w:t>
      </w:r>
      <w:hyperlink r:id="rId40" w:history="1">
        <w:r w:rsidR="008632AD" w:rsidRPr="008632AD">
          <w:rPr>
            <w:rFonts w:ascii="David" w:eastAsia="Calibri" w:hAnsi="David"/>
            <w:b/>
            <w:bCs/>
            <w:color w:val="0000FF"/>
            <w:u w:val="single"/>
            <w:rtl/>
          </w:rPr>
          <w:t>ע"פ 5602/22</w:t>
        </w:r>
      </w:hyperlink>
      <w:r w:rsidRPr="001832CD">
        <w:rPr>
          <w:rFonts w:ascii="David" w:eastAsia="Calibri" w:hAnsi="David"/>
          <w:b/>
          <w:bCs/>
          <w:rtl/>
        </w:rPr>
        <w:t xml:space="preserve"> </w:t>
      </w:r>
      <w:r w:rsidRPr="001832CD">
        <w:rPr>
          <w:rFonts w:ascii="David" w:eastAsia="Calibri" w:hAnsi="David"/>
          <w:b/>
          <w:bCs/>
          <w:u w:val="single"/>
          <w:rtl/>
        </w:rPr>
        <w:t>מדינת ישראל נ' פלוני</w:t>
      </w:r>
      <w:r w:rsidRPr="001832CD">
        <w:rPr>
          <w:rFonts w:ascii="David" w:eastAsia="Calibri" w:hAnsi="David"/>
          <w:rtl/>
        </w:rPr>
        <w:t xml:space="preserve"> (14.09.22) נאשם שוהה בלתי חוקי נשא אקדח בשטחי ישראל ונמלט משוטר. הנאשם צעיר ללא עבר פלילי, הורשע בעבירות של נשיאת נשק , הפרעה לשוטר במילוי תפקידו, וכניסה ושהייה בישראל. עונשו של הנאשם הוחמר מ-18 ל-28 חודשי מאסר בפועל, תוך שנקבע כי "</w:t>
      </w:r>
      <w:r w:rsidRPr="001832CD">
        <w:rPr>
          <w:rFonts w:ascii="David" w:eastAsia="Calibri" w:hAnsi="David"/>
          <w:u w:val="single"/>
          <w:rtl/>
        </w:rPr>
        <w:t>מתחם הענישה הרגיל שראוי לקבוע לנאשם בגיר בגין נשיאה בלתי חוקית של נשק חם במרחב הציבורי נע בין 30 ל-42 חודשי מאסר בין סורג ובריח"</w:t>
      </w:r>
      <w:r w:rsidRPr="001832CD">
        <w:rPr>
          <w:rFonts w:ascii="David" w:eastAsia="Calibri" w:hAnsi="David"/>
          <w:rtl/>
        </w:rPr>
        <w:t>. ב</w:t>
      </w:r>
      <w:hyperlink r:id="rId41" w:history="1">
        <w:r w:rsidR="008632AD" w:rsidRPr="008632AD">
          <w:rPr>
            <w:rFonts w:ascii="David" w:eastAsia="Calibri" w:hAnsi="David"/>
            <w:b/>
            <w:bCs/>
            <w:color w:val="0000FF"/>
            <w:u w:val="single"/>
            <w:rtl/>
          </w:rPr>
          <w:t>ע"פ 2482/22</w:t>
        </w:r>
      </w:hyperlink>
      <w:r w:rsidRPr="001832CD">
        <w:rPr>
          <w:rFonts w:ascii="David" w:eastAsia="Calibri" w:hAnsi="David"/>
          <w:b/>
          <w:bCs/>
          <w:rtl/>
        </w:rPr>
        <w:t xml:space="preserve"> </w:t>
      </w:r>
      <w:r w:rsidRPr="001832CD">
        <w:rPr>
          <w:rFonts w:ascii="David" w:eastAsia="Calibri" w:hAnsi="David"/>
          <w:b/>
          <w:bCs/>
          <w:u w:val="single"/>
          <w:rtl/>
        </w:rPr>
        <w:t>מדינת ישראל נ' קדורה</w:t>
      </w:r>
      <w:r w:rsidRPr="001832CD">
        <w:rPr>
          <w:rFonts w:ascii="David" w:eastAsia="Calibri" w:hAnsi="David"/>
          <w:b/>
          <w:bCs/>
          <w:rtl/>
        </w:rPr>
        <w:t xml:space="preserve"> </w:t>
      </w:r>
      <w:r w:rsidRPr="001832CD">
        <w:rPr>
          <w:rFonts w:ascii="David" w:eastAsia="Calibri" w:hAnsi="David"/>
          <w:rtl/>
        </w:rPr>
        <w:t>(14.04.22) המשיב הורשע בעבירה של החזקת נשק – אקדח גלוק, מחסנית, כדורים לאקדח ורימון הלם – בצוותא עם אחר. המשיב, בן 19 בעת ביצוע העבירות, ללא עבר פלילי. בית המשפט העליון קיבל את ערעור המדינה והחמיר את עונשו מ-10 ל-18 חודשי מאסר בפועל. ב</w:t>
      </w:r>
      <w:hyperlink r:id="rId42" w:history="1">
        <w:r w:rsidR="008632AD" w:rsidRPr="008632AD">
          <w:rPr>
            <w:rFonts w:ascii="David" w:eastAsia="Calibri" w:hAnsi="David"/>
            <w:b/>
            <w:bCs/>
            <w:color w:val="0000FF"/>
            <w:u w:val="single"/>
            <w:rtl/>
          </w:rPr>
          <w:t>ע"פ 309/22</w:t>
        </w:r>
      </w:hyperlink>
      <w:r w:rsidRPr="001832CD">
        <w:rPr>
          <w:rFonts w:ascii="David" w:eastAsia="Calibri" w:hAnsi="David"/>
          <w:b/>
          <w:bCs/>
          <w:rtl/>
        </w:rPr>
        <w:t xml:space="preserve"> </w:t>
      </w:r>
      <w:r w:rsidRPr="001832CD">
        <w:rPr>
          <w:rFonts w:ascii="David" w:eastAsia="Calibri" w:hAnsi="David"/>
          <w:b/>
          <w:bCs/>
          <w:u w:val="single"/>
          <w:rtl/>
        </w:rPr>
        <w:t>מדינת ישראל נ' בידאסה</w:t>
      </w:r>
      <w:r w:rsidRPr="001832CD">
        <w:rPr>
          <w:rFonts w:ascii="David" w:eastAsia="Calibri" w:hAnsi="David"/>
          <w:rtl/>
        </w:rPr>
        <w:t xml:space="preserve"> (10.05.22) הנאשם הורשע בעבירות של החזקת, נשיאת והובלת נשק ביחד עם אחר, בכך שהנאשם והאחר החזיקו, נשאו והובילו רובה מסוג קלצ'ניקוב, מחסנית תואמת לרובה ובה 29 כדורים, אקדח חצי אוטומטי טעון במחסנית תואמת שמכילה 27 כדורים וכדור נוסף בקנה, ומחסנית נוספת שמכילה 14 כדורים. הנאשם נעדר עבר פלילי. בית המשפט העליון קיבל את ערעור המדינה והחמיר את עונשו של הנאשם מ-19 ל- 30 חודשים מאסר בפועל.</w:t>
      </w:r>
      <w:r w:rsidR="008632AD">
        <w:rPr>
          <w:rFonts w:ascii="David" w:eastAsia="Calibri" w:hAnsi="David"/>
          <w:rtl/>
        </w:rPr>
        <w:t xml:space="preserve"> </w:t>
      </w:r>
      <w:r w:rsidRPr="001832CD">
        <w:rPr>
          <w:rFonts w:ascii="David" w:eastAsia="Calibri" w:hAnsi="David"/>
          <w:rtl/>
        </w:rPr>
        <w:t>ב</w:t>
      </w:r>
      <w:hyperlink r:id="rId43" w:history="1">
        <w:r w:rsidR="008632AD" w:rsidRPr="008632AD">
          <w:rPr>
            <w:rFonts w:ascii="David" w:eastAsia="Calibri" w:hAnsi="David"/>
            <w:b/>
            <w:bCs/>
            <w:color w:val="0000FF"/>
            <w:u w:val="single"/>
            <w:rtl/>
          </w:rPr>
          <w:t>ע"פ 2033/21</w:t>
        </w:r>
      </w:hyperlink>
      <w:r w:rsidRPr="001832CD">
        <w:rPr>
          <w:rFonts w:ascii="David" w:eastAsia="Calibri" w:hAnsi="David"/>
          <w:b/>
          <w:bCs/>
          <w:rtl/>
        </w:rPr>
        <w:t xml:space="preserve"> </w:t>
      </w:r>
      <w:r w:rsidRPr="001832CD">
        <w:rPr>
          <w:rFonts w:ascii="David" w:eastAsia="Calibri" w:hAnsi="David"/>
          <w:b/>
          <w:bCs/>
          <w:u w:val="single"/>
          <w:rtl/>
        </w:rPr>
        <w:t>זועבי נ' מדינת ישראל</w:t>
      </w:r>
      <w:r w:rsidRPr="001832CD">
        <w:rPr>
          <w:rFonts w:ascii="David" w:eastAsia="Calibri" w:hAnsi="David"/>
          <w:b/>
          <w:bCs/>
          <w:rtl/>
        </w:rPr>
        <w:t xml:space="preserve"> </w:t>
      </w:r>
      <w:r w:rsidRPr="001832CD">
        <w:rPr>
          <w:rFonts w:ascii="David" w:eastAsia="Calibri"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w:t>
      </w:r>
      <w:r w:rsidRPr="001832CD">
        <w:rPr>
          <w:rFonts w:ascii="David" w:eastAsia="Calibri" w:hAnsi="David"/>
          <w:b/>
          <w:bCs/>
          <w:rtl/>
        </w:rPr>
        <w:t>. ב</w:t>
      </w:r>
      <w:hyperlink r:id="rId44" w:history="1">
        <w:r w:rsidR="008632AD" w:rsidRPr="008632AD">
          <w:rPr>
            <w:rFonts w:ascii="David" w:eastAsia="Calibri" w:hAnsi="David"/>
            <w:b/>
            <w:bCs/>
            <w:color w:val="0000FF"/>
            <w:u w:val="single"/>
            <w:rtl/>
          </w:rPr>
          <w:t>ע"פ 4303/22</w:t>
        </w:r>
      </w:hyperlink>
      <w:r w:rsidRPr="001832CD">
        <w:rPr>
          <w:rFonts w:ascii="David" w:eastAsia="Calibri" w:hAnsi="David"/>
          <w:b/>
          <w:bCs/>
          <w:rtl/>
        </w:rPr>
        <w:t xml:space="preserve"> </w:t>
      </w:r>
      <w:r w:rsidRPr="001832CD">
        <w:rPr>
          <w:rFonts w:ascii="David" w:eastAsia="Calibri" w:hAnsi="David"/>
          <w:b/>
          <w:bCs/>
          <w:u w:val="single"/>
          <w:rtl/>
        </w:rPr>
        <w:t>אמיר אבו גאנם נ' מ. ישראל</w:t>
      </w:r>
      <w:r w:rsidRPr="001832CD">
        <w:rPr>
          <w:rFonts w:ascii="David" w:eastAsia="Calibri" w:hAnsi="David"/>
          <w:rtl/>
        </w:rPr>
        <w:t xml:space="preserve">  הנאשם בעל עבר פלילי בעבירות נשק שהורשע בעבירה של נשיאת והובלת אקדח ומחסנית ריקה ברכבו נגזרו 31 חודשי מאסר בפועל. ערעורו נדחה. </w:t>
      </w:r>
      <w:r w:rsidRPr="001832CD">
        <w:rPr>
          <w:rFonts w:ascii="David" w:eastAsia="Calibri" w:hAnsi="David"/>
          <w:b/>
          <w:bCs/>
          <w:rtl/>
        </w:rPr>
        <w:t>ב</w:t>
      </w:r>
      <w:hyperlink r:id="rId45" w:history="1">
        <w:r w:rsidR="008632AD" w:rsidRPr="008632AD">
          <w:rPr>
            <w:rFonts w:ascii="David" w:eastAsia="Calibri" w:hAnsi="David"/>
            <w:b/>
            <w:bCs/>
            <w:color w:val="0000FF"/>
            <w:u w:val="single"/>
            <w:rtl/>
          </w:rPr>
          <w:t>ע"פ 3877/16</w:t>
        </w:r>
      </w:hyperlink>
      <w:r w:rsidRPr="001832CD">
        <w:rPr>
          <w:rFonts w:ascii="David" w:eastAsia="Calibri" w:hAnsi="David"/>
          <w:b/>
          <w:bCs/>
          <w:rtl/>
        </w:rPr>
        <w:t xml:space="preserve"> </w:t>
      </w:r>
      <w:r w:rsidRPr="001832CD">
        <w:rPr>
          <w:rFonts w:ascii="David" w:eastAsia="Calibri" w:hAnsi="David"/>
          <w:b/>
          <w:bCs/>
          <w:u w:val="single"/>
          <w:rtl/>
        </w:rPr>
        <w:t>פאדי ג'באלי נ' מדינת ישראל</w:t>
      </w:r>
      <w:r w:rsidRPr="001832CD">
        <w:rPr>
          <w:rFonts w:ascii="David" w:eastAsia="Calibri" w:hAnsi="David"/>
          <w:rtl/>
        </w:rPr>
        <w:t xml:space="preserve"> הנאשם הורשע בעבירה של נשיאת נשק בכך שנשא אקדח טעון במחסנית וכדורים. בית המשפט קבע מתחם עונש הולם בין 24 ועד 48 חודשי מאסר בפועל. הנאשם בעל עבר פלילי מכביד ביותר, ונגזרו עליו 34 חודשי מאסר בפועל. ערעור לבית המשפט העליון על חומרת העונש נדחה.</w:t>
      </w:r>
      <w:r w:rsidRPr="001832CD">
        <w:rPr>
          <w:rFonts w:ascii="David" w:eastAsia="David" w:hAnsi="David"/>
          <w:b/>
          <w:bCs/>
          <w:rtl/>
        </w:rPr>
        <w:t xml:space="preserve"> </w:t>
      </w:r>
      <w:hyperlink r:id="rId46" w:history="1">
        <w:r w:rsidR="008632AD" w:rsidRPr="008632AD">
          <w:rPr>
            <w:rFonts w:ascii="David" w:eastAsia="Calibri" w:hAnsi="David"/>
            <w:b/>
            <w:bCs/>
            <w:color w:val="0000FF"/>
            <w:u w:val="single"/>
            <w:rtl/>
          </w:rPr>
          <w:t>ע"פ 9373/10</w:t>
        </w:r>
      </w:hyperlink>
      <w:r w:rsidRPr="001832CD">
        <w:rPr>
          <w:rFonts w:ascii="David" w:eastAsia="Calibri" w:hAnsi="David"/>
          <w:b/>
          <w:bCs/>
          <w:rtl/>
        </w:rPr>
        <w:t xml:space="preserve"> </w:t>
      </w:r>
      <w:r w:rsidRPr="001832CD">
        <w:rPr>
          <w:rFonts w:ascii="David" w:eastAsia="Calibri" w:hAnsi="David"/>
          <w:b/>
          <w:bCs/>
          <w:u w:val="single"/>
          <w:rtl/>
        </w:rPr>
        <w:t>חמד ותד נ' מדינת ישראל</w:t>
      </w:r>
      <w:r w:rsidRPr="001832CD">
        <w:rPr>
          <w:rFonts w:ascii="David" w:eastAsia="Calibri" w:hAnsi="David"/>
          <w:rtl/>
        </w:rPr>
        <w:t xml:space="preserve"> הנאשם הורשע בעבירה של נשיאה והחזקה של נשק, בכך שהחזיק בביתו, אקדח ובו מחסנית, בה היו תשעה כדורים, ובחצרו נתפסו 63 כדורים נוספים. לנאשם היו שלוש הרשעות קודמות שלא בעבירות נשק. על הנאשם הוטלו 50 חודשי מאסר בפועל. ערעור על חומרת העונש התקבל באופן שעונשו הועמד על 30 חודשי מאסר. ב</w:t>
      </w:r>
      <w:hyperlink r:id="rId47" w:history="1">
        <w:r w:rsidR="008632AD" w:rsidRPr="008632AD">
          <w:rPr>
            <w:rFonts w:ascii="David" w:eastAsia="Calibri" w:hAnsi="David"/>
            <w:b/>
            <w:bCs/>
            <w:color w:val="0000FF"/>
            <w:u w:val="single"/>
            <w:rtl/>
          </w:rPr>
          <w:t>ע"פ 5856/22</w:t>
        </w:r>
      </w:hyperlink>
      <w:r w:rsidRPr="001832CD">
        <w:rPr>
          <w:rFonts w:ascii="David" w:eastAsia="Calibri" w:hAnsi="David"/>
          <w:b/>
          <w:bCs/>
          <w:rtl/>
        </w:rPr>
        <w:t xml:space="preserve"> </w:t>
      </w:r>
      <w:r w:rsidRPr="001832CD">
        <w:rPr>
          <w:rFonts w:ascii="David" w:eastAsia="Calibri" w:hAnsi="David"/>
          <w:b/>
          <w:bCs/>
          <w:u w:val="single"/>
          <w:rtl/>
        </w:rPr>
        <w:t>טאיע סויטאת נ' מדינת ישראל</w:t>
      </w:r>
      <w:r w:rsidRPr="001832CD">
        <w:rPr>
          <w:rFonts w:ascii="David" w:eastAsia="Calibri" w:hAnsi="David"/>
          <w:rtl/>
        </w:rPr>
        <w:t xml:space="preserve"> הנאשם הורשע בעבירות של נשיאה והובלת אקדח ומחסנית ריקה והפרעה לשוטר במילוי תפקידו, בכך שנסע ברכב עם אדם אחר כשהוא נושא את האקדח והמחסנית, ובהגיעו למחסום משטרתי הנאשם יצא מהרכב והחל להימלט מהמקום ובחלוף מרדף קצר, שבמהלכו השליך את האקדח, נתפס. על הנאשם הוטלו 28 חודשי מאסר בפועל. ערעור</w:t>
      </w:r>
      <w:r>
        <w:rPr>
          <w:rFonts w:ascii="David" w:eastAsia="Calibri" w:hAnsi="David" w:hint="cs"/>
          <w:rtl/>
        </w:rPr>
        <w:t xml:space="preserve"> הנאשם</w:t>
      </w:r>
      <w:r w:rsidRPr="001832CD">
        <w:rPr>
          <w:rFonts w:ascii="David" w:eastAsia="Calibri" w:hAnsi="David"/>
          <w:rtl/>
        </w:rPr>
        <w:t xml:space="preserve"> נדחה. ב</w:t>
      </w:r>
      <w:hyperlink r:id="rId48" w:history="1">
        <w:r w:rsidR="008632AD" w:rsidRPr="008632AD">
          <w:rPr>
            <w:rFonts w:ascii="David" w:eastAsia="Calibri" w:hAnsi="David"/>
            <w:b/>
            <w:bCs/>
            <w:color w:val="0000FF"/>
            <w:u w:val="single"/>
            <w:rtl/>
          </w:rPr>
          <w:t>ע"פ 930/22</w:t>
        </w:r>
      </w:hyperlink>
      <w:r w:rsidRPr="001832CD">
        <w:rPr>
          <w:rFonts w:ascii="David" w:eastAsia="Calibri" w:hAnsi="David"/>
          <w:b/>
          <w:bCs/>
          <w:rtl/>
        </w:rPr>
        <w:t xml:space="preserve"> </w:t>
      </w:r>
      <w:r w:rsidRPr="001832CD">
        <w:rPr>
          <w:rFonts w:ascii="David" w:eastAsia="Calibri" w:hAnsi="David"/>
          <w:b/>
          <w:bCs/>
          <w:u w:val="single"/>
          <w:rtl/>
        </w:rPr>
        <w:t>אוסמה חטיב נ' מדינת ישראל</w:t>
      </w:r>
      <w:r w:rsidRPr="001832CD">
        <w:rPr>
          <w:rFonts w:ascii="David" w:eastAsia="Calibri" w:hAnsi="David"/>
          <w:rtl/>
        </w:rPr>
        <w:t xml:space="preserve"> הנאשם הורשע בעבירה של נשיאה והובלת נשק והסתייעות ברכב לביצוע פשע, בכך שנשא והוביל ברכב בו נהג, אקדח חצי אוטומטי ומחסנית ריקה תואמת. על הנאשם הוטלו  23 חודשי מאסר לריצוי בפועל לצד עונשים נלווים. ערעור</w:t>
      </w:r>
      <w:r>
        <w:rPr>
          <w:rFonts w:ascii="David" w:eastAsia="Calibri" w:hAnsi="David" w:hint="cs"/>
          <w:rtl/>
        </w:rPr>
        <w:t xml:space="preserve">ו </w:t>
      </w:r>
      <w:r w:rsidRPr="001832CD">
        <w:rPr>
          <w:rFonts w:ascii="David" w:eastAsia="Calibri" w:hAnsi="David"/>
          <w:rtl/>
        </w:rPr>
        <w:t xml:space="preserve">נדחה. </w:t>
      </w:r>
      <w:r>
        <w:rPr>
          <w:rFonts w:ascii="David" w:hAnsi="David" w:hint="cs"/>
          <w:b/>
          <w:bCs/>
          <w:sz w:val="22"/>
          <w:szCs w:val="22"/>
          <w:rtl/>
        </w:rPr>
        <w:t xml:space="preserve"> ב</w:t>
      </w:r>
      <w:hyperlink r:id="rId49" w:history="1">
        <w:r w:rsidR="008632AD" w:rsidRPr="008632AD">
          <w:rPr>
            <w:rFonts w:ascii="David" w:hAnsi="David"/>
            <w:b/>
            <w:bCs/>
            <w:color w:val="0000FF"/>
            <w:sz w:val="22"/>
            <w:szCs w:val="22"/>
            <w:u w:val="single"/>
            <w:rtl/>
          </w:rPr>
          <w:t>ת"פ 17655-10-22</w:t>
        </w:r>
      </w:hyperlink>
      <w:r w:rsidRPr="00577D24">
        <w:rPr>
          <w:rFonts w:ascii="David" w:hAnsi="David"/>
          <w:b/>
          <w:bCs/>
          <w:sz w:val="22"/>
          <w:szCs w:val="22"/>
          <w:rtl/>
        </w:rPr>
        <w:t xml:space="preserve"> </w:t>
      </w:r>
      <w:r w:rsidRPr="00577D24">
        <w:rPr>
          <w:rFonts w:ascii="David" w:hAnsi="David"/>
          <w:b/>
          <w:bCs/>
          <w:sz w:val="22"/>
          <w:szCs w:val="22"/>
          <w:u w:val="single"/>
          <w:rtl/>
        </w:rPr>
        <w:t>מדינת ישראל נ' חווא</w:t>
      </w:r>
      <w:r w:rsidRPr="00577D24">
        <w:rPr>
          <w:rFonts w:ascii="David" w:eastAsia="Calibri" w:hAnsi="David"/>
          <w:sz w:val="22"/>
          <w:szCs w:val="22"/>
          <w:rtl/>
        </w:rPr>
        <w:t xml:space="preserve"> הנאשם הורשע בעבירות של </w:t>
      </w:r>
      <w:r w:rsidRPr="00577D24">
        <w:rPr>
          <w:rFonts w:ascii="David" w:hAnsi="David"/>
          <w:sz w:val="22"/>
          <w:szCs w:val="22"/>
          <w:rtl/>
        </w:rPr>
        <w:t>עבירות בנשק (החזקה ונשיאה</w:t>
      </w:r>
      <w:r w:rsidRPr="00577D24">
        <w:rPr>
          <w:rFonts w:ascii="David" w:hAnsi="David" w:hint="cs"/>
          <w:sz w:val="22"/>
          <w:szCs w:val="22"/>
          <w:rtl/>
        </w:rPr>
        <w:t>)</w:t>
      </w:r>
      <w:r w:rsidRPr="00577D24">
        <w:rPr>
          <w:rFonts w:ascii="David" w:eastAsia="Calibri" w:hAnsi="David"/>
          <w:sz w:val="22"/>
          <w:szCs w:val="22"/>
          <w:rtl/>
        </w:rPr>
        <w:t>, בכך ש</w:t>
      </w:r>
      <w:r w:rsidRPr="00577D24">
        <w:rPr>
          <w:rFonts w:ascii="David" w:hAnsi="David"/>
          <w:sz w:val="22"/>
          <w:szCs w:val="22"/>
          <w:rtl/>
        </w:rPr>
        <w:t>החזיק אקדח טעון ומחסנית תואמת ובתוכה 6 כדורים</w:t>
      </w:r>
      <w:r w:rsidRPr="00577D24">
        <w:rPr>
          <w:rFonts w:ascii="David" w:hAnsi="David" w:hint="cs"/>
          <w:sz w:val="22"/>
          <w:szCs w:val="22"/>
          <w:rtl/>
        </w:rPr>
        <w:t xml:space="preserve">, </w:t>
      </w:r>
      <w:r w:rsidRPr="00577D24">
        <w:rPr>
          <w:rFonts w:ascii="David" w:hAnsi="David"/>
          <w:sz w:val="22"/>
          <w:szCs w:val="22"/>
          <w:rtl/>
        </w:rPr>
        <w:t>לשם הגנה עצמית.</w:t>
      </w:r>
      <w:r w:rsidRPr="00577D24">
        <w:rPr>
          <w:rFonts w:ascii="David" w:hAnsi="David" w:hint="cs"/>
          <w:sz w:val="22"/>
          <w:szCs w:val="22"/>
          <w:rtl/>
        </w:rPr>
        <w:t xml:space="preserve"> </w:t>
      </w:r>
      <w:r w:rsidRPr="00577D24">
        <w:rPr>
          <w:rFonts w:ascii="David" w:hAnsi="David"/>
          <w:sz w:val="22"/>
          <w:szCs w:val="22"/>
          <w:rtl/>
        </w:rPr>
        <w:t>נקבע מתחם עונש הולם אשר נע בין 24 ועד 50 חודשי מאסר בפועל. על הנאשם בעל עבר פלילי הוטלו 35 חודשי מאסר בפועל.</w:t>
      </w:r>
      <w:r>
        <w:rPr>
          <w:rFonts w:ascii="David" w:eastAsia="Calibri" w:hAnsi="David" w:hint="cs"/>
          <w:rtl/>
        </w:rPr>
        <w:t xml:space="preserve"> </w:t>
      </w:r>
      <w:r>
        <w:rPr>
          <w:rFonts w:ascii="David" w:hAnsi="David" w:hint="cs"/>
          <w:b/>
          <w:bCs/>
          <w:rtl/>
        </w:rPr>
        <w:t xml:space="preserve"> ב</w:t>
      </w:r>
      <w:hyperlink r:id="rId50" w:history="1">
        <w:r w:rsidR="008632AD" w:rsidRPr="008632AD">
          <w:rPr>
            <w:rFonts w:ascii="David" w:hAnsi="David"/>
            <w:b/>
            <w:bCs/>
            <w:color w:val="0000FF"/>
            <w:u w:val="single"/>
            <w:rtl/>
          </w:rPr>
          <w:t>ע"פ 3731/21</w:t>
        </w:r>
      </w:hyperlink>
      <w:r w:rsidRPr="0097077F">
        <w:rPr>
          <w:rFonts w:ascii="David" w:hAnsi="David"/>
          <w:b/>
          <w:bCs/>
          <w:rtl/>
        </w:rPr>
        <w:t xml:space="preserve"> </w:t>
      </w:r>
      <w:r w:rsidRPr="0097077F">
        <w:rPr>
          <w:rFonts w:ascii="David" w:hAnsi="David"/>
          <w:b/>
          <w:bCs/>
          <w:u w:val="single"/>
          <w:rtl/>
        </w:rPr>
        <w:t>חסן בן עלי אבן פרג נ' מדינת ישראל</w:t>
      </w:r>
      <w:r w:rsidRPr="0097077F">
        <w:rPr>
          <w:rFonts w:ascii="David" w:hAnsi="David"/>
          <w:b/>
          <w:bCs/>
          <w:rtl/>
        </w:rPr>
        <w:t xml:space="preserve"> </w:t>
      </w:r>
      <w:r w:rsidRPr="0097077F">
        <w:rPr>
          <w:rFonts w:ascii="David" w:hAnsi="David" w:hint="cs"/>
          <w:rtl/>
        </w:rPr>
        <w:t xml:space="preserve">הנאשם הורשע בעבירות של נשיאה והובלת נשק ותחמושת בך שהוא </w:t>
      </w:r>
      <w:r w:rsidRPr="0097077F">
        <w:rPr>
          <w:rFonts w:ascii="David" w:hAnsi="David"/>
          <w:rtl/>
        </w:rPr>
        <w:t xml:space="preserve">נתפס נושא </w:t>
      </w:r>
      <w:r>
        <w:rPr>
          <w:rFonts w:ascii="David" w:hAnsi="David"/>
          <w:rtl/>
        </w:rPr>
        <w:t>אקדח ברכבו</w:t>
      </w:r>
      <w:r>
        <w:rPr>
          <w:rFonts w:ascii="David" w:hAnsi="David" w:hint="cs"/>
          <w:rtl/>
        </w:rPr>
        <w:t xml:space="preserve">. </w:t>
      </w:r>
      <w:r w:rsidRPr="0097077F">
        <w:rPr>
          <w:rFonts w:ascii="David" w:hAnsi="David"/>
          <w:rtl/>
        </w:rPr>
        <w:t>נקבע מתחם עונש הולם שנע בין 15 ל – 40 חודשי מאסר</w:t>
      </w:r>
      <w:r w:rsidRPr="0097077F">
        <w:rPr>
          <w:rFonts w:ascii="David" w:hAnsi="David" w:hint="cs"/>
          <w:rtl/>
        </w:rPr>
        <w:t xml:space="preserve">. </w:t>
      </w:r>
      <w:r w:rsidRPr="0097077F">
        <w:rPr>
          <w:rFonts w:ascii="David" w:hAnsi="David"/>
          <w:rtl/>
        </w:rPr>
        <w:t>על הנאשם, בעל עבר פלילי אשר אמור היה להתחיל באותה עת בנשיאת עונש של עבודות שירות, הושת עונש מאסר בפועל בן 18 חודשים</w:t>
      </w:r>
      <w:r w:rsidRPr="0097077F">
        <w:rPr>
          <w:rFonts w:ascii="David" w:hAnsi="David" w:hint="cs"/>
          <w:rtl/>
        </w:rPr>
        <w:t xml:space="preserve">. ערעור על חומרת העונש נמחק לבקשת הנאשם. </w:t>
      </w:r>
    </w:p>
    <w:p w14:paraId="66EC47EE" w14:textId="77777777" w:rsidR="005A11D0" w:rsidRPr="00D844F9" w:rsidRDefault="005A11D0" w:rsidP="005A11D0">
      <w:pPr>
        <w:shd w:val="clear" w:color="auto" w:fill="FFFFFF"/>
        <w:overflowPunct w:val="0"/>
        <w:autoSpaceDE w:val="0"/>
        <w:autoSpaceDN w:val="0"/>
        <w:spacing w:line="360" w:lineRule="auto"/>
        <w:ind w:left="720"/>
        <w:jc w:val="both"/>
        <w:rPr>
          <w:rFonts w:ascii="David" w:eastAsia="Calibri" w:hAnsi="David"/>
          <w:sz w:val="10"/>
          <w:szCs w:val="10"/>
          <w:rtl/>
        </w:rPr>
      </w:pPr>
    </w:p>
    <w:p w14:paraId="11905B24" w14:textId="77777777" w:rsidR="005A11D0" w:rsidRPr="001832CD" w:rsidRDefault="005A11D0" w:rsidP="005A11D0">
      <w:pPr>
        <w:numPr>
          <w:ilvl w:val="0"/>
          <w:numId w:val="1"/>
        </w:numPr>
        <w:shd w:val="clear" w:color="auto" w:fill="FFFFFF"/>
        <w:overflowPunct w:val="0"/>
        <w:autoSpaceDE w:val="0"/>
        <w:autoSpaceDN w:val="0"/>
        <w:spacing w:after="160" w:line="360" w:lineRule="auto"/>
        <w:jc w:val="both"/>
        <w:rPr>
          <w:rFonts w:ascii="David" w:eastAsia="Calibri" w:hAnsi="David"/>
        </w:rPr>
      </w:pPr>
      <w:r w:rsidRPr="001832CD">
        <w:rPr>
          <w:rFonts w:ascii="David" w:eastAsia="David" w:hAnsi="David"/>
          <w:rtl/>
        </w:rPr>
        <w:t xml:space="preserve">המאשימה הפנתה למספר פסקי דין כאשר מתחמי הענישה נעים בין </w:t>
      </w:r>
      <w:r w:rsidRPr="001832CD">
        <w:rPr>
          <w:rFonts w:ascii="David" w:eastAsia="Calibri" w:hAnsi="David"/>
          <w:rtl/>
        </w:rPr>
        <w:t>30 ועד 48 חודשי מאסר בפועל, והעונשים נעים בין 28 ועד 36 חודשי מאסר בפועל.</w:t>
      </w:r>
    </w:p>
    <w:p w14:paraId="6A053A35" w14:textId="77777777" w:rsidR="005A11D0" w:rsidRPr="00D844F9" w:rsidRDefault="005A11D0" w:rsidP="005A11D0">
      <w:pPr>
        <w:spacing w:after="160" w:line="252" w:lineRule="auto"/>
        <w:ind w:left="720"/>
        <w:contextualSpacing/>
        <w:rPr>
          <w:rFonts w:ascii="David" w:eastAsia="Calibri" w:hAnsi="David"/>
          <w:sz w:val="6"/>
          <w:szCs w:val="6"/>
          <w:rtl/>
        </w:rPr>
      </w:pPr>
    </w:p>
    <w:p w14:paraId="6597040E" w14:textId="77777777" w:rsidR="005A11D0" w:rsidRPr="001832CD" w:rsidRDefault="005A11D0" w:rsidP="005A11D0">
      <w:pPr>
        <w:numPr>
          <w:ilvl w:val="0"/>
          <w:numId w:val="1"/>
        </w:numPr>
        <w:shd w:val="clear" w:color="auto" w:fill="FFFFFF"/>
        <w:overflowPunct w:val="0"/>
        <w:autoSpaceDE w:val="0"/>
        <w:autoSpaceDN w:val="0"/>
        <w:spacing w:after="160" w:line="360" w:lineRule="auto"/>
        <w:contextualSpacing/>
        <w:jc w:val="both"/>
        <w:rPr>
          <w:rFonts w:ascii="David" w:hAnsi="David"/>
        </w:rPr>
      </w:pPr>
      <w:r w:rsidRPr="001832CD">
        <w:rPr>
          <w:rFonts w:ascii="David" w:eastAsia="David" w:hAnsi="David"/>
          <w:rtl/>
        </w:rPr>
        <w:t>ב"כ הנאשם הפנה למספר פסקי דין, כאשר מתחמי הענישה נעים בין 10 ועד 36 חודשי מאסר בפועל, והעונשים נעים בין 12 ועד 18 חודשי מאסר בפועל.</w:t>
      </w:r>
    </w:p>
    <w:p w14:paraId="6D837024" w14:textId="77777777" w:rsidR="005A11D0" w:rsidRPr="00D844F9" w:rsidRDefault="005A11D0" w:rsidP="005A11D0">
      <w:pPr>
        <w:spacing w:line="360" w:lineRule="auto"/>
        <w:ind w:left="360"/>
        <w:contextualSpacing/>
        <w:jc w:val="both"/>
        <w:rPr>
          <w:rFonts w:ascii="David" w:eastAsia="David" w:hAnsi="David"/>
          <w:b/>
          <w:bCs/>
          <w:sz w:val="12"/>
          <w:szCs w:val="12"/>
          <w:u w:val="single"/>
          <w:rtl/>
        </w:rPr>
      </w:pPr>
    </w:p>
    <w:p w14:paraId="6671F3DC" w14:textId="77777777" w:rsidR="005A11D0" w:rsidRPr="001832CD" w:rsidRDefault="005A11D0" w:rsidP="005A11D0">
      <w:pPr>
        <w:spacing w:line="360" w:lineRule="auto"/>
        <w:ind w:left="360"/>
        <w:contextualSpacing/>
        <w:jc w:val="both"/>
        <w:rPr>
          <w:rFonts w:ascii="David" w:eastAsia="David" w:hAnsi="David"/>
          <w:b/>
          <w:bCs/>
          <w:u w:val="single"/>
        </w:rPr>
      </w:pPr>
      <w:r w:rsidRPr="001832CD">
        <w:rPr>
          <w:rFonts w:ascii="David" w:eastAsia="David" w:hAnsi="David"/>
          <w:b/>
          <w:bCs/>
          <w:u w:val="single"/>
          <w:rtl/>
        </w:rPr>
        <w:t>לסיכום מתחם העונש ההולם</w:t>
      </w:r>
    </w:p>
    <w:p w14:paraId="3CA53695" w14:textId="77777777" w:rsidR="005A11D0" w:rsidRPr="00D844F9" w:rsidRDefault="005A11D0" w:rsidP="005A11D0">
      <w:pPr>
        <w:spacing w:line="360" w:lineRule="auto"/>
        <w:ind w:left="360"/>
        <w:contextualSpacing/>
        <w:jc w:val="both"/>
        <w:rPr>
          <w:rFonts w:ascii="David" w:eastAsia="David" w:hAnsi="David"/>
          <w:b/>
          <w:bCs/>
          <w:sz w:val="14"/>
          <w:szCs w:val="14"/>
          <w:u w:val="single"/>
        </w:rPr>
      </w:pPr>
    </w:p>
    <w:p w14:paraId="292BCF0B" w14:textId="77777777" w:rsidR="005A11D0" w:rsidRPr="001832CD" w:rsidRDefault="005A11D0" w:rsidP="005A11D0">
      <w:pPr>
        <w:numPr>
          <w:ilvl w:val="0"/>
          <w:numId w:val="1"/>
        </w:numPr>
        <w:spacing w:after="160" w:line="360" w:lineRule="auto"/>
        <w:contextualSpacing/>
        <w:jc w:val="both"/>
        <w:rPr>
          <w:rFonts w:ascii="David" w:hAnsi="David"/>
          <w:rtl/>
        </w:rPr>
      </w:pPr>
      <w:r w:rsidRPr="001832CD">
        <w:rPr>
          <w:rFonts w:ascii="David" w:hAnsi="David"/>
          <w:rtl/>
        </w:rPr>
        <w:t xml:space="preserve">העונש המרבי הקבוע בחוק ביחס לעבירה של החזקת נשק הוא 7 שנות מאסר </w:t>
      </w:r>
      <w:r w:rsidRPr="001832CD">
        <w:rPr>
          <w:rFonts w:ascii="David" w:eastAsia="David" w:hAnsi="David"/>
          <w:rtl/>
        </w:rPr>
        <w:t xml:space="preserve">ולא פחות מ- 21 חודשי מאסר (עונש המינימום הקבוע בחוק שאינו יכול להיות כולו על תנאי), </w:t>
      </w:r>
      <w:r w:rsidRPr="001832CD">
        <w:rPr>
          <w:rFonts w:ascii="David" w:hAnsi="David"/>
          <w:rtl/>
        </w:rPr>
        <w:t>והעונש הקבוע לצד עבירת נשיאה והובלת נשק הינו 10 שנות מאסר ולא פחות מ-30 חודשים (עונש המינימום הקבוע בחוק שאינו יכול להיות כולו על תנאי). העונש המרבי הקבוע בצידה של נשיאה והחזקה של אביזר או תחמושת הוא 3 שנות מאסר. עונשי המינימום הקבועים בחוק חלים במקרה זה, ויש בתיקון כדי ללמד על מגמת ההחמרה הכללית ביחס לעבירות נשק, כפי שהדבר בא לידי ביטוי בפסיקה</w:t>
      </w:r>
      <w:r w:rsidRPr="001832CD">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1832CD">
        <w:rPr>
          <w:rFonts w:ascii="David" w:eastAsia="David" w:hAnsi="David"/>
          <w:b/>
          <w:bCs/>
          <w:rtl/>
        </w:rPr>
        <w:t xml:space="preserve">. ר'  </w:t>
      </w:r>
      <w:hyperlink r:id="rId51" w:history="1">
        <w:r w:rsidR="008632AD" w:rsidRPr="008632AD">
          <w:rPr>
            <w:rFonts w:ascii="David" w:eastAsia="David" w:hAnsi="David"/>
            <w:b/>
            <w:bCs/>
            <w:color w:val="0000FF"/>
            <w:u w:val="single"/>
            <w:rtl/>
          </w:rPr>
          <w:t>ע"פ 5602/22</w:t>
        </w:r>
      </w:hyperlink>
      <w:r w:rsidRPr="001832CD">
        <w:rPr>
          <w:rFonts w:ascii="David" w:eastAsia="David" w:hAnsi="David"/>
          <w:b/>
          <w:bCs/>
          <w:rtl/>
        </w:rPr>
        <w:t xml:space="preserve"> </w:t>
      </w:r>
      <w:r w:rsidRPr="001832CD">
        <w:rPr>
          <w:rFonts w:ascii="David" w:eastAsia="David" w:hAnsi="David"/>
          <w:b/>
          <w:bCs/>
          <w:u w:val="single"/>
          <w:rtl/>
        </w:rPr>
        <w:t>מ. ישראל פלוני</w:t>
      </w:r>
      <w:r w:rsidRPr="001832CD">
        <w:rPr>
          <w:rFonts w:ascii="David" w:eastAsia="David" w:hAnsi="David"/>
          <w:rtl/>
        </w:rPr>
        <w:t xml:space="preserve">: </w:t>
      </w:r>
      <w:r w:rsidRPr="001832CD">
        <w:rPr>
          <w:rFonts w:ascii="David" w:eastAsia="David" w:hAnsi="David"/>
          <w:b/>
          <w:bCs/>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1832CD">
        <w:rPr>
          <w:rFonts w:ascii="David" w:eastAsia="David" w:hAnsi="David"/>
          <w:rtl/>
        </w:rPr>
        <w:t>".</w:t>
      </w:r>
    </w:p>
    <w:p w14:paraId="10B29577" w14:textId="77777777" w:rsidR="005A11D0" w:rsidRPr="00035770" w:rsidRDefault="005A11D0" w:rsidP="005A11D0">
      <w:pPr>
        <w:shd w:val="clear" w:color="auto" w:fill="FFFFFF"/>
        <w:spacing w:after="160" w:line="360" w:lineRule="auto"/>
        <w:ind w:left="720"/>
        <w:contextualSpacing/>
        <w:jc w:val="both"/>
        <w:rPr>
          <w:rFonts w:ascii="David" w:eastAsia="Calibri" w:hAnsi="David"/>
          <w:sz w:val="14"/>
          <w:szCs w:val="14"/>
        </w:rPr>
      </w:pPr>
    </w:p>
    <w:p w14:paraId="2E1CC01C" w14:textId="77777777" w:rsidR="005A11D0" w:rsidRPr="008C312D" w:rsidRDefault="005A11D0" w:rsidP="005A11D0">
      <w:pPr>
        <w:numPr>
          <w:ilvl w:val="0"/>
          <w:numId w:val="1"/>
        </w:numPr>
        <w:shd w:val="clear" w:color="auto" w:fill="FFFFFF"/>
        <w:spacing w:after="160" w:line="360" w:lineRule="auto"/>
        <w:contextualSpacing/>
        <w:jc w:val="both"/>
        <w:rPr>
          <w:rFonts w:ascii="David" w:eastAsia="Calibri" w:hAnsi="David"/>
          <w:rtl/>
        </w:rPr>
      </w:pPr>
      <w:r w:rsidRPr="008C312D">
        <w:rPr>
          <w:rFonts w:ascii="David" w:eastAsia="David" w:hAnsi="David"/>
          <w:rtl/>
        </w:rPr>
        <w:t xml:space="preserve">לאחר ששקלתי את חומרת העבירות, נסיבות ביצוע העבירות כמפורט לעיל, </w:t>
      </w:r>
      <w:r w:rsidRPr="008C312D">
        <w:rPr>
          <w:rFonts w:ascii="David" w:eastAsia="David" w:hAnsi="David" w:hint="cs"/>
          <w:rtl/>
        </w:rPr>
        <w:t>ובפרט העובדה שהנאשם החזיק בנשק לאחר שחשש לחייו ולחיי משפחתו</w:t>
      </w:r>
      <w:r>
        <w:rPr>
          <w:rFonts w:ascii="David" w:eastAsia="David" w:hAnsi="David" w:hint="cs"/>
          <w:rtl/>
        </w:rPr>
        <w:t xml:space="preserve"> בעקבות האירועים הקשים שחווה</w:t>
      </w:r>
      <w:r w:rsidRPr="008C312D">
        <w:rPr>
          <w:rFonts w:ascii="David" w:eastAsia="David" w:hAnsi="David" w:hint="cs"/>
          <w:rtl/>
        </w:rPr>
        <w:t>, סוג הנשק,</w:t>
      </w:r>
      <w:r>
        <w:rPr>
          <w:rFonts w:ascii="David" w:eastAsia="David" w:hAnsi="David" w:hint="cs"/>
          <w:rtl/>
        </w:rPr>
        <w:t xml:space="preserve"> העובדה שהנשק הוחזק כאשר הנאשם בחניון ביתו, </w:t>
      </w:r>
      <w:r w:rsidRPr="008C312D">
        <w:rPr>
          <w:rFonts w:ascii="David" w:eastAsia="David" w:hAnsi="David"/>
          <w:rtl/>
        </w:rPr>
        <w:t>הערכים  החברתיים עליהם יש להגן, מידת הפגיעה בהם והפסיקה הנהוגה, אני סבור כי מתחם העונש ההולם צריך לכלול</w:t>
      </w:r>
      <w:r w:rsidRPr="008C312D">
        <w:rPr>
          <w:rFonts w:ascii="David" w:eastAsia="David" w:hAnsi="David" w:hint="cs"/>
          <w:rtl/>
        </w:rPr>
        <w:t xml:space="preserve"> במקרה זה </w:t>
      </w:r>
      <w:r>
        <w:rPr>
          <w:rFonts w:ascii="David" w:eastAsia="David" w:hAnsi="David"/>
          <w:rtl/>
        </w:rPr>
        <w:t xml:space="preserve"> רכיב של מאסר בפועל </w:t>
      </w:r>
      <w:r>
        <w:rPr>
          <w:rFonts w:ascii="David" w:eastAsia="David" w:hAnsi="David" w:hint="cs"/>
          <w:rtl/>
        </w:rPr>
        <w:t>שלא יפחת מ- 18 חודשים ולא יעלה על- 40 חודשים.</w:t>
      </w:r>
    </w:p>
    <w:p w14:paraId="2002CFC2" w14:textId="77777777" w:rsidR="005A11D0" w:rsidRPr="001832CD" w:rsidRDefault="005A11D0" w:rsidP="005A11D0">
      <w:pPr>
        <w:rPr>
          <w:rFonts w:ascii="David" w:eastAsia="Calibri" w:hAnsi="David"/>
          <w:b/>
          <w:bCs/>
          <w:u w:val="single"/>
        </w:rPr>
      </w:pPr>
    </w:p>
    <w:p w14:paraId="26E91A4C" w14:textId="77777777" w:rsidR="005A11D0" w:rsidRPr="001832CD" w:rsidRDefault="005A11D0" w:rsidP="005A11D0">
      <w:pPr>
        <w:spacing w:after="160" w:line="360" w:lineRule="auto"/>
        <w:ind w:firstLine="360"/>
        <w:jc w:val="both"/>
        <w:rPr>
          <w:rFonts w:ascii="David" w:eastAsia="David" w:hAnsi="David"/>
          <w:b/>
          <w:bCs/>
          <w:u w:val="single"/>
        </w:rPr>
      </w:pPr>
      <w:r w:rsidRPr="001832CD">
        <w:rPr>
          <w:rFonts w:ascii="David" w:eastAsia="David" w:hAnsi="David"/>
          <w:b/>
          <w:bCs/>
          <w:u w:val="single"/>
          <w:rtl/>
        </w:rPr>
        <w:t>נסיבות שאינן קשורות בביצוע העבירות</w:t>
      </w:r>
    </w:p>
    <w:p w14:paraId="57A2A0C3" w14:textId="77777777" w:rsidR="005A11D0" w:rsidRPr="00225FB0" w:rsidRDefault="005A11D0" w:rsidP="005A11D0">
      <w:pPr>
        <w:pStyle w:val="a9"/>
        <w:numPr>
          <w:ilvl w:val="0"/>
          <w:numId w:val="1"/>
        </w:numPr>
        <w:spacing w:after="160" w:line="360" w:lineRule="auto"/>
        <w:jc w:val="both"/>
        <w:rPr>
          <w:rFonts w:ascii="David" w:eastAsia="Calibri" w:hAnsi="David"/>
        </w:rPr>
      </w:pPr>
      <w:r w:rsidRPr="00225FB0">
        <w:rPr>
          <w:rFonts w:ascii="David" w:eastAsia="David" w:hAnsi="David"/>
          <w:rtl/>
        </w:rPr>
        <w:t>לקולה אני מביא בחשבון את: שיתוף הפעולה של הנאשם עם היחידה החוקרת</w:t>
      </w:r>
      <w:r w:rsidRPr="00225FB0">
        <w:rPr>
          <w:rFonts w:ascii="David" w:eastAsia="David" w:hAnsi="David" w:hint="cs"/>
          <w:rtl/>
        </w:rPr>
        <w:t xml:space="preserve">, </w:t>
      </w:r>
      <w:r w:rsidRPr="00225FB0">
        <w:rPr>
          <w:rFonts w:ascii="David" w:eastAsia="David" w:hAnsi="David"/>
          <w:rtl/>
        </w:rPr>
        <w:t>קבלת האחריות</w:t>
      </w:r>
      <w:r w:rsidRPr="00225FB0">
        <w:rPr>
          <w:rFonts w:ascii="David" w:eastAsia="David" w:hAnsi="David" w:hint="cs"/>
          <w:rtl/>
        </w:rPr>
        <w:t>,</w:t>
      </w:r>
      <w:r w:rsidRPr="00225FB0">
        <w:rPr>
          <w:rFonts w:ascii="David" w:eastAsia="David" w:hAnsi="David"/>
          <w:rtl/>
        </w:rPr>
        <w:t xml:space="preserve"> הבעת החרטה</w:t>
      </w:r>
      <w:r w:rsidRPr="00225FB0">
        <w:rPr>
          <w:rFonts w:ascii="David" w:eastAsia="David" w:hAnsi="David" w:hint="cs"/>
          <w:rtl/>
        </w:rPr>
        <w:t>,</w:t>
      </w:r>
      <w:r w:rsidRPr="00225FB0">
        <w:rPr>
          <w:rFonts w:ascii="David" w:eastAsia="David" w:hAnsi="David"/>
          <w:rtl/>
        </w:rPr>
        <w:t xml:space="preserve"> ההודאה בכתב האישום המתוקן</w:t>
      </w:r>
      <w:r w:rsidRPr="00225FB0">
        <w:rPr>
          <w:rFonts w:ascii="David" w:eastAsia="David" w:hAnsi="David" w:hint="cs"/>
          <w:rtl/>
        </w:rPr>
        <w:t xml:space="preserve"> מבלי שהחלה שמיעת הראיות בתיק, </w:t>
      </w:r>
      <w:r w:rsidRPr="00225FB0">
        <w:rPr>
          <w:rFonts w:ascii="David" w:eastAsia="David" w:hAnsi="David"/>
          <w:rtl/>
        </w:rPr>
        <w:t xml:space="preserve"> </w:t>
      </w:r>
      <w:r w:rsidRPr="00225FB0">
        <w:rPr>
          <w:rFonts w:ascii="David" w:eastAsia="David" w:hAnsi="David" w:hint="cs"/>
          <w:rtl/>
        </w:rPr>
        <w:t>ו</w:t>
      </w:r>
      <w:r w:rsidRPr="00225FB0">
        <w:rPr>
          <w:rFonts w:ascii="David" w:eastAsia="David" w:hAnsi="David"/>
          <w:rtl/>
        </w:rPr>
        <w:t>החיסכון בזמן שיפוטי</w:t>
      </w:r>
      <w:r w:rsidRPr="00225FB0">
        <w:rPr>
          <w:rFonts w:ascii="David" w:eastAsia="David" w:hAnsi="David" w:hint="cs"/>
          <w:rtl/>
        </w:rPr>
        <w:t>.</w:t>
      </w:r>
    </w:p>
    <w:p w14:paraId="14FE39CD" w14:textId="77777777" w:rsidR="005A11D0" w:rsidRDefault="005A11D0" w:rsidP="005A11D0">
      <w:pPr>
        <w:spacing w:after="160" w:line="360" w:lineRule="auto"/>
        <w:ind w:left="720"/>
        <w:contextualSpacing/>
        <w:jc w:val="both"/>
        <w:rPr>
          <w:rFonts w:ascii="David" w:eastAsia="David" w:hAnsi="David"/>
          <w:rtl/>
        </w:rPr>
      </w:pPr>
      <w:r>
        <w:rPr>
          <w:rFonts w:ascii="David" w:eastAsia="David" w:hAnsi="David" w:hint="cs"/>
          <w:rtl/>
        </w:rPr>
        <w:t>בנוסף יש לתת משקל של ממש ל</w:t>
      </w:r>
      <w:r w:rsidRPr="001832CD">
        <w:rPr>
          <w:rFonts w:ascii="David" w:eastAsia="David" w:hAnsi="David"/>
          <w:rtl/>
        </w:rPr>
        <w:t xml:space="preserve">נסיבותיו האישיות </w:t>
      </w:r>
      <w:r>
        <w:rPr>
          <w:rFonts w:ascii="David" w:eastAsia="David" w:hAnsi="David" w:hint="cs"/>
          <w:rtl/>
        </w:rPr>
        <w:t xml:space="preserve">של הנאשם </w:t>
      </w:r>
      <w:r w:rsidRPr="001832CD">
        <w:rPr>
          <w:rFonts w:ascii="David" w:eastAsia="David" w:hAnsi="David"/>
          <w:rtl/>
        </w:rPr>
        <w:t>כעולה מטיעוני ההגנה</w:t>
      </w:r>
      <w:r>
        <w:rPr>
          <w:rFonts w:ascii="David" w:eastAsia="David" w:hAnsi="David" w:hint="cs"/>
          <w:rtl/>
        </w:rPr>
        <w:t>, ובפרט האירועים הקשים והמטרידים אותם חוו הנאשם ומשפחתו עובר לביצוע העבירות.</w:t>
      </w:r>
    </w:p>
    <w:p w14:paraId="77FC2298" w14:textId="77777777" w:rsidR="005A11D0" w:rsidRDefault="005A11D0" w:rsidP="005A11D0">
      <w:pPr>
        <w:spacing w:after="160" w:line="360" w:lineRule="auto"/>
        <w:ind w:left="720"/>
        <w:contextualSpacing/>
        <w:jc w:val="both"/>
        <w:rPr>
          <w:rFonts w:ascii="David" w:eastAsia="David" w:hAnsi="David"/>
          <w:rtl/>
        </w:rPr>
      </w:pPr>
    </w:p>
    <w:p w14:paraId="1EC8191B" w14:textId="77777777" w:rsidR="005A11D0" w:rsidRDefault="005A11D0" w:rsidP="005A11D0">
      <w:pPr>
        <w:spacing w:after="160" w:line="360" w:lineRule="auto"/>
        <w:ind w:left="720"/>
        <w:contextualSpacing/>
        <w:jc w:val="both"/>
        <w:rPr>
          <w:rFonts w:ascii="David" w:eastAsia="Calibri" w:hAnsi="David"/>
          <w:rtl/>
        </w:rPr>
      </w:pPr>
      <w:r>
        <w:rPr>
          <w:rFonts w:ascii="David" w:eastAsia="David" w:hAnsi="David" w:hint="cs"/>
          <w:rtl/>
        </w:rPr>
        <w:t xml:space="preserve"> משקל נוסף לקולה יינתן ל</w:t>
      </w:r>
      <w:r>
        <w:rPr>
          <w:rFonts w:ascii="David" w:eastAsia="David" w:hAnsi="David"/>
          <w:rtl/>
        </w:rPr>
        <w:t>מצבו הרפואי</w:t>
      </w:r>
      <w:r>
        <w:rPr>
          <w:rFonts w:ascii="David" w:eastAsia="David" w:hAnsi="David" w:hint="cs"/>
          <w:rtl/>
        </w:rPr>
        <w:t xml:space="preserve"> של הנאשם כפי שעולה מטיעוני ההגנה והמסמכים הרפואיים שצורפו (נ/8). פציעתו של הנאשם אינה קלה והוא נאלץ להיעזר בקביים. כך גם ייתנן משקל ל</w:t>
      </w:r>
      <w:r>
        <w:rPr>
          <w:rFonts w:ascii="David" w:eastAsia="David" w:hAnsi="David"/>
          <w:rtl/>
        </w:rPr>
        <w:t xml:space="preserve">תקופת המעצר המשמעותית בה </w:t>
      </w:r>
      <w:r>
        <w:rPr>
          <w:rFonts w:ascii="David" w:eastAsia="David" w:hAnsi="David" w:hint="cs"/>
          <w:rtl/>
        </w:rPr>
        <w:t>הנאשם</w:t>
      </w:r>
      <w:r w:rsidRPr="001832CD">
        <w:rPr>
          <w:rFonts w:ascii="David" w:eastAsia="David" w:hAnsi="David"/>
          <w:rtl/>
        </w:rPr>
        <w:t xml:space="preserve">  נתון עד היום  (כי</w:t>
      </w:r>
      <w:r>
        <w:rPr>
          <w:rFonts w:ascii="David" w:eastAsia="David" w:hAnsi="David"/>
          <w:rtl/>
        </w:rPr>
        <w:t>דוע תנאי המעצר קשים מתנאי מאסר</w:t>
      </w:r>
      <w:r>
        <w:rPr>
          <w:rFonts w:ascii="David" w:eastAsia="David" w:hAnsi="David" w:hint="cs"/>
          <w:rtl/>
        </w:rPr>
        <w:t xml:space="preserve"> במיוחד כאשר מדובר במי שסובל ממגבלה רפואית משמעותית</w:t>
      </w:r>
      <w:r>
        <w:rPr>
          <w:rFonts w:ascii="David" w:eastAsia="David" w:hAnsi="David"/>
          <w:rtl/>
        </w:rPr>
        <w:t>)</w:t>
      </w:r>
      <w:r>
        <w:rPr>
          <w:rFonts w:ascii="David" w:eastAsia="David" w:hAnsi="David" w:hint="cs"/>
          <w:rtl/>
        </w:rPr>
        <w:t>.</w:t>
      </w:r>
      <w:r w:rsidRPr="001832CD">
        <w:rPr>
          <w:rFonts w:ascii="David" w:eastAsia="David" w:hAnsi="David"/>
          <w:rtl/>
        </w:rPr>
        <w:t xml:space="preserve"> </w:t>
      </w:r>
      <w:r>
        <w:rPr>
          <w:rFonts w:ascii="David" w:eastAsia="David" w:hAnsi="David" w:hint="cs"/>
          <w:rtl/>
        </w:rPr>
        <w:t>כך גם אין להתעלם מ</w:t>
      </w:r>
      <w:r w:rsidRPr="001832CD">
        <w:rPr>
          <w:rFonts w:ascii="David" w:eastAsia="David" w:hAnsi="David"/>
          <w:rtl/>
        </w:rPr>
        <w:t xml:space="preserve">השלכות המאסר על הנאשם </w:t>
      </w:r>
      <w:r>
        <w:rPr>
          <w:rFonts w:ascii="David" w:eastAsia="David" w:hAnsi="David" w:hint="cs"/>
          <w:rtl/>
        </w:rPr>
        <w:t xml:space="preserve">ומשפחתו. משקל מסוים יינתן גם לעובדה שלאחר מאסרו האחרון הנאשם ביקש לנהל אורח חיים נורמטיבי ועבד לפרנסתו. </w:t>
      </w:r>
    </w:p>
    <w:p w14:paraId="7D77EC42" w14:textId="77777777" w:rsidR="005A11D0" w:rsidRPr="007813E5" w:rsidRDefault="005A11D0" w:rsidP="005A11D0">
      <w:pPr>
        <w:spacing w:after="160" w:line="360" w:lineRule="auto"/>
        <w:ind w:left="720"/>
        <w:contextualSpacing/>
        <w:jc w:val="both"/>
        <w:rPr>
          <w:rFonts w:ascii="David" w:eastAsia="Calibri" w:hAnsi="David"/>
          <w:sz w:val="2"/>
          <w:szCs w:val="2"/>
          <w:rtl/>
        </w:rPr>
      </w:pPr>
    </w:p>
    <w:p w14:paraId="7CAF9CCE" w14:textId="77777777" w:rsidR="005A11D0" w:rsidRPr="00225FB0" w:rsidRDefault="005A11D0" w:rsidP="005A11D0">
      <w:pPr>
        <w:pStyle w:val="a9"/>
        <w:numPr>
          <w:ilvl w:val="0"/>
          <w:numId w:val="1"/>
        </w:numPr>
        <w:spacing w:after="160" w:line="360" w:lineRule="auto"/>
        <w:jc w:val="both"/>
        <w:rPr>
          <w:rFonts w:ascii="David" w:eastAsia="David" w:hAnsi="David"/>
        </w:rPr>
      </w:pPr>
      <w:r w:rsidRPr="00225FB0">
        <w:rPr>
          <w:rFonts w:ascii="David" w:eastAsia="Calibri" w:hAnsi="David"/>
          <w:rtl/>
        </w:rPr>
        <w:t xml:space="preserve">לחומרה, אני מביא בחשבון את עברו הפלילי של הנאשם אשר כולל 4 הרשעות קודמות, בעבירות של סמים, קשירת קשר לעשות פשע, התפרצות למקום מגורים, החזקת מכשירי פריצה, סיוע לגניבה, היזק לרכוש במזיד ועוד. הנאשם ריצה בין היתר, מספר מאסרים בפועל, </w:t>
      </w:r>
      <w:r w:rsidRPr="00225FB0">
        <w:rPr>
          <w:rFonts w:ascii="David" w:eastAsia="Calibri" w:hAnsi="David" w:hint="cs"/>
          <w:rtl/>
        </w:rPr>
        <w:t xml:space="preserve">האחרון משנת 2021 למשך 10 חודשים. </w:t>
      </w:r>
    </w:p>
    <w:p w14:paraId="781F7C59" w14:textId="77777777" w:rsidR="005A11D0" w:rsidRPr="00225FB0" w:rsidRDefault="005A11D0" w:rsidP="005A11D0">
      <w:pPr>
        <w:pStyle w:val="a9"/>
        <w:spacing w:after="160" w:line="360" w:lineRule="auto"/>
        <w:jc w:val="both"/>
        <w:rPr>
          <w:rFonts w:ascii="David" w:eastAsia="Calibri" w:hAnsi="David"/>
          <w:sz w:val="12"/>
          <w:szCs w:val="12"/>
          <w:rtl/>
        </w:rPr>
      </w:pPr>
    </w:p>
    <w:p w14:paraId="6AF269BA" w14:textId="77777777" w:rsidR="005A11D0" w:rsidRPr="00225FB0" w:rsidRDefault="005A11D0" w:rsidP="005A11D0">
      <w:pPr>
        <w:pStyle w:val="a9"/>
        <w:spacing w:after="160" w:line="360" w:lineRule="auto"/>
        <w:jc w:val="both"/>
        <w:rPr>
          <w:rFonts w:ascii="David" w:eastAsia="David" w:hAnsi="David"/>
        </w:rPr>
      </w:pPr>
      <w:r w:rsidRPr="00225FB0">
        <w:rPr>
          <w:rFonts w:ascii="David" w:eastAsia="Calibri" w:hAnsi="David"/>
          <w:rtl/>
        </w:rPr>
        <w:t xml:space="preserve"> </w:t>
      </w:r>
      <w:r w:rsidRPr="00225FB0">
        <w:rPr>
          <w:rFonts w:ascii="David" w:eastAsia="David" w:hAnsi="David" w:hint="cs"/>
          <w:rtl/>
        </w:rPr>
        <w:t xml:space="preserve">אמנם </w:t>
      </w:r>
      <w:r>
        <w:rPr>
          <w:rFonts w:ascii="David" w:eastAsia="David" w:hAnsi="David" w:hint="cs"/>
          <w:rtl/>
        </w:rPr>
        <w:t>הרשעותיו הקודמות של הנאשם אינן ב</w:t>
      </w:r>
      <w:r w:rsidRPr="00225FB0">
        <w:rPr>
          <w:rFonts w:ascii="David" w:eastAsia="David" w:hAnsi="David" w:hint="cs"/>
          <w:rtl/>
        </w:rPr>
        <w:t>עבירות דומות או בעב</w:t>
      </w:r>
      <w:r>
        <w:rPr>
          <w:rFonts w:ascii="David" w:eastAsia="David" w:hAnsi="David" w:hint="cs"/>
          <w:rtl/>
        </w:rPr>
        <w:t>ירות אלימות אך מדובר בעבר מכביד שיש לתת לו משקל במסגרת קביעת העונש בתוך המתחם.</w:t>
      </w:r>
    </w:p>
    <w:p w14:paraId="70CEE719" w14:textId="77777777" w:rsidR="005A11D0" w:rsidRPr="00723546" w:rsidRDefault="005A11D0" w:rsidP="005A11D0">
      <w:pPr>
        <w:pStyle w:val="a9"/>
        <w:rPr>
          <w:rFonts w:ascii="David" w:eastAsia="David" w:hAnsi="David"/>
          <w:rtl/>
        </w:rPr>
      </w:pPr>
    </w:p>
    <w:p w14:paraId="4C84A4E4" w14:textId="77777777" w:rsidR="005A11D0" w:rsidRPr="001832CD" w:rsidRDefault="005A11D0" w:rsidP="005A11D0">
      <w:pPr>
        <w:numPr>
          <w:ilvl w:val="0"/>
          <w:numId w:val="1"/>
        </w:numPr>
        <w:spacing w:after="160" w:line="360" w:lineRule="auto"/>
        <w:contextualSpacing/>
        <w:jc w:val="both"/>
        <w:rPr>
          <w:rFonts w:ascii="David" w:eastAsia="David" w:hAnsi="David"/>
          <w:u w:val="single"/>
          <w:rtl/>
        </w:rPr>
      </w:pPr>
      <w:r w:rsidRPr="001832CD">
        <w:rPr>
          <w:rFonts w:ascii="David" w:eastAsia="David" w:hAnsi="David"/>
          <w:rtl/>
        </w:rPr>
        <w:t xml:space="preserve">במכלול הנסיבות, אני סבור שנכון לגזור על הנאשם עונש מאסר בפועל  </w:t>
      </w:r>
      <w:r>
        <w:rPr>
          <w:rFonts w:ascii="David" w:eastAsia="David" w:hAnsi="David" w:hint="cs"/>
          <w:rtl/>
        </w:rPr>
        <w:t xml:space="preserve">קרוב יותר לרף התחתון של </w:t>
      </w:r>
      <w:r w:rsidRPr="001832CD">
        <w:rPr>
          <w:rFonts w:ascii="David" w:eastAsia="David" w:hAnsi="David"/>
          <w:rtl/>
        </w:rPr>
        <w:t xml:space="preserve">מתחם העונש ההולם. </w:t>
      </w:r>
    </w:p>
    <w:p w14:paraId="17B68D95" w14:textId="77777777" w:rsidR="005A11D0" w:rsidRPr="007813E5" w:rsidRDefault="005A11D0" w:rsidP="005A11D0">
      <w:pPr>
        <w:spacing w:line="360" w:lineRule="auto"/>
        <w:jc w:val="both"/>
        <w:rPr>
          <w:rFonts w:ascii="David" w:eastAsia="David" w:hAnsi="David"/>
          <w:b/>
          <w:bCs/>
          <w:sz w:val="10"/>
          <w:szCs w:val="10"/>
        </w:rPr>
      </w:pPr>
    </w:p>
    <w:p w14:paraId="51623CEF" w14:textId="77777777" w:rsidR="005A11D0" w:rsidRPr="001832CD" w:rsidRDefault="005A11D0" w:rsidP="005A11D0">
      <w:pPr>
        <w:numPr>
          <w:ilvl w:val="0"/>
          <w:numId w:val="1"/>
        </w:numPr>
        <w:spacing w:after="160" w:line="360" w:lineRule="auto"/>
        <w:contextualSpacing/>
        <w:jc w:val="both"/>
        <w:rPr>
          <w:rFonts w:ascii="David" w:eastAsia="David" w:hAnsi="David"/>
          <w:rtl/>
        </w:rPr>
      </w:pPr>
      <w:r w:rsidRPr="001832CD">
        <w:rPr>
          <w:rFonts w:ascii="David" w:eastAsia="David" w:hAnsi="David"/>
          <w:rtl/>
        </w:rPr>
        <w:t>לאור כל האמור לעיל, אני גוזר על הנאשם</w:t>
      </w:r>
      <w:r w:rsidR="008632AD">
        <w:rPr>
          <w:rFonts w:ascii="David" w:eastAsia="David" w:hAnsi="David"/>
          <w:rtl/>
        </w:rPr>
        <w:t xml:space="preserve"> </w:t>
      </w:r>
      <w:r w:rsidRPr="001832CD">
        <w:rPr>
          <w:rFonts w:ascii="David" w:eastAsia="David" w:hAnsi="David"/>
          <w:rtl/>
        </w:rPr>
        <w:t xml:space="preserve"> את העונשים הבאים:</w:t>
      </w:r>
    </w:p>
    <w:p w14:paraId="40C87251" w14:textId="77777777" w:rsidR="005A11D0" w:rsidRPr="00220979" w:rsidRDefault="005A11D0" w:rsidP="005A11D0">
      <w:pPr>
        <w:spacing w:line="360" w:lineRule="auto"/>
        <w:jc w:val="both"/>
        <w:rPr>
          <w:rFonts w:ascii="David" w:eastAsia="David" w:hAnsi="David"/>
          <w:sz w:val="16"/>
          <w:szCs w:val="16"/>
        </w:rPr>
      </w:pPr>
    </w:p>
    <w:p w14:paraId="64D670EE" w14:textId="77777777" w:rsidR="005A11D0" w:rsidRPr="001832CD" w:rsidRDefault="005A11D0" w:rsidP="005A11D0">
      <w:pPr>
        <w:spacing w:after="160" w:line="360" w:lineRule="auto"/>
        <w:ind w:left="708" w:firstLine="12"/>
        <w:rPr>
          <w:rFonts w:ascii="David" w:eastAsia="David" w:hAnsi="David"/>
          <w:b/>
          <w:bCs/>
          <w:u w:val="single"/>
        </w:rPr>
      </w:pPr>
      <w:r w:rsidRPr="001832CD">
        <w:rPr>
          <w:rFonts w:ascii="David" w:eastAsia="David" w:hAnsi="David"/>
          <w:b/>
          <w:bCs/>
          <w:rtl/>
        </w:rPr>
        <w:t>אני גוזר על הנאשם מאסר בפועל לתקופה של</w:t>
      </w:r>
      <w:r w:rsidR="008632AD">
        <w:rPr>
          <w:rFonts w:ascii="David" w:eastAsia="David" w:hAnsi="David"/>
          <w:b/>
          <w:bCs/>
          <w:rtl/>
        </w:rPr>
        <w:t xml:space="preserve"> </w:t>
      </w:r>
      <w:r w:rsidRPr="001832CD">
        <w:rPr>
          <w:rFonts w:ascii="David" w:eastAsia="David" w:hAnsi="David"/>
          <w:b/>
          <w:bCs/>
          <w:rtl/>
        </w:rPr>
        <w:t xml:space="preserve"> </w:t>
      </w:r>
      <w:r>
        <w:rPr>
          <w:rFonts w:ascii="David" w:eastAsia="David" w:hAnsi="David" w:hint="cs"/>
          <w:b/>
          <w:bCs/>
          <w:rtl/>
        </w:rPr>
        <w:t xml:space="preserve">20 </w:t>
      </w:r>
      <w:r w:rsidRPr="001832CD">
        <w:rPr>
          <w:rFonts w:ascii="David" w:eastAsia="David" w:hAnsi="David"/>
          <w:b/>
          <w:bCs/>
          <w:rtl/>
        </w:rPr>
        <w:t>חודשים בניכוי ימי מעצרו מתאריך 5/12/22 ועד היום.</w:t>
      </w:r>
    </w:p>
    <w:p w14:paraId="11B73CB2" w14:textId="77777777" w:rsidR="005A11D0" w:rsidRDefault="008632AD" w:rsidP="005A11D0">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5A11D0" w:rsidRPr="001832CD">
        <w:rPr>
          <w:rFonts w:ascii="David" w:eastAsia="David" w:hAnsi="David"/>
          <w:b/>
          <w:bCs/>
          <w:rtl/>
        </w:rPr>
        <w:t xml:space="preserve">  אני גוזר על הנאשם עונש מאסר על תנאי לתקופה של </w:t>
      </w:r>
      <w:r w:rsidR="005A11D0">
        <w:rPr>
          <w:rFonts w:ascii="David" w:eastAsia="David" w:hAnsi="David" w:hint="cs"/>
          <w:b/>
          <w:bCs/>
          <w:rtl/>
        </w:rPr>
        <w:t xml:space="preserve">10 </w:t>
      </w:r>
      <w:r w:rsidR="005A11D0" w:rsidRPr="001832CD">
        <w:rPr>
          <w:rFonts w:ascii="David" w:eastAsia="David" w:hAnsi="David"/>
          <w:b/>
          <w:bCs/>
          <w:rtl/>
        </w:rPr>
        <w:t xml:space="preserve"> חודשים והתנאי הוא</w:t>
      </w:r>
      <w:r>
        <w:rPr>
          <w:rFonts w:ascii="David" w:eastAsia="David" w:hAnsi="David"/>
          <w:b/>
          <w:bCs/>
          <w:rtl/>
        </w:rPr>
        <w:t xml:space="preserve"> </w:t>
      </w:r>
      <w:r w:rsidR="005A11D0" w:rsidRPr="001832CD">
        <w:rPr>
          <w:rFonts w:ascii="David" w:eastAsia="David" w:hAnsi="David"/>
          <w:b/>
          <w:bCs/>
          <w:rtl/>
        </w:rPr>
        <w:t xml:space="preserve"> שלא יעבור בתוך 3 שנים מיום שחרורו ממאסרו, עבירת נשק מסוג פשע ויורשע בגינה.</w:t>
      </w:r>
    </w:p>
    <w:p w14:paraId="3DA03129" w14:textId="77777777" w:rsidR="005A11D0" w:rsidRPr="00220979" w:rsidRDefault="005A11D0" w:rsidP="005A11D0">
      <w:pPr>
        <w:snapToGrid w:val="0"/>
        <w:spacing w:after="160" w:line="360" w:lineRule="auto"/>
        <w:ind w:left="707" w:hanging="425"/>
        <w:contextualSpacing/>
        <w:jc w:val="both"/>
        <w:rPr>
          <w:rFonts w:ascii="David" w:eastAsia="David" w:hAnsi="David"/>
          <w:b/>
          <w:bCs/>
          <w:sz w:val="12"/>
          <w:szCs w:val="12"/>
          <w:rtl/>
        </w:rPr>
      </w:pPr>
    </w:p>
    <w:p w14:paraId="458ACA16" w14:textId="77777777" w:rsidR="005A11D0" w:rsidRPr="001832CD" w:rsidRDefault="005A11D0" w:rsidP="005A11D0">
      <w:pPr>
        <w:snapToGrid w:val="0"/>
        <w:spacing w:after="160" w:line="360" w:lineRule="auto"/>
        <w:ind w:left="707"/>
        <w:contextualSpacing/>
        <w:jc w:val="both"/>
        <w:rPr>
          <w:rFonts w:ascii="David" w:eastAsia="David" w:hAnsi="David"/>
          <w:b/>
          <w:bCs/>
        </w:rPr>
      </w:pPr>
      <w:r w:rsidRPr="001832CD">
        <w:rPr>
          <w:rFonts w:ascii="David" w:eastAsia="David" w:hAnsi="David"/>
          <w:b/>
          <w:bCs/>
          <w:rtl/>
        </w:rPr>
        <w:t xml:space="preserve">אני גוזר על הנאשם עונש מאסר על תנאי לתקופה של </w:t>
      </w:r>
      <w:r>
        <w:rPr>
          <w:rFonts w:ascii="David" w:eastAsia="David" w:hAnsi="David" w:hint="cs"/>
          <w:b/>
          <w:bCs/>
          <w:rtl/>
        </w:rPr>
        <w:t xml:space="preserve">6 </w:t>
      </w:r>
      <w:r w:rsidRPr="001832CD">
        <w:rPr>
          <w:rFonts w:ascii="David" w:eastAsia="David" w:hAnsi="David"/>
          <w:b/>
          <w:bCs/>
          <w:rtl/>
        </w:rPr>
        <w:t>חודשים והתנאי הוא</w:t>
      </w:r>
      <w:r w:rsidR="008632AD">
        <w:rPr>
          <w:rFonts w:ascii="David" w:eastAsia="David" w:hAnsi="David"/>
          <w:b/>
          <w:bCs/>
          <w:rtl/>
        </w:rPr>
        <w:t xml:space="preserve"> </w:t>
      </w:r>
      <w:r w:rsidRPr="001832CD">
        <w:rPr>
          <w:rFonts w:ascii="David" w:eastAsia="David" w:hAnsi="David"/>
          <w:b/>
          <w:bCs/>
          <w:rtl/>
        </w:rPr>
        <w:t xml:space="preserve"> שלא יעבור בתוך 3 שנים מיום שחרורו ממאסרו, עבירת נשק מסוג </w:t>
      </w:r>
      <w:r>
        <w:rPr>
          <w:rFonts w:ascii="David" w:eastAsia="David" w:hAnsi="David" w:hint="cs"/>
          <w:b/>
          <w:bCs/>
          <w:rtl/>
        </w:rPr>
        <w:t xml:space="preserve">עוון </w:t>
      </w:r>
      <w:r w:rsidRPr="001832CD">
        <w:rPr>
          <w:rFonts w:ascii="David" w:eastAsia="David" w:hAnsi="David"/>
          <w:b/>
          <w:bCs/>
          <w:rtl/>
        </w:rPr>
        <w:t>ויורשע בגינה.</w:t>
      </w:r>
    </w:p>
    <w:p w14:paraId="78777FD0" w14:textId="77777777" w:rsidR="005A11D0" w:rsidRPr="00220979" w:rsidRDefault="005A11D0" w:rsidP="005A11D0">
      <w:pPr>
        <w:snapToGrid w:val="0"/>
        <w:spacing w:after="160"/>
        <w:ind w:left="707" w:hanging="425"/>
        <w:contextualSpacing/>
        <w:jc w:val="both"/>
        <w:rPr>
          <w:rFonts w:ascii="David" w:eastAsia="David" w:hAnsi="David"/>
          <w:b/>
          <w:bCs/>
          <w:sz w:val="18"/>
          <w:szCs w:val="18"/>
          <w:rtl/>
        </w:rPr>
      </w:pPr>
    </w:p>
    <w:p w14:paraId="1B6F35E4" w14:textId="77777777" w:rsidR="005A11D0" w:rsidRPr="001832CD" w:rsidRDefault="008632AD" w:rsidP="005A11D0">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5A11D0" w:rsidRPr="001832CD">
        <w:rPr>
          <w:rFonts w:ascii="David" w:eastAsia="David" w:hAnsi="David"/>
          <w:b/>
          <w:bCs/>
          <w:rtl/>
        </w:rPr>
        <w:t xml:space="preserve">  אני גוזר על הנאשם קנס כספי בסך 8,000 ₪</w:t>
      </w:r>
      <w:r>
        <w:rPr>
          <w:rFonts w:ascii="David" w:eastAsia="David" w:hAnsi="David"/>
          <w:b/>
          <w:bCs/>
          <w:rtl/>
        </w:rPr>
        <w:t xml:space="preserve"> </w:t>
      </w:r>
      <w:r w:rsidR="005A11D0" w:rsidRPr="001832CD">
        <w:rPr>
          <w:rFonts w:ascii="David" w:eastAsia="David" w:hAnsi="David"/>
          <w:b/>
          <w:bCs/>
          <w:rtl/>
        </w:rPr>
        <w:t xml:space="preserve"> או 40 ימי מאסר.</w:t>
      </w:r>
    </w:p>
    <w:p w14:paraId="147331E4" w14:textId="77777777" w:rsidR="005A11D0" w:rsidRPr="00220979" w:rsidRDefault="005A11D0" w:rsidP="005A11D0">
      <w:pPr>
        <w:snapToGrid w:val="0"/>
        <w:spacing w:after="160"/>
        <w:ind w:left="707" w:hanging="425"/>
        <w:contextualSpacing/>
        <w:jc w:val="both"/>
        <w:rPr>
          <w:rFonts w:ascii="David" w:eastAsia="David" w:hAnsi="David"/>
          <w:b/>
          <w:bCs/>
          <w:sz w:val="16"/>
          <w:szCs w:val="16"/>
          <w:rtl/>
        </w:rPr>
      </w:pPr>
    </w:p>
    <w:p w14:paraId="224DA4F0" w14:textId="77777777" w:rsidR="005A11D0" w:rsidRPr="001832CD" w:rsidRDefault="008632AD" w:rsidP="005A11D0">
      <w:pPr>
        <w:snapToGrid w:val="0"/>
        <w:spacing w:after="160" w:line="360" w:lineRule="auto"/>
        <w:ind w:left="707" w:hanging="425"/>
        <w:contextualSpacing/>
        <w:jc w:val="both"/>
        <w:rPr>
          <w:rFonts w:ascii="David" w:eastAsia="David" w:hAnsi="David"/>
          <w:b/>
          <w:bCs/>
          <w:rtl/>
        </w:rPr>
      </w:pPr>
      <w:r>
        <w:rPr>
          <w:rFonts w:ascii="David" w:eastAsia="David" w:hAnsi="David"/>
          <w:b/>
          <w:bCs/>
          <w:rtl/>
        </w:rPr>
        <w:t xml:space="preserve">      </w:t>
      </w:r>
      <w:r w:rsidR="005A11D0" w:rsidRPr="001832CD">
        <w:rPr>
          <w:rFonts w:ascii="David" w:eastAsia="David" w:hAnsi="David"/>
          <w:b/>
          <w:bCs/>
          <w:rtl/>
        </w:rPr>
        <w:t xml:space="preserve"> הקנס שהוטל על הנאשם</w:t>
      </w:r>
      <w:r>
        <w:rPr>
          <w:rFonts w:ascii="David" w:eastAsia="David" w:hAnsi="David"/>
          <w:b/>
          <w:bCs/>
          <w:rtl/>
        </w:rPr>
        <w:t xml:space="preserve"> </w:t>
      </w:r>
      <w:r w:rsidR="005A11D0" w:rsidRPr="001832CD">
        <w:rPr>
          <w:rFonts w:ascii="David" w:eastAsia="David" w:hAnsi="David"/>
          <w:b/>
          <w:bCs/>
          <w:rtl/>
        </w:rPr>
        <w:t xml:space="preserve"> ישולם עד ליום 01.01.</w:t>
      </w:r>
      <w:r w:rsidR="005A11D0">
        <w:rPr>
          <w:rFonts w:ascii="David" w:eastAsia="David" w:hAnsi="David" w:hint="cs"/>
          <w:b/>
          <w:bCs/>
          <w:rtl/>
        </w:rPr>
        <w:t>20</w:t>
      </w:r>
      <w:r w:rsidR="005A11D0" w:rsidRPr="001832CD">
        <w:rPr>
          <w:rFonts w:ascii="David" w:eastAsia="David" w:hAnsi="David"/>
          <w:b/>
          <w:bCs/>
          <w:rtl/>
        </w:rPr>
        <w:t xml:space="preserve">24. </w:t>
      </w:r>
    </w:p>
    <w:p w14:paraId="17BD4C01" w14:textId="77777777" w:rsidR="005A11D0" w:rsidRPr="001832CD" w:rsidRDefault="005A11D0" w:rsidP="005A11D0">
      <w:pPr>
        <w:spacing w:after="160" w:line="360" w:lineRule="auto"/>
        <w:ind w:left="707"/>
        <w:contextualSpacing/>
        <w:jc w:val="both"/>
        <w:rPr>
          <w:rFonts w:ascii="David" w:eastAsia="David" w:hAnsi="David"/>
          <w:rtl/>
        </w:rPr>
      </w:pPr>
      <w:r w:rsidRPr="001832CD">
        <w:rPr>
          <w:rFonts w:ascii="David" w:eastAsia="David" w:hAnsi="David"/>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54197A69" w14:textId="77777777" w:rsidR="005A11D0" w:rsidRPr="001832CD" w:rsidRDefault="005A11D0" w:rsidP="005A11D0">
      <w:pPr>
        <w:spacing w:after="160" w:line="360" w:lineRule="auto"/>
        <w:ind w:left="707"/>
        <w:jc w:val="both"/>
        <w:rPr>
          <w:rFonts w:ascii="David" w:eastAsia="David" w:hAnsi="David"/>
          <w:rtl/>
        </w:rPr>
      </w:pPr>
      <w:r w:rsidRPr="001832CD">
        <w:rPr>
          <w:rFonts w:ascii="David" w:eastAsia="David" w:hAnsi="David"/>
          <w:rtl/>
        </w:rPr>
        <w:t xml:space="preserve">בכרטיס אשראי – באתר המקוון של רשות האכיפה והגבייה, </w:t>
      </w:r>
      <w:hyperlink r:id="rId52" w:history="1">
        <w:r w:rsidRPr="001832CD">
          <w:rPr>
            <w:rFonts w:ascii="David" w:eastAsia="David" w:hAnsi="David"/>
            <w:u w:val="single"/>
          </w:rPr>
          <w:t>www.eca.gov.il</w:t>
        </w:r>
      </w:hyperlink>
      <w:r w:rsidRPr="001832CD">
        <w:rPr>
          <w:rFonts w:ascii="David" w:eastAsia="David" w:hAnsi="David"/>
        </w:rPr>
        <w:t xml:space="preserve"> </w:t>
      </w:r>
      <w:r w:rsidR="008632AD">
        <w:rPr>
          <w:rFonts w:ascii="David" w:eastAsia="David" w:hAnsi="David"/>
          <w:rtl/>
        </w:rPr>
        <w:t xml:space="preserve"> </w:t>
      </w:r>
      <w:r w:rsidRPr="001832CD">
        <w:rPr>
          <w:rFonts w:ascii="David" w:eastAsia="David" w:hAnsi="David"/>
          <w:rtl/>
        </w:rPr>
        <w:t>או חפש בגוגל " תשלום גביית קנסות".</w:t>
      </w:r>
    </w:p>
    <w:p w14:paraId="7079E2E3" w14:textId="77777777" w:rsidR="005A11D0" w:rsidRPr="001832CD" w:rsidRDefault="005A11D0" w:rsidP="005A11D0">
      <w:pPr>
        <w:spacing w:after="160" w:line="360" w:lineRule="auto"/>
        <w:ind w:left="720"/>
        <w:jc w:val="both"/>
        <w:rPr>
          <w:rFonts w:ascii="David" w:eastAsia="David" w:hAnsi="David"/>
          <w:rtl/>
        </w:rPr>
      </w:pPr>
      <w:r w:rsidRPr="001832CD">
        <w:rPr>
          <w:rFonts w:ascii="David" w:eastAsia="David" w:hAnsi="David"/>
          <w:rtl/>
        </w:rPr>
        <w:t>מוקד שירות טלפוני בשרות עצמי (מרכז גבייה)</w:t>
      </w:r>
      <w:r w:rsidR="008632AD">
        <w:rPr>
          <w:rFonts w:ascii="David" w:eastAsia="David" w:hAnsi="David"/>
          <w:rtl/>
        </w:rPr>
        <w:t xml:space="preserve"> </w:t>
      </w:r>
      <w:r w:rsidRPr="001832CD">
        <w:rPr>
          <w:rFonts w:ascii="David" w:eastAsia="David" w:hAnsi="David"/>
          <w:rtl/>
        </w:rPr>
        <w:t xml:space="preserve"> – בטלפון 35592* או בטלפון 073-2055000 (ניתן לפנות לנציגים לקבלת מידע במספרים הללו).</w:t>
      </w:r>
    </w:p>
    <w:p w14:paraId="0F020904" w14:textId="77777777" w:rsidR="005A11D0" w:rsidRPr="001832CD" w:rsidRDefault="005A11D0" w:rsidP="005A11D0">
      <w:pPr>
        <w:spacing w:after="160" w:line="360" w:lineRule="auto"/>
        <w:ind w:left="720"/>
        <w:jc w:val="both"/>
        <w:rPr>
          <w:rFonts w:ascii="David" w:eastAsia="David" w:hAnsi="David"/>
          <w:rtl/>
        </w:rPr>
      </w:pPr>
      <w:r w:rsidRPr="001832CD">
        <w:rPr>
          <w:rFonts w:ascii="David" w:eastAsia="David" w:hAnsi="David"/>
          <w:rtl/>
        </w:rPr>
        <w:t>במזומן בכל סניף של בנק הדואר – בהצגת תעודת זהות בלבד (אין צורך בשוברי תשלום).</w:t>
      </w:r>
    </w:p>
    <w:p w14:paraId="5C209D51" w14:textId="77777777" w:rsidR="005A11D0" w:rsidRPr="001832CD" w:rsidRDefault="008632AD" w:rsidP="005A11D0">
      <w:pPr>
        <w:spacing w:after="160"/>
        <w:ind w:firstLine="720"/>
        <w:jc w:val="both"/>
        <w:rPr>
          <w:rFonts w:ascii="David" w:eastAsia="David" w:hAnsi="David"/>
          <w:b/>
          <w:bCs/>
          <w:rtl/>
        </w:rPr>
      </w:pPr>
      <w:r w:rsidRPr="008632AD">
        <w:rPr>
          <w:rFonts w:ascii="David" w:eastAsia="David" w:hAnsi="David"/>
          <w:b/>
          <w:bCs/>
          <w:color w:val="FFFFFF"/>
          <w:sz w:val="2"/>
          <w:szCs w:val="2"/>
          <w:rtl/>
        </w:rPr>
        <w:t>5129371</w:t>
      </w:r>
      <w:r w:rsidR="005A11D0" w:rsidRPr="001832CD">
        <w:rPr>
          <w:rFonts w:ascii="David" w:eastAsia="David" w:hAnsi="David"/>
          <w:b/>
          <w:bCs/>
          <w:rtl/>
        </w:rPr>
        <w:t>זכות ערעור לבית המשפט העליון בתוך 45 יום מהיום.</w:t>
      </w:r>
    </w:p>
    <w:p w14:paraId="6A401579" w14:textId="77777777" w:rsidR="005A11D0" w:rsidRPr="008632AD" w:rsidRDefault="008632AD" w:rsidP="005A11D0">
      <w:pPr>
        <w:rPr>
          <w:rFonts w:ascii="Arial" w:hAnsi="Arial"/>
          <w:b/>
          <w:bCs/>
          <w:color w:val="FFFFFF"/>
          <w:sz w:val="2"/>
          <w:szCs w:val="2"/>
          <w:rtl/>
        </w:rPr>
      </w:pPr>
      <w:r w:rsidRPr="008632AD">
        <w:rPr>
          <w:rFonts w:ascii="Arial" w:hAnsi="Arial"/>
          <w:b/>
          <w:bCs/>
          <w:color w:val="FFFFFF"/>
          <w:sz w:val="2"/>
          <w:szCs w:val="2"/>
          <w:rtl/>
        </w:rPr>
        <w:t>54678313</w:t>
      </w:r>
    </w:p>
    <w:p w14:paraId="3784B61F" w14:textId="77777777" w:rsidR="005A11D0" w:rsidRPr="000F2247" w:rsidRDefault="005A11D0" w:rsidP="005A11D0">
      <w:pPr>
        <w:rPr>
          <w:rFonts w:ascii="Arial" w:hAnsi="Arial"/>
          <w:b/>
          <w:bCs/>
          <w:sz w:val="26"/>
          <w:szCs w:val="26"/>
          <w:rtl/>
        </w:rPr>
      </w:pPr>
    </w:p>
    <w:p w14:paraId="794BA411" w14:textId="77777777" w:rsidR="005A11D0" w:rsidRPr="000F2247" w:rsidRDefault="008632AD" w:rsidP="005A11D0">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כ"ח תמוז תשפ"ג, 17 יולי 2023, בנוכחות הצדדים. </w:t>
      </w:r>
      <w:bookmarkEnd w:id="7"/>
      <w:r w:rsidR="005A11D0">
        <w:rPr>
          <w:rFonts w:ascii="Arial" w:hAnsi="Arial"/>
          <w:b/>
          <w:bCs/>
          <w:sz w:val="26"/>
          <w:szCs w:val="26"/>
          <w:rtl/>
        </w:rPr>
        <w:tab/>
      </w:r>
      <w:r w:rsidR="005A11D0">
        <w:rPr>
          <w:rFonts w:ascii="Arial" w:hAnsi="Arial"/>
          <w:b/>
          <w:bCs/>
          <w:sz w:val="26"/>
          <w:szCs w:val="26"/>
          <w:rtl/>
        </w:rPr>
        <w:tab/>
      </w:r>
      <w:r w:rsidR="005A11D0">
        <w:rPr>
          <w:rFonts w:ascii="Arial" w:hAnsi="Arial"/>
          <w:b/>
          <w:bCs/>
          <w:sz w:val="26"/>
          <w:szCs w:val="26"/>
          <w:rtl/>
        </w:rPr>
        <w:tab/>
      </w:r>
      <w:r w:rsidR="005A11D0">
        <w:rPr>
          <w:rFonts w:ascii="Arial" w:hAnsi="Arial"/>
          <w:b/>
          <w:bCs/>
          <w:sz w:val="26"/>
          <w:szCs w:val="26"/>
          <w:rtl/>
        </w:rPr>
        <w:tab/>
      </w:r>
      <w:r w:rsidR="005A11D0">
        <w:rPr>
          <w:rFonts w:ascii="Arial" w:hAnsi="Arial"/>
          <w:b/>
          <w:bCs/>
          <w:sz w:val="26"/>
          <w:szCs w:val="26"/>
          <w:rtl/>
        </w:rPr>
        <w:tab/>
      </w:r>
      <w:r w:rsidR="005A11D0">
        <w:rPr>
          <w:rFonts w:ascii="Arial" w:hAnsi="Arial"/>
          <w:b/>
          <w:bCs/>
          <w:sz w:val="26"/>
          <w:szCs w:val="26"/>
          <w:rtl/>
        </w:rPr>
        <w:tab/>
      </w:r>
      <w:r w:rsidR="005A11D0">
        <w:rPr>
          <w:rFonts w:ascii="Arial" w:hAnsi="Arial"/>
          <w:b/>
          <w:bCs/>
          <w:sz w:val="26"/>
          <w:szCs w:val="26"/>
          <w:rtl/>
        </w:rPr>
        <w:tab/>
      </w:r>
      <w:r w:rsidR="005A11D0">
        <w:rPr>
          <w:rFonts w:ascii="Arial" w:hAnsi="Arial" w:hint="cs"/>
          <w:b/>
          <w:bCs/>
          <w:sz w:val="26"/>
          <w:szCs w:val="26"/>
          <w:rtl/>
        </w:rPr>
        <w:t xml:space="preserve">         </w:t>
      </w:r>
    </w:p>
    <w:p w14:paraId="65E21416" w14:textId="77777777" w:rsidR="005A11D0" w:rsidRPr="000F2247" w:rsidRDefault="005A11D0" w:rsidP="008632A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D299032" w14:textId="77777777" w:rsidR="005A11D0" w:rsidRPr="000F2247" w:rsidRDefault="005A11D0" w:rsidP="005A11D0">
      <w:pPr>
        <w:jc w:val="center"/>
        <w:rPr>
          <w:rFonts w:ascii="Arial" w:hAnsi="Arial"/>
          <w:b/>
          <w:bCs/>
          <w:sz w:val="26"/>
          <w:szCs w:val="26"/>
          <w:rtl/>
        </w:rPr>
      </w:pPr>
    </w:p>
    <w:p w14:paraId="2E8D9FD6" w14:textId="77777777" w:rsidR="0038109A" w:rsidRPr="008632AD" w:rsidRDefault="0038109A" w:rsidP="008632AD">
      <w:pPr>
        <w:keepNext/>
        <w:rPr>
          <w:rFonts w:ascii="David" w:hAnsi="David"/>
          <w:color w:val="000000"/>
          <w:sz w:val="22"/>
          <w:szCs w:val="22"/>
          <w:rtl/>
        </w:rPr>
      </w:pPr>
    </w:p>
    <w:p w14:paraId="0A39AE23" w14:textId="77777777" w:rsidR="008632AD" w:rsidRPr="008632AD" w:rsidRDefault="008632AD" w:rsidP="008632AD">
      <w:pPr>
        <w:keepNext/>
        <w:rPr>
          <w:rFonts w:ascii="David" w:hAnsi="David"/>
          <w:color w:val="000000"/>
          <w:sz w:val="22"/>
          <w:szCs w:val="22"/>
          <w:rtl/>
        </w:rPr>
      </w:pPr>
      <w:r w:rsidRPr="008632AD">
        <w:rPr>
          <w:rFonts w:ascii="David" w:hAnsi="David"/>
          <w:color w:val="000000"/>
          <w:sz w:val="22"/>
          <w:szCs w:val="22"/>
          <w:rtl/>
        </w:rPr>
        <w:t>גיל קרזבום 54678313</w:t>
      </w:r>
    </w:p>
    <w:p w14:paraId="61DA1C93" w14:textId="77777777" w:rsidR="008632AD" w:rsidRDefault="008632AD" w:rsidP="008632AD">
      <w:r w:rsidRPr="008632AD">
        <w:rPr>
          <w:color w:val="000000"/>
          <w:rtl/>
        </w:rPr>
        <w:t>נוסח מסמך זה כפוף לשינויי ניסוח ועריכה</w:t>
      </w:r>
    </w:p>
    <w:p w14:paraId="07872586" w14:textId="77777777" w:rsidR="008632AD" w:rsidRDefault="008632AD" w:rsidP="008632AD">
      <w:pPr>
        <w:rPr>
          <w:rtl/>
        </w:rPr>
      </w:pPr>
    </w:p>
    <w:p w14:paraId="66B72B4B" w14:textId="77777777" w:rsidR="008632AD" w:rsidRDefault="008632AD" w:rsidP="008632AD">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C04BD22" w14:textId="77777777" w:rsidR="008632AD" w:rsidRPr="008632AD" w:rsidRDefault="008632AD" w:rsidP="008632AD">
      <w:pPr>
        <w:jc w:val="center"/>
        <w:rPr>
          <w:color w:val="0000FF"/>
          <w:u w:val="single"/>
        </w:rPr>
      </w:pPr>
    </w:p>
    <w:sectPr w:rsidR="008632AD" w:rsidRPr="008632AD" w:rsidSect="008632AD">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38F1E" w14:textId="77777777" w:rsidR="000C29BE" w:rsidRDefault="000C29BE" w:rsidP="00D33F4D">
      <w:r>
        <w:separator/>
      </w:r>
    </w:p>
  </w:endnote>
  <w:endnote w:type="continuationSeparator" w:id="0">
    <w:p w14:paraId="38CC7C2A" w14:textId="77777777" w:rsidR="000C29BE" w:rsidRDefault="000C29BE" w:rsidP="00D3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205AD" w14:textId="77777777" w:rsidR="008632AD" w:rsidRDefault="008632AD" w:rsidP="00863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D0851B" w14:textId="77777777" w:rsidR="00EE6870" w:rsidRPr="008632AD" w:rsidRDefault="008632AD" w:rsidP="008632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2012E" w14:textId="77777777" w:rsidR="008632AD" w:rsidRDefault="008632AD" w:rsidP="008632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6B6C">
      <w:rPr>
        <w:rFonts w:ascii="FrankRuehl" w:hAnsi="FrankRuehl" w:cs="FrankRuehl"/>
        <w:noProof/>
        <w:rtl/>
      </w:rPr>
      <w:t>1</w:t>
    </w:r>
    <w:r>
      <w:rPr>
        <w:rFonts w:ascii="FrankRuehl" w:hAnsi="FrankRuehl" w:cs="FrankRuehl"/>
        <w:rtl/>
      </w:rPr>
      <w:fldChar w:fldCharType="end"/>
    </w:r>
  </w:p>
  <w:p w14:paraId="09E3FFC1" w14:textId="77777777" w:rsidR="00EE6870" w:rsidRPr="008632AD" w:rsidRDefault="008632AD" w:rsidP="008632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C6B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AA3DF" w14:textId="77777777" w:rsidR="000C29BE" w:rsidRDefault="000C29BE" w:rsidP="00D33F4D">
      <w:r>
        <w:separator/>
      </w:r>
    </w:p>
  </w:footnote>
  <w:footnote w:type="continuationSeparator" w:id="0">
    <w:p w14:paraId="3241C537" w14:textId="77777777" w:rsidR="000C29BE" w:rsidRDefault="000C29BE" w:rsidP="00D33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3375C" w14:textId="77777777" w:rsidR="008632AD" w:rsidRPr="008632AD" w:rsidRDefault="008632AD" w:rsidP="008632A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45226-12-22</w:t>
    </w:r>
    <w:r>
      <w:rPr>
        <w:rFonts w:ascii="David" w:hAnsi="David"/>
        <w:color w:val="000000"/>
        <w:sz w:val="22"/>
        <w:szCs w:val="22"/>
        <w:rtl/>
      </w:rPr>
      <w:tab/>
      <w:t xml:space="preserve"> מדינת ישראל נ' שחר סעדיאיב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2B0F1" w14:textId="77777777" w:rsidR="008632AD" w:rsidRPr="008632AD" w:rsidRDefault="008632AD" w:rsidP="008632A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45226-12-22</w:t>
    </w:r>
    <w:r>
      <w:rPr>
        <w:rFonts w:ascii="David" w:hAnsi="David"/>
        <w:color w:val="000000"/>
        <w:sz w:val="22"/>
        <w:szCs w:val="22"/>
        <w:rtl/>
      </w:rPr>
      <w:tab/>
      <w:t xml:space="preserve"> מדינת ישראל נ' שחר סעדיאיב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4558B512"/>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3167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1D0"/>
    <w:rsid w:val="000C29BE"/>
    <w:rsid w:val="000C484C"/>
    <w:rsid w:val="00114CAB"/>
    <w:rsid w:val="00180096"/>
    <w:rsid w:val="0038109A"/>
    <w:rsid w:val="00592378"/>
    <w:rsid w:val="005A11D0"/>
    <w:rsid w:val="008632AD"/>
    <w:rsid w:val="008F2273"/>
    <w:rsid w:val="009A4E4C"/>
    <w:rsid w:val="009F0536"/>
    <w:rsid w:val="00D33F4D"/>
    <w:rsid w:val="00D40B53"/>
    <w:rsid w:val="00EA6946"/>
    <w:rsid w:val="00EE6870"/>
    <w:rsid w:val="00EE6B6C"/>
    <w:rsid w:val="00F51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6817B7"/>
  <w15:chartTrackingRefBased/>
  <w15:docId w15:val="{AD4D13B9-CBD4-42FE-910A-639096BA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1D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11D0"/>
    <w:pPr>
      <w:tabs>
        <w:tab w:val="center" w:pos="4153"/>
        <w:tab w:val="right" w:pos="8306"/>
      </w:tabs>
    </w:pPr>
  </w:style>
  <w:style w:type="character" w:customStyle="1" w:styleId="a4">
    <w:name w:val="כותרת עליונה תו"/>
    <w:link w:val="a3"/>
    <w:rsid w:val="005A11D0"/>
    <w:rPr>
      <w:rFonts w:ascii="Times New Roman" w:eastAsia="Times New Roman" w:hAnsi="Times New Roman" w:cs="David"/>
      <w:sz w:val="24"/>
      <w:szCs w:val="24"/>
    </w:rPr>
  </w:style>
  <w:style w:type="paragraph" w:styleId="a5">
    <w:name w:val="footer"/>
    <w:basedOn w:val="a"/>
    <w:link w:val="a6"/>
    <w:rsid w:val="005A11D0"/>
    <w:pPr>
      <w:tabs>
        <w:tab w:val="center" w:pos="4153"/>
        <w:tab w:val="right" w:pos="8306"/>
      </w:tabs>
    </w:pPr>
  </w:style>
  <w:style w:type="character" w:customStyle="1" w:styleId="a6">
    <w:name w:val="כותרת תחתונה תו"/>
    <w:link w:val="a5"/>
    <w:rsid w:val="005A11D0"/>
    <w:rPr>
      <w:rFonts w:ascii="Times New Roman" w:eastAsia="Times New Roman" w:hAnsi="Times New Roman" w:cs="David"/>
      <w:sz w:val="24"/>
      <w:szCs w:val="24"/>
    </w:rPr>
  </w:style>
  <w:style w:type="table" w:styleId="a7">
    <w:name w:val="Table Grid"/>
    <w:basedOn w:val="a1"/>
    <w:rsid w:val="005A11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11D0"/>
  </w:style>
  <w:style w:type="paragraph" w:styleId="a9">
    <w:name w:val="List Paragraph"/>
    <w:basedOn w:val="a"/>
    <w:qFormat/>
    <w:rsid w:val="005A11D0"/>
    <w:pPr>
      <w:ind w:left="720"/>
      <w:contextualSpacing/>
    </w:pPr>
  </w:style>
  <w:style w:type="character" w:styleId="Hyperlink">
    <w:name w:val="Hyperlink"/>
    <w:rsid w:val="00863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fCa1S" TargetMode="External"/><Relationship Id="rId26" Type="http://schemas.openxmlformats.org/officeDocument/2006/relationships/hyperlink" Target="http://www.nevo.co.il/case/6034921" TargetMode="External"/><Relationship Id="rId39" Type="http://schemas.openxmlformats.org/officeDocument/2006/relationships/hyperlink" Target="http://www.nevo.co.il/case/6950458"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8243273" TargetMode="External"/><Relationship Id="rId47" Type="http://schemas.openxmlformats.org/officeDocument/2006/relationships/hyperlink" Target="http://www.nevo.co.il/case/28916087" TargetMode="External"/><Relationship Id="rId50" Type="http://schemas.openxmlformats.org/officeDocument/2006/relationships/hyperlink" Target="http://www.nevo.co.il/case/27654267"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792906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5824863"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1474168"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7894608"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10527728" TargetMode="External"/><Relationship Id="rId35" Type="http://schemas.openxmlformats.org/officeDocument/2006/relationships/hyperlink" Target="http://www.nevo.co.il/case/5610730" TargetMode="External"/><Relationship Id="rId43" Type="http://schemas.openxmlformats.org/officeDocument/2006/relationships/hyperlink" Target="http://www.nevo.co.il/case/27494821" TargetMode="External"/><Relationship Id="rId48" Type="http://schemas.openxmlformats.org/officeDocument/2006/relationships/hyperlink" Target="http://www.nevo.co.il/case/28300349" TargetMode="External"/><Relationship Id="rId56" Type="http://schemas.openxmlformats.org/officeDocument/2006/relationships/footer" Target="footer1.xml"/><Relationship Id="rId8" Type="http://schemas.openxmlformats.org/officeDocument/2006/relationships/hyperlink" Target="http://www.nevo.co.il/law/70301/34j" TargetMode="External"/><Relationship Id="rId51" Type="http://schemas.openxmlformats.org/officeDocument/2006/relationships/hyperlink" Target="http://www.nevo.co.il/case/28883087" TargetMode="External"/><Relationship Id="rId3" Type="http://schemas.openxmlformats.org/officeDocument/2006/relationships/settings" Target="settings.xml"/><Relationship Id="rId12" Type="http://schemas.openxmlformats.org/officeDocument/2006/relationships/hyperlink" Target="http://www.nevo.co.il/law/70301/fCa1S"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case/5942804"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6151556" TargetMode="External"/><Relationship Id="rId59" Type="http://schemas.openxmlformats.org/officeDocument/2006/relationships/theme" Target="theme/theme1.xml"/><Relationship Id="rId20" Type="http://schemas.openxmlformats.org/officeDocument/2006/relationships/hyperlink" Target="http://www.nevo.co.il/law/70301/40a" TargetMode="External"/><Relationship Id="rId41" Type="http://schemas.openxmlformats.org/officeDocument/2006/relationships/hyperlink" Target="http://www.nevo.co.il/case/28513828"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5762686" TargetMode="External"/><Relationship Id="rId36" Type="http://schemas.openxmlformats.org/officeDocument/2006/relationships/hyperlink" Target="http://www.nevo.co.il/case/7791493" TargetMode="External"/><Relationship Id="rId49" Type="http://schemas.openxmlformats.org/officeDocument/2006/relationships/hyperlink" Target="http://www.nevo.co.il/case/29050874" TargetMode="External"/><Relationship Id="rId57" Type="http://schemas.openxmlformats.org/officeDocument/2006/relationships/footer" Target="footer2.xml"/><Relationship Id="rId10" Type="http://schemas.openxmlformats.org/officeDocument/2006/relationships/hyperlink" Target="http://www.nevo.co.il/law/70301/144.a" TargetMode="External"/><Relationship Id="rId31" Type="http://schemas.openxmlformats.org/officeDocument/2006/relationships/hyperlink" Target="http://www.nevo.co.il/law/70301/34j" TargetMode="External"/><Relationship Id="rId44" Type="http://schemas.openxmlformats.org/officeDocument/2006/relationships/hyperlink" Target="http://www.nevo.co.il/case/28722692" TargetMode="External"/><Relationship Id="rId52"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4346</Words>
  <Characters>21730</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26024</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7864368</vt:i4>
      </vt:variant>
      <vt:variant>
        <vt:i4>135</vt:i4>
      </vt:variant>
      <vt:variant>
        <vt:i4>0</vt:i4>
      </vt:variant>
      <vt:variant>
        <vt:i4>5</vt:i4>
      </vt:variant>
      <vt:variant>
        <vt:lpwstr>http://www.eca.gov.il/</vt:lpwstr>
      </vt:variant>
      <vt:variant>
        <vt:lpwstr/>
      </vt:variant>
      <vt:variant>
        <vt:i4>3211380</vt:i4>
      </vt:variant>
      <vt:variant>
        <vt:i4>132</vt:i4>
      </vt:variant>
      <vt:variant>
        <vt:i4>0</vt:i4>
      </vt:variant>
      <vt:variant>
        <vt:i4>5</vt:i4>
      </vt:variant>
      <vt:variant>
        <vt:lpwstr>http://www.nevo.co.il/case/28883087</vt:lpwstr>
      </vt:variant>
      <vt:variant>
        <vt:lpwstr/>
      </vt:variant>
      <vt:variant>
        <vt:i4>3539060</vt:i4>
      </vt:variant>
      <vt:variant>
        <vt:i4>129</vt:i4>
      </vt:variant>
      <vt:variant>
        <vt:i4>0</vt:i4>
      </vt:variant>
      <vt:variant>
        <vt:i4>5</vt:i4>
      </vt:variant>
      <vt:variant>
        <vt:lpwstr>http://www.nevo.co.il/case/27654267</vt:lpwstr>
      </vt:variant>
      <vt:variant>
        <vt:lpwstr/>
      </vt:variant>
      <vt:variant>
        <vt:i4>3473520</vt:i4>
      </vt:variant>
      <vt:variant>
        <vt:i4>126</vt:i4>
      </vt:variant>
      <vt:variant>
        <vt:i4>0</vt:i4>
      </vt:variant>
      <vt:variant>
        <vt:i4>5</vt:i4>
      </vt:variant>
      <vt:variant>
        <vt:lpwstr>http://www.nevo.co.il/case/29050874</vt:lpwstr>
      </vt:variant>
      <vt:variant>
        <vt:lpwstr/>
      </vt:variant>
      <vt:variant>
        <vt:i4>3473535</vt:i4>
      </vt:variant>
      <vt:variant>
        <vt:i4>123</vt:i4>
      </vt:variant>
      <vt:variant>
        <vt:i4>0</vt:i4>
      </vt:variant>
      <vt:variant>
        <vt:i4>5</vt:i4>
      </vt:variant>
      <vt:variant>
        <vt:lpwstr>http://www.nevo.co.il/case/28300349</vt:lpwstr>
      </vt:variant>
      <vt:variant>
        <vt:lpwstr/>
      </vt:variant>
      <vt:variant>
        <vt:i4>3473533</vt:i4>
      </vt:variant>
      <vt:variant>
        <vt:i4>120</vt:i4>
      </vt:variant>
      <vt:variant>
        <vt:i4>0</vt:i4>
      </vt:variant>
      <vt:variant>
        <vt:i4>5</vt:i4>
      </vt:variant>
      <vt:variant>
        <vt:lpwstr>http://www.nevo.co.il/case/28916087</vt:lpwstr>
      </vt:variant>
      <vt:variant>
        <vt:lpwstr/>
      </vt:variant>
      <vt:variant>
        <vt:i4>3145841</vt:i4>
      </vt:variant>
      <vt:variant>
        <vt:i4>117</vt:i4>
      </vt:variant>
      <vt:variant>
        <vt:i4>0</vt:i4>
      </vt:variant>
      <vt:variant>
        <vt:i4>5</vt:i4>
      </vt:variant>
      <vt:variant>
        <vt:lpwstr>http://www.nevo.co.il/case/6151556</vt:lpwstr>
      </vt:variant>
      <vt:variant>
        <vt:lpwstr/>
      </vt:variant>
      <vt:variant>
        <vt:i4>3407987</vt:i4>
      </vt:variant>
      <vt:variant>
        <vt:i4>114</vt:i4>
      </vt:variant>
      <vt:variant>
        <vt:i4>0</vt:i4>
      </vt:variant>
      <vt:variant>
        <vt:i4>5</vt:i4>
      </vt:variant>
      <vt:variant>
        <vt:lpwstr>http://www.nevo.co.il/case/21474168</vt:lpwstr>
      </vt:variant>
      <vt:variant>
        <vt:lpwstr/>
      </vt:variant>
      <vt:variant>
        <vt:i4>4063352</vt:i4>
      </vt:variant>
      <vt:variant>
        <vt:i4>111</vt:i4>
      </vt:variant>
      <vt:variant>
        <vt:i4>0</vt:i4>
      </vt:variant>
      <vt:variant>
        <vt:i4>5</vt:i4>
      </vt:variant>
      <vt:variant>
        <vt:lpwstr>http://www.nevo.co.il/case/28722692</vt:lpwstr>
      </vt:variant>
      <vt:variant>
        <vt:lpwstr/>
      </vt:variant>
      <vt:variant>
        <vt:i4>3145842</vt:i4>
      </vt:variant>
      <vt:variant>
        <vt:i4>108</vt:i4>
      </vt:variant>
      <vt:variant>
        <vt:i4>0</vt:i4>
      </vt:variant>
      <vt:variant>
        <vt:i4>5</vt:i4>
      </vt:variant>
      <vt:variant>
        <vt:lpwstr>http://www.nevo.co.il/case/27494821</vt:lpwstr>
      </vt:variant>
      <vt:variant>
        <vt:lpwstr/>
      </vt:variant>
      <vt:variant>
        <vt:i4>3407994</vt:i4>
      </vt:variant>
      <vt:variant>
        <vt:i4>105</vt:i4>
      </vt:variant>
      <vt:variant>
        <vt:i4>0</vt:i4>
      </vt:variant>
      <vt:variant>
        <vt:i4>5</vt:i4>
      </vt:variant>
      <vt:variant>
        <vt:lpwstr>http://www.nevo.co.il/case/28243273</vt:lpwstr>
      </vt:variant>
      <vt:variant>
        <vt:lpwstr/>
      </vt:variant>
      <vt:variant>
        <vt:i4>3539061</vt:i4>
      </vt:variant>
      <vt:variant>
        <vt:i4>102</vt:i4>
      </vt:variant>
      <vt:variant>
        <vt:i4>0</vt:i4>
      </vt:variant>
      <vt:variant>
        <vt:i4>5</vt:i4>
      </vt:variant>
      <vt:variant>
        <vt:lpwstr>http://www.nevo.co.il/case/28513828</vt:lpwstr>
      </vt:variant>
      <vt:variant>
        <vt:lpwstr/>
      </vt:variant>
      <vt:variant>
        <vt:i4>3211380</vt:i4>
      </vt:variant>
      <vt:variant>
        <vt:i4>99</vt:i4>
      </vt:variant>
      <vt:variant>
        <vt:i4>0</vt:i4>
      </vt:variant>
      <vt:variant>
        <vt:i4>5</vt:i4>
      </vt:variant>
      <vt:variant>
        <vt:lpwstr>http://www.nevo.co.il/case/28883087</vt:lpwstr>
      </vt:variant>
      <vt:variant>
        <vt:lpwstr/>
      </vt:variant>
      <vt:variant>
        <vt:i4>4128888</vt:i4>
      </vt:variant>
      <vt:variant>
        <vt:i4>96</vt:i4>
      </vt:variant>
      <vt:variant>
        <vt:i4>0</vt:i4>
      </vt:variant>
      <vt:variant>
        <vt:i4>5</vt:i4>
      </vt:variant>
      <vt:variant>
        <vt:lpwstr>http://www.nevo.co.il/case/6950458</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3342449</vt:i4>
      </vt:variant>
      <vt:variant>
        <vt:i4>84</vt:i4>
      </vt:variant>
      <vt:variant>
        <vt:i4>0</vt:i4>
      </vt:variant>
      <vt:variant>
        <vt:i4>5</vt:i4>
      </vt:variant>
      <vt:variant>
        <vt:lpwstr>http://www.nevo.co.il/case/5610730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3997823</vt:i4>
      </vt:variant>
      <vt:variant>
        <vt:i4>78</vt:i4>
      </vt:variant>
      <vt:variant>
        <vt:i4>0</vt:i4>
      </vt:variant>
      <vt:variant>
        <vt:i4>5</vt:i4>
      </vt:variant>
      <vt:variant>
        <vt:lpwstr>http://www.nevo.co.il/case/5942804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6357094</vt:i4>
      </vt:variant>
      <vt:variant>
        <vt:i4>72</vt:i4>
      </vt:variant>
      <vt:variant>
        <vt:i4>0</vt:i4>
      </vt:variant>
      <vt:variant>
        <vt:i4>5</vt:i4>
      </vt:variant>
      <vt:variant>
        <vt:lpwstr>http://www.nevo.co.il/law/70301/34j</vt:lpwstr>
      </vt:variant>
      <vt:variant>
        <vt:lpwstr/>
      </vt:variant>
      <vt:variant>
        <vt:i4>3211377</vt:i4>
      </vt:variant>
      <vt:variant>
        <vt:i4>69</vt:i4>
      </vt:variant>
      <vt:variant>
        <vt:i4>0</vt:i4>
      </vt:variant>
      <vt:variant>
        <vt:i4>5</vt:i4>
      </vt:variant>
      <vt:variant>
        <vt:lpwstr>http://www.nevo.co.il/case/10527728</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3342457</vt:i4>
      </vt:variant>
      <vt:variant>
        <vt:i4>63</vt:i4>
      </vt:variant>
      <vt:variant>
        <vt:i4>0</vt:i4>
      </vt:variant>
      <vt:variant>
        <vt:i4>5</vt:i4>
      </vt:variant>
      <vt:variant>
        <vt:lpwstr>http://www.nevo.co.il/case/5762686</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3997810</vt:i4>
      </vt:variant>
      <vt:variant>
        <vt:i4>57</vt:i4>
      </vt:variant>
      <vt:variant>
        <vt:i4>0</vt:i4>
      </vt:variant>
      <vt:variant>
        <vt:i4>5</vt:i4>
      </vt:variant>
      <vt:variant>
        <vt:lpwstr>http://www.nevo.co.il/case/6034921</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4063356</vt:i4>
      </vt:variant>
      <vt:variant>
        <vt:i4>45</vt:i4>
      </vt:variant>
      <vt:variant>
        <vt:i4>0</vt:i4>
      </vt:variant>
      <vt:variant>
        <vt:i4>5</vt:i4>
      </vt:variant>
      <vt:variant>
        <vt:lpwstr>http://www.nevo.co.il/case/27894608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http://www.nevo.co.il/law/70301/40a</vt:lpwstr>
      </vt:variant>
      <vt:variant>
        <vt:lpwstr/>
      </vt:variant>
      <vt:variant>
        <vt:i4>7995492</vt:i4>
      </vt:variant>
      <vt:variant>
        <vt:i4>36</vt:i4>
      </vt:variant>
      <vt:variant>
        <vt:i4>0</vt:i4>
      </vt:variant>
      <vt:variant>
        <vt:i4>5</vt:i4>
      </vt:variant>
      <vt:variant>
        <vt:lpwstr>http://www.nevo.co.il/law/70301</vt:lpwstr>
      </vt:variant>
      <vt:variant>
        <vt:lpwstr/>
      </vt:variant>
      <vt:variant>
        <vt:i4>458834</vt:i4>
      </vt:variant>
      <vt:variant>
        <vt:i4>33</vt:i4>
      </vt:variant>
      <vt:variant>
        <vt:i4>0</vt:i4>
      </vt:variant>
      <vt:variant>
        <vt:i4>5</vt:i4>
      </vt:variant>
      <vt:variant>
        <vt:lpwstr>http://www.nevo.co.il/law/70301/fCa1S</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458834</vt:i4>
      </vt:variant>
      <vt:variant>
        <vt:i4>15</vt:i4>
      </vt:variant>
      <vt:variant>
        <vt:i4>0</vt:i4>
      </vt:variant>
      <vt:variant>
        <vt:i4>5</vt:i4>
      </vt:variant>
      <vt:variant>
        <vt:lpwstr>http://www.nevo.co.il/law/70301/fCa1S</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6357094</vt:i4>
      </vt:variant>
      <vt:variant>
        <vt:i4>3</vt:i4>
      </vt:variant>
      <vt:variant>
        <vt:i4>0</vt:i4>
      </vt:variant>
      <vt:variant>
        <vt:i4>5</vt:i4>
      </vt:variant>
      <vt:variant>
        <vt:lpwstr>http://www.nevo.co.il/law/70301/34j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45226</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שחר סעדיאיב</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20230717</vt:lpwstr>
  </property>
  <property fmtid="{D5CDD505-2E9C-101B-9397-08002B2CF9AE}" pid="13" name="TYPE_N_DATE">
    <vt:lpwstr>39020230717</vt:lpwstr>
  </property>
  <property fmtid="{D5CDD505-2E9C-101B-9397-08002B2CF9AE}" pid="14" name="WORDNUMPAGES">
    <vt:lpwstr>12</vt:lpwstr>
  </property>
  <property fmtid="{D5CDD505-2E9C-101B-9397-08002B2CF9AE}" pid="15" name="TYPE_ABS_DATE">
    <vt:lpwstr>390020230717</vt:lpwstr>
  </property>
  <property fmtid="{D5CDD505-2E9C-101B-9397-08002B2CF9AE}" pid="16" name="ISABSTRACT">
    <vt:lpwstr>Y</vt:lpwstr>
  </property>
  <property fmtid="{D5CDD505-2E9C-101B-9397-08002B2CF9AE}" pid="17" name="CASESLISTTMP1">
    <vt:lpwstr>27894608;28152132;5601503;6034921;26913995;5762686;17929065;10527728;5942804;5610730;7791493;25824863;6473037;6950458;28883087:2;28513828;28243273;27494821;28722692;21474168;6151556;28916087;28300349;29050874;27654267</vt:lpwstr>
  </property>
  <property fmtid="{D5CDD505-2E9C-101B-9397-08002B2CF9AE}" pid="18" name="LAWLISTTMP1">
    <vt:lpwstr>70301/144.a;144.b;fCa1S;040a;034j</vt:lpwstr>
  </property>
</Properties>
</file>