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7E4B67" w:rsidRPr="003E6F43" w14:paraId="540BEF3D" w14:textId="77777777" w:rsidTr="00206C9E">
        <w:trPr>
          <w:trHeight w:hRule="exact" w:val="418"/>
          <w:jc w:val="center"/>
        </w:trPr>
        <w:tc>
          <w:tcPr>
            <w:tcW w:w="8505" w:type="dxa"/>
          </w:tcPr>
          <w:p w14:paraId="7381C267" w14:textId="77777777" w:rsidR="007E4B67" w:rsidRPr="003E6F43" w:rsidRDefault="007E4B67" w:rsidP="00206C9E">
            <w:pPr>
              <w:pStyle w:val="a3"/>
              <w:jc w:val="center"/>
              <w:rPr>
                <w:rFonts w:ascii="Tahoma" w:hAnsi="Tahoma" w:cs="Tahoma"/>
                <w:color w:val="000080"/>
                <w:rtl/>
              </w:rPr>
            </w:pPr>
            <w:bookmarkStart w:id="0" w:name="LastJudge"/>
            <w:r w:rsidRPr="003E6F43">
              <w:rPr>
                <w:rFonts w:ascii="Tahoma" w:hAnsi="Tahoma" w:cs="Tahoma"/>
                <w:b/>
                <w:bCs/>
                <w:color w:val="000080"/>
                <w:rtl/>
              </w:rPr>
              <w:t>בית המשפט המחוזי בחיפה</w:t>
            </w:r>
          </w:p>
        </w:tc>
      </w:tr>
      <w:tr w:rsidR="007E4B67" w:rsidRPr="003E6F43" w14:paraId="55F12341" w14:textId="77777777" w:rsidTr="00206C9E">
        <w:trPr>
          <w:trHeight w:val="337"/>
          <w:jc w:val="center"/>
        </w:trPr>
        <w:tc>
          <w:tcPr>
            <w:tcW w:w="8505" w:type="dxa"/>
          </w:tcPr>
          <w:p w14:paraId="68E5E0E2" w14:textId="77777777" w:rsidR="007E4B67" w:rsidRPr="003E6F43" w:rsidRDefault="007E4B67" w:rsidP="00206C9E">
            <w:pPr>
              <w:rPr>
                <w:b/>
                <w:bCs/>
                <w:rtl/>
              </w:rPr>
            </w:pPr>
            <w:r w:rsidRPr="003E6F43">
              <w:rPr>
                <w:b/>
                <w:bCs/>
                <w:rtl/>
              </w:rPr>
              <w:t>ת"פ</w:t>
            </w:r>
            <w:r w:rsidRPr="003E6F43">
              <w:rPr>
                <w:rFonts w:hint="cs"/>
                <w:b/>
                <w:bCs/>
                <w:rtl/>
              </w:rPr>
              <w:t xml:space="preserve"> </w:t>
            </w:r>
            <w:r w:rsidRPr="003E6F43">
              <w:rPr>
                <w:b/>
                <w:bCs/>
                <w:rtl/>
              </w:rPr>
              <w:t>50477-12-22</w:t>
            </w:r>
            <w:r w:rsidRPr="003E6F43">
              <w:rPr>
                <w:rFonts w:hint="cs"/>
                <w:b/>
                <w:bCs/>
                <w:rtl/>
              </w:rPr>
              <w:t xml:space="preserve"> </w:t>
            </w:r>
            <w:r w:rsidRPr="003E6F43">
              <w:rPr>
                <w:b/>
                <w:bCs/>
                <w:rtl/>
              </w:rPr>
              <w:t>מדינת ישראל נ' בוקאעי</w:t>
            </w:r>
            <w:r w:rsidRPr="003E6F43">
              <w:rPr>
                <w:rFonts w:hint="cs"/>
                <w:b/>
                <w:bCs/>
                <w:rtl/>
              </w:rPr>
              <w:t xml:space="preserve"> </w:t>
            </w:r>
            <w:r w:rsidRPr="003E6F43">
              <w:rPr>
                <w:b/>
                <w:bCs/>
                <w:rtl/>
              </w:rPr>
              <w:t>(עציר)</w:t>
            </w:r>
          </w:p>
        </w:tc>
      </w:tr>
    </w:tbl>
    <w:p w14:paraId="1EE256B2" w14:textId="77777777" w:rsidR="007E4B67" w:rsidRPr="003E6F43" w:rsidRDefault="007E4B67" w:rsidP="007579D0">
      <w:pPr>
        <w:pStyle w:val="a3"/>
        <w:rPr>
          <w:rtl/>
        </w:rPr>
      </w:pPr>
      <w:r w:rsidRPr="003E6F43">
        <w:rPr>
          <w:rFonts w:hint="cs"/>
          <w:rtl/>
        </w:rPr>
        <w:t xml:space="preserve"> </w:t>
      </w:r>
    </w:p>
    <w:tbl>
      <w:tblPr>
        <w:bidiVisual/>
        <w:tblW w:w="0" w:type="dxa"/>
        <w:tblInd w:w="-28" w:type="dxa"/>
        <w:tblLayout w:type="fixed"/>
        <w:tblLook w:val="01E0" w:firstRow="1" w:lastRow="1" w:firstColumn="1" w:lastColumn="1" w:noHBand="0" w:noVBand="0"/>
      </w:tblPr>
      <w:tblGrid>
        <w:gridCol w:w="3240"/>
        <w:gridCol w:w="5562"/>
      </w:tblGrid>
      <w:tr w:rsidR="007E4B67" w:rsidRPr="003E6F43" w14:paraId="583D49EC" w14:textId="77777777" w:rsidTr="007E4B67">
        <w:tc>
          <w:tcPr>
            <w:tcW w:w="8802" w:type="dxa"/>
            <w:gridSpan w:val="2"/>
            <w:shd w:val="clear" w:color="auto" w:fill="auto"/>
          </w:tcPr>
          <w:p w14:paraId="6C24BB96" w14:textId="77777777" w:rsidR="007E4B67" w:rsidRPr="003E6F43" w:rsidRDefault="007E4B67" w:rsidP="00206C9E">
            <w:pPr>
              <w:rPr>
                <w:b/>
                <w:bCs/>
              </w:rPr>
            </w:pPr>
            <w:r w:rsidRPr="003E6F43">
              <w:rPr>
                <w:rFonts w:hint="cs"/>
                <w:b/>
                <w:bCs/>
                <w:rtl/>
              </w:rPr>
              <w:t>לפני כבוד השופט אמיר טובי, שופט בכיר</w:t>
            </w:r>
          </w:p>
        </w:tc>
      </w:tr>
      <w:tr w:rsidR="007E4B67" w:rsidRPr="003E6F43" w14:paraId="4E138DD5" w14:textId="77777777" w:rsidTr="007E4B67">
        <w:tc>
          <w:tcPr>
            <w:tcW w:w="3240" w:type="dxa"/>
            <w:shd w:val="clear" w:color="auto" w:fill="auto"/>
          </w:tcPr>
          <w:p w14:paraId="4249DA3F" w14:textId="77777777" w:rsidR="007E4B67" w:rsidRPr="003E6F43" w:rsidRDefault="007E4B67" w:rsidP="00206C9E">
            <w:bookmarkStart w:id="1" w:name="FirstAppellant"/>
          </w:p>
          <w:p w14:paraId="264671DD" w14:textId="77777777" w:rsidR="007E4B67" w:rsidRPr="003E6F43" w:rsidRDefault="007E4B67" w:rsidP="00206C9E">
            <w:pPr>
              <w:rPr>
                <w:b/>
                <w:bCs/>
                <w:rtl/>
              </w:rPr>
            </w:pPr>
            <w:r w:rsidRPr="003E6F43">
              <w:rPr>
                <w:rFonts w:hint="cs"/>
                <w:b/>
                <w:bCs/>
                <w:rtl/>
              </w:rPr>
              <w:t>המאשימה</w:t>
            </w:r>
          </w:p>
        </w:tc>
        <w:tc>
          <w:tcPr>
            <w:tcW w:w="5562" w:type="dxa"/>
            <w:shd w:val="clear" w:color="auto" w:fill="auto"/>
          </w:tcPr>
          <w:p w14:paraId="778AEFFE" w14:textId="77777777" w:rsidR="007E4B67" w:rsidRPr="003E6F43" w:rsidRDefault="007E4B67" w:rsidP="00206C9E">
            <w:pPr>
              <w:rPr>
                <w:b/>
                <w:bCs/>
                <w:rtl/>
              </w:rPr>
            </w:pPr>
            <w:r w:rsidRPr="003E6F43">
              <w:rPr>
                <w:rFonts w:hint="cs"/>
                <w:b/>
                <w:bCs/>
                <w:rtl/>
              </w:rPr>
              <w:t xml:space="preserve"> </w:t>
            </w:r>
          </w:p>
          <w:p w14:paraId="2825D2C5" w14:textId="77777777" w:rsidR="007E4B67" w:rsidRPr="003E6F43" w:rsidRDefault="007E4B67" w:rsidP="00206C9E">
            <w:pPr>
              <w:rPr>
                <w:b/>
                <w:bCs/>
                <w:rtl/>
              </w:rPr>
            </w:pPr>
            <w:r w:rsidRPr="003E6F43">
              <w:rPr>
                <w:rFonts w:hint="cs"/>
                <w:b/>
                <w:bCs/>
                <w:rtl/>
              </w:rPr>
              <w:t>מדינת ישראל</w:t>
            </w:r>
          </w:p>
        </w:tc>
      </w:tr>
      <w:bookmarkEnd w:id="1"/>
      <w:tr w:rsidR="007E4B67" w:rsidRPr="003E6F43" w14:paraId="6154DCD0" w14:textId="77777777" w:rsidTr="007E4B67">
        <w:tc>
          <w:tcPr>
            <w:tcW w:w="8802" w:type="dxa"/>
            <w:gridSpan w:val="2"/>
            <w:shd w:val="clear" w:color="auto" w:fill="auto"/>
          </w:tcPr>
          <w:p w14:paraId="5F34FC0B" w14:textId="77777777" w:rsidR="007E4B67" w:rsidRPr="003E6F43" w:rsidRDefault="007E4B67" w:rsidP="007E4B67">
            <w:pPr>
              <w:jc w:val="both"/>
              <w:rPr>
                <w:rFonts w:ascii="Arial" w:hAnsi="Arial"/>
                <w:b/>
                <w:bCs/>
                <w:rtl/>
              </w:rPr>
            </w:pPr>
          </w:p>
          <w:p w14:paraId="0EB61FC5" w14:textId="77777777" w:rsidR="007E4B67" w:rsidRPr="003E6F43" w:rsidRDefault="007E4B67" w:rsidP="007E4B67">
            <w:pPr>
              <w:jc w:val="center"/>
              <w:rPr>
                <w:rFonts w:ascii="Arial" w:hAnsi="Arial"/>
                <w:b/>
                <w:bCs/>
                <w:rtl/>
              </w:rPr>
            </w:pPr>
            <w:r w:rsidRPr="003E6F43">
              <w:rPr>
                <w:rFonts w:ascii="Arial" w:hAnsi="Arial" w:hint="cs"/>
                <w:b/>
                <w:bCs/>
                <w:rtl/>
              </w:rPr>
              <w:t>נגד</w:t>
            </w:r>
          </w:p>
          <w:p w14:paraId="7BED8003" w14:textId="77777777" w:rsidR="007E4B67" w:rsidRPr="003E6F43" w:rsidRDefault="007E4B67" w:rsidP="007E4B67">
            <w:pPr>
              <w:jc w:val="center"/>
              <w:rPr>
                <w:rFonts w:ascii="Arial" w:hAnsi="Arial"/>
                <w:b/>
                <w:bCs/>
                <w:rtl/>
              </w:rPr>
            </w:pPr>
          </w:p>
        </w:tc>
      </w:tr>
      <w:tr w:rsidR="007E4B67" w:rsidRPr="003E6F43" w14:paraId="36920120" w14:textId="77777777" w:rsidTr="007E4B67">
        <w:tc>
          <w:tcPr>
            <w:tcW w:w="3240" w:type="dxa"/>
            <w:shd w:val="clear" w:color="auto" w:fill="auto"/>
          </w:tcPr>
          <w:p w14:paraId="0FA7FCCB" w14:textId="77777777" w:rsidR="007E4B67" w:rsidRPr="003E6F43" w:rsidRDefault="007E4B67" w:rsidP="007E4B67">
            <w:pPr>
              <w:ind w:left="26"/>
              <w:rPr>
                <w:b/>
                <w:bCs/>
                <w:rtl/>
              </w:rPr>
            </w:pPr>
            <w:r w:rsidRPr="003E6F43">
              <w:rPr>
                <w:rFonts w:hint="cs"/>
                <w:b/>
                <w:bCs/>
                <w:rtl/>
              </w:rPr>
              <w:t>הנאשם</w:t>
            </w:r>
          </w:p>
        </w:tc>
        <w:tc>
          <w:tcPr>
            <w:tcW w:w="5562" w:type="dxa"/>
            <w:shd w:val="clear" w:color="auto" w:fill="auto"/>
          </w:tcPr>
          <w:p w14:paraId="3A99BA6F" w14:textId="77777777" w:rsidR="007E4B67" w:rsidRPr="003E6F43" w:rsidRDefault="007E4B67" w:rsidP="00206C9E">
            <w:pPr>
              <w:rPr>
                <w:b/>
                <w:bCs/>
              </w:rPr>
            </w:pPr>
            <w:r w:rsidRPr="003E6F43">
              <w:rPr>
                <w:rFonts w:hint="cs"/>
                <w:b/>
                <w:bCs/>
                <w:rtl/>
              </w:rPr>
              <w:t xml:space="preserve">מוחמד בוקאעי, ת"ז </w:t>
            </w:r>
            <w:r w:rsidR="003E6F43">
              <w:rPr>
                <w:b/>
                <w:bCs/>
              </w:rPr>
              <w:t>xxxxxxxxxx</w:t>
            </w:r>
            <w:r w:rsidRPr="003E6F43">
              <w:rPr>
                <w:rFonts w:hint="cs"/>
                <w:b/>
                <w:bCs/>
                <w:rtl/>
              </w:rPr>
              <w:t>(עציר)</w:t>
            </w:r>
          </w:p>
        </w:tc>
      </w:tr>
    </w:tbl>
    <w:p w14:paraId="1A42096F" w14:textId="77777777" w:rsidR="007E4B67" w:rsidRPr="003E6F43" w:rsidRDefault="007E4B67" w:rsidP="007E4B67">
      <w:pPr>
        <w:rPr>
          <w:rtl/>
        </w:rPr>
      </w:pPr>
    </w:p>
    <w:p w14:paraId="7270B4DF" w14:textId="77777777" w:rsidR="007E4B67" w:rsidRPr="003E6F43" w:rsidRDefault="007E4B67" w:rsidP="007E4B67">
      <w:pPr>
        <w:rPr>
          <w:b/>
          <w:bCs/>
          <w:rtl/>
        </w:rPr>
      </w:pPr>
      <w:r w:rsidRPr="003E6F43">
        <w:rPr>
          <w:rFonts w:hint="cs"/>
          <w:b/>
          <w:bCs/>
          <w:rtl/>
        </w:rPr>
        <w:t>נוכחים:</w:t>
      </w:r>
    </w:p>
    <w:p w14:paraId="68D7CF23" w14:textId="77777777" w:rsidR="007E4B67" w:rsidRPr="003E6F43" w:rsidRDefault="007E4B67" w:rsidP="007E4B67">
      <w:pPr>
        <w:rPr>
          <w:rtl/>
        </w:rPr>
      </w:pPr>
      <w:bookmarkStart w:id="2" w:name="FirstLawyer"/>
      <w:r w:rsidRPr="003E6F43">
        <w:rPr>
          <w:rFonts w:hint="cs"/>
          <w:rtl/>
        </w:rPr>
        <w:t>ב"כ</w:t>
      </w:r>
      <w:bookmarkEnd w:id="2"/>
      <w:r w:rsidRPr="003E6F43">
        <w:rPr>
          <w:rFonts w:hint="cs"/>
          <w:rtl/>
        </w:rPr>
        <w:t xml:space="preserve"> המאשימה: עו"ד אבי אור-זך</w:t>
      </w:r>
    </w:p>
    <w:p w14:paraId="3A3262EF" w14:textId="77777777" w:rsidR="007E4B67" w:rsidRPr="003E6F43" w:rsidRDefault="007E4B67" w:rsidP="007E4B67">
      <w:pPr>
        <w:rPr>
          <w:rtl/>
        </w:rPr>
      </w:pPr>
      <w:r w:rsidRPr="003E6F43">
        <w:rPr>
          <w:rFonts w:hint="cs"/>
          <w:rtl/>
        </w:rPr>
        <w:t xml:space="preserve">ב"כ הנאשם: עו"ד אברהם סופר </w:t>
      </w:r>
    </w:p>
    <w:p w14:paraId="3A0A2FE9" w14:textId="77777777" w:rsidR="007E4B67" w:rsidRPr="003E6F43" w:rsidRDefault="007E4B67" w:rsidP="007E4B67">
      <w:pPr>
        <w:rPr>
          <w:rtl/>
        </w:rPr>
      </w:pPr>
      <w:r w:rsidRPr="003E6F43">
        <w:rPr>
          <w:rFonts w:hint="cs"/>
          <w:rtl/>
        </w:rPr>
        <w:t>הנאשם באמצעות היוועדות חזותית</w:t>
      </w:r>
    </w:p>
    <w:p w14:paraId="33DCC341" w14:textId="77777777" w:rsidR="007E4B67" w:rsidRPr="003E6F43" w:rsidRDefault="007E4B67" w:rsidP="007E4B67"/>
    <w:p w14:paraId="373B64A3" w14:textId="77777777" w:rsidR="007579D0" w:rsidRPr="007579D0" w:rsidRDefault="007579D0" w:rsidP="007579D0">
      <w:pPr>
        <w:spacing w:before="120" w:after="120" w:line="240" w:lineRule="exact"/>
        <w:ind w:left="283" w:hanging="283"/>
        <w:jc w:val="both"/>
        <w:rPr>
          <w:rFonts w:ascii="FrankRuehl" w:hAnsi="FrankRuehl" w:cs="FrankRuehl"/>
          <w:rtl/>
        </w:rPr>
      </w:pPr>
    </w:p>
    <w:p w14:paraId="7C909AC0" w14:textId="77777777" w:rsidR="00C57B78" w:rsidRPr="00C57B78" w:rsidRDefault="00C57B78" w:rsidP="00C57B78">
      <w:pPr>
        <w:spacing w:before="120" w:after="120" w:line="240" w:lineRule="exact"/>
        <w:ind w:left="283" w:hanging="283"/>
        <w:jc w:val="both"/>
        <w:rPr>
          <w:rFonts w:ascii="FrankRuehl" w:hAnsi="FrankRuehl" w:cs="FrankRuehl"/>
          <w:rtl/>
        </w:rPr>
      </w:pPr>
    </w:p>
    <w:p w14:paraId="528DBA46" w14:textId="77777777" w:rsidR="00C0382B" w:rsidRDefault="00C0382B" w:rsidP="00C0382B">
      <w:pPr>
        <w:rPr>
          <w:rFonts w:ascii="Arial" w:hAnsi="Arial"/>
          <w:rtl/>
        </w:rPr>
      </w:pPr>
      <w:bookmarkStart w:id="3" w:name="LawTable"/>
      <w:bookmarkEnd w:id="3"/>
    </w:p>
    <w:p w14:paraId="222FF975" w14:textId="77777777" w:rsidR="00C0382B" w:rsidRPr="00C0382B" w:rsidRDefault="00C0382B" w:rsidP="00C0382B">
      <w:pPr>
        <w:spacing w:before="120" w:after="120" w:line="240" w:lineRule="exact"/>
        <w:ind w:left="283" w:hanging="283"/>
        <w:jc w:val="both"/>
        <w:rPr>
          <w:rFonts w:ascii="FrankRuehl" w:hAnsi="FrankRuehl" w:cs="FrankRuehl"/>
          <w:rtl/>
        </w:rPr>
      </w:pPr>
    </w:p>
    <w:p w14:paraId="2581B1CE" w14:textId="77777777" w:rsidR="00C0382B" w:rsidRPr="00C0382B" w:rsidRDefault="00C0382B" w:rsidP="00C0382B">
      <w:pPr>
        <w:spacing w:before="120" w:after="120" w:line="240" w:lineRule="exact"/>
        <w:ind w:left="283" w:hanging="283"/>
        <w:jc w:val="both"/>
        <w:rPr>
          <w:rFonts w:ascii="FrankRuehl" w:hAnsi="FrankRuehl" w:cs="FrankRuehl"/>
          <w:rtl/>
        </w:rPr>
      </w:pPr>
    </w:p>
    <w:p w14:paraId="7B8EFD6E" w14:textId="77777777" w:rsidR="00C0382B" w:rsidRPr="00C0382B" w:rsidRDefault="00C0382B" w:rsidP="00C0382B">
      <w:pPr>
        <w:spacing w:before="120" w:after="120" w:line="240" w:lineRule="exact"/>
        <w:ind w:left="283" w:hanging="283"/>
        <w:jc w:val="both"/>
        <w:rPr>
          <w:rFonts w:ascii="FrankRuehl" w:hAnsi="FrankRuehl" w:cs="FrankRuehl"/>
          <w:rtl/>
        </w:rPr>
      </w:pPr>
      <w:r w:rsidRPr="00C0382B">
        <w:rPr>
          <w:rFonts w:ascii="FrankRuehl" w:hAnsi="FrankRuehl" w:cs="FrankRuehl"/>
          <w:rtl/>
        </w:rPr>
        <w:t xml:space="preserve">חקיקה שאוזכרה: </w:t>
      </w:r>
    </w:p>
    <w:p w14:paraId="379D5DBF" w14:textId="77777777" w:rsidR="00C0382B" w:rsidRPr="00C0382B" w:rsidRDefault="00C0382B" w:rsidP="00C0382B">
      <w:pPr>
        <w:spacing w:before="120" w:after="120" w:line="240" w:lineRule="exact"/>
        <w:ind w:left="283" w:hanging="283"/>
        <w:jc w:val="both"/>
        <w:rPr>
          <w:rFonts w:ascii="FrankRuehl" w:hAnsi="FrankRuehl" w:cs="FrankRuehl"/>
          <w:rtl/>
        </w:rPr>
      </w:pPr>
      <w:hyperlink r:id="rId6" w:history="1">
        <w:r w:rsidRPr="00C0382B">
          <w:rPr>
            <w:rFonts w:ascii="FrankRuehl" w:hAnsi="FrankRuehl" w:cs="FrankRuehl"/>
            <w:color w:val="0000FF"/>
            <w:rtl/>
          </w:rPr>
          <w:t>חוק העונשין, תשל"ז-1977</w:t>
        </w:r>
      </w:hyperlink>
      <w:r w:rsidRPr="00C0382B">
        <w:rPr>
          <w:rFonts w:ascii="FrankRuehl" w:hAnsi="FrankRuehl" w:cs="FrankRuehl"/>
          <w:rtl/>
        </w:rPr>
        <w:t xml:space="preserve">: סע'  </w:t>
      </w:r>
      <w:hyperlink r:id="rId7" w:history="1">
        <w:r w:rsidRPr="00C0382B">
          <w:rPr>
            <w:rFonts w:ascii="FrankRuehl" w:hAnsi="FrankRuehl" w:cs="FrankRuehl"/>
            <w:color w:val="0000FF"/>
            <w:rtl/>
          </w:rPr>
          <w:t>40ט</w:t>
        </w:r>
      </w:hyperlink>
      <w:r w:rsidRPr="00C0382B">
        <w:rPr>
          <w:rFonts w:ascii="FrankRuehl" w:hAnsi="FrankRuehl" w:cs="FrankRuehl"/>
          <w:rtl/>
        </w:rPr>
        <w:t xml:space="preserve">, </w:t>
      </w:r>
      <w:hyperlink r:id="rId8" w:history="1">
        <w:r w:rsidRPr="00C0382B">
          <w:rPr>
            <w:rFonts w:ascii="FrankRuehl" w:hAnsi="FrankRuehl" w:cs="FrankRuehl"/>
            <w:color w:val="0000FF"/>
            <w:rtl/>
          </w:rPr>
          <w:t>144(א)</w:t>
        </w:r>
      </w:hyperlink>
      <w:r w:rsidRPr="00C0382B">
        <w:rPr>
          <w:rFonts w:ascii="FrankRuehl" w:hAnsi="FrankRuehl" w:cs="FrankRuehl"/>
          <w:rtl/>
        </w:rPr>
        <w:t xml:space="preserve">, </w:t>
      </w:r>
      <w:hyperlink r:id="rId9" w:history="1">
        <w:r w:rsidRPr="00C0382B">
          <w:rPr>
            <w:rFonts w:ascii="FrankRuehl" w:hAnsi="FrankRuehl" w:cs="FrankRuehl"/>
            <w:color w:val="0000FF"/>
            <w:rtl/>
          </w:rPr>
          <w:t>144(ב)</w:t>
        </w:r>
      </w:hyperlink>
      <w:r w:rsidRPr="00C0382B">
        <w:rPr>
          <w:rFonts w:ascii="FrankRuehl" w:hAnsi="FrankRuehl" w:cs="FrankRuehl"/>
          <w:rtl/>
        </w:rPr>
        <w:t xml:space="preserve">, </w:t>
      </w:r>
      <w:hyperlink r:id="rId10" w:history="1">
        <w:r w:rsidRPr="00C0382B">
          <w:rPr>
            <w:rFonts w:ascii="FrankRuehl" w:hAnsi="FrankRuehl" w:cs="FrankRuehl"/>
            <w:color w:val="0000FF"/>
            <w:rtl/>
          </w:rPr>
          <w:t>340א(א)</w:t>
        </w:r>
      </w:hyperlink>
      <w:r w:rsidRPr="00C0382B">
        <w:rPr>
          <w:rFonts w:ascii="FrankRuehl" w:hAnsi="FrankRuehl" w:cs="FrankRuehl"/>
          <w:rtl/>
        </w:rPr>
        <w:t xml:space="preserve">, </w:t>
      </w:r>
      <w:hyperlink r:id="rId11" w:history="1">
        <w:r w:rsidRPr="00C0382B">
          <w:rPr>
            <w:rFonts w:ascii="FrankRuehl" w:hAnsi="FrankRuehl" w:cs="FrankRuehl"/>
            <w:color w:val="0000FF"/>
            <w:rtl/>
          </w:rPr>
          <w:t>340א(ב)(1</w:t>
        </w:r>
      </w:hyperlink>
      <w:r w:rsidRPr="00C0382B">
        <w:rPr>
          <w:rFonts w:ascii="FrankRuehl" w:hAnsi="FrankRuehl" w:cs="FrankRuehl"/>
          <w:rtl/>
        </w:rPr>
        <w:t xml:space="preserve">, </w:t>
      </w:r>
      <w:hyperlink r:id="rId12" w:history="1">
        <w:r w:rsidRPr="00C0382B">
          <w:rPr>
            <w:rFonts w:ascii="FrankRuehl" w:hAnsi="FrankRuehl" w:cs="FrankRuehl"/>
            <w:color w:val="0000FF"/>
            <w:rtl/>
          </w:rPr>
          <w:t>2</w:t>
        </w:r>
      </w:hyperlink>
    </w:p>
    <w:p w14:paraId="2B223ABC" w14:textId="77777777" w:rsidR="00C0382B" w:rsidRPr="00C0382B" w:rsidRDefault="00C0382B" w:rsidP="00C0382B">
      <w:pPr>
        <w:rPr>
          <w:rFonts w:ascii="Arial" w:hAnsi="Arial"/>
          <w:rtl/>
        </w:rPr>
      </w:pPr>
      <w:bookmarkStart w:id="4" w:name="LawTable_End"/>
      <w:bookmarkEnd w:id="4"/>
    </w:p>
    <w:p w14:paraId="5B3409AC" w14:textId="77777777" w:rsidR="007579D0" w:rsidRPr="00C57B78" w:rsidRDefault="007579D0" w:rsidP="00C57B78">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4B67" w14:paraId="5D5D9526" w14:textId="77777777" w:rsidTr="007E4B67">
        <w:trPr>
          <w:trHeight w:val="355"/>
          <w:jc w:val="center"/>
        </w:trPr>
        <w:tc>
          <w:tcPr>
            <w:tcW w:w="8820" w:type="dxa"/>
            <w:tcBorders>
              <w:top w:val="nil"/>
              <w:left w:val="nil"/>
              <w:bottom w:val="nil"/>
              <w:right w:val="nil"/>
            </w:tcBorders>
            <w:shd w:val="clear" w:color="auto" w:fill="auto"/>
          </w:tcPr>
          <w:p w14:paraId="76640158" w14:textId="77777777" w:rsidR="003E6F43" w:rsidRPr="003E6F43" w:rsidRDefault="003E6F43" w:rsidP="003E6F43">
            <w:pPr>
              <w:jc w:val="center"/>
              <w:rPr>
                <w:rFonts w:ascii="Arial" w:hAnsi="Arial"/>
                <w:b/>
                <w:bCs/>
                <w:sz w:val="32"/>
                <w:szCs w:val="32"/>
                <w:u w:val="single"/>
                <w:rtl/>
              </w:rPr>
            </w:pPr>
            <w:bookmarkStart w:id="5" w:name="PsakDin" w:colFirst="0" w:colLast="0"/>
            <w:bookmarkEnd w:id="0"/>
            <w:r w:rsidRPr="003E6F43">
              <w:rPr>
                <w:rFonts w:ascii="Arial" w:hAnsi="Arial"/>
                <w:b/>
                <w:bCs/>
                <w:sz w:val="32"/>
                <w:szCs w:val="32"/>
                <w:u w:val="single"/>
                <w:rtl/>
              </w:rPr>
              <w:t>גזר דין</w:t>
            </w:r>
          </w:p>
          <w:p w14:paraId="75948274" w14:textId="77777777" w:rsidR="007E4B67" w:rsidRPr="003E6F43" w:rsidRDefault="007E4B67" w:rsidP="003E6F43">
            <w:pPr>
              <w:jc w:val="center"/>
              <w:rPr>
                <w:rFonts w:ascii="Arial" w:hAnsi="Arial"/>
                <w:bCs/>
                <w:sz w:val="32"/>
                <w:szCs w:val="32"/>
                <w:u w:val="single"/>
                <w:rtl/>
              </w:rPr>
            </w:pPr>
          </w:p>
        </w:tc>
      </w:tr>
      <w:bookmarkEnd w:id="5"/>
    </w:tbl>
    <w:p w14:paraId="6A2FBA21" w14:textId="77777777" w:rsidR="007E4B67" w:rsidRPr="00B05847" w:rsidRDefault="007E4B67" w:rsidP="007E4B67">
      <w:pPr>
        <w:rPr>
          <w:rFonts w:ascii="Arial" w:hAnsi="Arial"/>
          <w:rtl/>
        </w:rPr>
      </w:pPr>
    </w:p>
    <w:p w14:paraId="44047056" w14:textId="77777777" w:rsidR="007E4B67" w:rsidRPr="00B05847" w:rsidRDefault="007E4B67" w:rsidP="007E4B67">
      <w:pPr>
        <w:rPr>
          <w:rFonts w:ascii="Arial" w:hAnsi="Arial"/>
          <w:rtl/>
        </w:rPr>
      </w:pPr>
    </w:p>
    <w:p w14:paraId="79565FBE" w14:textId="77777777" w:rsidR="007E4B67" w:rsidRPr="006F0EB4" w:rsidRDefault="007E4B67" w:rsidP="007E4B67">
      <w:pPr>
        <w:tabs>
          <w:tab w:val="left" w:pos="567"/>
          <w:tab w:val="left" w:pos="1134"/>
          <w:tab w:val="left" w:pos="1701"/>
        </w:tabs>
        <w:spacing w:line="360" w:lineRule="auto"/>
        <w:jc w:val="both"/>
        <w:rPr>
          <w:rFonts w:ascii="David" w:eastAsia="Calibri" w:hAnsi="David"/>
          <w:u w:val="single"/>
        </w:rPr>
      </w:pPr>
      <w:r w:rsidRPr="006F0EB4">
        <w:rPr>
          <w:rFonts w:ascii="David" w:eastAsia="Calibri" w:hAnsi="David" w:hint="cs"/>
          <w:u w:val="single"/>
          <w:rtl/>
        </w:rPr>
        <w:t>ההליך וכתב האישום</w:t>
      </w:r>
    </w:p>
    <w:p w14:paraId="01A3E753" w14:textId="77777777" w:rsidR="007E4B67" w:rsidRPr="006F0EB4" w:rsidRDefault="007E4B67" w:rsidP="007E4B67">
      <w:pPr>
        <w:tabs>
          <w:tab w:val="left" w:pos="567"/>
          <w:tab w:val="left" w:pos="1134"/>
          <w:tab w:val="left" w:pos="1701"/>
        </w:tabs>
        <w:spacing w:line="360" w:lineRule="auto"/>
        <w:jc w:val="both"/>
        <w:rPr>
          <w:rFonts w:ascii="David" w:eastAsia="Calibri" w:hAnsi="David"/>
          <w:u w:val="single"/>
          <w:rtl/>
        </w:rPr>
      </w:pPr>
    </w:p>
    <w:p w14:paraId="07EE12D4"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1.</w:t>
      </w:r>
      <w:r w:rsidRPr="006F0EB4">
        <w:rPr>
          <w:rFonts w:ascii="David" w:eastAsia="Calibri" w:hAnsi="David" w:hint="cs"/>
          <w:rtl/>
        </w:rPr>
        <w:tab/>
      </w:r>
      <w:bookmarkStart w:id="6" w:name="ABSTRACT_START"/>
      <w:bookmarkEnd w:id="6"/>
      <w:r w:rsidRPr="006F0EB4">
        <w:rPr>
          <w:rFonts w:ascii="David" w:eastAsia="Calibri" w:hAnsi="David" w:hint="cs"/>
          <w:rtl/>
        </w:rPr>
        <w:t xml:space="preserve">ביום 4.7.2023 הורשע הנאשם על פי הודאתו בעבירות של ירי מנשק חם, לפי סעיף </w:t>
      </w:r>
      <w:hyperlink r:id="rId13" w:history="1">
        <w:r w:rsidR="007579D0" w:rsidRPr="007579D0">
          <w:rPr>
            <w:rStyle w:val="Hyperlink"/>
            <w:rFonts w:ascii="David" w:eastAsia="Calibri" w:hAnsi="David"/>
            <w:rtl/>
          </w:rPr>
          <w:t>340א(ב)(1</w:t>
        </w:r>
      </w:hyperlink>
      <w:r w:rsidRPr="006F0EB4">
        <w:rPr>
          <w:rFonts w:ascii="David" w:eastAsia="Calibri" w:hAnsi="David" w:hint="cs"/>
          <w:rtl/>
        </w:rPr>
        <w:t>)+(</w:t>
      </w:r>
      <w:hyperlink r:id="rId14" w:history="1">
        <w:r w:rsidR="007579D0" w:rsidRPr="007579D0">
          <w:rPr>
            <w:rStyle w:val="Hyperlink"/>
            <w:rFonts w:ascii="David" w:eastAsia="Calibri" w:hAnsi="David"/>
            <w:rtl/>
          </w:rPr>
          <w:t>2</w:t>
        </w:r>
      </w:hyperlink>
      <w:r w:rsidRPr="006F0EB4">
        <w:rPr>
          <w:rFonts w:ascii="David" w:eastAsia="Calibri" w:hAnsi="David" w:hint="cs"/>
          <w:rtl/>
        </w:rPr>
        <w:t>) ל</w:t>
      </w:r>
      <w:hyperlink r:id="rId15" w:history="1">
        <w:r w:rsidR="003E6F43" w:rsidRPr="003E6F43">
          <w:rPr>
            <w:rFonts w:ascii="David" w:eastAsia="Calibri" w:hAnsi="David"/>
            <w:color w:val="0000FF"/>
            <w:u w:val="single"/>
            <w:rtl/>
          </w:rPr>
          <w:t>חוק העונשין</w:t>
        </w:r>
      </w:hyperlink>
      <w:r w:rsidRPr="006F0EB4">
        <w:rPr>
          <w:rFonts w:ascii="David" w:eastAsia="Calibri" w:hAnsi="David" w:hint="cs"/>
          <w:rtl/>
        </w:rPr>
        <w:t xml:space="preserve">, התשל"ז-1977 (להלן: "חוק העונשין") (שלוש עבירות) ועבירות בנשק (החזקה, נשיאה והובלה), לפי </w:t>
      </w:r>
      <w:hyperlink r:id="rId16" w:history="1">
        <w:r w:rsidR="007579D0" w:rsidRPr="007579D0">
          <w:rPr>
            <w:rStyle w:val="Hyperlink"/>
            <w:rFonts w:ascii="David" w:eastAsia="Calibri" w:hAnsi="David" w:hint="eastAsia"/>
            <w:rtl/>
          </w:rPr>
          <w:t>סעיף</w:t>
        </w:r>
        <w:r w:rsidR="007579D0" w:rsidRPr="007579D0">
          <w:rPr>
            <w:rStyle w:val="Hyperlink"/>
            <w:rFonts w:ascii="David" w:eastAsia="Calibri" w:hAnsi="David"/>
            <w:rtl/>
          </w:rPr>
          <w:t xml:space="preserve"> 144(א)</w:t>
        </w:r>
      </w:hyperlink>
      <w:r w:rsidRPr="006F0EB4">
        <w:rPr>
          <w:rFonts w:ascii="David" w:eastAsia="Calibri" w:hAnsi="David" w:hint="cs"/>
          <w:rtl/>
        </w:rPr>
        <w:t xml:space="preserve"> רישא וסיפא+</w:t>
      </w:r>
      <w:hyperlink r:id="rId17" w:history="1">
        <w:r w:rsidR="007579D0" w:rsidRPr="007579D0">
          <w:rPr>
            <w:rStyle w:val="Hyperlink"/>
            <w:rFonts w:ascii="David" w:eastAsia="Calibri" w:hAnsi="David"/>
            <w:rtl/>
          </w:rPr>
          <w:t>144(ב)</w:t>
        </w:r>
      </w:hyperlink>
      <w:r w:rsidRPr="006F0EB4">
        <w:rPr>
          <w:rFonts w:ascii="David" w:eastAsia="Calibri" w:hAnsi="David" w:hint="cs"/>
          <w:rtl/>
        </w:rPr>
        <w:t xml:space="preserve"> רישא וסיפא לחוק העונשין. הודאת הנאשם ניתנה לאחר שזה חזר בו מכפירתו ולאחר שנשמעו מספר עדי תביעה.</w:t>
      </w:r>
    </w:p>
    <w:p w14:paraId="535500EB"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7F111BA9"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r w:rsidRPr="006F0EB4">
        <w:rPr>
          <w:rFonts w:ascii="David" w:eastAsia="Calibri" w:hAnsi="David" w:hint="cs"/>
          <w:rtl/>
        </w:rPr>
        <w:t>2.</w:t>
      </w:r>
      <w:r w:rsidRPr="006F0EB4">
        <w:rPr>
          <w:rFonts w:ascii="David" w:eastAsia="Calibri" w:hAnsi="David" w:hint="cs"/>
          <w:rtl/>
        </w:rPr>
        <w:tab/>
        <w:t>בעובדות כתב האישום נאמר כי בזמנים הרלוונטיים התגורר הנאשם לסירוגין עם הוריו ואחיו בביתם בעיר שפרעם (להלן: "הבית").</w:t>
      </w:r>
    </w:p>
    <w:p w14:paraId="4E5F1449"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309A11F5"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ab/>
        <w:t>עובר ליום 1.12.2022 החזיק הנאשם אקדח בקוטר 9 מ"מ, מחסנית המתאימה לאקדח וכדורים בקוטר 9 מ"מ, בלא רשות על פי דין להחזקתם. מדובר באקדח שסוגל לירות כדור שבכוחו להמית אדם ואשר מהווה נשק כהגדרתו בחוק.</w:t>
      </w:r>
    </w:p>
    <w:p w14:paraId="21AFAAE3"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6B3B99DC"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lastRenderedPageBreak/>
        <w:t>3.</w:t>
      </w:r>
      <w:r w:rsidRPr="006F0EB4">
        <w:rPr>
          <w:rFonts w:ascii="David" w:eastAsia="Calibri" w:hAnsi="David" w:hint="cs"/>
          <w:rtl/>
        </w:rPr>
        <w:tab/>
        <w:t>ביום 1.12.2022, סמוך לשעה 19:53, יצא הנאשם מפתח הבית אל הרחוב הסמוך כשהוא נושא ומוביל את האקדח הטעון במחסנית ובה כדורים בלא רשות על פי דין, וירה שלא כדין מהאקדח באוויר באזור מגורים באופן שיש בו כדי לסכן חיי אדם. אותה עת נכחו בסמוך לנאשם אחיו ואביו.</w:t>
      </w:r>
    </w:p>
    <w:p w14:paraId="688A6D21"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21896D85"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ab/>
        <w:t>דקה לאחר מכן יצא הנאשם פעם נוספת מהבית אל הרחוב הסמוך וירה פעם נוספת מהאקדח באוויר, כאשר במקום נכחו בין היתר אחיו והוריו.</w:t>
      </w:r>
    </w:p>
    <w:p w14:paraId="303B5BB0"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703936A4"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ab/>
        <w:t>בשלב זה, הוריו ואחיו של הנאשם אחזו בו כדי למנוע ממנו להמשיך לירות, אך הנאשם השתחרר מאחיזתם, שב וירה באוויר באזור מגורים באופן שיש בו כדי לסכן חיי אדם. בהמשך נכנס הנאשם אל הבית כשהוא נושא את האקדח והמחסנית שלא כדין, וכעבור דקה יצא ונמלט מהמקום.</w:t>
      </w:r>
    </w:p>
    <w:p w14:paraId="5DF22B43"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2E728295"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4.</w:t>
      </w:r>
      <w:r w:rsidRPr="006F0EB4">
        <w:rPr>
          <w:rFonts w:ascii="David" w:eastAsia="Calibri" w:hAnsi="David" w:hint="cs"/>
          <w:rtl/>
        </w:rPr>
        <w:tab/>
        <w:t xml:space="preserve">במעמד ההודאה ציינה ב"כ המאשימה כי היא מאשרת שבחקירתם של הורי הנאשם במשטרה הם טענו כי עובר לירי אותו ביצע הנאשם, נשמעו קולות ירי מחוץ לבית. יחד עם זאת, נאמר כי לא נמצאה אינדיקציה ממשית לכך. </w:t>
      </w:r>
    </w:p>
    <w:p w14:paraId="7A084E6A"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2BB532DE"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u w:val="single"/>
          <w:rtl/>
        </w:rPr>
      </w:pPr>
      <w:r w:rsidRPr="006F0EB4">
        <w:rPr>
          <w:rFonts w:ascii="David" w:eastAsia="Calibri" w:hAnsi="David" w:hint="cs"/>
          <w:u w:val="single"/>
          <w:rtl/>
        </w:rPr>
        <w:t>הראיות לעונש</w:t>
      </w:r>
    </w:p>
    <w:p w14:paraId="616D39F3"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36550E2C"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5.</w:t>
      </w:r>
      <w:r w:rsidRPr="006F0EB4">
        <w:rPr>
          <w:rFonts w:ascii="David" w:eastAsia="Calibri" w:hAnsi="David" w:hint="cs"/>
          <w:rtl/>
        </w:rPr>
        <w:tab/>
        <w:t>מטעם המאשימה לא הוגשו ראיות לעונש.</w:t>
      </w:r>
    </w:p>
    <w:p w14:paraId="780D813A"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392386B5"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ab/>
        <w:t>מטעם ההגנה העיד אחיו של הנאשם, נור בוקאעי, שסיפר כי בשפרעם אין ביטחון אישי. לדבריו, אלמונים זרקו על הבית בקבוק תבערה אך המשטרה שהגיעה למקום לא עשתה דבר.</w:t>
      </w:r>
    </w:p>
    <w:p w14:paraId="22F39251"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7540E89E"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u w:val="single"/>
          <w:rtl/>
        </w:rPr>
      </w:pPr>
      <w:r w:rsidRPr="006F0EB4">
        <w:rPr>
          <w:rFonts w:ascii="David" w:eastAsia="Calibri" w:hAnsi="David" w:hint="cs"/>
          <w:u w:val="single"/>
          <w:rtl/>
        </w:rPr>
        <w:t>טיעוני הצדדים לעונש</w:t>
      </w:r>
    </w:p>
    <w:p w14:paraId="5628E245"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u w:val="single"/>
          <w:rtl/>
        </w:rPr>
      </w:pPr>
    </w:p>
    <w:p w14:paraId="797D480E"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6.</w:t>
      </w:r>
      <w:r w:rsidRPr="006F0EB4">
        <w:rPr>
          <w:rFonts w:ascii="David" w:eastAsia="Calibri" w:hAnsi="David" w:hint="cs"/>
          <w:rtl/>
        </w:rPr>
        <w:tab/>
        <w:t>בפתח טיעוניה לעונש הפנתה המאשימה לכך שהודאת הנאשם ניתנה לאחר שנשמעו שמונה עדי תביעה, וכי הנאשם הורשע במספר עבירות בגינן יש לקבוע מתחם ענישה אחד, משום שאלה נעשו ברצף, בפרק זמן קצר יחסית וכחלק מאותה תכנית עבריינית.</w:t>
      </w:r>
    </w:p>
    <w:p w14:paraId="56423CDE"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4625ED2F"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7.</w:t>
      </w:r>
      <w:r w:rsidRPr="006F0EB4">
        <w:rPr>
          <w:rFonts w:ascii="David" w:eastAsia="Calibri" w:hAnsi="David" w:hint="cs"/>
          <w:rtl/>
        </w:rPr>
        <w:tab/>
        <w:t>המאשימה הפנתה לחומרת העבירות המבוצעות באמצעות נשק, שהתרבו בשנים האחרונות, ואשר לא היו נעשות אלמלא הוחזקו נשקים באופן בלתי חוקי בידי אנשים שאינם מורשים ואינם מיומנים לכך, ועל ידי גורמים עברייניים המבצעים שימוש בנשקים אלו. נאמר כי מדובר בתופעה שהפכה למכת מדינה של ממש וכי על בית המשפט לתרום את חלקו למלחמה למען מיגורה בדרך של הטלת עונשים מחמירים. בהקשר זה הפנתה המאשימה למגמת ההחמרה הניכרת מפסיקת בתי המשפט בכל הנוגע לעבירות בנשק.</w:t>
      </w:r>
    </w:p>
    <w:p w14:paraId="38090A6D"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4DE1D615"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8.</w:t>
      </w:r>
      <w:r w:rsidRPr="006F0EB4">
        <w:rPr>
          <w:rFonts w:ascii="David" w:eastAsia="Calibri" w:hAnsi="David" w:hint="cs"/>
          <w:rtl/>
        </w:rPr>
        <w:tab/>
        <w:t xml:space="preserve">בהתייחס לנסיבות ביצוע העבירות בענייננו, טענה המאשימה כי הדעת נותנת שמי שמחזיק בנשק, בתחמושת ובאביזרים עושה פעולות מקדימות לצורך החזקתם, לרבות רכישתם של </w:t>
      </w:r>
      <w:r w:rsidRPr="006F0EB4">
        <w:rPr>
          <w:rFonts w:ascii="David" w:eastAsia="Calibri" w:hAnsi="David" w:hint="cs"/>
          <w:rtl/>
        </w:rPr>
        <w:lastRenderedPageBreak/>
        <w:t>אלה וקבלתם לידיו, על כל התיאום הכרוך בכך. סוג הנשק שבו מדובר הוא אקדח בקוטר 9 מ"מ הטעון במחסנית המכילה כדורים. הנזק שצפוי היה להיגרם מביצוע העבירות היה גבוה, בייחוד בשים לב לכך שהנאשם ירה באמצעות האקדח בשלוש הזדמנויות שונות, כשהוא מצוי בתוך שכונת מגורים ומוקף בבני משפחתו.</w:t>
      </w:r>
    </w:p>
    <w:p w14:paraId="6BDEBF57"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5B5F5308"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9.</w:t>
      </w:r>
      <w:r w:rsidRPr="006F0EB4">
        <w:rPr>
          <w:rFonts w:ascii="David" w:eastAsia="Calibri" w:hAnsi="David" w:hint="cs"/>
          <w:rtl/>
        </w:rPr>
        <w:tab/>
        <w:t>לאחר שהפנתה למדיניות הענישה הנוהגת, ביקשה המאשימה לקבוע כי מתחם העונש ההולם נע בין 3.5 ל-5.5 שנות מאסר בפועל, בצירוף עונשים נלווים בדמות מאסר מותנה וקנס כספי.</w:t>
      </w:r>
    </w:p>
    <w:p w14:paraId="73013F6E"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11EB63E3"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10.</w:t>
      </w:r>
      <w:r w:rsidRPr="006F0EB4">
        <w:rPr>
          <w:rFonts w:ascii="David" w:eastAsia="Calibri" w:hAnsi="David" w:hint="cs"/>
          <w:rtl/>
        </w:rPr>
        <w:tab/>
        <w:t>בהתייחס לנסיבות שאינן קשורות בביצוע העבירות, הפנתה המאשימה לכך שהנאשם הורשע אמנם על סמך הודאתו, אך זו ניתנה לאחר שנשמעו שמונה עדי תביעה. באשר למצבו הפיזי של הנאשם, הסובל מקטיעה באצבעות ידיו, נאמר כי נכותו לא מנעה בעדו מלבצע את העבירה. עוד הוסיפה המאשימה כי על אף שהוסכם כי ההגנה תטען, בהסתמך על הודעות הוריו של הנאשם, כי עובר לירי אותו ביצע הנאשם נשמעו קולות ירי מחוץ לבית, הרי שלא נמצאה כל אינדיקציה לטענה זו, ובכל מקרה לא נטען כי הירי בוצע לעבר הבית.</w:t>
      </w:r>
    </w:p>
    <w:p w14:paraId="0E63B7EF"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229415B5"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ab/>
        <w:t>בסיכומו של דבר, ביקשה המאשימה לגזור את עונשו של הנאשם ברף האמצעי-תחתון של המתחם, בשים לב להודאתו ולהיעדר כל עבר פלילי.</w:t>
      </w:r>
    </w:p>
    <w:p w14:paraId="261177FA"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073486A5"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11.</w:t>
      </w:r>
      <w:r w:rsidRPr="006F0EB4">
        <w:rPr>
          <w:rFonts w:ascii="David" w:eastAsia="Calibri" w:hAnsi="David" w:hint="cs"/>
          <w:rtl/>
        </w:rPr>
        <w:tab/>
        <w:t>הסנגור מצדו טען כי נסיבות המקרה בענייננו שונות מהמקרים הרגילים של עבירות בנשק, שכן כפי שהעיד אחיו של הנאשם וכפי שנטען לאורך ההליך כולו, ביטחונה האישי של משפחת הנאשם היה בכי רע והראיה לכך הירי שבוצע עובר לאירוע. עוד נאמר כי עובדות כתב האישום מלמדות על כך שהירי שנעשה על ידי הנאשם לא הופנה כלפי אדם כלשהו, אלא בוצע לאוויר בצורה כוללנית. גם מהסרטונים שהוצגו בבית המשפט ניתן לראות כי הנאשם יורה כלפי מעלה. עובדה זו מחזקת את טענת ההגנה, לפיה בוצע הירי כתגובה לירי שנעשה קודם לכן.</w:t>
      </w:r>
    </w:p>
    <w:p w14:paraId="051E0CBC"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6CDB42E3"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ab/>
        <w:t>בנוסף, הפנה הסנגור לכך שהירי נעשה באמצעות שימוש באקדח ולא ברובה, שהוא נשק עוצמתי בהרבה.</w:t>
      </w:r>
    </w:p>
    <w:p w14:paraId="32A20051"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0BF2F507"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12.</w:t>
      </w:r>
      <w:r w:rsidRPr="006F0EB4">
        <w:rPr>
          <w:rFonts w:ascii="David" w:eastAsia="Calibri" w:hAnsi="David" w:hint="cs"/>
          <w:rtl/>
        </w:rPr>
        <w:tab/>
        <w:t xml:space="preserve">בהתייחס לנסיבותיו האישיות של הנאשם נאמר כי מדובר במי שסובל מנכות משמעותית, ובהקשר זה הוצגו מסמכים מטעם המוסד לביטוח לאומי, המלמדים על אותה נכות. כמו כן, נטען כי מדובר בנאשם שהודה ואשר הוא נטול כל עבר פלילי. </w:t>
      </w:r>
    </w:p>
    <w:p w14:paraId="02AEB99B"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04131B4C"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13.</w:t>
      </w:r>
      <w:r w:rsidRPr="006F0EB4">
        <w:rPr>
          <w:rFonts w:ascii="David" w:eastAsia="Calibri" w:hAnsi="David" w:hint="cs"/>
          <w:rtl/>
        </w:rPr>
        <w:tab/>
        <w:t xml:space="preserve">ב"כ הנאשם טען כי פסקי הדין אליהם הפנתה המאשימה ומהם ביקשה ללמוד על אודות מדיניות הענישה הנוהגת, אינם דומים בנסיבותיהם לנסיבות האירוע דכאן. לפיכך, ביקשה ההגנה לקבוע כי מתחם העונש ההולם נע בין 19 ל-36 חודשי מאסר, ולהטיל על העונש ברף התחתון נוכח הנסיבות שפורטו ובשים לב להודאתו ולעובדה כי הוא נעדר עבר פלילי. </w:t>
      </w:r>
    </w:p>
    <w:p w14:paraId="6C0AD7A0"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76FEFB9D"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u w:val="single"/>
          <w:rtl/>
        </w:rPr>
      </w:pPr>
      <w:r w:rsidRPr="006F0EB4">
        <w:rPr>
          <w:rFonts w:ascii="David" w:eastAsia="Calibri" w:hAnsi="David" w:hint="cs"/>
          <w:u w:val="single"/>
          <w:rtl/>
        </w:rPr>
        <w:t>דברו האחרון של הנאשם</w:t>
      </w:r>
    </w:p>
    <w:p w14:paraId="2F07B9AF"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u w:val="single"/>
          <w:rtl/>
        </w:rPr>
      </w:pPr>
    </w:p>
    <w:p w14:paraId="566B4DF5"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14.</w:t>
      </w:r>
      <w:r w:rsidRPr="006F0EB4">
        <w:rPr>
          <w:rFonts w:ascii="David" w:eastAsia="Calibri" w:hAnsi="David" w:hint="cs"/>
          <w:rtl/>
        </w:rPr>
        <w:tab/>
        <w:t>בדברו האחרון הביע הנאשם צער על הטעות שעשה.</w:t>
      </w:r>
    </w:p>
    <w:p w14:paraId="6D9A929B"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5DF74602"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u w:val="single"/>
          <w:rtl/>
        </w:rPr>
      </w:pPr>
      <w:r w:rsidRPr="006F0EB4">
        <w:rPr>
          <w:rFonts w:ascii="David" w:eastAsia="Calibri" w:hAnsi="David" w:hint="cs"/>
          <w:u w:val="single"/>
          <w:rtl/>
        </w:rPr>
        <w:t>דיון והכרעה</w:t>
      </w:r>
    </w:p>
    <w:p w14:paraId="7245A4BF"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u w:val="single"/>
          <w:rtl/>
        </w:rPr>
      </w:pPr>
      <w:r w:rsidRPr="006F0EB4">
        <w:rPr>
          <w:rFonts w:ascii="David" w:eastAsia="Calibri" w:hAnsi="David" w:hint="cs"/>
          <w:u w:val="single"/>
          <w:rtl/>
        </w:rPr>
        <w:t>קביעת מתחם העונש ההולם</w:t>
      </w:r>
    </w:p>
    <w:p w14:paraId="74CE3469"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u w:val="single"/>
          <w:rtl/>
        </w:rPr>
      </w:pPr>
    </w:p>
    <w:p w14:paraId="25BD9842"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15.</w:t>
      </w:r>
      <w:r w:rsidRPr="006F0EB4">
        <w:rPr>
          <w:rFonts w:ascii="David" w:eastAsia="Calibri" w:hAnsi="David" w:hint="cs"/>
          <w:rtl/>
        </w:rPr>
        <w:tab/>
        <w:t xml:space="preserve">מתחם העונש ההולם נקבע בהתאם לעיקרון ההלימה, ובקביעתו על בית המשפט להתחשב בערכים החברתיים שנפגעו מביצוע העבירה, במידת הפגיעה בהם, במדיניות הענישה הנוהגת ובנסיבות הקשורות בביצוע העבירה, כמפורט </w:t>
      </w:r>
      <w:hyperlink r:id="rId18" w:history="1">
        <w:r w:rsidR="007579D0" w:rsidRPr="007579D0">
          <w:rPr>
            <w:rStyle w:val="Hyperlink"/>
            <w:rFonts w:ascii="David" w:eastAsia="Calibri" w:hAnsi="David" w:hint="eastAsia"/>
            <w:rtl/>
          </w:rPr>
          <w:t>בסעיף</w:t>
        </w:r>
        <w:r w:rsidR="007579D0" w:rsidRPr="007579D0">
          <w:rPr>
            <w:rStyle w:val="Hyperlink"/>
            <w:rFonts w:ascii="David" w:eastAsia="Calibri" w:hAnsi="David"/>
            <w:rtl/>
          </w:rPr>
          <w:t xml:space="preserve"> 40ט</w:t>
        </w:r>
      </w:hyperlink>
      <w:r w:rsidRPr="006F0EB4">
        <w:rPr>
          <w:rFonts w:ascii="David" w:eastAsia="Calibri" w:hAnsi="David" w:hint="cs"/>
          <w:rtl/>
        </w:rPr>
        <w:t xml:space="preserve"> ל</w:t>
      </w:r>
      <w:hyperlink r:id="rId19" w:history="1">
        <w:r w:rsidR="003E6F43" w:rsidRPr="003E6F43">
          <w:rPr>
            <w:rFonts w:ascii="David" w:eastAsia="Calibri" w:hAnsi="David"/>
            <w:color w:val="0000FF"/>
            <w:u w:val="single"/>
            <w:rtl/>
          </w:rPr>
          <w:t>חוק העונשין</w:t>
        </w:r>
      </w:hyperlink>
      <w:r w:rsidRPr="006F0EB4">
        <w:rPr>
          <w:rFonts w:ascii="David" w:eastAsia="Calibri" w:hAnsi="David" w:hint="cs"/>
          <w:rtl/>
        </w:rPr>
        <w:t>.</w:t>
      </w:r>
    </w:p>
    <w:p w14:paraId="7586D60B"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50CE5B6E"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16.</w:t>
      </w:r>
      <w:r w:rsidRPr="006F0EB4">
        <w:rPr>
          <w:rFonts w:ascii="David" w:eastAsia="Calibri" w:hAnsi="David" w:hint="cs"/>
          <w:rtl/>
        </w:rPr>
        <w:tab/>
        <w:t xml:space="preserve">אין צורך להכביר במילים לגבי חומרתן של עבירות הנעשות בנשק. בשורה ארוכה של פסקי דין עמד בית המשפט על החומרה הרבה הגלומה בעבירות אלו, שביסודן עומדת פגיעה בחיי אדם ובשלמות גופו וכן בביטחון הציבור ובסדר הציבורי. בע"פ 3619/19 </w:t>
      </w:r>
      <w:r w:rsidRPr="006F0EB4">
        <w:rPr>
          <w:rFonts w:ascii="David" w:eastAsia="Calibri" w:hAnsi="David" w:hint="cs"/>
          <w:b/>
          <w:bCs/>
          <w:rtl/>
        </w:rPr>
        <w:t xml:space="preserve">אבו הלאל ואח' נ' מדינת ישראל </w:t>
      </w:r>
      <w:r w:rsidRPr="006F0EB4">
        <w:rPr>
          <w:rFonts w:ascii="David" w:eastAsia="Calibri" w:hAnsi="David" w:hint="cs"/>
          <w:rtl/>
        </w:rPr>
        <w:t>(26.5.2021) נאמרו בהקשר זה הדברים הבאים:</w:t>
      </w:r>
    </w:p>
    <w:p w14:paraId="1796797C"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02BF3A74" w14:textId="77777777" w:rsidR="007E4B67" w:rsidRPr="006F0EB4" w:rsidRDefault="007E4B67" w:rsidP="007E4B67">
      <w:pPr>
        <w:tabs>
          <w:tab w:val="left" w:pos="567"/>
          <w:tab w:val="left" w:pos="1134"/>
          <w:tab w:val="left" w:pos="1701"/>
          <w:tab w:val="left" w:pos="1985"/>
          <w:tab w:val="left" w:pos="2268"/>
          <w:tab w:val="left" w:pos="2552"/>
        </w:tabs>
        <w:spacing w:line="360" w:lineRule="auto"/>
        <w:ind w:left="1418" w:right="1429"/>
        <w:jc w:val="both"/>
        <w:rPr>
          <w:rFonts w:ascii="Calibri" w:eastAsia="Calibri" w:hAnsi="Calibri"/>
          <w:rtl/>
        </w:rPr>
      </w:pPr>
      <w:r w:rsidRPr="006F0EB4">
        <w:rPr>
          <w:rFonts w:ascii="Calibri" w:eastAsia="Calibri" w:hAnsi="Calibri" w:hint="cs"/>
          <w:rtl/>
        </w:rPr>
        <w:t>"אנו עדים פעם אחר פעם לשכיחותם של עבירות הנשק בקרב אוכלוסיות שונות בחברה הישראלית. החזקת נשק חם בידי מי שאינו מורשה לכך עלול להביא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w:t>
      </w:r>
    </w:p>
    <w:p w14:paraId="7D3234A7" w14:textId="77777777" w:rsidR="007E4B67" w:rsidRPr="006F0EB4" w:rsidRDefault="007E4B67" w:rsidP="007E4B67">
      <w:pPr>
        <w:tabs>
          <w:tab w:val="left" w:pos="567"/>
          <w:tab w:val="left" w:pos="1134"/>
          <w:tab w:val="left" w:pos="1701"/>
          <w:tab w:val="left" w:pos="1985"/>
          <w:tab w:val="left" w:pos="2268"/>
          <w:tab w:val="left" w:pos="2552"/>
        </w:tabs>
        <w:spacing w:line="360" w:lineRule="auto"/>
        <w:ind w:right="1429"/>
        <w:jc w:val="both"/>
        <w:rPr>
          <w:rFonts w:ascii="Calibri" w:eastAsia="Calibri" w:hAnsi="Calibri"/>
          <w:rtl/>
        </w:rPr>
      </w:pPr>
    </w:p>
    <w:p w14:paraId="0A1AD393" w14:textId="77777777" w:rsidR="007E4B67" w:rsidRPr="006F0EB4" w:rsidRDefault="007E4B67" w:rsidP="007E4B67">
      <w:pPr>
        <w:tabs>
          <w:tab w:val="left" w:pos="567"/>
          <w:tab w:val="left" w:pos="1134"/>
          <w:tab w:val="left" w:pos="1701"/>
          <w:tab w:val="left" w:pos="1985"/>
          <w:tab w:val="left" w:pos="2268"/>
          <w:tab w:val="left" w:pos="2552"/>
        </w:tabs>
        <w:spacing w:line="360" w:lineRule="auto"/>
        <w:ind w:right="1429"/>
        <w:jc w:val="both"/>
        <w:rPr>
          <w:rFonts w:ascii="Calibri" w:eastAsia="Calibri" w:hAnsi="Calibri"/>
          <w:rtl/>
        </w:rPr>
      </w:pPr>
      <w:r w:rsidRPr="006F0EB4">
        <w:rPr>
          <w:rFonts w:ascii="Calibri" w:eastAsia="Calibri" w:hAnsi="Calibri" w:hint="cs"/>
          <w:rtl/>
        </w:rPr>
        <w:tab/>
        <w:t>כן ראו דברים שנאמרו ב</w:t>
      </w:r>
      <w:hyperlink r:id="rId20" w:history="1">
        <w:r w:rsidR="003E6F43" w:rsidRPr="003E6F43">
          <w:rPr>
            <w:rFonts w:ascii="Calibri" w:eastAsia="Calibri" w:hAnsi="Calibri" w:hint="cs"/>
            <w:color w:val="0000FF"/>
            <w:u w:val="single"/>
            <w:rtl/>
          </w:rPr>
          <w:t>ע</w:t>
        </w:r>
        <w:r w:rsidR="003E6F43" w:rsidRPr="003E6F43">
          <w:rPr>
            <w:rFonts w:ascii="Calibri" w:eastAsia="Calibri" w:hAnsi="Calibri"/>
            <w:color w:val="0000FF"/>
            <w:u w:val="single"/>
            <w:rtl/>
          </w:rPr>
          <w:t>"</w:t>
        </w:r>
        <w:r w:rsidR="003E6F43" w:rsidRPr="003E6F43">
          <w:rPr>
            <w:rFonts w:ascii="Calibri" w:eastAsia="Calibri" w:hAnsi="Calibri" w:hint="cs"/>
            <w:color w:val="0000FF"/>
            <w:u w:val="single"/>
            <w:rtl/>
          </w:rPr>
          <w:t>פ</w:t>
        </w:r>
        <w:r w:rsidR="003E6F43" w:rsidRPr="003E6F43">
          <w:rPr>
            <w:rFonts w:ascii="Calibri" w:eastAsia="Calibri" w:hAnsi="Calibri"/>
            <w:color w:val="0000FF"/>
            <w:u w:val="single"/>
            <w:rtl/>
          </w:rPr>
          <w:t xml:space="preserve"> 4406/19</w:t>
        </w:r>
      </w:hyperlink>
      <w:r w:rsidRPr="006F0EB4">
        <w:rPr>
          <w:rFonts w:ascii="Calibri" w:eastAsia="Calibri" w:hAnsi="Calibri" w:hint="cs"/>
          <w:rtl/>
        </w:rPr>
        <w:t xml:space="preserve"> </w:t>
      </w:r>
      <w:r w:rsidRPr="006F0EB4">
        <w:rPr>
          <w:rFonts w:ascii="Calibri" w:eastAsia="Calibri" w:hAnsi="Calibri" w:hint="cs"/>
          <w:b/>
          <w:bCs/>
          <w:rtl/>
        </w:rPr>
        <w:t xml:space="preserve">סובח נ' מדינת ישראל </w:t>
      </w:r>
      <w:r w:rsidRPr="006F0EB4">
        <w:rPr>
          <w:rFonts w:ascii="Calibri" w:eastAsia="Calibri" w:hAnsi="Calibri" w:hint="cs"/>
          <w:rtl/>
        </w:rPr>
        <w:t>(5.11.2019):</w:t>
      </w:r>
    </w:p>
    <w:p w14:paraId="42335DFB" w14:textId="77777777" w:rsidR="007E4B67" w:rsidRPr="006F0EB4" w:rsidRDefault="007E4B67" w:rsidP="007E4B67">
      <w:pPr>
        <w:tabs>
          <w:tab w:val="left" w:pos="567"/>
          <w:tab w:val="left" w:pos="1134"/>
          <w:tab w:val="left" w:pos="1701"/>
          <w:tab w:val="left" w:pos="1985"/>
          <w:tab w:val="left" w:pos="2268"/>
          <w:tab w:val="left" w:pos="2552"/>
        </w:tabs>
        <w:spacing w:line="360" w:lineRule="auto"/>
        <w:ind w:left="1418" w:right="1429"/>
        <w:jc w:val="both"/>
        <w:rPr>
          <w:rFonts w:ascii="Calibri" w:eastAsia="Calibri" w:hAnsi="Calibri"/>
          <w:rtl/>
        </w:rPr>
      </w:pPr>
    </w:p>
    <w:p w14:paraId="47A94D23" w14:textId="77777777" w:rsidR="007E4B67" w:rsidRPr="006F0EB4" w:rsidRDefault="007E4B67" w:rsidP="007E4B67">
      <w:pPr>
        <w:tabs>
          <w:tab w:val="left" w:pos="567"/>
          <w:tab w:val="left" w:pos="1134"/>
          <w:tab w:val="left" w:pos="1701"/>
          <w:tab w:val="left" w:pos="1985"/>
          <w:tab w:val="left" w:pos="2268"/>
          <w:tab w:val="left" w:pos="2552"/>
        </w:tabs>
        <w:spacing w:line="360" w:lineRule="auto"/>
        <w:ind w:left="1418" w:right="1429"/>
        <w:jc w:val="both"/>
        <w:rPr>
          <w:rFonts w:ascii="Calibri" w:eastAsia="Calibri" w:hAnsi="Calibri"/>
          <w:rtl/>
        </w:rPr>
      </w:pPr>
      <w:r w:rsidRPr="006F0EB4">
        <w:rPr>
          <w:rFonts w:ascii="Calibri" w:eastAsia="Calibri" w:hAnsi="Calibri" w:hint="cs"/>
          <w:rtl/>
        </w:rPr>
        <w:t>"התופעה של החזקת נשק שלא כדין על ידי אזרחים מהווה איום על שלום הציבור ועל הסדר הציבורי. היא התשתית ו"הגורם בלעדו איין" (</w:t>
      </w:r>
      <w:r w:rsidRPr="006F0EB4">
        <w:rPr>
          <w:rFonts w:ascii="David" w:eastAsia="Calibri" w:hAnsi="David"/>
        </w:rPr>
        <w:t>causa sine qua non</w:t>
      </w:r>
      <w:r w:rsidRPr="006F0EB4">
        <w:rPr>
          <w:rFonts w:ascii="Calibri" w:eastAsia="Calibri" w:hAnsi="Calibri" w:hint="cs"/>
          <w:rtl/>
        </w:rPr>
        <w:t>)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w:t>
      </w:r>
    </w:p>
    <w:p w14:paraId="45010138" w14:textId="77777777" w:rsidR="007E4B67" w:rsidRPr="006F0EB4" w:rsidRDefault="007E4B67" w:rsidP="007E4B67">
      <w:pPr>
        <w:tabs>
          <w:tab w:val="left" w:pos="567"/>
          <w:tab w:val="left" w:pos="1134"/>
          <w:tab w:val="left" w:pos="1701"/>
        </w:tabs>
        <w:spacing w:line="360" w:lineRule="auto"/>
        <w:ind w:left="720"/>
        <w:jc w:val="both"/>
        <w:rPr>
          <w:rFonts w:ascii="Calibri" w:eastAsia="Calibri" w:hAnsi="Calibri"/>
        </w:rPr>
      </w:pPr>
    </w:p>
    <w:p w14:paraId="5298A273" w14:textId="77777777" w:rsidR="007E4B67" w:rsidRPr="006F0EB4" w:rsidRDefault="007E4B67" w:rsidP="007E4B67">
      <w:pPr>
        <w:tabs>
          <w:tab w:val="left" w:pos="567"/>
          <w:tab w:val="left" w:pos="1134"/>
          <w:tab w:val="left" w:pos="1701"/>
        </w:tabs>
        <w:spacing w:line="360" w:lineRule="auto"/>
        <w:ind w:left="567"/>
        <w:jc w:val="both"/>
        <w:rPr>
          <w:rFonts w:ascii="Calibri" w:eastAsia="Calibri" w:hAnsi="Calibri"/>
          <w:rtl/>
        </w:rPr>
      </w:pPr>
      <w:r w:rsidRPr="006F0EB4">
        <w:rPr>
          <w:rFonts w:ascii="Calibri" w:eastAsia="Calibri" w:hAnsi="Calibri" w:hint="cs"/>
          <w:rtl/>
        </w:rPr>
        <w:t xml:space="preserve">עוד ראו בנדון: </w:t>
      </w:r>
      <w:hyperlink r:id="rId21" w:history="1">
        <w:r w:rsidR="003E6F43" w:rsidRPr="003E6F43">
          <w:rPr>
            <w:rFonts w:ascii="Calibri" w:eastAsia="Calibri" w:hAnsi="Calibri" w:hint="cs"/>
            <w:color w:val="0000FF"/>
            <w:u w:val="single"/>
            <w:rtl/>
          </w:rPr>
          <w:t>ע</w:t>
        </w:r>
        <w:r w:rsidR="003E6F43" w:rsidRPr="003E6F43">
          <w:rPr>
            <w:rFonts w:ascii="Calibri" w:eastAsia="Calibri" w:hAnsi="Calibri"/>
            <w:color w:val="0000FF"/>
            <w:u w:val="single"/>
            <w:rtl/>
          </w:rPr>
          <w:t>"</w:t>
        </w:r>
        <w:r w:rsidR="003E6F43" w:rsidRPr="003E6F43">
          <w:rPr>
            <w:rFonts w:ascii="Calibri" w:eastAsia="Calibri" w:hAnsi="Calibri" w:hint="cs"/>
            <w:color w:val="0000FF"/>
            <w:u w:val="single"/>
            <w:rtl/>
          </w:rPr>
          <w:t>פ</w:t>
        </w:r>
        <w:r w:rsidR="003E6F43" w:rsidRPr="003E6F43">
          <w:rPr>
            <w:rFonts w:ascii="Calibri" w:eastAsia="Calibri" w:hAnsi="Calibri"/>
            <w:color w:val="0000FF"/>
            <w:u w:val="single"/>
            <w:rtl/>
          </w:rPr>
          <w:t xml:space="preserve"> 2033/21</w:t>
        </w:r>
      </w:hyperlink>
      <w:r w:rsidRPr="006F0EB4">
        <w:rPr>
          <w:rFonts w:ascii="Calibri" w:eastAsia="Calibri" w:hAnsi="Calibri" w:hint="cs"/>
          <w:rtl/>
        </w:rPr>
        <w:t xml:space="preserve"> </w:t>
      </w:r>
      <w:r w:rsidRPr="006F0EB4">
        <w:rPr>
          <w:rFonts w:ascii="Calibri" w:eastAsia="Calibri" w:hAnsi="Calibri" w:hint="cs"/>
          <w:b/>
          <w:bCs/>
          <w:rtl/>
        </w:rPr>
        <w:t xml:space="preserve">זועבי נ' מדינת ישראל </w:t>
      </w:r>
      <w:r w:rsidRPr="006F0EB4">
        <w:rPr>
          <w:rFonts w:ascii="Calibri" w:eastAsia="Calibri" w:hAnsi="Calibri" w:hint="cs"/>
          <w:rtl/>
        </w:rPr>
        <w:t xml:space="preserve">(30.8.21); </w:t>
      </w:r>
      <w:hyperlink r:id="rId22" w:history="1">
        <w:r w:rsidR="003E6F43" w:rsidRPr="003E6F43">
          <w:rPr>
            <w:rFonts w:ascii="Calibri" w:eastAsia="Calibri" w:hAnsi="Calibri" w:hint="cs"/>
            <w:color w:val="0000FF"/>
            <w:u w:val="single"/>
            <w:rtl/>
          </w:rPr>
          <w:t>ע</w:t>
        </w:r>
        <w:r w:rsidR="003E6F43" w:rsidRPr="003E6F43">
          <w:rPr>
            <w:rFonts w:ascii="Calibri" w:eastAsia="Calibri" w:hAnsi="Calibri"/>
            <w:color w:val="0000FF"/>
            <w:u w:val="single"/>
            <w:rtl/>
          </w:rPr>
          <w:t>"</w:t>
        </w:r>
        <w:r w:rsidR="003E6F43" w:rsidRPr="003E6F43">
          <w:rPr>
            <w:rFonts w:ascii="Calibri" w:eastAsia="Calibri" w:hAnsi="Calibri" w:hint="cs"/>
            <w:color w:val="0000FF"/>
            <w:u w:val="single"/>
            <w:rtl/>
          </w:rPr>
          <w:t>פ</w:t>
        </w:r>
        <w:r w:rsidR="003E6F43" w:rsidRPr="003E6F43">
          <w:rPr>
            <w:rFonts w:ascii="Calibri" w:eastAsia="Calibri" w:hAnsi="Calibri"/>
            <w:color w:val="0000FF"/>
            <w:u w:val="single"/>
            <w:rtl/>
          </w:rPr>
          <w:t xml:space="preserve"> 7473/20</w:t>
        </w:r>
      </w:hyperlink>
      <w:r w:rsidRPr="006F0EB4">
        <w:rPr>
          <w:rFonts w:ascii="Calibri" w:eastAsia="Calibri" w:hAnsi="Calibri" w:hint="cs"/>
          <w:rtl/>
        </w:rPr>
        <w:t xml:space="preserve"> </w:t>
      </w:r>
      <w:r w:rsidRPr="006F0EB4">
        <w:rPr>
          <w:rFonts w:ascii="Calibri" w:eastAsia="Calibri" w:hAnsi="Calibri" w:hint="cs"/>
          <w:b/>
          <w:bCs/>
          <w:rtl/>
        </w:rPr>
        <w:t xml:space="preserve">מדינת ישראל נ' מחאמיד </w:t>
      </w:r>
      <w:r w:rsidRPr="006F0EB4">
        <w:rPr>
          <w:rFonts w:ascii="Calibri" w:eastAsia="Calibri" w:hAnsi="Calibri" w:hint="cs"/>
          <w:rtl/>
        </w:rPr>
        <w:t xml:space="preserve">(29.6.21); </w:t>
      </w:r>
      <w:hyperlink r:id="rId23" w:history="1">
        <w:r w:rsidR="003E6F43" w:rsidRPr="003E6F43">
          <w:rPr>
            <w:rFonts w:ascii="Calibri" w:eastAsia="Calibri" w:hAnsi="Calibri" w:hint="cs"/>
            <w:color w:val="0000FF"/>
            <w:u w:val="single"/>
            <w:rtl/>
          </w:rPr>
          <w:t>ע</w:t>
        </w:r>
        <w:r w:rsidR="003E6F43" w:rsidRPr="003E6F43">
          <w:rPr>
            <w:rFonts w:ascii="Calibri" w:eastAsia="Calibri" w:hAnsi="Calibri"/>
            <w:color w:val="0000FF"/>
            <w:u w:val="single"/>
            <w:rtl/>
          </w:rPr>
          <w:t>"</w:t>
        </w:r>
        <w:r w:rsidR="003E6F43" w:rsidRPr="003E6F43">
          <w:rPr>
            <w:rFonts w:ascii="Calibri" w:eastAsia="Calibri" w:hAnsi="Calibri" w:hint="cs"/>
            <w:color w:val="0000FF"/>
            <w:u w:val="single"/>
            <w:rtl/>
          </w:rPr>
          <w:t>פ</w:t>
        </w:r>
        <w:r w:rsidR="003E6F43" w:rsidRPr="003E6F43">
          <w:rPr>
            <w:rFonts w:ascii="Calibri" w:eastAsia="Calibri" w:hAnsi="Calibri"/>
            <w:color w:val="0000FF"/>
            <w:u w:val="single"/>
            <w:rtl/>
          </w:rPr>
          <w:t xml:space="preserve"> 135/17</w:t>
        </w:r>
      </w:hyperlink>
      <w:r w:rsidRPr="006F0EB4">
        <w:rPr>
          <w:rFonts w:ascii="Calibri" w:eastAsia="Calibri" w:hAnsi="Calibri" w:hint="cs"/>
          <w:rtl/>
        </w:rPr>
        <w:t xml:space="preserve"> </w:t>
      </w:r>
      <w:r w:rsidRPr="006F0EB4">
        <w:rPr>
          <w:rFonts w:ascii="Calibri" w:eastAsia="Calibri" w:hAnsi="Calibri" w:hint="cs"/>
          <w:b/>
          <w:bCs/>
          <w:rtl/>
        </w:rPr>
        <w:t>מדינת ישראל נ' בסל</w:t>
      </w:r>
      <w:r w:rsidRPr="006F0EB4">
        <w:rPr>
          <w:rFonts w:ascii="Calibri" w:eastAsia="Calibri" w:hAnsi="Calibri" w:hint="cs"/>
          <w:rtl/>
        </w:rPr>
        <w:t xml:space="preserve"> (08.03.17); </w:t>
      </w:r>
      <w:hyperlink r:id="rId24" w:history="1">
        <w:r w:rsidR="003E6F43" w:rsidRPr="003E6F43">
          <w:rPr>
            <w:rFonts w:ascii="Calibri" w:eastAsia="Calibri" w:hAnsi="Calibri" w:hint="cs"/>
            <w:color w:val="0000FF"/>
            <w:u w:val="single"/>
            <w:rtl/>
          </w:rPr>
          <w:t>רע</w:t>
        </w:r>
        <w:r w:rsidR="003E6F43" w:rsidRPr="003E6F43">
          <w:rPr>
            <w:rFonts w:ascii="Calibri" w:eastAsia="Calibri" w:hAnsi="Calibri"/>
            <w:color w:val="0000FF"/>
            <w:u w:val="single"/>
            <w:rtl/>
          </w:rPr>
          <w:t>"</w:t>
        </w:r>
        <w:r w:rsidR="003E6F43" w:rsidRPr="003E6F43">
          <w:rPr>
            <w:rFonts w:ascii="Calibri" w:eastAsia="Calibri" w:hAnsi="Calibri" w:hint="cs"/>
            <w:color w:val="0000FF"/>
            <w:u w:val="single"/>
            <w:rtl/>
          </w:rPr>
          <w:t>פ</w:t>
        </w:r>
        <w:r w:rsidR="003E6F43" w:rsidRPr="003E6F43">
          <w:rPr>
            <w:rFonts w:ascii="Calibri" w:eastAsia="Calibri" w:hAnsi="Calibri"/>
            <w:color w:val="0000FF"/>
            <w:u w:val="single"/>
            <w:rtl/>
          </w:rPr>
          <w:t xml:space="preserve"> 4079/21</w:t>
        </w:r>
      </w:hyperlink>
      <w:r w:rsidRPr="006F0EB4">
        <w:rPr>
          <w:rFonts w:ascii="Calibri" w:eastAsia="Calibri" w:hAnsi="Calibri" w:hint="cs"/>
          <w:rtl/>
        </w:rPr>
        <w:t xml:space="preserve"> </w:t>
      </w:r>
      <w:r w:rsidRPr="006F0EB4">
        <w:rPr>
          <w:rFonts w:ascii="Calibri" w:eastAsia="Calibri" w:hAnsi="Calibri" w:hint="cs"/>
          <w:b/>
          <w:bCs/>
          <w:rtl/>
        </w:rPr>
        <w:t>פלוני נ' מדינת ישראל</w:t>
      </w:r>
      <w:r w:rsidRPr="006F0EB4">
        <w:rPr>
          <w:rFonts w:ascii="Calibri" w:eastAsia="Calibri" w:hAnsi="Calibri" w:hint="cs"/>
          <w:rtl/>
        </w:rPr>
        <w:t xml:space="preserve"> (20.6.21); </w:t>
      </w:r>
      <w:hyperlink r:id="rId25" w:history="1">
        <w:r w:rsidR="003E6F43" w:rsidRPr="003E6F43">
          <w:rPr>
            <w:rFonts w:ascii="Calibri" w:eastAsia="Calibri" w:hAnsi="Calibri" w:hint="cs"/>
            <w:color w:val="0000FF"/>
            <w:u w:val="single"/>
            <w:rtl/>
          </w:rPr>
          <w:t>ע</w:t>
        </w:r>
        <w:r w:rsidR="003E6F43" w:rsidRPr="003E6F43">
          <w:rPr>
            <w:rFonts w:ascii="Calibri" w:eastAsia="Calibri" w:hAnsi="Calibri"/>
            <w:color w:val="0000FF"/>
            <w:u w:val="single"/>
            <w:rtl/>
          </w:rPr>
          <w:t>"</w:t>
        </w:r>
        <w:r w:rsidR="003E6F43" w:rsidRPr="003E6F43">
          <w:rPr>
            <w:rFonts w:ascii="Calibri" w:eastAsia="Calibri" w:hAnsi="Calibri" w:hint="cs"/>
            <w:color w:val="0000FF"/>
            <w:u w:val="single"/>
            <w:rtl/>
          </w:rPr>
          <w:t>פ</w:t>
        </w:r>
        <w:r w:rsidR="003E6F43" w:rsidRPr="003E6F43">
          <w:rPr>
            <w:rFonts w:ascii="Calibri" w:eastAsia="Calibri" w:hAnsi="Calibri"/>
            <w:color w:val="0000FF"/>
            <w:u w:val="single"/>
            <w:rtl/>
          </w:rPr>
          <w:t xml:space="preserve"> 6277/20</w:t>
        </w:r>
      </w:hyperlink>
      <w:r w:rsidRPr="006F0EB4">
        <w:rPr>
          <w:rFonts w:ascii="Calibri" w:eastAsia="Calibri" w:hAnsi="Calibri" w:hint="cs"/>
          <w:rtl/>
        </w:rPr>
        <w:t xml:space="preserve"> </w:t>
      </w:r>
      <w:r w:rsidRPr="006F0EB4">
        <w:rPr>
          <w:rFonts w:ascii="Calibri" w:eastAsia="Calibri" w:hAnsi="Calibri" w:hint="cs"/>
          <w:b/>
          <w:bCs/>
          <w:rtl/>
        </w:rPr>
        <w:t>היילי נ' מדינת ישראל</w:t>
      </w:r>
      <w:r w:rsidRPr="006F0EB4">
        <w:rPr>
          <w:rFonts w:ascii="Calibri" w:eastAsia="Calibri" w:hAnsi="Calibri" w:hint="cs"/>
          <w:rtl/>
        </w:rPr>
        <w:t xml:space="preserve"> (24.3.21); </w:t>
      </w:r>
      <w:hyperlink r:id="rId26" w:history="1">
        <w:r w:rsidR="003E6F43" w:rsidRPr="003E6F43">
          <w:rPr>
            <w:rFonts w:ascii="Calibri" w:eastAsia="Calibri" w:hAnsi="Calibri" w:hint="cs"/>
            <w:color w:val="0000FF"/>
            <w:u w:val="single"/>
            <w:rtl/>
          </w:rPr>
          <w:t>ע</w:t>
        </w:r>
        <w:r w:rsidR="003E6F43" w:rsidRPr="003E6F43">
          <w:rPr>
            <w:rFonts w:ascii="Calibri" w:eastAsia="Calibri" w:hAnsi="Calibri"/>
            <w:color w:val="0000FF"/>
            <w:u w:val="single"/>
            <w:rtl/>
          </w:rPr>
          <w:t>"</w:t>
        </w:r>
        <w:r w:rsidR="003E6F43" w:rsidRPr="003E6F43">
          <w:rPr>
            <w:rFonts w:ascii="Calibri" w:eastAsia="Calibri" w:hAnsi="Calibri" w:hint="cs"/>
            <w:color w:val="0000FF"/>
            <w:u w:val="single"/>
            <w:rtl/>
          </w:rPr>
          <w:t>פ</w:t>
        </w:r>
        <w:r w:rsidR="003E6F43" w:rsidRPr="003E6F43">
          <w:rPr>
            <w:rFonts w:ascii="Calibri" w:eastAsia="Calibri" w:hAnsi="Calibri"/>
            <w:color w:val="0000FF"/>
            <w:u w:val="single"/>
            <w:rtl/>
          </w:rPr>
          <w:t xml:space="preserve"> 147/21</w:t>
        </w:r>
      </w:hyperlink>
      <w:r w:rsidRPr="006F0EB4">
        <w:rPr>
          <w:rFonts w:ascii="Calibri" w:eastAsia="Calibri" w:hAnsi="Calibri" w:hint="cs"/>
          <w:rtl/>
        </w:rPr>
        <w:t xml:space="preserve"> </w:t>
      </w:r>
      <w:r w:rsidRPr="006F0EB4">
        <w:rPr>
          <w:rFonts w:ascii="Calibri" w:eastAsia="Calibri" w:hAnsi="Calibri" w:hint="cs"/>
          <w:b/>
          <w:bCs/>
          <w:rtl/>
        </w:rPr>
        <w:t>מדינת ישראל נ' ביטון</w:t>
      </w:r>
      <w:r w:rsidRPr="006F0EB4">
        <w:rPr>
          <w:rFonts w:ascii="Calibri" w:eastAsia="Calibri" w:hAnsi="Calibri" w:hint="cs"/>
          <w:rtl/>
        </w:rPr>
        <w:t xml:space="preserve"> (14.2.21); </w:t>
      </w:r>
      <w:hyperlink r:id="rId27" w:history="1">
        <w:r w:rsidR="003E6F43" w:rsidRPr="003E6F43">
          <w:rPr>
            <w:rFonts w:ascii="Calibri" w:eastAsia="Calibri" w:hAnsi="Calibri" w:hint="cs"/>
            <w:color w:val="0000FF"/>
            <w:u w:val="single"/>
            <w:rtl/>
          </w:rPr>
          <w:t>ע</w:t>
        </w:r>
        <w:r w:rsidR="003E6F43" w:rsidRPr="003E6F43">
          <w:rPr>
            <w:rFonts w:ascii="Calibri" w:eastAsia="Calibri" w:hAnsi="Calibri"/>
            <w:color w:val="0000FF"/>
            <w:u w:val="single"/>
            <w:rtl/>
          </w:rPr>
          <w:t>"</w:t>
        </w:r>
        <w:r w:rsidR="003E6F43" w:rsidRPr="003E6F43">
          <w:rPr>
            <w:rFonts w:ascii="Calibri" w:eastAsia="Calibri" w:hAnsi="Calibri" w:hint="cs"/>
            <w:color w:val="0000FF"/>
            <w:u w:val="single"/>
            <w:rtl/>
          </w:rPr>
          <w:t>פ</w:t>
        </w:r>
        <w:r w:rsidR="003E6F43" w:rsidRPr="003E6F43">
          <w:rPr>
            <w:rFonts w:ascii="Calibri" w:eastAsia="Calibri" w:hAnsi="Calibri"/>
            <w:color w:val="0000FF"/>
            <w:u w:val="single"/>
            <w:rtl/>
          </w:rPr>
          <w:t xml:space="preserve"> 2564/19</w:t>
        </w:r>
      </w:hyperlink>
      <w:r w:rsidRPr="006F0EB4">
        <w:rPr>
          <w:rFonts w:ascii="Calibri" w:eastAsia="Calibri" w:hAnsi="Calibri" w:hint="cs"/>
          <w:rtl/>
        </w:rPr>
        <w:t xml:space="preserve"> </w:t>
      </w:r>
      <w:r w:rsidRPr="006F0EB4">
        <w:rPr>
          <w:rFonts w:ascii="Calibri" w:eastAsia="Calibri" w:hAnsi="Calibri" w:hint="cs"/>
          <w:b/>
          <w:bCs/>
          <w:rtl/>
        </w:rPr>
        <w:t>אזברגה נ' מדינת ישראל</w:t>
      </w:r>
      <w:r w:rsidRPr="006F0EB4">
        <w:rPr>
          <w:rFonts w:ascii="Calibri" w:eastAsia="Calibri" w:hAnsi="Calibri" w:hint="cs"/>
          <w:rtl/>
        </w:rPr>
        <w:t xml:space="preserve"> (18.7.19).</w:t>
      </w:r>
    </w:p>
    <w:p w14:paraId="449CFF34"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55F7372B"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17.</w:t>
      </w:r>
      <w:r w:rsidRPr="006F0EB4">
        <w:rPr>
          <w:rFonts w:ascii="David" w:eastAsia="Calibri" w:hAnsi="David" w:hint="cs"/>
          <w:rtl/>
        </w:rPr>
        <w:tab/>
        <w:t xml:space="preserve">נוכח ממדי תופעת העבירות בנשק, ניכרת מזה שנים מגמה של החמרה בענישה המוטלת בגין עבירות אלו, תוך שניתן משקל משמעותי לשיקולי ההרתעה בעת גזירת העונש (ראו לדוגמה: </w:t>
      </w:r>
      <w:hyperlink r:id="rId28" w:history="1">
        <w:r w:rsidR="003E6F43" w:rsidRPr="003E6F43">
          <w:rPr>
            <w:rFonts w:ascii="David" w:eastAsia="Calibri" w:hAnsi="David"/>
            <w:color w:val="0000FF"/>
            <w:u w:val="single"/>
            <w:rtl/>
          </w:rPr>
          <w:t>ע"פ 5807/20</w:t>
        </w:r>
      </w:hyperlink>
      <w:r w:rsidRPr="006F0EB4">
        <w:rPr>
          <w:rFonts w:ascii="David" w:eastAsia="Calibri" w:hAnsi="David" w:hint="cs"/>
          <w:rtl/>
        </w:rPr>
        <w:t xml:space="preserve"> </w:t>
      </w:r>
      <w:r w:rsidRPr="006F0EB4">
        <w:rPr>
          <w:rFonts w:ascii="David" w:eastAsia="Calibri" w:hAnsi="David" w:hint="cs"/>
          <w:b/>
          <w:bCs/>
          <w:rtl/>
        </w:rPr>
        <w:t xml:space="preserve">שיבלי נ' מדינת ישראל </w:t>
      </w:r>
      <w:r w:rsidRPr="006F0EB4">
        <w:rPr>
          <w:rFonts w:ascii="David" w:eastAsia="Calibri" w:hAnsi="David" w:hint="cs"/>
          <w:rtl/>
        </w:rPr>
        <w:t xml:space="preserve">(30.12.2020); </w:t>
      </w:r>
      <w:hyperlink r:id="rId29" w:history="1">
        <w:r w:rsidR="003E6F43" w:rsidRPr="003E6F43">
          <w:rPr>
            <w:rFonts w:ascii="David" w:eastAsia="Calibri" w:hAnsi="David"/>
            <w:color w:val="0000FF"/>
            <w:u w:val="single"/>
            <w:rtl/>
          </w:rPr>
          <w:t>ע"פ 1944/20</w:t>
        </w:r>
      </w:hyperlink>
      <w:r w:rsidRPr="006F0EB4">
        <w:rPr>
          <w:rFonts w:ascii="David" w:eastAsia="Calibri" w:hAnsi="David" w:hint="cs"/>
          <w:rtl/>
        </w:rPr>
        <w:t xml:space="preserve"> </w:t>
      </w:r>
      <w:r w:rsidRPr="006F0EB4">
        <w:rPr>
          <w:rFonts w:ascii="David" w:eastAsia="Calibri" w:hAnsi="David" w:hint="cs"/>
          <w:b/>
          <w:bCs/>
          <w:rtl/>
        </w:rPr>
        <w:t xml:space="preserve">מדינת ישראל נ' אמארה </w:t>
      </w:r>
      <w:r w:rsidRPr="006F0EB4">
        <w:rPr>
          <w:rFonts w:ascii="David" w:eastAsia="Calibri" w:hAnsi="David" w:hint="cs"/>
          <w:rtl/>
        </w:rPr>
        <w:t>(2.9.2020)).</w:t>
      </w:r>
    </w:p>
    <w:p w14:paraId="080C5F31"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5DAC83DC" w14:textId="77777777" w:rsidR="007E4B67" w:rsidRPr="006F0EB4" w:rsidRDefault="007E4B67" w:rsidP="007E4B67">
      <w:pPr>
        <w:tabs>
          <w:tab w:val="left" w:pos="567"/>
          <w:tab w:val="left" w:pos="1134"/>
          <w:tab w:val="left" w:pos="1701"/>
        </w:tabs>
        <w:spacing w:line="360" w:lineRule="auto"/>
        <w:ind w:left="567" w:hanging="567"/>
        <w:jc w:val="both"/>
        <w:rPr>
          <w:rFonts w:ascii="Calibri" w:eastAsia="Calibri" w:hAnsi="Calibri"/>
          <w:rtl/>
        </w:rPr>
      </w:pPr>
      <w:r w:rsidRPr="006F0EB4">
        <w:rPr>
          <w:rFonts w:ascii="David" w:eastAsia="Calibri" w:hAnsi="David" w:hint="cs"/>
          <w:rtl/>
        </w:rPr>
        <w:t>18.</w:t>
      </w:r>
      <w:r w:rsidRPr="006F0EB4">
        <w:rPr>
          <w:rFonts w:ascii="David" w:eastAsia="Calibri" w:hAnsi="David" w:hint="cs"/>
          <w:rtl/>
        </w:rPr>
        <w:tab/>
      </w:r>
      <w:r w:rsidRPr="006F0EB4">
        <w:rPr>
          <w:rFonts w:ascii="Calibri" w:eastAsia="Calibri" w:hAnsi="Calibri" w:hint="cs"/>
          <w:rtl/>
        </w:rPr>
        <w:t xml:space="preserve">זאת ועוד, אף המחוקק נרתם למאבק לשם מיגורה של תופעת הירי, וזאת על ידי תיקון </w:t>
      </w:r>
      <w:hyperlink r:id="rId30" w:history="1">
        <w:r w:rsidR="003E6F43" w:rsidRPr="003E6F43">
          <w:rPr>
            <w:rFonts w:ascii="Calibri" w:eastAsia="Calibri" w:hAnsi="Calibri" w:hint="cs"/>
            <w:color w:val="0000FF"/>
            <w:u w:val="single"/>
            <w:rtl/>
          </w:rPr>
          <w:t>חוק</w:t>
        </w:r>
        <w:r w:rsidR="003E6F43" w:rsidRPr="003E6F43">
          <w:rPr>
            <w:rFonts w:ascii="Calibri" w:eastAsia="Calibri" w:hAnsi="Calibri"/>
            <w:color w:val="0000FF"/>
            <w:u w:val="single"/>
            <w:rtl/>
          </w:rPr>
          <w:t xml:space="preserve"> </w:t>
        </w:r>
        <w:r w:rsidR="003E6F43" w:rsidRPr="003E6F43">
          <w:rPr>
            <w:rFonts w:ascii="Calibri" w:eastAsia="Calibri" w:hAnsi="Calibri" w:hint="cs"/>
            <w:color w:val="0000FF"/>
            <w:u w:val="single"/>
            <w:rtl/>
          </w:rPr>
          <w:t>העונשין</w:t>
        </w:r>
      </w:hyperlink>
      <w:r w:rsidRPr="006F0EB4">
        <w:rPr>
          <w:rFonts w:ascii="Calibri" w:eastAsia="Calibri" w:hAnsi="Calibri" w:hint="cs"/>
          <w:rtl/>
        </w:rPr>
        <w:t xml:space="preserve"> בשנת 2018 באופן שהחמיר את העונש הקבוע בצדה של עבירת הירי באזור מגורים (תיקון 132) (ירי מנשק חם) תשע"ח-2018. הרקע לתיקון החוק, כפי שניתן ללמוד מדברי ההסבר להצעת החוק, הוא הרצון ליתן ביטוי עונשי לחומרה הגלומה במעשה ירי שלא כדין המסכן חיי אדם. </w:t>
      </w:r>
    </w:p>
    <w:p w14:paraId="3E4B7D71"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19.</w:t>
      </w:r>
      <w:r w:rsidRPr="006F0EB4">
        <w:rPr>
          <w:rFonts w:ascii="David" w:eastAsia="Calibri" w:hAnsi="David" w:hint="cs"/>
          <w:rtl/>
        </w:rPr>
        <w:tab/>
        <w:t xml:space="preserve">על אף מדיניות ההחמרה בענישה וחרף תיקוני החקיקה שנעשו בניסיון לבלום את ממדי העבירות בנשק, ממשיכים עברייני הנשק להשתולל ברחובות ולזרוע פורענות וקטל, תוך הטלת אימה על תושבים המבקשים לחיות את חייהם בשלווה. הדברים חמורים במיוחד בחברה הערבית, בה ממדי הפשיעה הנעשית תוך שימוש בנשק הגיעו לממדים בלתי נתפסים. למגינת הלב, עבירות אלו הביאו לגדיעת חייהם של עשרות אזרחים בשנה האחרונה, כמעט מעשה של יום ביומו. מצב קיצוני זה מחייב שילוב ידיים של כלל הגורמים הרלוונטיים על מנת למגר את תופעת העבריינות בנשק ולהשיב את השקט והביטחון לאזרחים. תרומתם של בתי המשפט למלחמה זו היא בהחמרת הענישה ונקיטת יד קשה כלפי כל מי שמהין לאחוז בידו נשק באופן בלתי חוקי, לא כל שכן מי שמעז לעשות בו שימוש בפועל, גם אם מדובר במי שנעדר עבר פלילי ומי שנחשב עד לאותו אירוע אדם נורמטיבי מן היישוב. הימים הם ימי חירום, המחייבים העדפת האינטרס הציבורי על פני שיקולים אישיים כאלה ואחרים של עברייני הנשק. </w:t>
      </w:r>
    </w:p>
    <w:p w14:paraId="71182ED1"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47C8EECD"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20.</w:t>
      </w:r>
      <w:r w:rsidRPr="006F0EB4">
        <w:rPr>
          <w:rFonts w:ascii="David" w:eastAsia="Calibri" w:hAnsi="David" w:hint="cs"/>
          <w:rtl/>
        </w:rPr>
        <w:tab/>
        <w:t>בבחינת הנסיבות הקשורות בביצוע העבירות בענייננו נתתי דעתי לעובדה שהירי נעשה באזור מגורים, כאשר בקרבת הנאשם עמדו בני משפחתו, שעלולים היו להיפגע על נקלה מאותו ירי. עוד נתתי דעתי לכך שמעובדות כתב האישום עולה כי לאחר שהנאשם ביצע את הירי לראשונה, הוא נכנס אל הבית ויצא כדקה לאחר מכן וביצע ירי פעם נוספת. לאחר שהוריו ואחיו אחזו בו כדי למנוע ממנו להמשיך לירות, השתחרר הנאשם מאחיזתם ושב וירה מהאקדח בפעם השלישית.</w:t>
      </w:r>
    </w:p>
    <w:p w14:paraId="027E1774"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3A565C9C"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ab/>
        <w:t xml:space="preserve">הטענה לפיה קדם למעשה הירי של הנאשם ירי שכוון כביכול לביתו אין בה כדי להקהות מחומרת מעשיו. ראשית, ייאמר כי לא הוצג בדל ראיה לכך שאכן נעשה ירי לעבר הבית. גם אחיו של הנאשם, שהעיד במסגרת הראיות לעונש, לא טען כי נעשה ירי קודם לביצוע העבירות מושא הדיון. העובדה שהנאשם החזיק בנשק, מחסנית ותחמושת אינה קשורה לירי שנטען כי בוצע, והיא חמורה בפני עצמה. זמינותו של אותו נשק שהוחזק בידיו באופן בלתי חוקי אינה מתיישבת עם הטענה כי מדובר באדם נורמטיבי. זאת ועוד, גם אם הייתי מקבל את טענתו של הנאשם כי הירי שבוצע על ידו נעשה בתגובה לירי שנשמע בקרב הבית, לא ברור מדוע נדרש הנאשם לירות שלוש פעמים, כאשר לאחר הירי הראשון הוא נכנס לביתו ויצא מיד לאחר מכן וירה פעם נוספת. </w:t>
      </w:r>
    </w:p>
    <w:p w14:paraId="1E2BB19B"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0D494521"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ab/>
        <w:t>מהירי שבוצע על ידי הנאשם לא נגרם אמנם נזק כלשהו. יחד עם זאת, בשים לב לכך שמדובר בירי שנעשה באזור מגורים, כאשר בצמוד לנאשם מצויים הוריו ואחיו, הרי שפוטנציאל הנזק שעלול היה להיגרם הוא עצום. רק בנס לא נגרמו פגיעות בגוף או בנפש למי מהנוכחים בזירת האירוע.</w:t>
      </w:r>
    </w:p>
    <w:p w14:paraId="4EEDB0D8"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0FA62E9B"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21.</w:t>
      </w:r>
      <w:r w:rsidRPr="006F0EB4">
        <w:rPr>
          <w:rFonts w:ascii="David" w:eastAsia="Calibri" w:hAnsi="David" w:hint="cs"/>
          <w:rtl/>
        </w:rPr>
        <w:tab/>
        <w:t>הסנגור טען כי כלי הנשק בו נעשה שימוש הוא אקדח ולא רובה, שעוצמתו רבה בהרבה. אכן, מדובר בנשק שפוטנציאל הנזק הטמון בו קטן יותר מרובה. יחד עם זאת, יש ליתן את הדעת לכך שהאקדח בו עשה הנאשם שימוש לא נתפס עד היום ולא נמסר לידי המשטרה.</w:t>
      </w:r>
    </w:p>
    <w:p w14:paraId="7556A581"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181844B8" w14:textId="77777777" w:rsidR="007E4B67" w:rsidRPr="006F0EB4" w:rsidRDefault="007E4B67" w:rsidP="007E4B67">
      <w:pPr>
        <w:tabs>
          <w:tab w:val="left" w:pos="567"/>
          <w:tab w:val="left" w:pos="1134"/>
          <w:tab w:val="left" w:pos="1701"/>
        </w:tabs>
        <w:spacing w:line="360" w:lineRule="auto"/>
        <w:ind w:left="567" w:hanging="567"/>
        <w:jc w:val="both"/>
        <w:rPr>
          <w:rFonts w:ascii="Calibri" w:eastAsia="Calibri" w:hAnsi="Calibri"/>
          <w:rtl/>
        </w:rPr>
      </w:pPr>
      <w:r w:rsidRPr="006F0EB4">
        <w:rPr>
          <w:rFonts w:ascii="David" w:eastAsia="Calibri" w:hAnsi="David" w:hint="cs"/>
          <w:rtl/>
        </w:rPr>
        <w:t>22.</w:t>
      </w:r>
      <w:r w:rsidRPr="006F0EB4">
        <w:rPr>
          <w:rFonts w:ascii="David" w:eastAsia="Calibri" w:hAnsi="David" w:hint="cs"/>
          <w:rtl/>
        </w:rPr>
        <w:tab/>
      </w:r>
      <w:r w:rsidRPr="006F0EB4">
        <w:rPr>
          <w:rFonts w:ascii="Calibri" w:eastAsia="Calibri" w:hAnsi="Calibri" w:hint="cs"/>
          <w:rtl/>
        </w:rPr>
        <w:t>בחינת מדיניות הענישה הנוהגת לגבי עבירות של ירי באזור מגורים מלמדת כי ענישה זו כוללת עונשי מאסר משמעותיים. כך למשל ב</w:t>
      </w:r>
      <w:hyperlink r:id="rId31" w:history="1">
        <w:r w:rsidR="003E6F43" w:rsidRPr="003E6F43">
          <w:rPr>
            <w:rFonts w:ascii="Calibri" w:eastAsia="Calibri" w:hAnsi="Calibri" w:hint="cs"/>
            <w:color w:val="0000FF"/>
            <w:u w:val="single"/>
            <w:rtl/>
          </w:rPr>
          <w:t>ע</w:t>
        </w:r>
        <w:r w:rsidR="003E6F43" w:rsidRPr="003E6F43">
          <w:rPr>
            <w:rFonts w:ascii="Calibri" w:eastAsia="Calibri" w:hAnsi="Calibri"/>
            <w:color w:val="0000FF"/>
            <w:u w:val="single"/>
            <w:rtl/>
          </w:rPr>
          <w:t>"</w:t>
        </w:r>
        <w:r w:rsidR="003E6F43" w:rsidRPr="003E6F43">
          <w:rPr>
            <w:rFonts w:ascii="Calibri" w:eastAsia="Calibri" w:hAnsi="Calibri" w:hint="cs"/>
            <w:color w:val="0000FF"/>
            <w:u w:val="single"/>
            <w:rtl/>
          </w:rPr>
          <w:t>פ</w:t>
        </w:r>
        <w:r w:rsidR="003E6F43" w:rsidRPr="003E6F43">
          <w:rPr>
            <w:rFonts w:ascii="Calibri" w:eastAsia="Calibri" w:hAnsi="Calibri"/>
            <w:color w:val="0000FF"/>
            <w:u w:val="single"/>
            <w:rtl/>
          </w:rPr>
          <w:t xml:space="preserve"> 1427/21</w:t>
        </w:r>
      </w:hyperlink>
      <w:r w:rsidRPr="006F0EB4">
        <w:rPr>
          <w:rFonts w:ascii="Calibri" w:eastAsia="Calibri" w:hAnsi="Calibri" w:hint="cs"/>
          <w:rtl/>
        </w:rPr>
        <w:t xml:space="preserve"> </w:t>
      </w:r>
      <w:r w:rsidRPr="006F0EB4">
        <w:rPr>
          <w:rFonts w:ascii="Calibri" w:eastAsia="Calibri" w:hAnsi="Calibri" w:hint="cs"/>
          <w:b/>
          <w:bCs/>
          <w:rtl/>
        </w:rPr>
        <w:t>שוויקי נ' מדינת ישראל</w:t>
      </w:r>
      <w:r w:rsidRPr="006F0EB4">
        <w:rPr>
          <w:rFonts w:ascii="Calibri" w:eastAsia="Calibri" w:hAnsi="Calibri" w:hint="cs"/>
          <w:rtl/>
        </w:rPr>
        <w:t xml:space="preserve"> (26.5.2021) נדחה ערעורו של מי שהורשע בנשיאת נשק וביצוע ירי מנשק חם ונדון ל-37 חודשי מאסר בפועל. באותו מקרה דובר בנאשם שהגיע למקום בו התקהלו עשרות אנשים, נעמד סמוך להתקהלות וירה באוויר לפחות 17 כדורים. בית המשפט העליון דחה כאמור את הערעור על חומרת העונש בקבעו כי מדובר בעבירות נשק שביחס אליהן קיימת מגמת החמרה בפסיקה ולא בכדי. מדובר במעשים חמורים שפוטנציאל הנזק הגלום בהם עצום, ואך מזל הוא שהאירוע לא הסתיים בפגיעה בנפש. יצוין כי לאותו נאשם היה עבר מכביד, גם בעבירות אלימות, והוא ריצה מספר מאסרים בעבר.</w:t>
      </w:r>
    </w:p>
    <w:p w14:paraId="76110E3F" w14:textId="77777777" w:rsidR="007E4B67" w:rsidRPr="006F0EB4" w:rsidRDefault="007E4B67" w:rsidP="007E4B67">
      <w:pPr>
        <w:tabs>
          <w:tab w:val="left" w:pos="567"/>
          <w:tab w:val="left" w:pos="1134"/>
          <w:tab w:val="left" w:pos="1701"/>
        </w:tabs>
        <w:spacing w:line="360" w:lineRule="auto"/>
        <w:ind w:left="567" w:hanging="567"/>
        <w:jc w:val="both"/>
        <w:rPr>
          <w:rFonts w:ascii="Calibri" w:eastAsia="Calibri" w:hAnsi="Calibri"/>
        </w:rPr>
      </w:pPr>
    </w:p>
    <w:p w14:paraId="075C8B10" w14:textId="77777777" w:rsidR="007E4B67" w:rsidRPr="006F0EB4" w:rsidRDefault="007E4B67" w:rsidP="007E4B67">
      <w:pPr>
        <w:tabs>
          <w:tab w:val="left" w:pos="567"/>
          <w:tab w:val="left" w:pos="1134"/>
          <w:tab w:val="left" w:pos="1701"/>
        </w:tabs>
        <w:spacing w:line="360" w:lineRule="auto"/>
        <w:ind w:left="567" w:hanging="567"/>
        <w:jc w:val="both"/>
        <w:rPr>
          <w:rFonts w:ascii="Calibri" w:eastAsia="Calibri" w:hAnsi="Calibri"/>
          <w:rtl/>
        </w:rPr>
      </w:pPr>
      <w:r w:rsidRPr="006F0EB4">
        <w:rPr>
          <w:rFonts w:ascii="Calibri" w:eastAsia="Calibri" w:hAnsi="Calibri" w:hint="cs"/>
          <w:rtl/>
        </w:rPr>
        <w:tab/>
        <w:t>ב</w:t>
      </w:r>
      <w:hyperlink r:id="rId32" w:history="1">
        <w:r w:rsidR="003E6F43" w:rsidRPr="003E6F43">
          <w:rPr>
            <w:rFonts w:ascii="Calibri" w:eastAsia="Calibri" w:hAnsi="Calibri" w:hint="cs"/>
            <w:color w:val="0000FF"/>
            <w:u w:val="single"/>
            <w:rtl/>
          </w:rPr>
          <w:t>ע</w:t>
        </w:r>
        <w:r w:rsidR="003E6F43" w:rsidRPr="003E6F43">
          <w:rPr>
            <w:rFonts w:ascii="Calibri" w:eastAsia="Calibri" w:hAnsi="Calibri"/>
            <w:color w:val="0000FF"/>
            <w:u w:val="single"/>
            <w:rtl/>
          </w:rPr>
          <w:t>"</w:t>
        </w:r>
        <w:r w:rsidR="003E6F43" w:rsidRPr="003E6F43">
          <w:rPr>
            <w:rFonts w:ascii="Calibri" w:eastAsia="Calibri" w:hAnsi="Calibri" w:hint="cs"/>
            <w:color w:val="0000FF"/>
            <w:u w:val="single"/>
            <w:rtl/>
          </w:rPr>
          <w:t>פ</w:t>
        </w:r>
        <w:r w:rsidR="003E6F43" w:rsidRPr="003E6F43">
          <w:rPr>
            <w:rFonts w:ascii="Calibri" w:eastAsia="Calibri" w:hAnsi="Calibri"/>
            <w:color w:val="0000FF"/>
            <w:u w:val="single"/>
            <w:rtl/>
          </w:rPr>
          <w:t xml:space="preserve"> 3169/21</w:t>
        </w:r>
      </w:hyperlink>
      <w:r w:rsidRPr="006F0EB4">
        <w:rPr>
          <w:rFonts w:ascii="Calibri" w:eastAsia="Calibri" w:hAnsi="Calibri" w:hint="cs"/>
          <w:rtl/>
        </w:rPr>
        <w:t xml:space="preserve"> </w:t>
      </w:r>
      <w:r w:rsidRPr="006F0EB4">
        <w:rPr>
          <w:rFonts w:ascii="Calibri" w:eastAsia="Calibri" w:hAnsi="Calibri" w:hint="cs"/>
          <w:b/>
          <w:bCs/>
          <w:rtl/>
        </w:rPr>
        <w:t xml:space="preserve">מדינת ישראל נ' אגבאריה ואח' </w:t>
      </w:r>
      <w:r w:rsidRPr="006F0EB4">
        <w:rPr>
          <w:rFonts w:ascii="Calibri" w:eastAsia="Calibri" w:hAnsi="Calibri" w:hint="cs"/>
          <w:rtl/>
        </w:rPr>
        <w:t>(21.6.2021) התקבל ערעורה של המדינה על קולת העונש שהוטל על מי שהורשעו בעבירה של החזקה, נשיאה והובלה של נשק, ירי באזור מגורים, איומים, שינוי זהות של רכב, הפרעה לשוטר בשעת מילוי תפקידו, היזק בזדון ושיבוש מהלכי משפט. יצוין בתמצית כי באותו מקרה מדובר בשני נאשמים שלמדו במכללה וקשרו קשר לירות בנשק בסמוך לביתו של מנהל המכללה בה למדו. השניים השליכו ראש כבש לחצר ביתו של המנהל וירו באוויר בקרבת ביתו 37 קליעים באוויר ובהמשך 11 קליעים נוספים. בית המשפט העליון התערב בעונש שנגזר על הנאשמים באותו מקרה שעמד על 24 חודשי מאסר בפועל והעמידו על 36 חודשים.</w:t>
      </w:r>
    </w:p>
    <w:p w14:paraId="044FA82D" w14:textId="77777777" w:rsidR="007E4B67" w:rsidRPr="006F0EB4" w:rsidRDefault="007E4B67" w:rsidP="007E4B67">
      <w:pPr>
        <w:tabs>
          <w:tab w:val="left" w:pos="567"/>
          <w:tab w:val="left" w:pos="1134"/>
          <w:tab w:val="left" w:pos="1701"/>
        </w:tabs>
        <w:spacing w:line="360" w:lineRule="auto"/>
        <w:ind w:left="567" w:hanging="567"/>
        <w:jc w:val="both"/>
        <w:rPr>
          <w:rFonts w:ascii="Calibri" w:eastAsia="Calibri" w:hAnsi="Calibri"/>
          <w:rtl/>
        </w:rPr>
      </w:pPr>
    </w:p>
    <w:p w14:paraId="7EF38522" w14:textId="77777777" w:rsidR="007E4B67" w:rsidRPr="006F0EB4" w:rsidRDefault="007E4B67" w:rsidP="007E4B67">
      <w:pPr>
        <w:tabs>
          <w:tab w:val="left" w:pos="567"/>
          <w:tab w:val="left" w:pos="1134"/>
          <w:tab w:val="left" w:pos="1701"/>
        </w:tabs>
        <w:spacing w:line="360" w:lineRule="auto"/>
        <w:ind w:left="567" w:hanging="567"/>
        <w:jc w:val="both"/>
        <w:rPr>
          <w:rFonts w:ascii="Calibri" w:eastAsia="Calibri" w:hAnsi="Calibri"/>
          <w:rtl/>
        </w:rPr>
      </w:pPr>
      <w:r w:rsidRPr="006F0EB4">
        <w:rPr>
          <w:rFonts w:ascii="Calibri" w:eastAsia="Calibri" w:hAnsi="Calibri" w:hint="cs"/>
          <w:rtl/>
        </w:rPr>
        <w:tab/>
        <w:t>ב</w:t>
      </w:r>
      <w:hyperlink r:id="rId33" w:history="1">
        <w:r w:rsidR="003E6F43" w:rsidRPr="003E6F43">
          <w:rPr>
            <w:rFonts w:ascii="Calibri" w:eastAsia="Calibri" w:hAnsi="Calibri" w:hint="cs"/>
            <w:color w:val="0000FF"/>
            <w:u w:val="single"/>
            <w:rtl/>
          </w:rPr>
          <w:t>ע</w:t>
        </w:r>
        <w:r w:rsidR="003E6F43" w:rsidRPr="003E6F43">
          <w:rPr>
            <w:rFonts w:ascii="Calibri" w:eastAsia="Calibri" w:hAnsi="Calibri"/>
            <w:color w:val="0000FF"/>
            <w:u w:val="single"/>
            <w:rtl/>
          </w:rPr>
          <w:t>"</w:t>
        </w:r>
        <w:r w:rsidR="003E6F43" w:rsidRPr="003E6F43">
          <w:rPr>
            <w:rFonts w:ascii="Calibri" w:eastAsia="Calibri" w:hAnsi="Calibri" w:hint="cs"/>
            <w:color w:val="0000FF"/>
            <w:u w:val="single"/>
            <w:rtl/>
          </w:rPr>
          <w:t>פ</w:t>
        </w:r>
        <w:r w:rsidR="003E6F43" w:rsidRPr="003E6F43">
          <w:rPr>
            <w:rFonts w:ascii="Calibri" w:eastAsia="Calibri" w:hAnsi="Calibri"/>
            <w:color w:val="0000FF"/>
            <w:u w:val="single"/>
            <w:rtl/>
          </w:rPr>
          <w:t xml:space="preserve"> 1509/20</w:t>
        </w:r>
      </w:hyperlink>
      <w:r w:rsidRPr="006F0EB4">
        <w:rPr>
          <w:rFonts w:ascii="Calibri" w:eastAsia="Calibri" w:hAnsi="Calibri" w:hint="cs"/>
          <w:rtl/>
        </w:rPr>
        <w:t xml:space="preserve"> </w:t>
      </w:r>
      <w:r w:rsidRPr="006F0EB4">
        <w:rPr>
          <w:rFonts w:ascii="Calibri" w:eastAsia="Calibri" w:hAnsi="Calibri" w:hint="cs"/>
          <w:b/>
          <w:bCs/>
          <w:rtl/>
        </w:rPr>
        <w:t>מדינת ישראל נ' נבארי</w:t>
      </w:r>
      <w:r w:rsidRPr="006F0EB4">
        <w:rPr>
          <w:rFonts w:ascii="Calibri" w:eastAsia="Calibri" w:hAnsi="Calibri" w:hint="cs"/>
          <w:rtl/>
        </w:rPr>
        <w:t xml:space="preserve"> (2.7.2020) נדון עניינו של מי שהורשע בעבירה של נשיאה והובלה של נשק וירי מנשק חם באזור מגורים, ואשר נדון על ידי בית המשפט המחוזי ל-27 חודשי מאסר בפועל. באותו מקרה מדובר במי שנהג ברכב בעיר לוד כשברשותו תת מקלע מאולתר מסוג קרלו ובו מחסנית טעונה בכדורים. מסיבה בלתי ידועה ירה הנאשם שני כדורים באזור מגורים ועזב את המקום ברכבו. בית המשפט העליון קיבל את הערעור על קולת העונש והעמיד את עונשו של הנאשם על 36 חודשי מאסר בפועל, תוך שהפנה לצורך במיגור התופעה של שימוש בנשק בלתי חוקי. יצוין כי לחובת אותו נאשם עמד עבר פלילי הכולל ארבע הרשעות בעבירות אלימות. </w:t>
      </w:r>
    </w:p>
    <w:p w14:paraId="5F4771CB"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52E5701B"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23.</w:t>
      </w:r>
      <w:r w:rsidRPr="006F0EB4">
        <w:rPr>
          <w:rFonts w:ascii="David" w:eastAsia="Calibri" w:hAnsi="David" w:hint="cs"/>
          <w:rtl/>
        </w:rPr>
        <w:tab/>
        <w:t>ב"כ הנאשם הפנה לגזר הדין שניתן על ידי ב</w:t>
      </w:r>
      <w:hyperlink r:id="rId34" w:history="1">
        <w:r w:rsidR="003E6F43" w:rsidRPr="003E6F43">
          <w:rPr>
            <w:rFonts w:ascii="David" w:eastAsia="Calibri" w:hAnsi="David"/>
            <w:color w:val="0000FF"/>
            <w:u w:val="single"/>
            <w:rtl/>
          </w:rPr>
          <w:t>ת"פ 1390-04-22</w:t>
        </w:r>
      </w:hyperlink>
      <w:r w:rsidRPr="006F0EB4">
        <w:rPr>
          <w:rFonts w:ascii="David" w:eastAsia="Calibri" w:hAnsi="David" w:hint="cs"/>
          <w:rtl/>
        </w:rPr>
        <w:t xml:space="preserve"> </w:t>
      </w:r>
      <w:r w:rsidRPr="006F0EB4">
        <w:rPr>
          <w:rFonts w:ascii="David" w:eastAsia="Calibri" w:hAnsi="David" w:hint="cs"/>
          <w:b/>
          <w:bCs/>
          <w:rtl/>
        </w:rPr>
        <w:t xml:space="preserve">מדינת ישראל נ' ואיל עזאם </w:t>
      </w:r>
      <w:r w:rsidRPr="006F0EB4">
        <w:rPr>
          <w:rFonts w:ascii="David" w:eastAsia="Calibri" w:hAnsi="David" w:hint="cs"/>
          <w:rtl/>
        </w:rPr>
        <w:t xml:space="preserve">(18.4.2023), שם נגזרו על הנאשם 25 חודשי מאסר לריצוי בפועל. אלא שבאותו מקרה לא מדובר היה בירי באזור מגורים, אלא בירי מנשק חם לפי </w:t>
      </w:r>
      <w:hyperlink r:id="rId35" w:history="1">
        <w:r w:rsidR="007579D0" w:rsidRPr="007579D0">
          <w:rPr>
            <w:rStyle w:val="Hyperlink"/>
            <w:rFonts w:ascii="David" w:eastAsia="Calibri" w:hAnsi="David" w:hint="eastAsia"/>
            <w:rtl/>
          </w:rPr>
          <w:t>סעיף</w:t>
        </w:r>
        <w:r w:rsidR="007579D0" w:rsidRPr="007579D0">
          <w:rPr>
            <w:rStyle w:val="Hyperlink"/>
            <w:rFonts w:ascii="David" w:eastAsia="Calibri" w:hAnsi="David"/>
            <w:rtl/>
          </w:rPr>
          <w:t xml:space="preserve"> 340א(א)</w:t>
        </w:r>
      </w:hyperlink>
      <w:r w:rsidRPr="006F0EB4">
        <w:rPr>
          <w:rFonts w:ascii="David" w:eastAsia="Calibri" w:hAnsi="David" w:hint="cs"/>
          <w:rtl/>
        </w:rPr>
        <w:t xml:space="preserve"> ל</w:t>
      </w:r>
      <w:hyperlink r:id="rId36" w:history="1">
        <w:r w:rsidR="003E6F43" w:rsidRPr="003E6F43">
          <w:rPr>
            <w:rFonts w:ascii="David" w:eastAsia="Calibri" w:hAnsi="David"/>
            <w:color w:val="0000FF"/>
            <w:u w:val="single"/>
            <w:rtl/>
          </w:rPr>
          <w:t>חוק העונשין</w:t>
        </w:r>
      </w:hyperlink>
      <w:r w:rsidRPr="006F0EB4">
        <w:rPr>
          <w:rFonts w:ascii="David" w:eastAsia="Calibri" w:hAnsi="David" w:hint="cs"/>
          <w:rtl/>
        </w:rPr>
        <w:t>. העונש המרבי הקבוע בצדה של עבירה זו עומד על מאסר למשך שנתיים, בעוד העונש המרבי הקבוע בצדה של עבירה של ירי מנשק חם באזור מגורים עומד על חמש שנות מאסר. די בכך כדי להסיק שאין ללמוד גזירה שווה מאותו גזר דין לענייננו.</w:t>
      </w:r>
    </w:p>
    <w:p w14:paraId="470AA336"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7E241B91"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ab/>
        <w:t>גזר הדין האחר שהוצג על ידי ההגנה ניתן בבית משפט זה ב</w:t>
      </w:r>
      <w:hyperlink r:id="rId37" w:history="1">
        <w:r w:rsidR="003E6F43" w:rsidRPr="003E6F43">
          <w:rPr>
            <w:rFonts w:ascii="David" w:eastAsia="Calibri" w:hAnsi="David"/>
            <w:color w:val="0000FF"/>
            <w:u w:val="single"/>
            <w:rtl/>
          </w:rPr>
          <w:t>ת"פ 5874-09-21</w:t>
        </w:r>
      </w:hyperlink>
      <w:r w:rsidRPr="006F0EB4">
        <w:rPr>
          <w:rFonts w:ascii="David" w:eastAsia="Calibri" w:hAnsi="David" w:hint="cs"/>
          <w:rtl/>
        </w:rPr>
        <w:t xml:space="preserve"> </w:t>
      </w:r>
      <w:r w:rsidRPr="006F0EB4">
        <w:rPr>
          <w:rFonts w:ascii="David" w:eastAsia="Calibri" w:hAnsi="David" w:hint="cs"/>
          <w:b/>
          <w:bCs/>
          <w:rtl/>
        </w:rPr>
        <w:t>מדינת ישראל נ' גנאים</w:t>
      </w:r>
      <w:r w:rsidRPr="006F0EB4">
        <w:rPr>
          <w:rFonts w:ascii="David" w:eastAsia="Calibri" w:hAnsi="David" w:hint="cs"/>
          <w:rtl/>
        </w:rPr>
        <w:t xml:space="preserve"> (3.3.2022). אלא שגם גזר דין זה אינו רלוונטי, משום שהעבירות שיוחסו לנאשמים באותו תיק לא כללו ירי מנשק חם כלל. </w:t>
      </w:r>
    </w:p>
    <w:p w14:paraId="4A42786B"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24.</w:t>
      </w:r>
      <w:r w:rsidRPr="006F0EB4">
        <w:rPr>
          <w:rFonts w:ascii="David" w:eastAsia="Calibri" w:hAnsi="David" w:hint="cs"/>
          <w:rtl/>
        </w:rPr>
        <w:tab/>
        <w:t>סיכומו של דבר, לאחר שנתתי דעתי לערכים החברתיים שנפגעו כתוצאה מביצוע העבירות בענייננו, למידת הפגיעה בהם, ולאחר ששקלתי את נסיבות ביצוען של העבירות כמפורט לעיל ואת מדיניות הענישה הנוהגת, אני קובע כי מתחם העונש ההולם בענייננו נע בין 56-28 חודשי מאסר לריצוי בפועל, לצד עונשים נלווים.</w:t>
      </w:r>
    </w:p>
    <w:p w14:paraId="73128CB1"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29AC4AC1"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u w:val="single"/>
          <w:rtl/>
        </w:rPr>
      </w:pPr>
      <w:r w:rsidRPr="006F0EB4">
        <w:rPr>
          <w:rFonts w:ascii="David" w:eastAsia="Calibri" w:hAnsi="David" w:hint="cs"/>
          <w:u w:val="single"/>
          <w:rtl/>
        </w:rPr>
        <w:t>גזירת העונש בתוך המתחם</w:t>
      </w:r>
    </w:p>
    <w:p w14:paraId="51BC89AE"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u w:val="single"/>
          <w:rtl/>
        </w:rPr>
      </w:pPr>
    </w:p>
    <w:p w14:paraId="48FAC18F"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25.</w:t>
      </w:r>
      <w:r w:rsidRPr="006F0EB4">
        <w:rPr>
          <w:rFonts w:ascii="David" w:eastAsia="Calibri" w:hAnsi="David" w:hint="cs"/>
          <w:rtl/>
        </w:rPr>
        <w:tab/>
        <w:t>בגזירת העונש בתוך המתחם ראיתי להביא בחשבון את העובדה שמדובר בנאשם צעיר הנעדר כל הרשעות קודמות ואשר ניהל עד לאירוע מושא הדיון אורח חיים נורמטיבי. בנוסף, ראיתי להביא בחשבון את נסיבותיו האישיות, לרבות נכותו, אם כי צודקת המאשימה בטענתה כי נכות זו לא מנעה בעדו מלבצע את העבירות בהן הורשע.</w:t>
      </w:r>
    </w:p>
    <w:p w14:paraId="56E0739F"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7BC09172"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ab/>
        <w:t>עוד ראיתי להביא בחשבון את העובדה כי הנאשם הודה במיוחס לו, שלא במסגרת הסדר טיעון ומבלי שכתב האישום תוקן. יחד עם זאת, הודאתו של הנאשם לא ניתנה בראשית ההליך ובהזדמנות הראשונה, אלא לאחר שנשמעו שמונה עדי תביעה. ברי כי לנוכח ההודאה ונטילת האחריות מצדו על מעשיו, זכאי הנאשם להקלה מסוימת בעונשו, אלא שאין הוא זכאי למלוא ההנחה הניתנת למי שמודה בהזדמנות הראשונה, נוטל אחריות מידית על מעשיו ומביא לחיסכון בזמן שיפוטי יקר.</w:t>
      </w:r>
    </w:p>
    <w:p w14:paraId="2598B7D4"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6ED10BC4"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ab/>
        <w:t>נוכח האמור, אני רואה לגזור את עונשו של הנאשם בסמוך מאוד לרף התחתון של המתחם שנקבע לגביו, אם כי לא בתחתיתו.</w:t>
      </w:r>
    </w:p>
    <w:p w14:paraId="64BD508B"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4DC7C587"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26.</w:t>
      </w:r>
      <w:r w:rsidRPr="006F0EB4">
        <w:rPr>
          <w:rFonts w:ascii="David" w:eastAsia="Calibri" w:hAnsi="David" w:hint="cs"/>
          <w:rtl/>
        </w:rPr>
        <w:tab/>
        <w:t xml:space="preserve"> סיכומו של דבר, אני גוזר על הנאשם את העונשים הבאים:</w:t>
      </w:r>
    </w:p>
    <w:p w14:paraId="03F1AE81"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69C031E6"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ab/>
        <w:t>א.</w:t>
      </w:r>
      <w:r w:rsidRPr="006F0EB4">
        <w:rPr>
          <w:rFonts w:ascii="David" w:eastAsia="Calibri" w:hAnsi="David" w:hint="cs"/>
          <w:rtl/>
        </w:rPr>
        <w:tab/>
        <w:t>30 חודשי מאסר בפועל, בניכוי ימי מעצרו מיום 5.12.2022.</w:t>
      </w:r>
    </w:p>
    <w:p w14:paraId="0D4736C0"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000C1056" w14:textId="77777777" w:rsidR="007E4B67" w:rsidRPr="006F0EB4" w:rsidRDefault="007E4B67" w:rsidP="007E4B67">
      <w:pPr>
        <w:tabs>
          <w:tab w:val="left" w:pos="567"/>
          <w:tab w:val="left" w:pos="1134"/>
          <w:tab w:val="left" w:pos="1701"/>
        </w:tabs>
        <w:spacing w:line="360" w:lineRule="auto"/>
        <w:ind w:left="1134" w:hanging="1134"/>
        <w:jc w:val="both"/>
        <w:rPr>
          <w:rFonts w:ascii="David" w:eastAsia="Calibri" w:hAnsi="David"/>
          <w:rtl/>
        </w:rPr>
      </w:pPr>
      <w:r w:rsidRPr="006F0EB4">
        <w:rPr>
          <w:rFonts w:ascii="David" w:eastAsia="Calibri" w:hAnsi="David" w:hint="cs"/>
          <w:rtl/>
        </w:rPr>
        <w:tab/>
        <w:t>ב.</w:t>
      </w:r>
      <w:r w:rsidRPr="006F0EB4">
        <w:rPr>
          <w:rFonts w:ascii="David" w:eastAsia="Calibri" w:hAnsi="David" w:hint="cs"/>
          <w:rtl/>
        </w:rPr>
        <w:tab/>
        <w:t>10 חודשי מאסר על תנאי לבל יעבור משך שלוש שנים כל עבירת אלימות או נשק מסוג פשע ויורשע בגין אחת מהן.</w:t>
      </w:r>
    </w:p>
    <w:p w14:paraId="69DB69A3"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p>
    <w:p w14:paraId="21708D7A" w14:textId="77777777" w:rsidR="007E4B67" w:rsidRPr="006F0EB4" w:rsidRDefault="007E4B67" w:rsidP="007E4B67">
      <w:pPr>
        <w:tabs>
          <w:tab w:val="left" w:pos="567"/>
          <w:tab w:val="left" w:pos="1134"/>
          <w:tab w:val="left" w:pos="1701"/>
        </w:tabs>
        <w:spacing w:line="360" w:lineRule="auto"/>
        <w:ind w:left="567" w:hanging="567"/>
        <w:jc w:val="both"/>
        <w:rPr>
          <w:rFonts w:ascii="David" w:eastAsia="Calibri" w:hAnsi="David"/>
          <w:rtl/>
        </w:rPr>
      </w:pPr>
      <w:r w:rsidRPr="006F0EB4">
        <w:rPr>
          <w:rFonts w:ascii="David" w:eastAsia="Calibri" w:hAnsi="David" w:hint="cs"/>
          <w:rtl/>
        </w:rPr>
        <w:t>זכות ערעור לבית המשפט העליון תוך 45 ימים.</w:t>
      </w:r>
    </w:p>
    <w:p w14:paraId="75F03AB6" w14:textId="77777777" w:rsidR="007E4B67" w:rsidRPr="003E6F43" w:rsidRDefault="003E6F43" w:rsidP="007E4B67">
      <w:pPr>
        <w:rPr>
          <w:color w:val="FFFFFF"/>
          <w:sz w:val="2"/>
          <w:szCs w:val="2"/>
          <w:rtl/>
        </w:rPr>
      </w:pPr>
      <w:r w:rsidRPr="003E6F43">
        <w:rPr>
          <w:color w:val="FFFFFF"/>
          <w:sz w:val="2"/>
          <w:szCs w:val="2"/>
          <w:rtl/>
        </w:rPr>
        <w:t>5129371</w:t>
      </w:r>
    </w:p>
    <w:p w14:paraId="1C095D91" w14:textId="77777777" w:rsidR="007E4B67" w:rsidRDefault="003E6F43" w:rsidP="007E4B67">
      <w:pPr>
        <w:rPr>
          <w:rFonts w:cs="FrankRuehl"/>
          <w:sz w:val="28"/>
          <w:szCs w:val="28"/>
          <w:rtl/>
        </w:rPr>
      </w:pPr>
      <w:bookmarkStart w:id="8" w:name="Nitan"/>
      <w:r w:rsidRPr="003E6F43">
        <w:rPr>
          <w:rFonts w:ascii="Arial" w:hAnsi="Arial"/>
          <w:color w:val="FFFFFF"/>
          <w:sz w:val="2"/>
          <w:szCs w:val="2"/>
          <w:rtl/>
        </w:rPr>
        <w:t>54678313</w:t>
      </w:r>
      <w:r>
        <w:rPr>
          <w:rFonts w:ascii="Arial" w:hAnsi="Arial"/>
          <w:rtl/>
        </w:rPr>
        <w:t xml:space="preserve">ניתן היום,  ט"ו חשוון תשפ"ד, 30 אוקטובר 2023, במעמד הנוכחים. </w:t>
      </w:r>
      <w:bookmarkEnd w:id="8"/>
    </w:p>
    <w:p w14:paraId="2E574A7C" w14:textId="77777777" w:rsidR="007E4B67" w:rsidRDefault="007E4B67" w:rsidP="003E6F4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5D14379" w14:textId="77777777" w:rsidR="007E4B67" w:rsidRDefault="007E4B67" w:rsidP="007E4B67">
      <w:pPr>
        <w:jc w:val="center"/>
        <w:rPr>
          <w:rFonts w:ascii="Arial" w:hAnsi="Arial" w:cs="FrankRuehl"/>
          <w:sz w:val="28"/>
          <w:szCs w:val="28"/>
          <w:rtl/>
        </w:rPr>
      </w:pPr>
    </w:p>
    <w:p w14:paraId="28165D4A" w14:textId="77777777" w:rsidR="003E6F43" w:rsidRDefault="003E6F43" w:rsidP="003E6F43">
      <w:pPr>
        <w:rPr>
          <w:rtl/>
        </w:rPr>
      </w:pPr>
    </w:p>
    <w:p w14:paraId="7D059BAC" w14:textId="77777777" w:rsidR="003E6F43" w:rsidRDefault="003E6F43" w:rsidP="003E6F4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B3213BD" w14:textId="77777777" w:rsidR="007579D0" w:rsidRPr="007579D0" w:rsidRDefault="007579D0" w:rsidP="007579D0">
      <w:pPr>
        <w:keepNext/>
        <w:rPr>
          <w:rFonts w:ascii="David" w:hAnsi="David"/>
          <w:color w:val="000000"/>
          <w:sz w:val="22"/>
          <w:szCs w:val="22"/>
          <w:rtl/>
        </w:rPr>
      </w:pPr>
    </w:p>
    <w:p w14:paraId="2B2C160C" w14:textId="77777777" w:rsidR="007579D0" w:rsidRPr="007579D0" w:rsidRDefault="007579D0" w:rsidP="007579D0">
      <w:pPr>
        <w:keepNext/>
        <w:rPr>
          <w:rFonts w:ascii="David" w:hAnsi="David"/>
          <w:color w:val="000000"/>
          <w:sz w:val="22"/>
          <w:szCs w:val="22"/>
          <w:rtl/>
        </w:rPr>
      </w:pPr>
      <w:r w:rsidRPr="007579D0">
        <w:rPr>
          <w:rFonts w:ascii="David" w:hAnsi="David"/>
          <w:color w:val="000000"/>
          <w:sz w:val="22"/>
          <w:szCs w:val="22"/>
          <w:rtl/>
        </w:rPr>
        <w:t>אמיר טובי 54678313-/</w:t>
      </w:r>
    </w:p>
    <w:p w14:paraId="5556A2C6" w14:textId="77777777" w:rsidR="003E6F43" w:rsidRPr="003E6F43" w:rsidRDefault="007579D0" w:rsidP="007579D0">
      <w:pPr>
        <w:rPr>
          <w:color w:val="0000FF"/>
          <w:u w:val="single"/>
        </w:rPr>
      </w:pPr>
      <w:r w:rsidRPr="007579D0">
        <w:rPr>
          <w:color w:val="000000"/>
          <w:u w:val="single"/>
          <w:rtl/>
        </w:rPr>
        <w:t>נוסח מסמך זה כפוף לשינויי ניסוח ועריכה</w:t>
      </w:r>
    </w:p>
    <w:sectPr w:rsidR="003E6F43" w:rsidRPr="003E6F43" w:rsidSect="007579D0">
      <w:headerReference w:type="even" r:id="rId39"/>
      <w:headerReference w:type="default" r:id="rId40"/>
      <w:footerReference w:type="even" r:id="rId41"/>
      <w:footerReference w:type="default" r:id="rId42"/>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FDEB3" w14:textId="77777777" w:rsidR="00F62FF4" w:rsidRDefault="00F62FF4" w:rsidP="00813D50">
      <w:r>
        <w:separator/>
      </w:r>
    </w:p>
  </w:endnote>
  <w:endnote w:type="continuationSeparator" w:id="0">
    <w:p w14:paraId="38B58827" w14:textId="77777777" w:rsidR="00F62FF4" w:rsidRDefault="00F62FF4" w:rsidP="0081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86F4E" w14:textId="77777777" w:rsidR="007579D0" w:rsidRDefault="007579D0" w:rsidP="007579D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42B850" w14:textId="77777777" w:rsidR="00206C9E" w:rsidRPr="007579D0" w:rsidRDefault="007579D0" w:rsidP="007579D0">
    <w:pPr>
      <w:pStyle w:val="a5"/>
      <w:pBdr>
        <w:top w:val="single" w:sz="4" w:space="1" w:color="auto"/>
        <w:between w:val="single" w:sz="4" w:space="0" w:color="auto"/>
      </w:pBdr>
      <w:spacing w:after="60"/>
      <w:jc w:val="center"/>
      <w:rPr>
        <w:rFonts w:ascii="FrankRuehl" w:hAnsi="FrankRuehl" w:cs="FrankRuehl"/>
        <w:color w:val="000000"/>
      </w:rPr>
    </w:pPr>
    <w:r w:rsidRPr="007579D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DEC00" w14:textId="77777777" w:rsidR="007579D0" w:rsidRDefault="007579D0" w:rsidP="007579D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4BB2">
      <w:rPr>
        <w:rFonts w:ascii="FrankRuehl" w:hAnsi="FrankRuehl" w:cs="FrankRuehl"/>
        <w:noProof/>
        <w:rtl/>
      </w:rPr>
      <w:t>1</w:t>
    </w:r>
    <w:r>
      <w:rPr>
        <w:rFonts w:ascii="FrankRuehl" w:hAnsi="FrankRuehl" w:cs="FrankRuehl"/>
        <w:rtl/>
      </w:rPr>
      <w:fldChar w:fldCharType="end"/>
    </w:r>
  </w:p>
  <w:p w14:paraId="3EB391CB" w14:textId="77777777" w:rsidR="00206C9E" w:rsidRPr="007579D0" w:rsidRDefault="007579D0" w:rsidP="007579D0">
    <w:pPr>
      <w:pStyle w:val="a5"/>
      <w:pBdr>
        <w:top w:val="single" w:sz="4" w:space="1" w:color="auto"/>
        <w:between w:val="single" w:sz="4" w:space="0" w:color="auto"/>
      </w:pBdr>
      <w:spacing w:after="60"/>
      <w:jc w:val="center"/>
      <w:rPr>
        <w:rFonts w:ascii="FrankRuehl" w:hAnsi="FrankRuehl" w:cs="FrankRuehl"/>
        <w:color w:val="000000"/>
      </w:rPr>
    </w:pPr>
    <w:r w:rsidRPr="007579D0">
      <w:rPr>
        <w:rFonts w:ascii="FrankRuehl" w:hAnsi="FrankRuehl" w:cs="FrankRuehl"/>
        <w:color w:val="000000"/>
      </w:rPr>
      <w:pict w14:anchorId="3EDB3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843FF" w14:textId="77777777" w:rsidR="00F62FF4" w:rsidRDefault="00F62FF4" w:rsidP="00813D50">
      <w:r>
        <w:separator/>
      </w:r>
    </w:p>
  </w:footnote>
  <w:footnote w:type="continuationSeparator" w:id="0">
    <w:p w14:paraId="1216A511" w14:textId="77777777" w:rsidR="00F62FF4" w:rsidRDefault="00F62FF4" w:rsidP="00813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0CB7C" w14:textId="77777777" w:rsidR="003E6F43" w:rsidRPr="007579D0" w:rsidRDefault="007579D0" w:rsidP="007579D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50477-12-22</w:t>
    </w:r>
    <w:r>
      <w:rPr>
        <w:rFonts w:ascii="David" w:hAnsi="David"/>
        <w:color w:val="000000"/>
        <w:sz w:val="22"/>
        <w:szCs w:val="22"/>
        <w:rtl/>
      </w:rPr>
      <w:tab/>
      <w:t xml:space="preserve"> מדינת ישראל נ' מוחמד בוקאעי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23559" w14:textId="77777777" w:rsidR="003E6F43" w:rsidRPr="007579D0" w:rsidRDefault="007579D0" w:rsidP="007579D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50477-12-22</w:t>
    </w:r>
    <w:r>
      <w:rPr>
        <w:rFonts w:ascii="David" w:hAnsi="David"/>
        <w:color w:val="000000"/>
        <w:sz w:val="22"/>
        <w:szCs w:val="22"/>
        <w:rtl/>
      </w:rPr>
      <w:tab/>
      <w:t xml:space="preserve"> מדינת ישראל נ' מוחמד בוקאעי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4B67"/>
    <w:rsid w:val="001A7F97"/>
    <w:rsid w:val="001B5A3B"/>
    <w:rsid w:val="00206C9E"/>
    <w:rsid w:val="003A02D8"/>
    <w:rsid w:val="003E6F43"/>
    <w:rsid w:val="00440DAD"/>
    <w:rsid w:val="004E7619"/>
    <w:rsid w:val="005B6BD9"/>
    <w:rsid w:val="007579D0"/>
    <w:rsid w:val="007E4B67"/>
    <w:rsid w:val="00813D50"/>
    <w:rsid w:val="00C0382B"/>
    <w:rsid w:val="00C57B78"/>
    <w:rsid w:val="00D64578"/>
    <w:rsid w:val="00F24BB2"/>
    <w:rsid w:val="00F62F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377419"/>
  <w15:chartTrackingRefBased/>
  <w15:docId w15:val="{7AB195E6-BB30-4CBA-AAEE-53441A02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4B6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4B67"/>
    <w:pPr>
      <w:tabs>
        <w:tab w:val="center" w:pos="4153"/>
        <w:tab w:val="right" w:pos="8306"/>
      </w:tabs>
    </w:pPr>
  </w:style>
  <w:style w:type="character" w:customStyle="1" w:styleId="a4">
    <w:name w:val="כותרת עליונה תו"/>
    <w:link w:val="a3"/>
    <w:rsid w:val="007E4B67"/>
    <w:rPr>
      <w:rFonts w:ascii="Times New Roman" w:eastAsia="Times New Roman" w:hAnsi="Times New Roman" w:cs="David"/>
      <w:sz w:val="24"/>
      <w:szCs w:val="24"/>
    </w:rPr>
  </w:style>
  <w:style w:type="paragraph" w:styleId="a5">
    <w:name w:val="footer"/>
    <w:basedOn w:val="a"/>
    <w:link w:val="a6"/>
    <w:rsid w:val="007E4B67"/>
    <w:pPr>
      <w:tabs>
        <w:tab w:val="center" w:pos="4153"/>
        <w:tab w:val="right" w:pos="8306"/>
      </w:tabs>
    </w:pPr>
  </w:style>
  <w:style w:type="character" w:customStyle="1" w:styleId="a6">
    <w:name w:val="כותרת תחתונה תו"/>
    <w:link w:val="a5"/>
    <w:rsid w:val="007E4B67"/>
    <w:rPr>
      <w:rFonts w:ascii="Times New Roman" w:eastAsia="Times New Roman" w:hAnsi="Times New Roman" w:cs="David"/>
      <w:sz w:val="24"/>
      <w:szCs w:val="24"/>
    </w:rPr>
  </w:style>
  <w:style w:type="table" w:styleId="a7">
    <w:name w:val="Table Grid"/>
    <w:basedOn w:val="a1"/>
    <w:rsid w:val="007E4B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E4B67"/>
  </w:style>
  <w:style w:type="character" w:styleId="Hyperlink">
    <w:name w:val="Hyperlink"/>
    <w:rsid w:val="003E6F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1"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7309272" TargetMode="External"/><Relationship Id="rId39" Type="http://schemas.openxmlformats.org/officeDocument/2006/relationships/header" Target="header1.xml"/><Relationship Id="rId21" Type="http://schemas.openxmlformats.org/officeDocument/2006/relationships/hyperlink" Target="http://www.nevo.co.il/case/27494821" TargetMode="External"/><Relationship Id="rId34" Type="http://schemas.openxmlformats.org/officeDocument/2006/relationships/hyperlink" Target="http://www.nevo.co.il/case/28450598" TargetMode="External"/><Relationship Id="rId42" Type="http://schemas.openxmlformats.org/officeDocument/2006/relationships/footer" Target="footer2.xml"/><Relationship Id="rId7" Type="http://schemas.openxmlformats.org/officeDocument/2006/relationships/hyperlink" Target="http://www.nevo.co.il/law/70301/40i" TargetMode="External"/><Relationship Id="rId2" Type="http://schemas.openxmlformats.org/officeDocument/2006/relationships/settings" Target="settings.xml"/><Relationship Id="rId16" Type="http://schemas.openxmlformats.org/officeDocument/2006/relationships/hyperlink" Target="http://www.nevo.co.il/law/70301/144.a" TargetMode="External"/><Relationship Id="rId20" Type="http://schemas.openxmlformats.org/officeDocument/2006/relationships/hyperlink" Target="http://www.nevo.co.il/case/25824863" TargetMode="External"/><Relationship Id="rId29" Type="http://schemas.openxmlformats.org/officeDocument/2006/relationships/hyperlink" Target="http://www.nevo.co.il/case/26538254"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0a.b.1" TargetMode="External"/><Relationship Id="rId24" Type="http://schemas.openxmlformats.org/officeDocument/2006/relationships/hyperlink" Target="http://www.nevo.co.il/case/27693610" TargetMode="External"/><Relationship Id="rId32" Type="http://schemas.openxmlformats.org/officeDocument/2006/relationships/hyperlink" Target="http://www.nevo.co.il/case/27603872" TargetMode="External"/><Relationship Id="rId37" Type="http://schemas.openxmlformats.org/officeDocument/2006/relationships/hyperlink" Target="http://www.nevo.co.il/case/27913620"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2006503" TargetMode="External"/><Relationship Id="rId28" Type="http://schemas.openxmlformats.org/officeDocument/2006/relationships/hyperlink" Target="http://www.nevo.co.il/case/26934681"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340a.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7436592"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340a.b.2" TargetMode="External"/><Relationship Id="rId22" Type="http://schemas.openxmlformats.org/officeDocument/2006/relationships/hyperlink" Target="http://www.nevo.co.il/case/27115374" TargetMode="External"/><Relationship Id="rId27" Type="http://schemas.openxmlformats.org/officeDocument/2006/relationships/hyperlink" Target="http://www.nevo.co.il/case/25612982"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40a.a" TargetMode="External"/><Relationship Id="rId43" Type="http://schemas.openxmlformats.org/officeDocument/2006/relationships/fontTable" Target="fontTable.xml"/><Relationship Id="rId8" Type="http://schemas.openxmlformats.org/officeDocument/2006/relationships/hyperlink" Target="http://www.nevo.co.il/law/70301/144.a" TargetMode="External"/><Relationship Id="rId3" Type="http://schemas.openxmlformats.org/officeDocument/2006/relationships/webSettings" Target="webSettings.xml"/><Relationship Id="rId12" Type="http://schemas.openxmlformats.org/officeDocument/2006/relationships/hyperlink" Target="http://www.nevo.co.il/law/70301/340a.b.2"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6986954" TargetMode="External"/><Relationship Id="rId33" Type="http://schemas.openxmlformats.org/officeDocument/2006/relationships/hyperlink" Target="http://www.nevo.co.il/case/26492590"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2619</Words>
  <Characters>13096</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15684</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3801204</vt:i4>
      </vt:variant>
      <vt:variant>
        <vt:i4>93</vt:i4>
      </vt:variant>
      <vt:variant>
        <vt:i4>0</vt:i4>
      </vt:variant>
      <vt:variant>
        <vt:i4>5</vt:i4>
      </vt:variant>
      <vt:variant>
        <vt:lpwstr>http://www.nevo.co.il/case/27913620</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6357112</vt:i4>
      </vt:variant>
      <vt:variant>
        <vt:i4>87</vt:i4>
      </vt:variant>
      <vt:variant>
        <vt:i4>0</vt:i4>
      </vt:variant>
      <vt:variant>
        <vt:i4>5</vt:i4>
      </vt:variant>
      <vt:variant>
        <vt:lpwstr>http://www.nevo.co.il/law/70301/340a.a</vt:lpwstr>
      </vt:variant>
      <vt:variant>
        <vt:lpwstr/>
      </vt:variant>
      <vt:variant>
        <vt:i4>4128892</vt:i4>
      </vt:variant>
      <vt:variant>
        <vt:i4>84</vt:i4>
      </vt:variant>
      <vt:variant>
        <vt:i4>0</vt:i4>
      </vt:variant>
      <vt:variant>
        <vt:i4>5</vt:i4>
      </vt:variant>
      <vt:variant>
        <vt:lpwstr>http://www.nevo.co.il/case/28450598</vt:lpwstr>
      </vt:variant>
      <vt:variant>
        <vt:lpwstr/>
      </vt:variant>
      <vt:variant>
        <vt:i4>3997822</vt:i4>
      </vt:variant>
      <vt:variant>
        <vt:i4>81</vt:i4>
      </vt:variant>
      <vt:variant>
        <vt:i4>0</vt:i4>
      </vt:variant>
      <vt:variant>
        <vt:i4>5</vt:i4>
      </vt:variant>
      <vt:variant>
        <vt:lpwstr>http://www.nevo.co.il/case/26492590</vt:lpwstr>
      </vt:variant>
      <vt:variant>
        <vt:lpwstr/>
      </vt:variant>
      <vt:variant>
        <vt:i4>3145851</vt:i4>
      </vt:variant>
      <vt:variant>
        <vt:i4>78</vt:i4>
      </vt:variant>
      <vt:variant>
        <vt:i4>0</vt:i4>
      </vt:variant>
      <vt:variant>
        <vt:i4>5</vt:i4>
      </vt:variant>
      <vt:variant>
        <vt:lpwstr>http://www.nevo.co.il/case/27603872</vt:lpwstr>
      </vt:variant>
      <vt:variant>
        <vt:lpwstr/>
      </vt:variant>
      <vt:variant>
        <vt:i4>3735669</vt:i4>
      </vt:variant>
      <vt:variant>
        <vt:i4>75</vt:i4>
      </vt:variant>
      <vt:variant>
        <vt:i4>0</vt:i4>
      </vt:variant>
      <vt:variant>
        <vt:i4>5</vt:i4>
      </vt:variant>
      <vt:variant>
        <vt:lpwstr>http://www.nevo.co.il/case/27436592</vt:lpwstr>
      </vt:variant>
      <vt:variant>
        <vt:lpwstr/>
      </vt:variant>
      <vt:variant>
        <vt:i4>7995492</vt:i4>
      </vt:variant>
      <vt:variant>
        <vt:i4>72</vt:i4>
      </vt:variant>
      <vt:variant>
        <vt:i4>0</vt:i4>
      </vt:variant>
      <vt:variant>
        <vt:i4>5</vt:i4>
      </vt:variant>
      <vt:variant>
        <vt:lpwstr>http://www.nevo.co.il/law/70301</vt:lpwstr>
      </vt:variant>
      <vt:variant>
        <vt:lpwstr/>
      </vt:variant>
      <vt:variant>
        <vt:i4>3801203</vt:i4>
      </vt:variant>
      <vt:variant>
        <vt:i4>69</vt:i4>
      </vt:variant>
      <vt:variant>
        <vt:i4>0</vt:i4>
      </vt:variant>
      <vt:variant>
        <vt:i4>5</vt:i4>
      </vt:variant>
      <vt:variant>
        <vt:lpwstr>http://www.nevo.co.il/case/26538254</vt:lpwstr>
      </vt:variant>
      <vt:variant>
        <vt:lpwstr/>
      </vt:variant>
      <vt:variant>
        <vt:i4>3604599</vt:i4>
      </vt:variant>
      <vt:variant>
        <vt:i4>66</vt:i4>
      </vt:variant>
      <vt:variant>
        <vt:i4>0</vt:i4>
      </vt:variant>
      <vt:variant>
        <vt:i4>5</vt:i4>
      </vt:variant>
      <vt:variant>
        <vt:lpwstr>http://www.nevo.co.il/case/26934681</vt:lpwstr>
      </vt:variant>
      <vt:variant>
        <vt:lpwstr/>
      </vt:variant>
      <vt:variant>
        <vt:i4>4063353</vt:i4>
      </vt:variant>
      <vt:variant>
        <vt:i4>63</vt:i4>
      </vt:variant>
      <vt:variant>
        <vt:i4>0</vt:i4>
      </vt:variant>
      <vt:variant>
        <vt:i4>5</vt:i4>
      </vt:variant>
      <vt:variant>
        <vt:lpwstr>http://www.nevo.co.il/case/25612982</vt:lpwstr>
      </vt:variant>
      <vt:variant>
        <vt:lpwstr/>
      </vt:variant>
      <vt:variant>
        <vt:i4>4128881</vt:i4>
      </vt:variant>
      <vt:variant>
        <vt:i4>60</vt:i4>
      </vt:variant>
      <vt:variant>
        <vt:i4>0</vt:i4>
      </vt:variant>
      <vt:variant>
        <vt:i4>5</vt:i4>
      </vt:variant>
      <vt:variant>
        <vt:lpwstr>http://www.nevo.co.il/case/27309272</vt:lpwstr>
      </vt:variant>
      <vt:variant>
        <vt:lpwstr/>
      </vt:variant>
      <vt:variant>
        <vt:i4>3670131</vt:i4>
      </vt:variant>
      <vt:variant>
        <vt:i4>57</vt:i4>
      </vt:variant>
      <vt:variant>
        <vt:i4>0</vt:i4>
      </vt:variant>
      <vt:variant>
        <vt:i4>5</vt:i4>
      </vt:variant>
      <vt:variant>
        <vt:lpwstr>http://www.nevo.co.il/case/26986954</vt:lpwstr>
      </vt:variant>
      <vt:variant>
        <vt:lpwstr/>
      </vt:variant>
      <vt:variant>
        <vt:i4>3539068</vt:i4>
      </vt:variant>
      <vt:variant>
        <vt:i4>54</vt:i4>
      </vt:variant>
      <vt:variant>
        <vt:i4>0</vt:i4>
      </vt:variant>
      <vt:variant>
        <vt:i4>5</vt:i4>
      </vt:variant>
      <vt:variant>
        <vt:lpwstr>http://www.nevo.co.il/case/27693610</vt:lpwstr>
      </vt:variant>
      <vt:variant>
        <vt:lpwstr/>
      </vt:variant>
      <vt:variant>
        <vt:i4>3407987</vt:i4>
      </vt:variant>
      <vt:variant>
        <vt:i4>51</vt:i4>
      </vt:variant>
      <vt:variant>
        <vt:i4>0</vt:i4>
      </vt:variant>
      <vt:variant>
        <vt:i4>5</vt:i4>
      </vt:variant>
      <vt:variant>
        <vt:lpwstr>http://www.nevo.co.il/case/22006503</vt:lpwstr>
      </vt:variant>
      <vt:variant>
        <vt:lpwstr/>
      </vt:variant>
      <vt:variant>
        <vt:i4>3211377</vt:i4>
      </vt:variant>
      <vt:variant>
        <vt:i4>48</vt:i4>
      </vt:variant>
      <vt:variant>
        <vt:i4>0</vt:i4>
      </vt:variant>
      <vt:variant>
        <vt:i4>5</vt:i4>
      </vt:variant>
      <vt:variant>
        <vt:lpwstr>http://www.nevo.co.il/case/27115374</vt:lpwstr>
      </vt:variant>
      <vt:variant>
        <vt:lpwstr/>
      </vt:variant>
      <vt:variant>
        <vt:i4>3145842</vt:i4>
      </vt:variant>
      <vt:variant>
        <vt:i4>45</vt:i4>
      </vt:variant>
      <vt:variant>
        <vt:i4>0</vt:i4>
      </vt:variant>
      <vt:variant>
        <vt:i4>5</vt:i4>
      </vt:variant>
      <vt:variant>
        <vt:lpwstr>http://www.nevo.co.il/case/27494821</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5242966</vt:i4>
      </vt:variant>
      <vt:variant>
        <vt:i4>24</vt:i4>
      </vt:variant>
      <vt:variant>
        <vt:i4>0</vt:i4>
      </vt:variant>
      <vt:variant>
        <vt:i4>5</vt:i4>
      </vt:variant>
      <vt:variant>
        <vt:lpwstr>http://www.nevo.co.il/law/70301/340a.b.2</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5242966</vt:i4>
      </vt:variant>
      <vt:variant>
        <vt:i4>18</vt:i4>
      </vt:variant>
      <vt:variant>
        <vt:i4>0</vt:i4>
      </vt:variant>
      <vt:variant>
        <vt:i4>5</vt:i4>
      </vt:variant>
      <vt:variant>
        <vt:lpwstr>http://www.nevo.co.il/law/70301/340a.b.2</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6357112</vt:i4>
      </vt:variant>
      <vt:variant>
        <vt:i4>12</vt:i4>
      </vt:variant>
      <vt:variant>
        <vt:i4>0</vt:i4>
      </vt:variant>
      <vt:variant>
        <vt:i4>5</vt:i4>
      </vt:variant>
      <vt:variant>
        <vt:lpwstr>http://www.nevo.co.il/law/70301/340a.a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2025-01-19T16:58:00Z</dcterms:created>
  <dcterms:modified xsi:type="dcterms:W3CDTF">2025-01-19T16:58:00Z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50477</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בוקאעי</vt:lpwstr>
  </property>
  <property fmtid="{D5CDD505-2E9C-101B-9397-08002B2CF9AE}" pid="10" name="LAWYER">
    <vt:lpwstr>אבי אור זך;אברהם סופר</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20231030</vt:lpwstr>
  </property>
  <property fmtid="{D5CDD505-2E9C-101B-9397-08002B2CF9AE}" pid="14" name="TYPE_N_DATE">
    <vt:lpwstr>39020231030</vt:lpwstr>
  </property>
  <property fmtid="{D5CDD505-2E9C-101B-9397-08002B2CF9AE}" pid="15" name="WORDNUMPAGES">
    <vt:lpwstr>8</vt:lpwstr>
  </property>
  <property fmtid="{D5CDD505-2E9C-101B-9397-08002B2CF9AE}" pid="16" name="TYPE_ABS_DATE">
    <vt:lpwstr>390020231030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25824863;27494821;27115374;22006503;27693610;26986954;27309272;25612982;26934681;26538254;27436592;27603872;26492590;28450598;27913620</vt:lpwstr>
  </property>
  <property fmtid="{D5CDD505-2E9C-101B-9397-08002B2CF9AE}" pid="36" name="LAWLISTTMP1">
    <vt:lpwstr>70301/340a.b.1;340a.b.2;144.a;144.b;040i;340a.a</vt:lpwstr>
  </property>
</Properties>
</file>