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5"/>
        <w:gridCol w:w="3664"/>
        <w:gridCol w:w="99"/>
      </w:tblGrid>
      <w:tr w:rsidR="00FA6FCA" w:rsidRPr="0059299C" w14:paraId="203003B2" w14:textId="77777777" w:rsidTr="006F282C">
        <w:trPr>
          <w:gridAfter w:val="1"/>
          <w:wAfter w:w="99" w:type="dxa"/>
          <w:trHeight w:hRule="exact" w:val="418"/>
          <w:jc w:val="center"/>
        </w:trPr>
        <w:tc>
          <w:tcPr>
            <w:tcW w:w="8721" w:type="dxa"/>
            <w:gridSpan w:val="4"/>
          </w:tcPr>
          <w:p w14:paraId="4311E2A1" w14:textId="77777777" w:rsidR="00FA6FCA" w:rsidRPr="0059299C" w:rsidRDefault="00FA6FCA" w:rsidP="006D21D0">
            <w:pPr>
              <w:pStyle w:val="a3"/>
              <w:jc w:val="center"/>
              <w:rPr>
                <w:rFonts w:ascii="Tahoma" w:hAnsi="Tahoma" w:cs="Tahoma"/>
                <w:color w:val="000080"/>
                <w:rtl/>
              </w:rPr>
            </w:pPr>
            <w:bookmarkStart w:id="0" w:name="FirstLawyer"/>
            <w:bookmarkStart w:id="1" w:name="LastJudge"/>
            <w:r w:rsidRPr="0059299C">
              <w:rPr>
                <w:rFonts w:ascii="Tahoma" w:hAnsi="Tahoma" w:cs="Tahoma"/>
                <w:b/>
                <w:bCs/>
                <w:color w:val="000080"/>
                <w:rtl/>
              </w:rPr>
              <w:t>בית המשפט המחוזי מרכז-לוד</w:t>
            </w:r>
          </w:p>
        </w:tc>
      </w:tr>
      <w:tr w:rsidR="00FA6FCA" w:rsidRPr="0059299C" w14:paraId="14CACF3C" w14:textId="77777777" w:rsidTr="006F282C">
        <w:trPr>
          <w:gridAfter w:val="1"/>
          <w:wAfter w:w="99" w:type="dxa"/>
          <w:trHeight w:val="337"/>
          <w:jc w:val="center"/>
        </w:trPr>
        <w:tc>
          <w:tcPr>
            <w:tcW w:w="5057" w:type="dxa"/>
            <w:gridSpan w:val="3"/>
          </w:tcPr>
          <w:p w14:paraId="6D0A88E5" w14:textId="77777777" w:rsidR="00FA6FCA" w:rsidRPr="0059299C" w:rsidRDefault="00FA6FCA" w:rsidP="006D21D0">
            <w:pPr>
              <w:rPr>
                <w:rFonts w:cs="FrankRuehl"/>
                <w:sz w:val="28"/>
                <w:szCs w:val="28"/>
                <w:rtl/>
              </w:rPr>
            </w:pPr>
            <w:r w:rsidRPr="0059299C">
              <w:rPr>
                <w:rFonts w:cs="FrankRuehl"/>
                <w:sz w:val="28"/>
                <w:szCs w:val="28"/>
                <w:rtl/>
              </w:rPr>
              <w:t>ת"פ</w:t>
            </w:r>
            <w:r w:rsidRPr="0059299C">
              <w:rPr>
                <w:rFonts w:cs="FrankRuehl" w:hint="cs"/>
                <w:sz w:val="28"/>
                <w:szCs w:val="28"/>
                <w:rtl/>
              </w:rPr>
              <w:t xml:space="preserve"> </w:t>
            </w:r>
            <w:r w:rsidRPr="0059299C">
              <w:rPr>
                <w:rFonts w:cs="FrankRuehl"/>
                <w:sz w:val="28"/>
                <w:szCs w:val="28"/>
                <w:rtl/>
              </w:rPr>
              <w:t>10174-01-23</w:t>
            </w:r>
            <w:r w:rsidRPr="0059299C">
              <w:rPr>
                <w:rFonts w:cs="FrankRuehl" w:hint="cs"/>
                <w:sz w:val="28"/>
                <w:szCs w:val="28"/>
                <w:rtl/>
              </w:rPr>
              <w:t xml:space="preserve"> </w:t>
            </w:r>
            <w:r w:rsidRPr="0059299C">
              <w:rPr>
                <w:rFonts w:cs="FrankRuehl"/>
                <w:sz w:val="28"/>
                <w:szCs w:val="28"/>
                <w:rtl/>
              </w:rPr>
              <w:t>מדינת ישראל נ' נאסר(עציר) ואח'</w:t>
            </w:r>
          </w:p>
          <w:p w14:paraId="4832B319" w14:textId="77777777" w:rsidR="00FA6FCA" w:rsidRPr="0059299C" w:rsidRDefault="00FA6FCA" w:rsidP="006D21D0">
            <w:pPr>
              <w:pStyle w:val="a3"/>
              <w:rPr>
                <w:rFonts w:cs="FrankRuehl"/>
                <w:sz w:val="28"/>
                <w:szCs w:val="28"/>
                <w:rtl/>
              </w:rPr>
            </w:pPr>
          </w:p>
        </w:tc>
        <w:tc>
          <w:tcPr>
            <w:tcW w:w="3664" w:type="dxa"/>
          </w:tcPr>
          <w:p w14:paraId="5C0DB44D" w14:textId="77777777" w:rsidR="00FA6FCA" w:rsidRPr="0059299C" w:rsidRDefault="00FA6FCA" w:rsidP="006D21D0">
            <w:pPr>
              <w:pStyle w:val="a3"/>
              <w:jc w:val="right"/>
              <w:rPr>
                <w:rFonts w:cs="FrankRuehl"/>
                <w:sz w:val="28"/>
                <w:szCs w:val="28"/>
                <w:rtl/>
              </w:rPr>
            </w:pPr>
          </w:p>
        </w:tc>
      </w:tr>
      <w:tr w:rsidR="00FA6FCA" w:rsidRPr="0059299C" w14:paraId="26BF904E" w14:textId="77777777" w:rsidTr="006F28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437CDB6E" w14:textId="77777777" w:rsidR="00FA6FCA" w:rsidRPr="0059299C" w:rsidRDefault="00FA6FCA" w:rsidP="00FA6FCA">
            <w:pPr>
              <w:jc w:val="both"/>
              <w:rPr>
                <w:rFonts w:ascii="David" w:hAnsi="David"/>
                <w:sz w:val="26"/>
                <w:szCs w:val="26"/>
              </w:rPr>
            </w:pPr>
            <w:r w:rsidRPr="0059299C">
              <w:rPr>
                <w:rFonts w:hint="cs"/>
                <w:rtl/>
              </w:rPr>
              <w:t xml:space="preserve"> </w:t>
            </w:r>
            <w:r w:rsidRPr="0059299C">
              <w:rPr>
                <w:rFonts w:ascii="David" w:hAnsi="David" w:hint="cs"/>
                <w:sz w:val="26"/>
                <w:szCs w:val="26"/>
                <w:rtl/>
              </w:rPr>
              <w:t>ל</w:t>
            </w:r>
            <w:r w:rsidRPr="0059299C">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27FAF25D" w14:textId="77777777" w:rsidR="00FA6FCA" w:rsidRPr="0059299C" w:rsidRDefault="00FA6FCA" w:rsidP="006D21D0">
            <w:pPr>
              <w:rPr>
                <w:rFonts w:ascii="David" w:hAnsi="David"/>
                <w:b/>
                <w:bCs/>
                <w:sz w:val="26"/>
                <w:szCs w:val="26"/>
                <w:rtl/>
              </w:rPr>
            </w:pPr>
            <w:r w:rsidRPr="0059299C">
              <w:rPr>
                <w:rFonts w:ascii="David" w:hAnsi="David"/>
                <w:b/>
                <w:bCs/>
                <w:sz w:val="26"/>
                <w:szCs w:val="26"/>
                <w:rtl/>
              </w:rPr>
              <w:t>כבוד השופטת  מרב גרינברג</w:t>
            </w:r>
          </w:p>
          <w:p w14:paraId="6130A6BC" w14:textId="77777777" w:rsidR="00FA6FCA" w:rsidRPr="0059299C" w:rsidRDefault="00FA6FCA" w:rsidP="006D21D0">
            <w:pPr>
              <w:rPr>
                <w:rFonts w:ascii="David" w:hAnsi="David"/>
                <w:sz w:val="26"/>
                <w:szCs w:val="26"/>
                <w:rtl/>
              </w:rPr>
            </w:pPr>
          </w:p>
          <w:p w14:paraId="2279690B" w14:textId="77777777" w:rsidR="00FA6FCA" w:rsidRPr="0059299C" w:rsidRDefault="00FA6FCA" w:rsidP="00FA6FCA">
            <w:pPr>
              <w:jc w:val="both"/>
              <w:rPr>
                <w:rFonts w:ascii="David" w:hAnsi="David"/>
                <w:sz w:val="26"/>
                <w:szCs w:val="26"/>
              </w:rPr>
            </w:pPr>
          </w:p>
        </w:tc>
      </w:tr>
      <w:tr w:rsidR="00FA6FCA" w:rsidRPr="0059299C" w14:paraId="197056D3" w14:textId="77777777" w:rsidTr="006F28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E0FDADA" w14:textId="77777777" w:rsidR="00FA6FCA" w:rsidRPr="0059299C" w:rsidRDefault="00FA6FCA" w:rsidP="00FA6FCA">
            <w:pPr>
              <w:jc w:val="both"/>
              <w:rPr>
                <w:rFonts w:ascii="David" w:hAnsi="David"/>
                <w:sz w:val="26"/>
                <w:szCs w:val="26"/>
              </w:rPr>
            </w:pPr>
            <w:bookmarkStart w:id="2" w:name="FirstAppellant"/>
            <w:r w:rsidRPr="0059299C">
              <w:rPr>
                <w:rFonts w:ascii="David" w:hAnsi="David"/>
                <w:sz w:val="26"/>
                <w:szCs w:val="26"/>
                <w:rtl/>
              </w:rPr>
              <w:t>בעניין:</w:t>
            </w:r>
          </w:p>
        </w:tc>
        <w:tc>
          <w:tcPr>
            <w:tcW w:w="3219" w:type="dxa"/>
            <w:tcBorders>
              <w:top w:val="nil"/>
              <w:left w:val="nil"/>
              <w:bottom w:val="nil"/>
              <w:right w:val="nil"/>
            </w:tcBorders>
            <w:shd w:val="clear" w:color="auto" w:fill="auto"/>
          </w:tcPr>
          <w:p w14:paraId="614BA0DB" w14:textId="77777777" w:rsidR="00FA6FCA" w:rsidRPr="0059299C" w:rsidRDefault="00FA6FCA" w:rsidP="00FA6FCA">
            <w:pPr>
              <w:suppressLineNumbers/>
            </w:pPr>
            <w:r w:rsidRPr="0059299C">
              <w:rPr>
                <w:rFonts w:ascii="Arial" w:hAnsi="Arial" w:hint="cs"/>
                <w:b/>
                <w:bCs/>
                <w:sz w:val="26"/>
                <w:szCs w:val="26"/>
                <w:rtl/>
              </w:rPr>
              <w:t>ה</w:t>
            </w:r>
            <w:r w:rsidRPr="0059299C">
              <w:rPr>
                <w:rFonts w:ascii="Arial" w:hAnsi="Arial"/>
                <w:b/>
                <w:bCs/>
                <w:sz w:val="26"/>
                <w:szCs w:val="26"/>
                <w:rtl/>
              </w:rPr>
              <w:t>מאשימה</w:t>
            </w:r>
          </w:p>
          <w:p w14:paraId="2D66CC39" w14:textId="77777777" w:rsidR="00FA6FCA" w:rsidRPr="0059299C" w:rsidRDefault="00FA6FCA" w:rsidP="006D21D0">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5BB5784D" w14:textId="77777777" w:rsidR="00FA6FCA" w:rsidRPr="0059299C" w:rsidRDefault="00FA6FCA" w:rsidP="00FA6FCA">
            <w:pPr>
              <w:suppressLineNumbers/>
              <w:rPr>
                <w:rFonts w:ascii="Arial" w:hAnsi="Arial"/>
                <w:b/>
                <w:bCs/>
                <w:sz w:val="26"/>
                <w:szCs w:val="26"/>
              </w:rPr>
            </w:pPr>
            <w:r w:rsidRPr="0059299C">
              <w:rPr>
                <w:rFonts w:ascii="Arial" w:hAnsi="Arial"/>
                <w:b/>
                <w:bCs/>
                <w:sz w:val="26"/>
                <w:szCs w:val="26"/>
                <w:rtl/>
              </w:rPr>
              <w:t>מדינת ישראל</w:t>
            </w:r>
            <w:r w:rsidRPr="0059299C">
              <w:rPr>
                <w:rFonts w:ascii="Arial" w:hAnsi="Arial"/>
                <w:b/>
                <w:bCs/>
                <w:sz w:val="26"/>
                <w:szCs w:val="26"/>
                <w:rtl/>
              </w:rPr>
              <w:br/>
              <w:t>ע"י ב"כ עוה"ד</w:t>
            </w:r>
            <w:r w:rsidRPr="0059299C">
              <w:rPr>
                <w:rFonts w:ascii="Arial" w:hAnsi="Arial" w:hint="cs"/>
                <w:b/>
                <w:bCs/>
                <w:sz w:val="26"/>
                <w:szCs w:val="26"/>
                <w:rtl/>
              </w:rPr>
              <w:t xml:space="preserve"> יעל תרם</w:t>
            </w:r>
          </w:p>
          <w:p w14:paraId="5BD51AC1" w14:textId="77777777" w:rsidR="00FA6FCA" w:rsidRPr="0059299C" w:rsidRDefault="00FA6FCA" w:rsidP="006D21D0">
            <w:pPr>
              <w:rPr>
                <w:rFonts w:ascii="David" w:hAnsi="David"/>
                <w:sz w:val="26"/>
                <w:szCs w:val="26"/>
              </w:rPr>
            </w:pPr>
          </w:p>
        </w:tc>
      </w:tr>
      <w:bookmarkEnd w:id="2"/>
      <w:tr w:rsidR="00FA6FCA" w:rsidRPr="0059299C" w14:paraId="53C29F59" w14:textId="77777777" w:rsidTr="006F28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5BFA809" w14:textId="77777777" w:rsidR="00FA6FCA" w:rsidRPr="0059299C" w:rsidRDefault="00FA6FCA" w:rsidP="00FA6FCA">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249E0A68" w14:textId="77777777" w:rsidR="00FA6FCA" w:rsidRPr="0059299C" w:rsidRDefault="00FA6FCA" w:rsidP="00FA6FCA">
            <w:pPr>
              <w:jc w:val="center"/>
              <w:rPr>
                <w:rFonts w:ascii="David" w:hAnsi="David"/>
                <w:b/>
                <w:bCs/>
                <w:sz w:val="26"/>
                <w:szCs w:val="26"/>
                <w:rtl/>
              </w:rPr>
            </w:pPr>
          </w:p>
          <w:p w14:paraId="5E0206E7" w14:textId="77777777" w:rsidR="00FA6FCA" w:rsidRPr="0059299C" w:rsidRDefault="00FA6FCA" w:rsidP="00FA6FCA">
            <w:pPr>
              <w:jc w:val="center"/>
              <w:rPr>
                <w:rFonts w:ascii="David" w:hAnsi="David"/>
                <w:b/>
                <w:bCs/>
                <w:sz w:val="26"/>
                <w:szCs w:val="26"/>
                <w:rtl/>
              </w:rPr>
            </w:pPr>
            <w:r w:rsidRPr="0059299C">
              <w:rPr>
                <w:rFonts w:ascii="David" w:hAnsi="David"/>
                <w:b/>
                <w:bCs/>
                <w:sz w:val="26"/>
                <w:szCs w:val="26"/>
                <w:rtl/>
              </w:rPr>
              <w:t>נגד</w:t>
            </w:r>
          </w:p>
          <w:p w14:paraId="0ECFC4EE" w14:textId="77777777" w:rsidR="00FA6FCA" w:rsidRPr="0059299C" w:rsidRDefault="00FA6FCA" w:rsidP="00FA6FCA">
            <w:pPr>
              <w:jc w:val="both"/>
              <w:rPr>
                <w:rFonts w:ascii="David" w:hAnsi="David"/>
                <w:sz w:val="26"/>
                <w:szCs w:val="26"/>
              </w:rPr>
            </w:pPr>
          </w:p>
        </w:tc>
      </w:tr>
      <w:tr w:rsidR="00FA6FCA" w:rsidRPr="0059299C" w14:paraId="2B316F88" w14:textId="77777777" w:rsidTr="006F28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1212"/>
          <w:jc w:val="center"/>
        </w:trPr>
        <w:tc>
          <w:tcPr>
            <w:tcW w:w="923" w:type="dxa"/>
            <w:tcBorders>
              <w:top w:val="nil"/>
              <w:left w:val="nil"/>
              <w:bottom w:val="nil"/>
              <w:right w:val="nil"/>
            </w:tcBorders>
            <w:shd w:val="clear" w:color="auto" w:fill="auto"/>
          </w:tcPr>
          <w:p w14:paraId="6C67FEB5" w14:textId="77777777" w:rsidR="00FA6FCA" w:rsidRPr="0059299C" w:rsidRDefault="00FA6FCA" w:rsidP="006D21D0">
            <w:pPr>
              <w:rPr>
                <w:rFonts w:ascii="David" w:hAnsi="David"/>
                <w:sz w:val="26"/>
                <w:szCs w:val="26"/>
                <w:rtl/>
              </w:rPr>
            </w:pPr>
          </w:p>
        </w:tc>
        <w:tc>
          <w:tcPr>
            <w:tcW w:w="3219" w:type="dxa"/>
            <w:tcBorders>
              <w:top w:val="nil"/>
              <w:left w:val="nil"/>
              <w:bottom w:val="nil"/>
              <w:right w:val="nil"/>
            </w:tcBorders>
            <w:shd w:val="clear" w:color="auto" w:fill="auto"/>
          </w:tcPr>
          <w:p w14:paraId="6CA35CBD" w14:textId="77777777" w:rsidR="00FA6FCA" w:rsidRPr="0059299C" w:rsidRDefault="00FA6FCA" w:rsidP="006D21D0">
            <w:pPr>
              <w:rPr>
                <w:rFonts w:ascii="Arial" w:hAnsi="Arial"/>
                <w:b/>
                <w:bCs/>
                <w:sz w:val="26"/>
                <w:szCs w:val="26"/>
                <w:rtl/>
              </w:rPr>
            </w:pPr>
            <w:r w:rsidRPr="0059299C">
              <w:rPr>
                <w:rFonts w:ascii="Arial" w:hAnsi="Arial"/>
                <w:b/>
                <w:bCs/>
                <w:sz w:val="26"/>
                <w:szCs w:val="26"/>
                <w:rtl/>
              </w:rPr>
              <w:t>הנאש</w:t>
            </w:r>
            <w:r w:rsidRPr="0059299C">
              <w:rPr>
                <w:rFonts w:ascii="Arial" w:hAnsi="Arial" w:hint="cs"/>
                <w:b/>
                <w:bCs/>
                <w:sz w:val="26"/>
                <w:szCs w:val="26"/>
                <w:rtl/>
              </w:rPr>
              <w:t>מי</w:t>
            </w:r>
            <w:r w:rsidRPr="0059299C">
              <w:rPr>
                <w:rFonts w:ascii="Arial" w:hAnsi="Arial"/>
                <w:b/>
                <w:bCs/>
                <w:sz w:val="26"/>
                <w:szCs w:val="26"/>
                <w:rtl/>
              </w:rPr>
              <w:t>ם</w:t>
            </w:r>
          </w:p>
        </w:tc>
        <w:tc>
          <w:tcPr>
            <w:tcW w:w="4678" w:type="dxa"/>
            <w:gridSpan w:val="3"/>
            <w:tcBorders>
              <w:top w:val="nil"/>
              <w:left w:val="nil"/>
              <w:bottom w:val="nil"/>
              <w:right w:val="nil"/>
            </w:tcBorders>
            <w:shd w:val="clear" w:color="auto" w:fill="auto"/>
            <w:vAlign w:val="center"/>
          </w:tcPr>
          <w:p w14:paraId="5229A995" w14:textId="77777777" w:rsidR="00FA6FCA" w:rsidRPr="0059299C" w:rsidRDefault="00FA6FCA" w:rsidP="006D21D0">
            <w:pPr>
              <w:rPr>
                <w:rFonts w:ascii="David" w:hAnsi="David"/>
                <w:sz w:val="26"/>
                <w:szCs w:val="26"/>
              </w:rPr>
            </w:pPr>
          </w:p>
          <w:p w14:paraId="235B9AC3" w14:textId="77777777" w:rsidR="00FA6FCA" w:rsidRPr="0059299C" w:rsidRDefault="00FA6FCA" w:rsidP="00FA6FCA">
            <w:pPr>
              <w:suppressLineNumbers/>
              <w:rPr>
                <w:rFonts w:ascii="Arial" w:hAnsi="Arial"/>
                <w:b/>
                <w:bCs/>
                <w:sz w:val="26"/>
                <w:szCs w:val="26"/>
                <w:rtl/>
              </w:rPr>
            </w:pPr>
            <w:r w:rsidRPr="0059299C">
              <w:rPr>
                <w:rFonts w:ascii="Arial" w:hAnsi="Arial"/>
                <w:b/>
                <w:bCs/>
                <w:sz w:val="26"/>
                <w:szCs w:val="26"/>
                <w:rtl/>
              </w:rPr>
              <w:t>1. סאהר נאסר (עציר)</w:t>
            </w:r>
            <w:r w:rsidRPr="0059299C">
              <w:rPr>
                <w:rFonts w:ascii="Arial" w:hAnsi="Arial" w:hint="cs"/>
                <w:b/>
                <w:bCs/>
                <w:sz w:val="26"/>
                <w:szCs w:val="26"/>
                <w:rtl/>
              </w:rPr>
              <w:t xml:space="preserve"> </w:t>
            </w:r>
          </w:p>
          <w:p w14:paraId="0C4CF852" w14:textId="77777777" w:rsidR="00FA6FCA" w:rsidRPr="0059299C" w:rsidRDefault="00FA6FCA" w:rsidP="00FA6FCA">
            <w:pPr>
              <w:suppressLineNumbers/>
              <w:rPr>
                <w:rFonts w:ascii="Arial" w:hAnsi="Arial"/>
                <w:b/>
                <w:bCs/>
                <w:sz w:val="26"/>
                <w:szCs w:val="26"/>
                <w:rtl/>
              </w:rPr>
            </w:pPr>
            <w:r w:rsidRPr="0059299C">
              <w:rPr>
                <w:rFonts w:ascii="Arial" w:hAnsi="Arial"/>
                <w:b/>
                <w:bCs/>
                <w:sz w:val="26"/>
                <w:szCs w:val="26"/>
                <w:rtl/>
              </w:rPr>
              <w:t>2. אמיר אבו נדא (עציר)</w:t>
            </w:r>
            <w:r w:rsidRPr="0059299C">
              <w:rPr>
                <w:rFonts w:ascii="Arial" w:hAnsi="Arial" w:hint="cs"/>
                <w:b/>
                <w:bCs/>
                <w:sz w:val="26"/>
                <w:szCs w:val="26"/>
                <w:rtl/>
              </w:rPr>
              <w:t xml:space="preserve"> </w:t>
            </w:r>
          </w:p>
          <w:p w14:paraId="7FDF0E38" w14:textId="77777777" w:rsidR="00FA6FCA" w:rsidRPr="0059299C" w:rsidRDefault="00FA6FCA" w:rsidP="00FA6FCA">
            <w:pPr>
              <w:suppressLineNumbers/>
            </w:pPr>
            <w:r w:rsidRPr="0059299C">
              <w:rPr>
                <w:rFonts w:ascii="Arial" w:hAnsi="Arial" w:hint="cs"/>
                <w:b/>
                <w:bCs/>
                <w:sz w:val="26"/>
                <w:szCs w:val="26"/>
                <w:rtl/>
              </w:rPr>
              <w:t xml:space="preserve">שניהם </w:t>
            </w:r>
            <w:r w:rsidRPr="0059299C">
              <w:rPr>
                <w:rFonts w:ascii="Arial" w:hAnsi="Arial"/>
                <w:b/>
                <w:bCs/>
                <w:sz w:val="26"/>
                <w:szCs w:val="26"/>
                <w:rtl/>
              </w:rPr>
              <w:t>ע"י ב"כ עוה"ד</w:t>
            </w:r>
            <w:r w:rsidRPr="0059299C">
              <w:rPr>
                <w:rFonts w:ascii="Arial" w:hAnsi="Arial" w:hint="cs"/>
                <w:b/>
                <w:bCs/>
                <w:sz w:val="26"/>
                <w:szCs w:val="26"/>
                <w:rtl/>
              </w:rPr>
              <w:t xml:space="preserve"> איהאב ג'לג'ולי</w:t>
            </w:r>
          </w:p>
        </w:tc>
      </w:tr>
    </w:tbl>
    <w:p w14:paraId="2290918B" w14:textId="77777777" w:rsidR="0059299C" w:rsidRPr="0059299C" w:rsidRDefault="0059299C" w:rsidP="0059299C">
      <w:pPr>
        <w:spacing w:before="120" w:after="120" w:line="240" w:lineRule="exact"/>
        <w:ind w:left="283" w:hanging="283"/>
        <w:jc w:val="both"/>
        <w:rPr>
          <w:rFonts w:ascii="FrankRuehl" w:hAnsi="FrankRuehl" w:cs="FrankRuehl"/>
          <w:rtl/>
        </w:rPr>
      </w:pPr>
    </w:p>
    <w:p w14:paraId="1F2C52DF" w14:textId="77777777" w:rsidR="0059299C" w:rsidRPr="0059299C" w:rsidRDefault="0059299C" w:rsidP="0059299C">
      <w:pPr>
        <w:rPr>
          <w:sz w:val="26"/>
          <w:szCs w:val="26"/>
          <w:rtl/>
        </w:rPr>
      </w:pPr>
    </w:p>
    <w:p w14:paraId="0273F288" w14:textId="77777777" w:rsidR="006F282C" w:rsidRPr="006F282C" w:rsidRDefault="006F282C" w:rsidP="006F282C">
      <w:pPr>
        <w:spacing w:before="120" w:after="120" w:line="240" w:lineRule="exact"/>
        <w:ind w:left="283" w:hanging="283"/>
        <w:jc w:val="both"/>
        <w:rPr>
          <w:rFonts w:ascii="FrankRuehl" w:hAnsi="FrankRuehl" w:cs="FrankRuehl"/>
          <w:rtl/>
        </w:rPr>
      </w:pPr>
    </w:p>
    <w:p w14:paraId="352C03C1" w14:textId="77777777" w:rsidR="00A33352" w:rsidRPr="00A33352" w:rsidRDefault="00A33352" w:rsidP="00A33352">
      <w:pPr>
        <w:spacing w:before="120" w:after="120" w:line="240" w:lineRule="exact"/>
        <w:ind w:left="283" w:hanging="283"/>
        <w:jc w:val="both"/>
        <w:rPr>
          <w:rFonts w:ascii="FrankRuehl" w:hAnsi="FrankRuehl" w:cs="FrankRuehl"/>
          <w:rtl/>
        </w:rPr>
      </w:pPr>
    </w:p>
    <w:p w14:paraId="7498CD5E" w14:textId="77777777" w:rsidR="00B91A9C" w:rsidRDefault="00B91A9C" w:rsidP="00B91A9C">
      <w:pPr>
        <w:rPr>
          <w:sz w:val="26"/>
          <w:szCs w:val="26"/>
          <w:rtl/>
        </w:rPr>
      </w:pPr>
      <w:bookmarkStart w:id="3" w:name="LawTable"/>
      <w:bookmarkEnd w:id="3"/>
    </w:p>
    <w:p w14:paraId="250B8038" w14:textId="77777777" w:rsidR="00B91A9C" w:rsidRPr="00B91A9C" w:rsidRDefault="00B91A9C" w:rsidP="00B91A9C">
      <w:pPr>
        <w:spacing w:before="120" w:after="120" w:line="240" w:lineRule="exact"/>
        <w:ind w:left="283" w:hanging="283"/>
        <w:jc w:val="both"/>
        <w:rPr>
          <w:rFonts w:ascii="FrankRuehl" w:hAnsi="FrankRuehl" w:cs="FrankRuehl"/>
          <w:rtl/>
        </w:rPr>
      </w:pPr>
    </w:p>
    <w:p w14:paraId="45429B91" w14:textId="77777777" w:rsidR="00B91A9C" w:rsidRPr="00B91A9C" w:rsidRDefault="00B91A9C" w:rsidP="00B91A9C">
      <w:pPr>
        <w:spacing w:before="120" w:after="120" w:line="240" w:lineRule="exact"/>
        <w:ind w:left="283" w:hanging="283"/>
        <w:jc w:val="both"/>
        <w:rPr>
          <w:rFonts w:ascii="FrankRuehl" w:hAnsi="FrankRuehl" w:cs="FrankRuehl"/>
          <w:rtl/>
        </w:rPr>
      </w:pPr>
    </w:p>
    <w:p w14:paraId="2756DE7F" w14:textId="77777777" w:rsidR="00B91A9C" w:rsidRPr="00B91A9C" w:rsidRDefault="00B91A9C" w:rsidP="00B91A9C">
      <w:pPr>
        <w:spacing w:before="120" w:after="120" w:line="240" w:lineRule="exact"/>
        <w:ind w:left="283" w:hanging="283"/>
        <w:jc w:val="both"/>
        <w:rPr>
          <w:rFonts w:ascii="FrankRuehl" w:hAnsi="FrankRuehl" w:cs="FrankRuehl"/>
          <w:rtl/>
        </w:rPr>
      </w:pPr>
      <w:r w:rsidRPr="00B91A9C">
        <w:rPr>
          <w:rFonts w:ascii="FrankRuehl" w:hAnsi="FrankRuehl" w:cs="FrankRuehl"/>
          <w:rtl/>
        </w:rPr>
        <w:t xml:space="preserve">חקיקה שאוזכרה: </w:t>
      </w:r>
    </w:p>
    <w:p w14:paraId="4AA2794A" w14:textId="77777777" w:rsidR="00B91A9C" w:rsidRPr="00B91A9C" w:rsidRDefault="00B91A9C" w:rsidP="00B91A9C">
      <w:pPr>
        <w:spacing w:before="120" w:after="120" w:line="240" w:lineRule="exact"/>
        <w:ind w:left="283" w:hanging="283"/>
        <w:jc w:val="both"/>
        <w:rPr>
          <w:rFonts w:ascii="FrankRuehl" w:hAnsi="FrankRuehl" w:cs="FrankRuehl"/>
          <w:rtl/>
        </w:rPr>
      </w:pPr>
      <w:hyperlink r:id="rId7" w:history="1">
        <w:r w:rsidRPr="00B91A9C">
          <w:rPr>
            <w:rFonts w:ascii="FrankRuehl" w:hAnsi="FrankRuehl" w:cs="FrankRuehl"/>
            <w:color w:val="0000FF"/>
            <w:rtl/>
          </w:rPr>
          <w:t>חוק העונשין, תשל"ז-1977</w:t>
        </w:r>
      </w:hyperlink>
      <w:r w:rsidRPr="00B91A9C">
        <w:rPr>
          <w:rFonts w:ascii="FrankRuehl" w:hAnsi="FrankRuehl" w:cs="FrankRuehl"/>
          <w:rtl/>
        </w:rPr>
        <w:t xml:space="preserve">: סע'  </w:t>
      </w:r>
      <w:hyperlink r:id="rId8" w:history="1">
        <w:r w:rsidRPr="00B91A9C">
          <w:rPr>
            <w:rFonts w:ascii="FrankRuehl" w:hAnsi="FrankRuehl" w:cs="FrankRuehl"/>
            <w:color w:val="0000FF"/>
            <w:rtl/>
          </w:rPr>
          <w:t>31</w:t>
        </w:r>
      </w:hyperlink>
      <w:r w:rsidRPr="00B91A9C">
        <w:rPr>
          <w:rFonts w:ascii="FrankRuehl" w:hAnsi="FrankRuehl" w:cs="FrankRuehl"/>
          <w:rtl/>
        </w:rPr>
        <w:t xml:space="preserve">, </w:t>
      </w:r>
      <w:hyperlink r:id="rId9" w:history="1">
        <w:r w:rsidRPr="00B91A9C">
          <w:rPr>
            <w:rFonts w:ascii="FrankRuehl" w:hAnsi="FrankRuehl" w:cs="FrankRuehl"/>
            <w:color w:val="0000FF"/>
            <w:rtl/>
          </w:rPr>
          <w:t>144(א)</w:t>
        </w:r>
      </w:hyperlink>
      <w:r w:rsidRPr="00B91A9C">
        <w:rPr>
          <w:rFonts w:ascii="FrankRuehl" w:hAnsi="FrankRuehl" w:cs="FrankRuehl"/>
          <w:rtl/>
        </w:rPr>
        <w:t xml:space="preserve">, </w:t>
      </w:r>
      <w:hyperlink r:id="rId10" w:history="1">
        <w:r w:rsidRPr="00B91A9C">
          <w:rPr>
            <w:rFonts w:ascii="FrankRuehl" w:hAnsi="FrankRuehl" w:cs="FrankRuehl"/>
            <w:color w:val="0000FF"/>
            <w:rtl/>
          </w:rPr>
          <w:t>144(ב)</w:t>
        </w:r>
      </w:hyperlink>
      <w:r w:rsidRPr="00B91A9C">
        <w:rPr>
          <w:rFonts w:ascii="FrankRuehl" w:hAnsi="FrankRuehl" w:cs="FrankRuehl"/>
          <w:rtl/>
        </w:rPr>
        <w:t xml:space="preserve">, </w:t>
      </w:r>
      <w:hyperlink r:id="rId11" w:history="1">
        <w:r w:rsidRPr="00B91A9C">
          <w:rPr>
            <w:rFonts w:ascii="FrankRuehl" w:hAnsi="FrankRuehl" w:cs="FrankRuehl"/>
            <w:color w:val="0000FF"/>
            <w:rtl/>
          </w:rPr>
          <w:t>192</w:t>
        </w:r>
      </w:hyperlink>
      <w:r w:rsidRPr="00B91A9C">
        <w:rPr>
          <w:rFonts w:ascii="FrankRuehl" w:hAnsi="FrankRuehl" w:cs="FrankRuehl"/>
          <w:rtl/>
        </w:rPr>
        <w:t xml:space="preserve">, </w:t>
      </w:r>
      <w:hyperlink r:id="rId12" w:history="1">
        <w:r w:rsidRPr="00B91A9C">
          <w:rPr>
            <w:rFonts w:ascii="FrankRuehl" w:hAnsi="FrankRuehl" w:cs="FrankRuehl"/>
            <w:color w:val="0000FF"/>
            <w:rtl/>
          </w:rPr>
          <w:t>340(א)</w:t>
        </w:r>
      </w:hyperlink>
      <w:r w:rsidRPr="00B91A9C">
        <w:rPr>
          <w:rFonts w:ascii="FrankRuehl" w:hAnsi="FrankRuehl" w:cs="FrankRuehl"/>
          <w:rtl/>
        </w:rPr>
        <w:t xml:space="preserve">, </w:t>
      </w:r>
      <w:hyperlink r:id="rId13" w:history="1">
        <w:r w:rsidRPr="00B91A9C">
          <w:rPr>
            <w:rFonts w:ascii="FrankRuehl" w:hAnsi="FrankRuehl" w:cs="FrankRuehl"/>
            <w:color w:val="0000FF"/>
            <w:rtl/>
          </w:rPr>
          <w:t>340א</w:t>
        </w:r>
      </w:hyperlink>
      <w:r w:rsidRPr="00B91A9C">
        <w:rPr>
          <w:rFonts w:ascii="FrankRuehl" w:hAnsi="FrankRuehl" w:cs="FrankRuehl"/>
          <w:rtl/>
        </w:rPr>
        <w:t xml:space="preserve">, </w:t>
      </w:r>
      <w:hyperlink r:id="rId14" w:history="1">
        <w:r w:rsidRPr="00B91A9C">
          <w:rPr>
            <w:rFonts w:ascii="FrankRuehl" w:hAnsi="FrankRuehl" w:cs="FrankRuehl"/>
            <w:color w:val="0000FF"/>
            <w:rtl/>
          </w:rPr>
          <w:t>340א(ב)(1)</w:t>
        </w:r>
      </w:hyperlink>
      <w:r w:rsidRPr="00B91A9C">
        <w:rPr>
          <w:rFonts w:ascii="FrankRuehl" w:hAnsi="FrankRuehl" w:cs="FrankRuehl"/>
          <w:rtl/>
        </w:rPr>
        <w:t xml:space="preserve">, </w:t>
      </w:r>
      <w:hyperlink r:id="rId15" w:history="1">
        <w:r w:rsidRPr="00B91A9C">
          <w:rPr>
            <w:rFonts w:ascii="FrankRuehl" w:hAnsi="FrankRuehl" w:cs="FrankRuehl"/>
            <w:color w:val="0000FF"/>
            <w:rtl/>
          </w:rPr>
          <w:t>384</w:t>
        </w:r>
      </w:hyperlink>
    </w:p>
    <w:p w14:paraId="5613ECD7" w14:textId="77777777" w:rsidR="00B91A9C" w:rsidRPr="00B91A9C" w:rsidRDefault="00B91A9C" w:rsidP="00B91A9C">
      <w:pPr>
        <w:rPr>
          <w:sz w:val="26"/>
          <w:szCs w:val="26"/>
          <w:rtl/>
        </w:rPr>
      </w:pPr>
      <w:bookmarkStart w:id="4" w:name="LawTable_End"/>
      <w:bookmarkEnd w:id="4"/>
    </w:p>
    <w:p w14:paraId="5571CF98" w14:textId="77777777" w:rsidR="006F282C" w:rsidRPr="00A33352" w:rsidRDefault="006F282C" w:rsidP="00A33352">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A6FCA" w14:paraId="495035CA" w14:textId="77777777" w:rsidTr="00FA6FCA">
        <w:trPr>
          <w:trHeight w:val="355"/>
          <w:jc w:val="center"/>
        </w:trPr>
        <w:tc>
          <w:tcPr>
            <w:tcW w:w="8820" w:type="dxa"/>
            <w:tcBorders>
              <w:top w:val="nil"/>
              <w:left w:val="nil"/>
              <w:bottom w:val="nil"/>
              <w:right w:val="nil"/>
            </w:tcBorders>
            <w:shd w:val="clear" w:color="auto" w:fill="auto"/>
          </w:tcPr>
          <w:p w14:paraId="0A35CBBF" w14:textId="77777777" w:rsidR="0059299C" w:rsidRPr="0059299C" w:rsidRDefault="0059299C" w:rsidP="0059299C">
            <w:pPr>
              <w:jc w:val="center"/>
              <w:rPr>
                <w:rFonts w:ascii="David" w:hAnsi="David"/>
                <w:b/>
                <w:bCs/>
                <w:sz w:val="32"/>
                <w:szCs w:val="32"/>
                <w:u w:val="single"/>
                <w:rtl/>
              </w:rPr>
            </w:pPr>
            <w:bookmarkStart w:id="5" w:name="PsakDin" w:colFirst="0" w:colLast="0"/>
            <w:bookmarkEnd w:id="0"/>
            <w:bookmarkEnd w:id="1"/>
            <w:r w:rsidRPr="0059299C">
              <w:rPr>
                <w:rFonts w:ascii="David" w:hAnsi="David"/>
                <w:b/>
                <w:bCs/>
                <w:sz w:val="32"/>
                <w:szCs w:val="32"/>
                <w:u w:val="single"/>
                <w:rtl/>
              </w:rPr>
              <w:t>גזר דין</w:t>
            </w:r>
          </w:p>
          <w:p w14:paraId="4CD6037A" w14:textId="77777777" w:rsidR="00FA6FCA" w:rsidRPr="0059299C" w:rsidRDefault="00FA6FCA" w:rsidP="0059299C">
            <w:pPr>
              <w:jc w:val="center"/>
              <w:rPr>
                <w:rFonts w:ascii="David" w:hAnsi="David"/>
                <w:bCs/>
                <w:sz w:val="32"/>
                <w:szCs w:val="32"/>
                <w:u w:val="single"/>
                <w:rtl/>
              </w:rPr>
            </w:pPr>
          </w:p>
        </w:tc>
      </w:tr>
      <w:bookmarkEnd w:id="5"/>
    </w:tbl>
    <w:p w14:paraId="252C5163" w14:textId="77777777" w:rsidR="00FA6FCA" w:rsidRPr="000F2247" w:rsidRDefault="00FA6FCA" w:rsidP="00FA6FCA">
      <w:pPr>
        <w:rPr>
          <w:rFonts w:ascii="Arial" w:hAnsi="Arial"/>
          <w:b/>
          <w:bCs/>
          <w:sz w:val="26"/>
          <w:szCs w:val="26"/>
          <w:rtl/>
        </w:rPr>
      </w:pPr>
    </w:p>
    <w:p w14:paraId="303B15FD" w14:textId="77777777" w:rsidR="00FA6FCA" w:rsidRPr="000F2247" w:rsidRDefault="00FA6FCA" w:rsidP="00FA6FCA">
      <w:pPr>
        <w:rPr>
          <w:rFonts w:ascii="Arial" w:hAnsi="Arial"/>
          <w:b/>
          <w:bCs/>
          <w:sz w:val="26"/>
          <w:szCs w:val="26"/>
          <w:rtl/>
        </w:rPr>
      </w:pPr>
    </w:p>
    <w:p w14:paraId="65C74846" w14:textId="77777777" w:rsidR="00FA6FCA" w:rsidRDefault="00FA6FCA" w:rsidP="00FA6FCA">
      <w:pPr>
        <w:pStyle w:val="a9"/>
        <w:numPr>
          <w:ilvl w:val="0"/>
          <w:numId w:val="1"/>
        </w:numPr>
        <w:spacing w:line="360" w:lineRule="auto"/>
        <w:jc w:val="both"/>
        <w:rPr>
          <w:u w:val="single"/>
        </w:rPr>
      </w:pPr>
      <w:bookmarkStart w:id="6" w:name="ABSTRACT_START"/>
      <w:bookmarkEnd w:id="6"/>
      <w:r>
        <w:rPr>
          <w:rFonts w:hint="cs"/>
          <w:rtl/>
        </w:rPr>
        <w:t xml:space="preserve">הנאשמים הורשעו במסגרת הסדר טיעון, בעובדות כתב אישום מתוקן, </w:t>
      </w:r>
      <w:r>
        <w:rPr>
          <w:rFonts w:hint="cs"/>
          <w:b/>
          <w:bCs/>
          <w:rtl/>
        </w:rPr>
        <w:t>נאשם 1-</w:t>
      </w:r>
      <w:r>
        <w:rPr>
          <w:rFonts w:hint="cs"/>
          <w:rtl/>
        </w:rPr>
        <w:t xml:space="preserve">  בעבירת החזקת נשק בלא רשות, </w:t>
      </w:r>
      <w:r>
        <w:rPr>
          <w:rFonts w:hint="cs"/>
          <w:u w:val="single"/>
          <w:rtl/>
        </w:rPr>
        <w:t xml:space="preserve">לפי </w:t>
      </w:r>
      <w:hyperlink r:id="rId16" w:history="1">
        <w:r w:rsidR="006F282C" w:rsidRPr="006F282C">
          <w:rPr>
            <w:rStyle w:val="Hyperlink"/>
            <w:rFonts w:hint="eastAsia"/>
            <w:rtl/>
          </w:rPr>
          <w:t>סעיף</w:t>
        </w:r>
        <w:r w:rsidR="006F282C" w:rsidRPr="006F282C">
          <w:rPr>
            <w:rStyle w:val="Hyperlink"/>
            <w:rtl/>
          </w:rPr>
          <w:t xml:space="preserve"> 144(א)</w:t>
        </w:r>
      </w:hyperlink>
      <w:r>
        <w:rPr>
          <w:rFonts w:hint="cs"/>
          <w:u w:val="single"/>
          <w:rtl/>
        </w:rPr>
        <w:t xml:space="preserve"> רישא ל</w:t>
      </w:r>
      <w:hyperlink r:id="rId17" w:history="1">
        <w:r w:rsidR="0059299C" w:rsidRPr="0059299C">
          <w:rPr>
            <w:color w:val="0000FF"/>
            <w:u w:val="single"/>
            <w:rtl/>
          </w:rPr>
          <w:t>חוק העונשין</w:t>
        </w:r>
      </w:hyperlink>
      <w:r>
        <w:rPr>
          <w:rFonts w:hint="cs"/>
          <w:rtl/>
        </w:rPr>
        <w:t xml:space="preserve">, תשל"ז- 1977 (להלן: "החוק"), נשיאה והובלת נשק לפי </w:t>
      </w:r>
      <w:hyperlink r:id="rId18" w:history="1">
        <w:r w:rsidR="006F282C" w:rsidRPr="006F282C">
          <w:rPr>
            <w:rStyle w:val="Hyperlink"/>
            <w:rFonts w:hint="eastAsia"/>
            <w:rtl/>
          </w:rPr>
          <w:t>סעיף</w:t>
        </w:r>
        <w:r w:rsidR="006F282C" w:rsidRPr="006F282C">
          <w:rPr>
            <w:rStyle w:val="Hyperlink"/>
            <w:rtl/>
          </w:rPr>
          <w:t xml:space="preserve"> 144(ב)</w:t>
        </w:r>
      </w:hyperlink>
      <w:r>
        <w:rPr>
          <w:rFonts w:hint="cs"/>
          <w:rtl/>
        </w:rPr>
        <w:t xml:space="preserve"> לחוק ובעבירת ירי מנשק חם, </w:t>
      </w:r>
      <w:r>
        <w:rPr>
          <w:rFonts w:hint="cs"/>
          <w:u w:val="single"/>
          <w:rtl/>
        </w:rPr>
        <w:t xml:space="preserve">לפי </w:t>
      </w:r>
      <w:hyperlink r:id="rId19" w:history="1">
        <w:r w:rsidR="006F282C" w:rsidRPr="006F282C">
          <w:rPr>
            <w:rStyle w:val="Hyperlink"/>
            <w:rFonts w:hint="eastAsia"/>
            <w:rtl/>
          </w:rPr>
          <w:t>סעיף</w:t>
        </w:r>
        <w:r w:rsidR="006F282C" w:rsidRPr="006F282C">
          <w:rPr>
            <w:rStyle w:val="Hyperlink"/>
            <w:rtl/>
          </w:rPr>
          <w:t xml:space="preserve"> 340א(ב)(1)</w:t>
        </w:r>
      </w:hyperlink>
      <w:r>
        <w:rPr>
          <w:rFonts w:hint="cs"/>
          <w:u w:val="single"/>
          <w:rtl/>
        </w:rPr>
        <w:t xml:space="preserve"> לחוק</w:t>
      </w:r>
      <w:r>
        <w:rPr>
          <w:rFonts w:hint="cs"/>
          <w:rtl/>
        </w:rPr>
        <w:t>, ו</w:t>
      </w:r>
      <w:r>
        <w:rPr>
          <w:rFonts w:hint="cs"/>
          <w:b/>
          <w:bCs/>
          <w:rtl/>
        </w:rPr>
        <w:t>נאשם 2</w:t>
      </w:r>
      <w:r>
        <w:rPr>
          <w:rFonts w:hint="cs"/>
          <w:rtl/>
        </w:rPr>
        <w:t xml:space="preserve"> בעבירות של סיוע לנשיאה והובלת נשק לפי </w:t>
      </w:r>
      <w:hyperlink r:id="rId20" w:history="1">
        <w:r w:rsidR="006F282C" w:rsidRPr="006F282C">
          <w:rPr>
            <w:rStyle w:val="Hyperlink"/>
            <w:rFonts w:hint="eastAsia"/>
            <w:rtl/>
          </w:rPr>
          <w:t>סעיף</w:t>
        </w:r>
        <w:r w:rsidR="006F282C" w:rsidRPr="006F282C">
          <w:rPr>
            <w:rStyle w:val="Hyperlink"/>
            <w:rtl/>
          </w:rPr>
          <w:t xml:space="preserve"> 144(ב)</w:t>
        </w:r>
      </w:hyperlink>
      <w:r>
        <w:rPr>
          <w:rFonts w:hint="cs"/>
          <w:rtl/>
        </w:rPr>
        <w:t xml:space="preserve"> </w:t>
      </w:r>
      <w:hyperlink r:id="rId21" w:history="1">
        <w:r w:rsidR="006F282C" w:rsidRPr="006F282C">
          <w:rPr>
            <w:rStyle w:val="Hyperlink"/>
            <w:rFonts w:hint="eastAsia"/>
            <w:rtl/>
          </w:rPr>
          <w:t>וסעיף</w:t>
        </w:r>
        <w:r w:rsidR="006F282C" w:rsidRPr="006F282C">
          <w:rPr>
            <w:rStyle w:val="Hyperlink"/>
            <w:rtl/>
          </w:rPr>
          <w:t xml:space="preserve"> 31</w:t>
        </w:r>
      </w:hyperlink>
      <w:r>
        <w:rPr>
          <w:rFonts w:hint="cs"/>
          <w:rtl/>
        </w:rPr>
        <w:t xml:space="preserve"> וסיוע בעבירת ירי מנשק חם, </w:t>
      </w:r>
      <w:r>
        <w:rPr>
          <w:rFonts w:hint="cs"/>
          <w:u w:val="single"/>
          <w:rtl/>
        </w:rPr>
        <w:t xml:space="preserve">לפי </w:t>
      </w:r>
      <w:hyperlink r:id="rId22" w:history="1">
        <w:r w:rsidR="006F282C" w:rsidRPr="006F282C">
          <w:rPr>
            <w:rStyle w:val="Hyperlink"/>
            <w:rFonts w:hint="eastAsia"/>
            <w:rtl/>
          </w:rPr>
          <w:t>סעיף</w:t>
        </w:r>
        <w:r w:rsidR="006F282C" w:rsidRPr="006F282C">
          <w:rPr>
            <w:rStyle w:val="Hyperlink"/>
            <w:rtl/>
          </w:rPr>
          <w:t xml:space="preserve"> 340א(ב)(1)</w:t>
        </w:r>
      </w:hyperlink>
      <w:r>
        <w:rPr>
          <w:rFonts w:hint="cs"/>
          <w:u w:val="single"/>
          <w:rtl/>
        </w:rPr>
        <w:t xml:space="preserve"> וסעיף </w:t>
      </w:r>
      <w:hyperlink r:id="rId23" w:history="1">
        <w:r w:rsidR="006F282C" w:rsidRPr="006F282C">
          <w:rPr>
            <w:rStyle w:val="Hyperlink"/>
            <w:rtl/>
          </w:rPr>
          <w:t>31</w:t>
        </w:r>
      </w:hyperlink>
      <w:r>
        <w:rPr>
          <w:rFonts w:hint="cs"/>
          <w:u w:val="single"/>
          <w:rtl/>
        </w:rPr>
        <w:t xml:space="preserve"> לחוק. </w:t>
      </w:r>
      <w:r>
        <w:rPr>
          <w:rFonts w:hint="cs"/>
          <w:rtl/>
        </w:rPr>
        <w:t xml:space="preserve"> עוד הורשע נאשם 1 במסגרת האישום השני בהחזקת תת מקלע מסוג קרלו ותחמושת, עבירה </w:t>
      </w:r>
      <w:r>
        <w:rPr>
          <w:rFonts w:hint="cs"/>
          <w:u w:val="single"/>
          <w:rtl/>
        </w:rPr>
        <w:t xml:space="preserve">לפי </w:t>
      </w:r>
      <w:hyperlink r:id="rId24" w:history="1">
        <w:r w:rsidR="006F282C" w:rsidRPr="006F282C">
          <w:rPr>
            <w:rStyle w:val="Hyperlink"/>
            <w:rFonts w:hint="eastAsia"/>
            <w:rtl/>
          </w:rPr>
          <w:t>סעיף</w:t>
        </w:r>
        <w:r w:rsidR="006F282C" w:rsidRPr="006F282C">
          <w:rPr>
            <w:rStyle w:val="Hyperlink"/>
            <w:rtl/>
          </w:rPr>
          <w:t xml:space="preserve"> 144(א)</w:t>
        </w:r>
      </w:hyperlink>
      <w:r>
        <w:rPr>
          <w:rFonts w:hint="cs"/>
          <w:rtl/>
        </w:rPr>
        <w:t xml:space="preserve"> רישא וסיפא לחוק ובמסגרת תיק נוסף שצירף (</w:t>
      </w:r>
      <w:hyperlink r:id="rId25" w:history="1">
        <w:r w:rsidR="0059299C" w:rsidRPr="0059299C">
          <w:rPr>
            <w:color w:val="0000FF"/>
            <w:u w:val="single"/>
            <w:rtl/>
          </w:rPr>
          <w:t>ת"פ 43893-10-22</w:t>
        </w:r>
      </w:hyperlink>
      <w:r>
        <w:rPr>
          <w:rFonts w:hint="cs"/>
          <w:rtl/>
        </w:rPr>
        <w:t xml:space="preserve"> שלום כ"ס) </w:t>
      </w:r>
      <w:r>
        <w:rPr>
          <w:rFonts w:hint="cs"/>
          <w:u w:val="single"/>
          <w:rtl/>
        </w:rPr>
        <w:t xml:space="preserve">בעבירות גניבה לפי </w:t>
      </w:r>
      <w:hyperlink r:id="rId26" w:history="1">
        <w:r w:rsidR="006F282C" w:rsidRPr="006F282C">
          <w:rPr>
            <w:rStyle w:val="Hyperlink"/>
            <w:rtl/>
          </w:rPr>
          <w:t>384</w:t>
        </w:r>
      </w:hyperlink>
      <w:r>
        <w:rPr>
          <w:rFonts w:hint="cs"/>
          <w:u w:val="single"/>
          <w:rtl/>
        </w:rPr>
        <w:t xml:space="preserve"> ואיומים לפי </w:t>
      </w:r>
      <w:hyperlink r:id="rId27" w:history="1">
        <w:r w:rsidR="006F282C" w:rsidRPr="006F282C">
          <w:rPr>
            <w:rStyle w:val="Hyperlink"/>
            <w:rFonts w:hint="eastAsia"/>
            <w:rtl/>
          </w:rPr>
          <w:t>סעיף</w:t>
        </w:r>
        <w:r w:rsidR="006F282C" w:rsidRPr="006F282C">
          <w:rPr>
            <w:rStyle w:val="Hyperlink"/>
            <w:rtl/>
          </w:rPr>
          <w:t xml:space="preserve"> 192</w:t>
        </w:r>
      </w:hyperlink>
      <w:r>
        <w:rPr>
          <w:rFonts w:hint="cs"/>
          <w:u w:val="single"/>
          <w:rtl/>
        </w:rPr>
        <w:t xml:space="preserve"> לחוק. </w:t>
      </w:r>
    </w:p>
    <w:p w14:paraId="292C9C91" w14:textId="77777777" w:rsidR="00FA6FCA" w:rsidRDefault="00FA6FCA" w:rsidP="00FA6FCA">
      <w:pPr>
        <w:pStyle w:val="a9"/>
        <w:spacing w:line="360" w:lineRule="auto"/>
        <w:jc w:val="both"/>
      </w:pPr>
      <w:bookmarkStart w:id="7" w:name="ABSTRACT_END"/>
      <w:bookmarkEnd w:id="7"/>
    </w:p>
    <w:p w14:paraId="2F7F392C" w14:textId="77777777" w:rsidR="00FA6FCA" w:rsidRDefault="00FA6FCA" w:rsidP="00FA6FCA">
      <w:pPr>
        <w:pStyle w:val="a9"/>
        <w:numPr>
          <w:ilvl w:val="0"/>
          <w:numId w:val="1"/>
        </w:numPr>
        <w:spacing w:line="360" w:lineRule="auto"/>
        <w:jc w:val="both"/>
        <w:rPr>
          <w:b/>
          <w:bCs/>
          <w:rtl/>
        </w:rPr>
      </w:pPr>
      <w:r>
        <w:rPr>
          <w:rFonts w:hint="cs"/>
          <w:rtl/>
        </w:rPr>
        <w:t xml:space="preserve">כמפורט בעובדות כתב האישום המתוקן, בין הנאשמים שהם בני דודים לבין מר חמודי שחאדה (להלן: "המתלונן") התגלע סכסוך כספי. ביום 27.9.22 נשא נאשם 1 אקדח חצי אוטומטי מסוג </w:t>
      </w:r>
      <w:r>
        <w:t>FN</w:t>
      </w:r>
      <w:r>
        <w:rPr>
          <w:rFonts w:hint="cs"/>
          <w:rtl/>
        </w:rPr>
        <w:t xml:space="preserve">, הנאשם החזיק באקדח ממועד זה עד ליום 17.12.22. במועד זה בסמוך לשעה 02:00 נסעו הנאשמים ביחד ברכב בבעלות הנאשם 1 מסוג מאזדה לעבר בית המתלונן בטירה, כשהם נושאים עמם את האקדח וכלי נשק נוסף ומחסניות המכילות תחמושת תואמות. בהגיעם בסמוך לביתו, ירו הנאשמים  באמצעות כלי הנשק לעבר ביתו, כשבאותה עת שהו בבית בני הבית ופגעו בחלק החיצוני של הבית והגדר המקיפה אותו, לאחר מכן נמלטו וחזרו לבית נאשם 1. בעקבות זאת, בשעה 03:05 הגיעו שוטרים לבית נאשם 1, דפקו על דלת הבית וביקשו להכנס. בתגובה הקליט נאשם 1 הודעות קוליות לבני משפחתו והורה להם להותיר את הדלת נעולה. במקביל השליכו הנאשמים או מי מטעמם את כלי הנשק מחלון הקומה השנייה בבית, כיבו את אורות הבית ולא פתחו את דלת הבית לשוטרים. </w:t>
      </w:r>
      <w:r>
        <w:rPr>
          <w:rFonts w:hint="cs"/>
          <w:b/>
          <w:bCs/>
          <w:rtl/>
        </w:rPr>
        <w:t xml:space="preserve">בנסיבות אלו, החזיק נאשם 1 באקדח, נשא אותו וירה מנשק חם באזור מגורים, ונאשם 2 סייע לו להוביל את הנשק ברכב ולירי מנשק חם לעבר בית המתלונן. </w:t>
      </w:r>
    </w:p>
    <w:p w14:paraId="3EC1264D" w14:textId="77777777" w:rsidR="00FA6FCA" w:rsidRDefault="00FA6FCA" w:rsidP="00FA6FCA">
      <w:pPr>
        <w:pStyle w:val="a9"/>
      </w:pPr>
    </w:p>
    <w:p w14:paraId="12E71F3C" w14:textId="77777777" w:rsidR="00FA6FCA" w:rsidRDefault="00FA6FCA" w:rsidP="00FA6FCA">
      <w:pPr>
        <w:pStyle w:val="a9"/>
        <w:spacing w:line="360" w:lineRule="auto"/>
        <w:jc w:val="both"/>
        <w:rPr>
          <w:rtl/>
        </w:rPr>
      </w:pPr>
      <w:r>
        <w:rPr>
          <w:rFonts w:hint="cs"/>
          <w:rtl/>
        </w:rPr>
        <w:t>במסגרת האישום השני, החזיק נאשם 1 ביום 4.12.22 בביתו בטירה תת מקלע מסוג קרלו ותחמושת תואמת. עוד הורשע במסגרת תיק הצירוף בכך שביום 1.7.22 דרש מאמו כסף לרכוש סמים, על רקע ויכוח בין השניים בעניין זה, נטל הנאשם סכין מהמטבח, הפנה אותה לעבר אמו ואיים עליה שישחט אותה. בנסיבות אלו עזב את הבית כשהוא גונב את מכשיר הטלפון של האם.</w:t>
      </w:r>
    </w:p>
    <w:p w14:paraId="47A5EA4F" w14:textId="77777777" w:rsidR="00FA6FCA" w:rsidRDefault="00FA6FCA" w:rsidP="00FA6FCA">
      <w:pPr>
        <w:pStyle w:val="a9"/>
        <w:spacing w:line="360" w:lineRule="auto"/>
        <w:jc w:val="both"/>
        <w:rPr>
          <w:rtl/>
        </w:rPr>
      </w:pPr>
    </w:p>
    <w:p w14:paraId="431AA44D" w14:textId="77777777" w:rsidR="00FA6FCA" w:rsidRDefault="00FA6FCA" w:rsidP="00FA6FCA">
      <w:pPr>
        <w:pStyle w:val="a9"/>
        <w:numPr>
          <w:ilvl w:val="0"/>
          <w:numId w:val="1"/>
        </w:numPr>
        <w:spacing w:line="360" w:lineRule="auto"/>
        <w:jc w:val="both"/>
      </w:pPr>
      <w:r>
        <w:rPr>
          <w:rFonts w:hint="cs"/>
          <w:rtl/>
        </w:rPr>
        <w:t xml:space="preserve">הצדדים הגיעו להסדר טיעון, המאשימה עתרה בעניין נאשם 1 בתיק זה לעונש ראוי של 7 שנות מאסר ובגין התיק המצורף למאסר בן 16 חודשים, הכוללים הפעלת תנאי בן 4 חודשים והפעלת התחייבות כספית בת 2,000 ₪ וענישה נלווית, ההגנה חופשיה בטיעוניה. בעניינו של נאשם 2 עתרה המאשימה למאסר בן 28 חודשים וענישה נלווית. </w:t>
      </w:r>
    </w:p>
    <w:p w14:paraId="701E0260" w14:textId="77777777" w:rsidR="00FA6FCA" w:rsidRDefault="00FA6FCA" w:rsidP="00FA6FCA">
      <w:pPr>
        <w:pStyle w:val="a9"/>
      </w:pPr>
    </w:p>
    <w:p w14:paraId="4A4E0600" w14:textId="77777777" w:rsidR="00FA6FCA" w:rsidRDefault="00FA6FCA" w:rsidP="00FA6FCA">
      <w:pPr>
        <w:pStyle w:val="a9"/>
        <w:spacing w:line="360" w:lineRule="auto"/>
        <w:jc w:val="both"/>
        <w:rPr>
          <w:rtl/>
        </w:rPr>
      </w:pPr>
    </w:p>
    <w:p w14:paraId="2E4901D9" w14:textId="77777777" w:rsidR="00FA6FCA" w:rsidRDefault="00FA6FCA" w:rsidP="00FA6FCA">
      <w:pPr>
        <w:spacing w:line="360" w:lineRule="auto"/>
        <w:jc w:val="both"/>
        <w:rPr>
          <w:b/>
          <w:bCs/>
          <w:u w:val="single"/>
          <w:rtl/>
        </w:rPr>
      </w:pPr>
      <w:r>
        <w:rPr>
          <w:rFonts w:hint="cs"/>
          <w:b/>
          <w:bCs/>
          <w:u w:val="single"/>
          <w:rtl/>
        </w:rPr>
        <w:t>תמצית הטיעונים לעונש</w:t>
      </w:r>
    </w:p>
    <w:p w14:paraId="41D89F20" w14:textId="77777777" w:rsidR="00FA6FCA" w:rsidRDefault="00FA6FCA" w:rsidP="00FA6FCA">
      <w:pPr>
        <w:pStyle w:val="a9"/>
        <w:numPr>
          <w:ilvl w:val="0"/>
          <w:numId w:val="1"/>
        </w:numPr>
        <w:spacing w:line="360" w:lineRule="auto"/>
        <w:jc w:val="both"/>
        <w:rPr>
          <w:rtl/>
        </w:rPr>
      </w:pPr>
      <w:r>
        <w:rPr>
          <w:rFonts w:hint="cs"/>
          <w:rtl/>
        </w:rPr>
        <w:t xml:space="preserve">ב"כ המאשימה, עו"ד שחף קליינמן, עמדה בטיעוניה על החומרה המיוחדת שבמעשי הנאשמים, ועל הרקע למעשים, יישוב סכסוך כספי לא להם בדרכי אלימות. עוד הוסיפה, כי מדובר במעשה מתוכנן, שבוצע בצוותא כשהנאשמים הצטיידו בכלי נשק, נסעו באישון לילה לבית המתלונן וירו לעבר הבית הגם שהם מודעים לכך שבני הבית שוהים בבית. עוד הפנתה מגמת ההחמרה בעבירות נשק בלתי חוקי, לשיטתה במסגרת האישום הראשון, מדובר בשלושה אירועים נפרדים: בגין החזקת האקדח תקופה ממושכת מבקשת לקבוע מתחם הנע בין 24-48 חודשי מאסר, בגין נשיאתו לצורך ביצוע הירי מתחם נוסף ברף דומה ובגין עבירת הירי עתרה למתחם שנע בין 12-24 חודשי מאסר. אשר לנאשם 2 עתרה למתחם אחד </w:t>
      </w:r>
      <w:r>
        <w:rPr>
          <w:rFonts w:hint="cs"/>
          <w:rtl/>
        </w:rPr>
        <w:lastRenderedPageBreak/>
        <w:t xml:space="preserve">הנע בין 24-48 חודשי מאסר. לטענתה, כתב האישום בעניין נאשם 2 תוקן לקולא בשל קושי ראייתי, וההסדר נעשה על דעתו של המתלונן. באשר לתיק שצירף נאשם 1, עתרה למתחם שנע בין 10-24 חודשי מאסר וביקשה להפעיל תנאי התלוי כנגדו. לנאשם 1 עבר פלילי הכולל הרשעה בעבירת איומים כלפי אביו, ולנאשם 2 הרשעה בגין תיק שניהל במקביל לתיק זה בעבירות אלימות. לצד זאת, ביקשה לזקוף לזכות הנאשמים את הודאתם וחסכון בזמן שיפוטי. לפיכך עתרה בעניין נאשם 1 בגין תיק זה למתחם הנע בין 6-9 שנות מאסר ולעונש כולל בן 7 שנות מאסר, ובגין התיק שצירף למאסר בן 16 חודשים, מאסר על תנאי וקנס, ובאשר לנאשם 2, למאסר בן 28 חודשים וענישה נלווית. </w:t>
      </w:r>
    </w:p>
    <w:p w14:paraId="2E5D586E" w14:textId="77777777" w:rsidR="00FA6FCA" w:rsidRDefault="00FA6FCA" w:rsidP="00FA6FCA">
      <w:pPr>
        <w:pStyle w:val="a9"/>
        <w:spacing w:line="360" w:lineRule="auto"/>
        <w:jc w:val="both"/>
      </w:pPr>
    </w:p>
    <w:p w14:paraId="4E164A94" w14:textId="77777777" w:rsidR="00FA6FCA" w:rsidRDefault="00FA6FCA" w:rsidP="00FA6FCA">
      <w:pPr>
        <w:pStyle w:val="a9"/>
        <w:numPr>
          <w:ilvl w:val="0"/>
          <w:numId w:val="1"/>
        </w:numPr>
        <w:spacing w:line="360" w:lineRule="auto"/>
        <w:jc w:val="both"/>
      </w:pPr>
      <w:r>
        <w:rPr>
          <w:rFonts w:hint="cs"/>
          <w:rtl/>
        </w:rPr>
        <w:t xml:space="preserve">ב"כ הנאשמים, עו"ד ג'לג'ולי, ביקש להתחשב בנאשמים ולגזור עליהם עונשים מתונים. לדבריו, הנאשמים עצורים בתיק זה מעל שנה, הסכסוך שעמד מאחורי המעשים אינו קשור אליהם במישרין, וכתב האישום תוקן לקולא. ב"כ הנאשמים סבור שעמדת המאשימה המבקשת לפצל בין האירועים שגויה, ומחמירה יתר על המידה עם נאשם 1, ונכון יותר כי מעשה ההחזקה ייבלע בתוך אירוע נשיאת אותו הנשק. באשר לאישום השני, נטען כי מדובר בתצלום של הנשק שנתפס במכשיר הטלפון של נאשם 1, לפיכך מבקש בעניין נאשם 1 להסתפק בגין האישום הראשון, בעונש מאסר בן 36 חודשים ולנאשם 2 במחצית העונש. </w:t>
      </w:r>
    </w:p>
    <w:p w14:paraId="4837E8B5" w14:textId="77777777" w:rsidR="00FA6FCA" w:rsidRDefault="00FA6FCA" w:rsidP="00FA6FCA">
      <w:pPr>
        <w:pStyle w:val="a9"/>
      </w:pPr>
    </w:p>
    <w:p w14:paraId="23E73289" w14:textId="77777777" w:rsidR="00FA6FCA" w:rsidRDefault="00FA6FCA" w:rsidP="00FA6FCA">
      <w:pPr>
        <w:pStyle w:val="a9"/>
        <w:spacing w:line="360" w:lineRule="auto"/>
        <w:jc w:val="both"/>
        <w:rPr>
          <w:rtl/>
        </w:rPr>
      </w:pPr>
    </w:p>
    <w:p w14:paraId="778A6FE2" w14:textId="77777777" w:rsidR="00FA6FCA" w:rsidRDefault="00FA6FCA" w:rsidP="00FA6FCA">
      <w:pPr>
        <w:pStyle w:val="a9"/>
        <w:numPr>
          <w:ilvl w:val="0"/>
          <w:numId w:val="1"/>
        </w:numPr>
        <w:spacing w:line="360" w:lineRule="auto"/>
        <w:jc w:val="both"/>
        <w:rPr>
          <w:rtl/>
        </w:rPr>
      </w:pPr>
      <w:r w:rsidRPr="00DF28EB">
        <w:rPr>
          <w:rFonts w:hint="cs"/>
          <w:b/>
          <w:bCs/>
          <w:rtl/>
        </w:rPr>
        <w:t>הנאשמים בדברם האחרון</w:t>
      </w:r>
      <w:r>
        <w:rPr>
          <w:rFonts w:hint="cs"/>
          <w:rtl/>
        </w:rPr>
        <w:t xml:space="preserve"> הביעו צער על מעשיהם וביקשו לפתוח דף חדש. </w:t>
      </w:r>
    </w:p>
    <w:p w14:paraId="14F32132" w14:textId="77777777" w:rsidR="00FA6FCA" w:rsidRDefault="00FA6FCA" w:rsidP="00FA6FCA">
      <w:pPr>
        <w:pStyle w:val="a9"/>
      </w:pPr>
    </w:p>
    <w:p w14:paraId="4E4D4AD0" w14:textId="77777777" w:rsidR="00FA6FCA" w:rsidRDefault="00FA6FCA" w:rsidP="00FA6FCA">
      <w:pPr>
        <w:pStyle w:val="a9"/>
        <w:rPr>
          <w:rtl/>
        </w:rPr>
      </w:pPr>
    </w:p>
    <w:p w14:paraId="063BEAA1" w14:textId="77777777" w:rsidR="00FA6FCA" w:rsidRDefault="00FA6FCA" w:rsidP="00FA6FCA">
      <w:pPr>
        <w:pStyle w:val="a9"/>
        <w:rPr>
          <w:b/>
          <w:bCs/>
          <w:u w:val="single"/>
          <w:rtl/>
        </w:rPr>
      </w:pPr>
    </w:p>
    <w:p w14:paraId="43A4C687" w14:textId="77777777" w:rsidR="00FA6FCA" w:rsidRDefault="00FA6FCA" w:rsidP="00FA6FCA">
      <w:pPr>
        <w:spacing w:line="360" w:lineRule="auto"/>
        <w:jc w:val="both"/>
        <w:rPr>
          <w:b/>
          <w:bCs/>
          <w:u w:val="single"/>
          <w:rtl/>
        </w:rPr>
      </w:pPr>
      <w:r>
        <w:rPr>
          <w:rFonts w:hint="cs"/>
          <w:b/>
          <w:bCs/>
          <w:u w:val="single"/>
          <w:rtl/>
        </w:rPr>
        <w:t>דיון והכרעה</w:t>
      </w:r>
    </w:p>
    <w:p w14:paraId="2361110C" w14:textId="77777777" w:rsidR="00FA6FCA" w:rsidRDefault="00FA6FCA" w:rsidP="00FA6FCA">
      <w:pPr>
        <w:spacing w:line="360" w:lineRule="auto"/>
        <w:jc w:val="both"/>
        <w:rPr>
          <w:b/>
          <w:bCs/>
          <w:u w:val="single"/>
          <w:rtl/>
        </w:rPr>
      </w:pPr>
      <w:r>
        <w:rPr>
          <w:rFonts w:hint="cs"/>
          <w:b/>
          <w:bCs/>
          <w:u w:val="single"/>
          <w:rtl/>
        </w:rPr>
        <w:t>מתחם העונש ההולם</w:t>
      </w:r>
    </w:p>
    <w:p w14:paraId="5DD7B154" w14:textId="77777777" w:rsidR="00FA6FCA" w:rsidRDefault="00FA6FCA" w:rsidP="00FA6FCA">
      <w:pPr>
        <w:pStyle w:val="ruller400"/>
        <w:numPr>
          <w:ilvl w:val="0"/>
          <w:numId w:val="1"/>
        </w:numPr>
        <w:bidi/>
        <w:spacing w:before="0" w:beforeAutospacing="0" w:after="0" w:afterAutospacing="0" w:line="360" w:lineRule="atLeast"/>
        <w:jc w:val="both"/>
        <w:rPr>
          <w:rFonts w:ascii="David" w:hAnsi="David" w:cs="David"/>
          <w:color w:val="000000"/>
          <w:spacing w:val="10"/>
          <w:rtl/>
        </w:rPr>
      </w:pPr>
      <w:r>
        <w:rPr>
          <w:rFonts w:cs="David"/>
          <w:rtl/>
        </w:rPr>
        <w:t xml:space="preserve">דומה שאין צורך להכביר מילים ביחס לחומרתן של עבירות הנשק, אלו הפכו בשנים האחרונות ל"מכת מדינה" הגואה בעיקר המגזר הערבי ומהוות סכנה ממשית לשלום הציבור ולביטחונו. על רקע מציאות קשה זו נעשה מאמץ רב ע"י גורמי אכיפת החוק, וביניהם בתי המשפט, למאבק בתופעה, ובשנים האחרונות ניכרת מגמת החמרה במדיניות הענישה לצורך מיגור עבירות אלו, תוך מתן משקל בכורה להרתעת הרבים ולאינטרס הציבורי, </w:t>
      </w:r>
      <w:r w:rsidRPr="00FA6FCA">
        <w:rPr>
          <w:rFonts w:ascii="Calibri" w:eastAsia="Calibri" w:hAnsi="Calibri" w:hint="cs"/>
          <w:rtl/>
        </w:rPr>
        <w:t>"</w:t>
      </w:r>
      <w:r w:rsidRPr="00FA6FCA">
        <w:rPr>
          <w:rFonts w:ascii="David" w:eastAsia="Calibri" w:hAnsi="David" w:cs="David"/>
          <w:b/>
          <w:bCs/>
          <w:rtl/>
        </w:rPr>
        <w:t>ההלכה כי בעת גזירת עונשו של מי שהורשע בעבירות נשק, על בית המשפט לבכר את האינטרס הציבורי שבהרתעת הרבים, על פני נסיבותיו האישיות של הנידון</w:t>
      </w:r>
      <w:r w:rsidRPr="00FA6FCA">
        <w:rPr>
          <w:rFonts w:ascii="David" w:eastAsia="Calibri" w:hAnsi="David" w:cs="David"/>
          <w:rtl/>
        </w:rPr>
        <w:t>" (</w:t>
      </w:r>
      <w:hyperlink r:id="rId28" w:history="1">
        <w:r w:rsidR="0059299C" w:rsidRPr="0059299C">
          <w:rPr>
            <w:rFonts w:ascii="David" w:eastAsia="Calibri" w:hAnsi="David" w:cs="David"/>
            <w:color w:val="0000FF"/>
            <w:u w:val="single"/>
            <w:rtl/>
          </w:rPr>
          <w:t>ע"פ 587/22</w:t>
        </w:r>
      </w:hyperlink>
      <w:r w:rsidRPr="00FA6FCA">
        <w:rPr>
          <w:rFonts w:ascii="David" w:eastAsia="Calibri" w:hAnsi="David" w:cs="David"/>
          <w:rtl/>
        </w:rPr>
        <w:t xml:space="preserve"> </w:t>
      </w:r>
      <w:r w:rsidRPr="00FA6FCA">
        <w:rPr>
          <w:rFonts w:ascii="David" w:eastAsia="Calibri" w:hAnsi="David" w:cs="David"/>
          <w:b/>
          <w:bCs/>
          <w:rtl/>
        </w:rPr>
        <w:t>עדאב אבו נאעסה נ' מדינת ישראל</w:t>
      </w:r>
      <w:r w:rsidRPr="00FA6FCA">
        <w:rPr>
          <w:rFonts w:ascii="David" w:eastAsia="Calibri" w:hAnsi="David" w:cs="David"/>
          <w:rtl/>
        </w:rPr>
        <w:t xml:space="preserve"> פסקה 13 (22.5.2022)) </w:t>
      </w:r>
      <w:r>
        <w:rPr>
          <w:rFonts w:ascii="David" w:hAnsi="David" w:cs="David"/>
          <w:rtl/>
        </w:rPr>
        <w:t>(</w:t>
      </w:r>
      <w:hyperlink r:id="rId29" w:history="1">
        <w:r w:rsidR="0059299C" w:rsidRPr="0059299C">
          <w:rPr>
            <w:rFonts w:ascii="David" w:hAnsi="David" w:cs="David"/>
            <w:color w:val="0000FF"/>
            <w:u w:val="single"/>
            <w:rtl/>
          </w:rPr>
          <w:t>ע"פ 2482/22</w:t>
        </w:r>
      </w:hyperlink>
      <w:r>
        <w:rPr>
          <w:rFonts w:ascii="David" w:hAnsi="David" w:cs="David"/>
          <w:rtl/>
        </w:rPr>
        <w:t xml:space="preserve"> </w:t>
      </w:r>
      <w:r>
        <w:rPr>
          <w:rFonts w:ascii="David" w:hAnsi="David" w:cs="David"/>
          <w:b/>
          <w:bCs/>
          <w:rtl/>
        </w:rPr>
        <w:t>מדינת ישראל נ' אחמד קדורה</w:t>
      </w:r>
      <w:r>
        <w:rPr>
          <w:rFonts w:ascii="David" w:hAnsi="David" w:cs="David"/>
          <w:rtl/>
        </w:rPr>
        <w:t xml:space="preserve">, פסקה 5-6 (14.4.2022); </w:t>
      </w:r>
      <w:hyperlink r:id="rId30" w:history="1">
        <w:r w:rsidR="0059299C" w:rsidRPr="0059299C">
          <w:rPr>
            <w:rFonts w:ascii="David" w:hAnsi="David" w:cs="David"/>
            <w:color w:val="0000FF"/>
            <w:u w:val="single"/>
            <w:rtl/>
          </w:rPr>
          <w:t>ע"פ 5813/21</w:t>
        </w:r>
      </w:hyperlink>
      <w:r>
        <w:rPr>
          <w:rFonts w:ascii="David" w:hAnsi="David" w:cs="David"/>
          <w:rtl/>
        </w:rPr>
        <w:t xml:space="preserve"> </w:t>
      </w:r>
      <w:r>
        <w:rPr>
          <w:rFonts w:ascii="David" w:hAnsi="David" w:cs="David"/>
          <w:b/>
          <w:bCs/>
          <w:rtl/>
        </w:rPr>
        <w:t>מוחמד ג'בארין נ' מדינת ישראל</w:t>
      </w:r>
      <w:r>
        <w:rPr>
          <w:rFonts w:ascii="David" w:hAnsi="David" w:cs="David"/>
          <w:rtl/>
        </w:rPr>
        <w:t>, פסקה 14</w:t>
      </w:r>
      <w:r>
        <w:rPr>
          <w:rFonts w:ascii="David" w:hAnsi="David" w:cs="David"/>
          <w:b/>
          <w:bCs/>
          <w:rtl/>
        </w:rPr>
        <w:t xml:space="preserve"> </w:t>
      </w:r>
      <w:r>
        <w:rPr>
          <w:rFonts w:ascii="David" w:hAnsi="David" w:cs="David"/>
          <w:rtl/>
        </w:rPr>
        <w:t xml:space="preserve">(31.5.2022); </w:t>
      </w:r>
      <w:hyperlink r:id="rId31" w:history="1">
        <w:r w:rsidR="0059299C" w:rsidRPr="0059299C">
          <w:rPr>
            <w:rFonts w:ascii="David" w:hAnsi="David" w:cs="David"/>
            <w:color w:val="0000FF"/>
            <w:u w:val="single"/>
            <w:rtl/>
          </w:rPr>
          <w:t>ע"פ 6011/21</w:t>
        </w:r>
      </w:hyperlink>
      <w:r>
        <w:rPr>
          <w:rFonts w:ascii="David" w:hAnsi="David" w:cs="David"/>
          <w:rtl/>
        </w:rPr>
        <w:t xml:space="preserve"> </w:t>
      </w:r>
      <w:r>
        <w:rPr>
          <w:rFonts w:ascii="David" w:hAnsi="David" w:cs="David"/>
          <w:b/>
          <w:bCs/>
          <w:rtl/>
        </w:rPr>
        <w:t>חאלד דסוקי נ' מדינת ישראל</w:t>
      </w:r>
      <w:r>
        <w:rPr>
          <w:rFonts w:ascii="David" w:hAnsi="David" w:cs="David"/>
          <w:rtl/>
        </w:rPr>
        <w:t xml:space="preserve">  (25.11.2021); </w:t>
      </w:r>
      <w:hyperlink r:id="rId32" w:history="1">
        <w:r w:rsidR="0059299C" w:rsidRPr="0059299C">
          <w:rPr>
            <w:rFonts w:ascii="David" w:hAnsi="David" w:cs="David"/>
            <w:color w:val="0000FF"/>
            <w:spacing w:val="10"/>
            <w:sz w:val="20"/>
            <w:u w:val="single"/>
            <w:shd w:val="clear" w:color="auto" w:fill="FFFFFF"/>
            <w:rtl/>
          </w:rPr>
          <w:t>ע"פ 8320/21</w:t>
        </w:r>
      </w:hyperlink>
      <w:r>
        <w:rPr>
          <w:rFonts w:ascii="David" w:hAnsi="David" w:cs="David"/>
          <w:spacing w:val="10"/>
          <w:sz w:val="20"/>
          <w:shd w:val="clear" w:color="auto" w:fill="FFFFFF"/>
          <w:rtl/>
        </w:rPr>
        <w:t xml:space="preserve"> </w:t>
      </w:r>
      <w:r>
        <w:rPr>
          <w:rFonts w:ascii="David" w:hAnsi="David" w:cs="David"/>
          <w:b/>
          <w:bCs/>
          <w:spacing w:val="10"/>
          <w:sz w:val="20"/>
          <w:shd w:val="clear" w:color="auto" w:fill="FFFFFF"/>
          <w:rtl/>
        </w:rPr>
        <w:t>מדינת ישראל נ' מחמד בסילה</w:t>
      </w:r>
      <w:r>
        <w:rPr>
          <w:rFonts w:ascii="David" w:hAnsi="David" w:cs="David"/>
          <w:spacing w:val="10"/>
          <w:sz w:val="20"/>
          <w:shd w:val="clear" w:color="auto" w:fill="FFFFFF"/>
          <w:rtl/>
        </w:rPr>
        <w:t>, פסקה 10 (28.12.2021)</w:t>
      </w:r>
      <w:r>
        <w:rPr>
          <w:rFonts w:ascii="David" w:hAnsi="David" w:cs="David"/>
          <w:rtl/>
        </w:rPr>
        <w:t xml:space="preserve">; </w:t>
      </w:r>
      <w:hyperlink r:id="rId33" w:history="1">
        <w:r w:rsidR="0059299C" w:rsidRPr="0059299C">
          <w:rPr>
            <w:rFonts w:ascii="David" w:hAnsi="David" w:cs="David"/>
            <w:color w:val="0000FF"/>
            <w:u w:val="single"/>
            <w:rtl/>
          </w:rPr>
          <w:t>ע"פ 2283/22</w:t>
        </w:r>
      </w:hyperlink>
      <w:r>
        <w:rPr>
          <w:rFonts w:ascii="David" w:hAnsi="David" w:cs="David"/>
          <w:rtl/>
        </w:rPr>
        <w:t xml:space="preserve"> </w:t>
      </w:r>
      <w:r>
        <w:rPr>
          <w:rFonts w:ascii="David" w:hAnsi="David" w:cs="David"/>
          <w:b/>
          <w:bCs/>
          <w:rtl/>
        </w:rPr>
        <w:t>אל נבארי נ' מדינת ישראל</w:t>
      </w:r>
      <w:r>
        <w:rPr>
          <w:rFonts w:ascii="David" w:hAnsi="David" w:cs="David"/>
          <w:rtl/>
        </w:rPr>
        <w:t xml:space="preserve"> (31.7.2022); ע"פ </w:t>
      </w:r>
      <w:hyperlink r:id="rId34" w:history="1">
        <w:r w:rsidR="00A33352" w:rsidRPr="00A33352">
          <w:rPr>
            <w:rFonts w:ascii="David" w:hAnsi="David" w:cs="David"/>
            <w:color w:val="0000FF"/>
            <w:u w:val="single"/>
            <w:rtl/>
          </w:rPr>
          <w:t xml:space="preserve">78/21 </w:t>
        </w:r>
      </w:hyperlink>
      <w:r>
        <w:rPr>
          <w:rFonts w:ascii="David" w:hAnsi="David" w:cs="David"/>
          <w:rtl/>
        </w:rPr>
        <w:t xml:space="preserve"> </w:t>
      </w:r>
      <w:r>
        <w:rPr>
          <w:rFonts w:ascii="David" w:hAnsi="David" w:cs="David"/>
          <w:b/>
          <w:bCs/>
          <w:rtl/>
        </w:rPr>
        <w:t>פלוני נ' מדינת</w:t>
      </w:r>
      <w:r>
        <w:rPr>
          <w:rFonts w:ascii="David" w:hAnsi="David" w:cs="David"/>
          <w:rtl/>
        </w:rPr>
        <w:t xml:space="preserve"> </w:t>
      </w:r>
      <w:r>
        <w:rPr>
          <w:rFonts w:ascii="David" w:hAnsi="David" w:cs="David"/>
          <w:b/>
          <w:bCs/>
          <w:rtl/>
        </w:rPr>
        <w:t>ישראל</w:t>
      </w:r>
      <w:r>
        <w:rPr>
          <w:rFonts w:ascii="David" w:hAnsi="David" w:cs="David"/>
          <w:rtl/>
        </w:rPr>
        <w:t xml:space="preserve"> (26.7.2022)). </w:t>
      </w:r>
    </w:p>
    <w:p w14:paraId="36BAD7A8" w14:textId="77777777" w:rsidR="00FA6FCA" w:rsidRDefault="00FA6FCA" w:rsidP="00FA6FCA">
      <w:pPr>
        <w:pStyle w:val="a9"/>
        <w:rPr>
          <w:color w:val="000000"/>
          <w:spacing w:val="10"/>
        </w:rPr>
      </w:pPr>
    </w:p>
    <w:p w14:paraId="38F01056" w14:textId="77777777" w:rsidR="00FA6FCA" w:rsidRDefault="00FA6FCA" w:rsidP="00FA6FCA">
      <w:pPr>
        <w:pStyle w:val="a9"/>
        <w:rPr>
          <w:color w:val="000000"/>
          <w:spacing w:val="10"/>
          <w:rtl/>
        </w:rPr>
      </w:pPr>
    </w:p>
    <w:p w14:paraId="6CAF97F2" w14:textId="77777777" w:rsidR="00FA6FCA" w:rsidRDefault="00FA6FCA" w:rsidP="00FA6FCA">
      <w:pPr>
        <w:pStyle w:val="a9"/>
        <w:spacing w:after="160" w:line="360" w:lineRule="auto"/>
        <w:jc w:val="both"/>
        <w:rPr>
          <w:rtl/>
        </w:rPr>
      </w:pPr>
      <w:r>
        <w:rPr>
          <w:rFonts w:hint="cs"/>
          <w:rtl/>
        </w:rPr>
        <w:t xml:space="preserve">מגמה זו קיבלה לאחרונה ביטוי סטטוטורי במסגרת תיקון 140 לחוק (תיקון 140-הוראת שעה) התשפ"ב-2021, במסגרתו נקבעו עונשי מינימום בעבירות נשק, כך שהעונש שיושת בגין עבירות אלו לא יפחת מרבע העונש המרבי שנקבע לעבירה, אלא בהתקיים טעמים מיוחדים. </w:t>
      </w:r>
    </w:p>
    <w:p w14:paraId="2764FD8D" w14:textId="77777777" w:rsidR="00FA6FCA" w:rsidRDefault="00FA6FCA" w:rsidP="00FA6FCA">
      <w:pPr>
        <w:pStyle w:val="a9"/>
        <w:spacing w:after="160" w:line="360" w:lineRule="auto"/>
        <w:jc w:val="both"/>
      </w:pPr>
    </w:p>
    <w:p w14:paraId="685FCD95" w14:textId="77777777" w:rsidR="00FA6FCA" w:rsidRDefault="00FA6FCA" w:rsidP="00FA6FCA">
      <w:pPr>
        <w:pStyle w:val="a9"/>
        <w:numPr>
          <w:ilvl w:val="0"/>
          <w:numId w:val="1"/>
        </w:numPr>
        <w:autoSpaceDE w:val="0"/>
        <w:autoSpaceDN w:val="0"/>
        <w:adjustRightInd w:val="0"/>
        <w:spacing w:after="120" w:line="360" w:lineRule="auto"/>
        <w:jc w:val="both"/>
        <w:rPr>
          <w:rtl/>
        </w:rPr>
      </w:pPr>
      <w:r>
        <w:rPr>
          <w:rFonts w:hint="cs"/>
          <w:rtl/>
        </w:rPr>
        <w:t>השימוש בנשק שביצע נאשם 1 מגביר את חומרת מעשיו. ירי בנשק חם, אף אם מבוצע במקומות שאינם הומי אדם מגביר את הסיכון לשלום הציבור ובטחונו (</w:t>
      </w:r>
      <w:hyperlink r:id="rId35" w:history="1">
        <w:r w:rsidR="0059299C" w:rsidRPr="0059299C">
          <w:rPr>
            <w:color w:val="0000FF"/>
            <w:u w:val="single"/>
            <w:rtl/>
          </w:rPr>
          <w:t>ע"פ 3728/22</w:t>
        </w:r>
      </w:hyperlink>
      <w:r>
        <w:rPr>
          <w:rFonts w:hint="cs"/>
          <w:rtl/>
        </w:rPr>
        <w:t xml:space="preserve"> </w:t>
      </w:r>
      <w:r>
        <w:rPr>
          <w:rFonts w:hint="cs"/>
          <w:b/>
          <w:bCs/>
          <w:rtl/>
        </w:rPr>
        <w:t>מסלאחה נ' מדינת ישראל</w:t>
      </w:r>
      <w:r>
        <w:rPr>
          <w:rFonts w:hint="cs"/>
          <w:rtl/>
        </w:rPr>
        <w:t>, פס' 11</w:t>
      </w:r>
      <w:r>
        <w:rPr>
          <w:rFonts w:hint="cs"/>
          <w:b/>
          <w:bCs/>
          <w:rtl/>
        </w:rPr>
        <w:t xml:space="preserve"> </w:t>
      </w:r>
      <w:r>
        <w:rPr>
          <w:rFonts w:hint="cs"/>
          <w:rtl/>
        </w:rPr>
        <w:t xml:space="preserve">(9.8.22)). </w:t>
      </w:r>
    </w:p>
    <w:p w14:paraId="3E5EB248" w14:textId="77777777" w:rsidR="00FA6FCA" w:rsidRDefault="00FA6FCA" w:rsidP="00FA6FCA">
      <w:pPr>
        <w:pStyle w:val="a9"/>
      </w:pPr>
    </w:p>
    <w:p w14:paraId="51EA563D" w14:textId="77777777" w:rsidR="00FA6FCA" w:rsidRDefault="00FA6FCA" w:rsidP="00FA6FCA">
      <w:pPr>
        <w:pStyle w:val="a9"/>
        <w:autoSpaceDE w:val="0"/>
        <w:autoSpaceDN w:val="0"/>
        <w:adjustRightInd w:val="0"/>
        <w:spacing w:after="120" w:line="360" w:lineRule="auto"/>
        <w:jc w:val="both"/>
        <w:rPr>
          <w:rtl/>
        </w:rPr>
      </w:pPr>
      <w:r>
        <w:rPr>
          <w:rFonts w:hint="cs"/>
          <w:rtl/>
        </w:rPr>
        <w:t xml:space="preserve">אף בעניין זה אמר המחוקק את דברו, באמצעות תיקונו של </w:t>
      </w:r>
      <w:hyperlink r:id="rId36" w:history="1">
        <w:r w:rsidR="006F282C" w:rsidRPr="006F282C">
          <w:rPr>
            <w:rStyle w:val="Hyperlink"/>
            <w:rFonts w:hint="eastAsia"/>
            <w:rtl/>
          </w:rPr>
          <w:t>סעיף</w:t>
        </w:r>
        <w:r w:rsidR="006F282C" w:rsidRPr="006F282C">
          <w:rPr>
            <w:rStyle w:val="Hyperlink"/>
            <w:rtl/>
          </w:rPr>
          <w:t xml:space="preserve"> 340א</w:t>
        </w:r>
      </w:hyperlink>
      <w:r>
        <w:rPr>
          <w:rFonts w:hint="cs"/>
          <w:rtl/>
        </w:rPr>
        <w:t xml:space="preserve"> לחוק, לרבות החמרת העונש הקבוע בצד העבירה של ירי באזור מגורים לחמש שנות מאסר  (הצעת </w:t>
      </w:r>
      <w:r w:rsidR="0059299C" w:rsidRPr="006F282C">
        <w:rPr>
          <w:rtl/>
        </w:rPr>
        <w:t>חוק העונשין</w:t>
      </w:r>
      <w:r>
        <w:rPr>
          <w:rFonts w:hint="cs"/>
          <w:rtl/>
        </w:rPr>
        <w:t xml:space="preserve"> (תיקון מס' 132) (ירי מנשק חם), התשע"ח-2018, ה"ח 1223 ראו גם: </w:t>
      </w:r>
      <w:hyperlink r:id="rId37" w:history="1">
        <w:r w:rsidR="0059299C" w:rsidRPr="0059299C">
          <w:rPr>
            <w:color w:val="0000FF"/>
            <w:u w:val="single"/>
            <w:rtl/>
          </w:rPr>
          <w:t>ע"פ 4595/13</w:t>
        </w:r>
      </w:hyperlink>
      <w:r>
        <w:rPr>
          <w:rFonts w:hint="cs"/>
          <w:rtl/>
        </w:rPr>
        <w:t xml:space="preserve"> </w:t>
      </w:r>
      <w:r>
        <w:rPr>
          <w:rFonts w:hint="cs"/>
          <w:b/>
          <w:bCs/>
          <w:rtl/>
        </w:rPr>
        <w:t>זובידאת נ' מדינת ישראל</w:t>
      </w:r>
      <w:r>
        <w:rPr>
          <w:rFonts w:hint="cs"/>
          <w:rtl/>
        </w:rPr>
        <w:t xml:space="preserve">; </w:t>
      </w:r>
      <w:hyperlink r:id="rId38" w:history="1">
        <w:r w:rsidR="0059299C" w:rsidRPr="0059299C">
          <w:rPr>
            <w:color w:val="0000FF"/>
            <w:u w:val="single"/>
            <w:rtl/>
          </w:rPr>
          <w:t>ע"פ 1414/17</w:t>
        </w:r>
      </w:hyperlink>
      <w:r>
        <w:rPr>
          <w:rFonts w:hint="cs"/>
          <w:rtl/>
        </w:rPr>
        <w:t xml:space="preserve">, 2030/17 </w:t>
      </w:r>
      <w:r>
        <w:rPr>
          <w:rFonts w:hint="cs"/>
          <w:b/>
          <w:bCs/>
          <w:rtl/>
        </w:rPr>
        <w:t>עריאן נ' מדינת ישראל</w:t>
      </w:r>
      <w:r>
        <w:rPr>
          <w:rFonts w:hint="cs"/>
          <w:rtl/>
        </w:rPr>
        <w:t xml:space="preserve">, 25.10.17).הנאשם 1 חטא בהחזקת כלי נשק מסוגים שונים, נשיאת הנשק ושימוש בו כדי לאיים על המתלונן ע"י פגיעה בביתו וברכושו. בתיק הצירוף הוכיח כי פועל בדרכי אלימות גם כלפי בני משפחתו הקרובה, הנאשם איים באמצעות סכין על אמו כי ישחט אותה ובכך פגע פגיעה ממשית בשלומה ובשלוות נפשה.  </w:t>
      </w:r>
    </w:p>
    <w:p w14:paraId="25FB3316" w14:textId="77777777" w:rsidR="00FA6FCA" w:rsidRDefault="00FA6FCA" w:rsidP="00FA6FCA">
      <w:pPr>
        <w:pStyle w:val="a9"/>
        <w:spacing w:after="120" w:line="360" w:lineRule="auto"/>
        <w:jc w:val="both"/>
        <w:rPr>
          <w:rtl/>
        </w:rPr>
      </w:pPr>
    </w:p>
    <w:p w14:paraId="30E38D10" w14:textId="77777777" w:rsidR="00FA6FCA" w:rsidRDefault="00FA6FCA" w:rsidP="00FA6FCA">
      <w:pPr>
        <w:pStyle w:val="a9"/>
        <w:numPr>
          <w:ilvl w:val="0"/>
          <w:numId w:val="1"/>
        </w:numPr>
        <w:spacing w:after="160" w:line="360" w:lineRule="auto"/>
        <w:jc w:val="both"/>
        <w:rPr>
          <w:rtl/>
        </w:rPr>
      </w:pPr>
      <w:r>
        <w:rPr>
          <w:rFonts w:hint="cs"/>
          <w:b/>
          <w:bCs/>
          <w:rtl/>
        </w:rPr>
        <w:t xml:space="preserve">נסיבות מעשי הנאשמים- </w:t>
      </w:r>
      <w:r>
        <w:rPr>
          <w:rFonts w:hint="cs"/>
          <w:rtl/>
        </w:rPr>
        <w:t xml:space="preserve"> על רקע סכסוך  כספי עם המתלונן, שפרטיו אינם ידועים והוא ככל הנראה אינו נוגע במישרין למי מהנאשמים, הוביל הנאשם 1 ברכבו אקדח חצי אוטומטי שבו החזיק מספר חודשים, וזאת כדי לעשות בו שימוש כנגד המתלונן. הנאשמים הגיעו לביתו של המתלונן בשעת לילה מאוחרת כשבידיהם שני כלי נשק, נאשם 1 ירה לעבר הבית ופגע בו ובגדר שמקיפה אותו. נאשם 2 סייע בידו, בכך שהוביל איתו את הנשק והיה נוכח בעת הירי. הנאשמים היו מודעים לאפשרות הסבירה כי  הירי בשעת לילה מאוחרת, יתפוס את המתלונן ובני משפחתו נמים את שנתם במיטתם ולא בכדי בחרו בשעה זו. (טענת הסניגור, כי נסיבה זו לא פורטה בכתב האישום אינה נכונה, ראו סע' 5 לעובדות האישום הראשון). למעשיהם קדם תכנון והצטיידות בכלי נשק ותחמושת, לאחר הירי נמלטו לבית נאשם 1 וניסו להתחמק מהשוטרים שהגיעו כעבור זמן קצר לחפשם. חלקו של נאשם 1 מרכזי אם כי מעשי הסיוע של הנאשם 2 מצויים ברף גבוה. </w:t>
      </w:r>
    </w:p>
    <w:p w14:paraId="24A76FE3" w14:textId="77777777" w:rsidR="00FA6FCA" w:rsidRDefault="00FA6FCA" w:rsidP="00FA6FCA">
      <w:pPr>
        <w:pStyle w:val="a9"/>
      </w:pPr>
    </w:p>
    <w:p w14:paraId="467C1F79" w14:textId="77777777" w:rsidR="00FA6FCA" w:rsidRDefault="00FA6FCA" w:rsidP="00FA6FCA">
      <w:pPr>
        <w:pStyle w:val="a9"/>
        <w:numPr>
          <w:ilvl w:val="0"/>
          <w:numId w:val="1"/>
        </w:numPr>
        <w:spacing w:after="160" w:line="360" w:lineRule="auto"/>
        <w:jc w:val="both"/>
        <w:rPr>
          <w:rtl/>
        </w:rPr>
      </w:pPr>
      <w:r>
        <w:rPr>
          <w:rFonts w:hint="cs"/>
          <w:rtl/>
        </w:rPr>
        <w:t xml:space="preserve">מעשי הנאשמים גרמו נזק לא רב לבית המתלונן, עם זאת פוטנציאל הנזק רב, כך יכול שבתגובה היה יוצא מי מבני הבית מהבית ולהפגע. מעשיו של נאשם 1 בשני האישומים מלמדים על נגישות לנשק, החזקת תת המקלע בוצעה במועד סמוך, מספר ימים לפני אירוע הירי,  ועל הקלות הבלתי נסבלת של שימוש בו ליישוב סכסוכים על עניין של מה בכך. אף האיום שאיים על אמו, כשסכין בידו, הינו ברף גבוה. </w:t>
      </w:r>
    </w:p>
    <w:p w14:paraId="22D02DCA" w14:textId="77777777" w:rsidR="00FA6FCA" w:rsidRDefault="00FA6FCA" w:rsidP="00FA6FCA">
      <w:pPr>
        <w:pStyle w:val="a9"/>
      </w:pPr>
    </w:p>
    <w:p w14:paraId="27796724" w14:textId="77777777" w:rsidR="00FA6FCA" w:rsidRDefault="00FA6FCA" w:rsidP="00FA6FCA">
      <w:pPr>
        <w:pStyle w:val="a9"/>
        <w:numPr>
          <w:ilvl w:val="0"/>
          <w:numId w:val="1"/>
        </w:numPr>
        <w:spacing w:after="120" w:line="360" w:lineRule="auto"/>
        <w:jc w:val="both"/>
        <w:rPr>
          <w:rFonts w:ascii="Times New Roman" w:eastAsia="Times New Roman" w:hAnsi="Times New Roman"/>
          <w:rtl/>
        </w:rPr>
      </w:pPr>
      <w:r>
        <w:rPr>
          <w:rFonts w:ascii="Times New Roman" w:eastAsia="Times New Roman" w:hAnsi="Times New Roman" w:hint="cs"/>
          <w:rtl/>
        </w:rPr>
        <w:t xml:space="preserve">בחינת מידת פגיעת מכלול מעשי הנאשם 1 בערכים המוגנים מובילה למסקנה כי היא </w:t>
      </w:r>
      <w:r>
        <w:rPr>
          <w:rFonts w:ascii="Times New Roman" w:eastAsia="Times New Roman" w:hAnsi="Times New Roman" w:hint="cs"/>
          <w:b/>
          <w:bCs/>
          <w:rtl/>
        </w:rPr>
        <w:t xml:space="preserve">ברף גבוה, </w:t>
      </w:r>
      <w:r>
        <w:rPr>
          <w:rFonts w:ascii="Times New Roman" w:eastAsia="Times New Roman" w:hAnsi="Times New Roman" w:hint="cs"/>
          <w:rtl/>
        </w:rPr>
        <w:t>ומעשי נאשם</w:t>
      </w:r>
      <w:r>
        <w:rPr>
          <w:rFonts w:ascii="Times New Roman" w:eastAsia="Times New Roman" w:hAnsi="Times New Roman" w:hint="cs"/>
          <w:b/>
          <w:bCs/>
          <w:rtl/>
        </w:rPr>
        <w:t xml:space="preserve"> 2 ברף בינוני-גבוה</w:t>
      </w:r>
      <w:r w:rsidRPr="000610B9">
        <w:rPr>
          <w:rFonts w:ascii="Times New Roman" w:eastAsia="Times New Roman" w:hAnsi="Times New Roman" w:hint="cs"/>
          <w:rtl/>
        </w:rPr>
        <w:t xml:space="preserve">. </w:t>
      </w:r>
      <w:r>
        <w:rPr>
          <w:rFonts w:ascii="Times New Roman" w:eastAsia="Times New Roman" w:hAnsi="Times New Roman" w:hint="cs"/>
          <w:b/>
          <w:bCs/>
          <w:rtl/>
        </w:rPr>
        <w:t xml:space="preserve">  </w:t>
      </w:r>
    </w:p>
    <w:p w14:paraId="777691DD" w14:textId="77777777" w:rsidR="00FA6FCA" w:rsidRDefault="00FA6FCA" w:rsidP="00FA6FCA">
      <w:pPr>
        <w:pStyle w:val="a9"/>
        <w:rPr>
          <w:rFonts w:ascii="Times New Roman" w:eastAsia="Times New Roman" w:hAnsi="Times New Roman"/>
          <w:rtl/>
        </w:rPr>
      </w:pPr>
    </w:p>
    <w:p w14:paraId="1AC6B78F" w14:textId="77777777" w:rsidR="00FA6FCA" w:rsidRDefault="00FA6FCA" w:rsidP="00FA6FCA">
      <w:pPr>
        <w:rPr>
          <w:rFonts w:ascii="David" w:eastAsia="David" w:hAnsi="David"/>
          <w:rtl/>
        </w:rPr>
      </w:pPr>
      <w:r>
        <w:rPr>
          <w:rFonts w:hint="cs"/>
          <w:b/>
          <w:bCs/>
          <w:u w:val="single"/>
          <w:rtl/>
        </w:rPr>
        <w:t>מדיניות הענישה הנוהגת</w:t>
      </w:r>
    </w:p>
    <w:p w14:paraId="547CAE8F" w14:textId="77777777" w:rsidR="00FA6FCA" w:rsidRDefault="00FA6FCA" w:rsidP="00FA6FCA">
      <w:pPr>
        <w:rPr>
          <w:rtl/>
        </w:rPr>
      </w:pPr>
    </w:p>
    <w:p w14:paraId="4E4173F9" w14:textId="77777777" w:rsidR="00FA6FCA" w:rsidRDefault="00FA6FCA" w:rsidP="00FA6FCA">
      <w:pPr>
        <w:pStyle w:val="ruller400"/>
        <w:numPr>
          <w:ilvl w:val="0"/>
          <w:numId w:val="1"/>
        </w:numPr>
        <w:bidi/>
        <w:spacing w:before="0" w:beforeAutospacing="0" w:after="0" w:afterAutospacing="0" w:line="360" w:lineRule="atLeast"/>
        <w:jc w:val="both"/>
        <w:rPr>
          <w:rFonts w:ascii="David" w:hAnsi="David" w:cs="David"/>
          <w:color w:val="000000"/>
          <w:spacing w:val="10"/>
          <w:rtl/>
        </w:rPr>
      </w:pPr>
      <w:r>
        <w:rPr>
          <w:rFonts w:ascii="David" w:hAnsi="David" w:cs="David"/>
          <w:rtl/>
        </w:rPr>
        <w:t xml:space="preserve">נאשם 1 הורשע בשלושה אירועים עונשיים שונים ונפרדים. אינני רואה עין בעין עם עתירת המאשימה בטיעוניה לפיצול אירועי האישום הראשון לשלושה אירועים וכפועל יוצא מכך לשלושה מתחמים עונשיים נפרדים: האחד בגין החזקת האקדח, השני בגין נשיאתו והשלישי בגין הירי באמצעותו לעבר בית המתלונן. המדובר באירוע עונשי אחד חמור של החזקת אקדח לתקופה שאינה קצרת טווח, ונשיאתו לבית המתלונן כדי לבצע ירי באמצעותו. </w:t>
      </w:r>
      <w:r>
        <w:rPr>
          <w:rFonts w:ascii="David" w:hAnsi="David" w:cs="David"/>
          <w:color w:val="000000"/>
          <w:spacing w:val="10"/>
          <w:rtl/>
        </w:rPr>
        <w:t xml:space="preserve">בגין מעשיו במסגרת האישום השני בתיק זה ובתיק הצירוף יש לקבוע מתחמים עונשיים נפרדים. </w:t>
      </w:r>
    </w:p>
    <w:p w14:paraId="400AF0FF" w14:textId="77777777" w:rsidR="00FA6FCA" w:rsidRDefault="00FA6FCA" w:rsidP="00FA6FCA">
      <w:pPr>
        <w:pStyle w:val="ruller400"/>
        <w:bidi/>
        <w:spacing w:before="0" w:beforeAutospacing="0" w:after="0" w:afterAutospacing="0" w:line="360" w:lineRule="atLeast"/>
        <w:ind w:left="720"/>
        <w:jc w:val="both"/>
        <w:rPr>
          <w:rFonts w:ascii="David" w:hAnsi="David" w:cs="David"/>
          <w:color w:val="000000"/>
          <w:spacing w:val="10"/>
        </w:rPr>
      </w:pPr>
    </w:p>
    <w:p w14:paraId="7ECC42CC" w14:textId="77777777" w:rsidR="00FA6FCA" w:rsidRDefault="00FA6FCA" w:rsidP="00FA6FCA">
      <w:pPr>
        <w:pStyle w:val="a9"/>
        <w:numPr>
          <w:ilvl w:val="0"/>
          <w:numId w:val="1"/>
        </w:numPr>
        <w:spacing w:after="160" w:line="360" w:lineRule="auto"/>
        <w:jc w:val="both"/>
      </w:pPr>
      <w:r>
        <w:rPr>
          <w:rFonts w:hint="cs"/>
          <w:rtl/>
        </w:rPr>
        <w:t xml:space="preserve">דינם של עברייני הנשק הוא למאסר מאחורי סורג ובריח,  הפסיקה אינה מקלה עם נאשמים צעירים או נעדרי עבר פלילי, ומבכרת את האינטרס הציבורי על פני נסיבותיו האישיות של הנאשם, לרבות במקרי שיקום. המסר העונשי נחרץ ואינו משתמע לשני פנים: </w:t>
      </w:r>
      <w:r>
        <w:rPr>
          <w:rFonts w:hint="cs"/>
          <w:b/>
          <w:bCs/>
          <w:rtl/>
        </w:rPr>
        <w:t xml:space="preserve">" עלינו לזכור כי מדובר במשחק-סכום-אפס: שופט שמרחם על עבריין נשק ומקל בעונשו אינו מרחם על הקורבן הבא" </w:t>
      </w:r>
      <w:r>
        <w:rPr>
          <w:rFonts w:hint="cs"/>
          <w:rtl/>
        </w:rPr>
        <w:t xml:space="preserve">(פסק דינו של כב' השופט שטיין, </w:t>
      </w:r>
      <w:hyperlink r:id="rId39" w:history="1">
        <w:r w:rsidR="0059299C" w:rsidRPr="0059299C">
          <w:rPr>
            <w:color w:val="0000FF"/>
            <w:u w:val="single"/>
            <w:rtl/>
          </w:rPr>
          <w:t>ע"פ 7850/21</w:t>
        </w:r>
      </w:hyperlink>
      <w:r>
        <w:rPr>
          <w:rFonts w:hint="cs"/>
          <w:rtl/>
        </w:rPr>
        <w:t xml:space="preserve"> </w:t>
      </w:r>
      <w:r>
        <w:rPr>
          <w:rFonts w:hint="cs"/>
          <w:b/>
          <w:bCs/>
          <w:rtl/>
        </w:rPr>
        <w:t>דסוקי נ' מדינת ישראל</w:t>
      </w:r>
      <w:r>
        <w:rPr>
          <w:rFonts w:hint="cs"/>
          <w:rtl/>
        </w:rPr>
        <w:t xml:space="preserve">  (25.11.2021).</w:t>
      </w:r>
    </w:p>
    <w:p w14:paraId="7D2B75FB" w14:textId="77777777" w:rsidR="00FA6FCA" w:rsidRDefault="00FA6FCA" w:rsidP="00FA6FCA">
      <w:pPr>
        <w:pStyle w:val="a9"/>
        <w:spacing w:after="160" w:line="360" w:lineRule="auto"/>
        <w:jc w:val="both"/>
        <w:rPr>
          <w:rtl/>
        </w:rPr>
      </w:pPr>
    </w:p>
    <w:p w14:paraId="075A115A" w14:textId="77777777" w:rsidR="00FA6FCA" w:rsidRDefault="00FA6FCA" w:rsidP="00FA6FCA">
      <w:pPr>
        <w:pStyle w:val="a9"/>
        <w:spacing w:after="160" w:line="360" w:lineRule="auto"/>
        <w:jc w:val="both"/>
        <w:rPr>
          <w:b/>
          <w:bCs/>
          <w:u w:val="single"/>
        </w:rPr>
      </w:pPr>
      <w:r>
        <w:rPr>
          <w:rFonts w:hint="cs"/>
          <w:b/>
          <w:bCs/>
          <w:u w:val="single"/>
          <w:rtl/>
        </w:rPr>
        <w:t>נשיאת נשק וירי באזור מגורים</w:t>
      </w:r>
    </w:p>
    <w:p w14:paraId="25586437" w14:textId="77777777" w:rsidR="00FA6FCA" w:rsidRDefault="00FA6FCA" w:rsidP="00FA6FCA">
      <w:pPr>
        <w:pStyle w:val="a9"/>
        <w:spacing w:after="160" w:line="360" w:lineRule="auto"/>
        <w:jc w:val="both"/>
        <w:rPr>
          <w:rtl/>
        </w:rPr>
      </w:pPr>
      <w:r>
        <w:rPr>
          <w:rFonts w:hint="cs"/>
          <w:rtl/>
        </w:rPr>
        <w:t>ב</w:t>
      </w:r>
      <w:hyperlink r:id="rId40" w:history="1">
        <w:r w:rsidR="0059299C" w:rsidRPr="0059299C">
          <w:rPr>
            <w:color w:val="0000FF"/>
            <w:u w:val="single"/>
            <w:rtl/>
          </w:rPr>
          <w:t>ע"פ 3169/21</w:t>
        </w:r>
      </w:hyperlink>
      <w:r>
        <w:rPr>
          <w:rFonts w:hint="cs"/>
          <w:rtl/>
        </w:rPr>
        <w:t xml:space="preserve"> </w:t>
      </w:r>
      <w:r>
        <w:rPr>
          <w:rFonts w:hint="cs"/>
          <w:b/>
          <w:bCs/>
          <w:rtl/>
        </w:rPr>
        <w:t>מדינת ישראל נ' אגבריה ואח'</w:t>
      </w:r>
      <w:r>
        <w:rPr>
          <w:rFonts w:hint="cs"/>
          <w:rtl/>
        </w:rPr>
        <w:t xml:space="preserve"> (21.6.2021) החמיר בית המשפט העליון בעונשם של שני משיבים, ללא עבר, אשר ירו באוויר באמצעות רובה סער, 48 קליעים מחוץ לביתו של המתלונן, והשליכו ראש כבש לעבר חצר ביתו. כל אחד מהם נדון למאסר בן 36 חודשים,  חלף 24 חודשי מאסר שהשית עליהם בית המשפט המחוזי; </w:t>
      </w:r>
    </w:p>
    <w:p w14:paraId="4B096680" w14:textId="77777777" w:rsidR="00FA6FCA" w:rsidRDefault="00FA6FCA" w:rsidP="00FA6FCA">
      <w:pPr>
        <w:pStyle w:val="a9"/>
        <w:spacing w:after="160" w:line="360" w:lineRule="auto"/>
        <w:jc w:val="both"/>
        <w:rPr>
          <w:rtl/>
        </w:rPr>
      </w:pPr>
    </w:p>
    <w:p w14:paraId="42AE1225" w14:textId="77777777" w:rsidR="00FA6FCA" w:rsidRDefault="00FA6FCA" w:rsidP="00FA6FCA">
      <w:pPr>
        <w:pStyle w:val="a9"/>
        <w:spacing w:after="160" w:line="360" w:lineRule="auto"/>
        <w:jc w:val="both"/>
        <w:rPr>
          <w:rtl/>
        </w:rPr>
      </w:pPr>
      <w:r>
        <w:rPr>
          <w:rFonts w:hint="cs"/>
          <w:rtl/>
        </w:rPr>
        <w:t>ב</w:t>
      </w:r>
      <w:hyperlink r:id="rId41" w:history="1">
        <w:r w:rsidR="0059299C" w:rsidRPr="0059299C">
          <w:rPr>
            <w:color w:val="0000FF"/>
            <w:u w:val="single"/>
            <w:rtl/>
          </w:rPr>
          <w:t>ע"פ 1059/21</w:t>
        </w:r>
      </w:hyperlink>
      <w:r>
        <w:rPr>
          <w:rFonts w:hint="cs"/>
          <w:rtl/>
        </w:rPr>
        <w:t xml:space="preserve"> </w:t>
      </w:r>
      <w:r>
        <w:rPr>
          <w:rFonts w:hint="cs"/>
          <w:b/>
          <w:bCs/>
          <w:rtl/>
        </w:rPr>
        <w:t>פלוני נ' מדינת ישראל</w:t>
      </w:r>
      <w:r>
        <w:rPr>
          <w:rFonts w:hint="cs"/>
          <w:rtl/>
        </w:rPr>
        <w:t xml:space="preserve"> (29.04.2021)- נדחה ערעורו של נאשם שהורשע בהחזקת אקדח גנוב וירי מספר יריות לעבר קטין עמו היה מסוכסך. המערער הורשע בירי לפי </w:t>
      </w:r>
      <w:hyperlink r:id="rId42" w:history="1">
        <w:r w:rsidR="006F282C" w:rsidRPr="006F282C">
          <w:rPr>
            <w:rStyle w:val="Hyperlink"/>
            <w:rFonts w:hint="eastAsia"/>
            <w:rtl/>
          </w:rPr>
          <w:t>סעיף</w:t>
        </w:r>
        <w:r w:rsidR="006F282C" w:rsidRPr="006F282C">
          <w:rPr>
            <w:rStyle w:val="Hyperlink"/>
            <w:rtl/>
          </w:rPr>
          <w:t xml:space="preserve"> 340(א)</w:t>
        </w:r>
      </w:hyperlink>
      <w:r>
        <w:rPr>
          <w:rFonts w:hint="cs"/>
          <w:rtl/>
        </w:rPr>
        <w:t xml:space="preserve"> לחוק (פסקה 14), נדון למאסר בן 42 חודשים. ערעורו נדחה;  </w:t>
      </w:r>
    </w:p>
    <w:p w14:paraId="2AFAE085" w14:textId="77777777" w:rsidR="00FA6FCA" w:rsidRDefault="00FA6FCA" w:rsidP="00FA6FCA">
      <w:pPr>
        <w:pStyle w:val="a9"/>
        <w:spacing w:after="160" w:line="360" w:lineRule="auto"/>
        <w:jc w:val="both"/>
        <w:rPr>
          <w:rtl/>
        </w:rPr>
      </w:pPr>
    </w:p>
    <w:p w14:paraId="7584284D" w14:textId="77777777" w:rsidR="00FA6FCA" w:rsidRDefault="00FA6FCA" w:rsidP="00FA6FCA">
      <w:pPr>
        <w:pStyle w:val="a9"/>
        <w:spacing w:after="160" w:line="360" w:lineRule="auto"/>
        <w:jc w:val="both"/>
        <w:rPr>
          <w:rtl/>
        </w:rPr>
      </w:pPr>
      <w:r>
        <w:rPr>
          <w:rFonts w:hint="cs"/>
          <w:rtl/>
        </w:rPr>
        <w:t>ב</w:t>
      </w:r>
      <w:hyperlink r:id="rId43" w:history="1">
        <w:r w:rsidR="0059299C" w:rsidRPr="0059299C">
          <w:rPr>
            <w:color w:val="0000FF"/>
            <w:u w:val="single"/>
            <w:rtl/>
          </w:rPr>
          <w:t>ע"פ 8322/21</w:t>
        </w:r>
      </w:hyperlink>
      <w:r>
        <w:rPr>
          <w:rFonts w:hint="cs"/>
          <w:rtl/>
        </w:rPr>
        <w:t xml:space="preserve"> </w:t>
      </w:r>
      <w:r>
        <w:rPr>
          <w:rFonts w:hint="cs"/>
          <w:b/>
          <w:bCs/>
          <w:rtl/>
        </w:rPr>
        <w:t>דחלה נ' מדינת ישראל</w:t>
      </w:r>
      <w:r>
        <w:rPr>
          <w:rFonts w:hint="cs"/>
          <w:rtl/>
        </w:rPr>
        <w:t xml:space="preserve"> (13.4.22) דחה בית המשפט העליון את ערעור המערער, צעיר ללא עבר, אשר ירה באקדח בסמוך לבתי מגורים על רקע סכסוך. בית המשפט המחוזי קבע מתחם ענישה הנע בין 54-34 חודשים, נדון למאסר בן 36 חודשים; </w:t>
      </w:r>
    </w:p>
    <w:p w14:paraId="6A0B17F1" w14:textId="77777777" w:rsidR="00FA6FCA" w:rsidRDefault="00FA6FCA" w:rsidP="00FA6FCA">
      <w:pPr>
        <w:pStyle w:val="a9"/>
        <w:spacing w:after="160" w:line="360" w:lineRule="auto"/>
        <w:jc w:val="both"/>
        <w:rPr>
          <w:rtl/>
        </w:rPr>
      </w:pPr>
    </w:p>
    <w:p w14:paraId="46A27010" w14:textId="77777777" w:rsidR="00FA6FCA" w:rsidRDefault="00FA6FCA" w:rsidP="00FA6FCA">
      <w:pPr>
        <w:pStyle w:val="a9"/>
        <w:spacing w:after="160" w:line="360" w:lineRule="auto"/>
        <w:jc w:val="both"/>
        <w:rPr>
          <w:rtl/>
        </w:rPr>
      </w:pPr>
      <w:r>
        <w:rPr>
          <w:rFonts w:hint="cs"/>
          <w:rtl/>
        </w:rPr>
        <w:t>ב</w:t>
      </w:r>
      <w:hyperlink r:id="rId44" w:history="1">
        <w:r w:rsidR="0059299C" w:rsidRPr="0059299C">
          <w:rPr>
            <w:color w:val="0000FF"/>
            <w:u w:val="single"/>
            <w:rtl/>
          </w:rPr>
          <w:t>ע"פ 1509/20</w:t>
        </w:r>
      </w:hyperlink>
      <w:r>
        <w:rPr>
          <w:rFonts w:hint="cs"/>
          <w:rtl/>
        </w:rPr>
        <w:t xml:space="preserve"> </w:t>
      </w:r>
      <w:r>
        <w:rPr>
          <w:rFonts w:hint="cs"/>
          <w:b/>
          <w:bCs/>
          <w:rtl/>
        </w:rPr>
        <w:t xml:space="preserve">מדינת ישראל נ' נבארי </w:t>
      </w:r>
      <w:r>
        <w:rPr>
          <w:rFonts w:hint="cs"/>
          <w:rtl/>
        </w:rPr>
        <w:t>(2.7.2020)</w:t>
      </w:r>
      <w:r>
        <w:rPr>
          <w:rFonts w:hint="cs"/>
          <w:b/>
          <w:bCs/>
          <w:rtl/>
        </w:rPr>
        <w:t xml:space="preserve"> </w:t>
      </w:r>
      <w:r>
        <w:rPr>
          <w:rFonts w:hint="cs"/>
          <w:rtl/>
        </w:rPr>
        <w:t xml:space="preserve">נדון נאשם, בעל עבר פלילי, בגין נשיאת נשק מסוג "קרלו" וירי בשעת לילה של שני כדורים באזור מגורים למאסר בן 27 חודשים, נקבע מתחם שנע בין 20-50 חודשי מאסר. בית המשפט קיבל את ערעור המדינה, קבע כי לא ניתן ביטוי הולם לחומרת המעשים ולצרכי ההרתעה, והעמיד את עונשו על 36 חודשי מאסר; </w:t>
      </w:r>
    </w:p>
    <w:p w14:paraId="60B1E4C9" w14:textId="77777777" w:rsidR="00FA6FCA" w:rsidRDefault="00FA6FCA" w:rsidP="00FA6FCA">
      <w:pPr>
        <w:pStyle w:val="a9"/>
        <w:spacing w:after="160" w:line="360" w:lineRule="auto"/>
        <w:jc w:val="both"/>
        <w:rPr>
          <w:rtl/>
        </w:rPr>
      </w:pPr>
    </w:p>
    <w:p w14:paraId="23A2DE18" w14:textId="77777777" w:rsidR="00FA6FCA" w:rsidRDefault="00FA6FCA" w:rsidP="00FA6FCA">
      <w:pPr>
        <w:pStyle w:val="a9"/>
        <w:spacing w:after="160" w:line="360" w:lineRule="auto"/>
        <w:jc w:val="both"/>
        <w:rPr>
          <w:rtl/>
        </w:rPr>
      </w:pPr>
      <w:r>
        <w:rPr>
          <w:rFonts w:hint="cs"/>
          <w:rtl/>
        </w:rPr>
        <w:t>ב</w:t>
      </w:r>
      <w:hyperlink r:id="rId45" w:history="1">
        <w:r w:rsidR="0059299C" w:rsidRPr="0059299C">
          <w:rPr>
            <w:color w:val="0000FF"/>
            <w:u w:val="single"/>
            <w:rtl/>
          </w:rPr>
          <w:t>ע"פ 7831/21</w:t>
        </w:r>
      </w:hyperlink>
      <w:r>
        <w:rPr>
          <w:rFonts w:hint="cs"/>
          <w:rtl/>
        </w:rPr>
        <w:t xml:space="preserve"> </w:t>
      </w:r>
      <w:r>
        <w:rPr>
          <w:rFonts w:hint="cs"/>
          <w:b/>
          <w:bCs/>
          <w:rtl/>
        </w:rPr>
        <w:t>מחמוד עסליה נ' מדינת ישראל</w:t>
      </w:r>
      <w:r>
        <w:rPr>
          <w:rFonts w:hint="cs"/>
          <w:rtl/>
        </w:rPr>
        <w:t xml:space="preserve"> (24.4.2022) דחה בית המשפט העליון את ערעור המערער, ללא עבר, אשר יחד עם שניים אחרים, ירה במועדון הומה אדם באופן פזיז, על רקע סכסוך עם אחד מהנוכחים במקום. בית המשפט המחוזי קבע מתחם ענישה הנע בין 72-36 חודשי מאסר, וגזר עונשו למאסר בן 42 חודשים;</w:t>
      </w:r>
    </w:p>
    <w:p w14:paraId="3A2F07D9" w14:textId="77777777" w:rsidR="00FA6FCA" w:rsidRDefault="00FA6FCA" w:rsidP="00FA6FCA">
      <w:pPr>
        <w:pStyle w:val="a9"/>
        <w:spacing w:after="160" w:line="360" w:lineRule="auto"/>
        <w:jc w:val="both"/>
        <w:rPr>
          <w:rtl/>
        </w:rPr>
      </w:pPr>
      <w:r>
        <w:rPr>
          <w:rFonts w:hint="cs"/>
          <w:rtl/>
        </w:rPr>
        <w:t>ב</w:t>
      </w:r>
      <w:hyperlink r:id="rId46" w:history="1">
        <w:r w:rsidR="0059299C" w:rsidRPr="0059299C">
          <w:rPr>
            <w:color w:val="0000FF"/>
            <w:u w:val="single"/>
            <w:rtl/>
          </w:rPr>
          <w:t>ע"פ 1682/22</w:t>
        </w:r>
      </w:hyperlink>
      <w:r>
        <w:rPr>
          <w:rFonts w:hint="cs"/>
          <w:rtl/>
        </w:rPr>
        <w:t xml:space="preserve"> </w:t>
      </w:r>
      <w:r>
        <w:rPr>
          <w:rFonts w:hint="cs"/>
          <w:b/>
          <w:bCs/>
          <w:rtl/>
        </w:rPr>
        <w:t>סבג נ' מדינת ישראל</w:t>
      </w:r>
      <w:r>
        <w:rPr>
          <w:rFonts w:hint="cs"/>
          <w:rtl/>
        </w:rPr>
        <w:t xml:space="preserve"> (11.9.22), מקרה שנסיבותיו חמורות יותר מענייננו, דחה בית המשפט העליון את ערעור המערער, בעל עבר פלילי מכביד, אשר יחד עם שניים נוספים, ירה באקדח חצי אוטומטי בשעת צהריים סמוך לביתו של אדם עמו היה מסוכסך. נקבע מתחם ענישה הנע בין 60-30 חודשי מאסר, המערער נדון למאסר בן 45 חודשים. </w:t>
      </w:r>
    </w:p>
    <w:p w14:paraId="394CF476" w14:textId="77777777" w:rsidR="00FA6FCA" w:rsidRDefault="00FA6FCA" w:rsidP="00FA6FCA">
      <w:pPr>
        <w:pStyle w:val="a9"/>
        <w:spacing w:after="160" w:line="360" w:lineRule="auto"/>
        <w:jc w:val="both"/>
        <w:rPr>
          <w:rtl/>
        </w:rPr>
      </w:pPr>
    </w:p>
    <w:p w14:paraId="584B2A88" w14:textId="77777777" w:rsidR="00FA6FCA" w:rsidRDefault="00FA6FCA" w:rsidP="00FA6FCA">
      <w:pPr>
        <w:pStyle w:val="a9"/>
        <w:spacing w:after="160" w:line="360" w:lineRule="auto"/>
        <w:jc w:val="both"/>
        <w:rPr>
          <w:rtl/>
        </w:rPr>
      </w:pPr>
      <w:r>
        <w:rPr>
          <w:rFonts w:hint="cs"/>
          <w:rtl/>
        </w:rPr>
        <w:t xml:space="preserve">בת"פ (מח-מרכז) </w:t>
      </w:r>
      <w:hyperlink r:id="rId47" w:history="1">
        <w:r w:rsidR="00A33352" w:rsidRPr="00A33352">
          <w:rPr>
            <w:color w:val="0000FF"/>
            <w:u w:val="single"/>
            <w:rtl/>
          </w:rPr>
          <w:t xml:space="preserve">52360-06-20 </w:t>
        </w:r>
      </w:hyperlink>
      <w:r>
        <w:rPr>
          <w:rFonts w:hint="cs"/>
          <w:rtl/>
        </w:rPr>
        <w:t xml:space="preserve"> </w:t>
      </w:r>
      <w:r>
        <w:rPr>
          <w:rFonts w:hint="cs"/>
          <w:b/>
          <w:bCs/>
          <w:rtl/>
        </w:rPr>
        <w:t xml:space="preserve">מדינת ישראל נ' סולטאן, </w:t>
      </w:r>
      <w:r>
        <w:rPr>
          <w:rFonts w:hint="cs"/>
          <w:rtl/>
        </w:rPr>
        <w:t xml:space="preserve">שם במסגרת האישומים השני והשלישי הורשעו הנאשמים בגין מעורבותם באירוע ירי לעבר בית המתלוננים, נקבעו מתחמים הנעים בין 36-56 (ערעור הנאשם </w:t>
      </w:r>
      <w:hyperlink r:id="rId48" w:history="1">
        <w:r w:rsidR="0059299C" w:rsidRPr="0059299C">
          <w:rPr>
            <w:color w:val="0000FF"/>
            <w:u w:val="single"/>
            <w:rtl/>
          </w:rPr>
          <w:t>ע"פ 1424/23</w:t>
        </w:r>
      </w:hyperlink>
      <w:r>
        <w:rPr>
          <w:rFonts w:hint="cs"/>
          <w:rtl/>
        </w:rPr>
        <w:t xml:space="preserve"> תלוי ועומד). </w:t>
      </w:r>
    </w:p>
    <w:p w14:paraId="56AB912D" w14:textId="77777777" w:rsidR="00FA6FCA" w:rsidRDefault="00FA6FCA" w:rsidP="00FA6FCA">
      <w:pPr>
        <w:spacing w:after="160" w:line="360" w:lineRule="auto"/>
        <w:ind w:firstLine="720"/>
        <w:contextualSpacing/>
        <w:jc w:val="both"/>
        <w:rPr>
          <w:rFonts w:ascii="Arial" w:hAnsi="Arial"/>
          <w:b/>
          <w:bCs/>
          <w:u w:val="single"/>
          <w:rtl/>
        </w:rPr>
      </w:pPr>
      <w:r>
        <w:rPr>
          <w:rFonts w:ascii="Arial" w:hAnsi="Arial" w:hint="cs"/>
          <w:b/>
          <w:bCs/>
          <w:u w:val="single"/>
          <w:rtl/>
        </w:rPr>
        <w:t>החזקת נשק</w:t>
      </w:r>
    </w:p>
    <w:p w14:paraId="0EED4929" w14:textId="77777777" w:rsidR="00FA6FCA" w:rsidRDefault="00FA6FCA" w:rsidP="00FA6FCA">
      <w:pPr>
        <w:spacing w:after="160" w:line="360" w:lineRule="auto"/>
        <w:ind w:left="720"/>
        <w:contextualSpacing/>
        <w:jc w:val="both"/>
        <w:rPr>
          <w:rFonts w:ascii="Arial" w:hAnsi="Arial"/>
        </w:rPr>
      </w:pPr>
      <w:r>
        <w:rPr>
          <w:rFonts w:ascii="Arial" w:hAnsi="Arial" w:hint="cs"/>
          <w:rtl/>
        </w:rPr>
        <w:t>מגמת ההחמרה במדיניות הענישה לא פסחה גם על עבירות של החזקת נשק, בין אם מדובר בהחזקת אקדח או נשק התקפי מסוג קרלו. במקרים אלו יש ליתן משקל למשך ההחזקה וסוג הנשק. כך, למשל, ב</w:t>
      </w:r>
      <w:hyperlink r:id="rId49" w:history="1">
        <w:r w:rsidR="0059299C" w:rsidRPr="0059299C">
          <w:rPr>
            <w:color w:val="0000FF"/>
            <w:u w:val="single"/>
            <w:rtl/>
          </w:rPr>
          <w:t>ע"פ 5813/21</w:t>
        </w:r>
      </w:hyperlink>
      <w:r>
        <w:rPr>
          <w:rFonts w:hint="cs"/>
          <w:color w:val="000000"/>
          <w:rtl/>
        </w:rPr>
        <w:t xml:space="preserve"> </w:t>
      </w:r>
      <w:r>
        <w:rPr>
          <w:rFonts w:hint="cs"/>
          <w:b/>
          <w:bCs/>
          <w:color w:val="000000"/>
          <w:rtl/>
        </w:rPr>
        <w:t>ג'בארין נ' מדינת ישראל</w:t>
      </w:r>
      <w:r>
        <w:rPr>
          <w:rFonts w:hint="cs"/>
          <w:color w:val="000000"/>
          <w:rtl/>
        </w:rPr>
        <w:t xml:space="preserve"> (31.5.2022)</w:t>
      </w:r>
      <w:r>
        <w:rPr>
          <w:rFonts w:ascii="Arial" w:hAnsi="Arial" w:hint="cs"/>
          <w:rtl/>
        </w:rPr>
        <w:t xml:space="preserve"> אישר בית המשפט העליון עונשי מאסר בני 18 ו-21 חודשי מאסר שהושתו על נאשמים צעירים שהחזיקו בצוותא חדא ברובה ציד דו קני ובתחמושת תואמת; ב</w:t>
      </w:r>
      <w:hyperlink r:id="rId50" w:history="1">
        <w:r w:rsidR="0059299C" w:rsidRPr="0059299C">
          <w:rPr>
            <w:rFonts w:ascii="Arial" w:hAnsi="Arial"/>
            <w:color w:val="0000FF"/>
            <w:u w:val="single"/>
            <w:rtl/>
          </w:rPr>
          <w:t>ע"פ 2283/22</w:t>
        </w:r>
      </w:hyperlink>
      <w:r>
        <w:rPr>
          <w:rFonts w:ascii="Arial" w:hAnsi="Arial" w:hint="cs"/>
          <w:rtl/>
        </w:rPr>
        <w:t xml:space="preserve"> </w:t>
      </w:r>
      <w:r>
        <w:rPr>
          <w:rFonts w:ascii="Arial" w:hAnsi="Arial" w:hint="cs"/>
          <w:b/>
          <w:bCs/>
          <w:rtl/>
        </w:rPr>
        <w:t>אל נבארי נ' מדינת ישראל</w:t>
      </w:r>
      <w:r>
        <w:rPr>
          <w:rFonts w:ascii="Arial" w:hAnsi="Arial" w:hint="cs"/>
          <w:rtl/>
        </w:rPr>
        <w:t xml:space="preserve"> (31.7.2022) אישר בית המשפט העליון עונש של 18 חודשי מאסר בפועל שנגזרו על נאשם נטול עבר פלילי שהחזיק לאורך תקופה אקדח ומחסנית ריקה ובהמשך דאג להסליקם; ב</w:t>
      </w:r>
      <w:hyperlink r:id="rId51" w:history="1">
        <w:r w:rsidR="0059299C" w:rsidRPr="0059299C">
          <w:rPr>
            <w:rFonts w:ascii="Arial" w:hAnsi="Arial"/>
            <w:color w:val="0000FF"/>
            <w:u w:val="single"/>
            <w:rtl/>
          </w:rPr>
          <w:t>ע"פ 1658/22</w:t>
        </w:r>
      </w:hyperlink>
      <w:r>
        <w:rPr>
          <w:rFonts w:ascii="Arial" w:hAnsi="Arial" w:hint="cs"/>
          <w:rtl/>
        </w:rPr>
        <w:t xml:space="preserve"> </w:t>
      </w:r>
      <w:r>
        <w:rPr>
          <w:rFonts w:ascii="Arial" w:hAnsi="Arial" w:hint="cs"/>
          <w:b/>
          <w:bCs/>
          <w:rtl/>
        </w:rPr>
        <w:t>נח'אש נ' מדינת ישראל</w:t>
      </w:r>
      <w:r>
        <w:rPr>
          <w:rFonts w:ascii="Arial" w:hAnsi="Arial" w:hint="cs"/>
          <w:rtl/>
        </w:rPr>
        <w:t xml:space="preserve"> (19.6.2022)</w:t>
      </w:r>
      <w:r w:rsidR="0059299C">
        <w:rPr>
          <w:rFonts w:ascii="Arial" w:hAnsi="Arial"/>
        </w:rPr>
        <w:t xml:space="preserve"> </w:t>
      </w:r>
      <w:r>
        <w:rPr>
          <w:rFonts w:ascii="Arial" w:hAnsi="Arial" w:hint="cs"/>
          <w:rtl/>
        </w:rPr>
        <w:t>אישר בית המשפט העליון עונש של 26 חודשי מאסר בפועל שהושתו על נאשם נטול עבר פלילי שהחזיק תת מקלע עוזי ותחמושת תואמת; וב</w:t>
      </w:r>
      <w:hyperlink r:id="rId52" w:history="1">
        <w:r w:rsidR="0059299C" w:rsidRPr="0059299C">
          <w:rPr>
            <w:rFonts w:ascii="Arial" w:hAnsi="Arial"/>
            <w:color w:val="0000FF"/>
            <w:u w:val="single"/>
            <w:rtl/>
          </w:rPr>
          <w:t>ע"פ 2482/22</w:t>
        </w:r>
      </w:hyperlink>
      <w:r>
        <w:rPr>
          <w:rFonts w:ascii="Arial" w:hAnsi="Arial" w:hint="cs"/>
          <w:rtl/>
        </w:rPr>
        <w:t xml:space="preserve"> </w:t>
      </w:r>
      <w:r>
        <w:rPr>
          <w:rFonts w:ascii="Arial" w:hAnsi="Arial" w:hint="cs"/>
          <w:b/>
          <w:bCs/>
          <w:rtl/>
        </w:rPr>
        <w:t xml:space="preserve">מדינת ישראל נ' קדורה </w:t>
      </w:r>
      <w:r>
        <w:rPr>
          <w:rFonts w:ascii="Arial" w:hAnsi="Arial" w:hint="cs"/>
          <w:rtl/>
        </w:rPr>
        <w:t xml:space="preserve">(14.4.2022) החמיר בית המשפט העליון את עונשו של נאשם נעדר עבר פלילי שהחזיק באקדח, כדורים ורימון הלם מ-10 חודשי מאסר בפועל ל-18 חודשים. </w:t>
      </w:r>
    </w:p>
    <w:p w14:paraId="401C6D41" w14:textId="77777777" w:rsidR="00FA6FCA" w:rsidRDefault="00FA6FCA" w:rsidP="00FA6FCA">
      <w:pPr>
        <w:spacing w:after="160" w:line="360" w:lineRule="auto"/>
        <w:ind w:left="720"/>
        <w:contextualSpacing/>
        <w:jc w:val="both"/>
        <w:rPr>
          <w:rFonts w:ascii="Arial" w:hAnsi="Arial"/>
          <w:rtl/>
        </w:rPr>
      </w:pPr>
    </w:p>
    <w:p w14:paraId="1D983BC5" w14:textId="77777777" w:rsidR="00FA6FCA" w:rsidRDefault="00FA6FCA" w:rsidP="00FA6FCA">
      <w:pPr>
        <w:spacing w:after="160" w:line="360" w:lineRule="auto"/>
        <w:ind w:left="720"/>
        <w:contextualSpacing/>
        <w:jc w:val="both"/>
        <w:rPr>
          <w:rFonts w:ascii="Arial" w:hAnsi="Arial"/>
          <w:b/>
          <w:bCs/>
          <w:u w:val="single"/>
          <w:rtl/>
        </w:rPr>
      </w:pPr>
      <w:r>
        <w:rPr>
          <w:rFonts w:ascii="Arial" w:hAnsi="Arial" w:hint="cs"/>
          <w:b/>
          <w:bCs/>
          <w:u w:val="single"/>
          <w:rtl/>
        </w:rPr>
        <w:t>תיק הצירוף – עבירות איומים וגניבה</w:t>
      </w:r>
    </w:p>
    <w:p w14:paraId="7439B048" w14:textId="77777777" w:rsidR="00FA6FCA" w:rsidRDefault="00FA6FCA" w:rsidP="00FA6FCA">
      <w:pPr>
        <w:spacing w:after="160" w:line="360" w:lineRule="auto"/>
        <w:ind w:left="720"/>
        <w:contextualSpacing/>
        <w:jc w:val="both"/>
        <w:rPr>
          <w:rFonts w:ascii="Arial" w:hAnsi="Arial"/>
          <w:b/>
          <w:bCs/>
          <w:rtl/>
        </w:rPr>
      </w:pPr>
      <w:r>
        <w:rPr>
          <w:rFonts w:ascii="Arial" w:hAnsi="Arial" w:hint="cs"/>
          <w:rtl/>
        </w:rPr>
        <w:t xml:space="preserve">המדובר בעבירות שמנעד הענישה שנקבע בעניינן רחב ומגוון. נסיבות האיום במקרה שבפנינו הכוללות שימוש בסכין חמורות, </w:t>
      </w:r>
      <w:r>
        <w:rPr>
          <w:rFonts w:ascii="Arial" w:hAnsi="Arial" w:hint="cs"/>
          <w:b/>
          <w:bCs/>
          <w:rtl/>
        </w:rPr>
        <w:t xml:space="preserve">אקבע בגין תיק הצירוף מתחם הנע בין 6-12 חודשי מאסר. </w:t>
      </w:r>
    </w:p>
    <w:p w14:paraId="642CB171" w14:textId="77777777" w:rsidR="00FA6FCA" w:rsidRDefault="00FA6FCA" w:rsidP="00FA6FCA">
      <w:pPr>
        <w:pStyle w:val="a9"/>
        <w:spacing w:after="160" w:line="360" w:lineRule="auto"/>
        <w:jc w:val="both"/>
      </w:pPr>
    </w:p>
    <w:p w14:paraId="21A01C7C" w14:textId="77777777" w:rsidR="00FA6FCA" w:rsidRDefault="00FA6FCA" w:rsidP="00FA6FCA">
      <w:pPr>
        <w:pStyle w:val="a9"/>
        <w:numPr>
          <w:ilvl w:val="0"/>
          <w:numId w:val="1"/>
        </w:numPr>
        <w:spacing w:after="160" w:line="360" w:lineRule="auto"/>
        <w:jc w:val="both"/>
        <w:rPr>
          <w:b/>
          <w:bCs/>
          <w:rtl/>
        </w:rPr>
      </w:pPr>
      <w:r>
        <w:rPr>
          <w:rFonts w:hint="cs"/>
          <w:rtl/>
        </w:rPr>
        <w:t xml:space="preserve">אשר על כן, לאחר שבחנתי את נסיבות מעשי הנאשם 1 </w:t>
      </w:r>
      <w:r>
        <w:rPr>
          <w:rFonts w:hint="cs"/>
          <w:b/>
          <w:bCs/>
          <w:rtl/>
        </w:rPr>
        <w:t>בגין האישום הראשון</w:t>
      </w:r>
      <w:r>
        <w:rPr>
          <w:rFonts w:hint="cs"/>
          <w:rtl/>
        </w:rPr>
        <w:t xml:space="preserve"> מצאתי לקבוע מתחם עונשי הנע בין </w:t>
      </w:r>
      <w:r>
        <w:rPr>
          <w:rFonts w:hint="cs"/>
          <w:b/>
          <w:bCs/>
          <w:rtl/>
        </w:rPr>
        <w:t>40-60 חודשי מאסר</w:t>
      </w:r>
      <w:r>
        <w:rPr>
          <w:rFonts w:hint="cs"/>
          <w:rtl/>
        </w:rPr>
        <w:t xml:space="preserve">, </w:t>
      </w:r>
      <w:r>
        <w:rPr>
          <w:rFonts w:hint="cs"/>
          <w:b/>
          <w:bCs/>
          <w:rtl/>
        </w:rPr>
        <w:t>בגין האישום השני</w:t>
      </w:r>
      <w:r>
        <w:rPr>
          <w:rFonts w:hint="cs"/>
          <w:rtl/>
        </w:rPr>
        <w:t xml:space="preserve"> מתחם הנע בין </w:t>
      </w:r>
      <w:r>
        <w:rPr>
          <w:rFonts w:hint="cs"/>
          <w:b/>
          <w:bCs/>
          <w:rtl/>
        </w:rPr>
        <w:t>16-30 חודשי מאסר</w:t>
      </w:r>
      <w:r w:rsidRPr="00E35543">
        <w:rPr>
          <w:rFonts w:hint="cs"/>
          <w:rtl/>
        </w:rPr>
        <w:t>.</w:t>
      </w:r>
      <w:r>
        <w:rPr>
          <w:rFonts w:hint="cs"/>
          <w:rtl/>
        </w:rPr>
        <w:t xml:space="preserve"> </w:t>
      </w:r>
      <w:r>
        <w:rPr>
          <w:rFonts w:hint="cs"/>
          <w:b/>
          <w:bCs/>
          <w:rtl/>
        </w:rPr>
        <w:t>באשר לנאשם 2,</w:t>
      </w:r>
      <w:r>
        <w:rPr>
          <w:rFonts w:hint="cs"/>
          <w:rtl/>
        </w:rPr>
        <w:t xml:space="preserve"> בשים לב למתחם שנקבע בעניינו של נאשם 1, הכולל גם עבירת החזקת נשק, ולכך שהורשע בעבירות סיוע ברף גבוה בנסיבות המחייבות הטלת עונש העולה על מחצית עונשו של נאשם 1,  </w:t>
      </w:r>
      <w:r>
        <w:rPr>
          <w:rFonts w:hint="cs"/>
          <w:b/>
          <w:bCs/>
          <w:rtl/>
        </w:rPr>
        <w:t xml:space="preserve">אני קובעת מתחם עונשי הנע בין  20-42 חודשי מאסר. </w:t>
      </w:r>
    </w:p>
    <w:p w14:paraId="1671921F" w14:textId="77777777" w:rsidR="00FA6FCA" w:rsidRDefault="00FA6FCA" w:rsidP="00FA6FCA">
      <w:pPr>
        <w:pStyle w:val="a9"/>
        <w:spacing w:after="160" w:line="360" w:lineRule="auto"/>
        <w:jc w:val="both"/>
        <w:rPr>
          <w:b/>
          <w:bCs/>
          <w:rtl/>
        </w:rPr>
      </w:pPr>
    </w:p>
    <w:p w14:paraId="1DFF7745" w14:textId="77777777" w:rsidR="00FA6FCA" w:rsidRDefault="00FA6FCA" w:rsidP="00FA6FCA">
      <w:pPr>
        <w:pStyle w:val="a9"/>
        <w:rPr>
          <w:b/>
          <w:bCs/>
        </w:rPr>
      </w:pPr>
    </w:p>
    <w:p w14:paraId="6C8F5AE5" w14:textId="77777777" w:rsidR="00FA6FCA" w:rsidRDefault="00FA6FCA" w:rsidP="00FA6FCA">
      <w:pPr>
        <w:spacing w:after="160" w:line="360" w:lineRule="auto"/>
        <w:jc w:val="both"/>
        <w:rPr>
          <w:b/>
          <w:bCs/>
          <w:u w:val="single"/>
          <w:rtl/>
        </w:rPr>
      </w:pPr>
      <w:r>
        <w:rPr>
          <w:rFonts w:hint="cs"/>
          <w:b/>
          <w:bCs/>
          <w:u w:val="single"/>
          <w:rtl/>
        </w:rPr>
        <w:t>גזירת העונשים המתאימים לנאשמים</w:t>
      </w:r>
    </w:p>
    <w:p w14:paraId="529EF24F" w14:textId="77777777" w:rsidR="00FA6FCA" w:rsidRDefault="00FA6FCA" w:rsidP="00FA6FCA">
      <w:pPr>
        <w:pStyle w:val="a9"/>
        <w:numPr>
          <w:ilvl w:val="0"/>
          <w:numId w:val="1"/>
        </w:numPr>
        <w:spacing w:after="160" w:line="360" w:lineRule="auto"/>
        <w:jc w:val="both"/>
      </w:pPr>
      <w:r>
        <w:rPr>
          <w:rFonts w:hint="cs"/>
          <w:rtl/>
        </w:rPr>
        <w:t>הנאשם 1, בן 29, בעברו שלוש הרשעות, שתיים ישנות (2014) והאחרונה, משנת 2021, בגין עבירות של התנהגות פרועה ואיומים. בין היתר הורשע הנאשם בכך שאיים על אביו כי יהרוג אותו, הנאשם נדון לתנאי בן 4 חודשים בר הפעלה בתיק שבפנינו, והתחייבות כספית בת הפעלה. מעשיו בתיק הצירוף הם המשך ישיר למעשה האיום על האב ונראה שברקע ניהול אורח חיים עברייני והתמכרותי. הנאשם מעורב מעורבות עמוקה בעולם הנשק בלתי חוקי, מעשיו מעידים על דפוסי התנהלות עברייניים ונעדרי אופק שיקומי. עם זאת ייזקפו לטובתו הודאתו בשני התיקים, מעצרו הממושך לראשונה בחייו וחרטתו על מעשיו.</w:t>
      </w:r>
    </w:p>
    <w:p w14:paraId="36C2A8ED" w14:textId="77777777" w:rsidR="00FA6FCA" w:rsidRDefault="00FA6FCA" w:rsidP="00FA6FCA">
      <w:pPr>
        <w:pStyle w:val="a9"/>
        <w:spacing w:after="160" w:line="360" w:lineRule="auto"/>
        <w:jc w:val="both"/>
      </w:pPr>
    </w:p>
    <w:p w14:paraId="64D758F9" w14:textId="77777777" w:rsidR="00FA6FCA" w:rsidRDefault="00FA6FCA" w:rsidP="00FA6FCA">
      <w:pPr>
        <w:pStyle w:val="a9"/>
        <w:numPr>
          <w:ilvl w:val="0"/>
          <w:numId w:val="1"/>
        </w:numPr>
        <w:spacing w:after="160" w:line="360" w:lineRule="auto"/>
        <w:jc w:val="both"/>
      </w:pPr>
      <w:r>
        <w:rPr>
          <w:rFonts w:hint="cs"/>
          <w:rtl/>
        </w:rPr>
        <w:t>נאשם 2, בן 23, הורשע, בתוך תקופת מעצרו בתיק זה, בגין ביצוע עבירות אלימות ונדון למאסר בן 7 חודשים (</w:t>
      </w:r>
      <w:hyperlink r:id="rId53" w:history="1">
        <w:r w:rsidR="0059299C" w:rsidRPr="0059299C">
          <w:rPr>
            <w:color w:val="0000FF"/>
            <w:u w:val="single"/>
            <w:rtl/>
          </w:rPr>
          <w:t>ת"פ 45289-12-20</w:t>
        </w:r>
      </w:hyperlink>
      <w:r>
        <w:rPr>
          <w:rFonts w:hint="cs"/>
          <w:rtl/>
        </w:rPr>
        <w:t xml:space="preserve"> גז"ד מיום 21.12.22). הנאשם הודה במעשים המיוחסים לו והביע חרטה. אף הוא עצור תקופה ממושכת לראשונה בחייו. </w:t>
      </w:r>
    </w:p>
    <w:p w14:paraId="347D303C" w14:textId="77777777" w:rsidR="00FA6FCA" w:rsidRDefault="00FA6FCA" w:rsidP="00FA6FCA">
      <w:pPr>
        <w:pStyle w:val="a9"/>
      </w:pPr>
    </w:p>
    <w:p w14:paraId="41B0373A" w14:textId="77777777" w:rsidR="00FA6FCA" w:rsidRPr="004C4026" w:rsidRDefault="00FA6FCA" w:rsidP="00FA6FCA">
      <w:pPr>
        <w:pStyle w:val="a9"/>
        <w:numPr>
          <w:ilvl w:val="0"/>
          <w:numId w:val="1"/>
        </w:numPr>
        <w:spacing w:after="160" w:line="360" w:lineRule="auto"/>
        <w:jc w:val="both"/>
        <w:rPr>
          <w:b/>
          <w:bCs/>
          <w:u w:val="single"/>
          <w:rtl/>
        </w:rPr>
      </w:pPr>
      <w:r w:rsidRPr="004C4026">
        <w:rPr>
          <w:rFonts w:hint="cs"/>
          <w:rtl/>
        </w:rPr>
        <w:t xml:space="preserve">לאחר ששקלתי את כלל השיקולים, מצאתי לגזור על נאשם 1 עונש כולל בחלק התחתון של המתחם תוך חפיפה מסויימת בין עונשי המאסר בשני התיקים, ואת עונשו של נאשם 2 למקם קרוב לתחתית המתחם. </w:t>
      </w:r>
    </w:p>
    <w:p w14:paraId="20438636" w14:textId="77777777" w:rsidR="00FA6FCA" w:rsidRDefault="00FA6FCA" w:rsidP="00FA6FCA">
      <w:pPr>
        <w:pStyle w:val="a9"/>
        <w:spacing w:after="160" w:line="360" w:lineRule="auto"/>
        <w:jc w:val="both"/>
        <w:rPr>
          <w:b/>
          <w:bCs/>
          <w:u w:val="single"/>
        </w:rPr>
      </w:pPr>
    </w:p>
    <w:p w14:paraId="59808CCC" w14:textId="77777777" w:rsidR="00FA6FCA" w:rsidRDefault="00FA6FCA" w:rsidP="00FA6FCA">
      <w:pPr>
        <w:pStyle w:val="a9"/>
        <w:spacing w:after="160" w:line="360" w:lineRule="auto"/>
        <w:jc w:val="both"/>
        <w:rPr>
          <w:rtl/>
        </w:rPr>
      </w:pPr>
      <w:r>
        <w:rPr>
          <w:rFonts w:hint="cs"/>
          <w:b/>
          <w:bCs/>
          <w:u w:val="single"/>
          <w:rtl/>
        </w:rPr>
        <w:t>סוף דבר</w:t>
      </w:r>
    </w:p>
    <w:p w14:paraId="33A65D61" w14:textId="77777777" w:rsidR="00FA6FCA" w:rsidRDefault="00FA6FCA" w:rsidP="00FA6FCA">
      <w:pPr>
        <w:pStyle w:val="a9"/>
        <w:numPr>
          <w:ilvl w:val="0"/>
          <w:numId w:val="1"/>
        </w:numPr>
        <w:spacing w:after="160" w:line="360" w:lineRule="auto"/>
        <w:jc w:val="both"/>
        <w:rPr>
          <w:b/>
          <w:bCs/>
          <w:rtl/>
        </w:rPr>
      </w:pPr>
      <w:r>
        <w:rPr>
          <w:rFonts w:hint="cs"/>
          <w:b/>
          <w:bCs/>
          <w:rtl/>
        </w:rPr>
        <w:t>אני גוזרת על הנאשמים את העונשים הבאים:</w:t>
      </w:r>
    </w:p>
    <w:p w14:paraId="105921F7" w14:textId="77777777" w:rsidR="00FA6FCA" w:rsidRDefault="00FA6FCA" w:rsidP="00FA6FCA">
      <w:pPr>
        <w:pStyle w:val="a9"/>
        <w:rPr>
          <w:b/>
          <w:bCs/>
          <w:u w:val="single"/>
          <w:rtl/>
        </w:rPr>
      </w:pPr>
    </w:p>
    <w:p w14:paraId="4678BE65" w14:textId="77777777" w:rsidR="00FA6FCA" w:rsidRDefault="00FA6FCA" w:rsidP="00FA6FCA">
      <w:pPr>
        <w:pStyle w:val="a9"/>
        <w:rPr>
          <w:b/>
          <w:bCs/>
          <w:u w:val="single"/>
        </w:rPr>
      </w:pPr>
      <w:r>
        <w:rPr>
          <w:rFonts w:hint="cs"/>
          <w:b/>
          <w:bCs/>
          <w:u w:val="single"/>
          <w:rtl/>
        </w:rPr>
        <w:t xml:space="preserve">נאשם 1- </w:t>
      </w:r>
    </w:p>
    <w:p w14:paraId="212D1557" w14:textId="77777777" w:rsidR="00FA6FCA" w:rsidRDefault="00FA6FCA" w:rsidP="00FA6FCA">
      <w:pPr>
        <w:pStyle w:val="a9"/>
        <w:rPr>
          <w:rtl/>
        </w:rPr>
      </w:pPr>
    </w:p>
    <w:p w14:paraId="59986C9E" w14:textId="77777777" w:rsidR="00FA6FCA" w:rsidRDefault="00FA6FCA" w:rsidP="00FA6FCA">
      <w:pPr>
        <w:pStyle w:val="a9"/>
        <w:numPr>
          <w:ilvl w:val="0"/>
          <w:numId w:val="2"/>
        </w:numPr>
        <w:spacing w:after="160" w:line="480" w:lineRule="auto"/>
        <w:jc w:val="both"/>
        <w:rPr>
          <w:rtl/>
        </w:rPr>
      </w:pPr>
      <w:r>
        <w:rPr>
          <w:rFonts w:hint="cs"/>
          <w:rtl/>
        </w:rPr>
        <w:t>בגין תיק זה -</w:t>
      </w:r>
      <w:r>
        <w:rPr>
          <w:rFonts w:hint="cs"/>
          <w:b/>
          <w:bCs/>
          <w:rtl/>
        </w:rPr>
        <w:t>54 חודשי מאסר בפועל,</w:t>
      </w:r>
      <w:r>
        <w:rPr>
          <w:rFonts w:hint="cs"/>
          <w:rtl/>
        </w:rPr>
        <w:t xml:space="preserve"> בניכוי ימי מעצרו החל מיום 17.12.22. </w:t>
      </w:r>
    </w:p>
    <w:p w14:paraId="478BC436" w14:textId="77777777" w:rsidR="00FA6FCA" w:rsidRDefault="00FA6FCA" w:rsidP="00FA6FCA">
      <w:pPr>
        <w:pStyle w:val="a9"/>
        <w:numPr>
          <w:ilvl w:val="0"/>
          <w:numId w:val="2"/>
        </w:numPr>
        <w:spacing w:after="160" w:line="480" w:lineRule="auto"/>
        <w:jc w:val="both"/>
      </w:pPr>
      <w:r>
        <w:rPr>
          <w:rFonts w:hint="cs"/>
          <w:rtl/>
        </w:rPr>
        <w:t xml:space="preserve">בגין תיק הצירוף- </w:t>
      </w:r>
      <w:r>
        <w:rPr>
          <w:rFonts w:hint="cs"/>
          <w:b/>
          <w:bCs/>
          <w:rtl/>
        </w:rPr>
        <w:t>10 חודשי מאסר בניכוי ימי מעצרו בתיק</w:t>
      </w:r>
      <w:r>
        <w:rPr>
          <w:rFonts w:hint="cs"/>
          <w:rtl/>
        </w:rPr>
        <w:t xml:space="preserve"> ומפעילה תנאי בן 4 חודשים מ</w:t>
      </w:r>
      <w:hyperlink r:id="rId54" w:history="1">
        <w:r w:rsidR="0059299C" w:rsidRPr="0059299C">
          <w:rPr>
            <w:color w:val="0000FF"/>
            <w:u w:val="single"/>
            <w:rtl/>
          </w:rPr>
          <w:t>ת"פ 53635-05-20</w:t>
        </w:r>
      </w:hyperlink>
      <w:r>
        <w:rPr>
          <w:rFonts w:hint="cs"/>
          <w:rtl/>
        </w:rPr>
        <w:t xml:space="preserve"> (שלום כ"ס) באופן חופף ומצטבר כך שירצה </w:t>
      </w:r>
      <w:r>
        <w:rPr>
          <w:rFonts w:hint="cs"/>
          <w:b/>
          <w:bCs/>
          <w:rtl/>
        </w:rPr>
        <w:t>עונש מאסר כולל בגין שני התיקים בן 62 חודשי מאסר</w:t>
      </w:r>
      <w:r>
        <w:rPr>
          <w:rFonts w:hint="cs"/>
          <w:rtl/>
        </w:rPr>
        <w:t xml:space="preserve"> בניכוי ימי מעצרו  ובמצטבר לכל מאסר אחר. </w:t>
      </w:r>
    </w:p>
    <w:p w14:paraId="57F32B26" w14:textId="77777777" w:rsidR="00FA6FCA" w:rsidRDefault="00FA6FCA" w:rsidP="00FA6FCA">
      <w:pPr>
        <w:pStyle w:val="a9"/>
        <w:numPr>
          <w:ilvl w:val="0"/>
          <w:numId w:val="2"/>
        </w:numPr>
        <w:spacing w:after="160" w:line="480" w:lineRule="auto"/>
        <w:jc w:val="both"/>
      </w:pPr>
      <w:r>
        <w:rPr>
          <w:rFonts w:hint="cs"/>
          <w:rtl/>
        </w:rPr>
        <w:t>מאסר על תנאי בן 12 חודשים לבל יעבור הנאשם עבירת נשק, לרבות שימוש בו שלא כדין, במשך 3 שנים מיום שחרורו.</w:t>
      </w:r>
    </w:p>
    <w:p w14:paraId="26CB4159" w14:textId="77777777" w:rsidR="00FA6FCA" w:rsidRDefault="00FA6FCA" w:rsidP="00FA6FCA">
      <w:pPr>
        <w:pStyle w:val="a9"/>
        <w:numPr>
          <w:ilvl w:val="0"/>
          <w:numId w:val="2"/>
        </w:numPr>
        <w:spacing w:after="160" w:line="480" w:lineRule="auto"/>
        <w:jc w:val="both"/>
      </w:pPr>
      <w:r>
        <w:rPr>
          <w:rFonts w:hint="cs"/>
          <w:rtl/>
        </w:rPr>
        <w:t>מאסר על תנאי בן 8 חודשים שלא יבצע עבירת אלימות או רכוש מסוג פשע במשך 3 שנים מיום שחרורו.</w:t>
      </w:r>
    </w:p>
    <w:p w14:paraId="5E96C66D" w14:textId="77777777" w:rsidR="00FA6FCA" w:rsidRDefault="00FA6FCA" w:rsidP="00FA6FCA">
      <w:pPr>
        <w:pStyle w:val="a9"/>
        <w:numPr>
          <w:ilvl w:val="0"/>
          <w:numId w:val="2"/>
        </w:numPr>
        <w:spacing w:after="160" w:line="480" w:lineRule="auto"/>
        <w:jc w:val="both"/>
      </w:pPr>
      <w:r>
        <w:rPr>
          <w:rFonts w:hint="cs"/>
          <w:rtl/>
        </w:rPr>
        <w:t xml:space="preserve">מאסר על תנאי בן 5 חודשים בגין עבירת אלימות או רכוש מסוג עוון במשך 3 שנים מיום שחרורו. </w:t>
      </w:r>
    </w:p>
    <w:p w14:paraId="59472E4B" w14:textId="77777777" w:rsidR="00FA6FCA" w:rsidRDefault="00FA6FCA" w:rsidP="00FA6FCA">
      <w:pPr>
        <w:pStyle w:val="a9"/>
        <w:numPr>
          <w:ilvl w:val="0"/>
          <w:numId w:val="2"/>
        </w:numPr>
        <w:spacing w:after="160" w:line="480" w:lineRule="auto"/>
        <w:jc w:val="both"/>
      </w:pPr>
      <w:r>
        <w:rPr>
          <w:rFonts w:hint="cs"/>
          <w:rtl/>
        </w:rPr>
        <w:t xml:space="preserve">מפעילה התחייבות בת 2,000 ₪ מתיק הצירוף לתשלום עד ליום 1.6.4. </w:t>
      </w:r>
    </w:p>
    <w:p w14:paraId="1AC7E643" w14:textId="77777777" w:rsidR="00FA6FCA" w:rsidRDefault="00FA6FCA" w:rsidP="00FA6FCA">
      <w:pPr>
        <w:pStyle w:val="a9"/>
        <w:numPr>
          <w:ilvl w:val="0"/>
          <w:numId w:val="2"/>
        </w:numPr>
        <w:spacing w:after="160" w:line="480" w:lineRule="auto"/>
        <w:jc w:val="both"/>
      </w:pPr>
      <w:r>
        <w:rPr>
          <w:rFonts w:hint="cs"/>
          <w:rtl/>
        </w:rPr>
        <w:t xml:space="preserve">קנס בסך 4,000 ₪ או 45 ימי מאסר תמורתו שישולם ב-8 תשלומים שווים ורצופים החל מיום 10.4.24. </w:t>
      </w:r>
    </w:p>
    <w:p w14:paraId="01D96B37" w14:textId="77777777" w:rsidR="00FA6FCA" w:rsidRDefault="00FA6FCA" w:rsidP="00FA6FCA">
      <w:pPr>
        <w:spacing w:after="160" w:line="480" w:lineRule="auto"/>
        <w:ind w:left="720"/>
        <w:jc w:val="both"/>
        <w:rPr>
          <w:b/>
          <w:bCs/>
          <w:u w:val="single"/>
        </w:rPr>
      </w:pPr>
      <w:r>
        <w:rPr>
          <w:rFonts w:hint="cs"/>
          <w:b/>
          <w:bCs/>
          <w:u w:val="single"/>
          <w:rtl/>
        </w:rPr>
        <w:t>נאשם 2</w:t>
      </w:r>
    </w:p>
    <w:p w14:paraId="0CF2CC6A" w14:textId="77777777" w:rsidR="00FA6FCA" w:rsidRDefault="00FA6FCA" w:rsidP="00FA6FCA">
      <w:pPr>
        <w:pStyle w:val="a9"/>
        <w:numPr>
          <w:ilvl w:val="0"/>
          <w:numId w:val="3"/>
        </w:numPr>
        <w:spacing w:after="160" w:line="480" w:lineRule="auto"/>
        <w:jc w:val="both"/>
        <w:rPr>
          <w:rtl/>
        </w:rPr>
      </w:pPr>
      <w:r>
        <w:rPr>
          <w:rFonts w:hint="cs"/>
          <w:b/>
          <w:bCs/>
          <w:rtl/>
        </w:rPr>
        <w:t>22 חודשי מאסר בפועל</w:t>
      </w:r>
      <w:r>
        <w:rPr>
          <w:rFonts w:hint="cs"/>
          <w:rtl/>
        </w:rPr>
        <w:t xml:space="preserve"> החל מיום מעצרו, 17.12.22 ומצטבר לכל עונש מאסר שנגזר עליו. </w:t>
      </w:r>
    </w:p>
    <w:p w14:paraId="5998B129" w14:textId="77777777" w:rsidR="00FA6FCA" w:rsidRDefault="00FA6FCA" w:rsidP="00FA6FCA">
      <w:pPr>
        <w:pStyle w:val="a9"/>
        <w:numPr>
          <w:ilvl w:val="0"/>
          <w:numId w:val="3"/>
        </w:numPr>
        <w:spacing w:after="160" w:line="480" w:lineRule="auto"/>
        <w:jc w:val="both"/>
      </w:pPr>
      <w:r>
        <w:rPr>
          <w:rFonts w:hint="cs"/>
          <w:rtl/>
        </w:rPr>
        <w:t>מאסר על תנאי בן 8 חודשים לבל יעבור הנאשם עבירת נשק, לרבות שימוש בו שלא כדין, במשך 3 שנים מיום שחרורו.</w:t>
      </w:r>
    </w:p>
    <w:p w14:paraId="51D15AA2" w14:textId="77777777" w:rsidR="00FA6FCA" w:rsidRDefault="00FA6FCA" w:rsidP="00FA6FCA">
      <w:pPr>
        <w:pStyle w:val="a9"/>
        <w:numPr>
          <w:ilvl w:val="0"/>
          <w:numId w:val="3"/>
        </w:numPr>
        <w:spacing w:after="160" w:line="480" w:lineRule="auto"/>
        <w:jc w:val="both"/>
      </w:pPr>
      <w:r>
        <w:rPr>
          <w:rFonts w:hint="cs"/>
          <w:rtl/>
        </w:rPr>
        <w:t xml:space="preserve">קנס בסך 2000 ₪ או 21 ימי מאסר תמורתו שישולם בארבעה תשלומים החל מיום 15.3.24. </w:t>
      </w:r>
    </w:p>
    <w:p w14:paraId="678EE738" w14:textId="77777777" w:rsidR="00FA6FCA" w:rsidRDefault="00FA6FCA" w:rsidP="00FA6FCA">
      <w:pPr>
        <w:spacing w:after="160" w:line="480" w:lineRule="auto"/>
        <w:jc w:val="both"/>
      </w:pPr>
      <w:r>
        <w:rPr>
          <w:rFonts w:hint="cs"/>
          <w:rtl/>
        </w:rPr>
        <w:t>צו כללי למוצגים- השמדה/חילוט – לשק"ד ק' משטרה</w:t>
      </w:r>
    </w:p>
    <w:p w14:paraId="70493E89" w14:textId="77777777" w:rsidR="00FA6FCA" w:rsidRDefault="00FA6FCA" w:rsidP="00FA6FCA">
      <w:pPr>
        <w:spacing w:line="360" w:lineRule="auto"/>
        <w:jc w:val="both"/>
      </w:pPr>
    </w:p>
    <w:p w14:paraId="44F0FCE3" w14:textId="77777777" w:rsidR="00FA6FCA" w:rsidRDefault="00FA6FCA" w:rsidP="00FA6FCA">
      <w:pPr>
        <w:spacing w:line="360" w:lineRule="auto"/>
        <w:jc w:val="both"/>
        <w:rPr>
          <w:b/>
          <w:bCs/>
        </w:rPr>
      </w:pPr>
      <w:r>
        <w:rPr>
          <w:rFonts w:hint="cs"/>
          <w:b/>
          <w:bCs/>
          <w:rtl/>
        </w:rPr>
        <w:t xml:space="preserve">זכות ערעור לבית המשפט העליון תוך 45 יום. </w:t>
      </w:r>
    </w:p>
    <w:p w14:paraId="6C2278B0" w14:textId="77777777" w:rsidR="00FA6FCA" w:rsidRDefault="00FA6FCA" w:rsidP="00FA6FCA">
      <w:pPr>
        <w:spacing w:line="360" w:lineRule="auto"/>
        <w:jc w:val="both"/>
        <w:rPr>
          <w:b/>
          <w:bCs/>
          <w:rtl/>
        </w:rPr>
      </w:pPr>
    </w:p>
    <w:p w14:paraId="017CEB2E" w14:textId="77777777" w:rsidR="00FA6FCA" w:rsidRPr="0059299C" w:rsidRDefault="0059299C" w:rsidP="00FA6FCA">
      <w:pPr>
        <w:pStyle w:val="Ruller40"/>
        <w:textAlignment w:val="baseline"/>
        <w:rPr>
          <w:rFonts w:ascii="Times New Roman" w:hAnsi="Times New Roman" w:cs="David"/>
          <w:color w:val="FFFFFF"/>
          <w:spacing w:val="0"/>
          <w:sz w:val="2"/>
          <w:szCs w:val="2"/>
        </w:rPr>
      </w:pPr>
      <w:r w:rsidRPr="0059299C">
        <w:rPr>
          <w:rFonts w:ascii="Times New Roman" w:hAnsi="Times New Roman" w:cs="David"/>
          <w:color w:val="FFFFFF"/>
          <w:spacing w:val="0"/>
          <w:sz w:val="2"/>
          <w:szCs w:val="2"/>
          <w:rtl/>
        </w:rPr>
        <w:t>5129371</w:t>
      </w:r>
    </w:p>
    <w:p w14:paraId="30570546" w14:textId="77777777" w:rsidR="00FA6FCA" w:rsidRPr="0059299C" w:rsidRDefault="0059299C" w:rsidP="00FA6FCA">
      <w:pPr>
        <w:rPr>
          <w:rFonts w:ascii="Arial" w:hAnsi="Arial"/>
          <w:b/>
          <w:bCs/>
          <w:color w:val="FFFFFF"/>
          <w:sz w:val="2"/>
          <w:szCs w:val="2"/>
          <w:rtl/>
        </w:rPr>
      </w:pPr>
      <w:r w:rsidRPr="0059299C">
        <w:rPr>
          <w:rFonts w:ascii="Arial" w:hAnsi="Arial"/>
          <w:b/>
          <w:bCs/>
          <w:color w:val="FFFFFF"/>
          <w:sz w:val="2"/>
          <w:szCs w:val="2"/>
          <w:rtl/>
        </w:rPr>
        <w:t>54678313</w:t>
      </w:r>
    </w:p>
    <w:p w14:paraId="157225CD" w14:textId="77777777" w:rsidR="00FA6FCA" w:rsidRPr="000F2247" w:rsidRDefault="00FA6FCA" w:rsidP="00FA6FCA">
      <w:pPr>
        <w:rPr>
          <w:rFonts w:ascii="Arial" w:hAnsi="Arial"/>
          <w:b/>
          <w:bCs/>
          <w:sz w:val="26"/>
          <w:szCs w:val="26"/>
          <w:rtl/>
        </w:rPr>
      </w:pPr>
    </w:p>
    <w:p w14:paraId="5720E082" w14:textId="77777777" w:rsidR="0059299C" w:rsidRDefault="0059299C" w:rsidP="0059299C">
      <w:bookmarkStart w:id="8" w:name="Nitan"/>
      <w:r>
        <w:rPr>
          <w:rFonts w:ascii="Arial" w:hAnsi="Arial"/>
          <w:b/>
          <w:bCs/>
          <w:sz w:val="26"/>
          <w:szCs w:val="26"/>
          <w:rtl/>
        </w:rPr>
        <w:t xml:space="preserve">ניתן היום,  י' אדר א' תשפ"ד, 19 פברואר 2024, במעמד הצדדים. </w:t>
      </w:r>
      <w:bookmarkEnd w:id="8"/>
      <w:r w:rsidR="00FA6FCA">
        <w:rPr>
          <w:rFonts w:ascii="Arial" w:hAnsi="Arial"/>
          <w:b/>
          <w:bCs/>
          <w:sz w:val="26"/>
          <w:szCs w:val="26"/>
          <w:rtl/>
        </w:rPr>
        <w:tab/>
      </w:r>
      <w:r w:rsidR="00FA6FCA">
        <w:rPr>
          <w:rFonts w:ascii="Arial" w:hAnsi="Arial"/>
          <w:b/>
          <w:bCs/>
          <w:sz w:val="26"/>
          <w:szCs w:val="26"/>
          <w:rtl/>
        </w:rPr>
        <w:tab/>
      </w:r>
      <w:r w:rsidR="00FA6FCA">
        <w:rPr>
          <w:rFonts w:ascii="Arial" w:hAnsi="Arial"/>
          <w:b/>
          <w:bCs/>
          <w:sz w:val="26"/>
          <w:szCs w:val="26"/>
          <w:rtl/>
        </w:rPr>
        <w:tab/>
      </w:r>
    </w:p>
    <w:p w14:paraId="2351B1CF" w14:textId="77777777" w:rsidR="0059299C" w:rsidRDefault="0059299C" w:rsidP="0059299C">
      <w:pPr>
        <w:rPr>
          <w:rtl/>
        </w:rPr>
      </w:pPr>
    </w:p>
    <w:p w14:paraId="101F1470" w14:textId="77777777" w:rsidR="0059299C" w:rsidRDefault="0059299C" w:rsidP="0059299C">
      <w:pPr>
        <w:jc w:val="center"/>
        <w:rPr>
          <w:color w:val="0000FF"/>
          <w:u w:val="single"/>
        </w:rPr>
      </w:pPr>
      <w:hyperlink r:id="rId55" w:history="1">
        <w:r>
          <w:rPr>
            <w:color w:val="0000FF"/>
            <w:u w:val="single"/>
            <w:rtl/>
          </w:rPr>
          <w:t>בעניין עריכה ושינויים במסמכי פסיקה, חקיקה ועוד באתר נבו – הקש כאן</w:t>
        </w:r>
      </w:hyperlink>
    </w:p>
    <w:p w14:paraId="135FD60C" w14:textId="77777777" w:rsidR="006F282C" w:rsidRPr="006F282C" w:rsidRDefault="006F282C" w:rsidP="006F282C">
      <w:pPr>
        <w:keepNext/>
        <w:rPr>
          <w:rFonts w:ascii="David" w:hAnsi="David"/>
          <w:color w:val="000000"/>
          <w:sz w:val="22"/>
          <w:szCs w:val="22"/>
          <w:rtl/>
        </w:rPr>
      </w:pPr>
    </w:p>
    <w:p w14:paraId="5EA3372A" w14:textId="77777777" w:rsidR="006F282C" w:rsidRPr="006F282C" w:rsidRDefault="006F282C" w:rsidP="006F282C">
      <w:pPr>
        <w:keepNext/>
        <w:rPr>
          <w:rFonts w:ascii="David" w:hAnsi="David"/>
          <w:color w:val="000000"/>
          <w:sz w:val="22"/>
          <w:szCs w:val="22"/>
          <w:rtl/>
        </w:rPr>
      </w:pPr>
      <w:r w:rsidRPr="006F282C">
        <w:rPr>
          <w:rFonts w:ascii="David" w:hAnsi="David"/>
          <w:color w:val="000000"/>
          <w:sz w:val="22"/>
          <w:szCs w:val="22"/>
          <w:rtl/>
        </w:rPr>
        <w:t>מרב גרינברג 54678313-/</w:t>
      </w:r>
    </w:p>
    <w:p w14:paraId="368837ED" w14:textId="77777777" w:rsidR="0059299C" w:rsidRPr="0059299C" w:rsidRDefault="006F282C" w:rsidP="006F282C">
      <w:pPr>
        <w:rPr>
          <w:color w:val="0000FF"/>
          <w:u w:val="single"/>
        </w:rPr>
      </w:pPr>
      <w:r w:rsidRPr="006F282C">
        <w:rPr>
          <w:color w:val="000000"/>
          <w:u w:val="single"/>
          <w:rtl/>
        </w:rPr>
        <w:t>נוסח מסמך זה כפוף לשינויי ניסוח ועריכה</w:t>
      </w:r>
    </w:p>
    <w:sectPr w:rsidR="0059299C" w:rsidRPr="0059299C" w:rsidSect="006F282C">
      <w:headerReference w:type="even" r:id="rId56"/>
      <w:headerReference w:type="default" r:id="rId57"/>
      <w:footerReference w:type="even" r:id="rId58"/>
      <w:footerReference w:type="default" r:id="rId5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F90BAE" w14:textId="77777777" w:rsidR="00257C7A" w:rsidRDefault="00257C7A" w:rsidP="00AE7B0F">
      <w:r>
        <w:separator/>
      </w:r>
    </w:p>
  </w:endnote>
  <w:endnote w:type="continuationSeparator" w:id="0">
    <w:p w14:paraId="0B1ED010" w14:textId="77777777" w:rsidR="00257C7A" w:rsidRDefault="00257C7A" w:rsidP="00AE7B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F874D7" w14:textId="77777777" w:rsidR="006F282C" w:rsidRDefault="006F282C" w:rsidP="006F282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8A748AE" w14:textId="77777777" w:rsidR="006D21D0" w:rsidRPr="006F282C" w:rsidRDefault="006F282C" w:rsidP="006F282C">
    <w:pPr>
      <w:pStyle w:val="a5"/>
      <w:pBdr>
        <w:top w:val="single" w:sz="4" w:space="1" w:color="auto"/>
        <w:between w:val="single" w:sz="4" w:space="0" w:color="auto"/>
      </w:pBdr>
      <w:spacing w:after="60"/>
      <w:jc w:val="center"/>
      <w:rPr>
        <w:rFonts w:ascii="FrankRuehl" w:hAnsi="FrankRuehl" w:cs="FrankRuehl"/>
        <w:color w:val="000000"/>
      </w:rPr>
    </w:pPr>
    <w:r w:rsidRPr="006F282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42FA8C" w14:textId="77777777" w:rsidR="006F282C" w:rsidRDefault="006F282C" w:rsidP="006F282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E5BB7">
      <w:rPr>
        <w:rFonts w:ascii="FrankRuehl" w:hAnsi="FrankRuehl" w:cs="FrankRuehl"/>
        <w:noProof/>
        <w:rtl/>
      </w:rPr>
      <w:t>1</w:t>
    </w:r>
    <w:r>
      <w:rPr>
        <w:rFonts w:ascii="FrankRuehl" w:hAnsi="FrankRuehl" w:cs="FrankRuehl"/>
        <w:rtl/>
      </w:rPr>
      <w:fldChar w:fldCharType="end"/>
    </w:r>
  </w:p>
  <w:p w14:paraId="2A92AC05" w14:textId="77777777" w:rsidR="006D21D0" w:rsidRPr="006F282C" w:rsidRDefault="006F282C" w:rsidP="006F282C">
    <w:pPr>
      <w:pStyle w:val="a5"/>
      <w:pBdr>
        <w:top w:val="single" w:sz="4" w:space="1" w:color="auto"/>
        <w:between w:val="single" w:sz="4" w:space="0" w:color="auto"/>
      </w:pBdr>
      <w:spacing w:after="60"/>
      <w:jc w:val="center"/>
      <w:rPr>
        <w:rFonts w:ascii="FrankRuehl" w:hAnsi="FrankRuehl" w:cs="FrankRuehl"/>
        <w:color w:val="000000"/>
      </w:rPr>
    </w:pPr>
    <w:r w:rsidRPr="006F282C">
      <w:rPr>
        <w:rFonts w:ascii="FrankRuehl" w:hAnsi="FrankRuehl" w:cs="FrankRuehl"/>
        <w:color w:val="000000"/>
      </w:rPr>
      <w:pict w14:anchorId="70F993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86BEBD" w14:textId="77777777" w:rsidR="00257C7A" w:rsidRDefault="00257C7A" w:rsidP="00AE7B0F">
      <w:r>
        <w:separator/>
      </w:r>
    </w:p>
  </w:footnote>
  <w:footnote w:type="continuationSeparator" w:id="0">
    <w:p w14:paraId="0DCC1974" w14:textId="77777777" w:rsidR="00257C7A" w:rsidRDefault="00257C7A" w:rsidP="00AE7B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F702F3" w14:textId="77777777" w:rsidR="0059299C" w:rsidRPr="006F282C" w:rsidRDefault="006F282C" w:rsidP="006F282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10174-01-23</w:t>
    </w:r>
    <w:r>
      <w:rPr>
        <w:rFonts w:ascii="David" w:hAnsi="David"/>
        <w:color w:val="000000"/>
        <w:sz w:val="22"/>
        <w:szCs w:val="22"/>
        <w:rtl/>
      </w:rPr>
      <w:tab/>
      <w:t xml:space="preserve"> מדינת ישראל נ' סאהר נאסר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820AAD" w14:textId="77777777" w:rsidR="0059299C" w:rsidRPr="006F282C" w:rsidRDefault="006F282C" w:rsidP="006F282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10174-01-23</w:t>
    </w:r>
    <w:r>
      <w:rPr>
        <w:rFonts w:ascii="David" w:hAnsi="David"/>
        <w:color w:val="000000"/>
        <w:sz w:val="22"/>
        <w:szCs w:val="22"/>
        <w:rtl/>
      </w:rPr>
      <w:tab/>
      <w:t xml:space="preserve"> מדינת ישראל נ' סאהר נאסר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6A0D32"/>
    <w:multiLevelType w:val="hybridMultilevel"/>
    <w:tmpl w:val="98E4CE56"/>
    <w:lvl w:ilvl="0" w:tplc="BEDC841C">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63EB781E"/>
    <w:multiLevelType w:val="hybridMultilevel"/>
    <w:tmpl w:val="95B605C6"/>
    <w:lvl w:ilvl="0" w:tplc="D338B202">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7EC356E9"/>
    <w:multiLevelType w:val="hybridMultilevel"/>
    <w:tmpl w:val="D0B8E03E"/>
    <w:lvl w:ilvl="0" w:tplc="3E76A852">
      <w:start w:val="1"/>
      <w:numFmt w:val="decimal"/>
      <w:lvlText w:val="%1."/>
      <w:lvlJc w:val="left"/>
      <w:pPr>
        <w:ind w:left="720" w:hanging="360"/>
      </w:pPr>
      <w:rPr>
        <w:rFonts w:ascii="David" w:hAnsi="David" w:cs="David" w:hint="default"/>
        <w:b w:val="0"/>
        <w:b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980962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0302668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486549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A6FCA"/>
    <w:rsid w:val="0018597E"/>
    <w:rsid w:val="001B5A3B"/>
    <w:rsid w:val="00200797"/>
    <w:rsid w:val="00257C7A"/>
    <w:rsid w:val="002E5BB7"/>
    <w:rsid w:val="0034323E"/>
    <w:rsid w:val="0059299C"/>
    <w:rsid w:val="006D21D0"/>
    <w:rsid w:val="006F282C"/>
    <w:rsid w:val="00A33352"/>
    <w:rsid w:val="00AE7B0F"/>
    <w:rsid w:val="00B91A9C"/>
    <w:rsid w:val="00BD3DC9"/>
    <w:rsid w:val="00C970B1"/>
    <w:rsid w:val="00DE109B"/>
    <w:rsid w:val="00FA6F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E952B06"/>
  <w15:chartTrackingRefBased/>
  <w15:docId w15:val="{4C61B2EE-5F34-4F7F-AA64-A4BD1FB07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A6FC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A6FCA"/>
    <w:pPr>
      <w:tabs>
        <w:tab w:val="center" w:pos="4153"/>
        <w:tab w:val="right" w:pos="8306"/>
      </w:tabs>
    </w:pPr>
  </w:style>
  <w:style w:type="character" w:customStyle="1" w:styleId="a4">
    <w:name w:val="כותרת עליונה תו"/>
    <w:link w:val="a3"/>
    <w:rsid w:val="00FA6FCA"/>
    <w:rPr>
      <w:rFonts w:ascii="Times New Roman" w:eastAsia="Times New Roman" w:hAnsi="Times New Roman" w:cs="David"/>
      <w:sz w:val="24"/>
      <w:szCs w:val="24"/>
    </w:rPr>
  </w:style>
  <w:style w:type="paragraph" w:styleId="a5">
    <w:name w:val="footer"/>
    <w:basedOn w:val="a"/>
    <w:link w:val="a6"/>
    <w:rsid w:val="00FA6FCA"/>
    <w:pPr>
      <w:tabs>
        <w:tab w:val="center" w:pos="4153"/>
        <w:tab w:val="right" w:pos="8306"/>
      </w:tabs>
    </w:pPr>
  </w:style>
  <w:style w:type="character" w:customStyle="1" w:styleId="a6">
    <w:name w:val="כותרת תחתונה תו"/>
    <w:link w:val="a5"/>
    <w:rsid w:val="00FA6FCA"/>
    <w:rPr>
      <w:rFonts w:ascii="Times New Roman" w:eastAsia="Times New Roman" w:hAnsi="Times New Roman" w:cs="David"/>
      <w:sz w:val="24"/>
      <w:szCs w:val="24"/>
    </w:rPr>
  </w:style>
  <w:style w:type="table" w:styleId="a7">
    <w:name w:val="Table Grid"/>
    <w:basedOn w:val="a1"/>
    <w:rsid w:val="00FA6FC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A6FCA"/>
  </w:style>
  <w:style w:type="paragraph" w:styleId="a9">
    <w:name w:val="List Paragraph"/>
    <w:basedOn w:val="a"/>
    <w:qFormat/>
    <w:rsid w:val="00FA6FCA"/>
    <w:pPr>
      <w:ind w:left="720"/>
      <w:contextualSpacing/>
    </w:pPr>
    <w:rPr>
      <w:rFonts w:ascii="David" w:eastAsia="David" w:hAnsi="David"/>
    </w:rPr>
  </w:style>
  <w:style w:type="character" w:customStyle="1" w:styleId="Ruller4">
    <w:name w:val="Ruller4 תו"/>
    <w:link w:val="Ruller40"/>
    <w:locked/>
    <w:rsid w:val="00FA6FCA"/>
    <w:rPr>
      <w:rFonts w:ascii="Arial TUR" w:hAnsi="Arial TUR" w:cs="FrankRuehl"/>
      <w:spacing w:val="10"/>
      <w:szCs w:val="28"/>
    </w:rPr>
  </w:style>
  <w:style w:type="paragraph" w:customStyle="1" w:styleId="Ruller40">
    <w:name w:val="Ruller4"/>
    <w:basedOn w:val="a"/>
    <w:link w:val="Ruller4"/>
    <w:rsid w:val="00FA6FCA"/>
    <w:pPr>
      <w:tabs>
        <w:tab w:val="left" w:pos="800"/>
      </w:tabs>
      <w:overflowPunct w:val="0"/>
      <w:autoSpaceDE w:val="0"/>
      <w:autoSpaceDN w:val="0"/>
      <w:adjustRightInd w:val="0"/>
      <w:spacing w:line="360" w:lineRule="auto"/>
      <w:jc w:val="both"/>
    </w:pPr>
    <w:rPr>
      <w:rFonts w:ascii="Arial TUR" w:eastAsia="Calibri" w:hAnsi="Arial TUR" w:cs="FrankRuehl"/>
      <w:spacing w:val="10"/>
      <w:sz w:val="22"/>
      <w:szCs w:val="28"/>
    </w:rPr>
  </w:style>
  <w:style w:type="paragraph" w:customStyle="1" w:styleId="ruller400">
    <w:name w:val="ruller40"/>
    <w:basedOn w:val="a"/>
    <w:rsid w:val="00FA6FCA"/>
    <w:pPr>
      <w:bidi w:val="0"/>
      <w:spacing w:before="100" w:beforeAutospacing="1" w:after="100" w:afterAutospacing="1"/>
    </w:pPr>
    <w:rPr>
      <w:rFonts w:cs="Times New Roman"/>
    </w:rPr>
  </w:style>
  <w:style w:type="character" w:styleId="Hyperlink">
    <w:name w:val="Hyperlink"/>
    <w:rsid w:val="005929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0a" TargetMode="External"/><Relationship Id="rId18" Type="http://schemas.openxmlformats.org/officeDocument/2006/relationships/hyperlink" Target="http://www.nevo.co.il/law/70301/144.b" TargetMode="External"/><Relationship Id="rId26" Type="http://schemas.openxmlformats.org/officeDocument/2006/relationships/hyperlink" Target="http://www.nevo.co.il/law/70301/384" TargetMode="External"/><Relationship Id="rId39" Type="http://schemas.openxmlformats.org/officeDocument/2006/relationships/hyperlink" Target="http://www.nevo.co.il/case/28096675" TargetMode="External"/><Relationship Id="rId21" Type="http://schemas.openxmlformats.org/officeDocument/2006/relationships/hyperlink" Target="http://www.nevo.co.il/law/70301/31" TargetMode="External"/><Relationship Id="rId34" Type="http://schemas.openxmlformats.org/officeDocument/2006/relationships/hyperlink" Target="http://www.nevo.co.il/case/27305799" TargetMode="External"/><Relationship Id="rId42" Type="http://schemas.openxmlformats.org/officeDocument/2006/relationships/hyperlink" Target="http://www.nevo.co.il/law/70301/340.a" TargetMode="External"/><Relationship Id="rId47" Type="http://schemas.openxmlformats.org/officeDocument/2006/relationships/hyperlink" Target="http://www.nevo.co.il/case/26779248" TargetMode="External"/><Relationship Id="rId50" Type="http://schemas.openxmlformats.org/officeDocument/2006/relationships/hyperlink" Target="http://www.nevo.co.il/case/28452933" TargetMode="External"/><Relationship Id="rId55" Type="http://schemas.openxmlformats.org/officeDocument/2006/relationships/hyperlink" Target="http://www.nevo.co.il/advertisements/nevo-100.doc" TargetMode="Externa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144.a" TargetMode="External"/><Relationship Id="rId29" Type="http://schemas.openxmlformats.org/officeDocument/2006/relationships/hyperlink" Target="http://www.nevo.co.il/case/28513828" TargetMode="External"/><Relationship Id="rId11" Type="http://schemas.openxmlformats.org/officeDocument/2006/relationships/hyperlink" Target="http://www.nevo.co.il/law/70301/192" TargetMode="External"/><Relationship Id="rId24" Type="http://schemas.openxmlformats.org/officeDocument/2006/relationships/hyperlink" Target="http://www.nevo.co.il/law/70301/144.a" TargetMode="External"/><Relationship Id="rId32" Type="http://schemas.openxmlformats.org/officeDocument/2006/relationships/hyperlink" Target="http://www.nevo.co.il/case/28152132" TargetMode="External"/><Relationship Id="rId37" Type="http://schemas.openxmlformats.org/officeDocument/2006/relationships/hyperlink" Target="http://www.nevo.co.il/case/7697292" TargetMode="External"/><Relationship Id="rId40" Type="http://schemas.openxmlformats.org/officeDocument/2006/relationships/hyperlink" Target="http://www.nevo.co.il/case/27603872" TargetMode="External"/><Relationship Id="rId45" Type="http://schemas.openxmlformats.org/officeDocument/2006/relationships/hyperlink" Target="http://www.nevo.co.il/case/28096677" TargetMode="External"/><Relationship Id="rId53" Type="http://schemas.openxmlformats.org/officeDocument/2006/relationships/hyperlink" Target="http://www.nevo.co.il/case/27254208" TargetMode="External"/><Relationship Id="rId58"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www.nevo.co.il/law/70301/340a.b.1" TargetMode="External"/><Relationship Id="rId14" Type="http://schemas.openxmlformats.org/officeDocument/2006/relationships/hyperlink" Target="http://www.nevo.co.il/law/70301/340a.b.1" TargetMode="External"/><Relationship Id="rId22" Type="http://schemas.openxmlformats.org/officeDocument/2006/relationships/hyperlink" Target="http://www.nevo.co.il/law/70301/340a.b.1" TargetMode="External"/><Relationship Id="rId27" Type="http://schemas.openxmlformats.org/officeDocument/2006/relationships/hyperlink" Target="http://www.nevo.co.il/law/70301/192" TargetMode="External"/><Relationship Id="rId30" Type="http://schemas.openxmlformats.org/officeDocument/2006/relationships/hyperlink" Target="http://www.nevo.co.il/case/27894608" TargetMode="External"/><Relationship Id="rId35" Type="http://schemas.openxmlformats.org/officeDocument/2006/relationships/hyperlink" Target="http://www.nevo.co.il/case/28660017" TargetMode="External"/><Relationship Id="rId43" Type="http://schemas.openxmlformats.org/officeDocument/2006/relationships/hyperlink" Target="http://www.nevo.co.il/case/28152125" TargetMode="External"/><Relationship Id="rId48" Type="http://schemas.openxmlformats.org/officeDocument/2006/relationships/hyperlink" Target="http://www.nevo.co.il/case/29414614" TargetMode="External"/><Relationship Id="rId56" Type="http://schemas.openxmlformats.org/officeDocument/2006/relationships/header" Target="header1.xml"/><Relationship Id="rId8" Type="http://schemas.openxmlformats.org/officeDocument/2006/relationships/hyperlink" Target="http://www.nevo.co.il/law/70301/31" TargetMode="External"/><Relationship Id="rId51" Type="http://schemas.openxmlformats.org/officeDocument/2006/relationships/hyperlink" Target="http://www.nevo.co.il/case/28380863" TargetMode="External"/><Relationship Id="rId3" Type="http://schemas.openxmlformats.org/officeDocument/2006/relationships/settings" Target="settings.xml"/><Relationship Id="rId12" Type="http://schemas.openxmlformats.org/officeDocument/2006/relationships/hyperlink" Target="http://www.nevo.co.il/law/70301/340.a"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9079283" TargetMode="External"/><Relationship Id="rId33" Type="http://schemas.openxmlformats.org/officeDocument/2006/relationships/hyperlink" Target="http://www.nevo.co.il/case/28452933" TargetMode="External"/><Relationship Id="rId38" Type="http://schemas.openxmlformats.org/officeDocument/2006/relationships/hyperlink" Target="http://www.nevo.co.il/case/22242436" TargetMode="External"/><Relationship Id="rId46" Type="http://schemas.openxmlformats.org/officeDocument/2006/relationships/hyperlink" Target="http://www.nevo.co.il/case/28384638" TargetMode="External"/><Relationship Id="rId59" Type="http://schemas.openxmlformats.org/officeDocument/2006/relationships/footer" Target="footer2.xml"/><Relationship Id="rId20" Type="http://schemas.openxmlformats.org/officeDocument/2006/relationships/hyperlink" Target="http://www.nevo.co.il/law/70301/144.b" TargetMode="External"/><Relationship Id="rId41" Type="http://schemas.openxmlformats.org/officeDocument/2006/relationships/hyperlink" Target="http://www.nevo.co.il/case/27404359" TargetMode="External"/><Relationship Id="rId54" Type="http://schemas.openxmlformats.org/officeDocument/2006/relationships/hyperlink" Target="http://www.nevo.co.il/case/26698674"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84" TargetMode="External"/><Relationship Id="rId23" Type="http://schemas.openxmlformats.org/officeDocument/2006/relationships/hyperlink" Target="http://www.nevo.co.il/law/70301/31" TargetMode="External"/><Relationship Id="rId28" Type="http://schemas.openxmlformats.org/officeDocument/2006/relationships/hyperlink" Target="http://www.nevo.co.il/case/28268880" TargetMode="External"/><Relationship Id="rId36" Type="http://schemas.openxmlformats.org/officeDocument/2006/relationships/hyperlink" Target="http://www.nevo.co.il/law/70301/340a" TargetMode="External"/><Relationship Id="rId49" Type="http://schemas.openxmlformats.org/officeDocument/2006/relationships/hyperlink" Target="http://www.nevo.co.il/case/27894608" TargetMode="External"/><Relationship Id="rId57" Type="http://schemas.openxmlformats.org/officeDocument/2006/relationships/header" Target="header2.xml"/><Relationship Id="rId10" Type="http://schemas.openxmlformats.org/officeDocument/2006/relationships/hyperlink" Target="http://www.nevo.co.il/law/70301/144.b" TargetMode="External"/><Relationship Id="rId31" Type="http://schemas.openxmlformats.org/officeDocument/2006/relationships/hyperlink" Target="http://www.nevo.co.il/case/27911638" TargetMode="External"/><Relationship Id="rId44" Type="http://schemas.openxmlformats.org/officeDocument/2006/relationships/hyperlink" Target="http://www.nevo.co.il/case/26492590" TargetMode="External"/><Relationship Id="rId52" Type="http://schemas.openxmlformats.org/officeDocument/2006/relationships/hyperlink" Target="http://www.nevo.co.il/case/28513828"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144.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2792</Words>
  <Characters>13963</Characters>
  <Application>Microsoft Office Word</Application>
  <DocSecurity>0</DocSecurity>
  <Lines>116</Lines>
  <Paragraphs>33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16722</CharactersWithSpaces>
  <SharedDoc>false</SharedDoc>
  <HLinks>
    <vt:vector size="294" baseType="variant">
      <vt:variant>
        <vt:i4>393283</vt:i4>
      </vt:variant>
      <vt:variant>
        <vt:i4>144</vt:i4>
      </vt:variant>
      <vt:variant>
        <vt:i4>0</vt:i4>
      </vt:variant>
      <vt:variant>
        <vt:i4>5</vt:i4>
      </vt:variant>
      <vt:variant>
        <vt:lpwstr>http://www.nevo.co.il/advertisements/nevo-100.doc</vt:lpwstr>
      </vt:variant>
      <vt:variant>
        <vt:lpwstr/>
      </vt:variant>
      <vt:variant>
        <vt:i4>3866749</vt:i4>
      </vt:variant>
      <vt:variant>
        <vt:i4>141</vt:i4>
      </vt:variant>
      <vt:variant>
        <vt:i4>0</vt:i4>
      </vt:variant>
      <vt:variant>
        <vt:i4>5</vt:i4>
      </vt:variant>
      <vt:variant>
        <vt:lpwstr>http://www.nevo.co.il/case/26698674</vt:lpwstr>
      </vt:variant>
      <vt:variant>
        <vt:lpwstr/>
      </vt:variant>
      <vt:variant>
        <vt:i4>3407988</vt:i4>
      </vt:variant>
      <vt:variant>
        <vt:i4>138</vt:i4>
      </vt:variant>
      <vt:variant>
        <vt:i4>0</vt:i4>
      </vt:variant>
      <vt:variant>
        <vt:i4>5</vt:i4>
      </vt:variant>
      <vt:variant>
        <vt:lpwstr>http://www.nevo.co.il/case/27254208</vt:lpwstr>
      </vt:variant>
      <vt:variant>
        <vt:lpwstr/>
      </vt:variant>
      <vt:variant>
        <vt:i4>3539061</vt:i4>
      </vt:variant>
      <vt:variant>
        <vt:i4>135</vt:i4>
      </vt:variant>
      <vt:variant>
        <vt:i4>0</vt:i4>
      </vt:variant>
      <vt:variant>
        <vt:i4>5</vt:i4>
      </vt:variant>
      <vt:variant>
        <vt:lpwstr>http://www.nevo.co.il/case/28513828</vt:lpwstr>
      </vt:variant>
      <vt:variant>
        <vt:lpwstr/>
      </vt:variant>
      <vt:variant>
        <vt:i4>3604604</vt:i4>
      </vt:variant>
      <vt:variant>
        <vt:i4>132</vt:i4>
      </vt:variant>
      <vt:variant>
        <vt:i4>0</vt:i4>
      </vt:variant>
      <vt:variant>
        <vt:i4>5</vt:i4>
      </vt:variant>
      <vt:variant>
        <vt:lpwstr>http://www.nevo.co.il/case/28380863</vt:lpwstr>
      </vt:variant>
      <vt:variant>
        <vt:lpwstr/>
      </vt:variant>
      <vt:variant>
        <vt:i4>3604592</vt:i4>
      </vt:variant>
      <vt:variant>
        <vt:i4>129</vt:i4>
      </vt:variant>
      <vt:variant>
        <vt:i4>0</vt:i4>
      </vt:variant>
      <vt:variant>
        <vt:i4>5</vt:i4>
      </vt:variant>
      <vt:variant>
        <vt:lpwstr>http://www.nevo.co.il/case/28452933</vt:lpwstr>
      </vt:variant>
      <vt:variant>
        <vt:lpwstr/>
      </vt:variant>
      <vt:variant>
        <vt:i4>4063356</vt:i4>
      </vt:variant>
      <vt:variant>
        <vt:i4>126</vt:i4>
      </vt:variant>
      <vt:variant>
        <vt:i4>0</vt:i4>
      </vt:variant>
      <vt:variant>
        <vt:i4>5</vt:i4>
      </vt:variant>
      <vt:variant>
        <vt:lpwstr>http://www.nevo.co.il/case/27894608</vt:lpwstr>
      </vt:variant>
      <vt:variant>
        <vt:lpwstr/>
      </vt:variant>
      <vt:variant>
        <vt:i4>3342458</vt:i4>
      </vt:variant>
      <vt:variant>
        <vt:i4>123</vt:i4>
      </vt:variant>
      <vt:variant>
        <vt:i4>0</vt:i4>
      </vt:variant>
      <vt:variant>
        <vt:i4>5</vt:i4>
      </vt:variant>
      <vt:variant>
        <vt:lpwstr>http://www.nevo.co.il/case/29414614</vt:lpwstr>
      </vt:variant>
      <vt:variant>
        <vt:lpwstr/>
      </vt:variant>
      <vt:variant>
        <vt:i4>3670135</vt:i4>
      </vt:variant>
      <vt:variant>
        <vt:i4>120</vt:i4>
      </vt:variant>
      <vt:variant>
        <vt:i4>0</vt:i4>
      </vt:variant>
      <vt:variant>
        <vt:i4>5</vt:i4>
      </vt:variant>
      <vt:variant>
        <vt:lpwstr>http://www.nevo.co.il/case/26779248</vt:lpwstr>
      </vt:variant>
      <vt:variant>
        <vt:lpwstr/>
      </vt:variant>
      <vt:variant>
        <vt:i4>3539058</vt:i4>
      </vt:variant>
      <vt:variant>
        <vt:i4>117</vt:i4>
      </vt:variant>
      <vt:variant>
        <vt:i4>0</vt:i4>
      </vt:variant>
      <vt:variant>
        <vt:i4>5</vt:i4>
      </vt:variant>
      <vt:variant>
        <vt:lpwstr>http://www.nevo.co.il/case/28384638</vt:lpwstr>
      </vt:variant>
      <vt:variant>
        <vt:lpwstr/>
      </vt:variant>
      <vt:variant>
        <vt:i4>3342451</vt:i4>
      </vt:variant>
      <vt:variant>
        <vt:i4>114</vt:i4>
      </vt:variant>
      <vt:variant>
        <vt:i4>0</vt:i4>
      </vt:variant>
      <vt:variant>
        <vt:i4>5</vt:i4>
      </vt:variant>
      <vt:variant>
        <vt:lpwstr>http://www.nevo.co.il/case/28096677</vt:lpwstr>
      </vt:variant>
      <vt:variant>
        <vt:lpwstr/>
      </vt:variant>
      <vt:variant>
        <vt:i4>3997822</vt:i4>
      </vt:variant>
      <vt:variant>
        <vt:i4>111</vt:i4>
      </vt:variant>
      <vt:variant>
        <vt:i4>0</vt:i4>
      </vt:variant>
      <vt:variant>
        <vt:i4>5</vt:i4>
      </vt:variant>
      <vt:variant>
        <vt:lpwstr>http://www.nevo.co.il/case/26492590</vt:lpwstr>
      </vt:variant>
      <vt:variant>
        <vt:lpwstr/>
      </vt:variant>
      <vt:variant>
        <vt:i4>3342456</vt:i4>
      </vt:variant>
      <vt:variant>
        <vt:i4>108</vt:i4>
      </vt:variant>
      <vt:variant>
        <vt:i4>0</vt:i4>
      </vt:variant>
      <vt:variant>
        <vt:i4>5</vt:i4>
      </vt:variant>
      <vt:variant>
        <vt:lpwstr>http://www.nevo.co.il/case/28152125</vt:lpwstr>
      </vt:variant>
      <vt:variant>
        <vt:lpwstr/>
      </vt:variant>
      <vt:variant>
        <vt:i4>5177430</vt:i4>
      </vt:variant>
      <vt:variant>
        <vt:i4>105</vt:i4>
      </vt:variant>
      <vt:variant>
        <vt:i4>0</vt:i4>
      </vt:variant>
      <vt:variant>
        <vt:i4>5</vt:i4>
      </vt:variant>
      <vt:variant>
        <vt:lpwstr>http://www.nevo.co.il/law/70301/340.a</vt:lpwstr>
      </vt:variant>
      <vt:variant>
        <vt:lpwstr/>
      </vt:variant>
      <vt:variant>
        <vt:i4>3604592</vt:i4>
      </vt:variant>
      <vt:variant>
        <vt:i4>102</vt:i4>
      </vt:variant>
      <vt:variant>
        <vt:i4>0</vt:i4>
      </vt:variant>
      <vt:variant>
        <vt:i4>5</vt:i4>
      </vt:variant>
      <vt:variant>
        <vt:lpwstr>http://www.nevo.co.il/case/27404359</vt:lpwstr>
      </vt:variant>
      <vt:variant>
        <vt:lpwstr/>
      </vt:variant>
      <vt:variant>
        <vt:i4>3145851</vt:i4>
      </vt:variant>
      <vt:variant>
        <vt:i4>99</vt:i4>
      </vt:variant>
      <vt:variant>
        <vt:i4>0</vt:i4>
      </vt:variant>
      <vt:variant>
        <vt:i4>5</vt:i4>
      </vt:variant>
      <vt:variant>
        <vt:lpwstr>http://www.nevo.co.il/case/27603872</vt:lpwstr>
      </vt:variant>
      <vt:variant>
        <vt:lpwstr/>
      </vt:variant>
      <vt:variant>
        <vt:i4>3342451</vt:i4>
      </vt:variant>
      <vt:variant>
        <vt:i4>96</vt:i4>
      </vt:variant>
      <vt:variant>
        <vt:i4>0</vt:i4>
      </vt:variant>
      <vt:variant>
        <vt:i4>5</vt:i4>
      </vt:variant>
      <vt:variant>
        <vt:lpwstr>http://www.nevo.co.il/case/28096675</vt:lpwstr>
      </vt:variant>
      <vt:variant>
        <vt:lpwstr/>
      </vt:variant>
      <vt:variant>
        <vt:i4>3211382</vt:i4>
      </vt:variant>
      <vt:variant>
        <vt:i4>93</vt:i4>
      </vt:variant>
      <vt:variant>
        <vt:i4>0</vt:i4>
      </vt:variant>
      <vt:variant>
        <vt:i4>5</vt:i4>
      </vt:variant>
      <vt:variant>
        <vt:lpwstr>http://www.nevo.co.il/case/22242436</vt:lpwstr>
      </vt:variant>
      <vt:variant>
        <vt:lpwstr/>
      </vt:variant>
      <vt:variant>
        <vt:i4>4063356</vt:i4>
      </vt:variant>
      <vt:variant>
        <vt:i4>90</vt:i4>
      </vt:variant>
      <vt:variant>
        <vt:i4>0</vt:i4>
      </vt:variant>
      <vt:variant>
        <vt:i4>5</vt:i4>
      </vt:variant>
      <vt:variant>
        <vt:lpwstr>http://www.nevo.co.il/case/7697292</vt:lpwstr>
      </vt:variant>
      <vt:variant>
        <vt:lpwstr/>
      </vt:variant>
      <vt:variant>
        <vt:i4>86</vt:i4>
      </vt:variant>
      <vt:variant>
        <vt:i4>87</vt:i4>
      </vt:variant>
      <vt:variant>
        <vt:i4>0</vt:i4>
      </vt:variant>
      <vt:variant>
        <vt:i4>5</vt:i4>
      </vt:variant>
      <vt:variant>
        <vt:lpwstr>http://www.nevo.co.il/law/70301/340a</vt:lpwstr>
      </vt:variant>
      <vt:variant>
        <vt:lpwstr/>
      </vt:variant>
      <vt:variant>
        <vt:i4>3473530</vt:i4>
      </vt:variant>
      <vt:variant>
        <vt:i4>84</vt:i4>
      </vt:variant>
      <vt:variant>
        <vt:i4>0</vt:i4>
      </vt:variant>
      <vt:variant>
        <vt:i4>5</vt:i4>
      </vt:variant>
      <vt:variant>
        <vt:lpwstr>http://www.nevo.co.il/case/28660017</vt:lpwstr>
      </vt:variant>
      <vt:variant>
        <vt:lpwstr/>
      </vt:variant>
      <vt:variant>
        <vt:i4>3997812</vt:i4>
      </vt:variant>
      <vt:variant>
        <vt:i4>81</vt:i4>
      </vt:variant>
      <vt:variant>
        <vt:i4>0</vt:i4>
      </vt:variant>
      <vt:variant>
        <vt:i4>5</vt:i4>
      </vt:variant>
      <vt:variant>
        <vt:lpwstr>http://www.nevo.co.il/case/27305799</vt:lpwstr>
      </vt:variant>
      <vt:variant>
        <vt:lpwstr/>
      </vt:variant>
      <vt:variant>
        <vt:i4>3604592</vt:i4>
      </vt:variant>
      <vt:variant>
        <vt:i4>78</vt:i4>
      </vt:variant>
      <vt:variant>
        <vt:i4>0</vt:i4>
      </vt:variant>
      <vt:variant>
        <vt:i4>5</vt:i4>
      </vt:variant>
      <vt:variant>
        <vt:lpwstr>http://www.nevo.co.il/case/28452933</vt:lpwstr>
      </vt:variant>
      <vt:variant>
        <vt:lpwstr/>
      </vt:variant>
      <vt:variant>
        <vt:i4>3276920</vt:i4>
      </vt:variant>
      <vt:variant>
        <vt:i4>75</vt:i4>
      </vt:variant>
      <vt:variant>
        <vt:i4>0</vt:i4>
      </vt:variant>
      <vt:variant>
        <vt:i4>5</vt:i4>
      </vt:variant>
      <vt:variant>
        <vt:lpwstr>http://www.nevo.co.il/case/28152132</vt:lpwstr>
      </vt:variant>
      <vt:variant>
        <vt:lpwstr/>
      </vt:variant>
      <vt:variant>
        <vt:i4>3735668</vt:i4>
      </vt:variant>
      <vt:variant>
        <vt:i4>72</vt:i4>
      </vt:variant>
      <vt:variant>
        <vt:i4>0</vt:i4>
      </vt:variant>
      <vt:variant>
        <vt:i4>5</vt:i4>
      </vt:variant>
      <vt:variant>
        <vt:lpwstr>http://www.nevo.co.il/case/27911638</vt:lpwstr>
      </vt:variant>
      <vt:variant>
        <vt:lpwstr/>
      </vt:variant>
      <vt:variant>
        <vt:i4>4063356</vt:i4>
      </vt:variant>
      <vt:variant>
        <vt:i4>69</vt:i4>
      </vt:variant>
      <vt:variant>
        <vt:i4>0</vt:i4>
      </vt:variant>
      <vt:variant>
        <vt:i4>5</vt:i4>
      </vt:variant>
      <vt:variant>
        <vt:lpwstr>http://www.nevo.co.il/case/27894608</vt:lpwstr>
      </vt:variant>
      <vt:variant>
        <vt:lpwstr/>
      </vt:variant>
      <vt:variant>
        <vt:i4>3539061</vt:i4>
      </vt:variant>
      <vt:variant>
        <vt:i4>66</vt:i4>
      </vt:variant>
      <vt:variant>
        <vt:i4>0</vt:i4>
      </vt:variant>
      <vt:variant>
        <vt:i4>5</vt:i4>
      </vt:variant>
      <vt:variant>
        <vt:lpwstr>http://www.nevo.co.il/case/28513828</vt:lpwstr>
      </vt:variant>
      <vt:variant>
        <vt:lpwstr/>
      </vt:variant>
      <vt:variant>
        <vt:i4>3145842</vt:i4>
      </vt:variant>
      <vt:variant>
        <vt:i4>63</vt:i4>
      </vt:variant>
      <vt:variant>
        <vt:i4>0</vt:i4>
      </vt:variant>
      <vt:variant>
        <vt:i4>5</vt:i4>
      </vt:variant>
      <vt:variant>
        <vt:lpwstr>http://www.nevo.co.il/case/28268880</vt:lpwstr>
      </vt:variant>
      <vt:variant>
        <vt:lpwstr/>
      </vt:variant>
      <vt:variant>
        <vt:i4>7077988</vt:i4>
      </vt:variant>
      <vt:variant>
        <vt:i4>60</vt:i4>
      </vt:variant>
      <vt:variant>
        <vt:i4>0</vt:i4>
      </vt:variant>
      <vt:variant>
        <vt:i4>5</vt:i4>
      </vt:variant>
      <vt:variant>
        <vt:lpwstr>http://www.nevo.co.il/law/70301/192</vt:lpwstr>
      </vt:variant>
      <vt:variant>
        <vt:lpwstr/>
      </vt:variant>
      <vt:variant>
        <vt:i4>7143526</vt:i4>
      </vt:variant>
      <vt:variant>
        <vt:i4>57</vt:i4>
      </vt:variant>
      <vt:variant>
        <vt:i4>0</vt:i4>
      </vt:variant>
      <vt:variant>
        <vt:i4>5</vt:i4>
      </vt:variant>
      <vt:variant>
        <vt:lpwstr>http://www.nevo.co.il/law/70301/384</vt:lpwstr>
      </vt:variant>
      <vt:variant>
        <vt:lpwstr/>
      </vt:variant>
      <vt:variant>
        <vt:i4>3342456</vt:i4>
      </vt:variant>
      <vt:variant>
        <vt:i4>54</vt:i4>
      </vt:variant>
      <vt:variant>
        <vt:i4>0</vt:i4>
      </vt:variant>
      <vt:variant>
        <vt:i4>5</vt:i4>
      </vt:variant>
      <vt:variant>
        <vt:lpwstr>http://www.nevo.co.il/case/29079283</vt:lpwstr>
      </vt:variant>
      <vt:variant>
        <vt:lpwstr/>
      </vt:variant>
      <vt:variant>
        <vt:i4>5177424</vt:i4>
      </vt:variant>
      <vt:variant>
        <vt:i4>51</vt:i4>
      </vt:variant>
      <vt:variant>
        <vt:i4>0</vt:i4>
      </vt:variant>
      <vt:variant>
        <vt:i4>5</vt:i4>
      </vt:variant>
      <vt:variant>
        <vt:lpwstr>http://www.nevo.co.il/law/70301/144.a</vt:lpwstr>
      </vt:variant>
      <vt:variant>
        <vt:lpwstr/>
      </vt:variant>
      <vt:variant>
        <vt:i4>6553702</vt:i4>
      </vt:variant>
      <vt:variant>
        <vt:i4>48</vt:i4>
      </vt:variant>
      <vt:variant>
        <vt:i4>0</vt:i4>
      </vt:variant>
      <vt:variant>
        <vt:i4>5</vt:i4>
      </vt:variant>
      <vt:variant>
        <vt:lpwstr>http://www.nevo.co.il/law/70301/31</vt:lpwstr>
      </vt:variant>
      <vt:variant>
        <vt:lpwstr/>
      </vt:variant>
      <vt:variant>
        <vt:i4>5439574</vt:i4>
      </vt:variant>
      <vt:variant>
        <vt:i4>45</vt:i4>
      </vt:variant>
      <vt:variant>
        <vt:i4>0</vt:i4>
      </vt:variant>
      <vt:variant>
        <vt:i4>5</vt:i4>
      </vt:variant>
      <vt:variant>
        <vt:lpwstr>http://www.nevo.co.il/law/70301/340a.b.1</vt:lpwstr>
      </vt:variant>
      <vt:variant>
        <vt:lpwstr/>
      </vt:variant>
      <vt:variant>
        <vt:i4>6553702</vt:i4>
      </vt:variant>
      <vt:variant>
        <vt:i4>42</vt:i4>
      </vt:variant>
      <vt:variant>
        <vt:i4>0</vt:i4>
      </vt:variant>
      <vt:variant>
        <vt:i4>5</vt:i4>
      </vt:variant>
      <vt:variant>
        <vt:lpwstr>http://www.nevo.co.il/law/70301/31</vt:lpwstr>
      </vt:variant>
      <vt:variant>
        <vt:lpwstr/>
      </vt:variant>
      <vt:variant>
        <vt:i4>5177424</vt:i4>
      </vt:variant>
      <vt:variant>
        <vt:i4>39</vt:i4>
      </vt:variant>
      <vt:variant>
        <vt:i4>0</vt:i4>
      </vt:variant>
      <vt:variant>
        <vt:i4>5</vt:i4>
      </vt:variant>
      <vt:variant>
        <vt:lpwstr>http://www.nevo.co.il/law/70301/144.b</vt:lpwstr>
      </vt:variant>
      <vt:variant>
        <vt:lpwstr/>
      </vt:variant>
      <vt:variant>
        <vt:i4>5439574</vt:i4>
      </vt:variant>
      <vt:variant>
        <vt:i4>36</vt:i4>
      </vt:variant>
      <vt:variant>
        <vt:i4>0</vt:i4>
      </vt:variant>
      <vt:variant>
        <vt:i4>5</vt:i4>
      </vt:variant>
      <vt:variant>
        <vt:lpwstr>http://www.nevo.co.il/law/70301/340a.b.1</vt:lpwstr>
      </vt:variant>
      <vt:variant>
        <vt:lpwstr/>
      </vt:variant>
      <vt:variant>
        <vt:i4>5177424</vt:i4>
      </vt:variant>
      <vt:variant>
        <vt:i4>33</vt:i4>
      </vt:variant>
      <vt:variant>
        <vt:i4>0</vt:i4>
      </vt:variant>
      <vt:variant>
        <vt:i4>5</vt:i4>
      </vt:variant>
      <vt:variant>
        <vt:lpwstr>http://www.nevo.co.il/law/70301/144.b</vt:lpwstr>
      </vt:variant>
      <vt:variant>
        <vt:lpwstr/>
      </vt:variant>
      <vt:variant>
        <vt:i4>7995492</vt:i4>
      </vt:variant>
      <vt:variant>
        <vt:i4>30</vt:i4>
      </vt:variant>
      <vt:variant>
        <vt:i4>0</vt:i4>
      </vt:variant>
      <vt:variant>
        <vt:i4>5</vt:i4>
      </vt:variant>
      <vt:variant>
        <vt:lpwstr>http://www.nevo.co.il/law/70301</vt:lpwstr>
      </vt:variant>
      <vt:variant>
        <vt:lpwstr/>
      </vt:variant>
      <vt:variant>
        <vt:i4>5177424</vt:i4>
      </vt:variant>
      <vt:variant>
        <vt:i4>27</vt:i4>
      </vt:variant>
      <vt:variant>
        <vt:i4>0</vt:i4>
      </vt:variant>
      <vt:variant>
        <vt:i4>5</vt:i4>
      </vt:variant>
      <vt:variant>
        <vt:lpwstr>http://www.nevo.co.il/law/70301/144.a</vt:lpwstr>
      </vt:variant>
      <vt:variant>
        <vt:lpwstr/>
      </vt:variant>
      <vt:variant>
        <vt:i4>7143526</vt:i4>
      </vt:variant>
      <vt:variant>
        <vt:i4>24</vt:i4>
      </vt:variant>
      <vt:variant>
        <vt:i4>0</vt:i4>
      </vt:variant>
      <vt:variant>
        <vt:i4>5</vt:i4>
      </vt:variant>
      <vt:variant>
        <vt:lpwstr>http://www.nevo.co.il/law/70301/384</vt:lpwstr>
      </vt:variant>
      <vt:variant>
        <vt:lpwstr/>
      </vt:variant>
      <vt:variant>
        <vt:i4>5439574</vt:i4>
      </vt:variant>
      <vt:variant>
        <vt:i4>21</vt:i4>
      </vt:variant>
      <vt:variant>
        <vt:i4>0</vt:i4>
      </vt:variant>
      <vt:variant>
        <vt:i4>5</vt:i4>
      </vt:variant>
      <vt:variant>
        <vt:lpwstr>http://www.nevo.co.il/law/70301/340a.b.1</vt:lpwstr>
      </vt:variant>
      <vt:variant>
        <vt:lpwstr/>
      </vt:variant>
      <vt:variant>
        <vt:i4>86</vt:i4>
      </vt:variant>
      <vt:variant>
        <vt:i4>18</vt:i4>
      </vt:variant>
      <vt:variant>
        <vt:i4>0</vt:i4>
      </vt:variant>
      <vt:variant>
        <vt:i4>5</vt:i4>
      </vt:variant>
      <vt:variant>
        <vt:lpwstr>http://www.nevo.co.il/law/70301/340a</vt:lpwstr>
      </vt:variant>
      <vt:variant>
        <vt:lpwstr/>
      </vt:variant>
      <vt:variant>
        <vt:i4>5177430</vt:i4>
      </vt:variant>
      <vt:variant>
        <vt:i4>15</vt:i4>
      </vt:variant>
      <vt:variant>
        <vt:i4>0</vt:i4>
      </vt:variant>
      <vt:variant>
        <vt:i4>5</vt:i4>
      </vt:variant>
      <vt:variant>
        <vt:lpwstr>http://www.nevo.co.il/law/70301/340.a</vt:lpwstr>
      </vt:variant>
      <vt:variant>
        <vt:lpwstr/>
      </vt:variant>
      <vt:variant>
        <vt:i4>7077988</vt:i4>
      </vt:variant>
      <vt:variant>
        <vt:i4>12</vt:i4>
      </vt:variant>
      <vt:variant>
        <vt:i4>0</vt:i4>
      </vt:variant>
      <vt:variant>
        <vt:i4>5</vt:i4>
      </vt:variant>
      <vt:variant>
        <vt:lpwstr>http://www.nevo.co.il/law/70301/192</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6553702</vt:i4>
      </vt:variant>
      <vt:variant>
        <vt:i4>3</vt:i4>
      </vt:variant>
      <vt:variant>
        <vt:i4>0</vt:i4>
      </vt:variant>
      <vt:variant>
        <vt:i4>5</vt:i4>
      </vt:variant>
      <vt:variant>
        <vt:lpwstr>http://www.nevo.co.il/law/70301/31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2025-04-25T10:57:00Z</dcterms:created>
  <dcterms:modified xsi:type="dcterms:W3CDTF">2025-04-25T10:57:00Z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10174</vt:lpwstr>
  </property>
  <property fmtid="{D5CDD505-2E9C-101B-9397-08002B2CF9AE}" pid="6" name="NEWPARTB">
    <vt:lpwstr>01</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סאהר נאסר;אמיר אבו נדא</vt:lpwstr>
  </property>
  <property fmtid="{D5CDD505-2E9C-101B-9397-08002B2CF9AE}" pid="10" name="LAWYER">
    <vt:lpwstr>יעל תרם;איהאב ג'לג'ולי</vt:lpwstr>
  </property>
  <property fmtid="{D5CDD505-2E9C-101B-9397-08002B2CF9AE}" pid="11" name="JUDGE">
    <vt:lpwstr>מרב גרינברג</vt:lpwstr>
  </property>
  <property fmtid="{D5CDD505-2E9C-101B-9397-08002B2CF9AE}" pid="12" name="CITY">
    <vt:lpwstr>מרכז</vt:lpwstr>
  </property>
  <property fmtid="{D5CDD505-2E9C-101B-9397-08002B2CF9AE}" pid="13" name="DATE">
    <vt:lpwstr>20240219</vt:lpwstr>
  </property>
  <property fmtid="{D5CDD505-2E9C-101B-9397-08002B2CF9AE}" pid="14" name="TYPE_N_DATE">
    <vt:lpwstr>39020240219</vt:lpwstr>
  </property>
  <property fmtid="{D5CDD505-2E9C-101B-9397-08002B2CF9AE}" pid="15" name="WORDNUMPAGES">
    <vt:lpwstr>8</vt:lpwstr>
  </property>
  <property fmtid="{D5CDD505-2E9C-101B-9397-08002B2CF9AE}" pid="16" name="TYPE_ABS_DATE">
    <vt:lpwstr>390020240219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29079283;28268880;28513828:2;27894608:2;27911638;28152132;28452933:2;27305799;28660017;7697292;22242436;28096675;27603872;27404359;28152125;26492590;28096677;28384638;26779248;29414614;28380863;27254208;26698674</vt:lpwstr>
  </property>
  <property fmtid="{D5CDD505-2E9C-101B-9397-08002B2CF9AE}" pid="36" name="LAWLISTTMP1">
    <vt:lpwstr>70301/144.a:2;144.b:2;340a.b.1:2;031:2;384;192;340a;340.a</vt:lpwstr>
  </property>
</Properties>
</file>