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612"/>
        <w:gridCol w:w="3539"/>
        <w:gridCol w:w="906"/>
        <w:gridCol w:w="3664"/>
        <w:gridCol w:w="99"/>
      </w:tblGrid>
      <w:tr w:rsidR="00CA1752" w:rsidRPr="0074560B" w14:paraId="480F48E2" w14:textId="77777777" w:rsidTr="00207760">
        <w:trPr>
          <w:gridAfter w:val="1"/>
          <w:wAfter w:w="99" w:type="dxa"/>
          <w:trHeight w:hRule="exact" w:val="418"/>
          <w:jc w:val="center"/>
        </w:trPr>
        <w:tc>
          <w:tcPr>
            <w:tcW w:w="8721" w:type="dxa"/>
            <w:gridSpan w:val="4"/>
          </w:tcPr>
          <w:p w14:paraId="4D015B10" w14:textId="77777777" w:rsidR="00CA1752" w:rsidRPr="0074560B" w:rsidRDefault="00CA1752" w:rsidP="00FB5029">
            <w:pPr>
              <w:pStyle w:val="a3"/>
              <w:jc w:val="center"/>
              <w:rPr>
                <w:rFonts w:ascii="Tahoma" w:hAnsi="Tahoma" w:cs="Tahoma"/>
                <w:color w:val="000080"/>
                <w:rtl/>
              </w:rPr>
            </w:pPr>
            <w:bookmarkStart w:id="0" w:name="LastJudge"/>
            <w:r w:rsidRPr="0074560B">
              <w:rPr>
                <w:rFonts w:ascii="Tahoma" w:hAnsi="Tahoma" w:cs="Tahoma"/>
                <w:b/>
                <w:bCs/>
                <w:color w:val="000080"/>
                <w:rtl/>
              </w:rPr>
              <w:t>בית המשפט המחוזי בירושלים</w:t>
            </w:r>
          </w:p>
        </w:tc>
      </w:tr>
      <w:tr w:rsidR="00CA1752" w:rsidRPr="0074560B" w14:paraId="6F77EEB3" w14:textId="77777777" w:rsidTr="00207760">
        <w:trPr>
          <w:gridAfter w:val="1"/>
          <w:wAfter w:w="99" w:type="dxa"/>
          <w:trHeight w:val="337"/>
          <w:jc w:val="center"/>
        </w:trPr>
        <w:tc>
          <w:tcPr>
            <w:tcW w:w="5057" w:type="dxa"/>
            <w:gridSpan w:val="3"/>
          </w:tcPr>
          <w:p w14:paraId="0D6BD84D" w14:textId="77777777" w:rsidR="00CA1752" w:rsidRPr="0074560B" w:rsidRDefault="00CA1752" w:rsidP="00FB5029">
            <w:pPr>
              <w:rPr>
                <w:rFonts w:cs="FrankRuehl"/>
                <w:sz w:val="28"/>
                <w:szCs w:val="28"/>
                <w:rtl/>
              </w:rPr>
            </w:pPr>
            <w:r w:rsidRPr="0074560B">
              <w:rPr>
                <w:rFonts w:cs="FrankRuehl"/>
                <w:sz w:val="28"/>
                <w:szCs w:val="28"/>
                <w:rtl/>
              </w:rPr>
              <w:t>ת"פ</w:t>
            </w:r>
            <w:r w:rsidRPr="0074560B">
              <w:rPr>
                <w:rFonts w:cs="FrankRuehl" w:hint="cs"/>
                <w:sz w:val="28"/>
                <w:szCs w:val="28"/>
                <w:rtl/>
              </w:rPr>
              <w:t xml:space="preserve"> </w:t>
            </w:r>
            <w:r w:rsidRPr="0074560B">
              <w:rPr>
                <w:rFonts w:cs="FrankRuehl"/>
                <w:sz w:val="28"/>
                <w:szCs w:val="28"/>
                <w:rtl/>
              </w:rPr>
              <w:t>11167-01-23</w:t>
            </w:r>
            <w:r w:rsidRPr="0074560B">
              <w:rPr>
                <w:rFonts w:cs="FrankRuehl" w:hint="cs"/>
                <w:sz w:val="28"/>
                <w:szCs w:val="28"/>
                <w:rtl/>
              </w:rPr>
              <w:t xml:space="preserve"> </w:t>
            </w:r>
            <w:r w:rsidRPr="0074560B">
              <w:rPr>
                <w:rFonts w:cs="FrankRuehl"/>
                <w:sz w:val="28"/>
                <w:szCs w:val="28"/>
                <w:rtl/>
              </w:rPr>
              <w:t>מדינת ישראל נ' חב רמאן(עציר)</w:t>
            </w:r>
          </w:p>
          <w:p w14:paraId="7D55BF69" w14:textId="77777777" w:rsidR="00CA1752" w:rsidRPr="0074560B" w:rsidRDefault="00CA1752" w:rsidP="00FB5029">
            <w:pPr>
              <w:pStyle w:val="a3"/>
              <w:rPr>
                <w:rFonts w:cs="FrankRuehl"/>
                <w:sz w:val="28"/>
                <w:szCs w:val="28"/>
                <w:rtl/>
              </w:rPr>
            </w:pPr>
          </w:p>
        </w:tc>
        <w:tc>
          <w:tcPr>
            <w:tcW w:w="3664" w:type="dxa"/>
          </w:tcPr>
          <w:p w14:paraId="5D9D1D3F" w14:textId="77777777" w:rsidR="00CA1752" w:rsidRPr="0074560B" w:rsidRDefault="00CA1752" w:rsidP="00FB5029">
            <w:pPr>
              <w:pStyle w:val="a3"/>
              <w:jc w:val="right"/>
              <w:rPr>
                <w:rFonts w:cs="FrankRuehl"/>
                <w:sz w:val="28"/>
                <w:szCs w:val="28"/>
                <w:rtl/>
              </w:rPr>
            </w:pPr>
          </w:p>
        </w:tc>
      </w:tr>
      <w:tr w:rsidR="00CA1752" w:rsidRPr="0074560B" w14:paraId="07A006BF" w14:textId="77777777" w:rsidTr="002077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612" w:type="dxa"/>
            <w:tcBorders>
              <w:top w:val="nil"/>
              <w:left w:val="nil"/>
              <w:bottom w:val="nil"/>
              <w:right w:val="nil"/>
            </w:tcBorders>
            <w:shd w:val="clear" w:color="auto" w:fill="auto"/>
          </w:tcPr>
          <w:p w14:paraId="670D29AF" w14:textId="77777777" w:rsidR="00CA1752" w:rsidRPr="0074560B" w:rsidRDefault="00CA1752" w:rsidP="00CA1752">
            <w:pPr>
              <w:jc w:val="both"/>
              <w:rPr>
                <w:rFonts w:ascii="David" w:hAnsi="David"/>
                <w:sz w:val="26"/>
                <w:szCs w:val="26"/>
              </w:rPr>
            </w:pPr>
            <w:r w:rsidRPr="0074560B">
              <w:rPr>
                <w:rFonts w:hint="cs"/>
                <w:rtl/>
              </w:rPr>
              <w:t xml:space="preserve"> </w:t>
            </w:r>
            <w:r w:rsidRPr="0074560B">
              <w:rPr>
                <w:rFonts w:ascii="David" w:hAnsi="David"/>
                <w:sz w:val="26"/>
                <w:szCs w:val="26"/>
                <w:rtl/>
              </w:rPr>
              <w:t xml:space="preserve">בפני </w:t>
            </w:r>
          </w:p>
        </w:tc>
        <w:tc>
          <w:tcPr>
            <w:tcW w:w="8208" w:type="dxa"/>
            <w:gridSpan w:val="4"/>
            <w:tcBorders>
              <w:top w:val="nil"/>
              <w:left w:val="nil"/>
              <w:bottom w:val="nil"/>
              <w:right w:val="nil"/>
            </w:tcBorders>
            <w:shd w:val="clear" w:color="auto" w:fill="auto"/>
          </w:tcPr>
          <w:p w14:paraId="7F0504B3" w14:textId="77777777" w:rsidR="00CA1752" w:rsidRPr="0074560B" w:rsidRDefault="00CA1752" w:rsidP="00FB5029">
            <w:pPr>
              <w:rPr>
                <w:rFonts w:ascii="David" w:hAnsi="David"/>
                <w:b/>
                <w:bCs/>
                <w:sz w:val="26"/>
                <w:szCs w:val="26"/>
                <w:rtl/>
              </w:rPr>
            </w:pPr>
            <w:r w:rsidRPr="0074560B">
              <w:rPr>
                <w:rFonts w:ascii="David" w:hAnsi="David"/>
                <w:b/>
                <w:bCs/>
                <w:sz w:val="26"/>
                <w:szCs w:val="26"/>
                <w:rtl/>
              </w:rPr>
              <w:t>כבוד השופט  אלעזר נחלון</w:t>
            </w:r>
          </w:p>
          <w:p w14:paraId="7E9236F7" w14:textId="77777777" w:rsidR="00CA1752" w:rsidRPr="0074560B" w:rsidRDefault="00CA1752" w:rsidP="00FB5029">
            <w:pPr>
              <w:rPr>
                <w:rFonts w:ascii="David" w:hAnsi="David"/>
                <w:sz w:val="26"/>
                <w:szCs w:val="26"/>
                <w:rtl/>
              </w:rPr>
            </w:pPr>
          </w:p>
          <w:p w14:paraId="4A53B052" w14:textId="77777777" w:rsidR="00CA1752" w:rsidRPr="0074560B" w:rsidRDefault="00CA1752" w:rsidP="00CA1752">
            <w:pPr>
              <w:jc w:val="both"/>
              <w:rPr>
                <w:rFonts w:ascii="David" w:hAnsi="David"/>
                <w:sz w:val="26"/>
                <w:szCs w:val="26"/>
              </w:rPr>
            </w:pPr>
          </w:p>
        </w:tc>
      </w:tr>
      <w:tr w:rsidR="00CA1752" w:rsidRPr="0074560B" w14:paraId="471BA867" w14:textId="77777777" w:rsidTr="002077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612" w:type="dxa"/>
            <w:tcBorders>
              <w:top w:val="nil"/>
              <w:left w:val="nil"/>
              <w:bottom w:val="nil"/>
              <w:right w:val="nil"/>
            </w:tcBorders>
            <w:shd w:val="clear" w:color="auto" w:fill="auto"/>
          </w:tcPr>
          <w:p w14:paraId="212F6F68" w14:textId="77777777" w:rsidR="00CA1752" w:rsidRPr="0074560B" w:rsidRDefault="00CA1752" w:rsidP="00CA1752">
            <w:pPr>
              <w:jc w:val="both"/>
              <w:rPr>
                <w:rFonts w:ascii="David" w:hAnsi="David"/>
                <w:sz w:val="26"/>
                <w:szCs w:val="26"/>
              </w:rPr>
            </w:pPr>
            <w:bookmarkStart w:id="1" w:name="FirstAppellant"/>
          </w:p>
        </w:tc>
        <w:tc>
          <w:tcPr>
            <w:tcW w:w="3539" w:type="dxa"/>
            <w:tcBorders>
              <w:top w:val="nil"/>
              <w:left w:val="nil"/>
              <w:bottom w:val="nil"/>
              <w:right w:val="nil"/>
            </w:tcBorders>
            <w:shd w:val="clear" w:color="auto" w:fill="auto"/>
          </w:tcPr>
          <w:p w14:paraId="33D1AE17" w14:textId="77777777" w:rsidR="00CA1752" w:rsidRPr="0074560B" w:rsidRDefault="00CA1752" w:rsidP="00CA1752">
            <w:pPr>
              <w:suppressLineNumbers/>
            </w:pPr>
            <w:r w:rsidRPr="0074560B">
              <w:rPr>
                <w:rFonts w:ascii="Arial" w:hAnsi="Arial" w:hint="cs"/>
                <w:b/>
                <w:bCs/>
                <w:sz w:val="26"/>
                <w:szCs w:val="26"/>
                <w:rtl/>
              </w:rPr>
              <w:t>ה</w:t>
            </w:r>
            <w:r w:rsidRPr="0074560B">
              <w:rPr>
                <w:rFonts w:ascii="Arial" w:hAnsi="Arial"/>
                <w:b/>
                <w:bCs/>
                <w:sz w:val="26"/>
                <w:szCs w:val="26"/>
                <w:rtl/>
              </w:rPr>
              <w:t>מאשימה</w:t>
            </w:r>
          </w:p>
          <w:p w14:paraId="0E1082DF" w14:textId="77777777" w:rsidR="00CA1752" w:rsidRPr="0074560B" w:rsidRDefault="00CA1752" w:rsidP="00FB5029">
            <w:pPr>
              <w:rPr>
                <w:rFonts w:ascii="David" w:hAnsi="David"/>
                <w:sz w:val="26"/>
                <w:szCs w:val="26"/>
              </w:rPr>
            </w:pPr>
          </w:p>
        </w:tc>
        <w:tc>
          <w:tcPr>
            <w:tcW w:w="4669" w:type="dxa"/>
            <w:gridSpan w:val="3"/>
            <w:tcBorders>
              <w:top w:val="nil"/>
              <w:left w:val="nil"/>
              <w:bottom w:val="nil"/>
              <w:right w:val="nil"/>
            </w:tcBorders>
            <w:shd w:val="clear" w:color="auto" w:fill="auto"/>
            <w:vAlign w:val="center"/>
          </w:tcPr>
          <w:p w14:paraId="2A7968AC" w14:textId="77777777" w:rsidR="00CA1752" w:rsidRPr="0074560B" w:rsidRDefault="00CA1752" w:rsidP="00CA1752">
            <w:pPr>
              <w:suppressLineNumbers/>
            </w:pPr>
            <w:r w:rsidRPr="0074560B">
              <w:rPr>
                <w:rFonts w:ascii="Arial" w:hAnsi="Arial"/>
                <w:b/>
                <w:bCs/>
                <w:sz w:val="26"/>
                <w:szCs w:val="26"/>
                <w:rtl/>
              </w:rPr>
              <w:t>מדינת ישראל</w:t>
            </w:r>
          </w:p>
          <w:p w14:paraId="0EB16927" w14:textId="77777777" w:rsidR="00CA1752" w:rsidRPr="0074560B" w:rsidRDefault="00CA1752" w:rsidP="00FB5029">
            <w:pPr>
              <w:rPr>
                <w:rFonts w:ascii="David" w:hAnsi="David"/>
                <w:sz w:val="26"/>
                <w:szCs w:val="26"/>
              </w:rPr>
            </w:pPr>
          </w:p>
        </w:tc>
      </w:tr>
      <w:bookmarkEnd w:id="1"/>
      <w:tr w:rsidR="00CA1752" w:rsidRPr="0074560B" w14:paraId="60ECEA0C" w14:textId="77777777" w:rsidTr="002077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612" w:type="dxa"/>
            <w:tcBorders>
              <w:top w:val="nil"/>
              <w:left w:val="nil"/>
              <w:bottom w:val="nil"/>
              <w:right w:val="nil"/>
            </w:tcBorders>
            <w:shd w:val="clear" w:color="auto" w:fill="auto"/>
          </w:tcPr>
          <w:p w14:paraId="0B1849D8" w14:textId="77777777" w:rsidR="00CA1752" w:rsidRPr="0074560B" w:rsidRDefault="00CA1752" w:rsidP="00CA1752">
            <w:pPr>
              <w:jc w:val="both"/>
              <w:rPr>
                <w:rFonts w:ascii="David" w:hAnsi="David"/>
                <w:sz w:val="26"/>
                <w:szCs w:val="26"/>
                <w:rtl/>
              </w:rPr>
            </w:pPr>
          </w:p>
        </w:tc>
        <w:tc>
          <w:tcPr>
            <w:tcW w:w="8208" w:type="dxa"/>
            <w:gridSpan w:val="4"/>
            <w:tcBorders>
              <w:top w:val="nil"/>
              <w:left w:val="nil"/>
              <w:bottom w:val="nil"/>
              <w:right w:val="nil"/>
            </w:tcBorders>
            <w:shd w:val="clear" w:color="auto" w:fill="auto"/>
          </w:tcPr>
          <w:p w14:paraId="3DD58F74" w14:textId="77777777" w:rsidR="00CA1752" w:rsidRPr="0074560B" w:rsidRDefault="00CA1752" w:rsidP="00CA1752">
            <w:pPr>
              <w:jc w:val="center"/>
              <w:rPr>
                <w:rFonts w:ascii="David" w:hAnsi="David"/>
                <w:b/>
                <w:bCs/>
                <w:sz w:val="26"/>
                <w:szCs w:val="26"/>
                <w:rtl/>
              </w:rPr>
            </w:pPr>
          </w:p>
          <w:p w14:paraId="44ED2085" w14:textId="77777777" w:rsidR="00CA1752" w:rsidRPr="0074560B" w:rsidRDefault="00CA1752" w:rsidP="00CA1752">
            <w:pPr>
              <w:jc w:val="center"/>
              <w:rPr>
                <w:rFonts w:ascii="David" w:hAnsi="David"/>
                <w:b/>
                <w:bCs/>
                <w:sz w:val="26"/>
                <w:szCs w:val="26"/>
                <w:rtl/>
              </w:rPr>
            </w:pPr>
            <w:r w:rsidRPr="0074560B">
              <w:rPr>
                <w:rFonts w:ascii="David" w:hAnsi="David"/>
                <w:b/>
                <w:bCs/>
                <w:sz w:val="26"/>
                <w:szCs w:val="26"/>
                <w:rtl/>
              </w:rPr>
              <w:t>נגד</w:t>
            </w:r>
          </w:p>
          <w:p w14:paraId="58055DD0" w14:textId="77777777" w:rsidR="00CA1752" w:rsidRPr="0074560B" w:rsidRDefault="00CA1752" w:rsidP="00CA1752">
            <w:pPr>
              <w:jc w:val="both"/>
              <w:rPr>
                <w:rFonts w:ascii="David" w:hAnsi="David"/>
                <w:sz w:val="26"/>
                <w:szCs w:val="26"/>
              </w:rPr>
            </w:pPr>
          </w:p>
        </w:tc>
      </w:tr>
      <w:tr w:rsidR="00CA1752" w:rsidRPr="0074560B" w14:paraId="3EF070B0" w14:textId="77777777" w:rsidTr="002077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612" w:type="dxa"/>
            <w:tcBorders>
              <w:top w:val="nil"/>
              <w:left w:val="nil"/>
              <w:bottom w:val="nil"/>
              <w:right w:val="nil"/>
            </w:tcBorders>
            <w:shd w:val="clear" w:color="auto" w:fill="auto"/>
          </w:tcPr>
          <w:p w14:paraId="7BDBC75E" w14:textId="77777777" w:rsidR="00CA1752" w:rsidRPr="0074560B" w:rsidRDefault="00CA1752" w:rsidP="00FB5029">
            <w:pPr>
              <w:rPr>
                <w:rFonts w:ascii="David" w:hAnsi="David"/>
                <w:sz w:val="26"/>
                <w:szCs w:val="26"/>
                <w:rtl/>
              </w:rPr>
            </w:pPr>
          </w:p>
        </w:tc>
        <w:tc>
          <w:tcPr>
            <w:tcW w:w="3539" w:type="dxa"/>
            <w:tcBorders>
              <w:top w:val="nil"/>
              <w:left w:val="nil"/>
              <w:bottom w:val="nil"/>
              <w:right w:val="nil"/>
            </w:tcBorders>
            <w:shd w:val="clear" w:color="auto" w:fill="auto"/>
          </w:tcPr>
          <w:p w14:paraId="397C4866" w14:textId="77777777" w:rsidR="00CA1752" w:rsidRPr="0074560B" w:rsidRDefault="00CA1752" w:rsidP="00FB5029">
            <w:pPr>
              <w:rPr>
                <w:rFonts w:ascii="Arial" w:hAnsi="Arial"/>
                <w:b/>
                <w:bCs/>
                <w:sz w:val="26"/>
                <w:szCs w:val="26"/>
                <w:rtl/>
              </w:rPr>
            </w:pPr>
            <w:r w:rsidRPr="0074560B">
              <w:rPr>
                <w:rFonts w:ascii="Arial" w:hAnsi="Arial"/>
                <w:b/>
                <w:bCs/>
                <w:sz w:val="26"/>
                <w:szCs w:val="26"/>
                <w:rtl/>
              </w:rPr>
              <w:t>הנאשם</w:t>
            </w:r>
          </w:p>
        </w:tc>
        <w:tc>
          <w:tcPr>
            <w:tcW w:w="4669" w:type="dxa"/>
            <w:gridSpan w:val="3"/>
            <w:tcBorders>
              <w:top w:val="nil"/>
              <w:left w:val="nil"/>
              <w:bottom w:val="nil"/>
              <w:right w:val="nil"/>
            </w:tcBorders>
            <w:shd w:val="clear" w:color="auto" w:fill="auto"/>
            <w:vAlign w:val="center"/>
          </w:tcPr>
          <w:p w14:paraId="6FF25694" w14:textId="77777777" w:rsidR="00CA1752" w:rsidRPr="0074560B" w:rsidRDefault="00CA1752" w:rsidP="00CA1752">
            <w:pPr>
              <w:suppressLineNumbers/>
              <w:rPr>
                <w:rFonts w:ascii="David" w:hAnsi="David"/>
                <w:sz w:val="26"/>
                <w:szCs w:val="26"/>
              </w:rPr>
            </w:pPr>
            <w:r w:rsidRPr="0074560B">
              <w:rPr>
                <w:rFonts w:ascii="Arial" w:hAnsi="Arial"/>
                <w:b/>
                <w:bCs/>
                <w:sz w:val="26"/>
                <w:szCs w:val="26"/>
                <w:rtl/>
              </w:rPr>
              <w:t>אברהים חב רמאן</w:t>
            </w:r>
          </w:p>
        </w:tc>
      </w:tr>
      <w:tr w:rsidR="00CA1752" w:rsidRPr="0074560B" w14:paraId="213ADCD2" w14:textId="77777777" w:rsidTr="002077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612" w:type="dxa"/>
            <w:tcBorders>
              <w:top w:val="nil"/>
              <w:left w:val="nil"/>
              <w:bottom w:val="nil"/>
              <w:right w:val="nil"/>
            </w:tcBorders>
            <w:shd w:val="clear" w:color="auto" w:fill="auto"/>
          </w:tcPr>
          <w:p w14:paraId="291FF2C5" w14:textId="77777777" w:rsidR="00CA1752" w:rsidRPr="0074560B" w:rsidRDefault="00CA1752" w:rsidP="00CA1752">
            <w:pPr>
              <w:jc w:val="both"/>
              <w:rPr>
                <w:rFonts w:ascii="David" w:hAnsi="David"/>
                <w:sz w:val="26"/>
                <w:szCs w:val="26"/>
                <w:rtl/>
              </w:rPr>
            </w:pPr>
          </w:p>
        </w:tc>
        <w:tc>
          <w:tcPr>
            <w:tcW w:w="3539" w:type="dxa"/>
            <w:tcBorders>
              <w:top w:val="nil"/>
              <w:left w:val="nil"/>
              <w:bottom w:val="nil"/>
              <w:right w:val="nil"/>
            </w:tcBorders>
            <w:shd w:val="clear" w:color="auto" w:fill="auto"/>
          </w:tcPr>
          <w:p w14:paraId="49B13972" w14:textId="77777777" w:rsidR="00CA1752" w:rsidRPr="0074560B" w:rsidRDefault="00CA1752" w:rsidP="00CA1752">
            <w:pPr>
              <w:jc w:val="both"/>
              <w:rPr>
                <w:rFonts w:ascii="David" w:hAnsi="David"/>
                <w:sz w:val="26"/>
                <w:szCs w:val="26"/>
                <w:rtl/>
              </w:rPr>
            </w:pPr>
          </w:p>
        </w:tc>
        <w:tc>
          <w:tcPr>
            <w:tcW w:w="4669" w:type="dxa"/>
            <w:gridSpan w:val="3"/>
            <w:tcBorders>
              <w:top w:val="nil"/>
              <w:left w:val="nil"/>
              <w:bottom w:val="nil"/>
              <w:right w:val="nil"/>
            </w:tcBorders>
            <w:shd w:val="clear" w:color="auto" w:fill="auto"/>
          </w:tcPr>
          <w:p w14:paraId="2EF5A800" w14:textId="77777777" w:rsidR="00CA1752" w:rsidRPr="0074560B" w:rsidRDefault="00CA1752" w:rsidP="00CA1752">
            <w:pPr>
              <w:jc w:val="right"/>
              <w:rPr>
                <w:rFonts w:ascii="David" w:hAnsi="David"/>
                <w:sz w:val="26"/>
                <w:szCs w:val="26"/>
              </w:rPr>
            </w:pPr>
          </w:p>
        </w:tc>
      </w:tr>
      <w:tr w:rsidR="00CA1752" w:rsidRPr="0074560B" w14:paraId="048BD282" w14:textId="77777777" w:rsidTr="002077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612" w:type="dxa"/>
            <w:tcBorders>
              <w:top w:val="nil"/>
              <w:left w:val="nil"/>
              <w:bottom w:val="nil"/>
              <w:right w:val="nil"/>
            </w:tcBorders>
            <w:shd w:val="clear" w:color="auto" w:fill="auto"/>
          </w:tcPr>
          <w:p w14:paraId="6A362F71" w14:textId="77777777" w:rsidR="00CA1752" w:rsidRPr="0074560B" w:rsidRDefault="00CA1752" w:rsidP="00CA1752">
            <w:pPr>
              <w:jc w:val="both"/>
              <w:rPr>
                <w:rFonts w:ascii="David" w:hAnsi="David"/>
                <w:sz w:val="26"/>
                <w:szCs w:val="26"/>
                <w:rtl/>
              </w:rPr>
            </w:pPr>
          </w:p>
        </w:tc>
        <w:tc>
          <w:tcPr>
            <w:tcW w:w="3539" w:type="dxa"/>
            <w:tcBorders>
              <w:top w:val="nil"/>
              <w:left w:val="nil"/>
              <w:bottom w:val="nil"/>
              <w:right w:val="nil"/>
            </w:tcBorders>
            <w:shd w:val="clear" w:color="auto" w:fill="auto"/>
          </w:tcPr>
          <w:p w14:paraId="3BC6E302" w14:textId="77777777" w:rsidR="00CA1752" w:rsidRPr="0074560B" w:rsidRDefault="00CA1752" w:rsidP="00CA1752">
            <w:pPr>
              <w:jc w:val="both"/>
              <w:rPr>
                <w:rFonts w:ascii="David" w:hAnsi="David"/>
                <w:sz w:val="26"/>
                <w:szCs w:val="26"/>
                <w:rtl/>
              </w:rPr>
            </w:pPr>
          </w:p>
        </w:tc>
        <w:tc>
          <w:tcPr>
            <w:tcW w:w="4669" w:type="dxa"/>
            <w:gridSpan w:val="3"/>
            <w:tcBorders>
              <w:top w:val="nil"/>
              <w:left w:val="nil"/>
              <w:bottom w:val="nil"/>
              <w:right w:val="nil"/>
            </w:tcBorders>
            <w:shd w:val="clear" w:color="auto" w:fill="auto"/>
          </w:tcPr>
          <w:p w14:paraId="57FF9F36" w14:textId="77777777" w:rsidR="00CA1752" w:rsidRPr="0074560B" w:rsidRDefault="00CA1752" w:rsidP="00CA1752">
            <w:pPr>
              <w:jc w:val="right"/>
              <w:rPr>
                <w:rFonts w:ascii="David" w:hAnsi="David"/>
                <w:sz w:val="26"/>
                <w:szCs w:val="26"/>
              </w:rPr>
            </w:pPr>
          </w:p>
        </w:tc>
      </w:tr>
      <w:tr w:rsidR="00CA1752" w:rsidRPr="0074560B" w14:paraId="2F0F2730" w14:textId="77777777" w:rsidTr="002077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612" w:type="dxa"/>
            <w:tcBorders>
              <w:top w:val="nil"/>
              <w:left w:val="nil"/>
              <w:bottom w:val="nil"/>
              <w:right w:val="nil"/>
            </w:tcBorders>
            <w:shd w:val="clear" w:color="auto" w:fill="auto"/>
          </w:tcPr>
          <w:p w14:paraId="03176A52" w14:textId="77777777" w:rsidR="00CA1752" w:rsidRPr="0074560B" w:rsidRDefault="00CA1752" w:rsidP="00CA1752">
            <w:pPr>
              <w:jc w:val="both"/>
              <w:rPr>
                <w:rFonts w:ascii="David" w:hAnsi="David"/>
                <w:sz w:val="26"/>
                <w:szCs w:val="26"/>
                <w:rtl/>
              </w:rPr>
            </w:pPr>
            <w:bookmarkStart w:id="2" w:name="FirstLawyer"/>
          </w:p>
        </w:tc>
        <w:tc>
          <w:tcPr>
            <w:tcW w:w="3539" w:type="dxa"/>
            <w:tcBorders>
              <w:top w:val="nil"/>
              <w:left w:val="nil"/>
              <w:bottom w:val="nil"/>
              <w:right w:val="nil"/>
            </w:tcBorders>
            <w:shd w:val="clear" w:color="auto" w:fill="auto"/>
          </w:tcPr>
          <w:p w14:paraId="34567BE5" w14:textId="77777777" w:rsidR="00CA1752" w:rsidRPr="0074560B" w:rsidRDefault="00CA1752" w:rsidP="00CA1752">
            <w:pPr>
              <w:jc w:val="both"/>
              <w:rPr>
                <w:rFonts w:ascii="David" w:hAnsi="David"/>
                <w:rtl/>
              </w:rPr>
            </w:pPr>
            <w:r w:rsidRPr="0074560B">
              <w:rPr>
                <w:rFonts w:ascii="David" w:hAnsi="David" w:hint="cs"/>
                <w:rtl/>
              </w:rPr>
              <w:t>בשם המאשימה:</w:t>
            </w:r>
          </w:p>
        </w:tc>
        <w:tc>
          <w:tcPr>
            <w:tcW w:w="4669" w:type="dxa"/>
            <w:gridSpan w:val="3"/>
            <w:tcBorders>
              <w:top w:val="nil"/>
              <w:left w:val="nil"/>
              <w:bottom w:val="nil"/>
              <w:right w:val="nil"/>
            </w:tcBorders>
            <w:shd w:val="clear" w:color="auto" w:fill="auto"/>
          </w:tcPr>
          <w:p w14:paraId="74DBCB32" w14:textId="77777777" w:rsidR="00CA1752" w:rsidRPr="0074560B" w:rsidRDefault="00CA1752" w:rsidP="00FB5029">
            <w:pPr>
              <w:rPr>
                <w:rFonts w:ascii="David" w:hAnsi="David"/>
              </w:rPr>
            </w:pPr>
            <w:r w:rsidRPr="0074560B">
              <w:rPr>
                <w:rFonts w:ascii="David" w:hAnsi="David" w:hint="cs"/>
                <w:rtl/>
              </w:rPr>
              <w:t>עו"ד עפרי מלצר; עו"ד נתי בן חמו</w:t>
            </w:r>
          </w:p>
        </w:tc>
      </w:tr>
      <w:bookmarkEnd w:id="2"/>
      <w:tr w:rsidR="00CA1752" w:rsidRPr="0074560B" w14:paraId="318F452A" w14:textId="77777777" w:rsidTr="002077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612" w:type="dxa"/>
            <w:tcBorders>
              <w:top w:val="nil"/>
              <w:left w:val="nil"/>
              <w:bottom w:val="nil"/>
              <w:right w:val="nil"/>
            </w:tcBorders>
            <w:shd w:val="clear" w:color="auto" w:fill="auto"/>
          </w:tcPr>
          <w:p w14:paraId="735F372C" w14:textId="77777777" w:rsidR="00CA1752" w:rsidRPr="0074560B" w:rsidRDefault="00CA1752" w:rsidP="00CA1752">
            <w:pPr>
              <w:jc w:val="both"/>
              <w:rPr>
                <w:rFonts w:ascii="David" w:hAnsi="David"/>
                <w:sz w:val="26"/>
                <w:szCs w:val="26"/>
                <w:rtl/>
              </w:rPr>
            </w:pPr>
          </w:p>
        </w:tc>
        <w:tc>
          <w:tcPr>
            <w:tcW w:w="3539" w:type="dxa"/>
            <w:tcBorders>
              <w:top w:val="nil"/>
              <w:left w:val="nil"/>
              <w:bottom w:val="nil"/>
              <w:right w:val="nil"/>
            </w:tcBorders>
            <w:shd w:val="clear" w:color="auto" w:fill="auto"/>
          </w:tcPr>
          <w:p w14:paraId="26D491EA" w14:textId="77777777" w:rsidR="00CA1752" w:rsidRPr="0074560B" w:rsidRDefault="00CA1752" w:rsidP="00CA1752">
            <w:pPr>
              <w:jc w:val="both"/>
              <w:rPr>
                <w:rFonts w:ascii="David" w:hAnsi="David"/>
                <w:rtl/>
              </w:rPr>
            </w:pPr>
          </w:p>
        </w:tc>
        <w:tc>
          <w:tcPr>
            <w:tcW w:w="4669" w:type="dxa"/>
            <w:gridSpan w:val="3"/>
            <w:tcBorders>
              <w:top w:val="nil"/>
              <w:left w:val="nil"/>
              <w:bottom w:val="nil"/>
              <w:right w:val="nil"/>
            </w:tcBorders>
            <w:shd w:val="clear" w:color="auto" w:fill="auto"/>
          </w:tcPr>
          <w:p w14:paraId="43EE8C75" w14:textId="77777777" w:rsidR="00CA1752" w:rsidRPr="0074560B" w:rsidRDefault="00CA1752" w:rsidP="00CA1752">
            <w:pPr>
              <w:jc w:val="right"/>
              <w:rPr>
                <w:rFonts w:ascii="David" w:hAnsi="David"/>
              </w:rPr>
            </w:pPr>
          </w:p>
        </w:tc>
      </w:tr>
      <w:tr w:rsidR="00CA1752" w:rsidRPr="0074560B" w14:paraId="4A882B32" w14:textId="77777777" w:rsidTr="002077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612" w:type="dxa"/>
            <w:tcBorders>
              <w:top w:val="nil"/>
              <w:left w:val="nil"/>
              <w:bottom w:val="nil"/>
              <w:right w:val="nil"/>
            </w:tcBorders>
            <w:shd w:val="clear" w:color="auto" w:fill="auto"/>
          </w:tcPr>
          <w:p w14:paraId="605D1BDF" w14:textId="77777777" w:rsidR="00CA1752" w:rsidRPr="0074560B" w:rsidRDefault="00CA1752" w:rsidP="00CA1752">
            <w:pPr>
              <w:jc w:val="both"/>
              <w:rPr>
                <w:rFonts w:ascii="David" w:hAnsi="David"/>
                <w:sz w:val="26"/>
                <w:szCs w:val="26"/>
                <w:rtl/>
              </w:rPr>
            </w:pPr>
          </w:p>
        </w:tc>
        <w:tc>
          <w:tcPr>
            <w:tcW w:w="3539" w:type="dxa"/>
            <w:tcBorders>
              <w:top w:val="nil"/>
              <w:left w:val="nil"/>
              <w:bottom w:val="nil"/>
              <w:right w:val="nil"/>
            </w:tcBorders>
            <w:shd w:val="clear" w:color="auto" w:fill="auto"/>
          </w:tcPr>
          <w:p w14:paraId="6F031C04" w14:textId="77777777" w:rsidR="00CA1752" w:rsidRPr="0074560B" w:rsidRDefault="00CA1752" w:rsidP="00CA1752">
            <w:pPr>
              <w:jc w:val="both"/>
              <w:rPr>
                <w:rFonts w:ascii="David" w:hAnsi="David"/>
                <w:rtl/>
              </w:rPr>
            </w:pPr>
            <w:r w:rsidRPr="0074560B">
              <w:rPr>
                <w:rFonts w:ascii="David" w:hAnsi="David" w:hint="cs"/>
                <w:rtl/>
              </w:rPr>
              <w:t>בשם הנאשם:</w:t>
            </w:r>
          </w:p>
        </w:tc>
        <w:tc>
          <w:tcPr>
            <w:tcW w:w="4669" w:type="dxa"/>
            <w:gridSpan w:val="3"/>
            <w:tcBorders>
              <w:top w:val="nil"/>
              <w:left w:val="nil"/>
              <w:bottom w:val="nil"/>
              <w:right w:val="nil"/>
            </w:tcBorders>
            <w:shd w:val="clear" w:color="auto" w:fill="auto"/>
          </w:tcPr>
          <w:p w14:paraId="6556B5C5" w14:textId="77777777" w:rsidR="00CA1752" w:rsidRPr="0074560B" w:rsidRDefault="00CA1752" w:rsidP="00FB5029">
            <w:pPr>
              <w:rPr>
                <w:rFonts w:ascii="David" w:hAnsi="David"/>
              </w:rPr>
            </w:pPr>
            <w:r w:rsidRPr="0074560B">
              <w:rPr>
                <w:rFonts w:ascii="David" w:hAnsi="David" w:hint="cs"/>
                <w:rtl/>
              </w:rPr>
              <w:t>עו"ד חמזה קוטינה</w:t>
            </w:r>
          </w:p>
        </w:tc>
      </w:tr>
    </w:tbl>
    <w:p w14:paraId="64EDF4D4" w14:textId="77777777" w:rsidR="00207760" w:rsidRDefault="00207760" w:rsidP="0074560B">
      <w:pPr>
        <w:rPr>
          <w:sz w:val="26"/>
          <w:szCs w:val="26"/>
          <w:rtl/>
        </w:rPr>
      </w:pPr>
    </w:p>
    <w:p w14:paraId="17D656CA" w14:textId="77777777" w:rsidR="00207760" w:rsidRPr="00207760" w:rsidRDefault="00207760" w:rsidP="00207760">
      <w:pPr>
        <w:spacing w:after="120" w:line="240" w:lineRule="exact"/>
        <w:ind w:left="283" w:hanging="283"/>
        <w:jc w:val="both"/>
        <w:rPr>
          <w:rFonts w:ascii="FrankRuehl" w:hAnsi="FrankRuehl" w:cs="FrankRuehl"/>
          <w:rtl/>
        </w:rPr>
      </w:pPr>
    </w:p>
    <w:p w14:paraId="14CC3AD5" w14:textId="77777777" w:rsidR="001B3AE7" w:rsidRPr="001B3AE7" w:rsidRDefault="001B3AE7" w:rsidP="001B3AE7">
      <w:pPr>
        <w:spacing w:before="120" w:after="120" w:line="240" w:lineRule="exact"/>
        <w:ind w:left="283" w:hanging="283"/>
        <w:jc w:val="both"/>
        <w:rPr>
          <w:rFonts w:ascii="FrankRuehl" w:hAnsi="FrankRuehl" w:cs="FrankRuehl"/>
          <w:rtl/>
        </w:rPr>
      </w:pPr>
    </w:p>
    <w:p w14:paraId="79F9C0BC" w14:textId="77777777" w:rsidR="00B16AF0" w:rsidRDefault="00B16AF0" w:rsidP="00B16AF0">
      <w:pPr>
        <w:rPr>
          <w:sz w:val="26"/>
          <w:szCs w:val="26"/>
          <w:rtl/>
        </w:rPr>
      </w:pPr>
      <w:bookmarkStart w:id="3" w:name="LawTable"/>
      <w:bookmarkEnd w:id="3"/>
    </w:p>
    <w:p w14:paraId="7D63F7CF" w14:textId="77777777" w:rsidR="00B16AF0" w:rsidRPr="00B16AF0" w:rsidRDefault="00B16AF0" w:rsidP="00B16AF0">
      <w:pPr>
        <w:spacing w:before="120" w:after="120" w:line="240" w:lineRule="exact"/>
        <w:ind w:left="283" w:hanging="283"/>
        <w:jc w:val="both"/>
        <w:rPr>
          <w:rFonts w:ascii="FrankRuehl" w:hAnsi="FrankRuehl" w:cs="FrankRuehl"/>
          <w:rtl/>
        </w:rPr>
      </w:pPr>
    </w:p>
    <w:p w14:paraId="7F26C8CA" w14:textId="77777777" w:rsidR="00B16AF0" w:rsidRPr="00B16AF0" w:rsidRDefault="00B16AF0" w:rsidP="00B16AF0">
      <w:pPr>
        <w:spacing w:before="120" w:after="120" w:line="240" w:lineRule="exact"/>
        <w:ind w:left="283" w:hanging="283"/>
        <w:jc w:val="both"/>
        <w:rPr>
          <w:rFonts w:ascii="FrankRuehl" w:hAnsi="FrankRuehl" w:cs="FrankRuehl"/>
          <w:rtl/>
        </w:rPr>
      </w:pPr>
    </w:p>
    <w:p w14:paraId="0DF1F2AF" w14:textId="77777777" w:rsidR="00B16AF0" w:rsidRPr="00B16AF0" w:rsidRDefault="00B16AF0" w:rsidP="00B16AF0">
      <w:pPr>
        <w:spacing w:before="120" w:after="120" w:line="240" w:lineRule="exact"/>
        <w:ind w:left="283" w:hanging="283"/>
        <w:jc w:val="both"/>
        <w:rPr>
          <w:rFonts w:ascii="FrankRuehl" w:hAnsi="FrankRuehl" w:cs="FrankRuehl"/>
          <w:rtl/>
        </w:rPr>
      </w:pPr>
      <w:r w:rsidRPr="00B16AF0">
        <w:rPr>
          <w:rFonts w:ascii="FrankRuehl" w:hAnsi="FrankRuehl" w:cs="FrankRuehl"/>
          <w:rtl/>
        </w:rPr>
        <w:t xml:space="preserve">חקיקה שאוזכרה: </w:t>
      </w:r>
    </w:p>
    <w:p w14:paraId="15F7DC73" w14:textId="77777777" w:rsidR="00B16AF0" w:rsidRPr="00B16AF0" w:rsidRDefault="00B16AF0" w:rsidP="00B16AF0">
      <w:pPr>
        <w:spacing w:before="120" w:after="120" w:line="240" w:lineRule="exact"/>
        <w:ind w:left="283" w:hanging="283"/>
        <w:jc w:val="both"/>
        <w:rPr>
          <w:rFonts w:ascii="FrankRuehl" w:hAnsi="FrankRuehl" w:cs="FrankRuehl"/>
          <w:rtl/>
        </w:rPr>
      </w:pPr>
      <w:hyperlink r:id="rId7" w:history="1">
        <w:r w:rsidRPr="00B16AF0">
          <w:rPr>
            <w:rFonts w:ascii="FrankRuehl" w:hAnsi="FrankRuehl" w:cs="FrankRuehl"/>
            <w:color w:val="0000FF"/>
            <w:rtl/>
          </w:rPr>
          <w:t>חוק העונשין, תשל"ז-1977</w:t>
        </w:r>
      </w:hyperlink>
      <w:r w:rsidRPr="00B16AF0">
        <w:rPr>
          <w:rFonts w:ascii="FrankRuehl" w:hAnsi="FrankRuehl" w:cs="FrankRuehl"/>
          <w:rtl/>
        </w:rPr>
        <w:t xml:space="preserve">: סע'  </w:t>
      </w:r>
      <w:hyperlink r:id="rId8" w:history="1">
        <w:r w:rsidRPr="00B16AF0">
          <w:rPr>
            <w:rFonts w:ascii="FrankRuehl" w:hAnsi="FrankRuehl" w:cs="FrankRuehl"/>
            <w:color w:val="0000FF"/>
            <w:rtl/>
          </w:rPr>
          <w:t>25</w:t>
        </w:r>
      </w:hyperlink>
      <w:r w:rsidRPr="00B16AF0">
        <w:rPr>
          <w:rFonts w:ascii="FrankRuehl" w:hAnsi="FrankRuehl" w:cs="FrankRuehl"/>
          <w:rtl/>
        </w:rPr>
        <w:t xml:space="preserve">, </w:t>
      </w:r>
      <w:hyperlink r:id="rId9" w:history="1">
        <w:r w:rsidRPr="00B16AF0">
          <w:rPr>
            <w:rFonts w:ascii="FrankRuehl" w:hAnsi="FrankRuehl" w:cs="FrankRuehl"/>
            <w:color w:val="0000FF"/>
            <w:rtl/>
          </w:rPr>
          <w:t>40.ו.</w:t>
        </w:r>
      </w:hyperlink>
      <w:r w:rsidRPr="00B16AF0">
        <w:rPr>
          <w:rFonts w:ascii="FrankRuehl" w:hAnsi="FrankRuehl" w:cs="FrankRuehl"/>
          <w:rtl/>
        </w:rPr>
        <w:t xml:space="preserve">, </w:t>
      </w:r>
      <w:hyperlink r:id="rId10" w:history="1">
        <w:r w:rsidRPr="00B16AF0">
          <w:rPr>
            <w:rFonts w:ascii="FrankRuehl" w:hAnsi="FrankRuehl" w:cs="FrankRuehl"/>
            <w:color w:val="0000FF"/>
            <w:rtl/>
          </w:rPr>
          <w:t>40.ז</w:t>
        </w:r>
      </w:hyperlink>
      <w:r w:rsidRPr="00B16AF0">
        <w:rPr>
          <w:rFonts w:ascii="FrankRuehl" w:hAnsi="FrankRuehl" w:cs="FrankRuehl"/>
          <w:rtl/>
        </w:rPr>
        <w:t xml:space="preserve">, </w:t>
      </w:r>
      <w:hyperlink r:id="rId11" w:history="1">
        <w:r w:rsidRPr="00B16AF0">
          <w:rPr>
            <w:rFonts w:ascii="FrankRuehl" w:hAnsi="FrankRuehl" w:cs="FrankRuehl"/>
            <w:color w:val="0000FF"/>
            <w:rtl/>
          </w:rPr>
          <w:t>40ב</w:t>
        </w:r>
      </w:hyperlink>
      <w:r w:rsidRPr="00B16AF0">
        <w:rPr>
          <w:rFonts w:ascii="FrankRuehl" w:hAnsi="FrankRuehl" w:cs="FrankRuehl"/>
          <w:rtl/>
        </w:rPr>
        <w:t xml:space="preserve">, </w:t>
      </w:r>
      <w:hyperlink r:id="rId12" w:history="1">
        <w:r w:rsidRPr="00B16AF0">
          <w:rPr>
            <w:rFonts w:ascii="FrankRuehl" w:hAnsi="FrankRuehl" w:cs="FrankRuehl"/>
            <w:color w:val="0000FF"/>
            <w:rtl/>
          </w:rPr>
          <w:t>40ג(א)</w:t>
        </w:r>
      </w:hyperlink>
      <w:r w:rsidRPr="00B16AF0">
        <w:rPr>
          <w:rFonts w:ascii="FrankRuehl" w:hAnsi="FrankRuehl" w:cs="FrankRuehl"/>
          <w:rtl/>
        </w:rPr>
        <w:t xml:space="preserve">, </w:t>
      </w:r>
      <w:hyperlink r:id="rId13" w:history="1">
        <w:r w:rsidRPr="00B16AF0">
          <w:rPr>
            <w:rFonts w:ascii="FrankRuehl" w:hAnsi="FrankRuehl" w:cs="FrankRuehl"/>
            <w:color w:val="0000FF"/>
            <w:rtl/>
          </w:rPr>
          <w:t>40ג(ב)</w:t>
        </w:r>
      </w:hyperlink>
      <w:r w:rsidRPr="00B16AF0">
        <w:rPr>
          <w:rFonts w:ascii="FrankRuehl" w:hAnsi="FrankRuehl" w:cs="FrankRuehl"/>
          <w:rtl/>
        </w:rPr>
        <w:t xml:space="preserve">, </w:t>
      </w:r>
      <w:hyperlink r:id="rId14" w:history="1">
        <w:r w:rsidRPr="00B16AF0">
          <w:rPr>
            <w:rFonts w:ascii="FrankRuehl" w:hAnsi="FrankRuehl" w:cs="FrankRuehl"/>
            <w:color w:val="0000FF"/>
            <w:rtl/>
          </w:rPr>
          <w:t>40ד</w:t>
        </w:r>
      </w:hyperlink>
      <w:r w:rsidRPr="00B16AF0">
        <w:rPr>
          <w:rFonts w:ascii="FrankRuehl" w:hAnsi="FrankRuehl" w:cs="FrankRuehl"/>
          <w:rtl/>
        </w:rPr>
        <w:t xml:space="preserve">, </w:t>
      </w:r>
      <w:hyperlink r:id="rId15" w:history="1">
        <w:r w:rsidRPr="00B16AF0">
          <w:rPr>
            <w:rFonts w:ascii="FrankRuehl" w:hAnsi="FrankRuehl" w:cs="FrankRuehl"/>
            <w:color w:val="0000FF"/>
            <w:rtl/>
          </w:rPr>
          <w:t>40ה</w:t>
        </w:r>
      </w:hyperlink>
      <w:r w:rsidRPr="00B16AF0">
        <w:rPr>
          <w:rFonts w:ascii="FrankRuehl" w:hAnsi="FrankRuehl" w:cs="FrankRuehl"/>
          <w:rtl/>
        </w:rPr>
        <w:t xml:space="preserve">, </w:t>
      </w:r>
      <w:hyperlink r:id="rId16" w:history="1">
        <w:r w:rsidRPr="00B16AF0">
          <w:rPr>
            <w:rFonts w:ascii="FrankRuehl" w:hAnsi="FrankRuehl" w:cs="FrankRuehl"/>
            <w:color w:val="0000FF"/>
            <w:rtl/>
          </w:rPr>
          <w:t>40ט</w:t>
        </w:r>
      </w:hyperlink>
      <w:r w:rsidRPr="00B16AF0">
        <w:rPr>
          <w:rFonts w:ascii="FrankRuehl" w:hAnsi="FrankRuehl" w:cs="FrankRuehl"/>
          <w:rtl/>
        </w:rPr>
        <w:t xml:space="preserve">, </w:t>
      </w:r>
      <w:hyperlink r:id="rId17" w:history="1">
        <w:r w:rsidRPr="00B16AF0">
          <w:rPr>
            <w:rFonts w:ascii="FrankRuehl" w:hAnsi="FrankRuehl" w:cs="FrankRuehl"/>
            <w:color w:val="0000FF"/>
            <w:rtl/>
          </w:rPr>
          <w:t>144(ב)</w:t>
        </w:r>
      </w:hyperlink>
      <w:r w:rsidRPr="00B16AF0">
        <w:rPr>
          <w:rFonts w:ascii="FrankRuehl" w:hAnsi="FrankRuehl" w:cs="FrankRuehl"/>
          <w:rtl/>
        </w:rPr>
        <w:t xml:space="preserve">, </w:t>
      </w:r>
      <w:hyperlink r:id="rId18" w:history="1">
        <w:r w:rsidRPr="00B16AF0">
          <w:rPr>
            <w:rFonts w:ascii="FrankRuehl" w:hAnsi="FrankRuehl" w:cs="FrankRuehl"/>
            <w:color w:val="0000FF"/>
            <w:rtl/>
          </w:rPr>
          <w:t>144(ז)</w:t>
        </w:r>
      </w:hyperlink>
      <w:r w:rsidRPr="00B16AF0">
        <w:rPr>
          <w:rFonts w:ascii="FrankRuehl" w:hAnsi="FrankRuehl" w:cs="FrankRuehl"/>
          <w:rtl/>
        </w:rPr>
        <w:t xml:space="preserve">, </w:t>
      </w:r>
      <w:hyperlink r:id="rId19" w:history="1">
        <w:r w:rsidRPr="00B16AF0">
          <w:rPr>
            <w:rFonts w:ascii="FrankRuehl" w:hAnsi="FrankRuehl" w:cs="FrankRuehl"/>
            <w:color w:val="0000FF"/>
            <w:rtl/>
          </w:rPr>
          <w:t>144ו</w:t>
        </w:r>
      </w:hyperlink>
      <w:r w:rsidRPr="00B16AF0">
        <w:rPr>
          <w:rFonts w:ascii="FrankRuehl" w:hAnsi="FrankRuehl" w:cs="FrankRuehl"/>
          <w:rtl/>
        </w:rPr>
        <w:t xml:space="preserve">, </w:t>
      </w:r>
      <w:hyperlink r:id="rId20" w:history="1">
        <w:r w:rsidRPr="00B16AF0">
          <w:rPr>
            <w:rFonts w:ascii="FrankRuehl" w:hAnsi="FrankRuehl" w:cs="FrankRuehl"/>
            <w:color w:val="0000FF"/>
            <w:rtl/>
          </w:rPr>
          <w:t>40יא</w:t>
        </w:r>
      </w:hyperlink>
      <w:r w:rsidRPr="00B16AF0">
        <w:rPr>
          <w:rFonts w:ascii="FrankRuehl" w:hAnsi="FrankRuehl" w:cs="FrankRuehl"/>
          <w:rtl/>
        </w:rPr>
        <w:t xml:space="preserve">, </w:t>
      </w:r>
      <w:hyperlink r:id="rId21" w:history="1">
        <w:r w:rsidRPr="00B16AF0">
          <w:rPr>
            <w:rFonts w:ascii="FrankRuehl" w:hAnsi="FrankRuehl" w:cs="FrankRuehl"/>
            <w:color w:val="0000FF"/>
            <w:rtl/>
          </w:rPr>
          <w:t>40יב</w:t>
        </w:r>
      </w:hyperlink>
      <w:r w:rsidRPr="00B16AF0">
        <w:rPr>
          <w:rFonts w:ascii="FrankRuehl" w:hAnsi="FrankRuehl" w:cs="FrankRuehl"/>
          <w:rtl/>
        </w:rPr>
        <w:t xml:space="preserve">, </w:t>
      </w:r>
      <w:hyperlink r:id="rId22" w:history="1">
        <w:r w:rsidRPr="00B16AF0">
          <w:rPr>
            <w:rFonts w:ascii="FrankRuehl" w:hAnsi="FrankRuehl" w:cs="FrankRuehl"/>
            <w:color w:val="0000FF"/>
            <w:rtl/>
          </w:rPr>
          <w:t>448(א)</w:t>
        </w:r>
      </w:hyperlink>
      <w:r w:rsidRPr="00B16AF0">
        <w:rPr>
          <w:rFonts w:ascii="FrankRuehl" w:hAnsi="FrankRuehl" w:cs="FrankRuehl"/>
          <w:rtl/>
        </w:rPr>
        <w:t xml:space="preserve">, </w:t>
      </w:r>
      <w:hyperlink r:id="rId23" w:history="1">
        <w:r w:rsidRPr="00B16AF0">
          <w:rPr>
            <w:rFonts w:ascii="FrankRuehl" w:hAnsi="FrankRuehl" w:cs="FrankRuehl"/>
            <w:color w:val="0000FF"/>
            <w:rtl/>
          </w:rPr>
          <w:t>452</w:t>
        </w:r>
      </w:hyperlink>
    </w:p>
    <w:p w14:paraId="60D0D615" w14:textId="77777777" w:rsidR="00B16AF0" w:rsidRPr="00B16AF0" w:rsidRDefault="00B16AF0" w:rsidP="00B16AF0">
      <w:pPr>
        <w:spacing w:before="120" w:after="120" w:line="240" w:lineRule="exact"/>
        <w:ind w:left="283" w:hanging="283"/>
        <w:jc w:val="both"/>
        <w:rPr>
          <w:rFonts w:ascii="FrankRuehl" w:hAnsi="FrankRuehl" w:cs="FrankRuehl"/>
          <w:rtl/>
        </w:rPr>
      </w:pPr>
      <w:hyperlink r:id="rId24" w:history="1">
        <w:r w:rsidRPr="00B16AF0">
          <w:rPr>
            <w:rFonts w:ascii="FrankRuehl" w:hAnsi="FrankRuehl" w:cs="FrankRuehl"/>
            <w:color w:val="0000FF"/>
            <w:rtl/>
          </w:rPr>
          <w:t>חוק זכויות נפגעי עבירה, תשס"א-2001</w:t>
        </w:r>
      </w:hyperlink>
      <w:r w:rsidRPr="00B16AF0">
        <w:rPr>
          <w:rFonts w:ascii="FrankRuehl" w:hAnsi="FrankRuehl" w:cs="FrankRuehl"/>
          <w:rtl/>
        </w:rPr>
        <w:t xml:space="preserve">: סע'  </w:t>
      </w:r>
      <w:hyperlink r:id="rId25" w:history="1">
        <w:r w:rsidRPr="00B16AF0">
          <w:rPr>
            <w:rFonts w:ascii="FrankRuehl" w:hAnsi="FrankRuehl" w:cs="FrankRuehl"/>
            <w:color w:val="0000FF"/>
            <w:rtl/>
          </w:rPr>
          <w:t>18</w:t>
        </w:r>
      </w:hyperlink>
    </w:p>
    <w:p w14:paraId="46B1C735" w14:textId="77777777" w:rsidR="00B16AF0" w:rsidRPr="00B16AF0" w:rsidRDefault="00B16AF0" w:rsidP="00B16AF0">
      <w:pPr>
        <w:spacing w:before="120" w:after="120" w:line="240" w:lineRule="exact"/>
        <w:ind w:left="283" w:hanging="283"/>
        <w:jc w:val="both"/>
        <w:rPr>
          <w:rFonts w:ascii="FrankRuehl" w:hAnsi="FrankRuehl" w:cs="FrankRuehl"/>
          <w:rtl/>
        </w:rPr>
      </w:pPr>
      <w:hyperlink r:id="rId26" w:history="1">
        <w:r w:rsidRPr="00B16AF0">
          <w:rPr>
            <w:rFonts w:ascii="FrankRuehl" w:hAnsi="FrankRuehl" w:cs="FrankRuehl"/>
            <w:color w:val="0000FF"/>
            <w:rtl/>
          </w:rPr>
          <w:t>חוק המאבק בטרור, תשע"ו-2016</w:t>
        </w:r>
      </w:hyperlink>
      <w:r w:rsidRPr="00B16AF0">
        <w:rPr>
          <w:rFonts w:ascii="FrankRuehl" w:hAnsi="FrankRuehl" w:cs="FrankRuehl"/>
          <w:rtl/>
        </w:rPr>
        <w:t xml:space="preserve">: סע'  </w:t>
      </w:r>
      <w:hyperlink r:id="rId27" w:history="1">
        <w:r w:rsidRPr="00B16AF0">
          <w:rPr>
            <w:rFonts w:ascii="FrankRuehl" w:hAnsi="FrankRuehl" w:cs="FrankRuehl"/>
            <w:color w:val="0000FF"/>
            <w:rtl/>
          </w:rPr>
          <w:t>37</w:t>
        </w:r>
      </w:hyperlink>
    </w:p>
    <w:p w14:paraId="2D342574" w14:textId="77777777" w:rsidR="00B16AF0" w:rsidRPr="00B16AF0" w:rsidRDefault="00B16AF0" w:rsidP="00B16AF0">
      <w:pPr>
        <w:rPr>
          <w:sz w:val="26"/>
          <w:szCs w:val="26"/>
          <w:rtl/>
        </w:rPr>
      </w:pPr>
      <w:bookmarkStart w:id="4" w:name="LawTable_End"/>
      <w:bookmarkEnd w:id="4"/>
    </w:p>
    <w:p w14:paraId="448DADE1" w14:textId="77777777" w:rsidR="00CA1752" w:rsidRPr="001B3AE7" w:rsidRDefault="00CA1752" w:rsidP="001B3AE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1752" w14:paraId="5A8A76EF" w14:textId="77777777" w:rsidTr="00CA1752">
        <w:trPr>
          <w:trHeight w:val="355"/>
          <w:jc w:val="center"/>
        </w:trPr>
        <w:tc>
          <w:tcPr>
            <w:tcW w:w="8820" w:type="dxa"/>
            <w:tcBorders>
              <w:top w:val="nil"/>
              <w:left w:val="nil"/>
              <w:bottom w:val="nil"/>
              <w:right w:val="nil"/>
            </w:tcBorders>
            <w:shd w:val="clear" w:color="auto" w:fill="auto"/>
          </w:tcPr>
          <w:p w14:paraId="0A54694F" w14:textId="77777777" w:rsidR="0074560B" w:rsidRPr="0074560B" w:rsidRDefault="0074560B" w:rsidP="0074560B">
            <w:pPr>
              <w:jc w:val="center"/>
              <w:rPr>
                <w:rFonts w:ascii="David" w:hAnsi="David"/>
                <w:b/>
                <w:bCs/>
                <w:sz w:val="32"/>
                <w:szCs w:val="32"/>
                <w:u w:val="single"/>
                <w:rtl/>
              </w:rPr>
            </w:pPr>
            <w:bookmarkStart w:id="5" w:name="PsakDin" w:colFirst="0" w:colLast="0"/>
            <w:bookmarkEnd w:id="0"/>
            <w:r w:rsidRPr="0074560B">
              <w:rPr>
                <w:rFonts w:ascii="David" w:hAnsi="David"/>
                <w:b/>
                <w:bCs/>
                <w:sz w:val="32"/>
                <w:szCs w:val="32"/>
                <w:u w:val="single"/>
                <w:rtl/>
              </w:rPr>
              <w:t>גזר דין</w:t>
            </w:r>
          </w:p>
          <w:p w14:paraId="6358A3A2" w14:textId="77777777" w:rsidR="00CA1752" w:rsidRPr="0074560B" w:rsidRDefault="00CA1752" w:rsidP="0074560B">
            <w:pPr>
              <w:jc w:val="center"/>
              <w:rPr>
                <w:rFonts w:ascii="David" w:hAnsi="David"/>
                <w:bCs/>
                <w:sz w:val="32"/>
                <w:szCs w:val="32"/>
                <w:u w:val="single"/>
                <w:rtl/>
              </w:rPr>
            </w:pPr>
          </w:p>
        </w:tc>
      </w:tr>
      <w:bookmarkEnd w:id="5"/>
    </w:tbl>
    <w:p w14:paraId="0D019D0C" w14:textId="77777777" w:rsidR="00CA1752" w:rsidRPr="000F2247" w:rsidRDefault="00CA1752" w:rsidP="00CA1752">
      <w:pPr>
        <w:rPr>
          <w:rFonts w:ascii="Arial" w:hAnsi="Arial"/>
          <w:b/>
          <w:bCs/>
          <w:sz w:val="26"/>
          <w:szCs w:val="26"/>
          <w:rtl/>
        </w:rPr>
      </w:pPr>
    </w:p>
    <w:p w14:paraId="11F29042" w14:textId="77777777" w:rsidR="00CA1752" w:rsidRDefault="00CA1752" w:rsidP="00CA1752">
      <w:pPr>
        <w:keepNext/>
        <w:spacing w:after="240"/>
        <w:rPr>
          <w:rFonts w:cs="Miriam"/>
          <w:color w:val="000000"/>
          <w:rtl/>
        </w:rPr>
      </w:pPr>
      <w:r>
        <w:rPr>
          <w:rFonts w:cs="Miriam"/>
          <w:color w:val="000000"/>
          <w:rtl/>
        </w:rPr>
        <w:t>א. כללי</w:t>
      </w:r>
    </w:p>
    <w:p w14:paraId="2194DE9D" w14:textId="77777777" w:rsidR="00CA1752" w:rsidRDefault="00CA1752" w:rsidP="00CA1752">
      <w:pPr>
        <w:numPr>
          <w:ilvl w:val="0"/>
          <w:numId w:val="1"/>
        </w:numPr>
        <w:spacing w:after="240" w:line="360" w:lineRule="auto"/>
        <w:ind w:left="-7" w:firstLine="0"/>
        <w:jc w:val="both"/>
        <w:rPr>
          <w:rFonts w:cs="FrankRuehl"/>
          <w:color w:val="000000"/>
          <w:sz w:val="28"/>
          <w:szCs w:val="28"/>
          <w:rtl/>
        </w:rPr>
      </w:pPr>
      <w:bookmarkStart w:id="6" w:name="ABSTRACT_START"/>
      <w:bookmarkEnd w:id="6"/>
      <w:r>
        <w:rPr>
          <w:rFonts w:cs="FrankRuehl"/>
          <w:color w:val="000000"/>
          <w:sz w:val="28"/>
          <w:szCs w:val="28"/>
          <w:rtl/>
        </w:rPr>
        <w:t>הנאשם הורשע בדין, על פי הודאתו שניתנה במסגרת הסדר טיעון. הגיעה העת לגזור את עונשו.</w:t>
      </w:r>
    </w:p>
    <w:p w14:paraId="672CEE12" w14:textId="77777777" w:rsidR="00CA1752" w:rsidRDefault="00CA1752" w:rsidP="00CA1752">
      <w:pPr>
        <w:keepNext/>
        <w:spacing w:after="240"/>
        <w:rPr>
          <w:rFonts w:cs="Miriam"/>
          <w:color w:val="000000"/>
        </w:rPr>
      </w:pPr>
      <w:r>
        <w:rPr>
          <w:rFonts w:cs="Miriam"/>
          <w:color w:val="000000"/>
          <w:rtl/>
        </w:rPr>
        <w:lastRenderedPageBreak/>
        <w:t>ב. רקע תמציתי</w:t>
      </w:r>
    </w:p>
    <w:p w14:paraId="41B61BDB"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ביום 21.2.23 הורשע הנאשם על פי הודאתו בעבירות של נשיאת נשק לפי </w:t>
      </w:r>
      <w:hyperlink r:id="rId28" w:history="1">
        <w:r w:rsidR="00207760" w:rsidRPr="00207760">
          <w:rPr>
            <w:rStyle w:val="Hyperlink"/>
            <w:rFonts w:cs="FrankRuehl"/>
            <w:sz w:val="28"/>
            <w:szCs w:val="28"/>
            <w:rtl/>
          </w:rPr>
          <w:t>סעיף 144(ב)</w:t>
        </w:r>
      </w:hyperlink>
      <w:r>
        <w:rPr>
          <w:rFonts w:cs="FrankRuehl"/>
          <w:color w:val="000000"/>
          <w:sz w:val="28"/>
          <w:szCs w:val="28"/>
          <w:rtl/>
        </w:rPr>
        <w:t xml:space="preserve"> ל</w:t>
      </w:r>
      <w:hyperlink r:id="rId29" w:history="1">
        <w:r w:rsidR="0074560B" w:rsidRPr="0074560B">
          <w:rPr>
            <w:rFonts w:cs="FrankRuehl"/>
            <w:color w:val="0000FF"/>
            <w:sz w:val="28"/>
            <w:szCs w:val="28"/>
            <w:u w:val="single"/>
            <w:rtl/>
          </w:rPr>
          <w:t>חוק העונשין</w:t>
        </w:r>
      </w:hyperlink>
      <w:r>
        <w:rPr>
          <w:rFonts w:cs="FrankRuehl"/>
          <w:color w:val="000000"/>
          <w:sz w:val="28"/>
          <w:szCs w:val="28"/>
          <w:rtl/>
        </w:rPr>
        <w:t xml:space="preserve">, התשל"ז-1977 (להלן: </w:t>
      </w:r>
      <w:r>
        <w:rPr>
          <w:rFonts w:cs="Miriam"/>
          <w:color w:val="000000"/>
          <w:rtl/>
        </w:rPr>
        <w:t>חוק</w:t>
      </w:r>
      <w:r>
        <w:rPr>
          <w:rFonts w:cs="FrankRuehl"/>
          <w:color w:val="000000"/>
          <w:sz w:val="28"/>
          <w:szCs w:val="28"/>
          <w:rtl/>
        </w:rPr>
        <w:t xml:space="preserve"> </w:t>
      </w:r>
      <w:r>
        <w:rPr>
          <w:rFonts w:cs="Miriam"/>
          <w:color w:val="000000"/>
          <w:rtl/>
        </w:rPr>
        <w:t>העונשין</w:t>
      </w:r>
      <w:r>
        <w:rPr>
          <w:rFonts w:cs="FrankRuehl"/>
          <w:color w:val="000000"/>
          <w:sz w:val="28"/>
          <w:szCs w:val="28"/>
          <w:rtl/>
        </w:rPr>
        <w:t xml:space="preserve">), ניסיון הצתה בנסיבות מחמירות לפי </w:t>
      </w:r>
      <w:hyperlink r:id="rId30" w:history="1">
        <w:r w:rsidR="00207760" w:rsidRPr="00207760">
          <w:rPr>
            <w:rStyle w:val="Hyperlink"/>
            <w:rFonts w:cs="FrankRuehl"/>
            <w:sz w:val="28"/>
            <w:szCs w:val="28"/>
            <w:rtl/>
          </w:rPr>
          <w:t>סעיף 448(א)</w:t>
        </w:r>
      </w:hyperlink>
      <w:r>
        <w:rPr>
          <w:rFonts w:cs="FrankRuehl"/>
          <w:color w:val="000000"/>
          <w:sz w:val="28"/>
          <w:szCs w:val="28"/>
          <w:rtl/>
        </w:rPr>
        <w:t xml:space="preserve"> סיפא בצירוף </w:t>
      </w:r>
      <w:hyperlink r:id="rId31" w:history="1">
        <w:r w:rsidR="00207760" w:rsidRPr="00207760">
          <w:rPr>
            <w:rStyle w:val="Hyperlink"/>
            <w:rFonts w:cs="FrankRuehl"/>
            <w:sz w:val="28"/>
            <w:szCs w:val="28"/>
            <w:rtl/>
          </w:rPr>
          <w:t>סעיף 25</w:t>
        </w:r>
      </w:hyperlink>
      <w:r>
        <w:rPr>
          <w:rFonts w:cs="FrankRuehl"/>
          <w:color w:val="000000"/>
          <w:sz w:val="28"/>
          <w:szCs w:val="28"/>
          <w:rtl/>
        </w:rPr>
        <w:t xml:space="preserve"> לחוק העונשין, וכן ניסיון היזק בזדון ממניע גזעני לפי </w:t>
      </w:r>
      <w:hyperlink r:id="rId32" w:history="1">
        <w:r w:rsidR="00207760" w:rsidRPr="00207760">
          <w:rPr>
            <w:rStyle w:val="Hyperlink"/>
            <w:rFonts w:cs="FrankRuehl"/>
            <w:sz w:val="28"/>
            <w:szCs w:val="28"/>
            <w:rtl/>
          </w:rPr>
          <w:t>סעיף 452</w:t>
        </w:r>
      </w:hyperlink>
      <w:r>
        <w:rPr>
          <w:rFonts w:cs="FrankRuehl"/>
          <w:color w:val="000000"/>
          <w:sz w:val="28"/>
          <w:szCs w:val="28"/>
          <w:rtl/>
        </w:rPr>
        <w:t xml:space="preserve"> בצירוף </w:t>
      </w:r>
      <w:hyperlink r:id="rId33" w:history="1">
        <w:r w:rsidR="00207760" w:rsidRPr="00207760">
          <w:rPr>
            <w:rStyle w:val="Hyperlink"/>
            <w:rFonts w:cs="FrankRuehl"/>
            <w:sz w:val="28"/>
            <w:szCs w:val="28"/>
            <w:rtl/>
          </w:rPr>
          <w:t>סעיפים 25</w:t>
        </w:r>
      </w:hyperlink>
      <w:r>
        <w:rPr>
          <w:rFonts w:cs="FrankRuehl"/>
          <w:color w:val="000000"/>
          <w:sz w:val="28"/>
          <w:szCs w:val="28"/>
          <w:rtl/>
        </w:rPr>
        <w:t xml:space="preserve"> ו-</w:t>
      </w:r>
      <w:hyperlink r:id="rId34" w:history="1">
        <w:r w:rsidR="00207760" w:rsidRPr="00207760">
          <w:rPr>
            <w:rStyle w:val="Hyperlink"/>
            <w:rFonts w:cs="FrankRuehl"/>
            <w:sz w:val="28"/>
            <w:szCs w:val="28"/>
            <w:rtl/>
          </w:rPr>
          <w:t>144ו</w:t>
        </w:r>
      </w:hyperlink>
      <w:r>
        <w:rPr>
          <w:rFonts w:cs="FrankRuehl"/>
          <w:color w:val="000000"/>
          <w:sz w:val="28"/>
          <w:szCs w:val="28"/>
          <w:rtl/>
        </w:rPr>
        <w:t xml:space="preserve"> לאותו החוק.</w:t>
      </w:r>
    </w:p>
    <w:p w14:paraId="025768F2"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Pr>
      </w:pPr>
      <w:bookmarkStart w:id="7" w:name="ABSTRACT_END"/>
      <w:bookmarkEnd w:id="7"/>
      <w:r>
        <w:rPr>
          <w:rFonts w:cs="FrankRuehl"/>
          <w:color w:val="000000"/>
          <w:sz w:val="28"/>
          <w:szCs w:val="28"/>
          <w:rtl/>
        </w:rPr>
        <w:t>על פי עובדות כתב האישום המתוקן שבהן הודה הנאשם, הוא החליט ליידות בקבוק תבערה לעבר בית שבו מתגוררים יהודים, המצוי בסמוך לביתו, וממניע גזעני. ביום 5.12.22 בשעה 4:07 לערך הצטייד הנאשם בבקבוק תבערה, עטה רעלת פנים, הדליק את הבקבוק, רץ לעבר הבית והשליך לעברו את הבקבוק. הבקבוק נפל בחצר הבית והתלקח, ומאבטחים שהבחינו בנעשה כיבו את השריפה באמצעות חול ואבנים.</w:t>
      </w:r>
    </w:p>
    <w:p w14:paraId="6E61AADB" w14:textId="77777777" w:rsidR="00CA1752" w:rsidRDefault="00CA1752" w:rsidP="00CA1752">
      <w:pPr>
        <w:keepNext/>
        <w:spacing w:after="240"/>
        <w:rPr>
          <w:rFonts w:cs="Miriam"/>
          <w:color w:val="000000"/>
        </w:rPr>
      </w:pPr>
      <w:r>
        <w:rPr>
          <w:rFonts w:cs="Miriam"/>
          <w:color w:val="000000"/>
          <w:rtl/>
        </w:rPr>
        <w:t>ג. תסקיר וראיות לקביעת העונש</w:t>
      </w:r>
    </w:p>
    <w:p w14:paraId="33E49470"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תסקיר שירות המבחן בעניינו של הנאשם המליץ להשית על הנאשם "ענישה מוחשית ומציבת גבולות ברורים". בתסקיר צוין, בתמצית, כי הנאשם הוא צעיר כבן 19 ללא עבר פלילי, בן רביעי משישה לזוג הורים תושבי שכונת ראס אל עמוד. הנאשם מסר כי סיים 12 שנות לימוד, ולאחר מכן עבד בעבודות מזדמנות והתקשה להתמיד במקום אחד. הנאשם התקשה להסביר את מניעיו לביצוע המעשה, אם כי ציין שהיה במצב רגשי מורכב בשל פרידה מבת זוגו ושהושפע מסרטונים המעודדים פעולות טרור. הנאשם הביע חרטה והתייחס למעשה כאל טעות, אולם שירות המבחן ציין כי הרושם הוא שהחרטה נובעת בעיקר מההשלכות על חיי הנאשם עצמו, והוא לא בעל תובנה מעמיקה בנוגע למהות המעשה והשלכותיו. על רקע מכלול הנסיבות סבר שירות המבחן כי קיים מצד הנאשם סיכון להישנות עבירות דומות בעתיד, ועל כן המליץ על השתת עונש מאסר בפועל ומאסר מותנה שיהיה בהם כדי להרתיע.</w:t>
      </w:r>
    </w:p>
    <w:p w14:paraId="631F676D"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המאשימה הגישה הצהרה בכתב מטעם נפגע העבירה, בהתאם </w:t>
      </w:r>
      <w:hyperlink r:id="rId35" w:history="1">
        <w:r w:rsidR="00207760" w:rsidRPr="00207760">
          <w:rPr>
            <w:rStyle w:val="Hyperlink"/>
            <w:rFonts w:cs="FrankRuehl"/>
            <w:sz w:val="28"/>
            <w:szCs w:val="28"/>
            <w:rtl/>
          </w:rPr>
          <w:t>לסעיף 18</w:t>
        </w:r>
      </w:hyperlink>
      <w:r>
        <w:rPr>
          <w:rFonts w:cs="FrankRuehl"/>
          <w:color w:val="000000"/>
          <w:sz w:val="28"/>
          <w:szCs w:val="28"/>
          <w:rtl/>
        </w:rPr>
        <w:t xml:space="preserve"> ל</w:t>
      </w:r>
      <w:hyperlink r:id="rId36" w:history="1">
        <w:r w:rsidR="0074560B" w:rsidRPr="0074560B">
          <w:rPr>
            <w:rFonts w:cs="FrankRuehl"/>
            <w:color w:val="0000FF"/>
            <w:sz w:val="28"/>
            <w:szCs w:val="28"/>
            <w:u w:val="single"/>
            <w:rtl/>
          </w:rPr>
          <w:t>חוק זכויות נפגעי עבירה</w:t>
        </w:r>
      </w:hyperlink>
      <w:r>
        <w:rPr>
          <w:rFonts w:cs="FrankRuehl"/>
          <w:color w:val="000000"/>
          <w:sz w:val="28"/>
          <w:szCs w:val="28"/>
          <w:rtl/>
        </w:rPr>
        <w:t>, התשס"א-2001. הנפגע ציין כי הוא ובני ביתו חיים בחרדות מהצתה, וכי בנותיו שחדרן סמוך לחצר חוששות פעמים רבות לישון בו ועוברות לישון בחדר נוסף (כאשר המשפחה מונה תשעה ילדים שגם כך מצטופפים בשני חדרי שינה, אחד מהם הוא החדר הסמוך לחצר). רעיית הנפגע מתקשה לישון ברציפות, וההורים חוששים בעת שילדיהם משחקים בחצר. הנפגע ציין באופן קונקרטי את החרדות שמהן סובל בנו הנכה.</w:t>
      </w:r>
    </w:p>
    <w:p w14:paraId="46CF992A" w14:textId="77777777" w:rsidR="00CA1752" w:rsidRDefault="00CA1752" w:rsidP="00CA1752">
      <w:pPr>
        <w:keepNext/>
        <w:spacing w:after="240"/>
        <w:rPr>
          <w:rFonts w:cs="Miriam"/>
          <w:color w:val="000000"/>
          <w:rtl/>
        </w:rPr>
      </w:pPr>
      <w:r>
        <w:rPr>
          <w:rFonts w:cs="Miriam"/>
          <w:color w:val="000000"/>
          <w:rtl/>
        </w:rPr>
        <w:lastRenderedPageBreak/>
        <w:t>ד. טענות הצדדים לעניין העונש</w:t>
      </w:r>
    </w:p>
    <w:p w14:paraId="2533AE8F"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tl/>
        </w:rPr>
      </w:pPr>
      <w:r>
        <w:rPr>
          <w:rFonts w:ascii="FrankRuehl" w:hAnsi="FrankRuehl" w:cs="FrankRuehl"/>
          <w:color w:val="000000"/>
          <w:sz w:val="28"/>
          <w:szCs w:val="28"/>
          <w:rtl/>
        </w:rPr>
        <w:t>שני הצדדים הגישו עי</w:t>
      </w:r>
      <w:r>
        <w:rPr>
          <w:rFonts w:cs="FrankRuehl"/>
          <w:color w:val="000000"/>
          <w:sz w:val="28"/>
          <w:szCs w:val="28"/>
          <w:rtl/>
        </w:rPr>
        <w:t>קרי טענות בכתב והשלימו את טענותיהם בדיון.</w:t>
      </w:r>
    </w:p>
    <w:p w14:paraId="4ABC76AB"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לטענת המאשימה, מתחם העונש ההולם בעניינו של הנאשם עומד על בין 40 ל-60 חודשי מאסר בפועל, והעונש המתאים לו עומד על 40 חודשי מאסר בפועל לצד מאסר על תנאי, פיצוי וקנס.</w:t>
      </w:r>
    </w:p>
    <w:p w14:paraId="3B216C57"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מבחינת נסיבות הקשורות בביצוע העבירה, המאשימה מציינת כי המעשה בוצע על ידי הנאשם לבדו, לאחר שצפה בסרטונים מסיתים, לאחר תכנון והצטיידות, ממניע גזעני ומתוך מטרה לפגוע בבני אדם. עוד צוין כי לא ניתן לצפות את היקף התפשטות האש הניצתת כתוצאה מהשלכת בקבוק התבערה ואת הנזק שייגרם ממנה. במקרה שכאן, כך הודגש, המעשה בוצע בשעת בוקר מוקדמת שבה ניתן היה לצפות כי דיירי הבית ינומו את שנתם וממילא הסיכויים לפגיעה בהם גוברים, ורק בשל ערנות המאבטחים האירוע הסתיים ללא פגיעה בגוף או ברכוש. מכל מקום, בפועל נגרמו לדיירים חרדות, והמאשימה הפנתה בעניין אל הצהרת נפגע. </w:t>
      </w:r>
    </w:p>
    <w:p w14:paraId="0C4626DE" w14:textId="77777777" w:rsidR="00CA1752" w:rsidRDefault="00CA1752" w:rsidP="00CA1752">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בנוגע לנסיבות שאינן קשורות לביצוע העבירה ציינה המאשימה את העובדה שהנאשם נעדר עבר פלילי ואת הודאתו במסגרת הסדר הטיעון. </w:t>
      </w:r>
    </w:p>
    <w:p w14:paraId="7A4DBD48"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ab/>
        <w:t xml:space="preserve">הנאשם מצידו טוען כי מתחם העונש ההולם בעניינו עומד על בין 18 ל-32 חודשי מאסר, וכי העונש המתאים לו הוא בתחתיתו של המתחם, היינו 18 חודשי מאסר בפועל. לטענת הנאשם, המתחם שלו עתרה המאשימה תואם הרשעה בעבירה שהיא מעשה טרור מכוח </w:t>
      </w:r>
      <w:hyperlink r:id="rId37" w:history="1">
        <w:r w:rsidR="00207760" w:rsidRPr="00207760">
          <w:rPr>
            <w:rStyle w:val="Hyperlink"/>
            <w:rFonts w:cs="FrankRuehl"/>
            <w:sz w:val="28"/>
            <w:szCs w:val="28"/>
            <w:rtl/>
          </w:rPr>
          <w:t>סעיף 37</w:t>
        </w:r>
      </w:hyperlink>
      <w:r>
        <w:rPr>
          <w:rFonts w:cs="FrankRuehl"/>
          <w:color w:val="000000"/>
          <w:sz w:val="28"/>
          <w:szCs w:val="28"/>
          <w:rtl/>
        </w:rPr>
        <w:t xml:space="preserve"> ל</w:t>
      </w:r>
      <w:hyperlink r:id="rId38" w:history="1">
        <w:r w:rsidR="0074560B" w:rsidRPr="0074560B">
          <w:rPr>
            <w:rFonts w:cs="FrankRuehl"/>
            <w:color w:val="0000FF"/>
            <w:sz w:val="28"/>
            <w:szCs w:val="28"/>
            <w:u w:val="single"/>
            <w:rtl/>
          </w:rPr>
          <w:t>חוק המאבק בטרור, התשע"ו-2016</w:t>
        </w:r>
      </w:hyperlink>
      <w:r>
        <w:rPr>
          <w:rFonts w:cs="FrankRuehl"/>
          <w:color w:val="000000"/>
          <w:sz w:val="28"/>
          <w:szCs w:val="28"/>
          <w:rtl/>
        </w:rPr>
        <w:t>, אולם הוא לא הורשע בעבירה כזו, והמתחם שהוא טוען לו מביא בחשבון את מגמת ההחמרה בענישה בעבירות שבהן הורשע.</w:t>
      </w:r>
    </w:p>
    <w:p w14:paraId="13635A8F" w14:textId="77777777" w:rsidR="00CA1752" w:rsidRDefault="00CA1752" w:rsidP="00CA1752">
      <w:pPr>
        <w:tabs>
          <w:tab w:val="left" w:pos="702"/>
        </w:tabs>
        <w:spacing w:after="240" w:line="360" w:lineRule="auto"/>
        <w:ind w:left="-7"/>
        <w:jc w:val="both"/>
        <w:rPr>
          <w:rFonts w:cs="FrankRuehl"/>
          <w:color w:val="000000"/>
          <w:sz w:val="28"/>
          <w:szCs w:val="28"/>
        </w:rPr>
      </w:pPr>
      <w:r>
        <w:rPr>
          <w:rFonts w:cs="FrankRuehl"/>
          <w:color w:val="000000"/>
          <w:sz w:val="28"/>
          <w:szCs w:val="28"/>
          <w:rtl/>
        </w:rPr>
        <w:tab/>
        <w:t>מבחינת נסיבות הקשורות בביצוע העבירה מדגיש הנאשם כי הוא יידה לבדו בקבוק תבערה יחיד באירוע יחיד. עוד טוען הנאשם כי על פי דבריו, כפי שהובאו בתסקיר, הוא ביצע את העבירה על רקע מצב רגשי מורכב והשפעה מסרטונים המעודדים פעולות טרור, וכי עד למעשה זה הוא לא נגרר להשתתף באירועים דומים המתרחשים באזור מגוריו. הנאשם מציין כי לא מדובר היה במעשה שתוכנן לאורך זמן; כי לא מדובר היה ב"תקופה רגישה" או ב"מקום רגיש" כלשונו; כי יידוי בקבוק התבערה לעבר החצר בשעה שבה לא נמצאים בה אנשים מלמד כי הוא לא ביקש לפגוע בהם; וכי מכל מקום לא נגרם בפועל נזק פיזי.</w:t>
      </w:r>
    </w:p>
    <w:p w14:paraId="6595ECE6" w14:textId="77777777" w:rsidR="00CA1752" w:rsidRDefault="00CA1752" w:rsidP="00CA1752">
      <w:pPr>
        <w:tabs>
          <w:tab w:val="left" w:pos="702"/>
        </w:tabs>
        <w:spacing w:after="240" w:line="360" w:lineRule="auto"/>
        <w:ind w:left="-7"/>
        <w:jc w:val="both"/>
        <w:rPr>
          <w:rFonts w:cs="FrankRuehl"/>
          <w:color w:val="000000"/>
          <w:sz w:val="28"/>
          <w:szCs w:val="28"/>
        </w:rPr>
      </w:pPr>
      <w:r>
        <w:rPr>
          <w:rFonts w:cs="FrankRuehl"/>
          <w:color w:val="000000"/>
          <w:sz w:val="28"/>
          <w:szCs w:val="28"/>
          <w:rtl/>
        </w:rPr>
        <w:tab/>
        <w:t>מבחינת נסיבות שאינן קשורות בביצוע העבירה ציין הנאשם את היותו צעיר, נעדר עבר פלילי, וכן את העובדה שהוא שהה במעצר בשלב החקירה וב"מעצר בית" עד שלבקשתו נעצר מחדש לאחר הרשעתו. הנאשם ציין כי משפחתו היא נורמטיבית, מגנה את מעשיו ותיפגע ממאסרו שכן הוא מסייע בפרנסתה. הנאשם מדגיש כי הוא הודה והורשע בדיון הראשון שנקבע לאחר שכתב האישום נקרא באוזניו, וכי הוא הביע חרטה, ואף ביקש לחזור למעצר כחלק מנטילת אחריותו.</w:t>
      </w:r>
    </w:p>
    <w:p w14:paraId="43AE224C"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הנאשם עצמו בדבריו לפניי הביע חרטה על מעשיו וציין כי הוא מעוניין לחזור לחייו ולמעגל העבודה.</w:t>
      </w:r>
    </w:p>
    <w:p w14:paraId="0A66A949" w14:textId="77777777" w:rsidR="00CA1752" w:rsidRDefault="00CA1752" w:rsidP="00CA1752">
      <w:pPr>
        <w:keepNext/>
        <w:spacing w:after="240"/>
        <w:rPr>
          <w:rFonts w:cs="Miriam"/>
          <w:color w:val="000000"/>
        </w:rPr>
      </w:pPr>
      <w:r>
        <w:rPr>
          <w:rFonts w:cs="Miriam"/>
          <w:color w:val="000000"/>
          <w:rtl/>
        </w:rPr>
        <w:t>ה. דיון</w:t>
      </w:r>
    </w:p>
    <w:p w14:paraId="1F7909AC" w14:textId="77777777" w:rsidR="00CA1752" w:rsidRDefault="00CA1752" w:rsidP="00CA1752">
      <w:pPr>
        <w:tabs>
          <w:tab w:val="left" w:pos="702"/>
        </w:tabs>
        <w:spacing w:after="240"/>
        <w:ind w:left="-7"/>
        <w:rPr>
          <w:rFonts w:ascii="FrankRuehl" w:hAnsi="FrankRuehl" w:cs="FrankRuehl"/>
          <w:sz w:val="20"/>
          <w:szCs w:val="26"/>
        </w:rPr>
      </w:pPr>
      <w:r>
        <w:rPr>
          <w:rFonts w:ascii="FrankRuehl" w:hAnsi="FrankRuehl" w:cs="FrankRuehl"/>
          <w:color w:val="000000"/>
          <w:sz w:val="28"/>
          <w:szCs w:val="28"/>
          <w:rtl/>
        </w:rPr>
        <w:t xml:space="preserve">ה(1) </w:t>
      </w:r>
      <w:r>
        <w:rPr>
          <w:rFonts w:ascii="FrankRuehl" w:hAnsi="FrankRuehl" w:cs="FrankRuehl"/>
          <w:color w:val="000000"/>
          <w:sz w:val="28"/>
          <w:szCs w:val="28"/>
          <w:u w:val="single"/>
          <w:rtl/>
        </w:rPr>
        <w:t>גזירת הדין - כללי</w:t>
      </w:r>
    </w:p>
    <w:p w14:paraId="0174CF26" w14:textId="77777777" w:rsidR="00CA1752" w:rsidRDefault="00207760" w:rsidP="00CA1752">
      <w:pPr>
        <w:numPr>
          <w:ilvl w:val="0"/>
          <w:numId w:val="1"/>
        </w:numPr>
        <w:tabs>
          <w:tab w:val="left" w:pos="702"/>
        </w:tabs>
        <w:spacing w:after="240" w:line="360" w:lineRule="auto"/>
        <w:ind w:left="-7" w:firstLine="0"/>
        <w:jc w:val="both"/>
        <w:rPr>
          <w:rFonts w:ascii="FrankRuehl" w:hAnsi="FrankRuehl" w:cs="FrankRuehl"/>
        </w:rPr>
      </w:pPr>
      <w:hyperlink r:id="rId39" w:history="1">
        <w:r w:rsidRPr="00207760">
          <w:rPr>
            <w:rStyle w:val="Hyperlink"/>
            <w:rFonts w:ascii="FrankRuehl" w:hAnsi="FrankRuehl" w:cs="FrankRuehl"/>
            <w:sz w:val="28"/>
            <w:szCs w:val="28"/>
            <w:rtl/>
          </w:rPr>
          <w:t>סעיף 40ב</w:t>
        </w:r>
      </w:hyperlink>
      <w:r w:rsidR="00CA1752">
        <w:rPr>
          <w:rFonts w:ascii="FrankRuehl" w:hAnsi="FrankRuehl" w:cs="FrankRuehl"/>
          <w:color w:val="000000"/>
          <w:sz w:val="28"/>
          <w:szCs w:val="28"/>
          <w:rtl/>
        </w:rPr>
        <w:t xml:space="preserve"> ל</w:t>
      </w:r>
      <w:hyperlink r:id="rId40" w:history="1">
        <w:r w:rsidR="0074560B" w:rsidRPr="0074560B">
          <w:rPr>
            <w:rFonts w:ascii="FrankRuehl" w:hAnsi="FrankRuehl" w:cs="FrankRuehl"/>
            <w:color w:val="0000FF"/>
            <w:sz w:val="28"/>
            <w:szCs w:val="28"/>
            <w:u w:val="single"/>
            <w:rtl/>
          </w:rPr>
          <w:t>חוק העונשין</w:t>
        </w:r>
      </w:hyperlink>
      <w:r w:rsidR="00CA1752">
        <w:rPr>
          <w:rFonts w:ascii="FrankRuehl" w:hAnsi="FrankRuehl" w:cs="FrankRuehl"/>
          <w:color w:val="000000"/>
          <w:sz w:val="28"/>
          <w:szCs w:val="28"/>
          <w:rtl/>
        </w:rPr>
        <w:t xml:space="preserve"> קובע כי "העיקרון המנחה בענישה הוא קיומו של יחס הולם בין חומרת מעשה העבירה בנסיבותיו ומידת אשמו של הנאשם ובין סוג ומידת העונש המוטל עליו". </w:t>
      </w:r>
      <w:hyperlink r:id="rId41" w:history="1">
        <w:r w:rsidRPr="00207760">
          <w:rPr>
            <w:rStyle w:val="Hyperlink"/>
            <w:rFonts w:ascii="FrankRuehl" w:hAnsi="FrankRuehl" w:cs="FrankRuehl"/>
            <w:sz w:val="28"/>
            <w:szCs w:val="28"/>
            <w:rtl/>
          </w:rPr>
          <w:t>סעיף 40ג(א)</w:t>
        </w:r>
      </w:hyperlink>
      <w:r w:rsidR="00CA1752">
        <w:rPr>
          <w:rFonts w:ascii="FrankRuehl" w:hAnsi="FrankRuehl" w:cs="FrankRuehl"/>
          <w:color w:val="000000"/>
          <w:sz w:val="28"/>
          <w:szCs w:val="28"/>
          <w:rtl/>
        </w:rPr>
        <w:t xml:space="preserve"> מורה כי בהתאם לעקרון ההלימה יש לקבוע "מתחם עונש הולם", וזאת תוך התחשבות "בערך החברתי שנפגע מביצוע העבירה, במידת הפגיעה בו, במדיניות הענישה הנהוגה ובנסיבות הקשורות בביצוע העבירה". חלק מהנסיבות הקשורות בביצוע העבירה מנויות </w:t>
      </w:r>
      <w:hyperlink r:id="rId42" w:history="1">
        <w:r w:rsidRPr="00207760">
          <w:rPr>
            <w:rStyle w:val="Hyperlink"/>
            <w:rFonts w:ascii="FrankRuehl" w:hAnsi="FrankRuehl" w:cs="FrankRuehl"/>
            <w:sz w:val="28"/>
            <w:szCs w:val="28"/>
            <w:rtl/>
          </w:rPr>
          <w:t>בסעיף 40ט</w:t>
        </w:r>
      </w:hyperlink>
      <w:r w:rsidR="00CA1752">
        <w:rPr>
          <w:rFonts w:ascii="FrankRuehl" w:hAnsi="FrankRuehl" w:cs="FrankRuehl"/>
          <w:color w:val="000000"/>
          <w:sz w:val="28"/>
          <w:szCs w:val="28"/>
          <w:rtl/>
        </w:rPr>
        <w:t xml:space="preserve"> לחוק, ובכללן מידת התכנון שקדם לביצוע העבירה, חלקו היחסי של הנאשם, מידת הנזק שנגרמה או שהייתה צפויה להיגרם מהעבירה, הנסיבות שהביאו את הנאשם לביצוע העבירה, ועוד (וראו </w:t>
      </w:r>
      <w:hyperlink r:id="rId43" w:history="1">
        <w:r w:rsidRPr="00207760">
          <w:rPr>
            <w:rStyle w:val="Hyperlink"/>
            <w:rFonts w:ascii="FrankRuehl" w:hAnsi="FrankRuehl" w:cs="FrankRuehl"/>
            <w:sz w:val="28"/>
            <w:szCs w:val="28"/>
            <w:rtl/>
          </w:rPr>
          <w:t>סעיף 40יב</w:t>
        </w:r>
      </w:hyperlink>
      <w:r w:rsidR="00CA1752">
        <w:rPr>
          <w:rFonts w:ascii="FrankRuehl" w:hAnsi="FrankRuehl" w:cs="FrankRuehl"/>
          <w:color w:val="000000"/>
          <w:sz w:val="28"/>
          <w:szCs w:val="28"/>
          <w:rtl/>
        </w:rPr>
        <w:t xml:space="preserve"> הקובע כי ניתן לשקול גם נסיבות אחרות שאינן מנויות בסעיף </w:t>
      </w:r>
      <w:hyperlink r:id="rId44" w:history="1">
        <w:r w:rsidRPr="00207760">
          <w:rPr>
            <w:rStyle w:val="Hyperlink"/>
            <w:rFonts w:ascii="FrankRuehl" w:hAnsi="FrankRuehl" w:cs="FrankRuehl"/>
            <w:sz w:val="28"/>
            <w:szCs w:val="28"/>
            <w:rtl/>
          </w:rPr>
          <w:t>40ט</w:t>
        </w:r>
      </w:hyperlink>
      <w:r w:rsidR="00CA1752">
        <w:rPr>
          <w:rFonts w:ascii="FrankRuehl" w:hAnsi="FrankRuehl" w:cs="FrankRuehl"/>
          <w:color w:val="000000"/>
          <w:sz w:val="28"/>
          <w:szCs w:val="28"/>
          <w:rtl/>
        </w:rPr>
        <w:t>).</w:t>
      </w:r>
    </w:p>
    <w:p w14:paraId="793B991A" w14:textId="77777777" w:rsidR="00CA1752" w:rsidRDefault="00CA1752" w:rsidP="00CA1752">
      <w:pPr>
        <w:numPr>
          <w:ilvl w:val="0"/>
          <w:numId w:val="1"/>
        </w:numPr>
        <w:tabs>
          <w:tab w:val="left" w:pos="702"/>
        </w:tabs>
        <w:spacing w:after="240" w:line="360" w:lineRule="auto"/>
        <w:ind w:left="-7" w:firstLine="0"/>
        <w:jc w:val="both"/>
        <w:rPr>
          <w:rFonts w:ascii="FrankRuehl" w:hAnsi="FrankRuehl" w:cs="FrankRuehl"/>
        </w:rPr>
      </w:pPr>
      <w:r>
        <w:rPr>
          <w:rFonts w:ascii="FrankRuehl" w:hAnsi="FrankRuehl" w:cs="FrankRuehl"/>
          <w:color w:val="000000"/>
          <w:sz w:val="28"/>
          <w:szCs w:val="28"/>
          <w:rtl/>
        </w:rPr>
        <w:t>לאחר קביעת מתחם העונש ההולם, יש לגזור את העונש המתאים לנאשם, וזאת תוך התחשבות בנסיבות שאינן קשורות בביצוע העבירה (</w:t>
      </w:r>
      <w:hyperlink r:id="rId45" w:history="1">
        <w:r w:rsidR="00207760" w:rsidRPr="00207760">
          <w:rPr>
            <w:rStyle w:val="Hyperlink"/>
            <w:rFonts w:ascii="FrankRuehl" w:hAnsi="FrankRuehl" w:cs="FrankRuehl"/>
            <w:sz w:val="28"/>
            <w:szCs w:val="28"/>
            <w:rtl/>
          </w:rPr>
          <w:t>סעיף 40ג(ב)</w:t>
        </w:r>
      </w:hyperlink>
      <w:r>
        <w:rPr>
          <w:rFonts w:ascii="FrankRuehl" w:hAnsi="FrankRuehl" w:cs="FrankRuehl"/>
          <w:color w:val="000000"/>
          <w:sz w:val="28"/>
          <w:szCs w:val="28"/>
          <w:rtl/>
        </w:rPr>
        <w:t xml:space="preserve"> לחוק). נסיבות כאלה מפורטות </w:t>
      </w:r>
      <w:hyperlink r:id="rId46" w:history="1">
        <w:r w:rsidR="00207760" w:rsidRPr="00207760">
          <w:rPr>
            <w:rStyle w:val="Hyperlink"/>
            <w:rFonts w:ascii="FrankRuehl" w:hAnsi="FrankRuehl" w:cs="FrankRuehl"/>
            <w:sz w:val="28"/>
            <w:szCs w:val="28"/>
            <w:rtl/>
          </w:rPr>
          <w:t>בסעיף 40יא</w:t>
        </w:r>
      </w:hyperlink>
      <w:r>
        <w:rPr>
          <w:rFonts w:ascii="FrankRuehl" w:hAnsi="FrankRuehl" w:cs="FrankRuehl"/>
          <w:color w:val="000000"/>
          <w:sz w:val="28"/>
          <w:szCs w:val="28"/>
          <w:rtl/>
        </w:rPr>
        <w:t xml:space="preserve"> לחוק, וכוללות בין היתר את השלכת העונש על הנאשם ועל משפחתו, הנזקים שנגרמו לו מהעבירה ומהרשעתו, שאלת נטילת אחריותו על מעשיו ומאמציו להשתקם, מאמציו לתקן את תוצאות העבירה, שיתוף הפעולה של הנאשם עם רשויות החוק, התנהגות חיובית כללית ותרומה לחברה, נסיבות חיים קשות, חלוף הזמן, ועברו הפלילי של הנאשם (וראו </w:t>
      </w:r>
      <w:hyperlink r:id="rId47" w:history="1">
        <w:r w:rsidR="00207760" w:rsidRPr="00207760">
          <w:rPr>
            <w:rStyle w:val="Hyperlink"/>
            <w:rFonts w:ascii="FrankRuehl" w:hAnsi="FrankRuehl" w:cs="FrankRuehl"/>
            <w:sz w:val="28"/>
            <w:szCs w:val="28"/>
            <w:rtl/>
          </w:rPr>
          <w:t>סעיף 40יב</w:t>
        </w:r>
      </w:hyperlink>
      <w:r>
        <w:rPr>
          <w:rFonts w:ascii="FrankRuehl" w:hAnsi="FrankRuehl" w:cs="FrankRuehl"/>
          <w:color w:val="000000"/>
          <w:sz w:val="28"/>
          <w:szCs w:val="28"/>
          <w:rtl/>
        </w:rPr>
        <w:t xml:space="preserve"> הקובע כי הרשימה המנויה </w:t>
      </w:r>
      <w:hyperlink r:id="rId48" w:history="1">
        <w:r w:rsidR="00207760" w:rsidRPr="00207760">
          <w:rPr>
            <w:rStyle w:val="Hyperlink"/>
            <w:rFonts w:ascii="FrankRuehl" w:hAnsi="FrankRuehl" w:cs="FrankRuehl"/>
            <w:sz w:val="28"/>
            <w:szCs w:val="28"/>
            <w:rtl/>
          </w:rPr>
          <w:t>בסעיף 40ט</w:t>
        </w:r>
      </w:hyperlink>
      <w:r>
        <w:rPr>
          <w:rFonts w:ascii="FrankRuehl" w:hAnsi="FrankRuehl" w:cs="FrankRuehl"/>
          <w:color w:val="000000"/>
          <w:sz w:val="28"/>
          <w:szCs w:val="28"/>
          <w:rtl/>
        </w:rPr>
        <w:t xml:space="preserve"> אינה סגורה וניתן לשקול גם נסיבות אחרות). כמו כן ניתן להתחשב בצורך להרתיע את הנאשם ולהרתיע את הרבים (</w:t>
      </w:r>
      <w:hyperlink r:id="rId49" w:history="1">
        <w:r w:rsidR="00207760" w:rsidRPr="00207760">
          <w:rPr>
            <w:rStyle w:val="Hyperlink"/>
            <w:rFonts w:ascii="FrankRuehl" w:hAnsi="FrankRuehl" w:cs="FrankRuehl"/>
            <w:sz w:val="28"/>
            <w:szCs w:val="28"/>
            <w:rtl/>
          </w:rPr>
          <w:t>סעיפים 40ו-40ז</w:t>
        </w:r>
      </w:hyperlink>
      <w:r>
        <w:rPr>
          <w:rFonts w:ascii="FrankRuehl" w:hAnsi="FrankRuehl" w:cs="FrankRuehl"/>
          <w:color w:val="000000"/>
          <w:sz w:val="28"/>
          <w:szCs w:val="28"/>
          <w:rtl/>
        </w:rPr>
        <w:t xml:space="preserve"> לחוק).</w:t>
      </w:r>
    </w:p>
    <w:p w14:paraId="7E6D7267" w14:textId="77777777" w:rsidR="00CA1752" w:rsidRDefault="00CA1752" w:rsidP="00CA1752">
      <w:pPr>
        <w:numPr>
          <w:ilvl w:val="0"/>
          <w:numId w:val="1"/>
        </w:numPr>
        <w:tabs>
          <w:tab w:val="left" w:pos="702"/>
        </w:tabs>
        <w:spacing w:after="240" w:line="360" w:lineRule="auto"/>
        <w:ind w:left="-7" w:firstLine="0"/>
        <w:jc w:val="both"/>
        <w:rPr>
          <w:rFonts w:ascii="FrankRuehl" w:hAnsi="FrankRuehl" w:cs="FrankRuehl"/>
          <w:color w:val="000000"/>
          <w:sz w:val="28"/>
          <w:szCs w:val="28"/>
        </w:rPr>
      </w:pPr>
      <w:r>
        <w:rPr>
          <w:rFonts w:ascii="FrankRuehl" w:hAnsi="FrankRuehl" w:cs="FrankRuehl"/>
          <w:color w:val="000000"/>
          <w:sz w:val="28"/>
          <w:szCs w:val="28"/>
          <w:rtl/>
        </w:rPr>
        <w:t xml:space="preserve">ככלל, העונש שייגזר על הנאשם יהיה בתוך המתחם שנקבע, אולם בית המשפט מוסמך לחרוג ממנו לקולא משיקולי שיקום או לחומרא משיקולי הגנה על שלום הציבור, בתנאים שפורטו בחוק (ראו </w:t>
      </w:r>
      <w:hyperlink r:id="rId50" w:history="1">
        <w:r w:rsidR="00207760" w:rsidRPr="00207760">
          <w:rPr>
            <w:rStyle w:val="Hyperlink"/>
            <w:rFonts w:ascii="FrankRuehl" w:hAnsi="FrankRuehl" w:cs="FrankRuehl"/>
            <w:sz w:val="28"/>
            <w:szCs w:val="28"/>
            <w:rtl/>
          </w:rPr>
          <w:t>סעיפים 40ד</w:t>
        </w:r>
      </w:hyperlink>
      <w:r>
        <w:rPr>
          <w:rFonts w:ascii="FrankRuehl" w:hAnsi="FrankRuehl" w:cs="FrankRuehl"/>
          <w:color w:val="000000"/>
          <w:sz w:val="28"/>
          <w:szCs w:val="28"/>
          <w:rtl/>
        </w:rPr>
        <w:t xml:space="preserve"> וכן </w:t>
      </w:r>
      <w:hyperlink r:id="rId51" w:history="1">
        <w:r w:rsidR="00207760" w:rsidRPr="00207760">
          <w:rPr>
            <w:rStyle w:val="Hyperlink"/>
            <w:rFonts w:ascii="FrankRuehl" w:hAnsi="FrankRuehl" w:cs="FrankRuehl"/>
            <w:sz w:val="28"/>
            <w:szCs w:val="28"/>
            <w:rtl/>
          </w:rPr>
          <w:t>40ה</w:t>
        </w:r>
      </w:hyperlink>
      <w:r>
        <w:rPr>
          <w:rFonts w:ascii="FrankRuehl" w:hAnsi="FrankRuehl" w:cs="FrankRuehl"/>
          <w:color w:val="000000"/>
          <w:sz w:val="28"/>
          <w:szCs w:val="28"/>
          <w:rtl/>
        </w:rPr>
        <w:t xml:space="preserve"> לחוק).</w:t>
      </w:r>
    </w:p>
    <w:p w14:paraId="47CADDD1" w14:textId="77777777" w:rsidR="00CA1752" w:rsidRDefault="00CA1752" w:rsidP="00CA1752">
      <w:pPr>
        <w:tabs>
          <w:tab w:val="left" w:pos="702"/>
        </w:tabs>
        <w:spacing w:after="240"/>
        <w:ind w:left="-7"/>
        <w:rPr>
          <w:rFonts w:cs="FrankRuehl"/>
          <w:color w:val="000000"/>
          <w:sz w:val="28"/>
          <w:szCs w:val="28"/>
        </w:rPr>
      </w:pPr>
      <w:r>
        <w:rPr>
          <w:rFonts w:cs="FrankRuehl"/>
          <w:color w:val="000000"/>
          <w:sz w:val="28"/>
          <w:szCs w:val="28"/>
          <w:rtl/>
        </w:rPr>
        <w:t xml:space="preserve">ה(2) </w:t>
      </w:r>
      <w:r>
        <w:rPr>
          <w:rFonts w:cs="FrankRuehl"/>
          <w:color w:val="000000"/>
          <w:sz w:val="28"/>
          <w:szCs w:val="28"/>
          <w:u w:val="single"/>
          <w:rtl/>
        </w:rPr>
        <w:t>מתחם העונש ההולם למעשה שבו הורשע הנאשם</w:t>
      </w:r>
    </w:p>
    <w:p w14:paraId="4CAC7344"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השיקולים הרלוונטיים לקביעת מתחם העונש ההולם הם כאמור </w:t>
      </w:r>
      <w:r>
        <w:rPr>
          <w:rFonts w:ascii="FrankRuehl" w:hAnsi="FrankRuehl" w:cs="FrankRuehl"/>
          <w:color w:val="000000"/>
          <w:sz w:val="28"/>
          <w:szCs w:val="28"/>
          <w:rtl/>
        </w:rPr>
        <w:t>הערך החברתי שנפגע מביצוע העבירה, מידת הפגיעה בו, מדיניות הענישה הנהוגה, ונסיבות הקשורות בביצוע העבירה. אתייחס לשיקולים אלה</w:t>
      </w:r>
      <w:r>
        <w:rPr>
          <w:rFonts w:cs="FrankRuehl"/>
          <w:color w:val="000000"/>
          <w:sz w:val="28"/>
          <w:szCs w:val="28"/>
          <w:rtl/>
        </w:rPr>
        <w:t>.</w:t>
      </w:r>
    </w:p>
    <w:p w14:paraId="0ECED777" w14:textId="77777777" w:rsidR="00CA1752" w:rsidRDefault="00CA1752" w:rsidP="00CA1752">
      <w:pPr>
        <w:keepNext/>
        <w:tabs>
          <w:tab w:val="left" w:pos="702"/>
        </w:tabs>
        <w:spacing w:after="240"/>
        <w:ind w:left="-6"/>
        <w:rPr>
          <w:rFonts w:cs="FrankRuehl"/>
          <w:color w:val="000000"/>
          <w:sz w:val="28"/>
          <w:szCs w:val="28"/>
        </w:rPr>
      </w:pPr>
      <w:r>
        <w:rPr>
          <w:rFonts w:cs="FrankRuehl"/>
          <w:i/>
          <w:iCs/>
          <w:color w:val="000000"/>
          <w:sz w:val="28"/>
          <w:szCs w:val="28"/>
          <w:rtl/>
        </w:rPr>
        <w:t>ה(2)(1) הערכים החברתיים שנפגעו</w:t>
      </w:r>
    </w:p>
    <w:p w14:paraId="302CA8F4"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יידוי בקבוקי תבערה פוגע בשורה של ערכים, וביניהם חיי אדם, שלמות הגוף, שלום הנפש, שלמות הרכוש, וכן הסדר הציבורי (ראו </w:t>
      </w:r>
      <w:hyperlink r:id="rId52" w:history="1">
        <w:r w:rsidR="0074560B" w:rsidRPr="0074560B">
          <w:rPr>
            <w:rFonts w:ascii="FrankRuehl" w:hAnsi="FrankRuehl" w:cs="FrankRuehl"/>
            <w:color w:val="0000FF"/>
            <w:spacing w:val="10"/>
            <w:sz w:val="28"/>
            <w:szCs w:val="28"/>
            <w:u w:val="single"/>
            <w:shd w:val="clear" w:color="auto" w:fill="FFFFFF"/>
            <w:rtl/>
          </w:rPr>
          <w:t>ע"פ 8114/22</w:t>
        </w:r>
      </w:hyperlink>
      <w:r>
        <w:rPr>
          <w:rFonts w:ascii="FrankRuehl" w:hAnsi="FrankRuehl" w:cs="FrankRuehl"/>
          <w:color w:val="000000"/>
          <w:spacing w:val="10"/>
          <w:sz w:val="28"/>
          <w:szCs w:val="28"/>
          <w:shd w:val="clear" w:color="auto" w:fill="FFFFFF"/>
          <w:rtl/>
        </w:rPr>
        <w:t xml:space="preserve"> </w:t>
      </w:r>
      <w:r>
        <w:rPr>
          <w:rFonts w:cs="Miriam"/>
          <w:color w:val="000000"/>
          <w:rtl/>
        </w:rPr>
        <w:t>מדינת ישראל נ' ראזם</w:t>
      </w:r>
      <w:r>
        <w:rPr>
          <w:rFonts w:ascii="FrankRuehl" w:hAnsi="FrankRuehl" w:cs="FrankRuehl"/>
          <w:color w:val="000000"/>
          <w:spacing w:val="10"/>
          <w:sz w:val="28"/>
          <w:szCs w:val="28"/>
          <w:shd w:val="clear" w:color="auto" w:fill="FFFFFF"/>
          <w:rtl/>
        </w:rPr>
        <w:t>, פיסקה 17 (30.1.2023)</w:t>
      </w:r>
      <w:r>
        <w:rPr>
          <w:rFonts w:cs="FrankRuehl"/>
          <w:color w:val="000000"/>
          <w:sz w:val="28"/>
          <w:szCs w:val="28"/>
          <w:rtl/>
        </w:rPr>
        <w:t xml:space="preserve">; </w:t>
      </w:r>
      <w:hyperlink r:id="rId53" w:history="1">
        <w:r w:rsidR="0074560B" w:rsidRPr="0074560B">
          <w:rPr>
            <w:rFonts w:cs="FrankRuehl"/>
            <w:color w:val="0000FF"/>
            <w:sz w:val="28"/>
            <w:szCs w:val="28"/>
            <w:u w:val="single"/>
            <w:rtl/>
          </w:rPr>
          <w:t>ע"פ 6245/22</w:t>
        </w:r>
      </w:hyperlink>
      <w:r>
        <w:rPr>
          <w:rFonts w:cs="FrankRuehl"/>
          <w:color w:val="000000"/>
          <w:sz w:val="28"/>
          <w:szCs w:val="28"/>
          <w:rtl/>
        </w:rPr>
        <w:t xml:space="preserve"> </w:t>
      </w:r>
      <w:r>
        <w:rPr>
          <w:rFonts w:cs="Miriam"/>
          <w:color w:val="000000"/>
          <w:rtl/>
        </w:rPr>
        <w:t>מדינת ישראל נ' פלוני</w:t>
      </w:r>
      <w:r>
        <w:rPr>
          <w:rFonts w:cs="FrankRuehl"/>
          <w:color w:val="000000"/>
          <w:sz w:val="28"/>
          <w:szCs w:val="28"/>
          <w:rtl/>
        </w:rPr>
        <w:t xml:space="preserve">, פיסקה 7 (8.11.2022)‏‏ כחלק מסקירת גזר דינו של בית משפט המחוזי שם; </w:t>
      </w:r>
      <w:hyperlink r:id="rId54" w:history="1">
        <w:r w:rsidR="0074560B" w:rsidRPr="0074560B">
          <w:rPr>
            <w:rFonts w:cs="FrankRuehl"/>
            <w:color w:val="0000FF"/>
            <w:sz w:val="28"/>
            <w:szCs w:val="28"/>
            <w:u w:val="single"/>
            <w:rtl/>
          </w:rPr>
          <w:t>בש"פ 9202/09</w:t>
        </w:r>
      </w:hyperlink>
      <w:r>
        <w:rPr>
          <w:rFonts w:cs="FrankRuehl"/>
          <w:color w:val="000000"/>
          <w:sz w:val="28"/>
          <w:szCs w:val="28"/>
          <w:rtl/>
        </w:rPr>
        <w:t xml:space="preserve"> </w:t>
      </w:r>
      <w:r>
        <w:rPr>
          <w:rFonts w:cs="Miriam"/>
          <w:color w:val="000000"/>
          <w:rtl/>
        </w:rPr>
        <w:t>עבאסייה נ' מדינת ישראל</w:t>
      </w:r>
      <w:r>
        <w:rPr>
          <w:rFonts w:cs="FrankRuehl"/>
          <w:color w:val="000000"/>
          <w:sz w:val="28"/>
          <w:szCs w:val="28"/>
          <w:rtl/>
        </w:rPr>
        <w:t xml:space="preserve"> (23.11.2009); </w:t>
      </w:r>
      <w:hyperlink r:id="rId55" w:history="1">
        <w:r w:rsidR="0074560B" w:rsidRPr="0074560B">
          <w:rPr>
            <w:rFonts w:cs="FrankRuehl"/>
            <w:color w:val="0000FF"/>
            <w:sz w:val="28"/>
            <w:szCs w:val="28"/>
            <w:u w:val="single"/>
            <w:rtl/>
          </w:rPr>
          <w:t>ע"פ 5590/16</w:t>
        </w:r>
      </w:hyperlink>
      <w:r>
        <w:rPr>
          <w:rFonts w:cs="FrankRuehl"/>
          <w:color w:val="000000"/>
          <w:sz w:val="28"/>
          <w:szCs w:val="28"/>
          <w:rtl/>
        </w:rPr>
        <w:t xml:space="preserve"> </w:t>
      </w:r>
      <w:r>
        <w:rPr>
          <w:rFonts w:cs="Miriam"/>
          <w:color w:val="000000"/>
          <w:rtl/>
        </w:rPr>
        <w:t>נתשה נ' מדינת ישראל</w:t>
      </w:r>
      <w:r>
        <w:rPr>
          <w:rFonts w:cs="FrankRuehl"/>
          <w:color w:val="000000"/>
          <w:sz w:val="28"/>
          <w:szCs w:val="28"/>
          <w:rtl/>
        </w:rPr>
        <w:t>, פיסקה 36 (17.1.2018)‏‏). כאשר מדובר ביידוי בקבוקי תבערה לעבר בית, הפגיעה הכללית בערך של שלום הנפש לובשת ביטוי קונקרטי יותר של פגיעה בתחושת הביטחון האישי אשר אמור אדם לחוש בביתו הוא מבצרו.</w:t>
      </w:r>
    </w:p>
    <w:p w14:paraId="3C5A5F60"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המניע הגזעני לא רק מגביר את חומרת המעשה, כאמור להלן, אלא מביא לפגיעה נפרדת בערכים נוספים, ובהם לכידות חברתית, ועלול להגביר מתח ושנאה בין קבוצות שונות (ראו והשוו </w:t>
      </w:r>
      <w:hyperlink r:id="rId56" w:history="1">
        <w:r w:rsidR="0074560B" w:rsidRPr="0074560B">
          <w:rPr>
            <w:rFonts w:cs="FrankRuehl"/>
            <w:color w:val="0000FF"/>
            <w:sz w:val="28"/>
            <w:szCs w:val="28"/>
            <w:u w:val="single"/>
            <w:rtl/>
          </w:rPr>
          <w:t>ע"פ 5794/15</w:t>
        </w:r>
      </w:hyperlink>
      <w:r>
        <w:rPr>
          <w:rFonts w:cs="FrankRuehl"/>
          <w:color w:val="000000"/>
          <w:sz w:val="28"/>
          <w:szCs w:val="28"/>
          <w:rtl/>
        </w:rPr>
        <w:t xml:space="preserve"> </w:t>
      </w:r>
      <w:r>
        <w:rPr>
          <w:rFonts w:cs="Miriam"/>
          <w:color w:val="000000"/>
          <w:rtl/>
        </w:rPr>
        <w:t>מדינת ישראל נ' טויטו</w:t>
      </w:r>
      <w:r>
        <w:rPr>
          <w:rFonts w:cs="FrankRuehl"/>
          <w:color w:val="000000"/>
          <w:sz w:val="28"/>
          <w:szCs w:val="28"/>
          <w:rtl/>
        </w:rPr>
        <w:t>, פיסקה 14 (31.1.2016)).</w:t>
      </w:r>
    </w:p>
    <w:p w14:paraId="7209AB55"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מידת הפגיעה בערכים הנזכרים נגזרת מנסיבות ביצוע העבירה, כאמור להלן.</w:t>
      </w:r>
    </w:p>
    <w:p w14:paraId="77FEC453" w14:textId="77777777" w:rsidR="00CA1752" w:rsidRDefault="00CA1752" w:rsidP="00CA1752">
      <w:pPr>
        <w:tabs>
          <w:tab w:val="left" w:pos="702"/>
        </w:tabs>
        <w:spacing w:after="240"/>
        <w:ind w:left="-7"/>
        <w:rPr>
          <w:rFonts w:cs="FrankRuehl"/>
          <w:i/>
          <w:iCs/>
          <w:color w:val="000000"/>
          <w:sz w:val="28"/>
          <w:szCs w:val="28"/>
        </w:rPr>
      </w:pPr>
      <w:r>
        <w:rPr>
          <w:rFonts w:cs="FrankRuehl"/>
          <w:i/>
          <w:iCs/>
          <w:color w:val="000000"/>
          <w:sz w:val="28"/>
          <w:szCs w:val="28"/>
          <w:rtl/>
        </w:rPr>
        <w:t>ה(2)(2) נסיבות ביצוע העבירה</w:t>
      </w:r>
    </w:p>
    <w:p w14:paraId="03BEAC73"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Pr>
      </w:pPr>
      <w:bookmarkStart w:id="8" w:name="_Ref121744398"/>
      <w:r>
        <w:rPr>
          <w:rFonts w:cs="FrankRuehl"/>
          <w:color w:val="000000"/>
          <w:sz w:val="28"/>
          <w:szCs w:val="28"/>
          <w:rtl/>
        </w:rPr>
        <w:t>מבחינת נסיבות ביצוע העבירה (</w:t>
      </w:r>
      <w:hyperlink r:id="rId57" w:history="1">
        <w:r w:rsidR="00207760" w:rsidRPr="00207760">
          <w:rPr>
            <w:rStyle w:val="Hyperlink"/>
            <w:rFonts w:cs="FrankRuehl"/>
            <w:sz w:val="28"/>
            <w:szCs w:val="28"/>
            <w:rtl/>
          </w:rPr>
          <w:t>סעיף 40ט</w:t>
        </w:r>
      </w:hyperlink>
      <w:r>
        <w:rPr>
          <w:rFonts w:cs="FrankRuehl"/>
          <w:color w:val="000000"/>
          <w:sz w:val="28"/>
          <w:szCs w:val="28"/>
          <w:rtl/>
        </w:rPr>
        <w:t xml:space="preserve"> ל</w:t>
      </w:r>
      <w:hyperlink r:id="rId58" w:history="1">
        <w:r w:rsidR="0074560B" w:rsidRPr="0074560B">
          <w:rPr>
            <w:rFonts w:cs="FrankRuehl"/>
            <w:color w:val="0000FF"/>
            <w:sz w:val="28"/>
            <w:szCs w:val="28"/>
            <w:u w:val="single"/>
            <w:rtl/>
          </w:rPr>
          <w:t>חוק העונשין</w:t>
        </w:r>
      </w:hyperlink>
      <w:r>
        <w:rPr>
          <w:rFonts w:cs="FrankRuehl"/>
          <w:color w:val="000000"/>
          <w:sz w:val="28"/>
          <w:szCs w:val="28"/>
          <w:rtl/>
        </w:rPr>
        <w:t>), הרי שמדובר במעשה מתוכנן שלצורך עשייתו הצטייד הנאשם בבקבוק תבערה וברעלה, אם כי לא עולה שהתכנון היה ארוך במיוחד. הנאשם ביצע את המעשה לבדו. הנזק שעלול היה להיגרם לחיים לגוף ולרכוש הוא כבד, וזאת נוכח העובדה שבקבוק התבערה הושלך מאזור סמוך ובאשמורת הבוקר, היינו בעת שדרי הבית נמים את שנתם. נראה שהנזק הנפשי שנגרם בפועל הוא משמעותי, כעולה מהצהרת הנפגע לגבי ההשפעה על שלומם הנפשי של בני הבית ובכלל זה ילדים רכים.</w:t>
      </w:r>
      <w:bookmarkEnd w:id="8"/>
      <w:r>
        <w:rPr>
          <w:rFonts w:cs="FrankRuehl"/>
          <w:color w:val="000000"/>
          <w:sz w:val="28"/>
          <w:szCs w:val="28"/>
          <w:rtl/>
        </w:rPr>
        <w:t xml:space="preserve"> גם המניע למעשה, שהוא כאמור היותם של דיירי הבית יהודים, והמטרה לפגוע בחייהם, מהווים נסיבה מחמירה, הן מבחינת הצורך בהרתעה והן מבחינת הפגיעה שהם משקפים בערכים נוספים, כאמור לעיל.</w:t>
      </w:r>
      <w:r>
        <w:rPr>
          <w:rStyle w:val="ab"/>
          <w:rFonts w:cs="FrankRuehl"/>
          <w:color w:val="000000"/>
          <w:sz w:val="28"/>
          <w:szCs w:val="28"/>
          <w:rtl/>
        </w:rPr>
        <w:footnoteReference w:id="1"/>
      </w:r>
      <w:r>
        <w:rPr>
          <w:rFonts w:cs="FrankRuehl"/>
          <w:color w:val="000000"/>
          <w:sz w:val="28"/>
          <w:szCs w:val="28"/>
          <w:rtl/>
        </w:rPr>
        <w:t xml:space="preserve"> הנאשם אמנם בגיר צעיר, אך לא נטען כי לא הייתה לו יכולת להבין את משמעות מעשהו או כי קיימות נסיבות חריגות אחרות בעניינו.</w:t>
      </w:r>
    </w:p>
    <w:p w14:paraId="44EA7AD7" w14:textId="77777777" w:rsidR="00CA1752" w:rsidRDefault="00CA1752" w:rsidP="00CA1752">
      <w:pPr>
        <w:keepNext/>
        <w:tabs>
          <w:tab w:val="left" w:pos="702"/>
        </w:tabs>
        <w:spacing w:after="240"/>
        <w:ind w:left="-6"/>
        <w:rPr>
          <w:rFonts w:cs="FrankRuehl"/>
          <w:i/>
          <w:iCs/>
          <w:color w:val="000000"/>
          <w:sz w:val="28"/>
          <w:szCs w:val="28"/>
        </w:rPr>
      </w:pPr>
      <w:r>
        <w:rPr>
          <w:rFonts w:cs="FrankRuehl"/>
          <w:i/>
          <w:iCs/>
          <w:color w:val="000000"/>
          <w:sz w:val="28"/>
          <w:szCs w:val="28"/>
          <w:rtl/>
        </w:rPr>
        <w:t>ה(2)(3) מדיניות הענישה הנהוגה</w:t>
      </w:r>
    </w:p>
    <w:p w14:paraId="72775362"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העונש המרבי לעבירת נשיאת הנשק שבה הורשע הנאשם הוא עשר שנות מאסר; העונש המרבי לעבירת ניסיון הצתה בנסיבות מחמירות הוא עשרים שנות מאסר; והעונש המרבי על ניסיון היזק בזדון ממניע גזעני הוא שש שנות מאסר.</w:t>
      </w:r>
    </w:p>
    <w:p w14:paraId="66C6C92A"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יש גם לציין כי על פי הוראת השעה </w:t>
      </w:r>
      <w:hyperlink r:id="rId59" w:history="1">
        <w:r w:rsidR="00207760" w:rsidRPr="00207760">
          <w:rPr>
            <w:rStyle w:val="Hyperlink"/>
            <w:rFonts w:cs="FrankRuehl"/>
            <w:sz w:val="28"/>
            <w:szCs w:val="28"/>
            <w:rtl/>
          </w:rPr>
          <w:t>שבסעיף 144(ז)</w:t>
        </w:r>
      </w:hyperlink>
      <w:r>
        <w:rPr>
          <w:rFonts w:cs="FrankRuehl"/>
          <w:color w:val="000000"/>
          <w:sz w:val="28"/>
          <w:szCs w:val="28"/>
          <w:rtl/>
        </w:rPr>
        <w:t>, העונש על עבירות נשק המנויות בסעיף, ובכללן עבירת נשיאת הנשק, לא יפחת מרבע מן העונש המרבי, בהעדר טעמים מיוחדים שיירשמו. עם זאת, אין הכרח שכל העונש יהיה דווקא בדרך של מאסר בפועל.</w:t>
      </w:r>
    </w:p>
    <w:p w14:paraId="7320461E"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Pr>
      </w:pPr>
      <w:bookmarkStart w:id="9" w:name="_Ref121302769"/>
      <w:bookmarkStart w:id="10" w:name="_Ref135229051"/>
      <w:r>
        <w:rPr>
          <w:rFonts w:cs="FrankRuehl"/>
          <w:color w:val="000000"/>
          <w:sz w:val="28"/>
          <w:szCs w:val="28"/>
          <w:rtl/>
        </w:rPr>
        <w:t xml:space="preserve">הנאשם הורשע כאמור בניסיון הצתה במטרה לפגוע בבני אדם, שכן מעצם טיבו בקבוק תבערה מיועד לגרום לשריפה. </w:t>
      </w:r>
      <w:bookmarkEnd w:id="9"/>
      <w:r>
        <w:rPr>
          <w:rFonts w:cs="FrankRuehl"/>
          <w:sz w:val="28"/>
          <w:szCs w:val="28"/>
          <w:rtl/>
        </w:rPr>
        <w:t>בית המשפט העליון עמד לא אחת על הייחודיות של תכונות האש והמסוכנות הרבה הגלומה בה. כך למשל צוין כי "האש היא אכזרית. היא חמקמקה. היא עוצמתית. הסכנה הטמונה בה היא רבה, ותוצאותיה אין לשער. האש יכולה להתפשט תוך שניות ודקות. היא יכולה לגרום לנזק אדיר לרכוש. היא יכולה לגרום למוות..." (</w:t>
      </w:r>
      <w:hyperlink r:id="rId60" w:history="1">
        <w:r w:rsidR="0074560B" w:rsidRPr="0074560B">
          <w:rPr>
            <w:rFonts w:cs="FrankRuehl"/>
            <w:color w:val="0000FF"/>
            <w:sz w:val="28"/>
            <w:szCs w:val="28"/>
            <w:u w:val="single"/>
            <w:rtl/>
          </w:rPr>
          <w:t>ע"פ 4743/22</w:t>
        </w:r>
      </w:hyperlink>
      <w:r>
        <w:rPr>
          <w:rFonts w:cs="FrankRuehl"/>
          <w:sz w:val="28"/>
          <w:szCs w:val="28"/>
          <w:rtl/>
        </w:rPr>
        <w:t xml:space="preserve"> </w:t>
      </w:r>
      <w:r>
        <w:rPr>
          <w:rFonts w:ascii="Miriam" w:hAnsi="Miriam" w:cs="Miriam"/>
          <w:color w:val="000000"/>
          <w:sz w:val="18"/>
          <w:rtl/>
        </w:rPr>
        <w:t>מדינת ישראל נ' פלוני</w:t>
      </w:r>
      <w:r>
        <w:rPr>
          <w:rFonts w:cs="FrankRuehl"/>
          <w:rtl/>
        </w:rPr>
        <w:t>,</w:t>
      </w:r>
      <w:r>
        <w:rPr>
          <w:rFonts w:cs="FrankRuehl"/>
          <w:sz w:val="28"/>
          <w:szCs w:val="28"/>
          <w:rtl/>
        </w:rPr>
        <w:t xml:space="preserve"> פיסקה 14 (17.8.2022)). </w:t>
      </w:r>
      <w:r>
        <w:rPr>
          <w:rFonts w:cs="FrankRuehl"/>
          <w:color w:val="000000"/>
          <w:sz w:val="28"/>
          <w:szCs w:val="28"/>
          <w:rtl/>
        </w:rPr>
        <w:t>בית המשפט אף עמד על כך שמעבר למדרג הקבוע בעבירת ההצתה עצמה, המתבטאת בקיומה של צורה מוחמרת שבה הורשע הנאשם, "ניתן להצביע על מדרגי ביניים של חומרה" התלויים בין היתר בשאלת המטרה לפגיעה, הנזק בפועל והנזק הפוטנציאלי כתוצאה מן המעשה (</w:t>
      </w:r>
      <w:hyperlink r:id="rId61" w:history="1">
        <w:r w:rsidR="0074560B" w:rsidRPr="0074560B">
          <w:rPr>
            <w:rFonts w:cs="FrankRuehl"/>
            <w:color w:val="0000FF"/>
            <w:sz w:val="28"/>
            <w:szCs w:val="28"/>
            <w:u w:val="single"/>
            <w:rtl/>
          </w:rPr>
          <w:t>ע"פ 4036/13</w:t>
        </w:r>
      </w:hyperlink>
      <w:r>
        <w:rPr>
          <w:rFonts w:ascii="Arial TUR" w:hAnsi="Arial TUR"/>
          <w:sz w:val="22"/>
          <w:rtl/>
        </w:rPr>
        <w:t xml:space="preserve"> </w:t>
      </w:r>
      <w:r>
        <w:rPr>
          <w:rFonts w:ascii="Miriam" w:hAnsi="Miriam" w:cs="Miriam"/>
          <w:sz w:val="18"/>
          <w:rtl/>
        </w:rPr>
        <w:t>אמארה</w:t>
      </w:r>
      <w:r>
        <w:rPr>
          <w:rFonts w:ascii="Miriam" w:hAnsi="Miriam" w:cs="Miriam"/>
          <w:rtl/>
        </w:rPr>
        <w:t xml:space="preserve"> </w:t>
      </w:r>
      <w:r>
        <w:rPr>
          <w:rFonts w:ascii="Miriam" w:hAnsi="Miriam" w:cs="Miriam"/>
          <w:sz w:val="18"/>
          <w:rtl/>
        </w:rPr>
        <w:t>נ' מדינת ישראל</w:t>
      </w:r>
      <w:r>
        <w:rPr>
          <w:rFonts w:ascii="Arial TUR" w:hAnsi="Arial TUR"/>
          <w:sz w:val="22"/>
          <w:rtl/>
        </w:rPr>
        <w:t xml:space="preserve">, </w:t>
      </w:r>
      <w:r>
        <w:rPr>
          <w:rFonts w:cs="FrankRuehl"/>
          <w:color w:val="000000"/>
          <w:sz w:val="28"/>
          <w:szCs w:val="28"/>
          <w:rtl/>
        </w:rPr>
        <w:t>פיסקה 6 (5.10.2014)). בראי "מדרגי ביניים" אלה, הרי שבמקרה שכאן למרבה המזל לא נגרם בפועל נזק גוף או רכוש, אולם המטרה הייתה כאמור לפגוע בתושבי הבית, והנזק הפוטנציאלי היה לא מבוטל, כפי שיפורט להלן.</w:t>
      </w:r>
    </w:p>
    <w:p w14:paraId="382EE263"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מעבר להתייחסות לעבירת ההצתה באופן כללי, בית המשפט העליון התייחס פעם אחר פעם לחומרה הגלומה ביידוי בקבוקי תבערה בכלל, ועל רקע גזעני-לאומני בפרט:</w:t>
      </w:r>
      <w:bookmarkEnd w:id="10"/>
    </w:p>
    <w:p w14:paraId="79AFC29C" w14:textId="77777777" w:rsidR="00CA1752" w:rsidRDefault="00CA1752" w:rsidP="00CA1752">
      <w:pPr>
        <w:tabs>
          <w:tab w:val="left" w:pos="702"/>
        </w:tabs>
        <w:spacing w:after="240"/>
        <w:ind w:left="720" w:right="1134"/>
        <w:jc w:val="both"/>
        <w:rPr>
          <w:rFonts w:cs="FrankRuehl"/>
          <w:color w:val="000000"/>
          <w:sz w:val="28"/>
          <w:szCs w:val="28"/>
        </w:rPr>
      </w:pPr>
      <w:r>
        <w:rPr>
          <w:rFonts w:cs="FrankRuehl"/>
          <w:color w:val="000000"/>
          <w:sz w:val="28"/>
          <w:szCs w:val="28"/>
          <w:rtl/>
        </w:rPr>
        <w:t xml:space="preserve">סוג עבירות זה, שעניינן בקבוקי תבערה, מחייב ענישה מחמירה. תוצאותיו של בקבוק תבערה, וכבר היו דברים מעולם, עלולות להיות קשות ביותר, וראוי אפוא כי ייצא הקול שהענישה בכגון דא לא תהא קלה. וכבר חזרתי והדגשתי בעבר שעל בתי המשפט "להעביר מסר חד משמעי ונוקב של הרתעה מפני מעשים אלו שחוזרים ונשנים לצערנו ולא פעם מסתיימים בפגיעה ממש", וכן כי במעשים אלו שמבוצעים על רקע אידיאולוגי-לאומני "נדחים שיקולים אחרים מפני שיקול ההרתעה". לפיכך, על יידוי בקבוקי תבערה העלולים לגרום להתלקחות רחבה ואף לפגיעה באדם, ראוי שתינתן ענישה הולמת. בהתחשב במסוכנות הרבה של העבירות הללו יש הכרח, אפוא, במדיניות של ענישה מכבידה על מנת להוקיע, להרתיע ולשרש מעשים שכאלה. מדיניות ענישה זו תבטא באופן הולם את ההגנה על הערך החברתי הנפגע כתוצאה מפעילות עבריינית זו - שמירה על ביטחון הציבור ושלטון החוק </w:t>
      </w:r>
    </w:p>
    <w:p w14:paraId="66C9C1EC" w14:textId="77777777" w:rsidR="00CA1752" w:rsidRDefault="00CA1752" w:rsidP="00CA1752">
      <w:pPr>
        <w:tabs>
          <w:tab w:val="left" w:pos="702"/>
        </w:tabs>
        <w:spacing w:after="240"/>
        <w:ind w:left="720" w:right="1134"/>
        <w:jc w:val="both"/>
        <w:rPr>
          <w:rFonts w:cs="FrankRuehl"/>
          <w:color w:val="000000"/>
          <w:sz w:val="28"/>
          <w:szCs w:val="28"/>
          <w:rtl/>
        </w:rPr>
      </w:pPr>
      <w:r>
        <w:rPr>
          <w:rFonts w:cs="FrankRuehl"/>
          <w:color w:val="000000"/>
          <w:sz w:val="28"/>
          <w:szCs w:val="28"/>
          <w:rtl/>
        </w:rPr>
        <w:t>(</w:t>
      </w:r>
      <w:hyperlink r:id="rId62" w:history="1">
        <w:r w:rsidR="0074560B" w:rsidRPr="0074560B">
          <w:rPr>
            <w:rFonts w:cs="FrankRuehl"/>
            <w:color w:val="0000FF"/>
            <w:sz w:val="28"/>
            <w:szCs w:val="28"/>
            <w:u w:val="single"/>
            <w:rtl/>
          </w:rPr>
          <w:t>ע"פ 2337/13</w:t>
        </w:r>
      </w:hyperlink>
      <w:r>
        <w:rPr>
          <w:rFonts w:cs="FrankRuehl"/>
          <w:color w:val="000000"/>
          <w:sz w:val="28"/>
          <w:szCs w:val="28"/>
          <w:rtl/>
        </w:rPr>
        <w:t xml:space="preserve"> </w:t>
      </w:r>
      <w:r>
        <w:rPr>
          <w:rFonts w:cs="Miriam"/>
          <w:color w:val="000000"/>
          <w:rtl/>
        </w:rPr>
        <w:t>קואסמה נ' מדינת ישראל</w:t>
      </w:r>
      <w:r>
        <w:rPr>
          <w:rFonts w:cs="FrankRuehl"/>
          <w:color w:val="000000"/>
          <w:sz w:val="28"/>
          <w:szCs w:val="28"/>
          <w:rtl/>
        </w:rPr>
        <w:t xml:space="preserve">, פיסקה 12 (16.9.2013)‏ בהשמטת אסמכתאות‏; ראו גם </w:t>
      </w:r>
      <w:hyperlink r:id="rId63" w:history="1">
        <w:r w:rsidR="0074560B" w:rsidRPr="0074560B">
          <w:rPr>
            <w:rFonts w:cs="FrankRuehl"/>
            <w:color w:val="0000FF"/>
            <w:sz w:val="28"/>
            <w:szCs w:val="28"/>
            <w:u w:val="single"/>
            <w:rtl/>
          </w:rPr>
          <w:t>ע"פ 3708/21</w:t>
        </w:r>
      </w:hyperlink>
      <w:r>
        <w:rPr>
          <w:rFonts w:cs="FrankRuehl"/>
          <w:color w:val="000000"/>
          <w:sz w:val="28"/>
          <w:szCs w:val="28"/>
          <w:rtl/>
        </w:rPr>
        <w:t xml:space="preserve"> </w:t>
      </w:r>
      <w:r>
        <w:rPr>
          <w:rFonts w:cs="Miriam"/>
          <w:color w:val="000000"/>
          <w:rtl/>
        </w:rPr>
        <w:t>פלוני נ' מדינת ישראל</w:t>
      </w:r>
      <w:r>
        <w:rPr>
          <w:rFonts w:cs="FrankRuehl"/>
          <w:color w:val="000000"/>
          <w:sz w:val="28"/>
          <w:szCs w:val="28"/>
          <w:rtl/>
        </w:rPr>
        <w:t xml:space="preserve">, פיסקה 13 (13.7.2021); </w:t>
      </w:r>
      <w:hyperlink r:id="rId64" w:history="1">
        <w:r w:rsidR="0074560B" w:rsidRPr="0074560B">
          <w:rPr>
            <w:rFonts w:cs="FrankRuehl"/>
            <w:color w:val="0000FF"/>
            <w:sz w:val="28"/>
            <w:szCs w:val="28"/>
            <w:u w:val="single"/>
            <w:rtl/>
          </w:rPr>
          <w:t>ע"פ 3511/17</w:t>
        </w:r>
      </w:hyperlink>
      <w:r>
        <w:rPr>
          <w:rFonts w:cs="FrankRuehl"/>
          <w:color w:val="000000"/>
          <w:sz w:val="28"/>
          <w:szCs w:val="28"/>
          <w:rtl/>
        </w:rPr>
        <w:t xml:space="preserve"> </w:t>
      </w:r>
      <w:r>
        <w:rPr>
          <w:rFonts w:cs="Miriam"/>
          <w:color w:val="000000"/>
          <w:rtl/>
        </w:rPr>
        <w:t>מדינת ישראל נ' אבו ריא</w:t>
      </w:r>
      <w:r>
        <w:rPr>
          <w:rFonts w:cs="FrankRuehl"/>
          <w:color w:val="000000"/>
          <w:sz w:val="28"/>
          <w:szCs w:val="28"/>
          <w:rtl/>
        </w:rPr>
        <w:t>, פיסקה 17 (17.9.2017)).</w:t>
      </w:r>
    </w:p>
    <w:p w14:paraId="65216043" w14:textId="77777777" w:rsidR="00CA1752" w:rsidRDefault="00CA1752" w:rsidP="00CA1752">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כמו כן צוין שיש להתייחס אל בקבוקי תבערה כאל </w:t>
      </w:r>
      <w:r>
        <w:rPr>
          <w:rFonts w:ascii="Arial TUR" w:hAnsi="Arial TUR" w:cs="FrankRuehl"/>
          <w:spacing w:val="10"/>
          <w:sz w:val="22"/>
          <w:szCs w:val="28"/>
          <w:rtl/>
        </w:rPr>
        <w:t>"נשק חם לכל דבר ועניין"</w:t>
      </w:r>
      <w:r>
        <w:rPr>
          <w:rFonts w:cs="FrankRuehl"/>
          <w:color w:val="000000"/>
          <w:sz w:val="28"/>
          <w:szCs w:val="28"/>
          <w:rtl/>
        </w:rPr>
        <w:t xml:space="preserve"> (</w:t>
      </w:r>
      <w:hyperlink r:id="rId65" w:history="1">
        <w:r w:rsidR="0074560B" w:rsidRPr="0074560B">
          <w:rPr>
            <w:rFonts w:cs="FrankRuehl"/>
            <w:color w:val="0000FF"/>
            <w:sz w:val="28"/>
            <w:szCs w:val="28"/>
            <w:u w:val="single"/>
            <w:rtl/>
          </w:rPr>
          <w:t>ע"פ 4400/13</w:t>
        </w:r>
      </w:hyperlink>
      <w:r>
        <w:rPr>
          <w:rFonts w:cs="FrankRuehl"/>
          <w:color w:val="000000"/>
          <w:sz w:val="28"/>
          <w:szCs w:val="28"/>
          <w:rtl/>
        </w:rPr>
        <w:t xml:space="preserve"> </w:t>
      </w:r>
      <w:r>
        <w:rPr>
          <w:rFonts w:cs="Miriam"/>
          <w:color w:val="000000"/>
          <w:rtl/>
        </w:rPr>
        <w:t>עבאסי נ' מדינת ישראל</w:t>
      </w:r>
      <w:r>
        <w:rPr>
          <w:rFonts w:cs="FrankRuehl"/>
          <w:color w:val="000000"/>
          <w:sz w:val="28"/>
          <w:szCs w:val="28"/>
          <w:rtl/>
        </w:rPr>
        <w:t xml:space="preserve">, פיסקה 48 (3.2.2014); </w:t>
      </w:r>
      <w:hyperlink r:id="rId66" w:history="1">
        <w:r w:rsidR="0074560B" w:rsidRPr="0074560B">
          <w:rPr>
            <w:rFonts w:cs="FrankRuehl"/>
            <w:color w:val="0000FF"/>
            <w:sz w:val="28"/>
            <w:szCs w:val="28"/>
            <w:u w:val="single"/>
            <w:rtl/>
          </w:rPr>
          <w:t>ע"פ 2206/16</w:t>
        </w:r>
      </w:hyperlink>
      <w:r>
        <w:rPr>
          <w:rFonts w:cs="FrankRuehl"/>
          <w:color w:val="000000"/>
          <w:sz w:val="28"/>
          <w:szCs w:val="28"/>
          <w:rtl/>
        </w:rPr>
        <w:t xml:space="preserve"> </w:t>
      </w:r>
      <w:r>
        <w:rPr>
          <w:rFonts w:cs="Miriam"/>
          <w:color w:val="000000"/>
          <w:rtl/>
        </w:rPr>
        <w:t>פלוני נ' מדינת ישראל</w:t>
      </w:r>
      <w:r>
        <w:rPr>
          <w:rFonts w:cs="FrankRuehl"/>
          <w:color w:val="000000"/>
          <w:sz w:val="28"/>
          <w:szCs w:val="28"/>
          <w:rtl/>
        </w:rPr>
        <w:t xml:space="preserve">,  פיסקה 10 (3.11.2016)). לפיכך, מגמת ההחמרה הכללית הנוגעת לעבירות נשק אמורה לחול גם על עבירות הקשורות לבקבוקי תבערה (למגמה  זו ראו למשל </w:t>
      </w:r>
      <w:hyperlink r:id="rId67" w:history="1">
        <w:r w:rsidR="0074560B" w:rsidRPr="0074560B">
          <w:rPr>
            <w:rFonts w:cs="FrankRuehl"/>
            <w:color w:val="0000FF"/>
            <w:sz w:val="28"/>
            <w:szCs w:val="28"/>
            <w:u w:val="single"/>
            <w:rtl/>
          </w:rPr>
          <w:t>ע"פ 579/22</w:t>
        </w:r>
      </w:hyperlink>
      <w:r>
        <w:rPr>
          <w:rFonts w:cs="FrankRuehl"/>
          <w:color w:val="000000"/>
          <w:sz w:val="28"/>
          <w:szCs w:val="28"/>
          <w:rtl/>
        </w:rPr>
        <w:t xml:space="preserve"> </w:t>
      </w:r>
      <w:r>
        <w:rPr>
          <w:rFonts w:cs="Miriam"/>
          <w:color w:val="000000"/>
          <w:rtl/>
        </w:rPr>
        <w:t>מדינת ישראל נ' טחאינה</w:t>
      </w:r>
      <w:r>
        <w:rPr>
          <w:rtl/>
        </w:rPr>
        <w:t xml:space="preserve">, </w:t>
      </w:r>
      <w:r>
        <w:rPr>
          <w:rFonts w:cs="FrankRuehl"/>
          <w:color w:val="000000"/>
          <w:sz w:val="28"/>
          <w:szCs w:val="28"/>
          <w:rtl/>
        </w:rPr>
        <w:t xml:space="preserve">פיסקאות 16-15 (13.6.2022‏)‏; </w:t>
      </w:r>
      <w:hyperlink r:id="rId68" w:history="1">
        <w:r w:rsidR="0074560B" w:rsidRPr="0074560B">
          <w:rPr>
            <w:rFonts w:cs="FrankRuehl"/>
            <w:color w:val="0000FF"/>
            <w:sz w:val="28"/>
            <w:szCs w:val="28"/>
            <w:u w:val="single"/>
            <w:rtl/>
          </w:rPr>
          <w:t>ע"פ 6383/21</w:t>
        </w:r>
      </w:hyperlink>
      <w:r>
        <w:rPr>
          <w:rFonts w:cs="FrankRuehl"/>
          <w:color w:val="000000"/>
          <w:sz w:val="28"/>
          <w:szCs w:val="28"/>
          <w:rtl/>
        </w:rPr>
        <w:t xml:space="preserve"> </w:t>
      </w:r>
      <w:r>
        <w:rPr>
          <w:rFonts w:cs="Miriam"/>
          <w:color w:val="000000"/>
          <w:rtl/>
        </w:rPr>
        <w:t>קריף נ' מדינת ישראל</w:t>
      </w:r>
      <w:r>
        <w:rPr>
          <w:rFonts w:cs="FrankRuehl"/>
          <w:color w:val="000000"/>
          <w:sz w:val="28"/>
          <w:szCs w:val="28"/>
          <w:rtl/>
        </w:rPr>
        <w:t>, פיסקה 3 (13.2.22022)).</w:t>
      </w:r>
    </w:p>
    <w:p w14:paraId="4C76C8E6"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עיון בפסקי דין שניתנו ביחס ליידוי בקבוקי תבערה, הן אלה שאליהם הפנו הצדדים (שחלקם הם מלפני זמן) והן אחרים, מלמד כי הם פרושים על פני מנעד ענישה רחב. לצד נסיבות שאינן קשורות לביצוע העבירה, שמטבע הדברים שונות בעניינו של כל נאשם, נובע המנעד גם מנסיבות הקשורות לביצוע העבירה: האם מדובר היה במעשה של יחיד או בחבורה; כמות הבקבוקים שנזרקו; מידת הנזק הפוטנציאלי והנזק בפועל; האם המניע היה גזעני-לאומני; האם הנאשם הורשע גם ב"מעשה טרור"; ועוד.</w:t>
      </w:r>
    </w:p>
    <w:p w14:paraId="0406023D" w14:textId="77777777" w:rsidR="00CA1752" w:rsidRDefault="00CA1752" w:rsidP="00CA1752">
      <w:pPr>
        <w:tabs>
          <w:tab w:val="left" w:pos="702"/>
        </w:tabs>
        <w:spacing w:after="240" w:line="360" w:lineRule="auto"/>
        <w:ind w:left="-7"/>
        <w:jc w:val="both"/>
        <w:rPr>
          <w:rFonts w:cs="FrankRuehl"/>
          <w:color w:val="000000"/>
          <w:sz w:val="28"/>
          <w:szCs w:val="28"/>
        </w:rPr>
      </w:pPr>
      <w:r>
        <w:rPr>
          <w:rFonts w:cs="FrankRuehl"/>
          <w:color w:val="000000"/>
          <w:sz w:val="28"/>
          <w:szCs w:val="28"/>
          <w:rtl/>
        </w:rPr>
        <w:tab/>
        <w:t>כך, למשל, ב</w:t>
      </w:r>
      <w:hyperlink r:id="rId69" w:history="1">
        <w:r w:rsidR="0074560B" w:rsidRPr="0074560B">
          <w:rPr>
            <w:rFonts w:cs="FrankRuehl"/>
            <w:color w:val="0000FF"/>
            <w:sz w:val="28"/>
            <w:szCs w:val="28"/>
            <w:u w:val="single"/>
            <w:rtl/>
          </w:rPr>
          <w:t>ע"פ 6204/13</w:t>
        </w:r>
      </w:hyperlink>
      <w:r>
        <w:rPr>
          <w:rFonts w:cs="FrankRuehl"/>
          <w:color w:val="000000"/>
          <w:sz w:val="28"/>
          <w:szCs w:val="28"/>
          <w:rtl/>
        </w:rPr>
        <w:t xml:space="preserve"> </w:t>
      </w:r>
      <w:r>
        <w:rPr>
          <w:rFonts w:cs="Miriam"/>
          <w:color w:val="000000"/>
          <w:rtl/>
        </w:rPr>
        <w:t>סופר נ' מדינת ישראל</w:t>
      </w:r>
      <w:r>
        <w:rPr>
          <w:rFonts w:cs="FrankRuehl"/>
          <w:color w:val="000000"/>
          <w:sz w:val="28"/>
          <w:szCs w:val="28"/>
          <w:rtl/>
        </w:rPr>
        <w:t xml:space="preserve"> (28.1.2014) מדובר היה בנאשם שהכין בקבוק תבערה, ונסע עם אחרים לביתו של ערבי, שם השליך את הבקבוק לעבר גדר שהקיפה את הבית. הבקבוק התנפץ והצית חלק מהבד שעטף את הגדר. הערכאה הדיונית קבעה כי מתחם העונש ההולם נע בין 12 ל-36 חודשי מאסר, וגזרה על הנאשם עונש ברף התחתון של המתחם (לצד עונשים נוספים). בית המשפט העליון ציין כי המתחם הולם ולא התערב בגזר הדין על רקע נסיבותיו האישיות של הנאשם. עם זאת, נראה כי מאז אותו פסק דין חלה כאמור החמרה בענישה בעבירות נשק בכלל, ובעבירות הקשורות ליידוי בקבוק תבערה בפרט.</w:t>
      </w:r>
    </w:p>
    <w:p w14:paraId="75909A1A" w14:textId="77777777" w:rsidR="00CA1752" w:rsidRDefault="00CA1752" w:rsidP="00CA1752">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70" w:history="1">
        <w:r w:rsidR="0074560B" w:rsidRPr="0074560B">
          <w:rPr>
            <w:rFonts w:cs="FrankRuehl"/>
            <w:color w:val="0000FF"/>
            <w:sz w:val="28"/>
            <w:szCs w:val="28"/>
            <w:u w:val="single"/>
            <w:rtl/>
          </w:rPr>
          <w:t>ע"פ 2206/16</w:t>
        </w:r>
      </w:hyperlink>
      <w:r>
        <w:rPr>
          <w:rFonts w:cs="FrankRuehl"/>
          <w:color w:val="000000"/>
          <w:sz w:val="28"/>
          <w:szCs w:val="28"/>
          <w:rtl/>
        </w:rPr>
        <w:t xml:space="preserve"> הנזכר מדובר היה בשני קטינים כבני 15 שהכינו בקבוק תבערה והשליכו אותו אל מתחם מגורים של יהודים. הערכאה הדיונית גזרה על הנאשמים עונש של 18 חודשי מאסר בפועל, ובית המשפט העליון ציין כי שיקולים שיקומיים והמגמה החיובית של הקטינים לאחר גזר הדין מצדיקים להקל בעונשם והעמידו על 12 חודשים. המקרה שכאן חמור יותר שכן מדובר בבגיר וכפי שצוין התסקיר בעניינו אינו חיובי במלואו, אך מנגד המעשה לא בוצע בחבורה.</w:t>
      </w:r>
    </w:p>
    <w:p w14:paraId="4774BD46" w14:textId="77777777" w:rsidR="00CA1752" w:rsidRDefault="00CA1752" w:rsidP="00CA1752">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71" w:history="1">
        <w:r w:rsidR="0074560B" w:rsidRPr="0074560B">
          <w:rPr>
            <w:rFonts w:cs="FrankRuehl"/>
            <w:color w:val="0000FF"/>
            <w:sz w:val="28"/>
            <w:szCs w:val="28"/>
            <w:u w:val="single"/>
            <w:rtl/>
          </w:rPr>
          <w:t>ע"פ 6245/22</w:t>
        </w:r>
      </w:hyperlink>
      <w:r>
        <w:rPr>
          <w:rFonts w:cs="FrankRuehl"/>
          <w:color w:val="000000"/>
          <w:sz w:val="28"/>
          <w:szCs w:val="28"/>
          <w:rtl/>
        </w:rPr>
        <w:t xml:space="preserve"> הנזכר מדובר היה בקטין שיחד עם שני חברים יידו שלושה בקבוקי תבערה לעבר בית בדרכם לבית הספר, ממניע גזעני-לאומני. הקטין עשה זאת תוך הפרת תנאים מגבילים שהוטלו עליו בהליך נוסף, שכן צעד לבית הספר ללא ליווי של הוריו. אחד הבקבוקים התלקח בחצר, והשניים האחרים עברו את הגדר, כשאחד מהם נחת סמוך לדלת. הערכאה הדיונית הטילה על הקטין עונש של 14 חודשי מאסר בפועל, אולם בית המשפט העליון החמיר את עונשו והעמידו על 20 חודשים (לצד עונשים נוספים). יצוין כי המקרה שכאן חמור פחות במובן זה שיודה בקבוק תבערה אחד, הנאשם לא הורשע במעשה טרור, הוא נעדר עבר פלילי, ולא ביצע את המעשה תוך הפרת תנאי שחרור. מנגד, לא מדובר בקטין, על כל המשתמע מכך.</w:t>
      </w:r>
    </w:p>
    <w:p w14:paraId="648DFA92" w14:textId="77777777" w:rsidR="00CA1752" w:rsidRDefault="00CA1752" w:rsidP="00CA1752">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72" w:history="1">
        <w:r w:rsidR="0074560B" w:rsidRPr="0074560B">
          <w:rPr>
            <w:rFonts w:cs="FrankRuehl"/>
            <w:color w:val="0000FF"/>
            <w:sz w:val="28"/>
            <w:szCs w:val="28"/>
            <w:u w:val="single"/>
            <w:rtl/>
          </w:rPr>
          <w:t>ע"פ 3511/17</w:t>
        </w:r>
      </w:hyperlink>
      <w:r>
        <w:rPr>
          <w:rFonts w:cs="FrankRuehl"/>
          <w:color w:val="000000"/>
          <w:sz w:val="28"/>
          <w:szCs w:val="28"/>
          <w:rtl/>
        </w:rPr>
        <w:t xml:space="preserve"> הנזכר, הנאשמים הכינו שישה בקבוקי תבערה, הגיעו ליישוב יהודי, השליכו את הבקבוקים לעבר מתחם ריק מאדם וגרמו לשריפה ולנזק רכוש. הערכאה הדיונית קבעה כי מתחם העונש ההולם נע בין 6 ל-18 חודשי מאסר. בית המשפט העליון ציין כי המתחם "נוטה לקולא" ואף החמיר בעונש שנגזר והעמידו על 12 חודשי מאסר בפועל (לצד עונשים נוספים). במקרה שכאן מדובר אמנם בבקבוק אחד בלבד, אך הוא חמור יותר מבחינה זו שהבקבוק הושלך לעבר בית מגורים בעת שדייריו היו מצויים בתוכו וישנו שנת ישרים.</w:t>
      </w:r>
    </w:p>
    <w:p w14:paraId="35D2B291" w14:textId="77777777" w:rsidR="00CA1752" w:rsidRDefault="00CA1752" w:rsidP="00CA1752">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73" w:history="1">
        <w:r w:rsidR="0074560B" w:rsidRPr="0074560B">
          <w:rPr>
            <w:rFonts w:cs="FrankRuehl"/>
            <w:color w:val="0000FF"/>
            <w:sz w:val="28"/>
            <w:szCs w:val="28"/>
            <w:u w:val="single"/>
            <w:rtl/>
          </w:rPr>
          <w:t>ע"פ 9821/16</w:t>
        </w:r>
      </w:hyperlink>
      <w:r>
        <w:rPr>
          <w:rFonts w:cs="FrankRuehl"/>
          <w:color w:val="000000"/>
          <w:sz w:val="28"/>
          <w:szCs w:val="28"/>
          <w:rtl/>
        </w:rPr>
        <w:t xml:space="preserve"> </w:t>
      </w:r>
      <w:r>
        <w:rPr>
          <w:rFonts w:cs="Miriam"/>
          <w:color w:val="000000"/>
          <w:rtl/>
        </w:rPr>
        <w:t>פלוני נ' מדינת ישראל</w:t>
      </w:r>
      <w:r>
        <w:rPr>
          <w:rFonts w:cs="FrankRuehl"/>
          <w:color w:val="000000"/>
          <w:sz w:val="28"/>
          <w:szCs w:val="28"/>
          <w:rtl/>
        </w:rPr>
        <w:t xml:space="preserve"> (30.11.2017) מדובר היה בהליך מרובה אישומים ונאשמים, שהשמיני שבהם התייחס לאירוע של יידוי בקבוק תבערה לעבר בית של יהודים על ידי הנאשם, כאשר אדם נוסף יידה גם הוא בקבוק כאמור ושניים אחרים יידו אבנים. הערכאה הדיונית קבעה כי מתחם העונש ההולם עבור אישום זה הוא בין 2 ל-4 שנות מאסר. העונש שנגזר על הנאשם היה כולל בגין כלל האישומים, אך בית המשפט העליון לא הסתייג מן המתחם ולא התערב בעונש הכולל. המקרה שכאן חמור פחות במובן זה שמדובר על אירוע של יידוי בקבוק תבערה יחיד ושלא בחבורה.</w:t>
      </w:r>
    </w:p>
    <w:p w14:paraId="6F19445B" w14:textId="77777777" w:rsidR="00CA1752" w:rsidRDefault="00CA1752" w:rsidP="00CA1752">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74" w:history="1">
        <w:r w:rsidR="0074560B" w:rsidRPr="0074560B">
          <w:rPr>
            <w:rFonts w:cs="FrankRuehl"/>
            <w:color w:val="0000FF"/>
            <w:sz w:val="28"/>
            <w:szCs w:val="28"/>
            <w:u w:val="single"/>
            <w:rtl/>
          </w:rPr>
          <w:t>ע"פ 2090/22</w:t>
        </w:r>
      </w:hyperlink>
      <w:r>
        <w:rPr>
          <w:rFonts w:cs="FrankRuehl"/>
          <w:color w:val="000000"/>
          <w:sz w:val="28"/>
          <w:szCs w:val="28"/>
          <w:rtl/>
        </w:rPr>
        <w:t xml:space="preserve"> </w:t>
      </w:r>
      <w:r>
        <w:rPr>
          <w:rFonts w:cs="Miriam"/>
          <w:color w:val="000000"/>
          <w:rtl/>
        </w:rPr>
        <w:t>מדינת ישראל נ' פלוני</w:t>
      </w:r>
      <w:r>
        <w:rPr>
          <w:rFonts w:cs="FrankRuehl"/>
          <w:color w:val="000000"/>
          <w:sz w:val="28"/>
          <w:szCs w:val="28"/>
          <w:rtl/>
        </w:rPr>
        <w:t xml:space="preserve"> (29.5.2022) מדובר היה בקטין, שיחד עם אחרים יידה בשעת לילה מאוחרת בקבוקי תבערה לעבר עמדת משטרה, וכשהשוטרים יצאו לעברם השליכו עליהם בקבוק תבערה שנפל בסמוך אליהם וסיכן את חייהם. הערכאה הדיונית גזרה על הנאשם 15 חודשי מאסר בפועל, ובית המשפט העליון החמיר בעונשו והעמידו על 25 חודשים. המקרה שכאן חמור פחות מבחינה זו שיודה בקבוק אחד, שלא בחבורה, לא לעבר בני אדם באופן ישיר, הנאשם לא הורשע במעשה טרור והוא אינו בעל עבר פלילי. מנגד, הנאשם הוא בגיר ולא קטין, על כל המשתמע מכך.</w:t>
      </w:r>
    </w:p>
    <w:p w14:paraId="3760558A" w14:textId="77777777" w:rsidR="00CA1752" w:rsidRDefault="00CA1752" w:rsidP="00CA1752">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75" w:history="1">
        <w:r w:rsidR="0074560B" w:rsidRPr="0074560B">
          <w:rPr>
            <w:rFonts w:cs="FrankRuehl"/>
            <w:color w:val="0000FF"/>
            <w:sz w:val="28"/>
            <w:szCs w:val="28"/>
            <w:u w:val="single"/>
            <w:rtl/>
          </w:rPr>
          <w:t>ת"פ (מחוזי י-ם) 68368-12-19</w:t>
        </w:r>
      </w:hyperlink>
      <w:r>
        <w:rPr>
          <w:rFonts w:cs="FrankRuehl"/>
          <w:color w:val="000000"/>
          <w:sz w:val="28"/>
          <w:szCs w:val="28"/>
          <w:rtl/>
        </w:rPr>
        <w:t xml:space="preserve"> </w:t>
      </w:r>
      <w:r>
        <w:rPr>
          <w:rFonts w:cs="Miriam"/>
          <w:color w:val="000000"/>
          <w:rtl/>
        </w:rPr>
        <w:t>מדינת ישראל נ' סלאימה</w:t>
      </w:r>
      <w:r>
        <w:rPr>
          <w:rFonts w:cs="FrankRuehl"/>
          <w:color w:val="000000"/>
          <w:sz w:val="28"/>
          <w:szCs w:val="28"/>
          <w:rtl/>
        </w:rPr>
        <w:t xml:space="preserve"> (19.11.2020) מדובר היה במי שייצר בקבוק תבערה והשליכו אל עבר בית בשעת לילה מאוחרת, וזאת במקביל לאדם אחר שהשליך שני בקבוקים נוספים. בשל המעשים התלקחה אש בחצר הבית ובסמוך לרכב חונה. בית המשפט קבע כי מתחם העונש ההולם בגין מעשה זה נע בין 20 ל-42 חודשי מאסר, ואת עונשו של הנאשם, כבן 20, העמיד על 28 חודשי מאסר, בין היתר נוכח עבירה נוספת שבה הורשע וכן נוכח עברו הפלילי. במקרה שכאן יודה בקבוק אחד ושלא יחד עם אחר.</w:t>
      </w:r>
    </w:p>
    <w:p w14:paraId="05BE59FD" w14:textId="77777777" w:rsidR="00CA1752" w:rsidRDefault="00CA1752" w:rsidP="00CA1752">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76" w:history="1">
        <w:r w:rsidR="0074560B" w:rsidRPr="0074560B">
          <w:rPr>
            <w:rFonts w:cs="FrankRuehl"/>
            <w:color w:val="0000FF"/>
            <w:sz w:val="28"/>
            <w:szCs w:val="28"/>
            <w:u w:val="single"/>
            <w:rtl/>
          </w:rPr>
          <w:t>ת"פ (מחוזי י-ם) 37387-04-18</w:t>
        </w:r>
      </w:hyperlink>
      <w:r>
        <w:rPr>
          <w:rFonts w:cs="FrankRuehl"/>
          <w:color w:val="000000"/>
          <w:sz w:val="28"/>
          <w:szCs w:val="28"/>
          <w:rtl/>
        </w:rPr>
        <w:t xml:space="preserve"> </w:t>
      </w:r>
      <w:r>
        <w:rPr>
          <w:rFonts w:cs="Miriam"/>
          <w:color w:val="000000"/>
          <w:rtl/>
        </w:rPr>
        <w:t>מדינת ישראל נ' דחל אללה</w:t>
      </w:r>
      <w:r>
        <w:rPr>
          <w:rFonts w:cs="FrankRuehl"/>
          <w:color w:val="000000"/>
          <w:sz w:val="28"/>
          <w:szCs w:val="28"/>
          <w:rtl/>
        </w:rPr>
        <w:t xml:space="preserve"> (18.2.2019) מדובר היה במי שייצר עם אחרים בקבוקי תבערה ויידה אותם לעבר המרכז הרפואי הדסה הר הצופים בשתי הזדמנויות שונות, כאשר בכתב האישום לא יוחס לו מניע גזעני-לאומני. נקבע כי מתחם העונש ההולם נע בין 18 ל-36 חודשי מאסר בפועל, ונגזרו על הנאשם, כבן 18.5 בעת האירועים ונעדר עבר פלילי, 20 חודשי מאסר (לצד עונשים נוספים). במקרה שכאן מדובר על אירוע יחיד ומשך תכנונו היה ככל הנראה קצר יותר, אולם מנגד הנאשם ביצע אותו ממניע גזעני-לאומני.</w:t>
      </w:r>
    </w:p>
    <w:p w14:paraId="728F03FE" w14:textId="77777777" w:rsidR="00CA1752" w:rsidRDefault="00CA1752" w:rsidP="00CA1752">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גם ב</w:t>
      </w:r>
      <w:hyperlink r:id="rId77" w:history="1">
        <w:r w:rsidR="0074560B" w:rsidRPr="0074560B">
          <w:rPr>
            <w:rFonts w:cs="FrankRuehl"/>
            <w:color w:val="0000FF"/>
            <w:sz w:val="28"/>
            <w:szCs w:val="28"/>
            <w:u w:val="single"/>
            <w:rtl/>
          </w:rPr>
          <w:t>ת"פ (מחוזי י-ם) 7942-05-18</w:t>
        </w:r>
      </w:hyperlink>
      <w:r>
        <w:rPr>
          <w:rFonts w:cs="FrankRuehl"/>
          <w:color w:val="000000"/>
          <w:sz w:val="28"/>
          <w:szCs w:val="28"/>
          <w:rtl/>
        </w:rPr>
        <w:t xml:space="preserve"> </w:t>
      </w:r>
      <w:r>
        <w:rPr>
          <w:rFonts w:cs="Miriam"/>
          <w:color w:val="000000"/>
          <w:rtl/>
        </w:rPr>
        <w:t>מדינת ישראל נ' הנדי</w:t>
      </w:r>
      <w:r>
        <w:rPr>
          <w:rFonts w:cs="FrankRuehl"/>
          <w:color w:val="000000"/>
          <w:sz w:val="28"/>
          <w:szCs w:val="28"/>
          <w:rtl/>
        </w:rPr>
        <w:t xml:space="preserve"> (15.01.2019) מדובר היה במי שייצר עם אחרים בקבוקי תבערה ויידה אותם לעבר המרכז הרפואי הדסה הר הצופים, כאשר לא יוחס לו מניע גזעני-לאומני. בית המשפט קבע כי מתחם העונש ההולם נע בין 10 ל-30 חודשי מאסר בפועל, וגזר על הנאשם, כבן 20 בעל עבר פלילי משמעותי, 20 חודשי מאסר (בנוסף לעונשים נוספים, כאשר חלק מן העונש ירוצה בחופף לעונש קודם). בית משפט העליון דחה את ערעור הנאשם על גזר דין זה ועל גזר דין נוסף שניתן בעניינו, הדגיש את החומרה שביידוי בקבוקי תבערה וציין כי "העונשים הולמים ולוקחים בחשבון, בין היתר, את גילו הצעיר" של הנאשם (</w:t>
      </w:r>
      <w:hyperlink r:id="rId78" w:history="1">
        <w:r w:rsidR="0074560B" w:rsidRPr="0074560B">
          <w:rPr>
            <w:rFonts w:cs="FrankRuehl"/>
            <w:color w:val="0000FF"/>
            <w:sz w:val="28"/>
            <w:szCs w:val="28"/>
            <w:u w:val="single"/>
            <w:rtl/>
          </w:rPr>
          <w:t>ע"פ 2330/19</w:t>
        </w:r>
      </w:hyperlink>
      <w:r>
        <w:rPr>
          <w:rFonts w:cs="FrankRuehl"/>
          <w:color w:val="000000"/>
          <w:sz w:val="28"/>
          <w:szCs w:val="28"/>
          <w:rtl/>
        </w:rPr>
        <w:t xml:space="preserve"> </w:t>
      </w:r>
      <w:r>
        <w:rPr>
          <w:rFonts w:cs="Miriam"/>
          <w:color w:val="000000"/>
          <w:rtl/>
        </w:rPr>
        <w:t>הינדי נ' מדינת ישראל</w:t>
      </w:r>
      <w:r>
        <w:rPr>
          <w:rFonts w:cs="FrankRuehl"/>
          <w:color w:val="000000"/>
          <w:sz w:val="28"/>
          <w:szCs w:val="28"/>
          <w:rtl/>
        </w:rPr>
        <w:t xml:space="preserve"> (16.1.2020)). עם זאת, במקרה שכאן המעשים בוצעו כאמור ממניע גזעני-לאומני.</w:t>
      </w:r>
    </w:p>
    <w:p w14:paraId="7399133E" w14:textId="77777777" w:rsidR="00CA1752" w:rsidRDefault="00CA1752" w:rsidP="00CA1752">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79" w:history="1">
        <w:r w:rsidR="0074560B" w:rsidRPr="0074560B">
          <w:rPr>
            <w:rFonts w:cs="FrankRuehl"/>
            <w:color w:val="0000FF"/>
            <w:sz w:val="28"/>
            <w:szCs w:val="28"/>
            <w:u w:val="single"/>
            <w:rtl/>
          </w:rPr>
          <w:t>ת"פ (מחוזי י-ם) 35405-03-20</w:t>
        </w:r>
      </w:hyperlink>
      <w:r>
        <w:rPr>
          <w:rFonts w:cs="FrankRuehl"/>
          <w:color w:val="000000"/>
          <w:sz w:val="28"/>
          <w:szCs w:val="28"/>
          <w:rtl/>
        </w:rPr>
        <w:t xml:space="preserve"> </w:t>
      </w:r>
      <w:r>
        <w:rPr>
          <w:rFonts w:cs="Miriam"/>
          <w:color w:val="000000"/>
          <w:rtl/>
        </w:rPr>
        <w:t>מדינת ישראל נ' ראזם</w:t>
      </w:r>
      <w:r>
        <w:rPr>
          <w:rFonts w:cs="FrankRuehl"/>
          <w:color w:val="000000"/>
          <w:sz w:val="28"/>
          <w:szCs w:val="28"/>
          <w:rtl/>
        </w:rPr>
        <w:t xml:space="preserve"> (15.10.2020) אישר בית המשפט הסדר שכלל עונש של שלוש שנות מאסר בפועל לנאשם, שכמו במקרה שכאן יידה בקבוק תבערה דולק ואבנים בשעת לילה לעבר בית על רקע לאומני, בלא שנגרם נזק פיסי. יצוין כי הנאשם ביצע את המעשה בהיותו כבן 18. עם זאת, באותו מקרה ההרשעה הייתה גם במעשה טרור (הנאשם חזר בו מערעורו בהמלצת בית המשפט העליון, </w:t>
      </w:r>
      <w:hyperlink r:id="rId80" w:history="1">
        <w:r w:rsidR="0074560B" w:rsidRPr="0074560B">
          <w:rPr>
            <w:rFonts w:cs="FrankRuehl"/>
            <w:color w:val="0000FF"/>
            <w:sz w:val="28"/>
            <w:szCs w:val="28"/>
            <w:u w:val="single"/>
            <w:rtl/>
          </w:rPr>
          <w:t>ע"פ 8765/20</w:t>
        </w:r>
      </w:hyperlink>
      <w:r>
        <w:rPr>
          <w:rFonts w:cs="FrankRuehl"/>
          <w:color w:val="000000"/>
          <w:sz w:val="28"/>
          <w:szCs w:val="28"/>
          <w:rtl/>
        </w:rPr>
        <w:t>).</w:t>
      </w:r>
    </w:p>
    <w:p w14:paraId="528427FC" w14:textId="77777777" w:rsidR="00CA1752" w:rsidRDefault="00CA1752" w:rsidP="00CA1752">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81" w:history="1">
        <w:r w:rsidR="0074560B" w:rsidRPr="0074560B">
          <w:rPr>
            <w:rFonts w:cs="FrankRuehl"/>
            <w:color w:val="0000FF"/>
            <w:sz w:val="28"/>
            <w:szCs w:val="28"/>
            <w:u w:val="single"/>
            <w:rtl/>
          </w:rPr>
          <w:t>ת"פ (מחוזי י-ם) 40011-04-14</w:t>
        </w:r>
      </w:hyperlink>
      <w:r>
        <w:rPr>
          <w:rFonts w:cs="FrankRuehl"/>
          <w:color w:val="000000"/>
          <w:sz w:val="28"/>
          <w:szCs w:val="28"/>
          <w:rtl/>
        </w:rPr>
        <w:t xml:space="preserve"> </w:t>
      </w:r>
      <w:r>
        <w:rPr>
          <w:rFonts w:cs="Miriam"/>
          <w:color w:val="000000"/>
          <w:rtl/>
        </w:rPr>
        <w:t>מדינת ישראל נ' עביד</w:t>
      </w:r>
      <w:r>
        <w:rPr>
          <w:rFonts w:cs="FrankRuehl"/>
          <w:color w:val="000000"/>
          <w:sz w:val="28"/>
          <w:szCs w:val="28"/>
          <w:rtl/>
        </w:rPr>
        <w:t xml:space="preserve"> (21.9.2015) הפנה בית המשפט לפסיקה קודמת שבה בגין יידוי בקבוקי תבערה לעבר כלי רכב או בניין מגורים נקבע מתחם עונש הולם הנע בין 12 ל-40 חודשי מאסר בפועל, וציין כי במקרה שבו מדובר גם על יידוי בקבוקי תבערה לעבר בני אדם המתחם צריך לנוע בין 12 ל-50 חודשי מאסר בפועל. עם זאת, מדובר בפסיקה ישנה, וגם הנאשם עצמו אינו סבור שהרף התחתון של המתחם צריך להיות פחות מ-18 חודשים, ובצדק לטעמי.</w:t>
      </w:r>
    </w:p>
    <w:p w14:paraId="32FECF21" w14:textId="77777777" w:rsidR="00CA1752" w:rsidRDefault="00CA1752" w:rsidP="00CA1752">
      <w:pPr>
        <w:keepNext/>
        <w:tabs>
          <w:tab w:val="left" w:pos="702"/>
        </w:tabs>
        <w:spacing w:after="240"/>
        <w:rPr>
          <w:rFonts w:cs="FrankRuehl"/>
          <w:color w:val="000000"/>
          <w:sz w:val="28"/>
          <w:szCs w:val="28"/>
          <w:rtl/>
        </w:rPr>
      </w:pPr>
      <w:r>
        <w:rPr>
          <w:rFonts w:cs="FrankRuehl"/>
          <w:i/>
          <w:iCs/>
          <w:color w:val="000000"/>
          <w:sz w:val="28"/>
          <w:szCs w:val="28"/>
          <w:rtl/>
        </w:rPr>
        <w:t>ה(2)(4) המסקנה בעניין מתחם העונש ההולם למעשי הנאשם</w:t>
      </w:r>
    </w:p>
    <w:p w14:paraId="745D03FF"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על רקע הערכים החברתיים שנפגעו ומידת הפגיעה שבהם במקרה שכאן כעולה מן האמור לעיל; על רקע נסיבות ביצוע העבירה על ידי הנאשם; על רקע פסקי הדין שהובאו, לרבות הנסיבות לחומרא ולקולא בכל אחד מהם; ועל רקע מגמת ההחמרה הנמשכת בענישה בעבירות נשק בכלל וביחס ליידוי בקבוקי תבערה בפרט </w:t>
      </w:r>
      <w:r>
        <w:rPr>
          <w:rFonts w:ascii="FrankRuehl" w:hAnsi="FrankRuehl" w:cs="FrankRuehl"/>
          <w:color w:val="000000"/>
          <w:sz w:val="28"/>
          <w:szCs w:val="28"/>
          <w:rtl/>
        </w:rPr>
        <w:t>–</w:t>
      </w:r>
      <w:r>
        <w:rPr>
          <w:rFonts w:cs="FrankRuehl"/>
          <w:color w:val="000000"/>
          <w:sz w:val="28"/>
          <w:szCs w:val="28"/>
          <w:rtl/>
        </w:rPr>
        <w:t xml:space="preserve"> סבורני כי במקרה שכאן יש להעמיד את מתחם העונש ההולם למעשי הנאשם על בין 20 ל-36 חודשי מאסר בפועל.</w:t>
      </w:r>
      <w:r>
        <w:rPr>
          <w:rStyle w:val="ab"/>
          <w:rFonts w:cs="FrankRuehl"/>
          <w:color w:val="000000"/>
          <w:sz w:val="28"/>
          <w:szCs w:val="28"/>
          <w:rtl/>
        </w:rPr>
        <w:footnoteReference w:id="2"/>
      </w:r>
    </w:p>
    <w:p w14:paraId="2F6F33C4"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כמו כן בשים לב לפגיעה בדיירי הבית, סבורני כי המתחם אמור לכלול עונש של פיצוי.</w:t>
      </w:r>
    </w:p>
    <w:p w14:paraId="5821AFDB" w14:textId="77777777" w:rsidR="00CA1752" w:rsidRDefault="00CA1752" w:rsidP="00CA1752">
      <w:pPr>
        <w:keepNext/>
        <w:tabs>
          <w:tab w:val="left" w:pos="702"/>
        </w:tabs>
        <w:spacing w:after="240"/>
        <w:ind w:left="-6"/>
        <w:rPr>
          <w:rFonts w:cs="FrankRuehl"/>
          <w:color w:val="000000"/>
          <w:sz w:val="28"/>
          <w:szCs w:val="28"/>
        </w:rPr>
      </w:pPr>
      <w:r>
        <w:rPr>
          <w:rFonts w:cs="FrankRuehl"/>
          <w:color w:val="000000"/>
          <w:sz w:val="28"/>
          <w:szCs w:val="28"/>
          <w:rtl/>
        </w:rPr>
        <w:t xml:space="preserve">ה(3) </w:t>
      </w:r>
      <w:r>
        <w:rPr>
          <w:rFonts w:cs="FrankRuehl"/>
          <w:color w:val="000000"/>
          <w:sz w:val="28"/>
          <w:szCs w:val="28"/>
          <w:u w:val="single"/>
          <w:rtl/>
        </w:rPr>
        <w:t>נסיבות שאינן קשורות לביצוע העבירה</w:t>
      </w:r>
    </w:p>
    <w:p w14:paraId="1F64539B"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בגזירת עונשו של הנאשם בתוך המתחם יש להתחשב בנסיבות שאינן קשורות בביצוע העבירה (</w:t>
      </w:r>
      <w:hyperlink r:id="rId82" w:history="1">
        <w:r w:rsidR="00207760" w:rsidRPr="00207760">
          <w:rPr>
            <w:rStyle w:val="Hyperlink"/>
            <w:rFonts w:cs="FrankRuehl"/>
            <w:sz w:val="28"/>
            <w:szCs w:val="28"/>
            <w:rtl/>
          </w:rPr>
          <w:t>סעיף 40יא</w:t>
        </w:r>
      </w:hyperlink>
      <w:r>
        <w:rPr>
          <w:rFonts w:cs="FrankRuehl"/>
          <w:color w:val="000000"/>
          <w:sz w:val="28"/>
          <w:szCs w:val="28"/>
          <w:rtl/>
        </w:rPr>
        <w:t xml:space="preserve"> ל</w:t>
      </w:r>
      <w:hyperlink r:id="rId83" w:history="1">
        <w:r w:rsidR="0074560B" w:rsidRPr="0074560B">
          <w:rPr>
            <w:rFonts w:cs="FrankRuehl"/>
            <w:color w:val="0000FF"/>
            <w:sz w:val="28"/>
            <w:szCs w:val="28"/>
            <w:u w:val="single"/>
            <w:rtl/>
          </w:rPr>
          <w:t>חוק העונשין</w:t>
        </w:r>
      </w:hyperlink>
      <w:r>
        <w:rPr>
          <w:rFonts w:cs="FrankRuehl"/>
          <w:color w:val="000000"/>
          <w:sz w:val="28"/>
          <w:szCs w:val="28"/>
          <w:rtl/>
        </w:rPr>
        <w:t xml:space="preserve">). במקרה שכאן מדובר בצעיר כבן 19, המצוי בתחילת דרכו ונעדר עבר פלילי כלשהו והדבר רלוונטי גם לעניין הפגיעה של העונש בו. כמו כן לטעמי </w:t>
      </w:r>
      <w:r>
        <w:rPr>
          <w:rFonts w:cs="FrankRuehl"/>
          <w:color w:val="000000"/>
          <w:sz w:val="28"/>
          <w:szCs w:val="28"/>
          <w:u w:val="single"/>
          <w:rtl/>
        </w:rPr>
        <w:t>יש ליתן משקל ממשי</w:t>
      </w:r>
      <w:r>
        <w:rPr>
          <w:rFonts w:cs="FrankRuehl"/>
          <w:color w:val="000000"/>
          <w:sz w:val="28"/>
          <w:szCs w:val="28"/>
          <w:rtl/>
        </w:rPr>
        <w:t xml:space="preserve"> לכך שהנאשם נטל אחריות על מעשיו כבר בתחילת ההליך (וכפי שהוא ציין בצדק, בדיון השני בהליך), והביא לחיסכון במשאבים שיפוטיים ובמשאבי גורמי האכיפה.</w:t>
      </w:r>
    </w:p>
    <w:p w14:paraId="66E81C20"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מנגד, יש ליתן משקל להתרשמות שירות המבחן בנוגע למידה המוגבלת של הבנת הנאשם את ההשלכות החמורות של מעשיו, את הערכתו כי נשקף ממנו סיכון להישנות המעשים, ואת ההמלצה להטיל ענישה "מוחשית ומציבת גבולות ברורים" לצורך הרתעה. כמו כן יש להתחשב בגישה הכללית שלפיה בעבירות ממניע לאומני יש לתת בכורה לשיקולי ההרתעה (פיסקה </w:t>
      </w:r>
      <w:r w:rsidR="006A5294">
        <w:rPr>
          <w:rFonts w:ascii="FrankRuehl" w:hAnsi="FrankRuehl" w:cs="FrankRuehl"/>
          <w:color w:val="000000"/>
          <w:sz w:val="28"/>
          <w:szCs w:val="28"/>
          <w:rtl/>
        </w:rPr>
        <w:fldChar w:fldCharType="begin"/>
      </w:r>
      <w:r>
        <w:rPr>
          <w:rFonts w:ascii="FrankRuehl" w:hAnsi="FrankRuehl" w:cs="FrankRuehl"/>
          <w:color w:val="000000"/>
          <w:sz w:val="28"/>
          <w:szCs w:val="28"/>
          <w:rtl/>
        </w:rPr>
        <w:instrText xml:space="preserve"> </w:instrText>
      </w:r>
      <w:r>
        <w:rPr>
          <w:rFonts w:ascii="FrankRuehl" w:hAnsi="FrankRuehl" w:cs="FrankRuehl"/>
          <w:color w:val="000000"/>
          <w:sz w:val="28"/>
          <w:szCs w:val="28"/>
        </w:rPr>
        <w:instrText>REF</w:instrText>
      </w:r>
      <w:r>
        <w:rPr>
          <w:rFonts w:ascii="FrankRuehl" w:hAnsi="FrankRuehl" w:cs="FrankRuehl"/>
          <w:color w:val="000000"/>
          <w:sz w:val="28"/>
          <w:szCs w:val="28"/>
          <w:rtl/>
        </w:rPr>
        <w:instrText xml:space="preserve"> _</w:instrText>
      </w:r>
      <w:r>
        <w:rPr>
          <w:rFonts w:ascii="FrankRuehl" w:hAnsi="FrankRuehl" w:cs="FrankRuehl"/>
          <w:color w:val="000000"/>
          <w:sz w:val="28"/>
          <w:szCs w:val="28"/>
        </w:rPr>
        <w:instrText>Ref135229051 \r \h</w:instrText>
      </w:r>
      <w:r>
        <w:rPr>
          <w:rFonts w:ascii="FrankRuehl" w:hAnsi="FrankRuehl" w:cs="FrankRuehl"/>
          <w:color w:val="000000"/>
          <w:sz w:val="28"/>
          <w:szCs w:val="28"/>
          <w:rtl/>
        </w:rPr>
        <w:instrText xml:space="preserve"> </w:instrText>
      </w:r>
      <w:r>
        <w:rPr>
          <w:rFonts w:ascii="FrankRuehl" w:hAnsi="FrankRuehl" w:cs="FrankRuehl" w:hint="cs"/>
          <w:color w:val="000000"/>
          <w:sz w:val="28"/>
          <w:szCs w:val="28"/>
          <w:rtl/>
        </w:rPr>
        <w:instrText xml:space="preserve"> \* </w:instrText>
      </w:r>
      <w:r>
        <w:rPr>
          <w:rFonts w:ascii="FrankRuehl" w:hAnsi="FrankRuehl" w:cs="FrankRuehl"/>
          <w:color w:val="000000"/>
          <w:sz w:val="28"/>
          <w:szCs w:val="28"/>
        </w:rPr>
        <w:instrText>MERGEFORMAT</w:instrText>
      </w:r>
      <w:r>
        <w:rPr>
          <w:rFonts w:ascii="FrankRuehl" w:hAnsi="FrankRuehl" w:cs="FrankRuehl"/>
          <w:color w:val="000000"/>
          <w:sz w:val="28"/>
          <w:szCs w:val="28"/>
          <w:rtl/>
        </w:rPr>
        <w:instrText xml:space="preserve"> </w:instrText>
      </w:r>
      <w:r w:rsidR="006A5294">
        <w:rPr>
          <w:rFonts w:ascii="FrankRuehl" w:hAnsi="FrankRuehl" w:cs="FrankRuehl"/>
          <w:color w:val="000000"/>
          <w:sz w:val="28"/>
          <w:szCs w:val="28"/>
          <w:rtl/>
        </w:rPr>
      </w:r>
      <w:r w:rsidR="006A5294">
        <w:rPr>
          <w:rFonts w:ascii="FrankRuehl" w:hAnsi="FrankRuehl" w:cs="FrankRuehl"/>
          <w:color w:val="000000"/>
          <w:sz w:val="28"/>
          <w:szCs w:val="28"/>
          <w:rtl/>
        </w:rPr>
        <w:fldChar w:fldCharType="separate"/>
      </w:r>
      <w:r w:rsidR="00207760">
        <w:rPr>
          <w:rFonts w:ascii="FrankRuehl" w:hAnsi="FrankRuehl" w:cs="FrankRuehl"/>
          <w:color w:val="000000"/>
          <w:sz w:val="28"/>
          <w:szCs w:val="28"/>
          <w:rtl/>
        </w:rPr>
        <w:t>‏21</w:t>
      </w:r>
      <w:r w:rsidR="006A5294">
        <w:rPr>
          <w:rFonts w:ascii="FrankRuehl" w:hAnsi="FrankRuehl" w:cs="FrankRuehl"/>
          <w:color w:val="000000"/>
          <w:sz w:val="28"/>
          <w:szCs w:val="28"/>
          <w:rtl/>
        </w:rPr>
        <w:fldChar w:fldCharType="end"/>
      </w:r>
      <w:r>
        <w:rPr>
          <w:rFonts w:cs="FrankRuehl"/>
          <w:color w:val="000000"/>
          <w:sz w:val="28"/>
          <w:szCs w:val="28"/>
          <w:rtl/>
        </w:rPr>
        <w:t xml:space="preserve"> לעיל; </w:t>
      </w:r>
      <w:hyperlink r:id="rId84" w:history="1">
        <w:r w:rsidR="0074560B" w:rsidRPr="0074560B">
          <w:rPr>
            <w:rFonts w:cs="FrankRuehl"/>
            <w:color w:val="0000FF"/>
            <w:sz w:val="28"/>
            <w:szCs w:val="28"/>
            <w:u w:val="single"/>
            <w:rtl/>
          </w:rPr>
          <w:t>ע"פ 3982/22</w:t>
        </w:r>
      </w:hyperlink>
      <w:r>
        <w:rPr>
          <w:rFonts w:cs="FrankRuehl"/>
          <w:color w:val="000000"/>
          <w:sz w:val="28"/>
          <w:szCs w:val="28"/>
          <w:rtl/>
        </w:rPr>
        <w:t xml:space="preserve"> </w:t>
      </w:r>
      <w:r>
        <w:rPr>
          <w:rFonts w:cs="Miriam"/>
          <w:color w:val="000000"/>
          <w:rtl/>
        </w:rPr>
        <w:t>מדינת ישראל נ' חג'וג</w:t>
      </w:r>
      <w:r>
        <w:rPr>
          <w:rFonts w:cs="FrankRuehl"/>
          <w:color w:val="000000"/>
          <w:sz w:val="28"/>
          <w:szCs w:val="28"/>
          <w:rtl/>
        </w:rPr>
        <w:t>', פיסקה 11 (27.10.2022) ועוד רבים).</w:t>
      </w:r>
    </w:p>
    <w:p w14:paraId="718BE804"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באיזון בין השיקולים השונים, סבורני כי יש לגזור את עונשיו של הנאשם בחלק התחתון של המתחם, אך לא בתחתיתו ממש, ולהעמידו על 21 חודשי מאסר בפועל לצד עונשי מאסר על תנאי כאמור להלן.</w:t>
      </w:r>
    </w:p>
    <w:p w14:paraId="1F50CCFA"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כמו כן בשים לב לנזק לדיירי הבית, סבורני כי יש לחייב את הנאשם לשלם לנפגע פיצוי בסך של 10,000 ₪.</w:t>
      </w:r>
    </w:p>
    <w:p w14:paraId="79D45F78" w14:textId="77777777" w:rsidR="00CA1752" w:rsidRDefault="00CA1752" w:rsidP="00CA1752">
      <w:pPr>
        <w:keepNext/>
        <w:spacing w:after="240"/>
        <w:rPr>
          <w:rFonts w:cs="Miriam"/>
          <w:color w:val="000000"/>
        </w:rPr>
      </w:pPr>
      <w:r>
        <w:rPr>
          <w:rFonts w:cs="Miriam"/>
          <w:color w:val="000000"/>
          <w:rtl/>
        </w:rPr>
        <w:t>ו. סיכום</w:t>
      </w:r>
    </w:p>
    <w:p w14:paraId="635F77D3" w14:textId="77777777" w:rsidR="00CA1752" w:rsidRDefault="00CA1752" w:rsidP="00CA1752">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נוכח כל האמור, נגזרים בזאת על הנאשם העונשים הבאים:</w:t>
      </w:r>
    </w:p>
    <w:p w14:paraId="6084D5F5" w14:textId="77777777" w:rsidR="00CA1752" w:rsidRDefault="00CA1752" w:rsidP="00CA1752">
      <w:pPr>
        <w:numPr>
          <w:ilvl w:val="1"/>
          <w:numId w:val="1"/>
        </w:numPr>
        <w:tabs>
          <w:tab w:val="left" w:pos="702"/>
        </w:tabs>
        <w:spacing w:after="240" w:line="360" w:lineRule="auto"/>
        <w:jc w:val="both"/>
        <w:rPr>
          <w:rFonts w:cs="FrankRuehl"/>
          <w:color w:val="000000"/>
          <w:sz w:val="28"/>
          <w:szCs w:val="28"/>
        </w:rPr>
      </w:pPr>
      <w:r>
        <w:rPr>
          <w:rFonts w:cs="FrankRuehl"/>
          <w:color w:val="000000"/>
          <w:sz w:val="28"/>
          <w:szCs w:val="28"/>
          <w:rtl/>
        </w:rPr>
        <w:t>21 חודשי מאסר בפועל, שמהם ינוכו ימי מעצרו בגין ההליך שכאן.</w:t>
      </w:r>
    </w:p>
    <w:p w14:paraId="6310FEF4" w14:textId="77777777" w:rsidR="00CA1752" w:rsidRDefault="00CA1752" w:rsidP="00CA1752">
      <w:pPr>
        <w:numPr>
          <w:ilvl w:val="1"/>
          <w:numId w:val="1"/>
        </w:numPr>
        <w:tabs>
          <w:tab w:val="left" w:pos="702"/>
        </w:tabs>
        <w:spacing w:after="240" w:line="360" w:lineRule="auto"/>
        <w:jc w:val="both"/>
        <w:rPr>
          <w:rFonts w:cs="FrankRuehl"/>
          <w:color w:val="000000"/>
          <w:sz w:val="28"/>
          <w:szCs w:val="28"/>
        </w:rPr>
      </w:pPr>
      <w:r>
        <w:rPr>
          <w:rFonts w:cs="FrankRuehl"/>
          <w:color w:val="000000"/>
          <w:sz w:val="28"/>
          <w:szCs w:val="28"/>
          <w:rtl/>
        </w:rPr>
        <w:t>מאסר על-תנאי לתקופה של 12 חודשים למשך שלוש שנים מיום שחרורו. התנאי הוא שהנאשם לא יעבור עבירת אלימות, עבירת הצתה או עבירת נשק מסוג פשע.</w:t>
      </w:r>
    </w:p>
    <w:p w14:paraId="1E11C683" w14:textId="77777777" w:rsidR="00CA1752" w:rsidRDefault="00CA1752" w:rsidP="00CA1752">
      <w:pPr>
        <w:numPr>
          <w:ilvl w:val="1"/>
          <w:numId w:val="1"/>
        </w:numPr>
        <w:tabs>
          <w:tab w:val="left" w:pos="702"/>
        </w:tabs>
        <w:spacing w:after="240" w:line="360" w:lineRule="auto"/>
        <w:jc w:val="both"/>
        <w:rPr>
          <w:rFonts w:cs="FrankRuehl"/>
          <w:color w:val="000000"/>
          <w:sz w:val="28"/>
          <w:szCs w:val="28"/>
        </w:rPr>
      </w:pPr>
      <w:r>
        <w:rPr>
          <w:rFonts w:cs="FrankRuehl"/>
          <w:color w:val="000000"/>
          <w:sz w:val="28"/>
          <w:szCs w:val="28"/>
          <w:rtl/>
        </w:rPr>
        <w:t>מאסר על תנאי לתקופה של 6 חודשים למשך שנתיים מיום שחרורו. התנאי הוא שהנאשם לא יעבור עבירת אלימות או עבירת נשק מסוג עוון.</w:t>
      </w:r>
    </w:p>
    <w:p w14:paraId="2AF94A56" w14:textId="77777777" w:rsidR="00CA1752" w:rsidRDefault="0074560B" w:rsidP="00CA1752">
      <w:pPr>
        <w:numPr>
          <w:ilvl w:val="1"/>
          <w:numId w:val="1"/>
        </w:numPr>
        <w:tabs>
          <w:tab w:val="left" w:pos="702"/>
        </w:tabs>
        <w:spacing w:after="240" w:line="360" w:lineRule="auto"/>
        <w:jc w:val="both"/>
        <w:rPr>
          <w:rFonts w:cs="FrankRuehl"/>
          <w:color w:val="000000"/>
          <w:sz w:val="28"/>
          <w:szCs w:val="28"/>
        </w:rPr>
      </w:pPr>
      <w:r w:rsidRPr="0074560B">
        <w:rPr>
          <w:rFonts w:cs="FrankRuehl"/>
          <w:color w:val="FFFFFF"/>
          <w:sz w:val="2"/>
          <w:szCs w:val="2"/>
          <w:rtl/>
        </w:rPr>
        <w:t>5129371</w:t>
      </w:r>
      <w:r w:rsidR="00CA1752">
        <w:rPr>
          <w:rFonts w:cs="FrankRuehl"/>
          <w:color w:val="000000"/>
          <w:sz w:val="28"/>
          <w:szCs w:val="28"/>
          <w:rtl/>
        </w:rPr>
        <w:t>פיצוי בסך של 10,000 ₪. הפיצוי ישולם ב-5 תשלומים חודשיים שווים, החל מיום 10.8.23 ובכל 10 בחודש שלאחר מכן. לא ישולם אחד התשלומים במלואו ובמועדו תעמוד יתרת הסכום לפירעון מיידי.</w:t>
      </w:r>
    </w:p>
    <w:p w14:paraId="38A5884E" w14:textId="77777777" w:rsidR="00CA1752" w:rsidRDefault="0074560B" w:rsidP="00CA1752">
      <w:pPr>
        <w:numPr>
          <w:ilvl w:val="0"/>
          <w:numId w:val="1"/>
        </w:numPr>
        <w:tabs>
          <w:tab w:val="left" w:pos="702"/>
        </w:tabs>
        <w:spacing w:after="240" w:line="360" w:lineRule="auto"/>
        <w:ind w:left="-7" w:firstLine="0"/>
        <w:jc w:val="both"/>
        <w:rPr>
          <w:rFonts w:cs="FrankRuehl"/>
          <w:color w:val="000000"/>
          <w:sz w:val="28"/>
          <w:szCs w:val="28"/>
        </w:rPr>
      </w:pPr>
      <w:r w:rsidRPr="0074560B">
        <w:rPr>
          <w:rFonts w:cs="FrankRuehl"/>
          <w:color w:val="FFFFFF"/>
          <w:sz w:val="2"/>
          <w:szCs w:val="2"/>
          <w:rtl/>
        </w:rPr>
        <w:t>54678313</w:t>
      </w:r>
      <w:r w:rsidR="00CA1752">
        <w:rPr>
          <w:rFonts w:cs="FrankRuehl"/>
          <w:color w:val="000000"/>
          <w:sz w:val="28"/>
          <w:szCs w:val="28"/>
          <w:rtl/>
        </w:rPr>
        <w:t>ניתן לערער על פסק הדין בתוך 45 ימים.</w:t>
      </w:r>
    </w:p>
    <w:p w14:paraId="416AE19E" w14:textId="77777777" w:rsidR="00CA1752" w:rsidRPr="00DF41EF" w:rsidRDefault="00CA1752" w:rsidP="00CA1752">
      <w:pPr>
        <w:rPr>
          <w:rFonts w:ascii="Arial" w:hAnsi="Arial"/>
          <w:b/>
          <w:bCs/>
          <w:sz w:val="26"/>
          <w:szCs w:val="26"/>
          <w:rtl/>
        </w:rPr>
      </w:pPr>
    </w:p>
    <w:p w14:paraId="3C5E369A" w14:textId="77777777" w:rsidR="00CA1752" w:rsidRPr="000F2247" w:rsidRDefault="0074560B" w:rsidP="00CA1752">
      <w:pPr>
        <w:spacing w:line="360" w:lineRule="auto"/>
        <w:jc w:val="both"/>
        <w:rPr>
          <w:rFonts w:ascii="Arial" w:hAnsi="Arial"/>
          <w:b/>
          <w:bCs/>
          <w:sz w:val="26"/>
          <w:szCs w:val="26"/>
          <w:rtl/>
        </w:rPr>
      </w:pPr>
      <w:bookmarkStart w:id="12" w:name="Nitan"/>
      <w:r>
        <w:rPr>
          <w:rFonts w:ascii="Arial" w:hAnsi="Arial"/>
          <w:b/>
          <w:bCs/>
          <w:sz w:val="26"/>
          <w:szCs w:val="26"/>
          <w:rtl/>
        </w:rPr>
        <w:t xml:space="preserve">ניתן היום,  כ"ב סיוון תשפ"ג, 11 יוני 2023, במעמד הצדדים. </w:t>
      </w:r>
      <w:bookmarkEnd w:id="12"/>
      <w:r w:rsidR="00CA1752">
        <w:rPr>
          <w:rFonts w:ascii="Arial" w:hAnsi="Arial"/>
          <w:b/>
          <w:bCs/>
          <w:sz w:val="26"/>
          <w:szCs w:val="26"/>
          <w:rtl/>
        </w:rPr>
        <w:tab/>
      </w:r>
      <w:r w:rsidR="00CA1752">
        <w:rPr>
          <w:rFonts w:ascii="Arial" w:hAnsi="Arial"/>
          <w:b/>
          <w:bCs/>
          <w:sz w:val="26"/>
          <w:szCs w:val="26"/>
          <w:rtl/>
        </w:rPr>
        <w:tab/>
      </w:r>
      <w:r w:rsidR="00CA1752">
        <w:rPr>
          <w:rFonts w:ascii="Arial" w:hAnsi="Arial"/>
          <w:b/>
          <w:bCs/>
          <w:sz w:val="26"/>
          <w:szCs w:val="26"/>
          <w:rtl/>
        </w:rPr>
        <w:tab/>
      </w:r>
      <w:r w:rsidR="00CA1752">
        <w:rPr>
          <w:rFonts w:ascii="Arial" w:hAnsi="Arial"/>
          <w:b/>
          <w:bCs/>
          <w:sz w:val="26"/>
          <w:szCs w:val="26"/>
          <w:rtl/>
        </w:rPr>
        <w:tab/>
      </w:r>
      <w:r w:rsidR="00CA1752">
        <w:rPr>
          <w:rFonts w:ascii="Arial" w:hAnsi="Arial"/>
          <w:b/>
          <w:bCs/>
          <w:sz w:val="26"/>
          <w:szCs w:val="26"/>
          <w:rtl/>
        </w:rPr>
        <w:tab/>
      </w:r>
      <w:r w:rsidR="00CA1752">
        <w:rPr>
          <w:rFonts w:ascii="Arial" w:hAnsi="Arial"/>
          <w:b/>
          <w:bCs/>
          <w:sz w:val="26"/>
          <w:szCs w:val="26"/>
          <w:rtl/>
        </w:rPr>
        <w:tab/>
      </w:r>
      <w:r w:rsidR="00CA1752">
        <w:rPr>
          <w:rFonts w:ascii="Arial" w:hAnsi="Arial"/>
          <w:b/>
          <w:bCs/>
          <w:sz w:val="26"/>
          <w:szCs w:val="26"/>
          <w:rtl/>
        </w:rPr>
        <w:tab/>
      </w:r>
      <w:r w:rsidR="00CA1752">
        <w:rPr>
          <w:rFonts w:ascii="Arial" w:hAnsi="Arial" w:hint="cs"/>
          <w:b/>
          <w:bCs/>
          <w:sz w:val="26"/>
          <w:szCs w:val="26"/>
          <w:rtl/>
        </w:rPr>
        <w:t xml:space="preserve">         </w:t>
      </w:r>
    </w:p>
    <w:p w14:paraId="05618160" w14:textId="77777777" w:rsidR="00CA1752" w:rsidRPr="000F2247" w:rsidRDefault="00CA1752" w:rsidP="0074560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8ACE1AC" w14:textId="77777777" w:rsidR="00CA1752" w:rsidRPr="00207760" w:rsidRDefault="00207760" w:rsidP="00CA1752">
      <w:pPr>
        <w:jc w:val="center"/>
        <w:rPr>
          <w:rFonts w:ascii="Arial" w:hAnsi="Arial"/>
          <w:b/>
          <w:bCs/>
          <w:color w:val="FFFFFF"/>
          <w:sz w:val="2"/>
          <w:szCs w:val="2"/>
          <w:rtl/>
        </w:rPr>
      </w:pPr>
      <w:r w:rsidRPr="00207760">
        <w:rPr>
          <w:rFonts w:ascii="Arial" w:hAnsi="Arial"/>
          <w:b/>
          <w:bCs/>
          <w:color w:val="FFFFFF"/>
          <w:sz w:val="2"/>
          <w:szCs w:val="2"/>
          <w:rtl/>
        </w:rPr>
        <w:t>5129371</w:t>
      </w:r>
    </w:p>
    <w:p w14:paraId="6B5A33E3" w14:textId="77777777" w:rsidR="00DF7D65" w:rsidRPr="00207760" w:rsidRDefault="00207760" w:rsidP="0074560B">
      <w:pPr>
        <w:keepNext/>
        <w:rPr>
          <w:rFonts w:ascii="David" w:hAnsi="David"/>
          <w:color w:val="FFFFFF"/>
          <w:sz w:val="2"/>
          <w:szCs w:val="2"/>
          <w:rtl/>
        </w:rPr>
      </w:pPr>
      <w:r w:rsidRPr="00207760">
        <w:rPr>
          <w:rFonts w:ascii="David" w:hAnsi="David"/>
          <w:color w:val="FFFFFF"/>
          <w:sz w:val="2"/>
          <w:szCs w:val="2"/>
          <w:rtl/>
        </w:rPr>
        <w:t>54678313</w:t>
      </w:r>
    </w:p>
    <w:p w14:paraId="7E857257" w14:textId="77777777" w:rsidR="0074560B" w:rsidRDefault="0074560B" w:rsidP="0074560B">
      <w:pPr>
        <w:rPr>
          <w:rtl/>
        </w:rPr>
      </w:pPr>
    </w:p>
    <w:p w14:paraId="60805C94" w14:textId="77777777" w:rsidR="0074560B" w:rsidRDefault="0074560B" w:rsidP="0074560B">
      <w:pPr>
        <w:jc w:val="center"/>
        <w:rPr>
          <w:color w:val="0000FF"/>
          <w:u w:val="single"/>
        </w:rPr>
      </w:pPr>
      <w:hyperlink r:id="rId85" w:history="1">
        <w:r>
          <w:rPr>
            <w:color w:val="0000FF"/>
            <w:u w:val="single"/>
            <w:rtl/>
          </w:rPr>
          <w:t>בעניין עריכה ושינויים במסמכי פסיקה, חקיקה ועוד באתר נבו – הקש כאן</w:t>
        </w:r>
      </w:hyperlink>
    </w:p>
    <w:p w14:paraId="376C860A" w14:textId="77777777" w:rsidR="00207760" w:rsidRPr="00207760" w:rsidRDefault="00207760" w:rsidP="00207760">
      <w:pPr>
        <w:keepNext/>
        <w:rPr>
          <w:rFonts w:ascii="David" w:hAnsi="David"/>
          <w:color w:val="000000"/>
          <w:sz w:val="22"/>
          <w:szCs w:val="22"/>
          <w:rtl/>
        </w:rPr>
      </w:pPr>
    </w:p>
    <w:p w14:paraId="595EF32A" w14:textId="77777777" w:rsidR="00207760" w:rsidRPr="00207760" w:rsidRDefault="00207760" w:rsidP="00207760">
      <w:pPr>
        <w:keepNext/>
        <w:rPr>
          <w:rFonts w:ascii="David" w:hAnsi="David"/>
          <w:color w:val="000000"/>
          <w:sz w:val="22"/>
          <w:szCs w:val="22"/>
          <w:rtl/>
        </w:rPr>
      </w:pPr>
      <w:r w:rsidRPr="00207760">
        <w:rPr>
          <w:rFonts w:ascii="David" w:hAnsi="David"/>
          <w:color w:val="000000"/>
          <w:sz w:val="22"/>
          <w:szCs w:val="22"/>
          <w:rtl/>
        </w:rPr>
        <w:t>אלעזר נחלון 54678313-/</w:t>
      </w:r>
    </w:p>
    <w:p w14:paraId="2AA381AE" w14:textId="77777777" w:rsidR="0074560B" w:rsidRPr="0074560B" w:rsidRDefault="00207760" w:rsidP="00207760">
      <w:pPr>
        <w:rPr>
          <w:color w:val="0000FF"/>
          <w:u w:val="single"/>
        </w:rPr>
      </w:pPr>
      <w:r w:rsidRPr="00207760">
        <w:rPr>
          <w:color w:val="000000"/>
          <w:u w:val="single"/>
          <w:rtl/>
        </w:rPr>
        <w:t>נוסח מסמך זה כפוף לשינויי ניסוח ועריכה</w:t>
      </w:r>
    </w:p>
    <w:sectPr w:rsidR="0074560B" w:rsidRPr="0074560B" w:rsidSect="00207760">
      <w:headerReference w:type="even" r:id="rId86"/>
      <w:headerReference w:type="default" r:id="rId87"/>
      <w:footerReference w:type="even" r:id="rId88"/>
      <w:footerReference w:type="default" r:id="rId8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2132C" w14:textId="77777777" w:rsidR="00B47DE7" w:rsidRDefault="00B47DE7" w:rsidP="00CA1752">
      <w:r>
        <w:separator/>
      </w:r>
    </w:p>
  </w:endnote>
  <w:endnote w:type="continuationSeparator" w:id="0">
    <w:p w14:paraId="263A5DEC" w14:textId="77777777" w:rsidR="00B47DE7" w:rsidRDefault="00B47DE7" w:rsidP="00CA1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4C58F" w14:textId="77777777" w:rsidR="00207760" w:rsidRDefault="00207760" w:rsidP="0020776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F8BC0E2" w14:textId="77777777" w:rsidR="00FB5029" w:rsidRPr="00207760" w:rsidRDefault="00207760" w:rsidP="00207760">
    <w:pPr>
      <w:pStyle w:val="a5"/>
      <w:pBdr>
        <w:top w:val="single" w:sz="4" w:space="1" w:color="auto"/>
        <w:between w:val="single" w:sz="4" w:space="0" w:color="auto"/>
      </w:pBdr>
      <w:spacing w:after="60"/>
      <w:jc w:val="center"/>
      <w:rPr>
        <w:rFonts w:ascii="FrankRuehl" w:hAnsi="FrankRuehl" w:cs="FrankRuehl"/>
        <w:color w:val="000000"/>
      </w:rPr>
    </w:pPr>
    <w:r w:rsidRPr="0020776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6F25A" w14:textId="77777777" w:rsidR="00207760" w:rsidRDefault="00207760" w:rsidP="0020776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905F4">
      <w:rPr>
        <w:rFonts w:ascii="FrankRuehl" w:hAnsi="FrankRuehl" w:cs="FrankRuehl"/>
        <w:noProof/>
        <w:rtl/>
      </w:rPr>
      <w:t>1</w:t>
    </w:r>
    <w:r>
      <w:rPr>
        <w:rFonts w:ascii="FrankRuehl" w:hAnsi="FrankRuehl" w:cs="FrankRuehl"/>
        <w:rtl/>
      </w:rPr>
      <w:fldChar w:fldCharType="end"/>
    </w:r>
  </w:p>
  <w:p w14:paraId="7FAC56DC" w14:textId="77777777" w:rsidR="00FB5029" w:rsidRPr="00207760" w:rsidRDefault="00207760" w:rsidP="00207760">
    <w:pPr>
      <w:pStyle w:val="a5"/>
      <w:pBdr>
        <w:top w:val="single" w:sz="4" w:space="1" w:color="auto"/>
        <w:between w:val="single" w:sz="4" w:space="0" w:color="auto"/>
      </w:pBdr>
      <w:spacing w:after="60"/>
      <w:jc w:val="center"/>
      <w:rPr>
        <w:rFonts w:ascii="FrankRuehl" w:hAnsi="FrankRuehl" w:cs="FrankRuehl"/>
        <w:color w:val="000000"/>
      </w:rPr>
    </w:pPr>
    <w:r w:rsidRPr="00207760">
      <w:rPr>
        <w:rFonts w:ascii="FrankRuehl" w:hAnsi="FrankRuehl" w:cs="FrankRuehl"/>
        <w:color w:val="000000"/>
      </w:rPr>
      <w:pict w14:anchorId="5AB5E2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10204" w14:textId="77777777" w:rsidR="00B47DE7" w:rsidRDefault="00B47DE7" w:rsidP="00CA1752">
      <w:r>
        <w:separator/>
      </w:r>
    </w:p>
  </w:footnote>
  <w:footnote w:type="continuationSeparator" w:id="0">
    <w:p w14:paraId="0CCFE862" w14:textId="77777777" w:rsidR="00B47DE7" w:rsidRDefault="00B47DE7" w:rsidP="00CA1752">
      <w:r>
        <w:continuationSeparator/>
      </w:r>
    </w:p>
  </w:footnote>
  <w:footnote w:id="1">
    <w:p w14:paraId="0EC6D1A9" w14:textId="77777777" w:rsidR="00CA1752" w:rsidRDefault="00CA1752" w:rsidP="00CA1752">
      <w:pPr>
        <w:pStyle w:val="a9"/>
      </w:pPr>
      <w:r>
        <w:rPr>
          <w:rStyle w:val="ab"/>
        </w:rPr>
        <w:footnoteRef/>
      </w:r>
      <w:r>
        <w:rPr>
          <w:rtl/>
        </w:rPr>
        <w:t xml:space="preserve"> </w:t>
      </w:r>
      <w:r>
        <w:rPr>
          <w:rFonts w:ascii="FrankRuehl" w:hAnsi="FrankRuehl" w:cs="FrankRuehl"/>
          <w:sz w:val="24"/>
          <w:szCs w:val="24"/>
          <w:rtl/>
        </w:rPr>
        <w:t xml:space="preserve">יצוין כי טענת הנאשם שלפיה השלכת בקבוק התבערה לעבר החצר מלמדת על העדר כוונה לפגיעה בבני אדם (סעיפים 25-24 לעיקרי הטיעון מטעמו) אינה תואמת את העובדות שבהן הודה בנוגע להשלכת בקבוק התבערה "לעבר </w:t>
      </w:r>
      <w:r>
        <w:rPr>
          <w:rFonts w:ascii="Miriam" w:hAnsi="Miriam" w:cs="Miriam"/>
          <w:rtl/>
        </w:rPr>
        <w:t>הבית</w:t>
      </w:r>
      <w:r>
        <w:rPr>
          <w:rFonts w:ascii="FrankRuehl" w:hAnsi="FrankRuehl" w:cs="FrankRuehl"/>
          <w:sz w:val="24"/>
          <w:szCs w:val="24"/>
          <w:rtl/>
        </w:rPr>
        <w:t>" (סעיף 4 לכתב האישום), ואת העבירות שבהן הורשע הכוללות הצתה במטרה לפגוע בבני אדם.</w:t>
      </w:r>
    </w:p>
  </w:footnote>
  <w:footnote w:id="2">
    <w:p w14:paraId="7C65F1B2" w14:textId="77777777" w:rsidR="00CA1752" w:rsidRDefault="00CA1752" w:rsidP="00CA1752">
      <w:pPr>
        <w:pStyle w:val="a9"/>
        <w:rPr>
          <w:rtl/>
        </w:rPr>
      </w:pPr>
      <w:r>
        <w:rPr>
          <w:rStyle w:val="ab"/>
        </w:rPr>
        <w:footnoteRef/>
      </w:r>
      <w:r>
        <w:rPr>
          <w:rtl/>
        </w:rPr>
        <w:t xml:space="preserve"> </w:t>
      </w:r>
      <w:r>
        <w:rPr>
          <w:rFonts w:cs="FrankRuehl"/>
          <w:color w:val="000000"/>
          <w:sz w:val="24"/>
          <w:szCs w:val="24"/>
          <w:rtl/>
        </w:rPr>
        <w:t xml:space="preserve">יצוין כי אין מניעה לכך שהרף התחתון של עונש המאסר בפועל יהיה נמוך מהעונש המזערי לנשיאת נשק, בשים לב לכך שנקבע מפורשות כי עונש זה יכול לכלול גם מאסר על תנאי. ליחס בין העונש המזערי לבין הרף התחתון של מתחם העונש ההולם ראו </w:t>
      </w:r>
      <w:hyperlink r:id="rId1" w:history="1">
        <w:r w:rsidR="0074560B" w:rsidRPr="0074560B">
          <w:rPr>
            <w:rFonts w:cs="FrankRuehl"/>
            <w:color w:val="0000FF"/>
            <w:sz w:val="24"/>
            <w:szCs w:val="24"/>
            <w:u w:val="single"/>
            <w:rtl/>
          </w:rPr>
          <w:t>ע"פ 8687/20</w:t>
        </w:r>
      </w:hyperlink>
      <w:r>
        <w:rPr>
          <w:rFonts w:cs="FrankRuehl"/>
          <w:color w:val="000000"/>
          <w:sz w:val="24"/>
          <w:szCs w:val="24"/>
          <w:rtl/>
        </w:rPr>
        <w:t xml:space="preserve"> </w:t>
      </w:r>
      <w:r>
        <w:rPr>
          <w:rFonts w:cs="Miriam"/>
          <w:color w:val="000000"/>
          <w:rtl/>
        </w:rPr>
        <w:t>פלוני נ' מדינת ישראל</w:t>
      </w:r>
      <w:r>
        <w:rPr>
          <w:rFonts w:cs="FrankRuehl"/>
          <w:color w:val="000000"/>
          <w:sz w:val="24"/>
          <w:szCs w:val="24"/>
          <w:rtl/>
        </w:rPr>
        <w:t xml:space="preserve">, </w:t>
      </w:r>
      <w:bookmarkStart w:id="11" w:name="SeifFN47"/>
      <w:r>
        <w:rPr>
          <w:rFonts w:cs="FrankRuehl"/>
          <w:color w:val="000000"/>
          <w:sz w:val="24"/>
          <w:szCs w:val="24"/>
          <w:rtl/>
        </w:rPr>
        <w:t xml:space="preserve">פיסקה 11 </w:t>
      </w:r>
      <w:bookmarkEnd w:id="11"/>
      <w:r>
        <w:rPr>
          <w:rFonts w:cs="FrankRuehl"/>
          <w:color w:val="000000"/>
          <w:sz w:val="24"/>
          <w:szCs w:val="24"/>
          <w:rtl/>
        </w:rPr>
        <w:t>(29.8.2021) ובהפניות שם.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27DDD" w14:textId="77777777" w:rsidR="0074560B" w:rsidRPr="00207760" w:rsidRDefault="00207760" w:rsidP="00207760">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(י-ם) 11167-01-23</w:t>
    </w:r>
    <w:r>
      <w:rPr>
        <w:rFonts w:ascii="David" w:hAnsi="David"/>
        <w:color w:val="000000"/>
        <w:sz w:val="22"/>
        <w:szCs w:val="22"/>
        <w:rtl/>
      </w:rPr>
      <w:tab/>
      <w:t xml:space="preserve"> מדינת ישראל נ' אברהים חב רמאן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B7EF9" w14:textId="77777777" w:rsidR="0074560B" w:rsidRPr="00207760" w:rsidRDefault="00207760" w:rsidP="0020776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11167-01-23</w:t>
    </w:r>
    <w:r>
      <w:rPr>
        <w:rFonts w:ascii="David" w:hAnsi="David"/>
        <w:color w:val="000000"/>
        <w:sz w:val="22"/>
        <w:szCs w:val="22"/>
        <w:rtl/>
      </w:rPr>
      <w:tab/>
      <w:t xml:space="preserve"> מדינת ישראל נ' אברהים חב רמאן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94FC9"/>
    <w:multiLevelType w:val="hybridMultilevel"/>
    <w:tmpl w:val="0BAC1AC8"/>
    <w:lvl w:ilvl="0" w:tplc="76B8E4B2">
      <w:start w:val="1"/>
      <w:numFmt w:val="decimal"/>
      <w:lvlText w:val="%1."/>
      <w:lvlJc w:val="left"/>
      <w:pPr>
        <w:ind w:left="720" w:hanging="360"/>
      </w:pPr>
      <w:rPr>
        <w:b w:val="0"/>
        <w:bCs w:val="0"/>
        <w:lang w:val="en-US"/>
      </w:rPr>
    </w:lvl>
    <w:lvl w:ilvl="1" w:tplc="EFD43C30">
      <w:start w:val="1"/>
      <w:numFmt w:val="hebrew1"/>
      <w:lvlText w:val="%2."/>
      <w:lvlJc w:val="center"/>
      <w:pPr>
        <w:ind w:left="1440" w:hanging="360"/>
      </w:pPr>
      <w:rPr>
        <w:lang w:val="en-U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17485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1752"/>
    <w:rsid w:val="00142C3A"/>
    <w:rsid w:val="001B3AE7"/>
    <w:rsid w:val="001B5A3B"/>
    <w:rsid w:val="00207760"/>
    <w:rsid w:val="00295176"/>
    <w:rsid w:val="005A5DE3"/>
    <w:rsid w:val="006A5294"/>
    <w:rsid w:val="0074560B"/>
    <w:rsid w:val="007905F4"/>
    <w:rsid w:val="00B16AF0"/>
    <w:rsid w:val="00B47DE7"/>
    <w:rsid w:val="00BB6B3D"/>
    <w:rsid w:val="00CA1752"/>
    <w:rsid w:val="00DF7D65"/>
    <w:rsid w:val="00EA2DE9"/>
    <w:rsid w:val="00FA5EA9"/>
    <w:rsid w:val="00FB50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DC0104"/>
  <w15:chartTrackingRefBased/>
  <w15:docId w15:val="{446320CC-E379-4D61-9D00-FC3AF4F4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175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A1752"/>
    <w:pPr>
      <w:tabs>
        <w:tab w:val="center" w:pos="4153"/>
        <w:tab w:val="right" w:pos="8306"/>
      </w:tabs>
    </w:pPr>
  </w:style>
  <w:style w:type="character" w:customStyle="1" w:styleId="a4">
    <w:name w:val="כותרת עליונה תו"/>
    <w:link w:val="a3"/>
    <w:rsid w:val="00CA1752"/>
    <w:rPr>
      <w:rFonts w:ascii="Times New Roman" w:eastAsia="Times New Roman" w:hAnsi="Times New Roman" w:cs="David"/>
      <w:sz w:val="24"/>
      <w:szCs w:val="24"/>
    </w:rPr>
  </w:style>
  <w:style w:type="paragraph" w:styleId="a5">
    <w:name w:val="footer"/>
    <w:basedOn w:val="a"/>
    <w:link w:val="a6"/>
    <w:rsid w:val="00CA1752"/>
    <w:pPr>
      <w:tabs>
        <w:tab w:val="center" w:pos="4153"/>
        <w:tab w:val="right" w:pos="8306"/>
      </w:tabs>
    </w:pPr>
  </w:style>
  <w:style w:type="character" w:customStyle="1" w:styleId="a6">
    <w:name w:val="כותרת תחתונה תו"/>
    <w:link w:val="a5"/>
    <w:rsid w:val="00CA1752"/>
    <w:rPr>
      <w:rFonts w:ascii="Times New Roman" w:eastAsia="Times New Roman" w:hAnsi="Times New Roman" w:cs="David"/>
      <w:sz w:val="24"/>
      <w:szCs w:val="24"/>
    </w:rPr>
  </w:style>
  <w:style w:type="table" w:styleId="a7">
    <w:name w:val="Table Grid"/>
    <w:basedOn w:val="a1"/>
    <w:rsid w:val="00CA175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A1752"/>
  </w:style>
  <w:style w:type="paragraph" w:styleId="a9">
    <w:name w:val="footnote text"/>
    <w:basedOn w:val="a"/>
    <w:link w:val="aa"/>
    <w:rsid w:val="00CA1752"/>
    <w:pPr>
      <w:spacing w:line="360" w:lineRule="auto"/>
      <w:jc w:val="both"/>
    </w:pPr>
    <w:rPr>
      <w:sz w:val="20"/>
      <w:szCs w:val="20"/>
    </w:rPr>
  </w:style>
  <w:style w:type="character" w:customStyle="1" w:styleId="aa">
    <w:name w:val="טקסט הערת שוליים תו"/>
    <w:link w:val="a9"/>
    <w:rsid w:val="00CA1752"/>
    <w:rPr>
      <w:rFonts w:ascii="Times New Roman" w:eastAsia="Times New Roman" w:hAnsi="Times New Roman" w:cs="David"/>
      <w:sz w:val="20"/>
      <w:szCs w:val="20"/>
    </w:rPr>
  </w:style>
  <w:style w:type="character" w:styleId="ab">
    <w:name w:val="footnote reference"/>
    <w:rsid w:val="00CA1752"/>
    <w:rPr>
      <w:vertAlign w:val="superscript"/>
    </w:rPr>
  </w:style>
  <w:style w:type="character" w:styleId="Hyperlink">
    <w:name w:val="Hyperlink"/>
    <w:rsid w:val="007456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141771" TargetMode="External"/><Relationship Id="rId21" Type="http://schemas.openxmlformats.org/officeDocument/2006/relationships/hyperlink" Target="http://www.nevo.co.il/law/70301/40jb" TargetMode="External"/><Relationship Id="rId42" Type="http://schemas.openxmlformats.org/officeDocument/2006/relationships/hyperlink" Target="http://www.nevo.co.il/law/70301/40i" TargetMode="External"/><Relationship Id="rId47" Type="http://schemas.openxmlformats.org/officeDocument/2006/relationships/hyperlink" Target="http://www.nevo.co.il/law/70301/40jb" TargetMode="External"/><Relationship Id="rId63" Type="http://schemas.openxmlformats.org/officeDocument/2006/relationships/hyperlink" Target="http://www.nevo.co.il/case/27654256" TargetMode="External"/><Relationship Id="rId68" Type="http://schemas.openxmlformats.org/officeDocument/2006/relationships/hyperlink" Target="http://www.nevo.co.il/case/27925239" TargetMode="External"/><Relationship Id="rId84" Type="http://schemas.openxmlformats.org/officeDocument/2006/relationships/hyperlink" Target="http://www.nevo.co.il/case/28681545" TargetMode="External"/><Relationship Id="rId89" Type="http://schemas.openxmlformats.org/officeDocument/2006/relationships/footer" Target="footer2.xml"/><Relationship Id="rId16" Type="http://schemas.openxmlformats.org/officeDocument/2006/relationships/hyperlink" Target="http://www.nevo.co.il/law/70301/40i" TargetMode="External"/><Relationship Id="rId11" Type="http://schemas.openxmlformats.org/officeDocument/2006/relationships/hyperlink" Target="http://www.nevo.co.il/law/70301/40b" TargetMode="External"/><Relationship Id="rId32" Type="http://schemas.openxmlformats.org/officeDocument/2006/relationships/hyperlink" Target="http://www.nevo.co.il/law/70301/452" TargetMode="External"/><Relationship Id="rId37" Type="http://schemas.openxmlformats.org/officeDocument/2006/relationships/hyperlink" Target="http://www.nevo.co.il/law/141771/37" TargetMode="External"/><Relationship Id="rId53" Type="http://schemas.openxmlformats.org/officeDocument/2006/relationships/hyperlink" Target="http://www.nevo.co.il/case/28952840" TargetMode="External"/><Relationship Id="rId58" Type="http://schemas.openxmlformats.org/officeDocument/2006/relationships/hyperlink" Target="http://www.nevo.co.il/law/70301" TargetMode="External"/><Relationship Id="rId74" Type="http://schemas.openxmlformats.org/officeDocument/2006/relationships/hyperlink" Target="http://www.nevo.co.il/case/28429424" TargetMode="External"/><Relationship Id="rId79" Type="http://schemas.openxmlformats.org/officeDocument/2006/relationships/hyperlink" Target="http://www.nevo.co.il/case/26545809"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www.nevo.co.il/law/70301/40d" TargetMode="External"/><Relationship Id="rId22" Type="http://schemas.openxmlformats.org/officeDocument/2006/relationships/hyperlink" Target="http://www.nevo.co.il/law/70301/448.a" TargetMode="External"/><Relationship Id="rId27" Type="http://schemas.openxmlformats.org/officeDocument/2006/relationships/hyperlink" Target="http://www.nevo.co.il/law/141771/37" TargetMode="External"/><Relationship Id="rId30" Type="http://schemas.openxmlformats.org/officeDocument/2006/relationships/hyperlink" Target="http://www.nevo.co.il/law/70301/448.a" TargetMode="External"/><Relationship Id="rId35" Type="http://schemas.openxmlformats.org/officeDocument/2006/relationships/hyperlink" Target="http://www.nevo.co.il/law/71835/18" TargetMode="External"/><Relationship Id="rId43" Type="http://schemas.openxmlformats.org/officeDocument/2006/relationships/hyperlink" Target="http://www.nevo.co.il/law/70301/40jb" TargetMode="External"/><Relationship Id="rId48" Type="http://schemas.openxmlformats.org/officeDocument/2006/relationships/hyperlink" Target="http://www.nevo.co.il/law/70301/40i" TargetMode="External"/><Relationship Id="rId56" Type="http://schemas.openxmlformats.org/officeDocument/2006/relationships/hyperlink" Target="http://www.nevo.co.il/case/20923902" TargetMode="External"/><Relationship Id="rId64" Type="http://schemas.openxmlformats.org/officeDocument/2006/relationships/hyperlink" Target="http://www.nevo.co.il/case/22576642" TargetMode="External"/><Relationship Id="rId69" Type="http://schemas.openxmlformats.org/officeDocument/2006/relationships/hyperlink" Target="http://www.nevo.co.il/case/7998009" TargetMode="External"/><Relationship Id="rId77" Type="http://schemas.openxmlformats.org/officeDocument/2006/relationships/hyperlink" Target="http://www.nevo.co.il/case/24150934" TargetMode="External"/><Relationship Id="rId8" Type="http://schemas.openxmlformats.org/officeDocument/2006/relationships/hyperlink" Target="http://www.nevo.co.il/law/70301/25" TargetMode="External"/><Relationship Id="rId51" Type="http://schemas.openxmlformats.org/officeDocument/2006/relationships/hyperlink" Target="http://www.nevo.co.il/law/70301/40e" TargetMode="External"/><Relationship Id="rId72" Type="http://schemas.openxmlformats.org/officeDocument/2006/relationships/hyperlink" Target="http://www.nevo.co.il/case/22576642" TargetMode="External"/><Relationship Id="rId80" Type="http://schemas.openxmlformats.org/officeDocument/2006/relationships/hyperlink" Target="http://www.nevo.co.il/case/27242000" TargetMode="External"/><Relationship Id="rId85"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1835/18" TargetMode="External"/><Relationship Id="rId33" Type="http://schemas.openxmlformats.org/officeDocument/2006/relationships/hyperlink" Target="http://www.nevo.co.il/law/70301/25" TargetMode="External"/><Relationship Id="rId38" Type="http://schemas.openxmlformats.org/officeDocument/2006/relationships/hyperlink" Target="http://www.nevo.co.il/law/141771" TargetMode="External"/><Relationship Id="rId46" Type="http://schemas.openxmlformats.org/officeDocument/2006/relationships/hyperlink" Target="http://www.nevo.co.il/law/70301/40ja" TargetMode="External"/><Relationship Id="rId59" Type="http://schemas.openxmlformats.org/officeDocument/2006/relationships/hyperlink" Target="http://www.nevo.co.il/law/70301/144.g" TargetMode="External"/><Relationship Id="rId67" Type="http://schemas.openxmlformats.org/officeDocument/2006/relationships/hyperlink" Target="http://www.nevo.co.il/case/28266138" TargetMode="External"/><Relationship Id="rId20" Type="http://schemas.openxmlformats.org/officeDocument/2006/relationships/hyperlink" Target="http://www.nevo.co.il/law/70301/40ja" TargetMode="External"/><Relationship Id="rId41" Type="http://schemas.openxmlformats.org/officeDocument/2006/relationships/hyperlink" Target="http://www.nevo.co.il/law/70301/40c.a" TargetMode="External"/><Relationship Id="rId54" Type="http://schemas.openxmlformats.org/officeDocument/2006/relationships/hyperlink" Target="http://www.nevo.co.il/case/6147412" TargetMode="External"/><Relationship Id="rId62" Type="http://schemas.openxmlformats.org/officeDocument/2006/relationships/hyperlink" Target="http://www.nevo.co.il/case/6859579" TargetMode="External"/><Relationship Id="rId70" Type="http://schemas.openxmlformats.org/officeDocument/2006/relationships/hyperlink" Target="http://www.nevo.co.il/case/21044600" TargetMode="External"/><Relationship Id="rId75" Type="http://schemas.openxmlformats.org/officeDocument/2006/relationships/hyperlink" Target="http://www.nevo.co.il/case/26312599" TargetMode="External"/><Relationship Id="rId83" Type="http://schemas.openxmlformats.org/officeDocument/2006/relationships/hyperlink" Target="http://www.nevo.co.il/law/70301"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e" TargetMode="External"/><Relationship Id="rId23" Type="http://schemas.openxmlformats.org/officeDocument/2006/relationships/hyperlink" Target="http://www.nevo.co.il/law/70301/452"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law/71835" TargetMode="External"/><Relationship Id="rId49" Type="http://schemas.openxmlformats.org/officeDocument/2006/relationships/hyperlink" Target="http://www.nevo.co.il/law/70301/40.f.;40.g" TargetMode="External"/><Relationship Id="rId57" Type="http://schemas.openxmlformats.org/officeDocument/2006/relationships/hyperlink" Target="http://www.nevo.co.il/law/70301/40i" TargetMode="External"/><Relationship Id="rId10" Type="http://schemas.openxmlformats.org/officeDocument/2006/relationships/hyperlink" Target="http://www.nevo.co.il/law/70301/40.g" TargetMode="External"/><Relationship Id="rId31" Type="http://schemas.openxmlformats.org/officeDocument/2006/relationships/hyperlink" Target="http://www.nevo.co.il/law/70301/25" TargetMode="External"/><Relationship Id="rId44" Type="http://schemas.openxmlformats.org/officeDocument/2006/relationships/hyperlink" Target="http://www.nevo.co.il/law/70301/40i" TargetMode="External"/><Relationship Id="rId52" Type="http://schemas.openxmlformats.org/officeDocument/2006/relationships/hyperlink" Target="http://www.nevo.co.il/case/29173557" TargetMode="External"/><Relationship Id="rId60" Type="http://schemas.openxmlformats.org/officeDocument/2006/relationships/hyperlink" Target="http://www.nevo.co.il/case/28770694" TargetMode="External"/><Relationship Id="rId65" Type="http://schemas.openxmlformats.org/officeDocument/2006/relationships/hyperlink" Target="http://www.nevo.co.il/case/7681198" TargetMode="External"/><Relationship Id="rId73" Type="http://schemas.openxmlformats.org/officeDocument/2006/relationships/hyperlink" Target="http://www.nevo.co.il/case/23506710" TargetMode="External"/><Relationship Id="rId78" Type="http://schemas.openxmlformats.org/officeDocument/2006/relationships/hyperlink" Target="http://www.nevo.co.il/case/25585384" TargetMode="External"/><Relationship Id="rId81" Type="http://schemas.openxmlformats.org/officeDocument/2006/relationships/hyperlink" Target="http://www.nevo.co.il/case/16892819" TargetMode="External"/><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f." TargetMode="External"/><Relationship Id="rId13" Type="http://schemas.openxmlformats.org/officeDocument/2006/relationships/hyperlink" Target="http://www.nevo.co.il/law/70301/40c.b" TargetMode="External"/><Relationship Id="rId18" Type="http://schemas.openxmlformats.org/officeDocument/2006/relationships/hyperlink" Target="http://www.nevo.co.il/law/70301/144.g" TargetMode="External"/><Relationship Id="rId39" Type="http://schemas.openxmlformats.org/officeDocument/2006/relationships/hyperlink" Target="http://www.nevo.co.il/law/70301/40b" TargetMode="External"/><Relationship Id="rId34" Type="http://schemas.openxmlformats.org/officeDocument/2006/relationships/hyperlink" Target="http://www.nevo.co.il/law/70301/144f" TargetMode="External"/><Relationship Id="rId50" Type="http://schemas.openxmlformats.org/officeDocument/2006/relationships/hyperlink" Target="http://www.nevo.co.il/law/70301/40d" TargetMode="External"/><Relationship Id="rId55" Type="http://schemas.openxmlformats.org/officeDocument/2006/relationships/hyperlink" Target="http://www.nevo.co.il/case/21476340" TargetMode="External"/><Relationship Id="rId76" Type="http://schemas.openxmlformats.org/officeDocument/2006/relationships/hyperlink" Target="http://www.nevo.co.il/case/23879124"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8952840"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1835"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40c.b" TargetMode="External"/><Relationship Id="rId66" Type="http://schemas.openxmlformats.org/officeDocument/2006/relationships/hyperlink" Target="http://www.nevo.co.il/case/21044600" TargetMode="External"/><Relationship Id="rId87" Type="http://schemas.openxmlformats.org/officeDocument/2006/relationships/header" Target="header2.xml"/><Relationship Id="rId61" Type="http://schemas.openxmlformats.org/officeDocument/2006/relationships/hyperlink" Target="http://www.nevo.co.il/case/7665459" TargetMode="External"/><Relationship Id="rId82" Type="http://schemas.openxmlformats.org/officeDocument/2006/relationships/hyperlink" Target="http://www.nevo.co.il/law/70301/40ja" TargetMode="External"/><Relationship Id="rId19" Type="http://schemas.openxmlformats.org/officeDocument/2006/relationships/hyperlink" Target="http://www.nevo.co.il/law/70301/144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nevo.co.il/case/27234477"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3920</Words>
  <Characters>19601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23475</CharactersWithSpaces>
  <SharedDoc>false</SharedDoc>
  <HLinks>
    <vt:vector size="480" baseType="variant">
      <vt:variant>
        <vt:i4>393283</vt:i4>
      </vt:variant>
      <vt:variant>
        <vt:i4>237</vt:i4>
      </vt:variant>
      <vt:variant>
        <vt:i4>0</vt:i4>
      </vt:variant>
      <vt:variant>
        <vt:i4>5</vt:i4>
      </vt:variant>
      <vt:variant>
        <vt:lpwstr>http://www.nevo.co.il/advertisements/nevo-100.doc</vt:lpwstr>
      </vt:variant>
      <vt:variant>
        <vt:lpwstr/>
      </vt:variant>
      <vt:variant>
        <vt:i4>3211377</vt:i4>
      </vt:variant>
      <vt:variant>
        <vt:i4>234</vt:i4>
      </vt:variant>
      <vt:variant>
        <vt:i4>0</vt:i4>
      </vt:variant>
      <vt:variant>
        <vt:i4>5</vt:i4>
      </vt:variant>
      <vt:variant>
        <vt:lpwstr>http://www.nevo.co.il/case/28681545</vt:lpwstr>
      </vt:variant>
      <vt:variant>
        <vt:lpwstr/>
      </vt:variant>
      <vt:variant>
        <vt:i4>7995492</vt:i4>
      </vt:variant>
      <vt:variant>
        <vt:i4>228</vt:i4>
      </vt:variant>
      <vt:variant>
        <vt:i4>0</vt:i4>
      </vt:variant>
      <vt:variant>
        <vt:i4>5</vt:i4>
      </vt:variant>
      <vt:variant>
        <vt:lpwstr>http://www.nevo.co.il/law/70301</vt:lpwstr>
      </vt:variant>
      <vt:variant>
        <vt:lpwstr/>
      </vt:variant>
      <vt:variant>
        <vt:i4>262155</vt:i4>
      </vt:variant>
      <vt:variant>
        <vt:i4>225</vt:i4>
      </vt:variant>
      <vt:variant>
        <vt:i4>0</vt:i4>
      </vt:variant>
      <vt:variant>
        <vt:i4>5</vt:i4>
      </vt:variant>
      <vt:variant>
        <vt:lpwstr>http://www.nevo.co.il/law/70301/40ja</vt:lpwstr>
      </vt:variant>
      <vt:variant>
        <vt:lpwstr/>
      </vt:variant>
      <vt:variant>
        <vt:i4>3801203</vt:i4>
      </vt:variant>
      <vt:variant>
        <vt:i4>222</vt:i4>
      </vt:variant>
      <vt:variant>
        <vt:i4>0</vt:i4>
      </vt:variant>
      <vt:variant>
        <vt:i4>5</vt:i4>
      </vt:variant>
      <vt:variant>
        <vt:lpwstr>http://www.nevo.co.il/case/16892819</vt:lpwstr>
      </vt:variant>
      <vt:variant>
        <vt:lpwstr/>
      </vt:variant>
      <vt:variant>
        <vt:i4>3276919</vt:i4>
      </vt:variant>
      <vt:variant>
        <vt:i4>219</vt:i4>
      </vt:variant>
      <vt:variant>
        <vt:i4>0</vt:i4>
      </vt:variant>
      <vt:variant>
        <vt:i4>5</vt:i4>
      </vt:variant>
      <vt:variant>
        <vt:lpwstr>http://www.nevo.co.il/case/27242000</vt:lpwstr>
      </vt:variant>
      <vt:variant>
        <vt:lpwstr/>
      </vt:variant>
      <vt:variant>
        <vt:i4>3276926</vt:i4>
      </vt:variant>
      <vt:variant>
        <vt:i4>216</vt:i4>
      </vt:variant>
      <vt:variant>
        <vt:i4>0</vt:i4>
      </vt:variant>
      <vt:variant>
        <vt:i4>5</vt:i4>
      </vt:variant>
      <vt:variant>
        <vt:lpwstr>http://www.nevo.co.il/case/26545809</vt:lpwstr>
      </vt:variant>
      <vt:variant>
        <vt:lpwstr/>
      </vt:variant>
      <vt:variant>
        <vt:i4>3801210</vt:i4>
      </vt:variant>
      <vt:variant>
        <vt:i4>213</vt:i4>
      </vt:variant>
      <vt:variant>
        <vt:i4>0</vt:i4>
      </vt:variant>
      <vt:variant>
        <vt:i4>5</vt:i4>
      </vt:variant>
      <vt:variant>
        <vt:lpwstr>http://www.nevo.co.il/case/25585384</vt:lpwstr>
      </vt:variant>
      <vt:variant>
        <vt:lpwstr/>
      </vt:variant>
      <vt:variant>
        <vt:i4>3145852</vt:i4>
      </vt:variant>
      <vt:variant>
        <vt:i4>210</vt:i4>
      </vt:variant>
      <vt:variant>
        <vt:i4>0</vt:i4>
      </vt:variant>
      <vt:variant>
        <vt:i4>5</vt:i4>
      </vt:variant>
      <vt:variant>
        <vt:lpwstr>http://www.nevo.co.il/case/24150934</vt:lpwstr>
      </vt:variant>
      <vt:variant>
        <vt:lpwstr/>
      </vt:variant>
      <vt:variant>
        <vt:i4>3211377</vt:i4>
      </vt:variant>
      <vt:variant>
        <vt:i4>207</vt:i4>
      </vt:variant>
      <vt:variant>
        <vt:i4>0</vt:i4>
      </vt:variant>
      <vt:variant>
        <vt:i4>5</vt:i4>
      </vt:variant>
      <vt:variant>
        <vt:lpwstr>http://www.nevo.co.il/case/23879124</vt:lpwstr>
      </vt:variant>
      <vt:variant>
        <vt:lpwstr/>
      </vt:variant>
      <vt:variant>
        <vt:i4>3801206</vt:i4>
      </vt:variant>
      <vt:variant>
        <vt:i4>204</vt:i4>
      </vt:variant>
      <vt:variant>
        <vt:i4>0</vt:i4>
      </vt:variant>
      <vt:variant>
        <vt:i4>5</vt:i4>
      </vt:variant>
      <vt:variant>
        <vt:lpwstr>http://www.nevo.co.il/case/26312599</vt:lpwstr>
      </vt:variant>
      <vt:variant>
        <vt:lpwstr/>
      </vt:variant>
      <vt:variant>
        <vt:i4>3997818</vt:i4>
      </vt:variant>
      <vt:variant>
        <vt:i4>201</vt:i4>
      </vt:variant>
      <vt:variant>
        <vt:i4>0</vt:i4>
      </vt:variant>
      <vt:variant>
        <vt:i4>5</vt:i4>
      </vt:variant>
      <vt:variant>
        <vt:lpwstr>http://www.nevo.co.il/case/28429424</vt:lpwstr>
      </vt:variant>
      <vt:variant>
        <vt:lpwstr/>
      </vt:variant>
      <vt:variant>
        <vt:i4>3145840</vt:i4>
      </vt:variant>
      <vt:variant>
        <vt:i4>198</vt:i4>
      </vt:variant>
      <vt:variant>
        <vt:i4>0</vt:i4>
      </vt:variant>
      <vt:variant>
        <vt:i4>5</vt:i4>
      </vt:variant>
      <vt:variant>
        <vt:lpwstr>http://www.nevo.co.il/case/23506710</vt:lpwstr>
      </vt:variant>
      <vt:variant>
        <vt:lpwstr/>
      </vt:variant>
      <vt:variant>
        <vt:i4>3473527</vt:i4>
      </vt:variant>
      <vt:variant>
        <vt:i4>195</vt:i4>
      </vt:variant>
      <vt:variant>
        <vt:i4>0</vt:i4>
      </vt:variant>
      <vt:variant>
        <vt:i4>5</vt:i4>
      </vt:variant>
      <vt:variant>
        <vt:lpwstr>http://www.nevo.co.il/case/22576642</vt:lpwstr>
      </vt:variant>
      <vt:variant>
        <vt:lpwstr/>
      </vt:variant>
      <vt:variant>
        <vt:i4>3997809</vt:i4>
      </vt:variant>
      <vt:variant>
        <vt:i4>192</vt:i4>
      </vt:variant>
      <vt:variant>
        <vt:i4>0</vt:i4>
      </vt:variant>
      <vt:variant>
        <vt:i4>5</vt:i4>
      </vt:variant>
      <vt:variant>
        <vt:lpwstr>http://www.nevo.co.il/case/28952840</vt:lpwstr>
      </vt:variant>
      <vt:variant>
        <vt:lpwstr/>
      </vt:variant>
      <vt:variant>
        <vt:i4>3539063</vt:i4>
      </vt:variant>
      <vt:variant>
        <vt:i4>189</vt:i4>
      </vt:variant>
      <vt:variant>
        <vt:i4>0</vt:i4>
      </vt:variant>
      <vt:variant>
        <vt:i4>5</vt:i4>
      </vt:variant>
      <vt:variant>
        <vt:lpwstr>http://www.nevo.co.il/case/21044600</vt:lpwstr>
      </vt:variant>
      <vt:variant>
        <vt:lpwstr/>
      </vt:variant>
      <vt:variant>
        <vt:i4>3604597</vt:i4>
      </vt:variant>
      <vt:variant>
        <vt:i4>186</vt:i4>
      </vt:variant>
      <vt:variant>
        <vt:i4>0</vt:i4>
      </vt:variant>
      <vt:variant>
        <vt:i4>5</vt:i4>
      </vt:variant>
      <vt:variant>
        <vt:lpwstr>http://www.nevo.co.il/case/7998009</vt:lpwstr>
      </vt:variant>
      <vt:variant>
        <vt:lpwstr/>
      </vt:variant>
      <vt:variant>
        <vt:i4>3997811</vt:i4>
      </vt:variant>
      <vt:variant>
        <vt:i4>183</vt:i4>
      </vt:variant>
      <vt:variant>
        <vt:i4>0</vt:i4>
      </vt:variant>
      <vt:variant>
        <vt:i4>5</vt:i4>
      </vt:variant>
      <vt:variant>
        <vt:lpwstr>http://www.nevo.co.il/case/27925239</vt:lpwstr>
      </vt:variant>
      <vt:variant>
        <vt:lpwstr/>
      </vt:variant>
      <vt:variant>
        <vt:i4>3473531</vt:i4>
      </vt:variant>
      <vt:variant>
        <vt:i4>180</vt:i4>
      </vt:variant>
      <vt:variant>
        <vt:i4>0</vt:i4>
      </vt:variant>
      <vt:variant>
        <vt:i4>5</vt:i4>
      </vt:variant>
      <vt:variant>
        <vt:lpwstr>http://www.nevo.co.il/case/28266138</vt:lpwstr>
      </vt:variant>
      <vt:variant>
        <vt:lpwstr/>
      </vt:variant>
      <vt:variant>
        <vt:i4>3539063</vt:i4>
      </vt:variant>
      <vt:variant>
        <vt:i4>177</vt:i4>
      </vt:variant>
      <vt:variant>
        <vt:i4>0</vt:i4>
      </vt:variant>
      <vt:variant>
        <vt:i4>5</vt:i4>
      </vt:variant>
      <vt:variant>
        <vt:lpwstr>http://www.nevo.co.il/case/21044600</vt:lpwstr>
      </vt:variant>
      <vt:variant>
        <vt:lpwstr/>
      </vt:variant>
      <vt:variant>
        <vt:i4>3539066</vt:i4>
      </vt:variant>
      <vt:variant>
        <vt:i4>174</vt:i4>
      </vt:variant>
      <vt:variant>
        <vt:i4>0</vt:i4>
      </vt:variant>
      <vt:variant>
        <vt:i4>5</vt:i4>
      </vt:variant>
      <vt:variant>
        <vt:lpwstr>http://www.nevo.co.il/case/7681198</vt:lpwstr>
      </vt:variant>
      <vt:variant>
        <vt:lpwstr/>
      </vt:variant>
      <vt:variant>
        <vt:i4>3473527</vt:i4>
      </vt:variant>
      <vt:variant>
        <vt:i4>171</vt:i4>
      </vt:variant>
      <vt:variant>
        <vt:i4>0</vt:i4>
      </vt:variant>
      <vt:variant>
        <vt:i4>5</vt:i4>
      </vt:variant>
      <vt:variant>
        <vt:lpwstr>http://www.nevo.co.il/case/22576642</vt:lpwstr>
      </vt:variant>
      <vt:variant>
        <vt:lpwstr/>
      </vt:variant>
      <vt:variant>
        <vt:i4>3473524</vt:i4>
      </vt:variant>
      <vt:variant>
        <vt:i4>168</vt:i4>
      </vt:variant>
      <vt:variant>
        <vt:i4>0</vt:i4>
      </vt:variant>
      <vt:variant>
        <vt:i4>5</vt:i4>
      </vt:variant>
      <vt:variant>
        <vt:lpwstr>http://www.nevo.co.il/case/27654256</vt:lpwstr>
      </vt:variant>
      <vt:variant>
        <vt:lpwstr/>
      </vt:variant>
      <vt:variant>
        <vt:i4>4128882</vt:i4>
      </vt:variant>
      <vt:variant>
        <vt:i4>165</vt:i4>
      </vt:variant>
      <vt:variant>
        <vt:i4>0</vt:i4>
      </vt:variant>
      <vt:variant>
        <vt:i4>5</vt:i4>
      </vt:variant>
      <vt:variant>
        <vt:lpwstr>http://www.nevo.co.il/case/6859579</vt:lpwstr>
      </vt:variant>
      <vt:variant>
        <vt:lpwstr/>
      </vt:variant>
      <vt:variant>
        <vt:i4>3932274</vt:i4>
      </vt:variant>
      <vt:variant>
        <vt:i4>162</vt:i4>
      </vt:variant>
      <vt:variant>
        <vt:i4>0</vt:i4>
      </vt:variant>
      <vt:variant>
        <vt:i4>5</vt:i4>
      </vt:variant>
      <vt:variant>
        <vt:lpwstr>http://www.nevo.co.il/case/7665459</vt:lpwstr>
      </vt:variant>
      <vt:variant>
        <vt:lpwstr/>
      </vt:variant>
      <vt:variant>
        <vt:i4>3932285</vt:i4>
      </vt:variant>
      <vt:variant>
        <vt:i4>159</vt:i4>
      </vt:variant>
      <vt:variant>
        <vt:i4>0</vt:i4>
      </vt:variant>
      <vt:variant>
        <vt:i4>5</vt:i4>
      </vt:variant>
      <vt:variant>
        <vt:lpwstr>http://www.nevo.co.il/case/28770694</vt:lpwstr>
      </vt:variant>
      <vt:variant>
        <vt:lpwstr/>
      </vt:variant>
      <vt:variant>
        <vt:i4>5177424</vt:i4>
      </vt:variant>
      <vt:variant>
        <vt:i4>156</vt:i4>
      </vt:variant>
      <vt:variant>
        <vt:i4>0</vt:i4>
      </vt:variant>
      <vt:variant>
        <vt:i4>5</vt:i4>
      </vt:variant>
      <vt:variant>
        <vt:lpwstr>http://www.nevo.co.il/law/70301/144.g</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6619233</vt:i4>
      </vt:variant>
      <vt:variant>
        <vt:i4>150</vt:i4>
      </vt:variant>
      <vt:variant>
        <vt:i4>0</vt:i4>
      </vt:variant>
      <vt:variant>
        <vt:i4>5</vt:i4>
      </vt:variant>
      <vt:variant>
        <vt:lpwstr>http://www.nevo.co.il/law/70301/40i</vt:lpwstr>
      </vt:variant>
      <vt:variant>
        <vt:lpwstr/>
      </vt:variant>
      <vt:variant>
        <vt:i4>3670143</vt:i4>
      </vt:variant>
      <vt:variant>
        <vt:i4>147</vt:i4>
      </vt:variant>
      <vt:variant>
        <vt:i4>0</vt:i4>
      </vt:variant>
      <vt:variant>
        <vt:i4>5</vt:i4>
      </vt:variant>
      <vt:variant>
        <vt:lpwstr>http://www.nevo.co.il/case/20923902</vt:lpwstr>
      </vt:variant>
      <vt:variant>
        <vt:lpwstr/>
      </vt:variant>
      <vt:variant>
        <vt:i4>3407985</vt:i4>
      </vt:variant>
      <vt:variant>
        <vt:i4>144</vt:i4>
      </vt:variant>
      <vt:variant>
        <vt:i4>0</vt:i4>
      </vt:variant>
      <vt:variant>
        <vt:i4>5</vt:i4>
      </vt:variant>
      <vt:variant>
        <vt:lpwstr>http://www.nevo.co.il/case/21476340</vt:lpwstr>
      </vt:variant>
      <vt:variant>
        <vt:lpwstr/>
      </vt:variant>
      <vt:variant>
        <vt:i4>3407987</vt:i4>
      </vt:variant>
      <vt:variant>
        <vt:i4>141</vt:i4>
      </vt:variant>
      <vt:variant>
        <vt:i4>0</vt:i4>
      </vt:variant>
      <vt:variant>
        <vt:i4>5</vt:i4>
      </vt:variant>
      <vt:variant>
        <vt:lpwstr>http://www.nevo.co.il/case/6147412</vt:lpwstr>
      </vt:variant>
      <vt:variant>
        <vt:lpwstr/>
      </vt:variant>
      <vt:variant>
        <vt:i4>3997809</vt:i4>
      </vt:variant>
      <vt:variant>
        <vt:i4>138</vt:i4>
      </vt:variant>
      <vt:variant>
        <vt:i4>0</vt:i4>
      </vt:variant>
      <vt:variant>
        <vt:i4>5</vt:i4>
      </vt:variant>
      <vt:variant>
        <vt:lpwstr>http://www.nevo.co.il/case/28952840</vt:lpwstr>
      </vt:variant>
      <vt:variant>
        <vt:lpwstr/>
      </vt:variant>
      <vt:variant>
        <vt:i4>3473535</vt:i4>
      </vt:variant>
      <vt:variant>
        <vt:i4>135</vt:i4>
      </vt:variant>
      <vt:variant>
        <vt:i4>0</vt:i4>
      </vt:variant>
      <vt:variant>
        <vt:i4>5</vt:i4>
      </vt:variant>
      <vt:variant>
        <vt:lpwstr>http://www.nevo.co.il/case/29173557</vt:lpwstr>
      </vt:variant>
      <vt:variant>
        <vt:lpwstr/>
      </vt:variant>
      <vt:variant>
        <vt:i4>6619233</vt:i4>
      </vt:variant>
      <vt:variant>
        <vt:i4>132</vt:i4>
      </vt:variant>
      <vt:variant>
        <vt:i4>0</vt:i4>
      </vt:variant>
      <vt:variant>
        <vt:i4>5</vt:i4>
      </vt:variant>
      <vt:variant>
        <vt:lpwstr>http://www.nevo.co.il/law/70301/40e</vt:lpwstr>
      </vt:variant>
      <vt:variant>
        <vt:lpwstr/>
      </vt:variant>
      <vt:variant>
        <vt:i4>6619233</vt:i4>
      </vt:variant>
      <vt:variant>
        <vt:i4>129</vt:i4>
      </vt:variant>
      <vt:variant>
        <vt:i4>0</vt:i4>
      </vt:variant>
      <vt:variant>
        <vt:i4>5</vt:i4>
      </vt:variant>
      <vt:variant>
        <vt:lpwstr>http://www.nevo.co.il/law/70301/40d</vt:lpwstr>
      </vt:variant>
      <vt:variant>
        <vt:lpwstr/>
      </vt:variant>
      <vt:variant>
        <vt:i4>7274619</vt:i4>
      </vt:variant>
      <vt:variant>
        <vt:i4>126</vt:i4>
      </vt:variant>
      <vt:variant>
        <vt:i4>0</vt:i4>
      </vt:variant>
      <vt:variant>
        <vt:i4>5</vt:i4>
      </vt:variant>
      <vt:variant>
        <vt:lpwstr>http://www.nevo.co.il/law/70301/40.f.;40.g</vt:lpwstr>
      </vt:variant>
      <vt:variant>
        <vt:lpwstr/>
      </vt:variant>
      <vt:variant>
        <vt:i4>6619233</vt:i4>
      </vt:variant>
      <vt:variant>
        <vt:i4>123</vt:i4>
      </vt:variant>
      <vt:variant>
        <vt:i4>0</vt:i4>
      </vt:variant>
      <vt:variant>
        <vt:i4>5</vt:i4>
      </vt:variant>
      <vt:variant>
        <vt:lpwstr>http://www.nevo.co.il/law/70301/40i</vt:lpwstr>
      </vt:variant>
      <vt:variant>
        <vt:lpwstr/>
      </vt:variant>
      <vt:variant>
        <vt:i4>458763</vt:i4>
      </vt:variant>
      <vt:variant>
        <vt:i4>120</vt:i4>
      </vt:variant>
      <vt:variant>
        <vt:i4>0</vt:i4>
      </vt:variant>
      <vt:variant>
        <vt:i4>5</vt:i4>
      </vt:variant>
      <vt:variant>
        <vt:lpwstr>http://www.nevo.co.il/law/70301/40jb</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4915202</vt:i4>
      </vt:variant>
      <vt:variant>
        <vt:i4>114</vt:i4>
      </vt:variant>
      <vt:variant>
        <vt:i4>0</vt:i4>
      </vt:variant>
      <vt:variant>
        <vt:i4>5</vt:i4>
      </vt:variant>
      <vt:variant>
        <vt:lpwstr>http://www.nevo.co.il/law/70301/40c.b</vt:lpwstr>
      </vt:variant>
      <vt:variant>
        <vt:lpwstr/>
      </vt:variant>
      <vt:variant>
        <vt:i4>6619233</vt:i4>
      </vt:variant>
      <vt:variant>
        <vt:i4>111</vt:i4>
      </vt:variant>
      <vt:variant>
        <vt:i4>0</vt:i4>
      </vt:variant>
      <vt:variant>
        <vt:i4>5</vt:i4>
      </vt:variant>
      <vt:variant>
        <vt:lpwstr>http://www.nevo.co.il/law/70301/40i</vt:lpwstr>
      </vt:variant>
      <vt:variant>
        <vt:lpwstr/>
      </vt:variant>
      <vt:variant>
        <vt:i4>458763</vt:i4>
      </vt:variant>
      <vt:variant>
        <vt:i4>108</vt:i4>
      </vt:variant>
      <vt:variant>
        <vt:i4>0</vt:i4>
      </vt:variant>
      <vt:variant>
        <vt:i4>5</vt:i4>
      </vt:variant>
      <vt:variant>
        <vt:lpwstr>http://www.nevo.co.il/law/70301/40jb</vt:lpwstr>
      </vt:variant>
      <vt:variant>
        <vt:lpwstr/>
      </vt:variant>
      <vt:variant>
        <vt:i4>6619233</vt:i4>
      </vt:variant>
      <vt:variant>
        <vt:i4>105</vt:i4>
      </vt:variant>
      <vt:variant>
        <vt:i4>0</vt:i4>
      </vt:variant>
      <vt:variant>
        <vt:i4>5</vt:i4>
      </vt:variant>
      <vt:variant>
        <vt:lpwstr>http://www.nevo.co.il/law/70301/40i</vt:lpwstr>
      </vt:variant>
      <vt:variant>
        <vt:lpwstr/>
      </vt:variant>
      <vt:variant>
        <vt:i4>4915202</vt:i4>
      </vt:variant>
      <vt:variant>
        <vt:i4>102</vt:i4>
      </vt:variant>
      <vt:variant>
        <vt:i4>0</vt:i4>
      </vt:variant>
      <vt:variant>
        <vt:i4>5</vt:i4>
      </vt:variant>
      <vt:variant>
        <vt:lpwstr>http://www.nevo.co.il/law/70301/40c.a</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http://www.nevo.co.il/law/70301/40b</vt:lpwstr>
      </vt:variant>
      <vt:variant>
        <vt:lpwstr/>
      </vt:variant>
      <vt:variant>
        <vt:i4>4718679</vt:i4>
      </vt:variant>
      <vt:variant>
        <vt:i4>93</vt:i4>
      </vt:variant>
      <vt:variant>
        <vt:i4>0</vt:i4>
      </vt:variant>
      <vt:variant>
        <vt:i4>5</vt:i4>
      </vt:variant>
      <vt:variant>
        <vt:lpwstr>http://www.nevo.co.il/law/141771</vt:lpwstr>
      </vt:variant>
      <vt:variant>
        <vt:lpwstr/>
      </vt:variant>
      <vt:variant>
        <vt:i4>8061048</vt:i4>
      </vt:variant>
      <vt:variant>
        <vt:i4>90</vt:i4>
      </vt:variant>
      <vt:variant>
        <vt:i4>0</vt:i4>
      </vt:variant>
      <vt:variant>
        <vt:i4>5</vt:i4>
      </vt:variant>
      <vt:variant>
        <vt:lpwstr>http://www.nevo.co.il/law/141771/37</vt:lpwstr>
      </vt:variant>
      <vt:variant>
        <vt:lpwstr/>
      </vt:variant>
      <vt:variant>
        <vt:i4>7864431</vt:i4>
      </vt:variant>
      <vt:variant>
        <vt:i4>87</vt:i4>
      </vt:variant>
      <vt:variant>
        <vt:i4>0</vt:i4>
      </vt:variant>
      <vt:variant>
        <vt:i4>5</vt:i4>
      </vt:variant>
      <vt:variant>
        <vt:lpwstr>http://www.nevo.co.il/law/71835</vt:lpwstr>
      </vt:variant>
      <vt:variant>
        <vt:lpwstr/>
      </vt:variant>
      <vt:variant>
        <vt:i4>7274603</vt:i4>
      </vt:variant>
      <vt:variant>
        <vt:i4>84</vt:i4>
      </vt:variant>
      <vt:variant>
        <vt:i4>0</vt:i4>
      </vt:variant>
      <vt:variant>
        <vt:i4>5</vt:i4>
      </vt:variant>
      <vt:variant>
        <vt:lpwstr>http://www.nevo.co.il/law/71835/18</vt:lpwstr>
      </vt:variant>
      <vt:variant>
        <vt:lpwstr/>
      </vt:variant>
      <vt:variant>
        <vt:i4>458832</vt:i4>
      </vt:variant>
      <vt:variant>
        <vt:i4>81</vt:i4>
      </vt:variant>
      <vt:variant>
        <vt:i4>0</vt:i4>
      </vt:variant>
      <vt:variant>
        <vt:i4>5</vt:i4>
      </vt:variant>
      <vt:variant>
        <vt:lpwstr>http://www.nevo.co.il/law/70301/144f</vt:lpwstr>
      </vt:variant>
      <vt:variant>
        <vt:lpwstr/>
      </vt:variant>
      <vt:variant>
        <vt:i4>6291559</vt:i4>
      </vt:variant>
      <vt:variant>
        <vt:i4>78</vt:i4>
      </vt:variant>
      <vt:variant>
        <vt:i4>0</vt:i4>
      </vt:variant>
      <vt:variant>
        <vt:i4>5</vt:i4>
      </vt:variant>
      <vt:variant>
        <vt:lpwstr>http://www.nevo.co.il/law/70301/25</vt:lpwstr>
      </vt:variant>
      <vt:variant>
        <vt:lpwstr/>
      </vt:variant>
      <vt:variant>
        <vt:i4>6291553</vt:i4>
      </vt:variant>
      <vt:variant>
        <vt:i4>75</vt:i4>
      </vt:variant>
      <vt:variant>
        <vt:i4>0</vt:i4>
      </vt:variant>
      <vt:variant>
        <vt:i4>5</vt:i4>
      </vt:variant>
      <vt:variant>
        <vt:lpwstr>http://www.nevo.co.il/law/70301/452</vt:lpwstr>
      </vt:variant>
      <vt:variant>
        <vt:lpwstr/>
      </vt:variant>
      <vt:variant>
        <vt:i4>6291559</vt:i4>
      </vt:variant>
      <vt:variant>
        <vt:i4>72</vt:i4>
      </vt:variant>
      <vt:variant>
        <vt:i4>0</vt:i4>
      </vt:variant>
      <vt:variant>
        <vt:i4>5</vt:i4>
      </vt:variant>
      <vt:variant>
        <vt:lpwstr>http://www.nevo.co.il/law/70301/25</vt:lpwstr>
      </vt:variant>
      <vt:variant>
        <vt:lpwstr/>
      </vt:variant>
      <vt:variant>
        <vt:i4>5177433</vt:i4>
      </vt:variant>
      <vt:variant>
        <vt:i4>69</vt:i4>
      </vt:variant>
      <vt:variant>
        <vt:i4>0</vt:i4>
      </vt:variant>
      <vt:variant>
        <vt:i4>5</vt:i4>
      </vt:variant>
      <vt:variant>
        <vt:lpwstr>http://www.nevo.co.il/law/70301/448.a</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8061048</vt:i4>
      </vt:variant>
      <vt:variant>
        <vt:i4>60</vt:i4>
      </vt:variant>
      <vt:variant>
        <vt:i4>0</vt:i4>
      </vt:variant>
      <vt:variant>
        <vt:i4>5</vt:i4>
      </vt:variant>
      <vt:variant>
        <vt:lpwstr>http://www.nevo.co.il/law/141771/37</vt:lpwstr>
      </vt:variant>
      <vt:variant>
        <vt:lpwstr/>
      </vt:variant>
      <vt:variant>
        <vt:i4>4718679</vt:i4>
      </vt:variant>
      <vt:variant>
        <vt:i4>57</vt:i4>
      </vt:variant>
      <vt:variant>
        <vt:i4>0</vt:i4>
      </vt:variant>
      <vt:variant>
        <vt:i4>5</vt:i4>
      </vt:variant>
      <vt:variant>
        <vt:lpwstr>http://www.nevo.co.il/law/141771</vt:lpwstr>
      </vt:variant>
      <vt:variant>
        <vt:lpwstr/>
      </vt:variant>
      <vt:variant>
        <vt:i4>7274603</vt:i4>
      </vt:variant>
      <vt:variant>
        <vt:i4>54</vt:i4>
      </vt:variant>
      <vt:variant>
        <vt:i4>0</vt:i4>
      </vt:variant>
      <vt:variant>
        <vt:i4>5</vt:i4>
      </vt:variant>
      <vt:variant>
        <vt:lpwstr>http://www.nevo.co.il/law/71835/18</vt:lpwstr>
      </vt:variant>
      <vt:variant>
        <vt:lpwstr/>
      </vt:variant>
      <vt:variant>
        <vt:i4>7864431</vt:i4>
      </vt:variant>
      <vt:variant>
        <vt:i4>51</vt:i4>
      </vt:variant>
      <vt:variant>
        <vt:i4>0</vt:i4>
      </vt:variant>
      <vt:variant>
        <vt:i4>5</vt:i4>
      </vt:variant>
      <vt:variant>
        <vt:lpwstr>http://www.nevo.co.il/law/71835</vt:lpwstr>
      </vt:variant>
      <vt:variant>
        <vt:lpwstr/>
      </vt:variant>
      <vt:variant>
        <vt:i4>6291553</vt:i4>
      </vt:variant>
      <vt:variant>
        <vt:i4>48</vt:i4>
      </vt:variant>
      <vt:variant>
        <vt:i4>0</vt:i4>
      </vt:variant>
      <vt:variant>
        <vt:i4>5</vt:i4>
      </vt:variant>
      <vt:variant>
        <vt:lpwstr>http://www.nevo.co.il/law/70301/452</vt:lpwstr>
      </vt:variant>
      <vt:variant>
        <vt:lpwstr/>
      </vt:variant>
      <vt:variant>
        <vt:i4>5177433</vt:i4>
      </vt:variant>
      <vt:variant>
        <vt:i4>45</vt:i4>
      </vt:variant>
      <vt:variant>
        <vt:i4>0</vt:i4>
      </vt:variant>
      <vt:variant>
        <vt:i4>5</vt:i4>
      </vt:variant>
      <vt:variant>
        <vt:lpwstr>http://www.nevo.co.il/law/70301/448.a</vt:lpwstr>
      </vt:variant>
      <vt:variant>
        <vt:lpwstr/>
      </vt:variant>
      <vt:variant>
        <vt:i4>458763</vt:i4>
      </vt:variant>
      <vt:variant>
        <vt:i4>42</vt:i4>
      </vt:variant>
      <vt:variant>
        <vt:i4>0</vt:i4>
      </vt:variant>
      <vt:variant>
        <vt:i4>5</vt:i4>
      </vt:variant>
      <vt:variant>
        <vt:lpwstr>http://www.nevo.co.il/law/70301/40jb</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458832</vt:i4>
      </vt:variant>
      <vt:variant>
        <vt:i4>36</vt:i4>
      </vt:variant>
      <vt:variant>
        <vt:i4>0</vt:i4>
      </vt:variant>
      <vt:variant>
        <vt:i4>5</vt:i4>
      </vt:variant>
      <vt:variant>
        <vt:lpwstr>http://www.nevo.co.il/law/70301/144f</vt:lpwstr>
      </vt:variant>
      <vt:variant>
        <vt:lpwstr/>
      </vt:variant>
      <vt:variant>
        <vt:i4>5177424</vt:i4>
      </vt:variant>
      <vt:variant>
        <vt:i4>33</vt:i4>
      </vt:variant>
      <vt:variant>
        <vt:i4>0</vt:i4>
      </vt:variant>
      <vt:variant>
        <vt:i4>5</vt:i4>
      </vt:variant>
      <vt:variant>
        <vt:lpwstr>http://www.nevo.co.il/law/70301/144.g</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http://www.nevo.co.il/law/70301/40e</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131151</vt:i4>
      </vt:variant>
      <vt:variant>
        <vt:i4>9</vt:i4>
      </vt:variant>
      <vt:variant>
        <vt:i4>0</vt:i4>
      </vt:variant>
      <vt:variant>
        <vt:i4>5</vt:i4>
      </vt:variant>
      <vt:variant>
        <vt:lpwstr>http://www.nevo.co.il/law/70301/40.g</vt:lpwstr>
      </vt:variant>
      <vt:variant>
        <vt:lpwstr/>
      </vt:variant>
      <vt:variant>
        <vt:i4>196687</vt:i4>
      </vt:variant>
      <vt:variant>
        <vt:i4>6</vt:i4>
      </vt:variant>
      <vt:variant>
        <vt:i4>0</vt:i4>
      </vt:variant>
      <vt:variant>
        <vt:i4>5</vt:i4>
      </vt:variant>
      <vt:variant>
        <vt:lpwstr>http://www.nevo.co.il/law/70301/40.f.</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ariant>
        <vt:i4>3342452</vt:i4>
      </vt:variant>
      <vt:variant>
        <vt:i4>0</vt:i4>
      </vt:variant>
      <vt:variant>
        <vt:i4>0</vt:i4>
      </vt:variant>
      <vt:variant>
        <vt:i4>5</vt:i4>
      </vt:variant>
      <vt:variant>
        <vt:lpwstr>http://www.nevo.co.il/case/27234477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2025-01-19T16:58:00Z</dcterms:created>
  <dcterms:modified xsi:type="dcterms:W3CDTF">2025-01-19T16:58:00Z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11167</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אברהים חב רמאן</vt:lpwstr>
  </property>
  <property fmtid="{D5CDD505-2E9C-101B-9397-08002B2CF9AE}" pid="10" name="LAWYER">
    <vt:lpwstr>עפרי מלצר;נתי בן חמו;חמזה קוטינה</vt:lpwstr>
  </property>
  <property fmtid="{D5CDD505-2E9C-101B-9397-08002B2CF9AE}" pid="11" name="JUDGE">
    <vt:lpwstr>אלעזר נחלון</vt:lpwstr>
  </property>
  <property fmtid="{D5CDD505-2E9C-101B-9397-08002B2CF9AE}" pid="12" name="CITY">
    <vt:lpwstr>י-ם</vt:lpwstr>
  </property>
  <property fmtid="{D5CDD505-2E9C-101B-9397-08002B2CF9AE}" pid="13" name="DATE">
    <vt:lpwstr>20230611</vt:lpwstr>
  </property>
  <property fmtid="{D5CDD505-2E9C-101B-9397-08002B2CF9AE}" pid="14" name="TYPE_N_DATE">
    <vt:lpwstr>39020230611</vt:lpwstr>
  </property>
  <property fmtid="{D5CDD505-2E9C-101B-9397-08002B2CF9AE}" pid="15" name="WORDNUMPAGES">
    <vt:lpwstr>12</vt:lpwstr>
  </property>
  <property fmtid="{D5CDD505-2E9C-101B-9397-08002B2CF9AE}" pid="16" name="TYPE_ABS_DATE">
    <vt:lpwstr>390020230611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29173557;28952840:2;6147412;21476340;20923902;28770694;7665459;6859579;27654256;22576642:2;7681198;21044600:2;28266138;27925239;7998009;23506710;28429424;26312599;23879124;24150934;25585384;26545809;27242000;16892819;28681545;27234477</vt:lpwstr>
  </property>
  <property fmtid="{D5CDD505-2E9C-101B-9397-08002B2CF9AE}" pid="36" name="LAWLISTTMP1">
    <vt:lpwstr>70301/144.b:2;448.a:2;025:4;452:2;144f:2;040b:2;040c.a:2;040i:8;40jb:4;040c.b:2;40ja:4;040.f:2;040.g:2;040d:2;040e:2;144.g:2</vt:lpwstr>
  </property>
  <property fmtid="{D5CDD505-2E9C-101B-9397-08002B2CF9AE}" pid="37" name="LAWLISTTMP2">
    <vt:lpwstr>71835/018:2</vt:lpwstr>
  </property>
  <property fmtid="{D5CDD505-2E9C-101B-9397-08002B2CF9AE}" pid="38" name="LAWLISTTMP3">
    <vt:lpwstr>141771/037:2</vt:lpwstr>
  </property>
</Properties>
</file>