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343D19" w:rsidRPr="00FC5E1E" w14:paraId="5DEE0303" w14:textId="77777777" w:rsidTr="00E92673">
        <w:trPr>
          <w:trHeight w:hRule="exact" w:val="418"/>
          <w:jc w:val="center"/>
        </w:trPr>
        <w:tc>
          <w:tcPr>
            <w:tcW w:w="8861" w:type="dxa"/>
            <w:gridSpan w:val="2"/>
          </w:tcPr>
          <w:p w14:paraId="5555F6E8" w14:textId="77777777" w:rsidR="00343D19" w:rsidRPr="00FC5E1E" w:rsidRDefault="00343D19" w:rsidP="00E92673">
            <w:pPr>
              <w:pStyle w:val="a3"/>
              <w:jc w:val="center"/>
              <w:rPr>
                <w:rFonts w:ascii="Tahoma" w:hAnsi="Tahoma" w:cs="Tahoma"/>
                <w:color w:val="000080"/>
                <w:rtl/>
              </w:rPr>
            </w:pPr>
            <w:bookmarkStart w:id="0" w:name="LastJudge"/>
            <w:r w:rsidRPr="00FC5E1E">
              <w:rPr>
                <w:rFonts w:ascii="Tahoma" w:hAnsi="Tahoma" w:cs="Tahoma"/>
                <w:b/>
                <w:bCs/>
                <w:color w:val="000080"/>
                <w:rtl/>
              </w:rPr>
              <w:t>בית המשפט המחוזי בחיפה</w:t>
            </w:r>
          </w:p>
        </w:tc>
      </w:tr>
      <w:tr w:rsidR="00343D19" w:rsidRPr="00FC5E1E" w14:paraId="6D3D02F4" w14:textId="77777777" w:rsidTr="00E92673">
        <w:trPr>
          <w:trHeight w:val="337"/>
          <w:jc w:val="center"/>
        </w:trPr>
        <w:tc>
          <w:tcPr>
            <w:tcW w:w="5131" w:type="dxa"/>
          </w:tcPr>
          <w:p w14:paraId="0EF6770A" w14:textId="77777777" w:rsidR="00343D19" w:rsidRPr="00FC5E1E" w:rsidRDefault="00343D19" w:rsidP="00E92673">
            <w:pPr>
              <w:rPr>
                <w:rFonts w:cs="FrankRuehl"/>
                <w:sz w:val="28"/>
                <w:szCs w:val="28"/>
                <w:rtl/>
              </w:rPr>
            </w:pPr>
            <w:r w:rsidRPr="00FC5E1E">
              <w:rPr>
                <w:rFonts w:cs="FrankRuehl"/>
                <w:sz w:val="28"/>
                <w:szCs w:val="28"/>
                <w:rtl/>
              </w:rPr>
              <w:t>ת"פ</w:t>
            </w:r>
            <w:r w:rsidRPr="00FC5E1E">
              <w:rPr>
                <w:rFonts w:cs="FrankRuehl" w:hint="cs"/>
                <w:sz w:val="28"/>
                <w:szCs w:val="28"/>
                <w:rtl/>
              </w:rPr>
              <w:t xml:space="preserve"> </w:t>
            </w:r>
            <w:r w:rsidRPr="00FC5E1E">
              <w:rPr>
                <w:rFonts w:cs="FrankRuehl"/>
                <w:sz w:val="28"/>
                <w:szCs w:val="28"/>
                <w:rtl/>
              </w:rPr>
              <w:t>26702-01-23</w:t>
            </w:r>
            <w:r w:rsidRPr="00FC5E1E">
              <w:rPr>
                <w:rFonts w:cs="FrankRuehl" w:hint="cs"/>
                <w:sz w:val="28"/>
                <w:szCs w:val="28"/>
                <w:rtl/>
              </w:rPr>
              <w:t xml:space="preserve"> </w:t>
            </w:r>
            <w:r w:rsidRPr="00FC5E1E">
              <w:rPr>
                <w:rFonts w:cs="FrankRuehl"/>
                <w:sz w:val="28"/>
                <w:szCs w:val="28"/>
                <w:rtl/>
              </w:rPr>
              <w:t>מדינת ישראל נ' אבו עסבה(עציר)</w:t>
            </w:r>
          </w:p>
          <w:p w14:paraId="20417228" w14:textId="77777777" w:rsidR="00343D19" w:rsidRPr="00FC5E1E" w:rsidRDefault="00343D19" w:rsidP="00E92673">
            <w:pPr>
              <w:pStyle w:val="a3"/>
              <w:rPr>
                <w:rFonts w:cs="FrankRuehl"/>
                <w:sz w:val="28"/>
                <w:szCs w:val="28"/>
                <w:rtl/>
              </w:rPr>
            </w:pPr>
          </w:p>
        </w:tc>
        <w:tc>
          <w:tcPr>
            <w:tcW w:w="3730" w:type="dxa"/>
          </w:tcPr>
          <w:p w14:paraId="09C532DD" w14:textId="77777777" w:rsidR="00343D19" w:rsidRPr="00FC5E1E" w:rsidRDefault="00343D19" w:rsidP="00E92673">
            <w:pPr>
              <w:pStyle w:val="a3"/>
              <w:jc w:val="right"/>
              <w:rPr>
                <w:rFonts w:cs="FrankRuehl"/>
                <w:sz w:val="28"/>
                <w:szCs w:val="28"/>
                <w:rtl/>
              </w:rPr>
            </w:pPr>
          </w:p>
        </w:tc>
      </w:tr>
    </w:tbl>
    <w:p w14:paraId="58A72D18" w14:textId="77777777" w:rsidR="00343D19" w:rsidRPr="00FC5E1E" w:rsidRDefault="00343D19" w:rsidP="00343D19">
      <w:pPr>
        <w:pStyle w:val="a3"/>
        <w:rPr>
          <w:rtl/>
        </w:rPr>
      </w:pPr>
      <w:r w:rsidRPr="00FC5E1E">
        <w:rPr>
          <w:rFonts w:hint="cs"/>
          <w:rtl/>
        </w:rPr>
        <w:t xml:space="preserve"> </w:t>
      </w:r>
    </w:p>
    <w:p w14:paraId="2079E5A3" w14:textId="77777777" w:rsidR="00343D19" w:rsidRPr="00FC5E1E" w:rsidRDefault="00343D19" w:rsidP="00343D19">
      <w:pPr>
        <w:rPr>
          <w:rtl/>
        </w:rPr>
      </w:pPr>
    </w:p>
    <w:p w14:paraId="7F6B519D" w14:textId="77777777" w:rsidR="00343D19" w:rsidRPr="00FC5E1E" w:rsidRDefault="00343D19" w:rsidP="00343D1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43D19" w:rsidRPr="00FC5E1E" w14:paraId="55E89F2A" w14:textId="77777777" w:rsidTr="00343D19">
        <w:trPr>
          <w:trHeight w:val="295"/>
          <w:jc w:val="center"/>
        </w:trPr>
        <w:tc>
          <w:tcPr>
            <w:tcW w:w="923" w:type="dxa"/>
            <w:tcBorders>
              <w:top w:val="nil"/>
              <w:left w:val="nil"/>
              <w:bottom w:val="nil"/>
              <w:right w:val="nil"/>
            </w:tcBorders>
            <w:shd w:val="clear" w:color="auto" w:fill="auto"/>
          </w:tcPr>
          <w:p w14:paraId="5326E51A" w14:textId="77777777" w:rsidR="00343D19" w:rsidRPr="00FC5E1E" w:rsidRDefault="00343D19" w:rsidP="00343D19">
            <w:pPr>
              <w:jc w:val="both"/>
              <w:rPr>
                <w:rFonts w:ascii="David" w:hAnsi="David"/>
                <w:sz w:val="26"/>
                <w:szCs w:val="26"/>
              </w:rPr>
            </w:pPr>
            <w:r w:rsidRPr="00FC5E1E">
              <w:rPr>
                <w:rFonts w:ascii="David" w:hAnsi="David" w:hint="cs"/>
                <w:sz w:val="26"/>
                <w:szCs w:val="26"/>
                <w:rtl/>
              </w:rPr>
              <w:t>ל</w:t>
            </w:r>
            <w:r w:rsidRPr="00FC5E1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62FF409" w14:textId="77777777" w:rsidR="00343D19" w:rsidRPr="00FC5E1E" w:rsidRDefault="00343D19" w:rsidP="00E92673">
            <w:pPr>
              <w:rPr>
                <w:rFonts w:ascii="David" w:hAnsi="David"/>
                <w:b/>
                <w:bCs/>
                <w:sz w:val="26"/>
                <w:szCs w:val="26"/>
                <w:rtl/>
              </w:rPr>
            </w:pPr>
            <w:r w:rsidRPr="00FC5E1E">
              <w:rPr>
                <w:rFonts w:ascii="David" w:hAnsi="David"/>
                <w:b/>
                <w:bCs/>
                <w:sz w:val="26"/>
                <w:szCs w:val="26"/>
                <w:rtl/>
              </w:rPr>
              <w:t>כבוד השופט  גיל קרזבום</w:t>
            </w:r>
          </w:p>
          <w:p w14:paraId="48B1ABBA" w14:textId="77777777" w:rsidR="00343D19" w:rsidRPr="00FC5E1E" w:rsidRDefault="00343D19" w:rsidP="00E92673">
            <w:pPr>
              <w:rPr>
                <w:rFonts w:ascii="David" w:hAnsi="David"/>
                <w:sz w:val="26"/>
                <w:szCs w:val="26"/>
                <w:rtl/>
              </w:rPr>
            </w:pPr>
          </w:p>
          <w:p w14:paraId="6315C9B9" w14:textId="77777777" w:rsidR="00343D19" w:rsidRPr="00FC5E1E" w:rsidRDefault="00343D19" w:rsidP="00343D19">
            <w:pPr>
              <w:jc w:val="both"/>
              <w:rPr>
                <w:rFonts w:ascii="David" w:hAnsi="David"/>
                <w:sz w:val="26"/>
                <w:szCs w:val="26"/>
              </w:rPr>
            </w:pPr>
          </w:p>
        </w:tc>
      </w:tr>
      <w:tr w:rsidR="00343D19" w:rsidRPr="00FC5E1E" w14:paraId="4602F02A" w14:textId="77777777" w:rsidTr="00343D19">
        <w:trPr>
          <w:trHeight w:val="355"/>
          <w:jc w:val="center"/>
        </w:trPr>
        <w:tc>
          <w:tcPr>
            <w:tcW w:w="923" w:type="dxa"/>
            <w:tcBorders>
              <w:top w:val="nil"/>
              <w:left w:val="nil"/>
              <w:bottom w:val="nil"/>
              <w:right w:val="nil"/>
            </w:tcBorders>
            <w:shd w:val="clear" w:color="auto" w:fill="auto"/>
          </w:tcPr>
          <w:p w14:paraId="582EE9BE" w14:textId="77777777" w:rsidR="00343D19" w:rsidRPr="00FC5E1E" w:rsidRDefault="00343D19" w:rsidP="00343D19">
            <w:pPr>
              <w:jc w:val="both"/>
              <w:rPr>
                <w:rFonts w:ascii="David" w:hAnsi="David"/>
                <w:sz w:val="26"/>
                <w:szCs w:val="26"/>
              </w:rPr>
            </w:pPr>
            <w:bookmarkStart w:id="1" w:name="FirstAppellant"/>
            <w:r w:rsidRPr="00FC5E1E">
              <w:rPr>
                <w:rFonts w:ascii="David" w:hAnsi="David"/>
                <w:sz w:val="26"/>
                <w:szCs w:val="26"/>
                <w:rtl/>
              </w:rPr>
              <w:t>בעניין:</w:t>
            </w:r>
          </w:p>
        </w:tc>
        <w:tc>
          <w:tcPr>
            <w:tcW w:w="3219" w:type="dxa"/>
            <w:tcBorders>
              <w:top w:val="nil"/>
              <w:left w:val="nil"/>
              <w:bottom w:val="nil"/>
              <w:right w:val="nil"/>
            </w:tcBorders>
            <w:shd w:val="clear" w:color="auto" w:fill="auto"/>
          </w:tcPr>
          <w:p w14:paraId="1ACA15E9" w14:textId="77777777" w:rsidR="00343D19" w:rsidRPr="00FC5E1E" w:rsidRDefault="00343D19" w:rsidP="00343D19">
            <w:pPr>
              <w:suppressLineNumbers/>
            </w:pPr>
            <w:r w:rsidRPr="00FC5E1E">
              <w:rPr>
                <w:rFonts w:ascii="Arial" w:hAnsi="Arial" w:hint="cs"/>
                <w:b/>
                <w:bCs/>
                <w:sz w:val="26"/>
                <w:szCs w:val="26"/>
                <w:rtl/>
              </w:rPr>
              <w:t>ה</w:t>
            </w:r>
            <w:r w:rsidRPr="00FC5E1E">
              <w:rPr>
                <w:rFonts w:ascii="Arial" w:hAnsi="Arial"/>
                <w:b/>
                <w:bCs/>
                <w:sz w:val="26"/>
                <w:szCs w:val="26"/>
                <w:rtl/>
              </w:rPr>
              <w:t>מאשימה</w:t>
            </w:r>
          </w:p>
          <w:p w14:paraId="55B75719" w14:textId="77777777" w:rsidR="00343D19" w:rsidRPr="00FC5E1E" w:rsidRDefault="00343D19" w:rsidP="00E92673">
            <w:pPr>
              <w:rPr>
                <w:rFonts w:ascii="David" w:hAnsi="David"/>
                <w:sz w:val="26"/>
                <w:szCs w:val="26"/>
              </w:rPr>
            </w:pPr>
          </w:p>
        </w:tc>
        <w:tc>
          <w:tcPr>
            <w:tcW w:w="4678" w:type="dxa"/>
            <w:tcBorders>
              <w:top w:val="nil"/>
              <w:left w:val="nil"/>
              <w:bottom w:val="nil"/>
              <w:right w:val="nil"/>
            </w:tcBorders>
            <w:shd w:val="clear" w:color="auto" w:fill="auto"/>
            <w:vAlign w:val="center"/>
          </w:tcPr>
          <w:p w14:paraId="7595308C" w14:textId="77777777" w:rsidR="00343D19" w:rsidRPr="00FC5E1E" w:rsidRDefault="00343D19" w:rsidP="00343D19">
            <w:pPr>
              <w:suppressLineNumbers/>
            </w:pPr>
            <w:r w:rsidRPr="00FC5E1E">
              <w:rPr>
                <w:rFonts w:ascii="Arial" w:hAnsi="Arial"/>
                <w:b/>
                <w:bCs/>
                <w:sz w:val="26"/>
                <w:szCs w:val="26"/>
                <w:rtl/>
              </w:rPr>
              <w:t>מדינת ישראל</w:t>
            </w:r>
          </w:p>
          <w:p w14:paraId="77745C39" w14:textId="77777777" w:rsidR="00343D19" w:rsidRPr="00FC5E1E" w:rsidRDefault="00343D19" w:rsidP="00E92673">
            <w:pPr>
              <w:rPr>
                <w:rFonts w:ascii="David" w:hAnsi="David"/>
                <w:sz w:val="26"/>
                <w:szCs w:val="26"/>
              </w:rPr>
            </w:pPr>
          </w:p>
        </w:tc>
      </w:tr>
      <w:bookmarkEnd w:id="1"/>
      <w:tr w:rsidR="00343D19" w:rsidRPr="00FC5E1E" w14:paraId="697BD85F" w14:textId="77777777" w:rsidTr="00343D19">
        <w:trPr>
          <w:trHeight w:val="355"/>
          <w:jc w:val="center"/>
        </w:trPr>
        <w:tc>
          <w:tcPr>
            <w:tcW w:w="923" w:type="dxa"/>
            <w:tcBorders>
              <w:top w:val="nil"/>
              <w:left w:val="nil"/>
              <w:bottom w:val="nil"/>
              <w:right w:val="nil"/>
            </w:tcBorders>
            <w:shd w:val="clear" w:color="auto" w:fill="auto"/>
          </w:tcPr>
          <w:p w14:paraId="79C46607" w14:textId="77777777" w:rsidR="00343D19" w:rsidRPr="00FC5E1E" w:rsidRDefault="00343D19" w:rsidP="00343D1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E8B1486" w14:textId="77777777" w:rsidR="00343D19" w:rsidRPr="00FC5E1E" w:rsidRDefault="00343D19" w:rsidP="00343D19">
            <w:pPr>
              <w:jc w:val="center"/>
              <w:rPr>
                <w:rFonts w:ascii="David" w:hAnsi="David"/>
                <w:b/>
                <w:bCs/>
                <w:sz w:val="26"/>
                <w:szCs w:val="26"/>
                <w:rtl/>
              </w:rPr>
            </w:pPr>
          </w:p>
          <w:p w14:paraId="389F4DCB" w14:textId="77777777" w:rsidR="00343D19" w:rsidRPr="00FC5E1E" w:rsidRDefault="00343D19" w:rsidP="00343D19">
            <w:pPr>
              <w:jc w:val="center"/>
              <w:rPr>
                <w:rFonts w:ascii="David" w:hAnsi="David"/>
                <w:b/>
                <w:bCs/>
                <w:sz w:val="26"/>
                <w:szCs w:val="26"/>
                <w:rtl/>
              </w:rPr>
            </w:pPr>
            <w:r w:rsidRPr="00FC5E1E">
              <w:rPr>
                <w:rFonts w:ascii="David" w:hAnsi="David"/>
                <w:b/>
                <w:bCs/>
                <w:sz w:val="26"/>
                <w:szCs w:val="26"/>
                <w:rtl/>
              </w:rPr>
              <w:t>נגד</w:t>
            </w:r>
          </w:p>
          <w:p w14:paraId="52783AFD" w14:textId="77777777" w:rsidR="00343D19" w:rsidRPr="00FC5E1E" w:rsidRDefault="00343D19" w:rsidP="00343D19">
            <w:pPr>
              <w:jc w:val="both"/>
              <w:rPr>
                <w:rFonts w:ascii="David" w:hAnsi="David"/>
                <w:sz w:val="26"/>
                <w:szCs w:val="26"/>
              </w:rPr>
            </w:pPr>
          </w:p>
        </w:tc>
      </w:tr>
      <w:tr w:rsidR="00343D19" w:rsidRPr="00FC5E1E" w14:paraId="6474FD7A" w14:textId="77777777" w:rsidTr="00343D19">
        <w:trPr>
          <w:trHeight w:val="355"/>
          <w:jc w:val="center"/>
        </w:trPr>
        <w:tc>
          <w:tcPr>
            <w:tcW w:w="923" w:type="dxa"/>
            <w:tcBorders>
              <w:top w:val="nil"/>
              <w:left w:val="nil"/>
              <w:bottom w:val="nil"/>
              <w:right w:val="nil"/>
            </w:tcBorders>
            <w:shd w:val="clear" w:color="auto" w:fill="auto"/>
          </w:tcPr>
          <w:p w14:paraId="4F2893E5" w14:textId="77777777" w:rsidR="00343D19" w:rsidRPr="00FC5E1E" w:rsidRDefault="00343D19" w:rsidP="00E92673">
            <w:pPr>
              <w:rPr>
                <w:rFonts w:ascii="David" w:hAnsi="David"/>
                <w:sz w:val="26"/>
                <w:szCs w:val="26"/>
                <w:rtl/>
              </w:rPr>
            </w:pPr>
          </w:p>
        </w:tc>
        <w:tc>
          <w:tcPr>
            <w:tcW w:w="3219" w:type="dxa"/>
            <w:tcBorders>
              <w:top w:val="nil"/>
              <w:left w:val="nil"/>
              <w:bottom w:val="nil"/>
              <w:right w:val="nil"/>
            </w:tcBorders>
            <w:shd w:val="clear" w:color="auto" w:fill="auto"/>
          </w:tcPr>
          <w:p w14:paraId="62BE9ACC" w14:textId="77777777" w:rsidR="00343D19" w:rsidRPr="00FC5E1E" w:rsidRDefault="00343D19" w:rsidP="00E92673">
            <w:pPr>
              <w:rPr>
                <w:rFonts w:ascii="Arial" w:hAnsi="Arial"/>
                <w:b/>
                <w:bCs/>
                <w:sz w:val="26"/>
                <w:szCs w:val="26"/>
                <w:rtl/>
              </w:rPr>
            </w:pPr>
            <w:r w:rsidRPr="00FC5E1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5455F72" w14:textId="77777777" w:rsidR="00343D19" w:rsidRPr="00FC5E1E" w:rsidRDefault="00343D19" w:rsidP="00343D19">
            <w:pPr>
              <w:suppressLineNumbers/>
            </w:pPr>
            <w:r w:rsidRPr="00FC5E1E">
              <w:rPr>
                <w:rFonts w:ascii="Arial" w:hAnsi="Arial"/>
                <w:b/>
                <w:bCs/>
                <w:sz w:val="26"/>
                <w:szCs w:val="26"/>
                <w:rtl/>
              </w:rPr>
              <w:t xml:space="preserve">מוחמד אבו עסבה </w:t>
            </w:r>
          </w:p>
          <w:p w14:paraId="116B825E" w14:textId="77777777" w:rsidR="00343D19" w:rsidRPr="00FC5E1E" w:rsidRDefault="00343D19" w:rsidP="00E92673">
            <w:pPr>
              <w:rPr>
                <w:rFonts w:ascii="David" w:hAnsi="David"/>
                <w:sz w:val="26"/>
                <w:szCs w:val="26"/>
              </w:rPr>
            </w:pPr>
          </w:p>
        </w:tc>
      </w:tr>
    </w:tbl>
    <w:p w14:paraId="772D2D66" w14:textId="77777777" w:rsidR="00FC5E1E" w:rsidRPr="00FC5E1E" w:rsidRDefault="00FC5E1E" w:rsidP="00FC5E1E">
      <w:pPr>
        <w:spacing w:before="120" w:after="120" w:line="240" w:lineRule="exact"/>
        <w:ind w:left="283" w:hanging="283"/>
        <w:jc w:val="both"/>
        <w:rPr>
          <w:rFonts w:ascii="FrankRuehl" w:hAnsi="FrankRuehl" w:cs="FrankRuehl"/>
          <w:rtl/>
        </w:rPr>
      </w:pPr>
    </w:p>
    <w:p w14:paraId="1B339A78" w14:textId="77777777" w:rsidR="00561BB7" w:rsidRPr="00561BB7" w:rsidRDefault="00561BB7" w:rsidP="00561BB7">
      <w:pPr>
        <w:spacing w:before="120" w:after="120" w:line="240" w:lineRule="exact"/>
        <w:ind w:left="283" w:hanging="283"/>
        <w:jc w:val="both"/>
        <w:rPr>
          <w:rFonts w:ascii="FrankRuehl" w:hAnsi="FrankRuehl" w:cs="FrankRuehl"/>
          <w:rtl/>
        </w:rPr>
      </w:pPr>
      <w:bookmarkStart w:id="2" w:name="LawTable"/>
      <w:bookmarkEnd w:id="2"/>
      <w:r w:rsidRPr="00561BB7">
        <w:rPr>
          <w:rFonts w:ascii="FrankRuehl" w:hAnsi="FrankRuehl" w:cs="FrankRuehl"/>
          <w:rtl/>
        </w:rPr>
        <w:t xml:space="preserve">חקיקה שאוזכרה: </w:t>
      </w:r>
    </w:p>
    <w:p w14:paraId="25B99D2D" w14:textId="77777777" w:rsidR="00561BB7" w:rsidRPr="00561BB7" w:rsidRDefault="00561BB7" w:rsidP="00561BB7">
      <w:pPr>
        <w:spacing w:before="120" w:after="120" w:line="240" w:lineRule="exact"/>
        <w:ind w:left="283" w:hanging="283"/>
        <w:jc w:val="both"/>
        <w:rPr>
          <w:rFonts w:ascii="FrankRuehl" w:hAnsi="FrankRuehl" w:cs="FrankRuehl"/>
          <w:color w:val="0000FF"/>
          <w:rtl/>
        </w:rPr>
      </w:pPr>
      <w:hyperlink r:id="rId7" w:history="1">
        <w:r w:rsidRPr="00561BB7">
          <w:rPr>
            <w:rStyle w:val="Hyperlink"/>
            <w:rFonts w:ascii="FrankRuehl" w:hAnsi="FrankRuehl" w:cs="FrankRuehl"/>
            <w:u w:val="none"/>
            <w:rtl/>
          </w:rPr>
          <w:t>חוק העונשין, תשל"ז-1977</w:t>
        </w:r>
      </w:hyperlink>
      <w:r w:rsidRPr="00561BB7">
        <w:rPr>
          <w:rFonts w:ascii="FrankRuehl" w:hAnsi="FrankRuehl" w:cs="FrankRuehl"/>
          <w:color w:val="0000FF"/>
          <w:rtl/>
        </w:rPr>
        <w:t xml:space="preserve">: סע'  </w:t>
      </w:r>
      <w:hyperlink r:id="rId8" w:history="1">
        <w:r w:rsidRPr="00561BB7">
          <w:rPr>
            <w:rStyle w:val="Hyperlink"/>
            <w:rFonts w:ascii="FrankRuehl" w:hAnsi="FrankRuehl" w:cs="FrankRuehl"/>
            <w:u w:val="none"/>
          </w:rPr>
          <w:t xml:space="preserve">40 </w:t>
        </w:r>
        <w:r w:rsidRPr="00561BB7">
          <w:rPr>
            <w:rStyle w:val="Hyperlink"/>
            <w:rFonts w:ascii="FrankRuehl" w:hAnsi="FrankRuehl" w:cs="FrankRuehl"/>
            <w:u w:val="none"/>
            <w:rtl/>
          </w:rPr>
          <w:t>א</w:t>
        </w:r>
      </w:hyperlink>
      <w:r w:rsidRPr="00561BB7">
        <w:rPr>
          <w:rFonts w:ascii="FrankRuehl" w:hAnsi="FrankRuehl" w:cs="FrankRuehl"/>
          <w:color w:val="0000FF"/>
          <w:rtl/>
        </w:rPr>
        <w:t xml:space="preserve">, </w:t>
      </w:r>
      <w:hyperlink r:id="rId9" w:history="1">
        <w:r w:rsidRPr="00561BB7">
          <w:rPr>
            <w:rStyle w:val="Hyperlink"/>
            <w:rFonts w:ascii="FrankRuehl" w:hAnsi="FrankRuehl" w:cs="FrankRuehl"/>
            <w:u w:val="none"/>
          </w:rPr>
          <w:t>144</w:t>
        </w:r>
      </w:hyperlink>
      <w:r w:rsidRPr="00561BB7">
        <w:rPr>
          <w:rFonts w:ascii="FrankRuehl" w:hAnsi="FrankRuehl" w:cs="FrankRuehl"/>
          <w:color w:val="0000FF"/>
          <w:rtl/>
        </w:rPr>
        <w:t xml:space="preserve">(ב), </w:t>
      </w:r>
      <w:hyperlink r:id="rId10" w:history="1">
        <w:r w:rsidRPr="00561BB7">
          <w:rPr>
            <w:rStyle w:val="Hyperlink"/>
            <w:rFonts w:ascii="FrankRuehl" w:hAnsi="FrankRuehl" w:cs="FrankRuehl"/>
            <w:u w:val="none"/>
          </w:rPr>
          <w:t>333</w:t>
        </w:r>
      </w:hyperlink>
      <w:r w:rsidRPr="00561BB7">
        <w:rPr>
          <w:rFonts w:ascii="FrankRuehl" w:hAnsi="FrankRuehl" w:cs="FrankRuehl"/>
          <w:color w:val="0000FF"/>
          <w:rtl/>
        </w:rPr>
        <w:t xml:space="preserve">, </w:t>
      </w:r>
      <w:hyperlink r:id="rId11" w:history="1">
        <w:r w:rsidRPr="00561BB7">
          <w:rPr>
            <w:rStyle w:val="Hyperlink"/>
            <w:rFonts w:ascii="FrankRuehl" w:hAnsi="FrankRuehl" w:cs="FrankRuehl"/>
            <w:u w:val="none"/>
          </w:rPr>
          <w:t>335</w:t>
        </w:r>
      </w:hyperlink>
      <w:r w:rsidRPr="00561BB7">
        <w:rPr>
          <w:rFonts w:ascii="FrankRuehl" w:hAnsi="FrankRuehl" w:cs="FrankRuehl"/>
          <w:color w:val="0000FF"/>
          <w:rtl/>
        </w:rPr>
        <w:t xml:space="preserve">(א)(1), </w:t>
      </w:r>
      <w:hyperlink r:id="rId12" w:history="1">
        <w:r w:rsidRPr="00561BB7">
          <w:rPr>
            <w:rStyle w:val="Hyperlink"/>
            <w:rFonts w:ascii="FrankRuehl" w:hAnsi="FrankRuehl" w:cs="FrankRuehl"/>
            <w:u w:val="none"/>
            <w:rtl/>
          </w:rPr>
          <w:t>א' 1</w:t>
        </w:r>
      </w:hyperlink>
    </w:p>
    <w:p w14:paraId="5CCF87EF" w14:textId="77777777" w:rsidR="00343D19" w:rsidRPr="00561BB7" w:rsidRDefault="00343D19" w:rsidP="00561BB7">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3D19" w14:paraId="1F434D35" w14:textId="77777777" w:rsidTr="00343D19">
        <w:trPr>
          <w:trHeight w:val="355"/>
          <w:jc w:val="center"/>
        </w:trPr>
        <w:tc>
          <w:tcPr>
            <w:tcW w:w="8820" w:type="dxa"/>
            <w:tcBorders>
              <w:top w:val="nil"/>
              <w:left w:val="nil"/>
              <w:bottom w:val="nil"/>
              <w:right w:val="nil"/>
            </w:tcBorders>
            <w:shd w:val="clear" w:color="auto" w:fill="auto"/>
          </w:tcPr>
          <w:p w14:paraId="209ECBB2" w14:textId="77777777" w:rsidR="00FC5E1E" w:rsidRPr="00FC5E1E" w:rsidRDefault="00FC5E1E" w:rsidP="00FC5E1E">
            <w:pPr>
              <w:jc w:val="center"/>
              <w:rPr>
                <w:rFonts w:ascii="David" w:hAnsi="David"/>
                <w:b/>
                <w:bCs/>
                <w:sz w:val="32"/>
                <w:szCs w:val="32"/>
                <w:u w:val="single"/>
                <w:rtl/>
              </w:rPr>
            </w:pPr>
            <w:bookmarkStart w:id="4" w:name="PsakDin" w:colFirst="0" w:colLast="0"/>
            <w:bookmarkEnd w:id="0"/>
            <w:r w:rsidRPr="00FC5E1E">
              <w:rPr>
                <w:rFonts w:ascii="David" w:hAnsi="David"/>
                <w:b/>
                <w:bCs/>
                <w:sz w:val="32"/>
                <w:szCs w:val="32"/>
                <w:u w:val="single"/>
                <w:rtl/>
              </w:rPr>
              <w:t>גזר דין</w:t>
            </w:r>
          </w:p>
          <w:p w14:paraId="06F92669" w14:textId="77777777" w:rsidR="00343D19" w:rsidRPr="00FC5E1E" w:rsidRDefault="00343D19" w:rsidP="00FC5E1E">
            <w:pPr>
              <w:jc w:val="center"/>
              <w:rPr>
                <w:rFonts w:ascii="David" w:hAnsi="David"/>
                <w:bCs/>
                <w:sz w:val="32"/>
                <w:szCs w:val="32"/>
                <w:u w:val="single"/>
                <w:rtl/>
              </w:rPr>
            </w:pPr>
          </w:p>
        </w:tc>
      </w:tr>
      <w:bookmarkEnd w:id="4"/>
    </w:tbl>
    <w:p w14:paraId="73F5B388" w14:textId="77777777" w:rsidR="00343D19" w:rsidRPr="000F2247" w:rsidRDefault="00343D19" w:rsidP="00343D19">
      <w:pPr>
        <w:rPr>
          <w:rFonts w:ascii="Arial" w:hAnsi="Arial"/>
          <w:b/>
          <w:bCs/>
          <w:sz w:val="26"/>
          <w:szCs w:val="26"/>
          <w:rtl/>
        </w:rPr>
      </w:pPr>
    </w:p>
    <w:p w14:paraId="33F55AF9" w14:textId="77777777" w:rsidR="00343D19" w:rsidRPr="003040BB" w:rsidRDefault="00343D19" w:rsidP="00343D19">
      <w:pPr>
        <w:spacing w:line="360" w:lineRule="auto"/>
        <w:ind w:left="360"/>
        <w:jc w:val="both"/>
        <w:rPr>
          <w:rFonts w:ascii="David" w:eastAsia="David" w:hAnsi="David"/>
          <w:b/>
          <w:bCs/>
          <w:u w:val="single"/>
        </w:rPr>
      </w:pPr>
      <w:r w:rsidRPr="003040BB">
        <w:rPr>
          <w:rFonts w:ascii="David" w:eastAsia="David" w:hAnsi="David"/>
          <w:b/>
          <w:bCs/>
          <w:u w:val="single"/>
          <w:rtl/>
        </w:rPr>
        <w:t>כללי</w:t>
      </w:r>
    </w:p>
    <w:p w14:paraId="66AFD1F4" w14:textId="77777777" w:rsidR="00343D19" w:rsidRPr="00FB4D54" w:rsidRDefault="00343D19" w:rsidP="00343D19">
      <w:pPr>
        <w:spacing w:line="360" w:lineRule="auto"/>
        <w:jc w:val="both"/>
        <w:rPr>
          <w:rFonts w:ascii="David" w:eastAsia="David" w:hAnsi="David"/>
          <w:sz w:val="14"/>
          <w:szCs w:val="14"/>
        </w:rPr>
      </w:pPr>
    </w:p>
    <w:p w14:paraId="02167322" w14:textId="77777777" w:rsidR="00343D19" w:rsidRPr="003040BB" w:rsidRDefault="00343D19" w:rsidP="00343D19">
      <w:pPr>
        <w:numPr>
          <w:ilvl w:val="0"/>
          <w:numId w:val="1"/>
        </w:numPr>
        <w:spacing w:after="160" w:line="360" w:lineRule="auto"/>
        <w:contextualSpacing/>
        <w:jc w:val="both"/>
        <w:rPr>
          <w:rFonts w:ascii="David" w:eastAsia="David" w:hAnsi="David"/>
          <w:rtl/>
        </w:rPr>
      </w:pPr>
      <w:bookmarkStart w:id="5" w:name="ABSTRACT_START"/>
      <w:bookmarkEnd w:id="5"/>
      <w:r w:rsidRPr="003040BB">
        <w:rPr>
          <w:rFonts w:ascii="David" w:eastAsia="David" w:hAnsi="David"/>
          <w:rtl/>
        </w:rPr>
        <w:t xml:space="preserve">הנאשם הודה והורשע במסגרת הסדר טיעון בכתב אישום מתוקן בעבירות </w:t>
      </w:r>
      <w:r>
        <w:rPr>
          <w:rFonts w:ascii="David" w:eastAsia="David" w:hAnsi="David" w:hint="cs"/>
          <w:rtl/>
        </w:rPr>
        <w:t xml:space="preserve">של </w:t>
      </w:r>
      <w:r w:rsidRPr="003040BB">
        <w:rPr>
          <w:rFonts w:ascii="David" w:eastAsia="David" w:hAnsi="David"/>
          <w:rtl/>
        </w:rPr>
        <w:t xml:space="preserve">חבלה חמורה בנסיבות מחמירות – עבירה לפי </w:t>
      </w:r>
      <w:hyperlink r:id="rId13" w:history="1">
        <w:r w:rsidR="00561BB7" w:rsidRPr="00561BB7">
          <w:rPr>
            <w:rStyle w:val="Hyperlink"/>
            <w:rFonts w:ascii="David" w:eastAsia="David" w:hAnsi="David"/>
            <w:rtl/>
          </w:rPr>
          <w:t>סעיף 333</w:t>
        </w:r>
      </w:hyperlink>
      <w:r w:rsidRPr="003040BB">
        <w:rPr>
          <w:rFonts w:ascii="David" w:eastAsia="David" w:hAnsi="David"/>
          <w:rtl/>
        </w:rPr>
        <w:t xml:space="preserve"> + </w:t>
      </w:r>
      <w:hyperlink r:id="rId14" w:history="1">
        <w:r w:rsidR="00561BB7" w:rsidRPr="00561BB7">
          <w:rPr>
            <w:rStyle w:val="Hyperlink"/>
            <w:rFonts w:ascii="David" w:eastAsia="David" w:hAnsi="David"/>
            <w:rtl/>
          </w:rPr>
          <w:t>335(א)(1)</w:t>
        </w:r>
      </w:hyperlink>
      <w:r w:rsidRPr="003040BB">
        <w:rPr>
          <w:rFonts w:ascii="David" w:eastAsia="David" w:hAnsi="David"/>
          <w:rtl/>
        </w:rPr>
        <w:t xml:space="preserve"> ל</w:t>
      </w:r>
      <w:hyperlink r:id="rId15" w:history="1">
        <w:r w:rsidR="00FC5E1E" w:rsidRPr="00FC5E1E">
          <w:rPr>
            <w:rFonts w:ascii="David" w:eastAsia="David" w:hAnsi="David"/>
            <w:color w:val="0000FF"/>
            <w:u w:val="single"/>
            <w:rtl/>
          </w:rPr>
          <w:t>חוק העונשין</w:t>
        </w:r>
      </w:hyperlink>
      <w:r w:rsidRPr="003040BB">
        <w:rPr>
          <w:rFonts w:ascii="David" w:eastAsia="David" w:hAnsi="David"/>
          <w:rtl/>
        </w:rPr>
        <w:t xml:space="preserve">, </w:t>
      </w:r>
      <w:r>
        <w:rPr>
          <w:rFonts w:ascii="David" w:eastAsia="David" w:hAnsi="David" w:hint="cs"/>
          <w:rtl/>
        </w:rPr>
        <w:t>ו</w:t>
      </w:r>
      <w:r w:rsidRPr="003040BB">
        <w:rPr>
          <w:rFonts w:ascii="David" w:eastAsia="David" w:hAnsi="David"/>
          <w:rtl/>
        </w:rPr>
        <w:t xml:space="preserve">נשיאת והובלת נשק – עבירה לפי </w:t>
      </w:r>
      <w:hyperlink r:id="rId16" w:history="1">
        <w:r w:rsidR="00561BB7" w:rsidRPr="00561BB7">
          <w:rPr>
            <w:rStyle w:val="Hyperlink"/>
            <w:rFonts w:ascii="David" w:eastAsia="David" w:hAnsi="David"/>
            <w:rtl/>
          </w:rPr>
          <w:t>סעיף 144(ב)</w:t>
        </w:r>
      </w:hyperlink>
      <w:r w:rsidRPr="003040BB">
        <w:rPr>
          <w:rFonts w:ascii="David" w:eastAsia="David" w:hAnsi="David"/>
          <w:rtl/>
        </w:rPr>
        <w:t xml:space="preserve"> (רישא + סיפא) לחוק העונשין.</w:t>
      </w:r>
    </w:p>
    <w:p w14:paraId="324B8BA3" w14:textId="77777777" w:rsidR="00343D19" w:rsidRPr="004279F5" w:rsidRDefault="00343D19" w:rsidP="00343D19">
      <w:pPr>
        <w:spacing w:line="360" w:lineRule="auto"/>
        <w:ind w:left="720"/>
        <w:contextualSpacing/>
        <w:jc w:val="both"/>
        <w:rPr>
          <w:rFonts w:ascii="David" w:eastAsia="David" w:hAnsi="David"/>
          <w:sz w:val="10"/>
          <w:szCs w:val="10"/>
        </w:rPr>
      </w:pPr>
    </w:p>
    <w:p w14:paraId="1738AD1C" w14:textId="77777777" w:rsidR="00343D19" w:rsidRPr="003040BB" w:rsidRDefault="00343D19" w:rsidP="00343D19">
      <w:pPr>
        <w:spacing w:line="360" w:lineRule="auto"/>
        <w:ind w:left="720"/>
        <w:contextualSpacing/>
        <w:jc w:val="both"/>
        <w:rPr>
          <w:rFonts w:ascii="David" w:eastAsia="David" w:hAnsi="David"/>
        </w:rPr>
      </w:pPr>
      <w:r w:rsidRPr="003040BB">
        <w:rPr>
          <w:rFonts w:ascii="David" w:eastAsia="David" w:hAnsi="David"/>
          <w:rtl/>
        </w:rPr>
        <w:t>הסדר הטעון מתייחס לתיקון כתב האישום ואינו כולל הסכמות לעניין העונש</w:t>
      </w:r>
      <w:r>
        <w:rPr>
          <w:rFonts w:ascii="David" w:eastAsia="David" w:hAnsi="David" w:hint="cs"/>
          <w:rtl/>
        </w:rPr>
        <w:t>ים</w:t>
      </w:r>
      <w:r w:rsidRPr="003040BB">
        <w:rPr>
          <w:rFonts w:ascii="David" w:eastAsia="David" w:hAnsi="David"/>
          <w:rtl/>
        </w:rPr>
        <w:t xml:space="preserve"> שיוטל</w:t>
      </w:r>
      <w:r>
        <w:rPr>
          <w:rFonts w:ascii="David" w:eastAsia="David" w:hAnsi="David" w:hint="cs"/>
          <w:rtl/>
        </w:rPr>
        <w:t>ו</w:t>
      </w:r>
      <w:r w:rsidRPr="003040BB">
        <w:rPr>
          <w:rFonts w:ascii="David" w:eastAsia="David" w:hAnsi="David"/>
          <w:rtl/>
        </w:rPr>
        <w:t xml:space="preserve"> על הנאשם. </w:t>
      </w:r>
    </w:p>
    <w:p w14:paraId="7455BAD3" w14:textId="77777777" w:rsidR="00343D19" w:rsidRPr="00F849D0" w:rsidRDefault="00343D19" w:rsidP="00343D19">
      <w:pPr>
        <w:spacing w:line="360" w:lineRule="auto"/>
        <w:jc w:val="both"/>
        <w:rPr>
          <w:rFonts w:ascii="David" w:eastAsia="David" w:hAnsi="David"/>
          <w:sz w:val="16"/>
          <w:szCs w:val="16"/>
        </w:rPr>
      </w:pPr>
      <w:bookmarkStart w:id="6" w:name="ABSTRACT_END"/>
      <w:bookmarkEnd w:id="6"/>
    </w:p>
    <w:p w14:paraId="17ED1E93" w14:textId="77777777" w:rsidR="00343D19" w:rsidRPr="003040BB" w:rsidRDefault="00343D19" w:rsidP="00343D19">
      <w:pPr>
        <w:spacing w:line="360" w:lineRule="auto"/>
        <w:ind w:left="425"/>
        <w:jc w:val="both"/>
        <w:rPr>
          <w:rFonts w:ascii="David" w:eastAsia="David" w:hAnsi="David"/>
          <w:b/>
          <w:bCs/>
          <w:u w:val="single"/>
          <w:rtl/>
        </w:rPr>
      </w:pPr>
      <w:r w:rsidRPr="003040BB">
        <w:rPr>
          <w:rFonts w:ascii="David" w:eastAsia="David" w:hAnsi="David"/>
          <w:b/>
          <w:bCs/>
          <w:u w:val="single"/>
          <w:rtl/>
        </w:rPr>
        <w:t xml:space="preserve">עובדות כתב האישום המתוקן </w:t>
      </w:r>
    </w:p>
    <w:p w14:paraId="7EBAB2DB" w14:textId="77777777" w:rsidR="00343D19" w:rsidRPr="00F849D0" w:rsidRDefault="00343D19" w:rsidP="00343D19">
      <w:pPr>
        <w:spacing w:after="200" w:line="360" w:lineRule="auto"/>
        <w:ind w:firstLine="425"/>
        <w:contextualSpacing/>
        <w:jc w:val="both"/>
        <w:rPr>
          <w:rFonts w:ascii="David" w:eastAsia="Calibri" w:hAnsi="David"/>
          <w:sz w:val="16"/>
          <w:szCs w:val="16"/>
          <w:u w:val="single"/>
        </w:rPr>
      </w:pPr>
    </w:p>
    <w:p w14:paraId="5B6C8A5F" w14:textId="77777777" w:rsidR="00343D19" w:rsidRPr="00FB4D54" w:rsidRDefault="00343D19" w:rsidP="00343D19">
      <w:pPr>
        <w:numPr>
          <w:ilvl w:val="0"/>
          <w:numId w:val="1"/>
        </w:numPr>
        <w:spacing w:after="200" w:line="360" w:lineRule="auto"/>
        <w:contextualSpacing/>
        <w:jc w:val="both"/>
        <w:rPr>
          <w:rFonts w:ascii="David" w:hAnsi="David"/>
          <w:rtl/>
        </w:rPr>
      </w:pPr>
      <w:r w:rsidRPr="00FB4D54">
        <w:rPr>
          <w:rFonts w:ascii="David" w:hAnsi="David"/>
          <w:rtl/>
        </w:rPr>
        <w:t>בין הנאשם לבין אחמד ג'רבאן, יליד 16.8.2001 (להלן: "המתלונן"), יש היכרות מוקדמת.</w:t>
      </w:r>
      <w:r w:rsidRPr="00FB4D54">
        <w:rPr>
          <w:rFonts w:ascii="David" w:hAnsi="David" w:hint="cs"/>
          <w:rtl/>
        </w:rPr>
        <w:t xml:space="preserve"> </w:t>
      </w:r>
      <w:r w:rsidRPr="00FB4D54">
        <w:rPr>
          <w:rFonts w:ascii="David" w:hAnsi="David"/>
          <w:rtl/>
        </w:rPr>
        <w:t xml:space="preserve">בתאריך 16.12.22 בשעה 12:12 או בסמוך לכך, הגיע הנאשם ברכב מסוג מזדה 3 אל סמוך לבית דודו ופגש במתלונן. מיד לאחר מכן נכנס הנאשם עם </w:t>
      </w:r>
      <w:r>
        <w:rPr>
          <w:rFonts w:ascii="David" w:hAnsi="David" w:hint="cs"/>
          <w:rtl/>
        </w:rPr>
        <w:t xml:space="preserve">הרכב </w:t>
      </w:r>
      <w:r w:rsidRPr="00FB4D54">
        <w:rPr>
          <w:rFonts w:ascii="David" w:hAnsi="David"/>
          <w:rtl/>
        </w:rPr>
        <w:t>לחניה הסמוכה לחצר הבית</w:t>
      </w:r>
      <w:r w:rsidRPr="00FB4D54">
        <w:rPr>
          <w:rFonts w:ascii="David" w:hAnsi="David" w:hint="cs"/>
          <w:rtl/>
        </w:rPr>
        <w:t xml:space="preserve">. בשעה </w:t>
      </w:r>
      <w:r w:rsidRPr="00FB4D54">
        <w:rPr>
          <w:rFonts w:ascii="David" w:hAnsi="David"/>
          <w:rtl/>
        </w:rPr>
        <w:t xml:space="preserve"> 12:55, עמד המתלונן בכב</w:t>
      </w:r>
      <w:r>
        <w:rPr>
          <w:rFonts w:ascii="David" w:hAnsi="David"/>
          <w:rtl/>
        </w:rPr>
        <w:t>יש הסמוך לבית ושוחח עם עבד שאהב</w:t>
      </w:r>
      <w:r>
        <w:rPr>
          <w:rFonts w:ascii="David" w:hAnsi="David" w:hint="cs"/>
          <w:rtl/>
        </w:rPr>
        <w:t xml:space="preserve"> </w:t>
      </w:r>
      <w:r w:rsidRPr="00FB4D54">
        <w:rPr>
          <w:rFonts w:ascii="David" w:hAnsi="David"/>
          <w:rtl/>
        </w:rPr>
        <w:t>אשר ישב באותה עת ברכב מסוג פורד</w:t>
      </w:r>
      <w:r w:rsidRPr="00FB4D54">
        <w:rPr>
          <w:rFonts w:ascii="David" w:hAnsi="David" w:hint="cs"/>
          <w:rtl/>
        </w:rPr>
        <w:t xml:space="preserve">. </w:t>
      </w:r>
      <w:r w:rsidRPr="00FB4D54">
        <w:rPr>
          <w:rFonts w:ascii="David" w:hAnsi="David"/>
          <w:rtl/>
        </w:rPr>
        <w:t>בשעה 12:56 יצא הנאשם בר</w:t>
      </w:r>
      <w:r>
        <w:rPr>
          <w:rFonts w:ascii="David" w:hAnsi="David"/>
          <w:rtl/>
        </w:rPr>
        <w:t>יצה מחצר הבית כשהוא נושא ומוביל בלא רשות על פי דין</w:t>
      </w:r>
      <w:r>
        <w:rPr>
          <w:rFonts w:ascii="David" w:hAnsi="David" w:hint="cs"/>
          <w:rtl/>
        </w:rPr>
        <w:t xml:space="preserve"> </w:t>
      </w:r>
      <w:r w:rsidRPr="00FB4D54">
        <w:rPr>
          <w:rFonts w:ascii="David" w:hAnsi="David"/>
          <w:rtl/>
        </w:rPr>
        <w:t>אקדח בקוטר 9 מ"מ, טעון במחסנית ובה כדורים לאקדח, וכשהוא עוטה על פניו מסכה במטרה להקשות על זיהויו. הנאשם דרך את האקדח וירה מספר יריות לעבר המתלונן. המתלונן בתגובה החל לרוץ לעב</w:t>
      </w:r>
      <w:r>
        <w:rPr>
          <w:rFonts w:ascii="David" w:hAnsi="David"/>
          <w:rtl/>
        </w:rPr>
        <w:t>ר הנאשם תוך שהוא מקלל את אחותו</w:t>
      </w:r>
      <w:r>
        <w:rPr>
          <w:rFonts w:ascii="David" w:hAnsi="David" w:hint="cs"/>
          <w:rtl/>
        </w:rPr>
        <w:t>, ו</w:t>
      </w:r>
      <w:r w:rsidRPr="00FB4D54">
        <w:rPr>
          <w:rFonts w:ascii="David" w:hAnsi="David"/>
          <w:rtl/>
        </w:rPr>
        <w:t xml:space="preserve">הנאשם </w:t>
      </w:r>
      <w:r>
        <w:rPr>
          <w:rFonts w:ascii="David" w:hAnsi="David" w:hint="cs"/>
          <w:rtl/>
        </w:rPr>
        <w:t xml:space="preserve">ירה </w:t>
      </w:r>
      <w:r w:rsidRPr="00FB4D54">
        <w:rPr>
          <w:rFonts w:ascii="David" w:hAnsi="David"/>
          <w:rtl/>
        </w:rPr>
        <w:t>לעבר המתלונן מספר יריות נוספות.</w:t>
      </w:r>
      <w:r>
        <w:rPr>
          <w:rFonts w:ascii="David" w:hAnsi="David" w:hint="cs"/>
          <w:rtl/>
        </w:rPr>
        <w:t xml:space="preserve"> </w:t>
      </w:r>
      <w:r>
        <w:rPr>
          <w:rFonts w:ascii="David" w:hAnsi="David"/>
          <w:rtl/>
        </w:rPr>
        <w:t>סך הכל ירה הנאשם</w:t>
      </w:r>
      <w:r>
        <w:rPr>
          <w:rFonts w:ascii="David" w:hAnsi="David" w:hint="cs"/>
          <w:rtl/>
        </w:rPr>
        <w:t xml:space="preserve"> </w:t>
      </w:r>
      <w:r w:rsidRPr="00FB4D54">
        <w:rPr>
          <w:rFonts w:ascii="David" w:hAnsi="David"/>
          <w:rtl/>
        </w:rPr>
        <w:t xml:space="preserve">לעבר המתלונן, שבע יריות כאשר שלושה מהקליעים פגעו ברגלו השמאלית של המתלונן, אשר נפל על הכביש כתוצאה מהירי. </w:t>
      </w:r>
    </w:p>
    <w:p w14:paraId="6E054071" w14:textId="77777777" w:rsidR="00343D19" w:rsidRPr="00FB4D54" w:rsidRDefault="00343D19" w:rsidP="00343D19">
      <w:pPr>
        <w:spacing w:after="200" w:line="360" w:lineRule="auto"/>
        <w:ind w:left="720"/>
        <w:contextualSpacing/>
        <w:jc w:val="both"/>
        <w:rPr>
          <w:rFonts w:ascii="David" w:hAnsi="David"/>
          <w:sz w:val="4"/>
          <w:szCs w:val="4"/>
          <w:rtl/>
        </w:rPr>
      </w:pPr>
    </w:p>
    <w:p w14:paraId="5A861866" w14:textId="77777777" w:rsidR="00343D19" w:rsidRDefault="00343D19" w:rsidP="00343D19">
      <w:pPr>
        <w:spacing w:after="200" w:line="360" w:lineRule="auto"/>
        <w:ind w:left="720"/>
        <w:contextualSpacing/>
        <w:jc w:val="both"/>
        <w:rPr>
          <w:rFonts w:ascii="David" w:hAnsi="David"/>
          <w:rtl/>
        </w:rPr>
      </w:pPr>
      <w:r w:rsidRPr="003040BB">
        <w:rPr>
          <w:rFonts w:ascii="David" w:hAnsi="David"/>
          <w:rtl/>
        </w:rPr>
        <w:lastRenderedPageBreak/>
        <w:t>כתוצאה ממעשיו של הנאשם, נגרם למתלונן שבר פתוח בפמור שמאל ופצע ח</w:t>
      </w:r>
      <w:r>
        <w:rPr>
          <w:rFonts w:ascii="David" w:hAnsi="David"/>
          <w:rtl/>
        </w:rPr>
        <w:t xml:space="preserve">ודר מפרק בברך שמאל. המתלונן </w:t>
      </w:r>
      <w:r>
        <w:rPr>
          <w:rFonts w:ascii="David" w:hAnsi="David" w:hint="cs"/>
          <w:rtl/>
        </w:rPr>
        <w:t xml:space="preserve">אושפז </w:t>
      </w:r>
      <w:r w:rsidRPr="003040BB">
        <w:rPr>
          <w:rFonts w:ascii="David" w:hAnsi="David"/>
          <w:rtl/>
        </w:rPr>
        <w:t>בבית החולים רמב"ם בחיפה ב</w:t>
      </w:r>
      <w:r>
        <w:rPr>
          <w:rFonts w:ascii="David" w:hAnsi="David"/>
          <w:rtl/>
        </w:rPr>
        <w:t>ין התאריכים 16.12.22-22.12.22</w:t>
      </w:r>
      <w:r>
        <w:rPr>
          <w:rFonts w:ascii="David" w:hAnsi="David" w:hint="cs"/>
          <w:rtl/>
        </w:rPr>
        <w:t xml:space="preserve"> במהלכם עבר </w:t>
      </w:r>
      <w:r w:rsidRPr="003040BB">
        <w:rPr>
          <w:rFonts w:ascii="David" w:hAnsi="David"/>
          <w:rtl/>
        </w:rPr>
        <w:t>ניתוח שחזור סגור וקיבוע פנימי על ידי מסמר וארתרותומיה לברך שמאל.</w:t>
      </w:r>
    </w:p>
    <w:p w14:paraId="6562E9E1" w14:textId="77777777" w:rsidR="00343D19" w:rsidRPr="00F849D0" w:rsidRDefault="00343D19" w:rsidP="00343D19">
      <w:pPr>
        <w:spacing w:after="160" w:line="360" w:lineRule="auto"/>
        <w:ind w:firstLine="360"/>
        <w:jc w:val="both"/>
        <w:rPr>
          <w:rFonts w:ascii="David" w:eastAsia="David" w:hAnsi="David"/>
          <w:b/>
          <w:bCs/>
          <w:sz w:val="10"/>
          <w:szCs w:val="10"/>
          <w:u w:val="single"/>
          <w:rtl/>
        </w:rPr>
      </w:pPr>
    </w:p>
    <w:p w14:paraId="1EB33B00" w14:textId="77777777" w:rsidR="00343D19" w:rsidRPr="003040BB" w:rsidRDefault="00343D19" w:rsidP="00343D19">
      <w:pPr>
        <w:spacing w:after="160" w:line="360" w:lineRule="auto"/>
        <w:ind w:firstLine="360"/>
        <w:jc w:val="both"/>
        <w:rPr>
          <w:rFonts w:ascii="David" w:eastAsia="David" w:hAnsi="David"/>
          <w:b/>
          <w:bCs/>
          <w:u w:val="single"/>
          <w:rtl/>
        </w:rPr>
      </w:pPr>
      <w:r w:rsidRPr="003040BB">
        <w:rPr>
          <w:rFonts w:ascii="David" w:eastAsia="David" w:hAnsi="David"/>
          <w:b/>
          <w:bCs/>
          <w:u w:val="single"/>
          <w:rtl/>
        </w:rPr>
        <w:t>תסקיר שירות המבחן</w:t>
      </w:r>
    </w:p>
    <w:p w14:paraId="5CEB35CE" w14:textId="77777777" w:rsidR="00343D19" w:rsidRPr="003040BB" w:rsidRDefault="00343D19" w:rsidP="00343D19">
      <w:pPr>
        <w:numPr>
          <w:ilvl w:val="0"/>
          <w:numId w:val="1"/>
        </w:numPr>
        <w:spacing w:after="160" w:line="360" w:lineRule="auto"/>
        <w:contextualSpacing/>
        <w:jc w:val="both"/>
        <w:rPr>
          <w:rFonts w:ascii="David" w:eastAsia="David" w:hAnsi="David"/>
          <w:rtl/>
        </w:rPr>
      </w:pPr>
      <w:r w:rsidRPr="003040BB">
        <w:rPr>
          <w:rFonts w:ascii="David" w:eastAsia="David" w:hAnsi="David"/>
          <w:rtl/>
        </w:rPr>
        <w:t>בתסקיר שירות המבחן שהוגש בעניינו של הנאשם פורטו בהרחבה נסיבותיו האישות. מהתסקיר עולה כי הנאשם הביע חרטה תוך שהוא מממוקד במחירים אותם הוא נדרש לשל</w:t>
      </w:r>
      <w:r>
        <w:rPr>
          <w:rFonts w:ascii="David" w:eastAsia="David" w:hAnsi="David"/>
          <w:rtl/>
        </w:rPr>
        <w:t xml:space="preserve">ם, התקשה לקבל אחריות על מעשיו, </w:t>
      </w:r>
      <w:r>
        <w:rPr>
          <w:rFonts w:ascii="David" w:eastAsia="David" w:hAnsi="David" w:hint="cs"/>
          <w:rtl/>
        </w:rPr>
        <w:t xml:space="preserve">התקשה </w:t>
      </w:r>
      <w:r w:rsidRPr="003040BB">
        <w:rPr>
          <w:rFonts w:ascii="David" w:eastAsia="David" w:hAnsi="David"/>
          <w:rtl/>
        </w:rPr>
        <w:t xml:space="preserve">לזהות אלטרנטיבה להתנהגות אלימה, </w:t>
      </w:r>
      <w:r>
        <w:rPr>
          <w:rFonts w:ascii="David" w:eastAsia="David" w:hAnsi="David" w:hint="cs"/>
          <w:rtl/>
        </w:rPr>
        <w:t xml:space="preserve">וכן </w:t>
      </w:r>
      <w:r w:rsidRPr="003040BB">
        <w:rPr>
          <w:rFonts w:ascii="David" w:eastAsia="David" w:hAnsi="David"/>
          <w:rtl/>
        </w:rPr>
        <w:t xml:space="preserve">התקשה לגלות אמפטיה כלפי המתלונן, בשל </w:t>
      </w:r>
      <w:r>
        <w:rPr>
          <w:rFonts w:ascii="David" w:eastAsia="David" w:hAnsi="David" w:hint="cs"/>
          <w:rtl/>
        </w:rPr>
        <w:t xml:space="preserve"> עמדתו לפיה </w:t>
      </w:r>
      <w:r w:rsidRPr="003040BB">
        <w:rPr>
          <w:rFonts w:ascii="David" w:eastAsia="David" w:hAnsi="David"/>
          <w:rtl/>
        </w:rPr>
        <w:t>המתלונן נושא באחריות להסלמת האירוע. כגורמי סיכוי, שירות המבחן לקח בחשבון את גילו הצעיר, היכולות לתפקוד תעסוקתי יציב ורציף לאור</w:t>
      </w:r>
      <w:r>
        <w:rPr>
          <w:rFonts w:ascii="David" w:eastAsia="David" w:hAnsi="David"/>
          <w:rtl/>
        </w:rPr>
        <w:t>ך שנים, הפגנת מחויבות לבת זוגו</w:t>
      </w:r>
      <w:r>
        <w:rPr>
          <w:rFonts w:ascii="David" w:eastAsia="David" w:hAnsi="David" w:hint="cs"/>
          <w:rtl/>
        </w:rPr>
        <w:t xml:space="preserve"> ול</w:t>
      </w:r>
      <w:r w:rsidRPr="003040BB">
        <w:rPr>
          <w:rFonts w:ascii="David" w:eastAsia="David" w:hAnsi="David"/>
          <w:rtl/>
        </w:rPr>
        <w:t>בני משפחתו וכלכלתם, והעדר עבר פלילי. כגורמי סיכון, שירות המבחן מנה את ההערכה כי הנאשם חשוף ומזוהה עם נורמות חברתיות ותרבותיות אשר מקנות לגיטימציה לשימוש באלימות בפתרון סכסוכים באופן אלים, מגלה חשדנות כלפי גורמי ממסד ואכיפת החוק, אינו מזהה בעייתיו</w:t>
      </w:r>
      <w:r>
        <w:rPr>
          <w:rFonts w:ascii="David" w:eastAsia="David" w:hAnsi="David"/>
          <w:rtl/>
        </w:rPr>
        <w:t>ת במצבו ובהתנהגותו ברמה החברתית</w:t>
      </w:r>
      <w:r>
        <w:rPr>
          <w:rFonts w:ascii="David" w:eastAsia="David" w:hAnsi="David" w:hint="cs"/>
          <w:rtl/>
        </w:rPr>
        <w:t>, נוטה ל</w:t>
      </w:r>
      <w:r>
        <w:rPr>
          <w:rFonts w:ascii="David" w:eastAsia="David" w:hAnsi="David"/>
          <w:rtl/>
        </w:rPr>
        <w:t>השליך את הבעייתיות על המתלונן</w:t>
      </w:r>
      <w:r>
        <w:rPr>
          <w:rFonts w:ascii="David" w:eastAsia="David" w:hAnsi="David" w:hint="cs"/>
          <w:rtl/>
        </w:rPr>
        <w:t xml:space="preserve">, ואינו </w:t>
      </w:r>
      <w:r w:rsidRPr="003040BB">
        <w:rPr>
          <w:rFonts w:ascii="David" w:eastAsia="David" w:hAnsi="David"/>
          <w:rtl/>
        </w:rPr>
        <w:t xml:space="preserve"> מזהה חלופות להתנהגותו האלימה. בהתאם, שירות המבחן התרשם מקיומו של סיכון בינוני</w:t>
      </w:r>
      <w:r>
        <w:rPr>
          <w:rFonts w:ascii="David" w:eastAsia="David" w:hAnsi="David" w:hint="cs"/>
          <w:rtl/>
        </w:rPr>
        <w:t xml:space="preserve"> עד </w:t>
      </w:r>
      <w:r>
        <w:rPr>
          <w:rFonts w:ascii="David" w:eastAsia="David" w:hAnsi="David"/>
          <w:rtl/>
        </w:rPr>
        <w:t>גבוה</w:t>
      </w:r>
      <w:r w:rsidRPr="003040BB">
        <w:rPr>
          <w:rFonts w:ascii="David" w:eastAsia="David" w:hAnsi="David"/>
          <w:rtl/>
        </w:rPr>
        <w:t xml:space="preserve"> להישנות התנהגות אלימה בר</w:t>
      </w:r>
      <w:r>
        <w:rPr>
          <w:rFonts w:ascii="David" w:eastAsia="David" w:hAnsi="David"/>
          <w:rtl/>
        </w:rPr>
        <w:t>מת חומרה גבוהה מצד הנאשם בעתיד</w:t>
      </w:r>
      <w:r>
        <w:rPr>
          <w:rFonts w:ascii="David" w:eastAsia="David" w:hAnsi="David" w:hint="cs"/>
          <w:rtl/>
        </w:rPr>
        <w:t xml:space="preserve">. בנסיבות אלו שרות המבחן </w:t>
      </w:r>
      <w:r w:rsidRPr="003040BB">
        <w:rPr>
          <w:rFonts w:ascii="David" w:eastAsia="David" w:hAnsi="David"/>
          <w:rtl/>
        </w:rPr>
        <w:t>לא בא</w:t>
      </w:r>
      <w:r>
        <w:rPr>
          <w:rFonts w:ascii="David" w:eastAsia="David" w:hAnsi="David"/>
          <w:rtl/>
        </w:rPr>
        <w:t xml:space="preserve"> בהמלצה שיקומית </w:t>
      </w:r>
      <w:r>
        <w:rPr>
          <w:rFonts w:ascii="David" w:eastAsia="David" w:hAnsi="David" w:hint="cs"/>
          <w:rtl/>
        </w:rPr>
        <w:t xml:space="preserve">בקהילה, </w:t>
      </w:r>
      <w:r w:rsidRPr="003040BB">
        <w:rPr>
          <w:rFonts w:ascii="David" w:eastAsia="David" w:hAnsi="David"/>
          <w:rtl/>
        </w:rPr>
        <w:t xml:space="preserve">והומלץ </w:t>
      </w:r>
      <w:r>
        <w:rPr>
          <w:rFonts w:ascii="David" w:eastAsia="David" w:hAnsi="David" w:hint="cs"/>
          <w:rtl/>
        </w:rPr>
        <w:t xml:space="preserve"> על שקילת שילובו בהליכי שיקום במסגרת שרות בתי הסוהר</w:t>
      </w:r>
      <w:r w:rsidRPr="003040BB">
        <w:rPr>
          <w:rFonts w:ascii="David" w:eastAsia="David" w:hAnsi="David"/>
          <w:rtl/>
        </w:rPr>
        <w:t xml:space="preserve">. </w:t>
      </w:r>
    </w:p>
    <w:p w14:paraId="467C12A0" w14:textId="77777777" w:rsidR="00343D19" w:rsidRPr="00310BB4" w:rsidRDefault="00343D19" w:rsidP="00343D19">
      <w:pPr>
        <w:spacing w:after="160" w:line="360" w:lineRule="auto"/>
        <w:ind w:firstLine="360"/>
        <w:jc w:val="both"/>
        <w:rPr>
          <w:rFonts w:ascii="David" w:eastAsia="David" w:hAnsi="David"/>
          <w:b/>
          <w:bCs/>
          <w:sz w:val="2"/>
          <w:szCs w:val="2"/>
          <w:u w:val="single"/>
          <w:rtl/>
        </w:rPr>
      </w:pPr>
    </w:p>
    <w:p w14:paraId="20E36875" w14:textId="77777777" w:rsidR="00343D19" w:rsidRPr="003040BB" w:rsidRDefault="00343D19" w:rsidP="00343D19">
      <w:pPr>
        <w:spacing w:after="160" w:line="360" w:lineRule="auto"/>
        <w:ind w:firstLine="360"/>
        <w:jc w:val="both"/>
        <w:rPr>
          <w:rFonts w:ascii="David" w:eastAsia="David" w:hAnsi="David"/>
          <w:b/>
          <w:bCs/>
          <w:u w:val="single"/>
          <w:rtl/>
        </w:rPr>
      </w:pPr>
      <w:r w:rsidRPr="003040BB">
        <w:rPr>
          <w:rFonts w:ascii="David" w:eastAsia="David" w:hAnsi="David"/>
          <w:b/>
          <w:bCs/>
          <w:u w:val="single"/>
          <w:rtl/>
        </w:rPr>
        <w:t>עיקר טיעוני המאשימה לעונש</w:t>
      </w:r>
    </w:p>
    <w:p w14:paraId="4F2B0C4C" w14:textId="77777777" w:rsidR="00343D19" w:rsidRPr="00310BB4" w:rsidRDefault="00343D19" w:rsidP="00343D19">
      <w:pPr>
        <w:spacing w:line="360" w:lineRule="auto"/>
        <w:ind w:firstLine="360"/>
        <w:jc w:val="both"/>
        <w:rPr>
          <w:rFonts w:ascii="David" w:eastAsia="David" w:hAnsi="David"/>
          <w:b/>
          <w:bCs/>
          <w:sz w:val="2"/>
          <w:szCs w:val="2"/>
          <w:u w:val="single"/>
        </w:rPr>
      </w:pPr>
    </w:p>
    <w:p w14:paraId="41839780" w14:textId="77777777" w:rsidR="00343D19" w:rsidRPr="003040BB" w:rsidRDefault="00343D19" w:rsidP="00343D19">
      <w:pPr>
        <w:numPr>
          <w:ilvl w:val="0"/>
          <w:numId w:val="1"/>
        </w:numPr>
        <w:spacing w:after="160" w:line="360" w:lineRule="auto"/>
        <w:contextualSpacing/>
        <w:jc w:val="both"/>
        <w:rPr>
          <w:rFonts w:ascii="David" w:eastAsia="David" w:hAnsi="David"/>
          <w:b/>
          <w:bCs/>
          <w:u w:val="single"/>
          <w:rtl/>
        </w:rPr>
      </w:pPr>
      <w:r w:rsidRPr="003040BB">
        <w:rPr>
          <w:rFonts w:ascii="David" w:eastAsia="Calibri" w:hAnsi="David"/>
          <w:rtl/>
        </w:rPr>
        <w:t>המאשימה בטיעוניה הדגישה את חומרת העבירות בהן הורשע הנאשם, תוך מתן דגש על תופעת האלימות באמצעות נשק, והצורך להחמיר בעבירות נשק, כאשר המטרה היא להגן על שלום הציבור, על חיי אדם, על שלטון החוק והסדר הציבורי. המאשימה ציינה כי מדובר במכת מדינה, כאשר</w:t>
      </w:r>
      <w:r>
        <w:rPr>
          <w:rFonts w:ascii="David" w:eastAsia="Calibri" w:hAnsi="David"/>
          <w:rtl/>
        </w:rPr>
        <w:t xml:space="preserve"> המחוקק עצמו נרתם </w:t>
      </w:r>
      <w:r>
        <w:rPr>
          <w:rFonts w:ascii="David" w:eastAsia="Calibri" w:hAnsi="David" w:hint="cs"/>
          <w:rtl/>
        </w:rPr>
        <w:t>לכך באמצעות חקיקת עונשי מינימום.</w:t>
      </w:r>
      <w:r w:rsidRPr="003040BB">
        <w:rPr>
          <w:rFonts w:ascii="David" w:eastAsia="Calibri" w:hAnsi="David"/>
          <w:rtl/>
        </w:rPr>
        <w:t xml:space="preserve"> המאשימה הדגישה את העובדה שהנאשם לא רק נשא נשק בטבורה של עיר ובסביבת בתי מגורים, אלא אף עשה בו שימוש </w:t>
      </w:r>
      <w:r>
        <w:rPr>
          <w:rFonts w:ascii="David" w:eastAsia="Calibri" w:hAnsi="David"/>
          <w:rtl/>
        </w:rPr>
        <w:t>חרף הסיכון הרב הטמון בכך</w:t>
      </w:r>
      <w:r>
        <w:rPr>
          <w:rFonts w:ascii="David" w:eastAsia="Calibri" w:hAnsi="David" w:hint="cs"/>
          <w:rtl/>
        </w:rPr>
        <w:t>. עוד ציינה כי ה</w:t>
      </w:r>
      <w:r w:rsidRPr="003040BB">
        <w:rPr>
          <w:rFonts w:ascii="David" w:eastAsia="Calibri" w:hAnsi="David"/>
          <w:rtl/>
        </w:rPr>
        <w:t xml:space="preserve">נשק לא נתפס עד היום. בכל הקשור לנסיבות הקשורות בביצוע העבירות, טענה כי חלקו של הנאשם הינו מרכזי, מלא ומוחלט, מדובר באירוע מתוכנן, כאשר הנאשם נשא והוביל נשק חם, עטה על פניו מסיכה כדי להקשות את זיהויו, המתין לשעת כושר וכשזו הגיעה יצא מחצר הבית , רץ לכיוון המתלונן כשהוא יורה לעברו מספר יריות, </w:t>
      </w:r>
      <w:r w:rsidRPr="000907B0">
        <w:rPr>
          <w:rFonts w:ascii="David" w:eastAsia="Calibri" w:hAnsi="David"/>
          <w:rtl/>
        </w:rPr>
        <w:t xml:space="preserve"> </w:t>
      </w:r>
      <w:r w:rsidRPr="000907B0">
        <w:rPr>
          <w:rFonts w:ascii="David" w:eastAsia="Calibri" w:hAnsi="David" w:hint="cs"/>
          <w:rtl/>
        </w:rPr>
        <w:t>ללא כל הצדקה.</w:t>
      </w:r>
      <w:r w:rsidRPr="003040BB">
        <w:rPr>
          <w:rFonts w:ascii="David" w:eastAsia="Calibri" w:hAnsi="David"/>
          <w:rtl/>
        </w:rPr>
        <w:t xml:space="preserve"> הפנתה לנזק המשמעותי שנגרם למתלונן </w:t>
      </w:r>
      <w:r>
        <w:rPr>
          <w:rFonts w:ascii="David" w:eastAsia="Calibri" w:hAnsi="David" w:hint="cs"/>
          <w:rtl/>
        </w:rPr>
        <w:t xml:space="preserve">ולעובדה שרק </w:t>
      </w:r>
      <w:r w:rsidRPr="003040BB">
        <w:rPr>
          <w:rFonts w:ascii="David" w:eastAsia="Calibri" w:hAnsi="David"/>
          <w:rtl/>
        </w:rPr>
        <w:t xml:space="preserve">בנס לא נגרמו </w:t>
      </w:r>
      <w:r>
        <w:rPr>
          <w:rFonts w:ascii="David" w:eastAsia="Calibri" w:hAnsi="David" w:hint="cs"/>
          <w:rtl/>
        </w:rPr>
        <w:t xml:space="preserve">לו </w:t>
      </w:r>
      <w:r w:rsidRPr="003040BB">
        <w:rPr>
          <w:rFonts w:ascii="David" w:eastAsia="Calibri" w:hAnsi="David"/>
          <w:rtl/>
        </w:rPr>
        <w:t>חבלות קשות עוד יותר</w:t>
      </w:r>
      <w:r>
        <w:rPr>
          <w:rFonts w:ascii="David" w:eastAsia="Calibri" w:hAnsi="David" w:hint="cs"/>
          <w:rtl/>
        </w:rPr>
        <w:t xml:space="preserve"> והוא אף יכול היה בנקל למצוא את מותו באירוע</w:t>
      </w:r>
      <w:r w:rsidRPr="003040BB">
        <w:rPr>
          <w:rFonts w:ascii="David" w:eastAsia="Calibri" w:hAnsi="David"/>
          <w:rtl/>
        </w:rPr>
        <w:t xml:space="preserve">. ציינה כי מדובר בנאשם בגיר, </w:t>
      </w:r>
      <w:r>
        <w:rPr>
          <w:rFonts w:ascii="David" w:eastAsia="Calibri" w:hAnsi="David" w:hint="cs"/>
          <w:rtl/>
        </w:rPr>
        <w:t xml:space="preserve">אשר </w:t>
      </w:r>
      <w:r w:rsidRPr="003040BB">
        <w:rPr>
          <w:rFonts w:ascii="David" w:eastAsia="Calibri" w:hAnsi="David"/>
          <w:rtl/>
        </w:rPr>
        <w:t>בחר בחירה מודעת</w:t>
      </w:r>
      <w:r>
        <w:rPr>
          <w:rFonts w:ascii="David" w:eastAsia="Calibri" w:hAnsi="David" w:hint="cs"/>
          <w:rtl/>
        </w:rPr>
        <w:t>,</w:t>
      </w:r>
      <w:r w:rsidRPr="003040BB">
        <w:rPr>
          <w:rFonts w:ascii="David" w:eastAsia="Calibri" w:hAnsi="David"/>
          <w:rtl/>
        </w:rPr>
        <w:t xml:space="preserve"> מושכלת ומתוכננת לבצע את העבירות, הוא הבין את אשר הוא עושה והפסול במעשיו והשלכותיהם ויכול היה להימנע מביצוען,  אולם הוא לא עשה כן. עוד טענה כי הנאשם  אינו סובל מלקויות כלשהן, והוא אינו קרוב לשום סייג לאחריות הפלילית, הוא לא היה במצוקה נפשית ולא קדמה למעשיו התגרות כזו או אחרת. </w:t>
      </w:r>
      <w:r w:rsidRPr="003040BB">
        <w:rPr>
          <w:rFonts w:ascii="David" w:eastAsia="David" w:hAnsi="David"/>
          <w:rtl/>
        </w:rPr>
        <w:t xml:space="preserve">בכל הקשור לנסיבות שאינן קשורות בביצוע העבירות, הפנתה להודאתו של הנאשם בשלב מתקדם יחסית של פרשת התביעה, לגילו הצעיר, להעדר עבר פלילי ולתסקיר שירות המבחן ממנו עולה כי הנאשם מתקשה לקבל אחריות ולגלות אמפתיה כלפי המתלונן, וההתרשמות מקיומו של סיכון </w:t>
      </w:r>
      <w:r>
        <w:rPr>
          <w:rFonts w:ascii="David" w:eastAsia="David" w:hAnsi="David" w:hint="cs"/>
          <w:rtl/>
        </w:rPr>
        <w:t xml:space="preserve">משמעותי לביצוע עבירות בעתיד, </w:t>
      </w:r>
      <w:r w:rsidRPr="003040BB">
        <w:rPr>
          <w:rFonts w:ascii="David" w:eastAsia="David" w:hAnsi="David"/>
          <w:rtl/>
        </w:rPr>
        <w:t>והעדר המלצה שיקומית בעניינו</w:t>
      </w:r>
      <w:r>
        <w:rPr>
          <w:rFonts w:ascii="David" w:eastAsia="David" w:hAnsi="David" w:hint="cs"/>
          <w:rtl/>
        </w:rPr>
        <w:t>, כך ש</w:t>
      </w:r>
      <w:r w:rsidRPr="003040BB">
        <w:rPr>
          <w:rFonts w:ascii="David" w:eastAsia="David" w:hAnsi="David"/>
          <w:rtl/>
        </w:rPr>
        <w:t>אין מקום לסטות ממתחם</w:t>
      </w:r>
      <w:r>
        <w:rPr>
          <w:rFonts w:ascii="David" w:eastAsia="David" w:hAnsi="David"/>
          <w:rtl/>
        </w:rPr>
        <w:t xml:space="preserve"> העונש שייקבע בשל שיקולי שיקום</w:t>
      </w:r>
      <w:r>
        <w:rPr>
          <w:rFonts w:ascii="David" w:eastAsia="David" w:hAnsi="David" w:hint="cs"/>
          <w:rtl/>
        </w:rPr>
        <w:t xml:space="preserve">. </w:t>
      </w:r>
      <w:r w:rsidRPr="003040BB">
        <w:rPr>
          <w:rFonts w:ascii="David" w:eastAsia="Calibri" w:hAnsi="David"/>
          <w:rtl/>
        </w:rPr>
        <w:t>בכל הקשור למדיניות הענישה, הפנתה לפסיקה רלוונטית, ובי</w:t>
      </w:r>
      <w:r>
        <w:rPr>
          <w:rFonts w:ascii="David" w:eastAsia="Calibri" w:hAnsi="David"/>
          <w:rtl/>
        </w:rPr>
        <w:t>קשה לקבוע מתחם</w:t>
      </w:r>
      <w:r>
        <w:rPr>
          <w:rFonts w:ascii="David" w:eastAsia="Calibri" w:hAnsi="David" w:hint="cs"/>
          <w:rtl/>
        </w:rPr>
        <w:t xml:space="preserve"> </w:t>
      </w:r>
      <w:r>
        <w:rPr>
          <w:rFonts w:ascii="David" w:eastAsia="Calibri" w:hAnsi="David"/>
          <w:rtl/>
        </w:rPr>
        <w:t xml:space="preserve"> עונש </w:t>
      </w:r>
      <w:r>
        <w:rPr>
          <w:rFonts w:ascii="David" w:eastAsia="Calibri" w:hAnsi="David" w:hint="cs"/>
          <w:rtl/>
        </w:rPr>
        <w:t>הולם א</w:t>
      </w:r>
      <w:r>
        <w:rPr>
          <w:rFonts w:ascii="David" w:eastAsia="Calibri" w:hAnsi="David"/>
          <w:rtl/>
        </w:rPr>
        <w:t>חד</w:t>
      </w:r>
      <w:r>
        <w:rPr>
          <w:rFonts w:ascii="David" w:eastAsia="Calibri" w:hAnsi="David" w:hint="cs"/>
          <w:rtl/>
        </w:rPr>
        <w:t xml:space="preserve"> ביחס לכלל העבירות</w:t>
      </w:r>
      <w:r>
        <w:rPr>
          <w:rFonts w:ascii="David" w:hAnsi="David" w:hint="cs"/>
          <w:rtl/>
        </w:rPr>
        <w:t xml:space="preserve"> </w:t>
      </w:r>
      <w:r>
        <w:rPr>
          <w:rFonts w:ascii="David" w:eastAsia="Calibri" w:hAnsi="David" w:hint="cs"/>
          <w:rtl/>
        </w:rPr>
        <w:t>ש</w:t>
      </w:r>
      <w:r w:rsidRPr="003040BB">
        <w:rPr>
          <w:rFonts w:ascii="David" w:eastAsia="Calibri" w:hAnsi="David"/>
          <w:rtl/>
        </w:rPr>
        <w:t xml:space="preserve">נע בין 6 </w:t>
      </w:r>
      <w:r>
        <w:rPr>
          <w:rFonts w:ascii="David" w:eastAsia="Calibri" w:hAnsi="David" w:hint="cs"/>
          <w:rtl/>
        </w:rPr>
        <w:t xml:space="preserve">ל- </w:t>
      </w:r>
      <w:r>
        <w:rPr>
          <w:rFonts w:ascii="David" w:eastAsia="Calibri" w:hAnsi="David"/>
          <w:rtl/>
        </w:rPr>
        <w:t>8 שנות מאסר בפועל</w:t>
      </w:r>
      <w:r>
        <w:rPr>
          <w:rFonts w:ascii="David" w:eastAsia="Calibri" w:hAnsi="David" w:hint="cs"/>
          <w:rtl/>
        </w:rPr>
        <w:t xml:space="preserve">, </w:t>
      </w:r>
      <w:r w:rsidRPr="003040BB">
        <w:rPr>
          <w:rFonts w:ascii="David" w:eastAsia="Calibri" w:hAnsi="David"/>
          <w:rtl/>
        </w:rPr>
        <w:lastRenderedPageBreak/>
        <w:t xml:space="preserve">ולמקם את עונשו של הנאשם </w:t>
      </w:r>
      <w:r>
        <w:rPr>
          <w:rFonts w:ascii="David" w:eastAsia="Calibri" w:hAnsi="David" w:hint="cs"/>
          <w:rtl/>
        </w:rPr>
        <w:t xml:space="preserve">בין השליש התחתון לאמצע </w:t>
      </w:r>
      <w:r w:rsidRPr="003040BB">
        <w:rPr>
          <w:rFonts w:ascii="David" w:eastAsia="Calibri" w:hAnsi="David"/>
          <w:rtl/>
        </w:rPr>
        <w:t xml:space="preserve">המתחם. עוד ביקשה להטיל על הנאשם מאסר על תנאי ארוך ומשמעותי, ופיצוי </w:t>
      </w:r>
      <w:r>
        <w:rPr>
          <w:rFonts w:ascii="David" w:eastAsia="Calibri" w:hAnsi="David" w:hint="cs"/>
          <w:rtl/>
        </w:rPr>
        <w:t xml:space="preserve">גבוה </w:t>
      </w:r>
      <w:r w:rsidRPr="003040BB">
        <w:rPr>
          <w:rFonts w:ascii="David" w:eastAsia="Calibri" w:hAnsi="David"/>
          <w:rtl/>
        </w:rPr>
        <w:t xml:space="preserve">לנפגע העבירה. </w:t>
      </w:r>
    </w:p>
    <w:p w14:paraId="7057E5CF" w14:textId="77777777" w:rsidR="00343D19" w:rsidRPr="00CB2DD1" w:rsidRDefault="00343D19" w:rsidP="00343D19">
      <w:pPr>
        <w:spacing w:line="360" w:lineRule="auto"/>
        <w:ind w:left="720"/>
        <w:contextualSpacing/>
        <w:jc w:val="both"/>
        <w:rPr>
          <w:rFonts w:ascii="David" w:eastAsia="David" w:hAnsi="David"/>
          <w:b/>
          <w:bCs/>
          <w:sz w:val="14"/>
          <w:szCs w:val="14"/>
          <w:u w:val="single"/>
        </w:rPr>
      </w:pPr>
    </w:p>
    <w:p w14:paraId="77182E02" w14:textId="77777777" w:rsidR="00343D19" w:rsidRPr="003040BB" w:rsidRDefault="00343D19" w:rsidP="00343D19">
      <w:pPr>
        <w:spacing w:line="360" w:lineRule="auto"/>
        <w:ind w:left="360"/>
        <w:jc w:val="both"/>
        <w:rPr>
          <w:rFonts w:ascii="David" w:eastAsia="David" w:hAnsi="David"/>
          <w:b/>
          <w:bCs/>
          <w:u w:val="single"/>
          <w:rtl/>
        </w:rPr>
      </w:pPr>
      <w:r>
        <w:rPr>
          <w:rFonts w:ascii="David" w:eastAsia="David" w:hAnsi="David"/>
          <w:b/>
          <w:bCs/>
          <w:u w:val="single"/>
          <w:rtl/>
        </w:rPr>
        <w:t>עיקר</w:t>
      </w:r>
      <w:r w:rsidRPr="003040BB">
        <w:rPr>
          <w:rFonts w:ascii="David" w:eastAsia="David" w:hAnsi="David"/>
          <w:b/>
          <w:bCs/>
          <w:u w:val="single"/>
          <w:rtl/>
        </w:rPr>
        <w:t xml:space="preserve"> טיעוני הנאשם לעונש</w:t>
      </w:r>
    </w:p>
    <w:p w14:paraId="75A9EDA5" w14:textId="77777777" w:rsidR="00343D19" w:rsidRPr="00CB2DD1" w:rsidRDefault="00343D19" w:rsidP="00343D19">
      <w:pPr>
        <w:spacing w:line="360" w:lineRule="auto"/>
        <w:ind w:left="360"/>
        <w:jc w:val="both"/>
        <w:rPr>
          <w:rFonts w:ascii="David" w:eastAsia="David" w:hAnsi="David"/>
          <w:b/>
          <w:bCs/>
          <w:sz w:val="12"/>
          <w:szCs w:val="12"/>
          <w:u w:val="single"/>
        </w:rPr>
      </w:pPr>
    </w:p>
    <w:p w14:paraId="130EDAF0" w14:textId="77777777" w:rsidR="00343D19" w:rsidRPr="003040BB" w:rsidRDefault="00343D19" w:rsidP="00343D19">
      <w:pPr>
        <w:numPr>
          <w:ilvl w:val="0"/>
          <w:numId w:val="1"/>
        </w:numPr>
        <w:spacing w:after="160" w:line="360" w:lineRule="auto"/>
        <w:contextualSpacing/>
        <w:jc w:val="both"/>
        <w:rPr>
          <w:rFonts w:ascii="David" w:eastAsia="Calibri" w:hAnsi="David"/>
        </w:rPr>
      </w:pPr>
      <w:r w:rsidRPr="003040BB">
        <w:rPr>
          <w:rFonts w:ascii="David" w:eastAsia="Calibri" w:hAnsi="David"/>
          <w:rtl/>
        </w:rPr>
        <w:t xml:space="preserve">ב"כ הנאשם, הפנה לתיקון המהותי </w:t>
      </w:r>
      <w:r>
        <w:rPr>
          <w:rFonts w:ascii="David" w:eastAsia="Calibri" w:hAnsi="David" w:hint="cs"/>
          <w:rtl/>
        </w:rPr>
        <w:t>ש</w:t>
      </w:r>
      <w:r w:rsidRPr="003040BB">
        <w:rPr>
          <w:rFonts w:ascii="David" w:eastAsia="Calibri" w:hAnsi="David"/>
          <w:rtl/>
        </w:rPr>
        <w:t>בכתב האישום, לנסיבותיו האיש</w:t>
      </w:r>
      <w:r>
        <w:rPr>
          <w:rFonts w:ascii="David" w:eastAsia="Calibri" w:hAnsi="David" w:hint="cs"/>
          <w:rtl/>
        </w:rPr>
        <w:t>י</w:t>
      </w:r>
      <w:r>
        <w:rPr>
          <w:rFonts w:ascii="David" w:eastAsia="Calibri" w:hAnsi="David"/>
          <w:rtl/>
        </w:rPr>
        <w:t xml:space="preserve">ות של הנאשם, </w:t>
      </w:r>
      <w:r>
        <w:rPr>
          <w:rFonts w:ascii="David" w:eastAsia="Calibri" w:hAnsi="David" w:hint="cs"/>
          <w:rtl/>
        </w:rPr>
        <w:t xml:space="preserve">והדגיש את </w:t>
      </w:r>
      <w:r>
        <w:rPr>
          <w:rFonts w:ascii="David" w:eastAsia="Calibri" w:hAnsi="David"/>
          <w:rtl/>
        </w:rPr>
        <w:t xml:space="preserve">העובדה </w:t>
      </w:r>
      <w:r>
        <w:rPr>
          <w:rFonts w:ascii="David" w:eastAsia="Calibri" w:hAnsi="David" w:hint="cs"/>
          <w:rtl/>
        </w:rPr>
        <w:t xml:space="preserve">שהנאשם </w:t>
      </w:r>
      <w:r>
        <w:rPr>
          <w:rFonts w:ascii="David" w:eastAsia="Calibri" w:hAnsi="David"/>
          <w:rtl/>
        </w:rPr>
        <w:t>גדל במשפחה נורמטיבית, הורי</w:t>
      </w:r>
      <w:r>
        <w:rPr>
          <w:rFonts w:ascii="David" w:eastAsia="Calibri" w:hAnsi="David" w:hint="cs"/>
          <w:rtl/>
        </w:rPr>
        <w:t>ו</w:t>
      </w:r>
      <w:r w:rsidRPr="003040BB">
        <w:rPr>
          <w:rFonts w:ascii="David" w:eastAsia="Calibri" w:hAnsi="David"/>
          <w:rtl/>
        </w:rPr>
        <w:t xml:space="preserve"> עובדים</w:t>
      </w:r>
      <w:r>
        <w:rPr>
          <w:rFonts w:ascii="David" w:eastAsia="Calibri" w:hAnsi="David" w:hint="cs"/>
          <w:rtl/>
        </w:rPr>
        <w:t xml:space="preserve"> לפרנסתם</w:t>
      </w:r>
      <w:r>
        <w:rPr>
          <w:rFonts w:ascii="David" w:eastAsia="Calibri" w:hAnsi="David"/>
          <w:rtl/>
        </w:rPr>
        <w:t xml:space="preserve">, </w:t>
      </w:r>
      <w:r>
        <w:rPr>
          <w:rFonts w:ascii="David" w:eastAsia="Calibri" w:hAnsi="David" w:hint="cs"/>
          <w:rtl/>
        </w:rPr>
        <w:t>ו</w:t>
      </w:r>
      <w:r w:rsidRPr="003040BB">
        <w:rPr>
          <w:rFonts w:ascii="David" w:eastAsia="Calibri" w:hAnsi="David"/>
          <w:rtl/>
        </w:rPr>
        <w:t xml:space="preserve">הוא </w:t>
      </w:r>
      <w:r>
        <w:rPr>
          <w:rFonts w:ascii="David" w:eastAsia="Calibri" w:hAnsi="David" w:hint="cs"/>
          <w:rtl/>
        </w:rPr>
        <w:t>עצמו ניהל אורח חיים נורמטיבי ו</w:t>
      </w:r>
      <w:r>
        <w:rPr>
          <w:rFonts w:ascii="David" w:eastAsia="Calibri" w:hAnsi="David"/>
          <w:rtl/>
        </w:rPr>
        <w:t>עבד לפרנסתו עובר למעצרו</w:t>
      </w:r>
      <w:r>
        <w:rPr>
          <w:rFonts w:ascii="David" w:eastAsia="Calibri" w:hAnsi="David" w:hint="cs"/>
          <w:rtl/>
        </w:rPr>
        <w:t xml:space="preserve">. </w:t>
      </w:r>
      <w:r w:rsidRPr="003040BB">
        <w:rPr>
          <w:rFonts w:ascii="David" w:eastAsia="Calibri" w:hAnsi="David"/>
          <w:rtl/>
        </w:rPr>
        <w:t xml:space="preserve">כיום </w:t>
      </w:r>
      <w:r>
        <w:rPr>
          <w:rFonts w:ascii="David" w:eastAsia="Calibri" w:hAnsi="David" w:hint="cs"/>
          <w:rtl/>
        </w:rPr>
        <w:t xml:space="preserve">הנאשם </w:t>
      </w:r>
      <w:r>
        <w:rPr>
          <w:rFonts w:ascii="David" w:eastAsia="Calibri" w:hAnsi="David"/>
          <w:rtl/>
        </w:rPr>
        <w:t>מאורס</w:t>
      </w:r>
      <w:r>
        <w:rPr>
          <w:rFonts w:ascii="David" w:eastAsia="Calibri" w:hAnsi="David" w:hint="cs"/>
          <w:rtl/>
        </w:rPr>
        <w:t xml:space="preserve">, </w:t>
      </w:r>
      <w:r w:rsidRPr="003040BB">
        <w:rPr>
          <w:rFonts w:ascii="David" w:eastAsia="Calibri" w:hAnsi="David"/>
          <w:rtl/>
        </w:rPr>
        <w:t>קנה בית</w:t>
      </w:r>
      <w:r>
        <w:rPr>
          <w:rFonts w:ascii="David" w:eastAsia="Calibri" w:hAnsi="David" w:hint="cs"/>
          <w:rtl/>
        </w:rPr>
        <w:t xml:space="preserve"> ומבקש להקים משפחה</w:t>
      </w:r>
      <w:r w:rsidRPr="003040BB">
        <w:rPr>
          <w:rFonts w:ascii="David" w:eastAsia="Calibri" w:hAnsi="David"/>
          <w:rtl/>
        </w:rPr>
        <w:t xml:space="preserve">. עוד ציין כי מדובר בנאשם צעיר, נעדר עבר פלילי, </w:t>
      </w:r>
      <w:r>
        <w:rPr>
          <w:rFonts w:ascii="David" w:eastAsia="Calibri" w:hAnsi="David" w:hint="cs"/>
          <w:rtl/>
        </w:rPr>
        <w:t xml:space="preserve">שזו לו </w:t>
      </w:r>
      <w:r w:rsidRPr="003040BB">
        <w:rPr>
          <w:rFonts w:ascii="David" w:eastAsia="Calibri" w:hAnsi="David"/>
          <w:rtl/>
        </w:rPr>
        <w:t>הסתבכותו הראשונה בפלילים</w:t>
      </w:r>
      <w:r>
        <w:rPr>
          <w:rFonts w:ascii="David" w:eastAsia="Calibri" w:hAnsi="David" w:hint="cs"/>
          <w:rtl/>
        </w:rPr>
        <w:t xml:space="preserve">. ציין כי הנאשם עושה מאמצים </w:t>
      </w:r>
      <w:r w:rsidRPr="003040BB">
        <w:rPr>
          <w:rFonts w:ascii="David" w:eastAsia="Calibri" w:hAnsi="David"/>
          <w:rtl/>
        </w:rPr>
        <w:t>לשמור על עצמו בתוך הכלא מעבריינים, וכי שליחתו למאסר לתקופה ארוכה עלולה לדרדרו לעולם העבריינות. הדגיש כי האירוע המתואר בכתב האישום המתוקן, הוא תולדה של הסתבכות הנאשם עם המתלונן</w:t>
      </w:r>
      <w:r>
        <w:rPr>
          <w:rFonts w:ascii="David" w:eastAsia="Calibri" w:hAnsi="David" w:hint="cs"/>
          <w:rtl/>
        </w:rPr>
        <w:t xml:space="preserve"> שהינו עבריין המטיל </w:t>
      </w:r>
      <w:r w:rsidRPr="003040BB">
        <w:rPr>
          <w:rFonts w:ascii="David" w:eastAsia="Calibri" w:hAnsi="David"/>
          <w:rtl/>
        </w:rPr>
        <w:t xml:space="preserve"> </w:t>
      </w:r>
      <w:r>
        <w:rPr>
          <w:rFonts w:ascii="David" w:eastAsia="Calibri" w:hAnsi="David" w:hint="cs"/>
          <w:rtl/>
        </w:rPr>
        <w:t xml:space="preserve">את אימתו </w:t>
      </w:r>
      <w:r w:rsidRPr="003040BB">
        <w:rPr>
          <w:rFonts w:ascii="David" w:eastAsia="Calibri" w:hAnsi="David"/>
          <w:rtl/>
        </w:rPr>
        <w:t>על אנשי הכפר, וכיום הוא עצור</w:t>
      </w:r>
      <w:r>
        <w:rPr>
          <w:rFonts w:ascii="David" w:eastAsia="Calibri" w:hAnsi="David" w:hint="cs"/>
          <w:rtl/>
        </w:rPr>
        <w:t xml:space="preserve"> בגין עבירות חמורות</w:t>
      </w:r>
      <w:r w:rsidRPr="003040BB">
        <w:rPr>
          <w:rFonts w:ascii="David" w:eastAsia="Calibri" w:hAnsi="David"/>
          <w:rtl/>
        </w:rPr>
        <w:t xml:space="preserve">. בכל הקשור לתסקיר שירות המבחן, ביקש </w:t>
      </w:r>
      <w:r w:rsidRPr="000907B0">
        <w:rPr>
          <w:rFonts w:ascii="David" w:eastAsia="Calibri" w:hAnsi="David"/>
          <w:rtl/>
        </w:rPr>
        <w:t>ל</w:t>
      </w:r>
      <w:r w:rsidRPr="000907B0">
        <w:rPr>
          <w:rFonts w:ascii="David" w:eastAsia="Calibri" w:hAnsi="David" w:hint="cs"/>
          <w:rtl/>
        </w:rPr>
        <w:t xml:space="preserve">הדגיש </w:t>
      </w:r>
      <w:r w:rsidRPr="000907B0">
        <w:rPr>
          <w:rFonts w:ascii="David" w:eastAsia="Calibri" w:hAnsi="David"/>
          <w:rtl/>
        </w:rPr>
        <w:t>על החלקים</w:t>
      </w:r>
      <w:r>
        <w:rPr>
          <w:rFonts w:ascii="David" w:eastAsia="Calibri" w:hAnsi="David"/>
          <w:rtl/>
        </w:rPr>
        <w:t xml:space="preserve"> החיוביים</w:t>
      </w:r>
      <w:r>
        <w:rPr>
          <w:rFonts w:ascii="David" w:eastAsia="Calibri" w:hAnsi="David" w:hint="cs"/>
          <w:rtl/>
        </w:rPr>
        <w:t xml:space="preserve"> שבו, ובפרט העובדה שהנאשם גדל בחברה לקויה, וסביבה שולית ועבריינית. בנוסף הפנה לעובדה </w:t>
      </w:r>
      <w:r w:rsidRPr="003040BB">
        <w:rPr>
          <w:rFonts w:ascii="David" w:eastAsia="Calibri" w:hAnsi="David"/>
          <w:rtl/>
        </w:rPr>
        <w:t>ששירות המבחן סבר כי יש מקום לשיקום גם אם בכותלי בית הכלא</w:t>
      </w:r>
      <w:r>
        <w:rPr>
          <w:rFonts w:ascii="David" w:eastAsia="Calibri" w:hAnsi="David" w:hint="cs"/>
          <w:rtl/>
        </w:rPr>
        <w:t>, ובהחלט ניתן ללמוד על סיכויי שיקום, בפרט נוכח קיומה של משפחה תומכת ונורמטיבית</w:t>
      </w:r>
      <w:r w:rsidRPr="003040BB">
        <w:rPr>
          <w:rFonts w:ascii="David" w:eastAsia="Calibri" w:hAnsi="David"/>
          <w:rtl/>
        </w:rPr>
        <w:t xml:space="preserve">. באשר למדיניות הענישה, הפנה לפסיקה רלוונטית וטען למתחם עונש הולם </w:t>
      </w:r>
      <w:r>
        <w:rPr>
          <w:rFonts w:ascii="David" w:eastAsia="Calibri" w:hAnsi="David" w:hint="cs"/>
          <w:rtl/>
        </w:rPr>
        <w:t>שבין  20 ל-</w:t>
      </w:r>
      <w:r w:rsidRPr="003040BB">
        <w:rPr>
          <w:rFonts w:ascii="David" w:eastAsia="Calibri" w:hAnsi="David"/>
          <w:rtl/>
        </w:rPr>
        <w:t xml:space="preserve"> 40 חודשי מאסר בפועל. במכלול הנסיבות, ביקש לתת לנאשם הזדמנות לחזור לחייו ולמקם את עונשו של הנאשם ברף התחתון של המתחם</w:t>
      </w:r>
      <w:r>
        <w:rPr>
          <w:rFonts w:ascii="David" w:eastAsia="Calibri" w:hAnsi="David" w:hint="cs"/>
          <w:rtl/>
        </w:rPr>
        <w:t xml:space="preserve"> בניכוי ימי מעצרו, ול</w:t>
      </w:r>
      <w:r w:rsidRPr="003040BB">
        <w:rPr>
          <w:rFonts w:ascii="David" w:eastAsia="Calibri" w:hAnsi="David"/>
          <w:rtl/>
        </w:rPr>
        <w:t xml:space="preserve">שלבו בהליך טיפולי במסגרת שב"ס.  </w:t>
      </w:r>
    </w:p>
    <w:p w14:paraId="3BF1F6BD" w14:textId="77777777" w:rsidR="00343D19" w:rsidRPr="00CB2DD1" w:rsidRDefault="00343D19" w:rsidP="00343D19">
      <w:pPr>
        <w:spacing w:line="360" w:lineRule="auto"/>
        <w:ind w:left="720"/>
        <w:contextualSpacing/>
        <w:jc w:val="both"/>
        <w:rPr>
          <w:rFonts w:ascii="David" w:eastAsia="Calibri" w:hAnsi="David"/>
          <w:sz w:val="16"/>
          <w:szCs w:val="16"/>
        </w:rPr>
      </w:pPr>
    </w:p>
    <w:p w14:paraId="4C938A6C" w14:textId="77777777" w:rsidR="00343D19" w:rsidRPr="003040BB" w:rsidRDefault="00343D19" w:rsidP="00343D19">
      <w:pPr>
        <w:numPr>
          <w:ilvl w:val="0"/>
          <w:numId w:val="1"/>
        </w:numPr>
        <w:spacing w:after="160" w:line="360" w:lineRule="auto"/>
        <w:contextualSpacing/>
        <w:jc w:val="both"/>
        <w:rPr>
          <w:rFonts w:ascii="David" w:eastAsia="Calibri" w:hAnsi="David"/>
        </w:rPr>
      </w:pPr>
      <w:r w:rsidRPr="003040BB">
        <w:rPr>
          <w:rFonts w:ascii="David" w:eastAsia="Calibri" w:hAnsi="David"/>
          <w:rtl/>
        </w:rPr>
        <w:t xml:space="preserve">הנאשם עצמו הצטער על ביצוע העבירות, </w:t>
      </w:r>
      <w:r>
        <w:rPr>
          <w:rFonts w:ascii="David" w:eastAsia="Calibri" w:hAnsi="David" w:hint="cs"/>
          <w:rtl/>
        </w:rPr>
        <w:t>ו</w:t>
      </w:r>
      <w:r w:rsidRPr="003040BB">
        <w:rPr>
          <w:rFonts w:ascii="David" w:eastAsia="Calibri" w:hAnsi="David"/>
          <w:rtl/>
        </w:rPr>
        <w:t>ביקש לחזור ל</w:t>
      </w:r>
      <w:r>
        <w:rPr>
          <w:rFonts w:ascii="David" w:eastAsia="Calibri" w:hAnsi="David" w:hint="cs"/>
          <w:rtl/>
        </w:rPr>
        <w:t xml:space="preserve">שגרת </w:t>
      </w:r>
      <w:r w:rsidRPr="003040BB">
        <w:rPr>
          <w:rFonts w:ascii="David" w:eastAsia="Calibri" w:hAnsi="David"/>
          <w:rtl/>
        </w:rPr>
        <w:t xml:space="preserve">חייו ולביתו. </w:t>
      </w:r>
    </w:p>
    <w:p w14:paraId="5332424D" w14:textId="77777777" w:rsidR="00343D19" w:rsidRPr="00CB2DD1" w:rsidRDefault="00343D19" w:rsidP="00343D19">
      <w:pPr>
        <w:spacing w:line="360" w:lineRule="auto"/>
        <w:contextualSpacing/>
        <w:jc w:val="both"/>
        <w:rPr>
          <w:rFonts w:ascii="David" w:eastAsia="Calibri" w:hAnsi="David"/>
          <w:sz w:val="14"/>
          <w:szCs w:val="14"/>
        </w:rPr>
      </w:pPr>
    </w:p>
    <w:p w14:paraId="4A26617C" w14:textId="77777777" w:rsidR="00343D19" w:rsidRPr="003040BB" w:rsidRDefault="00343D19" w:rsidP="00343D19">
      <w:pPr>
        <w:spacing w:after="160" w:line="360" w:lineRule="auto"/>
        <w:ind w:left="391"/>
        <w:contextualSpacing/>
        <w:jc w:val="both"/>
        <w:rPr>
          <w:rFonts w:ascii="David" w:eastAsia="David" w:hAnsi="David"/>
          <w:b/>
          <w:bCs/>
          <w:u w:val="single"/>
          <w:rtl/>
        </w:rPr>
      </w:pPr>
      <w:r w:rsidRPr="003040BB">
        <w:rPr>
          <w:rFonts w:ascii="David" w:eastAsia="David" w:hAnsi="David"/>
          <w:b/>
          <w:bCs/>
          <w:u w:val="single"/>
          <w:rtl/>
        </w:rPr>
        <w:t>דיון</w:t>
      </w:r>
    </w:p>
    <w:p w14:paraId="3D769FE6" w14:textId="77777777" w:rsidR="00343D19" w:rsidRPr="003040BB" w:rsidRDefault="00343D19" w:rsidP="00343D19">
      <w:pPr>
        <w:spacing w:after="160" w:line="360" w:lineRule="auto"/>
        <w:ind w:firstLine="360"/>
        <w:jc w:val="both"/>
        <w:rPr>
          <w:rFonts w:ascii="David" w:eastAsia="David" w:hAnsi="David"/>
          <w:b/>
          <w:bCs/>
          <w:u w:val="single"/>
        </w:rPr>
      </w:pPr>
      <w:r w:rsidRPr="003040BB">
        <w:rPr>
          <w:rFonts w:ascii="David" w:eastAsia="David" w:hAnsi="David"/>
          <w:b/>
          <w:bCs/>
          <w:u w:val="single"/>
          <w:rtl/>
        </w:rPr>
        <w:t>קביעת מתחם העונש ההולם</w:t>
      </w:r>
    </w:p>
    <w:p w14:paraId="0AE109D5" w14:textId="77777777" w:rsidR="00343D19" w:rsidRPr="003040BB" w:rsidRDefault="00343D19" w:rsidP="00343D19">
      <w:pPr>
        <w:numPr>
          <w:ilvl w:val="0"/>
          <w:numId w:val="1"/>
        </w:numPr>
        <w:spacing w:after="160" w:line="360" w:lineRule="auto"/>
        <w:contextualSpacing/>
        <w:jc w:val="both"/>
        <w:rPr>
          <w:rFonts w:ascii="David" w:hAnsi="David"/>
          <w:b/>
          <w:bCs/>
          <w:u w:val="single"/>
        </w:rPr>
      </w:pPr>
      <w:r w:rsidRPr="003040BB">
        <w:rPr>
          <w:rFonts w:ascii="David" w:eastAsia="David" w:hAnsi="David"/>
          <w:rtl/>
        </w:rPr>
        <w:t xml:space="preserve">פרק ו' סימן </w:t>
      </w:r>
      <w:hyperlink r:id="rId17" w:history="1">
        <w:r w:rsidR="00561BB7" w:rsidRPr="00561BB7">
          <w:rPr>
            <w:rStyle w:val="Hyperlink"/>
            <w:rFonts w:ascii="David" w:eastAsia="David" w:hAnsi="David"/>
            <w:rtl/>
          </w:rPr>
          <w:t xml:space="preserve">א' 1 </w:t>
        </w:r>
      </w:hyperlink>
      <w:r w:rsidRPr="003040BB">
        <w:rPr>
          <w:rFonts w:ascii="David" w:eastAsia="David" w:hAnsi="David"/>
          <w:rtl/>
        </w:rPr>
        <w:t xml:space="preserve">  ל</w:t>
      </w:r>
      <w:hyperlink r:id="rId18" w:history="1">
        <w:r w:rsidR="00FC5E1E" w:rsidRPr="00FC5E1E">
          <w:rPr>
            <w:rFonts w:ascii="David" w:eastAsia="David" w:hAnsi="David"/>
            <w:color w:val="0000FF"/>
            <w:u w:val="single"/>
            <w:rtl/>
          </w:rPr>
          <w:t>חוק העונשין</w:t>
        </w:r>
      </w:hyperlink>
      <w:r w:rsidRPr="003040BB">
        <w:rPr>
          <w:rFonts w:ascii="David" w:eastAsia="David" w:hAnsi="David"/>
          <w:rtl/>
        </w:rPr>
        <w:t xml:space="preserve"> דן בהבניית שיפוט הדעת השיפוטי בענישה (סעיפים 40א-טו)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19" w:history="1">
        <w:r w:rsidR="00561BB7" w:rsidRPr="00561BB7">
          <w:rPr>
            <w:rStyle w:val="Hyperlink"/>
            <w:rFonts w:ascii="David" w:eastAsia="David" w:hAnsi="David"/>
            <w:rtl/>
          </w:rPr>
          <w:t>40 א</w:t>
        </w:r>
      </w:hyperlink>
      <w:r w:rsidRPr="003040BB">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7642EA98" w14:textId="77777777" w:rsidR="00343D19" w:rsidRPr="003F3C22" w:rsidRDefault="00343D19" w:rsidP="00343D19">
      <w:pPr>
        <w:shd w:val="clear" w:color="auto" w:fill="FFFFFF"/>
        <w:spacing w:after="160" w:line="360" w:lineRule="auto"/>
        <w:jc w:val="both"/>
        <w:rPr>
          <w:rFonts w:ascii="David" w:eastAsia="David" w:hAnsi="David"/>
          <w:b/>
          <w:bCs/>
          <w:sz w:val="8"/>
          <w:szCs w:val="8"/>
          <w:u w:val="single"/>
        </w:rPr>
      </w:pPr>
    </w:p>
    <w:p w14:paraId="002ECE98" w14:textId="77777777" w:rsidR="00343D19" w:rsidRPr="003040BB" w:rsidRDefault="00343D19" w:rsidP="00343D19">
      <w:pPr>
        <w:shd w:val="clear" w:color="auto" w:fill="FFFFFF"/>
        <w:spacing w:after="160" w:line="360" w:lineRule="auto"/>
        <w:ind w:left="391"/>
        <w:contextualSpacing/>
        <w:jc w:val="both"/>
        <w:rPr>
          <w:rFonts w:ascii="David" w:eastAsia="Calibri" w:hAnsi="David"/>
        </w:rPr>
      </w:pPr>
      <w:r w:rsidRPr="003040BB">
        <w:rPr>
          <w:rFonts w:ascii="David" w:eastAsia="David" w:hAnsi="David"/>
          <w:b/>
          <w:bCs/>
          <w:u w:val="single"/>
          <w:rtl/>
        </w:rPr>
        <w:t>הערכים החברתיים עליהם יש להגן</w:t>
      </w:r>
    </w:p>
    <w:p w14:paraId="1EB85CFC" w14:textId="77777777" w:rsidR="00343D19" w:rsidRPr="003040BB" w:rsidRDefault="00343D19" w:rsidP="00343D19">
      <w:pPr>
        <w:numPr>
          <w:ilvl w:val="0"/>
          <w:numId w:val="1"/>
        </w:numPr>
        <w:shd w:val="clear" w:color="auto" w:fill="FFFFFF"/>
        <w:spacing w:after="160" w:line="360" w:lineRule="auto"/>
        <w:contextualSpacing/>
        <w:jc w:val="both"/>
        <w:rPr>
          <w:rFonts w:ascii="David" w:hAnsi="David"/>
          <w:kern w:val="28"/>
          <w:rtl/>
          <w:lang w:eastAsia="he-IL"/>
        </w:rPr>
      </w:pPr>
      <w:r w:rsidRPr="003040BB">
        <w:rPr>
          <w:rFonts w:ascii="David" w:eastAsia="Calibri" w:hAnsi="David"/>
          <w:rtl/>
        </w:rPr>
        <w:t xml:space="preserve">העבירה של חבלה חמורה בנסיבות מחמירות נושאת בצידה עונש מרבי של 14 שנות מאסר, </w:t>
      </w:r>
      <w:r w:rsidRPr="003040BB">
        <w:rPr>
          <w:rFonts w:ascii="David" w:hAnsi="David"/>
          <w:rtl/>
        </w:rPr>
        <w:t>ו</w:t>
      </w:r>
      <w:r w:rsidRPr="003040BB">
        <w:rPr>
          <w:rFonts w:ascii="David" w:eastAsia="Calibri" w:hAnsi="David"/>
          <w:rtl/>
        </w:rPr>
        <w:t xml:space="preserve">במעשיו הנאשם פגע </w:t>
      </w:r>
      <w:r w:rsidRPr="003040BB">
        <w:rPr>
          <w:rFonts w:ascii="David" w:hAnsi="David"/>
          <w:color w:val="000000"/>
          <w:rtl/>
        </w:rPr>
        <w:t>בשורה של ערכים חברתיים החיוניים לתפקודה של החברה והתפתחותה, לרבות, ביטחונו, שלומו, שלמות גופו וכבודו של האדם– זכות יסוד מקודשת שאין להתיר לאיש לפגוע בה (</w:t>
      </w:r>
      <w:hyperlink r:id="rId20" w:history="1">
        <w:r w:rsidR="00FC5E1E" w:rsidRPr="00FC5E1E">
          <w:rPr>
            <w:rFonts w:ascii="David" w:hAnsi="David"/>
            <w:b/>
            <w:bCs/>
            <w:color w:val="0000FF"/>
            <w:u w:val="single"/>
            <w:rtl/>
          </w:rPr>
          <w:t>ע״פ 6310/14</w:t>
        </w:r>
      </w:hyperlink>
      <w:r w:rsidRPr="003040BB">
        <w:rPr>
          <w:rFonts w:ascii="David" w:hAnsi="David"/>
          <w:b/>
          <w:bCs/>
          <w:rtl/>
        </w:rPr>
        <w:t xml:space="preserve"> </w:t>
      </w:r>
      <w:r w:rsidRPr="003040BB">
        <w:rPr>
          <w:rFonts w:ascii="David" w:hAnsi="David" w:hint="cs"/>
          <w:b/>
          <w:bCs/>
          <w:u w:val="single"/>
          <w:rtl/>
        </w:rPr>
        <w:t>פלוני נ׳ מדינת ישראל</w:t>
      </w:r>
      <w:r w:rsidR="00FC5E1E">
        <w:rPr>
          <w:rFonts w:ascii="David" w:hAnsi="David"/>
          <w:rtl/>
        </w:rPr>
        <w:t xml:space="preserve"> </w:t>
      </w:r>
      <w:r w:rsidRPr="003040BB">
        <w:rPr>
          <w:rFonts w:ascii="David" w:hAnsi="David"/>
          <w:color w:val="000000"/>
          <w:rtl/>
        </w:rPr>
        <w:t xml:space="preserve">), </w:t>
      </w:r>
      <w:r w:rsidRPr="003040BB">
        <w:rPr>
          <w:rFonts w:ascii="David" w:eastAsia="Calibri" w:hAnsi="David"/>
          <w:rtl/>
        </w:rPr>
        <w:t xml:space="preserve">ולא בכדי </w:t>
      </w:r>
      <w:r w:rsidRPr="003040BB">
        <w:rPr>
          <w:rFonts w:ascii="David" w:hAnsi="David"/>
          <w:color w:val="000000"/>
          <w:rtl/>
        </w:rPr>
        <w:t xml:space="preserve">בית המשפט העליון חזר ועמד </w:t>
      </w:r>
      <w:r w:rsidRPr="003040BB">
        <w:rPr>
          <w:rFonts w:ascii="David" w:eastAsia="Calibri" w:hAnsi="David"/>
          <w:rtl/>
        </w:rPr>
        <w:t xml:space="preserve">על חומרתן של עבירות האלימות </w:t>
      </w:r>
      <w:r w:rsidRPr="003040BB">
        <w:rPr>
          <w:rFonts w:ascii="David" w:eastAsia="Calibri" w:hAnsi="David"/>
          <w:b/>
          <w:bCs/>
          <w:rtl/>
        </w:rPr>
        <w:t>ב</w:t>
      </w:r>
      <w:hyperlink r:id="rId21" w:history="1">
        <w:r w:rsidR="00FC5E1E" w:rsidRPr="00FC5E1E">
          <w:rPr>
            <w:rFonts w:ascii="David" w:eastAsia="Calibri" w:hAnsi="David"/>
            <w:b/>
            <w:bCs/>
            <w:color w:val="0000FF"/>
            <w:u w:val="single"/>
            <w:rtl/>
          </w:rPr>
          <w:t>ע"פ 3863/09</w:t>
        </w:r>
      </w:hyperlink>
      <w:r w:rsidRPr="003040BB">
        <w:rPr>
          <w:rFonts w:ascii="David" w:eastAsia="Calibri" w:hAnsi="David"/>
          <w:b/>
          <w:bCs/>
          <w:rtl/>
        </w:rPr>
        <w:t xml:space="preserve"> </w:t>
      </w:r>
      <w:r w:rsidRPr="003040BB">
        <w:rPr>
          <w:rFonts w:ascii="David" w:eastAsia="Calibri" w:hAnsi="David" w:hint="cs"/>
          <w:b/>
          <w:bCs/>
          <w:u w:val="single"/>
          <w:rtl/>
        </w:rPr>
        <w:t>מדינת ישראל נ' חסן</w:t>
      </w:r>
      <w:r w:rsidRPr="003040BB">
        <w:rPr>
          <w:rFonts w:ascii="David" w:eastAsia="Calibri" w:hAnsi="David"/>
          <w:rtl/>
        </w:rPr>
        <w:t xml:space="preserve">: </w:t>
      </w:r>
      <w:r w:rsidRPr="00492848">
        <w:rPr>
          <w:rFonts w:ascii="David" w:eastAsia="Calibri" w:hAnsi="David"/>
          <w:b/>
          <w:bCs/>
          <w:sz w:val="20"/>
          <w:szCs w:val="20"/>
          <w:rtl/>
        </w:rPr>
        <w:t>"</w:t>
      </w:r>
      <w:r w:rsidRPr="00492848">
        <w:rPr>
          <w:rFonts w:ascii="David" w:eastAsia="Calibri" w:hAnsi="David"/>
          <w:b/>
          <w:bCs/>
          <w:sz w:val="22"/>
          <w:szCs w:val="22"/>
          <w:rtl/>
        </w:rPr>
        <w:t>יש לשוב ולהדגיש כי זכותו של כל אדם לחיים ולשלמות הגוף היא זכות יסוד מקודשת ואין להתיר לאיש לפגוע בזכות זו. יש להילחם באלימות שפשטה בחברה הישראלית על כל צורותיה וגווניה, אם בתוך המשפחה ואם מחוצה לה, אם בקרב בני נוער ואם בקרב מבוגרים. זהו נגע רע שיש לבערו מן היסוד".</w:t>
      </w:r>
      <w:r w:rsidRPr="003040BB">
        <w:rPr>
          <w:rFonts w:ascii="David" w:hAnsi="David"/>
          <w:rtl/>
        </w:rPr>
        <w:t xml:space="preserve"> ראה גם</w:t>
      </w:r>
      <w:r w:rsidR="00FC5E1E">
        <w:rPr>
          <w:rFonts w:ascii="David" w:hAnsi="David"/>
          <w:rtl/>
        </w:rPr>
        <w:t xml:space="preserve"> </w:t>
      </w:r>
      <w:hyperlink r:id="rId22" w:history="1">
        <w:r w:rsidR="00FC5E1E" w:rsidRPr="00FC5E1E">
          <w:rPr>
            <w:rFonts w:ascii="David" w:hAnsi="David"/>
            <w:b/>
            <w:bCs/>
            <w:color w:val="0000FF"/>
            <w:u w:val="single"/>
            <w:rtl/>
          </w:rPr>
          <w:t>בש"פ 2453/05</w:t>
        </w:r>
      </w:hyperlink>
      <w:r w:rsidRPr="003040BB">
        <w:rPr>
          <w:rFonts w:ascii="David" w:hAnsi="David"/>
          <w:b/>
          <w:bCs/>
          <w:rtl/>
        </w:rPr>
        <w:t>,</w:t>
      </w:r>
      <w:r w:rsidR="00FC5E1E">
        <w:rPr>
          <w:rFonts w:ascii="David" w:hAnsi="David"/>
          <w:b/>
          <w:bCs/>
          <w:rtl/>
        </w:rPr>
        <w:t xml:space="preserve"> </w:t>
      </w:r>
      <w:r w:rsidRPr="003040BB">
        <w:rPr>
          <w:rFonts w:ascii="David" w:hAnsi="David"/>
          <w:b/>
          <w:bCs/>
          <w:u w:val="single"/>
          <w:rtl/>
        </w:rPr>
        <w:t>מחמוד חטיב נ' מדינת ישראל</w:t>
      </w:r>
      <w:r w:rsidRPr="003040BB">
        <w:rPr>
          <w:rFonts w:ascii="David" w:hAnsi="David"/>
          <w:rtl/>
        </w:rPr>
        <w:t>,</w:t>
      </w:r>
      <w:r w:rsidR="00FC5E1E">
        <w:rPr>
          <w:rFonts w:ascii="David" w:hAnsi="David"/>
          <w:rtl/>
        </w:rPr>
        <w:t xml:space="preserve"> </w:t>
      </w:r>
      <w:r w:rsidRPr="003040BB">
        <w:rPr>
          <w:rFonts w:ascii="David" w:hAnsi="David"/>
          <w:rtl/>
        </w:rPr>
        <w:t xml:space="preserve">שם נאמר, בין היתר </w:t>
      </w:r>
      <w:r w:rsidRPr="00492848">
        <w:rPr>
          <w:rFonts w:ascii="David" w:hAnsi="David"/>
          <w:b/>
          <w:bCs/>
          <w:rtl/>
        </w:rPr>
        <w:t>" האינטרס הציבורי מחייב, כי הזלזול בחיי אדם, הבא לידי ביטוי בקלות בה מוצא עצמו אדם קורבן למעשי אלימות העלולים להותירו נכה ואף להביא למותו, תגובה חריפה מצד כל גורמי האכיפה. . . השמירה על שלמות גופו של אדם וחייו, היא מהחשובות והמרכזיות שבתכליות העומדות בבסיס החוק הפלילי. "</w:t>
      </w:r>
      <w:r w:rsidR="00FC5E1E">
        <w:rPr>
          <w:rFonts w:ascii="David" w:hAnsi="David"/>
          <w:rtl/>
        </w:rPr>
        <w:t xml:space="preserve"> </w:t>
      </w:r>
      <w:r w:rsidRPr="003040BB">
        <w:rPr>
          <w:rFonts w:ascii="David" w:hAnsi="David"/>
          <w:rtl/>
        </w:rPr>
        <w:t xml:space="preserve">, </w:t>
      </w:r>
      <w:r w:rsidRPr="003040BB">
        <w:rPr>
          <w:rFonts w:ascii="David" w:hAnsi="David"/>
          <w:color w:val="000000"/>
          <w:rtl/>
        </w:rPr>
        <w:t>ובעבירות אלימות המערבות שימוש בכלי נשק קר או חם בפרט אפנה ל</w:t>
      </w:r>
      <w:hyperlink r:id="rId23" w:history="1">
        <w:r w:rsidR="00FC5E1E" w:rsidRPr="00FC5E1E">
          <w:rPr>
            <w:rFonts w:ascii="David" w:hAnsi="David"/>
            <w:b/>
            <w:bCs/>
            <w:color w:val="0000FF"/>
            <w:u w:val="single"/>
            <w:rtl/>
          </w:rPr>
          <w:t>ע"פ 5980/15</w:t>
        </w:r>
      </w:hyperlink>
      <w:r w:rsidRPr="003040BB">
        <w:rPr>
          <w:rFonts w:ascii="David" w:hAnsi="David"/>
          <w:b/>
          <w:bCs/>
          <w:rtl/>
        </w:rPr>
        <w:t xml:space="preserve"> </w:t>
      </w:r>
      <w:r w:rsidRPr="003040BB">
        <w:rPr>
          <w:rFonts w:ascii="David" w:hAnsi="David" w:hint="cs"/>
          <w:b/>
          <w:bCs/>
          <w:u w:val="single"/>
          <w:rtl/>
        </w:rPr>
        <w:t>מדינת ישראל נ' זדה</w:t>
      </w:r>
      <w:r w:rsidRPr="003040BB">
        <w:rPr>
          <w:rFonts w:ascii="David" w:hAnsi="David"/>
          <w:color w:val="000000"/>
          <w:rtl/>
        </w:rPr>
        <w:t xml:space="preserve">, שם נאמרו הדברים הבאים: </w:t>
      </w:r>
      <w:r w:rsidRPr="00492848">
        <w:rPr>
          <w:rFonts w:ascii="David" w:hAnsi="David"/>
          <w:b/>
          <w:bCs/>
          <w:color w:val="000000"/>
          <w:sz w:val="22"/>
          <w:szCs w:val="22"/>
          <w:rtl/>
        </w:rPr>
        <w:t xml:space="preserve">"חברה מתוקנת אינה יכולה להשלים עם התופעה של יישוב סכסוכים בדרך של אלימות, המלווה לעיתים אף בשימוש בנשק קר או חם. תופעה זו חותרת תחת הסדר החברתי ופוגעת בערך היסוד בדבר זכותו של כל אדם לחיים ולשלמות הגוף". </w:t>
      </w:r>
      <w:r w:rsidRPr="00492848">
        <w:rPr>
          <w:rFonts w:ascii="David" w:hAnsi="David"/>
          <w:b/>
          <w:bCs/>
          <w:sz w:val="22"/>
          <w:szCs w:val="22"/>
          <w:rtl/>
        </w:rPr>
        <w:t xml:space="preserve"> </w:t>
      </w:r>
      <w:r w:rsidRPr="00492848">
        <w:rPr>
          <w:rFonts w:ascii="David" w:hAnsi="David"/>
          <w:b/>
          <w:bCs/>
          <w:color w:val="000000"/>
          <w:sz w:val="22"/>
          <w:szCs w:val="22"/>
          <w:rtl/>
        </w:rPr>
        <w:t>ובמקום אחר נאמר : ״האלימות הגואה במקומותינו אינה גזירת-גורל ולא כורח המציאות. יש צורך לשנות את המאזן. במקום שאזרחים ישרים תמימי-דרך יראו ויראו, יחששו לביטחונם, יהיו אלה העבריינים האלימים – בכוח ובפועל – שאימת הדין תיפול עלים, והם יירתעו מפני שימוש בנשק קר וחם לשם חיסול חשבונות בעשיית דין עצמית. שינוי המאזן – הסברת יראת האנשים התמימים לאימת אנשי-המדון – צריך להיעשות גם באכיפה ובענישה קשה״</w:t>
      </w:r>
      <w:r w:rsidRPr="003040BB">
        <w:rPr>
          <w:rFonts w:ascii="David" w:hAnsi="David"/>
          <w:color w:val="000000"/>
          <w:rtl/>
        </w:rPr>
        <w:t xml:space="preserve"> (</w:t>
      </w:r>
      <w:hyperlink r:id="rId24" w:history="1">
        <w:r w:rsidR="00FC5E1E" w:rsidRPr="00FC5E1E">
          <w:rPr>
            <w:rFonts w:ascii="David" w:hAnsi="David"/>
            <w:b/>
            <w:bCs/>
            <w:color w:val="0000FF"/>
            <w:u w:val="single"/>
            <w:rtl/>
          </w:rPr>
          <w:t>ע״פ 8641/12</w:t>
        </w:r>
      </w:hyperlink>
      <w:r w:rsidRPr="003040BB">
        <w:rPr>
          <w:rFonts w:ascii="David" w:hAnsi="David"/>
          <w:b/>
          <w:bCs/>
          <w:rtl/>
        </w:rPr>
        <w:t xml:space="preserve"> </w:t>
      </w:r>
      <w:r w:rsidRPr="003040BB">
        <w:rPr>
          <w:rFonts w:ascii="David" w:hAnsi="David" w:hint="cs"/>
          <w:b/>
          <w:bCs/>
          <w:u w:val="single"/>
          <w:rtl/>
        </w:rPr>
        <w:t>סעד נ׳ מדינת ישראל</w:t>
      </w:r>
      <w:r w:rsidRPr="003040BB">
        <w:rPr>
          <w:rFonts w:ascii="David" w:hAnsi="David" w:hint="cs"/>
          <w:b/>
          <w:bCs/>
          <w:rtl/>
        </w:rPr>
        <w:t>).</w:t>
      </w:r>
    </w:p>
    <w:p w14:paraId="21D3F921" w14:textId="77777777" w:rsidR="00343D19" w:rsidRPr="000907B0" w:rsidRDefault="00343D19" w:rsidP="00343D19">
      <w:pPr>
        <w:spacing w:line="360" w:lineRule="auto"/>
        <w:ind w:left="720"/>
        <w:contextualSpacing/>
        <w:jc w:val="both"/>
        <w:rPr>
          <w:rFonts w:ascii="David" w:eastAsia="David" w:hAnsi="David"/>
          <w:b/>
          <w:bCs/>
          <w:sz w:val="16"/>
          <w:szCs w:val="16"/>
          <w:rtl/>
        </w:rPr>
      </w:pPr>
    </w:p>
    <w:p w14:paraId="5C093716" w14:textId="77777777" w:rsidR="00343D19" w:rsidRPr="003040BB" w:rsidRDefault="00343D19" w:rsidP="00343D19">
      <w:pPr>
        <w:numPr>
          <w:ilvl w:val="0"/>
          <w:numId w:val="1"/>
        </w:numPr>
        <w:spacing w:after="160" w:line="360" w:lineRule="auto"/>
        <w:contextualSpacing/>
        <w:jc w:val="both"/>
        <w:rPr>
          <w:rFonts w:ascii="David" w:hAnsi="David"/>
          <w:rtl/>
        </w:rPr>
      </w:pPr>
      <w:r w:rsidRPr="00444417">
        <w:rPr>
          <w:rFonts w:ascii="David" w:hAnsi="David"/>
          <w:color w:val="000000"/>
          <w:rtl/>
        </w:rPr>
        <w:t>לצד עבירת החבלה החמורה בנסיבות מחמירות, הורשע הנאשם ג</w:t>
      </w:r>
      <w:r>
        <w:rPr>
          <w:rFonts w:ascii="David" w:hAnsi="David"/>
          <w:color w:val="000000"/>
          <w:rtl/>
        </w:rPr>
        <w:t>ם בעבירה של נשיאה והובלה של נשק</w:t>
      </w:r>
      <w:r>
        <w:rPr>
          <w:rFonts w:ascii="David" w:hAnsi="David" w:hint="cs"/>
          <w:color w:val="000000"/>
          <w:rtl/>
        </w:rPr>
        <w:t xml:space="preserve">. </w:t>
      </w:r>
      <w:r w:rsidRPr="003040BB">
        <w:rPr>
          <w:rFonts w:ascii="David" w:eastAsia="David" w:hAnsi="David"/>
          <w:rtl/>
        </w:rPr>
        <w:t>הערכים המוגנים שנפגעו כתוצאה מביצו</w:t>
      </w:r>
      <w:r>
        <w:rPr>
          <w:rFonts w:ascii="David" w:eastAsia="David" w:hAnsi="David"/>
          <w:rtl/>
        </w:rPr>
        <w:t>ע העבירות הנשק הינם הצורך לשמור</w:t>
      </w:r>
      <w:r>
        <w:rPr>
          <w:rFonts w:ascii="David" w:eastAsia="David" w:hAnsi="David" w:hint="cs"/>
          <w:rtl/>
        </w:rPr>
        <w:t xml:space="preserve"> </w:t>
      </w:r>
      <w:r w:rsidRPr="003040BB">
        <w:rPr>
          <w:rFonts w:ascii="David" w:eastAsia="David" w:hAnsi="David"/>
          <w:spacing w:val="10"/>
          <w:rtl/>
        </w:rPr>
        <w:t>על חיי אדם ושלמות הגוף</w:t>
      </w:r>
      <w:r w:rsidRPr="003040BB">
        <w:rPr>
          <w:rFonts w:ascii="David" w:eastAsia="David" w:hAnsi="David"/>
          <w:rtl/>
          <w:lang w:eastAsia="he-IL"/>
        </w:rPr>
        <w:t xml:space="preserve">,  על שלום הציבור ותחושת בטחונו מפני פגיעות בגוף ונפש, ועל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3040BB">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6893277F" w14:textId="77777777" w:rsidR="00343D19" w:rsidRPr="000907B0" w:rsidRDefault="00343D19" w:rsidP="00343D19">
      <w:pPr>
        <w:spacing w:line="360" w:lineRule="auto"/>
        <w:jc w:val="both"/>
        <w:rPr>
          <w:rFonts w:ascii="David" w:eastAsia="David" w:hAnsi="David"/>
          <w:sz w:val="16"/>
          <w:szCs w:val="16"/>
        </w:rPr>
      </w:pPr>
    </w:p>
    <w:p w14:paraId="705F318A" w14:textId="77777777" w:rsidR="00343D19" w:rsidRPr="00492848" w:rsidRDefault="00343D19" w:rsidP="00343D19">
      <w:pPr>
        <w:spacing w:line="360" w:lineRule="auto"/>
        <w:ind w:left="720"/>
        <w:jc w:val="both"/>
        <w:rPr>
          <w:rFonts w:ascii="David" w:eastAsia="David" w:hAnsi="David"/>
          <w:i/>
          <w:iCs/>
        </w:rPr>
      </w:pPr>
      <w:r w:rsidRPr="003040BB">
        <w:rPr>
          <w:rFonts w:ascii="David" w:eastAsia="David" w:hAnsi="David"/>
          <w:rtl/>
        </w:rPr>
        <w:t xml:space="preserve">בית המשפט העליון התייחס רבות לחומרתן של עבירות נשק, לכך שהפכו ל"מכת מדינה" ולצורך להחמיר עד מאוד בענישה בעניינן. גם המחוקק התייחס לחומרת עבירות הנשק </w:t>
      </w:r>
      <w:r>
        <w:rPr>
          <w:rFonts w:ascii="David" w:eastAsia="David" w:hAnsi="David" w:hint="cs"/>
          <w:rtl/>
        </w:rPr>
        <w:t xml:space="preserve">וקבע </w:t>
      </w:r>
      <w:r w:rsidRPr="003040BB">
        <w:rPr>
          <w:rFonts w:ascii="David" w:eastAsia="David" w:hAnsi="David"/>
          <w:rtl/>
        </w:rPr>
        <w:t>עונשי מינימום לעבירות נשק,</w:t>
      </w:r>
      <w:r w:rsidR="00FC5E1E">
        <w:rPr>
          <w:rFonts w:ascii="David" w:eastAsia="David" w:hAnsi="David"/>
          <w:rtl/>
        </w:rPr>
        <w:t xml:space="preserve"> </w:t>
      </w:r>
      <w:r w:rsidRPr="003040BB">
        <w:rPr>
          <w:rFonts w:ascii="David" w:eastAsia="David" w:hAnsi="David"/>
          <w:rtl/>
        </w:rPr>
        <w:t xml:space="preserve"> </w:t>
      </w:r>
      <w:hyperlink r:id="rId25" w:history="1">
        <w:r w:rsidR="00FC5E1E" w:rsidRPr="00FC5E1E">
          <w:rPr>
            <w:rFonts w:ascii="David" w:eastAsia="David" w:hAnsi="David"/>
            <w:color w:val="0000FF"/>
            <w:u w:val="single"/>
            <w:rtl/>
          </w:rPr>
          <w:t>חוק העונשין</w:t>
        </w:r>
      </w:hyperlink>
      <w:r w:rsidRPr="003040BB">
        <w:rPr>
          <w:rFonts w:ascii="David" w:eastAsia="David" w:hAnsi="David"/>
          <w:rtl/>
        </w:rPr>
        <w:t xml:space="preserve"> (תיקון מס' 140 – הוראת שעה), התשפ"ב-2021, אשר נכנס לתוקף בדצמבר 2021. </w:t>
      </w:r>
      <w:r w:rsidRPr="00492848">
        <w:rPr>
          <w:rFonts w:ascii="David" w:hAnsi="David"/>
          <w:color w:val="000000"/>
          <w:rtl/>
        </w:rPr>
        <w:t>ב</w:t>
      </w:r>
      <w:hyperlink r:id="rId26" w:history="1">
        <w:r w:rsidR="00FC5E1E" w:rsidRPr="00FC5E1E">
          <w:rPr>
            <w:rFonts w:ascii="David" w:hAnsi="David"/>
            <w:b/>
            <w:bCs/>
            <w:color w:val="0000FF"/>
            <w:u w:val="single"/>
            <w:rtl/>
          </w:rPr>
          <w:t>ע"פ 4406/19</w:t>
        </w:r>
      </w:hyperlink>
      <w:r w:rsidR="00FC5E1E">
        <w:rPr>
          <w:rFonts w:ascii="David" w:hAnsi="David"/>
          <w:b/>
          <w:bCs/>
          <w:rtl/>
        </w:rPr>
        <w:t xml:space="preserve"> </w:t>
      </w:r>
      <w:r w:rsidRPr="00492848">
        <w:rPr>
          <w:rFonts w:ascii="David" w:hAnsi="David"/>
          <w:b/>
          <w:bCs/>
          <w:u w:val="single"/>
          <w:rtl/>
        </w:rPr>
        <w:t>מדינת ישראל נ' סובח</w:t>
      </w:r>
      <w:r w:rsidR="00FC5E1E">
        <w:rPr>
          <w:rFonts w:ascii="David" w:hAnsi="David"/>
          <w:rtl/>
        </w:rPr>
        <w:t xml:space="preserve"> </w:t>
      </w:r>
      <w:r w:rsidRPr="00492848">
        <w:rPr>
          <w:rFonts w:ascii="David" w:hAnsi="David"/>
          <w:color w:val="000000"/>
          <w:rtl/>
        </w:rPr>
        <w:t>שם נאמר:</w:t>
      </w:r>
      <w:r w:rsidRPr="00492848">
        <w:rPr>
          <w:rFonts w:ascii="David" w:eastAsia="David" w:hAnsi="David"/>
          <w:b/>
          <w:bCs/>
          <w:rtl/>
        </w:rPr>
        <w:t xml:space="preserve"> </w:t>
      </w:r>
      <w:r w:rsidRPr="00492848">
        <w:rPr>
          <w:rFonts w:ascii="David" w:hAnsi="David"/>
          <w:b/>
          <w:bCs/>
          <w:color w:val="000000"/>
          <w:sz w:val="22"/>
          <w:szCs w:val="22"/>
          <w:rtl/>
        </w:rPr>
        <w:t>"התופעה של החזקת נשק שלא כדין על ידי אזרחים מהווה איום על שלום הציבור ועל הסדר הציבורי. היא התשתית ו"הגורם בלעדו איין" (</w:t>
      </w:r>
      <w:r w:rsidRPr="00492848">
        <w:rPr>
          <w:rFonts w:ascii="David" w:hAnsi="David"/>
          <w:b/>
          <w:bCs/>
          <w:color w:val="000000"/>
          <w:sz w:val="22"/>
          <w:szCs w:val="22"/>
        </w:rPr>
        <w:t>causa sine qua non</w:t>
      </w:r>
      <w:r w:rsidRPr="00492848">
        <w:rPr>
          <w:rFonts w:ascii="David" w:hAnsi="David"/>
          <w:b/>
          <w:bCs/>
          <w:color w:val="000000"/>
          <w:sz w:val="22"/>
          <w:szCs w:val="22"/>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w:t>
      </w:r>
      <w:r w:rsidRPr="00492848">
        <w:rPr>
          <w:rFonts w:ascii="David" w:eastAsia="David" w:hAnsi="David"/>
          <w:b/>
          <w:bCs/>
          <w:sz w:val="22"/>
          <w:szCs w:val="22"/>
          <w:rtl/>
        </w:rPr>
        <w:t xml:space="preserve"> </w:t>
      </w:r>
      <w:r w:rsidRPr="00492848">
        <w:rPr>
          <w:rFonts w:ascii="David" w:hAnsi="David"/>
          <w:b/>
          <w:bCs/>
          <w:color w:val="000000"/>
          <w:sz w:val="22"/>
          <w:szCs w:val="22"/>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0EFC6562" w14:textId="77777777" w:rsidR="00343D19" w:rsidRPr="003040BB" w:rsidRDefault="00343D19" w:rsidP="00343D19">
      <w:pPr>
        <w:spacing w:line="360" w:lineRule="auto"/>
        <w:ind w:left="720"/>
        <w:contextualSpacing/>
        <w:jc w:val="both"/>
        <w:rPr>
          <w:rFonts w:ascii="David" w:eastAsia="David" w:hAnsi="David"/>
          <w:b/>
          <w:bCs/>
        </w:rPr>
      </w:pPr>
      <w:r w:rsidRPr="003040BB">
        <w:rPr>
          <w:rFonts w:ascii="David" w:eastAsia="David" w:hAnsi="David"/>
          <w:rtl/>
        </w:rPr>
        <w:t xml:space="preserve">ר' </w:t>
      </w:r>
      <w:r w:rsidRPr="003040BB">
        <w:rPr>
          <w:rFonts w:ascii="David" w:eastAsia="David" w:hAnsi="David"/>
        </w:rPr>
        <w:t xml:space="preserve"> </w:t>
      </w:r>
      <w:hyperlink r:id="rId27" w:history="1">
        <w:r w:rsidR="00FC5E1E" w:rsidRPr="00FC5E1E">
          <w:rPr>
            <w:rFonts w:ascii="David" w:eastAsia="David" w:hAnsi="David"/>
            <w:b/>
            <w:bCs/>
            <w:color w:val="0000FF"/>
            <w:u w:val="single"/>
            <w:rtl/>
          </w:rPr>
          <w:t>ע"פ 5813/21</w:t>
        </w:r>
      </w:hyperlink>
      <w:r w:rsidRPr="003040BB">
        <w:rPr>
          <w:rFonts w:ascii="David" w:eastAsia="David" w:hAnsi="David"/>
          <w:b/>
          <w:bCs/>
          <w:rtl/>
        </w:rPr>
        <w:t xml:space="preserve"> </w:t>
      </w:r>
      <w:r w:rsidRPr="003040BB">
        <w:rPr>
          <w:rFonts w:ascii="David" w:eastAsia="David" w:hAnsi="David"/>
          <w:b/>
          <w:bCs/>
          <w:u w:val="single"/>
          <w:rtl/>
        </w:rPr>
        <w:t>ג'בארין נ' מדינת ישראל</w:t>
      </w:r>
      <w:r w:rsidRPr="003040BB">
        <w:rPr>
          <w:rFonts w:ascii="David" w:eastAsia="David" w:hAnsi="David"/>
          <w:rtl/>
        </w:rPr>
        <w:t xml:space="preserve"> שם נאמר בין היתר: </w:t>
      </w:r>
      <w:r w:rsidRPr="00444417">
        <w:rPr>
          <w:rFonts w:ascii="David" w:eastAsia="David" w:hAnsi="David"/>
          <w:sz w:val="22"/>
          <w:szCs w:val="22"/>
          <w:rtl/>
        </w:rPr>
        <w:t>"</w:t>
      </w:r>
      <w:r w:rsidRPr="00492848">
        <w:rPr>
          <w:rFonts w:ascii="David" w:eastAsia="David" w:hAnsi="David"/>
          <w:b/>
          <w:bCs/>
          <w:sz w:val="22"/>
          <w:szCs w:val="22"/>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8" w:history="1">
        <w:r w:rsidR="00FC5E1E" w:rsidRPr="00FC5E1E">
          <w:rPr>
            <w:rFonts w:ascii="David" w:eastAsia="David" w:hAnsi="David"/>
            <w:b/>
            <w:bCs/>
            <w:color w:val="0000FF"/>
            <w:sz w:val="22"/>
            <w:szCs w:val="22"/>
            <w:u w:val="single"/>
            <w:rtl/>
          </w:rPr>
          <w:t>ע"פ 8320/21</w:t>
        </w:r>
      </w:hyperlink>
      <w:r w:rsidRPr="00492848">
        <w:rPr>
          <w:rFonts w:ascii="David" w:eastAsia="David" w:hAnsi="David"/>
          <w:b/>
          <w:bCs/>
          <w:sz w:val="22"/>
          <w:szCs w:val="22"/>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9" w:history="1">
        <w:r w:rsidR="00FC5E1E" w:rsidRPr="00FC5E1E">
          <w:rPr>
            <w:rFonts w:ascii="David" w:eastAsia="David" w:hAnsi="David"/>
            <w:b/>
            <w:bCs/>
            <w:color w:val="0000FF"/>
            <w:sz w:val="22"/>
            <w:szCs w:val="22"/>
            <w:u w:val="single"/>
            <w:rtl/>
          </w:rPr>
          <w:t>חוק העונשין</w:t>
        </w:r>
      </w:hyperlink>
      <w:r w:rsidRPr="00492848">
        <w:rPr>
          <w:rFonts w:ascii="David" w:eastAsia="David" w:hAnsi="David"/>
          <w:b/>
          <w:bCs/>
          <w:sz w:val="22"/>
          <w:szCs w:val="22"/>
          <w:rtl/>
        </w:rPr>
        <w:t xml:space="preserve"> (חוק העונשין (תיקון מס' 140 – הוראת שעה), התשפ"ב-2021) – שלא חל בענייננו – הקובע עונשי מינימום לעבירות נשק'</w:t>
      </w:r>
      <w:r w:rsidRPr="00492848">
        <w:rPr>
          <w:rFonts w:ascii="David" w:eastAsia="David" w:hAnsi="David"/>
          <w:b/>
          <w:bCs/>
          <w:rtl/>
        </w:rPr>
        <w:t xml:space="preserve"> </w:t>
      </w:r>
      <w:r w:rsidRPr="003040BB">
        <w:rPr>
          <w:rFonts w:ascii="David" w:eastAsia="David" w:hAnsi="David"/>
          <w:b/>
          <w:bCs/>
          <w:rtl/>
        </w:rPr>
        <w:t>(שם, פסקה 25).</w:t>
      </w:r>
      <w:r w:rsidRPr="003040BB">
        <w:rPr>
          <w:rFonts w:ascii="David" w:eastAsia="David" w:hAnsi="David"/>
          <w:b/>
          <w:bCs/>
          <w:rtl/>
          <w:lang w:eastAsia="he-IL"/>
        </w:rPr>
        <w:t xml:space="preserve"> ב</w:t>
      </w:r>
      <w:hyperlink r:id="rId30" w:history="1">
        <w:r w:rsidR="00FC5E1E" w:rsidRPr="00FC5E1E">
          <w:rPr>
            <w:rFonts w:ascii="David" w:eastAsia="David" w:hAnsi="David"/>
            <w:b/>
            <w:bCs/>
            <w:color w:val="0000FF"/>
            <w:u w:val="single"/>
            <w:rtl/>
            <w:lang w:eastAsia="he-IL"/>
          </w:rPr>
          <w:t>ע"פ 7502/12</w:t>
        </w:r>
      </w:hyperlink>
      <w:r w:rsidRPr="003040BB">
        <w:rPr>
          <w:rFonts w:ascii="David" w:eastAsia="David" w:hAnsi="David"/>
          <w:b/>
          <w:bCs/>
          <w:rtl/>
          <w:lang w:eastAsia="he-IL"/>
        </w:rPr>
        <w:t xml:space="preserve"> </w:t>
      </w:r>
      <w:r w:rsidRPr="003040BB">
        <w:rPr>
          <w:rFonts w:ascii="David" w:eastAsia="David" w:hAnsi="David"/>
          <w:b/>
          <w:bCs/>
          <w:u w:val="single"/>
          <w:rtl/>
          <w:lang w:eastAsia="he-IL"/>
        </w:rPr>
        <w:t>כוויס נ' מדינת ישראל</w:t>
      </w:r>
      <w:r w:rsidRPr="003040BB">
        <w:rPr>
          <w:rFonts w:ascii="David" w:eastAsia="David" w:hAnsi="David"/>
          <w:b/>
          <w:bCs/>
          <w:rtl/>
          <w:lang w:eastAsia="he-IL"/>
        </w:rPr>
        <w:t xml:space="preserve">  (בימ"ש העליון)</w:t>
      </w:r>
      <w:r w:rsidRPr="003040BB">
        <w:rPr>
          <w:rFonts w:ascii="David" w:eastAsia="David" w:hAnsi="David"/>
          <w:rtl/>
          <w:lang w:eastAsia="he-IL"/>
        </w:rPr>
        <w:t xml:space="preserve"> נקבע בין היתר כי: </w:t>
      </w:r>
      <w:r w:rsidRPr="00492848">
        <w:rPr>
          <w:rFonts w:ascii="David" w:eastAsia="David" w:hAnsi="David"/>
          <w:b/>
          <w:bCs/>
          <w:sz w:val="22"/>
          <w:szCs w:val="22"/>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w:t>
      </w:r>
      <w:r w:rsidRPr="00444417">
        <w:rPr>
          <w:rFonts w:ascii="David" w:eastAsia="David" w:hAnsi="David"/>
          <w:i/>
          <w:iCs/>
          <w:rtl/>
          <w:lang w:eastAsia="he-IL"/>
        </w:rPr>
        <w:t xml:space="preserve">  </w:t>
      </w:r>
      <w:r w:rsidRPr="003040BB">
        <w:rPr>
          <w:rFonts w:ascii="David" w:eastAsia="David" w:hAnsi="David"/>
          <w:b/>
          <w:bCs/>
          <w:rtl/>
          <w:lang w:eastAsia="he-IL"/>
        </w:rPr>
        <w:t>ב</w:t>
      </w:r>
      <w:hyperlink r:id="rId31" w:history="1">
        <w:r w:rsidR="00FC5E1E" w:rsidRPr="00FC5E1E">
          <w:rPr>
            <w:rFonts w:ascii="David" w:eastAsia="David" w:hAnsi="David"/>
            <w:b/>
            <w:bCs/>
            <w:color w:val="0000FF"/>
            <w:u w:val="single"/>
            <w:rtl/>
            <w:lang w:eastAsia="he-IL"/>
          </w:rPr>
          <w:t>ע"פ 5833/07</w:t>
        </w:r>
      </w:hyperlink>
      <w:r w:rsidRPr="003040BB">
        <w:rPr>
          <w:rFonts w:ascii="David" w:eastAsia="David" w:hAnsi="David"/>
          <w:rtl/>
          <w:lang w:eastAsia="he-IL"/>
        </w:rPr>
        <w:t xml:space="preserve"> </w:t>
      </w:r>
      <w:r w:rsidRPr="003040BB">
        <w:rPr>
          <w:rFonts w:ascii="David" w:eastAsia="David" w:hAnsi="David"/>
          <w:b/>
          <w:bCs/>
          <w:u w:val="single"/>
          <w:rtl/>
          <w:lang w:eastAsia="he-IL"/>
        </w:rPr>
        <w:t>ח'ורי נ' מדינת ישראל</w:t>
      </w:r>
      <w:r w:rsidRPr="003040BB">
        <w:rPr>
          <w:rFonts w:ascii="David" w:eastAsia="David" w:hAnsi="David"/>
          <w:b/>
          <w:bCs/>
          <w:rtl/>
          <w:lang w:eastAsia="he-IL"/>
        </w:rPr>
        <w:t xml:space="preserve">  (בימ"ש העליון)</w:t>
      </w:r>
      <w:r w:rsidRPr="003040BB">
        <w:rPr>
          <w:rFonts w:ascii="David" w:eastAsia="David" w:hAnsi="David"/>
          <w:rtl/>
          <w:lang w:eastAsia="he-IL"/>
        </w:rPr>
        <w:t xml:space="preserve"> נקבע כי</w:t>
      </w:r>
      <w:r w:rsidRPr="00492848">
        <w:rPr>
          <w:rFonts w:ascii="David" w:eastAsia="David" w:hAnsi="David"/>
          <w:b/>
          <w:bCs/>
          <w:rtl/>
          <w:lang w:eastAsia="he-IL"/>
        </w:rPr>
        <w:t xml:space="preserve">: </w:t>
      </w:r>
      <w:r w:rsidRPr="00492848">
        <w:rPr>
          <w:rFonts w:ascii="David" w:eastAsia="David" w:hAnsi="David"/>
          <w:b/>
          <w:bCs/>
          <w:sz w:val="22"/>
          <w:szCs w:val="22"/>
          <w:rtl/>
          <w:lang w:eastAsia="he-I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w:t>
      </w:r>
      <w:r w:rsidRPr="00444417">
        <w:rPr>
          <w:rFonts w:ascii="David" w:eastAsia="David" w:hAnsi="David"/>
          <w:b/>
          <w:bCs/>
          <w:sz w:val="22"/>
          <w:szCs w:val="22"/>
          <w:rtl/>
          <w:lang w:eastAsia="he-IL"/>
        </w:rPr>
        <w:t>.</w:t>
      </w:r>
      <w:r w:rsidRPr="003040BB">
        <w:rPr>
          <w:rFonts w:ascii="David" w:eastAsia="David" w:hAnsi="David"/>
          <w:b/>
          <w:bCs/>
          <w:rtl/>
          <w:lang w:eastAsia="he-IL"/>
        </w:rPr>
        <w:t xml:space="preserve"> </w:t>
      </w:r>
      <w:r w:rsidRPr="003040BB">
        <w:rPr>
          <w:rFonts w:ascii="David" w:eastAsia="David" w:hAnsi="David"/>
          <w:rtl/>
        </w:rPr>
        <w:t xml:space="preserve"> עבירות הנשק, הפכו למרבה הצער, ל"מכת מדינה" של ממש:  ראו לעניין זה דבריו של כב' הש' </w:t>
      </w:r>
      <w:r>
        <w:rPr>
          <w:rFonts w:ascii="David" w:eastAsia="David" w:hAnsi="David" w:hint="cs"/>
          <w:rtl/>
        </w:rPr>
        <w:t xml:space="preserve">י. </w:t>
      </w:r>
      <w:r w:rsidRPr="003040BB">
        <w:rPr>
          <w:rFonts w:ascii="David" w:eastAsia="David" w:hAnsi="David"/>
          <w:rtl/>
        </w:rPr>
        <w:t xml:space="preserve">אלרון </w:t>
      </w:r>
      <w:r w:rsidRPr="003040BB">
        <w:rPr>
          <w:rFonts w:ascii="David" w:eastAsia="David" w:hAnsi="David"/>
          <w:b/>
          <w:bCs/>
          <w:rtl/>
        </w:rPr>
        <w:t>ב</w:t>
      </w:r>
      <w:hyperlink r:id="rId32" w:history="1">
        <w:r w:rsidR="00FC5E1E" w:rsidRPr="00FC5E1E">
          <w:rPr>
            <w:rFonts w:ascii="David" w:eastAsia="David" w:hAnsi="David"/>
            <w:b/>
            <w:bCs/>
            <w:color w:val="0000FF"/>
            <w:u w:val="single"/>
            <w:rtl/>
          </w:rPr>
          <w:t>רע"פ 5613/20</w:t>
        </w:r>
      </w:hyperlink>
      <w:r w:rsidRPr="003040BB">
        <w:rPr>
          <w:rFonts w:ascii="David" w:eastAsia="David" w:hAnsi="David"/>
          <w:b/>
          <w:bCs/>
          <w:rtl/>
        </w:rPr>
        <w:t xml:space="preserve"> </w:t>
      </w:r>
      <w:r w:rsidRPr="003040BB">
        <w:rPr>
          <w:rFonts w:ascii="David" w:eastAsia="David" w:hAnsi="David"/>
          <w:b/>
          <w:bCs/>
          <w:u w:val="single"/>
          <w:rtl/>
        </w:rPr>
        <w:t>אלהוזייל</w:t>
      </w:r>
      <w:r w:rsidRPr="003040BB">
        <w:rPr>
          <w:rFonts w:ascii="David" w:eastAsia="David" w:hAnsi="David"/>
          <w:b/>
          <w:bCs/>
          <w:rtl/>
        </w:rPr>
        <w:t xml:space="preserve">  </w:t>
      </w:r>
      <w:r w:rsidRPr="003040BB">
        <w:rPr>
          <w:rFonts w:ascii="David" w:eastAsia="David" w:hAnsi="David"/>
          <w:rtl/>
        </w:rPr>
        <w:t>כדלהלן:</w:t>
      </w:r>
      <w:r w:rsidRPr="003040BB">
        <w:rPr>
          <w:rFonts w:ascii="David" w:eastAsia="David" w:hAnsi="David"/>
          <w:b/>
          <w:bCs/>
          <w:rtl/>
        </w:rPr>
        <w:t xml:space="preserve"> </w:t>
      </w:r>
      <w:r w:rsidRPr="00492848">
        <w:rPr>
          <w:rFonts w:ascii="David" w:eastAsia="David" w:hAnsi="David"/>
          <w:b/>
          <w:bCs/>
          <w:sz w:val="22"/>
          <w:szCs w:val="22"/>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sidRPr="00444417">
        <w:rPr>
          <w:rFonts w:ascii="David" w:eastAsia="David" w:hAnsi="David"/>
          <w:i/>
          <w:iCs/>
          <w:sz w:val="22"/>
          <w:szCs w:val="22"/>
          <w:rtl/>
        </w:rPr>
        <w:t>.</w:t>
      </w:r>
    </w:p>
    <w:p w14:paraId="03CA29F6" w14:textId="77777777" w:rsidR="00343D19" w:rsidRPr="00CB2DD1" w:rsidRDefault="00343D19" w:rsidP="00343D19">
      <w:pPr>
        <w:spacing w:line="360" w:lineRule="auto"/>
        <w:jc w:val="both"/>
        <w:rPr>
          <w:rFonts w:ascii="David" w:eastAsia="David" w:hAnsi="David"/>
          <w:b/>
          <w:bCs/>
          <w:sz w:val="12"/>
          <w:szCs w:val="12"/>
          <w:u w:val="single"/>
          <w:rtl/>
        </w:rPr>
      </w:pPr>
    </w:p>
    <w:p w14:paraId="7DB86F2C" w14:textId="77777777" w:rsidR="00343D19" w:rsidRPr="003040BB" w:rsidRDefault="00343D19" w:rsidP="00343D19">
      <w:pPr>
        <w:spacing w:line="360" w:lineRule="auto"/>
        <w:ind w:firstLine="360"/>
        <w:jc w:val="both"/>
        <w:rPr>
          <w:rFonts w:ascii="David" w:eastAsia="David" w:hAnsi="David"/>
          <w:b/>
          <w:bCs/>
          <w:u w:val="single"/>
        </w:rPr>
      </w:pPr>
      <w:r w:rsidRPr="003040BB">
        <w:rPr>
          <w:rFonts w:ascii="David" w:eastAsia="David" w:hAnsi="David"/>
          <w:b/>
          <w:bCs/>
          <w:u w:val="single"/>
          <w:rtl/>
        </w:rPr>
        <w:t>נסיבות ביצוע העבירות</w:t>
      </w:r>
    </w:p>
    <w:p w14:paraId="278DDCA7" w14:textId="77777777" w:rsidR="00343D19" w:rsidRPr="00444417" w:rsidRDefault="00343D19" w:rsidP="00343D19">
      <w:pPr>
        <w:spacing w:line="360" w:lineRule="auto"/>
        <w:ind w:firstLine="360"/>
        <w:jc w:val="both"/>
        <w:rPr>
          <w:rFonts w:ascii="David" w:eastAsia="David" w:hAnsi="David"/>
          <w:b/>
          <w:bCs/>
          <w:sz w:val="12"/>
          <w:szCs w:val="12"/>
          <w:u w:val="single"/>
        </w:rPr>
      </w:pPr>
    </w:p>
    <w:p w14:paraId="0856BB47" w14:textId="77777777" w:rsidR="00343D19" w:rsidRDefault="00343D19" w:rsidP="00343D19">
      <w:pPr>
        <w:numPr>
          <w:ilvl w:val="0"/>
          <w:numId w:val="1"/>
        </w:numPr>
        <w:spacing w:after="160" w:line="360" w:lineRule="auto"/>
        <w:jc w:val="both"/>
        <w:rPr>
          <w:rFonts w:ascii="David" w:eastAsia="David" w:hAnsi="David"/>
        </w:rPr>
      </w:pPr>
      <w:r w:rsidRPr="003040BB">
        <w:rPr>
          <w:rFonts w:ascii="David" w:eastAsia="David" w:hAnsi="David"/>
          <w:rtl/>
        </w:rPr>
        <w:t xml:space="preserve">נסיבות ביצוע העבירות פורטו בהרחבה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3040BB">
        <w:rPr>
          <w:rFonts w:ascii="David" w:eastAsia="David" w:hAnsi="David"/>
          <w:b/>
          <w:bCs/>
          <w:rtl/>
        </w:rPr>
        <w:t xml:space="preserve">ע"פ 1530/04 + 1332/04 </w:t>
      </w:r>
      <w:r w:rsidRPr="003040BB">
        <w:rPr>
          <w:rFonts w:ascii="David" w:eastAsia="David" w:hAnsi="David"/>
          <w:b/>
          <w:bCs/>
          <w:u w:val="single"/>
          <w:rtl/>
        </w:rPr>
        <w:t>יצחק רפאל פס ואח' נגד מדינת ישראל</w:t>
      </w:r>
      <w:r w:rsidRPr="003040BB">
        <w:rPr>
          <w:rFonts w:ascii="David" w:eastAsia="David" w:hAnsi="David"/>
          <w:b/>
          <w:bCs/>
          <w:rtl/>
        </w:rPr>
        <w:t xml:space="preserve"> (בימ"ש העליון).</w:t>
      </w:r>
      <w:r>
        <w:rPr>
          <w:rFonts w:ascii="David" w:eastAsia="David" w:hAnsi="David" w:hint="cs"/>
          <w:rtl/>
        </w:rPr>
        <w:t xml:space="preserve"> ביחס לעבירת חבלה חמורה בנסיבות מחמירות יש לבחון את אופן גרימת החבלות וחומרתן.</w:t>
      </w:r>
    </w:p>
    <w:p w14:paraId="025B46A6" w14:textId="77777777" w:rsidR="00343D19" w:rsidRPr="00962F9D" w:rsidRDefault="00343D19" w:rsidP="00343D19">
      <w:pPr>
        <w:pStyle w:val="a9"/>
        <w:numPr>
          <w:ilvl w:val="0"/>
          <w:numId w:val="1"/>
        </w:numPr>
        <w:spacing w:line="360" w:lineRule="auto"/>
        <w:jc w:val="both"/>
        <w:rPr>
          <w:rFonts w:ascii="David" w:eastAsia="David" w:hAnsi="David"/>
          <w:rtl/>
        </w:rPr>
      </w:pPr>
      <w:r w:rsidRPr="00962F9D">
        <w:rPr>
          <w:rFonts w:ascii="David" w:eastAsia="David" w:hAnsi="David"/>
          <w:rtl/>
        </w:rPr>
        <w:t>למרבה הצער שימוש בנשק חם הפך לחזון נפרץ ברחובות ישובים ערביים רבים במדינה.  מדובר בתופעה קשה, אכזרית וקטלנית, וחדשות לבקרים אנו מתבשרים על מותם של אזרחים תמימים, עוברי אורח שנקלעו לקו הירי. תעוזתם של העושים שימוש בנשק לצורך פתרון סכסוכים וביצוע עבירות, אינה יודעת גבול, ועל בתי המשפט לתרום את חלקם בהגנה על התושבים.</w:t>
      </w:r>
      <w:r>
        <w:rPr>
          <w:rFonts w:ascii="David" w:eastAsia="David" w:hAnsi="David" w:hint="cs"/>
          <w:rtl/>
        </w:rPr>
        <w:t xml:space="preserve"> המקרה הנדון ממחיש זאת היטב.</w:t>
      </w:r>
    </w:p>
    <w:p w14:paraId="02B1F618" w14:textId="77777777" w:rsidR="00343D19" w:rsidRPr="00CB2DD1" w:rsidRDefault="00343D19" w:rsidP="00343D19">
      <w:pPr>
        <w:spacing w:after="160" w:line="360" w:lineRule="auto"/>
        <w:ind w:left="720"/>
        <w:jc w:val="both"/>
        <w:rPr>
          <w:rFonts w:ascii="David" w:eastAsia="David" w:hAnsi="David"/>
          <w:sz w:val="4"/>
          <w:szCs w:val="4"/>
          <w:rtl/>
        </w:rPr>
      </w:pPr>
    </w:p>
    <w:p w14:paraId="003ABB82" w14:textId="77777777" w:rsidR="00343D19" w:rsidRPr="003040BB" w:rsidRDefault="00343D19" w:rsidP="00343D19">
      <w:pPr>
        <w:numPr>
          <w:ilvl w:val="0"/>
          <w:numId w:val="1"/>
        </w:numPr>
        <w:spacing w:after="160" w:line="360" w:lineRule="auto"/>
        <w:contextualSpacing/>
        <w:jc w:val="both"/>
        <w:rPr>
          <w:rFonts w:ascii="David" w:eastAsia="David" w:hAnsi="David"/>
        </w:rPr>
      </w:pPr>
      <w:r>
        <w:rPr>
          <w:rFonts w:ascii="David" w:eastAsia="David" w:hAnsi="David" w:hint="cs"/>
          <w:rtl/>
        </w:rPr>
        <w:t xml:space="preserve">הנאשם נשא והוביל אקדח בקוטר של 9 מ"מ כשהוא טעון במחסנית וכדורים, עטה מסכת פנים על מנת להקשות על זיהויו, וירה לעבר המתלונן שבע יריות שמתוכן שלושה קליעים חדרו לרגלו השמאלית של המתלונן. </w:t>
      </w:r>
    </w:p>
    <w:p w14:paraId="68382AF5" w14:textId="77777777" w:rsidR="00343D19" w:rsidRPr="006F3E27" w:rsidRDefault="00343D19" w:rsidP="00343D19">
      <w:pPr>
        <w:ind w:left="720"/>
        <w:contextualSpacing/>
        <w:rPr>
          <w:rFonts w:ascii="David" w:eastAsia="David" w:hAnsi="David"/>
          <w:sz w:val="14"/>
          <w:szCs w:val="14"/>
        </w:rPr>
      </w:pPr>
    </w:p>
    <w:p w14:paraId="4DD4EF2E" w14:textId="77777777" w:rsidR="00343D19" w:rsidRDefault="00343D19" w:rsidP="00343D19">
      <w:pPr>
        <w:spacing w:line="360" w:lineRule="auto"/>
        <w:ind w:left="720"/>
        <w:contextualSpacing/>
        <w:jc w:val="both"/>
        <w:rPr>
          <w:rFonts w:ascii="David" w:eastAsia="David" w:hAnsi="David"/>
          <w:rtl/>
        </w:rPr>
      </w:pPr>
      <w:r>
        <w:rPr>
          <w:rFonts w:ascii="David" w:eastAsia="David" w:hAnsi="David"/>
          <w:rtl/>
        </w:rPr>
        <w:t>למתלונן נגר</w:t>
      </w:r>
      <w:r>
        <w:rPr>
          <w:rFonts w:ascii="David" w:eastAsia="David" w:hAnsi="David" w:hint="cs"/>
          <w:rtl/>
        </w:rPr>
        <w:t xml:space="preserve">מה חבלה חמורה בדמות </w:t>
      </w:r>
      <w:r>
        <w:rPr>
          <w:rFonts w:ascii="David" w:eastAsia="David" w:hAnsi="David"/>
          <w:rtl/>
        </w:rPr>
        <w:t xml:space="preserve">שבר פתוח בפמור שמאל ופצע </w:t>
      </w:r>
      <w:r>
        <w:rPr>
          <w:rFonts w:ascii="David" w:eastAsia="David" w:hAnsi="David" w:hint="cs"/>
          <w:rtl/>
        </w:rPr>
        <w:t xml:space="preserve">חודר </w:t>
      </w:r>
      <w:r w:rsidRPr="003040BB">
        <w:rPr>
          <w:rFonts w:ascii="David" w:eastAsia="David" w:hAnsi="David"/>
          <w:rtl/>
        </w:rPr>
        <w:t xml:space="preserve"> מפרק בברך שמאל, </w:t>
      </w:r>
      <w:r>
        <w:rPr>
          <w:rFonts w:ascii="David" w:eastAsia="David" w:hAnsi="David" w:hint="cs"/>
          <w:rtl/>
        </w:rPr>
        <w:t xml:space="preserve"> הוא היה </w:t>
      </w:r>
      <w:r w:rsidRPr="003040BB">
        <w:rPr>
          <w:rFonts w:ascii="David" w:eastAsia="David" w:hAnsi="David"/>
          <w:rtl/>
        </w:rPr>
        <w:t xml:space="preserve">מאושפז למשך שבוע ימים, </w:t>
      </w:r>
      <w:r>
        <w:rPr>
          <w:rFonts w:ascii="David" w:eastAsia="David" w:hAnsi="David" w:hint="cs"/>
          <w:rtl/>
        </w:rPr>
        <w:t>ו</w:t>
      </w:r>
      <w:r w:rsidRPr="003040BB">
        <w:rPr>
          <w:rFonts w:ascii="David" w:eastAsia="David" w:hAnsi="David"/>
          <w:rtl/>
        </w:rPr>
        <w:t xml:space="preserve">עבר ניתוח שחזור סגור וקיבוע פנימי על ידי מסמר וארתרותרומיה לברך שמאל. </w:t>
      </w:r>
    </w:p>
    <w:p w14:paraId="7CE8A195" w14:textId="77777777" w:rsidR="00343D19" w:rsidRDefault="00343D19" w:rsidP="00343D19">
      <w:pPr>
        <w:spacing w:line="360" w:lineRule="auto"/>
        <w:ind w:left="720"/>
        <w:contextualSpacing/>
        <w:jc w:val="both"/>
        <w:rPr>
          <w:rFonts w:ascii="David" w:eastAsia="David" w:hAnsi="David"/>
          <w:rtl/>
        </w:rPr>
      </w:pPr>
      <w:r>
        <w:rPr>
          <w:rFonts w:ascii="David" w:eastAsia="David" w:hAnsi="David" w:hint="cs"/>
          <w:rtl/>
        </w:rPr>
        <w:t>מעשיו של הנאשם יכלו בנקל לגרום למתלונן לחבלות קשות בהרבה ואף להביא למותו, ורק במזל הסתיים האירוע כפי שהסתיים.</w:t>
      </w:r>
    </w:p>
    <w:p w14:paraId="038BC439" w14:textId="77777777" w:rsidR="00343D19" w:rsidRPr="006F3E27" w:rsidRDefault="00343D19" w:rsidP="00343D19">
      <w:pPr>
        <w:spacing w:line="360" w:lineRule="auto"/>
        <w:ind w:left="720"/>
        <w:contextualSpacing/>
        <w:jc w:val="both"/>
        <w:rPr>
          <w:rFonts w:ascii="David" w:eastAsia="David" w:hAnsi="David"/>
          <w:sz w:val="6"/>
          <w:szCs w:val="6"/>
          <w:rtl/>
        </w:rPr>
      </w:pPr>
    </w:p>
    <w:p w14:paraId="23F3722F" w14:textId="77777777" w:rsidR="00343D19" w:rsidRDefault="00343D19" w:rsidP="00343D19">
      <w:pPr>
        <w:spacing w:line="360" w:lineRule="auto"/>
        <w:ind w:left="720"/>
        <w:contextualSpacing/>
        <w:jc w:val="both"/>
        <w:rPr>
          <w:rFonts w:ascii="David" w:eastAsia="David" w:hAnsi="David"/>
          <w:rtl/>
        </w:rPr>
      </w:pPr>
      <w:r>
        <w:rPr>
          <w:rFonts w:ascii="David" w:eastAsia="David" w:hAnsi="David" w:hint="cs"/>
          <w:rtl/>
        </w:rPr>
        <w:t>המתלונן העיד בפניי במסגרת פרשת התביעה וניתן היה להתרשם מצליעה משמעותית, ויש להניח כי הפגיעה ברגלו תלווה אותו שנים ארוכות. כך גם אין להתעלם מהכאב והסבל שחווה כתוצאה מפגיעת שלושה כדורים ברגלו, פגיעה שחייבה כאמור את אשפוזו וביצוע ניתוח שחזור. מדובר בחבלה קשה שסביר להניח שתותיר במתלונן נכות כלשהי.</w:t>
      </w:r>
    </w:p>
    <w:p w14:paraId="4D7046BF" w14:textId="77777777" w:rsidR="00343D19" w:rsidRPr="000907B0" w:rsidRDefault="00343D19" w:rsidP="00343D19">
      <w:pPr>
        <w:contextualSpacing/>
        <w:rPr>
          <w:rFonts w:ascii="David" w:eastAsia="David" w:hAnsi="David"/>
          <w:sz w:val="14"/>
          <w:szCs w:val="14"/>
        </w:rPr>
      </w:pPr>
    </w:p>
    <w:p w14:paraId="6756E6C6" w14:textId="77777777" w:rsidR="00343D19" w:rsidRDefault="00343D19" w:rsidP="00343D19">
      <w:pPr>
        <w:pStyle w:val="a9"/>
        <w:numPr>
          <w:ilvl w:val="0"/>
          <w:numId w:val="1"/>
        </w:numPr>
        <w:spacing w:line="360" w:lineRule="auto"/>
        <w:jc w:val="both"/>
        <w:rPr>
          <w:rFonts w:ascii="David" w:eastAsia="David" w:hAnsi="David"/>
        </w:rPr>
      </w:pPr>
      <w:r>
        <w:rPr>
          <w:rFonts w:ascii="David" w:eastAsia="David" w:hAnsi="David" w:hint="cs"/>
          <w:rtl/>
        </w:rPr>
        <w:t>חלקו של הנאשם באירוע הינו מלא ומוחלט. הנאשם תכנן את האירוע, המתין לשעת כושר, עטה מסכה וירה במתלונן.</w:t>
      </w:r>
      <w:r w:rsidRPr="00C07E5C">
        <w:rPr>
          <w:rFonts w:ascii="David" w:eastAsia="David" w:hAnsi="David"/>
          <w:rtl/>
        </w:rPr>
        <w:t xml:space="preserve"> </w:t>
      </w:r>
      <w:r>
        <w:rPr>
          <w:rFonts w:ascii="David" w:eastAsia="David" w:hAnsi="David" w:hint="cs"/>
          <w:rtl/>
        </w:rPr>
        <w:t>הנאשם הינו אדם בגיר, הוא הבין היטב את משמעות מעשיו, ולא מתקיימת בעניינו קרבה לסייג לאחריות בפלילית. הנאשם יכול היה להימנע מביצוע המעשים בכל שלב , אך לא עשה כן.</w:t>
      </w:r>
    </w:p>
    <w:p w14:paraId="0BE02E86" w14:textId="77777777" w:rsidR="00343D19" w:rsidRPr="009B6B69" w:rsidRDefault="00343D19" w:rsidP="00343D19">
      <w:pPr>
        <w:pStyle w:val="a9"/>
        <w:spacing w:line="360" w:lineRule="auto"/>
        <w:jc w:val="both"/>
        <w:rPr>
          <w:rFonts w:ascii="David" w:eastAsia="David" w:hAnsi="David"/>
          <w:sz w:val="8"/>
          <w:szCs w:val="8"/>
          <w:rtl/>
        </w:rPr>
      </w:pPr>
    </w:p>
    <w:p w14:paraId="32657012" w14:textId="77777777" w:rsidR="00343D19" w:rsidRDefault="00343D19" w:rsidP="00343D19">
      <w:pPr>
        <w:pStyle w:val="a9"/>
        <w:numPr>
          <w:ilvl w:val="0"/>
          <w:numId w:val="1"/>
        </w:numPr>
        <w:spacing w:line="360" w:lineRule="auto"/>
        <w:jc w:val="both"/>
        <w:rPr>
          <w:rFonts w:ascii="David" w:eastAsia="David" w:hAnsi="David"/>
        </w:rPr>
      </w:pPr>
      <w:r>
        <w:rPr>
          <w:rFonts w:ascii="David" w:eastAsia="David" w:hAnsi="David"/>
          <w:rtl/>
        </w:rPr>
        <w:t xml:space="preserve">חומרה </w:t>
      </w:r>
      <w:r>
        <w:rPr>
          <w:rFonts w:ascii="David" w:eastAsia="David" w:hAnsi="David" w:hint="cs"/>
          <w:rtl/>
        </w:rPr>
        <w:t xml:space="preserve">נוספת </w:t>
      </w:r>
      <w:r w:rsidRPr="00C07E5C">
        <w:rPr>
          <w:rFonts w:ascii="David" w:eastAsia="David" w:hAnsi="David"/>
          <w:rtl/>
        </w:rPr>
        <w:t xml:space="preserve">יש לייחס לעובדה שהנאשם נשא והוביל את הנשק </w:t>
      </w:r>
      <w:r>
        <w:rPr>
          <w:rFonts w:ascii="David" w:eastAsia="David" w:hAnsi="David" w:hint="cs"/>
          <w:rtl/>
        </w:rPr>
        <w:t xml:space="preserve">כשהוא טעון ועשה בו שימוש </w:t>
      </w:r>
      <w:r w:rsidRPr="00C07E5C">
        <w:rPr>
          <w:rFonts w:ascii="David" w:eastAsia="David" w:hAnsi="David"/>
          <w:rtl/>
        </w:rPr>
        <w:t xml:space="preserve">באזור </w:t>
      </w:r>
      <w:r>
        <w:rPr>
          <w:rFonts w:ascii="David" w:eastAsia="David" w:hAnsi="David"/>
          <w:rtl/>
        </w:rPr>
        <w:t xml:space="preserve">מגורים, ורק במזל לא נפגעו  </w:t>
      </w:r>
      <w:r>
        <w:rPr>
          <w:rFonts w:ascii="David" w:eastAsia="David" w:hAnsi="David" w:hint="cs"/>
          <w:rtl/>
        </w:rPr>
        <w:t>עוברי אורח, ועל פ</w:t>
      </w:r>
      <w:r w:rsidRPr="00C07E5C">
        <w:rPr>
          <w:rFonts w:ascii="David" w:eastAsia="David" w:hAnsi="David"/>
          <w:rtl/>
        </w:rPr>
        <w:t>וטנציאל הנזק הקטלני וההרסני באירועי ירי בכלל, ובשכונת מגורים בפרט</w:t>
      </w:r>
      <w:r>
        <w:rPr>
          <w:rFonts w:ascii="David" w:eastAsia="David" w:hAnsi="David" w:hint="cs"/>
          <w:rtl/>
        </w:rPr>
        <w:t xml:space="preserve"> ניתן ללמוד מתוצאות האירוע</w:t>
      </w:r>
      <w:r w:rsidRPr="00C07E5C">
        <w:rPr>
          <w:rFonts w:ascii="David" w:eastAsia="David" w:hAnsi="David"/>
          <w:rtl/>
        </w:rPr>
        <w:t xml:space="preserve">. </w:t>
      </w:r>
    </w:p>
    <w:p w14:paraId="78892E83" w14:textId="77777777" w:rsidR="00343D19" w:rsidRPr="006F3E27" w:rsidRDefault="00343D19" w:rsidP="00343D19">
      <w:pPr>
        <w:pStyle w:val="a9"/>
        <w:rPr>
          <w:rFonts w:ascii="David" w:eastAsia="David" w:hAnsi="David"/>
          <w:sz w:val="10"/>
          <w:szCs w:val="10"/>
          <w:rtl/>
        </w:rPr>
      </w:pPr>
    </w:p>
    <w:p w14:paraId="41CA5ED6" w14:textId="77777777" w:rsidR="00343D19" w:rsidRPr="00C07E5C" w:rsidRDefault="00343D19" w:rsidP="00343D19">
      <w:pPr>
        <w:pStyle w:val="a9"/>
        <w:numPr>
          <w:ilvl w:val="0"/>
          <w:numId w:val="1"/>
        </w:numPr>
        <w:spacing w:line="360" w:lineRule="auto"/>
        <w:jc w:val="both"/>
        <w:rPr>
          <w:rFonts w:ascii="David" w:eastAsia="David" w:hAnsi="David"/>
        </w:rPr>
      </w:pPr>
      <w:r>
        <w:rPr>
          <w:rFonts w:ascii="David" w:eastAsia="David" w:hAnsi="David" w:hint="cs"/>
          <w:rtl/>
        </w:rPr>
        <w:t>עוד יצוין כי הנשק לא נתפס ולא נמסר לידי רשויות החוק על כל המשתמע מכך.</w:t>
      </w:r>
    </w:p>
    <w:p w14:paraId="0BA50C57" w14:textId="77777777" w:rsidR="00343D19" w:rsidRPr="000907B0" w:rsidRDefault="00343D19" w:rsidP="00343D19">
      <w:pPr>
        <w:contextualSpacing/>
        <w:rPr>
          <w:rFonts w:ascii="David" w:eastAsia="David" w:hAnsi="David"/>
          <w:sz w:val="18"/>
          <w:szCs w:val="18"/>
          <w:rtl/>
        </w:rPr>
      </w:pPr>
    </w:p>
    <w:p w14:paraId="55D71BDA" w14:textId="77777777" w:rsidR="00343D19" w:rsidRPr="009B6B69" w:rsidRDefault="00343D19" w:rsidP="00343D19">
      <w:pPr>
        <w:pStyle w:val="a9"/>
        <w:numPr>
          <w:ilvl w:val="0"/>
          <w:numId w:val="1"/>
        </w:numPr>
        <w:spacing w:line="360" w:lineRule="auto"/>
        <w:jc w:val="both"/>
        <w:rPr>
          <w:rFonts w:ascii="David" w:hAnsi="David"/>
          <w:rtl/>
        </w:rPr>
      </w:pPr>
      <w:r>
        <w:rPr>
          <w:rFonts w:ascii="David" w:eastAsia="David" w:hAnsi="David"/>
          <w:rtl/>
        </w:rPr>
        <w:t>גם אם א</w:t>
      </w:r>
      <w:r>
        <w:rPr>
          <w:rFonts w:ascii="David" w:eastAsia="David" w:hAnsi="David" w:hint="cs"/>
          <w:rtl/>
        </w:rPr>
        <w:t xml:space="preserve">ניח לטובת הנאשם כי המתלונן הינו  "פגע רע" (כפי הגדרת  ב"כ הנאשם אותו), אדם מסוכן אשר הטיל אימתו על תושבי הכפר, ואף הקניט וקילל את הנאשם, אין בכך כדי </w:t>
      </w:r>
      <w:r w:rsidRPr="009B6B69">
        <w:rPr>
          <w:rFonts w:ascii="David" w:eastAsia="David" w:hAnsi="David"/>
          <w:rtl/>
        </w:rPr>
        <w:t xml:space="preserve"> </w:t>
      </w:r>
      <w:r>
        <w:rPr>
          <w:rFonts w:ascii="David" w:eastAsia="David" w:hAnsi="David" w:hint="cs"/>
          <w:rtl/>
        </w:rPr>
        <w:t>ל</w:t>
      </w:r>
      <w:r w:rsidRPr="009B6B69">
        <w:rPr>
          <w:rFonts w:ascii="David" w:eastAsia="David" w:hAnsi="David"/>
          <w:rtl/>
        </w:rPr>
        <w:t>הצדיק בשום אופן א</w:t>
      </w:r>
      <w:r>
        <w:rPr>
          <w:rFonts w:ascii="David" w:eastAsia="David" w:hAnsi="David"/>
          <w:rtl/>
        </w:rPr>
        <w:t>ת נשיאת והובלת הנשק</w:t>
      </w:r>
      <w:r>
        <w:rPr>
          <w:rFonts w:ascii="David" w:eastAsia="David" w:hAnsi="David" w:hint="cs"/>
          <w:rtl/>
        </w:rPr>
        <w:t>, ואת השימוש בו</w:t>
      </w:r>
      <w:r>
        <w:rPr>
          <w:rFonts w:ascii="David" w:eastAsia="David" w:hAnsi="David"/>
          <w:rtl/>
        </w:rPr>
        <w:t xml:space="preserve">. </w:t>
      </w:r>
      <w:r>
        <w:rPr>
          <w:rFonts w:ascii="David" w:hAnsi="David" w:hint="cs"/>
          <w:rtl/>
        </w:rPr>
        <w:t>זהותו של המתלונן אינה יכולה במקרה זה להוות נסיבה לקולה, מה בפרט שלא נטען ולא הונחה כל תשתית ראייתית ולו לכאורית לכך שהמתלונן איים על הנאשם או ביקש להזיק לו עובר לאירוע הירי.</w:t>
      </w:r>
    </w:p>
    <w:p w14:paraId="38546784" w14:textId="77777777" w:rsidR="00343D19" w:rsidRPr="000907B0" w:rsidRDefault="00343D19" w:rsidP="00343D19">
      <w:pPr>
        <w:spacing w:line="360" w:lineRule="auto"/>
        <w:ind w:left="720"/>
        <w:contextualSpacing/>
        <w:jc w:val="both"/>
        <w:rPr>
          <w:rFonts w:ascii="David" w:hAnsi="David"/>
          <w:b/>
          <w:bCs/>
          <w:sz w:val="12"/>
          <w:szCs w:val="12"/>
          <w:rtl/>
        </w:rPr>
      </w:pPr>
    </w:p>
    <w:p w14:paraId="19140D52" w14:textId="77777777" w:rsidR="00343D19" w:rsidRPr="00DE379C" w:rsidRDefault="00343D19" w:rsidP="00343D19">
      <w:pPr>
        <w:pStyle w:val="a9"/>
        <w:numPr>
          <w:ilvl w:val="0"/>
          <w:numId w:val="1"/>
        </w:numPr>
        <w:spacing w:line="360" w:lineRule="auto"/>
        <w:jc w:val="both"/>
        <w:rPr>
          <w:rFonts w:ascii="David" w:eastAsia="David" w:hAnsi="David"/>
        </w:rPr>
      </w:pPr>
      <w:r w:rsidRPr="00DE379C">
        <w:rPr>
          <w:rFonts w:ascii="David" w:eastAsia="David" w:hAnsi="David"/>
          <w:rtl/>
        </w:rPr>
        <w:t>במכלול הנסיבות , אני סבור כי במקרה זה מידת הפגיעה בערכים המוגנים הינה משמעותית ומצויה ברף חומרה גבוה.</w:t>
      </w:r>
    </w:p>
    <w:p w14:paraId="314FB884" w14:textId="77777777" w:rsidR="00343D19" w:rsidRPr="00DE379C" w:rsidRDefault="00343D19" w:rsidP="00343D19">
      <w:pPr>
        <w:spacing w:after="160" w:line="360" w:lineRule="auto"/>
        <w:ind w:firstLine="360"/>
        <w:jc w:val="both"/>
        <w:rPr>
          <w:rFonts w:ascii="David" w:eastAsia="David" w:hAnsi="David"/>
          <w:b/>
          <w:bCs/>
          <w:sz w:val="2"/>
          <w:szCs w:val="2"/>
          <w:u w:val="single"/>
          <w:rtl/>
        </w:rPr>
      </w:pPr>
    </w:p>
    <w:p w14:paraId="5A665C7E" w14:textId="77777777" w:rsidR="00343D19" w:rsidRPr="003040BB" w:rsidRDefault="00343D19" w:rsidP="00343D19">
      <w:pPr>
        <w:spacing w:after="160" w:line="360" w:lineRule="auto"/>
        <w:ind w:firstLine="360"/>
        <w:jc w:val="both"/>
        <w:rPr>
          <w:rFonts w:ascii="David" w:eastAsia="David" w:hAnsi="David"/>
          <w:b/>
          <w:bCs/>
          <w:u w:val="single"/>
          <w:rtl/>
        </w:rPr>
      </w:pPr>
      <w:r w:rsidRPr="003040BB">
        <w:rPr>
          <w:rFonts w:ascii="David" w:eastAsia="David" w:hAnsi="David"/>
          <w:b/>
          <w:bCs/>
          <w:u w:val="single"/>
          <w:rtl/>
        </w:rPr>
        <w:t>מדיניות הענישה והפסיקה הנהוגה</w:t>
      </w:r>
    </w:p>
    <w:p w14:paraId="23F744FD" w14:textId="77777777" w:rsidR="00343D19" w:rsidRPr="00DB34EC" w:rsidRDefault="00343D19" w:rsidP="00343D19">
      <w:pPr>
        <w:numPr>
          <w:ilvl w:val="0"/>
          <w:numId w:val="1"/>
        </w:numPr>
        <w:shd w:val="clear" w:color="auto" w:fill="FFFFFF"/>
        <w:overflowPunct w:val="0"/>
        <w:autoSpaceDE w:val="0"/>
        <w:autoSpaceDN w:val="0"/>
        <w:spacing w:after="160" w:line="360" w:lineRule="auto"/>
        <w:jc w:val="both"/>
        <w:rPr>
          <w:rFonts w:ascii="David" w:eastAsia="Calibri" w:hAnsi="David"/>
          <w:b/>
          <w:bCs/>
        </w:rPr>
      </w:pPr>
      <w:r w:rsidRPr="003040BB">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sidRPr="003040BB">
        <w:rPr>
          <w:rFonts w:ascii="David" w:eastAsia="David" w:hAnsi="David"/>
          <w:b/>
          <w:bCs/>
          <w:rtl/>
        </w:rPr>
        <w:t>ב</w:t>
      </w:r>
      <w:hyperlink r:id="rId33" w:history="1">
        <w:r w:rsidR="00FC5E1E" w:rsidRPr="00FC5E1E">
          <w:rPr>
            <w:rFonts w:ascii="David" w:eastAsia="David" w:hAnsi="David"/>
            <w:b/>
            <w:bCs/>
            <w:color w:val="0000FF"/>
            <w:u w:val="single"/>
            <w:rtl/>
          </w:rPr>
          <w:t>ע"פ 1323/13</w:t>
        </w:r>
      </w:hyperlink>
      <w:r w:rsidRPr="003040BB">
        <w:rPr>
          <w:rFonts w:ascii="David" w:eastAsia="David" w:hAnsi="David"/>
          <w:b/>
          <w:bCs/>
          <w:rtl/>
        </w:rPr>
        <w:t xml:space="preserve"> </w:t>
      </w:r>
      <w:r w:rsidRPr="003040BB">
        <w:rPr>
          <w:rFonts w:ascii="David" w:eastAsia="David" w:hAnsi="David"/>
          <w:b/>
          <w:bCs/>
          <w:u w:val="single"/>
          <w:rtl/>
        </w:rPr>
        <w:t>חסן נ' מדינת ישראל</w:t>
      </w:r>
      <w:r w:rsidRPr="003040BB">
        <w:rPr>
          <w:rFonts w:ascii="David" w:eastAsia="David" w:hAnsi="David"/>
          <w:rtl/>
        </w:rPr>
        <w:t xml:space="preserve"> (בימ"ש העליון) נקבע בין היתר, כי "</w:t>
      </w:r>
      <w:r w:rsidRPr="00DB34EC">
        <w:rPr>
          <w:rFonts w:ascii="David" w:eastAsia="David" w:hAnsi="David"/>
          <w:b/>
          <w:bCs/>
          <w:sz w:val="22"/>
          <w:szCs w:val="22"/>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w:t>
      </w:r>
      <w:r w:rsidRPr="00DB34EC">
        <w:rPr>
          <w:rFonts w:ascii="David" w:eastAsia="David" w:hAnsi="David"/>
          <w:b/>
          <w:bCs/>
          <w:rtl/>
        </w:rPr>
        <w:t xml:space="preserve"> .</w:t>
      </w:r>
      <w:r w:rsidRPr="003040BB">
        <w:rPr>
          <w:rFonts w:ascii="David" w:eastAsia="David" w:hAnsi="David"/>
          <w:b/>
          <w:bCs/>
          <w:rtl/>
        </w:rPr>
        <w:t>ב</w:t>
      </w:r>
      <w:hyperlink r:id="rId34" w:history="1">
        <w:r w:rsidR="00FC5E1E" w:rsidRPr="00FC5E1E">
          <w:rPr>
            <w:rFonts w:ascii="David" w:eastAsia="David" w:hAnsi="David"/>
            <w:b/>
            <w:bCs/>
            <w:color w:val="0000FF"/>
            <w:spacing w:val="10"/>
            <w:u w:val="single"/>
            <w:rtl/>
          </w:rPr>
          <w:t>ע"פ 2918/13</w:t>
        </w:r>
      </w:hyperlink>
      <w:r w:rsidRPr="003040BB">
        <w:rPr>
          <w:rFonts w:ascii="David" w:eastAsia="David" w:hAnsi="David"/>
          <w:b/>
          <w:bCs/>
          <w:spacing w:val="10"/>
          <w:rtl/>
        </w:rPr>
        <w:t xml:space="preserve"> </w:t>
      </w:r>
      <w:r w:rsidRPr="003040BB">
        <w:rPr>
          <w:rFonts w:ascii="David" w:eastAsia="David" w:hAnsi="David"/>
          <w:b/>
          <w:bCs/>
          <w:spacing w:val="10"/>
          <w:u w:val="single"/>
          <w:rtl/>
        </w:rPr>
        <w:t>דבס נ' מדינת ישראל</w:t>
      </w:r>
      <w:r w:rsidRPr="003040BB">
        <w:rPr>
          <w:rFonts w:ascii="David" w:eastAsia="David" w:hAnsi="David"/>
          <w:spacing w:val="10"/>
          <w:rtl/>
        </w:rPr>
        <w:t xml:space="preserve"> (בימ"ש העליון) נקבע</w:t>
      </w:r>
      <w:r w:rsidR="00FC5E1E">
        <w:rPr>
          <w:rFonts w:ascii="David" w:eastAsia="David" w:hAnsi="David"/>
          <w:spacing w:val="10"/>
          <w:rtl/>
        </w:rPr>
        <w:t xml:space="preserve"> </w:t>
      </w:r>
      <w:r w:rsidRPr="003040BB">
        <w:rPr>
          <w:rFonts w:ascii="David" w:eastAsia="David" w:hAnsi="David"/>
          <w:spacing w:val="10"/>
          <w:rtl/>
        </w:rPr>
        <w:t xml:space="preserve"> כי "</w:t>
      </w:r>
      <w:r w:rsidRPr="00DB34EC">
        <w:rPr>
          <w:rFonts w:ascii="David" w:eastAsia="David" w:hAnsi="David"/>
          <w:b/>
          <w:bCs/>
          <w:spacing w:val="10"/>
          <w:sz w:val="22"/>
          <w:szCs w:val="22"/>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sidRPr="00DB34EC">
        <w:rPr>
          <w:rFonts w:ascii="David" w:eastAsia="David" w:hAnsi="David"/>
          <w:b/>
          <w:bCs/>
          <w:sz w:val="22"/>
          <w:szCs w:val="22"/>
          <w:rtl/>
        </w:rPr>
        <w:t>.</w:t>
      </w:r>
      <w:r w:rsidRPr="00DB34EC">
        <w:rPr>
          <w:rFonts w:ascii="David" w:eastAsia="David" w:hAnsi="David"/>
          <w:b/>
          <w:bCs/>
          <w:rtl/>
        </w:rPr>
        <w:t xml:space="preserve"> </w:t>
      </w:r>
    </w:p>
    <w:p w14:paraId="601E5102" w14:textId="77777777" w:rsidR="00343D19" w:rsidRDefault="00343D19" w:rsidP="00343D19">
      <w:pPr>
        <w:shd w:val="clear" w:color="auto" w:fill="FFFFFF"/>
        <w:overflowPunct w:val="0"/>
        <w:autoSpaceDE w:val="0"/>
        <w:autoSpaceDN w:val="0"/>
        <w:spacing w:line="360" w:lineRule="auto"/>
        <w:ind w:left="720"/>
        <w:jc w:val="both"/>
        <w:rPr>
          <w:rFonts w:ascii="David" w:hAnsi="David"/>
          <w:color w:val="000000"/>
          <w:rtl/>
        </w:rPr>
      </w:pPr>
      <w:r w:rsidRPr="003040BB">
        <w:rPr>
          <w:rFonts w:ascii="David" w:hAnsi="David"/>
          <w:color w:val="000000"/>
          <w:rtl/>
        </w:rPr>
        <w:t>ב</w:t>
      </w:r>
      <w:hyperlink r:id="rId35" w:history="1">
        <w:r w:rsidR="00FC5E1E" w:rsidRPr="00FC5E1E">
          <w:rPr>
            <w:rFonts w:ascii="David" w:hAnsi="David"/>
            <w:b/>
            <w:bCs/>
            <w:color w:val="0000FF"/>
            <w:u w:val="single"/>
            <w:rtl/>
          </w:rPr>
          <w:t>ע"פ 4406/19</w:t>
        </w:r>
      </w:hyperlink>
      <w:r w:rsidR="00FC5E1E">
        <w:rPr>
          <w:rFonts w:ascii="David" w:hAnsi="David"/>
          <w:b/>
          <w:bCs/>
          <w:rtl/>
        </w:rPr>
        <w:t xml:space="preserve"> </w:t>
      </w:r>
      <w:r w:rsidRPr="003040BB">
        <w:rPr>
          <w:rFonts w:ascii="David" w:hAnsi="David"/>
          <w:b/>
          <w:bCs/>
          <w:u w:val="single"/>
          <w:rtl/>
        </w:rPr>
        <w:t>מדינת ישראל נ' סובח ואח'</w:t>
      </w:r>
      <w:r w:rsidRPr="003040BB">
        <w:rPr>
          <w:rFonts w:ascii="David" w:hAnsi="David"/>
          <w:color w:val="000000"/>
          <w:rtl/>
        </w:rPr>
        <w:t xml:space="preserve"> הנאשמים הורשעו בביצוע עבירות של חבלה חמורה בנסיבות מחמירות ועבירות בנשק, על רקע סכסוך</w:t>
      </w:r>
      <w:r w:rsidR="00FC5E1E">
        <w:rPr>
          <w:rFonts w:ascii="David" w:hAnsi="David"/>
          <w:color w:val="000000"/>
          <w:rtl/>
        </w:rPr>
        <w:t xml:space="preserve"> </w:t>
      </w:r>
      <w:r w:rsidRPr="003040BB">
        <w:rPr>
          <w:rFonts w:ascii="David" w:hAnsi="David"/>
          <w:color w:val="000000"/>
          <w:rtl/>
        </w:rPr>
        <w:t>. באותו מקרה ירו הנאשמים 1 ו-2 יחד עם אחר לעבר המתלונן, שעמד ליד ביתו, מתוך רכב שבו נסעו ופגעו בבטנו התחתונה. נאשם 3 ירה באמצעות אקדח במקום אחר לעבר מתלונן נוסף ופגע בו בירך, ולאחר מכן ירה לעבר אנשים אחרים מבלי שפגע בהם. ערעור המדינה על קולת העונש התקבל וערעור שכנגד נדחה (</w:t>
      </w:r>
      <w:hyperlink r:id="rId36" w:history="1">
        <w:r w:rsidR="00FC5E1E" w:rsidRPr="00FC5E1E">
          <w:rPr>
            <w:rFonts w:ascii="David" w:hAnsi="David"/>
            <w:color w:val="0000FF"/>
            <w:u w:val="single"/>
            <w:rtl/>
          </w:rPr>
          <w:t>ע"פ 4439/19</w:t>
        </w:r>
      </w:hyperlink>
      <w:r w:rsidRPr="003040BB">
        <w:rPr>
          <w:rFonts w:ascii="David" w:hAnsi="David"/>
          <w:color w:val="000000"/>
          <w:rtl/>
        </w:rPr>
        <w:t>) ועל הנאשם 1 הוטלו 6 שנות מאסר תחת 50 חודשי מאסר שנגזרו על ידי בית המשפט המחוזי, על הנאשם 2 הוטלו 5 שנות מאסר תחת 42 חודשי מאסר, ועל הנאשם 3 3.5 שנות מאסר תחת 24 חודשי מאסר.</w:t>
      </w:r>
      <w:r w:rsidRPr="003040BB">
        <w:rPr>
          <w:rFonts w:ascii="David" w:eastAsia="Calibri" w:hAnsi="David"/>
          <w:rtl/>
        </w:rPr>
        <w:t xml:space="preserve"> </w:t>
      </w:r>
      <w:r w:rsidRPr="003040BB">
        <w:rPr>
          <w:rFonts w:ascii="David" w:hAnsi="David"/>
          <w:color w:val="000000"/>
          <w:rtl/>
        </w:rPr>
        <w:t>ב</w:t>
      </w:r>
      <w:hyperlink r:id="rId37" w:history="1">
        <w:r w:rsidR="00FC5E1E" w:rsidRPr="00FC5E1E">
          <w:rPr>
            <w:rFonts w:ascii="David" w:hAnsi="David"/>
            <w:b/>
            <w:bCs/>
            <w:color w:val="0000FF"/>
            <w:u w:val="single"/>
            <w:rtl/>
          </w:rPr>
          <w:t>ע"פ 1843/19</w:t>
        </w:r>
      </w:hyperlink>
      <w:r w:rsidR="00FC5E1E">
        <w:rPr>
          <w:rFonts w:ascii="David" w:hAnsi="David"/>
          <w:b/>
          <w:bCs/>
          <w:rtl/>
        </w:rPr>
        <w:t xml:space="preserve"> </w:t>
      </w:r>
      <w:r w:rsidRPr="003040BB">
        <w:rPr>
          <w:rFonts w:ascii="David" w:hAnsi="David"/>
          <w:b/>
          <w:bCs/>
          <w:u w:val="single"/>
          <w:rtl/>
        </w:rPr>
        <w:t>עמאש נ' מדינת ישראל</w:t>
      </w:r>
      <w:r w:rsidRPr="003040BB">
        <w:rPr>
          <w:rFonts w:ascii="David" w:hAnsi="David"/>
          <w:color w:val="000000"/>
          <w:rtl/>
        </w:rPr>
        <w:t xml:space="preserve"> הנאשם הורשע בעבירות של חבלה חמורה בנסיבות מחמירות והחזקה ונשיאה של נשק, בכ</w:t>
      </w:r>
      <w:r>
        <w:rPr>
          <w:rFonts w:ascii="David" w:hAnsi="David"/>
          <w:color w:val="000000"/>
          <w:rtl/>
        </w:rPr>
        <w:t>ך שירה מספר כדורים לעבר אדם</w:t>
      </w:r>
      <w:r>
        <w:rPr>
          <w:rFonts w:ascii="David" w:hAnsi="David" w:hint="cs"/>
          <w:color w:val="000000"/>
          <w:rtl/>
        </w:rPr>
        <w:t xml:space="preserve"> עמו הוא</w:t>
      </w:r>
      <w:r w:rsidRPr="003040BB">
        <w:rPr>
          <w:rFonts w:ascii="David" w:hAnsi="David"/>
          <w:color w:val="000000"/>
          <w:rtl/>
        </w:rPr>
        <w:t xml:space="preserve"> היה מסוכסך ופגע בידו של ילד בן 10 שעמד בסמוך. נקבע מתחם עונש הולם בין 4 ועד 6 שנות מאסר בפועל. על הנאשם נעדר עבר פלילי הוטלו 4.5 שנות מאסר. ערעור על חומרת העונש נדחה. </w:t>
      </w:r>
      <w:r w:rsidRPr="003040BB">
        <w:rPr>
          <w:rFonts w:ascii="David" w:eastAsia="Calibri" w:hAnsi="David"/>
          <w:rtl/>
        </w:rPr>
        <w:t xml:space="preserve"> </w:t>
      </w:r>
      <w:r w:rsidRPr="003040BB">
        <w:rPr>
          <w:rFonts w:ascii="David" w:hAnsi="David"/>
          <w:color w:val="000000"/>
          <w:rtl/>
        </w:rPr>
        <w:t>ב</w:t>
      </w:r>
      <w:hyperlink r:id="rId38" w:history="1">
        <w:r w:rsidR="00FC5E1E" w:rsidRPr="00FC5E1E">
          <w:rPr>
            <w:rFonts w:ascii="David" w:hAnsi="David"/>
            <w:b/>
            <w:bCs/>
            <w:color w:val="0000FF"/>
            <w:u w:val="single"/>
            <w:rtl/>
          </w:rPr>
          <w:t>ע"פ 1971/19</w:t>
        </w:r>
      </w:hyperlink>
      <w:r w:rsidR="00FC5E1E">
        <w:rPr>
          <w:rFonts w:ascii="David" w:hAnsi="David"/>
          <w:b/>
          <w:bCs/>
          <w:rtl/>
        </w:rPr>
        <w:t xml:space="preserve"> </w:t>
      </w:r>
      <w:r w:rsidRPr="003040BB">
        <w:rPr>
          <w:rFonts w:ascii="David" w:hAnsi="David"/>
          <w:b/>
          <w:bCs/>
          <w:u w:val="single"/>
          <w:rtl/>
        </w:rPr>
        <w:t>אבו חוסין נ' מדינת ישראל</w:t>
      </w:r>
      <w:r w:rsidRPr="003040BB">
        <w:rPr>
          <w:rFonts w:ascii="David" w:hAnsi="David"/>
          <w:color w:val="000000"/>
          <w:rtl/>
        </w:rPr>
        <w:t xml:space="preserve"> הנאשם הורשע בעבירות של חבלה חמורה בנסיבות מחמירות ונשיאת נשק והובלתו שלא כדין. המערער ירה אל עבר המתלונן מספר כדורים, על רקע סכסוך כספי, פגע בו בירך וגרם לו למספר פגיעות. נקבע מתחם עונש בין 3.5 ועד 6 שנות מאסר בפועל. על הנאשם הוטלו 42 חודשי מאסר בפועל. ערעור על חומרת העונש נדחה. </w:t>
      </w:r>
      <w:r>
        <w:rPr>
          <w:rFonts w:ascii="David" w:hAnsi="David" w:hint="cs"/>
          <w:rtl/>
        </w:rPr>
        <w:t>ב</w:t>
      </w:r>
      <w:hyperlink r:id="rId39" w:history="1">
        <w:r w:rsidR="00FC5E1E" w:rsidRPr="00FC5E1E">
          <w:rPr>
            <w:rFonts w:ascii="David" w:hAnsi="David"/>
            <w:b/>
            <w:bCs/>
            <w:color w:val="0000FF"/>
            <w:u w:val="single"/>
            <w:rtl/>
          </w:rPr>
          <w:t>ע"פ 9306/20</w:t>
        </w:r>
      </w:hyperlink>
      <w:r w:rsidRPr="003040BB">
        <w:rPr>
          <w:rFonts w:ascii="David" w:hAnsi="David"/>
          <w:b/>
          <w:bCs/>
          <w:rtl/>
        </w:rPr>
        <w:t xml:space="preserve"> </w:t>
      </w:r>
      <w:r w:rsidRPr="003040BB">
        <w:rPr>
          <w:rFonts w:ascii="David" w:hAnsi="David"/>
          <w:b/>
          <w:bCs/>
          <w:u w:val="single"/>
          <w:rtl/>
        </w:rPr>
        <w:t>מארון ברגות נ' מדינת ישראל</w:t>
      </w:r>
      <w:r w:rsidRPr="003040BB">
        <w:rPr>
          <w:rFonts w:ascii="David" w:hAnsi="David"/>
          <w:rtl/>
        </w:rPr>
        <w:t>, הנאשם הורשע בעבירות של גרימת חבלה חמורה בנסיבות מחמי</w:t>
      </w:r>
      <w:r>
        <w:rPr>
          <w:rFonts w:ascii="David" w:hAnsi="David"/>
          <w:rtl/>
        </w:rPr>
        <w:t xml:space="preserve">רות, נשיאה והחזקה של נשק, בכך </w:t>
      </w:r>
      <w:r>
        <w:rPr>
          <w:rFonts w:ascii="David" w:hAnsi="David" w:hint="cs"/>
          <w:rtl/>
        </w:rPr>
        <w:t>ש</w:t>
      </w:r>
      <w:r w:rsidRPr="003040BB">
        <w:rPr>
          <w:rFonts w:ascii="David" w:hAnsi="David"/>
          <w:rtl/>
        </w:rPr>
        <w:t xml:space="preserve">ירה תחילה באוויר, </w:t>
      </w:r>
      <w:r>
        <w:rPr>
          <w:rFonts w:ascii="David" w:hAnsi="David"/>
          <w:rtl/>
        </w:rPr>
        <w:t xml:space="preserve">לאחר מכן ירה לעבר המתלונן </w:t>
      </w:r>
      <w:r>
        <w:rPr>
          <w:rFonts w:ascii="David" w:hAnsi="David" w:hint="cs"/>
          <w:rtl/>
        </w:rPr>
        <w:t>ש</w:t>
      </w:r>
      <w:r w:rsidRPr="003040BB">
        <w:rPr>
          <w:rFonts w:ascii="David" w:hAnsi="David"/>
          <w:rtl/>
        </w:rPr>
        <w:t xml:space="preserve">נפגע מרסיסי הקליע. על הנאשם נעדר עבר פלילי הוטלו 42 חודשי מאסר בפועל. ערעור על חומרת העונש נדחה . </w:t>
      </w:r>
      <w:r>
        <w:rPr>
          <w:rFonts w:ascii="David" w:hAnsi="David" w:hint="cs"/>
          <w:rtl/>
        </w:rPr>
        <w:t>ב</w:t>
      </w:r>
      <w:hyperlink r:id="rId40" w:history="1">
        <w:r w:rsidR="00FC5E1E" w:rsidRPr="00FC5E1E">
          <w:rPr>
            <w:rFonts w:ascii="David" w:hAnsi="David"/>
            <w:b/>
            <w:bCs/>
            <w:color w:val="0000FF"/>
            <w:u w:val="single"/>
            <w:rtl/>
          </w:rPr>
          <w:t>ע"פ 6817/14</w:t>
        </w:r>
      </w:hyperlink>
      <w:r w:rsidRPr="003040BB">
        <w:rPr>
          <w:rFonts w:ascii="David" w:hAnsi="David"/>
          <w:b/>
          <w:bCs/>
          <w:rtl/>
        </w:rPr>
        <w:t xml:space="preserve"> </w:t>
      </w:r>
      <w:r w:rsidRPr="003040BB">
        <w:rPr>
          <w:rFonts w:ascii="David" w:hAnsi="David"/>
          <w:b/>
          <w:bCs/>
          <w:u w:val="single"/>
          <w:rtl/>
        </w:rPr>
        <w:t>פלוני נ' מדינת ישראל</w:t>
      </w:r>
      <w:r w:rsidRPr="003040BB">
        <w:rPr>
          <w:rFonts w:ascii="David" w:hAnsi="David"/>
          <w:rtl/>
        </w:rPr>
        <w:t>, הנאשם הורשע בעבירות של חבלה חמורה בנסיבות מחמירות, איומים ונשיאת נשק, בכך שהנאשם ירה במתלונן לאחר וויכוח באמצעות אקדח ולאחר שהמתלונן נפל מדמם הצמיד את האקדח לראשו ואיים עליו. למתלונן נגרמו 3 פצעי כניסה של קליע, שברים פתוחים ומרוסקים ברגל ופגיעות נוספות. נקבע מתחם החל מ- 6 ועד ל-10 שנות מאסר בפועל . על הנאשם הוטלו 8 שנות מאסר. ערעור על קול</w:t>
      </w:r>
      <w:r>
        <w:rPr>
          <w:rFonts w:ascii="David" w:hAnsi="David" w:hint="cs"/>
          <w:rtl/>
        </w:rPr>
        <w:t>ת</w:t>
      </w:r>
      <w:r w:rsidRPr="003040BB">
        <w:rPr>
          <w:rFonts w:ascii="David" w:hAnsi="David"/>
          <w:rtl/>
        </w:rPr>
        <w:t xml:space="preserve"> העונש התקבל ועונשו הועמד על 6.5 שנות מאסר. </w:t>
      </w:r>
      <w:hyperlink r:id="rId41" w:history="1">
        <w:r w:rsidR="00FC5E1E" w:rsidRPr="00FC5E1E">
          <w:rPr>
            <w:rFonts w:ascii="David" w:hAnsi="David"/>
            <w:b/>
            <w:bCs/>
            <w:color w:val="0000FF"/>
            <w:u w:val="single"/>
            <w:rtl/>
          </w:rPr>
          <w:t>ע"פ 1928/15</w:t>
        </w:r>
      </w:hyperlink>
      <w:r w:rsidRPr="003040BB">
        <w:rPr>
          <w:rFonts w:ascii="David" w:hAnsi="David"/>
          <w:b/>
          <w:bCs/>
          <w:rtl/>
        </w:rPr>
        <w:t xml:space="preserve"> </w:t>
      </w:r>
      <w:r w:rsidRPr="003040BB">
        <w:rPr>
          <w:rFonts w:ascii="David" w:hAnsi="David"/>
          <w:b/>
          <w:bCs/>
          <w:u w:val="single"/>
          <w:rtl/>
        </w:rPr>
        <w:t>חאמד אלהוזייל נ' מדינת ישראל</w:t>
      </w:r>
      <w:r w:rsidRPr="003040BB">
        <w:rPr>
          <w:rFonts w:ascii="David" w:hAnsi="David"/>
          <w:rtl/>
        </w:rPr>
        <w:t>, הנאשם הורשע בעבירות של חבלה חמורה בנסיבות מחמירות ופציעה בנסיבות מחמירות</w:t>
      </w:r>
      <w:r>
        <w:rPr>
          <w:rFonts w:ascii="David" w:hAnsi="David" w:hint="cs"/>
          <w:rtl/>
        </w:rPr>
        <w:t xml:space="preserve"> לאחר ש</w:t>
      </w:r>
      <w:r w:rsidRPr="003040BB">
        <w:rPr>
          <w:rFonts w:ascii="David" w:hAnsi="David"/>
          <w:rtl/>
        </w:rPr>
        <w:t>ירה</w:t>
      </w:r>
      <w:r>
        <w:rPr>
          <w:rFonts w:ascii="David" w:hAnsi="David" w:hint="cs"/>
          <w:rtl/>
        </w:rPr>
        <w:t xml:space="preserve"> במתלונן  וגרם לו ל</w:t>
      </w:r>
      <w:r w:rsidRPr="003040BB">
        <w:rPr>
          <w:rFonts w:ascii="David" w:hAnsi="David"/>
          <w:rtl/>
        </w:rPr>
        <w:t>נכות בשיעור של</w:t>
      </w:r>
      <w:r>
        <w:rPr>
          <w:rFonts w:ascii="David" w:hAnsi="David" w:hint="cs"/>
          <w:rtl/>
        </w:rPr>
        <w:t xml:space="preserve"> 100%</w:t>
      </w:r>
      <w:r w:rsidRPr="003040BB">
        <w:rPr>
          <w:rFonts w:ascii="David" w:hAnsi="David"/>
          <w:rtl/>
        </w:rPr>
        <w:t xml:space="preserve"> </w:t>
      </w:r>
      <w:r>
        <w:rPr>
          <w:rFonts w:ascii="David" w:hAnsi="David" w:hint="cs"/>
          <w:rtl/>
        </w:rPr>
        <w:t xml:space="preserve">. </w:t>
      </w:r>
      <w:r w:rsidRPr="003040BB">
        <w:rPr>
          <w:rFonts w:ascii="David" w:hAnsi="David"/>
          <w:rtl/>
        </w:rPr>
        <w:t>אדם נוסף שהיה ברכב נפגע באופן קל. על הנאשם נעדר עבר פלילי הוטלו 7 שנות מאסר בפועל. ערעור על חומרת העונש התקבל באופן שעונשו הופחת ל-5.5 שנות מאסר בפועל</w:t>
      </w:r>
      <w:r>
        <w:rPr>
          <w:rFonts w:ascii="David" w:eastAsia="Calibri" w:hAnsi="David" w:hint="cs"/>
          <w:rtl/>
        </w:rPr>
        <w:t>.</w:t>
      </w:r>
      <w:r>
        <w:rPr>
          <w:rFonts w:ascii="David" w:hAnsi="David" w:hint="cs"/>
          <w:b/>
          <w:bCs/>
          <w:rtl/>
        </w:rPr>
        <w:t xml:space="preserve"> </w:t>
      </w:r>
      <w:r w:rsidRPr="00C1120A">
        <w:rPr>
          <w:rFonts w:ascii="David" w:hAnsi="David"/>
          <w:b/>
          <w:bCs/>
          <w:rtl/>
        </w:rPr>
        <w:t>ב</w:t>
      </w:r>
      <w:hyperlink r:id="rId42" w:history="1">
        <w:r w:rsidR="00FC5E1E" w:rsidRPr="00FC5E1E">
          <w:rPr>
            <w:rFonts w:ascii="David" w:hAnsi="David"/>
            <w:b/>
            <w:bCs/>
            <w:color w:val="0000FF"/>
            <w:u w:val="single"/>
            <w:rtl/>
          </w:rPr>
          <w:t>ע"פ 6865/22</w:t>
        </w:r>
      </w:hyperlink>
      <w:r w:rsidR="00FC5E1E">
        <w:rPr>
          <w:rFonts w:ascii="David" w:hAnsi="David"/>
          <w:b/>
          <w:bCs/>
          <w:rtl/>
        </w:rPr>
        <w:t xml:space="preserve"> </w:t>
      </w:r>
      <w:r w:rsidRPr="00C1120A">
        <w:rPr>
          <w:rFonts w:ascii="David" w:hAnsi="David"/>
          <w:b/>
          <w:bCs/>
          <w:u w:val="single"/>
          <w:rtl/>
        </w:rPr>
        <w:t>מדינת ישראל</w:t>
      </w:r>
      <w:r>
        <w:rPr>
          <w:rFonts w:ascii="David" w:hAnsi="David" w:hint="cs"/>
          <w:b/>
          <w:bCs/>
          <w:u w:val="single"/>
          <w:rtl/>
        </w:rPr>
        <w:t xml:space="preserve"> נ' </w:t>
      </w:r>
      <w:r w:rsidRPr="00C1120A">
        <w:rPr>
          <w:rFonts w:ascii="David" w:hAnsi="David"/>
          <w:b/>
          <w:bCs/>
          <w:u w:val="single"/>
          <w:rtl/>
        </w:rPr>
        <w:t xml:space="preserve"> ג'בארין</w:t>
      </w:r>
      <w:r w:rsidRPr="00C1120A">
        <w:rPr>
          <w:rFonts w:ascii="David" w:hAnsi="David"/>
          <w:b/>
          <w:bCs/>
          <w:rtl/>
        </w:rPr>
        <w:t xml:space="preserve"> </w:t>
      </w:r>
      <w:r w:rsidRPr="00C1120A">
        <w:rPr>
          <w:rFonts w:ascii="David" w:hAnsi="David" w:hint="cs"/>
          <w:color w:val="000000"/>
          <w:rtl/>
        </w:rPr>
        <w:t>הנאשם הורשע ב</w:t>
      </w:r>
      <w:r w:rsidRPr="00C1120A">
        <w:rPr>
          <w:rFonts w:ascii="David" w:hAnsi="David"/>
          <w:color w:val="000000"/>
          <w:rtl/>
        </w:rPr>
        <w:t>עבירות של חבלה חמורה בנסיבות מחמירות, נשיאת נשק וירי באזור מגורים</w:t>
      </w:r>
      <w:r>
        <w:rPr>
          <w:rFonts w:ascii="David" w:hAnsi="David" w:hint="cs"/>
          <w:color w:val="000000"/>
          <w:rtl/>
        </w:rPr>
        <w:t xml:space="preserve"> על רקע של וויכוח</w:t>
      </w:r>
      <w:r w:rsidRPr="00C1120A">
        <w:rPr>
          <w:rFonts w:ascii="David" w:hAnsi="David" w:hint="cs"/>
          <w:color w:val="000000"/>
          <w:rtl/>
        </w:rPr>
        <w:t>, בכך שהנאשם</w:t>
      </w:r>
      <w:r>
        <w:rPr>
          <w:rFonts w:ascii="David" w:hAnsi="David" w:hint="cs"/>
          <w:color w:val="000000"/>
          <w:rtl/>
        </w:rPr>
        <w:t xml:space="preserve"> </w:t>
      </w:r>
      <w:r w:rsidRPr="00C1120A">
        <w:rPr>
          <w:rFonts w:ascii="David" w:hAnsi="David"/>
          <w:color w:val="000000"/>
          <w:rtl/>
        </w:rPr>
        <w:t>ירה לכיוון הקרקע, ולאחר מכן ירה לעבר רגליו של המתלונן</w:t>
      </w:r>
      <w:r>
        <w:rPr>
          <w:rFonts w:ascii="David" w:hAnsi="David" w:hint="cs"/>
          <w:color w:val="000000"/>
          <w:rtl/>
        </w:rPr>
        <w:t xml:space="preserve"> </w:t>
      </w:r>
      <w:r w:rsidRPr="00C1120A">
        <w:rPr>
          <w:rFonts w:ascii="David" w:hAnsi="David"/>
          <w:color w:val="000000"/>
          <w:rtl/>
        </w:rPr>
        <w:t xml:space="preserve"> מספר כדורים שפגעו ברגלו. כתוצאה מהאמור נגרמו למתלונן חבלות חמורות ופציעות. </w:t>
      </w:r>
      <w:r w:rsidRPr="00C1120A">
        <w:rPr>
          <w:rFonts w:ascii="David" w:hAnsi="David" w:hint="cs"/>
          <w:color w:val="000000"/>
          <w:rtl/>
        </w:rPr>
        <w:t xml:space="preserve">נקבע מתחם </w:t>
      </w:r>
      <w:r w:rsidRPr="00C1120A">
        <w:rPr>
          <w:rFonts w:ascii="David" w:hAnsi="David"/>
          <w:color w:val="000000"/>
          <w:rtl/>
        </w:rPr>
        <w:t>הנע בין 36-60 חודשי מאסר בפועל</w:t>
      </w:r>
      <w:r w:rsidRPr="00C1120A">
        <w:rPr>
          <w:rFonts w:ascii="David" w:hAnsi="David" w:hint="cs"/>
          <w:color w:val="000000"/>
          <w:rtl/>
        </w:rPr>
        <w:t xml:space="preserve">. על הנאשם </w:t>
      </w:r>
      <w:r w:rsidRPr="00C1120A">
        <w:rPr>
          <w:rFonts w:ascii="David" w:hAnsi="David"/>
          <w:color w:val="000000"/>
          <w:rtl/>
        </w:rPr>
        <w:t>נעדר עבר פלילי</w:t>
      </w:r>
      <w:r w:rsidRPr="00C1120A">
        <w:rPr>
          <w:rFonts w:ascii="David" w:hAnsi="David" w:hint="cs"/>
          <w:color w:val="000000"/>
          <w:rtl/>
        </w:rPr>
        <w:t xml:space="preserve"> הוטלו בין היתר</w:t>
      </w:r>
      <w:r w:rsidRPr="00C1120A">
        <w:rPr>
          <w:rFonts w:ascii="David" w:hAnsi="David"/>
          <w:color w:val="000000"/>
          <w:rtl/>
        </w:rPr>
        <w:t xml:space="preserve"> 3</w:t>
      </w:r>
      <w:r w:rsidRPr="00C1120A">
        <w:rPr>
          <w:rFonts w:ascii="David" w:hAnsi="David" w:hint="cs"/>
          <w:color w:val="000000"/>
          <w:rtl/>
        </w:rPr>
        <w:t>6</w:t>
      </w:r>
      <w:r w:rsidRPr="00C1120A">
        <w:rPr>
          <w:rFonts w:ascii="David" w:hAnsi="David"/>
          <w:color w:val="000000"/>
          <w:rtl/>
        </w:rPr>
        <w:t xml:space="preserve"> חודשי מאסר בפועל</w:t>
      </w:r>
      <w:r w:rsidRPr="00C1120A">
        <w:rPr>
          <w:rFonts w:ascii="David" w:hAnsi="David" w:hint="cs"/>
          <w:color w:val="000000"/>
          <w:rtl/>
        </w:rPr>
        <w:t xml:space="preserve">. ערעור על קולת העונש התקבל באופן שעונשו של הנאשם הוחמר ל-48 חודשי מאסר בפועל. </w:t>
      </w:r>
      <w:r w:rsidRPr="00C1120A">
        <w:rPr>
          <w:rFonts w:ascii="David" w:hAnsi="David"/>
          <w:color w:val="000000"/>
          <w:rtl/>
        </w:rPr>
        <w:t>ב</w:t>
      </w:r>
      <w:hyperlink r:id="rId43" w:history="1">
        <w:r w:rsidR="00FC5E1E" w:rsidRPr="00FC5E1E">
          <w:rPr>
            <w:rFonts w:ascii="David" w:hAnsi="David"/>
            <w:b/>
            <w:bCs/>
            <w:color w:val="0000FF"/>
            <w:u w:val="single"/>
            <w:rtl/>
          </w:rPr>
          <w:t>ע"פ 6496/21</w:t>
        </w:r>
      </w:hyperlink>
      <w:r w:rsidR="00FC5E1E">
        <w:rPr>
          <w:rFonts w:ascii="David" w:hAnsi="David"/>
          <w:b/>
          <w:bCs/>
          <w:rtl/>
        </w:rPr>
        <w:t xml:space="preserve"> </w:t>
      </w:r>
      <w:r w:rsidRPr="00C1120A">
        <w:rPr>
          <w:rFonts w:ascii="David" w:hAnsi="David"/>
          <w:b/>
          <w:bCs/>
          <w:u w:val="single"/>
          <w:rtl/>
        </w:rPr>
        <w:t xml:space="preserve">ריאן </w:t>
      </w:r>
      <w:r>
        <w:rPr>
          <w:rFonts w:ascii="David" w:hAnsi="David" w:hint="cs"/>
          <w:b/>
          <w:bCs/>
          <w:u w:val="single"/>
          <w:rtl/>
        </w:rPr>
        <w:t xml:space="preserve"> נ'</w:t>
      </w:r>
      <w:r w:rsidRPr="00C1120A">
        <w:rPr>
          <w:rFonts w:ascii="David" w:hAnsi="David"/>
          <w:b/>
          <w:bCs/>
          <w:u w:val="single"/>
          <w:rtl/>
        </w:rPr>
        <w:t>מדינת ישראל</w:t>
      </w:r>
      <w:r w:rsidRPr="00C1120A">
        <w:rPr>
          <w:rFonts w:ascii="David" w:hAnsi="David"/>
          <w:b/>
          <w:bCs/>
          <w:rtl/>
        </w:rPr>
        <w:t xml:space="preserve"> </w:t>
      </w:r>
      <w:r w:rsidRPr="00C1120A">
        <w:rPr>
          <w:rFonts w:ascii="David" w:hAnsi="David" w:hint="cs"/>
          <w:color w:val="000000"/>
          <w:rtl/>
        </w:rPr>
        <w:t xml:space="preserve">הנאשם הורשע בעבירות של </w:t>
      </w:r>
      <w:r w:rsidRPr="00C1120A">
        <w:rPr>
          <w:rFonts w:ascii="David" w:hAnsi="David"/>
          <w:color w:val="000000"/>
          <w:rtl/>
        </w:rPr>
        <w:t>חבלה בכוונה מחמירה, נשיאת נשק, ירי מנשק חם, איומים ונהיגה בזמן פסילה וללא ביטוח</w:t>
      </w:r>
      <w:r w:rsidRPr="00C1120A">
        <w:rPr>
          <w:rFonts w:ascii="David" w:hAnsi="David" w:hint="cs"/>
          <w:color w:val="000000"/>
          <w:rtl/>
        </w:rPr>
        <w:t xml:space="preserve">. </w:t>
      </w:r>
      <w:r>
        <w:rPr>
          <w:rFonts w:ascii="David" w:hAnsi="David" w:hint="cs"/>
          <w:color w:val="000000"/>
          <w:rtl/>
        </w:rPr>
        <w:t>ה</w:t>
      </w:r>
      <w:r w:rsidRPr="00C1120A">
        <w:rPr>
          <w:rFonts w:ascii="David" w:hAnsi="David"/>
          <w:color w:val="000000"/>
          <w:rtl/>
        </w:rPr>
        <w:t>נאשם ושניים הצטיידו בשני אקדחים ובתחמושת, והגיעו לפארק בו שהו המתלוננים, כשה</w:t>
      </w:r>
      <w:r w:rsidRPr="00C1120A">
        <w:rPr>
          <w:rFonts w:ascii="David" w:hAnsi="David" w:hint="cs"/>
          <w:color w:val="000000"/>
          <w:rtl/>
        </w:rPr>
        <w:t>נאשם</w:t>
      </w:r>
      <w:r w:rsidRPr="00C1120A">
        <w:rPr>
          <w:rFonts w:ascii="David" w:hAnsi="David"/>
          <w:color w:val="000000"/>
          <w:rtl/>
        </w:rPr>
        <w:t xml:space="preserve"> נוהג ברכב. משהגיעו למקום ירה אחד מהשלושה</w:t>
      </w:r>
      <w:r w:rsidRPr="00C1120A">
        <w:rPr>
          <w:rFonts w:ascii="David" w:hAnsi="David" w:hint="cs"/>
          <w:color w:val="000000"/>
          <w:rtl/>
        </w:rPr>
        <w:t xml:space="preserve"> </w:t>
      </w:r>
      <w:r w:rsidRPr="00C1120A">
        <w:rPr>
          <w:rFonts w:ascii="David" w:hAnsi="David"/>
          <w:color w:val="000000"/>
          <w:rtl/>
        </w:rPr>
        <w:t>ירייה בודדת לעבר המתלוננים, אשר לא פגעה בהם. בהמשך למתואר, משהבחינו ה</w:t>
      </w:r>
      <w:r w:rsidRPr="00C1120A">
        <w:rPr>
          <w:rFonts w:ascii="David" w:hAnsi="David" w:hint="cs"/>
          <w:color w:val="000000"/>
          <w:rtl/>
        </w:rPr>
        <w:t>נאשם</w:t>
      </w:r>
      <w:r w:rsidRPr="00C1120A">
        <w:rPr>
          <w:rFonts w:ascii="David" w:hAnsi="David"/>
          <w:color w:val="000000"/>
          <w:rtl/>
        </w:rPr>
        <w:t xml:space="preserve"> והאחרים במתלוננים נוספים – נסעו אחריהם, והאחרים ירו לעבר רכבם, כך ששלושה קליעים פגעו בחלקו האחורי של הרכב וקליע אחד חדר לתוכו, וכן פגע קליע נוסף ברכב אחר וקליע נוסף שפשף את מעילו של מתלונן נוסף אשר לא היה חלק מהסכסוך. </w:t>
      </w:r>
      <w:r w:rsidRPr="00C1120A">
        <w:rPr>
          <w:rFonts w:ascii="David" w:hAnsi="David" w:hint="cs"/>
          <w:color w:val="000000"/>
          <w:rtl/>
        </w:rPr>
        <w:t xml:space="preserve">נקבע </w:t>
      </w:r>
      <w:r w:rsidRPr="00C1120A">
        <w:rPr>
          <w:rFonts w:ascii="David" w:hAnsi="David"/>
          <w:color w:val="000000"/>
          <w:rtl/>
        </w:rPr>
        <w:t>מתחם עונש הולם הנע בין 3-6 שנות מאסר בפועל</w:t>
      </w:r>
      <w:r w:rsidRPr="00C1120A">
        <w:rPr>
          <w:rFonts w:ascii="David" w:hAnsi="David" w:hint="cs"/>
          <w:color w:val="000000"/>
          <w:rtl/>
        </w:rPr>
        <w:t xml:space="preserve">. ועל הנאשם </w:t>
      </w:r>
      <w:r w:rsidRPr="00C1120A">
        <w:rPr>
          <w:rFonts w:ascii="David" w:hAnsi="David"/>
          <w:color w:val="000000"/>
          <w:rtl/>
        </w:rPr>
        <w:t>נעדר עבר פלילי</w:t>
      </w:r>
      <w:r w:rsidRPr="00C1120A">
        <w:rPr>
          <w:rFonts w:ascii="David" w:hAnsi="David" w:hint="cs"/>
          <w:color w:val="000000"/>
          <w:rtl/>
        </w:rPr>
        <w:t xml:space="preserve"> הוטלו</w:t>
      </w:r>
      <w:r w:rsidRPr="00C1120A">
        <w:rPr>
          <w:rFonts w:ascii="David" w:hAnsi="David"/>
          <w:color w:val="000000"/>
          <w:rtl/>
        </w:rPr>
        <w:t xml:space="preserve"> 4 שנות מאסר בפועל לצד עונשים נלווים, וזאת על אף קיום סולחה בין הצדדים. </w:t>
      </w:r>
      <w:r w:rsidRPr="00C1120A">
        <w:rPr>
          <w:rFonts w:ascii="David" w:hAnsi="David" w:hint="cs"/>
          <w:color w:val="000000"/>
          <w:rtl/>
        </w:rPr>
        <w:t xml:space="preserve">ערעור על חומרת העונש נדחה. </w:t>
      </w:r>
      <w:r>
        <w:rPr>
          <w:rFonts w:ascii="David" w:hAnsi="David" w:hint="cs"/>
          <w:color w:val="000000"/>
          <w:shd w:val="clear" w:color="auto" w:fill="FFFFFF"/>
          <w:rtl/>
        </w:rPr>
        <w:t xml:space="preserve"> </w:t>
      </w:r>
      <w:r w:rsidRPr="00C1120A">
        <w:rPr>
          <w:rFonts w:ascii="David" w:hAnsi="David"/>
          <w:color w:val="000000"/>
          <w:shd w:val="clear" w:color="auto" w:fill="FFFFFF"/>
          <w:rtl/>
        </w:rPr>
        <w:t>ב</w:t>
      </w:r>
      <w:hyperlink r:id="rId44" w:history="1">
        <w:r w:rsidR="00FC5E1E" w:rsidRPr="00FC5E1E">
          <w:rPr>
            <w:rFonts w:ascii="David" w:hAnsi="David"/>
            <w:b/>
            <w:bCs/>
            <w:color w:val="0000FF"/>
            <w:u w:val="single"/>
            <w:shd w:val="clear" w:color="auto" w:fill="FFFFFF"/>
            <w:rtl/>
          </w:rPr>
          <w:t>ע"פ 7850/21</w:t>
        </w:r>
      </w:hyperlink>
      <w:r w:rsidR="00FC5E1E">
        <w:rPr>
          <w:rFonts w:ascii="David" w:hAnsi="David"/>
          <w:b/>
          <w:bCs/>
          <w:shd w:val="clear" w:color="auto" w:fill="FFFFFF"/>
        </w:rPr>
        <w:t xml:space="preserve"> </w:t>
      </w:r>
      <w:r w:rsidRPr="00C1120A">
        <w:rPr>
          <w:rFonts w:ascii="David" w:hAnsi="David"/>
          <w:b/>
          <w:bCs/>
          <w:u w:val="single"/>
          <w:shd w:val="clear" w:color="auto" w:fill="FFFFFF"/>
          <w:rtl/>
        </w:rPr>
        <w:t xml:space="preserve">דסוקי </w:t>
      </w:r>
      <w:r>
        <w:rPr>
          <w:rFonts w:ascii="David" w:hAnsi="David" w:hint="cs"/>
          <w:b/>
          <w:bCs/>
          <w:u w:val="single"/>
          <w:shd w:val="clear" w:color="auto" w:fill="FFFFFF"/>
          <w:rtl/>
        </w:rPr>
        <w:t xml:space="preserve"> נ' </w:t>
      </w:r>
      <w:r w:rsidRPr="00C1120A">
        <w:rPr>
          <w:rFonts w:ascii="David" w:hAnsi="David"/>
          <w:b/>
          <w:bCs/>
          <w:u w:val="single"/>
          <w:shd w:val="clear" w:color="auto" w:fill="FFFFFF"/>
          <w:rtl/>
        </w:rPr>
        <w:t>מדינת ישראל</w:t>
      </w:r>
      <w:r w:rsidRPr="00C1120A">
        <w:rPr>
          <w:rFonts w:ascii="David" w:eastAsia="Calibri" w:hAnsi="David" w:hint="cs"/>
          <w:rtl/>
        </w:rPr>
        <w:t xml:space="preserve">, הנאשם </w:t>
      </w:r>
      <w:r w:rsidRPr="00C1120A">
        <w:rPr>
          <w:rFonts w:ascii="David" w:hAnsi="David"/>
          <w:color w:val="000000"/>
          <w:rtl/>
        </w:rPr>
        <w:t>הורשע</w:t>
      </w:r>
      <w:r w:rsidRPr="00C1120A">
        <w:rPr>
          <w:rFonts w:ascii="David" w:hAnsi="David" w:hint="cs"/>
          <w:color w:val="000000"/>
          <w:rtl/>
        </w:rPr>
        <w:t xml:space="preserve"> </w:t>
      </w:r>
      <w:r w:rsidRPr="00C1120A">
        <w:rPr>
          <w:rFonts w:ascii="David" w:hAnsi="David"/>
          <w:color w:val="000000"/>
          <w:rtl/>
        </w:rPr>
        <w:t>בעבירת</w:t>
      </w:r>
      <w:r>
        <w:rPr>
          <w:rFonts w:ascii="David" w:hAnsi="David"/>
          <w:color w:val="000000"/>
          <w:rtl/>
        </w:rPr>
        <w:t xml:space="preserve"> חבלה בכוונה מחמירה ובנשיאת נש</w:t>
      </w:r>
      <w:r>
        <w:rPr>
          <w:rFonts w:ascii="David" w:hAnsi="David" w:hint="cs"/>
          <w:color w:val="000000"/>
          <w:rtl/>
        </w:rPr>
        <w:t xml:space="preserve">ק, </w:t>
      </w:r>
      <w:r w:rsidRPr="00C1120A">
        <w:rPr>
          <w:rFonts w:ascii="David" w:hAnsi="David"/>
          <w:color w:val="000000"/>
          <w:rtl/>
        </w:rPr>
        <w:t xml:space="preserve"> לאחר שעצר את רכבו ליד רכבו של המתלונן – שאל לשלומו, ובעוד זה עונה – ירה לעברו 3 יריות, שאחת מהן פגעה בירכו. במסגרת הסדר הטיעון הוסכם כי המאשימה תעתור לעונש שיכלול 5 שנות מאסר, כולל הפעלת המאסר המותנה, לצד הטלת מאסר מותנה ופיצוי, והמערער יוכל לטעון באופן חופשי. </w:t>
      </w:r>
      <w:r w:rsidRPr="00C1120A">
        <w:rPr>
          <w:rFonts w:ascii="David" w:hAnsi="David" w:hint="cs"/>
          <w:color w:val="000000"/>
          <w:rtl/>
        </w:rPr>
        <w:t xml:space="preserve">נקבע מתחם </w:t>
      </w:r>
      <w:r w:rsidRPr="00C1120A">
        <w:rPr>
          <w:rFonts w:ascii="David" w:hAnsi="David"/>
          <w:color w:val="000000"/>
          <w:rtl/>
        </w:rPr>
        <w:t xml:space="preserve">עונש הולם הנע בין 3 וחצי ל-7 וחצי שנות מאסר בפועל, </w:t>
      </w:r>
      <w:r w:rsidRPr="00C1120A">
        <w:rPr>
          <w:rFonts w:ascii="David" w:hAnsi="David" w:hint="cs"/>
          <w:color w:val="000000"/>
          <w:rtl/>
        </w:rPr>
        <w:t xml:space="preserve">ועל הנאשם </w:t>
      </w:r>
      <w:r w:rsidRPr="00C1120A">
        <w:rPr>
          <w:rFonts w:ascii="David" w:hAnsi="David"/>
          <w:color w:val="000000"/>
          <w:rtl/>
        </w:rPr>
        <w:t>בעל עבר פלילי</w:t>
      </w:r>
      <w:r w:rsidRPr="00C1120A">
        <w:rPr>
          <w:rFonts w:ascii="David" w:hAnsi="David" w:hint="cs"/>
          <w:color w:val="000000"/>
          <w:rtl/>
        </w:rPr>
        <w:t xml:space="preserve"> הוטלו </w:t>
      </w:r>
      <w:r w:rsidRPr="00C1120A">
        <w:rPr>
          <w:rFonts w:ascii="David" w:hAnsi="David"/>
          <w:color w:val="000000"/>
          <w:rtl/>
        </w:rPr>
        <w:t xml:space="preserve">51 חודשי מאסר בפועל לצד מאסר מותנה ופיצוי למתלונן בסך 75,000 ₪ וכן הפעיל מאסר מותנה, חציו בחופף, כך שבסך הכל הוטלו על הנאשם 57 חודשי מאסר בפועל. </w:t>
      </w:r>
      <w:r w:rsidRPr="00C1120A">
        <w:rPr>
          <w:rFonts w:ascii="David" w:hAnsi="David" w:hint="cs"/>
          <w:color w:val="000000"/>
          <w:rtl/>
        </w:rPr>
        <w:t>ערעור על חומרת העונש נדחה.</w:t>
      </w:r>
      <w:r>
        <w:rPr>
          <w:rFonts w:ascii="David" w:hAnsi="David" w:hint="cs"/>
          <w:color w:val="000000"/>
          <w:rtl/>
        </w:rPr>
        <w:t xml:space="preserve"> </w:t>
      </w:r>
    </w:p>
    <w:p w14:paraId="0616B54A" w14:textId="77777777" w:rsidR="00343D19" w:rsidRPr="00C1120A" w:rsidRDefault="00343D19" w:rsidP="00343D19">
      <w:pPr>
        <w:shd w:val="clear" w:color="auto" w:fill="FFFFFF"/>
        <w:overflowPunct w:val="0"/>
        <w:autoSpaceDE w:val="0"/>
        <w:autoSpaceDN w:val="0"/>
        <w:spacing w:line="360" w:lineRule="auto"/>
        <w:jc w:val="both"/>
        <w:rPr>
          <w:rFonts w:ascii="David" w:eastAsia="Calibri" w:hAnsi="David"/>
          <w:sz w:val="10"/>
          <w:szCs w:val="10"/>
          <w:rtl/>
        </w:rPr>
      </w:pPr>
    </w:p>
    <w:p w14:paraId="30357927" w14:textId="77777777" w:rsidR="00343D19" w:rsidRPr="003040BB" w:rsidRDefault="00343D19" w:rsidP="00343D19">
      <w:pPr>
        <w:numPr>
          <w:ilvl w:val="0"/>
          <w:numId w:val="1"/>
        </w:numPr>
        <w:shd w:val="clear" w:color="auto" w:fill="FFFFFF"/>
        <w:overflowPunct w:val="0"/>
        <w:autoSpaceDE w:val="0"/>
        <w:autoSpaceDN w:val="0"/>
        <w:spacing w:after="160" w:line="360" w:lineRule="auto"/>
        <w:jc w:val="both"/>
        <w:rPr>
          <w:rFonts w:ascii="David" w:eastAsia="Calibri" w:hAnsi="David"/>
        </w:rPr>
      </w:pPr>
      <w:r w:rsidRPr="003040BB">
        <w:rPr>
          <w:rFonts w:ascii="David" w:eastAsia="David" w:hAnsi="David"/>
          <w:rtl/>
        </w:rPr>
        <w:t xml:space="preserve">המאשימה הפנתה למספר פסקי דין כאשר מתחמי הענישה נעים בין 16 חודשים ועד 10 שנות מאסר בפועל והעונשים שהוטלו נעים בין 24 חודשים ועד 6.5 שנות מאסר בפועל. </w:t>
      </w:r>
    </w:p>
    <w:p w14:paraId="0E759986" w14:textId="77777777" w:rsidR="00343D19" w:rsidRPr="003040BB" w:rsidRDefault="00343D19" w:rsidP="00343D19">
      <w:pPr>
        <w:numPr>
          <w:ilvl w:val="0"/>
          <w:numId w:val="1"/>
        </w:numPr>
        <w:shd w:val="clear" w:color="auto" w:fill="FFFFFF"/>
        <w:overflowPunct w:val="0"/>
        <w:autoSpaceDE w:val="0"/>
        <w:autoSpaceDN w:val="0"/>
        <w:spacing w:after="160" w:line="360" w:lineRule="auto"/>
        <w:contextualSpacing/>
        <w:jc w:val="both"/>
        <w:rPr>
          <w:rFonts w:ascii="David" w:hAnsi="David"/>
        </w:rPr>
      </w:pPr>
      <w:r w:rsidRPr="003040BB">
        <w:rPr>
          <w:rFonts w:ascii="David" w:eastAsia="David" w:hAnsi="David"/>
          <w:rtl/>
        </w:rPr>
        <w:t xml:space="preserve">ב"כ הנאשם הפנה למספר פסקי דין כאשר מתחמי הענישה נעים בין 24 ועד 6 שנות מאסר בפועל והעונשים שהוטלו נעים בין 24 ועד 52 חודשי מאסר בפועל.  </w:t>
      </w:r>
    </w:p>
    <w:p w14:paraId="508F60AD" w14:textId="77777777" w:rsidR="00343D19" w:rsidRPr="00D74472" w:rsidRDefault="00343D19" w:rsidP="00343D19">
      <w:pPr>
        <w:spacing w:line="360" w:lineRule="auto"/>
        <w:ind w:left="360"/>
        <w:contextualSpacing/>
        <w:jc w:val="both"/>
        <w:rPr>
          <w:rFonts w:ascii="David" w:eastAsia="David" w:hAnsi="David"/>
          <w:b/>
          <w:bCs/>
          <w:sz w:val="12"/>
          <w:szCs w:val="12"/>
          <w:u w:val="single"/>
          <w:rtl/>
        </w:rPr>
      </w:pPr>
    </w:p>
    <w:p w14:paraId="277CB320" w14:textId="77777777" w:rsidR="00343D19" w:rsidRDefault="00343D19" w:rsidP="00343D19">
      <w:pPr>
        <w:spacing w:line="360" w:lineRule="auto"/>
        <w:ind w:left="360"/>
        <w:contextualSpacing/>
        <w:jc w:val="both"/>
        <w:rPr>
          <w:rFonts w:ascii="David" w:eastAsia="David" w:hAnsi="David"/>
          <w:b/>
          <w:bCs/>
          <w:u w:val="single"/>
          <w:rtl/>
        </w:rPr>
      </w:pPr>
    </w:p>
    <w:p w14:paraId="75F0AA23" w14:textId="77777777" w:rsidR="00343D19" w:rsidRPr="003040BB" w:rsidRDefault="00343D19" w:rsidP="00343D19">
      <w:pPr>
        <w:spacing w:line="360" w:lineRule="auto"/>
        <w:ind w:left="360"/>
        <w:contextualSpacing/>
        <w:jc w:val="both"/>
        <w:rPr>
          <w:rFonts w:ascii="David" w:eastAsia="David" w:hAnsi="David"/>
          <w:b/>
          <w:bCs/>
          <w:u w:val="single"/>
          <w:rtl/>
        </w:rPr>
      </w:pPr>
      <w:r w:rsidRPr="003040BB">
        <w:rPr>
          <w:rFonts w:ascii="David" w:eastAsia="David" w:hAnsi="David"/>
          <w:b/>
          <w:bCs/>
          <w:u w:val="single"/>
          <w:rtl/>
        </w:rPr>
        <w:t>לסיכום מתחם העונש ההולם</w:t>
      </w:r>
    </w:p>
    <w:p w14:paraId="2CBC06EA" w14:textId="77777777" w:rsidR="00343D19" w:rsidRPr="00D74472" w:rsidRDefault="00343D19" w:rsidP="00343D19">
      <w:pPr>
        <w:spacing w:after="160" w:line="360" w:lineRule="auto"/>
        <w:jc w:val="both"/>
        <w:rPr>
          <w:rFonts w:ascii="David" w:eastAsia="David" w:hAnsi="David"/>
          <w:sz w:val="4"/>
          <w:szCs w:val="4"/>
          <w:rtl/>
        </w:rPr>
      </w:pPr>
    </w:p>
    <w:p w14:paraId="4461FEC6" w14:textId="77777777" w:rsidR="00343D19" w:rsidRPr="003040BB" w:rsidRDefault="00343D19" w:rsidP="00343D19">
      <w:pPr>
        <w:numPr>
          <w:ilvl w:val="0"/>
          <w:numId w:val="1"/>
        </w:numPr>
        <w:spacing w:after="160" w:line="360" w:lineRule="auto"/>
        <w:contextualSpacing/>
        <w:jc w:val="both"/>
        <w:rPr>
          <w:rFonts w:ascii="David" w:hAnsi="David"/>
          <w:b/>
          <w:bCs/>
          <w:u w:val="single"/>
          <w:rtl/>
        </w:rPr>
      </w:pPr>
      <w:r w:rsidRPr="003040BB">
        <w:rPr>
          <w:rFonts w:ascii="David" w:hAnsi="David"/>
          <w:rtl/>
        </w:rPr>
        <w:t xml:space="preserve">העבירה החמורה ביותר המיוחסת לנאשם הינה חבלה חמורה בנסיבות מחמירות, והיא נושאת בצידה עונש של עד 14 שנות מאסר, העונש המרבי הקבוע בחוק ביחס לעבירה של נשיאה והובלת נשק הינו 10 שנות מאסר ולא פחות מ- 2.5 שנים </w:t>
      </w:r>
      <w:r w:rsidRPr="003040BB">
        <w:rPr>
          <w:rFonts w:ascii="David" w:eastAsia="David" w:hAnsi="David"/>
          <w:rtl/>
        </w:rPr>
        <w:t>(עונש המינימום הקבוע בחוק</w:t>
      </w:r>
      <w:r>
        <w:rPr>
          <w:rFonts w:ascii="David" w:eastAsia="David" w:hAnsi="David"/>
          <w:rtl/>
        </w:rPr>
        <w:t xml:space="preserve"> שאינו יכול להיות כולו על תנאי)</w:t>
      </w:r>
      <w:r>
        <w:rPr>
          <w:rFonts w:ascii="David" w:eastAsia="David" w:hAnsi="David" w:hint="cs"/>
          <w:rtl/>
        </w:rPr>
        <w:t xml:space="preserve">. </w:t>
      </w:r>
      <w:r w:rsidRPr="003040BB">
        <w:rPr>
          <w:rFonts w:ascii="David" w:hAnsi="David"/>
          <w:rtl/>
        </w:rPr>
        <w:t xml:space="preserve"> יש בתיקון  140 ל</w:t>
      </w:r>
      <w:hyperlink r:id="rId45" w:history="1">
        <w:r w:rsidR="00FC5E1E" w:rsidRPr="00FC5E1E">
          <w:rPr>
            <w:rFonts w:ascii="David" w:hAnsi="David"/>
            <w:color w:val="0000FF"/>
            <w:u w:val="single"/>
            <w:rtl/>
          </w:rPr>
          <w:t>חוק העונשין</w:t>
        </w:r>
      </w:hyperlink>
      <w:r w:rsidRPr="003040BB">
        <w:rPr>
          <w:rFonts w:ascii="David" w:hAnsi="David"/>
          <w:rtl/>
        </w:rPr>
        <w:t xml:space="preserve"> כדי ללמד על מגמת ההחמרה הכללית ביחס לעבירות נשק, כפי שהדבר בא לידי ביטוי בפסיקה</w:t>
      </w:r>
      <w:r w:rsidRPr="003040BB">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sidRPr="003040BB">
        <w:rPr>
          <w:rFonts w:ascii="David" w:eastAsia="David" w:hAnsi="David"/>
          <w:b/>
          <w:bCs/>
          <w:rtl/>
        </w:rPr>
        <w:t xml:space="preserve">. ר'  </w:t>
      </w:r>
      <w:hyperlink r:id="rId46" w:history="1">
        <w:r w:rsidR="00FC5E1E" w:rsidRPr="00FC5E1E">
          <w:rPr>
            <w:rFonts w:ascii="David" w:eastAsia="David" w:hAnsi="David"/>
            <w:b/>
            <w:bCs/>
            <w:color w:val="0000FF"/>
            <w:u w:val="single"/>
            <w:rtl/>
          </w:rPr>
          <w:t>ע"פ 5602/22</w:t>
        </w:r>
      </w:hyperlink>
      <w:r w:rsidRPr="003040BB">
        <w:rPr>
          <w:rFonts w:ascii="David" w:eastAsia="David" w:hAnsi="David"/>
          <w:b/>
          <w:bCs/>
          <w:rtl/>
        </w:rPr>
        <w:t xml:space="preserve"> </w:t>
      </w:r>
      <w:r w:rsidRPr="003040BB">
        <w:rPr>
          <w:rFonts w:ascii="David" w:eastAsia="David" w:hAnsi="David"/>
          <w:b/>
          <w:bCs/>
          <w:u w:val="single"/>
          <w:rtl/>
        </w:rPr>
        <w:t>מ. ישראל פלוני</w:t>
      </w:r>
      <w:r w:rsidRPr="003040BB">
        <w:rPr>
          <w:rFonts w:ascii="David" w:eastAsia="David" w:hAnsi="David"/>
          <w:rtl/>
        </w:rPr>
        <w:t>:</w:t>
      </w:r>
      <w:r w:rsidRPr="003040BB">
        <w:rPr>
          <w:rFonts w:ascii="David" w:eastAsia="David" w:hAnsi="David"/>
          <w:color w:val="000000"/>
          <w:rtl/>
        </w:rPr>
        <w:t xml:space="preserve"> </w:t>
      </w:r>
      <w:r w:rsidRPr="00276652">
        <w:rPr>
          <w:rFonts w:ascii="David" w:eastAsia="David" w:hAnsi="David"/>
          <w:b/>
          <w:bCs/>
          <w:color w:val="000000"/>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w:t>
      </w:r>
      <w:r>
        <w:rPr>
          <w:rFonts w:ascii="David" w:eastAsia="David" w:hAnsi="David"/>
          <w:i/>
          <w:iCs/>
          <w:color w:val="000000"/>
          <w:rtl/>
        </w:rPr>
        <w:t xml:space="preserve"> </w:t>
      </w:r>
      <w:r>
        <w:rPr>
          <w:rFonts w:ascii="David" w:eastAsia="David" w:hAnsi="David" w:hint="cs"/>
          <w:i/>
          <w:iCs/>
          <w:color w:val="000000"/>
          <w:rtl/>
        </w:rPr>
        <w:t>...</w:t>
      </w:r>
      <w:r w:rsidRPr="00971CE3">
        <w:rPr>
          <w:rFonts w:ascii="David" w:eastAsia="David" w:hAnsi="David"/>
          <w:i/>
          <w:iCs/>
          <w:color w:val="000000"/>
          <w:rtl/>
        </w:rPr>
        <w:t>"</w:t>
      </w:r>
      <w:r w:rsidRPr="00971CE3">
        <w:rPr>
          <w:rFonts w:ascii="David" w:eastAsia="David" w:hAnsi="David"/>
          <w:i/>
          <w:iCs/>
          <w:rtl/>
        </w:rPr>
        <w:t>.</w:t>
      </w:r>
    </w:p>
    <w:p w14:paraId="7E77BB81" w14:textId="77777777" w:rsidR="00343D19" w:rsidRPr="003040BB" w:rsidRDefault="00343D19" w:rsidP="00343D19">
      <w:pPr>
        <w:ind w:left="720"/>
        <w:contextualSpacing/>
        <w:rPr>
          <w:rFonts w:ascii="David" w:hAnsi="David"/>
        </w:rPr>
      </w:pPr>
    </w:p>
    <w:p w14:paraId="5261524D" w14:textId="77777777" w:rsidR="00343D19" w:rsidRPr="003040BB" w:rsidRDefault="00343D19" w:rsidP="00343D19">
      <w:pPr>
        <w:numPr>
          <w:ilvl w:val="0"/>
          <w:numId w:val="1"/>
        </w:numPr>
        <w:spacing w:after="160" w:line="360" w:lineRule="auto"/>
        <w:contextualSpacing/>
        <w:jc w:val="both"/>
        <w:rPr>
          <w:rFonts w:ascii="David" w:hAnsi="David"/>
          <w:b/>
          <w:bCs/>
          <w:u w:val="single"/>
          <w:rtl/>
        </w:rPr>
      </w:pPr>
      <w:r w:rsidRPr="003040BB">
        <w:rPr>
          <w:rFonts w:ascii="David" w:hAnsi="David"/>
          <w:rtl/>
        </w:rPr>
        <w:t xml:space="preserve">לאחר ששקלתי את חומרת העבירות, נסיבות ביצוען כמפורט לעיל, חומרת החבלה שנגרמה למתלונן, מידת הפגיעה בערכים המוגנים והפסיקה הנהוגה, אני סבור, כי מתחם העונש ההולם צריך לכלול רכיב של מאסר בפועל שלא יפחת מ- </w:t>
      </w:r>
      <w:r>
        <w:rPr>
          <w:rFonts w:ascii="David" w:hAnsi="David" w:hint="cs"/>
          <w:rtl/>
        </w:rPr>
        <w:t>5</w:t>
      </w:r>
      <w:r w:rsidRPr="003040BB">
        <w:rPr>
          <w:rFonts w:ascii="David" w:hAnsi="David"/>
          <w:rtl/>
        </w:rPr>
        <w:t xml:space="preserve"> שנים ולא יעלה על </w:t>
      </w:r>
      <w:r>
        <w:rPr>
          <w:rFonts w:ascii="David" w:hAnsi="David" w:hint="cs"/>
          <w:rtl/>
        </w:rPr>
        <w:t>8</w:t>
      </w:r>
      <w:r w:rsidRPr="003040BB">
        <w:rPr>
          <w:rFonts w:ascii="David" w:hAnsi="David"/>
          <w:rtl/>
        </w:rPr>
        <w:t xml:space="preserve"> </w:t>
      </w:r>
      <w:r>
        <w:rPr>
          <w:rFonts w:ascii="David" w:hAnsi="David" w:hint="cs"/>
          <w:rtl/>
        </w:rPr>
        <w:t xml:space="preserve">שנים, </w:t>
      </w:r>
      <w:r w:rsidRPr="003040BB">
        <w:rPr>
          <w:rFonts w:ascii="David" w:hAnsi="David"/>
          <w:rtl/>
        </w:rPr>
        <w:t xml:space="preserve"> ועונשים נלווים.</w:t>
      </w:r>
    </w:p>
    <w:p w14:paraId="7A9F3959" w14:textId="77777777" w:rsidR="00343D19" w:rsidRPr="00D74472" w:rsidRDefault="00343D19" w:rsidP="00343D19">
      <w:pPr>
        <w:spacing w:after="160" w:line="252" w:lineRule="auto"/>
        <w:ind w:left="360"/>
        <w:contextualSpacing/>
        <w:rPr>
          <w:rFonts w:ascii="David" w:eastAsia="Calibri" w:hAnsi="David"/>
          <w:sz w:val="2"/>
          <w:szCs w:val="2"/>
          <w:rtl/>
        </w:rPr>
      </w:pPr>
    </w:p>
    <w:p w14:paraId="49680251" w14:textId="77777777" w:rsidR="00343D19" w:rsidRPr="003040BB" w:rsidRDefault="00343D19" w:rsidP="00343D19">
      <w:pPr>
        <w:jc w:val="both"/>
        <w:rPr>
          <w:rFonts w:ascii="David" w:eastAsia="Calibri" w:hAnsi="David"/>
          <w:b/>
          <w:bCs/>
          <w:u w:val="single"/>
          <w:rtl/>
        </w:rPr>
      </w:pPr>
    </w:p>
    <w:p w14:paraId="362DC859" w14:textId="77777777" w:rsidR="00343D19" w:rsidRPr="003040BB" w:rsidRDefault="00343D19" w:rsidP="00343D19">
      <w:pPr>
        <w:spacing w:after="160" w:line="360" w:lineRule="auto"/>
        <w:ind w:firstLine="360"/>
        <w:jc w:val="both"/>
        <w:rPr>
          <w:rFonts w:ascii="David" w:eastAsia="David" w:hAnsi="David"/>
          <w:b/>
          <w:bCs/>
          <w:u w:val="single"/>
        </w:rPr>
      </w:pPr>
      <w:r w:rsidRPr="003040BB">
        <w:rPr>
          <w:rFonts w:ascii="David" w:eastAsia="David" w:hAnsi="David"/>
          <w:b/>
          <w:bCs/>
          <w:u w:val="single"/>
          <w:rtl/>
        </w:rPr>
        <w:t>נסיבות שאינן קשורות בביצוע העבירות</w:t>
      </w:r>
    </w:p>
    <w:p w14:paraId="156BDFE4" w14:textId="77777777" w:rsidR="00343D19" w:rsidRPr="003040BB" w:rsidRDefault="00343D19" w:rsidP="00343D19">
      <w:pPr>
        <w:numPr>
          <w:ilvl w:val="0"/>
          <w:numId w:val="1"/>
        </w:numPr>
        <w:spacing w:after="160" w:line="360" w:lineRule="auto"/>
        <w:contextualSpacing/>
        <w:jc w:val="both"/>
        <w:rPr>
          <w:rFonts w:ascii="David" w:eastAsia="Calibri" w:hAnsi="David"/>
          <w:rtl/>
        </w:rPr>
      </w:pPr>
      <w:r w:rsidRPr="003040BB">
        <w:rPr>
          <w:rFonts w:ascii="David" w:eastAsia="David" w:hAnsi="David"/>
          <w:rtl/>
        </w:rPr>
        <w:t xml:space="preserve">לקולה אני מביא בחשבון את ההודאה בכתב האישום המתוקן; החיסכון בזמן שיפוטי הגם שנשמעו חלק מעדי התביעה </w:t>
      </w:r>
      <w:r>
        <w:rPr>
          <w:rFonts w:ascii="David" w:eastAsia="David" w:hAnsi="David" w:hint="cs"/>
          <w:rtl/>
        </w:rPr>
        <w:t xml:space="preserve">לרבות </w:t>
      </w:r>
      <w:r w:rsidRPr="003040BB">
        <w:rPr>
          <w:rFonts w:ascii="David" w:eastAsia="David" w:hAnsi="David"/>
          <w:rtl/>
        </w:rPr>
        <w:t>המתלונן; גילו הצעיר של הנאשם; נסיבותיו האישיות כעולה מתסקיר שירות המבחן ומטיע</w:t>
      </w:r>
      <w:r>
        <w:rPr>
          <w:rFonts w:ascii="David" w:eastAsia="David" w:hAnsi="David"/>
          <w:rtl/>
        </w:rPr>
        <w:t>וני ההגנה; תקופת המעצר ה</w:t>
      </w:r>
      <w:r>
        <w:rPr>
          <w:rFonts w:ascii="David" w:eastAsia="David" w:hAnsi="David" w:hint="cs"/>
          <w:rtl/>
        </w:rPr>
        <w:t>ארוכה</w:t>
      </w:r>
      <w:r w:rsidRPr="003040BB">
        <w:rPr>
          <w:rFonts w:ascii="David" w:eastAsia="David" w:hAnsi="David"/>
          <w:rtl/>
        </w:rPr>
        <w:t xml:space="preserve"> בה הוא היה נתון</w:t>
      </w:r>
      <w:r>
        <w:rPr>
          <w:rFonts w:ascii="David" w:eastAsia="David" w:hAnsi="David" w:hint="cs"/>
          <w:rtl/>
        </w:rPr>
        <w:t xml:space="preserve"> מיום 23.12.22</w:t>
      </w:r>
      <w:r w:rsidRPr="003040BB">
        <w:rPr>
          <w:rFonts w:ascii="David" w:eastAsia="David" w:hAnsi="David"/>
          <w:rtl/>
        </w:rPr>
        <w:t xml:space="preserve"> עד היום </w:t>
      </w:r>
      <w:r>
        <w:rPr>
          <w:rFonts w:ascii="David" w:eastAsia="David" w:hAnsi="David" w:hint="cs"/>
          <w:rtl/>
        </w:rPr>
        <w:t xml:space="preserve"> </w:t>
      </w:r>
      <w:r w:rsidRPr="003040BB">
        <w:rPr>
          <w:rFonts w:ascii="David" w:eastAsia="David" w:hAnsi="David"/>
          <w:rtl/>
        </w:rPr>
        <w:t>(כידוע תנאי המעצר קשים מתנאי מאסר)</w:t>
      </w:r>
      <w:r>
        <w:rPr>
          <w:rFonts w:ascii="David" w:eastAsia="David" w:hAnsi="David" w:hint="cs"/>
          <w:rtl/>
        </w:rPr>
        <w:t>;</w:t>
      </w:r>
      <w:r w:rsidRPr="003040BB">
        <w:rPr>
          <w:rFonts w:ascii="David" w:eastAsia="David" w:hAnsi="David"/>
          <w:rtl/>
        </w:rPr>
        <w:t xml:space="preserve"> העובדה כי הוא נעדר עבר פלילי וכי מדובר במאסרו הראשון והשלכות </w:t>
      </w:r>
      <w:r>
        <w:rPr>
          <w:rFonts w:ascii="David" w:eastAsia="David" w:hAnsi="David"/>
          <w:rtl/>
        </w:rPr>
        <w:t xml:space="preserve">המאסר </w:t>
      </w:r>
      <w:r>
        <w:rPr>
          <w:rFonts w:ascii="David" w:eastAsia="David" w:hAnsi="David" w:hint="cs"/>
          <w:rtl/>
        </w:rPr>
        <w:t>על הנאשם ומשפחתו ובפרט על בת זוגו. כן יינתן משקל לרצונו של הנאשם לעבור הליכי שיקום ולחזור למסלול חיים נורמטיבי, ולעובדה שלנאשם משפחה נורמטיבית שיכולה לתמוך בו במאמציו לשיקום.</w:t>
      </w:r>
    </w:p>
    <w:p w14:paraId="6678F455" w14:textId="77777777" w:rsidR="00343D19" w:rsidRPr="00806983" w:rsidRDefault="00343D19" w:rsidP="00343D19">
      <w:pPr>
        <w:spacing w:line="360" w:lineRule="auto"/>
        <w:ind w:left="720"/>
        <w:contextualSpacing/>
        <w:jc w:val="both"/>
        <w:rPr>
          <w:rFonts w:ascii="David" w:eastAsia="Calibri" w:hAnsi="David"/>
          <w:sz w:val="16"/>
          <w:szCs w:val="16"/>
        </w:rPr>
      </w:pPr>
    </w:p>
    <w:p w14:paraId="49425E29" w14:textId="77777777" w:rsidR="00343D19" w:rsidRPr="00971CE3" w:rsidRDefault="00343D19" w:rsidP="00343D19">
      <w:pPr>
        <w:pStyle w:val="a9"/>
        <w:numPr>
          <w:ilvl w:val="0"/>
          <w:numId w:val="1"/>
        </w:numPr>
        <w:spacing w:line="360" w:lineRule="auto"/>
        <w:jc w:val="both"/>
        <w:rPr>
          <w:rFonts w:ascii="David" w:eastAsia="Calibri" w:hAnsi="David"/>
        </w:rPr>
      </w:pPr>
      <w:r w:rsidRPr="00971CE3">
        <w:rPr>
          <w:rFonts w:ascii="David" w:eastAsia="David" w:hAnsi="David"/>
          <w:rtl/>
        </w:rPr>
        <w:t>לחומרה יש להביא את האמור בתסקיר שירות המבחן וההערכה מקיומו של סיכון בינו</w:t>
      </w:r>
      <w:r>
        <w:rPr>
          <w:rFonts w:ascii="David" w:eastAsia="David" w:hAnsi="David" w:hint="cs"/>
          <w:rtl/>
        </w:rPr>
        <w:t>נ</w:t>
      </w:r>
      <w:r w:rsidRPr="00971CE3">
        <w:rPr>
          <w:rFonts w:ascii="David" w:eastAsia="David" w:hAnsi="David"/>
          <w:rtl/>
        </w:rPr>
        <w:t xml:space="preserve">י-גבוהה להישנות התנהגות אלימה ברמת חומרה גבוהה מצד הנאשם בעתיד, והעדר המלצה שיקומית בעניינו. </w:t>
      </w:r>
    </w:p>
    <w:p w14:paraId="12231959" w14:textId="77777777" w:rsidR="00343D19" w:rsidRPr="000907B0" w:rsidRDefault="00343D19" w:rsidP="00343D19">
      <w:pPr>
        <w:spacing w:after="160" w:line="252" w:lineRule="auto"/>
        <w:ind w:left="720"/>
        <w:contextualSpacing/>
        <w:jc w:val="both"/>
        <w:rPr>
          <w:rFonts w:ascii="David" w:eastAsia="David" w:hAnsi="David"/>
        </w:rPr>
      </w:pPr>
    </w:p>
    <w:p w14:paraId="679025A0" w14:textId="77777777" w:rsidR="00343D19" w:rsidRPr="003040BB" w:rsidRDefault="00343D19" w:rsidP="00343D19">
      <w:pPr>
        <w:numPr>
          <w:ilvl w:val="0"/>
          <w:numId w:val="1"/>
        </w:numPr>
        <w:spacing w:after="160" w:line="360" w:lineRule="auto"/>
        <w:contextualSpacing/>
        <w:jc w:val="both"/>
        <w:rPr>
          <w:rFonts w:ascii="David" w:eastAsia="David" w:hAnsi="David"/>
          <w:b/>
          <w:bCs/>
          <w:rtl/>
        </w:rPr>
      </w:pPr>
      <w:r w:rsidRPr="003040BB">
        <w:rPr>
          <w:rFonts w:ascii="David" w:eastAsia="Calibri" w:hAnsi="David"/>
          <w:rtl/>
        </w:rPr>
        <w:t>בכל הנוגע לקביעת העונש בתוך מתחם העונש ההולם,  נוכח כלל הנסיבות, אני סבור שנכון להטיל על הנאשם מאסר בפועל לתקופה</w:t>
      </w:r>
      <w:r>
        <w:rPr>
          <w:rFonts w:ascii="David" w:eastAsia="Calibri" w:hAnsi="David" w:hint="cs"/>
          <w:rtl/>
        </w:rPr>
        <w:t xml:space="preserve"> המצויה קרוב יותר לרף התחתון של המתחם.</w:t>
      </w:r>
    </w:p>
    <w:p w14:paraId="2000511B" w14:textId="77777777" w:rsidR="00343D19" w:rsidRPr="003040BB" w:rsidRDefault="00343D19" w:rsidP="00343D19">
      <w:pPr>
        <w:ind w:left="720"/>
        <w:contextualSpacing/>
        <w:rPr>
          <w:rFonts w:ascii="David" w:hAnsi="David"/>
        </w:rPr>
      </w:pPr>
    </w:p>
    <w:p w14:paraId="47343474" w14:textId="77777777" w:rsidR="00343D19" w:rsidRPr="00C06743" w:rsidRDefault="00343D19" w:rsidP="00343D19">
      <w:pPr>
        <w:pStyle w:val="a9"/>
        <w:numPr>
          <w:ilvl w:val="0"/>
          <w:numId w:val="1"/>
        </w:numPr>
        <w:spacing w:after="160" w:line="360" w:lineRule="auto"/>
        <w:jc w:val="both"/>
        <w:rPr>
          <w:rFonts w:ascii="David" w:eastAsia="David" w:hAnsi="David"/>
          <w:b/>
          <w:bCs/>
          <w:rtl/>
        </w:rPr>
      </w:pPr>
      <w:r w:rsidRPr="00C06743">
        <w:rPr>
          <w:rFonts w:ascii="David" w:eastAsia="Calibri" w:hAnsi="David"/>
          <w:rtl/>
        </w:rPr>
        <w:t xml:space="preserve">לאור מצבו הכלכלי </w:t>
      </w:r>
      <w:r>
        <w:rPr>
          <w:rFonts w:ascii="David" w:eastAsia="Calibri" w:hAnsi="David"/>
          <w:rtl/>
        </w:rPr>
        <w:t xml:space="preserve">הקשה של הנאשם, ותקופת המאסר </w:t>
      </w:r>
      <w:r>
        <w:rPr>
          <w:rFonts w:ascii="David" w:eastAsia="Calibri" w:hAnsi="David" w:hint="cs"/>
          <w:rtl/>
        </w:rPr>
        <w:t>אותה הוא</w:t>
      </w:r>
      <w:r w:rsidRPr="00C06743">
        <w:rPr>
          <w:rFonts w:ascii="David" w:eastAsia="Calibri" w:hAnsi="David"/>
          <w:rtl/>
        </w:rPr>
        <w:t xml:space="preserve"> עתיד לרצות, אני מחליט שלא להטיל רכיב קנס, מה בפרט שרכיב זה לא התבקש על ידי המאשימה. </w:t>
      </w:r>
    </w:p>
    <w:p w14:paraId="38CD1018" w14:textId="77777777" w:rsidR="00343D19" w:rsidRPr="000907B0" w:rsidRDefault="00343D19" w:rsidP="00343D19">
      <w:pPr>
        <w:pStyle w:val="a9"/>
        <w:spacing w:before="100" w:beforeAutospacing="1" w:after="100" w:afterAutospacing="1" w:line="360" w:lineRule="auto"/>
        <w:jc w:val="both"/>
        <w:rPr>
          <w:rFonts w:ascii="David" w:hAnsi="David"/>
          <w:noProof/>
          <w:sz w:val="14"/>
          <w:szCs w:val="14"/>
        </w:rPr>
      </w:pPr>
    </w:p>
    <w:p w14:paraId="2DEF4D46" w14:textId="77777777" w:rsidR="00343D19" w:rsidRPr="00C06743" w:rsidRDefault="00343D19" w:rsidP="00343D19">
      <w:pPr>
        <w:pStyle w:val="a9"/>
        <w:numPr>
          <w:ilvl w:val="0"/>
          <w:numId w:val="1"/>
        </w:numPr>
        <w:spacing w:before="100" w:beforeAutospacing="1" w:after="100" w:afterAutospacing="1" w:line="360" w:lineRule="auto"/>
        <w:jc w:val="both"/>
        <w:rPr>
          <w:rFonts w:ascii="David" w:hAnsi="David"/>
          <w:noProof/>
        </w:rPr>
      </w:pPr>
      <w:r w:rsidRPr="00C06743">
        <w:rPr>
          <w:rFonts w:ascii="David" w:hAnsi="David"/>
          <w:rtl/>
        </w:rPr>
        <w:t xml:space="preserve">בכל הנוגע לגובה הפיצוי שיוטל. </w:t>
      </w:r>
      <w:r w:rsidRPr="00C06743">
        <w:rPr>
          <w:rFonts w:ascii="David" w:hAnsi="David"/>
          <w:noProof/>
          <w:rtl/>
        </w:rPr>
        <w:t>מובהר שאין בכו כדי ללמד על גובה הנזק  שנגרם למתלונן,</w:t>
      </w:r>
      <w:r>
        <w:rPr>
          <w:rFonts w:ascii="David" w:hAnsi="David" w:hint="cs"/>
          <w:noProof/>
          <w:rtl/>
        </w:rPr>
        <w:t xml:space="preserve"> מדובר בפיצוי עונשי שבין מטרותיו גם </w:t>
      </w:r>
      <w:r w:rsidRPr="00C06743">
        <w:rPr>
          <w:rFonts w:ascii="David" w:hAnsi="David"/>
          <w:noProof/>
          <w:rtl/>
        </w:rPr>
        <w:t xml:space="preserve"> הכרה </w:t>
      </w:r>
      <w:r>
        <w:rPr>
          <w:rFonts w:ascii="David" w:hAnsi="David"/>
          <w:noProof/>
          <w:rtl/>
        </w:rPr>
        <w:t>בפגיעות שנגרמו ל</w:t>
      </w:r>
      <w:r>
        <w:rPr>
          <w:rFonts w:ascii="David" w:hAnsi="David" w:hint="cs"/>
          <w:noProof/>
          <w:rtl/>
        </w:rPr>
        <w:t>מתלונן.</w:t>
      </w:r>
    </w:p>
    <w:p w14:paraId="50744720" w14:textId="77777777" w:rsidR="00343D19" w:rsidRPr="000907B0" w:rsidRDefault="00343D19" w:rsidP="00343D19">
      <w:pPr>
        <w:pStyle w:val="a9"/>
        <w:spacing w:after="160" w:line="360" w:lineRule="auto"/>
        <w:jc w:val="both"/>
        <w:rPr>
          <w:rFonts w:ascii="David" w:hAnsi="David"/>
          <w:b/>
          <w:bCs/>
          <w:sz w:val="12"/>
          <w:szCs w:val="12"/>
        </w:rPr>
      </w:pPr>
    </w:p>
    <w:p w14:paraId="17D98885" w14:textId="77777777" w:rsidR="00343D19" w:rsidRPr="00C06743" w:rsidRDefault="00343D19" w:rsidP="00343D19">
      <w:pPr>
        <w:pStyle w:val="a9"/>
        <w:numPr>
          <w:ilvl w:val="0"/>
          <w:numId w:val="1"/>
        </w:numPr>
        <w:spacing w:after="160" w:line="360" w:lineRule="auto"/>
        <w:jc w:val="both"/>
        <w:rPr>
          <w:rFonts w:ascii="David" w:hAnsi="David"/>
        </w:rPr>
      </w:pPr>
      <w:r w:rsidRPr="00C06743">
        <w:rPr>
          <w:rFonts w:ascii="David" w:hAnsi="David"/>
          <w:rtl/>
        </w:rPr>
        <w:t>לאור כל האמור לעיל, אני גוזר על הנאשם את העונשים הבאים:</w:t>
      </w:r>
    </w:p>
    <w:p w14:paraId="0F570D64" w14:textId="77777777" w:rsidR="00343D19" w:rsidRPr="003040BB" w:rsidRDefault="00343D19" w:rsidP="00343D19">
      <w:pPr>
        <w:tabs>
          <w:tab w:val="left" w:pos="26"/>
        </w:tabs>
        <w:snapToGrid w:val="0"/>
        <w:spacing w:after="160" w:line="360" w:lineRule="auto"/>
        <w:ind w:left="720"/>
        <w:contextualSpacing/>
        <w:jc w:val="both"/>
        <w:rPr>
          <w:rFonts w:ascii="David" w:eastAsia="Calibri" w:hAnsi="David"/>
          <w:b/>
          <w:bCs/>
          <w:rtl/>
        </w:rPr>
      </w:pPr>
      <w:r w:rsidRPr="003040BB">
        <w:rPr>
          <w:rFonts w:ascii="David" w:eastAsia="Calibri" w:hAnsi="David"/>
          <w:b/>
          <w:bCs/>
          <w:rtl/>
        </w:rPr>
        <w:t xml:space="preserve">אני גוזר על הנאשם מאסר בפועל לתקופה של  </w:t>
      </w:r>
      <w:r>
        <w:rPr>
          <w:rFonts w:ascii="David" w:eastAsia="Calibri" w:hAnsi="David" w:hint="cs"/>
          <w:b/>
          <w:bCs/>
          <w:rtl/>
        </w:rPr>
        <w:t>66 חודשים</w:t>
      </w:r>
      <w:r w:rsidRPr="003040BB">
        <w:rPr>
          <w:rFonts w:ascii="David" w:eastAsia="Calibri" w:hAnsi="David"/>
          <w:b/>
          <w:bCs/>
          <w:rtl/>
        </w:rPr>
        <w:t xml:space="preserve"> בניכוי ימי מעצרו מיום 23/12/22 ועד היום. </w:t>
      </w:r>
    </w:p>
    <w:p w14:paraId="19A97C37" w14:textId="77777777" w:rsidR="00343D19" w:rsidRPr="00C06743" w:rsidRDefault="00343D19" w:rsidP="00343D19">
      <w:pPr>
        <w:snapToGrid w:val="0"/>
        <w:spacing w:after="160" w:line="360" w:lineRule="auto"/>
        <w:jc w:val="both"/>
        <w:rPr>
          <w:rFonts w:ascii="David" w:eastAsia="Calibri" w:hAnsi="David"/>
          <w:b/>
          <w:bCs/>
          <w:sz w:val="2"/>
          <w:szCs w:val="2"/>
          <w:rtl/>
        </w:rPr>
      </w:pPr>
    </w:p>
    <w:p w14:paraId="160EF704" w14:textId="77777777" w:rsidR="00343D19" w:rsidRPr="003040BB" w:rsidRDefault="00343D19" w:rsidP="00343D19">
      <w:pPr>
        <w:snapToGrid w:val="0"/>
        <w:spacing w:after="160" w:line="360" w:lineRule="auto"/>
        <w:ind w:left="720"/>
        <w:contextualSpacing/>
        <w:jc w:val="both"/>
        <w:rPr>
          <w:rFonts w:ascii="David" w:eastAsia="Calibri" w:hAnsi="David"/>
          <w:b/>
          <w:bCs/>
        </w:rPr>
      </w:pPr>
      <w:r w:rsidRPr="003040BB">
        <w:rPr>
          <w:rFonts w:ascii="David" w:eastAsia="Calibri" w:hAnsi="David"/>
          <w:b/>
          <w:bCs/>
          <w:rtl/>
        </w:rPr>
        <w:t xml:space="preserve">אני גוזר על הנאשם עונש מאסר על תנאי  לתקופה של </w:t>
      </w:r>
      <w:r>
        <w:rPr>
          <w:rFonts w:ascii="David" w:eastAsia="Calibri" w:hAnsi="David" w:hint="cs"/>
          <w:b/>
          <w:bCs/>
          <w:rtl/>
        </w:rPr>
        <w:t xml:space="preserve">12 </w:t>
      </w:r>
      <w:r w:rsidRPr="003040BB">
        <w:rPr>
          <w:rFonts w:ascii="David" w:eastAsia="Calibri" w:hAnsi="David"/>
          <w:b/>
          <w:bCs/>
          <w:rtl/>
        </w:rPr>
        <w:t xml:space="preserve"> חודשים והתנאי הוא שהנאשם לא יעבור בתוך 3 שנים מיום שחרורו ממאסרו, עבירת נשק או </w:t>
      </w:r>
      <w:r>
        <w:rPr>
          <w:rFonts w:ascii="David" w:eastAsia="Calibri" w:hAnsi="David" w:hint="cs"/>
          <w:b/>
          <w:bCs/>
          <w:rtl/>
        </w:rPr>
        <w:t xml:space="preserve">עבירת </w:t>
      </w:r>
      <w:r w:rsidRPr="003040BB">
        <w:rPr>
          <w:rFonts w:ascii="David" w:eastAsia="Calibri" w:hAnsi="David"/>
          <w:b/>
          <w:bCs/>
          <w:rtl/>
        </w:rPr>
        <w:t>אלימות מסוג פשע ויורשע בגינה.</w:t>
      </w:r>
    </w:p>
    <w:p w14:paraId="57270E4C" w14:textId="77777777" w:rsidR="00343D19" w:rsidRPr="00C06743" w:rsidRDefault="00343D19" w:rsidP="00343D19">
      <w:pPr>
        <w:snapToGrid w:val="0"/>
        <w:spacing w:after="160" w:line="360" w:lineRule="auto"/>
        <w:jc w:val="both"/>
        <w:rPr>
          <w:rFonts w:ascii="David" w:eastAsia="Calibri" w:hAnsi="David"/>
          <w:b/>
          <w:bCs/>
          <w:sz w:val="10"/>
          <w:szCs w:val="10"/>
          <w:rtl/>
        </w:rPr>
      </w:pPr>
    </w:p>
    <w:p w14:paraId="105C5C25" w14:textId="77777777" w:rsidR="00343D19" w:rsidRPr="003040BB" w:rsidRDefault="00343D19" w:rsidP="00343D19">
      <w:pPr>
        <w:snapToGrid w:val="0"/>
        <w:spacing w:after="160" w:line="360" w:lineRule="auto"/>
        <w:ind w:left="720"/>
        <w:contextualSpacing/>
        <w:jc w:val="both"/>
        <w:rPr>
          <w:rFonts w:ascii="David" w:eastAsia="Calibri" w:hAnsi="David"/>
          <w:b/>
          <w:bCs/>
          <w:rtl/>
        </w:rPr>
      </w:pPr>
      <w:r w:rsidRPr="003040BB">
        <w:rPr>
          <w:rFonts w:ascii="David" w:eastAsia="Calibri" w:hAnsi="David"/>
          <w:b/>
          <w:bCs/>
          <w:rtl/>
        </w:rPr>
        <w:t>אני גוזר על הנאשם עונש מאסר על תנאי לתקופה של 6 חודשים והתנאי הוא שהנאשם לא יעבור בתוך 3 שנים מיום שחרורו ממאסרו, עבירת נשק או</w:t>
      </w:r>
      <w:r>
        <w:rPr>
          <w:rFonts w:ascii="David" w:eastAsia="Calibri" w:hAnsi="David" w:hint="cs"/>
          <w:b/>
          <w:bCs/>
          <w:rtl/>
        </w:rPr>
        <w:t xml:space="preserve"> עבירות</w:t>
      </w:r>
      <w:r w:rsidRPr="003040BB">
        <w:rPr>
          <w:rFonts w:ascii="David" w:eastAsia="Calibri" w:hAnsi="David"/>
          <w:b/>
          <w:bCs/>
          <w:rtl/>
        </w:rPr>
        <w:t xml:space="preserve"> אלימות מסוג עוון ויורשע בגינה. </w:t>
      </w:r>
    </w:p>
    <w:p w14:paraId="4247A573" w14:textId="77777777" w:rsidR="00343D19" w:rsidRPr="00C06743" w:rsidRDefault="00343D19" w:rsidP="00343D19">
      <w:pPr>
        <w:snapToGrid w:val="0"/>
        <w:spacing w:after="160" w:line="360" w:lineRule="auto"/>
        <w:ind w:left="720"/>
        <w:contextualSpacing/>
        <w:jc w:val="both"/>
        <w:rPr>
          <w:rFonts w:ascii="David" w:eastAsia="Calibri" w:hAnsi="David"/>
          <w:b/>
          <w:bCs/>
          <w:sz w:val="14"/>
          <w:szCs w:val="14"/>
          <w:rtl/>
        </w:rPr>
      </w:pPr>
    </w:p>
    <w:p w14:paraId="51A2F47C" w14:textId="77777777" w:rsidR="00343D19" w:rsidRPr="003040BB" w:rsidRDefault="00343D19" w:rsidP="00343D19">
      <w:pPr>
        <w:snapToGrid w:val="0"/>
        <w:spacing w:after="160" w:line="360" w:lineRule="auto"/>
        <w:ind w:left="720"/>
        <w:contextualSpacing/>
        <w:jc w:val="both"/>
        <w:rPr>
          <w:rFonts w:ascii="David" w:eastAsia="Calibri" w:hAnsi="David"/>
          <w:b/>
          <w:bCs/>
        </w:rPr>
      </w:pPr>
      <w:r w:rsidRPr="003040BB">
        <w:rPr>
          <w:rFonts w:ascii="David" w:eastAsia="Calibri" w:hAnsi="David"/>
          <w:b/>
          <w:bCs/>
          <w:rtl/>
        </w:rPr>
        <w:t xml:space="preserve">הנאשם ישלם  למתלונן פיצוי כספי בסך 30,000 ₪ . </w:t>
      </w:r>
    </w:p>
    <w:p w14:paraId="738A0C5D" w14:textId="77777777" w:rsidR="00343D19" w:rsidRPr="006F3E27" w:rsidRDefault="00343D19" w:rsidP="00343D19">
      <w:pPr>
        <w:tabs>
          <w:tab w:val="left" w:pos="26"/>
        </w:tabs>
        <w:snapToGrid w:val="0"/>
        <w:spacing w:after="160" w:line="360" w:lineRule="auto"/>
        <w:jc w:val="both"/>
        <w:rPr>
          <w:rFonts w:ascii="David" w:eastAsia="Calibri" w:hAnsi="David"/>
          <w:b/>
          <w:bCs/>
          <w:sz w:val="2"/>
          <w:szCs w:val="2"/>
        </w:rPr>
      </w:pPr>
    </w:p>
    <w:p w14:paraId="12094B64" w14:textId="77777777" w:rsidR="00343D19" w:rsidRPr="003040BB" w:rsidRDefault="00343D19" w:rsidP="00343D19">
      <w:pPr>
        <w:tabs>
          <w:tab w:val="left" w:pos="26"/>
        </w:tabs>
        <w:snapToGrid w:val="0"/>
        <w:spacing w:after="160" w:line="360" w:lineRule="auto"/>
        <w:ind w:left="720"/>
        <w:contextualSpacing/>
        <w:jc w:val="both"/>
        <w:rPr>
          <w:rFonts w:ascii="David" w:eastAsia="Calibri" w:hAnsi="David"/>
          <w:b/>
          <w:bCs/>
          <w:rtl/>
        </w:rPr>
      </w:pPr>
      <w:r w:rsidRPr="003040BB">
        <w:rPr>
          <w:rFonts w:ascii="David" w:eastAsia="Calibri" w:hAnsi="David"/>
          <w:b/>
          <w:bCs/>
          <w:rtl/>
        </w:rPr>
        <w:t xml:space="preserve">הפיצוי שהוטל על הנאשם ישולמו עד ליום 01/09/24. </w:t>
      </w:r>
    </w:p>
    <w:p w14:paraId="099DFBB2" w14:textId="77777777" w:rsidR="00343D19" w:rsidRPr="00D74472" w:rsidRDefault="00343D19" w:rsidP="00343D19">
      <w:pPr>
        <w:spacing w:after="160" w:line="360" w:lineRule="auto"/>
        <w:ind w:left="720"/>
        <w:contextualSpacing/>
        <w:jc w:val="both"/>
        <w:rPr>
          <w:rFonts w:ascii="David" w:eastAsia="Calibri" w:hAnsi="David"/>
          <w:sz w:val="4"/>
          <w:szCs w:val="4"/>
          <w:rtl/>
        </w:rPr>
      </w:pPr>
    </w:p>
    <w:p w14:paraId="0CCD9044" w14:textId="77777777" w:rsidR="00343D19" w:rsidRPr="003040BB" w:rsidRDefault="00343D19" w:rsidP="00343D19">
      <w:pPr>
        <w:spacing w:after="160" w:line="360" w:lineRule="auto"/>
        <w:ind w:left="720"/>
        <w:contextualSpacing/>
        <w:jc w:val="both"/>
        <w:rPr>
          <w:rFonts w:ascii="David" w:eastAsia="Calibri" w:hAnsi="David"/>
          <w:rtl/>
        </w:rPr>
      </w:pPr>
      <w:r w:rsidRPr="003040BB">
        <w:rPr>
          <w:rFonts w:ascii="David" w:eastAsia="Calibri" w:hAnsi="David"/>
          <w:rtl/>
        </w:rPr>
        <w:t xml:space="preserve">תשומת לב הנאשם שיש לשלם את </w:t>
      </w:r>
      <w:r>
        <w:rPr>
          <w:rFonts w:ascii="David" w:eastAsia="Calibri" w:hAnsi="David" w:hint="cs"/>
          <w:rtl/>
        </w:rPr>
        <w:t xml:space="preserve">הפיצוי </w:t>
      </w:r>
      <w:r w:rsidRPr="003040BB">
        <w:rPr>
          <w:rFonts w:ascii="David" w:eastAsia="Calibri" w:hAnsi="David"/>
          <w:rtl/>
        </w:rPr>
        <w:t xml:space="preserve">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47" w:history="1">
        <w:r w:rsidRPr="003040BB">
          <w:rPr>
            <w:rFonts w:ascii="David" w:eastAsia="Calibri" w:hAnsi="David"/>
            <w:u w:val="single"/>
          </w:rPr>
          <w:t>www.eca.gov.il</w:t>
        </w:r>
      </w:hyperlink>
      <w:r w:rsidRPr="003040BB">
        <w:rPr>
          <w:rFonts w:ascii="David" w:eastAsia="Calibri" w:hAnsi="David"/>
        </w:rPr>
        <w:t xml:space="preserve"> </w:t>
      </w:r>
      <w:r w:rsidR="00FC5E1E">
        <w:rPr>
          <w:rFonts w:ascii="David" w:eastAsia="Calibri" w:hAnsi="David"/>
          <w:rtl/>
        </w:rPr>
        <w:t xml:space="preserve"> </w:t>
      </w:r>
      <w:r w:rsidRPr="003040BB">
        <w:rPr>
          <w:rFonts w:ascii="David" w:eastAsia="Calibri" w:hAnsi="David"/>
          <w:rtl/>
        </w:rPr>
        <w:t>או חפש בגוגל " תשלום גביית קנסות".</w:t>
      </w:r>
      <w:r>
        <w:rPr>
          <w:rFonts w:ascii="David" w:eastAsia="Calibri" w:hAnsi="David" w:hint="cs"/>
          <w:rtl/>
        </w:rPr>
        <w:t xml:space="preserve"> </w:t>
      </w:r>
      <w:r w:rsidRPr="003040BB">
        <w:rPr>
          <w:rFonts w:ascii="David" w:eastAsia="Calibri" w:hAnsi="David"/>
          <w:rtl/>
        </w:rPr>
        <w:t>מוקד שירות טלפוני בשרות עצמי (מרכז גבייה)</w:t>
      </w:r>
      <w:r w:rsidR="00FC5E1E">
        <w:rPr>
          <w:rFonts w:ascii="David" w:eastAsia="Calibri" w:hAnsi="David"/>
          <w:rtl/>
        </w:rPr>
        <w:t xml:space="preserve"> </w:t>
      </w:r>
      <w:r w:rsidRPr="003040BB">
        <w:rPr>
          <w:rFonts w:ascii="David" w:eastAsia="Calibri"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452447CF" w14:textId="77777777" w:rsidR="00343D19" w:rsidRPr="00D74472" w:rsidRDefault="00343D19" w:rsidP="00343D19">
      <w:pPr>
        <w:spacing w:after="160" w:line="360" w:lineRule="auto"/>
        <w:ind w:left="720"/>
        <w:contextualSpacing/>
        <w:jc w:val="both"/>
        <w:rPr>
          <w:rFonts w:ascii="David" w:eastAsia="Calibri" w:hAnsi="David"/>
          <w:sz w:val="12"/>
          <w:szCs w:val="12"/>
          <w:rtl/>
        </w:rPr>
      </w:pPr>
    </w:p>
    <w:p w14:paraId="1BE3B880" w14:textId="77777777" w:rsidR="00343D19" w:rsidRPr="003040BB" w:rsidRDefault="00343D19" w:rsidP="00343D19">
      <w:pPr>
        <w:spacing w:after="160" w:line="360" w:lineRule="auto"/>
        <w:ind w:left="720"/>
        <w:contextualSpacing/>
        <w:jc w:val="both"/>
        <w:rPr>
          <w:rFonts w:ascii="David" w:eastAsia="Calibri" w:hAnsi="David"/>
          <w:rtl/>
        </w:rPr>
      </w:pPr>
      <w:r w:rsidRPr="003040BB">
        <w:rPr>
          <w:rFonts w:ascii="David" w:eastAsia="Calibri" w:hAnsi="David"/>
          <w:b/>
          <w:bCs/>
          <w:rtl/>
        </w:rPr>
        <w:t>המאשימה  תעדכן את המתלונן בתוכן גזר הדין.</w:t>
      </w:r>
    </w:p>
    <w:p w14:paraId="0A29DA59" w14:textId="77777777" w:rsidR="00343D19" w:rsidRPr="00FC5E1E" w:rsidRDefault="00FC5E1E" w:rsidP="00343D19">
      <w:pPr>
        <w:spacing w:after="160"/>
        <w:ind w:firstLine="720"/>
        <w:jc w:val="both"/>
        <w:rPr>
          <w:rFonts w:ascii="David" w:eastAsia="David" w:hAnsi="David"/>
          <w:b/>
          <w:bCs/>
          <w:color w:val="FFFFFF"/>
          <w:sz w:val="2"/>
          <w:szCs w:val="2"/>
          <w:rtl/>
        </w:rPr>
      </w:pPr>
      <w:r w:rsidRPr="00FC5E1E">
        <w:rPr>
          <w:rFonts w:ascii="David" w:eastAsia="David" w:hAnsi="David"/>
          <w:b/>
          <w:bCs/>
          <w:color w:val="FFFFFF"/>
          <w:sz w:val="2"/>
          <w:szCs w:val="2"/>
          <w:rtl/>
        </w:rPr>
        <w:t>5129371</w:t>
      </w:r>
    </w:p>
    <w:p w14:paraId="02AA45A1" w14:textId="77777777" w:rsidR="00343D19" w:rsidRPr="003040BB" w:rsidRDefault="00FC5E1E" w:rsidP="00343D19">
      <w:pPr>
        <w:spacing w:after="160"/>
        <w:ind w:firstLine="720"/>
        <w:jc w:val="both"/>
        <w:rPr>
          <w:rFonts w:ascii="David" w:eastAsia="David" w:hAnsi="David"/>
          <w:b/>
          <w:bCs/>
          <w:rtl/>
        </w:rPr>
      </w:pPr>
      <w:r w:rsidRPr="00FC5E1E">
        <w:rPr>
          <w:rFonts w:ascii="David" w:eastAsia="David" w:hAnsi="David"/>
          <w:b/>
          <w:bCs/>
          <w:color w:val="FFFFFF"/>
          <w:sz w:val="2"/>
          <w:szCs w:val="2"/>
          <w:rtl/>
        </w:rPr>
        <w:t>54678313</w:t>
      </w:r>
      <w:r w:rsidR="00343D19" w:rsidRPr="003040BB">
        <w:rPr>
          <w:rFonts w:ascii="David" w:eastAsia="David" w:hAnsi="David"/>
          <w:b/>
          <w:bCs/>
          <w:rtl/>
        </w:rPr>
        <w:t>זכות ערעור לבית המשפט העליון בתוך 45 יום מהיום.</w:t>
      </w:r>
    </w:p>
    <w:p w14:paraId="593DD4EE" w14:textId="77777777" w:rsidR="00343D19" w:rsidRPr="000F2247" w:rsidRDefault="00343D19" w:rsidP="00343D19">
      <w:pPr>
        <w:rPr>
          <w:rFonts w:ascii="Arial" w:hAnsi="Arial"/>
          <w:b/>
          <w:bCs/>
          <w:sz w:val="26"/>
          <w:szCs w:val="26"/>
          <w:rtl/>
        </w:rPr>
      </w:pPr>
    </w:p>
    <w:p w14:paraId="341E8515" w14:textId="77777777" w:rsidR="00343D19" w:rsidRPr="000F2247" w:rsidRDefault="00FC5E1E" w:rsidP="00343D19">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ה' אדר א' תשפ"ד, 14 פברואר 2024, בנוכחות הצדדים. </w:t>
      </w:r>
      <w:bookmarkEnd w:id="7"/>
      <w:r w:rsidR="00343D19">
        <w:rPr>
          <w:rFonts w:ascii="Arial" w:hAnsi="Arial"/>
          <w:b/>
          <w:bCs/>
          <w:sz w:val="26"/>
          <w:szCs w:val="26"/>
          <w:rtl/>
        </w:rPr>
        <w:tab/>
      </w:r>
      <w:r w:rsidR="00343D19">
        <w:rPr>
          <w:rFonts w:ascii="Arial" w:hAnsi="Arial"/>
          <w:b/>
          <w:bCs/>
          <w:sz w:val="26"/>
          <w:szCs w:val="26"/>
          <w:rtl/>
        </w:rPr>
        <w:tab/>
      </w:r>
      <w:r w:rsidR="00343D19">
        <w:rPr>
          <w:rFonts w:ascii="Arial" w:hAnsi="Arial"/>
          <w:b/>
          <w:bCs/>
          <w:sz w:val="26"/>
          <w:szCs w:val="26"/>
          <w:rtl/>
        </w:rPr>
        <w:tab/>
      </w:r>
      <w:r w:rsidR="00343D19">
        <w:rPr>
          <w:rFonts w:ascii="Arial" w:hAnsi="Arial"/>
          <w:b/>
          <w:bCs/>
          <w:sz w:val="26"/>
          <w:szCs w:val="26"/>
          <w:rtl/>
        </w:rPr>
        <w:tab/>
      </w:r>
      <w:r w:rsidR="00343D19">
        <w:rPr>
          <w:rFonts w:ascii="Arial" w:hAnsi="Arial"/>
          <w:b/>
          <w:bCs/>
          <w:sz w:val="26"/>
          <w:szCs w:val="26"/>
          <w:rtl/>
        </w:rPr>
        <w:tab/>
      </w:r>
      <w:r w:rsidR="00343D19">
        <w:rPr>
          <w:rFonts w:ascii="Arial" w:hAnsi="Arial"/>
          <w:b/>
          <w:bCs/>
          <w:sz w:val="26"/>
          <w:szCs w:val="26"/>
          <w:rtl/>
        </w:rPr>
        <w:tab/>
      </w:r>
      <w:r w:rsidR="00343D19">
        <w:rPr>
          <w:rFonts w:ascii="Arial" w:hAnsi="Arial"/>
          <w:b/>
          <w:bCs/>
          <w:sz w:val="26"/>
          <w:szCs w:val="26"/>
          <w:rtl/>
        </w:rPr>
        <w:tab/>
      </w:r>
      <w:r w:rsidR="00343D19">
        <w:rPr>
          <w:rFonts w:ascii="Arial" w:hAnsi="Arial" w:hint="cs"/>
          <w:b/>
          <w:bCs/>
          <w:sz w:val="26"/>
          <w:szCs w:val="26"/>
          <w:rtl/>
        </w:rPr>
        <w:t xml:space="preserve">         </w:t>
      </w:r>
    </w:p>
    <w:p w14:paraId="11E44036" w14:textId="77777777" w:rsidR="00343D19" w:rsidRPr="000F2247" w:rsidRDefault="00343D19" w:rsidP="00FC5E1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C801953" w14:textId="77777777" w:rsidR="00343D19" w:rsidRPr="000F2247" w:rsidRDefault="00343D19" w:rsidP="00343D19">
      <w:pPr>
        <w:jc w:val="center"/>
        <w:rPr>
          <w:rFonts w:ascii="Arial" w:hAnsi="Arial"/>
          <w:b/>
          <w:bCs/>
          <w:sz w:val="26"/>
          <w:szCs w:val="26"/>
          <w:rtl/>
        </w:rPr>
      </w:pPr>
    </w:p>
    <w:p w14:paraId="595890D1" w14:textId="77777777" w:rsidR="005920D5" w:rsidRPr="00FC5E1E" w:rsidRDefault="005920D5" w:rsidP="00FC5E1E">
      <w:pPr>
        <w:keepNext/>
        <w:rPr>
          <w:rFonts w:ascii="David" w:hAnsi="David"/>
          <w:color w:val="000000"/>
          <w:sz w:val="22"/>
          <w:szCs w:val="22"/>
          <w:rtl/>
        </w:rPr>
      </w:pPr>
    </w:p>
    <w:p w14:paraId="35B891F2" w14:textId="77777777" w:rsidR="00FC5E1E" w:rsidRPr="00FC5E1E" w:rsidRDefault="00FC5E1E" w:rsidP="00FC5E1E">
      <w:pPr>
        <w:keepNext/>
        <w:rPr>
          <w:rFonts w:ascii="David" w:hAnsi="David"/>
          <w:color w:val="000000"/>
          <w:sz w:val="22"/>
          <w:szCs w:val="22"/>
          <w:rtl/>
        </w:rPr>
      </w:pPr>
      <w:r w:rsidRPr="00FC5E1E">
        <w:rPr>
          <w:rFonts w:ascii="David" w:hAnsi="David"/>
          <w:color w:val="000000"/>
          <w:sz w:val="22"/>
          <w:szCs w:val="22"/>
          <w:rtl/>
        </w:rPr>
        <w:t>גיל קרזבום 54678313</w:t>
      </w:r>
    </w:p>
    <w:p w14:paraId="04C3B999" w14:textId="77777777" w:rsidR="00FC5E1E" w:rsidRDefault="00FC5E1E" w:rsidP="00FC5E1E">
      <w:r w:rsidRPr="00FC5E1E">
        <w:rPr>
          <w:color w:val="000000"/>
          <w:rtl/>
        </w:rPr>
        <w:t>נוסח מסמך זה כפוף לשינויי ניסוח ועריכה</w:t>
      </w:r>
    </w:p>
    <w:p w14:paraId="63B3DD66" w14:textId="77777777" w:rsidR="00FC5E1E" w:rsidRDefault="00FC5E1E" w:rsidP="00FC5E1E">
      <w:pPr>
        <w:rPr>
          <w:rtl/>
        </w:rPr>
      </w:pPr>
    </w:p>
    <w:p w14:paraId="06418273" w14:textId="77777777" w:rsidR="00FC5E1E" w:rsidRDefault="00FC5E1E" w:rsidP="00FC5E1E">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1A363AF0" w14:textId="77777777" w:rsidR="00FC5E1E" w:rsidRPr="00FC5E1E" w:rsidRDefault="00FC5E1E" w:rsidP="00FC5E1E">
      <w:pPr>
        <w:jc w:val="center"/>
        <w:rPr>
          <w:color w:val="0000FF"/>
          <w:u w:val="single"/>
        </w:rPr>
      </w:pPr>
    </w:p>
    <w:sectPr w:rsidR="00FC5E1E" w:rsidRPr="00FC5E1E" w:rsidSect="00FC5E1E">
      <w:headerReference w:type="even" r:id="rId49"/>
      <w:headerReference w:type="default" r:id="rId50"/>
      <w:footerReference w:type="even" r:id="rId51"/>
      <w:footerReference w:type="default" r:id="rId52"/>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8040B" w14:textId="77777777" w:rsidR="009C59F4" w:rsidRDefault="009C59F4" w:rsidP="006D54C2">
      <w:r>
        <w:separator/>
      </w:r>
    </w:p>
  </w:endnote>
  <w:endnote w:type="continuationSeparator" w:id="0">
    <w:p w14:paraId="49266697" w14:textId="77777777" w:rsidR="009C59F4" w:rsidRDefault="009C59F4" w:rsidP="006D5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A9691" w14:textId="77777777" w:rsidR="00FC5E1E" w:rsidRDefault="00FC5E1E" w:rsidP="00FC5E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7CF142A" w14:textId="77777777" w:rsidR="00E92673" w:rsidRPr="00FC5E1E" w:rsidRDefault="00FC5E1E" w:rsidP="00FC5E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EA41B" w14:textId="77777777" w:rsidR="00FC5E1E" w:rsidRDefault="00FC5E1E" w:rsidP="00FC5E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1353">
      <w:rPr>
        <w:rFonts w:ascii="FrankRuehl" w:hAnsi="FrankRuehl" w:cs="FrankRuehl"/>
        <w:noProof/>
        <w:rtl/>
      </w:rPr>
      <w:t>1</w:t>
    </w:r>
    <w:r>
      <w:rPr>
        <w:rFonts w:ascii="FrankRuehl" w:hAnsi="FrankRuehl" w:cs="FrankRuehl"/>
        <w:rtl/>
      </w:rPr>
      <w:fldChar w:fldCharType="end"/>
    </w:r>
  </w:p>
  <w:p w14:paraId="3F0A9CB7" w14:textId="77777777" w:rsidR="00E92673" w:rsidRPr="00FC5E1E" w:rsidRDefault="00FC5E1E" w:rsidP="00FC5E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2065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88C1C" w14:textId="77777777" w:rsidR="009C59F4" w:rsidRDefault="009C59F4" w:rsidP="006D54C2">
      <w:r>
        <w:separator/>
      </w:r>
    </w:p>
  </w:footnote>
  <w:footnote w:type="continuationSeparator" w:id="0">
    <w:p w14:paraId="4E0BAED9" w14:textId="77777777" w:rsidR="009C59F4" w:rsidRDefault="009C59F4" w:rsidP="006D5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3D6D2" w14:textId="77777777" w:rsidR="00FC5E1E" w:rsidRPr="00FC5E1E" w:rsidRDefault="00FC5E1E" w:rsidP="00FC5E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26702-01-23</w:t>
    </w:r>
    <w:r>
      <w:rPr>
        <w:rFonts w:ascii="David" w:hAnsi="David"/>
        <w:color w:val="000000"/>
        <w:sz w:val="22"/>
        <w:szCs w:val="22"/>
        <w:rtl/>
      </w:rPr>
      <w:tab/>
      <w:t xml:space="preserve"> מדינת ישראל נ' מוחמד אבו עסבה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88F6A" w14:textId="77777777" w:rsidR="00FC5E1E" w:rsidRPr="00FC5E1E" w:rsidRDefault="00FC5E1E" w:rsidP="00FC5E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26702-01-23</w:t>
    </w:r>
    <w:r>
      <w:rPr>
        <w:rFonts w:ascii="David" w:hAnsi="David"/>
        <w:color w:val="000000"/>
        <w:sz w:val="22"/>
        <w:szCs w:val="22"/>
        <w:rtl/>
      </w:rPr>
      <w:tab/>
      <w:t xml:space="preserve"> מדינת ישראל נ' מוחמד אבו עסבה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B198C29A"/>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29676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3D19"/>
    <w:rsid w:val="001B5A3B"/>
    <w:rsid w:val="00343D19"/>
    <w:rsid w:val="003F33E0"/>
    <w:rsid w:val="004716C7"/>
    <w:rsid w:val="00561BB7"/>
    <w:rsid w:val="005920D5"/>
    <w:rsid w:val="005D1353"/>
    <w:rsid w:val="006D54C2"/>
    <w:rsid w:val="009C59F4"/>
    <w:rsid w:val="00E92673"/>
    <w:rsid w:val="00FC5E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CBA345"/>
  <w15:chartTrackingRefBased/>
  <w15:docId w15:val="{5A3E49DF-4DF4-4539-8810-97176ADD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3D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3D19"/>
    <w:pPr>
      <w:tabs>
        <w:tab w:val="center" w:pos="4153"/>
        <w:tab w:val="right" w:pos="8306"/>
      </w:tabs>
    </w:pPr>
  </w:style>
  <w:style w:type="character" w:customStyle="1" w:styleId="a4">
    <w:name w:val="כותרת עליונה תו"/>
    <w:link w:val="a3"/>
    <w:rsid w:val="00343D19"/>
    <w:rPr>
      <w:rFonts w:ascii="Times New Roman" w:eastAsia="Times New Roman" w:hAnsi="Times New Roman" w:cs="David"/>
      <w:sz w:val="24"/>
      <w:szCs w:val="24"/>
    </w:rPr>
  </w:style>
  <w:style w:type="paragraph" w:styleId="a5">
    <w:name w:val="footer"/>
    <w:basedOn w:val="a"/>
    <w:link w:val="a6"/>
    <w:rsid w:val="00343D19"/>
    <w:pPr>
      <w:tabs>
        <w:tab w:val="center" w:pos="4153"/>
        <w:tab w:val="right" w:pos="8306"/>
      </w:tabs>
    </w:pPr>
  </w:style>
  <w:style w:type="character" w:customStyle="1" w:styleId="a6">
    <w:name w:val="כותרת תחתונה תו"/>
    <w:link w:val="a5"/>
    <w:rsid w:val="00343D19"/>
    <w:rPr>
      <w:rFonts w:ascii="Times New Roman" w:eastAsia="Times New Roman" w:hAnsi="Times New Roman" w:cs="David"/>
      <w:sz w:val="24"/>
      <w:szCs w:val="24"/>
    </w:rPr>
  </w:style>
  <w:style w:type="table" w:styleId="a7">
    <w:name w:val="Table Grid"/>
    <w:basedOn w:val="a1"/>
    <w:rsid w:val="00343D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3D19"/>
  </w:style>
  <w:style w:type="paragraph" w:styleId="a9">
    <w:name w:val="List Paragraph"/>
    <w:basedOn w:val="a"/>
    <w:qFormat/>
    <w:rsid w:val="00343D19"/>
    <w:pPr>
      <w:ind w:left="720"/>
      <w:contextualSpacing/>
    </w:pPr>
  </w:style>
  <w:style w:type="character" w:styleId="Hyperlink">
    <w:name w:val="Hyperlink"/>
    <w:rsid w:val="00343D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5824863" TargetMode="External"/><Relationship Id="rId39" Type="http://schemas.openxmlformats.org/officeDocument/2006/relationships/hyperlink" Target="http://www.nevo.co.il/case/27292055" TargetMode="External"/><Relationship Id="rId21" Type="http://schemas.openxmlformats.org/officeDocument/2006/relationships/hyperlink" Target="http://www.nevo.co.il/case/5920165" TargetMode="External"/><Relationship Id="rId34" Type="http://schemas.openxmlformats.org/officeDocument/2006/relationships/hyperlink" Target="http://www.nevo.co.il/case/6950458" TargetMode="External"/><Relationship Id="rId42" Type="http://schemas.openxmlformats.org/officeDocument/2006/relationships/hyperlink" Target="http://www.nevo.co.il/case/29090003" TargetMode="External"/><Relationship Id="rId47" Type="http://schemas.openxmlformats.org/officeDocument/2006/relationships/hyperlink" Target="http://www.eca.gov.il"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35.a.1" TargetMode="External"/><Relationship Id="rId24" Type="http://schemas.openxmlformats.org/officeDocument/2006/relationships/hyperlink" Target="http://www.nevo.co.il/case/5573417" TargetMode="External"/><Relationship Id="rId32" Type="http://schemas.openxmlformats.org/officeDocument/2006/relationships/hyperlink" Target="http://www.nevo.co.il/case/26913995" TargetMode="External"/><Relationship Id="rId37" Type="http://schemas.openxmlformats.org/officeDocument/2006/relationships/hyperlink" Target="http://www.nevo.co.il/case/25528733" TargetMode="External"/><Relationship Id="rId40" Type="http://schemas.openxmlformats.org/officeDocument/2006/relationships/hyperlink" Target="http://www.nevo.co.il/case/18092637" TargetMode="External"/><Relationship Id="rId45" Type="http://schemas.openxmlformats.org/officeDocument/2006/relationships/hyperlink" Target="http://www.nevo.co.il/law/7030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333" TargetMode="External"/><Relationship Id="rId19" Type="http://schemas.openxmlformats.org/officeDocument/2006/relationships/hyperlink" Target="http://www.nevo.co.il/law/70301/40a" TargetMode="External"/><Relationship Id="rId31" Type="http://schemas.openxmlformats.org/officeDocument/2006/relationships/hyperlink" Target="http://www.nevo.co.il/case/6034921" TargetMode="External"/><Relationship Id="rId44" Type="http://schemas.openxmlformats.org/officeDocument/2006/relationships/hyperlink" Target="http://www.nevo.co.il/case/28096675"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case/5833799" TargetMode="External"/><Relationship Id="rId27" Type="http://schemas.openxmlformats.org/officeDocument/2006/relationships/hyperlink" Target="http://www.nevo.co.il/case/27894608" TargetMode="External"/><Relationship Id="rId30" Type="http://schemas.openxmlformats.org/officeDocument/2006/relationships/hyperlink" Target="http://www.nevo.co.il/case/5601503" TargetMode="External"/><Relationship Id="rId35" Type="http://schemas.openxmlformats.org/officeDocument/2006/relationships/hyperlink" Target="http://www.nevo.co.il/case/25824863" TargetMode="External"/><Relationship Id="rId43" Type="http://schemas.openxmlformats.org/officeDocument/2006/relationships/hyperlink" Target="http://www.nevo.co.il/case/27933514"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0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fCa1S"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25546727" TargetMode="External"/><Relationship Id="rId46" Type="http://schemas.openxmlformats.org/officeDocument/2006/relationships/hyperlink" Target="http://www.nevo.co.il/case/28883087" TargetMode="External"/><Relationship Id="rId20" Type="http://schemas.openxmlformats.org/officeDocument/2006/relationships/hyperlink" Target="http://www.nevo.co.il/case/17947529" TargetMode="External"/><Relationship Id="rId41" Type="http://schemas.openxmlformats.org/officeDocument/2006/relationships/hyperlink" Target="http://www.nevo.co.il/case/20118388"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1055809" TargetMode="External"/><Relationship Id="rId28" Type="http://schemas.openxmlformats.org/officeDocument/2006/relationships/hyperlink" Target="http://www.nevo.co.il/case/28152132" TargetMode="External"/><Relationship Id="rId36" Type="http://schemas.openxmlformats.org/officeDocument/2006/relationships/hyperlink" Target="http://www.nevo.co.il/case/25824897"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4206</Words>
  <Characters>21033</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25189</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7864368</vt:i4>
      </vt:variant>
      <vt:variant>
        <vt:i4>120</vt:i4>
      </vt:variant>
      <vt:variant>
        <vt:i4>0</vt:i4>
      </vt:variant>
      <vt:variant>
        <vt:i4>5</vt:i4>
      </vt:variant>
      <vt:variant>
        <vt:lpwstr>http://www.eca.gov.il/</vt:lpwstr>
      </vt:variant>
      <vt:variant>
        <vt:lpwstr/>
      </vt:variant>
      <vt:variant>
        <vt:i4>3211380</vt:i4>
      </vt:variant>
      <vt:variant>
        <vt:i4>117</vt:i4>
      </vt:variant>
      <vt:variant>
        <vt:i4>0</vt:i4>
      </vt:variant>
      <vt:variant>
        <vt:i4>5</vt:i4>
      </vt:variant>
      <vt:variant>
        <vt:lpwstr>http://www.nevo.co.il/case/28883087</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3342451</vt:i4>
      </vt:variant>
      <vt:variant>
        <vt:i4>111</vt:i4>
      </vt:variant>
      <vt:variant>
        <vt:i4>0</vt:i4>
      </vt:variant>
      <vt:variant>
        <vt:i4>5</vt:i4>
      </vt:variant>
      <vt:variant>
        <vt:lpwstr>http://www.nevo.co.il/case/28096675</vt:lpwstr>
      </vt:variant>
      <vt:variant>
        <vt:lpwstr/>
      </vt:variant>
      <vt:variant>
        <vt:i4>3735669</vt:i4>
      </vt:variant>
      <vt:variant>
        <vt:i4>108</vt:i4>
      </vt:variant>
      <vt:variant>
        <vt:i4>0</vt:i4>
      </vt:variant>
      <vt:variant>
        <vt:i4>5</vt:i4>
      </vt:variant>
      <vt:variant>
        <vt:lpwstr>http://www.nevo.co.il/case/27933514</vt:lpwstr>
      </vt:variant>
      <vt:variant>
        <vt:lpwstr/>
      </vt:variant>
      <vt:variant>
        <vt:i4>3276916</vt:i4>
      </vt:variant>
      <vt:variant>
        <vt:i4>105</vt:i4>
      </vt:variant>
      <vt:variant>
        <vt:i4>0</vt:i4>
      </vt:variant>
      <vt:variant>
        <vt:i4>5</vt:i4>
      </vt:variant>
      <vt:variant>
        <vt:lpwstr>http://www.nevo.co.il/case/29090003</vt:lpwstr>
      </vt:variant>
      <vt:variant>
        <vt:lpwstr/>
      </vt:variant>
      <vt:variant>
        <vt:i4>3342454</vt:i4>
      </vt:variant>
      <vt:variant>
        <vt:i4>102</vt:i4>
      </vt:variant>
      <vt:variant>
        <vt:i4>0</vt:i4>
      </vt:variant>
      <vt:variant>
        <vt:i4>5</vt:i4>
      </vt:variant>
      <vt:variant>
        <vt:lpwstr>http://www.nevo.co.il/case/20118388</vt:lpwstr>
      </vt:variant>
      <vt:variant>
        <vt:lpwstr/>
      </vt:variant>
      <vt:variant>
        <vt:i4>3145843</vt:i4>
      </vt:variant>
      <vt:variant>
        <vt:i4>99</vt:i4>
      </vt:variant>
      <vt:variant>
        <vt:i4>0</vt:i4>
      </vt:variant>
      <vt:variant>
        <vt:i4>5</vt:i4>
      </vt:variant>
      <vt:variant>
        <vt:lpwstr>http://www.nevo.co.il/case/18092637</vt:lpwstr>
      </vt:variant>
      <vt:variant>
        <vt:lpwstr/>
      </vt:variant>
      <vt:variant>
        <vt:i4>3604602</vt:i4>
      </vt:variant>
      <vt:variant>
        <vt:i4>96</vt:i4>
      </vt:variant>
      <vt:variant>
        <vt:i4>0</vt:i4>
      </vt:variant>
      <vt:variant>
        <vt:i4>5</vt:i4>
      </vt:variant>
      <vt:variant>
        <vt:lpwstr>http://www.nevo.co.il/case/27292055</vt:lpwstr>
      </vt:variant>
      <vt:variant>
        <vt:lpwstr/>
      </vt:variant>
      <vt:variant>
        <vt:i4>3342450</vt:i4>
      </vt:variant>
      <vt:variant>
        <vt:i4>93</vt:i4>
      </vt:variant>
      <vt:variant>
        <vt:i4>0</vt:i4>
      </vt:variant>
      <vt:variant>
        <vt:i4>5</vt:i4>
      </vt:variant>
      <vt:variant>
        <vt:lpwstr>http://www.nevo.co.il/case/25546727</vt:lpwstr>
      </vt:variant>
      <vt:variant>
        <vt:lpwstr/>
      </vt:variant>
      <vt:variant>
        <vt:i4>3932276</vt:i4>
      </vt:variant>
      <vt:variant>
        <vt:i4>90</vt:i4>
      </vt:variant>
      <vt:variant>
        <vt:i4>0</vt:i4>
      </vt:variant>
      <vt:variant>
        <vt:i4>5</vt:i4>
      </vt:variant>
      <vt:variant>
        <vt:lpwstr>http://www.nevo.co.il/case/25528733</vt:lpwstr>
      </vt:variant>
      <vt:variant>
        <vt:lpwstr/>
      </vt:variant>
      <vt:variant>
        <vt:i4>3604603</vt:i4>
      </vt:variant>
      <vt:variant>
        <vt:i4>87</vt:i4>
      </vt:variant>
      <vt:variant>
        <vt:i4>0</vt:i4>
      </vt:variant>
      <vt:variant>
        <vt:i4>5</vt:i4>
      </vt:variant>
      <vt:variant>
        <vt:lpwstr>http://www.nevo.co.il/case/25824897</vt:lpwstr>
      </vt:variant>
      <vt:variant>
        <vt:lpwstr/>
      </vt:variant>
      <vt:variant>
        <vt:i4>3670139</vt:i4>
      </vt:variant>
      <vt:variant>
        <vt:i4>84</vt:i4>
      </vt:variant>
      <vt:variant>
        <vt:i4>0</vt:i4>
      </vt:variant>
      <vt:variant>
        <vt:i4>5</vt:i4>
      </vt:variant>
      <vt:variant>
        <vt:lpwstr>http://www.nevo.co.il/case/25824863</vt:lpwstr>
      </vt:variant>
      <vt:variant>
        <vt:lpwstr/>
      </vt:variant>
      <vt:variant>
        <vt:i4>4128888</vt:i4>
      </vt:variant>
      <vt:variant>
        <vt:i4>81</vt:i4>
      </vt:variant>
      <vt:variant>
        <vt:i4>0</vt:i4>
      </vt:variant>
      <vt:variant>
        <vt:i4>5</vt:i4>
      </vt:variant>
      <vt:variant>
        <vt:lpwstr>http://www.nevo.co.il/case/6950458</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3211386</vt:i4>
      </vt:variant>
      <vt:variant>
        <vt:i4>75</vt:i4>
      </vt:variant>
      <vt:variant>
        <vt:i4>0</vt:i4>
      </vt:variant>
      <vt:variant>
        <vt:i4>5</vt:i4>
      </vt:variant>
      <vt:variant>
        <vt:lpwstr>http://www.nevo.co.il/case/26913995</vt:lpwstr>
      </vt:variant>
      <vt:variant>
        <vt:lpwstr/>
      </vt:variant>
      <vt:variant>
        <vt:i4>3997810</vt:i4>
      </vt:variant>
      <vt:variant>
        <vt:i4>72</vt:i4>
      </vt:variant>
      <vt:variant>
        <vt:i4>0</vt:i4>
      </vt:variant>
      <vt:variant>
        <vt:i4>5</vt:i4>
      </vt:variant>
      <vt:variant>
        <vt:lpwstr>http://www.nevo.co.il/case/6034921</vt:lpwstr>
      </vt:variant>
      <vt:variant>
        <vt:lpwstr/>
      </vt:variant>
      <vt:variant>
        <vt:i4>3342451</vt:i4>
      </vt:variant>
      <vt:variant>
        <vt:i4>69</vt:i4>
      </vt:variant>
      <vt:variant>
        <vt:i4>0</vt:i4>
      </vt:variant>
      <vt:variant>
        <vt:i4>5</vt:i4>
      </vt:variant>
      <vt:variant>
        <vt:lpwstr>http://www.nevo.co.il/case/5601503</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3276920</vt:i4>
      </vt:variant>
      <vt:variant>
        <vt:i4>63</vt:i4>
      </vt:variant>
      <vt:variant>
        <vt:i4>0</vt:i4>
      </vt:variant>
      <vt:variant>
        <vt:i4>5</vt:i4>
      </vt:variant>
      <vt:variant>
        <vt:lpwstr>http://www.nevo.co.il/case/28152132</vt:lpwstr>
      </vt:variant>
      <vt:variant>
        <vt:lpwstr/>
      </vt:variant>
      <vt:variant>
        <vt:i4>4063356</vt:i4>
      </vt:variant>
      <vt:variant>
        <vt:i4>60</vt:i4>
      </vt:variant>
      <vt:variant>
        <vt:i4>0</vt:i4>
      </vt:variant>
      <vt:variant>
        <vt:i4>5</vt:i4>
      </vt:variant>
      <vt:variant>
        <vt:lpwstr>http://www.nevo.co.il/case/27894608</vt:lpwstr>
      </vt:variant>
      <vt:variant>
        <vt:lpwstr/>
      </vt:variant>
      <vt:variant>
        <vt:i4>3670139</vt:i4>
      </vt:variant>
      <vt:variant>
        <vt:i4>57</vt:i4>
      </vt:variant>
      <vt:variant>
        <vt:i4>0</vt:i4>
      </vt:variant>
      <vt:variant>
        <vt:i4>5</vt:i4>
      </vt:variant>
      <vt:variant>
        <vt:lpwstr>http://www.nevo.co.il/case/25824863</vt:lpwstr>
      </vt:variant>
      <vt:variant>
        <vt:lpwstr/>
      </vt:variant>
      <vt:variant>
        <vt:i4>7995492</vt:i4>
      </vt:variant>
      <vt:variant>
        <vt:i4>54</vt:i4>
      </vt:variant>
      <vt:variant>
        <vt:i4>0</vt:i4>
      </vt:variant>
      <vt:variant>
        <vt:i4>5</vt:i4>
      </vt:variant>
      <vt:variant>
        <vt:lpwstr>http://www.nevo.co.il/law/70301</vt:lpwstr>
      </vt:variant>
      <vt:variant>
        <vt:lpwstr/>
      </vt:variant>
      <vt:variant>
        <vt:i4>3211379</vt:i4>
      </vt:variant>
      <vt:variant>
        <vt:i4>51</vt:i4>
      </vt:variant>
      <vt:variant>
        <vt:i4>0</vt:i4>
      </vt:variant>
      <vt:variant>
        <vt:i4>5</vt:i4>
      </vt:variant>
      <vt:variant>
        <vt:lpwstr>http://www.nevo.co.il/case/5573417</vt:lpwstr>
      </vt:variant>
      <vt:variant>
        <vt:lpwstr/>
      </vt:variant>
      <vt:variant>
        <vt:i4>3604600</vt:i4>
      </vt:variant>
      <vt:variant>
        <vt:i4>48</vt:i4>
      </vt:variant>
      <vt:variant>
        <vt:i4>0</vt:i4>
      </vt:variant>
      <vt:variant>
        <vt:i4>5</vt:i4>
      </vt:variant>
      <vt:variant>
        <vt:lpwstr>http://www.nevo.co.il/case/21055809</vt:lpwstr>
      </vt:variant>
      <vt:variant>
        <vt:lpwstr/>
      </vt:variant>
      <vt:variant>
        <vt:i4>3670134</vt:i4>
      </vt:variant>
      <vt:variant>
        <vt:i4>45</vt:i4>
      </vt:variant>
      <vt:variant>
        <vt:i4>0</vt:i4>
      </vt:variant>
      <vt:variant>
        <vt:i4>5</vt:i4>
      </vt:variant>
      <vt:variant>
        <vt:lpwstr>http://www.nevo.co.il/case/5833799</vt:lpwstr>
      </vt:variant>
      <vt:variant>
        <vt:lpwstr/>
      </vt:variant>
      <vt:variant>
        <vt:i4>3342459</vt:i4>
      </vt:variant>
      <vt:variant>
        <vt:i4>42</vt:i4>
      </vt:variant>
      <vt:variant>
        <vt:i4>0</vt:i4>
      </vt:variant>
      <vt:variant>
        <vt:i4>5</vt:i4>
      </vt:variant>
      <vt:variant>
        <vt:lpwstr>http://www.nevo.co.il/case/5920165</vt:lpwstr>
      </vt:variant>
      <vt:variant>
        <vt:lpwstr/>
      </vt:variant>
      <vt:variant>
        <vt:i4>3997810</vt:i4>
      </vt:variant>
      <vt:variant>
        <vt:i4>39</vt:i4>
      </vt:variant>
      <vt:variant>
        <vt:i4>0</vt:i4>
      </vt:variant>
      <vt:variant>
        <vt:i4>5</vt:i4>
      </vt:variant>
      <vt:variant>
        <vt:lpwstr>http://www.nevo.co.il/case/17947529</vt:lpwstr>
      </vt:variant>
      <vt:variant>
        <vt:lpwstr/>
      </vt:variant>
      <vt:variant>
        <vt:i4>6619233</vt:i4>
      </vt:variant>
      <vt:variant>
        <vt:i4>36</vt:i4>
      </vt:variant>
      <vt:variant>
        <vt:i4>0</vt:i4>
      </vt:variant>
      <vt:variant>
        <vt:i4>5</vt:i4>
      </vt:variant>
      <vt:variant>
        <vt:lpwstr>http://www.nevo.co.il/law/70301/40a</vt:lpwstr>
      </vt:variant>
      <vt:variant>
        <vt:lpwstr/>
      </vt:variant>
      <vt:variant>
        <vt:i4>7995492</vt:i4>
      </vt:variant>
      <vt:variant>
        <vt:i4>33</vt:i4>
      </vt:variant>
      <vt:variant>
        <vt:i4>0</vt:i4>
      </vt:variant>
      <vt:variant>
        <vt:i4>5</vt:i4>
      </vt:variant>
      <vt:variant>
        <vt:lpwstr>http://www.nevo.co.il/law/70301</vt:lpwstr>
      </vt:variant>
      <vt:variant>
        <vt:lpwstr/>
      </vt:variant>
      <vt:variant>
        <vt:i4>458834</vt:i4>
      </vt:variant>
      <vt:variant>
        <vt:i4>30</vt:i4>
      </vt:variant>
      <vt:variant>
        <vt:i4>0</vt:i4>
      </vt:variant>
      <vt:variant>
        <vt:i4>5</vt:i4>
      </vt:variant>
      <vt:variant>
        <vt:lpwstr>http://www.nevo.co.il/law/70301/fCa1S</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458834</vt:i4>
      </vt:variant>
      <vt:variant>
        <vt:i4>15</vt:i4>
      </vt:variant>
      <vt:variant>
        <vt:i4>0</vt:i4>
      </vt:variant>
      <vt:variant>
        <vt:i4>5</vt:i4>
      </vt:variant>
      <vt:variant>
        <vt:lpwstr>http://www.nevo.co.il/law/70301/fCa1S</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http://www.nevo.co.il/law/70301/333</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2025-01-19T16:58:00Z</dcterms:created>
  <dcterms:modified xsi:type="dcterms:W3CDTF">2025-01-19T16:58:00Z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26702</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אבו עסבה</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20240214</vt:lpwstr>
  </property>
  <property fmtid="{D5CDD505-2E9C-101B-9397-08002B2CF9AE}" pid="13" name="TYPE_N_DATE">
    <vt:lpwstr>39020240214</vt:lpwstr>
  </property>
  <property fmtid="{D5CDD505-2E9C-101B-9397-08002B2CF9AE}" pid="14" name="CASESLISTTMP1">
    <vt:lpwstr>17947529;5920165;5833799;21055809;5573417;25824863:2;27894608;28152132;5601503;6034921;26913995;6473037;6950458;25824897;25528733;25546727;27292055;18092637;20118388;29090003;27933514;28096675;28883087</vt:lpwstr>
  </property>
  <property fmtid="{D5CDD505-2E9C-101B-9397-08002B2CF9AE}" pid="15" name="CASENOTES1">
    <vt:lpwstr>ProcID=133;209&amp;PartA=1530&amp;PartC=04</vt:lpwstr>
  </property>
  <property fmtid="{D5CDD505-2E9C-101B-9397-08002B2CF9AE}" pid="16" name="WORDNUMPAGES">
    <vt:lpwstr>9</vt:lpwstr>
  </property>
  <property fmtid="{D5CDD505-2E9C-101B-9397-08002B2CF9AE}" pid="17" name="TYPE_ABS_DATE">
    <vt:lpwstr>390020240214</vt:lpwstr>
  </property>
  <property fmtid="{D5CDD505-2E9C-101B-9397-08002B2CF9AE}" pid="18" name="ISABSTRACT">
    <vt:lpwstr>Y</vt:lpwstr>
  </property>
  <property fmtid="{D5CDD505-2E9C-101B-9397-08002B2CF9AE}" pid="19" name="LAWLISTTMP1">
    <vt:lpwstr>70301/333;335.a.1;144.b;fCa1S;040a</vt:lpwstr>
  </property>
</Properties>
</file>