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70714" w:rsidRPr="00785FC9" w14:paraId="0C92E90D" w14:textId="77777777" w:rsidTr="008E2FF7">
        <w:trPr>
          <w:trHeight w:hRule="exact" w:val="418"/>
          <w:jc w:val="center"/>
        </w:trPr>
        <w:tc>
          <w:tcPr>
            <w:tcW w:w="8721" w:type="dxa"/>
            <w:gridSpan w:val="2"/>
          </w:tcPr>
          <w:p w14:paraId="539B6C34" w14:textId="77777777" w:rsidR="00070714" w:rsidRPr="00785FC9" w:rsidRDefault="00070714" w:rsidP="00FE5DAA">
            <w:pPr>
              <w:pStyle w:val="a3"/>
              <w:jc w:val="center"/>
              <w:rPr>
                <w:rFonts w:ascii="Tahoma" w:hAnsi="Tahoma" w:cs="Tahoma"/>
                <w:color w:val="000080"/>
                <w:rtl/>
              </w:rPr>
            </w:pPr>
            <w:bookmarkStart w:id="0" w:name="LastJudge"/>
            <w:r w:rsidRPr="00785FC9">
              <w:rPr>
                <w:rFonts w:ascii="Tahoma" w:hAnsi="Tahoma" w:cs="Tahoma"/>
                <w:b/>
                <w:bCs/>
                <w:color w:val="000080"/>
                <w:rtl/>
              </w:rPr>
              <w:t>בית המשפט המחוזי בבאר שבע</w:t>
            </w:r>
          </w:p>
        </w:tc>
      </w:tr>
      <w:tr w:rsidR="00070714" w:rsidRPr="00785FC9" w14:paraId="59466653" w14:textId="77777777" w:rsidTr="008E2FF7">
        <w:trPr>
          <w:trHeight w:val="337"/>
          <w:jc w:val="center"/>
        </w:trPr>
        <w:tc>
          <w:tcPr>
            <w:tcW w:w="5058" w:type="dxa"/>
          </w:tcPr>
          <w:p w14:paraId="7B03493F" w14:textId="77777777" w:rsidR="00070714" w:rsidRPr="00785FC9" w:rsidRDefault="00070714" w:rsidP="00FE5DAA">
            <w:pPr>
              <w:rPr>
                <w:rFonts w:cs="FrankRuehl"/>
                <w:sz w:val="28"/>
                <w:szCs w:val="28"/>
                <w:rtl/>
              </w:rPr>
            </w:pPr>
            <w:r w:rsidRPr="00785FC9">
              <w:rPr>
                <w:rFonts w:cs="FrankRuehl"/>
                <w:sz w:val="28"/>
                <w:szCs w:val="28"/>
                <w:rtl/>
              </w:rPr>
              <w:t>ת"פ</w:t>
            </w:r>
            <w:r w:rsidRPr="00785FC9">
              <w:rPr>
                <w:rFonts w:cs="FrankRuehl" w:hint="cs"/>
                <w:sz w:val="28"/>
                <w:szCs w:val="28"/>
                <w:rtl/>
              </w:rPr>
              <w:t xml:space="preserve"> </w:t>
            </w:r>
            <w:r w:rsidRPr="00785FC9">
              <w:rPr>
                <w:rFonts w:cs="FrankRuehl"/>
                <w:sz w:val="28"/>
                <w:szCs w:val="28"/>
                <w:rtl/>
              </w:rPr>
              <w:t>31821-01-23</w:t>
            </w:r>
            <w:r w:rsidRPr="00785FC9">
              <w:rPr>
                <w:rFonts w:cs="FrankRuehl" w:hint="cs"/>
                <w:sz w:val="28"/>
                <w:szCs w:val="28"/>
                <w:rtl/>
              </w:rPr>
              <w:t xml:space="preserve"> </w:t>
            </w:r>
            <w:r w:rsidRPr="00785FC9">
              <w:rPr>
                <w:rFonts w:cs="FrankRuehl"/>
                <w:sz w:val="28"/>
                <w:szCs w:val="28"/>
                <w:rtl/>
              </w:rPr>
              <w:t>מדינת ישראל נ' שאול(עציר)</w:t>
            </w:r>
          </w:p>
          <w:p w14:paraId="481DF890" w14:textId="77777777" w:rsidR="00070714" w:rsidRPr="00785FC9" w:rsidRDefault="00070714" w:rsidP="00FE5DAA">
            <w:pPr>
              <w:pStyle w:val="a3"/>
              <w:rPr>
                <w:rFonts w:cs="FrankRuehl"/>
                <w:sz w:val="28"/>
                <w:szCs w:val="28"/>
                <w:rtl/>
              </w:rPr>
            </w:pPr>
          </w:p>
        </w:tc>
        <w:tc>
          <w:tcPr>
            <w:tcW w:w="3663" w:type="dxa"/>
          </w:tcPr>
          <w:p w14:paraId="40D57DC3" w14:textId="77777777" w:rsidR="00070714" w:rsidRPr="00785FC9" w:rsidRDefault="00070714" w:rsidP="00FE5DAA">
            <w:pPr>
              <w:pStyle w:val="a3"/>
              <w:jc w:val="right"/>
              <w:rPr>
                <w:rFonts w:cs="FrankRuehl"/>
                <w:sz w:val="28"/>
                <w:szCs w:val="28"/>
                <w:rtl/>
              </w:rPr>
            </w:pPr>
          </w:p>
        </w:tc>
      </w:tr>
    </w:tbl>
    <w:p w14:paraId="7CD058BD" w14:textId="77777777" w:rsidR="00070714" w:rsidRPr="00785FC9" w:rsidRDefault="00070714" w:rsidP="00070714">
      <w:pPr>
        <w:pStyle w:val="a3"/>
        <w:rPr>
          <w:rtl/>
        </w:rPr>
      </w:pPr>
      <w:r w:rsidRPr="00785FC9">
        <w:rPr>
          <w:rFonts w:hint="cs"/>
          <w:rtl/>
        </w:rPr>
        <w:t xml:space="preserve"> </w:t>
      </w:r>
    </w:p>
    <w:p w14:paraId="5FE93BA7" w14:textId="77777777" w:rsidR="00070714" w:rsidRPr="00785FC9" w:rsidRDefault="00070714" w:rsidP="00070714">
      <w:pPr>
        <w:rPr>
          <w:sz w:val="26"/>
          <w:szCs w:val="26"/>
          <w:rtl/>
        </w:rPr>
      </w:pPr>
    </w:p>
    <w:p w14:paraId="11A24C37" w14:textId="77777777" w:rsidR="00070714" w:rsidRPr="00785FC9" w:rsidRDefault="00070714" w:rsidP="00070714">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70714" w:rsidRPr="00785FC9" w14:paraId="7DCB8878" w14:textId="77777777" w:rsidTr="00070714">
        <w:trPr>
          <w:trHeight w:val="295"/>
          <w:jc w:val="center"/>
        </w:trPr>
        <w:tc>
          <w:tcPr>
            <w:tcW w:w="923" w:type="dxa"/>
            <w:tcBorders>
              <w:top w:val="nil"/>
              <w:left w:val="nil"/>
              <w:bottom w:val="nil"/>
              <w:right w:val="nil"/>
            </w:tcBorders>
            <w:shd w:val="clear" w:color="auto" w:fill="auto"/>
          </w:tcPr>
          <w:p w14:paraId="1A528597" w14:textId="77777777" w:rsidR="00070714" w:rsidRPr="00785FC9" w:rsidRDefault="00070714" w:rsidP="00070714">
            <w:pPr>
              <w:jc w:val="both"/>
              <w:rPr>
                <w:rFonts w:ascii="David" w:hAnsi="David"/>
                <w:sz w:val="26"/>
                <w:szCs w:val="26"/>
              </w:rPr>
            </w:pPr>
            <w:r w:rsidRPr="00785FC9">
              <w:rPr>
                <w:rFonts w:ascii="David" w:hAnsi="David" w:hint="cs"/>
                <w:sz w:val="26"/>
                <w:szCs w:val="26"/>
                <w:rtl/>
              </w:rPr>
              <w:t>ל</w:t>
            </w:r>
            <w:r w:rsidRPr="00785FC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ADBC0C1" w14:textId="77777777" w:rsidR="00070714" w:rsidRPr="00785FC9" w:rsidRDefault="00070714" w:rsidP="00FE5DAA">
            <w:pPr>
              <w:rPr>
                <w:rFonts w:ascii="David" w:hAnsi="David"/>
                <w:b/>
                <w:bCs/>
                <w:sz w:val="26"/>
                <w:szCs w:val="26"/>
                <w:rtl/>
              </w:rPr>
            </w:pPr>
            <w:r w:rsidRPr="00785FC9">
              <w:rPr>
                <w:rFonts w:ascii="David" w:hAnsi="David"/>
                <w:b/>
                <w:bCs/>
                <w:sz w:val="26"/>
                <w:szCs w:val="26"/>
                <w:rtl/>
              </w:rPr>
              <w:t>כבוד השופט  אלון גביזון</w:t>
            </w:r>
          </w:p>
          <w:p w14:paraId="0B7E9039" w14:textId="77777777" w:rsidR="00070714" w:rsidRPr="00785FC9" w:rsidRDefault="00070714" w:rsidP="00FE5DAA">
            <w:pPr>
              <w:rPr>
                <w:rFonts w:ascii="David" w:hAnsi="David"/>
                <w:sz w:val="26"/>
                <w:szCs w:val="26"/>
                <w:rtl/>
              </w:rPr>
            </w:pPr>
          </w:p>
          <w:p w14:paraId="116F8199" w14:textId="77777777" w:rsidR="00070714" w:rsidRPr="00785FC9" w:rsidRDefault="00070714" w:rsidP="00070714">
            <w:pPr>
              <w:jc w:val="both"/>
              <w:rPr>
                <w:rFonts w:ascii="David" w:hAnsi="David"/>
                <w:sz w:val="26"/>
                <w:szCs w:val="26"/>
              </w:rPr>
            </w:pPr>
          </w:p>
        </w:tc>
      </w:tr>
      <w:tr w:rsidR="00070714" w:rsidRPr="00785FC9" w14:paraId="6FF70C98" w14:textId="77777777" w:rsidTr="00070714">
        <w:trPr>
          <w:trHeight w:val="355"/>
          <w:jc w:val="center"/>
        </w:trPr>
        <w:tc>
          <w:tcPr>
            <w:tcW w:w="923" w:type="dxa"/>
            <w:tcBorders>
              <w:top w:val="nil"/>
              <w:left w:val="nil"/>
              <w:bottom w:val="nil"/>
              <w:right w:val="nil"/>
            </w:tcBorders>
            <w:shd w:val="clear" w:color="auto" w:fill="auto"/>
          </w:tcPr>
          <w:p w14:paraId="043F6526" w14:textId="77777777" w:rsidR="00070714" w:rsidRPr="00785FC9" w:rsidRDefault="00070714" w:rsidP="00070714">
            <w:pPr>
              <w:jc w:val="both"/>
              <w:rPr>
                <w:rFonts w:ascii="David" w:hAnsi="David"/>
                <w:sz w:val="26"/>
                <w:szCs w:val="26"/>
              </w:rPr>
            </w:pPr>
            <w:bookmarkStart w:id="1" w:name="FirstAppellant"/>
            <w:bookmarkStart w:id="2" w:name="FirstLawyer"/>
            <w:r w:rsidRPr="00785FC9">
              <w:rPr>
                <w:rFonts w:ascii="David" w:hAnsi="David"/>
                <w:sz w:val="26"/>
                <w:szCs w:val="26"/>
                <w:rtl/>
              </w:rPr>
              <w:t>בעניין:</w:t>
            </w:r>
          </w:p>
        </w:tc>
        <w:tc>
          <w:tcPr>
            <w:tcW w:w="3219" w:type="dxa"/>
            <w:tcBorders>
              <w:top w:val="nil"/>
              <w:left w:val="nil"/>
              <w:bottom w:val="nil"/>
              <w:right w:val="nil"/>
            </w:tcBorders>
            <w:shd w:val="clear" w:color="auto" w:fill="auto"/>
          </w:tcPr>
          <w:p w14:paraId="0F181888" w14:textId="77777777" w:rsidR="00070714" w:rsidRPr="00785FC9" w:rsidRDefault="00070714" w:rsidP="00070714">
            <w:pPr>
              <w:suppressLineNumbers/>
            </w:pPr>
            <w:r w:rsidRPr="00785FC9">
              <w:rPr>
                <w:rFonts w:ascii="Arial" w:hAnsi="Arial" w:hint="cs"/>
                <w:b/>
                <w:bCs/>
                <w:sz w:val="26"/>
                <w:szCs w:val="26"/>
                <w:rtl/>
              </w:rPr>
              <w:t>ה</w:t>
            </w:r>
            <w:r w:rsidRPr="00785FC9">
              <w:rPr>
                <w:rFonts w:ascii="Arial" w:hAnsi="Arial"/>
                <w:b/>
                <w:bCs/>
                <w:sz w:val="26"/>
                <w:szCs w:val="26"/>
                <w:rtl/>
              </w:rPr>
              <w:t>מאשימה</w:t>
            </w:r>
          </w:p>
          <w:p w14:paraId="2A71D5F3" w14:textId="77777777" w:rsidR="00070714" w:rsidRPr="00785FC9" w:rsidRDefault="00070714" w:rsidP="00FE5DAA">
            <w:pPr>
              <w:rPr>
                <w:rFonts w:ascii="David" w:hAnsi="David"/>
                <w:sz w:val="26"/>
                <w:szCs w:val="26"/>
              </w:rPr>
            </w:pPr>
          </w:p>
        </w:tc>
        <w:tc>
          <w:tcPr>
            <w:tcW w:w="4678" w:type="dxa"/>
            <w:tcBorders>
              <w:top w:val="nil"/>
              <w:left w:val="nil"/>
              <w:bottom w:val="nil"/>
              <w:right w:val="nil"/>
            </w:tcBorders>
            <w:shd w:val="clear" w:color="auto" w:fill="auto"/>
            <w:vAlign w:val="center"/>
          </w:tcPr>
          <w:p w14:paraId="6C299C1F" w14:textId="77777777" w:rsidR="00070714" w:rsidRPr="00785FC9" w:rsidRDefault="00070714" w:rsidP="00070714">
            <w:pPr>
              <w:suppressLineNumbers/>
              <w:rPr>
                <w:rFonts w:ascii="Arial" w:hAnsi="Arial"/>
                <w:b/>
                <w:bCs/>
                <w:sz w:val="26"/>
                <w:szCs w:val="26"/>
                <w:rtl/>
              </w:rPr>
            </w:pPr>
            <w:r w:rsidRPr="00785FC9">
              <w:rPr>
                <w:rFonts w:ascii="Arial" w:hAnsi="Arial"/>
                <w:b/>
                <w:bCs/>
                <w:sz w:val="26"/>
                <w:szCs w:val="26"/>
                <w:rtl/>
              </w:rPr>
              <w:t>מדינת ישראל</w:t>
            </w:r>
            <w:r w:rsidRPr="00785FC9">
              <w:rPr>
                <w:rFonts w:ascii="Arial" w:hAnsi="Arial" w:hint="cs"/>
                <w:b/>
                <w:bCs/>
                <w:sz w:val="26"/>
                <w:szCs w:val="26"/>
                <w:rtl/>
              </w:rPr>
              <w:t xml:space="preserve"> </w:t>
            </w:r>
          </w:p>
          <w:p w14:paraId="13575118" w14:textId="77777777" w:rsidR="00070714" w:rsidRPr="00785FC9" w:rsidRDefault="00070714" w:rsidP="00070714">
            <w:pPr>
              <w:suppressLineNumbers/>
              <w:rPr>
                <w:b/>
                <w:bCs/>
              </w:rPr>
            </w:pPr>
            <w:r w:rsidRPr="00785FC9">
              <w:rPr>
                <w:rFonts w:ascii="Arial" w:hAnsi="Arial"/>
                <w:b/>
                <w:bCs/>
                <w:sz w:val="26"/>
                <w:szCs w:val="26"/>
                <w:rtl/>
              </w:rPr>
              <w:t>ע"י ב"כ עוה"ד</w:t>
            </w:r>
            <w:r w:rsidRPr="00785FC9">
              <w:rPr>
                <w:rFonts w:ascii="Arial" w:hAnsi="Arial" w:hint="cs"/>
                <w:b/>
                <w:bCs/>
                <w:sz w:val="26"/>
                <w:szCs w:val="26"/>
                <w:rtl/>
              </w:rPr>
              <w:t xml:space="preserve"> </w:t>
            </w:r>
            <w:r w:rsidRPr="00785FC9">
              <w:rPr>
                <w:rFonts w:hint="cs"/>
                <w:b/>
                <w:bCs/>
                <w:rtl/>
              </w:rPr>
              <w:t xml:space="preserve">עמית חומרי </w:t>
            </w:r>
          </w:p>
          <w:p w14:paraId="17CEB4B4" w14:textId="77777777" w:rsidR="00070714" w:rsidRPr="00785FC9" w:rsidRDefault="00070714" w:rsidP="00FE5DAA">
            <w:pPr>
              <w:rPr>
                <w:rFonts w:ascii="David" w:hAnsi="David"/>
                <w:sz w:val="26"/>
                <w:szCs w:val="26"/>
              </w:rPr>
            </w:pPr>
          </w:p>
        </w:tc>
      </w:tr>
      <w:bookmarkEnd w:id="1"/>
      <w:bookmarkEnd w:id="2"/>
      <w:tr w:rsidR="00070714" w:rsidRPr="00785FC9" w14:paraId="1D2B6EF5" w14:textId="77777777" w:rsidTr="00070714">
        <w:trPr>
          <w:trHeight w:val="355"/>
          <w:jc w:val="center"/>
        </w:trPr>
        <w:tc>
          <w:tcPr>
            <w:tcW w:w="923" w:type="dxa"/>
            <w:tcBorders>
              <w:top w:val="nil"/>
              <w:left w:val="nil"/>
              <w:bottom w:val="nil"/>
              <w:right w:val="nil"/>
            </w:tcBorders>
            <w:shd w:val="clear" w:color="auto" w:fill="auto"/>
          </w:tcPr>
          <w:p w14:paraId="73AB0DB0" w14:textId="77777777" w:rsidR="00070714" w:rsidRPr="00785FC9" w:rsidRDefault="00070714" w:rsidP="0007071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4391D7D" w14:textId="77777777" w:rsidR="00070714" w:rsidRPr="00785FC9" w:rsidRDefault="00070714" w:rsidP="00070714">
            <w:pPr>
              <w:jc w:val="center"/>
              <w:rPr>
                <w:rFonts w:ascii="David" w:hAnsi="David"/>
                <w:b/>
                <w:bCs/>
                <w:sz w:val="26"/>
                <w:szCs w:val="26"/>
                <w:rtl/>
              </w:rPr>
            </w:pPr>
          </w:p>
          <w:p w14:paraId="1E2D0454" w14:textId="77777777" w:rsidR="00070714" w:rsidRPr="00785FC9" w:rsidRDefault="00070714" w:rsidP="00070714">
            <w:pPr>
              <w:jc w:val="center"/>
              <w:rPr>
                <w:rFonts w:ascii="David" w:hAnsi="David"/>
                <w:b/>
                <w:bCs/>
                <w:sz w:val="26"/>
                <w:szCs w:val="26"/>
                <w:rtl/>
              </w:rPr>
            </w:pPr>
            <w:r w:rsidRPr="00785FC9">
              <w:rPr>
                <w:rFonts w:ascii="David" w:hAnsi="David"/>
                <w:b/>
                <w:bCs/>
                <w:sz w:val="26"/>
                <w:szCs w:val="26"/>
                <w:rtl/>
              </w:rPr>
              <w:t>נגד</w:t>
            </w:r>
          </w:p>
          <w:p w14:paraId="400BBBAB" w14:textId="77777777" w:rsidR="00070714" w:rsidRPr="00785FC9" w:rsidRDefault="00070714" w:rsidP="00070714">
            <w:pPr>
              <w:jc w:val="both"/>
              <w:rPr>
                <w:rFonts w:ascii="David" w:hAnsi="David"/>
                <w:sz w:val="26"/>
                <w:szCs w:val="26"/>
              </w:rPr>
            </w:pPr>
          </w:p>
        </w:tc>
      </w:tr>
      <w:tr w:rsidR="00070714" w:rsidRPr="00785FC9" w14:paraId="2CC9B143" w14:textId="77777777" w:rsidTr="00070714">
        <w:trPr>
          <w:trHeight w:val="355"/>
          <w:jc w:val="center"/>
        </w:trPr>
        <w:tc>
          <w:tcPr>
            <w:tcW w:w="923" w:type="dxa"/>
            <w:tcBorders>
              <w:top w:val="nil"/>
              <w:left w:val="nil"/>
              <w:bottom w:val="nil"/>
              <w:right w:val="nil"/>
            </w:tcBorders>
            <w:shd w:val="clear" w:color="auto" w:fill="auto"/>
          </w:tcPr>
          <w:p w14:paraId="264C6CB2" w14:textId="77777777" w:rsidR="00070714" w:rsidRPr="00785FC9" w:rsidRDefault="00070714" w:rsidP="00FE5DAA">
            <w:pPr>
              <w:rPr>
                <w:rFonts w:ascii="David" w:hAnsi="David"/>
                <w:sz w:val="26"/>
                <w:szCs w:val="26"/>
                <w:rtl/>
              </w:rPr>
            </w:pPr>
          </w:p>
        </w:tc>
        <w:tc>
          <w:tcPr>
            <w:tcW w:w="3219" w:type="dxa"/>
            <w:tcBorders>
              <w:top w:val="nil"/>
              <w:left w:val="nil"/>
              <w:bottom w:val="nil"/>
              <w:right w:val="nil"/>
            </w:tcBorders>
            <w:shd w:val="clear" w:color="auto" w:fill="auto"/>
          </w:tcPr>
          <w:p w14:paraId="5CF2AB46" w14:textId="77777777" w:rsidR="00070714" w:rsidRPr="00785FC9" w:rsidRDefault="00070714" w:rsidP="00FE5DAA">
            <w:pPr>
              <w:rPr>
                <w:rFonts w:ascii="Arial" w:hAnsi="Arial"/>
                <w:b/>
                <w:bCs/>
                <w:sz w:val="26"/>
                <w:szCs w:val="26"/>
                <w:rtl/>
              </w:rPr>
            </w:pPr>
            <w:r w:rsidRPr="00785FC9">
              <w:rPr>
                <w:rFonts w:ascii="Arial" w:hAnsi="Arial"/>
                <w:b/>
                <w:bCs/>
                <w:sz w:val="26"/>
                <w:szCs w:val="26"/>
                <w:rtl/>
              </w:rPr>
              <w:t>הנא</w:t>
            </w:r>
            <w:r w:rsidRPr="00785FC9">
              <w:rPr>
                <w:rFonts w:ascii="Arial" w:hAnsi="Arial" w:hint="cs"/>
                <w:b/>
                <w:bCs/>
                <w:sz w:val="26"/>
                <w:szCs w:val="26"/>
                <w:rtl/>
              </w:rPr>
              <w:t>ש</w:t>
            </w:r>
            <w:r w:rsidRPr="00785FC9">
              <w:rPr>
                <w:rFonts w:ascii="Arial" w:hAnsi="Arial"/>
                <w:b/>
                <w:bCs/>
                <w:sz w:val="26"/>
                <w:szCs w:val="26"/>
                <w:rtl/>
              </w:rPr>
              <w:t>ם</w:t>
            </w:r>
          </w:p>
        </w:tc>
        <w:tc>
          <w:tcPr>
            <w:tcW w:w="4678" w:type="dxa"/>
            <w:tcBorders>
              <w:top w:val="nil"/>
              <w:left w:val="nil"/>
              <w:bottom w:val="nil"/>
              <w:right w:val="nil"/>
            </w:tcBorders>
            <w:shd w:val="clear" w:color="auto" w:fill="auto"/>
            <w:vAlign w:val="center"/>
          </w:tcPr>
          <w:p w14:paraId="64A188A0" w14:textId="77777777" w:rsidR="00070714" w:rsidRPr="00785FC9" w:rsidRDefault="00070714" w:rsidP="00070714">
            <w:pPr>
              <w:suppressLineNumbers/>
            </w:pPr>
            <w:r w:rsidRPr="00785FC9">
              <w:rPr>
                <w:rFonts w:ascii="Arial" w:hAnsi="Arial"/>
                <w:b/>
                <w:bCs/>
                <w:sz w:val="26"/>
                <w:szCs w:val="26"/>
                <w:rtl/>
              </w:rPr>
              <w:t>שלו שאול (עציר)</w:t>
            </w:r>
            <w:r w:rsidRPr="00785FC9">
              <w:rPr>
                <w:rFonts w:ascii="Arial" w:hAnsi="Arial"/>
                <w:b/>
                <w:bCs/>
                <w:sz w:val="26"/>
                <w:szCs w:val="26"/>
                <w:rtl/>
              </w:rPr>
              <w:br/>
            </w:r>
            <w:r w:rsidRPr="00785FC9">
              <w:rPr>
                <w:rFonts w:ascii="Arial" w:hAnsi="Arial" w:hint="cs"/>
                <w:b/>
                <w:bCs/>
                <w:sz w:val="26"/>
                <w:szCs w:val="26"/>
                <w:rtl/>
              </w:rPr>
              <w:t xml:space="preserve"> </w:t>
            </w:r>
            <w:r w:rsidRPr="00785FC9">
              <w:rPr>
                <w:rFonts w:ascii="Arial" w:hAnsi="Arial"/>
                <w:b/>
                <w:bCs/>
                <w:sz w:val="26"/>
                <w:szCs w:val="26"/>
                <w:rtl/>
              </w:rPr>
              <w:t>ע"י ב"כ עוה"ד</w:t>
            </w:r>
            <w:r w:rsidRPr="00785FC9">
              <w:rPr>
                <w:rFonts w:hint="cs"/>
                <w:b/>
                <w:bCs/>
                <w:rtl/>
              </w:rPr>
              <w:t xml:space="preserve"> יפעת דאי </w:t>
            </w:r>
          </w:p>
          <w:p w14:paraId="2403470E" w14:textId="77777777" w:rsidR="00070714" w:rsidRPr="00785FC9" w:rsidRDefault="00070714" w:rsidP="00FE5DAA">
            <w:pPr>
              <w:rPr>
                <w:rFonts w:ascii="David" w:hAnsi="David"/>
                <w:sz w:val="26"/>
                <w:szCs w:val="26"/>
              </w:rPr>
            </w:pPr>
          </w:p>
        </w:tc>
      </w:tr>
    </w:tbl>
    <w:p w14:paraId="50A234A0" w14:textId="77777777" w:rsidR="00785FC9" w:rsidRPr="00785FC9" w:rsidRDefault="00785FC9" w:rsidP="00785FC9">
      <w:pPr>
        <w:spacing w:before="120" w:after="120" w:line="240" w:lineRule="exact"/>
        <w:ind w:left="283" w:hanging="283"/>
        <w:jc w:val="both"/>
        <w:rPr>
          <w:rFonts w:ascii="FrankRuehl" w:hAnsi="FrankRuehl" w:cs="FrankRuehl"/>
          <w:rtl/>
        </w:rPr>
      </w:pPr>
    </w:p>
    <w:p w14:paraId="79C9BD6E" w14:textId="77777777" w:rsidR="00BA3DCD" w:rsidRPr="00BA3DCD" w:rsidRDefault="00BA3DCD" w:rsidP="00BA3DCD">
      <w:pPr>
        <w:spacing w:before="120" w:after="120" w:line="240" w:lineRule="exact"/>
        <w:ind w:left="283" w:hanging="283"/>
        <w:jc w:val="both"/>
        <w:rPr>
          <w:rFonts w:ascii="FrankRuehl" w:hAnsi="FrankRuehl" w:cs="FrankRuehl"/>
          <w:rtl/>
        </w:rPr>
      </w:pPr>
    </w:p>
    <w:p w14:paraId="4B7526F6" w14:textId="77777777" w:rsidR="006A428B" w:rsidRDefault="006A428B" w:rsidP="006A428B">
      <w:pPr>
        <w:rPr>
          <w:rtl/>
        </w:rPr>
      </w:pPr>
      <w:bookmarkStart w:id="3" w:name="LawTable"/>
      <w:bookmarkEnd w:id="3"/>
    </w:p>
    <w:p w14:paraId="68648AE6" w14:textId="77777777" w:rsidR="006A428B" w:rsidRPr="006A428B" w:rsidRDefault="006A428B" w:rsidP="006A428B">
      <w:pPr>
        <w:spacing w:before="120" w:after="120" w:line="240" w:lineRule="exact"/>
        <w:ind w:left="283" w:hanging="283"/>
        <w:jc w:val="both"/>
        <w:rPr>
          <w:rFonts w:ascii="FrankRuehl" w:hAnsi="FrankRuehl" w:cs="FrankRuehl"/>
          <w:rtl/>
        </w:rPr>
      </w:pPr>
    </w:p>
    <w:p w14:paraId="74318A18" w14:textId="77777777" w:rsidR="006A428B" w:rsidRPr="006A428B" w:rsidRDefault="006A428B" w:rsidP="006A428B">
      <w:pPr>
        <w:spacing w:before="120" w:after="120" w:line="240" w:lineRule="exact"/>
        <w:ind w:left="283" w:hanging="283"/>
        <w:jc w:val="both"/>
        <w:rPr>
          <w:rFonts w:ascii="FrankRuehl" w:hAnsi="FrankRuehl" w:cs="FrankRuehl"/>
          <w:rtl/>
        </w:rPr>
      </w:pPr>
    </w:p>
    <w:p w14:paraId="2B8BB42E" w14:textId="77777777" w:rsidR="006A428B" w:rsidRPr="006A428B" w:rsidRDefault="006A428B" w:rsidP="006A428B">
      <w:pPr>
        <w:spacing w:before="120" w:after="120" w:line="240" w:lineRule="exact"/>
        <w:ind w:left="283" w:hanging="283"/>
        <w:jc w:val="both"/>
        <w:rPr>
          <w:rFonts w:ascii="FrankRuehl" w:hAnsi="FrankRuehl" w:cs="FrankRuehl"/>
          <w:rtl/>
        </w:rPr>
      </w:pPr>
      <w:r w:rsidRPr="006A428B">
        <w:rPr>
          <w:rFonts w:ascii="FrankRuehl" w:hAnsi="FrankRuehl" w:cs="FrankRuehl"/>
          <w:rtl/>
        </w:rPr>
        <w:t xml:space="preserve">חקיקה שאוזכרה: </w:t>
      </w:r>
    </w:p>
    <w:p w14:paraId="298C0D1F" w14:textId="77777777" w:rsidR="006A428B" w:rsidRPr="006A428B" w:rsidRDefault="006A428B" w:rsidP="006A428B">
      <w:pPr>
        <w:spacing w:before="120" w:after="120" w:line="240" w:lineRule="exact"/>
        <w:ind w:left="283" w:hanging="283"/>
        <w:jc w:val="both"/>
        <w:rPr>
          <w:rFonts w:ascii="FrankRuehl" w:hAnsi="FrankRuehl" w:cs="FrankRuehl"/>
          <w:rtl/>
        </w:rPr>
      </w:pPr>
      <w:hyperlink r:id="rId6" w:history="1">
        <w:r w:rsidRPr="006A428B">
          <w:rPr>
            <w:rFonts w:ascii="FrankRuehl" w:hAnsi="FrankRuehl" w:cs="FrankRuehl"/>
            <w:color w:val="0000FF"/>
            <w:rtl/>
          </w:rPr>
          <w:t>חוק העונשין, תשל"ז-1977</w:t>
        </w:r>
      </w:hyperlink>
      <w:r w:rsidRPr="006A428B">
        <w:rPr>
          <w:rFonts w:ascii="FrankRuehl" w:hAnsi="FrankRuehl" w:cs="FrankRuehl"/>
          <w:rtl/>
        </w:rPr>
        <w:t xml:space="preserve">: סע'  </w:t>
      </w:r>
      <w:hyperlink r:id="rId7" w:history="1">
        <w:r w:rsidRPr="006A428B">
          <w:rPr>
            <w:rFonts w:ascii="FrankRuehl" w:hAnsi="FrankRuehl" w:cs="FrankRuehl"/>
            <w:color w:val="0000FF"/>
            <w:rtl/>
          </w:rPr>
          <w:t>144</w:t>
        </w:r>
      </w:hyperlink>
      <w:r w:rsidRPr="006A428B">
        <w:rPr>
          <w:rFonts w:ascii="FrankRuehl" w:hAnsi="FrankRuehl" w:cs="FrankRuehl"/>
          <w:rtl/>
        </w:rPr>
        <w:t xml:space="preserve">, </w:t>
      </w:r>
      <w:hyperlink r:id="rId8" w:history="1">
        <w:r w:rsidRPr="006A428B">
          <w:rPr>
            <w:rFonts w:ascii="FrankRuehl" w:hAnsi="FrankRuehl" w:cs="FrankRuehl"/>
            <w:color w:val="0000FF"/>
            <w:rtl/>
          </w:rPr>
          <w:t>144(ב)</w:t>
        </w:r>
      </w:hyperlink>
    </w:p>
    <w:p w14:paraId="7CE031E1" w14:textId="77777777" w:rsidR="006A428B" w:rsidRPr="006A428B" w:rsidRDefault="006A428B" w:rsidP="006A428B">
      <w:pPr>
        <w:rPr>
          <w:rtl/>
        </w:rPr>
      </w:pPr>
      <w:bookmarkStart w:id="4" w:name="LawTable_End"/>
      <w:bookmarkEnd w:id="4"/>
    </w:p>
    <w:p w14:paraId="3FE679DA" w14:textId="77777777" w:rsidR="00070714" w:rsidRPr="00BA3DCD" w:rsidRDefault="00070714" w:rsidP="00BA3DC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0714" w14:paraId="12552831" w14:textId="77777777" w:rsidTr="00070714">
        <w:trPr>
          <w:trHeight w:val="355"/>
          <w:jc w:val="center"/>
        </w:trPr>
        <w:tc>
          <w:tcPr>
            <w:tcW w:w="8820" w:type="dxa"/>
            <w:tcBorders>
              <w:top w:val="nil"/>
              <w:left w:val="nil"/>
              <w:bottom w:val="nil"/>
              <w:right w:val="nil"/>
            </w:tcBorders>
            <w:shd w:val="clear" w:color="auto" w:fill="auto"/>
          </w:tcPr>
          <w:p w14:paraId="07DD7671" w14:textId="77777777" w:rsidR="00785FC9" w:rsidRPr="00785FC9" w:rsidRDefault="00785FC9" w:rsidP="00785FC9">
            <w:pPr>
              <w:jc w:val="center"/>
              <w:rPr>
                <w:rFonts w:ascii="David" w:hAnsi="David"/>
                <w:b/>
                <w:bCs/>
                <w:sz w:val="32"/>
                <w:szCs w:val="32"/>
                <w:u w:val="single"/>
                <w:rtl/>
              </w:rPr>
            </w:pPr>
            <w:bookmarkStart w:id="5" w:name="PsakDin" w:colFirst="0" w:colLast="0"/>
            <w:bookmarkEnd w:id="0"/>
            <w:r w:rsidRPr="00785FC9">
              <w:rPr>
                <w:rFonts w:ascii="David" w:hAnsi="David"/>
                <w:b/>
                <w:bCs/>
                <w:sz w:val="32"/>
                <w:szCs w:val="32"/>
                <w:u w:val="single"/>
                <w:rtl/>
              </w:rPr>
              <w:t>גזר דין</w:t>
            </w:r>
          </w:p>
          <w:p w14:paraId="56158326" w14:textId="77777777" w:rsidR="00070714" w:rsidRPr="00785FC9" w:rsidRDefault="00070714" w:rsidP="00785FC9">
            <w:pPr>
              <w:jc w:val="center"/>
              <w:rPr>
                <w:rFonts w:ascii="David" w:hAnsi="David"/>
                <w:bCs/>
                <w:sz w:val="32"/>
                <w:szCs w:val="32"/>
                <w:u w:val="single"/>
                <w:rtl/>
              </w:rPr>
            </w:pPr>
          </w:p>
        </w:tc>
      </w:tr>
      <w:bookmarkEnd w:id="5"/>
    </w:tbl>
    <w:p w14:paraId="67F39C0B" w14:textId="77777777" w:rsidR="00070714" w:rsidRDefault="00070714" w:rsidP="00070714">
      <w:pPr>
        <w:rPr>
          <w:rtl/>
        </w:rPr>
      </w:pPr>
    </w:p>
    <w:p w14:paraId="07B62D56" w14:textId="77777777" w:rsidR="00070714" w:rsidRDefault="00070714" w:rsidP="00070714"/>
    <w:p w14:paraId="72F5FFD3" w14:textId="77777777" w:rsidR="00070714" w:rsidRDefault="00070714" w:rsidP="00070714">
      <w:pPr>
        <w:spacing w:line="360" w:lineRule="auto"/>
        <w:ind w:left="720" w:hanging="720"/>
        <w:jc w:val="both"/>
        <w:rPr>
          <w:b/>
          <w:bCs/>
          <w:sz w:val="6"/>
          <w:szCs w:val="6"/>
          <w:rtl/>
        </w:rPr>
      </w:pPr>
      <w:r>
        <w:rPr>
          <w:rFonts w:hint="cs"/>
          <w:b/>
          <w:bCs/>
          <w:rtl/>
        </w:rPr>
        <w:t>1</w:t>
      </w:r>
      <w:r>
        <w:rPr>
          <w:b/>
          <w:bCs/>
          <w:rtl/>
        </w:rPr>
        <w:t>.</w:t>
      </w:r>
      <w:r>
        <w:rPr>
          <w:b/>
          <w:bCs/>
          <w:rtl/>
        </w:rPr>
        <w:tab/>
        <w:t xml:space="preserve">הנאשם הורשע על יסוד הודאתו במסגרת הסדר טיעון, בכתב האישום מתוקן, בעבירות בנשק (נשיאה והובלה) – עבירה לפי </w:t>
      </w:r>
      <w:hyperlink r:id="rId9" w:history="1">
        <w:r w:rsidR="008E2FF7" w:rsidRPr="008E2FF7">
          <w:rPr>
            <w:rStyle w:val="Hyperlink"/>
            <w:b/>
            <w:bCs/>
            <w:rtl/>
          </w:rPr>
          <w:t>סעיף 144(ב)</w:t>
        </w:r>
      </w:hyperlink>
      <w:r>
        <w:rPr>
          <w:b/>
          <w:bCs/>
          <w:rtl/>
        </w:rPr>
        <w:t xml:space="preserve"> ל</w:t>
      </w:r>
      <w:hyperlink r:id="rId10" w:history="1">
        <w:r w:rsidR="00785FC9" w:rsidRPr="00785FC9">
          <w:rPr>
            <w:b/>
            <w:bCs/>
            <w:color w:val="0000FF"/>
            <w:u w:val="single"/>
            <w:rtl/>
          </w:rPr>
          <w:t>חוק העונשין</w:t>
        </w:r>
      </w:hyperlink>
      <w:r>
        <w:rPr>
          <w:b/>
          <w:bCs/>
          <w:rtl/>
        </w:rPr>
        <w:t>, התשל"ז – 1977.</w:t>
      </w:r>
    </w:p>
    <w:p w14:paraId="62643BB5" w14:textId="77777777" w:rsidR="00070714" w:rsidRDefault="00070714" w:rsidP="00070714">
      <w:pPr>
        <w:spacing w:line="360" w:lineRule="auto"/>
        <w:ind w:left="720" w:hanging="720"/>
        <w:jc w:val="both"/>
        <w:rPr>
          <w:rtl/>
        </w:rPr>
      </w:pPr>
    </w:p>
    <w:p w14:paraId="3A538AE9" w14:textId="77777777" w:rsidR="00070714" w:rsidRDefault="00070714" w:rsidP="00070714">
      <w:pPr>
        <w:spacing w:line="360" w:lineRule="auto"/>
        <w:jc w:val="both"/>
        <w:rPr>
          <w:rFonts w:ascii="David" w:hAnsi="David"/>
          <w:b/>
          <w:bCs/>
          <w:rtl/>
        </w:rPr>
      </w:pPr>
      <w:r>
        <w:rPr>
          <w:rFonts w:ascii="David" w:hAnsi="David"/>
          <w:b/>
          <w:bCs/>
          <w:rtl/>
        </w:rPr>
        <w:t>כתב האישום והסדר הטיעון :</w:t>
      </w:r>
    </w:p>
    <w:p w14:paraId="3204E5A9" w14:textId="77777777" w:rsidR="00070714" w:rsidRDefault="00070714" w:rsidP="00070714">
      <w:pPr>
        <w:spacing w:line="360" w:lineRule="auto"/>
        <w:ind w:firstLine="360"/>
        <w:jc w:val="both"/>
        <w:rPr>
          <w:rFonts w:ascii="David" w:hAnsi="David"/>
          <w:rtl/>
        </w:rPr>
      </w:pPr>
    </w:p>
    <w:p w14:paraId="00EB5625" w14:textId="77777777" w:rsidR="00070714" w:rsidRDefault="00070714" w:rsidP="00070714">
      <w:pPr>
        <w:spacing w:line="360" w:lineRule="auto"/>
        <w:ind w:left="720" w:hanging="720"/>
        <w:jc w:val="both"/>
        <w:rPr>
          <w:rtl/>
        </w:rPr>
      </w:pPr>
      <w:r>
        <w:rPr>
          <w:rtl/>
        </w:rPr>
        <w:t>2.</w:t>
      </w:r>
      <w:r>
        <w:rPr>
          <w:rtl/>
        </w:rPr>
        <w:tab/>
        <w:t>על-</w:t>
      </w:r>
      <w:bookmarkStart w:id="6" w:name="ABSTRACT_START"/>
      <w:bookmarkEnd w:id="6"/>
      <w:r>
        <w:rPr>
          <w:rtl/>
        </w:rPr>
        <w:t>פי  עובדות כתב האישום המתוקן בו הודה הנאשם "לבנת חבלה מספר 10/נפיץ" נמצאת בשימוש צה"ל. היא מכילה חומר נפץ מרסק מסוג ציקלוניט (</w:t>
      </w:r>
      <w:r>
        <w:t>RDX</w:t>
      </w:r>
      <w:r>
        <w:rPr>
          <w:rtl/>
        </w:rPr>
        <w:t xml:space="preserve">) ובכוחה להמית אדם בעת התפוצצותה </w:t>
      </w:r>
      <w:bookmarkStart w:id="7" w:name="ABSTRACT_END"/>
      <w:bookmarkEnd w:id="7"/>
      <w:r>
        <w:rPr>
          <w:rtl/>
        </w:rPr>
        <w:t xml:space="preserve">(להלן: </w:t>
      </w:r>
      <w:r>
        <w:rPr>
          <w:b/>
          <w:bCs/>
          <w:rtl/>
        </w:rPr>
        <w:t>"לבנת החבלה"</w:t>
      </w:r>
      <w:r>
        <w:rPr>
          <w:rtl/>
        </w:rPr>
        <w:t xml:space="preserve">). </w:t>
      </w:r>
    </w:p>
    <w:p w14:paraId="5F54836F" w14:textId="77777777" w:rsidR="00070714" w:rsidRDefault="00070714" w:rsidP="00070714">
      <w:pPr>
        <w:spacing w:line="360" w:lineRule="auto"/>
        <w:ind w:left="720" w:hanging="720"/>
        <w:jc w:val="both"/>
        <w:rPr>
          <w:rtl/>
        </w:rPr>
      </w:pPr>
    </w:p>
    <w:p w14:paraId="484329CB" w14:textId="77777777" w:rsidR="00070714" w:rsidRDefault="00070714" w:rsidP="00070714">
      <w:pPr>
        <w:spacing w:line="360" w:lineRule="auto"/>
        <w:ind w:left="720" w:hanging="720"/>
        <w:jc w:val="both"/>
        <w:rPr>
          <w:rtl/>
        </w:rPr>
      </w:pPr>
      <w:r>
        <w:rPr>
          <w:rtl/>
        </w:rPr>
        <w:lastRenderedPageBreak/>
        <w:tab/>
        <w:t>שמי סול בנימין (להלן:</w:t>
      </w:r>
      <w:r>
        <w:rPr>
          <w:b/>
          <w:bCs/>
          <w:rtl/>
        </w:rPr>
        <w:t xml:space="preserve"> "סול"</w:t>
      </w:r>
      <w:r>
        <w:rPr>
          <w:rtl/>
        </w:rPr>
        <w:t>) הוא חייל בשירות סדיר בצה"ל ובמועדים הרלוונטיים לכתב האישום שירת סול בהנדסה קרבית.</w:t>
      </w:r>
    </w:p>
    <w:p w14:paraId="53A72856" w14:textId="77777777" w:rsidR="00070714" w:rsidRDefault="00070714" w:rsidP="00070714">
      <w:pPr>
        <w:spacing w:line="360" w:lineRule="auto"/>
        <w:ind w:left="720" w:hanging="720"/>
        <w:jc w:val="both"/>
        <w:rPr>
          <w:rtl/>
        </w:rPr>
      </w:pPr>
      <w:r>
        <w:rPr>
          <w:rtl/>
        </w:rPr>
        <w:tab/>
        <w:t xml:space="preserve">יניר עזרן (להלן: </w:t>
      </w:r>
      <w:r>
        <w:rPr>
          <w:b/>
          <w:bCs/>
          <w:rtl/>
        </w:rPr>
        <w:t>"יניר"</w:t>
      </w:r>
      <w:r>
        <w:rPr>
          <w:rtl/>
        </w:rPr>
        <w:t>) הוא חייל בשירות סדיר בצה"ל ובמועדים הרלוונטיים לכתב האישום שירת יניר בהנדסה קרבית.</w:t>
      </w:r>
    </w:p>
    <w:p w14:paraId="4EC3520B" w14:textId="77777777" w:rsidR="00070714" w:rsidRDefault="00070714" w:rsidP="00070714">
      <w:pPr>
        <w:spacing w:line="360" w:lineRule="auto"/>
        <w:ind w:left="720" w:hanging="720"/>
        <w:jc w:val="both"/>
        <w:rPr>
          <w:rtl/>
        </w:rPr>
      </w:pPr>
    </w:p>
    <w:p w14:paraId="362F51EE" w14:textId="77777777" w:rsidR="00070714" w:rsidRDefault="00070714" w:rsidP="00070714">
      <w:pPr>
        <w:spacing w:line="360" w:lineRule="auto"/>
        <w:ind w:left="720" w:hanging="720"/>
        <w:jc w:val="both"/>
        <w:rPr>
          <w:rtl/>
        </w:rPr>
      </w:pPr>
      <w:r>
        <w:rPr>
          <w:rtl/>
        </w:rPr>
        <w:tab/>
        <w:t>בין סול ליניר קיימת היכרות מוקדמת, משירותים בצה"ל.</w:t>
      </w:r>
    </w:p>
    <w:p w14:paraId="5066DA72" w14:textId="77777777" w:rsidR="00070714" w:rsidRDefault="00070714" w:rsidP="00070714">
      <w:pPr>
        <w:spacing w:line="360" w:lineRule="auto"/>
        <w:ind w:left="720" w:hanging="720"/>
        <w:jc w:val="both"/>
        <w:rPr>
          <w:rtl/>
        </w:rPr>
      </w:pPr>
      <w:r>
        <w:rPr>
          <w:rtl/>
        </w:rPr>
        <w:tab/>
        <w:t xml:space="preserve">הנאשם ויניר חברים. </w:t>
      </w:r>
    </w:p>
    <w:p w14:paraId="14D73018" w14:textId="77777777" w:rsidR="00070714" w:rsidRDefault="00070714" w:rsidP="00070714">
      <w:pPr>
        <w:spacing w:line="360" w:lineRule="auto"/>
        <w:ind w:left="720" w:hanging="720"/>
        <w:jc w:val="both"/>
        <w:rPr>
          <w:rtl/>
        </w:rPr>
      </w:pPr>
    </w:p>
    <w:p w14:paraId="1E5CB2AE" w14:textId="77777777" w:rsidR="00070714" w:rsidRDefault="00070714" w:rsidP="00070714">
      <w:pPr>
        <w:spacing w:line="360" w:lineRule="auto"/>
        <w:ind w:left="720" w:hanging="720"/>
        <w:jc w:val="both"/>
        <w:rPr>
          <w:rtl/>
        </w:rPr>
      </w:pPr>
      <w:r>
        <w:rPr>
          <w:rtl/>
        </w:rPr>
        <w:tab/>
        <w:t xml:space="preserve">במועד שאינו ידוע למאשימה כחודשיים לפני האירועים שיתוארו להלן, לקח סול ממטווח חבלה צה"לי, לבנת חבלה במשקל כ- 509.93 גרם שבכוחה להמית אדם בעת התפוצצותה. </w:t>
      </w:r>
    </w:p>
    <w:p w14:paraId="653F8C42" w14:textId="77777777" w:rsidR="00070714" w:rsidRDefault="00070714" w:rsidP="00070714">
      <w:pPr>
        <w:spacing w:line="360" w:lineRule="auto"/>
        <w:ind w:left="720" w:hanging="720"/>
        <w:jc w:val="both"/>
        <w:rPr>
          <w:rtl/>
        </w:rPr>
      </w:pPr>
    </w:p>
    <w:p w14:paraId="51F4B204" w14:textId="77777777" w:rsidR="00070714" w:rsidRDefault="00070714" w:rsidP="00070714">
      <w:pPr>
        <w:spacing w:line="360" w:lineRule="auto"/>
        <w:ind w:left="720" w:hanging="720"/>
        <w:jc w:val="both"/>
        <w:rPr>
          <w:rtl/>
        </w:rPr>
      </w:pPr>
      <w:r>
        <w:rPr>
          <w:rtl/>
        </w:rPr>
        <w:tab/>
        <w:t xml:space="preserve">בהמשך למתואר, במועד שאינו ידוע למאשימה ולפני האירועים שיתוארו להלן סיפר סול ליניר שברשותו לבנת החבלה ויניר סיפר זאת לנאשם,  שביקש מיניר לפנות אל סול ולרכוש עבור הנאשם את הלבנה. </w:t>
      </w:r>
    </w:p>
    <w:p w14:paraId="335E2ED4" w14:textId="77777777" w:rsidR="00070714" w:rsidRDefault="00070714" w:rsidP="00070714">
      <w:pPr>
        <w:spacing w:line="360" w:lineRule="auto"/>
        <w:ind w:left="720" w:hanging="720"/>
        <w:jc w:val="both"/>
        <w:rPr>
          <w:rtl/>
        </w:rPr>
      </w:pPr>
    </w:p>
    <w:p w14:paraId="3F3739A8" w14:textId="77777777" w:rsidR="00070714" w:rsidRDefault="00070714" w:rsidP="00070714">
      <w:pPr>
        <w:spacing w:line="360" w:lineRule="auto"/>
        <w:ind w:left="720" w:hanging="720"/>
        <w:jc w:val="both"/>
        <w:rPr>
          <w:rtl/>
        </w:rPr>
      </w:pPr>
      <w:r>
        <w:rPr>
          <w:rtl/>
        </w:rPr>
        <w:tab/>
        <w:t xml:space="preserve">ביום 11.12.2022 פנה הנאשם אל יניר שוב באמצעות הודעות בווטסאפ וביקש ממנו שיפנה אל סול ויברר עימו בכמה כסף ימכור לו את הלבנה. בהתאם לבקשת הנאשם, פנה יניר אל סול בהודעות בווטסאפ ואמר לו כי "שותפו" מעוניין לקנות את הלבנה תמורת 5000 ₪ והשניים קבעו מפגש ביום שישי, בו ימכור סול לנאשם את הלבנה. </w:t>
      </w:r>
    </w:p>
    <w:p w14:paraId="44ABB62D" w14:textId="77777777" w:rsidR="00070714" w:rsidRDefault="00070714" w:rsidP="00070714">
      <w:pPr>
        <w:spacing w:line="360" w:lineRule="auto"/>
        <w:ind w:left="720" w:hanging="720"/>
        <w:jc w:val="both"/>
        <w:rPr>
          <w:rtl/>
        </w:rPr>
      </w:pPr>
    </w:p>
    <w:p w14:paraId="0A78B584" w14:textId="77777777" w:rsidR="00070714" w:rsidRDefault="00070714" w:rsidP="00070714">
      <w:pPr>
        <w:spacing w:line="360" w:lineRule="auto"/>
        <w:ind w:left="720"/>
        <w:jc w:val="both"/>
        <w:rPr>
          <w:rtl/>
        </w:rPr>
      </w:pPr>
      <w:r>
        <w:rPr>
          <w:rtl/>
        </w:rPr>
        <w:t xml:space="preserve">ביום 20.12.2022 פנה הנאשם אל יניר בהודעות ווטסאפ ואמר לו שימסור לסול כי בשלב זה הוא לא מעונין לרכוש את הלבנה בסכום שנקבע והוא מבקש לדחות את העסקה בשבועיים שכן קיבל הצעה טובה יותר מאחרים. יניר העביר לסול בהודעת ווטסאפ את דברי הנאשם וזה אמר ליניר שהוא לחוץ על כסף ומוכן למכור את הלבנה בחצי מחיר ושיפנה שוב לנאשם. </w:t>
      </w:r>
    </w:p>
    <w:p w14:paraId="53D84246" w14:textId="77777777" w:rsidR="00070714" w:rsidRDefault="00070714" w:rsidP="00070714">
      <w:pPr>
        <w:spacing w:line="360" w:lineRule="auto"/>
        <w:ind w:left="720" w:hanging="720"/>
        <w:jc w:val="both"/>
        <w:rPr>
          <w:rtl/>
        </w:rPr>
      </w:pPr>
    </w:p>
    <w:p w14:paraId="2A734F8C" w14:textId="77777777" w:rsidR="00070714" w:rsidRDefault="00070714" w:rsidP="00070714">
      <w:pPr>
        <w:spacing w:line="360" w:lineRule="auto"/>
        <w:ind w:left="720" w:hanging="720"/>
        <w:jc w:val="both"/>
        <w:rPr>
          <w:rtl/>
        </w:rPr>
      </w:pPr>
      <w:r>
        <w:rPr>
          <w:rtl/>
        </w:rPr>
        <w:tab/>
        <w:t xml:space="preserve">יניר פנה לנאשם בהודעת ווטסאפ כפי שתואר לעיל, והנאשם השיב לו כי הוא מוכן לקנות את הלבנה ב- 2,000 ₪ שישלם במזומן.  סול הסכים וקבע עם יניר שעסקת מכירת הלבנה תהיה ביום 23.12.22. יניר עדכן את הנאשם בהודעת ווטסאפ וזה אישר את מועד העסקה וכי ידאג לכסף.  </w:t>
      </w:r>
    </w:p>
    <w:p w14:paraId="24BF78B7" w14:textId="77777777" w:rsidR="00070714" w:rsidRDefault="00070714" w:rsidP="00070714">
      <w:pPr>
        <w:spacing w:line="360" w:lineRule="auto"/>
        <w:ind w:left="720" w:hanging="720"/>
        <w:jc w:val="both"/>
        <w:rPr>
          <w:rtl/>
        </w:rPr>
      </w:pPr>
    </w:p>
    <w:p w14:paraId="6086C990" w14:textId="77777777" w:rsidR="00070714" w:rsidRDefault="00070714" w:rsidP="00070714">
      <w:pPr>
        <w:spacing w:line="360" w:lineRule="auto"/>
        <w:ind w:left="720" w:hanging="720"/>
        <w:jc w:val="both"/>
        <w:rPr>
          <w:rtl/>
        </w:rPr>
      </w:pPr>
      <w:r>
        <w:rPr>
          <w:rtl/>
        </w:rPr>
        <w:tab/>
        <w:t>ביום 22.12.2022 בשעה 21:19 או בסמוך לכך שוחחו סול ויניר בטלפון וסיכמו כי מכירת הלבנה תתרחש למחרת.</w:t>
      </w:r>
    </w:p>
    <w:p w14:paraId="2DEF8549" w14:textId="77777777" w:rsidR="00070714" w:rsidRDefault="00070714" w:rsidP="00070714">
      <w:pPr>
        <w:spacing w:line="360" w:lineRule="auto"/>
        <w:ind w:left="720" w:hanging="720"/>
        <w:jc w:val="both"/>
        <w:rPr>
          <w:rtl/>
        </w:rPr>
      </w:pPr>
    </w:p>
    <w:p w14:paraId="58D9118B" w14:textId="77777777" w:rsidR="00070714" w:rsidRDefault="00070714" w:rsidP="00070714">
      <w:pPr>
        <w:spacing w:line="360" w:lineRule="auto"/>
        <w:ind w:left="720" w:hanging="720"/>
        <w:jc w:val="both"/>
        <w:rPr>
          <w:rtl/>
        </w:rPr>
      </w:pPr>
      <w:r>
        <w:rPr>
          <w:rtl/>
        </w:rPr>
        <w:lastRenderedPageBreak/>
        <w:tab/>
        <w:t xml:space="preserve">למחרת, בשעה 11:38 או בסמוך לכך, שלח סול הודעת ווטסאפ ליניר ובו כתב לו שיפגוש אותו בתחנת אוטובוס שברחוב צה"ל/משה סנה בתל-אביב (להלן: </w:t>
      </w:r>
      <w:r>
        <w:rPr>
          <w:b/>
          <w:bCs/>
          <w:rtl/>
        </w:rPr>
        <w:t>"מקום המפגש"</w:t>
      </w:r>
      <w:r>
        <w:rPr>
          <w:rtl/>
        </w:rPr>
        <w:t xml:space="preserve">), על מנת להוציא את העסקה לפועל. </w:t>
      </w:r>
    </w:p>
    <w:p w14:paraId="1A82DB0A" w14:textId="77777777" w:rsidR="00070714" w:rsidRDefault="00070714" w:rsidP="00070714">
      <w:pPr>
        <w:spacing w:line="360" w:lineRule="auto"/>
        <w:ind w:left="720" w:hanging="720"/>
        <w:jc w:val="both"/>
        <w:rPr>
          <w:rtl/>
        </w:rPr>
      </w:pPr>
    </w:p>
    <w:p w14:paraId="2919C46F" w14:textId="77777777" w:rsidR="00070714" w:rsidRDefault="00070714" w:rsidP="00070714">
      <w:pPr>
        <w:spacing w:line="360" w:lineRule="auto"/>
        <w:ind w:left="720" w:hanging="720"/>
        <w:jc w:val="both"/>
        <w:rPr>
          <w:rtl/>
        </w:rPr>
      </w:pPr>
      <w:r>
        <w:rPr>
          <w:rtl/>
        </w:rPr>
        <w:tab/>
        <w:t xml:space="preserve">בשעה 12:06 או בסמוך לכך, נסעו הנאשם ויניר ברכב מסוג קיה פיקנטו מ.ר. 56-806-85 (להלן: </w:t>
      </w:r>
      <w:r>
        <w:rPr>
          <w:b/>
          <w:bCs/>
          <w:rtl/>
        </w:rPr>
        <w:t>"הקיה"</w:t>
      </w:r>
      <w:r>
        <w:rPr>
          <w:rtl/>
        </w:rPr>
        <w:t xml:space="preserve">) מאשקלון לתל-אביב. </w:t>
      </w:r>
    </w:p>
    <w:p w14:paraId="5C9199D5" w14:textId="77777777" w:rsidR="00070714" w:rsidRDefault="00070714" w:rsidP="00070714">
      <w:pPr>
        <w:spacing w:line="360" w:lineRule="auto"/>
        <w:ind w:left="720" w:hanging="720"/>
        <w:jc w:val="both"/>
        <w:rPr>
          <w:rtl/>
        </w:rPr>
      </w:pPr>
    </w:p>
    <w:p w14:paraId="58C77378" w14:textId="77777777" w:rsidR="00070714" w:rsidRDefault="00070714" w:rsidP="00070714">
      <w:pPr>
        <w:spacing w:line="360" w:lineRule="auto"/>
        <w:ind w:left="720" w:hanging="720"/>
        <w:jc w:val="both"/>
        <w:rPr>
          <w:rtl/>
        </w:rPr>
      </w:pPr>
      <w:r>
        <w:rPr>
          <w:rtl/>
        </w:rPr>
        <w:tab/>
        <w:t>בטרם יציאתם מאשקלון, בשעה 11:40 או בסמוך לכך, משך הנאשם סך של 2,100 ₪ במזומן מבנק-קט, באשקלון, לשם התשלום לסול עבור הלבנה.</w:t>
      </w:r>
    </w:p>
    <w:p w14:paraId="76A59C6E" w14:textId="77777777" w:rsidR="00070714" w:rsidRDefault="00070714" w:rsidP="00070714">
      <w:pPr>
        <w:spacing w:line="360" w:lineRule="auto"/>
        <w:ind w:left="720" w:hanging="720"/>
        <w:jc w:val="both"/>
        <w:rPr>
          <w:rtl/>
        </w:rPr>
      </w:pPr>
    </w:p>
    <w:p w14:paraId="4A6F1FFF" w14:textId="77777777" w:rsidR="00070714" w:rsidRDefault="00070714" w:rsidP="00070714">
      <w:pPr>
        <w:spacing w:line="360" w:lineRule="auto"/>
        <w:ind w:left="720" w:hanging="720"/>
        <w:jc w:val="both"/>
        <w:rPr>
          <w:rtl/>
        </w:rPr>
      </w:pPr>
      <w:r>
        <w:rPr>
          <w:rtl/>
        </w:rPr>
        <w:tab/>
      </w:r>
    </w:p>
    <w:p w14:paraId="242B532E" w14:textId="77777777" w:rsidR="00070714" w:rsidRDefault="00070714" w:rsidP="00070714">
      <w:pPr>
        <w:spacing w:line="360" w:lineRule="auto"/>
        <w:ind w:left="720" w:hanging="720"/>
        <w:jc w:val="both"/>
        <w:rPr>
          <w:rtl/>
        </w:rPr>
      </w:pPr>
    </w:p>
    <w:p w14:paraId="2D22C183" w14:textId="77777777" w:rsidR="00070714" w:rsidRDefault="00070714" w:rsidP="00070714">
      <w:pPr>
        <w:spacing w:line="360" w:lineRule="auto"/>
        <w:ind w:left="720"/>
        <w:jc w:val="both"/>
        <w:rPr>
          <w:rtl/>
        </w:rPr>
      </w:pPr>
      <w:r>
        <w:rPr>
          <w:rtl/>
        </w:rPr>
        <w:t xml:space="preserve">בשעה 13:30 או בסמוך לכך הגיעו הנאשם ויניר סמוך למקום המפגש, יניר ירד מהקיה כשברשותו סך של 2,000 ₪ במזומן שקיבל מהנאשם ופגש בסול במקום המפגש. סול מסר ליניר את הלבנה בתוך שקית ויניר מסר את הסך של 2,000 ₪ במזומן, שקיבל כאמור מהנאשם. </w:t>
      </w:r>
    </w:p>
    <w:p w14:paraId="2966821A" w14:textId="77777777" w:rsidR="00070714" w:rsidRDefault="00070714" w:rsidP="00070714">
      <w:pPr>
        <w:spacing w:line="360" w:lineRule="auto"/>
        <w:ind w:left="720" w:hanging="720"/>
        <w:jc w:val="both"/>
        <w:rPr>
          <w:rtl/>
        </w:rPr>
      </w:pPr>
    </w:p>
    <w:p w14:paraId="5C99EC2C" w14:textId="77777777" w:rsidR="00070714" w:rsidRDefault="00070714" w:rsidP="00070714">
      <w:pPr>
        <w:spacing w:line="360" w:lineRule="auto"/>
        <w:ind w:left="720" w:hanging="720"/>
        <w:jc w:val="both"/>
        <w:rPr>
          <w:rtl/>
        </w:rPr>
      </w:pPr>
      <w:r>
        <w:rPr>
          <w:rtl/>
        </w:rPr>
        <w:tab/>
        <w:t xml:space="preserve">בהמשך למתואר חזר יניר אל הקיה והכניס את השקית שהכילה את הלבנה לתוך תיק (להלן: </w:t>
      </w:r>
      <w:r>
        <w:rPr>
          <w:b/>
          <w:bCs/>
          <w:rtl/>
        </w:rPr>
        <w:t>"התיק עם הלבנה"</w:t>
      </w:r>
      <w:r>
        <w:rPr>
          <w:rtl/>
        </w:rPr>
        <w:t xml:space="preserve">), ואז הניח את התיק עם הלבנה, בתא המטען של הקיה. </w:t>
      </w:r>
    </w:p>
    <w:p w14:paraId="18062DD3" w14:textId="77777777" w:rsidR="00070714" w:rsidRDefault="00070714" w:rsidP="00070714">
      <w:pPr>
        <w:spacing w:line="360" w:lineRule="auto"/>
        <w:ind w:left="720" w:hanging="720"/>
        <w:jc w:val="both"/>
        <w:rPr>
          <w:rtl/>
        </w:rPr>
      </w:pPr>
    </w:p>
    <w:p w14:paraId="4018C953" w14:textId="77777777" w:rsidR="00070714" w:rsidRDefault="00070714" w:rsidP="00070714">
      <w:pPr>
        <w:spacing w:line="360" w:lineRule="auto"/>
        <w:ind w:left="720" w:hanging="720"/>
        <w:jc w:val="both"/>
        <w:rPr>
          <w:rtl/>
        </w:rPr>
      </w:pPr>
      <w:r>
        <w:rPr>
          <w:rtl/>
        </w:rPr>
        <w:tab/>
        <w:t xml:space="preserve">לאחר האמור, נסעו הנאשם ויניר בקיה מתל אביב לכיוון אשקלון, דרך כביש 4 לכיוון דרום, כשברשותם, בתוך תא המטען של הקיה, לבנת החבלה. </w:t>
      </w:r>
    </w:p>
    <w:p w14:paraId="11F04E8C" w14:textId="77777777" w:rsidR="00070714" w:rsidRDefault="00070714" w:rsidP="00070714">
      <w:pPr>
        <w:spacing w:line="360" w:lineRule="auto"/>
        <w:ind w:left="720" w:hanging="720"/>
        <w:jc w:val="both"/>
        <w:rPr>
          <w:rtl/>
        </w:rPr>
      </w:pPr>
    </w:p>
    <w:p w14:paraId="4B01F8B9" w14:textId="77777777" w:rsidR="00070714" w:rsidRDefault="00070714" w:rsidP="00070714">
      <w:pPr>
        <w:spacing w:line="360" w:lineRule="auto"/>
        <w:ind w:left="720" w:hanging="720"/>
        <w:jc w:val="both"/>
        <w:rPr>
          <w:rtl/>
        </w:rPr>
      </w:pPr>
      <w:r>
        <w:rPr>
          <w:rtl/>
        </w:rPr>
        <w:tab/>
        <w:t>במסגרת פעילות משטרתית, בשעה 14:42 או בסמוך לכך, חסמה משטרת ישראל את צומת גן יבנה בכביש 4 דרום, והחלה לסרוק אחר כלי הרכב שעמדו בפקק, על מנת לאתר את יניר.</w:t>
      </w:r>
    </w:p>
    <w:p w14:paraId="25AF9CF6" w14:textId="77777777" w:rsidR="00070714" w:rsidRDefault="00070714" w:rsidP="00070714">
      <w:pPr>
        <w:spacing w:line="360" w:lineRule="auto"/>
        <w:ind w:left="720" w:hanging="720"/>
        <w:jc w:val="both"/>
        <w:rPr>
          <w:rtl/>
        </w:rPr>
      </w:pPr>
    </w:p>
    <w:p w14:paraId="5D255558" w14:textId="77777777" w:rsidR="00070714" w:rsidRDefault="00070714" w:rsidP="00070714">
      <w:pPr>
        <w:spacing w:line="360" w:lineRule="auto"/>
        <w:ind w:left="720" w:hanging="720"/>
        <w:jc w:val="both"/>
        <w:rPr>
          <w:rtl/>
        </w:rPr>
      </w:pPr>
      <w:r>
        <w:rPr>
          <w:rtl/>
        </w:rPr>
        <w:tab/>
        <w:t xml:space="preserve">במהלך סריקת כלי הרכב איתרו השוטרים את יניר והנאשם בתוך הקיה. בחיפוש בתא המטען של הקיה, נמצא התיק שהכיל את הלבנה. </w:t>
      </w:r>
    </w:p>
    <w:p w14:paraId="7C47F1D9" w14:textId="77777777" w:rsidR="00070714" w:rsidRDefault="00070714" w:rsidP="00070714">
      <w:pPr>
        <w:spacing w:line="360" w:lineRule="auto"/>
        <w:ind w:left="720" w:hanging="720"/>
        <w:jc w:val="both"/>
        <w:rPr>
          <w:rtl/>
        </w:rPr>
      </w:pPr>
    </w:p>
    <w:p w14:paraId="6F160CB6" w14:textId="77777777" w:rsidR="00070714" w:rsidRDefault="00070714" w:rsidP="00070714">
      <w:pPr>
        <w:spacing w:line="360" w:lineRule="auto"/>
        <w:ind w:left="720" w:hanging="720"/>
        <w:jc w:val="both"/>
        <w:rPr>
          <w:rtl/>
        </w:rPr>
      </w:pPr>
      <w:r>
        <w:rPr>
          <w:rtl/>
        </w:rPr>
        <w:t>3.</w:t>
      </w:r>
      <w:r>
        <w:rPr>
          <w:rtl/>
        </w:rPr>
        <w:tab/>
        <w:t>באי כוח הצדדים, עתרו במשותף במסגרת הסדר טיעון, כי ביהמ"ש יגזור על הנאשם עונש מוסכם של 24 חודשי מאסר בפועל, מאסר מותנה, קנס כספי לשיקול דעת בית המשפט וחתימה על התחייבות.</w:t>
      </w:r>
    </w:p>
    <w:p w14:paraId="3BF29E20" w14:textId="77777777" w:rsidR="00070714" w:rsidRDefault="00070714" w:rsidP="00070714">
      <w:pPr>
        <w:spacing w:line="360" w:lineRule="auto"/>
        <w:ind w:left="720" w:hanging="720"/>
        <w:jc w:val="both"/>
        <w:rPr>
          <w:b/>
          <w:bCs/>
          <w:rtl/>
        </w:rPr>
      </w:pPr>
    </w:p>
    <w:p w14:paraId="65A8FCC7" w14:textId="77777777" w:rsidR="00070714" w:rsidRDefault="00070714" w:rsidP="00070714">
      <w:pPr>
        <w:spacing w:line="360" w:lineRule="auto"/>
        <w:ind w:left="720" w:hanging="720"/>
        <w:jc w:val="both"/>
        <w:rPr>
          <w:b/>
          <w:bCs/>
          <w:rtl/>
        </w:rPr>
      </w:pPr>
      <w:r>
        <w:rPr>
          <w:b/>
          <w:bCs/>
          <w:rtl/>
        </w:rPr>
        <w:t>תסקיר שירות המבחן:</w:t>
      </w:r>
    </w:p>
    <w:p w14:paraId="1EF63F41" w14:textId="77777777" w:rsidR="00070714" w:rsidRDefault="00070714" w:rsidP="00070714">
      <w:pPr>
        <w:spacing w:line="360" w:lineRule="auto"/>
        <w:ind w:left="720" w:hanging="720"/>
        <w:jc w:val="both"/>
        <w:rPr>
          <w:rtl/>
        </w:rPr>
      </w:pPr>
    </w:p>
    <w:p w14:paraId="67E555BC" w14:textId="77777777" w:rsidR="00070714" w:rsidRDefault="00070714" w:rsidP="00070714">
      <w:pPr>
        <w:spacing w:line="360" w:lineRule="auto"/>
        <w:ind w:left="720" w:hanging="720"/>
        <w:jc w:val="both"/>
        <w:rPr>
          <w:rtl/>
        </w:rPr>
      </w:pPr>
      <w:r>
        <w:rPr>
          <w:rtl/>
        </w:rPr>
        <w:t xml:space="preserve">4. </w:t>
      </w:r>
      <w:r>
        <w:rPr>
          <w:rtl/>
        </w:rPr>
        <w:tab/>
        <w:t xml:space="preserve">בשים לב לגילו של הנאשם, מתחת ל- 21 שנים, עתרו הצדדים לקבלת תסקיר שירות מבחן בטרם גזירת עונשו של הנאשם.  </w:t>
      </w:r>
    </w:p>
    <w:p w14:paraId="6417052E" w14:textId="77777777" w:rsidR="00070714" w:rsidRDefault="00070714" w:rsidP="00070714">
      <w:pPr>
        <w:spacing w:line="360" w:lineRule="auto"/>
        <w:ind w:left="720" w:hanging="720"/>
        <w:jc w:val="both"/>
        <w:rPr>
          <w:rtl/>
        </w:rPr>
      </w:pPr>
    </w:p>
    <w:p w14:paraId="622EA786" w14:textId="77777777" w:rsidR="00070714" w:rsidRDefault="00070714" w:rsidP="00070714">
      <w:pPr>
        <w:spacing w:line="360" w:lineRule="auto"/>
        <w:ind w:left="720" w:hanging="720"/>
        <w:jc w:val="both"/>
        <w:rPr>
          <w:rtl/>
        </w:rPr>
      </w:pPr>
      <w:r>
        <w:rPr>
          <w:rtl/>
        </w:rPr>
        <w:t>5.</w:t>
      </w:r>
      <w:r>
        <w:rPr>
          <w:rtl/>
        </w:rPr>
        <w:tab/>
        <w:t xml:space="preserve">ביום 19.9.23 הוגש תסקיר שירות מבחן בעניינו של הנאשם במסגרתו נסקרו קורות חייו של הנאשם ומשפחתו, אך בשל צנעת הפרט לא אפרט מעבר לנדרש. שירות המבחן נסמך בחוות דעתו, על היכרות קודמת עם הנאשם וחקירתו במסגרת תיק המ"ת וב"כ הצדדים הודיעו כי יסתפקו בתסקיר זה. </w:t>
      </w:r>
    </w:p>
    <w:p w14:paraId="32DDBC83" w14:textId="77777777" w:rsidR="00070714" w:rsidRDefault="00070714" w:rsidP="00070714">
      <w:pPr>
        <w:spacing w:line="360" w:lineRule="auto"/>
        <w:ind w:left="720"/>
        <w:jc w:val="both"/>
        <w:rPr>
          <w:rtl/>
        </w:rPr>
      </w:pPr>
      <w:r>
        <w:rPr>
          <w:rtl/>
        </w:rPr>
        <w:t>על פי האמור בתסקיר הנאשם בן 19, רווק, טרם מעצרו התגורר עם אמו ואחיותיו בעיר אשקלון ועבד כמנהל מוסך. משפחת מוצאו מונה זוג הורים ו</w:t>
      </w:r>
      <w:r>
        <w:rPr>
          <w:rFonts w:hint="cs"/>
          <w:rtl/>
        </w:rPr>
        <w:t>שלוש אחיות</w:t>
      </w:r>
      <w:r>
        <w:rPr>
          <w:rtl/>
        </w:rPr>
        <w:t xml:space="preserve"> בגילאי 10-19 כאשר הנאשם הנו הבכור בסדר הלידה. אביו של הנאשם נפטר בהיותו בן 14. </w:t>
      </w:r>
    </w:p>
    <w:p w14:paraId="7F95B897" w14:textId="77777777" w:rsidR="00070714" w:rsidRDefault="00070714" w:rsidP="00070714">
      <w:pPr>
        <w:spacing w:line="360" w:lineRule="auto"/>
        <w:ind w:left="720"/>
        <w:jc w:val="both"/>
        <w:rPr>
          <w:rtl/>
        </w:rPr>
      </w:pPr>
      <w:r>
        <w:rPr>
          <w:rtl/>
        </w:rPr>
        <w:t xml:space="preserve">שירות המבחן התרשם כי מדובר באדם צעיר בעל יכולות וורבליות וקוגנטיות תקניות, אשר במהלך השיחה שיתף אודות נסיבות חייו ומצוקותיו. על אף קשייו הרגשיים ולאחר מות אביו, הצליח לגייס כוחות, השתלב בשוק העבודה בגיל מוקדם וגילה אחריות כלפי בני משפחתו. </w:t>
      </w:r>
    </w:p>
    <w:p w14:paraId="2DD7723E" w14:textId="77777777" w:rsidR="00070714" w:rsidRDefault="00070714" w:rsidP="00070714">
      <w:pPr>
        <w:spacing w:line="360" w:lineRule="auto"/>
        <w:ind w:left="720"/>
        <w:jc w:val="both"/>
        <w:rPr>
          <w:rtl/>
        </w:rPr>
      </w:pPr>
      <w:r>
        <w:rPr>
          <w:rtl/>
        </w:rPr>
        <w:t xml:space="preserve">שירות המבחן התרשם מאדם בעל שאיפות ומטרות נורמטיביות לעתיד וכי גדל במשפחה נורמטיבית ושומרת חוק. על פי המפורט בתסקיר ניכר כי המעצר וההליך המשפטי המתנהל כנגד הנאשם מהווה גורם מרתיע עבורו. </w:t>
      </w:r>
    </w:p>
    <w:p w14:paraId="3D4671E4" w14:textId="77777777" w:rsidR="00070714" w:rsidRDefault="00070714" w:rsidP="00070714">
      <w:pPr>
        <w:spacing w:line="360" w:lineRule="auto"/>
        <w:ind w:left="720"/>
        <w:jc w:val="both"/>
        <w:rPr>
          <w:rtl/>
        </w:rPr>
      </w:pPr>
    </w:p>
    <w:p w14:paraId="528C089A" w14:textId="77777777" w:rsidR="00070714" w:rsidRDefault="00070714" w:rsidP="00070714">
      <w:pPr>
        <w:spacing w:line="360" w:lineRule="auto"/>
        <w:ind w:left="720" w:hanging="720"/>
        <w:rPr>
          <w:b/>
          <w:bCs/>
          <w:rtl/>
        </w:rPr>
      </w:pPr>
      <w:r>
        <w:rPr>
          <w:b/>
          <w:bCs/>
          <w:rtl/>
        </w:rPr>
        <w:t>ראיות וטיעונים לעונש:</w:t>
      </w:r>
    </w:p>
    <w:p w14:paraId="6132CE71" w14:textId="77777777" w:rsidR="00070714" w:rsidRDefault="00070714" w:rsidP="00070714">
      <w:pPr>
        <w:spacing w:line="360" w:lineRule="auto"/>
        <w:ind w:left="720" w:hanging="720"/>
        <w:rPr>
          <w:b/>
          <w:bCs/>
          <w:rtl/>
        </w:rPr>
      </w:pPr>
    </w:p>
    <w:p w14:paraId="75269E5D" w14:textId="77777777" w:rsidR="00070714" w:rsidRDefault="00070714" w:rsidP="00070714">
      <w:pPr>
        <w:spacing w:line="360" w:lineRule="auto"/>
        <w:ind w:left="720" w:hanging="720"/>
        <w:jc w:val="both"/>
        <w:rPr>
          <w:rtl/>
        </w:rPr>
      </w:pPr>
      <w:r>
        <w:rPr>
          <w:rtl/>
        </w:rPr>
        <w:t>6.</w:t>
      </w:r>
      <w:r>
        <w:rPr>
          <w:rtl/>
        </w:rPr>
        <w:tab/>
        <w:t xml:space="preserve">במסגרת הראיות לעונש הגיש ב"כ המאשימה את הרישום הפלילי של הנאשם (ת/2) וכן את גז"ד </w:t>
      </w:r>
      <w:r>
        <w:rPr>
          <w:rFonts w:hint="cs"/>
          <w:rtl/>
        </w:rPr>
        <w:t xml:space="preserve">בעניינו </w:t>
      </w:r>
      <w:r>
        <w:rPr>
          <w:rtl/>
        </w:rPr>
        <w:t xml:space="preserve">של סול, במסגרתו גזר עליו בית הדין הצבאי 45 חודשי מאסר וענישה נלווית (ת/3). </w:t>
      </w:r>
    </w:p>
    <w:p w14:paraId="65964367" w14:textId="77777777" w:rsidR="00070714" w:rsidRDefault="00070714" w:rsidP="00070714">
      <w:pPr>
        <w:spacing w:line="360" w:lineRule="auto"/>
        <w:ind w:left="720" w:hanging="720"/>
        <w:jc w:val="both"/>
        <w:rPr>
          <w:rtl/>
        </w:rPr>
      </w:pPr>
      <w:r>
        <w:rPr>
          <w:rtl/>
        </w:rPr>
        <w:tab/>
      </w:r>
    </w:p>
    <w:p w14:paraId="50A4BCBB" w14:textId="77777777" w:rsidR="00070714" w:rsidRDefault="00070714" w:rsidP="00070714">
      <w:pPr>
        <w:spacing w:line="360" w:lineRule="auto"/>
        <w:ind w:left="720" w:hanging="720"/>
        <w:jc w:val="both"/>
        <w:rPr>
          <w:rtl/>
        </w:rPr>
      </w:pPr>
      <w:r>
        <w:rPr>
          <w:rtl/>
        </w:rPr>
        <w:t xml:space="preserve">7. </w:t>
      </w:r>
      <w:r>
        <w:rPr>
          <w:rtl/>
        </w:rPr>
        <w:tab/>
        <w:t xml:space="preserve">במסגרת הראיות לעונש מטעם ההגנה העיד דודו של הנאשם – מר אבי שאול, ואמו של הנאשם הגב' בת אל שאול. </w:t>
      </w:r>
    </w:p>
    <w:p w14:paraId="5AE92481" w14:textId="77777777" w:rsidR="00070714" w:rsidRDefault="00070714" w:rsidP="00070714">
      <w:pPr>
        <w:spacing w:line="360" w:lineRule="auto"/>
        <w:ind w:left="720" w:hanging="720"/>
        <w:jc w:val="both"/>
        <w:rPr>
          <w:rtl/>
        </w:rPr>
      </w:pPr>
    </w:p>
    <w:p w14:paraId="3D2A4926" w14:textId="77777777" w:rsidR="00070714" w:rsidRDefault="00070714" w:rsidP="00070714">
      <w:pPr>
        <w:spacing w:line="360" w:lineRule="auto"/>
        <w:ind w:left="720" w:hanging="720"/>
        <w:jc w:val="both"/>
        <w:rPr>
          <w:rtl/>
        </w:rPr>
      </w:pPr>
      <w:r>
        <w:rPr>
          <w:rtl/>
        </w:rPr>
        <w:t>8.</w:t>
      </w:r>
      <w:r>
        <w:rPr>
          <w:b/>
          <w:bCs/>
          <w:rtl/>
        </w:rPr>
        <w:tab/>
        <w:t>ב"כ המאשימה</w:t>
      </w:r>
      <w:r>
        <w:rPr>
          <w:rtl/>
        </w:rPr>
        <w:t xml:space="preserve"> עתר לכבד את הסדר הטיעון תוך שהפנה למתחם שנקבע בגזר דינו של כב' הש' עדן ב</w:t>
      </w:r>
      <w:hyperlink r:id="rId11" w:history="1">
        <w:r w:rsidR="00785FC9" w:rsidRPr="00785FC9">
          <w:rPr>
            <w:color w:val="0000FF"/>
            <w:u w:val="single"/>
            <w:rtl/>
          </w:rPr>
          <w:t>ת"פ (מחוזי ב"ש) 31842-04-21</w:t>
        </w:r>
      </w:hyperlink>
      <w:r>
        <w:rPr>
          <w:rtl/>
        </w:rPr>
        <w:t xml:space="preserve"> ולגזר הדין שניתן בבית הדין הצבאי בעניינו של סול. לדבריו ונוכח גזר הדין שהוטל על סול , המבצע העיקרי , הרי שההסדר סביר בנסיבות העניין למרות שהוא מקל עם הנאשם.</w:t>
      </w:r>
    </w:p>
    <w:p w14:paraId="1A44F9F1" w14:textId="77777777" w:rsidR="00070714" w:rsidRDefault="00070714" w:rsidP="00070714">
      <w:pPr>
        <w:spacing w:line="360" w:lineRule="auto"/>
        <w:ind w:left="720" w:hanging="720"/>
        <w:jc w:val="both"/>
        <w:rPr>
          <w:rtl/>
        </w:rPr>
      </w:pPr>
      <w:r>
        <w:rPr>
          <w:rtl/>
        </w:rPr>
        <w:tab/>
        <w:t xml:space="preserve">כמו כן הפנה ב"כ המאשימה להודאתו של הנאשם ולחסכון הניכר בזמנו של ביהמ"ש נוכח רשימת עדי התביעה הכוללת גם אנשי צבא. </w:t>
      </w:r>
    </w:p>
    <w:p w14:paraId="633562CC" w14:textId="77777777" w:rsidR="00070714" w:rsidRDefault="00070714" w:rsidP="00070714">
      <w:pPr>
        <w:spacing w:line="360" w:lineRule="auto"/>
        <w:ind w:left="720" w:hanging="720"/>
        <w:jc w:val="both"/>
        <w:rPr>
          <w:rtl/>
        </w:rPr>
      </w:pPr>
    </w:p>
    <w:p w14:paraId="121C1A8F" w14:textId="77777777" w:rsidR="00070714" w:rsidRDefault="00070714" w:rsidP="00070714">
      <w:pPr>
        <w:spacing w:line="360" w:lineRule="auto"/>
        <w:ind w:left="720" w:hanging="720"/>
        <w:jc w:val="both"/>
        <w:rPr>
          <w:rFonts w:ascii="David" w:hAnsi="David"/>
          <w:rtl/>
        </w:rPr>
      </w:pPr>
      <w:r>
        <w:rPr>
          <w:rFonts w:hint="cs"/>
          <w:rtl/>
        </w:rPr>
        <w:t>9</w:t>
      </w:r>
      <w:r>
        <w:rPr>
          <w:rtl/>
        </w:rPr>
        <w:t xml:space="preserve">. </w:t>
      </w:r>
      <w:r>
        <w:rPr>
          <w:rtl/>
        </w:rPr>
        <w:tab/>
      </w:r>
      <w:r>
        <w:rPr>
          <w:b/>
          <w:bCs/>
          <w:rtl/>
        </w:rPr>
        <w:t>ב"כ הנאשם</w:t>
      </w:r>
      <w:r>
        <w:rPr>
          <w:rtl/>
        </w:rPr>
        <w:t xml:space="preserve"> </w:t>
      </w:r>
      <w:r>
        <w:rPr>
          <w:rFonts w:ascii="David" w:hAnsi="David"/>
          <w:rtl/>
        </w:rPr>
        <w:t xml:space="preserve">הצטרפה לדברי ב"כ המאשימה וביקשה לכבד ההסדר . לדבריה ולמרות שהענישה מקלה הרי שהיא תואמת את המעשה ואת העושה. הנאשם הוא האחרון בשרשרת חומרת העבירה, ועונשו צריך לעמוד במדרג העונש ובזיקה לעונשו של סול. </w:t>
      </w:r>
    </w:p>
    <w:p w14:paraId="5B338962" w14:textId="77777777" w:rsidR="00070714" w:rsidRDefault="00070714" w:rsidP="00070714">
      <w:pPr>
        <w:spacing w:line="360" w:lineRule="auto"/>
        <w:ind w:left="720" w:hanging="720"/>
        <w:jc w:val="both"/>
        <w:rPr>
          <w:rtl/>
        </w:rPr>
      </w:pPr>
      <w:r>
        <w:rPr>
          <w:rtl/>
        </w:rPr>
        <w:tab/>
        <w:t>ב"כ הנאשם הפנתה לגילו הצעיר של הנאשם, לנסיבות חייו הקשות לאחר פטירת אביו ודודו. לדבריה, וכפי שעלה מהעדויות במהלך שמיעת הראיות לעונש, הרי שהנאשם ניהל חיים באופן נורמטיבי, עבד לפרנסת המשפחה ושימש עוגן לאמו ולש</w:t>
      </w:r>
      <w:r>
        <w:rPr>
          <w:rFonts w:hint="cs"/>
          <w:rtl/>
        </w:rPr>
        <w:t>תי</w:t>
      </w:r>
      <w:r>
        <w:rPr>
          <w:rtl/>
        </w:rPr>
        <w:t xml:space="preserve"> אחיותיו. הנאשם אינו קשור לעולם העברייני, ורכישת לבנת החבלה נעשתה בטיפשות גרידא וללא כל כוונה לעשות בה שימוש כלשהו. </w:t>
      </w:r>
    </w:p>
    <w:p w14:paraId="632A5F99" w14:textId="77777777" w:rsidR="00070714" w:rsidRDefault="00070714" w:rsidP="00070714">
      <w:pPr>
        <w:spacing w:line="360" w:lineRule="auto"/>
        <w:ind w:left="720" w:hanging="720"/>
        <w:jc w:val="both"/>
        <w:rPr>
          <w:rtl/>
        </w:rPr>
      </w:pPr>
    </w:p>
    <w:p w14:paraId="6BA2591B" w14:textId="77777777" w:rsidR="00070714" w:rsidRDefault="00070714" w:rsidP="00070714">
      <w:pPr>
        <w:spacing w:line="360" w:lineRule="auto"/>
        <w:ind w:left="720" w:hanging="720"/>
        <w:jc w:val="both"/>
        <w:rPr>
          <w:rtl/>
        </w:rPr>
      </w:pPr>
    </w:p>
    <w:p w14:paraId="4E41498F" w14:textId="77777777" w:rsidR="00070714" w:rsidRDefault="00070714" w:rsidP="00070714">
      <w:pPr>
        <w:spacing w:line="360" w:lineRule="auto"/>
        <w:ind w:left="720" w:hanging="720"/>
        <w:jc w:val="both"/>
        <w:rPr>
          <w:rtl/>
        </w:rPr>
      </w:pPr>
    </w:p>
    <w:p w14:paraId="39AFCA64" w14:textId="77777777" w:rsidR="00070714" w:rsidRDefault="00070714" w:rsidP="00070714">
      <w:pPr>
        <w:spacing w:line="360" w:lineRule="auto"/>
        <w:ind w:left="720" w:hanging="720"/>
        <w:jc w:val="both"/>
        <w:rPr>
          <w:rtl/>
        </w:rPr>
      </w:pPr>
      <w:r>
        <w:rPr>
          <w:rFonts w:hint="cs"/>
          <w:rtl/>
        </w:rPr>
        <w:t>10</w:t>
      </w:r>
      <w:r>
        <w:rPr>
          <w:rtl/>
        </w:rPr>
        <w:t>.</w:t>
      </w:r>
      <w:r>
        <w:rPr>
          <w:rtl/>
        </w:rPr>
        <w:tab/>
      </w:r>
      <w:r>
        <w:rPr>
          <w:rFonts w:ascii="David" w:hAnsi="David"/>
          <w:b/>
          <w:bCs/>
          <w:rtl/>
        </w:rPr>
        <w:t>הנאשם</w:t>
      </w:r>
      <w:r>
        <w:rPr>
          <w:rFonts w:ascii="David" w:hAnsi="David"/>
          <w:rtl/>
        </w:rPr>
        <w:t xml:space="preserve"> אמר כי הוא מצטער על מעשיו, הוא מבין את חומרת המעשה ככל ולבנת החבלה היתה מגיעה לגורם אחר. לדבריו</w:t>
      </w:r>
      <w:r>
        <w:rPr>
          <w:rtl/>
        </w:rPr>
        <w:t xml:space="preserve"> הוא אינו קשור לעולם העברייני, ביצע את העבירה תוך טיפשות וכי בכוונתו ללמוד הנדסת תוכנה או מהנדס אלקטרוניקה לאחר שחרורו. הנאשם הוסיף כי הוא עצור מזה כ- 12 חודשים, מתקשה מאוד בהתנהלות בכלא וכי </w:t>
      </w:r>
      <w:r>
        <w:rPr>
          <w:rFonts w:hint="cs"/>
          <w:rtl/>
        </w:rPr>
        <w:t xml:space="preserve">עולם </w:t>
      </w:r>
      <w:r>
        <w:rPr>
          <w:rtl/>
        </w:rPr>
        <w:t xml:space="preserve">הכלא זר לו. </w:t>
      </w:r>
    </w:p>
    <w:p w14:paraId="27F43732" w14:textId="77777777" w:rsidR="00070714" w:rsidRDefault="00070714" w:rsidP="00070714">
      <w:pPr>
        <w:spacing w:line="360" w:lineRule="auto"/>
        <w:ind w:left="720" w:hanging="720"/>
        <w:jc w:val="both"/>
        <w:rPr>
          <w:rFonts w:ascii="David" w:hAnsi="David"/>
          <w:b/>
          <w:bCs/>
          <w:u w:val="single"/>
          <w:rtl/>
        </w:rPr>
      </w:pPr>
    </w:p>
    <w:p w14:paraId="5EF63CF9" w14:textId="77777777" w:rsidR="00070714" w:rsidRDefault="00070714" w:rsidP="00070714">
      <w:pPr>
        <w:spacing w:line="360" w:lineRule="auto"/>
        <w:ind w:left="720" w:hanging="720"/>
        <w:jc w:val="both"/>
        <w:rPr>
          <w:rFonts w:ascii="David" w:hAnsi="David"/>
          <w:b/>
          <w:bCs/>
          <w:u w:val="single"/>
          <w:rtl/>
        </w:rPr>
      </w:pPr>
      <w:r>
        <w:rPr>
          <w:rFonts w:ascii="David" w:hAnsi="David"/>
          <w:b/>
          <w:bCs/>
          <w:u w:val="single"/>
          <w:rtl/>
        </w:rPr>
        <w:t>דיון והכרעה:</w:t>
      </w:r>
    </w:p>
    <w:p w14:paraId="278E050F" w14:textId="77777777" w:rsidR="00070714" w:rsidRDefault="00070714" w:rsidP="00070714">
      <w:pPr>
        <w:spacing w:line="360" w:lineRule="auto"/>
        <w:ind w:left="720" w:hanging="720"/>
        <w:jc w:val="both"/>
        <w:rPr>
          <w:rFonts w:ascii="David" w:hAnsi="David"/>
          <w:b/>
          <w:bCs/>
          <w:u w:val="single"/>
          <w:rtl/>
        </w:rPr>
      </w:pPr>
    </w:p>
    <w:p w14:paraId="0E64D9CF" w14:textId="77777777" w:rsidR="00070714" w:rsidRDefault="00070714" w:rsidP="00070714">
      <w:pPr>
        <w:spacing w:line="360" w:lineRule="auto"/>
        <w:ind w:left="720" w:hanging="720"/>
        <w:jc w:val="both"/>
        <w:rPr>
          <w:rFonts w:ascii="David" w:hAnsi="David"/>
          <w:rtl/>
        </w:rPr>
      </w:pPr>
      <w:r>
        <w:rPr>
          <w:rtl/>
        </w:rPr>
        <w:t xml:space="preserve">11. </w:t>
      </w:r>
      <w:r>
        <w:rPr>
          <w:rFonts w:ascii="David" w:hAnsi="David"/>
          <w:rtl/>
        </w:rPr>
        <w:tab/>
        <w:t xml:space="preserve">בביצוע העבירה פגע הנאשם בערכים החברתיים המוגנים של שמירת החיים והגוף, בטחון הציבור ושמירת הסדר הציבורי.  </w:t>
      </w:r>
    </w:p>
    <w:p w14:paraId="4E048701" w14:textId="77777777" w:rsidR="00070714" w:rsidRDefault="00070714" w:rsidP="00070714">
      <w:pPr>
        <w:spacing w:line="360" w:lineRule="auto"/>
        <w:jc w:val="both"/>
        <w:rPr>
          <w:rFonts w:ascii="David" w:hAnsi="David"/>
          <w:rtl/>
        </w:rPr>
      </w:pPr>
    </w:p>
    <w:p w14:paraId="1EBC2308" w14:textId="77777777" w:rsidR="00070714" w:rsidRDefault="00070714" w:rsidP="00070714">
      <w:pPr>
        <w:spacing w:line="360" w:lineRule="auto"/>
        <w:ind w:left="720" w:hanging="720"/>
        <w:jc w:val="both"/>
        <w:rPr>
          <w:rFonts w:ascii="David" w:hAnsi="David"/>
          <w:rtl/>
        </w:rPr>
      </w:pPr>
      <w:r>
        <w:rPr>
          <w:rFonts w:ascii="David" w:hAnsi="David"/>
          <w:rtl/>
        </w:rPr>
        <w:t>12.</w:t>
      </w:r>
      <w:r>
        <w:rPr>
          <w:rFonts w:ascii="David" w:hAnsi="David"/>
          <w:rtl/>
        </w:rPr>
        <w:tab/>
        <w:t xml:space="preserve">ביחס למסוכנות העולה מביצוע עבירות הקשורות בחומרי נפץ ראה </w:t>
      </w:r>
      <w:hyperlink r:id="rId12" w:history="1">
        <w:r w:rsidR="00785FC9" w:rsidRPr="00785FC9">
          <w:rPr>
            <w:rFonts w:ascii="David" w:hAnsi="David"/>
            <w:b/>
            <w:bCs/>
            <w:color w:val="0000FF"/>
            <w:u w:val="single"/>
            <w:rtl/>
          </w:rPr>
          <w:t>ע"פ 6210/13</w:t>
        </w:r>
      </w:hyperlink>
      <w:r>
        <w:rPr>
          <w:rFonts w:ascii="David" w:hAnsi="David"/>
          <w:b/>
          <w:bCs/>
          <w:rtl/>
        </w:rPr>
        <w:t xml:space="preserve"> גונן נ' מ"י</w:t>
      </w:r>
      <w:r>
        <w:rPr>
          <w:rFonts w:ascii="David" w:hAnsi="David"/>
          <w:rtl/>
        </w:rPr>
        <w:t xml:space="preserve"> (14.11.2013):</w:t>
      </w:r>
    </w:p>
    <w:p w14:paraId="3298B270" w14:textId="77777777" w:rsidR="00070714" w:rsidRDefault="00070714" w:rsidP="00070714">
      <w:pPr>
        <w:spacing w:line="360" w:lineRule="auto"/>
        <w:ind w:left="1410"/>
        <w:jc w:val="both"/>
        <w:rPr>
          <w:rFonts w:ascii="David" w:hAnsi="David"/>
          <w:rtl/>
        </w:rPr>
      </w:pPr>
    </w:p>
    <w:p w14:paraId="270245EF" w14:textId="77777777" w:rsidR="00070714" w:rsidRDefault="00070714" w:rsidP="00070714">
      <w:pPr>
        <w:spacing w:line="360" w:lineRule="auto"/>
        <w:ind w:left="720"/>
        <w:jc w:val="both"/>
        <w:rPr>
          <w:rFonts w:ascii="David" w:hAnsi="David"/>
          <w:b/>
          <w:bCs/>
          <w:rtl/>
        </w:rPr>
      </w:pPr>
      <w:r>
        <w:rPr>
          <w:rFonts w:ascii="David" w:hAnsi="David"/>
          <w:b/>
          <w:bCs/>
          <w:rtl/>
        </w:rPr>
        <w:t>"אין צורך להכביר מילים על מסוכנותם הרבה של חומרי נפץ ומטעני חבלה. מדובר בסכנת נפשות, פשוטו כמשמעו. יש למגר תופעה של סחר, נשיאה והובלה של נשק. אין ניתן להתפשר. מידת הרחמים צריכה להיות מופנית יותר אל הציבור הרחב, מאשר כלפי המערער ואחרים שכמותו, שמסכנים חיי אדם בצורה שכזו."</w:t>
      </w:r>
    </w:p>
    <w:p w14:paraId="1D41B419" w14:textId="77777777" w:rsidR="00070714" w:rsidRDefault="00070714" w:rsidP="00070714">
      <w:pPr>
        <w:spacing w:after="200" w:line="276" w:lineRule="auto"/>
        <w:contextualSpacing/>
        <w:jc w:val="both"/>
        <w:rPr>
          <w:rFonts w:ascii="Arial TUR" w:hAnsi="Arial TUR"/>
          <w:b/>
          <w:bCs/>
          <w:rtl/>
        </w:rPr>
      </w:pPr>
    </w:p>
    <w:p w14:paraId="7CA6E77D" w14:textId="77777777" w:rsidR="00070714" w:rsidRDefault="00070714" w:rsidP="00070714">
      <w:pPr>
        <w:spacing w:after="200" w:line="276" w:lineRule="auto"/>
        <w:ind w:firstLine="720"/>
        <w:contextualSpacing/>
        <w:jc w:val="both"/>
        <w:rPr>
          <w:rFonts w:ascii="Calibri" w:hAnsi="Calibri"/>
          <w:rtl/>
        </w:rPr>
      </w:pPr>
    </w:p>
    <w:p w14:paraId="2A0BA065" w14:textId="77777777" w:rsidR="00070714" w:rsidRDefault="00070714" w:rsidP="00070714">
      <w:pPr>
        <w:spacing w:after="200" w:line="276" w:lineRule="auto"/>
        <w:ind w:firstLine="720"/>
        <w:contextualSpacing/>
        <w:jc w:val="both"/>
        <w:rPr>
          <w:rFonts w:ascii="Calibri" w:hAnsi="Calibri"/>
          <w:b/>
          <w:bCs/>
          <w:rtl/>
        </w:rPr>
      </w:pPr>
      <w:r>
        <w:rPr>
          <w:rFonts w:ascii="Calibri" w:hAnsi="Calibri"/>
          <w:rtl/>
        </w:rPr>
        <w:t>וראה גם הדברים שנאמרו ב</w:t>
      </w:r>
      <w:hyperlink r:id="rId13" w:history="1">
        <w:r w:rsidR="00785FC9" w:rsidRPr="00785FC9">
          <w:rPr>
            <w:rFonts w:ascii="Calibri" w:hAnsi="Calibri" w:hint="eastAsia"/>
            <w:b/>
            <w:bCs/>
            <w:color w:val="0000FF"/>
            <w:u w:val="single"/>
            <w:rtl/>
          </w:rPr>
          <w:t>ע</w:t>
        </w:r>
        <w:r w:rsidR="00785FC9" w:rsidRPr="00785FC9">
          <w:rPr>
            <w:rFonts w:ascii="Calibri" w:hAnsi="Calibri"/>
            <w:b/>
            <w:bCs/>
            <w:color w:val="0000FF"/>
            <w:u w:val="single"/>
            <w:rtl/>
          </w:rPr>
          <w:t>"</w:t>
        </w:r>
        <w:r w:rsidR="00785FC9" w:rsidRPr="00785FC9">
          <w:rPr>
            <w:rFonts w:ascii="Calibri" w:hAnsi="Calibri" w:hint="eastAsia"/>
            <w:b/>
            <w:bCs/>
            <w:color w:val="0000FF"/>
            <w:u w:val="single"/>
            <w:rtl/>
          </w:rPr>
          <w:t>פ</w:t>
        </w:r>
        <w:r w:rsidR="00785FC9" w:rsidRPr="00785FC9">
          <w:rPr>
            <w:rFonts w:ascii="Calibri" w:hAnsi="Calibri"/>
            <w:b/>
            <w:bCs/>
            <w:color w:val="0000FF"/>
            <w:u w:val="single"/>
            <w:rtl/>
          </w:rPr>
          <w:t xml:space="preserve"> 7502/12</w:t>
        </w:r>
      </w:hyperlink>
      <w:r>
        <w:rPr>
          <w:rFonts w:ascii="Calibri" w:hAnsi="Calibri"/>
          <w:rtl/>
        </w:rPr>
        <w:t xml:space="preserve"> </w:t>
      </w:r>
      <w:r>
        <w:rPr>
          <w:rFonts w:ascii="Calibri" w:hAnsi="Calibri"/>
          <w:b/>
          <w:bCs/>
          <w:rtl/>
        </w:rPr>
        <w:t xml:space="preserve">בסאם כוויס נ' מ"י </w:t>
      </w:r>
      <w:r>
        <w:rPr>
          <w:rFonts w:ascii="Calibri" w:hAnsi="Calibri"/>
          <w:rtl/>
        </w:rPr>
        <w:t>(25.06.2013):</w:t>
      </w:r>
    </w:p>
    <w:p w14:paraId="1B151172" w14:textId="77777777" w:rsidR="00070714" w:rsidRDefault="00070714" w:rsidP="00070714">
      <w:pPr>
        <w:spacing w:line="360" w:lineRule="auto"/>
        <w:jc w:val="both"/>
        <w:rPr>
          <w:rFonts w:ascii="David" w:hAnsi="David"/>
          <w:b/>
          <w:bCs/>
          <w:rtl/>
        </w:rPr>
      </w:pPr>
    </w:p>
    <w:p w14:paraId="124AF239" w14:textId="77777777" w:rsidR="00070714" w:rsidRDefault="00070714" w:rsidP="00070714">
      <w:pPr>
        <w:spacing w:line="360" w:lineRule="auto"/>
        <w:ind w:left="720"/>
        <w:jc w:val="both"/>
        <w:rPr>
          <w:rFonts w:ascii="David" w:hAnsi="David"/>
          <w:b/>
          <w:bCs/>
          <w:rtl/>
        </w:rPr>
      </w:pPr>
      <w:r>
        <w:rPr>
          <w:rFonts w:ascii="David" w:hAnsi="David"/>
          <w:b/>
          <w:bCs/>
          <w:rtl/>
        </w:rPr>
        <w:t>"כפי שנפסק, לא אחת, עבירות בנשק לסוגיהן מגלמות בתוכן סיכון ממשי לשלום הציבור ולבטחונו, שכן לא ניתן לדעת להיכן יתגלגלו כלי הנשק המוחזקים שלא כדין, ואיזה שימוש יעשה בהם בעתיד."</w:t>
      </w:r>
    </w:p>
    <w:p w14:paraId="603B23D6" w14:textId="77777777" w:rsidR="00070714" w:rsidRDefault="00070714" w:rsidP="00070714">
      <w:pPr>
        <w:spacing w:line="360" w:lineRule="auto"/>
        <w:jc w:val="both"/>
        <w:rPr>
          <w:rFonts w:ascii="David" w:hAnsi="David"/>
          <w:highlight w:val="cyan"/>
          <w:rtl/>
        </w:rPr>
      </w:pPr>
    </w:p>
    <w:p w14:paraId="57DAAC3F" w14:textId="77777777" w:rsidR="00070714" w:rsidRDefault="00070714" w:rsidP="00070714">
      <w:pPr>
        <w:spacing w:line="360" w:lineRule="auto"/>
        <w:ind w:left="720" w:hanging="720"/>
        <w:jc w:val="both"/>
        <w:rPr>
          <w:rFonts w:ascii="David" w:hAnsi="David"/>
          <w:rtl/>
        </w:rPr>
      </w:pPr>
      <w:r>
        <w:rPr>
          <w:rFonts w:ascii="David" w:hAnsi="David"/>
          <w:rtl/>
        </w:rPr>
        <w:t>13.</w:t>
      </w:r>
      <w:r>
        <w:rPr>
          <w:rFonts w:ascii="David" w:hAnsi="David"/>
          <w:rtl/>
        </w:rPr>
        <w:tab/>
        <w:t xml:space="preserve">חומרת מעשיו של הנאשם נלמדת מהעבירה בה הורשע כמו גם מנסיבות ביצועה כמפורט בכתב האישום המתוקן. לא ניתן להפריז במילים בפוטנציאל הקטלני שבהובלה ובנשיאת לבנת חבלה. </w:t>
      </w:r>
    </w:p>
    <w:p w14:paraId="7B0ECF1D" w14:textId="77777777" w:rsidR="00070714" w:rsidRDefault="00070714" w:rsidP="00070714">
      <w:pPr>
        <w:spacing w:line="360" w:lineRule="auto"/>
        <w:ind w:left="720"/>
        <w:jc w:val="both"/>
        <w:rPr>
          <w:rFonts w:ascii="David" w:hAnsi="David"/>
          <w:rtl/>
        </w:rPr>
      </w:pPr>
    </w:p>
    <w:p w14:paraId="022C90C3" w14:textId="77777777" w:rsidR="00070714" w:rsidRDefault="00070714" w:rsidP="00070714">
      <w:pPr>
        <w:spacing w:line="360" w:lineRule="auto"/>
        <w:ind w:left="720"/>
        <w:jc w:val="both"/>
        <w:rPr>
          <w:rFonts w:ascii="David" w:hAnsi="David"/>
          <w:rtl/>
        </w:rPr>
      </w:pPr>
      <w:r>
        <w:rPr>
          <w:rFonts w:ascii="David" w:hAnsi="David"/>
          <w:rtl/>
        </w:rPr>
        <w:t>הגם שלבנת החבלה בענייננו לא כללה מנגנון הפעלה, הרי שאין בכך כדי להוות נסיבה המפחיתה מן האופי המסוכן של הלבנה, כפי שנקבע ב</w:t>
      </w:r>
      <w:r>
        <w:rPr>
          <w:rFonts w:ascii="David" w:hAnsi="David"/>
          <w:b/>
          <w:bCs/>
          <w:rtl/>
        </w:rPr>
        <w:t xml:space="preserve">ע"פ </w:t>
      </w:r>
      <w:hyperlink r:id="rId14" w:history="1">
        <w:r w:rsidR="00BA3DCD" w:rsidRPr="00BA3DCD">
          <w:rPr>
            <w:rFonts w:ascii="David" w:hAnsi="David"/>
            <w:b/>
            <w:bCs/>
            <w:color w:val="0000FF"/>
            <w:u w:val="single"/>
            <w:rtl/>
          </w:rPr>
          <w:t xml:space="preserve">1332/04 </w:t>
        </w:r>
      </w:hyperlink>
      <w:r>
        <w:rPr>
          <w:rFonts w:ascii="David" w:hAnsi="David"/>
          <w:b/>
          <w:bCs/>
          <w:rtl/>
        </w:rPr>
        <w:t xml:space="preserve"> מ"י נ' פס ואח' </w:t>
      </w:r>
      <w:r>
        <w:rPr>
          <w:rFonts w:ascii="David" w:hAnsi="David"/>
          <w:rtl/>
        </w:rPr>
        <w:t>(19.4.2004):</w:t>
      </w:r>
    </w:p>
    <w:p w14:paraId="02BA3AD2" w14:textId="77777777" w:rsidR="00070714" w:rsidRDefault="00070714" w:rsidP="00070714">
      <w:pPr>
        <w:spacing w:line="360" w:lineRule="auto"/>
        <w:ind w:left="720"/>
        <w:jc w:val="both"/>
        <w:rPr>
          <w:rFonts w:ascii="David" w:hAnsi="David"/>
          <w:rtl/>
        </w:rPr>
      </w:pPr>
    </w:p>
    <w:p w14:paraId="3D6F43B0" w14:textId="77777777" w:rsidR="00070714" w:rsidRDefault="00070714" w:rsidP="00070714">
      <w:pPr>
        <w:spacing w:line="360" w:lineRule="auto"/>
        <w:ind w:left="720"/>
        <w:jc w:val="both"/>
        <w:rPr>
          <w:rFonts w:ascii="David" w:hAnsi="David"/>
          <w:rtl/>
        </w:rPr>
      </w:pPr>
      <w:r>
        <w:rPr>
          <w:rtl/>
        </w:rPr>
        <w:t>"</w:t>
      </w:r>
      <w:r>
        <w:rPr>
          <w:b/>
          <w:bCs/>
          <w:rtl/>
        </w:rPr>
        <w:t>העובדה כי ללבנות החבלה לא הוצמד נַפּץ איננה מפחיתה מאופיין המסוכן. אין ספק כי על נקלה היה החומר שמצוי בלבנות החבלה יכול להפוך למטענים רבי עוצמה, שכן החיבור לנפץ ניתן לביצוע קל ומיידי</w:t>
      </w:r>
      <w:r>
        <w:rPr>
          <w:rtl/>
        </w:rPr>
        <w:t>."</w:t>
      </w:r>
    </w:p>
    <w:p w14:paraId="708486A7" w14:textId="77777777" w:rsidR="00070714" w:rsidRDefault="00070714" w:rsidP="00070714">
      <w:pPr>
        <w:spacing w:line="360" w:lineRule="auto"/>
        <w:jc w:val="both"/>
        <w:rPr>
          <w:rFonts w:ascii="David" w:hAnsi="David"/>
          <w:rtl/>
        </w:rPr>
      </w:pPr>
    </w:p>
    <w:p w14:paraId="272EB76B" w14:textId="77777777" w:rsidR="00070714" w:rsidRDefault="00070714" w:rsidP="00070714">
      <w:pPr>
        <w:spacing w:line="360" w:lineRule="auto"/>
        <w:ind w:left="720"/>
        <w:jc w:val="both"/>
        <w:rPr>
          <w:rFonts w:ascii="David" w:hAnsi="David"/>
          <w:rtl/>
        </w:rPr>
      </w:pPr>
      <w:r>
        <w:rPr>
          <w:rFonts w:ascii="David" w:hAnsi="David"/>
          <w:rtl/>
        </w:rPr>
        <w:t xml:space="preserve">חומרה נוספת למעשיו של הנאשם מצאתי בעובדה כי הנאשם רכש והוביל לבנת חבלה שמקורה בצה"ל. חומרה זו מקבלת משמעות נוספת בימים אלו </w:t>
      </w:r>
      <w:r>
        <w:rPr>
          <w:rFonts w:ascii="David" w:hAnsi="David" w:hint="cs"/>
          <w:rtl/>
        </w:rPr>
        <w:t>ש</w:t>
      </w:r>
      <w:r>
        <w:rPr>
          <w:rFonts w:ascii="David" w:hAnsi="David"/>
          <w:rtl/>
        </w:rPr>
        <w:t xml:space="preserve">לאחר מעשי הטרור שפקדו את מדינת ישראל בשבת השחורה (07.10.23). </w:t>
      </w:r>
    </w:p>
    <w:p w14:paraId="463F5C5D" w14:textId="77777777" w:rsidR="00070714" w:rsidRDefault="00070714" w:rsidP="00070714">
      <w:pPr>
        <w:spacing w:line="360" w:lineRule="auto"/>
        <w:ind w:left="720"/>
        <w:jc w:val="both"/>
        <w:rPr>
          <w:rFonts w:ascii="David" w:hAnsi="David"/>
          <w:rtl/>
        </w:rPr>
      </w:pPr>
    </w:p>
    <w:p w14:paraId="07C7231F" w14:textId="77777777" w:rsidR="00070714" w:rsidRDefault="00070714" w:rsidP="00070714">
      <w:pPr>
        <w:spacing w:line="360" w:lineRule="auto"/>
        <w:ind w:left="720" w:hanging="720"/>
        <w:jc w:val="both"/>
        <w:rPr>
          <w:rtl/>
        </w:rPr>
      </w:pPr>
      <w:r>
        <w:rPr>
          <w:rFonts w:hint="cs"/>
          <w:rtl/>
        </w:rPr>
        <w:t>14</w:t>
      </w:r>
      <w:r>
        <w:rPr>
          <w:rtl/>
        </w:rPr>
        <w:t xml:space="preserve">. </w:t>
      </w:r>
      <w:r>
        <w:rPr>
          <w:rtl/>
        </w:rPr>
        <w:tab/>
        <w:t xml:space="preserve">הנאשם יליד 2003, בעל רישום פלילי יחיד בגין הפרעה לשוטר במילוי תפקידו והחזקת אגרופן/סכין בבית המשפט לנוער, ועצור בענייננו מיום 23.12.2022. </w:t>
      </w:r>
    </w:p>
    <w:p w14:paraId="7D9B0CBD" w14:textId="77777777" w:rsidR="00070714" w:rsidRDefault="00070714" w:rsidP="00070714">
      <w:pPr>
        <w:spacing w:line="360" w:lineRule="auto"/>
        <w:ind w:left="720"/>
        <w:jc w:val="both"/>
        <w:rPr>
          <w:rtl/>
        </w:rPr>
      </w:pPr>
      <w:r>
        <w:rPr>
          <w:rtl/>
        </w:rPr>
        <w:t xml:space="preserve">לקולת העונש התחשבתי בגילו הצעיר של הנאשם, בהודאתו, בחרטה שהביע ובחיים הנורמטיביים שניהל עובר לביצוע העבירה שבענייננו.  </w:t>
      </w:r>
    </w:p>
    <w:p w14:paraId="40449C81" w14:textId="77777777" w:rsidR="00070714" w:rsidRDefault="00070714" w:rsidP="00070714">
      <w:pPr>
        <w:spacing w:line="360" w:lineRule="auto"/>
        <w:ind w:left="720"/>
        <w:jc w:val="both"/>
        <w:rPr>
          <w:rtl/>
        </w:rPr>
      </w:pPr>
      <w:r>
        <w:rPr>
          <w:rtl/>
        </w:rPr>
        <w:t xml:space="preserve">כן התרשמתי כי לנאשם משפחה נורמטיבית ותומכת אשר תסייע לו לקיים אורח חיים נורמטיבי לאחר שחרורו מהכלא.  </w:t>
      </w:r>
      <w:r>
        <w:rPr>
          <w:rtl/>
        </w:rPr>
        <w:tab/>
      </w:r>
    </w:p>
    <w:p w14:paraId="2334E5CB" w14:textId="77777777" w:rsidR="00070714" w:rsidRDefault="00070714" w:rsidP="00070714">
      <w:pPr>
        <w:spacing w:line="360" w:lineRule="auto"/>
        <w:jc w:val="both"/>
        <w:rPr>
          <w:rFonts w:ascii="David" w:hAnsi="David"/>
        </w:rPr>
      </w:pPr>
    </w:p>
    <w:p w14:paraId="3F6069EC" w14:textId="77777777" w:rsidR="00070714" w:rsidRDefault="00070714" w:rsidP="00070714">
      <w:pPr>
        <w:spacing w:line="360" w:lineRule="auto"/>
        <w:ind w:left="720" w:hanging="720"/>
        <w:jc w:val="both"/>
        <w:rPr>
          <w:rFonts w:ascii="David" w:hAnsi="David"/>
        </w:rPr>
      </w:pPr>
      <w:r>
        <w:rPr>
          <w:rFonts w:ascii="David" w:hAnsi="David" w:hint="cs"/>
          <w:rtl/>
        </w:rPr>
        <w:t>15</w:t>
      </w:r>
      <w:r>
        <w:rPr>
          <w:rFonts w:ascii="David" w:hAnsi="David"/>
          <w:rtl/>
        </w:rPr>
        <w:t>.</w:t>
      </w:r>
      <w:r>
        <w:rPr>
          <w:rFonts w:ascii="David" w:hAnsi="David"/>
          <w:rtl/>
        </w:rPr>
        <w:tab/>
        <w:t>בהינתן חומרת העבירה והמעשה</w:t>
      </w:r>
      <w:r>
        <w:rPr>
          <w:rFonts w:ascii="David" w:hAnsi="David" w:hint="cs"/>
          <w:rtl/>
        </w:rPr>
        <w:t xml:space="preserve"> וגם לאחר ששקלתי את השיקולים לקולא כמפורט לעיל, </w:t>
      </w:r>
      <w:r>
        <w:rPr>
          <w:rFonts w:ascii="David" w:hAnsi="David"/>
          <w:rtl/>
        </w:rPr>
        <w:t xml:space="preserve">הרי שהסדר הטיעון בעניינו של הנאשם מקל מאוד ולדידי אינו משקף את הענישה הראויה והנוהגת. ביצוע העבירה בה הורשע הנאשם בנסיבותיה המפורטות בכתב האישום המתוקן, מצדיק ענישה מחמירה יותר מזו המוסכמת על ידי באי כוח הצדדים. </w:t>
      </w:r>
    </w:p>
    <w:p w14:paraId="70CC6004" w14:textId="77777777" w:rsidR="00070714" w:rsidRDefault="00070714" w:rsidP="00070714">
      <w:pPr>
        <w:spacing w:line="360" w:lineRule="auto"/>
        <w:ind w:left="720" w:hanging="720"/>
        <w:jc w:val="both"/>
        <w:rPr>
          <w:rFonts w:ascii="David" w:hAnsi="David"/>
          <w:rtl/>
        </w:rPr>
      </w:pPr>
    </w:p>
    <w:p w14:paraId="6B8C7F1F" w14:textId="77777777" w:rsidR="00070714" w:rsidRDefault="00070714" w:rsidP="00070714">
      <w:pPr>
        <w:spacing w:line="360" w:lineRule="auto"/>
        <w:ind w:left="720" w:hanging="720"/>
        <w:jc w:val="both"/>
        <w:rPr>
          <w:rFonts w:ascii="David" w:hAnsi="David"/>
        </w:rPr>
      </w:pPr>
      <w:r>
        <w:rPr>
          <w:rFonts w:ascii="David" w:hAnsi="David" w:hint="cs"/>
          <w:rtl/>
        </w:rPr>
        <w:t>16</w:t>
      </w:r>
      <w:r>
        <w:rPr>
          <w:rFonts w:ascii="David" w:hAnsi="David"/>
          <w:rtl/>
        </w:rPr>
        <w:t>.</w:t>
      </w:r>
      <w:r>
        <w:rPr>
          <w:rFonts w:ascii="David" w:hAnsi="David"/>
          <w:rtl/>
        </w:rPr>
        <w:tab/>
        <w:t xml:space="preserve">יחד עם זאת, לאחר ששמעתי טיעוני באי כוח הצדדים, מצאתי, שלא בלי היסוס, שלא לחרוג מהסדר הטיעון בהינתן מדיניות בתי המשפט הנוגעת לכיבוד הסדר טיעון, גילו הצעיר של  הנאשם והודאתו, </w:t>
      </w:r>
      <w:r>
        <w:rPr>
          <w:rFonts w:ascii="David" w:hAnsi="David"/>
          <w:b/>
          <w:bCs/>
          <w:rtl/>
        </w:rPr>
        <w:t>ובעיקר</w:t>
      </w:r>
      <w:r>
        <w:rPr>
          <w:rFonts w:ascii="David" w:hAnsi="David"/>
          <w:rtl/>
        </w:rPr>
        <w:t xml:space="preserve"> לנוכח גזר הדין שניתן בעניינו של סול. אכן צודקים באי כוח הצדדים כי חלקו של סול בפרשיה גדול מחלקו של הנאשם שבענייננו, וגזר דינו </w:t>
      </w:r>
      <w:r>
        <w:rPr>
          <w:rFonts w:ascii="David" w:hAnsi="David" w:hint="cs"/>
          <w:rtl/>
        </w:rPr>
        <w:t xml:space="preserve">של הנאשם </w:t>
      </w:r>
      <w:r>
        <w:rPr>
          <w:rFonts w:ascii="David" w:hAnsi="David"/>
          <w:rtl/>
        </w:rPr>
        <w:t xml:space="preserve">צריך להיגזר גם מעונשו של סול. </w:t>
      </w:r>
    </w:p>
    <w:p w14:paraId="07F5CA44" w14:textId="77777777" w:rsidR="00070714" w:rsidRDefault="00070714" w:rsidP="00070714">
      <w:pPr>
        <w:pStyle w:val="a9"/>
        <w:rPr>
          <w:rFonts w:ascii="David" w:hAnsi="David" w:cs="David"/>
          <w:sz w:val="24"/>
          <w:szCs w:val="24"/>
          <w:rtl/>
        </w:rPr>
      </w:pPr>
    </w:p>
    <w:p w14:paraId="7B5D4BDF" w14:textId="77777777" w:rsidR="00070714" w:rsidRDefault="00070714" w:rsidP="00070714">
      <w:pPr>
        <w:spacing w:line="360" w:lineRule="auto"/>
        <w:ind w:left="720" w:hanging="720"/>
        <w:jc w:val="both"/>
        <w:rPr>
          <w:rFonts w:ascii="David" w:hAnsi="David"/>
          <w:rtl/>
        </w:rPr>
      </w:pPr>
      <w:r>
        <w:rPr>
          <w:rFonts w:ascii="David" w:hAnsi="David" w:hint="cs"/>
          <w:rtl/>
        </w:rPr>
        <w:t>17.</w:t>
      </w:r>
      <w:r>
        <w:rPr>
          <w:rFonts w:ascii="David" w:hAnsi="David"/>
          <w:rtl/>
        </w:rPr>
        <w:tab/>
        <w:t xml:space="preserve">בהתחשב בתקופת המאסר הקצרה יחסית שבהסדר, </w:t>
      </w:r>
      <w:r>
        <w:rPr>
          <w:rtl/>
        </w:rPr>
        <w:t xml:space="preserve">מצאתי להחמיר ברכיבי המאסר המותנה והקנס שיוטלו על הנאשם וזאת כדי להרתיעו מפני ביצוע עבירות דומות. </w:t>
      </w:r>
    </w:p>
    <w:p w14:paraId="45349A8E" w14:textId="77777777" w:rsidR="00070714" w:rsidRDefault="00070714" w:rsidP="00070714">
      <w:pPr>
        <w:spacing w:line="360" w:lineRule="auto"/>
        <w:ind w:left="720"/>
        <w:jc w:val="both"/>
        <w:rPr>
          <w:rFonts w:ascii="David" w:hAnsi="David"/>
          <w:highlight w:val="yellow"/>
          <w:rtl/>
        </w:rPr>
      </w:pPr>
    </w:p>
    <w:p w14:paraId="0E1A0CD6" w14:textId="77777777" w:rsidR="00070714" w:rsidRDefault="00070714" w:rsidP="00070714">
      <w:pPr>
        <w:spacing w:line="360" w:lineRule="auto"/>
        <w:ind w:left="720" w:hanging="720"/>
        <w:jc w:val="both"/>
        <w:rPr>
          <w:rFonts w:ascii="David" w:hAnsi="David"/>
          <w:rtl/>
        </w:rPr>
      </w:pPr>
    </w:p>
    <w:p w14:paraId="186B19A7" w14:textId="77777777" w:rsidR="00070714" w:rsidRDefault="00070714" w:rsidP="00070714">
      <w:pPr>
        <w:spacing w:line="360" w:lineRule="auto"/>
        <w:ind w:left="720" w:hanging="720"/>
        <w:jc w:val="both"/>
        <w:rPr>
          <w:rFonts w:ascii="David" w:hAnsi="David"/>
          <w:rtl/>
        </w:rPr>
      </w:pPr>
    </w:p>
    <w:p w14:paraId="5FC3E013" w14:textId="77777777" w:rsidR="00070714" w:rsidRDefault="00070714" w:rsidP="00070714">
      <w:pPr>
        <w:spacing w:line="360" w:lineRule="auto"/>
        <w:ind w:left="720" w:hanging="720"/>
        <w:jc w:val="both"/>
        <w:rPr>
          <w:rFonts w:ascii="David" w:hAnsi="David"/>
          <w:rtl/>
        </w:rPr>
      </w:pPr>
    </w:p>
    <w:p w14:paraId="787832E2" w14:textId="77777777" w:rsidR="00070714" w:rsidRDefault="00070714" w:rsidP="00070714">
      <w:pPr>
        <w:spacing w:line="360" w:lineRule="auto"/>
        <w:ind w:left="720" w:hanging="720"/>
        <w:jc w:val="both"/>
        <w:rPr>
          <w:rFonts w:ascii="David" w:hAnsi="David"/>
          <w:rtl/>
        </w:rPr>
      </w:pPr>
    </w:p>
    <w:p w14:paraId="3644FD37" w14:textId="77777777" w:rsidR="00070714" w:rsidRDefault="00070714" w:rsidP="00070714">
      <w:pPr>
        <w:spacing w:line="360" w:lineRule="auto"/>
        <w:ind w:left="720" w:hanging="720"/>
        <w:jc w:val="both"/>
        <w:rPr>
          <w:rFonts w:ascii="David" w:hAnsi="David"/>
          <w:rtl/>
        </w:rPr>
      </w:pPr>
    </w:p>
    <w:p w14:paraId="0FB2FD3A" w14:textId="77777777" w:rsidR="00070714" w:rsidRDefault="00070714" w:rsidP="00070714">
      <w:pPr>
        <w:spacing w:line="360" w:lineRule="auto"/>
        <w:ind w:left="720" w:hanging="720"/>
        <w:jc w:val="both"/>
        <w:rPr>
          <w:rFonts w:ascii="David" w:hAnsi="David"/>
          <w:rtl/>
        </w:rPr>
      </w:pPr>
      <w:r>
        <w:rPr>
          <w:rFonts w:ascii="David" w:hAnsi="David"/>
          <w:rtl/>
        </w:rPr>
        <w:tab/>
      </w:r>
    </w:p>
    <w:p w14:paraId="60A9502B" w14:textId="77777777" w:rsidR="00070714" w:rsidRPr="009A36E3" w:rsidRDefault="00070714" w:rsidP="00070714">
      <w:pPr>
        <w:spacing w:line="360" w:lineRule="auto"/>
        <w:jc w:val="both"/>
        <w:rPr>
          <w:rFonts w:ascii="David" w:hAnsi="David"/>
          <w:b/>
          <w:bCs/>
        </w:rPr>
      </w:pPr>
      <w:r>
        <w:rPr>
          <w:rFonts w:ascii="David" w:hAnsi="David" w:hint="cs"/>
          <w:rtl/>
        </w:rPr>
        <w:t>18</w:t>
      </w:r>
      <w:r w:rsidRPr="009A36E3">
        <w:rPr>
          <w:rFonts w:ascii="David" w:hAnsi="David" w:hint="cs"/>
          <w:rtl/>
        </w:rPr>
        <w:t>.</w:t>
      </w:r>
      <w:r>
        <w:rPr>
          <w:rFonts w:ascii="David" w:hAnsi="David" w:hint="cs"/>
          <w:b/>
          <w:bCs/>
          <w:rtl/>
        </w:rPr>
        <w:tab/>
      </w:r>
      <w:r w:rsidRPr="009A36E3">
        <w:rPr>
          <w:rFonts w:ascii="David" w:hAnsi="David"/>
          <w:b/>
          <w:bCs/>
          <w:rtl/>
        </w:rPr>
        <w:t>לאור האמור לעיל, אני גוזר על הנאשם את העונשים הבאים:</w:t>
      </w:r>
    </w:p>
    <w:p w14:paraId="5A756101" w14:textId="77777777" w:rsidR="00070714" w:rsidRDefault="00070714" w:rsidP="00070714">
      <w:pPr>
        <w:spacing w:line="360" w:lineRule="auto"/>
        <w:jc w:val="both"/>
        <w:rPr>
          <w:rFonts w:ascii="David" w:hAnsi="David"/>
          <w:b/>
          <w:bCs/>
          <w:rtl/>
        </w:rPr>
      </w:pPr>
    </w:p>
    <w:p w14:paraId="641745F8" w14:textId="77777777" w:rsidR="00070714" w:rsidRDefault="00070714" w:rsidP="00070714">
      <w:pPr>
        <w:spacing w:line="360" w:lineRule="auto"/>
        <w:jc w:val="both"/>
        <w:rPr>
          <w:rFonts w:ascii="David" w:hAnsi="David"/>
          <w:rtl/>
        </w:rPr>
      </w:pPr>
      <w:r w:rsidRPr="009A36E3">
        <w:rPr>
          <w:rFonts w:ascii="David" w:hAnsi="David"/>
          <w:rtl/>
        </w:rPr>
        <w:tab/>
      </w:r>
      <w:r w:rsidRPr="009A36E3">
        <w:rPr>
          <w:rFonts w:ascii="David" w:hAnsi="David" w:hint="cs"/>
          <w:rtl/>
        </w:rPr>
        <w:t>א.</w:t>
      </w:r>
      <w:r>
        <w:rPr>
          <w:rFonts w:ascii="David" w:hAnsi="David" w:hint="cs"/>
          <w:b/>
          <w:bCs/>
          <w:rtl/>
        </w:rPr>
        <w:tab/>
      </w:r>
      <w:r>
        <w:rPr>
          <w:rFonts w:ascii="David" w:hAnsi="David"/>
          <w:rtl/>
        </w:rPr>
        <w:t>24 חודשי מאסר בפועל, בניכוי ימי מעצרו.</w:t>
      </w:r>
    </w:p>
    <w:p w14:paraId="6BE4166E" w14:textId="77777777" w:rsidR="00070714" w:rsidRDefault="00070714" w:rsidP="00070714">
      <w:pPr>
        <w:pStyle w:val="a9"/>
        <w:spacing w:line="360" w:lineRule="auto"/>
        <w:jc w:val="both"/>
        <w:rPr>
          <w:rFonts w:ascii="David" w:hAnsi="David" w:cs="David"/>
          <w:sz w:val="24"/>
          <w:szCs w:val="24"/>
          <w:rtl/>
        </w:rPr>
      </w:pPr>
    </w:p>
    <w:p w14:paraId="283D63E9" w14:textId="77777777" w:rsidR="00070714" w:rsidRDefault="00070714" w:rsidP="00070714">
      <w:pPr>
        <w:pStyle w:val="a9"/>
        <w:spacing w:line="360" w:lineRule="auto"/>
        <w:ind w:left="1440" w:hanging="720"/>
        <w:jc w:val="both"/>
        <w:rPr>
          <w:rFonts w:ascii="David" w:hAnsi="David" w:cs="David"/>
          <w:sz w:val="24"/>
          <w:szCs w:val="24"/>
          <w:rtl/>
        </w:rPr>
      </w:pPr>
      <w:r>
        <w:rPr>
          <w:rFonts w:ascii="David" w:hAnsi="David" w:cs="David" w:hint="cs"/>
          <w:sz w:val="24"/>
          <w:szCs w:val="24"/>
          <w:rtl/>
        </w:rPr>
        <w:t>ב.</w:t>
      </w:r>
      <w:r>
        <w:rPr>
          <w:rFonts w:ascii="David" w:hAnsi="David" w:cs="David" w:hint="cs"/>
          <w:sz w:val="24"/>
          <w:szCs w:val="24"/>
          <w:rtl/>
        </w:rPr>
        <w:tab/>
      </w:r>
      <w:r>
        <w:rPr>
          <w:rFonts w:ascii="David" w:hAnsi="David" w:cs="David"/>
          <w:sz w:val="24"/>
          <w:szCs w:val="24"/>
          <w:rtl/>
        </w:rPr>
        <w:t xml:space="preserve">18 חודשי מאסר על תנאי למשך שלוש שנים מיום שחרורו, שלא יעבור עבירה בנשק לפי </w:t>
      </w:r>
      <w:hyperlink r:id="rId15" w:history="1">
        <w:r w:rsidR="008E2FF7" w:rsidRPr="008E2FF7">
          <w:rPr>
            <w:rStyle w:val="Hyperlink"/>
            <w:rFonts w:ascii="David" w:hAnsi="David" w:cs="David"/>
            <w:sz w:val="24"/>
            <w:szCs w:val="24"/>
            <w:rtl/>
          </w:rPr>
          <w:t>סעיף 144</w:t>
        </w:r>
      </w:hyperlink>
      <w:r>
        <w:rPr>
          <w:rFonts w:ascii="David" w:hAnsi="David" w:cs="David"/>
          <w:sz w:val="24"/>
          <w:szCs w:val="24"/>
          <w:rtl/>
        </w:rPr>
        <w:t xml:space="preserve"> ל</w:t>
      </w:r>
      <w:hyperlink r:id="rId16" w:history="1">
        <w:r w:rsidR="00785FC9" w:rsidRPr="00785FC9">
          <w:rPr>
            <w:rFonts w:ascii="David" w:hAnsi="David" w:cs="David"/>
            <w:color w:val="0000FF"/>
            <w:sz w:val="24"/>
            <w:szCs w:val="24"/>
            <w:u w:val="single"/>
            <w:rtl/>
          </w:rPr>
          <w:t>חוק העונשין</w:t>
        </w:r>
      </w:hyperlink>
      <w:r>
        <w:rPr>
          <w:rFonts w:ascii="David" w:hAnsi="David" w:cs="David"/>
          <w:sz w:val="24"/>
          <w:szCs w:val="24"/>
          <w:rtl/>
        </w:rPr>
        <w:t xml:space="preserve"> התשל"ז - 1977 על חלופותיו השונות.</w:t>
      </w:r>
    </w:p>
    <w:p w14:paraId="562EB57D" w14:textId="77777777" w:rsidR="00070714" w:rsidRDefault="00070714" w:rsidP="00070714">
      <w:pPr>
        <w:pStyle w:val="a9"/>
        <w:spacing w:line="360" w:lineRule="auto"/>
        <w:ind w:left="1440" w:hanging="720"/>
        <w:jc w:val="both"/>
        <w:rPr>
          <w:rFonts w:ascii="David" w:hAnsi="David" w:cs="David"/>
          <w:sz w:val="24"/>
          <w:szCs w:val="24"/>
          <w:rtl/>
        </w:rPr>
      </w:pPr>
    </w:p>
    <w:p w14:paraId="58F56010" w14:textId="77777777" w:rsidR="00070714" w:rsidRDefault="00070714" w:rsidP="00070714">
      <w:pPr>
        <w:pStyle w:val="a9"/>
        <w:spacing w:line="360" w:lineRule="auto"/>
        <w:ind w:left="1440" w:hanging="720"/>
        <w:jc w:val="both"/>
        <w:rPr>
          <w:rFonts w:ascii="David" w:hAnsi="David" w:cs="David"/>
          <w:sz w:val="24"/>
          <w:szCs w:val="24"/>
        </w:rPr>
      </w:pPr>
      <w:r>
        <w:rPr>
          <w:rFonts w:ascii="David" w:hAnsi="David" w:cs="David" w:hint="cs"/>
          <w:sz w:val="24"/>
          <w:szCs w:val="24"/>
          <w:rtl/>
        </w:rPr>
        <w:t>ג.</w:t>
      </w:r>
      <w:r>
        <w:rPr>
          <w:rFonts w:ascii="David" w:hAnsi="David" w:cs="David" w:hint="cs"/>
          <w:sz w:val="24"/>
          <w:szCs w:val="24"/>
          <w:rtl/>
        </w:rPr>
        <w:tab/>
      </w:r>
      <w:r>
        <w:rPr>
          <w:rFonts w:ascii="David" w:hAnsi="David" w:cs="David"/>
          <w:sz w:val="24"/>
          <w:szCs w:val="24"/>
          <w:rtl/>
        </w:rPr>
        <w:t>קנס בסך 12,000 ₪ או 60 ימי מאסר תמורתו. הקנס ישולם ב- 12 תשלומים חודשיים שווים ורצופים החל מיום 01.02.2025 ובכל 01 בכל חודש שלאחריו. אם לא ישלם הנאשם את אחד התשלומים במועד יועמד הקנס כולו לפ</w:t>
      </w:r>
      <w:r>
        <w:rPr>
          <w:rFonts w:ascii="David" w:hAnsi="David" w:cs="David" w:hint="cs"/>
          <w:sz w:val="24"/>
          <w:szCs w:val="24"/>
          <w:rtl/>
        </w:rPr>
        <w:t>י</w:t>
      </w:r>
      <w:r>
        <w:rPr>
          <w:rFonts w:ascii="David" w:hAnsi="David" w:cs="David"/>
          <w:sz w:val="24"/>
          <w:szCs w:val="24"/>
          <w:rtl/>
        </w:rPr>
        <w:t>רעון מיידי.</w:t>
      </w:r>
    </w:p>
    <w:p w14:paraId="587335FB" w14:textId="77777777" w:rsidR="00070714" w:rsidRDefault="00070714" w:rsidP="00070714">
      <w:pPr>
        <w:pStyle w:val="a9"/>
        <w:spacing w:line="360" w:lineRule="auto"/>
        <w:ind w:firstLine="720"/>
        <w:jc w:val="both"/>
        <w:rPr>
          <w:rFonts w:ascii="David" w:hAnsi="David" w:cs="David"/>
          <w:sz w:val="24"/>
          <w:szCs w:val="24"/>
          <w:rtl/>
        </w:rPr>
      </w:pPr>
      <w:r>
        <w:rPr>
          <w:rFonts w:ascii="David" w:hAnsi="David" w:cs="David"/>
          <w:sz w:val="24"/>
          <w:szCs w:val="24"/>
          <w:rtl/>
        </w:rPr>
        <w:t xml:space="preserve">המזכירות תנפיק שוברים לנאשם. </w:t>
      </w:r>
    </w:p>
    <w:p w14:paraId="56EAB4CD" w14:textId="77777777" w:rsidR="00070714" w:rsidRDefault="00070714" w:rsidP="00070714">
      <w:pPr>
        <w:pStyle w:val="a9"/>
        <w:spacing w:line="360" w:lineRule="auto"/>
        <w:ind w:firstLine="720"/>
        <w:jc w:val="both"/>
        <w:rPr>
          <w:rFonts w:ascii="David" w:hAnsi="David" w:cs="David"/>
          <w:sz w:val="24"/>
          <w:szCs w:val="24"/>
          <w:rtl/>
        </w:rPr>
      </w:pPr>
    </w:p>
    <w:p w14:paraId="0526F56B" w14:textId="77777777" w:rsidR="00070714" w:rsidRDefault="00070714" w:rsidP="00070714">
      <w:pPr>
        <w:spacing w:line="360" w:lineRule="auto"/>
        <w:ind w:left="1440" w:hanging="720"/>
        <w:jc w:val="both"/>
        <w:rPr>
          <w:rFonts w:ascii="David" w:hAnsi="David"/>
          <w:rtl/>
        </w:rPr>
      </w:pPr>
      <w:r w:rsidRPr="009A36E3">
        <w:rPr>
          <w:rFonts w:ascii="David" w:hAnsi="David" w:hint="cs"/>
          <w:rtl/>
        </w:rPr>
        <w:t>ד.</w:t>
      </w:r>
      <w:r w:rsidRPr="009A36E3">
        <w:rPr>
          <w:rFonts w:ascii="David" w:hAnsi="David" w:hint="cs"/>
          <w:rtl/>
        </w:rPr>
        <w:tab/>
      </w:r>
      <w:r>
        <w:rPr>
          <w:rFonts w:ascii="David" w:hAnsi="David" w:hint="cs"/>
          <w:rtl/>
        </w:rPr>
        <w:t>הנאשם יחתום על התחייבות בסכום 10,000 ₪ שתוקפה למשך שלוש שנים מהיום לבל יעבור עבירה בה הורשע. הנאשם יחתום על ההתחייבות עוד היום (29.11.23).</w:t>
      </w:r>
      <w:r>
        <w:rPr>
          <w:rFonts w:ascii="David" w:hAnsi="David"/>
          <w:rtl/>
        </w:rPr>
        <w:t xml:space="preserve"> </w:t>
      </w:r>
    </w:p>
    <w:p w14:paraId="42A1AE49" w14:textId="77777777" w:rsidR="00070714" w:rsidRPr="00785FC9" w:rsidRDefault="00785FC9" w:rsidP="00070714">
      <w:pPr>
        <w:spacing w:line="360" w:lineRule="auto"/>
        <w:jc w:val="both"/>
        <w:rPr>
          <w:rFonts w:ascii="David" w:hAnsi="David"/>
          <w:b/>
          <w:bCs/>
          <w:color w:val="FFFFFF"/>
          <w:sz w:val="2"/>
          <w:szCs w:val="2"/>
          <w:rtl/>
        </w:rPr>
      </w:pPr>
      <w:r w:rsidRPr="00785FC9">
        <w:rPr>
          <w:rFonts w:ascii="David" w:hAnsi="David"/>
          <w:b/>
          <w:bCs/>
          <w:color w:val="FFFFFF"/>
          <w:sz w:val="2"/>
          <w:szCs w:val="2"/>
          <w:rtl/>
        </w:rPr>
        <w:t>5129371</w:t>
      </w:r>
    </w:p>
    <w:p w14:paraId="4FA80AFF" w14:textId="77777777" w:rsidR="00070714" w:rsidRDefault="00785FC9" w:rsidP="00070714">
      <w:pPr>
        <w:spacing w:line="360" w:lineRule="auto"/>
        <w:jc w:val="both"/>
        <w:rPr>
          <w:rFonts w:ascii="David" w:hAnsi="David"/>
          <w:b/>
          <w:bCs/>
          <w:rtl/>
        </w:rPr>
      </w:pPr>
      <w:r w:rsidRPr="00785FC9">
        <w:rPr>
          <w:rFonts w:ascii="David" w:hAnsi="David"/>
          <w:b/>
          <w:bCs/>
          <w:color w:val="FFFFFF"/>
          <w:sz w:val="2"/>
          <w:szCs w:val="2"/>
          <w:rtl/>
        </w:rPr>
        <w:t>54678313</w:t>
      </w:r>
      <w:r w:rsidR="00070714">
        <w:rPr>
          <w:rFonts w:ascii="David" w:hAnsi="David"/>
          <w:b/>
          <w:bCs/>
          <w:rtl/>
        </w:rPr>
        <w:t xml:space="preserve">זכות ערעור לבית המשפט העליון תוך 45 ימים. </w:t>
      </w:r>
    </w:p>
    <w:p w14:paraId="7CBAC8BA" w14:textId="77777777" w:rsidR="00070714" w:rsidRPr="000F2247" w:rsidRDefault="00070714" w:rsidP="00070714">
      <w:pPr>
        <w:rPr>
          <w:rFonts w:ascii="Arial" w:hAnsi="Arial"/>
          <w:b/>
          <w:bCs/>
          <w:sz w:val="26"/>
          <w:szCs w:val="26"/>
          <w:rtl/>
        </w:rPr>
      </w:pPr>
    </w:p>
    <w:p w14:paraId="24B37D96" w14:textId="77777777" w:rsidR="00070714" w:rsidRPr="000F2247" w:rsidRDefault="00785FC9" w:rsidP="0007071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ט"ז כסלו תשפ"ד, 29 נובמבר 2023, במעמד הצדדים.  </w:t>
      </w:r>
      <w:bookmarkEnd w:id="8"/>
      <w:r w:rsidR="00070714">
        <w:rPr>
          <w:rFonts w:ascii="Arial" w:hAnsi="Arial"/>
          <w:b/>
          <w:bCs/>
          <w:sz w:val="26"/>
          <w:szCs w:val="26"/>
          <w:rtl/>
        </w:rPr>
        <w:tab/>
      </w:r>
      <w:r w:rsidR="00070714">
        <w:rPr>
          <w:rFonts w:ascii="Arial" w:hAnsi="Arial"/>
          <w:b/>
          <w:bCs/>
          <w:sz w:val="26"/>
          <w:szCs w:val="26"/>
          <w:rtl/>
        </w:rPr>
        <w:tab/>
      </w:r>
      <w:r w:rsidR="00070714">
        <w:rPr>
          <w:rFonts w:ascii="Arial" w:hAnsi="Arial"/>
          <w:b/>
          <w:bCs/>
          <w:sz w:val="26"/>
          <w:szCs w:val="26"/>
          <w:rtl/>
        </w:rPr>
        <w:tab/>
      </w:r>
      <w:r w:rsidR="00070714">
        <w:rPr>
          <w:rFonts w:ascii="Arial" w:hAnsi="Arial"/>
          <w:b/>
          <w:bCs/>
          <w:sz w:val="26"/>
          <w:szCs w:val="26"/>
          <w:rtl/>
        </w:rPr>
        <w:tab/>
      </w:r>
      <w:r w:rsidR="00070714">
        <w:rPr>
          <w:rFonts w:ascii="Arial" w:hAnsi="Arial"/>
          <w:b/>
          <w:bCs/>
          <w:sz w:val="26"/>
          <w:szCs w:val="26"/>
          <w:rtl/>
        </w:rPr>
        <w:tab/>
      </w:r>
      <w:r w:rsidR="00070714">
        <w:rPr>
          <w:rFonts w:ascii="Arial" w:hAnsi="Arial"/>
          <w:b/>
          <w:bCs/>
          <w:sz w:val="26"/>
          <w:szCs w:val="26"/>
          <w:rtl/>
        </w:rPr>
        <w:tab/>
      </w:r>
      <w:r w:rsidR="00070714">
        <w:rPr>
          <w:rFonts w:ascii="Arial" w:hAnsi="Arial"/>
          <w:b/>
          <w:bCs/>
          <w:sz w:val="26"/>
          <w:szCs w:val="26"/>
          <w:rtl/>
        </w:rPr>
        <w:tab/>
      </w:r>
      <w:r w:rsidR="00070714">
        <w:rPr>
          <w:rFonts w:ascii="Arial" w:hAnsi="Arial" w:hint="cs"/>
          <w:b/>
          <w:bCs/>
          <w:sz w:val="26"/>
          <w:szCs w:val="26"/>
          <w:rtl/>
        </w:rPr>
        <w:t xml:space="preserve">         </w:t>
      </w:r>
    </w:p>
    <w:p w14:paraId="14E59A45" w14:textId="77777777" w:rsidR="00070714" w:rsidRPr="000F2247" w:rsidRDefault="00070714" w:rsidP="00785FC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75BF413" w14:textId="77777777" w:rsidR="00070714" w:rsidRPr="008E2FF7" w:rsidRDefault="008E2FF7" w:rsidP="00070714">
      <w:pPr>
        <w:jc w:val="center"/>
        <w:rPr>
          <w:rFonts w:ascii="Arial" w:hAnsi="Arial"/>
          <w:b/>
          <w:bCs/>
          <w:color w:val="FFFFFF"/>
          <w:sz w:val="2"/>
          <w:szCs w:val="2"/>
          <w:rtl/>
        </w:rPr>
      </w:pPr>
      <w:r w:rsidRPr="008E2FF7">
        <w:rPr>
          <w:rFonts w:ascii="Arial" w:hAnsi="Arial"/>
          <w:b/>
          <w:bCs/>
          <w:color w:val="FFFFFF"/>
          <w:sz w:val="2"/>
          <w:szCs w:val="2"/>
          <w:rtl/>
        </w:rPr>
        <w:t>5129371</w:t>
      </w:r>
    </w:p>
    <w:p w14:paraId="2DAF60C8" w14:textId="77777777" w:rsidR="00AD512E" w:rsidRPr="008E2FF7" w:rsidRDefault="008E2FF7" w:rsidP="00785FC9">
      <w:pPr>
        <w:keepNext/>
        <w:rPr>
          <w:rFonts w:ascii="David" w:hAnsi="David"/>
          <w:color w:val="FFFFFF"/>
          <w:sz w:val="2"/>
          <w:szCs w:val="2"/>
          <w:rtl/>
        </w:rPr>
      </w:pPr>
      <w:r w:rsidRPr="008E2FF7">
        <w:rPr>
          <w:rFonts w:ascii="David" w:hAnsi="David"/>
          <w:color w:val="FFFFFF"/>
          <w:sz w:val="2"/>
          <w:szCs w:val="2"/>
          <w:rtl/>
        </w:rPr>
        <w:t>54678313</w:t>
      </w:r>
    </w:p>
    <w:p w14:paraId="3C20B75E" w14:textId="77777777" w:rsidR="00785FC9" w:rsidRPr="00785FC9" w:rsidRDefault="00785FC9" w:rsidP="00785FC9">
      <w:pPr>
        <w:keepNext/>
        <w:rPr>
          <w:rFonts w:ascii="David" w:hAnsi="David"/>
          <w:color w:val="000000"/>
          <w:sz w:val="22"/>
          <w:szCs w:val="22"/>
          <w:rtl/>
        </w:rPr>
      </w:pPr>
      <w:r w:rsidRPr="00785FC9">
        <w:rPr>
          <w:rFonts w:ascii="David" w:hAnsi="David"/>
          <w:color w:val="000000"/>
          <w:sz w:val="22"/>
          <w:szCs w:val="22"/>
          <w:rtl/>
        </w:rPr>
        <w:t>אלון גביזון 54678313</w:t>
      </w:r>
    </w:p>
    <w:p w14:paraId="4E275B67" w14:textId="77777777" w:rsidR="00785FC9" w:rsidRDefault="00785FC9" w:rsidP="00785FC9">
      <w:r w:rsidRPr="00785FC9">
        <w:rPr>
          <w:color w:val="000000"/>
          <w:rtl/>
        </w:rPr>
        <w:t>נוסח מסמך זה כפוף לשינויי ניסוח ועריכה</w:t>
      </w:r>
    </w:p>
    <w:p w14:paraId="56EA587B" w14:textId="77777777" w:rsidR="00785FC9" w:rsidRDefault="00785FC9" w:rsidP="00785FC9">
      <w:pPr>
        <w:rPr>
          <w:rtl/>
        </w:rPr>
      </w:pPr>
    </w:p>
    <w:p w14:paraId="77514D42" w14:textId="77777777" w:rsidR="00785FC9" w:rsidRDefault="00785FC9" w:rsidP="00785FC9">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p>
    <w:sectPr w:rsidR="00785FC9" w:rsidSect="008E2FF7">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1A35F" w14:textId="77777777" w:rsidR="00D71664" w:rsidRDefault="00D71664" w:rsidP="000D063F">
      <w:r>
        <w:separator/>
      </w:r>
    </w:p>
  </w:endnote>
  <w:endnote w:type="continuationSeparator" w:id="0">
    <w:p w14:paraId="6A2090EF" w14:textId="77777777" w:rsidR="00D71664" w:rsidRDefault="00D71664" w:rsidP="000D0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EEFF5" w14:textId="77777777" w:rsidR="008E2FF7" w:rsidRDefault="008E2FF7" w:rsidP="008E2FF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D87B99" w14:textId="77777777" w:rsidR="00FE5DAA" w:rsidRPr="008E2FF7" w:rsidRDefault="008E2FF7" w:rsidP="008E2FF7">
    <w:pPr>
      <w:pStyle w:val="a5"/>
      <w:pBdr>
        <w:top w:val="single" w:sz="4" w:space="1" w:color="auto"/>
        <w:between w:val="single" w:sz="4" w:space="0" w:color="auto"/>
      </w:pBdr>
      <w:spacing w:after="60"/>
      <w:jc w:val="center"/>
      <w:rPr>
        <w:rFonts w:ascii="FrankRuehl" w:hAnsi="FrankRuehl" w:cs="FrankRuehl"/>
        <w:color w:val="000000"/>
      </w:rPr>
    </w:pPr>
    <w:r w:rsidRPr="008E2F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A88D0" w14:textId="77777777" w:rsidR="008E2FF7" w:rsidRDefault="008E2FF7" w:rsidP="008E2FF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2A81">
      <w:rPr>
        <w:rFonts w:ascii="FrankRuehl" w:hAnsi="FrankRuehl" w:cs="FrankRuehl"/>
        <w:noProof/>
        <w:rtl/>
      </w:rPr>
      <w:t>1</w:t>
    </w:r>
    <w:r>
      <w:rPr>
        <w:rFonts w:ascii="FrankRuehl" w:hAnsi="FrankRuehl" w:cs="FrankRuehl"/>
        <w:rtl/>
      </w:rPr>
      <w:fldChar w:fldCharType="end"/>
    </w:r>
  </w:p>
  <w:p w14:paraId="51EF3F18" w14:textId="77777777" w:rsidR="00FE5DAA" w:rsidRPr="008E2FF7" w:rsidRDefault="008E2FF7" w:rsidP="008E2FF7">
    <w:pPr>
      <w:pStyle w:val="a5"/>
      <w:pBdr>
        <w:top w:val="single" w:sz="4" w:space="1" w:color="auto"/>
        <w:between w:val="single" w:sz="4" w:space="0" w:color="auto"/>
      </w:pBdr>
      <w:spacing w:after="60"/>
      <w:jc w:val="center"/>
      <w:rPr>
        <w:rFonts w:ascii="FrankRuehl" w:hAnsi="FrankRuehl" w:cs="FrankRuehl"/>
        <w:color w:val="000000"/>
      </w:rPr>
    </w:pPr>
    <w:r w:rsidRPr="008E2FF7">
      <w:rPr>
        <w:rFonts w:ascii="FrankRuehl" w:hAnsi="FrankRuehl" w:cs="FrankRuehl"/>
        <w:color w:val="000000"/>
      </w:rPr>
      <w:pict w14:anchorId="0A70B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F757E" w14:textId="77777777" w:rsidR="00D71664" w:rsidRDefault="00D71664" w:rsidP="000D063F">
      <w:r>
        <w:separator/>
      </w:r>
    </w:p>
  </w:footnote>
  <w:footnote w:type="continuationSeparator" w:id="0">
    <w:p w14:paraId="052EEAFB" w14:textId="77777777" w:rsidR="00D71664" w:rsidRDefault="00D71664" w:rsidP="000D0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4DF5B" w14:textId="77777777" w:rsidR="00785FC9" w:rsidRPr="008E2FF7" w:rsidRDefault="008E2FF7" w:rsidP="008E2FF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31821-01-23</w:t>
    </w:r>
    <w:r>
      <w:rPr>
        <w:rFonts w:ascii="David" w:hAnsi="David"/>
        <w:color w:val="000000"/>
        <w:sz w:val="22"/>
        <w:szCs w:val="22"/>
        <w:rtl/>
      </w:rPr>
      <w:tab/>
      <w:t xml:space="preserve"> מדינת ישראל נ' שלו שאול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511FD" w14:textId="77777777" w:rsidR="00785FC9" w:rsidRPr="008E2FF7" w:rsidRDefault="008E2FF7" w:rsidP="008E2FF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31821-01-23</w:t>
    </w:r>
    <w:r>
      <w:rPr>
        <w:rFonts w:ascii="David" w:hAnsi="David"/>
        <w:color w:val="000000"/>
        <w:sz w:val="22"/>
        <w:szCs w:val="22"/>
        <w:rtl/>
      </w:rPr>
      <w:tab/>
      <w:t xml:space="preserve"> מדינת ישראל נ' שלו שאול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0714"/>
    <w:rsid w:val="00070714"/>
    <w:rsid w:val="000D063F"/>
    <w:rsid w:val="001B5A3B"/>
    <w:rsid w:val="004877AF"/>
    <w:rsid w:val="004F5B71"/>
    <w:rsid w:val="005A2A81"/>
    <w:rsid w:val="006A428B"/>
    <w:rsid w:val="00785FC9"/>
    <w:rsid w:val="007F3006"/>
    <w:rsid w:val="008E2FF7"/>
    <w:rsid w:val="00AD512E"/>
    <w:rsid w:val="00BA3DCD"/>
    <w:rsid w:val="00C17638"/>
    <w:rsid w:val="00D71664"/>
    <w:rsid w:val="00DA2739"/>
    <w:rsid w:val="00E876E9"/>
    <w:rsid w:val="00FE5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048B6E"/>
  <w15:chartTrackingRefBased/>
  <w15:docId w15:val="{7AB37552-063F-47F9-9713-512C8C17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07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0714"/>
    <w:pPr>
      <w:tabs>
        <w:tab w:val="center" w:pos="4153"/>
        <w:tab w:val="right" w:pos="8306"/>
      </w:tabs>
    </w:pPr>
  </w:style>
  <w:style w:type="character" w:customStyle="1" w:styleId="a4">
    <w:name w:val="כותרת עליונה תו"/>
    <w:link w:val="a3"/>
    <w:rsid w:val="00070714"/>
    <w:rPr>
      <w:rFonts w:ascii="Times New Roman" w:eastAsia="Times New Roman" w:hAnsi="Times New Roman" w:cs="David"/>
      <w:sz w:val="24"/>
      <w:szCs w:val="24"/>
    </w:rPr>
  </w:style>
  <w:style w:type="paragraph" w:styleId="a5">
    <w:name w:val="footer"/>
    <w:basedOn w:val="a"/>
    <w:link w:val="a6"/>
    <w:rsid w:val="00070714"/>
    <w:pPr>
      <w:tabs>
        <w:tab w:val="center" w:pos="4153"/>
        <w:tab w:val="right" w:pos="8306"/>
      </w:tabs>
    </w:pPr>
  </w:style>
  <w:style w:type="character" w:customStyle="1" w:styleId="a6">
    <w:name w:val="כותרת תחתונה תו"/>
    <w:link w:val="a5"/>
    <w:rsid w:val="00070714"/>
    <w:rPr>
      <w:rFonts w:ascii="Times New Roman" w:eastAsia="Times New Roman" w:hAnsi="Times New Roman" w:cs="David"/>
      <w:sz w:val="24"/>
      <w:szCs w:val="24"/>
    </w:rPr>
  </w:style>
  <w:style w:type="table" w:styleId="a7">
    <w:name w:val="Table Grid"/>
    <w:basedOn w:val="a1"/>
    <w:rsid w:val="000707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70714"/>
  </w:style>
  <w:style w:type="paragraph" w:styleId="a9">
    <w:name w:val="List Paragraph"/>
    <w:basedOn w:val="a"/>
    <w:qFormat/>
    <w:rsid w:val="00070714"/>
    <w:pPr>
      <w:spacing w:after="160" w:line="254" w:lineRule="auto"/>
      <w:ind w:left="720"/>
      <w:contextualSpacing/>
    </w:pPr>
    <w:rPr>
      <w:rFonts w:ascii="Calibri" w:eastAsia="Calibri" w:hAnsi="Calibri" w:cs="Arial"/>
      <w:sz w:val="22"/>
      <w:szCs w:val="22"/>
    </w:rPr>
  </w:style>
  <w:style w:type="character" w:styleId="Hyperlink">
    <w:name w:val="Hyperlink"/>
    <w:rsid w:val="00785F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5601503"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144" TargetMode="External"/><Relationship Id="rId12" Type="http://schemas.openxmlformats.org/officeDocument/2006/relationships/hyperlink" Target="http://www.nevo.co.il/case/10485614"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7547103" TargetMode="External"/><Relationship Id="rId5" Type="http://schemas.openxmlformats.org/officeDocument/2006/relationships/endnotes" Target="endnotes.xml"/><Relationship Id="rId15" Type="http://schemas.openxmlformats.org/officeDocument/2006/relationships/hyperlink" Target="http://www.nevo.co.il/law/70301/144" TargetMode="External"/><Relationship Id="rId23"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5762686"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1724</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10329</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6357092</vt:i4>
      </vt:variant>
      <vt:variant>
        <vt:i4>27</vt:i4>
      </vt:variant>
      <vt:variant>
        <vt:i4>0</vt:i4>
      </vt:variant>
      <vt:variant>
        <vt:i4>5</vt:i4>
      </vt:variant>
      <vt:variant>
        <vt:lpwstr>http://www.nevo.co.il/law/70301/144</vt:lpwstr>
      </vt:variant>
      <vt:variant>
        <vt:lpwstr/>
      </vt:variant>
      <vt:variant>
        <vt:i4>3342457</vt:i4>
      </vt:variant>
      <vt:variant>
        <vt:i4>24</vt:i4>
      </vt:variant>
      <vt:variant>
        <vt:i4>0</vt:i4>
      </vt:variant>
      <vt:variant>
        <vt:i4>5</vt:i4>
      </vt:variant>
      <vt:variant>
        <vt:lpwstr>http://www.nevo.co.il/case/5762686</vt:lpwstr>
      </vt:variant>
      <vt:variant>
        <vt:lpwstr/>
      </vt:variant>
      <vt:variant>
        <vt:i4>3342451</vt:i4>
      </vt:variant>
      <vt:variant>
        <vt:i4>21</vt:i4>
      </vt:variant>
      <vt:variant>
        <vt:i4>0</vt:i4>
      </vt:variant>
      <vt:variant>
        <vt:i4>5</vt:i4>
      </vt:variant>
      <vt:variant>
        <vt:lpwstr>http://www.nevo.co.il/case/5601503</vt:lpwstr>
      </vt:variant>
      <vt:variant>
        <vt:lpwstr/>
      </vt:variant>
      <vt:variant>
        <vt:i4>3211386</vt:i4>
      </vt:variant>
      <vt:variant>
        <vt:i4>18</vt:i4>
      </vt:variant>
      <vt:variant>
        <vt:i4>0</vt:i4>
      </vt:variant>
      <vt:variant>
        <vt:i4>5</vt:i4>
      </vt:variant>
      <vt:variant>
        <vt:lpwstr>http://www.nevo.co.il/case/10485614</vt:lpwstr>
      </vt:variant>
      <vt:variant>
        <vt:lpwstr/>
      </vt:variant>
      <vt:variant>
        <vt:i4>3145846</vt:i4>
      </vt:variant>
      <vt:variant>
        <vt:i4>15</vt:i4>
      </vt:variant>
      <vt:variant>
        <vt:i4>0</vt:i4>
      </vt:variant>
      <vt:variant>
        <vt:i4>5</vt:i4>
      </vt:variant>
      <vt:variant>
        <vt:lpwstr>http://www.nevo.co.il/case/27547103</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2025-01-19T16:58:00Z</dcterms:created>
  <dcterms:modified xsi:type="dcterms:W3CDTF">2025-01-19T16:58:00Z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31821</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שלו שאול</vt:lpwstr>
  </property>
  <property fmtid="{D5CDD505-2E9C-101B-9397-08002B2CF9AE}" pid="10" name="LAWYER">
    <vt:lpwstr>עמית חומרי;יפעת דאי</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20231129</vt:lpwstr>
  </property>
  <property fmtid="{D5CDD505-2E9C-101B-9397-08002B2CF9AE}" pid="14" name="TYPE_N_DATE">
    <vt:lpwstr>39020231129</vt:lpwstr>
  </property>
  <property fmtid="{D5CDD505-2E9C-101B-9397-08002B2CF9AE}" pid="15" name="WORDNUMPAGES">
    <vt:lpwstr>7</vt:lpwstr>
  </property>
  <property fmtid="{D5CDD505-2E9C-101B-9397-08002B2CF9AE}" pid="16" name="TYPE_ABS_DATE">
    <vt:lpwstr>390020231129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27547103;10485614;5601503;5762686</vt:lpwstr>
  </property>
  <property fmtid="{D5CDD505-2E9C-101B-9397-08002B2CF9AE}" pid="36" name="LAWLISTTMP1">
    <vt:lpwstr>70301/144.b;144</vt:lpwstr>
  </property>
</Properties>
</file>