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208"/>
        <w:gridCol w:w="3630"/>
        <w:gridCol w:w="31"/>
        <w:gridCol w:w="53"/>
      </w:tblGrid>
      <w:tr w:rsidR="000801CC" w:rsidRPr="00B17AE2" w14:paraId="00553BBA" w14:textId="77777777" w:rsidTr="005442A7">
        <w:trPr>
          <w:gridBefore w:val="1"/>
          <w:gridAfter w:val="1"/>
          <w:wBefore w:w="28" w:type="dxa"/>
          <w:wAfter w:w="53" w:type="dxa"/>
          <w:trHeight w:hRule="exact" w:val="418"/>
          <w:jc w:val="center"/>
        </w:trPr>
        <w:tc>
          <w:tcPr>
            <w:tcW w:w="8721" w:type="dxa"/>
            <w:gridSpan w:val="4"/>
          </w:tcPr>
          <w:p w14:paraId="2FE85D6F" w14:textId="77777777" w:rsidR="000801CC" w:rsidRPr="00B17AE2" w:rsidRDefault="000801CC" w:rsidP="00F14343">
            <w:pPr>
              <w:pStyle w:val="a3"/>
              <w:jc w:val="center"/>
              <w:rPr>
                <w:rFonts w:ascii="Tahoma" w:hAnsi="Tahoma" w:cs="Tahoma"/>
                <w:color w:val="000080"/>
                <w:rtl/>
              </w:rPr>
            </w:pPr>
            <w:bookmarkStart w:id="0" w:name="LastJudge"/>
            <w:r w:rsidRPr="00B17AE2">
              <w:rPr>
                <w:rFonts w:ascii="Tahoma" w:hAnsi="Tahoma" w:cs="Tahoma"/>
                <w:b/>
                <w:bCs/>
                <w:color w:val="000080"/>
                <w:rtl/>
              </w:rPr>
              <w:t>בית המשפט המחוזי בחיפה</w:t>
            </w:r>
          </w:p>
        </w:tc>
      </w:tr>
      <w:tr w:rsidR="000801CC" w:rsidRPr="00B17AE2" w14:paraId="1E0392AA" w14:textId="77777777" w:rsidTr="005442A7">
        <w:trPr>
          <w:gridBefore w:val="1"/>
          <w:gridAfter w:val="1"/>
          <w:wBefore w:w="28" w:type="dxa"/>
          <w:wAfter w:w="53" w:type="dxa"/>
          <w:trHeight w:val="337"/>
          <w:jc w:val="center"/>
        </w:trPr>
        <w:tc>
          <w:tcPr>
            <w:tcW w:w="5060" w:type="dxa"/>
            <w:gridSpan w:val="2"/>
          </w:tcPr>
          <w:p w14:paraId="60E0FE39" w14:textId="77777777" w:rsidR="000801CC" w:rsidRPr="00B17AE2" w:rsidRDefault="000801CC" w:rsidP="00F14343">
            <w:pPr>
              <w:rPr>
                <w:rFonts w:cs="FrankRuehl"/>
                <w:sz w:val="28"/>
                <w:szCs w:val="28"/>
                <w:rtl/>
              </w:rPr>
            </w:pPr>
            <w:r w:rsidRPr="00B17AE2">
              <w:rPr>
                <w:rFonts w:cs="FrankRuehl"/>
                <w:sz w:val="28"/>
                <w:szCs w:val="28"/>
                <w:rtl/>
              </w:rPr>
              <w:t>ת"פ</w:t>
            </w:r>
            <w:r w:rsidRPr="00B17AE2">
              <w:rPr>
                <w:rFonts w:cs="FrankRuehl" w:hint="cs"/>
                <w:sz w:val="28"/>
                <w:szCs w:val="28"/>
                <w:rtl/>
              </w:rPr>
              <w:t xml:space="preserve"> </w:t>
            </w:r>
            <w:r w:rsidRPr="00B17AE2">
              <w:rPr>
                <w:rFonts w:cs="FrankRuehl"/>
                <w:sz w:val="28"/>
                <w:szCs w:val="28"/>
                <w:rtl/>
              </w:rPr>
              <w:t>3537-01-23</w:t>
            </w:r>
            <w:r w:rsidRPr="00B17AE2">
              <w:rPr>
                <w:rFonts w:cs="FrankRuehl" w:hint="cs"/>
                <w:sz w:val="28"/>
                <w:szCs w:val="28"/>
                <w:rtl/>
              </w:rPr>
              <w:t xml:space="preserve"> </w:t>
            </w:r>
            <w:r w:rsidRPr="00B17AE2">
              <w:rPr>
                <w:rFonts w:cs="FrankRuehl"/>
                <w:sz w:val="28"/>
                <w:szCs w:val="28"/>
                <w:rtl/>
              </w:rPr>
              <w:t>מדינת ישראל נ' אברמוב(עציר) ואח'</w:t>
            </w:r>
          </w:p>
          <w:p w14:paraId="3285BEA1" w14:textId="77777777" w:rsidR="000801CC" w:rsidRPr="00B17AE2" w:rsidRDefault="000801CC" w:rsidP="00F14343">
            <w:pPr>
              <w:pStyle w:val="a3"/>
              <w:rPr>
                <w:rFonts w:cs="FrankRuehl"/>
                <w:sz w:val="28"/>
                <w:szCs w:val="28"/>
                <w:rtl/>
              </w:rPr>
            </w:pPr>
          </w:p>
        </w:tc>
        <w:tc>
          <w:tcPr>
            <w:tcW w:w="3661" w:type="dxa"/>
            <w:gridSpan w:val="2"/>
          </w:tcPr>
          <w:p w14:paraId="4FEEFA42" w14:textId="77777777" w:rsidR="000801CC" w:rsidRPr="00B17AE2" w:rsidRDefault="000801CC" w:rsidP="00F14343">
            <w:pPr>
              <w:pStyle w:val="a3"/>
              <w:jc w:val="right"/>
              <w:rPr>
                <w:rFonts w:cs="FrankRuehl"/>
                <w:sz w:val="28"/>
                <w:szCs w:val="28"/>
                <w:rtl/>
              </w:rPr>
            </w:pPr>
          </w:p>
        </w:tc>
      </w:tr>
      <w:tr w:rsidR="000801CC" w:rsidRPr="00B17AE2" w14:paraId="07313A64" w14:textId="77777777" w:rsidTr="005442A7">
        <w:tblPrEx>
          <w:jc w:val="left"/>
          <w:tblInd w:w="-28" w:type="dxa"/>
          <w:tblLook w:val="01E0" w:firstRow="1" w:lastRow="1" w:firstColumn="1" w:lastColumn="1" w:noHBand="0" w:noVBand="0"/>
        </w:tblPrEx>
        <w:trPr>
          <w:gridAfter w:val="2"/>
          <w:wAfter w:w="84" w:type="dxa"/>
        </w:trPr>
        <w:tc>
          <w:tcPr>
            <w:tcW w:w="8718" w:type="dxa"/>
            <w:gridSpan w:val="4"/>
            <w:shd w:val="clear" w:color="auto" w:fill="auto"/>
          </w:tcPr>
          <w:p w14:paraId="0A1E51B0" w14:textId="77777777" w:rsidR="000801CC" w:rsidRPr="00B17AE2" w:rsidRDefault="000801CC" w:rsidP="00F14343">
            <w:pPr>
              <w:rPr>
                <w:rStyle w:val="TimesNewRomanTimesNewRoman"/>
                <w:rtl/>
              </w:rPr>
            </w:pPr>
            <w:r w:rsidRPr="00B17AE2">
              <w:rPr>
                <w:rFonts w:hint="cs"/>
                <w:rtl/>
              </w:rPr>
              <w:t xml:space="preserve"> </w:t>
            </w:r>
            <w:r w:rsidRPr="00B17AE2">
              <w:rPr>
                <w:rFonts w:hint="cs"/>
                <w:b/>
                <w:bCs/>
                <w:sz w:val="26"/>
                <w:szCs w:val="26"/>
                <w:rtl/>
              </w:rPr>
              <w:t>לפני כבוד השופט גיל קרזבום</w:t>
            </w:r>
          </w:p>
          <w:p w14:paraId="48307CD1" w14:textId="77777777" w:rsidR="000801CC" w:rsidRPr="00B17AE2" w:rsidRDefault="000801CC" w:rsidP="00F14343">
            <w:pPr>
              <w:rPr>
                <w:rtl/>
              </w:rPr>
            </w:pPr>
            <w:r w:rsidRPr="00B17AE2">
              <w:rPr>
                <w:rStyle w:val="TimesNewRomanTimesNewRoman"/>
                <w:rtl/>
              </w:rPr>
              <w:t xml:space="preserve"> </w:t>
            </w:r>
          </w:p>
        </w:tc>
      </w:tr>
      <w:tr w:rsidR="000801CC" w:rsidRPr="00B17AE2" w14:paraId="07AF6987" w14:textId="77777777" w:rsidTr="005442A7">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0699C75A" w14:textId="77777777" w:rsidR="000801CC" w:rsidRPr="00B17AE2" w:rsidRDefault="000801CC" w:rsidP="000801CC">
            <w:pPr>
              <w:ind w:left="26"/>
              <w:rPr>
                <w:b/>
                <w:bCs/>
                <w:rtl/>
              </w:rPr>
            </w:pPr>
            <w:bookmarkStart w:id="1" w:name="FirstAppellant"/>
            <w:r w:rsidRPr="00B17AE2">
              <w:rPr>
                <w:rFonts w:hint="cs"/>
                <w:b/>
                <w:bCs/>
                <w:rtl/>
              </w:rPr>
              <w:t>המאשימה</w:t>
            </w:r>
          </w:p>
        </w:tc>
        <w:tc>
          <w:tcPr>
            <w:tcW w:w="5922" w:type="dxa"/>
            <w:gridSpan w:val="4"/>
            <w:shd w:val="clear" w:color="auto" w:fill="auto"/>
          </w:tcPr>
          <w:p w14:paraId="548183F0" w14:textId="77777777" w:rsidR="000801CC" w:rsidRPr="00B17AE2" w:rsidRDefault="000801CC" w:rsidP="00F14343">
            <w:pPr>
              <w:rPr>
                <w:b/>
                <w:bCs/>
                <w:rtl/>
              </w:rPr>
            </w:pPr>
            <w:r w:rsidRPr="00B17AE2">
              <w:rPr>
                <w:rFonts w:hint="cs"/>
                <w:b/>
                <w:bCs/>
                <w:rtl/>
              </w:rPr>
              <w:t>מדינת ישראל</w:t>
            </w:r>
          </w:p>
        </w:tc>
      </w:tr>
      <w:bookmarkEnd w:id="1"/>
      <w:tr w:rsidR="000801CC" w:rsidRPr="00B17AE2" w14:paraId="2A56C0AA" w14:textId="77777777" w:rsidTr="005442A7">
        <w:tblPrEx>
          <w:jc w:val="left"/>
          <w:tblInd w:w="-28" w:type="dxa"/>
          <w:tblLook w:val="01E0" w:firstRow="1" w:lastRow="1" w:firstColumn="1" w:lastColumn="1" w:noHBand="0" w:noVBand="0"/>
        </w:tblPrEx>
        <w:tc>
          <w:tcPr>
            <w:tcW w:w="8802" w:type="dxa"/>
            <w:gridSpan w:val="6"/>
            <w:shd w:val="clear" w:color="auto" w:fill="auto"/>
            <w:vAlign w:val="center"/>
          </w:tcPr>
          <w:p w14:paraId="6F7023A0" w14:textId="77777777" w:rsidR="000801CC" w:rsidRPr="00B17AE2" w:rsidRDefault="000801CC" w:rsidP="000801CC">
            <w:pPr>
              <w:jc w:val="center"/>
              <w:rPr>
                <w:rFonts w:ascii="Arial" w:hAnsi="Arial"/>
                <w:b/>
                <w:bCs/>
                <w:rtl/>
              </w:rPr>
            </w:pPr>
          </w:p>
          <w:p w14:paraId="3C13AB2F" w14:textId="77777777" w:rsidR="000801CC" w:rsidRPr="00B17AE2" w:rsidRDefault="000801CC" w:rsidP="000801CC">
            <w:pPr>
              <w:jc w:val="center"/>
              <w:rPr>
                <w:rFonts w:ascii="Arial" w:hAnsi="Arial"/>
                <w:b/>
                <w:bCs/>
                <w:rtl/>
              </w:rPr>
            </w:pPr>
            <w:r w:rsidRPr="00B17AE2">
              <w:rPr>
                <w:rFonts w:ascii="Arial" w:hAnsi="Arial" w:hint="cs"/>
                <w:b/>
                <w:bCs/>
                <w:rtl/>
              </w:rPr>
              <w:t>נגד</w:t>
            </w:r>
          </w:p>
          <w:p w14:paraId="599AFFDE" w14:textId="77777777" w:rsidR="000801CC" w:rsidRPr="00B17AE2" w:rsidRDefault="000801CC" w:rsidP="00F14343">
            <w:pPr>
              <w:rPr>
                <w:rFonts w:ascii="Arial" w:hAnsi="Arial"/>
                <w:b/>
                <w:bCs/>
                <w:rtl/>
              </w:rPr>
            </w:pPr>
          </w:p>
        </w:tc>
      </w:tr>
      <w:tr w:rsidR="000801CC" w:rsidRPr="00B17AE2" w14:paraId="76384FB0" w14:textId="77777777" w:rsidTr="005442A7">
        <w:tblPrEx>
          <w:jc w:val="left"/>
          <w:tblInd w:w="-28" w:type="dxa"/>
          <w:tblLook w:val="01E0" w:firstRow="1" w:lastRow="1" w:firstColumn="1" w:lastColumn="1" w:noHBand="0" w:noVBand="0"/>
        </w:tblPrEx>
        <w:tc>
          <w:tcPr>
            <w:tcW w:w="2880" w:type="dxa"/>
            <w:gridSpan w:val="2"/>
            <w:shd w:val="clear" w:color="auto" w:fill="auto"/>
          </w:tcPr>
          <w:p w14:paraId="5D2A0B81" w14:textId="77777777" w:rsidR="000801CC" w:rsidRPr="00B17AE2" w:rsidRDefault="000801CC" w:rsidP="000801CC">
            <w:pPr>
              <w:ind w:left="26"/>
              <w:rPr>
                <w:b/>
                <w:bCs/>
              </w:rPr>
            </w:pPr>
            <w:r w:rsidRPr="00B17AE2">
              <w:rPr>
                <w:rFonts w:hint="cs"/>
                <w:b/>
                <w:bCs/>
                <w:rtl/>
              </w:rPr>
              <w:t>הנאשמים</w:t>
            </w:r>
          </w:p>
        </w:tc>
        <w:tc>
          <w:tcPr>
            <w:tcW w:w="5922" w:type="dxa"/>
            <w:gridSpan w:val="4"/>
            <w:shd w:val="clear" w:color="auto" w:fill="auto"/>
          </w:tcPr>
          <w:p w14:paraId="31083439" w14:textId="77777777" w:rsidR="000801CC" w:rsidRPr="00B17AE2" w:rsidRDefault="000801CC" w:rsidP="00F14343">
            <w:pPr>
              <w:rPr>
                <w:b/>
                <w:bCs/>
                <w:rtl/>
              </w:rPr>
            </w:pPr>
            <w:r w:rsidRPr="00B17AE2">
              <w:rPr>
                <w:b/>
                <w:bCs/>
              </w:rPr>
              <w:t>.1</w:t>
            </w:r>
            <w:r w:rsidRPr="00B17AE2">
              <w:rPr>
                <w:rtl/>
              </w:rPr>
              <w:t xml:space="preserve"> </w:t>
            </w:r>
            <w:r w:rsidRPr="00B17AE2">
              <w:rPr>
                <w:rFonts w:hint="cs"/>
                <w:b/>
                <w:bCs/>
                <w:rtl/>
              </w:rPr>
              <w:t>דניאל אברמוב (עציר),</w:t>
            </w:r>
            <w:r w:rsidRPr="00B17AE2">
              <w:rPr>
                <w:rtl/>
              </w:rPr>
              <w:t xml:space="preserve"> </w:t>
            </w:r>
            <w:r w:rsidRPr="00B17AE2">
              <w:rPr>
                <w:rFonts w:hint="cs"/>
                <w:b/>
                <w:bCs/>
                <w:rtl/>
              </w:rPr>
              <w:t xml:space="preserve">ת"ז </w:t>
            </w:r>
            <w:r w:rsidR="00B17AE2">
              <w:rPr>
                <w:b/>
                <w:bCs/>
              </w:rPr>
              <w:t>xxxxxxxxxx</w:t>
            </w:r>
            <w:r w:rsidRPr="00B17AE2">
              <w:rPr>
                <w:rFonts w:hint="cs"/>
                <w:rtl/>
              </w:rPr>
              <w:t>(ניתן פס"ד)</w:t>
            </w:r>
          </w:p>
          <w:p w14:paraId="22C838D0" w14:textId="77777777" w:rsidR="000801CC" w:rsidRPr="00B17AE2" w:rsidRDefault="000801CC" w:rsidP="00F14343">
            <w:pPr>
              <w:rPr>
                <w:b/>
                <w:bCs/>
                <w:rtl/>
              </w:rPr>
            </w:pPr>
            <w:r w:rsidRPr="00B17AE2">
              <w:rPr>
                <w:b/>
                <w:bCs/>
              </w:rPr>
              <w:t>.2</w:t>
            </w:r>
            <w:r w:rsidRPr="00B17AE2">
              <w:rPr>
                <w:rtl/>
              </w:rPr>
              <w:t xml:space="preserve"> </w:t>
            </w:r>
            <w:r w:rsidRPr="00B17AE2">
              <w:rPr>
                <w:rFonts w:hint="cs"/>
                <w:b/>
                <w:bCs/>
                <w:rtl/>
              </w:rPr>
              <w:t>נהוראי-מאיר אוחנה (עציר),</w:t>
            </w:r>
            <w:r w:rsidRPr="00B17AE2">
              <w:rPr>
                <w:rtl/>
              </w:rPr>
              <w:t xml:space="preserve"> </w:t>
            </w:r>
            <w:r w:rsidRPr="00B17AE2">
              <w:rPr>
                <w:rFonts w:hint="cs"/>
                <w:b/>
                <w:bCs/>
                <w:rtl/>
              </w:rPr>
              <w:t xml:space="preserve">ת"ז </w:t>
            </w:r>
            <w:r w:rsidR="00B17AE2">
              <w:rPr>
                <w:b/>
                <w:bCs/>
              </w:rPr>
              <w:t>xxxxxxxxxx</w:t>
            </w:r>
          </w:p>
        </w:tc>
      </w:tr>
    </w:tbl>
    <w:p w14:paraId="695601C1" w14:textId="77777777" w:rsidR="005442A7" w:rsidRPr="005442A7" w:rsidRDefault="005442A7" w:rsidP="005442A7">
      <w:pPr>
        <w:spacing w:before="120" w:after="120" w:line="240" w:lineRule="exact"/>
        <w:ind w:left="283" w:hanging="283"/>
        <w:jc w:val="both"/>
        <w:rPr>
          <w:rFonts w:ascii="FrankRuehl" w:hAnsi="FrankRuehl" w:cs="FrankRuehl"/>
          <w:rtl/>
        </w:rPr>
      </w:pPr>
    </w:p>
    <w:p w14:paraId="238E3BD5" w14:textId="77777777" w:rsidR="0024134F" w:rsidRPr="0024134F" w:rsidRDefault="0024134F" w:rsidP="0024134F">
      <w:pPr>
        <w:spacing w:before="120" w:after="120" w:line="240" w:lineRule="exact"/>
        <w:ind w:left="283" w:hanging="283"/>
        <w:jc w:val="both"/>
        <w:rPr>
          <w:rFonts w:ascii="FrankRuehl" w:hAnsi="FrankRuehl" w:cs="FrankRuehl"/>
          <w:rtl/>
        </w:rPr>
      </w:pPr>
    </w:p>
    <w:p w14:paraId="229A1161" w14:textId="77777777" w:rsidR="00695366" w:rsidRDefault="00695366" w:rsidP="00695366">
      <w:pPr>
        <w:rPr>
          <w:rFonts w:ascii="Arial" w:hAnsi="Arial"/>
          <w:sz w:val="26"/>
          <w:szCs w:val="26"/>
          <w:rtl/>
        </w:rPr>
      </w:pPr>
      <w:bookmarkStart w:id="2" w:name="LawTable"/>
      <w:bookmarkEnd w:id="2"/>
    </w:p>
    <w:p w14:paraId="0B997628" w14:textId="77777777" w:rsidR="00695366" w:rsidRPr="00695366" w:rsidRDefault="00695366" w:rsidP="00695366">
      <w:pPr>
        <w:spacing w:before="120" w:after="120" w:line="240" w:lineRule="exact"/>
        <w:ind w:left="283" w:hanging="283"/>
        <w:jc w:val="both"/>
        <w:rPr>
          <w:rFonts w:ascii="FrankRuehl" w:hAnsi="FrankRuehl" w:cs="FrankRuehl"/>
          <w:rtl/>
        </w:rPr>
      </w:pPr>
    </w:p>
    <w:p w14:paraId="19568DB0" w14:textId="77777777" w:rsidR="00695366" w:rsidRPr="00695366" w:rsidRDefault="00695366" w:rsidP="00695366">
      <w:pPr>
        <w:spacing w:before="120" w:after="120" w:line="240" w:lineRule="exact"/>
        <w:ind w:left="283" w:hanging="283"/>
        <w:jc w:val="both"/>
        <w:rPr>
          <w:rFonts w:ascii="FrankRuehl" w:hAnsi="FrankRuehl" w:cs="FrankRuehl"/>
          <w:rtl/>
        </w:rPr>
      </w:pPr>
    </w:p>
    <w:p w14:paraId="28865269" w14:textId="77777777" w:rsidR="00695366" w:rsidRPr="00695366" w:rsidRDefault="00695366" w:rsidP="00695366">
      <w:pPr>
        <w:spacing w:before="120" w:after="120" w:line="240" w:lineRule="exact"/>
        <w:ind w:left="283" w:hanging="283"/>
        <w:jc w:val="both"/>
        <w:rPr>
          <w:rFonts w:ascii="FrankRuehl" w:hAnsi="FrankRuehl" w:cs="FrankRuehl"/>
          <w:rtl/>
        </w:rPr>
      </w:pPr>
      <w:r w:rsidRPr="00695366">
        <w:rPr>
          <w:rFonts w:ascii="FrankRuehl" w:hAnsi="FrankRuehl" w:cs="FrankRuehl"/>
          <w:rtl/>
        </w:rPr>
        <w:t xml:space="preserve">חקיקה שאוזכרה: </w:t>
      </w:r>
    </w:p>
    <w:p w14:paraId="441445D5" w14:textId="77777777" w:rsidR="00695366" w:rsidRPr="00695366" w:rsidRDefault="00695366" w:rsidP="00695366">
      <w:pPr>
        <w:spacing w:before="120" w:after="120" w:line="240" w:lineRule="exact"/>
        <w:ind w:left="283" w:hanging="283"/>
        <w:jc w:val="both"/>
        <w:rPr>
          <w:rFonts w:ascii="FrankRuehl" w:hAnsi="FrankRuehl" w:cs="FrankRuehl"/>
          <w:rtl/>
        </w:rPr>
      </w:pPr>
      <w:hyperlink r:id="rId7" w:history="1">
        <w:r w:rsidRPr="00695366">
          <w:rPr>
            <w:rFonts w:ascii="FrankRuehl" w:hAnsi="FrankRuehl" w:cs="FrankRuehl"/>
            <w:color w:val="0000FF"/>
            <w:rtl/>
          </w:rPr>
          <w:t>חוק העונשין, תשל"ז-1977</w:t>
        </w:r>
      </w:hyperlink>
      <w:r w:rsidRPr="00695366">
        <w:rPr>
          <w:rFonts w:ascii="FrankRuehl" w:hAnsi="FrankRuehl" w:cs="FrankRuehl"/>
          <w:rtl/>
        </w:rPr>
        <w:t xml:space="preserve">: סע'  </w:t>
      </w:r>
      <w:hyperlink r:id="rId8" w:history="1">
        <w:r w:rsidRPr="00695366">
          <w:rPr>
            <w:rFonts w:ascii="FrankRuehl" w:hAnsi="FrankRuehl" w:cs="FrankRuehl"/>
            <w:color w:val="0000FF"/>
            <w:rtl/>
          </w:rPr>
          <w:t>31</w:t>
        </w:r>
      </w:hyperlink>
      <w:r w:rsidRPr="00695366">
        <w:rPr>
          <w:rFonts w:ascii="FrankRuehl" w:hAnsi="FrankRuehl" w:cs="FrankRuehl"/>
          <w:rtl/>
        </w:rPr>
        <w:t xml:space="preserve">, </w:t>
      </w:r>
      <w:hyperlink r:id="rId9" w:history="1">
        <w:r w:rsidRPr="00695366">
          <w:rPr>
            <w:rFonts w:ascii="FrankRuehl" w:hAnsi="FrankRuehl" w:cs="FrankRuehl"/>
            <w:color w:val="0000FF"/>
            <w:rtl/>
          </w:rPr>
          <w:t>32</w:t>
        </w:r>
      </w:hyperlink>
      <w:r w:rsidRPr="00695366">
        <w:rPr>
          <w:rFonts w:ascii="FrankRuehl" w:hAnsi="FrankRuehl" w:cs="FrankRuehl"/>
          <w:rtl/>
        </w:rPr>
        <w:t xml:space="preserve">, </w:t>
      </w:r>
      <w:hyperlink r:id="rId10" w:history="1">
        <w:r w:rsidRPr="00695366">
          <w:rPr>
            <w:rFonts w:ascii="FrankRuehl" w:hAnsi="FrankRuehl" w:cs="FrankRuehl"/>
            <w:color w:val="0000FF"/>
            <w:rtl/>
          </w:rPr>
          <w:t>40.טו</w:t>
        </w:r>
      </w:hyperlink>
      <w:r w:rsidRPr="00695366">
        <w:rPr>
          <w:rFonts w:ascii="FrankRuehl" w:hAnsi="FrankRuehl" w:cs="FrankRuehl"/>
          <w:rtl/>
        </w:rPr>
        <w:t xml:space="preserve">, </w:t>
      </w:r>
      <w:hyperlink r:id="rId11" w:history="1">
        <w:r w:rsidRPr="00695366">
          <w:rPr>
            <w:rFonts w:ascii="FrankRuehl" w:hAnsi="FrankRuehl" w:cs="FrankRuehl"/>
            <w:color w:val="0000FF"/>
            <w:rtl/>
          </w:rPr>
          <w:t>40א</w:t>
        </w:r>
      </w:hyperlink>
      <w:r w:rsidRPr="00695366">
        <w:rPr>
          <w:rFonts w:ascii="FrankRuehl" w:hAnsi="FrankRuehl" w:cs="FrankRuehl"/>
          <w:rtl/>
        </w:rPr>
        <w:t xml:space="preserve">, </w:t>
      </w:r>
      <w:hyperlink r:id="rId12" w:history="1">
        <w:r w:rsidRPr="00695366">
          <w:rPr>
            <w:rFonts w:ascii="FrankRuehl" w:hAnsi="FrankRuehl" w:cs="FrankRuehl"/>
            <w:color w:val="0000FF"/>
            <w:rtl/>
          </w:rPr>
          <w:t>144(ב)</w:t>
        </w:r>
      </w:hyperlink>
      <w:r w:rsidRPr="00695366">
        <w:rPr>
          <w:rFonts w:ascii="FrankRuehl" w:hAnsi="FrankRuehl" w:cs="FrankRuehl"/>
          <w:rtl/>
        </w:rPr>
        <w:t xml:space="preserve">, </w:t>
      </w:r>
      <w:hyperlink r:id="rId13" w:history="1">
        <w:r w:rsidRPr="00695366">
          <w:rPr>
            <w:rFonts w:ascii="FrankRuehl" w:hAnsi="FrankRuehl" w:cs="FrankRuehl"/>
            <w:color w:val="0000FF"/>
            <w:rtl/>
          </w:rPr>
          <w:t>275</w:t>
        </w:r>
      </w:hyperlink>
      <w:r w:rsidRPr="00695366">
        <w:rPr>
          <w:rFonts w:ascii="FrankRuehl" w:hAnsi="FrankRuehl" w:cs="FrankRuehl"/>
          <w:rtl/>
        </w:rPr>
        <w:t xml:space="preserve">, </w:t>
      </w:r>
      <w:hyperlink r:id="rId14" w:history="1">
        <w:r w:rsidRPr="00695366">
          <w:rPr>
            <w:rFonts w:ascii="FrankRuehl" w:hAnsi="FrankRuehl" w:cs="FrankRuehl"/>
            <w:color w:val="0000FF"/>
            <w:rtl/>
          </w:rPr>
          <w:t>413 ג</w:t>
        </w:r>
      </w:hyperlink>
      <w:r w:rsidRPr="00695366">
        <w:rPr>
          <w:rFonts w:ascii="FrankRuehl" w:hAnsi="FrankRuehl" w:cs="FrankRuehl"/>
          <w:rtl/>
        </w:rPr>
        <w:t xml:space="preserve">, </w:t>
      </w:r>
      <w:hyperlink r:id="rId15" w:history="1">
        <w:r w:rsidRPr="00695366">
          <w:rPr>
            <w:rFonts w:ascii="FrankRuehl" w:hAnsi="FrankRuehl" w:cs="FrankRuehl"/>
            <w:color w:val="0000FF"/>
            <w:rtl/>
          </w:rPr>
          <w:t>ו'  א' 1</w:t>
        </w:r>
      </w:hyperlink>
    </w:p>
    <w:p w14:paraId="58C7E55A" w14:textId="77777777" w:rsidR="00695366" w:rsidRPr="00695366" w:rsidRDefault="00695366" w:rsidP="00695366">
      <w:pPr>
        <w:spacing w:before="120" w:after="120" w:line="240" w:lineRule="exact"/>
        <w:ind w:left="283" w:hanging="283"/>
        <w:jc w:val="both"/>
        <w:rPr>
          <w:rFonts w:ascii="FrankRuehl" w:hAnsi="FrankRuehl" w:cs="FrankRuehl"/>
          <w:rtl/>
        </w:rPr>
      </w:pPr>
      <w:hyperlink r:id="rId16" w:history="1">
        <w:r w:rsidRPr="00695366">
          <w:rPr>
            <w:rFonts w:ascii="FrankRuehl" w:hAnsi="FrankRuehl" w:cs="FrankRuehl"/>
            <w:color w:val="0000FF"/>
            <w:rtl/>
          </w:rPr>
          <w:t>פקודת התעבורה [נוסח חדש]</w:t>
        </w:r>
      </w:hyperlink>
      <w:r w:rsidRPr="00695366">
        <w:rPr>
          <w:rFonts w:ascii="FrankRuehl" w:hAnsi="FrankRuehl" w:cs="FrankRuehl"/>
          <w:rtl/>
        </w:rPr>
        <w:t xml:space="preserve">: סע'  </w:t>
      </w:r>
      <w:hyperlink r:id="rId17" w:history="1">
        <w:r w:rsidRPr="00695366">
          <w:rPr>
            <w:rFonts w:ascii="FrankRuehl" w:hAnsi="FrankRuehl" w:cs="FrankRuehl"/>
            <w:color w:val="0000FF"/>
            <w:rtl/>
          </w:rPr>
          <w:t>2(א)</w:t>
        </w:r>
      </w:hyperlink>
      <w:r w:rsidRPr="00695366">
        <w:rPr>
          <w:rFonts w:ascii="FrankRuehl" w:hAnsi="FrankRuehl" w:cs="FrankRuehl"/>
          <w:rtl/>
        </w:rPr>
        <w:t xml:space="preserve">, </w:t>
      </w:r>
      <w:hyperlink r:id="rId18" w:history="1">
        <w:r w:rsidRPr="00695366">
          <w:rPr>
            <w:rFonts w:ascii="FrankRuehl" w:hAnsi="FrankRuehl" w:cs="FrankRuehl"/>
            <w:color w:val="0000FF"/>
            <w:rtl/>
          </w:rPr>
          <w:t>67</w:t>
        </w:r>
      </w:hyperlink>
    </w:p>
    <w:p w14:paraId="07B699E5" w14:textId="77777777" w:rsidR="00695366" w:rsidRPr="00695366" w:rsidRDefault="00695366" w:rsidP="00695366">
      <w:pPr>
        <w:spacing w:before="120" w:after="120" w:line="240" w:lineRule="exact"/>
        <w:ind w:left="283" w:hanging="283"/>
        <w:jc w:val="both"/>
        <w:rPr>
          <w:rFonts w:ascii="FrankRuehl" w:hAnsi="FrankRuehl" w:cs="FrankRuehl"/>
          <w:rtl/>
        </w:rPr>
      </w:pPr>
      <w:hyperlink r:id="rId19" w:history="1">
        <w:r w:rsidRPr="00695366">
          <w:rPr>
            <w:rFonts w:ascii="FrankRuehl" w:hAnsi="FrankRuehl" w:cs="FrankRuehl"/>
            <w:color w:val="0000FF"/>
            <w:rtl/>
          </w:rPr>
          <w:t>פקודת ביטוח רכב מנועי [נוסח חדש], תש"ל-1970</w:t>
        </w:r>
      </w:hyperlink>
      <w:r w:rsidRPr="00695366">
        <w:rPr>
          <w:rFonts w:ascii="FrankRuehl" w:hAnsi="FrankRuehl" w:cs="FrankRuehl"/>
          <w:rtl/>
        </w:rPr>
        <w:t xml:space="preserve">: סע'  </w:t>
      </w:r>
      <w:hyperlink r:id="rId20" w:history="1">
        <w:r w:rsidRPr="00695366">
          <w:rPr>
            <w:rFonts w:ascii="FrankRuehl" w:hAnsi="FrankRuehl" w:cs="FrankRuehl"/>
            <w:color w:val="0000FF"/>
            <w:rtl/>
          </w:rPr>
          <w:t>2(א) (ב)</w:t>
        </w:r>
      </w:hyperlink>
    </w:p>
    <w:p w14:paraId="033AA4C3" w14:textId="77777777" w:rsidR="00695366" w:rsidRPr="00695366" w:rsidRDefault="00695366" w:rsidP="00695366">
      <w:pPr>
        <w:rPr>
          <w:rFonts w:ascii="Arial" w:hAnsi="Arial"/>
          <w:sz w:val="26"/>
          <w:szCs w:val="26"/>
          <w:rtl/>
        </w:rPr>
      </w:pPr>
      <w:bookmarkStart w:id="3" w:name="LawTable_End"/>
      <w:bookmarkEnd w:id="3"/>
    </w:p>
    <w:p w14:paraId="7BCF73A6" w14:textId="77777777" w:rsidR="000801CC" w:rsidRPr="0024134F" w:rsidRDefault="000801CC" w:rsidP="0024134F">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01CC" w14:paraId="424E8B36" w14:textId="77777777" w:rsidTr="000801CC">
        <w:trPr>
          <w:trHeight w:val="355"/>
          <w:jc w:val="center"/>
        </w:trPr>
        <w:tc>
          <w:tcPr>
            <w:tcW w:w="8820" w:type="dxa"/>
            <w:tcBorders>
              <w:top w:val="nil"/>
              <w:left w:val="nil"/>
              <w:bottom w:val="nil"/>
              <w:right w:val="nil"/>
            </w:tcBorders>
            <w:shd w:val="clear" w:color="auto" w:fill="auto"/>
          </w:tcPr>
          <w:p w14:paraId="6094AAF4" w14:textId="77777777" w:rsidR="00B17AE2" w:rsidRPr="00B17AE2" w:rsidRDefault="00B17AE2" w:rsidP="00B17AE2">
            <w:pPr>
              <w:jc w:val="center"/>
              <w:rPr>
                <w:rFonts w:ascii="David" w:hAnsi="David"/>
                <w:b/>
                <w:bCs/>
                <w:sz w:val="32"/>
                <w:szCs w:val="32"/>
                <w:u w:val="single"/>
                <w:rtl/>
              </w:rPr>
            </w:pPr>
            <w:bookmarkStart w:id="4" w:name="PsakDin" w:colFirst="0" w:colLast="0"/>
            <w:bookmarkEnd w:id="0"/>
            <w:r w:rsidRPr="00B17AE2">
              <w:rPr>
                <w:rFonts w:ascii="David" w:hAnsi="David"/>
                <w:b/>
                <w:bCs/>
                <w:sz w:val="32"/>
                <w:szCs w:val="32"/>
                <w:u w:val="single"/>
                <w:rtl/>
              </w:rPr>
              <w:t>גזר דין   נאשם 2</w:t>
            </w:r>
          </w:p>
          <w:p w14:paraId="426F48F4" w14:textId="77777777" w:rsidR="000801CC" w:rsidRPr="00B17AE2" w:rsidRDefault="000801CC" w:rsidP="00B17AE2">
            <w:pPr>
              <w:jc w:val="center"/>
              <w:rPr>
                <w:rFonts w:ascii="David" w:hAnsi="David"/>
                <w:bCs/>
                <w:sz w:val="32"/>
                <w:szCs w:val="32"/>
                <w:u w:val="single"/>
                <w:rtl/>
              </w:rPr>
            </w:pPr>
          </w:p>
        </w:tc>
      </w:tr>
      <w:bookmarkEnd w:id="4"/>
    </w:tbl>
    <w:p w14:paraId="5A3F76E6" w14:textId="77777777" w:rsidR="000801CC" w:rsidRPr="000F2247" w:rsidRDefault="000801CC" w:rsidP="000801CC">
      <w:pPr>
        <w:rPr>
          <w:rFonts w:ascii="Arial" w:hAnsi="Arial"/>
          <w:b/>
          <w:bCs/>
          <w:sz w:val="26"/>
          <w:szCs w:val="26"/>
          <w:rtl/>
        </w:rPr>
      </w:pPr>
    </w:p>
    <w:p w14:paraId="4FC13F0E" w14:textId="77777777" w:rsidR="000801CC" w:rsidRPr="000F2247" w:rsidRDefault="000801CC" w:rsidP="000801CC">
      <w:pPr>
        <w:rPr>
          <w:rFonts w:ascii="Arial" w:hAnsi="Arial"/>
          <w:b/>
          <w:bCs/>
          <w:sz w:val="26"/>
          <w:szCs w:val="26"/>
          <w:rtl/>
        </w:rPr>
      </w:pPr>
    </w:p>
    <w:p w14:paraId="439CCC56" w14:textId="77777777" w:rsidR="000801CC" w:rsidRDefault="000801CC" w:rsidP="000801CC">
      <w:pPr>
        <w:spacing w:line="360" w:lineRule="auto"/>
        <w:ind w:left="360"/>
        <w:jc w:val="both"/>
        <w:rPr>
          <w:rFonts w:ascii="David" w:eastAsia="David" w:hAnsi="David"/>
          <w:b/>
          <w:bCs/>
          <w:u w:val="single"/>
        </w:rPr>
      </w:pPr>
      <w:r>
        <w:rPr>
          <w:rFonts w:ascii="David" w:eastAsia="David" w:hAnsi="David"/>
          <w:b/>
          <w:bCs/>
          <w:u w:val="single"/>
          <w:rtl/>
        </w:rPr>
        <w:t>כללי</w:t>
      </w:r>
    </w:p>
    <w:p w14:paraId="7157C752" w14:textId="77777777" w:rsidR="000801CC" w:rsidRDefault="000801CC" w:rsidP="000801CC">
      <w:pPr>
        <w:numPr>
          <w:ilvl w:val="0"/>
          <w:numId w:val="1"/>
        </w:numPr>
        <w:spacing w:after="160" w:line="360" w:lineRule="auto"/>
        <w:contextualSpacing/>
        <w:jc w:val="both"/>
        <w:rPr>
          <w:rFonts w:ascii="David" w:eastAsia="David" w:hAnsi="David"/>
          <w:sz w:val="14"/>
          <w:szCs w:val="14"/>
        </w:rPr>
      </w:pPr>
      <w:bookmarkStart w:id="5" w:name="ABSTRACT_START"/>
      <w:bookmarkEnd w:id="5"/>
      <w:r>
        <w:rPr>
          <w:rFonts w:ascii="David" w:eastAsia="David" w:hAnsi="David"/>
          <w:rtl/>
        </w:rPr>
        <w:t xml:space="preserve">הנאשם 2 הודה והורשע במסגרת הסדר טיעון בכתב אישום מתוקן בעבירות של סיוע לנשיאה והובלה של נשק - עבירה לפי </w:t>
      </w:r>
      <w:hyperlink r:id="rId21" w:history="1">
        <w:r w:rsidR="005442A7" w:rsidRPr="005442A7">
          <w:rPr>
            <w:rStyle w:val="Hyperlink"/>
            <w:rFonts w:ascii="David" w:eastAsia="David" w:hAnsi="David"/>
            <w:rtl/>
          </w:rPr>
          <w:t>סעיף 144(ב)</w:t>
        </w:r>
      </w:hyperlink>
      <w:r>
        <w:rPr>
          <w:rFonts w:ascii="David" w:eastAsia="David" w:hAnsi="David"/>
          <w:rtl/>
        </w:rPr>
        <w:t xml:space="preserve"> רישא + סיפא </w:t>
      </w:r>
      <w:r>
        <w:rPr>
          <w:rFonts w:ascii="David" w:eastAsia="David" w:hAnsi="David" w:hint="cs"/>
          <w:rtl/>
        </w:rPr>
        <w:t>+</w:t>
      </w:r>
      <w:hyperlink r:id="rId22" w:history="1">
        <w:r w:rsidR="005442A7" w:rsidRPr="005442A7">
          <w:rPr>
            <w:rStyle w:val="Hyperlink"/>
            <w:rFonts w:ascii="David" w:eastAsia="David" w:hAnsi="David"/>
            <w:rtl/>
          </w:rPr>
          <w:t>31</w:t>
        </w:r>
      </w:hyperlink>
      <w:r>
        <w:rPr>
          <w:rFonts w:ascii="David" w:eastAsia="David" w:hAnsi="David" w:hint="cs"/>
          <w:rtl/>
        </w:rPr>
        <w:t xml:space="preserve"> </w:t>
      </w:r>
      <w:r>
        <w:rPr>
          <w:rFonts w:ascii="David" w:eastAsia="David" w:hAnsi="David"/>
          <w:rtl/>
        </w:rPr>
        <w:t>ל</w:t>
      </w:r>
      <w:hyperlink r:id="rId23" w:history="1">
        <w:r w:rsidR="00B17AE2" w:rsidRPr="00B17AE2">
          <w:rPr>
            <w:rFonts w:ascii="David" w:eastAsia="David" w:hAnsi="David"/>
            <w:color w:val="0000FF"/>
            <w:u w:val="single"/>
            <w:rtl/>
          </w:rPr>
          <w:t>חוק העונשין</w:t>
        </w:r>
      </w:hyperlink>
      <w:r>
        <w:rPr>
          <w:rFonts w:ascii="David" w:eastAsia="David" w:hAnsi="David"/>
          <w:rtl/>
        </w:rPr>
        <w:t xml:space="preserve">, שימוש ברכב ללא רשות -עבירה לפי סעיף </w:t>
      </w:r>
      <w:hyperlink r:id="rId24" w:history="1">
        <w:r w:rsidR="005442A7" w:rsidRPr="005442A7">
          <w:rPr>
            <w:rStyle w:val="Hyperlink"/>
            <w:rFonts w:ascii="David" w:eastAsia="David" w:hAnsi="David"/>
            <w:rtl/>
          </w:rPr>
          <w:t>413 ג</w:t>
        </w:r>
      </w:hyperlink>
      <w:r>
        <w:rPr>
          <w:rFonts w:ascii="David" w:eastAsia="David" w:hAnsi="David"/>
          <w:rtl/>
        </w:rPr>
        <w:t xml:space="preserve"> לחוק העונשין, הפרעה לשוטר במילוי תפקידו - עבירה לפי </w:t>
      </w:r>
      <w:hyperlink r:id="rId25" w:history="1">
        <w:r w:rsidR="005442A7" w:rsidRPr="005442A7">
          <w:rPr>
            <w:rStyle w:val="Hyperlink"/>
            <w:rFonts w:ascii="David" w:eastAsia="David" w:hAnsi="David"/>
            <w:rtl/>
          </w:rPr>
          <w:t>סעיף 275</w:t>
        </w:r>
      </w:hyperlink>
      <w:r>
        <w:rPr>
          <w:rFonts w:ascii="David" w:eastAsia="David" w:hAnsi="David"/>
          <w:rtl/>
        </w:rPr>
        <w:t xml:space="preserve"> לחוק העונשין, נהיגה בזמן פסילה - עבירה לפי </w:t>
      </w:r>
      <w:hyperlink r:id="rId26" w:history="1">
        <w:r w:rsidR="005442A7" w:rsidRPr="005442A7">
          <w:rPr>
            <w:rStyle w:val="Hyperlink"/>
            <w:rFonts w:ascii="David" w:eastAsia="David" w:hAnsi="David"/>
            <w:rtl/>
          </w:rPr>
          <w:t>סעיף 67</w:t>
        </w:r>
      </w:hyperlink>
      <w:r>
        <w:rPr>
          <w:rFonts w:ascii="David" w:eastAsia="David" w:hAnsi="David"/>
          <w:rtl/>
        </w:rPr>
        <w:t xml:space="preserve"> ל</w:t>
      </w:r>
      <w:hyperlink r:id="rId27" w:history="1">
        <w:r w:rsidR="00B17AE2" w:rsidRPr="00B17AE2">
          <w:rPr>
            <w:rFonts w:ascii="David" w:eastAsia="David" w:hAnsi="David"/>
            <w:color w:val="0000FF"/>
            <w:u w:val="single"/>
            <w:rtl/>
          </w:rPr>
          <w:t>פקודת התעבורה</w:t>
        </w:r>
      </w:hyperlink>
      <w:r>
        <w:rPr>
          <w:rFonts w:ascii="David" w:eastAsia="David" w:hAnsi="David"/>
          <w:rtl/>
        </w:rPr>
        <w:t xml:space="preserve">, נהיגה ללא רישיון רכב תקף - עבירה לפי </w:t>
      </w:r>
      <w:hyperlink r:id="rId28" w:history="1">
        <w:r w:rsidR="005442A7" w:rsidRPr="005442A7">
          <w:rPr>
            <w:rStyle w:val="Hyperlink"/>
            <w:rFonts w:ascii="David" w:eastAsia="David" w:hAnsi="David"/>
            <w:rtl/>
          </w:rPr>
          <w:t>סעיף 2(א)</w:t>
        </w:r>
      </w:hyperlink>
      <w:r>
        <w:rPr>
          <w:rFonts w:ascii="David" w:eastAsia="David" w:hAnsi="David"/>
          <w:rtl/>
        </w:rPr>
        <w:t xml:space="preserve"> לפקודת התעבורה ונהיגה ללא פוליסת ביטוח בת תוקף – עבירה לפי סעיף </w:t>
      </w:r>
      <w:hyperlink r:id="rId29" w:history="1">
        <w:r w:rsidR="005442A7" w:rsidRPr="005442A7">
          <w:rPr>
            <w:rStyle w:val="Hyperlink"/>
            <w:rFonts w:ascii="David" w:eastAsia="David" w:hAnsi="David"/>
            <w:rtl/>
          </w:rPr>
          <w:t>2(א) (ב)</w:t>
        </w:r>
      </w:hyperlink>
      <w:r>
        <w:rPr>
          <w:rFonts w:ascii="David" w:eastAsia="David" w:hAnsi="David"/>
          <w:rtl/>
        </w:rPr>
        <w:t xml:space="preserve"> לפקודת רכב מנועי.</w:t>
      </w:r>
    </w:p>
    <w:p w14:paraId="4F868AF3" w14:textId="77777777" w:rsidR="000801CC" w:rsidRPr="0055176C" w:rsidRDefault="000801CC" w:rsidP="000801CC">
      <w:pPr>
        <w:spacing w:line="360" w:lineRule="auto"/>
        <w:ind w:left="720"/>
        <w:contextualSpacing/>
        <w:jc w:val="both"/>
        <w:rPr>
          <w:rFonts w:ascii="David" w:eastAsia="David" w:hAnsi="David"/>
          <w:sz w:val="10"/>
          <w:szCs w:val="10"/>
          <w:rtl/>
        </w:rPr>
      </w:pPr>
      <w:bookmarkStart w:id="6" w:name="ABSTRACT_END"/>
      <w:bookmarkEnd w:id="6"/>
    </w:p>
    <w:p w14:paraId="778D7759" w14:textId="77777777" w:rsidR="000801CC" w:rsidRDefault="000801CC" w:rsidP="000801CC">
      <w:pPr>
        <w:pStyle w:val="a9"/>
        <w:numPr>
          <w:ilvl w:val="0"/>
          <w:numId w:val="1"/>
        </w:numPr>
        <w:spacing w:line="360" w:lineRule="auto"/>
        <w:jc w:val="both"/>
        <w:rPr>
          <w:rFonts w:ascii="David" w:eastAsia="David" w:hAnsi="David"/>
          <w:rtl/>
        </w:rPr>
      </w:pPr>
      <w:r>
        <w:rPr>
          <w:rFonts w:ascii="David" w:eastAsia="David" w:hAnsi="David"/>
          <w:rtl/>
        </w:rPr>
        <w:t>הסדר הטעון מתייחס לתיקון כתב האישום ואינו כולל הסכמות לעניין העונש שיוטל על הנאשם.</w:t>
      </w:r>
    </w:p>
    <w:p w14:paraId="092880D4" w14:textId="77777777" w:rsidR="000801CC" w:rsidRPr="0055176C" w:rsidRDefault="000801CC" w:rsidP="000801CC">
      <w:pPr>
        <w:spacing w:line="360" w:lineRule="auto"/>
        <w:jc w:val="both"/>
        <w:rPr>
          <w:rFonts w:ascii="David" w:eastAsia="David" w:hAnsi="David"/>
          <w:sz w:val="6"/>
          <w:szCs w:val="6"/>
        </w:rPr>
      </w:pPr>
    </w:p>
    <w:p w14:paraId="71E30347" w14:textId="77777777" w:rsidR="000801CC" w:rsidRDefault="000801CC" w:rsidP="000801CC">
      <w:pPr>
        <w:spacing w:line="360" w:lineRule="auto"/>
        <w:ind w:firstLine="360"/>
        <w:jc w:val="both"/>
        <w:rPr>
          <w:rFonts w:ascii="David" w:eastAsia="David" w:hAnsi="David"/>
          <w:b/>
          <w:bCs/>
          <w:u w:val="single"/>
        </w:rPr>
      </w:pPr>
      <w:r>
        <w:rPr>
          <w:rFonts w:ascii="David" w:eastAsia="David" w:hAnsi="David"/>
          <w:b/>
          <w:bCs/>
          <w:u w:val="single"/>
          <w:rtl/>
        </w:rPr>
        <w:t xml:space="preserve">עובדות כתב האישום המתוקן </w:t>
      </w:r>
    </w:p>
    <w:p w14:paraId="2D01B8D3" w14:textId="77777777" w:rsidR="000801CC" w:rsidRDefault="000801CC" w:rsidP="000801CC">
      <w:pPr>
        <w:spacing w:line="360" w:lineRule="auto"/>
        <w:ind w:firstLine="360"/>
        <w:jc w:val="both"/>
        <w:rPr>
          <w:rFonts w:ascii="David" w:eastAsia="David" w:hAnsi="David"/>
          <w:b/>
          <w:bCs/>
          <w:sz w:val="12"/>
          <w:szCs w:val="12"/>
          <w:u w:val="single"/>
          <w:rtl/>
        </w:rPr>
      </w:pPr>
    </w:p>
    <w:p w14:paraId="361C3E36" w14:textId="77777777" w:rsidR="000801CC" w:rsidRDefault="000801CC" w:rsidP="000801CC">
      <w:pPr>
        <w:numPr>
          <w:ilvl w:val="0"/>
          <w:numId w:val="1"/>
        </w:numPr>
        <w:spacing w:after="120" w:line="360" w:lineRule="auto"/>
        <w:contextualSpacing/>
        <w:jc w:val="both"/>
        <w:rPr>
          <w:rFonts w:ascii="David" w:hAnsi="David"/>
        </w:rPr>
      </w:pPr>
      <w:r>
        <w:rPr>
          <w:rFonts w:ascii="David" w:hAnsi="David"/>
          <w:rtl/>
        </w:rPr>
        <w:lastRenderedPageBreak/>
        <w:t xml:space="preserve">בתאריך 13.12.22 נגנב רכב מסוג מזדה 3 מס' לוחית רישוי 33374801 שבבעלות של  ראל עייש  (להלן: </w:t>
      </w:r>
      <w:r w:rsidRPr="0055176C">
        <w:rPr>
          <w:rFonts w:ascii="David" w:hAnsi="David"/>
          <w:rtl/>
        </w:rPr>
        <w:t>"הרכב"</w:t>
      </w:r>
      <w:r>
        <w:rPr>
          <w:rFonts w:ascii="David" w:hAnsi="David"/>
          <w:rtl/>
        </w:rPr>
        <w:t xml:space="preserve">). רישיון הרכב אינו בתוקף החל מחודש </w:t>
      </w:r>
      <w:r>
        <w:rPr>
          <w:rFonts w:ascii="David" w:hAnsi="David" w:hint="cs"/>
          <w:rtl/>
        </w:rPr>
        <w:t>0</w:t>
      </w:r>
      <w:r>
        <w:rPr>
          <w:rFonts w:ascii="David" w:hAnsi="David"/>
          <w:rtl/>
        </w:rPr>
        <w:t xml:space="preserve">1.2022. </w:t>
      </w:r>
    </w:p>
    <w:p w14:paraId="748B62FF" w14:textId="77777777" w:rsidR="000801CC" w:rsidRDefault="000801CC" w:rsidP="000801CC">
      <w:pPr>
        <w:spacing w:after="120" w:line="360" w:lineRule="auto"/>
        <w:ind w:left="720"/>
        <w:contextualSpacing/>
        <w:jc w:val="both"/>
        <w:rPr>
          <w:rFonts w:ascii="David" w:hAnsi="David"/>
        </w:rPr>
      </w:pPr>
      <w:r>
        <w:rPr>
          <w:rFonts w:ascii="David" w:hAnsi="David"/>
          <w:rtl/>
        </w:rPr>
        <w:t xml:space="preserve">בתאריך 20.12.22  סמוך לשעה 13:42 נסעו הנאשמים ברכב ברחוב הרצל בטירת הכרמל כאשר לוחית הרישוי של הרכב מזויפת ותואמת למספר לוחית רישוי של רכב אחר. במהלך הנסיעה נאשם 2 נהג ברכב כשהוא פסול לנהיגה מכוח החלטת קצין משטרה שניתנה בפניו החל מיום 24.11.22 למשך 30 ימים, ומבלי שהייתה לו תעודת ביטוח בתוקף. נאשם 1 ישב לידו במושב הנוסע ונשא והוביל  בתוך שקית שקופה לבנה  נשק מסוג אקדח ברטה מודל </w:t>
      </w:r>
      <w:r>
        <w:rPr>
          <w:rFonts w:ascii="David" w:hAnsi="David"/>
        </w:rPr>
        <w:t>F</w:t>
      </w:r>
      <w:r>
        <w:rPr>
          <w:rFonts w:ascii="David" w:hAnsi="David"/>
          <w:rtl/>
        </w:rPr>
        <w:t xml:space="preserve">84 קליבר 9 מ"מ קצר שסוגל לירות כדור ובכוחו להמית אדם ובתוכו מחסנית המתאימה לאקדח שהכילה 9 כדורים המהווים אביזר ותחמושת לנשק (להלן: </w:t>
      </w:r>
      <w:r w:rsidRPr="0055176C">
        <w:rPr>
          <w:rFonts w:ascii="David" w:hAnsi="David"/>
          <w:rtl/>
        </w:rPr>
        <w:t>"הנשק", "המחסנית" ו- "התחמושת"</w:t>
      </w:r>
      <w:r>
        <w:rPr>
          <w:rFonts w:ascii="David" w:hAnsi="David"/>
          <w:rtl/>
        </w:rPr>
        <w:t xml:space="preserve">). הנאשם 2 ידע על כך וסייע והקל על הנאשם 1 להחזיק, לשאת ולהוביל את הנשק, המחסנית והתחמושת. כל זאת עשו הנאשמים בלא רשות על פי דין. בזמן הנסיעה ברכב היו ברשות הנאשמים כפפות חד פעמיות. </w:t>
      </w:r>
    </w:p>
    <w:p w14:paraId="2261D87C" w14:textId="77777777" w:rsidR="000801CC" w:rsidRDefault="000801CC" w:rsidP="000801CC">
      <w:pPr>
        <w:spacing w:after="120" w:line="360" w:lineRule="auto"/>
        <w:ind w:left="720"/>
        <w:contextualSpacing/>
        <w:jc w:val="both"/>
        <w:rPr>
          <w:rFonts w:ascii="David" w:hAnsi="David"/>
          <w:rtl/>
        </w:rPr>
      </w:pPr>
      <w:r>
        <w:rPr>
          <w:rFonts w:ascii="David" w:hAnsi="David"/>
          <w:rtl/>
        </w:rPr>
        <w:t xml:space="preserve">שוטרים שהיו בניידת משטרתית הבחינו ברכב וכרזו לנאשמים מספר פעמים לעצור, אך נאשם 2 אשר שהבחין בניידת לא נענה לבקשת השוטרים לעצור והמשיך בנסיעתו לרחוב הלח"י ובהמשך לרחוב יצחק שמיר כשהשוטרים נוסעים אחריהם בניידת וכורזים להם. כל זאת עשה נאשם 2 במטרה להפריע לשוטרים או להכשילם במילוי תפקידם על-פי חוק. בהמשך לאמור, עצר נאשם 2 את הרכב ברחוב יצחק שמיר 12 בטירת הכרמל, שם בוצע חיפוש בתוך הרכב ונתפסו הנשק, המחסנית והתחמושת. </w:t>
      </w:r>
    </w:p>
    <w:p w14:paraId="1EBACCAA" w14:textId="77777777" w:rsidR="000801CC" w:rsidRDefault="000801CC" w:rsidP="000801CC">
      <w:pPr>
        <w:spacing w:line="360" w:lineRule="auto"/>
        <w:ind w:left="360"/>
        <w:contextualSpacing/>
        <w:jc w:val="both"/>
        <w:rPr>
          <w:rFonts w:ascii="David" w:eastAsia="Calibri" w:hAnsi="David"/>
          <w:b/>
          <w:bCs/>
          <w:sz w:val="4"/>
          <w:szCs w:val="4"/>
          <w:u w:val="single"/>
        </w:rPr>
      </w:pPr>
    </w:p>
    <w:p w14:paraId="7F4A5166" w14:textId="77777777" w:rsidR="000801CC" w:rsidRDefault="000801CC" w:rsidP="000801CC">
      <w:pPr>
        <w:spacing w:line="360" w:lineRule="auto"/>
        <w:ind w:left="720"/>
        <w:contextualSpacing/>
        <w:jc w:val="both"/>
        <w:rPr>
          <w:rFonts w:ascii="David" w:eastAsia="Calibri" w:hAnsi="David"/>
          <w:sz w:val="14"/>
          <w:szCs w:val="14"/>
          <w:rtl/>
        </w:rPr>
      </w:pPr>
    </w:p>
    <w:p w14:paraId="6121A65F" w14:textId="77777777" w:rsidR="000801CC" w:rsidRDefault="000801CC" w:rsidP="000801CC">
      <w:pPr>
        <w:spacing w:line="360" w:lineRule="auto"/>
        <w:ind w:left="360"/>
        <w:contextualSpacing/>
        <w:jc w:val="both"/>
        <w:rPr>
          <w:rFonts w:ascii="David" w:eastAsia="David" w:hAnsi="David"/>
          <w:b/>
          <w:bCs/>
          <w:u w:val="single"/>
        </w:rPr>
      </w:pPr>
      <w:r>
        <w:rPr>
          <w:rFonts w:ascii="David" w:eastAsia="David" w:hAnsi="David"/>
          <w:b/>
          <w:bCs/>
          <w:u w:val="single"/>
          <w:rtl/>
        </w:rPr>
        <w:t>עיקר טיעוני המאשימה לעונש</w:t>
      </w:r>
    </w:p>
    <w:p w14:paraId="62F86F23" w14:textId="77777777" w:rsidR="000801CC" w:rsidRDefault="000801CC" w:rsidP="000801CC">
      <w:pPr>
        <w:spacing w:line="360" w:lineRule="auto"/>
        <w:jc w:val="both"/>
        <w:rPr>
          <w:rFonts w:ascii="David" w:eastAsia="David" w:hAnsi="David"/>
          <w:sz w:val="12"/>
          <w:szCs w:val="12"/>
        </w:rPr>
      </w:pPr>
    </w:p>
    <w:p w14:paraId="6FCC8FBE" w14:textId="77777777" w:rsidR="000801CC" w:rsidRDefault="000801CC" w:rsidP="000801CC">
      <w:pPr>
        <w:numPr>
          <w:ilvl w:val="0"/>
          <w:numId w:val="1"/>
        </w:numPr>
        <w:spacing w:after="160" w:line="360" w:lineRule="auto"/>
        <w:contextualSpacing/>
        <w:jc w:val="both"/>
        <w:rPr>
          <w:rFonts w:ascii="David" w:eastAsia="David" w:hAnsi="David"/>
          <w:b/>
          <w:bCs/>
          <w:u w:val="single"/>
        </w:rPr>
      </w:pPr>
      <w:r>
        <w:rPr>
          <w:rFonts w:ascii="David" w:eastAsia="Calibri" w:hAnsi="David"/>
          <w:rtl/>
        </w:rPr>
        <w:t>המאשימה בטיעוניה הדגישה את חומרת העבירות בהן הורשע הנאשם, תוך מתן דגש על תופעת האלימות באמצעות נשק, והצורך להחמיר בעבירות נשק, כאשר המטרה היא להגן על שלום הציבור וביטחונו, על חיי אדם והרכוש, שכן זמינות הנשק תורמת להגדלת מעגל האלימות ולתוצאות הקשות הנובעות מכך. המאשימה ציינה כי מדובר במכת מדינה, שיש להוקיעה מהשורש, ו</w:t>
      </w:r>
      <w:r>
        <w:rPr>
          <w:rFonts w:ascii="David" w:hAnsi="David"/>
          <w:rtl/>
        </w:rPr>
        <w:t>הפנתה לתיקון 140 ל</w:t>
      </w:r>
      <w:hyperlink r:id="rId30" w:history="1">
        <w:r w:rsidR="00B17AE2" w:rsidRPr="00B17AE2">
          <w:rPr>
            <w:rFonts w:ascii="David" w:hAnsi="David"/>
            <w:color w:val="0000FF"/>
            <w:u w:val="single"/>
            <w:rtl/>
          </w:rPr>
          <w:t>חוק העונשין</w:t>
        </w:r>
      </w:hyperlink>
      <w:r>
        <w:rPr>
          <w:rFonts w:ascii="David" w:hAnsi="David"/>
          <w:rtl/>
        </w:rPr>
        <w:t xml:space="preserve"> (עונש מינימום) המלמד על עמדתו של המחוקק ועל הצורך להחמיר בעבירות נשק, </w:t>
      </w:r>
      <w:r>
        <w:rPr>
          <w:rFonts w:ascii="David" w:eastAsia="Calibri" w:hAnsi="David"/>
          <w:rtl/>
        </w:rPr>
        <w:t>בכלל זה הפנתה להנחיית פרקליט המדינה בדבר מדיניות הענישה המחמירה בעבירות נשק והמאמץ התביעתי להביא לצמצום</w:t>
      </w:r>
      <w:r>
        <w:rPr>
          <w:rFonts w:ascii="David" w:hAnsi="David"/>
          <w:rtl/>
        </w:rPr>
        <w:t xml:space="preserve"> התופעה. בכל הקשור לנסיבות ביצוע העבירות, ציינה כי מדובר בנאשם בגיר שבחר בחירה מודעת לבצע את העבירות, חלקו בביצוען היה מלא ולמעשה ללא תרומתו לא היה יכול הנאשם 1 להשלים את העבירה</w:t>
      </w:r>
      <w:r>
        <w:rPr>
          <w:rFonts w:ascii="David" w:eastAsia="David" w:hAnsi="David"/>
          <w:rtl/>
        </w:rPr>
        <w:t xml:space="preserve">, </w:t>
      </w:r>
      <w:r>
        <w:rPr>
          <w:rFonts w:ascii="David" w:hAnsi="David"/>
          <w:rtl/>
        </w:rPr>
        <w:t xml:space="preserve">הוא הבין היטב את מעשיו </w:t>
      </w:r>
      <w:r>
        <w:rPr>
          <w:rFonts w:ascii="David" w:eastAsia="Calibri" w:hAnsi="David"/>
          <w:rtl/>
        </w:rPr>
        <w:t xml:space="preserve">ואת השלכותיהם, הוא אינו סובל מלקויות כלשהן,  לא מתקיימת בעניינו קרבה לסייג לאחריות הפלילית, לא היה במצוקה נפשית ולא קדמה למעשיו התגרות כזו או אחרת. המאשימה הדגישה כי מדובר באקדח מסוג ברטה, טעון במחסנית המכילה כדורים, </w:t>
      </w:r>
      <w:r>
        <w:rPr>
          <w:rFonts w:ascii="David" w:hAnsi="David"/>
          <w:rtl/>
        </w:rPr>
        <w:t xml:space="preserve">דבר המצביע על פוטנציאל הנזק הרב הצפוי להיגרם מביצוע העבירה, וזאת גם אם לא נעשה שימוש בנשק. עוד ציינה כי אמנם חלקו של הנאשם מצומצם יותר בכך שסייע לביצוע העבירות בנשק על ידי הנאשם 1 , אך </w:t>
      </w:r>
      <w:r>
        <w:rPr>
          <w:rFonts w:ascii="David" w:hAnsi="David"/>
          <w:rtl/>
        </w:rPr>
        <w:lastRenderedPageBreak/>
        <w:t>הצביעה על כך שנהג ברכב ללא רשות בעליו, בעודו בפסילה, ללא פוליסת ביטוח ורישיון רכב תקפים,  ובהתאם פוטנציאל הנזק הרב למשתמשי הדרך. ציינה כי הסיבה לביצוע העבירות אינה ידועה, אך גם אם מדובר בשימוש פרטי או  במטרה להעביר את הנשק לגורמים אחרים,  אין בכך כדי להוות נסיבה לקולה. בכל הקשור לנסיבות שאינן קשורות בביצוע העבירות, הפנתה להודאתו המידית של הנאשם, לחיסכון בזמן שיפוטי יקר והעדר עבר פלילי. הפנתה גם לאמור בתסקיר שירות המבחן, ממנו עולה כי הנאשם לקח אחריות פורמאלית על ביצוע העבירות, כאשר בסופו של יום, שירות המבחן נמנע מהמלצה טיפולית והומלץ על ענישה מוחשית בעלת גבולות ברורים. בכל הקשור למדיניות הענישה, הפנתה לפסיקה רלוונטית</w:t>
      </w:r>
      <w:r>
        <w:rPr>
          <w:rFonts w:ascii="David" w:hAnsi="David" w:hint="cs"/>
          <w:rtl/>
        </w:rPr>
        <w:t>,</w:t>
      </w:r>
      <w:r>
        <w:rPr>
          <w:rFonts w:ascii="David" w:hAnsi="David"/>
          <w:rtl/>
        </w:rPr>
        <w:t xml:space="preserve"> </w:t>
      </w:r>
      <w:r w:rsidRPr="0055176C">
        <w:rPr>
          <w:rFonts w:ascii="David" w:hAnsi="David"/>
          <w:rtl/>
        </w:rPr>
        <w:t xml:space="preserve">ובשים לב למתחם אליו עתרה המאשימה </w:t>
      </w:r>
      <w:r w:rsidRPr="0055176C">
        <w:rPr>
          <w:rFonts w:ascii="David" w:hAnsi="David" w:hint="cs"/>
          <w:rtl/>
        </w:rPr>
        <w:t>ביחס לנאשם</w:t>
      </w:r>
      <w:r>
        <w:rPr>
          <w:rFonts w:ascii="David" w:hAnsi="David" w:hint="cs"/>
          <w:rtl/>
        </w:rPr>
        <w:t xml:space="preserve"> מס'</w:t>
      </w:r>
      <w:r w:rsidRPr="0055176C">
        <w:rPr>
          <w:rFonts w:ascii="David" w:hAnsi="David" w:hint="cs"/>
          <w:rtl/>
        </w:rPr>
        <w:t xml:space="preserve"> 1 </w:t>
      </w:r>
      <w:r>
        <w:rPr>
          <w:rFonts w:ascii="David" w:hAnsi="David" w:hint="cs"/>
          <w:rtl/>
        </w:rPr>
        <w:t xml:space="preserve"> טענה ל</w:t>
      </w:r>
      <w:r w:rsidRPr="0055176C">
        <w:rPr>
          <w:rFonts w:ascii="David" w:hAnsi="David"/>
          <w:rtl/>
        </w:rPr>
        <w:t>מתחם עונש הולם שנע בין 24 ל- 36 חודשי מאסר בפועל.</w:t>
      </w:r>
      <w:r>
        <w:rPr>
          <w:rFonts w:ascii="David" w:hAnsi="David"/>
          <w:rtl/>
        </w:rPr>
        <w:t xml:space="preserve"> לאור כל האמור לעיל, ביקשה למקם את עונש המאסר בפועל ברף האמצעי של המתחם וכן להטיל מאסר על תנאי לתקופה ארוכה, פסילה בפועל, פסילה על תנאי וקנס כספי. </w:t>
      </w:r>
    </w:p>
    <w:p w14:paraId="15B359CC" w14:textId="77777777" w:rsidR="000801CC" w:rsidRDefault="000801CC" w:rsidP="000801CC">
      <w:pPr>
        <w:spacing w:line="360" w:lineRule="auto"/>
        <w:ind w:left="360"/>
        <w:contextualSpacing/>
        <w:jc w:val="both"/>
        <w:rPr>
          <w:rFonts w:ascii="David" w:eastAsia="David" w:hAnsi="David"/>
          <w:b/>
          <w:bCs/>
          <w:sz w:val="14"/>
          <w:szCs w:val="14"/>
          <w:u w:val="single"/>
          <w:rtl/>
        </w:rPr>
      </w:pPr>
    </w:p>
    <w:p w14:paraId="1C889EA2" w14:textId="77777777" w:rsidR="000801CC" w:rsidRDefault="000801CC" w:rsidP="000801CC">
      <w:pPr>
        <w:spacing w:line="360" w:lineRule="auto"/>
        <w:ind w:left="360"/>
        <w:jc w:val="both"/>
        <w:rPr>
          <w:rFonts w:ascii="David" w:eastAsia="David" w:hAnsi="David"/>
          <w:b/>
          <w:bCs/>
          <w:u w:val="single"/>
        </w:rPr>
      </w:pPr>
      <w:r>
        <w:rPr>
          <w:rFonts w:ascii="David" w:eastAsia="David" w:hAnsi="David"/>
          <w:b/>
          <w:bCs/>
          <w:u w:val="single"/>
          <w:rtl/>
        </w:rPr>
        <w:t>ראיות מטעם הנאשם 2</w:t>
      </w:r>
    </w:p>
    <w:p w14:paraId="403A772E" w14:textId="77777777" w:rsidR="000801CC" w:rsidRDefault="000801CC" w:rsidP="000801CC">
      <w:pPr>
        <w:numPr>
          <w:ilvl w:val="0"/>
          <w:numId w:val="1"/>
        </w:numPr>
        <w:spacing w:after="160" w:line="360" w:lineRule="auto"/>
        <w:contextualSpacing/>
        <w:jc w:val="both"/>
        <w:rPr>
          <w:rFonts w:ascii="David" w:eastAsia="David" w:hAnsi="David"/>
          <w:rtl/>
        </w:rPr>
      </w:pPr>
      <w:r>
        <w:rPr>
          <w:rFonts w:ascii="David" w:eastAsia="David" w:hAnsi="David"/>
          <w:rtl/>
        </w:rPr>
        <w:t>הוגשה חוות דעת פסיכולוגית של הנאשם (נ/1).</w:t>
      </w:r>
    </w:p>
    <w:p w14:paraId="1DFB00BF" w14:textId="77777777" w:rsidR="000801CC" w:rsidRDefault="000801CC" w:rsidP="000801CC">
      <w:pPr>
        <w:spacing w:line="360" w:lineRule="auto"/>
        <w:ind w:left="720"/>
        <w:contextualSpacing/>
        <w:jc w:val="both"/>
        <w:rPr>
          <w:rFonts w:ascii="David" w:eastAsia="David" w:hAnsi="David"/>
          <w:rtl/>
        </w:rPr>
      </w:pPr>
      <w:r>
        <w:rPr>
          <w:rFonts w:ascii="David" w:eastAsia="David" w:hAnsi="David"/>
          <w:rtl/>
        </w:rPr>
        <w:t xml:space="preserve">הוגשו מסמכים רפואיים הנוגעים לאחיו של הנאשם (נ/2). </w:t>
      </w:r>
    </w:p>
    <w:p w14:paraId="41585B7B" w14:textId="77777777" w:rsidR="000801CC" w:rsidRPr="00C554C5" w:rsidRDefault="000801CC" w:rsidP="000801CC">
      <w:pPr>
        <w:spacing w:line="360" w:lineRule="auto"/>
        <w:ind w:left="360"/>
        <w:jc w:val="both"/>
        <w:rPr>
          <w:rFonts w:ascii="David" w:eastAsia="David" w:hAnsi="David"/>
          <w:b/>
          <w:bCs/>
          <w:sz w:val="10"/>
          <w:szCs w:val="10"/>
          <w:u w:val="single"/>
          <w:rtl/>
        </w:rPr>
      </w:pPr>
    </w:p>
    <w:p w14:paraId="75BA4B15" w14:textId="77777777" w:rsidR="000801CC" w:rsidRDefault="000801CC" w:rsidP="000801CC">
      <w:pPr>
        <w:spacing w:line="360" w:lineRule="auto"/>
        <w:ind w:left="360"/>
        <w:jc w:val="both"/>
        <w:rPr>
          <w:rFonts w:ascii="David" w:eastAsia="David" w:hAnsi="David"/>
          <w:b/>
          <w:bCs/>
          <w:u w:val="single"/>
        </w:rPr>
      </w:pPr>
      <w:r>
        <w:rPr>
          <w:rFonts w:ascii="David" w:eastAsia="David" w:hAnsi="David"/>
          <w:b/>
          <w:bCs/>
          <w:u w:val="single"/>
          <w:rtl/>
        </w:rPr>
        <w:t>עיקר טיעוני הנאשם 2 לעונש</w:t>
      </w:r>
    </w:p>
    <w:p w14:paraId="06DF56D3" w14:textId="77777777" w:rsidR="000801CC" w:rsidRDefault="000801CC" w:rsidP="000801CC">
      <w:pPr>
        <w:spacing w:line="360" w:lineRule="auto"/>
        <w:ind w:left="360"/>
        <w:jc w:val="both"/>
        <w:rPr>
          <w:rFonts w:ascii="David" w:eastAsia="David" w:hAnsi="David"/>
          <w:b/>
          <w:bCs/>
          <w:sz w:val="12"/>
          <w:szCs w:val="12"/>
          <w:u w:val="single"/>
          <w:rtl/>
        </w:rPr>
      </w:pPr>
    </w:p>
    <w:p w14:paraId="4112893C" w14:textId="77777777" w:rsidR="000801CC" w:rsidRDefault="000801CC" w:rsidP="000801CC">
      <w:pPr>
        <w:numPr>
          <w:ilvl w:val="0"/>
          <w:numId w:val="1"/>
        </w:numPr>
        <w:spacing w:after="160" w:line="360" w:lineRule="auto"/>
        <w:contextualSpacing/>
        <w:jc w:val="both"/>
        <w:rPr>
          <w:rFonts w:ascii="David" w:eastAsia="Calibri" w:hAnsi="David"/>
          <w:rtl/>
        </w:rPr>
      </w:pPr>
      <w:r>
        <w:rPr>
          <w:rFonts w:ascii="David" w:eastAsia="Calibri" w:hAnsi="David"/>
          <w:rtl/>
        </w:rPr>
        <w:t>ב"כ הנאשם, הפנה להודאתו המידית של הנאשם, לתיקון המהותי בכתב האישום, ולהעדר עבר פלילי. עוד הפנה לנסיבותיו האישות של הנאשם, בין היתר לגילו הצעיר, העובדה כי מדובר בנאשם שגדל במשפחה נורמטיבית וניהל אורח חיים נורמטיבי עובר למעצרו. הדגיש את הפגיעה הקשה במסלול חייו בעקבות ביצוע העבירות, וכן את הפגיעה הקשה בבני משפחתו ובעיקר בבריאותו הנפשית של אחיו הצעיר שקרס נפשית בעקבות מעצרו של הנאשם. בכל הקשור לנסיבות ביצוע העבירות, הפנה לעובדה כי מדובר בנאשם שנכלל בקטגוריה של קטין בגיר,  אשר לא היה הגורם המרכזי בביצוע העבירות,  אלא קיבל הנחיות במטרה לסייע לאחר. עוד ציין כי המעשים לא כללו תכנון מוקדם, והוא לא היה שותף לתכנון עבירת הנשק. הפנה לסוג הנשק, שכן מדובר באקדח לא אוטומטי, להבדיל מתת מקלע או אמצעי חבלה אחרים הנחשבים כנשקים מסוכנים יותר. הדגיש כי הנאשם העיקרי בתיק  (הנאשם 1) קיבל על עצמו את מלוא האחריות, ואף הסביר כי הנאשם 2 סייע לו ולא היה בקיא בשום פרט. בכל הקשור לנסיבות ביצוע עבירות התעבורה, ציין כי הנאשם לא נהג בפראות,  ובנהיגתו לא סיכן את משתמשי הדרך האחרים. בכל הקשור להמלצות והערכות שירות המבחן, ציין כי ההמלצה הסופית של שירות המבחן לפיה הוא נמנע מהמלצה טיפולית בעניינו של הנאשם אינה מובנת, ואינה עולה בקנה אחד עם האמור בגופו של התסקיר, שכן שירות המבחן  הצביע על קיומם של כוחות חיוביים אצל הנאשם שיכולים  לסייע לו בשינוי מצב</w:t>
      </w:r>
      <w:r>
        <w:rPr>
          <w:rFonts w:ascii="David" w:eastAsia="Calibri" w:hAnsi="David" w:hint="cs"/>
          <w:rtl/>
        </w:rPr>
        <w:t>ו</w:t>
      </w:r>
      <w:r>
        <w:rPr>
          <w:rFonts w:ascii="David" w:eastAsia="Calibri" w:hAnsi="David"/>
          <w:rtl/>
        </w:rPr>
        <w:t xml:space="preserve"> הנוכחי. בכל הקשור למדיניות הענישה וקביעת מתחם העונש ההולם, הפנה לפסיקה רלוונטית, ביקש לקבוע כי העבירות בהן הורשע הנאשם מהוות מסכת אירועים אחת, ובהתאם לקבוע מתחם ענישה אחד לכלל העבירות שנע בין מאסר בפועל למשך 6 חודשים שיכול וירוצה בעבודות שירות  ל- 14 חודשי מאסר בפועל. בהקשר זה הפנה להנחיית פרקליט המדינה בעניין מדיניות הענישה בעבירות נשק ומטעני חבלה, כאשר מתחם המוצא בגין עבירות נשיאת אקדח הוא בין 1.5 ועד 4 שנות מאסר בפועל,  ובעבירת הסיוע המתחם נע בין 9 ו</w:t>
      </w:r>
      <w:r>
        <w:rPr>
          <w:rFonts w:ascii="David" w:eastAsia="Calibri" w:hAnsi="David" w:hint="cs"/>
          <w:rtl/>
        </w:rPr>
        <w:t xml:space="preserve">עד </w:t>
      </w:r>
      <w:r>
        <w:rPr>
          <w:rFonts w:ascii="David" w:eastAsia="Calibri" w:hAnsi="David"/>
          <w:rtl/>
        </w:rPr>
        <w:t xml:space="preserve">ל- 24 חודשי מאסר בפועל, מתחם הדומה יותר למתחם אותו מציעה ההגנה. בכל הקשור לעבירות התעבורה טען למתחם עונש הולם של פסילה מותנית ועד  20 חודשי פסילה בפועל. לאור כל האמור לעיל, ב"כ </w:t>
      </w:r>
      <w:r>
        <w:rPr>
          <w:rFonts w:ascii="David" w:eastAsia="Calibri" w:hAnsi="David" w:hint="cs"/>
          <w:rtl/>
        </w:rPr>
        <w:t xml:space="preserve">הנאשם </w:t>
      </w:r>
      <w:r>
        <w:rPr>
          <w:rFonts w:ascii="David" w:eastAsia="Calibri" w:hAnsi="David"/>
          <w:rtl/>
        </w:rPr>
        <w:t xml:space="preserve">ביקש למקם את עונשו של הנאשם בתחתית המתחם, תוך הסתפקות בתקופה מעצרו עד כה, וזאת בצד רכיבי ענישה נוספים לרבות מאסר מותנה ארוך ומרתיע. </w:t>
      </w:r>
    </w:p>
    <w:p w14:paraId="7F279F8E" w14:textId="77777777" w:rsidR="000801CC" w:rsidRPr="001046BD" w:rsidRDefault="000801CC" w:rsidP="000801CC">
      <w:pPr>
        <w:spacing w:line="360" w:lineRule="auto"/>
        <w:ind w:left="720"/>
        <w:contextualSpacing/>
        <w:jc w:val="both"/>
        <w:rPr>
          <w:rFonts w:ascii="David" w:eastAsia="Calibri" w:hAnsi="David"/>
          <w:sz w:val="10"/>
          <w:szCs w:val="10"/>
        </w:rPr>
      </w:pPr>
    </w:p>
    <w:p w14:paraId="2E2105D8" w14:textId="77777777" w:rsidR="000801CC" w:rsidRDefault="000801CC" w:rsidP="000801CC">
      <w:pPr>
        <w:pStyle w:val="a9"/>
        <w:numPr>
          <w:ilvl w:val="0"/>
          <w:numId w:val="1"/>
        </w:numPr>
        <w:spacing w:line="360" w:lineRule="auto"/>
        <w:jc w:val="both"/>
        <w:rPr>
          <w:rFonts w:ascii="David" w:eastAsia="Calibri" w:hAnsi="David"/>
        </w:rPr>
      </w:pPr>
      <w:r>
        <w:rPr>
          <w:rFonts w:ascii="David" w:eastAsia="Calibri" w:hAnsi="David"/>
          <w:rtl/>
        </w:rPr>
        <w:t>מטעם הנאשם העיד מר ליאור דוידוב חייל המשמש כמפקד טנק. סיפר על כך שהוא והנאשם חברים טובים וציין כי הנאשם הינו חבר טוב ונאמן, והעריך כי העבירות בוצעו על ידי הנאשם כתוצאה מביטחונו העצמי הנמוך שנוצל על ידי גורמים שוליים.</w:t>
      </w:r>
    </w:p>
    <w:p w14:paraId="43EA01AA" w14:textId="77777777" w:rsidR="000801CC" w:rsidRPr="001046BD" w:rsidRDefault="000801CC" w:rsidP="000801CC">
      <w:pPr>
        <w:spacing w:line="360" w:lineRule="auto"/>
        <w:ind w:left="720"/>
        <w:contextualSpacing/>
        <w:jc w:val="both"/>
        <w:rPr>
          <w:rFonts w:ascii="David" w:eastAsia="Calibri" w:hAnsi="David"/>
          <w:sz w:val="14"/>
          <w:szCs w:val="14"/>
        </w:rPr>
      </w:pPr>
    </w:p>
    <w:p w14:paraId="034EBA91" w14:textId="77777777" w:rsidR="000801CC" w:rsidRDefault="000801CC" w:rsidP="000801CC">
      <w:pPr>
        <w:pStyle w:val="a9"/>
        <w:numPr>
          <w:ilvl w:val="0"/>
          <w:numId w:val="1"/>
        </w:numPr>
        <w:spacing w:line="360" w:lineRule="auto"/>
        <w:jc w:val="both"/>
        <w:rPr>
          <w:rFonts w:ascii="David" w:eastAsia="Calibri" w:hAnsi="David"/>
        </w:rPr>
      </w:pPr>
      <w:r>
        <w:rPr>
          <w:rFonts w:ascii="David" w:eastAsia="Calibri" w:hAnsi="David"/>
          <w:rtl/>
        </w:rPr>
        <w:t>העיד, מר ערן אוחנה, אביו של הנאשם, ו</w:t>
      </w:r>
      <w:r>
        <w:rPr>
          <w:rFonts w:ascii="David" w:eastAsia="Calibri" w:hAnsi="David" w:hint="cs"/>
          <w:rtl/>
        </w:rPr>
        <w:t xml:space="preserve">סיפר על אורח החיים הנורמטיבי שהוא </w:t>
      </w:r>
      <w:r>
        <w:rPr>
          <w:rFonts w:ascii="David" w:eastAsia="Calibri" w:hAnsi="David"/>
          <w:rtl/>
        </w:rPr>
        <w:t xml:space="preserve">ומשפחתו מנהלים, עובדים לפרנסתם, בנותיהם אקדמאיות, והנאשם נעדר עבר פלילי. מבלי להמעיט מחומרת העבירות טען כי אלו בוצעו על רקע בעיות בגיבוש זהות עצמית ודימוי עצמי נמוך, ולא ממניעים פליליים. עוד העיד על התקופה הקשה אותה חווים הוא ומשפחתו בעקבות מעצרו של הנאשם, וסיפר על השבר הקשה בנפשו של בנו הקטן המצוי באשפוז כפוי.  הדגיש את העובדה שהנאשם הבין את טעותו, וכיום פניו למקום אחר. ביקש לתת לנאשם הזדמנות להשתקם וציין כי  הוא  עצמו יעשה את כל המאמצים לסייע בעניין. עוד הפנה לקשיים עמם מתמודד הנאשם במסגרת בית הכלא, וכי המשך חשיפתו לעולם העבריינות עלולה לדרדרו. ביקש להתחשב בנאשם  ובתקופת המעצר הארוכה בה הוא נתון.  </w:t>
      </w:r>
    </w:p>
    <w:p w14:paraId="7E57FE0D" w14:textId="77777777" w:rsidR="000801CC" w:rsidRPr="001046BD" w:rsidRDefault="000801CC" w:rsidP="000801CC">
      <w:pPr>
        <w:pStyle w:val="a9"/>
        <w:rPr>
          <w:rFonts w:ascii="David" w:eastAsia="Calibri" w:hAnsi="David"/>
          <w:sz w:val="14"/>
          <w:szCs w:val="14"/>
        </w:rPr>
      </w:pPr>
    </w:p>
    <w:p w14:paraId="10BA2D77" w14:textId="77777777" w:rsidR="000801CC" w:rsidRDefault="000801CC" w:rsidP="000801CC">
      <w:pPr>
        <w:pStyle w:val="a9"/>
        <w:spacing w:line="360" w:lineRule="auto"/>
        <w:jc w:val="both"/>
        <w:rPr>
          <w:rFonts w:ascii="David" w:eastAsia="Calibri" w:hAnsi="David"/>
          <w:sz w:val="6"/>
          <w:szCs w:val="6"/>
        </w:rPr>
      </w:pPr>
    </w:p>
    <w:p w14:paraId="516EF8A2" w14:textId="77777777" w:rsidR="000801CC" w:rsidRDefault="000801CC" w:rsidP="000801CC">
      <w:pPr>
        <w:pStyle w:val="a9"/>
        <w:numPr>
          <w:ilvl w:val="0"/>
          <w:numId w:val="1"/>
        </w:numPr>
        <w:spacing w:line="360" w:lineRule="auto"/>
        <w:jc w:val="both"/>
        <w:rPr>
          <w:rFonts w:ascii="David" w:eastAsia="Calibri" w:hAnsi="David"/>
        </w:rPr>
      </w:pPr>
      <w:r>
        <w:rPr>
          <w:rFonts w:ascii="David" w:eastAsia="Calibri" w:hAnsi="David"/>
          <w:rtl/>
        </w:rPr>
        <w:t>העידה, גב' אביבית אוחנה, אמו של הנאשם, על התקופה הקשה והמורכבת אותה היא ומשפחתה עוברים בעקבות מעצרו של הנאשם. הדגישה כי הנאשם מצר על מעשיו, ומבין כי טעה. הפנתה למצבו הקשה של אחיו של הנאשם שנשבר נפשית ממעצרו של הנאשם, ונזקקותו אליו. ביקשה להתחשב בנאש</w:t>
      </w:r>
      <w:r>
        <w:rPr>
          <w:rFonts w:ascii="David" w:eastAsia="Calibri" w:hAnsi="David" w:hint="cs"/>
          <w:rtl/>
        </w:rPr>
        <w:t>ם</w:t>
      </w:r>
      <w:r>
        <w:rPr>
          <w:rFonts w:ascii="David" w:eastAsia="Calibri" w:hAnsi="David"/>
          <w:rtl/>
        </w:rPr>
        <w:t xml:space="preserve"> וציינה כי היא ובעלה יעשו את כל מאמציהם על מנת לשקמו.</w:t>
      </w:r>
    </w:p>
    <w:p w14:paraId="294546DB" w14:textId="77777777" w:rsidR="000801CC" w:rsidRPr="00206B37" w:rsidRDefault="000801CC" w:rsidP="000801CC">
      <w:pPr>
        <w:pStyle w:val="a9"/>
        <w:spacing w:line="360" w:lineRule="auto"/>
        <w:jc w:val="both"/>
        <w:rPr>
          <w:rFonts w:ascii="David" w:eastAsia="Calibri" w:hAnsi="David"/>
          <w:sz w:val="12"/>
          <w:szCs w:val="12"/>
        </w:rPr>
      </w:pPr>
    </w:p>
    <w:p w14:paraId="61BBF787" w14:textId="77777777" w:rsidR="000801CC" w:rsidRDefault="000801CC" w:rsidP="000801CC">
      <w:pPr>
        <w:pStyle w:val="a9"/>
        <w:numPr>
          <w:ilvl w:val="0"/>
          <w:numId w:val="1"/>
        </w:numPr>
        <w:spacing w:line="360" w:lineRule="auto"/>
        <w:jc w:val="both"/>
        <w:rPr>
          <w:rFonts w:ascii="David" w:eastAsia="Calibri" w:hAnsi="David"/>
          <w:rtl/>
        </w:rPr>
      </w:pPr>
      <w:r>
        <w:rPr>
          <w:rFonts w:ascii="David" w:eastAsia="Calibri" w:hAnsi="David" w:hint="cs"/>
          <w:rtl/>
        </w:rPr>
        <w:t>העידה, עו"ד ליאורה אוחנה, דודתו של הנאשם, על החולשות של הנאשם ובעיקר הפנתה לגילו הצעיר והדימוי העצמי הנמוך ממנו סבל, ואשר הביא אותו להתחבר לחברה שולית. מנגד העידה גם על כוחותיו להשתקם. הדגישה את הקשיים בהם המשפחה נתונה ובעיקר הקושי הנפשי של הנאשם במהלך המעצר. ציינה כי כל בני המשפחה גודלו וחונכו לדבוק בדרך הישר, והביעה תקווה עמוקה לשיקומו את הנאשם, והדגישה כי הותרתו במאסר תחטיא במקרה זה את המטרה.</w:t>
      </w:r>
    </w:p>
    <w:p w14:paraId="0313EA30" w14:textId="77777777" w:rsidR="000801CC" w:rsidRPr="00C554C5" w:rsidRDefault="000801CC" w:rsidP="000801CC">
      <w:pPr>
        <w:spacing w:line="360" w:lineRule="auto"/>
        <w:jc w:val="both"/>
        <w:rPr>
          <w:rFonts w:ascii="David" w:eastAsia="Calibri" w:hAnsi="David"/>
          <w:sz w:val="10"/>
          <w:szCs w:val="10"/>
          <w:rtl/>
        </w:rPr>
      </w:pPr>
    </w:p>
    <w:p w14:paraId="2E0BD562" w14:textId="77777777" w:rsidR="000801CC" w:rsidRDefault="000801CC" w:rsidP="000801CC">
      <w:pPr>
        <w:pStyle w:val="a9"/>
        <w:numPr>
          <w:ilvl w:val="0"/>
          <w:numId w:val="1"/>
        </w:numPr>
        <w:spacing w:line="360" w:lineRule="auto"/>
        <w:jc w:val="both"/>
        <w:rPr>
          <w:rFonts w:ascii="David" w:eastAsia="Calibri" w:hAnsi="David"/>
        </w:rPr>
      </w:pPr>
      <w:r>
        <w:rPr>
          <w:rFonts w:ascii="David" w:eastAsia="Calibri" w:hAnsi="David"/>
          <w:rtl/>
        </w:rPr>
        <w:t>הנאשם עצמו הצטער על ביצוע העבירות, לקח אחריות</w:t>
      </w:r>
      <w:r>
        <w:rPr>
          <w:rFonts w:ascii="David" w:eastAsia="Calibri" w:hAnsi="David" w:hint="cs"/>
          <w:rtl/>
        </w:rPr>
        <w:t xml:space="preserve"> על ביצוען</w:t>
      </w:r>
      <w:r>
        <w:rPr>
          <w:rFonts w:ascii="David" w:eastAsia="Calibri" w:hAnsi="David"/>
          <w:rtl/>
        </w:rPr>
        <w:t xml:space="preserve">, טען כי הפנים את טעותו, הצר על הפגיעה במשפחתו, והבטיח כי מעשיו לא יישנו. </w:t>
      </w:r>
    </w:p>
    <w:p w14:paraId="1705CEF2" w14:textId="77777777" w:rsidR="000801CC" w:rsidRPr="00C554C5" w:rsidRDefault="000801CC" w:rsidP="000801CC">
      <w:pPr>
        <w:spacing w:line="360" w:lineRule="auto"/>
        <w:ind w:left="360"/>
        <w:contextualSpacing/>
        <w:jc w:val="both"/>
        <w:rPr>
          <w:rFonts w:ascii="David" w:eastAsia="Calibri" w:hAnsi="David"/>
          <w:sz w:val="14"/>
          <w:szCs w:val="14"/>
        </w:rPr>
      </w:pPr>
    </w:p>
    <w:p w14:paraId="54E0E930" w14:textId="77777777" w:rsidR="000801CC" w:rsidRDefault="000801CC" w:rsidP="000801CC">
      <w:pPr>
        <w:spacing w:line="360" w:lineRule="auto"/>
        <w:ind w:left="360"/>
        <w:contextualSpacing/>
        <w:jc w:val="both"/>
        <w:rPr>
          <w:rFonts w:ascii="David" w:eastAsia="Calibri" w:hAnsi="David"/>
          <w:b/>
          <w:bCs/>
          <w:u w:val="single"/>
        </w:rPr>
      </w:pPr>
      <w:r>
        <w:rPr>
          <w:rFonts w:ascii="David" w:eastAsia="Calibri" w:hAnsi="David"/>
          <w:b/>
          <w:bCs/>
          <w:u w:val="single"/>
          <w:rtl/>
        </w:rPr>
        <w:t xml:space="preserve">תסקיר שירות המבחן: </w:t>
      </w:r>
    </w:p>
    <w:p w14:paraId="535EB705" w14:textId="77777777" w:rsidR="000801CC" w:rsidRDefault="000801CC" w:rsidP="000801CC">
      <w:pPr>
        <w:numPr>
          <w:ilvl w:val="0"/>
          <w:numId w:val="1"/>
        </w:numPr>
        <w:spacing w:after="160" w:line="360" w:lineRule="auto"/>
        <w:contextualSpacing/>
        <w:jc w:val="both"/>
        <w:rPr>
          <w:rFonts w:ascii="David" w:eastAsia="David" w:hAnsi="David"/>
          <w:b/>
          <w:bCs/>
          <w:sz w:val="16"/>
          <w:szCs w:val="16"/>
          <w:u w:val="single"/>
        </w:rPr>
      </w:pPr>
      <w:r>
        <w:rPr>
          <w:rFonts w:ascii="David" w:eastAsia="David" w:hAnsi="David"/>
          <w:rtl/>
        </w:rPr>
        <w:t>בתסקיר שירות המבחן פורטו בהרחבה נסיבותיו האישיות של הנאשם. מהתסקיר עולה כי הנאשם לוקח אחריות פורמאלית על ביצוע העבירות, מתקשה להסביר את המניעים למעשיו, שלל סכסוכים עם אחרים, משליך את סיבת מעצרו על גורמים חיצוניים ומתקשה להתבונן בדפוסי התנהגותו ולהביע מוטיבציה אמיתית לשינוי. בהתאם, שירות המבחן התרשם  כי רב נסתר על הגלוי אודות מהות קשריו השוליים. עם זאת, כגורמי סיכוי, שירות המבחן מנה  את העובדה כי מדובר בצעיר ללא הרשעות קודמות, המבטא רצון להשתלבות בטיפול מתאים, קיומם של כוחות חיוביים שיכולים לעמוד לסייע בידו לשינוי מצבו, העובדה כי הנאשם מביע צער על מעורבותו בפלילים, מגלה תובנה באשר למחירים אותם הוא משלם בעקבות כך, וההתרשמות כי הנאשם בעל תובנות ראשוניות באשר לדרך התמודדותו עם מצוקות רגשיות באמצעות חיבור לסביבה שולית ודפוסי חשיבה והתנהגות עבריינים. במכלול השיקולים, שירות המבחן העריך כי נדרש תהליך טיפולי מעמיק שיאפשר קבלת כלים, שיסייעו לנאשם לזהות ולבטא את קשייו הרגשיים לצד חיזוק דפוסי חשיבה נורמטיביים . כן הוערך כי בהעדר טיפול מסוג זה קיים סיכון בינוני עד גבוה להישנות עבירות דומות בעתיד. לאור כל האמור לעיל, שירות המבחן לא בא בהמלצה טיפולית בעניינו של הנאשם</w:t>
      </w:r>
      <w:r>
        <w:rPr>
          <w:rFonts w:ascii="David" w:eastAsia="David" w:hAnsi="David" w:hint="cs"/>
          <w:rtl/>
        </w:rPr>
        <w:t>.</w:t>
      </w:r>
      <w:r>
        <w:rPr>
          <w:rFonts w:ascii="David" w:eastAsia="David" w:hAnsi="David"/>
          <w:rtl/>
        </w:rPr>
        <w:t xml:space="preserve"> לצד זאת,</w:t>
      </w:r>
      <w:r>
        <w:rPr>
          <w:rFonts w:ascii="David" w:eastAsia="David" w:hAnsi="David" w:hint="cs"/>
          <w:rtl/>
        </w:rPr>
        <w:t xml:space="preserve"> שרות המבחן</w:t>
      </w:r>
      <w:r>
        <w:rPr>
          <w:rFonts w:ascii="David" w:eastAsia="David" w:hAnsi="David"/>
          <w:rtl/>
        </w:rPr>
        <w:t xml:space="preserve"> המליץ על ענישה מוחשית ובעלת גבולות ברורים העשויה לחדד עבורו את גבולות החוק ואת חומרת מעשיו. כן הומלץ כי ובמידה ויוטל על הנאשם מאסר בפועל מאחורי סורג ובריח , לשקול אפשרות שילובו בתהליך טיפולי מותאם לגילו הצעיר בהתאם לצרכיו הטיפוליים. </w:t>
      </w:r>
    </w:p>
    <w:p w14:paraId="73A019D3" w14:textId="77777777" w:rsidR="000801CC" w:rsidRDefault="000801CC" w:rsidP="000801CC">
      <w:pPr>
        <w:spacing w:line="360" w:lineRule="auto"/>
        <w:ind w:left="391"/>
        <w:contextualSpacing/>
        <w:jc w:val="both"/>
        <w:rPr>
          <w:rFonts w:ascii="David" w:eastAsia="David" w:hAnsi="David"/>
          <w:b/>
          <w:bCs/>
          <w:sz w:val="16"/>
          <w:szCs w:val="16"/>
          <w:u w:val="single"/>
          <w:rtl/>
        </w:rPr>
      </w:pPr>
    </w:p>
    <w:p w14:paraId="600B99C7" w14:textId="77777777" w:rsidR="000801CC" w:rsidRDefault="000801CC" w:rsidP="000801CC">
      <w:pPr>
        <w:spacing w:after="160" w:line="360" w:lineRule="auto"/>
        <w:ind w:left="391"/>
        <w:contextualSpacing/>
        <w:jc w:val="both"/>
        <w:rPr>
          <w:rFonts w:ascii="David" w:eastAsia="David" w:hAnsi="David"/>
          <w:b/>
          <w:bCs/>
          <w:u w:val="single"/>
        </w:rPr>
      </w:pPr>
      <w:r>
        <w:rPr>
          <w:rFonts w:ascii="David" w:eastAsia="David" w:hAnsi="David"/>
          <w:b/>
          <w:bCs/>
          <w:u w:val="single"/>
          <w:rtl/>
        </w:rPr>
        <w:t>דיון</w:t>
      </w:r>
    </w:p>
    <w:p w14:paraId="38175750" w14:textId="77777777" w:rsidR="000801CC" w:rsidRDefault="000801CC" w:rsidP="000801CC">
      <w:pPr>
        <w:spacing w:after="160" w:line="360" w:lineRule="auto"/>
        <w:ind w:firstLine="360"/>
        <w:jc w:val="both"/>
        <w:rPr>
          <w:rFonts w:ascii="David" w:eastAsia="David" w:hAnsi="David"/>
          <w:b/>
          <w:bCs/>
          <w:u w:val="single"/>
          <w:rtl/>
        </w:rPr>
      </w:pPr>
      <w:r>
        <w:rPr>
          <w:rFonts w:ascii="David" w:eastAsia="David" w:hAnsi="David"/>
          <w:b/>
          <w:bCs/>
          <w:u w:val="single"/>
          <w:rtl/>
        </w:rPr>
        <w:t>קביעת מתחם העונש ההולם</w:t>
      </w:r>
    </w:p>
    <w:p w14:paraId="727D60BD" w14:textId="77777777" w:rsidR="000801CC" w:rsidRDefault="000801CC" w:rsidP="000801CC">
      <w:pPr>
        <w:numPr>
          <w:ilvl w:val="0"/>
          <w:numId w:val="1"/>
        </w:numPr>
        <w:spacing w:after="160" w:line="360" w:lineRule="auto"/>
        <w:contextualSpacing/>
        <w:jc w:val="both"/>
        <w:rPr>
          <w:rFonts w:ascii="David" w:hAnsi="David"/>
          <w:b/>
          <w:bCs/>
          <w:u w:val="single"/>
        </w:rPr>
      </w:pPr>
      <w:r>
        <w:rPr>
          <w:rFonts w:ascii="David" w:eastAsia="David" w:hAnsi="David"/>
          <w:rtl/>
        </w:rPr>
        <w:t xml:space="preserve">פרק </w:t>
      </w:r>
      <w:hyperlink r:id="rId31" w:history="1">
        <w:r w:rsidR="005442A7" w:rsidRPr="005442A7">
          <w:rPr>
            <w:rStyle w:val="Hyperlink"/>
            <w:rFonts w:ascii="David" w:eastAsia="David" w:hAnsi="David"/>
            <w:rtl/>
          </w:rPr>
          <w:t xml:space="preserve">ו' סימן א' 1 </w:t>
        </w:r>
      </w:hyperlink>
      <w:r>
        <w:rPr>
          <w:rFonts w:ascii="David" w:eastAsia="David" w:hAnsi="David"/>
          <w:rtl/>
        </w:rPr>
        <w:t xml:space="preserve">  ל</w:t>
      </w:r>
      <w:hyperlink r:id="rId32" w:history="1">
        <w:r w:rsidR="00B17AE2" w:rsidRPr="00B17AE2">
          <w:rPr>
            <w:rFonts w:ascii="David" w:eastAsia="David" w:hAnsi="David"/>
            <w:color w:val="0000FF"/>
            <w:u w:val="single"/>
            <w:rtl/>
          </w:rPr>
          <w:t>חוק העונשין</w:t>
        </w:r>
      </w:hyperlink>
      <w:r>
        <w:rPr>
          <w:rFonts w:ascii="David" w:eastAsia="David" w:hAnsi="David"/>
          <w:rtl/>
        </w:rPr>
        <w:t xml:space="preserve"> דן בהבניית שיפוט הדעת השיפוטי בענישה (</w:t>
      </w:r>
      <w:hyperlink r:id="rId33" w:history="1">
        <w:r w:rsidR="005442A7" w:rsidRPr="005442A7">
          <w:rPr>
            <w:rStyle w:val="Hyperlink"/>
            <w:rFonts w:ascii="David" w:eastAsia="David" w:hAnsi="David"/>
            <w:rtl/>
          </w:rPr>
          <w:t>סעיפים 40א-טו)</w:t>
        </w:r>
      </w:hyperlink>
      <w:r>
        <w:rPr>
          <w:rFonts w:ascii="David" w:eastAsia="David" w:hAnsi="David"/>
          <w:rtl/>
        </w:rPr>
        <w:t xml:space="preserve"> וקובע  בין היתר, כי העיקרון המנחה בגזירת הדין הינו עקרון ההלימה, קרי קיומו של יחס הולם בין חומרת מעשה העבירה ומידת האשמה של הנאשם ובין סוג ומידת העונש המוטלים עליו (ס' </w:t>
      </w:r>
      <w:hyperlink r:id="rId34" w:history="1">
        <w:r w:rsidR="005442A7" w:rsidRPr="005442A7">
          <w:rPr>
            <w:rStyle w:val="Hyperlink"/>
            <w:rFonts w:ascii="David" w:eastAsia="David" w:hAnsi="David"/>
            <w:rtl/>
          </w:rPr>
          <w:t>40 א</w:t>
        </w:r>
      </w:hyperlink>
      <w:r>
        <w:rPr>
          <w:rFonts w:ascii="David" w:eastAsia="David" w:hAnsi="David"/>
          <w:rtl/>
        </w:rPr>
        <w:t xml:space="preserve">).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4EF53A34" w14:textId="77777777" w:rsidR="000801CC" w:rsidRDefault="000801CC" w:rsidP="000801CC">
      <w:pPr>
        <w:shd w:val="clear" w:color="auto" w:fill="FFFFFF"/>
        <w:spacing w:after="160" w:line="360" w:lineRule="auto"/>
        <w:ind w:left="720"/>
        <w:contextualSpacing/>
        <w:jc w:val="both"/>
        <w:rPr>
          <w:rFonts w:ascii="David" w:eastAsia="David" w:hAnsi="David"/>
          <w:b/>
          <w:bCs/>
          <w:sz w:val="16"/>
          <w:szCs w:val="16"/>
          <w:u w:val="single"/>
          <w:rtl/>
        </w:rPr>
      </w:pPr>
    </w:p>
    <w:p w14:paraId="30C6CD5C" w14:textId="77777777" w:rsidR="000801CC" w:rsidRDefault="000801CC" w:rsidP="000801CC">
      <w:pPr>
        <w:shd w:val="clear" w:color="auto" w:fill="FFFFFF"/>
        <w:spacing w:after="160" w:line="360" w:lineRule="auto"/>
        <w:ind w:left="391"/>
        <w:contextualSpacing/>
        <w:jc w:val="both"/>
        <w:rPr>
          <w:rFonts w:ascii="David" w:eastAsia="Calibri" w:hAnsi="David"/>
          <w:rtl/>
        </w:rPr>
      </w:pPr>
      <w:r>
        <w:rPr>
          <w:rFonts w:ascii="David" w:eastAsia="David" w:hAnsi="David"/>
          <w:b/>
          <w:bCs/>
          <w:u w:val="single"/>
          <w:rtl/>
        </w:rPr>
        <w:t>הערכים החברתיים עליהם יש להגן</w:t>
      </w:r>
    </w:p>
    <w:p w14:paraId="55C10E8C" w14:textId="77777777" w:rsidR="000801CC" w:rsidRDefault="000801CC" w:rsidP="000801CC">
      <w:pPr>
        <w:shd w:val="clear" w:color="auto" w:fill="FFFFFF"/>
        <w:spacing w:after="160" w:line="360" w:lineRule="auto"/>
        <w:ind w:left="720"/>
        <w:contextualSpacing/>
        <w:jc w:val="both"/>
        <w:rPr>
          <w:rFonts w:ascii="David" w:eastAsia="Calibri" w:hAnsi="David"/>
          <w:sz w:val="10"/>
          <w:szCs w:val="10"/>
        </w:rPr>
      </w:pPr>
    </w:p>
    <w:p w14:paraId="6A57FFAD" w14:textId="77777777" w:rsidR="000801CC" w:rsidRDefault="000801CC" w:rsidP="000801CC">
      <w:pPr>
        <w:numPr>
          <w:ilvl w:val="0"/>
          <w:numId w:val="1"/>
        </w:numPr>
        <w:spacing w:after="160" w:line="360" w:lineRule="auto"/>
        <w:contextualSpacing/>
        <w:jc w:val="both"/>
        <w:rPr>
          <w:rFonts w:ascii="David" w:hAnsi="David"/>
          <w:rtl/>
        </w:rPr>
      </w:pPr>
      <w:r>
        <w:rPr>
          <w:rFonts w:ascii="David" w:eastAsia="David" w:hAnsi="David"/>
          <w:rtl/>
        </w:rPr>
        <w:t xml:space="preserve">הערכים המוגנים שנפגעו כתוצאה מביצוע עבירת הנשק הינם: </w:t>
      </w:r>
      <w:r>
        <w:rPr>
          <w:rFonts w:ascii="David" w:eastAsia="David" w:hAnsi="David"/>
          <w:spacing w:val="10"/>
          <w:rtl/>
        </w:rPr>
        <w:t>הצורך בשמירה על חיי אדם ושלמות הגוף</w:t>
      </w:r>
      <w:r>
        <w:rPr>
          <w:rFonts w:ascii="David" w:eastAsia="David" w:hAnsi="David"/>
          <w:rtl/>
          <w:lang w:eastAsia="he-IL"/>
        </w:rPr>
        <w:t xml:space="preserve">,  שלום הציבור ותחושת בטחונו מפני פגיעות בגוף ובנפש והסדר הציבורי. על ערכים אלה ניתן להגן בעיקר באמצעות פיקוח הדוק של הרשות להנפקת רישיונות להחזקת נשק. נשיאת נשק שלא כדין מחבלת ביכולתהּ של הרשות לבצע פיקוח ואכיפה כנדרש. בנוסף מי שמחזיק נשק ללא רישיון מסכן את הציבור, מאחר שלא עבר הכשרה מתאימה, ויש להניח כי אינו יודע להשתמש בו בדרך נכונה ובטוחה. למותר לציין, כי לא כל אדם רשאי לשאת נשק,  ושיקולי הרשות במתן היתר לנשיאת נשק נועדו להבטיח את שלום הציבור וניתנים במשורה ביחס לאזרחים מן השורה. </w:t>
      </w:r>
      <w:r>
        <w:rPr>
          <w:rFonts w:ascii="David" w:eastAsia="David" w:hAnsi="David"/>
          <w:rtl/>
        </w:rPr>
        <w:t xml:space="preserve">החוק והפסיקה ייחסו לעבירות בנשק חומרה מיוחדת, נוכח ההשלכות הרות האסון, ופוטנציאל הסיכון הרב הגלום בהן. נפסק, כי זמינותו של נשק חם בעל פוטנציאל להסלמה בעבירות אלימות מסוגים שונים, מחייבת ביטוי עונשי הולם והחמרה ברמת הענישה. </w:t>
      </w:r>
    </w:p>
    <w:p w14:paraId="4CF8827D" w14:textId="77777777" w:rsidR="000801CC" w:rsidRDefault="000801CC" w:rsidP="000801CC">
      <w:pPr>
        <w:spacing w:line="360" w:lineRule="auto"/>
        <w:jc w:val="both"/>
        <w:rPr>
          <w:rFonts w:ascii="David" w:eastAsia="David" w:hAnsi="David"/>
          <w:sz w:val="12"/>
          <w:szCs w:val="12"/>
          <w:rtl/>
        </w:rPr>
      </w:pPr>
    </w:p>
    <w:p w14:paraId="74B2CBCD" w14:textId="77777777" w:rsidR="000801CC" w:rsidRDefault="000801CC" w:rsidP="000801CC">
      <w:pPr>
        <w:spacing w:line="360" w:lineRule="auto"/>
        <w:ind w:left="720"/>
        <w:contextualSpacing/>
        <w:jc w:val="both"/>
        <w:rPr>
          <w:rFonts w:ascii="David" w:eastAsia="David" w:hAnsi="David"/>
          <w:b/>
          <w:bCs/>
        </w:rPr>
      </w:pPr>
      <w:r>
        <w:rPr>
          <w:rFonts w:ascii="David" w:eastAsia="David" w:hAnsi="David"/>
          <w:rtl/>
        </w:rPr>
        <w:t>בית המשפט העליון התייחס רבות לחומרתן של עבירות נשק, לכך שהפכו ל"מכת מדינה" ולצורך להחמיר עד מאוד בענישה בעניינן. גם המחוקק התייחס לחומרת עבירות הנשק כשקבע לאחרונה בהוראת שעה עונשי מינימום לעבירות נשק,</w:t>
      </w:r>
      <w:r w:rsidR="00B17AE2">
        <w:rPr>
          <w:rFonts w:ascii="David" w:eastAsia="David" w:hAnsi="David"/>
          <w:rtl/>
        </w:rPr>
        <w:t xml:space="preserve"> </w:t>
      </w:r>
      <w:r>
        <w:rPr>
          <w:rFonts w:ascii="David" w:eastAsia="David" w:hAnsi="David"/>
          <w:rtl/>
        </w:rPr>
        <w:t xml:space="preserve"> </w:t>
      </w:r>
      <w:r w:rsidR="00B17AE2" w:rsidRPr="005442A7">
        <w:rPr>
          <w:rFonts w:ascii="David" w:eastAsia="David" w:hAnsi="David"/>
          <w:rtl/>
        </w:rPr>
        <w:t>חוק העונשין</w:t>
      </w:r>
      <w:r>
        <w:rPr>
          <w:rFonts w:ascii="David" w:eastAsia="David" w:hAnsi="David"/>
          <w:rtl/>
        </w:rPr>
        <w:t xml:space="preserve"> (תיקון מס' 140 – הוראת שעה), התשפ"ב-2021, אשר נכנס לתוקף בדצמבר 2021. ר' </w:t>
      </w:r>
      <w:r>
        <w:rPr>
          <w:rFonts w:ascii="David" w:eastAsia="David" w:hAnsi="David"/>
        </w:rPr>
        <w:t xml:space="preserve"> </w:t>
      </w:r>
      <w:hyperlink r:id="rId35" w:history="1">
        <w:r w:rsidR="00B17AE2" w:rsidRPr="00B17AE2">
          <w:rPr>
            <w:rFonts w:ascii="David" w:eastAsia="David" w:hAnsi="David"/>
            <w:b/>
            <w:bCs/>
            <w:color w:val="0000FF"/>
            <w:u w:val="single"/>
            <w:rtl/>
          </w:rPr>
          <w:t>ע"פ 5813/21</w:t>
        </w:r>
      </w:hyperlink>
      <w:r>
        <w:rPr>
          <w:rFonts w:ascii="David" w:eastAsia="David" w:hAnsi="David"/>
          <w:b/>
          <w:bCs/>
          <w:rtl/>
        </w:rPr>
        <w:t xml:space="preserve"> </w:t>
      </w:r>
      <w:r>
        <w:rPr>
          <w:rFonts w:ascii="David" w:eastAsia="David" w:hAnsi="David"/>
          <w:b/>
          <w:bCs/>
          <w:u w:val="single"/>
          <w:rtl/>
        </w:rPr>
        <w:t>ג'בארין נ' מדינת ישראל</w:t>
      </w:r>
      <w:r>
        <w:rPr>
          <w:rFonts w:ascii="David" w:eastAsia="David" w:hAnsi="David"/>
          <w:rtl/>
        </w:rPr>
        <w:t xml:space="preserve"> שם נאמר בין היתר: "</w:t>
      </w:r>
      <w:r>
        <w:rPr>
          <w:rFonts w:ascii="David" w:eastAsia="David" w:hAnsi="David"/>
          <w:b/>
          <w:bCs/>
          <w:rtl/>
        </w:rPr>
        <w:t xml:space="preserve">רבות נכתב על עבירות נשק והתערבות ערכאת הערעור בקביעת העונש ההולם בכלל ובעבירות נשק בפרט. אם קיימת התערבות, היא בדרך כלל נעשית על מנת להחמיר בעונשם של עברייני נשק ולא להקל עמם. לאחרונה, נאמרו על ידִי הדברים הבאים במסגרת </w:t>
      </w:r>
      <w:hyperlink r:id="rId36" w:history="1">
        <w:r w:rsidR="00B17AE2" w:rsidRPr="00B17AE2">
          <w:rPr>
            <w:rFonts w:ascii="David" w:eastAsia="David" w:hAnsi="David"/>
            <w:b/>
            <w:bCs/>
            <w:color w:val="0000FF"/>
            <w:u w:val="single"/>
            <w:rtl/>
          </w:rPr>
          <w:t>ע"פ 8320/21</w:t>
        </w:r>
      </w:hyperlink>
      <w:r>
        <w:rPr>
          <w:rFonts w:ascii="David" w:eastAsia="David" w:hAnsi="David"/>
          <w:b/>
          <w:bCs/>
          <w:rtl/>
        </w:rPr>
        <w:t xml:space="preserve"> מדינת ישראל נ' בסילה: 'אין צורך להכביר במילים על אודות החומרה הנלווית לעבירות נשק. אין היום חולקין כי עבירות מסוג זה הפכו ל'מכת מדינה' של ממש...מכה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7" w:history="1">
        <w:r w:rsidR="00B17AE2" w:rsidRPr="00B17AE2">
          <w:rPr>
            <w:rFonts w:ascii="David" w:eastAsia="David" w:hAnsi="David"/>
            <w:b/>
            <w:bCs/>
            <w:color w:val="0000FF"/>
            <w:u w:val="single"/>
            <w:rtl/>
          </w:rPr>
          <w:t>חוק העונשין</w:t>
        </w:r>
      </w:hyperlink>
      <w:r>
        <w:rPr>
          <w:rFonts w:ascii="David" w:eastAsia="David" w:hAnsi="David"/>
          <w:b/>
          <w:bCs/>
          <w:rtl/>
        </w:rPr>
        <w:t xml:space="preserve"> (חוק העונשין (תיקון מס' 140 – הוראת שעה), התשפ"ב-2021)...הקובע עונשי מינימום לעבירות נשק' (שם, פסקה 25).</w:t>
      </w:r>
      <w:r>
        <w:rPr>
          <w:rFonts w:ascii="David" w:eastAsia="David" w:hAnsi="David"/>
          <w:b/>
          <w:bCs/>
          <w:rtl/>
          <w:lang w:eastAsia="he-IL"/>
        </w:rPr>
        <w:t xml:space="preserve"> ב</w:t>
      </w:r>
      <w:hyperlink r:id="rId38" w:history="1">
        <w:r w:rsidR="00B17AE2" w:rsidRPr="00B17AE2">
          <w:rPr>
            <w:rFonts w:ascii="David" w:eastAsia="David" w:hAnsi="David"/>
            <w:b/>
            <w:bCs/>
            <w:color w:val="0000FF"/>
            <w:u w:val="single"/>
            <w:rtl/>
            <w:lang w:eastAsia="he-IL"/>
          </w:rPr>
          <w:t>ע"פ 7502/12</w:t>
        </w:r>
      </w:hyperlink>
      <w:r>
        <w:rPr>
          <w:rFonts w:ascii="David" w:eastAsia="David" w:hAnsi="David"/>
          <w:b/>
          <w:bCs/>
          <w:rtl/>
          <w:lang w:eastAsia="he-IL"/>
        </w:rPr>
        <w:t xml:space="preserve"> </w:t>
      </w:r>
      <w:r>
        <w:rPr>
          <w:rFonts w:ascii="David" w:eastAsia="David" w:hAnsi="David"/>
          <w:b/>
          <w:bCs/>
          <w:u w:val="single"/>
          <w:rtl/>
          <w:lang w:eastAsia="he-IL"/>
        </w:rPr>
        <w:t>כוויס נ' מדינת ישראל</w:t>
      </w:r>
      <w:r>
        <w:rPr>
          <w:rFonts w:ascii="David" w:eastAsia="David" w:hAnsi="David"/>
          <w:b/>
          <w:bCs/>
          <w:rtl/>
          <w:lang w:eastAsia="he-IL"/>
        </w:rPr>
        <w:t xml:space="preserve">  (בימ"ש העליון)</w:t>
      </w:r>
      <w:r>
        <w:rPr>
          <w:rFonts w:ascii="David" w:eastAsia="David" w:hAnsi="David"/>
          <w:rtl/>
          <w:lang w:eastAsia="he-IL"/>
        </w:rPr>
        <w:t xml:space="preserve"> נקבע בין היתר כי: </w:t>
      </w:r>
      <w:r>
        <w:rPr>
          <w:rFonts w:ascii="David" w:eastAsia="David" w:hAnsi="David"/>
          <w:b/>
          <w:bCs/>
          <w:rtl/>
          <w:lang w:eastAsia="he-IL"/>
        </w:rPr>
        <w:t>"עבירות בנשק לסוגיהן מגלמות בתוכן סיכון ממשי לשלום הציבור ולביטחונו, שכן לא ניתן לדעת להיכן יתגלגלו כלי הנשק המוחזקים שלא דין, ואיזה שימוש יעשה בהם בעתיד".  ב</w:t>
      </w:r>
      <w:hyperlink r:id="rId39" w:history="1">
        <w:r w:rsidR="00B17AE2" w:rsidRPr="00B17AE2">
          <w:rPr>
            <w:rFonts w:ascii="David" w:eastAsia="David" w:hAnsi="David"/>
            <w:b/>
            <w:bCs/>
            <w:color w:val="0000FF"/>
            <w:u w:val="single"/>
            <w:rtl/>
            <w:lang w:eastAsia="he-IL"/>
          </w:rPr>
          <w:t>ע"פ 5833/07</w:t>
        </w:r>
      </w:hyperlink>
      <w:r>
        <w:rPr>
          <w:rFonts w:ascii="David" w:eastAsia="David" w:hAnsi="David"/>
          <w:rtl/>
          <w:lang w:eastAsia="he-IL"/>
        </w:rPr>
        <w:t xml:space="preserve"> </w:t>
      </w:r>
      <w:r>
        <w:rPr>
          <w:rFonts w:ascii="David" w:eastAsia="David" w:hAnsi="David"/>
          <w:b/>
          <w:bCs/>
          <w:u w:val="single"/>
          <w:rtl/>
          <w:lang w:eastAsia="he-IL"/>
        </w:rPr>
        <w:t>ח'ורי נ' מדינת ישראל</w:t>
      </w:r>
      <w:r>
        <w:rPr>
          <w:rFonts w:ascii="David" w:eastAsia="David" w:hAnsi="David"/>
          <w:b/>
          <w:bCs/>
          <w:rtl/>
          <w:lang w:eastAsia="he-IL"/>
        </w:rPr>
        <w:t xml:space="preserve">  (בימ"ש העליון)</w:t>
      </w:r>
      <w:r>
        <w:rPr>
          <w:rFonts w:ascii="David" w:eastAsia="David" w:hAnsi="David"/>
          <w:rtl/>
          <w:lang w:eastAsia="he-IL"/>
        </w:rPr>
        <w:t xml:space="preserve"> נקבע כי: </w:t>
      </w:r>
      <w:r>
        <w:rPr>
          <w:rFonts w:ascii="David" w:eastAsia="David" w:hAnsi="David"/>
          <w:b/>
          <w:bCs/>
          <w:rtl/>
          <w:lang w:eastAsia="he-IL"/>
        </w:rPr>
        <w:t xml:space="preserve">"הניסיון מלמד שנשק אשר מקורו מפוקפק, לאחר שהוא יוצא מידי המחזיק בו, מוצא את דרכו לידיים עברייניות או למפגעים למיניהם, והרי אלה גם אלה כבר הוכיחו כי אין הם מהססים להשתמש בו גם במקומות סואנים, וגם כאשר ברור להם כי עלולים להיפגע מהירי אנשים תמימים שנקלעו לזירה בדרך מקרה...". </w:t>
      </w:r>
      <w:r>
        <w:rPr>
          <w:rFonts w:ascii="David" w:eastAsia="David" w:hAnsi="David"/>
          <w:rtl/>
        </w:rPr>
        <w:t xml:space="preserve"> עבירות הנשק, הפכו למרבה הצער, ל"מכת מדינה" של ממש:  ראו לעניין זה דבריו של כב' הש' אלרון </w:t>
      </w:r>
      <w:r>
        <w:rPr>
          <w:rFonts w:ascii="David" w:eastAsia="David" w:hAnsi="David"/>
          <w:b/>
          <w:bCs/>
          <w:rtl/>
        </w:rPr>
        <w:t>ב</w:t>
      </w:r>
      <w:hyperlink r:id="rId40" w:history="1">
        <w:r w:rsidR="00B17AE2" w:rsidRPr="00B17AE2">
          <w:rPr>
            <w:rFonts w:ascii="David" w:eastAsia="David" w:hAnsi="David"/>
            <w:b/>
            <w:bCs/>
            <w:color w:val="0000FF"/>
            <w:u w:val="single"/>
            <w:rtl/>
          </w:rPr>
          <w:t>רע"פ 5613/20</w:t>
        </w:r>
      </w:hyperlink>
      <w:r>
        <w:rPr>
          <w:rFonts w:ascii="David" w:eastAsia="David" w:hAnsi="David"/>
          <w:b/>
          <w:bCs/>
          <w:rtl/>
        </w:rPr>
        <w:t xml:space="preserve"> </w:t>
      </w:r>
      <w:r>
        <w:rPr>
          <w:rFonts w:ascii="David" w:eastAsia="David" w:hAnsi="David"/>
          <w:b/>
          <w:bCs/>
          <w:u w:val="single"/>
          <w:rtl/>
        </w:rPr>
        <w:t>אלהוזייל</w:t>
      </w:r>
      <w:r>
        <w:rPr>
          <w:rFonts w:ascii="David" w:eastAsia="David" w:hAnsi="David"/>
          <w:b/>
          <w:bCs/>
          <w:rtl/>
        </w:rPr>
        <w:t xml:space="preserve">  </w:t>
      </w:r>
      <w:r>
        <w:rPr>
          <w:rFonts w:ascii="David" w:eastAsia="David" w:hAnsi="David"/>
          <w:rtl/>
        </w:rPr>
        <w:t>כדלהלן:</w:t>
      </w:r>
      <w:r>
        <w:rPr>
          <w:rFonts w:ascii="David" w:eastAsia="David" w:hAnsi="David"/>
          <w:b/>
          <w:bCs/>
          <w:rtl/>
        </w:rPr>
        <w:t xml:space="preserve"> "לגופם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0A4161E0" w14:textId="77777777" w:rsidR="000801CC" w:rsidRPr="00C554C5" w:rsidRDefault="000801CC" w:rsidP="000801CC">
      <w:pPr>
        <w:spacing w:line="360" w:lineRule="auto"/>
        <w:ind w:left="720"/>
        <w:contextualSpacing/>
        <w:jc w:val="both"/>
        <w:rPr>
          <w:rFonts w:ascii="David" w:hAnsi="David"/>
          <w:sz w:val="12"/>
          <w:szCs w:val="12"/>
        </w:rPr>
      </w:pPr>
    </w:p>
    <w:p w14:paraId="09547F28" w14:textId="77777777" w:rsidR="000801CC" w:rsidRDefault="000801CC" w:rsidP="000801CC">
      <w:pPr>
        <w:pStyle w:val="a9"/>
        <w:numPr>
          <w:ilvl w:val="0"/>
          <w:numId w:val="1"/>
        </w:numPr>
        <w:spacing w:line="360" w:lineRule="auto"/>
        <w:jc w:val="both"/>
        <w:rPr>
          <w:rFonts w:ascii="David" w:hAnsi="David"/>
          <w:rtl/>
        </w:rPr>
      </w:pPr>
      <w:r>
        <w:rPr>
          <w:rFonts w:ascii="David" w:hAnsi="David"/>
          <w:rtl/>
        </w:rPr>
        <w:t xml:space="preserve">העבירה של הפרעה לשוטר במילוי תפקידו פוגעת ביכולתם של גורמי אכיפת החוק לבצע את תפקידם בשמירה על הסדר הציבורי ועקרון שלטון החוק וכיבודו. </w:t>
      </w:r>
    </w:p>
    <w:p w14:paraId="099EDE87" w14:textId="77777777" w:rsidR="000801CC" w:rsidRPr="001046BD" w:rsidRDefault="000801CC" w:rsidP="000801CC">
      <w:pPr>
        <w:spacing w:line="360" w:lineRule="auto"/>
        <w:ind w:left="720"/>
        <w:contextualSpacing/>
        <w:jc w:val="both"/>
        <w:rPr>
          <w:rFonts w:ascii="David" w:eastAsia="David" w:hAnsi="David"/>
          <w:b/>
          <w:bCs/>
          <w:sz w:val="8"/>
          <w:szCs w:val="8"/>
          <w:rtl/>
        </w:rPr>
      </w:pPr>
    </w:p>
    <w:p w14:paraId="2ECB8EFA" w14:textId="77777777" w:rsidR="000801CC" w:rsidRDefault="000801CC" w:rsidP="000801CC">
      <w:pPr>
        <w:pStyle w:val="a9"/>
        <w:numPr>
          <w:ilvl w:val="0"/>
          <w:numId w:val="1"/>
        </w:numPr>
        <w:spacing w:line="360" w:lineRule="auto"/>
        <w:jc w:val="both"/>
        <w:rPr>
          <w:rFonts w:ascii="David" w:eastAsia="David" w:hAnsi="David"/>
          <w:b/>
          <w:bCs/>
          <w:rtl/>
        </w:rPr>
      </w:pPr>
      <w:r>
        <w:rPr>
          <w:rFonts w:ascii="David" w:hAnsi="David"/>
          <w:rtl/>
        </w:rPr>
        <w:t xml:space="preserve">אשר לעבירות התעבורה המיוחסות לנאשם, הערכים המוגנים הינם בעיקר הצורך להגן על שלומם וביטחונם של ציבור המשתמשים בדרך מפני נהגים מסוכנים ובכלל זה מפני מי שנוהג ברכב ללא רשות בזמן שהוא פסול מלנהוג. לעבירה של נהיגה בזמן פסילה ערך מוגן נוסף והוא החובה לקיים את </w:t>
      </w:r>
      <w:r w:rsidRPr="00B91416">
        <w:rPr>
          <w:rFonts w:ascii="David" w:hAnsi="David"/>
          <w:rtl/>
        </w:rPr>
        <w:t>החלטות בית המשפט. בכל הקשור לעבירה של נהיגה בפסילה  ראה דברי כב' השופט לוי ב</w:t>
      </w:r>
      <w:hyperlink r:id="rId41" w:history="1">
        <w:r w:rsidR="00B17AE2" w:rsidRPr="00B17AE2">
          <w:rPr>
            <w:rFonts w:ascii="David" w:hAnsi="David"/>
            <w:b/>
            <w:bCs/>
            <w:color w:val="0000FF"/>
            <w:u w:val="single"/>
            <w:rtl/>
          </w:rPr>
          <w:t>רע"פ 6115/06</w:t>
        </w:r>
      </w:hyperlink>
      <w:r w:rsidRPr="00B91416">
        <w:rPr>
          <w:rFonts w:ascii="David" w:hAnsi="David"/>
          <w:b/>
          <w:bCs/>
          <w:rtl/>
        </w:rPr>
        <w:t xml:space="preserve"> </w:t>
      </w:r>
      <w:r w:rsidRPr="00B91416">
        <w:rPr>
          <w:rFonts w:ascii="David" w:hAnsi="David" w:hint="cs"/>
          <w:b/>
          <w:bCs/>
          <w:u w:val="single"/>
          <w:rtl/>
        </w:rPr>
        <w:t>מדינת ישראל נ' אבו-לבן</w:t>
      </w:r>
      <w:r w:rsidRPr="00B91416">
        <w:rPr>
          <w:rFonts w:ascii="David" w:hAnsi="David" w:hint="cs"/>
          <w:b/>
          <w:bCs/>
          <w:rtl/>
        </w:rPr>
        <w:t>: "נדמה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 על כן נקבע בסעיף 67 ל</w:t>
      </w:r>
      <w:hyperlink r:id="rId42" w:history="1">
        <w:r w:rsidR="00B17AE2" w:rsidRPr="00B17AE2">
          <w:rPr>
            <w:rFonts w:ascii="David" w:hAnsi="David"/>
            <w:b/>
            <w:bCs/>
            <w:color w:val="0000FF"/>
            <w:u w:val="single"/>
            <w:rtl/>
          </w:rPr>
          <w:t>פקודת התעבורה</w:t>
        </w:r>
      </w:hyperlink>
      <w:r w:rsidRPr="00B91416">
        <w:rPr>
          <w:rFonts w:ascii="David" w:hAnsi="David"/>
          <w:b/>
          <w:bCs/>
          <w:rtl/>
        </w:rPr>
        <w:t>, כי 'מי שהודע לו שנפסל מקבל או מהחזיק רישיון נהיגה, וכל עוד הפסילה בתקפה הוא נוהג ברכב שנהיגתו אסורה בלי רשיון לפי פקודה זו ... דינו – מאסר שלוש שנים'"</w:t>
      </w:r>
      <w:r w:rsidRPr="00B91416">
        <w:rPr>
          <w:rFonts w:ascii="David" w:hAnsi="David"/>
          <w:rtl/>
        </w:rPr>
        <w:t>.</w:t>
      </w:r>
    </w:p>
    <w:p w14:paraId="5238CD8F" w14:textId="77777777" w:rsidR="000801CC" w:rsidRDefault="000801CC" w:rsidP="000801CC">
      <w:pPr>
        <w:spacing w:line="360" w:lineRule="auto"/>
        <w:ind w:left="720"/>
        <w:contextualSpacing/>
        <w:jc w:val="both"/>
        <w:rPr>
          <w:rFonts w:ascii="David" w:eastAsia="David" w:hAnsi="David"/>
          <w:b/>
          <w:bCs/>
          <w:sz w:val="14"/>
          <w:szCs w:val="14"/>
          <w:u w:val="single"/>
          <w:rtl/>
        </w:rPr>
      </w:pPr>
    </w:p>
    <w:p w14:paraId="6832BE63" w14:textId="77777777" w:rsidR="000801CC" w:rsidRDefault="000801CC" w:rsidP="000801CC">
      <w:pPr>
        <w:spacing w:line="360" w:lineRule="auto"/>
        <w:ind w:firstLine="360"/>
        <w:jc w:val="both"/>
        <w:rPr>
          <w:rFonts w:ascii="David" w:eastAsia="David" w:hAnsi="David"/>
          <w:b/>
          <w:bCs/>
          <w:u w:val="single"/>
          <w:rtl/>
        </w:rPr>
      </w:pPr>
      <w:r>
        <w:rPr>
          <w:rFonts w:ascii="David" w:eastAsia="David" w:hAnsi="David"/>
          <w:b/>
          <w:bCs/>
          <w:u w:val="single"/>
          <w:rtl/>
        </w:rPr>
        <w:t>נסיבות ביצוע העבירות</w:t>
      </w:r>
    </w:p>
    <w:p w14:paraId="7DBEDB31" w14:textId="77777777" w:rsidR="000801CC" w:rsidRDefault="000801CC" w:rsidP="000801CC">
      <w:pPr>
        <w:spacing w:line="360" w:lineRule="auto"/>
        <w:ind w:left="720"/>
        <w:jc w:val="both"/>
        <w:rPr>
          <w:rFonts w:ascii="David" w:eastAsia="David" w:hAnsi="David"/>
          <w:sz w:val="12"/>
          <w:szCs w:val="12"/>
          <w:rtl/>
        </w:rPr>
      </w:pPr>
    </w:p>
    <w:p w14:paraId="1DEBD0FA" w14:textId="77777777" w:rsidR="000801CC" w:rsidRDefault="000801CC" w:rsidP="000801CC">
      <w:pPr>
        <w:numPr>
          <w:ilvl w:val="0"/>
          <w:numId w:val="1"/>
        </w:numPr>
        <w:spacing w:after="160" w:line="360" w:lineRule="auto"/>
        <w:contextualSpacing/>
        <w:jc w:val="both"/>
        <w:rPr>
          <w:rFonts w:ascii="David" w:eastAsia="David" w:hAnsi="David"/>
          <w:rtl/>
        </w:rPr>
      </w:pPr>
      <w:r>
        <w:rPr>
          <w:rFonts w:ascii="David" w:eastAsia="David" w:hAnsi="David"/>
          <w:rtl/>
        </w:rPr>
        <w:t xml:space="preserve">נסיבות ביצוע העבירות פורטו בהרחבה במסגרת תיאור עובדות כתב האישום המתוקן. </w:t>
      </w:r>
    </w:p>
    <w:p w14:paraId="7ABCC921" w14:textId="77777777" w:rsidR="000801CC" w:rsidRDefault="000801CC" w:rsidP="000801CC">
      <w:pPr>
        <w:spacing w:after="160" w:line="360" w:lineRule="auto"/>
        <w:ind w:left="720"/>
        <w:contextualSpacing/>
        <w:jc w:val="both"/>
        <w:rPr>
          <w:rFonts w:ascii="David" w:eastAsia="David" w:hAnsi="David"/>
          <w:sz w:val="10"/>
          <w:szCs w:val="10"/>
        </w:rPr>
      </w:pPr>
    </w:p>
    <w:p w14:paraId="377CEDAD" w14:textId="77777777" w:rsidR="000801CC" w:rsidRDefault="000801CC" w:rsidP="000801CC">
      <w:pPr>
        <w:numPr>
          <w:ilvl w:val="0"/>
          <w:numId w:val="1"/>
        </w:numPr>
        <w:spacing w:after="160" w:line="360" w:lineRule="auto"/>
        <w:contextualSpacing/>
        <w:jc w:val="both"/>
        <w:rPr>
          <w:rFonts w:ascii="David" w:eastAsia="David" w:hAnsi="David"/>
        </w:rPr>
      </w:pPr>
      <w:r>
        <w:rPr>
          <w:rFonts w:ascii="David" w:eastAsia="David" w:hAnsi="David"/>
          <w:rtl/>
        </w:rPr>
        <w:t xml:space="preserve">בקביעת חומרת עבירת הנשק יש להביא בחשבון מספר מרכיבים, ובכללם: סוג הנשק, מספר הנשקים, כמות התחמושת ומטרת החזקתו (ראה </w:t>
      </w:r>
      <w:r>
        <w:rPr>
          <w:rFonts w:ascii="David" w:eastAsia="David" w:hAnsi="David"/>
          <w:b/>
          <w:bCs/>
          <w:rtl/>
        </w:rPr>
        <w:t xml:space="preserve">ע"פ 1530/04 + </w:t>
      </w:r>
      <w:hyperlink r:id="rId43" w:history="1">
        <w:r w:rsidR="0024134F" w:rsidRPr="0024134F">
          <w:rPr>
            <w:rFonts w:ascii="David" w:eastAsia="David" w:hAnsi="David"/>
            <w:b/>
            <w:bCs/>
            <w:color w:val="0000FF"/>
            <w:u w:val="single"/>
            <w:rtl/>
          </w:rPr>
          <w:t xml:space="preserve">1332/04 </w:t>
        </w:r>
      </w:hyperlink>
      <w:r>
        <w:rPr>
          <w:rFonts w:ascii="David" w:eastAsia="David" w:hAnsi="David"/>
          <w:b/>
          <w:bCs/>
          <w:rtl/>
        </w:rPr>
        <w:t xml:space="preserve"> </w:t>
      </w:r>
      <w:r>
        <w:rPr>
          <w:rFonts w:ascii="David" w:eastAsia="David" w:hAnsi="David"/>
          <w:b/>
          <w:bCs/>
          <w:u w:val="single"/>
          <w:rtl/>
        </w:rPr>
        <w:t>יצחק רפאל פס ואח' נגד מדינת ישראל</w:t>
      </w:r>
      <w:r>
        <w:rPr>
          <w:rFonts w:ascii="David" w:eastAsia="David" w:hAnsi="David"/>
          <w:b/>
          <w:bCs/>
          <w:rtl/>
        </w:rPr>
        <w:t xml:space="preserve"> (בימ"ש העליון).</w:t>
      </w:r>
    </w:p>
    <w:p w14:paraId="4EB6D4E5" w14:textId="77777777" w:rsidR="000801CC" w:rsidRPr="007C52D6" w:rsidRDefault="000801CC" w:rsidP="000801CC">
      <w:pPr>
        <w:spacing w:after="160" w:line="252" w:lineRule="auto"/>
        <w:ind w:left="720"/>
        <w:contextualSpacing/>
        <w:jc w:val="both"/>
        <w:rPr>
          <w:rFonts w:ascii="David" w:eastAsia="Calibri" w:hAnsi="David"/>
          <w:sz w:val="16"/>
          <w:szCs w:val="16"/>
          <w:rtl/>
        </w:rPr>
      </w:pPr>
    </w:p>
    <w:p w14:paraId="5712473B" w14:textId="77777777" w:rsidR="000801CC" w:rsidRPr="004F79E2" w:rsidRDefault="000801CC" w:rsidP="000801CC">
      <w:pPr>
        <w:pStyle w:val="a9"/>
        <w:numPr>
          <w:ilvl w:val="0"/>
          <w:numId w:val="1"/>
        </w:numPr>
        <w:spacing w:line="360" w:lineRule="auto"/>
        <w:jc w:val="both"/>
        <w:rPr>
          <w:rFonts w:ascii="David" w:eastAsia="Calibri" w:hAnsi="David"/>
        </w:rPr>
      </w:pPr>
      <w:r w:rsidRPr="004F79E2">
        <w:rPr>
          <w:rFonts w:ascii="David" w:eastAsia="David" w:hAnsi="David"/>
          <w:rtl/>
        </w:rPr>
        <w:t>הנאשם 2 סייע לנאשם 1 לשאת ולהוביל את הנשק בכך ש</w:t>
      </w:r>
      <w:r>
        <w:rPr>
          <w:rFonts w:ascii="David" w:eastAsia="David" w:hAnsi="David" w:hint="cs"/>
          <w:rtl/>
        </w:rPr>
        <w:t>נהג</w:t>
      </w:r>
      <w:r>
        <w:rPr>
          <w:rFonts w:ascii="David" w:eastAsia="David" w:hAnsi="David"/>
          <w:rtl/>
        </w:rPr>
        <w:t xml:space="preserve"> ברכב וה</w:t>
      </w:r>
      <w:r>
        <w:rPr>
          <w:rFonts w:ascii="David" w:eastAsia="David" w:hAnsi="David" w:hint="cs"/>
          <w:rtl/>
        </w:rPr>
        <w:t xml:space="preserve">סיע  את הנאשם 1 עם </w:t>
      </w:r>
      <w:r w:rsidRPr="004F79E2">
        <w:rPr>
          <w:rFonts w:ascii="David" w:eastAsia="David" w:hAnsi="David" w:hint="cs"/>
          <w:rtl/>
        </w:rPr>
        <w:t>הנשק מ</w:t>
      </w:r>
      <w:r w:rsidRPr="004F79E2">
        <w:rPr>
          <w:rFonts w:ascii="David" w:eastAsia="David" w:hAnsi="David"/>
          <w:rtl/>
        </w:rPr>
        <w:t xml:space="preserve">מקום למקום בלא רשות בעליו </w:t>
      </w:r>
      <w:r w:rsidRPr="004F79E2">
        <w:rPr>
          <w:rFonts w:ascii="David" w:eastAsia="David" w:hAnsi="David" w:hint="cs"/>
          <w:rtl/>
        </w:rPr>
        <w:t>של הרכב</w:t>
      </w:r>
      <w:r>
        <w:rPr>
          <w:rFonts w:ascii="David" w:eastAsia="David" w:hAnsi="David" w:hint="cs"/>
          <w:rtl/>
        </w:rPr>
        <w:t>,</w:t>
      </w:r>
      <w:r w:rsidRPr="004F79E2">
        <w:rPr>
          <w:rFonts w:ascii="David" w:eastAsia="David" w:hAnsi="David" w:hint="cs"/>
          <w:rtl/>
        </w:rPr>
        <w:t xml:space="preserve"> </w:t>
      </w:r>
      <w:r w:rsidRPr="004F79E2">
        <w:rPr>
          <w:rFonts w:ascii="David" w:eastAsia="David" w:hAnsi="David"/>
          <w:rtl/>
        </w:rPr>
        <w:t xml:space="preserve">וביצע ניסיונות הימלטות מהמשטרה. גם אם לא ניתן לייחס לנאשם תכנון מוקדם, הנאשם </w:t>
      </w:r>
      <w:r w:rsidRPr="004F79E2">
        <w:rPr>
          <w:rFonts w:ascii="David" w:eastAsia="David" w:hAnsi="David" w:hint="cs"/>
          <w:rtl/>
        </w:rPr>
        <w:t xml:space="preserve">ידע על </w:t>
      </w:r>
      <w:r w:rsidRPr="004F79E2">
        <w:rPr>
          <w:rFonts w:ascii="David" w:eastAsia="David" w:hAnsi="David"/>
          <w:rtl/>
        </w:rPr>
        <w:t xml:space="preserve">קיומו של הנשק ברכב, כאשר מדובר בנשק שהיה מוכן לירי, </w:t>
      </w:r>
      <w:r w:rsidRPr="004F79E2">
        <w:rPr>
          <w:rFonts w:ascii="David" w:eastAsia="Calibri" w:hAnsi="David"/>
          <w:rtl/>
        </w:rPr>
        <w:t>ודי היה בביצוע פעולת דריכה ושחרור נ</w:t>
      </w:r>
      <w:r>
        <w:rPr>
          <w:rFonts w:ascii="David" w:eastAsia="Calibri" w:hAnsi="David" w:hint="cs"/>
          <w:rtl/>
        </w:rPr>
        <w:t>י</w:t>
      </w:r>
      <w:r w:rsidRPr="004F79E2">
        <w:rPr>
          <w:rFonts w:ascii="David" w:eastAsia="Calibri" w:hAnsi="David"/>
          <w:rtl/>
        </w:rPr>
        <w:t xml:space="preserve">צרה מצדו של הנאשם 1 על מנת לעשות בו שימוש.  גם העובדה שהנאשם סייע להוביל נשק ברחובות העיר בשעת צהריים,  מהווה נסיבה מחמירה נוכח פוטנציאל הפגיעה בבני אדם. </w:t>
      </w:r>
    </w:p>
    <w:p w14:paraId="73438DCE" w14:textId="77777777" w:rsidR="000801CC" w:rsidRDefault="000801CC" w:rsidP="000801CC">
      <w:pPr>
        <w:spacing w:line="360" w:lineRule="auto"/>
        <w:ind w:left="720"/>
        <w:contextualSpacing/>
        <w:jc w:val="both"/>
        <w:rPr>
          <w:rFonts w:ascii="David" w:eastAsia="Calibri" w:hAnsi="David"/>
          <w:sz w:val="10"/>
          <w:szCs w:val="10"/>
        </w:rPr>
      </w:pPr>
    </w:p>
    <w:p w14:paraId="01A3FCD8" w14:textId="77777777" w:rsidR="000801CC" w:rsidRDefault="000801CC" w:rsidP="000801CC">
      <w:pPr>
        <w:spacing w:line="360" w:lineRule="auto"/>
        <w:ind w:left="720"/>
        <w:contextualSpacing/>
        <w:jc w:val="both"/>
        <w:rPr>
          <w:rFonts w:ascii="David" w:hAnsi="David"/>
          <w:rtl/>
        </w:rPr>
      </w:pPr>
      <w:r>
        <w:rPr>
          <w:rFonts w:ascii="David" w:eastAsia="David" w:hAnsi="David"/>
          <w:rtl/>
        </w:rPr>
        <w:t xml:space="preserve">גם אם אניח לטובת הנאשם כי ידע על הנשק רק בעת תחילת הנסיעה ברכב, וכי </w:t>
      </w:r>
      <w:r>
        <w:rPr>
          <w:rFonts w:ascii="David" w:hAnsi="David"/>
          <w:rtl/>
        </w:rPr>
        <w:t>מדובר בפרק זמן קצר בו הנאשם 2 סייע לנאשם 1 בהובלת הנשק, הרי מדובר ברכב שהיה מצוי בשליטת</w:t>
      </w:r>
      <w:r>
        <w:rPr>
          <w:rFonts w:ascii="David" w:hAnsi="David" w:hint="cs"/>
          <w:rtl/>
        </w:rPr>
        <w:t>ו</w:t>
      </w:r>
      <w:r>
        <w:rPr>
          <w:rFonts w:ascii="David" w:hAnsi="David"/>
          <w:rtl/>
        </w:rPr>
        <w:t>, הרכב נשא לוחית זיהוי מזויפת</w:t>
      </w:r>
      <w:r>
        <w:rPr>
          <w:rFonts w:ascii="David" w:hAnsi="David" w:hint="cs"/>
          <w:rtl/>
        </w:rPr>
        <w:t>,</w:t>
      </w:r>
      <w:r>
        <w:rPr>
          <w:rFonts w:ascii="David" w:hAnsi="David"/>
          <w:rtl/>
        </w:rPr>
        <w:t xml:space="preserve"> והנאשם 2 ביצע ניסיונות הימלטות מהמשטרה, כאשר הנשק  והתחמושת מצויים בתוך הרכב.  בהתאם יש לקבוע כי מדובר בפעולות סיוע משמעותיות.</w:t>
      </w:r>
    </w:p>
    <w:p w14:paraId="0B279841" w14:textId="77777777" w:rsidR="000801CC" w:rsidRPr="004F79E2" w:rsidRDefault="000801CC" w:rsidP="000801CC">
      <w:pPr>
        <w:spacing w:line="360" w:lineRule="auto"/>
        <w:ind w:left="720"/>
        <w:contextualSpacing/>
        <w:jc w:val="both"/>
        <w:rPr>
          <w:rFonts w:ascii="David" w:hAnsi="David"/>
          <w:sz w:val="8"/>
          <w:szCs w:val="8"/>
          <w:rtl/>
        </w:rPr>
      </w:pPr>
    </w:p>
    <w:p w14:paraId="0908A86B" w14:textId="77777777" w:rsidR="000801CC" w:rsidRPr="004F79E2" w:rsidRDefault="000801CC" w:rsidP="000801CC">
      <w:pPr>
        <w:pStyle w:val="a9"/>
        <w:numPr>
          <w:ilvl w:val="0"/>
          <w:numId w:val="1"/>
        </w:numPr>
        <w:shd w:val="clear" w:color="auto" w:fill="FFFFFF"/>
        <w:spacing w:line="360" w:lineRule="atLeast"/>
        <w:jc w:val="both"/>
        <w:rPr>
          <w:rFonts w:ascii="David" w:hAnsi="David"/>
          <w:spacing w:val="10"/>
        </w:rPr>
      </w:pPr>
      <w:r w:rsidRPr="004F79E2">
        <w:rPr>
          <w:rFonts w:ascii="David" w:hAnsi="David"/>
          <w:spacing w:val="10"/>
          <w:rtl/>
        </w:rPr>
        <w:t>בצד עבירת הסיוע קבוע עונש שגובהו מחצית מעונשו של המבצע העיקרי, ויש להביא זאת בחשבון במסגרת קביעת מתחם העונש ההולם. עם זאת, לא מדובר בחישוב אריתמטי בהכרח ויש להביא בחשבון את כלל הנסיבות לרבות חלקו של המסייע בביצוע העבירה.</w:t>
      </w:r>
      <w:r w:rsidRPr="004F79E2">
        <w:rPr>
          <w:rFonts w:ascii="David" w:hAnsi="David"/>
          <w:rtl/>
        </w:rPr>
        <w:t xml:space="preserve"> </w:t>
      </w:r>
      <w:r w:rsidRPr="004F79E2">
        <w:rPr>
          <w:rFonts w:ascii="David" w:hAnsi="David"/>
          <w:spacing w:val="10"/>
          <w:rtl/>
        </w:rPr>
        <w:t xml:space="preserve">ר' בהקשר זה </w:t>
      </w:r>
      <w:r w:rsidR="00B17AE2">
        <w:rPr>
          <w:rFonts w:ascii="David" w:hAnsi="David"/>
          <w:spacing w:val="10"/>
          <w:rtl/>
        </w:rPr>
        <w:t xml:space="preserve"> </w:t>
      </w:r>
      <w:hyperlink r:id="rId44" w:history="1">
        <w:r w:rsidR="00B17AE2" w:rsidRPr="00B17AE2">
          <w:rPr>
            <w:rFonts w:ascii="David" w:hAnsi="David"/>
            <w:b/>
            <w:bCs/>
            <w:color w:val="0000FF"/>
            <w:spacing w:val="10"/>
            <w:u w:val="single"/>
            <w:rtl/>
          </w:rPr>
          <w:t>ע"פ 4463/12</w:t>
        </w:r>
      </w:hyperlink>
      <w:r w:rsidR="00B17AE2">
        <w:rPr>
          <w:rFonts w:ascii="David" w:hAnsi="David"/>
          <w:b/>
          <w:bCs/>
          <w:spacing w:val="10"/>
          <w:rtl/>
        </w:rPr>
        <w:t xml:space="preserve"> </w:t>
      </w:r>
      <w:r w:rsidRPr="004F79E2">
        <w:rPr>
          <w:rFonts w:ascii="David" w:hAnsi="David"/>
          <w:b/>
          <w:bCs/>
          <w:u w:val="single"/>
          <w:rtl/>
        </w:rPr>
        <w:t>ארנבורג נ' מדינת ישראל</w:t>
      </w:r>
      <w:r w:rsidR="00B17AE2">
        <w:rPr>
          <w:rFonts w:ascii="David" w:hAnsi="David"/>
          <w:spacing w:val="10"/>
          <w:u w:val="single"/>
          <w:rtl/>
        </w:rPr>
        <w:t xml:space="preserve"> </w:t>
      </w:r>
      <w:r w:rsidRPr="004F79E2">
        <w:rPr>
          <w:rFonts w:ascii="David" w:hAnsi="David"/>
          <w:spacing w:val="10"/>
          <w:rtl/>
        </w:rPr>
        <w:t>.</w:t>
      </w:r>
    </w:p>
    <w:p w14:paraId="2C31D5B2" w14:textId="77777777" w:rsidR="000801CC" w:rsidRDefault="000801CC" w:rsidP="000801CC">
      <w:pPr>
        <w:shd w:val="clear" w:color="auto" w:fill="FFFFFF"/>
        <w:spacing w:line="360" w:lineRule="atLeast"/>
        <w:ind w:left="785"/>
        <w:contextualSpacing/>
        <w:jc w:val="both"/>
        <w:rPr>
          <w:rFonts w:ascii="David" w:hAnsi="David"/>
          <w:spacing w:val="10"/>
          <w:rtl/>
        </w:rPr>
      </w:pPr>
    </w:p>
    <w:p w14:paraId="0EDFCE11" w14:textId="77777777" w:rsidR="000801CC" w:rsidRDefault="000801CC" w:rsidP="000801CC">
      <w:pPr>
        <w:shd w:val="clear" w:color="auto" w:fill="FFFFFF"/>
        <w:spacing w:line="360" w:lineRule="atLeast"/>
        <w:ind w:left="720"/>
        <w:contextualSpacing/>
        <w:jc w:val="both"/>
        <w:rPr>
          <w:rFonts w:ascii="David" w:hAnsi="David"/>
          <w:spacing w:val="10"/>
          <w:rtl/>
        </w:rPr>
      </w:pPr>
      <w:r>
        <w:rPr>
          <w:rFonts w:ascii="David" w:hAnsi="David"/>
          <w:spacing w:val="10"/>
          <w:rtl/>
        </w:rPr>
        <w:t xml:space="preserve">חלקו של הנאשם 2  קטן באופן משמעותי  מחלקו של הנאשם 1, ובא לידי ביטוי בסיוע  כפי שפורט לעיל. </w:t>
      </w:r>
    </w:p>
    <w:p w14:paraId="3AF12D71" w14:textId="77777777" w:rsidR="000801CC" w:rsidRDefault="000801CC" w:rsidP="000801CC">
      <w:pPr>
        <w:shd w:val="clear" w:color="auto" w:fill="FFFFFF"/>
        <w:spacing w:line="360" w:lineRule="atLeast"/>
        <w:ind w:left="785"/>
        <w:contextualSpacing/>
        <w:jc w:val="both"/>
        <w:rPr>
          <w:rFonts w:ascii="David" w:hAnsi="David"/>
          <w:spacing w:val="10"/>
          <w:rtl/>
        </w:rPr>
      </w:pPr>
    </w:p>
    <w:p w14:paraId="51692047" w14:textId="77777777" w:rsidR="000801CC" w:rsidRPr="004F79E2" w:rsidRDefault="000801CC" w:rsidP="000801CC">
      <w:pPr>
        <w:pStyle w:val="a9"/>
        <w:numPr>
          <w:ilvl w:val="0"/>
          <w:numId w:val="1"/>
        </w:numPr>
        <w:spacing w:line="360" w:lineRule="auto"/>
        <w:jc w:val="both"/>
        <w:rPr>
          <w:rFonts w:ascii="David" w:hAnsi="David"/>
          <w:rtl/>
        </w:rPr>
      </w:pPr>
      <w:r w:rsidRPr="004F79E2">
        <w:rPr>
          <w:rFonts w:ascii="David" w:hAnsi="David"/>
          <w:rtl/>
        </w:rPr>
        <w:t>נוכח הנסיבות המפורטות לעיל, יש לקבוע כי מידת הפגיעה בערכים המוגנים ביחס לעבירת הסיוע לנשיאת והובלת הנשק, הינה בינונית.</w:t>
      </w:r>
    </w:p>
    <w:p w14:paraId="49082C3E" w14:textId="77777777" w:rsidR="000801CC" w:rsidRDefault="000801CC" w:rsidP="000801CC">
      <w:pPr>
        <w:spacing w:line="360" w:lineRule="auto"/>
        <w:ind w:left="720"/>
        <w:contextualSpacing/>
        <w:jc w:val="both"/>
        <w:rPr>
          <w:rFonts w:ascii="David" w:hAnsi="David"/>
          <w:sz w:val="12"/>
          <w:szCs w:val="12"/>
          <w:rtl/>
        </w:rPr>
      </w:pPr>
    </w:p>
    <w:p w14:paraId="5996284E" w14:textId="77777777" w:rsidR="000801CC" w:rsidRDefault="000801CC" w:rsidP="000801CC">
      <w:pPr>
        <w:pStyle w:val="a9"/>
        <w:numPr>
          <w:ilvl w:val="0"/>
          <w:numId w:val="1"/>
        </w:numPr>
        <w:spacing w:line="360" w:lineRule="auto"/>
        <w:jc w:val="both"/>
        <w:rPr>
          <w:rFonts w:ascii="David" w:hAnsi="David"/>
          <w:rtl/>
        </w:rPr>
      </w:pPr>
      <w:r>
        <w:rPr>
          <w:rFonts w:ascii="David" w:hAnsi="David"/>
          <w:rtl/>
        </w:rPr>
        <w:t>בכל הנוגע לעבירה של הפרעה לשוטר במילוי  תפקידו ועבירות התעבורה המיוחסות לנאשם 2, חלקו הינו מרכזי. הנאשם 2 בניסיונותיו להימלט מהשוטרים ביצע עבירות תעבורה חמורות. הנאשם שהבחין בניידת המשטרה המשיך בנסיעה חרף העובדה שהשוטרים כרזו לו לעצור. מדובר בנהיגה עבריינית  לשם התחמקות מהשוטרים, שרק במזל הסתיימה ללא פגיעה בציבור משתמשי הדרך. הנאשם 2 יכול היה להפסיק את נהיגתו בכל שלב, אך הוא בחר שלא לעשות כן</w:t>
      </w:r>
      <w:r>
        <w:rPr>
          <w:rFonts w:ascii="David" w:hAnsi="David" w:hint="cs"/>
          <w:rtl/>
        </w:rPr>
        <w:t xml:space="preserve">. </w:t>
      </w:r>
      <w:r>
        <w:rPr>
          <w:rFonts w:ascii="David" w:hAnsi="David"/>
          <w:rtl/>
        </w:rPr>
        <w:t xml:space="preserve">הנאשם 2 נהג כך כשהוא מצוי בפסילה שהוטלה עליו על ידי קצין משטרה, ללא פוליסת ביטוח ורישיון רכב תקפים. העובדה שנהג בפסילה מהווה נסיבה משמעותית לחומרה. </w:t>
      </w:r>
    </w:p>
    <w:p w14:paraId="709513BF" w14:textId="77777777" w:rsidR="000801CC" w:rsidRPr="00DA30FD" w:rsidRDefault="000801CC" w:rsidP="000801CC">
      <w:pPr>
        <w:spacing w:line="360" w:lineRule="auto"/>
        <w:ind w:left="720"/>
        <w:contextualSpacing/>
        <w:jc w:val="both"/>
        <w:rPr>
          <w:rFonts w:ascii="David" w:hAnsi="David"/>
          <w:sz w:val="10"/>
          <w:szCs w:val="10"/>
          <w:rtl/>
        </w:rPr>
      </w:pPr>
    </w:p>
    <w:p w14:paraId="2223774E" w14:textId="77777777" w:rsidR="000801CC" w:rsidRDefault="000801CC" w:rsidP="000801CC">
      <w:pPr>
        <w:spacing w:line="360" w:lineRule="auto"/>
        <w:ind w:left="720"/>
        <w:contextualSpacing/>
        <w:jc w:val="both"/>
        <w:rPr>
          <w:rFonts w:ascii="David" w:eastAsia="Calibri" w:hAnsi="David"/>
          <w:rtl/>
        </w:rPr>
      </w:pPr>
      <w:r>
        <w:rPr>
          <w:rFonts w:ascii="David" w:hAnsi="David"/>
          <w:rtl/>
        </w:rPr>
        <w:t>במכלול הנסיבות, יש לקבוע כי במקרה זה הפגיעה בערכים המוגנים ביחס לעבירות של הפרעה לשוטר במילוי תפקידו ועבירות התעבורה מצויה ברף הבינוני ומעלה, קרוב יותר לרף הבינוני.</w:t>
      </w:r>
    </w:p>
    <w:p w14:paraId="45A4BAFC" w14:textId="77777777" w:rsidR="000801CC" w:rsidRPr="004F79E2" w:rsidRDefault="000801CC" w:rsidP="000801CC">
      <w:pPr>
        <w:spacing w:after="160" w:line="360" w:lineRule="auto"/>
        <w:ind w:firstLine="360"/>
        <w:jc w:val="both"/>
        <w:rPr>
          <w:rFonts w:ascii="David" w:eastAsia="David" w:hAnsi="David"/>
          <w:b/>
          <w:bCs/>
          <w:sz w:val="8"/>
          <w:szCs w:val="8"/>
          <w:u w:val="single"/>
          <w:rtl/>
        </w:rPr>
      </w:pPr>
    </w:p>
    <w:p w14:paraId="5BA6329B" w14:textId="77777777" w:rsidR="000801CC" w:rsidRDefault="000801CC" w:rsidP="000801CC">
      <w:pPr>
        <w:spacing w:after="160" w:line="360" w:lineRule="auto"/>
        <w:ind w:firstLine="360"/>
        <w:jc w:val="both"/>
        <w:rPr>
          <w:rFonts w:ascii="David" w:eastAsia="David" w:hAnsi="David"/>
          <w:b/>
          <w:bCs/>
          <w:u w:val="single"/>
          <w:rtl/>
        </w:rPr>
      </w:pPr>
      <w:r>
        <w:rPr>
          <w:rFonts w:ascii="David" w:eastAsia="David" w:hAnsi="David"/>
          <w:b/>
          <w:bCs/>
          <w:u w:val="single"/>
          <w:rtl/>
        </w:rPr>
        <w:t>מדיניות הענישה והפסיקה הנהוגה</w:t>
      </w:r>
    </w:p>
    <w:p w14:paraId="11F05514" w14:textId="77777777" w:rsidR="000801CC" w:rsidRDefault="000801CC" w:rsidP="000801CC">
      <w:pPr>
        <w:numPr>
          <w:ilvl w:val="0"/>
          <w:numId w:val="1"/>
        </w:numPr>
        <w:shd w:val="clear" w:color="auto" w:fill="FFFFFF"/>
        <w:overflowPunct w:val="0"/>
        <w:autoSpaceDE w:val="0"/>
        <w:autoSpaceDN w:val="0"/>
        <w:spacing w:after="160" w:line="360" w:lineRule="auto"/>
        <w:jc w:val="both"/>
        <w:rPr>
          <w:rFonts w:ascii="David" w:eastAsia="Calibri" w:hAnsi="David"/>
        </w:rPr>
      </w:pPr>
      <w:r>
        <w:rPr>
          <w:rFonts w:ascii="David" w:eastAsia="David" w:hAnsi="David"/>
          <w:rtl/>
        </w:rPr>
        <w:t xml:space="preserve">בית המשפט העליון עמד לא אחת על חומרתן של עבירות הנשק, המקימות סיכון ממשי וחמור לציבור ויוצרות פוטנציאל להסלמה עבריינית, תוך שהוא חוזר ומבהיר, כי חומרה זו מחייבת ליתן ביטוי עונשי הולם באמצעות הרחקת מבצעי העבירות לתקופת מאסר ממשית לריצוי בפועל. </w:t>
      </w:r>
      <w:r>
        <w:rPr>
          <w:rFonts w:ascii="David" w:eastAsia="David" w:hAnsi="David"/>
          <w:b/>
          <w:bCs/>
          <w:rtl/>
        </w:rPr>
        <w:t>ב</w:t>
      </w:r>
      <w:hyperlink r:id="rId45" w:history="1">
        <w:r w:rsidR="00B17AE2" w:rsidRPr="00B17AE2">
          <w:rPr>
            <w:rFonts w:ascii="David" w:eastAsia="David" w:hAnsi="David"/>
            <w:b/>
            <w:bCs/>
            <w:color w:val="0000FF"/>
            <w:u w:val="single"/>
            <w:rtl/>
          </w:rPr>
          <w:t>ע"פ 1323/13</w:t>
        </w:r>
      </w:hyperlink>
      <w:r>
        <w:rPr>
          <w:rFonts w:ascii="David" w:eastAsia="David" w:hAnsi="David"/>
          <w:b/>
          <w:bCs/>
          <w:rtl/>
        </w:rPr>
        <w:t xml:space="preserve"> </w:t>
      </w:r>
      <w:r>
        <w:rPr>
          <w:rFonts w:ascii="David" w:eastAsia="David" w:hAnsi="David"/>
          <w:b/>
          <w:bCs/>
          <w:u w:val="single"/>
          <w:rtl/>
        </w:rPr>
        <w:t>חסן נ' מדינת ישראל</w:t>
      </w:r>
      <w:r>
        <w:rPr>
          <w:rFonts w:ascii="David" w:eastAsia="David" w:hAnsi="David"/>
          <w:rtl/>
        </w:rPr>
        <w:t xml:space="preserve"> (בימ"ש העליון) נקבע בין היתר, כי "</w:t>
      </w:r>
      <w:r>
        <w:rPr>
          <w:rFonts w:ascii="David" w:eastAsia="David" w:hAnsi="David"/>
          <w:b/>
          <w:bCs/>
          <w:rtl/>
        </w:rPr>
        <w:t>הסכנה הנשקפת לציבור כתוצאה מעבירות נשק, לצד הממדים שאליהם הגיעו, מחייבים לתת ביטוי הולם וכבד משקל להגנה על הערך החברתי שנפגע כתוצאה מפעילות עבריינית זאת, ולהחמיר את עונשי המאסר המוטלים בגין פעילות עבריינית זאת, בהדרגה" .ב</w:t>
      </w:r>
      <w:hyperlink r:id="rId46" w:history="1">
        <w:r w:rsidR="00B17AE2" w:rsidRPr="00B17AE2">
          <w:rPr>
            <w:rFonts w:ascii="David" w:eastAsia="David" w:hAnsi="David"/>
            <w:b/>
            <w:bCs/>
            <w:color w:val="0000FF"/>
            <w:spacing w:val="10"/>
            <w:u w:val="single"/>
            <w:rtl/>
          </w:rPr>
          <w:t>ע"פ 2918/13</w:t>
        </w:r>
      </w:hyperlink>
      <w:r>
        <w:rPr>
          <w:rFonts w:ascii="David" w:eastAsia="David" w:hAnsi="David"/>
          <w:b/>
          <w:bCs/>
          <w:spacing w:val="10"/>
          <w:rtl/>
        </w:rPr>
        <w:t xml:space="preserve"> </w:t>
      </w:r>
      <w:r>
        <w:rPr>
          <w:rFonts w:ascii="David" w:eastAsia="David" w:hAnsi="David"/>
          <w:b/>
          <w:bCs/>
          <w:spacing w:val="10"/>
          <w:u w:val="single"/>
          <w:rtl/>
        </w:rPr>
        <w:t>דבס נ' מדינת ישראל</w:t>
      </w:r>
      <w:r>
        <w:rPr>
          <w:rFonts w:ascii="David" w:eastAsia="David" w:hAnsi="David"/>
          <w:spacing w:val="10"/>
          <w:rtl/>
        </w:rPr>
        <w:t xml:space="preserve"> (בימ"ש העליון) נקבע</w:t>
      </w:r>
      <w:r w:rsidR="00B17AE2">
        <w:rPr>
          <w:rFonts w:ascii="David" w:eastAsia="David" w:hAnsi="David"/>
          <w:spacing w:val="10"/>
          <w:rtl/>
        </w:rPr>
        <w:t xml:space="preserve"> </w:t>
      </w:r>
      <w:r>
        <w:rPr>
          <w:rFonts w:ascii="David" w:eastAsia="David" w:hAnsi="David"/>
          <w:spacing w:val="10"/>
          <w:rtl/>
        </w:rPr>
        <w:t>כי "</w:t>
      </w:r>
      <w:r>
        <w:rPr>
          <w:rFonts w:ascii="David" w:eastAsia="David" w:hAnsi="David"/>
          <w:b/>
          <w:bCs/>
          <w:spacing w:val="10"/>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w:t>
      </w:r>
      <w:r>
        <w:rPr>
          <w:rFonts w:ascii="David" w:eastAsia="David" w:hAnsi="David"/>
          <w:b/>
          <w:bCs/>
          <w:rtl/>
        </w:rPr>
        <w:t xml:space="preserve"> </w:t>
      </w:r>
    </w:p>
    <w:p w14:paraId="4BFCA1E7" w14:textId="77777777" w:rsidR="000801CC" w:rsidRDefault="000801CC" w:rsidP="000801CC">
      <w:pPr>
        <w:spacing w:line="360" w:lineRule="auto"/>
        <w:ind w:left="720"/>
        <w:contextualSpacing/>
        <w:jc w:val="both"/>
        <w:rPr>
          <w:rFonts w:ascii="David" w:hAnsi="David"/>
          <w:rtl/>
        </w:rPr>
      </w:pPr>
      <w:r>
        <w:rPr>
          <w:rFonts w:ascii="David" w:eastAsia="Calibri" w:hAnsi="David"/>
          <w:b/>
          <w:bCs/>
          <w:rtl/>
        </w:rPr>
        <w:t>ב</w:t>
      </w:r>
      <w:hyperlink r:id="rId47" w:history="1">
        <w:r w:rsidR="00B17AE2" w:rsidRPr="00B17AE2">
          <w:rPr>
            <w:rFonts w:ascii="David" w:eastAsia="Calibri" w:hAnsi="David"/>
            <w:b/>
            <w:bCs/>
            <w:color w:val="0000FF"/>
            <w:u w:val="single"/>
            <w:rtl/>
          </w:rPr>
          <w:t>ע"פ 5807/20</w:t>
        </w:r>
      </w:hyperlink>
      <w:r>
        <w:rPr>
          <w:rFonts w:ascii="David" w:eastAsia="Calibri" w:hAnsi="David"/>
          <w:b/>
          <w:bCs/>
          <w:rtl/>
        </w:rPr>
        <w:t xml:space="preserve"> </w:t>
      </w:r>
      <w:r>
        <w:rPr>
          <w:rFonts w:ascii="David" w:eastAsia="Calibri" w:hAnsi="David"/>
          <w:b/>
          <w:bCs/>
          <w:u w:val="single"/>
          <w:rtl/>
        </w:rPr>
        <w:t>פלוני נגד מדינת ישראל</w:t>
      </w:r>
      <w:r>
        <w:rPr>
          <w:rFonts w:ascii="David" w:eastAsia="Calibri" w:hAnsi="David"/>
          <w:rtl/>
        </w:rPr>
        <w:t xml:space="preserve"> הנאשם הורשע בעבירות של נשיאת נשק והובלתו, בית המשפט קבע מתחם עונש הולם אשר נע בין 20 ועד 40 חודשי מאסר בפועל, והוטלו 12 חודשי מאסר בפועל. בית המשפט העליון הקל בעונשו והטיל עליו 9 חודשי מאסר בעבודות שירות, בין היתר נוכח תסקיר שירות המבחן שהוגש בעניינו אשר המליץ על ענישה טיפולית בצד מאסר בעבודות שירות. בנוסף בית המשפט הביא בחשבון את הנסיבות המיוחדות של ביצוע העבירה עת הנאשם מצא את הנשק ביער והחליט לקחת את כלי הנשק לאביו ולא דיווח על מציאתו למשטרה באופן מידי. </w:t>
      </w:r>
      <w:r w:rsidR="00B17AE2">
        <w:rPr>
          <w:rFonts w:ascii="David" w:eastAsia="Calibri" w:hAnsi="David"/>
          <w:rtl/>
        </w:rPr>
        <w:t xml:space="preserve"> </w:t>
      </w:r>
      <w:r>
        <w:rPr>
          <w:rFonts w:ascii="David" w:eastAsia="Calibri" w:hAnsi="David"/>
          <w:rtl/>
        </w:rPr>
        <w:t>ב</w:t>
      </w:r>
      <w:hyperlink r:id="rId48" w:history="1">
        <w:r w:rsidR="00B17AE2" w:rsidRPr="00B17AE2">
          <w:rPr>
            <w:rFonts w:ascii="David" w:eastAsia="Calibri" w:hAnsi="David"/>
            <w:b/>
            <w:bCs/>
            <w:color w:val="0000FF"/>
            <w:u w:val="single"/>
            <w:rtl/>
          </w:rPr>
          <w:t>ע"פ 5602/22</w:t>
        </w:r>
      </w:hyperlink>
      <w:r>
        <w:rPr>
          <w:rFonts w:ascii="David" w:eastAsia="Calibri" w:hAnsi="David"/>
          <w:b/>
          <w:bCs/>
          <w:rtl/>
        </w:rPr>
        <w:t xml:space="preserve"> </w:t>
      </w:r>
      <w:r>
        <w:rPr>
          <w:rFonts w:ascii="David" w:eastAsia="Calibri" w:hAnsi="David"/>
          <w:b/>
          <w:bCs/>
          <w:u w:val="single"/>
          <w:rtl/>
        </w:rPr>
        <w:t>מדינת ישראל נ' פלוני</w:t>
      </w:r>
      <w:r>
        <w:rPr>
          <w:rFonts w:ascii="David" w:eastAsia="Calibri" w:hAnsi="David"/>
          <w:rtl/>
        </w:rPr>
        <w:t xml:space="preserve"> (14.09.22) נאשם שוהה בלתי חוקי נשא אקדח בשטחי ישראל ונמלט משוטר. הנאשם צעיר ללא עבר פלילי, הורשע בעבירות של נשיאת נשק , הפרעה לשוטר במילוי תפקידו, וכניסה ושהייה בישראל. עונשו של הנאשם הוחמר מ-18 ל-28 חודשי מאסר בפועל, תוך שנקבע כי "</w:t>
      </w:r>
      <w:r>
        <w:rPr>
          <w:rFonts w:ascii="David" w:eastAsia="Calibri" w:hAnsi="David"/>
          <w:u w:val="single"/>
          <w:rtl/>
        </w:rPr>
        <w:t>מתחם הענישה הרגיל שראוי לקבוע לנאשם בגיר בגין נשיאה בלתי חוקית של נשק חם במרחב הציבורי נע בין 30 ל-42 חודשי מאסר בין סורג ובריח"</w:t>
      </w:r>
      <w:r>
        <w:rPr>
          <w:rFonts w:ascii="David" w:eastAsia="Calibri" w:hAnsi="David"/>
          <w:rtl/>
        </w:rPr>
        <w:t>. ב</w:t>
      </w:r>
      <w:hyperlink r:id="rId49" w:history="1">
        <w:r w:rsidR="00B17AE2" w:rsidRPr="00B17AE2">
          <w:rPr>
            <w:rFonts w:ascii="David" w:eastAsia="Calibri" w:hAnsi="David"/>
            <w:b/>
            <w:bCs/>
            <w:color w:val="0000FF"/>
            <w:u w:val="single"/>
            <w:rtl/>
          </w:rPr>
          <w:t>ע"פ 2033/21</w:t>
        </w:r>
      </w:hyperlink>
      <w:r>
        <w:rPr>
          <w:rFonts w:ascii="David" w:eastAsia="Calibri" w:hAnsi="David"/>
          <w:b/>
          <w:bCs/>
          <w:rtl/>
        </w:rPr>
        <w:t xml:space="preserve"> </w:t>
      </w:r>
      <w:r>
        <w:rPr>
          <w:rFonts w:ascii="David" w:eastAsia="Calibri" w:hAnsi="David"/>
          <w:b/>
          <w:bCs/>
          <w:u w:val="single"/>
          <w:rtl/>
        </w:rPr>
        <w:t>זועבי נ' מדינת ישראל</w:t>
      </w:r>
      <w:r>
        <w:rPr>
          <w:rFonts w:ascii="David" w:eastAsia="Calibri" w:hAnsi="David"/>
          <w:b/>
          <w:bCs/>
          <w:rtl/>
        </w:rPr>
        <w:t xml:space="preserve"> </w:t>
      </w:r>
      <w:r>
        <w:rPr>
          <w:rFonts w:ascii="David" w:eastAsia="Calibri" w:hAnsi="David"/>
          <w:rtl/>
        </w:rPr>
        <w:t>(30.8.2021) נאשם בן 51, ללא עבר, חולה טרשת נפוצה נדון בגין נשיאת שני אקדחים על רקע סכסוך פעיל, למאסר בן 24 חודשים. ערעורו של הנאשם נדחה חרף מצבו הרפואי וסולחה שנערכה בין המשפחות</w:t>
      </w:r>
      <w:r>
        <w:rPr>
          <w:rFonts w:ascii="David" w:eastAsia="Calibri" w:hAnsi="David"/>
          <w:b/>
          <w:bCs/>
          <w:rtl/>
        </w:rPr>
        <w:t>. ב</w:t>
      </w:r>
      <w:hyperlink r:id="rId50" w:history="1">
        <w:r w:rsidR="00B17AE2" w:rsidRPr="00B17AE2">
          <w:rPr>
            <w:rFonts w:ascii="David" w:eastAsia="Calibri" w:hAnsi="David"/>
            <w:b/>
            <w:bCs/>
            <w:color w:val="0000FF"/>
            <w:u w:val="single"/>
            <w:rtl/>
          </w:rPr>
          <w:t>ע"פ 4303/22</w:t>
        </w:r>
      </w:hyperlink>
      <w:r>
        <w:rPr>
          <w:rFonts w:ascii="David" w:eastAsia="Calibri" w:hAnsi="David"/>
          <w:b/>
          <w:bCs/>
          <w:rtl/>
        </w:rPr>
        <w:t xml:space="preserve"> </w:t>
      </w:r>
      <w:r>
        <w:rPr>
          <w:rFonts w:ascii="David" w:eastAsia="Calibri" w:hAnsi="David"/>
          <w:b/>
          <w:bCs/>
          <w:u w:val="single"/>
          <w:rtl/>
        </w:rPr>
        <w:t>אמיר אבו גאנם נ' מ. ישראל</w:t>
      </w:r>
      <w:r>
        <w:rPr>
          <w:rFonts w:ascii="David" w:eastAsia="Calibri" w:hAnsi="David"/>
          <w:rtl/>
        </w:rPr>
        <w:t xml:space="preserve">  הנאשם בעל עבר פלילי הורשע בעבירה של </w:t>
      </w:r>
      <w:r w:rsidRPr="00A42F1A">
        <w:rPr>
          <w:rFonts w:ascii="David" w:eastAsia="Calibri" w:hAnsi="David"/>
          <w:rtl/>
        </w:rPr>
        <w:t xml:space="preserve">נשיאת והובלת אקדח ומחסנית ריקה ברכבו. נגזרו 31 חודשי מאסר בפועל ומאסר מותנה. ערעורו נדחה. </w:t>
      </w:r>
      <w:r w:rsidRPr="00A42F1A">
        <w:rPr>
          <w:rFonts w:ascii="David" w:hAnsi="David"/>
          <w:rtl/>
        </w:rPr>
        <w:t>ב</w:t>
      </w:r>
      <w:hyperlink r:id="rId51" w:history="1">
        <w:r w:rsidR="00B17AE2" w:rsidRPr="00B17AE2">
          <w:rPr>
            <w:rFonts w:ascii="David" w:hAnsi="David"/>
            <w:b/>
            <w:bCs/>
            <w:color w:val="0000FF"/>
            <w:u w:val="single"/>
            <w:rtl/>
          </w:rPr>
          <w:t>ע"פ 5856/22</w:t>
        </w:r>
      </w:hyperlink>
      <w:r w:rsidRPr="00A42F1A">
        <w:rPr>
          <w:rFonts w:ascii="David" w:hAnsi="David"/>
          <w:b/>
          <w:bCs/>
          <w:rtl/>
        </w:rPr>
        <w:t xml:space="preserve"> </w:t>
      </w:r>
      <w:r w:rsidRPr="00A42F1A">
        <w:rPr>
          <w:rFonts w:ascii="David" w:hAnsi="David" w:hint="cs"/>
          <w:b/>
          <w:bCs/>
          <w:u w:val="single"/>
          <w:rtl/>
        </w:rPr>
        <w:t>טאיע סויטאת נ' מדינת ישראל</w:t>
      </w:r>
      <w:r w:rsidRPr="00A42F1A">
        <w:rPr>
          <w:rFonts w:ascii="David" w:hAnsi="David"/>
          <w:rtl/>
        </w:rPr>
        <w:t>, הנאשם הורשע בעבירות של נשיאה והובלת אקדח ומחסנית ריקה והפרעה לשוטר במילוי תפקידו, בכך שנסע ברכב עם אדם אחר כשהוא נושא את האקדח והמחסנית, ובהגיעו למחסום משטרתי הנאשם יצא מהרכב והחל להימלט מהמקום ובחלוף מרדף קצר, שבמהלכו השליך את האקדח. על הנאשם הוטלו 28 חודשי מאסר בפועל. ערעור נדחה. ב</w:t>
      </w:r>
      <w:hyperlink r:id="rId52" w:history="1">
        <w:r w:rsidR="00B17AE2" w:rsidRPr="00B17AE2">
          <w:rPr>
            <w:rFonts w:ascii="David" w:hAnsi="David"/>
            <w:b/>
            <w:bCs/>
            <w:color w:val="0000FF"/>
            <w:u w:val="single"/>
            <w:rtl/>
          </w:rPr>
          <w:t>ע"פ 930/22</w:t>
        </w:r>
      </w:hyperlink>
      <w:r w:rsidRPr="00A42F1A">
        <w:rPr>
          <w:rFonts w:ascii="David" w:hAnsi="David"/>
          <w:b/>
          <w:bCs/>
          <w:rtl/>
        </w:rPr>
        <w:t xml:space="preserve"> </w:t>
      </w:r>
      <w:r w:rsidRPr="00A42F1A">
        <w:rPr>
          <w:rFonts w:ascii="David" w:hAnsi="David" w:hint="cs"/>
          <w:b/>
          <w:bCs/>
          <w:u w:val="single"/>
          <w:rtl/>
        </w:rPr>
        <w:t>אוסמה חטיב נ' מדינת ישראל</w:t>
      </w:r>
      <w:r w:rsidRPr="00A42F1A">
        <w:rPr>
          <w:rFonts w:ascii="David" w:hAnsi="David"/>
          <w:rtl/>
        </w:rPr>
        <w:t xml:space="preserve"> הנאשם הורשע בעבירה של נשיאה והובלת נשק והסתייעות ברכב לביצוע פשע, בכך שנשא והוביל ברכב בו נהג, אקדח חצי אוטומטי ומחסנית ריקה תואמת</w:t>
      </w:r>
      <w:r>
        <w:rPr>
          <w:rFonts w:ascii="David" w:hAnsi="David"/>
          <w:rtl/>
        </w:rPr>
        <w:t xml:space="preserve">. על הנאשם הוטלו  23 חודשי מאסר לריצוי בפועל לצד עונשים נלווים. ערעור נדחה. </w:t>
      </w:r>
      <w:hyperlink r:id="rId53" w:history="1">
        <w:r w:rsidR="00B17AE2" w:rsidRPr="00B17AE2">
          <w:rPr>
            <w:rFonts w:ascii="David" w:eastAsia="David" w:hAnsi="David"/>
            <w:b/>
            <w:bCs/>
            <w:color w:val="0000FF"/>
            <w:u w:val="single"/>
            <w:rtl/>
          </w:rPr>
          <w:t>ת"פ 44453-10-21</w:t>
        </w:r>
      </w:hyperlink>
      <w:r>
        <w:rPr>
          <w:rFonts w:ascii="David" w:eastAsia="David" w:hAnsi="David"/>
          <w:b/>
          <w:bCs/>
          <w:rtl/>
        </w:rPr>
        <w:t xml:space="preserve"> </w:t>
      </w:r>
      <w:r>
        <w:rPr>
          <w:rFonts w:ascii="David" w:eastAsia="David" w:hAnsi="David"/>
          <w:b/>
          <w:bCs/>
          <w:u w:val="single"/>
          <w:rtl/>
        </w:rPr>
        <w:t>מדינת ישראל נ' גבארין ואח'</w:t>
      </w:r>
      <w:r>
        <w:rPr>
          <w:rFonts w:ascii="David" w:eastAsia="David" w:hAnsi="David"/>
          <w:rtl/>
        </w:rPr>
        <w:t xml:space="preserve"> , שם דובר בשני נאשמים, כאשר הראשון הורשע בעבירות של נשק (נשיאה והובלה) והנאשם השני הורשע בעבירת סיוע לעבירות נשק (נשיאה והובלה). נקבע  מתחם עונש הולם ביחס לעבירה המושלמת של נשיאה והובלת נשק בין 15 ועד 36 חודשי מאסר </w:t>
      </w:r>
      <w:r w:rsidRPr="00DA30FD">
        <w:rPr>
          <w:rFonts w:ascii="David" w:eastAsia="David" w:hAnsi="David"/>
          <w:rtl/>
        </w:rPr>
        <w:t xml:space="preserve">ולגבי עבירת הסיוע נקבע מתחם עונש הולם </w:t>
      </w:r>
      <w:r w:rsidRPr="00DA30FD">
        <w:rPr>
          <w:rFonts w:ascii="David" w:eastAsia="David" w:hAnsi="David" w:hint="cs"/>
          <w:rtl/>
        </w:rPr>
        <w:t>ש</w:t>
      </w:r>
      <w:r w:rsidRPr="00DA30FD">
        <w:rPr>
          <w:rFonts w:ascii="David" w:eastAsia="David" w:hAnsi="David"/>
          <w:rtl/>
        </w:rPr>
        <w:t>בין 8 חודשי מאסר בפועל שאפשר שירוצו בעבודות שירות ועד 18 חודשי מאסר</w:t>
      </w:r>
      <w:r>
        <w:rPr>
          <w:rFonts w:ascii="David" w:eastAsia="David" w:hAnsi="David"/>
          <w:rtl/>
        </w:rPr>
        <w:t>. על הנאשם מס' 1 הוטלו 15 חודשי מאסר בפועל ועל הנאשם מס' 2 הוטלו 9 חודשי מאסר בעבודות שירות.</w:t>
      </w:r>
      <w:r>
        <w:rPr>
          <w:rFonts w:ascii="David" w:eastAsia="David" w:hAnsi="David"/>
          <w:b/>
          <w:bCs/>
          <w:rtl/>
        </w:rPr>
        <w:t xml:space="preserve"> </w:t>
      </w:r>
      <w:hyperlink r:id="rId54" w:history="1">
        <w:r w:rsidR="00B17AE2" w:rsidRPr="00B17AE2">
          <w:rPr>
            <w:rFonts w:ascii="David" w:eastAsia="David" w:hAnsi="David"/>
            <w:b/>
            <w:bCs/>
            <w:color w:val="0000FF"/>
            <w:u w:val="single"/>
            <w:rtl/>
          </w:rPr>
          <w:t>ת"פ 38368-09-21</w:t>
        </w:r>
      </w:hyperlink>
      <w:r>
        <w:rPr>
          <w:rFonts w:ascii="David" w:eastAsia="David" w:hAnsi="David"/>
          <w:b/>
          <w:bCs/>
          <w:rtl/>
        </w:rPr>
        <w:t xml:space="preserve"> </w:t>
      </w:r>
      <w:r>
        <w:rPr>
          <w:rFonts w:ascii="David" w:eastAsia="David" w:hAnsi="David"/>
          <w:b/>
          <w:bCs/>
          <w:u w:val="single"/>
          <w:rtl/>
        </w:rPr>
        <w:t>מדינת ישראל נ' איטאס ואח'</w:t>
      </w:r>
      <w:r>
        <w:rPr>
          <w:rFonts w:ascii="David" w:eastAsia="David" w:hAnsi="David"/>
          <w:rtl/>
        </w:rPr>
        <w:t xml:space="preserve"> –הנאשם מס' 3 הורשע בעבירות של סיוע בנשיאת נשק, אביזר נשק ותחמושת. נקבע מתחם עונש הולם ביחס לעבירת הסיוע אשר נע בין 8 ל-20 חודשי מאסר בפועל לצד ענישה נלווית. הוטל מאסר בפועל לתקופה של  12 חודשים.</w:t>
      </w:r>
      <w:r>
        <w:rPr>
          <w:rFonts w:ascii="David" w:eastAsia="David" w:hAnsi="David" w:hint="cs"/>
          <w:rtl/>
        </w:rPr>
        <w:t xml:space="preserve"> </w:t>
      </w:r>
      <w:r w:rsidRPr="00253AA7">
        <w:rPr>
          <w:rFonts w:ascii="David" w:hAnsi="David"/>
          <w:rtl/>
        </w:rPr>
        <w:t>ב</w:t>
      </w:r>
      <w:hyperlink r:id="rId55" w:history="1">
        <w:r w:rsidR="00B17AE2" w:rsidRPr="00B17AE2">
          <w:rPr>
            <w:rFonts w:ascii="David" w:hAnsi="David"/>
            <w:b/>
            <w:bCs/>
            <w:color w:val="0000FF"/>
            <w:u w:val="single"/>
            <w:rtl/>
          </w:rPr>
          <w:t>ת"פ 7626-04-20</w:t>
        </w:r>
      </w:hyperlink>
      <w:r w:rsidRPr="000E4F58">
        <w:rPr>
          <w:rFonts w:ascii="David" w:hAnsi="David"/>
          <w:b/>
          <w:bCs/>
          <w:rtl/>
        </w:rPr>
        <w:t xml:space="preserve"> </w:t>
      </w:r>
      <w:r w:rsidRPr="000E4F58">
        <w:rPr>
          <w:rFonts w:ascii="David" w:hAnsi="David" w:hint="cs"/>
          <w:b/>
          <w:bCs/>
          <w:u w:val="single"/>
          <w:rtl/>
        </w:rPr>
        <w:t>מדינת ישראל</w:t>
      </w:r>
      <w:r w:rsidRPr="00253AA7">
        <w:rPr>
          <w:rFonts w:ascii="David" w:hAnsi="David"/>
          <w:b/>
          <w:bCs/>
          <w:u w:val="single"/>
          <w:rtl/>
        </w:rPr>
        <w:t xml:space="preserve"> נ' אעמר ואח'</w:t>
      </w:r>
      <w:r w:rsidRPr="000E4F58">
        <w:rPr>
          <w:rFonts w:ascii="David" w:hAnsi="David" w:hint="cs"/>
          <w:b/>
          <w:bCs/>
          <w:rtl/>
        </w:rPr>
        <w:t>,</w:t>
      </w:r>
      <w:r w:rsidRPr="000E4F58">
        <w:rPr>
          <w:rFonts w:ascii="David" w:hAnsi="David" w:hint="cs"/>
          <w:rtl/>
        </w:rPr>
        <w:t xml:space="preserve"> </w:t>
      </w:r>
      <w:r w:rsidRPr="00253AA7">
        <w:rPr>
          <w:rFonts w:ascii="David" w:hAnsi="David"/>
          <w:rtl/>
        </w:rPr>
        <w:t>הנאשם 2</w:t>
      </w:r>
      <w:r>
        <w:rPr>
          <w:rFonts w:ascii="David" w:hAnsi="David" w:hint="cs"/>
          <w:rtl/>
        </w:rPr>
        <w:t xml:space="preserve"> הורשע</w:t>
      </w:r>
      <w:r w:rsidRPr="00253AA7">
        <w:rPr>
          <w:rFonts w:ascii="David" w:hAnsi="David"/>
          <w:rtl/>
        </w:rPr>
        <w:t xml:space="preserve"> בסיוע לנשיאת נשק, בכך שנהג והסיע ברכב את הנאשם 1, אשר החזיק אקדח, מחסנית תואמת ותחמושת נוספת. נקבע מתחם ענישה הנע בין 9 ל-24 חודשי מאסר, ו</w:t>
      </w:r>
      <w:r w:rsidRPr="000E4F58">
        <w:rPr>
          <w:rFonts w:ascii="David" w:hAnsi="David"/>
          <w:rtl/>
        </w:rPr>
        <w:t xml:space="preserve">על הנאשם, צעיר ללא עבר פלילי, </w:t>
      </w:r>
      <w:r w:rsidRPr="00253AA7">
        <w:rPr>
          <w:rFonts w:ascii="David" w:hAnsi="David"/>
          <w:rtl/>
        </w:rPr>
        <w:t>הוטלו 9 חודשי עבודות שירות. בית המשפט ציין כי היה מקום להטיל 12 חודשי מאסר, אך ראה לנכון להתחשב בתקופת מעצרו.</w:t>
      </w:r>
      <w:r>
        <w:rPr>
          <w:rFonts w:ascii="David" w:hAnsi="David" w:hint="cs"/>
          <w:rtl/>
        </w:rPr>
        <w:t xml:space="preserve"> </w:t>
      </w:r>
      <w:r w:rsidRPr="00253AA7">
        <w:rPr>
          <w:rFonts w:ascii="David" w:hAnsi="David"/>
          <w:rtl/>
        </w:rPr>
        <w:t>ב</w:t>
      </w:r>
      <w:hyperlink r:id="rId56" w:history="1">
        <w:r w:rsidR="00B17AE2" w:rsidRPr="00B17AE2">
          <w:rPr>
            <w:rFonts w:ascii="David" w:hAnsi="David"/>
            <w:b/>
            <w:bCs/>
            <w:color w:val="0000FF"/>
            <w:u w:val="single"/>
            <w:rtl/>
          </w:rPr>
          <w:t>ע"פ 2391/18</w:t>
        </w:r>
      </w:hyperlink>
      <w:r>
        <w:rPr>
          <w:rFonts w:ascii="David" w:hAnsi="David" w:hint="cs"/>
          <w:b/>
          <w:bCs/>
          <w:rtl/>
        </w:rPr>
        <w:t xml:space="preserve"> </w:t>
      </w:r>
      <w:r w:rsidRPr="00253AA7">
        <w:rPr>
          <w:rFonts w:ascii="David" w:hAnsi="David"/>
          <w:b/>
          <w:bCs/>
          <w:u w:val="single"/>
          <w:rtl/>
        </w:rPr>
        <w:t>חאג' יחיא</w:t>
      </w:r>
      <w:r>
        <w:rPr>
          <w:rFonts w:ascii="David" w:hAnsi="David" w:hint="cs"/>
          <w:b/>
          <w:bCs/>
          <w:u w:val="single"/>
          <w:rtl/>
        </w:rPr>
        <w:t xml:space="preserve"> נ' מדינת ישראל</w:t>
      </w:r>
      <w:r>
        <w:rPr>
          <w:rFonts w:ascii="David" w:hAnsi="David" w:hint="cs"/>
          <w:rtl/>
        </w:rPr>
        <w:t xml:space="preserve">, הנאשם </w:t>
      </w:r>
      <w:r>
        <w:rPr>
          <w:rFonts w:ascii="David" w:hAnsi="David"/>
          <w:rtl/>
        </w:rPr>
        <w:t xml:space="preserve">הורשע </w:t>
      </w:r>
      <w:r w:rsidRPr="00253AA7">
        <w:rPr>
          <w:rFonts w:ascii="David" w:hAnsi="David"/>
          <w:rtl/>
        </w:rPr>
        <w:t xml:space="preserve">בעבירות של נהיגה בפזיזות, הפרעה לשוטר וסיוע לנשיאה והובלת אקדח. הנאשם נסע עם אחר ברכב בעוד האחר נושא עליו אקדח, בידיעתו של הנאשם. בנוסף נהג הנאשם ברכב בפזיזות וסיכן את משתמשי הדרך. בית </w:t>
      </w:r>
      <w:r w:rsidRPr="00DA30FD">
        <w:rPr>
          <w:rFonts w:ascii="David" w:hAnsi="David"/>
          <w:rtl/>
        </w:rPr>
        <w:t>המשפט קבע מתחם ענישה הנע בין 8 ל-18 חודשי מאסר בפועל,</w:t>
      </w:r>
      <w:r w:rsidRPr="00253AA7">
        <w:rPr>
          <w:rFonts w:ascii="David" w:hAnsi="David"/>
          <w:rtl/>
        </w:rPr>
        <w:t xml:space="preserve"> כאשר ציין כי בליבת המעשים נמצאת עבירת הנהיגה בפזיזות ולא עבירת הסיוע לנשי</w:t>
      </w:r>
      <w:r>
        <w:rPr>
          <w:rFonts w:ascii="David" w:hAnsi="David"/>
          <w:rtl/>
        </w:rPr>
        <w:t xml:space="preserve">את הנשק, שהייתה ברף הנמוך. </w:t>
      </w:r>
      <w:r w:rsidRPr="00253AA7">
        <w:rPr>
          <w:rFonts w:ascii="David" w:hAnsi="David"/>
          <w:rtl/>
        </w:rPr>
        <w:t xml:space="preserve">על הנאשם, צעיר ללא עבר פלילי ובעל המלצה שיקומית משירות המבחן, </w:t>
      </w:r>
      <w:r>
        <w:rPr>
          <w:rFonts w:ascii="David" w:hAnsi="David" w:hint="cs"/>
          <w:rtl/>
        </w:rPr>
        <w:t xml:space="preserve">הוטלו 10 חודשי מאסר בפועל. הנאשם משך את הערעור שהוגש על ידו על חומרת העונש. </w:t>
      </w:r>
    </w:p>
    <w:p w14:paraId="35DBF941" w14:textId="77777777" w:rsidR="000801CC" w:rsidRPr="004F79E2" w:rsidRDefault="000801CC" w:rsidP="000801CC">
      <w:pPr>
        <w:spacing w:line="360" w:lineRule="auto"/>
        <w:ind w:left="720"/>
        <w:contextualSpacing/>
        <w:jc w:val="both"/>
        <w:rPr>
          <w:rFonts w:ascii="David" w:eastAsia="David" w:hAnsi="David"/>
          <w:sz w:val="14"/>
          <w:szCs w:val="14"/>
          <w:rtl/>
        </w:rPr>
      </w:pPr>
    </w:p>
    <w:p w14:paraId="52F60063" w14:textId="77777777" w:rsidR="000801CC" w:rsidRDefault="000801CC" w:rsidP="000801CC">
      <w:pPr>
        <w:numPr>
          <w:ilvl w:val="0"/>
          <w:numId w:val="1"/>
        </w:numPr>
        <w:spacing w:after="160" w:line="360" w:lineRule="auto"/>
        <w:ind w:hanging="357"/>
        <w:contextualSpacing/>
        <w:jc w:val="both"/>
        <w:rPr>
          <w:rFonts w:ascii="David" w:eastAsia="Calibri" w:hAnsi="David"/>
        </w:rPr>
      </w:pPr>
      <w:r>
        <w:rPr>
          <w:rFonts w:ascii="David" w:hAnsi="David"/>
          <w:rtl/>
        </w:rPr>
        <w:t>המאשימה הפנתה למספר פסקי דין כאשר מתחמי העונש שנקבעו נעים בין 24 ועד 54 חודשי מאסר בפועל והעונשים נעים בין 28 ועד 36 חודשים</w:t>
      </w:r>
      <w:r>
        <w:rPr>
          <w:rFonts w:ascii="David" w:hAnsi="David" w:hint="cs"/>
          <w:rtl/>
        </w:rPr>
        <w:t xml:space="preserve">. יצוין כי כל הפסקי דין שהוגשו מתייחסים לעבירה המלאה ולא לעבירת הסיוע. </w:t>
      </w:r>
      <w:r>
        <w:rPr>
          <w:rFonts w:ascii="David" w:hAnsi="David"/>
          <w:rtl/>
        </w:rPr>
        <w:t xml:space="preserve"> </w:t>
      </w:r>
    </w:p>
    <w:p w14:paraId="4279C4A2" w14:textId="77777777" w:rsidR="000801CC" w:rsidRDefault="000801CC" w:rsidP="000801CC">
      <w:pPr>
        <w:ind w:left="720"/>
        <w:contextualSpacing/>
        <w:jc w:val="both"/>
        <w:rPr>
          <w:rFonts w:ascii="David" w:eastAsia="Calibri" w:hAnsi="David"/>
          <w:sz w:val="12"/>
          <w:szCs w:val="12"/>
          <w:rtl/>
        </w:rPr>
      </w:pPr>
    </w:p>
    <w:p w14:paraId="54795F8E" w14:textId="77777777" w:rsidR="000801CC" w:rsidRDefault="000801CC" w:rsidP="000801CC">
      <w:pPr>
        <w:numPr>
          <w:ilvl w:val="0"/>
          <w:numId w:val="1"/>
        </w:numPr>
        <w:spacing w:after="160" w:line="360" w:lineRule="auto"/>
        <w:contextualSpacing/>
        <w:jc w:val="both"/>
        <w:rPr>
          <w:rFonts w:ascii="David" w:hAnsi="David"/>
        </w:rPr>
      </w:pPr>
      <w:r w:rsidRPr="004F79E2">
        <w:rPr>
          <w:rFonts w:ascii="David" w:hAnsi="David"/>
          <w:rtl/>
        </w:rPr>
        <w:t xml:space="preserve">ב"כ הנאשם הגיש פסיקה כאשר מתחמי הענישה שנקבעו נעים בין 9 חודשי מאסר ועד 48 חודשי מאסר בפועל, והעונשים שהוטלו נעים בין 6 חודשי מאסר בעבודות שירות ועד 24 חודשי מאסר בפועל. </w:t>
      </w:r>
    </w:p>
    <w:p w14:paraId="4F53A938" w14:textId="77777777" w:rsidR="000801CC" w:rsidRPr="004F79E2" w:rsidRDefault="000801CC" w:rsidP="000801CC">
      <w:pPr>
        <w:spacing w:after="160" w:line="252" w:lineRule="auto"/>
        <w:ind w:left="720"/>
        <w:contextualSpacing/>
        <w:jc w:val="both"/>
        <w:rPr>
          <w:rFonts w:ascii="David" w:hAnsi="David"/>
        </w:rPr>
      </w:pPr>
    </w:p>
    <w:p w14:paraId="578FB2FE" w14:textId="77777777" w:rsidR="000801CC" w:rsidRDefault="000801CC" w:rsidP="000801CC">
      <w:pPr>
        <w:numPr>
          <w:ilvl w:val="0"/>
          <w:numId w:val="1"/>
        </w:numPr>
        <w:spacing w:after="160" w:line="360" w:lineRule="auto"/>
        <w:ind w:left="651"/>
        <w:contextualSpacing/>
        <w:jc w:val="both"/>
        <w:rPr>
          <w:rFonts w:ascii="David" w:eastAsia="David" w:hAnsi="David"/>
          <w:b/>
          <w:bCs/>
          <w:u w:val="single"/>
          <w:rtl/>
        </w:rPr>
      </w:pPr>
      <w:r>
        <w:rPr>
          <w:rFonts w:ascii="Calibri" w:hAnsi="Calibri"/>
          <w:rtl/>
        </w:rPr>
        <w:t>בכל הקשור לעבירה של נהיגה בזמן פסילה,  קיימת קשת רחבה של עונשים, כל מקרה ונסיבותיו.</w:t>
      </w:r>
      <w:r w:rsidRPr="00A42F1A">
        <w:rPr>
          <w:rFonts w:ascii="Calibri" w:hAnsi="Calibri"/>
          <w:b/>
          <w:bCs/>
          <w:rtl/>
        </w:rPr>
        <w:t xml:space="preserve"> </w:t>
      </w:r>
      <w:hyperlink r:id="rId57" w:history="1">
        <w:r w:rsidR="00B17AE2" w:rsidRPr="00B17AE2">
          <w:rPr>
            <w:rFonts w:ascii="David" w:hAnsi="David"/>
            <w:b/>
            <w:bCs/>
            <w:color w:val="0000FF"/>
            <w:u w:val="single"/>
            <w:rtl/>
          </w:rPr>
          <w:t>רע"פ 5244/17</w:t>
        </w:r>
      </w:hyperlink>
      <w:r w:rsidRPr="00A42F1A">
        <w:rPr>
          <w:rFonts w:ascii="David" w:hAnsi="David"/>
          <w:b/>
          <w:bCs/>
          <w:rtl/>
        </w:rPr>
        <w:t xml:space="preserve"> </w:t>
      </w:r>
      <w:r w:rsidRPr="00A42F1A">
        <w:rPr>
          <w:rFonts w:ascii="David" w:hAnsi="David" w:hint="cs"/>
          <w:b/>
          <w:bCs/>
          <w:u w:val="single"/>
          <w:rtl/>
        </w:rPr>
        <w:t>גבריאל תורג'מן נ' מדינת ישראל</w:t>
      </w:r>
      <w:r w:rsidRPr="00A42F1A">
        <w:rPr>
          <w:rFonts w:ascii="David" w:hAnsi="David" w:hint="cs"/>
          <w:b/>
          <w:bCs/>
          <w:rtl/>
        </w:rPr>
        <w:t>,</w:t>
      </w:r>
      <w:r w:rsidRPr="00A42F1A">
        <w:rPr>
          <w:rFonts w:ascii="David" w:hAnsi="David"/>
          <w:rtl/>
        </w:rPr>
        <w:t xml:space="preserve"> הנאשם הורשע בעבירות של בנהיגה ללא רישיון, בזמן פסילה, ללא ביטוח וללא רישיון רכב. על הנאשם הוטלו 7 חודשי מאסר בפועל, הפעלת שני מאסרים מותנים בחופף לעונש המאסר שנקבע, תוך חפיפה נוספת בינם לבין עצמם, ועונשים נוספים. ערעור על קולת העונש התקבל כך שעונש המאסר הועמד על 10 חודשים בפועל ועונשי המאסר המותנים שהופעלו ירוצו במצטבר בינם לבין עצמם ובמצטבר לעונש המאסר לריצוי בפועל, כך שבסה"כ הוטלו 20 חודשי מאסר בפועל. בקשת רשות ערעור נדחתה. </w:t>
      </w:r>
      <w:hyperlink r:id="rId58" w:history="1">
        <w:r w:rsidR="00B17AE2" w:rsidRPr="00B17AE2">
          <w:rPr>
            <w:rFonts w:ascii="David" w:hAnsi="David"/>
            <w:b/>
            <w:bCs/>
            <w:color w:val="0000FF"/>
            <w:u w:val="single"/>
            <w:rtl/>
          </w:rPr>
          <w:t>רע"פ 8438/17</w:t>
        </w:r>
      </w:hyperlink>
      <w:r w:rsidRPr="00A42F1A">
        <w:rPr>
          <w:rFonts w:ascii="David" w:hAnsi="David"/>
          <w:b/>
          <w:bCs/>
          <w:rtl/>
        </w:rPr>
        <w:t xml:space="preserve"> </w:t>
      </w:r>
      <w:r w:rsidRPr="00A42F1A">
        <w:rPr>
          <w:rFonts w:ascii="David" w:hAnsi="David" w:hint="cs"/>
          <w:b/>
          <w:bCs/>
          <w:u w:val="single"/>
          <w:rtl/>
        </w:rPr>
        <w:t>חסן כיאל נ' מדינת ישראל</w:t>
      </w:r>
      <w:r w:rsidRPr="00A42F1A">
        <w:rPr>
          <w:rFonts w:ascii="David" w:hAnsi="David"/>
          <w:rtl/>
        </w:rPr>
        <w:t xml:space="preserve"> הנאשם הורשע, בנהיגה ללא רישיון נהיגה בתוקף, נהיגה בזמן פסילה ושימוש ברכב ללא פוליסת ביטוח בת-תוקף, ונגזרו עליו הארכת עונש מאסר מותנה, קנס, פסילה ועונשים נוספים. ערעור על קולת העונש התקבל, כך שהופעל מאסר מותנה בן 8 חודשים והוטלו 6 חודשי מאסר בפועל, לריצוי בחופף</w:t>
      </w:r>
      <w:r w:rsidRPr="00A42F1A">
        <w:rPr>
          <w:rFonts w:ascii="David" w:hAnsi="David"/>
        </w:rPr>
        <w:t>.</w:t>
      </w:r>
      <w:r w:rsidRPr="00A42F1A">
        <w:rPr>
          <w:rFonts w:ascii="David" w:hAnsi="David"/>
          <w:rtl/>
        </w:rPr>
        <w:t xml:space="preserve"> בקשת רשות ערעור נדחתה. </w:t>
      </w:r>
      <w:hyperlink r:id="rId59" w:history="1">
        <w:r w:rsidR="00B17AE2" w:rsidRPr="00B17AE2">
          <w:rPr>
            <w:rFonts w:ascii="David" w:hAnsi="David"/>
            <w:b/>
            <w:bCs/>
            <w:color w:val="0000FF"/>
            <w:u w:val="single"/>
            <w:rtl/>
          </w:rPr>
          <w:t>רע"פ 155/23</w:t>
        </w:r>
      </w:hyperlink>
      <w:r w:rsidRPr="00A42F1A">
        <w:rPr>
          <w:rFonts w:ascii="David" w:hAnsi="David"/>
          <w:b/>
          <w:bCs/>
          <w:rtl/>
        </w:rPr>
        <w:t xml:space="preserve"> </w:t>
      </w:r>
      <w:r w:rsidRPr="00A42F1A">
        <w:rPr>
          <w:rFonts w:ascii="David" w:hAnsi="David" w:hint="cs"/>
          <w:b/>
          <w:bCs/>
          <w:u w:val="single"/>
          <w:rtl/>
        </w:rPr>
        <w:t>נאור ברנס נ' מדינת ישראל</w:t>
      </w:r>
      <w:r w:rsidRPr="00A42F1A">
        <w:rPr>
          <w:rFonts w:ascii="David" w:hAnsi="David"/>
          <w:u w:val="single"/>
          <w:rtl/>
        </w:rPr>
        <w:t>,</w:t>
      </w:r>
      <w:r w:rsidRPr="00A42F1A">
        <w:rPr>
          <w:rFonts w:ascii="David" w:hAnsi="David"/>
          <w:rtl/>
        </w:rPr>
        <w:t xml:space="preserve"> הנאשם הורשע בעבירות של נהיגה בזמן פסילה ברכב משא, נהיגה ברכב על ידי בלתי מורשה לסוג, נהיגה ללא רישיון נהיגה תקף, אי החלפת דסקה יומית במשאית ונהיגה ברכב ללא ביטוח. נקבע מתחם עונש הולם אשר נע בין 7 ועד 20 חודשי מאסר בפועל. על הנא</w:t>
      </w:r>
      <w:r>
        <w:rPr>
          <w:rFonts w:ascii="David" w:hAnsi="David"/>
          <w:rtl/>
        </w:rPr>
        <w:t>שם הוטלו 12 חודשי מאסר בפועל. ב</w:t>
      </w:r>
      <w:r w:rsidRPr="00A42F1A">
        <w:rPr>
          <w:rFonts w:ascii="David" w:hAnsi="David"/>
          <w:rtl/>
        </w:rPr>
        <w:t xml:space="preserve">ערעור ובקשת רשות ערעור נדחו. </w:t>
      </w:r>
      <w:r w:rsidRPr="00A42F1A">
        <w:rPr>
          <w:rFonts w:ascii="Calibri" w:hAnsi="Calibri"/>
          <w:b/>
          <w:bCs/>
          <w:rtl/>
        </w:rPr>
        <w:t>ב</w:t>
      </w:r>
      <w:hyperlink r:id="rId60" w:history="1">
        <w:r w:rsidR="00B17AE2" w:rsidRPr="00B17AE2">
          <w:rPr>
            <w:rFonts w:ascii="Calibri" w:hAnsi="Calibri" w:hint="eastAsia"/>
            <w:b/>
            <w:bCs/>
            <w:color w:val="0000FF"/>
            <w:u w:val="single"/>
            <w:rtl/>
          </w:rPr>
          <w:t>רע</w:t>
        </w:r>
        <w:r w:rsidR="00B17AE2" w:rsidRPr="00B17AE2">
          <w:rPr>
            <w:rFonts w:ascii="Calibri" w:hAnsi="Calibri"/>
            <w:b/>
            <w:bCs/>
            <w:color w:val="0000FF"/>
            <w:u w:val="single"/>
            <w:rtl/>
          </w:rPr>
          <w:t>"</w:t>
        </w:r>
        <w:r w:rsidR="00B17AE2" w:rsidRPr="00B17AE2">
          <w:rPr>
            <w:rFonts w:ascii="Calibri" w:hAnsi="Calibri" w:hint="eastAsia"/>
            <w:b/>
            <w:bCs/>
            <w:color w:val="0000FF"/>
            <w:u w:val="single"/>
            <w:rtl/>
          </w:rPr>
          <w:t>פ</w:t>
        </w:r>
        <w:r w:rsidR="00B17AE2" w:rsidRPr="00B17AE2">
          <w:rPr>
            <w:rFonts w:ascii="Calibri" w:hAnsi="Calibri"/>
            <w:b/>
            <w:bCs/>
            <w:color w:val="0000FF"/>
            <w:u w:val="single"/>
            <w:rtl/>
          </w:rPr>
          <w:t xml:space="preserve"> 5638/13</w:t>
        </w:r>
      </w:hyperlink>
      <w:r w:rsidRPr="00A42F1A">
        <w:rPr>
          <w:rFonts w:ascii="Calibri" w:hAnsi="Calibri"/>
          <w:b/>
          <w:bCs/>
          <w:rtl/>
        </w:rPr>
        <w:t xml:space="preserve"> </w:t>
      </w:r>
      <w:r w:rsidRPr="00A42F1A">
        <w:rPr>
          <w:rFonts w:ascii="Calibri" w:hAnsi="Calibri"/>
          <w:b/>
          <w:bCs/>
          <w:u w:val="single"/>
          <w:rtl/>
        </w:rPr>
        <w:t>נכפולגר נ' מדינת ישראל</w:t>
      </w:r>
      <w:r w:rsidRPr="00A42F1A">
        <w:rPr>
          <w:rFonts w:ascii="Calibri" w:hAnsi="Calibri"/>
          <w:rtl/>
        </w:rPr>
        <w:t xml:space="preserve"> המערער הורשע  בעבירות של נהיגה בזמן פסילה, נהיגה ללא רישיון נהיגה תקף, ושימוש ברכב ללא פוליסת ביטוח בת-תוקף. על המבקש הושתו בין ה</w:t>
      </w:r>
      <w:r>
        <w:rPr>
          <w:rFonts w:ascii="Calibri" w:hAnsi="Calibri"/>
          <w:rtl/>
        </w:rPr>
        <w:t xml:space="preserve">יתר 14 חודשי מאסר בפועל והופעל מאסר על תנאי לתקופה של 12 חודשים בחופף. במסגרת הערעור הופחת  עונש המאסר בפועל ל-12 חודשים והמאסר המותנה הופעל כולו בחופף. בקשת רשות הערעור נדחתה. </w:t>
      </w:r>
    </w:p>
    <w:p w14:paraId="3ED29875" w14:textId="77777777" w:rsidR="000801CC" w:rsidRPr="004F79E2" w:rsidRDefault="000801CC" w:rsidP="000801CC">
      <w:pPr>
        <w:spacing w:after="160" w:line="360" w:lineRule="auto"/>
        <w:ind w:left="391"/>
        <w:contextualSpacing/>
        <w:jc w:val="both"/>
        <w:rPr>
          <w:rFonts w:ascii="David" w:eastAsia="David" w:hAnsi="David"/>
          <w:b/>
          <w:bCs/>
          <w:sz w:val="16"/>
          <w:szCs w:val="16"/>
          <w:u w:val="single"/>
          <w:rtl/>
        </w:rPr>
      </w:pPr>
    </w:p>
    <w:p w14:paraId="302FA6B5" w14:textId="77777777" w:rsidR="000801CC" w:rsidRDefault="000801CC" w:rsidP="000801CC">
      <w:pPr>
        <w:spacing w:after="160" w:line="360" w:lineRule="auto"/>
        <w:ind w:left="391"/>
        <w:contextualSpacing/>
        <w:jc w:val="both"/>
        <w:rPr>
          <w:rFonts w:ascii="David" w:eastAsia="David" w:hAnsi="David"/>
          <w:b/>
          <w:bCs/>
          <w:u w:val="single"/>
        </w:rPr>
      </w:pPr>
      <w:r>
        <w:rPr>
          <w:rFonts w:ascii="David" w:eastAsia="David" w:hAnsi="David"/>
          <w:b/>
          <w:bCs/>
          <w:u w:val="single"/>
          <w:rtl/>
        </w:rPr>
        <w:t>לסיכום מתחם העונש ההולם</w:t>
      </w:r>
    </w:p>
    <w:p w14:paraId="2F1B3E4E" w14:textId="77777777" w:rsidR="000801CC" w:rsidRDefault="000801CC" w:rsidP="000801CC">
      <w:pPr>
        <w:spacing w:after="160"/>
        <w:ind w:left="720"/>
        <w:contextualSpacing/>
        <w:jc w:val="both"/>
        <w:rPr>
          <w:rFonts w:ascii="David" w:eastAsia="Calibri" w:hAnsi="David"/>
          <w:rtl/>
        </w:rPr>
      </w:pPr>
    </w:p>
    <w:p w14:paraId="4331F3ED" w14:textId="77777777" w:rsidR="000801CC" w:rsidRDefault="000801CC" w:rsidP="000801CC">
      <w:pPr>
        <w:numPr>
          <w:ilvl w:val="0"/>
          <w:numId w:val="1"/>
        </w:numPr>
        <w:spacing w:after="160" w:line="360" w:lineRule="auto"/>
        <w:contextualSpacing/>
        <w:jc w:val="both"/>
        <w:rPr>
          <w:rFonts w:ascii="David" w:hAnsi="David"/>
          <w:b/>
          <w:bCs/>
          <w:u w:val="single"/>
        </w:rPr>
      </w:pPr>
      <w:r>
        <w:rPr>
          <w:rFonts w:ascii="David" w:eastAsia="David" w:hAnsi="David"/>
          <w:rtl/>
        </w:rPr>
        <w:t>נוכח העובדה שמדובר באירוע אחד כאשר העבירות קשורות האחת בשנייה, יש לקבוע מתחם ענישה אחד, וזאת גם הייתה עתירת הצדדים.</w:t>
      </w:r>
    </w:p>
    <w:p w14:paraId="6E67B0C6" w14:textId="77777777" w:rsidR="000801CC" w:rsidRPr="004F79E2" w:rsidRDefault="000801CC" w:rsidP="000801CC">
      <w:pPr>
        <w:rPr>
          <w:rFonts w:ascii="David" w:hAnsi="David"/>
          <w:b/>
          <w:bCs/>
          <w:sz w:val="18"/>
          <w:szCs w:val="18"/>
          <w:u w:val="single"/>
          <w:rtl/>
        </w:rPr>
      </w:pPr>
    </w:p>
    <w:p w14:paraId="1AF5886E" w14:textId="77777777" w:rsidR="000801CC" w:rsidRDefault="000801CC" w:rsidP="000801CC">
      <w:pPr>
        <w:pStyle w:val="a9"/>
        <w:numPr>
          <w:ilvl w:val="0"/>
          <w:numId w:val="1"/>
        </w:numPr>
        <w:spacing w:line="360" w:lineRule="auto"/>
        <w:jc w:val="both"/>
        <w:rPr>
          <w:rFonts w:cs="Times New Roman"/>
        </w:rPr>
      </w:pPr>
      <w:r>
        <w:rPr>
          <w:rFonts w:ascii="David" w:hAnsi="David"/>
          <w:rtl/>
        </w:rPr>
        <w:t xml:space="preserve">הדין מבחין בין עונשו של מבצע עיקרי לבין מסייע במובן זה שהעונש המרבי בגין ביצוע עבירת סיוע הוא </w:t>
      </w:r>
      <w:r w:rsidRPr="00253AA7">
        <w:rPr>
          <w:rFonts w:ascii="David" w:hAnsi="David"/>
          <w:rtl/>
        </w:rPr>
        <w:t>מחצית העונש המרבי שנקבע למבצע העיקרי (</w:t>
      </w:r>
      <w:hyperlink r:id="rId61" w:history="1">
        <w:r w:rsidR="005442A7" w:rsidRPr="005442A7">
          <w:rPr>
            <w:rStyle w:val="Hyperlink"/>
            <w:rFonts w:ascii="David" w:hAnsi="David"/>
            <w:rtl/>
          </w:rPr>
          <w:t>סעיף 32</w:t>
        </w:r>
      </w:hyperlink>
      <w:r w:rsidRPr="00253AA7">
        <w:rPr>
          <w:rFonts w:ascii="David" w:hAnsi="David"/>
          <w:rtl/>
        </w:rPr>
        <w:t xml:space="preserve"> ל</w:t>
      </w:r>
      <w:hyperlink r:id="rId62" w:history="1">
        <w:r w:rsidR="00B17AE2" w:rsidRPr="00B17AE2">
          <w:rPr>
            <w:rFonts w:ascii="David" w:hAnsi="David"/>
            <w:color w:val="0000FF"/>
            <w:u w:val="single"/>
            <w:rtl/>
          </w:rPr>
          <w:t>חוק העונשין</w:t>
        </w:r>
      </w:hyperlink>
      <w:r w:rsidRPr="00253AA7">
        <w:rPr>
          <w:rFonts w:ascii="David" w:hAnsi="David"/>
          <w:rtl/>
        </w:rPr>
        <w:t>). הקביעה הנורמטיבית ביחס לעונש המרבי של המסייע לעומת המבצע העיקרי מבטאת את התובנה כי תרומתו של המסייע לביצוע עבירה</w:t>
      </w:r>
      <w:r>
        <w:rPr>
          <w:rFonts w:ascii="David" w:hAnsi="David"/>
          <w:rtl/>
        </w:rPr>
        <w:t xml:space="preserve"> פחותה מתרומתו של המבצע העיקרי</w:t>
      </w:r>
      <w:r>
        <w:rPr>
          <w:rFonts w:ascii="David" w:hAnsi="David" w:hint="cs"/>
          <w:rtl/>
        </w:rPr>
        <w:t xml:space="preserve">, ראה </w:t>
      </w:r>
      <w:hyperlink r:id="rId63" w:history="1">
        <w:r w:rsidR="00B17AE2" w:rsidRPr="00B17AE2">
          <w:rPr>
            <w:rFonts w:ascii="David" w:hAnsi="David"/>
            <w:b/>
            <w:bCs/>
            <w:color w:val="0000FF"/>
            <w:u w:val="single"/>
            <w:rtl/>
          </w:rPr>
          <w:t>ע"פ 4876/15</w:t>
        </w:r>
      </w:hyperlink>
      <w:r w:rsidRPr="00253AA7">
        <w:rPr>
          <w:rFonts w:ascii="David" w:hAnsi="David"/>
          <w:b/>
          <w:bCs/>
          <w:rtl/>
        </w:rPr>
        <w:t xml:space="preserve"> </w:t>
      </w:r>
      <w:r w:rsidRPr="00253AA7">
        <w:rPr>
          <w:rFonts w:ascii="David" w:hAnsi="David"/>
          <w:b/>
          <w:bCs/>
          <w:u w:val="single"/>
          <w:rtl/>
        </w:rPr>
        <w:t>פלוני נ' מדינת ישראל</w:t>
      </w:r>
      <w:r w:rsidRPr="00253AA7">
        <w:rPr>
          <w:rFonts w:ascii="David" w:hAnsi="David" w:hint="cs"/>
          <w:rtl/>
        </w:rPr>
        <w:t xml:space="preserve">, </w:t>
      </w:r>
      <w:r>
        <w:rPr>
          <w:rFonts w:ascii="David" w:hAnsi="David" w:hint="cs"/>
          <w:rtl/>
        </w:rPr>
        <w:t xml:space="preserve">שם </w:t>
      </w:r>
      <w:r>
        <w:rPr>
          <w:rFonts w:ascii="David" w:hAnsi="David"/>
          <w:rtl/>
        </w:rPr>
        <w:t>נקבע כי</w:t>
      </w:r>
      <w:r>
        <w:rPr>
          <w:rFonts w:ascii="David" w:hAnsi="David" w:hint="cs"/>
          <w:rtl/>
        </w:rPr>
        <w:t>:</w:t>
      </w:r>
      <w:r>
        <w:rPr>
          <w:rFonts w:ascii="David" w:hAnsi="David"/>
          <w:rtl/>
        </w:rPr>
        <w:t xml:space="preserve"> </w:t>
      </w:r>
      <w:r w:rsidRPr="00253AA7">
        <w:rPr>
          <w:rFonts w:ascii="David" w:hAnsi="David"/>
          <w:b/>
          <w:bCs/>
          <w:rtl/>
        </w:rPr>
        <w:t>"המסייע, חרף תרומתו למעשה העבירה, כשמו כן הוא – נותר מחוץ למעגל העברייני הראשוני, ולכן אחריותו נחשבת פחותה" (</w:t>
      </w:r>
      <w:hyperlink r:id="rId64" w:history="1">
        <w:r w:rsidR="00B17AE2" w:rsidRPr="00B17AE2">
          <w:rPr>
            <w:rFonts w:ascii="David" w:hAnsi="David"/>
            <w:b/>
            <w:bCs/>
            <w:color w:val="0000FF"/>
            <w:u w:val="single"/>
            <w:rtl/>
          </w:rPr>
          <w:t>ע"פ 10153/07</w:t>
        </w:r>
      </w:hyperlink>
      <w:r w:rsidRPr="00253AA7">
        <w:rPr>
          <w:rFonts w:ascii="David" w:hAnsi="David"/>
          <w:b/>
          <w:bCs/>
          <w:rtl/>
        </w:rPr>
        <w:t xml:space="preserve"> קייסי נ' מדינת ישראל [פורסם בנבו] (30.7.2012)). על כן, "ראוי, כי בבואו של בית המשפט לגזור את דינו של המסייע, יעמיד בית המשפט לנגד עיניו את היחס שקבע המחוקק בין עונשו של המסייע לעונשו של המבצע העיקרי" (עניין פלוני).</w:t>
      </w:r>
      <w:r w:rsidRPr="00253AA7">
        <w:rPr>
          <w:rFonts w:ascii="David" w:hAnsi="David"/>
          <w:rtl/>
        </w:rPr>
        <w:t xml:space="preserve"> </w:t>
      </w:r>
    </w:p>
    <w:p w14:paraId="587F9809" w14:textId="77777777" w:rsidR="000801CC" w:rsidRPr="000A2604" w:rsidRDefault="000801CC" w:rsidP="000801CC">
      <w:pPr>
        <w:spacing w:after="160" w:line="360" w:lineRule="auto"/>
        <w:ind w:left="720"/>
        <w:contextualSpacing/>
        <w:jc w:val="both"/>
        <w:rPr>
          <w:rFonts w:ascii="David" w:hAnsi="David"/>
          <w:b/>
          <w:bCs/>
          <w:sz w:val="14"/>
          <w:szCs w:val="14"/>
          <w:u w:val="single"/>
        </w:rPr>
      </w:pPr>
    </w:p>
    <w:p w14:paraId="31F87453" w14:textId="77777777" w:rsidR="000801CC" w:rsidRDefault="000801CC" w:rsidP="000801CC">
      <w:pPr>
        <w:spacing w:after="160" w:line="360" w:lineRule="auto"/>
        <w:ind w:left="720"/>
        <w:contextualSpacing/>
        <w:jc w:val="both"/>
        <w:rPr>
          <w:rFonts w:ascii="David" w:hAnsi="David"/>
          <w:b/>
          <w:bCs/>
          <w:u w:val="single"/>
        </w:rPr>
      </w:pPr>
      <w:r w:rsidRPr="005D0EAC">
        <w:rPr>
          <w:rFonts w:ascii="David" w:hAnsi="David"/>
          <w:rtl/>
        </w:rPr>
        <w:t>הע</w:t>
      </w:r>
      <w:r>
        <w:rPr>
          <w:rFonts w:ascii="David" w:hAnsi="David"/>
          <w:rtl/>
        </w:rPr>
        <w:t>ונש המרבי הקבוע בחוק ביחס לעביר</w:t>
      </w:r>
      <w:r>
        <w:rPr>
          <w:rFonts w:ascii="David" w:hAnsi="David" w:hint="cs"/>
          <w:rtl/>
        </w:rPr>
        <w:t>ת סיוע לנשיאת והובלת נשק הוא</w:t>
      </w:r>
      <w:r w:rsidRPr="005D0EAC">
        <w:rPr>
          <w:rFonts w:ascii="David" w:hAnsi="David"/>
          <w:rtl/>
        </w:rPr>
        <w:t xml:space="preserve"> </w:t>
      </w:r>
      <w:r w:rsidRPr="005D0EAC">
        <w:rPr>
          <w:rFonts w:ascii="David" w:eastAsia="David" w:hAnsi="David"/>
          <w:rtl/>
        </w:rPr>
        <w:t xml:space="preserve">5 שנות מאסר ולא פחות מ- 15 חודשי מאסר (עונש המינימום הקבוע בחוק שאינו יכול להיות כולו על תנאי). </w:t>
      </w:r>
    </w:p>
    <w:p w14:paraId="239372F0" w14:textId="77777777" w:rsidR="000801CC" w:rsidRPr="000A2604" w:rsidRDefault="000801CC" w:rsidP="000801CC">
      <w:pPr>
        <w:pStyle w:val="a9"/>
        <w:numPr>
          <w:ilvl w:val="0"/>
          <w:numId w:val="1"/>
        </w:numPr>
        <w:spacing w:after="160" w:line="360" w:lineRule="auto"/>
        <w:jc w:val="both"/>
        <w:rPr>
          <w:rFonts w:ascii="David" w:hAnsi="David"/>
          <w:b/>
          <w:bCs/>
          <w:u w:val="single"/>
          <w:rtl/>
        </w:rPr>
      </w:pPr>
      <w:r w:rsidRPr="000A2604">
        <w:rPr>
          <w:rFonts w:ascii="David" w:eastAsia="David" w:hAnsi="David"/>
          <w:rtl/>
        </w:rPr>
        <w:t xml:space="preserve">לאחר ששקלתי את נסיבות ביצוע העבירות, מידת הפגיעה בערכים המוגנים והפסיקה הנהוגה אני סבור כי מתחם העונש ההולם </w:t>
      </w:r>
      <w:r>
        <w:rPr>
          <w:rFonts w:ascii="David" w:eastAsia="David" w:hAnsi="David" w:hint="cs"/>
          <w:rtl/>
        </w:rPr>
        <w:t xml:space="preserve">ביחס לכלל העבירות </w:t>
      </w:r>
      <w:r w:rsidRPr="000A2604">
        <w:rPr>
          <w:rFonts w:ascii="David" w:eastAsia="David" w:hAnsi="David"/>
          <w:rtl/>
        </w:rPr>
        <w:t xml:space="preserve">צריך לכלול רכיב </w:t>
      </w:r>
      <w:r w:rsidRPr="000A2604">
        <w:rPr>
          <w:rFonts w:ascii="David" w:hAnsi="David"/>
          <w:rtl/>
        </w:rPr>
        <w:t xml:space="preserve"> של מאסר בפועל שלא יפחת מ-1</w:t>
      </w:r>
      <w:r>
        <w:rPr>
          <w:rFonts w:ascii="David" w:hAnsi="David" w:hint="cs"/>
          <w:rtl/>
        </w:rPr>
        <w:t>6</w:t>
      </w:r>
      <w:r w:rsidRPr="000A2604">
        <w:rPr>
          <w:rFonts w:ascii="David" w:hAnsi="David"/>
          <w:rtl/>
        </w:rPr>
        <w:t xml:space="preserve"> חודשים ולא יעלה על 30 חודשים בצד עונשים נלווים. </w:t>
      </w:r>
    </w:p>
    <w:p w14:paraId="6AAD3268" w14:textId="77777777" w:rsidR="000801CC" w:rsidRPr="000A2604" w:rsidRDefault="000801CC" w:rsidP="000801CC">
      <w:pPr>
        <w:ind w:left="720"/>
        <w:contextualSpacing/>
        <w:jc w:val="both"/>
        <w:rPr>
          <w:rFonts w:ascii="David" w:hAnsi="David"/>
          <w:b/>
          <w:bCs/>
          <w:sz w:val="8"/>
          <w:szCs w:val="8"/>
          <w:u w:val="single"/>
          <w:rtl/>
        </w:rPr>
      </w:pPr>
    </w:p>
    <w:p w14:paraId="1173BC17" w14:textId="77777777" w:rsidR="000801CC" w:rsidRDefault="000801CC" w:rsidP="000801CC">
      <w:pPr>
        <w:spacing w:line="360" w:lineRule="auto"/>
        <w:ind w:left="720"/>
        <w:contextualSpacing/>
        <w:jc w:val="both"/>
        <w:rPr>
          <w:rFonts w:ascii="David" w:eastAsia="David" w:hAnsi="David"/>
          <w:b/>
          <w:bCs/>
          <w:u w:val="single"/>
          <w:rtl/>
        </w:rPr>
      </w:pPr>
      <w:r>
        <w:rPr>
          <w:rFonts w:ascii="David" w:hAnsi="David"/>
          <w:rtl/>
        </w:rPr>
        <w:t xml:space="preserve">בכל הנוגע לרכיב הפסילה בפועל ביחס לעבירות התעבורה, אני סבור שמתחם העונש ההולם צריך לכלול פסילה בפועל שלא תפחת מ- 16 חודשים ולא תעלה על 36 חודשים. </w:t>
      </w:r>
    </w:p>
    <w:p w14:paraId="20037EF2" w14:textId="77777777" w:rsidR="000801CC" w:rsidRPr="009B3C08" w:rsidRDefault="000801CC" w:rsidP="000801CC">
      <w:pPr>
        <w:jc w:val="both"/>
        <w:rPr>
          <w:rFonts w:ascii="David" w:eastAsia="David" w:hAnsi="David"/>
          <w:sz w:val="2"/>
          <w:szCs w:val="2"/>
        </w:rPr>
      </w:pPr>
    </w:p>
    <w:p w14:paraId="4129D36B" w14:textId="77777777" w:rsidR="000801CC" w:rsidRDefault="000801CC" w:rsidP="000801CC">
      <w:pPr>
        <w:jc w:val="both"/>
        <w:rPr>
          <w:rFonts w:ascii="David" w:eastAsia="Calibri" w:hAnsi="David"/>
          <w:b/>
          <w:bCs/>
          <w:u w:val="single"/>
        </w:rPr>
      </w:pPr>
    </w:p>
    <w:p w14:paraId="7CA090FA" w14:textId="77777777" w:rsidR="000801CC" w:rsidRDefault="000801CC" w:rsidP="000801CC">
      <w:pPr>
        <w:spacing w:after="160" w:line="360" w:lineRule="auto"/>
        <w:ind w:firstLine="360"/>
        <w:jc w:val="both"/>
        <w:rPr>
          <w:rFonts w:ascii="David" w:eastAsia="David" w:hAnsi="David"/>
          <w:b/>
          <w:bCs/>
          <w:u w:val="single"/>
          <w:rtl/>
        </w:rPr>
      </w:pPr>
      <w:r>
        <w:rPr>
          <w:rFonts w:ascii="David" w:eastAsia="David" w:hAnsi="David"/>
          <w:b/>
          <w:bCs/>
          <w:u w:val="single"/>
          <w:rtl/>
        </w:rPr>
        <w:t>נסיבות שאינן קשורות בביצוע העבירות</w:t>
      </w:r>
    </w:p>
    <w:p w14:paraId="36E6B03F" w14:textId="77777777" w:rsidR="000801CC" w:rsidRPr="000A2604" w:rsidRDefault="000801CC" w:rsidP="000801CC">
      <w:pPr>
        <w:numPr>
          <w:ilvl w:val="0"/>
          <w:numId w:val="1"/>
        </w:numPr>
        <w:spacing w:after="160" w:line="360" w:lineRule="auto"/>
        <w:contextualSpacing/>
        <w:jc w:val="both"/>
        <w:rPr>
          <w:rFonts w:ascii="David" w:eastAsia="Calibri" w:hAnsi="David"/>
        </w:rPr>
      </w:pPr>
      <w:r w:rsidRPr="000A2604">
        <w:rPr>
          <w:rFonts w:ascii="David" w:eastAsia="David" w:hAnsi="David"/>
          <w:rtl/>
        </w:rPr>
        <w:t xml:space="preserve">לקולה אני מביא בחשבון את: קבלת האחריות, הבעת החרטה, ההודאה בכתב האישום המתוקן, החיסכון בזמן שיפוטי, גילו הצעיר של הנאשם, והעדר כל עבר פלילי. כן יינתן משקל לנסיבותיו האישיות של הנאשם כעולה מטיעוני ההגנה, ומחוות </w:t>
      </w:r>
      <w:r>
        <w:rPr>
          <w:rFonts w:ascii="David" w:eastAsia="David" w:hAnsi="David" w:hint="cs"/>
          <w:rtl/>
        </w:rPr>
        <w:t>ה</w:t>
      </w:r>
      <w:r w:rsidRPr="000A2604">
        <w:rPr>
          <w:rFonts w:ascii="David" w:eastAsia="David" w:hAnsi="David"/>
          <w:rtl/>
        </w:rPr>
        <w:t>דעת הפסיכולוגית שהוגשה בעניינו שם הומלץ על הערכה פסיכיאטרית וטיפול בהתאם בשל מאפייני דיכאון, חרדה, ופגיעה ניכרת בתפקודו הפיזיולוגי הרגשי והקוגניטיבי</w:t>
      </w:r>
      <w:r>
        <w:rPr>
          <w:rFonts w:ascii="David" w:eastAsia="David" w:hAnsi="David" w:hint="cs"/>
          <w:rtl/>
        </w:rPr>
        <w:t xml:space="preserve"> (לציין כי מדובר בחוות דעת מסוף שנת 2021)</w:t>
      </w:r>
      <w:r w:rsidRPr="000A2604">
        <w:rPr>
          <w:rFonts w:ascii="David" w:eastAsia="David" w:hAnsi="David"/>
          <w:rtl/>
        </w:rPr>
        <w:t>. משקל נוסף יינתן לתקופת המעצר המשמעותית בה הנאשם נתון עד היום  (כידוע תנאי המעצר קשים מתנאי מאסר)</w:t>
      </w:r>
      <w:r>
        <w:rPr>
          <w:rFonts w:ascii="David" w:eastAsia="David" w:hAnsi="David" w:hint="cs"/>
          <w:rtl/>
        </w:rPr>
        <w:t>,</w:t>
      </w:r>
      <w:r w:rsidRPr="000A2604">
        <w:rPr>
          <w:rFonts w:ascii="David" w:eastAsia="David" w:hAnsi="David"/>
          <w:rtl/>
        </w:rPr>
        <w:t xml:space="preserve"> והשלכות המעצר והמאסר הצפוי על הנאשם</w:t>
      </w:r>
      <w:r>
        <w:rPr>
          <w:rFonts w:ascii="David" w:eastAsia="David" w:hAnsi="David" w:hint="cs"/>
          <w:rtl/>
        </w:rPr>
        <w:t>,</w:t>
      </w:r>
      <w:r w:rsidRPr="000A2604">
        <w:rPr>
          <w:rFonts w:ascii="David" w:eastAsia="David" w:hAnsi="David"/>
          <w:rtl/>
        </w:rPr>
        <w:t xml:space="preserve"> בפרט נוכח העובדה ש</w:t>
      </w:r>
      <w:r>
        <w:rPr>
          <w:rFonts w:ascii="David" w:eastAsia="David" w:hAnsi="David"/>
          <w:rtl/>
        </w:rPr>
        <w:t>מדובר במאסרו הראשון של אדם צעיר</w:t>
      </w:r>
      <w:r>
        <w:rPr>
          <w:rFonts w:ascii="David" w:eastAsia="David" w:hAnsi="David" w:hint="cs"/>
          <w:rtl/>
        </w:rPr>
        <w:t xml:space="preserve"> </w:t>
      </w:r>
      <w:r w:rsidRPr="000A2604">
        <w:rPr>
          <w:rFonts w:ascii="David" w:eastAsia="David" w:hAnsi="David"/>
          <w:rtl/>
        </w:rPr>
        <w:t>ש</w:t>
      </w:r>
      <w:r>
        <w:rPr>
          <w:rFonts w:ascii="David" w:eastAsia="David" w:hAnsi="David" w:hint="cs"/>
          <w:rtl/>
        </w:rPr>
        <w:t xml:space="preserve">אופיו </w:t>
      </w:r>
      <w:r w:rsidRPr="000A2604">
        <w:rPr>
          <w:rFonts w:ascii="David" w:eastAsia="David" w:hAnsi="David"/>
          <w:rtl/>
        </w:rPr>
        <w:t xml:space="preserve">טרם התגבש סופית. כך גם יינתן משקל לפגיעה המשמעותית שנגרמה למשפחתו של הנאשם. על הפגיעה הקשה במשפחה ועל כאבה, ניתן היה ללמוד מדברי בני המשפחה אשר </w:t>
      </w:r>
      <w:r>
        <w:rPr>
          <w:rFonts w:ascii="David" w:eastAsia="David" w:hAnsi="David" w:hint="cs"/>
          <w:rtl/>
        </w:rPr>
        <w:t xml:space="preserve">פירטו </w:t>
      </w:r>
      <w:r w:rsidRPr="000A2604">
        <w:rPr>
          <w:rFonts w:ascii="David" w:eastAsia="David" w:hAnsi="David"/>
          <w:rtl/>
        </w:rPr>
        <w:t xml:space="preserve">בין היתר על הפגיעה הקשה באחיו הקטן של הנאשם שמצבו הנפשי התדרדר בעקבות מעצרו של הנאשם.  </w:t>
      </w:r>
      <w:r w:rsidRPr="000A2604">
        <w:rPr>
          <w:rFonts w:ascii="David" w:eastAsia="Calibri" w:hAnsi="David"/>
          <w:rtl/>
        </w:rPr>
        <w:t>בנוסף יובאו בחשבון גורמי הסיכוי  לשיקום</w:t>
      </w:r>
      <w:r>
        <w:rPr>
          <w:rFonts w:ascii="David" w:eastAsia="Calibri" w:hAnsi="David" w:hint="cs"/>
          <w:rtl/>
        </w:rPr>
        <w:t>,</w:t>
      </w:r>
      <w:r w:rsidRPr="000A2604">
        <w:rPr>
          <w:rFonts w:ascii="David" w:eastAsia="Calibri" w:hAnsi="David"/>
          <w:rtl/>
        </w:rPr>
        <w:t xml:space="preserve"> והעובדה שמאחורי הנאשם עומדת משפחה תומכת ש</w:t>
      </w:r>
      <w:r>
        <w:rPr>
          <w:rFonts w:ascii="David" w:eastAsia="Calibri" w:hAnsi="David" w:hint="cs"/>
          <w:rtl/>
        </w:rPr>
        <w:t xml:space="preserve">יכולה לסייע </w:t>
      </w:r>
      <w:r w:rsidRPr="000A2604">
        <w:rPr>
          <w:rFonts w:ascii="David" w:eastAsia="Calibri" w:hAnsi="David"/>
          <w:rtl/>
        </w:rPr>
        <w:t xml:space="preserve"> לו בהקשר זה.   </w:t>
      </w:r>
    </w:p>
    <w:p w14:paraId="4B042A3E" w14:textId="77777777" w:rsidR="000801CC" w:rsidRPr="000A2604" w:rsidRDefault="000801CC" w:rsidP="000801CC">
      <w:pPr>
        <w:spacing w:line="360" w:lineRule="auto"/>
        <w:ind w:left="720"/>
        <w:contextualSpacing/>
        <w:jc w:val="both"/>
        <w:rPr>
          <w:rFonts w:ascii="David" w:eastAsia="Calibri" w:hAnsi="David"/>
          <w:sz w:val="14"/>
          <w:szCs w:val="14"/>
          <w:rtl/>
        </w:rPr>
      </w:pPr>
    </w:p>
    <w:p w14:paraId="79D55FB1" w14:textId="77777777" w:rsidR="000801CC" w:rsidRDefault="000801CC" w:rsidP="000801CC">
      <w:pPr>
        <w:pStyle w:val="a9"/>
        <w:numPr>
          <w:ilvl w:val="0"/>
          <w:numId w:val="1"/>
        </w:numPr>
        <w:spacing w:line="360" w:lineRule="auto"/>
        <w:jc w:val="both"/>
        <w:rPr>
          <w:rFonts w:ascii="David" w:eastAsia="Calibri" w:hAnsi="David"/>
        </w:rPr>
      </w:pPr>
      <w:r>
        <w:rPr>
          <w:rFonts w:ascii="David" w:eastAsia="Calibri" w:hAnsi="David"/>
          <w:rtl/>
        </w:rPr>
        <w:t>לחומרה, יש להביא בחשבון את גורמי הסיכון להישנות עבירות בהיעדר הליך שיקומי.</w:t>
      </w:r>
    </w:p>
    <w:p w14:paraId="09C4FAF8" w14:textId="77777777" w:rsidR="000801CC" w:rsidRPr="000A2604" w:rsidRDefault="000801CC" w:rsidP="000801CC">
      <w:pPr>
        <w:pStyle w:val="a9"/>
        <w:spacing w:line="360" w:lineRule="auto"/>
        <w:jc w:val="both"/>
        <w:rPr>
          <w:rFonts w:ascii="David" w:eastAsia="Calibri" w:hAnsi="David"/>
          <w:sz w:val="14"/>
          <w:szCs w:val="14"/>
        </w:rPr>
      </w:pPr>
    </w:p>
    <w:p w14:paraId="64DCC4B3" w14:textId="77777777" w:rsidR="000801CC" w:rsidRDefault="000801CC" w:rsidP="000801CC">
      <w:pPr>
        <w:pStyle w:val="a9"/>
        <w:numPr>
          <w:ilvl w:val="0"/>
          <w:numId w:val="1"/>
        </w:numPr>
        <w:spacing w:after="160" w:line="360" w:lineRule="auto"/>
        <w:jc w:val="both"/>
        <w:rPr>
          <w:rFonts w:ascii="David" w:hAnsi="David"/>
          <w:b/>
          <w:bCs/>
        </w:rPr>
      </w:pPr>
      <w:r>
        <w:rPr>
          <w:rFonts w:ascii="David" w:hAnsi="David"/>
          <w:rtl/>
        </w:rPr>
        <w:t>במכלול הנסיבות כמפורט לעיל, ובשים לב להעדר עבר פלילי, אני סבור שנכון לגזור על הנאשם 2 עונש מאסר בפועל לתקופה הקרובה יותר לרף התחתון של מתחם העונש ההולם וביחס לרכיב הפסילה  בפועל לתקופה המתקרבת למרכז המתחם.</w:t>
      </w:r>
    </w:p>
    <w:p w14:paraId="0472E13F" w14:textId="77777777" w:rsidR="000801CC" w:rsidRDefault="000801CC" w:rsidP="000801CC">
      <w:pPr>
        <w:spacing w:after="160" w:line="360" w:lineRule="auto"/>
        <w:ind w:left="720"/>
        <w:contextualSpacing/>
        <w:jc w:val="both"/>
        <w:rPr>
          <w:rFonts w:ascii="David" w:eastAsia="David" w:hAnsi="David"/>
          <w:sz w:val="2"/>
          <w:szCs w:val="2"/>
          <w:rtl/>
        </w:rPr>
      </w:pPr>
    </w:p>
    <w:p w14:paraId="4637D5AC" w14:textId="77777777" w:rsidR="000801CC" w:rsidRDefault="000801CC" w:rsidP="000801CC">
      <w:pPr>
        <w:pStyle w:val="a9"/>
        <w:numPr>
          <w:ilvl w:val="0"/>
          <w:numId w:val="1"/>
        </w:numPr>
        <w:spacing w:line="360" w:lineRule="auto"/>
        <w:jc w:val="both"/>
        <w:rPr>
          <w:rFonts w:ascii="David" w:eastAsia="David" w:hAnsi="David"/>
          <w:rtl/>
        </w:rPr>
      </w:pPr>
      <w:r>
        <w:rPr>
          <w:rFonts w:ascii="David" w:eastAsia="David" w:hAnsi="David"/>
          <w:rtl/>
        </w:rPr>
        <w:t>לאור כל האמור לעיל, אני גוזר על הנאשם</w:t>
      </w:r>
      <w:r w:rsidR="00B17AE2">
        <w:rPr>
          <w:rFonts w:ascii="David" w:eastAsia="David" w:hAnsi="David"/>
          <w:rtl/>
        </w:rPr>
        <w:t xml:space="preserve"> </w:t>
      </w:r>
      <w:r>
        <w:rPr>
          <w:rFonts w:ascii="David" w:eastAsia="David" w:hAnsi="David"/>
          <w:rtl/>
        </w:rPr>
        <w:t xml:space="preserve"> 2 את העונשים הבאים:</w:t>
      </w:r>
    </w:p>
    <w:p w14:paraId="670D12A1" w14:textId="77777777" w:rsidR="000801CC" w:rsidRDefault="000801CC" w:rsidP="000801CC">
      <w:pPr>
        <w:spacing w:line="360" w:lineRule="auto"/>
        <w:jc w:val="both"/>
        <w:rPr>
          <w:rFonts w:ascii="David" w:eastAsia="David" w:hAnsi="David"/>
          <w:sz w:val="14"/>
          <w:szCs w:val="14"/>
        </w:rPr>
      </w:pPr>
    </w:p>
    <w:p w14:paraId="7B90A0F2" w14:textId="77777777" w:rsidR="000801CC" w:rsidRDefault="000801CC" w:rsidP="000801CC">
      <w:pPr>
        <w:tabs>
          <w:tab w:val="left" w:pos="26"/>
        </w:tabs>
        <w:snapToGrid w:val="0"/>
        <w:spacing w:after="160" w:line="360" w:lineRule="auto"/>
        <w:ind w:left="707" w:hanging="425"/>
        <w:contextualSpacing/>
        <w:jc w:val="both"/>
        <w:rPr>
          <w:rFonts w:ascii="David" w:eastAsia="Calibri" w:hAnsi="David"/>
          <w:b/>
          <w:bCs/>
        </w:rPr>
      </w:pPr>
      <w:r>
        <w:rPr>
          <w:rFonts w:ascii="David" w:eastAsia="Calibri" w:hAnsi="David"/>
          <w:b/>
          <w:bCs/>
          <w:rtl/>
        </w:rPr>
        <w:tab/>
        <w:t xml:space="preserve">אני גוזר על הנאשם 2 עונש מאסר בפועל לתקופה של  </w:t>
      </w:r>
      <w:r>
        <w:rPr>
          <w:rFonts w:ascii="David" w:eastAsia="Calibri" w:hAnsi="David" w:hint="cs"/>
          <w:b/>
          <w:bCs/>
          <w:rtl/>
        </w:rPr>
        <w:t>18</w:t>
      </w:r>
      <w:r>
        <w:rPr>
          <w:rFonts w:ascii="David" w:eastAsia="Calibri" w:hAnsi="David"/>
          <w:b/>
          <w:bCs/>
          <w:rtl/>
        </w:rPr>
        <w:t xml:space="preserve"> חודשים בניכוי ימי מעצרו מיום 20/12/22 ועד היום.</w:t>
      </w:r>
    </w:p>
    <w:p w14:paraId="767B6AC8" w14:textId="77777777" w:rsidR="000801CC" w:rsidRPr="00364823" w:rsidRDefault="000801CC" w:rsidP="000801CC">
      <w:pPr>
        <w:tabs>
          <w:tab w:val="left" w:pos="26"/>
        </w:tabs>
        <w:snapToGrid w:val="0"/>
        <w:spacing w:after="160" w:line="360" w:lineRule="auto"/>
        <w:ind w:left="707" w:hanging="425"/>
        <w:contextualSpacing/>
        <w:jc w:val="both"/>
        <w:rPr>
          <w:rFonts w:ascii="David" w:eastAsia="Calibri" w:hAnsi="David"/>
          <w:b/>
          <w:bCs/>
          <w:sz w:val="14"/>
          <w:szCs w:val="14"/>
        </w:rPr>
      </w:pPr>
    </w:p>
    <w:p w14:paraId="77BC790F" w14:textId="77777777" w:rsidR="000801CC" w:rsidRDefault="000801CC" w:rsidP="000801CC">
      <w:pPr>
        <w:tabs>
          <w:tab w:val="left" w:pos="26"/>
        </w:tabs>
        <w:snapToGrid w:val="0"/>
        <w:spacing w:after="160" w:line="360" w:lineRule="auto"/>
        <w:ind w:left="707" w:hanging="425"/>
        <w:contextualSpacing/>
        <w:jc w:val="both"/>
        <w:rPr>
          <w:rFonts w:ascii="David" w:eastAsia="Calibri" w:hAnsi="David"/>
          <w:b/>
          <w:bCs/>
          <w:rtl/>
        </w:rPr>
      </w:pPr>
      <w:r>
        <w:rPr>
          <w:rFonts w:ascii="David" w:eastAsia="Calibri" w:hAnsi="David"/>
          <w:b/>
          <w:bCs/>
          <w:rtl/>
        </w:rPr>
        <w:tab/>
      </w:r>
      <w:r>
        <w:rPr>
          <w:rFonts w:ascii="David" w:eastAsia="Calibri" w:hAnsi="David"/>
          <w:b/>
          <w:bCs/>
          <w:rtl/>
        </w:rPr>
        <w:tab/>
        <w:t>אני גוזר על הנאשם 2 עונש מאסר על תנאי  לתקופה של 10  חודשים והתנאי הוא שלא יעבור בתוך 3 שנים מיום שחרורו ממאסרו, עבירת נשק מסוג פשע  ויורשע בגינה.</w:t>
      </w:r>
    </w:p>
    <w:p w14:paraId="147D1EC7" w14:textId="77777777" w:rsidR="000801CC" w:rsidRPr="00364823" w:rsidRDefault="000801CC" w:rsidP="000801CC">
      <w:pPr>
        <w:tabs>
          <w:tab w:val="left" w:pos="26"/>
        </w:tabs>
        <w:snapToGrid w:val="0"/>
        <w:spacing w:after="160" w:line="360" w:lineRule="auto"/>
        <w:ind w:left="707" w:hanging="425"/>
        <w:contextualSpacing/>
        <w:jc w:val="both"/>
        <w:rPr>
          <w:rFonts w:ascii="David" w:eastAsia="Calibri" w:hAnsi="David"/>
          <w:b/>
          <w:bCs/>
          <w:sz w:val="14"/>
          <w:szCs w:val="14"/>
          <w:rtl/>
        </w:rPr>
      </w:pPr>
    </w:p>
    <w:p w14:paraId="1F12622E" w14:textId="77777777" w:rsidR="000801CC" w:rsidRDefault="000801CC" w:rsidP="000801CC">
      <w:pPr>
        <w:tabs>
          <w:tab w:val="left" w:pos="26"/>
        </w:tabs>
        <w:snapToGrid w:val="0"/>
        <w:spacing w:after="160" w:line="360" w:lineRule="auto"/>
        <w:ind w:left="707" w:hanging="425"/>
        <w:contextualSpacing/>
        <w:jc w:val="both"/>
        <w:rPr>
          <w:rFonts w:ascii="David" w:eastAsia="Calibri" w:hAnsi="David"/>
          <w:b/>
          <w:bCs/>
          <w:rtl/>
        </w:rPr>
      </w:pPr>
      <w:r>
        <w:rPr>
          <w:rFonts w:ascii="David" w:eastAsia="Calibri" w:hAnsi="David"/>
          <w:b/>
          <w:bCs/>
          <w:rtl/>
        </w:rPr>
        <w:tab/>
        <w:t>אני גוזר על הנאשם 2 עונש מאסר על תנאי לתקופה של 6 חודשים והתנאי הוא  שלא יעבור בתוך 3 שנים מיום שחרורו ממאסרו עבירת נשק מסוגן עוון, או עבירה של נהיגה בזמן פסילה או עבירה של הפרעה לשוטר במילוי תפקידו או עבירה של שימוש ברכב ללא רשות ויורשע בגינה.</w:t>
      </w:r>
    </w:p>
    <w:p w14:paraId="1F4D46CB" w14:textId="77777777" w:rsidR="000801CC" w:rsidRPr="00364823" w:rsidRDefault="000801CC" w:rsidP="000801CC">
      <w:pPr>
        <w:tabs>
          <w:tab w:val="left" w:pos="26"/>
        </w:tabs>
        <w:snapToGrid w:val="0"/>
        <w:spacing w:after="160" w:line="360" w:lineRule="auto"/>
        <w:ind w:left="707" w:hanging="425"/>
        <w:contextualSpacing/>
        <w:jc w:val="both"/>
        <w:rPr>
          <w:rFonts w:ascii="David" w:eastAsia="Calibri" w:hAnsi="David"/>
          <w:b/>
          <w:bCs/>
          <w:sz w:val="12"/>
          <w:szCs w:val="12"/>
          <w:rtl/>
        </w:rPr>
      </w:pPr>
    </w:p>
    <w:p w14:paraId="72A1A98B" w14:textId="77777777" w:rsidR="000801CC" w:rsidRDefault="000801CC" w:rsidP="000801CC">
      <w:pPr>
        <w:snapToGrid w:val="0"/>
        <w:spacing w:line="360" w:lineRule="auto"/>
        <w:ind w:left="720"/>
        <w:contextualSpacing/>
        <w:jc w:val="both"/>
        <w:rPr>
          <w:b/>
          <w:bCs/>
          <w:rtl/>
        </w:rPr>
      </w:pPr>
      <w:r>
        <w:rPr>
          <w:rFonts w:ascii="David" w:eastAsia="David" w:hAnsi="David"/>
          <w:b/>
          <w:bCs/>
          <w:rtl/>
        </w:rPr>
        <w:t>אני פוסל את הנאשם מס' 2 מלנהוג ו/או מלקבל ו/או מלהחזיק רישיון נהיגה לתקופה של</w:t>
      </w:r>
      <w:r w:rsidR="00B17AE2">
        <w:rPr>
          <w:rFonts w:ascii="David" w:eastAsia="David" w:hAnsi="David"/>
          <w:b/>
          <w:bCs/>
          <w:rtl/>
        </w:rPr>
        <w:t xml:space="preserve"> </w:t>
      </w:r>
      <w:r>
        <w:rPr>
          <w:rFonts w:ascii="David" w:eastAsia="David" w:hAnsi="David"/>
          <w:b/>
          <w:bCs/>
          <w:rtl/>
        </w:rPr>
        <w:t xml:space="preserve"> </w:t>
      </w:r>
      <w:r>
        <w:rPr>
          <w:b/>
          <w:bCs/>
          <w:rtl/>
        </w:rPr>
        <w:t xml:space="preserve">24 חודשים </w:t>
      </w:r>
      <w:r>
        <w:rPr>
          <w:rFonts w:hint="cs"/>
          <w:b/>
          <w:bCs/>
          <w:rtl/>
        </w:rPr>
        <w:t>ב</w:t>
      </w:r>
      <w:r>
        <w:rPr>
          <w:b/>
          <w:bCs/>
          <w:rtl/>
        </w:rPr>
        <w:t>פועל מיום שחרורו ממאסרו ובמצטבר לכל פסילה אחרת ככל שקיימת.</w:t>
      </w:r>
    </w:p>
    <w:p w14:paraId="3EF2247E" w14:textId="77777777" w:rsidR="000801CC" w:rsidRDefault="000801CC" w:rsidP="000801CC">
      <w:pPr>
        <w:snapToGrid w:val="0"/>
        <w:spacing w:line="360" w:lineRule="auto"/>
        <w:ind w:left="720"/>
        <w:contextualSpacing/>
        <w:jc w:val="both"/>
        <w:rPr>
          <w:b/>
          <w:bCs/>
          <w:sz w:val="10"/>
          <w:szCs w:val="10"/>
          <w:rtl/>
        </w:rPr>
      </w:pPr>
    </w:p>
    <w:p w14:paraId="6A6EDE4C" w14:textId="77777777" w:rsidR="000801CC" w:rsidRDefault="000801CC" w:rsidP="000801CC">
      <w:pPr>
        <w:snapToGrid w:val="0"/>
        <w:spacing w:line="360" w:lineRule="auto"/>
        <w:ind w:left="720"/>
        <w:contextualSpacing/>
        <w:jc w:val="both"/>
        <w:rPr>
          <w:b/>
          <w:bCs/>
          <w:rtl/>
        </w:rPr>
      </w:pPr>
      <w:r>
        <w:rPr>
          <w:b/>
          <w:bCs/>
          <w:rtl/>
        </w:rPr>
        <w:t>מוסברת לנאשם חובת הפקדת רישיון הנהיגה במזכירות בית המשפט ובהיעדר רישיון נהיגה תקף תצהיר ערוך כדין.</w:t>
      </w:r>
    </w:p>
    <w:p w14:paraId="3A52F25C" w14:textId="77777777" w:rsidR="000801CC" w:rsidRDefault="000801CC" w:rsidP="000801CC">
      <w:pPr>
        <w:snapToGrid w:val="0"/>
        <w:spacing w:line="360" w:lineRule="auto"/>
        <w:ind w:left="720"/>
        <w:contextualSpacing/>
        <w:jc w:val="both"/>
        <w:rPr>
          <w:b/>
          <w:bCs/>
          <w:sz w:val="12"/>
          <w:szCs w:val="12"/>
          <w:rtl/>
        </w:rPr>
      </w:pPr>
    </w:p>
    <w:p w14:paraId="1B288AB7" w14:textId="77777777" w:rsidR="000801CC" w:rsidRDefault="000801CC" w:rsidP="000801CC">
      <w:pPr>
        <w:snapToGrid w:val="0"/>
        <w:spacing w:line="360" w:lineRule="auto"/>
        <w:ind w:left="720"/>
        <w:contextualSpacing/>
        <w:jc w:val="both"/>
        <w:rPr>
          <w:rFonts w:ascii="David" w:hAnsi="David"/>
          <w:b/>
          <w:bCs/>
          <w:rtl/>
        </w:rPr>
      </w:pPr>
      <w:r>
        <w:rPr>
          <w:rFonts w:ascii="David" w:hAnsi="David"/>
          <w:b/>
          <w:bCs/>
          <w:rtl/>
        </w:rPr>
        <w:t>אני גוזר על הנאשם 2 עונש</w:t>
      </w:r>
      <w:r>
        <w:rPr>
          <w:rFonts w:ascii="David" w:hAnsi="David"/>
          <w:b/>
          <w:bCs/>
        </w:rPr>
        <w:t xml:space="preserve"> </w:t>
      </w:r>
      <w:r>
        <w:rPr>
          <w:rFonts w:ascii="David" w:hAnsi="David"/>
          <w:b/>
          <w:bCs/>
          <w:rtl/>
        </w:rPr>
        <w:t xml:space="preserve"> פסילה על תנאי  לתקופה של 12 חודשים והתנאי הוא שלא יעבור בתוך 3 שנים מיום שחרורו ממאסרו, עבירה של נהיגה  בזמן פסילה.</w:t>
      </w:r>
    </w:p>
    <w:p w14:paraId="7D5E5968" w14:textId="77777777" w:rsidR="000801CC" w:rsidRDefault="000801CC" w:rsidP="000801CC">
      <w:pPr>
        <w:tabs>
          <w:tab w:val="left" w:pos="26"/>
        </w:tabs>
        <w:snapToGrid w:val="0"/>
        <w:spacing w:after="160" w:line="360" w:lineRule="auto"/>
        <w:ind w:left="707" w:hanging="425"/>
        <w:contextualSpacing/>
        <w:jc w:val="both"/>
        <w:rPr>
          <w:rFonts w:ascii="David" w:eastAsia="Calibri" w:hAnsi="David"/>
          <w:b/>
          <w:bCs/>
          <w:rtl/>
        </w:rPr>
      </w:pPr>
    </w:p>
    <w:p w14:paraId="2798DD33" w14:textId="77777777" w:rsidR="000801CC" w:rsidRDefault="000801CC" w:rsidP="000801CC">
      <w:pPr>
        <w:tabs>
          <w:tab w:val="left" w:pos="26"/>
        </w:tabs>
        <w:snapToGrid w:val="0"/>
        <w:spacing w:after="160" w:line="360" w:lineRule="auto"/>
        <w:ind w:left="707" w:hanging="425"/>
        <w:contextualSpacing/>
        <w:jc w:val="both"/>
        <w:rPr>
          <w:rFonts w:ascii="David" w:eastAsia="Calibri" w:hAnsi="David"/>
          <w:b/>
          <w:bCs/>
          <w:rtl/>
        </w:rPr>
      </w:pPr>
      <w:r>
        <w:rPr>
          <w:rFonts w:ascii="David" w:eastAsia="Calibri" w:hAnsi="David"/>
          <w:b/>
          <w:bCs/>
          <w:rtl/>
        </w:rPr>
        <w:tab/>
        <w:t>אני גוזר על הנאשם 2 קנס  כספי בסך 6,000 ₪ או 40 ימי מאסר.</w:t>
      </w:r>
    </w:p>
    <w:p w14:paraId="2E6AAF17" w14:textId="77777777" w:rsidR="000801CC" w:rsidRDefault="000801CC" w:rsidP="000801CC">
      <w:pPr>
        <w:tabs>
          <w:tab w:val="left" w:pos="26"/>
        </w:tabs>
        <w:snapToGrid w:val="0"/>
        <w:spacing w:after="160" w:line="360" w:lineRule="auto"/>
        <w:ind w:left="707" w:hanging="425"/>
        <w:contextualSpacing/>
        <w:jc w:val="both"/>
        <w:rPr>
          <w:rFonts w:ascii="David" w:eastAsia="Calibri" w:hAnsi="David"/>
          <w:b/>
          <w:bCs/>
          <w:rtl/>
        </w:rPr>
      </w:pPr>
      <w:r>
        <w:rPr>
          <w:rFonts w:ascii="David" w:eastAsia="Calibri" w:hAnsi="David"/>
          <w:b/>
          <w:bCs/>
          <w:rtl/>
        </w:rPr>
        <w:tab/>
        <w:t>הקנס שהוטל על הנאשם  ישולם עד ליום 01/01/2024.</w:t>
      </w:r>
    </w:p>
    <w:p w14:paraId="4DCBDCB9" w14:textId="77777777" w:rsidR="000801CC" w:rsidRDefault="000801CC" w:rsidP="000801CC">
      <w:pPr>
        <w:spacing w:after="160" w:line="360" w:lineRule="auto"/>
        <w:ind w:left="707"/>
        <w:contextualSpacing/>
        <w:jc w:val="both"/>
        <w:rPr>
          <w:rFonts w:ascii="David" w:eastAsia="Calibri" w:hAnsi="David"/>
          <w:rtl/>
        </w:rPr>
      </w:pPr>
      <w:r>
        <w:rPr>
          <w:rFonts w:ascii="David" w:eastAsia="Calibri"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65" w:history="1">
        <w:r>
          <w:rPr>
            <w:rStyle w:val="Hyperlink"/>
            <w:rFonts w:ascii="David" w:eastAsia="Calibri" w:hAnsi="David"/>
          </w:rPr>
          <w:t>www.eca.gov.il</w:t>
        </w:r>
      </w:hyperlink>
      <w:r>
        <w:rPr>
          <w:rFonts w:ascii="David" w:eastAsia="Calibri" w:hAnsi="David"/>
        </w:rPr>
        <w:t xml:space="preserve"> </w:t>
      </w:r>
      <w:r w:rsidR="00B17AE2">
        <w:rPr>
          <w:rFonts w:ascii="David" w:eastAsia="Calibri" w:hAnsi="David"/>
          <w:rtl/>
        </w:rPr>
        <w:t xml:space="preserve"> </w:t>
      </w:r>
      <w:r>
        <w:rPr>
          <w:rFonts w:ascii="David" w:eastAsia="Calibri" w:hAnsi="David"/>
          <w:rtl/>
        </w:rPr>
        <w:t>או חפש בגוגל " תשלום גביית קנסות".מוקד שירות טלפוני בשרות עצמי (מרכז גבייה)</w:t>
      </w:r>
      <w:r w:rsidR="00B17AE2">
        <w:rPr>
          <w:rFonts w:ascii="David" w:eastAsia="Calibri" w:hAnsi="David"/>
          <w:rtl/>
        </w:rPr>
        <w:t xml:space="preserve"> </w:t>
      </w:r>
      <w:r>
        <w:rPr>
          <w:rFonts w:ascii="David" w:eastAsia="Calibri" w:hAnsi="David"/>
          <w:rtl/>
        </w:rPr>
        <w:t xml:space="preserve"> – בטלפון 35592* או בטלפון 073-2055000 (ניתן לפנות לנציגים לקבלת מידע במספרים הללו).במזומן בכל סניף של בנק הדואר – בהצגת תעודת זהות בלבד (אין צורך בשוברי תשלום).</w:t>
      </w:r>
    </w:p>
    <w:p w14:paraId="20DF771B" w14:textId="77777777" w:rsidR="000801CC" w:rsidRDefault="000801CC" w:rsidP="000801CC">
      <w:pPr>
        <w:snapToGrid w:val="0"/>
        <w:spacing w:line="360" w:lineRule="auto"/>
        <w:ind w:left="720"/>
        <w:jc w:val="both"/>
        <w:rPr>
          <w:rFonts w:ascii="David" w:eastAsia="Calibri" w:hAnsi="David"/>
          <w:b/>
          <w:bCs/>
          <w:rtl/>
        </w:rPr>
      </w:pPr>
    </w:p>
    <w:p w14:paraId="37E90EBE" w14:textId="77777777" w:rsidR="000801CC" w:rsidRPr="008E422D" w:rsidRDefault="000801CC" w:rsidP="000801CC">
      <w:pPr>
        <w:snapToGrid w:val="0"/>
        <w:spacing w:line="360" w:lineRule="auto"/>
        <w:ind w:left="720"/>
        <w:jc w:val="both"/>
        <w:rPr>
          <w:b/>
          <w:bCs/>
        </w:rPr>
      </w:pPr>
      <w:r w:rsidRPr="008E422D">
        <w:rPr>
          <w:b/>
          <w:bCs/>
          <w:rtl/>
        </w:rPr>
        <w:t xml:space="preserve">תשומת לב שב"ס להמלצת שרות המבחן למבוגרים לפיה יש לשקול את אפשרות שילובו של הנאשם בתהליך טיפולי </w:t>
      </w:r>
      <w:r>
        <w:rPr>
          <w:rFonts w:hint="cs"/>
          <w:b/>
          <w:bCs/>
          <w:rtl/>
        </w:rPr>
        <w:t>בין כותלי הכלא.</w:t>
      </w:r>
    </w:p>
    <w:p w14:paraId="02E750E4" w14:textId="77777777" w:rsidR="000801CC" w:rsidRPr="008E422D" w:rsidRDefault="000801CC" w:rsidP="000801CC">
      <w:pPr>
        <w:spacing w:after="160" w:line="360" w:lineRule="auto"/>
        <w:jc w:val="both"/>
        <w:rPr>
          <w:rFonts w:ascii="David" w:eastAsia="Calibri" w:hAnsi="David"/>
          <w:b/>
          <w:bCs/>
          <w:rtl/>
        </w:rPr>
      </w:pPr>
    </w:p>
    <w:p w14:paraId="7F16E156" w14:textId="77777777" w:rsidR="000801CC" w:rsidRDefault="000801CC" w:rsidP="000801CC">
      <w:pPr>
        <w:spacing w:line="360" w:lineRule="auto"/>
        <w:ind w:left="720"/>
        <w:contextualSpacing/>
        <w:jc w:val="both"/>
        <w:rPr>
          <w:rFonts w:ascii="David" w:eastAsia="David" w:hAnsi="David"/>
          <w:rtl/>
        </w:rPr>
      </w:pPr>
      <w:r>
        <w:rPr>
          <w:rFonts w:ascii="David" w:eastAsia="Calibri" w:hAnsi="David"/>
          <w:b/>
          <w:bCs/>
          <w:rtl/>
        </w:rPr>
        <w:t>זכות ערעור לבית המשפט העליון בתוך 45 יום מהיום.</w:t>
      </w:r>
    </w:p>
    <w:p w14:paraId="2BCFAE63" w14:textId="77777777" w:rsidR="000801CC" w:rsidRDefault="000801CC" w:rsidP="000801CC">
      <w:pPr>
        <w:spacing w:line="360" w:lineRule="auto"/>
        <w:ind w:left="720"/>
        <w:contextualSpacing/>
        <w:jc w:val="both"/>
        <w:rPr>
          <w:rFonts w:ascii="David" w:eastAsia="David" w:hAnsi="David"/>
          <w:rtl/>
        </w:rPr>
      </w:pPr>
    </w:p>
    <w:p w14:paraId="5961C608" w14:textId="77777777" w:rsidR="000801CC" w:rsidRPr="00B17AE2" w:rsidRDefault="00B17AE2" w:rsidP="000801CC">
      <w:pPr>
        <w:rPr>
          <w:rFonts w:ascii="Arial" w:hAnsi="Arial"/>
          <w:b/>
          <w:bCs/>
          <w:color w:val="FFFFFF"/>
          <w:sz w:val="2"/>
          <w:szCs w:val="2"/>
          <w:rtl/>
        </w:rPr>
      </w:pPr>
      <w:r w:rsidRPr="00B17AE2">
        <w:rPr>
          <w:rFonts w:ascii="Arial" w:hAnsi="Arial"/>
          <w:b/>
          <w:bCs/>
          <w:color w:val="FFFFFF"/>
          <w:sz w:val="2"/>
          <w:szCs w:val="2"/>
          <w:rtl/>
        </w:rPr>
        <w:t>5129371</w:t>
      </w:r>
    </w:p>
    <w:p w14:paraId="16F71858" w14:textId="77777777" w:rsidR="000801CC" w:rsidRPr="00B17AE2" w:rsidRDefault="00B17AE2" w:rsidP="000801CC">
      <w:pPr>
        <w:rPr>
          <w:rFonts w:ascii="Arial" w:hAnsi="Arial"/>
          <w:b/>
          <w:bCs/>
          <w:color w:val="FFFFFF"/>
          <w:sz w:val="2"/>
          <w:szCs w:val="2"/>
          <w:rtl/>
        </w:rPr>
      </w:pPr>
      <w:r w:rsidRPr="00B17AE2">
        <w:rPr>
          <w:rFonts w:ascii="Arial" w:hAnsi="Arial"/>
          <w:b/>
          <w:bCs/>
          <w:color w:val="FFFFFF"/>
          <w:sz w:val="2"/>
          <w:szCs w:val="2"/>
          <w:rtl/>
        </w:rPr>
        <w:t>54678313</w:t>
      </w:r>
    </w:p>
    <w:p w14:paraId="206DAFFA" w14:textId="77777777" w:rsidR="000801CC" w:rsidRDefault="00B17AE2" w:rsidP="000801CC">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ד' אלול תשפ"ג, 21 אוגוסט 2023, בהעדר הצדדים. </w:t>
      </w:r>
      <w:bookmarkEnd w:id="7"/>
      <w:r w:rsidR="000801CC">
        <w:rPr>
          <w:rFonts w:ascii="Arial" w:hAnsi="Arial"/>
          <w:b/>
          <w:bCs/>
          <w:sz w:val="26"/>
          <w:szCs w:val="26"/>
          <w:rtl/>
        </w:rPr>
        <w:tab/>
      </w:r>
      <w:r w:rsidR="000801CC">
        <w:rPr>
          <w:rFonts w:ascii="Arial" w:hAnsi="Arial"/>
          <w:b/>
          <w:bCs/>
          <w:sz w:val="26"/>
          <w:szCs w:val="26"/>
          <w:rtl/>
        </w:rPr>
        <w:tab/>
      </w:r>
      <w:r w:rsidR="000801CC">
        <w:rPr>
          <w:rFonts w:ascii="Arial" w:hAnsi="Arial"/>
          <w:b/>
          <w:bCs/>
          <w:sz w:val="26"/>
          <w:szCs w:val="26"/>
          <w:rtl/>
        </w:rPr>
        <w:tab/>
      </w:r>
      <w:r w:rsidR="000801CC">
        <w:rPr>
          <w:rFonts w:ascii="Arial" w:hAnsi="Arial"/>
          <w:b/>
          <w:bCs/>
          <w:sz w:val="26"/>
          <w:szCs w:val="26"/>
          <w:rtl/>
        </w:rPr>
        <w:tab/>
      </w:r>
      <w:r w:rsidR="000801CC">
        <w:rPr>
          <w:rFonts w:ascii="Arial" w:hAnsi="Arial"/>
          <w:b/>
          <w:bCs/>
          <w:sz w:val="26"/>
          <w:szCs w:val="26"/>
          <w:rtl/>
        </w:rPr>
        <w:tab/>
      </w:r>
      <w:r w:rsidR="000801CC">
        <w:rPr>
          <w:rFonts w:ascii="Arial" w:hAnsi="Arial"/>
          <w:b/>
          <w:bCs/>
          <w:sz w:val="26"/>
          <w:szCs w:val="26"/>
          <w:rtl/>
        </w:rPr>
        <w:tab/>
      </w:r>
      <w:r w:rsidR="000801CC">
        <w:rPr>
          <w:rFonts w:ascii="Arial" w:hAnsi="Arial"/>
          <w:b/>
          <w:bCs/>
          <w:sz w:val="26"/>
          <w:szCs w:val="26"/>
          <w:rtl/>
        </w:rPr>
        <w:tab/>
        <w:t xml:space="preserve">         </w:t>
      </w:r>
    </w:p>
    <w:p w14:paraId="2B04D2A7" w14:textId="77777777" w:rsidR="000801CC" w:rsidRDefault="000801CC" w:rsidP="00B17AE2">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7312196C" w14:textId="77777777" w:rsidR="000801CC" w:rsidRDefault="000801CC" w:rsidP="000801CC">
      <w:pPr>
        <w:jc w:val="center"/>
        <w:rPr>
          <w:rFonts w:ascii="Arial" w:hAnsi="Arial"/>
          <w:b/>
          <w:bCs/>
          <w:sz w:val="26"/>
          <w:szCs w:val="26"/>
          <w:rtl/>
        </w:rPr>
      </w:pPr>
    </w:p>
    <w:p w14:paraId="18662C63" w14:textId="77777777" w:rsidR="00B17AE2" w:rsidRDefault="005442A7" w:rsidP="00B17AE2">
      <w:r w:rsidRPr="005442A7">
        <w:rPr>
          <w:color w:val="FFFFFF"/>
          <w:sz w:val="2"/>
          <w:szCs w:val="2"/>
          <w:rtl/>
        </w:rPr>
        <w:t>5129371</w:t>
      </w:r>
    </w:p>
    <w:p w14:paraId="22C19806" w14:textId="77777777" w:rsidR="00B17AE2" w:rsidRDefault="00B17AE2" w:rsidP="00B17AE2">
      <w:pPr>
        <w:rPr>
          <w:rtl/>
        </w:rPr>
      </w:pPr>
    </w:p>
    <w:p w14:paraId="77F1F1A6" w14:textId="77777777" w:rsidR="00B17AE2" w:rsidRDefault="00B17AE2" w:rsidP="00B17AE2">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17D0547C" w14:textId="77777777" w:rsidR="005442A7" w:rsidRPr="005442A7" w:rsidRDefault="005442A7" w:rsidP="005442A7">
      <w:pPr>
        <w:keepNext/>
        <w:rPr>
          <w:rFonts w:ascii="David" w:hAnsi="David"/>
          <w:color w:val="000000"/>
          <w:sz w:val="22"/>
          <w:szCs w:val="22"/>
          <w:rtl/>
        </w:rPr>
      </w:pPr>
    </w:p>
    <w:p w14:paraId="2E45D12B" w14:textId="77777777" w:rsidR="005442A7" w:rsidRPr="005442A7" w:rsidRDefault="005442A7" w:rsidP="005442A7">
      <w:pPr>
        <w:keepNext/>
        <w:rPr>
          <w:rFonts w:ascii="David" w:hAnsi="David"/>
          <w:color w:val="000000"/>
          <w:sz w:val="22"/>
          <w:szCs w:val="22"/>
          <w:rtl/>
        </w:rPr>
      </w:pPr>
      <w:r w:rsidRPr="005442A7">
        <w:rPr>
          <w:rFonts w:ascii="David" w:hAnsi="David"/>
          <w:color w:val="000000"/>
          <w:sz w:val="22"/>
          <w:szCs w:val="22"/>
          <w:rtl/>
        </w:rPr>
        <w:t>גיל קרזבום 54678313-/</w:t>
      </w:r>
    </w:p>
    <w:p w14:paraId="47763A55" w14:textId="77777777" w:rsidR="00B17AE2" w:rsidRPr="00B17AE2" w:rsidRDefault="005442A7" w:rsidP="005442A7">
      <w:pPr>
        <w:rPr>
          <w:color w:val="0000FF"/>
          <w:u w:val="single"/>
        </w:rPr>
      </w:pPr>
      <w:r w:rsidRPr="005442A7">
        <w:rPr>
          <w:color w:val="000000"/>
          <w:u w:val="single"/>
          <w:rtl/>
        </w:rPr>
        <w:t>נוסח מסמך זה כפוף לשינויי ניסוח ועריכה</w:t>
      </w:r>
    </w:p>
    <w:sectPr w:rsidR="00B17AE2" w:rsidRPr="00B17AE2" w:rsidSect="005442A7">
      <w:headerReference w:type="even" r:id="rId67"/>
      <w:headerReference w:type="default" r:id="rId68"/>
      <w:footerReference w:type="even" r:id="rId69"/>
      <w:footerReference w:type="default" r:id="rId7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C7965" w14:textId="77777777" w:rsidR="00045CDA" w:rsidRDefault="00045CDA" w:rsidP="004A7872">
      <w:r>
        <w:separator/>
      </w:r>
    </w:p>
  </w:endnote>
  <w:endnote w:type="continuationSeparator" w:id="0">
    <w:p w14:paraId="750D6F26" w14:textId="77777777" w:rsidR="00045CDA" w:rsidRDefault="00045CDA" w:rsidP="004A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0ECEC" w14:textId="77777777" w:rsidR="005442A7" w:rsidRDefault="005442A7" w:rsidP="005442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CDEF74" w14:textId="77777777" w:rsidR="00F14343" w:rsidRPr="005442A7" w:rsidRDefault="005442A7" w:rsidP="005442A7">
    <w:pPr>
      <w:pStyle w:val="a5"/>
      <w:pBdr>
        <w:top w:val="single" w:sz="4" w:space="1" w:color="auto"/>
        <w:between w:val="single" w:sz="4" w:space="0" w:color="auto"/>
      </w:pBdr>
      <w:spacing w:after="60"/>
      <w:jc w:val="center"/>
      <w:rPr>
        <w:rFonts w:ascii="FrankRuehl" w:hAnsi="FrankRuehl" w:cs="FrankRuehl"/>
        <w:color w:val="000000"/>
      </w:rPr>
    </w:pPr>
    <w:r w:rsidRPr="005442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8924F" w14:textId="77777777" w:rsidR="005442A7" w:rsidRDefault="005442A7" w:rsidP="005442A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444D">
      <w:rPr>
        <w:rFonts w:ascii="FrankRuehl" w:hAnsi="FrankRuehl" w:cs="FrankRuehl"/>
        <w:noProof/>
        <w:rtl/>
      </w:rPr>
      <w:t>1</w:t>
    </w:r>
    <w:r>
      <w:rPr>
        <w:rFonts w:ascii="FrankRuehl" w:hAnsi="FrankRuehl" w:cs="FrankRuehl"/>
        <w:rtl/>
      </w:rPr>
      <w:fldChar w:fldCharType="end"/>
    </w:r>
  </w:p>
  <w:p w14:paraId="4E419A52" w14:textId="77777777" w:rsidR="00F14343" w:rsidRPr="005442A7" w:rsidRDefault="005442A7" w:rsidP="005442A7">
    <w:pPr>
      <w:pStyle w:val="a5"/>
      <w:pBdr>
        <w:top w:val="single" w:sz="4" w:space="1" w:color="auto"/>
        <w:between w:val="single" w:sz="4" w:space="0" w:color="auto"/>
      </w:pBdr>
      <w:spacing w:after="60"/>
      <w:jc w:val="center"/>
      <w:rPr>
        <w:rFonts w:ascii="FrankRuehl" w:hAnsi="FrankRuehl" w:cs="FrankRuehl"/>
        <w:color w:val="000000"/>
      </w:rPr>
    </w:pPr>
    <w:r w:rsidRPr="005442A7">
      <w:rPr>
        <w:rFonts w:ascii="FrankRuehl" w:hAnsi="FrankRuehl" w:cs="FrankRuehl"/>
        <w:color w:val="000000"/>
      </w:rPr>
      <w:pict w14:anchorId="64C0F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056C9" w14:textId="77777777" w:rsidR="00045CDA" w:rsidRDefault="00045CDA" w:rsidP="004A7872">
      <w:r>
        <w:separator/>
      </w:r>
    </w:p>
  </w:footnote>
  <w:footnote w:type="continuationSeparator" w:id="0">
    <w:p w14:paraId="0804E956" w14:textId="77777777" w:rsidR="00045CDA" w:rsidRDefault="00045CDA" w:rsidP="004A7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72986" w14:textId="77777777" w:rsidR="00B17AE2" w:rsidRPr="005442A7" w:rsidRDefault="005442A7" w:rsidP="005442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3537-01-23</w:t>
    </w:r>
    <w:r>
      <w:rPr>
        <w:rFonts w:ascii="David" w:hAnsi="David"/>
        <w:color w:val="000000"/>
        <w:sz w:val="22"/>
        <w:szCs w:val="22"/>
        <w:rtl/>
      </w:rPr>
      <w:tab/>
      <w:t xml:space="preserve"> מדינת ישראל נ' דניאל אברמוב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FB7DC" w14:textId="77777777" w:rsidR="00B17AE2" w:rsidRPr="005442A7" w:rsidRDefault="005442A7" w:rsidP="005442A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3537-01-23</w:t>
    </w:r>
    <w:r>
      <w:rPr>
        <w:rFonts w:ascii="David" w:hAnsi="David"/>
        <w:color w:val="000000"/>
        <w:sz w:val="22"/>
        <w:szCs w:val="22"/>
        <w:rtl/>
      </w:rPr>
      <w:tab/>
      <w:t xml:space="preserve"> מדינת ישראל נ' דניאל אברמוב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F9BADEBE"/>
    <w:lvl w:ilvl="0" w:tplc="2A8A682E">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113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01CC"/>
    <w:rsid w:val="00045CDA"/>
    <w:rsid w:val="000801CC"/>
    <w:rsid w:val="0022444D"/>
    <w:rsid w:val="0024134F"/>
    <w:rsid w:val="004619F8"/>
    <w:rsid w:val="004A7872"/>
    <w:rsid w:val="005442A7"/>
    <w:rsid w:val="00695366"/>
    <w:rsid w:val="00747500"/>
    <w:rsid w:val="00935A0A"/>
    <w:rsid w:val="009A4E4C"/>
    <w:rsid w:val="00A8403A"/>
    <w:rsid w:val="00B17AE2"/>
    <w:rsid w:val="00D63B87"/>
    <w:rsid w:val="00F14343"/>
    <w:rsid w:val="00F841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405CBC"/>
  <w15:chartTrackingRefBased/>
  <w15:docId w15:val="{72BB5EE7-7CB8-44C7-AC2F-6FA10898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01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01CC"/>
    <w:pPr>
      <w:tabs>
        <w:tab w:val="center" w:pos="4153"/>
        <w:tab w:val="right" w:pos="8306"/>
      </w:tabs>
    </w:pPr>
  </w:style>
  <w:style w:type="character" w:customStyle="1" w:styleId="a4">
    <w:name w:val="כותרת עליונה תו"/>
    <w:link w:val="a3"/>
    <w:rsid w:val="000801CC"/>
    <w:rPr>
      <w:rFonts w:ascii="Times New Roman" w:eastAsia="Times New Roman" w:hAnsi="Times New Roman" w:cs="David"/>
      <w:sz w:val="24"/>
      <w:szCs w:val="24"/>
    </w:rPr>
  </w:style>
  <w:style w:type="paragraph" w:styleId="a5">
    <w:name w:val="footer"/>
    <w:basedOn w:val="a"/>
    <w:link w:val="a6"/>
    <w:rsid w:val="000801CC"/>
    <w:pPr>
      <w:tabs>
        <w:tab w:val="center" w:pos="4153"/>
        <w:tab w:val="right" w:pos="8306"/>
      </w:tabs>
    </w:pPr>
  </w:style>
  <w:style w:type="character" w:customStyle="1" w:styleId="a6">
    <w:name w:val="כותרת תחתונה תו"/>
    <w:link w:val="a5"/>
    <w:rsid w:val="000801CC"/>
    <w:rPr>
      <w:rFonts w:ascii="Times New Roman" w:eastAsia="Times New Roman" w:hAnsi="Times New Roman" w:cs="David"/>
      <w:sz w:val="24"/>
      <w:szCs w:val="24"/>
    </w:rPr>
  </w:style>
  <w:style w:type="table" w:styleId="a7">
    <w:name w:val="Table Grid"/>
    <w:basedOn w:val="a1"/>
    <w:rsid w:val="000801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01CC"/>
  </w:style>
  <w:style w:type="character" w:customStyle="1" w:styleId="TimesNewRomanTimesNewRoman">
    <w:name w:val="סגנון (לטיני) Times New Roman (עברית ושפות אחרות) Times New Roman..."/>
    <w:rsid w:val="000801CC"/>
    <w:rPr>
      <w:rFonts w:ascii="Times New Roman" w:hAnsi="Times New Roman" w:cs="David" w:hint="default"/>
      <w:b/>
      <w:bCs/>
      <w:sz w:val="26"/>
      <w:szCs w:val="26"/>
    </w:rPr>
  </w:style>
  <w:style w:type="character" w:styleId="Hyperlink">
    <w:name w:val="Hyperlink"/>
    <w:rsid w:val="000801CC"/>
    <w:rPr>
      <w:color w:val="0000FF"/>
      <w:u w:val="single"/>
    </w:rPr>
  </w:style>
  <w:style w:type="paragraph" w:styleId="a9">
    <w:name w:val="List Paragraph"/>
    <w:basedOn w:val="a"/>
    <w:qFormat/>
    <w:rsid w:val="0008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67" TargetMode="External"/><Relationship Id="rId21" Type="http://schemas.openxmlformats.org/officeDocument/2006/relationships/hyperlink" Target="http://www.nevo.co.il/law/70301/144.b" TargetMode="External"/><Relationship Id="rId42" Type="http://schemas.openxmlformats.org/officeDocument/2006/relationships/hyperlink" Target="http://www.nevo.co.il/law/5227" TargetMode="External"/><Relationship Id="rId47" Type="http://schemas.openxmlformats.org/officeDocument/2006/relationships/hyperlink" Target="http://www.nevo.co.il/case/26934681" TargetMode="External"/><Relationship Id="rId63" Type="http://schemas.openxmlformats.org/officeDocument/2006/relationships/hyperlink" Target="http://www.nevo.co.il/case/20513526" TargetMode="External"/><Relationship Id="rId6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74501/2.a.b" TargetMode="External"/><Relationship Id="rId11" Type="http://schemas.openxmlformats.org/officeDocument/2006/relationships/hyperlink" Target="http://www.nevo.co.il/law/70301/40a" TargetMode="External"/><Relationship Id="rId24" Type="http://schemas.openxmlformats.org/officeDocument/2006/relationships/hyperlink" Target="http://www.nevo.co.il/law/70301/413c"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6913995" TargetMode="External"/><Relationship Id="rId45" Type="http://schemas.openxmlformats.org/officeDocument/2006/relationships/hyperlink" Target="http://www.nevo.co.il/case/6473037" TargetMode="External"/><Relationship Id="rId53" Type="http://schemas.openxmlformats.org/officeDocument/2006/relationships/hyperlink" Target="http://www.nevo.co.il/case/27982146" TargetMode="External"/><Relationship Id="rId58" Type="http://schemas.openxmlformats.org/officeDocument/2006/relationships/hyperlink" Target="http://www.nevo.co.il/case/23226232"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70301/32" TargetMode="External"/><Relationship Id="rId19" Type="http://schemas.openxmlformats.org/officeDocument/2006/relationships/hyperlink" Target="http://www.nevo.co.il/law/74501" TargetMode="External"/><Relationship Id="rId14" Type="http://schemas.openxmlformats.org/officeDocument/2006/relationships/hyperlink" Target="http://www.nevo.co.il/law/70301/413c"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5227"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894608" TargetMode="External"/><Relationship Id="rId43" Type="http://schemas.openxmlformats.org/officeDocument/2006/relationships/hyperlink" Target="http://www.nevo.co.il/case/5762686" TargetMode="External"/><Relationship Id="rId48" Type="http://schemas.openxmlformats.org/officeDocument/2006/relationships/hyperlink" Target="http://www.nevo.co.il/case/28883087" TargetMode="External"/><Relationship Id="rId56" Type="http://schemas.openxmlformats.org/officeDocument/2006/relationships/hyperlink" Target="http://www.nevo.co.il/case/23825396" TargetMode="External"/><Relationship Id="rId64" Type="http://schemas.openxmlformats.org/officeDocument/2006/relationships/hyperlink" Target="http://www.nevo.co.il/case/5833181" TargetMode="External"/><Relationship Id="rId69" Type="http://schemas.openxmlformats.org/officeDocument/2006/relationships/footer" Target="footer1.xml"/><Relationship Id="rId8" Type="http://schemas.openxmlformats.org/officeDocument/2006/relationships/hyperlink" Target="http://www.nevo.co.il/law/70301/31" TargetMode="External"/><Relationship Id="rId51" Type="http://schemas.openxmlformats.org/officeDocument/2006/relationships/hyperlink" Target="http://www.nevo.co.il/case/28916087"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5227/2.a" TargetMode="External"/><Relationship Id="rId25" Type="http://schemas.openxmlformats.org/officeDocument/2006/relationships/hyperlink" Target="http://www.nevo.co.il/law/70301/275" TargetMode="External"/><Relationship Id="rId33" Type="http://schemas.openxmlformats.org/officeDocument/2006/relationships/hyperlink" Target="http://www.nevo.co.il/law/70301/40a;40.if" TargetMode="External"/><Relationship Id="rId38" Type="http://schemas.openxmlformats.org/officeDocument/2006/relationships/hyperlink" Target="http://www.nevo.co.il/case/5601503" TargetMode="External"/><Relationship Id="rId46" Type="http://schemas.openxmlformats.org/officeDocument/2006/relationships/hyperlink" Target="http://www.nevo.co.il/case/6950458" TargetMode="External"/><Relationship Id="rId59" Type="http://schemas.openxmlformats.org/officeDocument/2006/relationships/hyperlink" Target="http://www.nevo.co.il/case/29277417" TargetMode="External"/><Relationship Id="rId67" Type="http://schemas.openxmlformats.org/officeDocument/2006/relationships/header" Target="header1.xml"/><Relationship Id="rId20" Type="http://schemas.openxmlformats.org/officeDocument/2006/relationships/hyperlink" Target="http://www.nevo.co.il/law/74501/2.a.b" TargetMode="External"/><Relationship Id="rId41" Type="http://schemas.openxmlformats.org/officeDocument/2006/relationships/hyperlink" Target="http://www.nevo.co.il/case/6049859" TargetMode="External"/><Relationship Id="rId54" Type="http://schemas.openxmlformats.org/officeDocument/2006/relationships/hyperlink" Target="http://www.nevo.co.il/case/28020221" TargetMode="External"/><Relationship Id="rId62" Type="http://schemas.openxmlformats.org/officeDocument/2006/relationships/hyperlink" Target="http://www.nevo.co.il/law/70301"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a(1)S" TargetMode="External"/><Relationship Id="rId23" Type="http://schemas.openxmlformats.org/officeDocument/2006/relationships/hyperlink" Target="http://www.nevo.co.il/law/70301" TargetMode="External"/><Relationship Id="rId28" Type="http://schemas.openxmlformats.org/officeDocument/2006/relationships/hyperlink" Target="http://www.nevo.co.il/law/5227/2.a" TargetMode="External"/><Relationship Id="rId36" Type="http://schemas.openxmlformats.org/officeDocument/2006/relationships/hyperlink" Target="http://www.nevo.co.il/case/28152132" TargetMode="External"/><Relationship Id="rId49" Type="http://schemas.openxmlformats.org/officeDocument/2006/relationships/hyperlink" Target="http://www.nevo.co.il/case/27494821" TargetMode="External"/><Relationship Id="rId57" Type="http://schemas.openxmlformats.org/officeDocument/2006/relationships/hyperlink" Target="http://www.nevo.co.il/case/22793926" TargetMode="External"/><Relationship Id="rId10" Type="http://schemas.openxmlformats.org/officeDocument/2006/relationships/hyperlink" Target="http://www.nevo.co.il/law/70301/40.if" TargetMode="External"/><Relationship Id="rId31" Type="http://schemas.openxmlformats.org/officeDocument/2006/relationships/hyperlink" Target="http://www.nevo.co.il/law/70301/fCa(1)S" TargetMode="External"/><Relationship Id="rId44" Type="http://schemas.openxmlformats.org/officeDocument/2006/relationships/hyperlink" Target="http://www.nevo.co.il/case/5587527" TargetMode="External"/><Relationship Id="rId52" Type="http://schemas.openxmlformats.org/officeDocument/2006/relationships/hyperlink" Target="http://www.nevo.co.il/case/28300349" TargetMode="External"/><Relationship Id="rId60" Type="http://schemas.openxmlformats.org/officeDocument/2006/relationships/hyperlink" Target="http://www.nevo.co.il/case/7948470" TargetMode="External"/><Relationship Id="rId65"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5227/67" TargetMode="External"/><Relationship Id="rId39" Type="http://schemas.openxmlformats.org/officeDocument/2006/relationships/hyperlink" Target="http://www.nevo.co.il/case/6034921" TargetMode="External"/><Relationship Id="rId34" Type="http://schemas.openxmlformats.org/officeDocument/2006/relationships/hyperlink" Target="http://www.nevo.co.il/law/70301/40a" TargetMode="External"/><Relationship Id="rId50" Type="http://schemas.openxmlformats.org/officeDocument/2006/relationships/hyperlink" Target="http://www.nevo.co.il/case/28722692" TargetMode="External"/><Relationship Id="rId55" Type="http://schemas.openxmlformats.org/officeDocument/2006/relationships/hyperlink" Target="http://www.nevo.co.il/case/2658953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4985</Words>
  <Characters>24926</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29852</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7864368</vt:i4>
      </vt:variant>
      <vt:variant>
        <vt:i4>174</vt:i4>
      </vt:variant>
      <vt:variant>
        <vt:i4>0</vt:i4>
      </vt:variant>
      <vt:variant>
        <vt:i4>5</vt:i4>
      </vt:variant>
      <vt:variant>
        <vt:lpwstr>http://www.eca.gov.il/</vt:lpwstr>
      </vt:variant>
      <vt:variant>
        <vt:lpwstr/>
      </vt:variant>
      <vt:variant>
        <vt:i4>3539063</vt:i4>
      </vt:variant>
      <vt:variant>
        <vt:i4>171</vt:i4>
      </vt:variant>
      <vt:variant>
        <vt:i4>0</vt:i4>
      </vt:variant>
      <vt:variant>
        <vt:i4>5</vt:i4>
      </vt:variant>
      <vt:variant>
        <vt:lpwstr>http://www.nevo.co.il/case/5833181</vt:lpwstr>
      </vt:variant>
      <vt:variant>
        <vt:lpwstr/>
      </vt:variant>
      <vt:variant>
        <vt:i4>3539056</vt:i4>
      </vt:variant>
      <vt:variant>
        <vt:i4>168</vt:i4>
      </vt:variant>
      <vt:variant>
        <vt:i4>0</vt:i4>
      </vt:variant>
      <vt:variant>
        <vt:i4>5</vt:i4>
      </vt:variant>
      <vt:variant>
        <vt:lpwstr>http://www.nevo.co.il/case/20513526</vt:lpwstr>
      </vt:variant>
      <vt:variant>
        <vt:lpwstr/>
      </vt:variant>
      <vt:variant>
        <vt:i4>7995492</vt:i4>
      </vt:variant>
      <vt:variant>
        <vt:i4>165</vt:i4>
      </vt:variant>
      <vt:variant>
        <vt:i4>0</vt:i4>
      </vt:variant>
      <vt:variant>
        <vt:i4>5</vt:i4>
      </vt:variant>
      <vt:variant>
        <vt:lpwstr>http://www.nevo.co.il/law/70301</vt:lpwstr>
      </vt:variant>
      <vt:variant>
        <vt:lpwstr/>
      </vt:variant>
      <vt:variant>
        <vt:i4>6750310</vt:i4>
      </vt:variant>
      <vt:variant>
        <vt:i4>162</vt:i4>
      </vt:variant>
      <vt:variant>
        <vt:i4>0</vt:i4>
      </vt:variant>
      <vt:variant>
        <vt:i4>5</vt:i4>
      </vt:variant>
      <vt:variant>
        <vt:lpwstr>http://www.nevo.co.il/law/70301/32</vt:lpwstr>
      </vt:variant>
      <vt:variant>
        <vt:lpwstr/>
      </vt:variant>
      <vt:variant>
        <vt:i4>3604594</vt:i4>
      </vt:variant>
      <vt:variant>
        <vt:i4>159</vt:i4>
      </vt:variant>
      <vt:variant>
        <vt:i4>0</vt:i4>
      </vt:variant>
      <vt:variant>
        <vt:i4>5</vt:i4>
      </vt:variant>
      <vt:variant>
        <vt:lpwstr>http://www.nevo.co.il/case/7948470</vt:lpwstr>
      </vt:variant>
      <vt:variant>
        <vt:lpwstr/>
      </vt:variant>
      <vt:variant>
        <vt:i4>3539070</vt:i4>
      </vt:variant>
      <vt:variant>
        <vt:i4>156</vt:i4>
      </vt:variant>
      <vt:variant>
        <vt:i4>0</vt:i4>
      </vt:variant>
      <vt:variant>
        <vt:i4>5</vt:i4>
      </vt:variant>
      <vt:variant>
        <vt:lpwstr>http://www.nevo.co.il/case/29277417</vt:lpwstr>
      </vt:variant>
      <vt:variant>
        <vt:lpwstr/>
      </vt:variant>
      <vt:variant>
        <vt:i4>3473527</vt:i4>
      </vt:variant>
      <vt:variant>
        <vt:i4>153</vt:i4>
      </vt:variant>
      <vt:variant>
        <vt:i4>0</vt:i4>
      </vt:variant>
      <vt:variant>
        <vt:i4>5</vt:i4>
      </vt:variant>
      <vt:variant>
        <vt:lpwstr>http://www.nevo.co.il/case/23226232</vt:lpwstr>
      </vt:variant>
      <vt:variant>
        <vt:lpwstr/>
      </vt:variant>
      <vt:variant>
        <vt:i4>3407990</vt:i4>
      </vt:variant>
      <vt:variant>
        <vt:i4>150</vt:i4>
      </vt:variant>
      <vt:variant>
        <vt:i4>0</vt:i4>
      </vt:variant>
      <vt:variant>
        <vt:i4>5</vt:i4>
      </vt:variant>
      <vt:variant>
        <vt:lpwstr>http://www.nevo.co.il/case/22793926</vt:lpwstr>
      </vt:variant>
      <vt:variant>
        <vt:lpwstr/>
      </vt:variant>
      <vt:variant>
        <vt:i4>3539062</vt:i4>
      </vt:variant>
      <vt:variant>
        <vt:i4>147</vt:i4>
      </vt:variant>
      <vt:variant>
        <vt:i4>0</vt:i4>
      </vt:variant>
      <vt:variant>
        <vt:i4>5</vt:i4>
      </vt:variant>
      <vt:variant>
        <vt:lpwstr>http://www.nevo.co.il/case/23825396</vt:lpwstr>
      </vt:variant>
      <vt:variant>
        <vt:lpwstr/>
      </vt:variant>
      <vt:variant>
        <vt:i4>3997823</vt:i4>
      </vt:variant>
      <vt:variant>
        <vt:i4>144</vt:i4>
      </vt:variant>
      <vt:variant>
        <vt:i4>0</vt:i4>
      </vt:variant>
      <vt:variant>
        <vt:i4>5</vt:i4>
      </vt:variant>
      <vt:variant>
        <vt:lpwstr>http://www.nevo.co.il/case/26589532</vt:lpwstr>
      </vt:variant>
      <vt:variant>
        <vt:lpwstr/>
      </vt:variant>
      <vt:variant>
        <vt:i4>3145852</vt:i4>
      </vt:variant>
      <vt:variant>
        <vt:i4>141</vt:i4>
      </vt:variant>
      <vt:variant>
        <vt:i4>0</vt:i4>
      </vt:variant>
      <vt:variant>
        <vt:i4>5</vt:i4>
      </vt:variant>
      <vt:variant>
        <vt:lpwstr>http://www.nevo.co.il/case/28020221</vt:lpwstr>
      </vt:variant>
      <vt:variant>
        <vt:lpwstr/>
      </vt:variant>
      <vt:variant>
        <vt:i4>3997818</vt:i4>
      </vt:variant>
      <vt:variant>
        <vt:i4>138</vt:i4>
      </vt:variant>
      <vt:variant>
        <vt:i4>0</vt:i4>
      </vt:variant>
      <vt:variant>
        <vt:i4>5</vt:i4>
      </vt:variant>
      <vt:variant>
        <vt:lpwstr>http://www.nevo.co.il/case/27982146</vt:lpwstr>
      </vt:variant>
      <vt:variant>
        <vt:lpwstr/>
      </vt:variant>
      <vt:variant>
        <vt:i4>3473535</vt:i4>
      </vt:variant>
      <vt:variant>
        <vt:i4>135</vt:i4>
      </vt:variant>
      <vt:variant>
        <vt:i4>0</vt:i4>
      </vt:variant>
      <vt:variant>
        <vt:i4>5</vt:i4>
      </vt:variant>
      <vt:variant>
        <vt:lpwstr>http://www.nevo.co.il/case/28300349</vt:lpwstr>
      </vt:variant>
      <vt:variant>
        <vt:lpwstr/>
      </vt:variant>
      <vt:variant>
        <vt:i4>3473533</vt:i4>
      </vt:variant>
      <vt:variant>
        <vt:i4>132</vt:i4>
      </vt:variant>
      <vt:variant>
        <vt:i4>0</vt:i4>
      </vt:variant>
      <vt:variant>
        <vt:i4>5</vt:i4>
      </vt:variant>
      <vt:variant>
        <vt:lpwstr>http://www.nevo.co.il/case/28916087</vt:lpwstr>
      </vt:variant>
      <vt:variant>
        <vt:lpwstr/>
      </vt:variant>
      <vt:variant>
        <vt:i4>4063352</vt:i4>
      </vt:variant>
      <vt:variant>
        <vt:i4>129</vt:i4>
      </vt:variant>
      <vt:variant>
        <vt:i4>0</vt:i4>
      </vt:variant>
      <vt:variant>
        <vt:i4>5</vt:i4>
      </vt:variant>
      <vt:variant>
        <vt:lpwstr>http://www.nevo.co.il/case/28722692</vt:lpwstr>
      </vt:variant>
      <vt:variant>
        <vt:lpwstr/>
      </vt:variant>
      <vt:variant>
        <vt:i4>3145842</vt:i4>
      </vt:variant>
      <vt:variant>
        <vt:i4>126</vt:i4>
      </vt:variant>
      <vt:variant>
        <vt:i4>0</vt:i4>
      </vt:variant>
      <vt:variant>
        <vt:i4>5</vt:i4>
      </vt:variant>
      <vt:variant>
        <vt:lpwstr>http://www.nevo.co.il/case/27494821</vt:lpwstr>
      </vt:variant>
      <vt:variant>
        <vt:lpwstr/>
      </vt:variant>
      <vt:variant>
        <vt:i4>3211380</vt:i4>
      </vt:variant>
      <vt:variant>
        <vt:i4>123</vt:i4>
      </vt:variant>
      <vt:variant>
        <vt:i4>0</vt:i4>
      </vt:variant>
      <vt:variant>
        <vt:i4>5</vt:i4>
      </vt:variant>
      <vt:variant>
        <vt:lpwstr>http://www.nevo.co.il/case/28883087</vt:lpwstr>
      </vt:variant>
      <vt:variant>
        <vt:lpwstr/>
      </vt:variant>
      <vt:variant>
        <vt:i4>3604599</vt:i4>
      </vt:variant>
      <vt:variant>
        <vt:i4>120</vt:i4>
      </vt:variant>
      <vt:variant>
        <vt:i4>0</vt:i4>
      </vt:variant>
      <vt:variant>
        <vt:i4>5</vt:i4>
      </vt:variant>
      <vt:variant>
        <vt:lpwstr>http://www.nevo.co.il/case/26934681</vt:lpwstr>
      </vt:variant>
      <vt:variant>
        <vt:lpwstr/>
      </vt:variant>
      <vt:variant>
        <vt:i4>4128888</vt:i4>
      </vt:variant>
      <vt:variant>
        <vt:i4>117</vt:i4>
      </vt:variant>
      <vt:variant>
        <vt:i4>0</vt:i4>
      </vt:variant>
      <vt:variant>
        <vt:i4>5</vt:i4>
      </vt:variant>
      <vt:variant>
        <vt:lpwstr>http://www.nevo.co.il/case/6950458</vt:lpwstr>
      </vt:variant>
      <vt:variant>
        <vt:lpwstr/>
      </vt:variant>
      <vt:variant>
        <vt:i4>3539056</vt:i4>
      </vt:variant>
      <vt:variant>
        <vt:i4>114</vt:i4>
      </vt:variant>
      <vt:variant>
        <vt:i4>0</vt:i4>
      </vt:variant>
      <vt:variant>
        <vt:i4>5</vt:i4>
      </vt:variant>
      <vt:variant>
        <vt:lpwstr>http://www.nevo.co.il/case/6473037</vt:lpwstr>
      </vt:variant>
      <vt:variant>
        <vt:lpwstr/>
      </vt:variant>
      <vt:variant>
        <vt:i4>4128884</vt:i4>
      </vt:variant>
      <vt:variant>
        <vt:i4>111</vt:i4>
      </vt:variant>
      <vt:variant>
        <vt:i4>0</vt:i4>
      </vt:variant>
      <vt:variant>
        <vt:i4>5</vt:i4>
      </vt:variant>
      <vt:variant>
        <vt:lpwstr>http://www.nevo.co.il/case/5587527</vt:lpwstr>
      </vt:variant>
      <vt:variant>
        <vt:lpwstr/>
      </vt:variant>
      <vt:variant>
        <vt:i4>3342457</vt:i4>
      </vt:variant>
      <vt:variant>
        <vt:i4>108</vt:i4>
      </vt:variant>
      <vt:variant>
        <vt:i4>0</vt:i4>
      </vt:variant>
      <vt:variant>
        <vt:i4>5</vt:i4>
      </vt:variant>
      <vt:variant>
        <vt:lpwstr>http://www.nevo.co.il/case/5762686</vt:lpwstr>
      </vt:variant>
      <vt:variant>
        <vt:lpwstr/>
      </vt:variant>
      <vt:variant>
        <vt:i4>8323175</vt:i4>
      </vt:variant>
      <vt:variant>
        <vt:i4>105</vt:i4>
      </vt:variant>
      <vt:variant>
        <vt:i4>0</vt:i4>
      </vt:variant>
      <vt:variant>
        <vt:i4>5</vt:i4>
      </vt:variant>
      <vt:variant>
        <vt:lpwstr>http://www.nevo.co.il/law/5227</vt:lpwstr>
      </vt:variant>
      <vt:variant>
        <vt:lpwstr/>
      </vt:variant>
      <vt:variant>
        <vt:i4>3342456</vt:i4>
      </vt:variant>
      <vt:variant>
        <vt:i4>102</vt:i4>
      </vt:variant>
      <vt:variant>
        <vt:i4>0</vt:i4>
      </vt:variant>
      <vt:variant>
        <vt:i4>5</vt:i4>
      </vt:variant>
      <vt:variant>
        <vt:lpwstr>http://www.nevo.co.il/case/6049859</vt:lpwstr>
      </vt:variant>
      <vt:variant>
        <vt:lpwstr/>
      </vt:variant>
      <vt:variant>
        <vt:i4>3211386</vt:i4>
      </vt:variant>
      <vt:variant>
        <vt:i4>99</vt:i4>
      </vt:variant>
      <vt:variant>
        <vt:i4>0</vt:i4>
      </vt:variant>
      <vt:variant>
        <vt:i4>5</vt:i4>
      </vt:variant>
      <vt:variant>
        <vt:lpwstr>http://www.nevo.co.il/case/26913995</vt:lpwstr>
      </vt:variant>
      <vt:variant>
        <vt:lpwstr/>
      </vt:variant>
      <vt:variant>
        <vt:i4>3997810</vt:i4>
      </vt:variant>
      <vt:variant>
        <vt:i4>96</vt:i4>
      </vt:variant>
      <vt:variant>
        <vt:i4>0</vt:i4>
      </vt:variant>
      <vt:variant>
        <vt:i4>5</vt:i4>
      </vt:variant>
      <vt:variant>
        <vt:lpwstr>http://www.nevo.co.il/case/6034921</vt:lpwstr>
      </vt:variant>
      <vt:variant>
        <vt:lpwstr/>
      </vt:variant>
      <vt:variant>
        <vt:i4>3342451</vt:i4>
      </vt:variant>
      <vt:variant>
        <vt:i4>93</vt:i4>
      </vt:variant>
      <vt:variant>
        <vt:i4>0</vt:i4>
      </vt:variant>
      <vt:variant>
        <vt:i4>5</vt:i4>
      </vt:variant>
      <vt:variant>
        <vt:lpwstr>http://www.nevo.co.il/case/5601503</vt:lpwstr>
      </vt:variant>
      <vt:variant>
        <vt:lpwstr/>
      </vt:variant>
      <vt:variant>
        <vt:i4>7995492</vt:i4>
      </vt:variant>
      <vt:variant>
        <vt:i4>90</vt:i4>
      </vt:variant>
      <vt:variant>
        <vt:i4>0</vt:i4>
      </vt:variant>
      <vt:variant>
        <vt:i4>5</vt:i4>
      </vt:variant>
      <vt:variant>
        <vt:lpwstr>http://www.nevo.co.il/law/70301</vt:lpwstr>
      </vt:variant>
      <vt:variant>
        <vt:lpwstr/>
      </vt:variant>
      <vt:variant>
        <vt:i4>3276920</vt:i4>
      </vt:variant>
      <vt:variant>
        <vt:i4>87</vt:i4>
      </vt:variant>
      <vt:variant>
        <vt:i4>0</vt:i4>
      </vt:variant>
      <vt:variant>
        <vt:i4>5</vt:i4>
      </vt:variant>
      <vt:variant>
        <vt:lpwstr>http://www.nevo.co.il/case/28152132</vt:lpwstr>
      </vt:variant>
      <vt:variant>
        <vt:lpwstr/>
      </vt:variant>
      <vt:variant>
        <vt:i4>4063356</vt:i4>
      </vt:variant>
      <vt:variant>
        <vt:i4>84</vt:i4>
      </vt:variant>
      <vt:variant>
        <vt:i4>0</vt:i4>
      </vt:variant>
      <vt:variant>
        <vt:i4>5</vt:i4>
      </vt:variant>
      <vt:variant>
        <vt:lpwstr>http://www.nevo.co.il/case/27894608</vt:lpwstr>
      </vt:variant>
      <vt:variant>
        <vt:lpwstr/>
      </vt:variant>
      <vt:variant>
        <vt:i4>6619233</vt:i4>
      </vt:variant>
      <vt:variant>
        <vt:i4>81</vt:i4>
      </vt:variant>
      <vt:variant>
        <vt:i4>0</vt:i4>
      </vt:variant>
      <vt:variant>
        <vt:i4>5</vt:i4>
      </vt:variant>
      <vt:variant>
        <vt:lpwstr>http://www.nevo.co.il/law/70301/40a</vt:lpwstr>
      </vt:variant>
      <vt:variant>
        <vt:lpwstr/>
      </vt:variant>
      <vt:variant>
        <vt:i4>458778</vt:i4>
      </vt:variant>
      <vt:variant>
        <vt:i4>78</vt:i4>
      </vt:variant>
      <vt:variant>
        <vt:i4>0</vt:i4>
      </vt:variant>
      <vt:variant>
        <vt:i4>5</vt:i4>
      </vt:variant>
      <vt:variant>
        <vt:lpwstr>http://www.nevo.co.il/law/70301/40a;40.if</vt:lpwstr>
      </vt:variant>
      <vt:variant>
        <vt:lpwstr/>
      </vt:variant>
      <vt:variant>
        <vt:i4>7995492</vt:i4>
      </vt:variant>
      <vt:variant>
        <vt:i4>75</vt:i4>
      </vt:variant>
      <vt:variant>
        <vt:i4>0</vt:i4>
      </vt:variant>
      <vt:variant>
        <vt:i4>5</vt:i4>
      </vt:variant>
      <vt:variant>
        <vt:lpwstr>http://www.nevo.co.il/law/70301</vt:lpwstr>
      </vt:variant>
      <vt:variant>
        <vt:lpwstr/>
      </vt:variant>
      <vt:variant>
        <vt:i4>3604579</vt:i4>
      </vt:variant>
      <vt:variant>
        <vt:i4>72</vt:i4>
      </vt:variant>
      <vt:variant>
        <vt:i4>0</vt:i4>
      </vt:variant>
      <vt:variant>
        <vt:i4>5</vt:i4>
      </vt:variant>
      <vt:variant>
        <vt:lpwstr>http://www.nevo.co.il/law/70301/fCa(1)S</vt:lpwstr>
      </vt:variant>
      <vt:variant>
        <vt:lpwstr/>
      </vt:variant>
      <vt:variant>
        <vt:i4>7995492</vt:i4>
      </vt:variant>
      <vt:variant>
        <vt:i4>69</vt:i4>
      </vt:variant>
      <vt:variant>
        <vt:i4>0</vt:i4>
      </vt:variant>
      <vt:variant>
        <vt:i4>5</vt:i4>
      </vt:variant>
      <vt:variant>
        <vt:lpwstr>http://www.nevo.co.il/law/70301</vt:lpwstr>
      </vt:variant>
      <vt:variant>
        <vt:lpwstr/>
      </vt:variant>
      <vt:variant>
        <vt:i4>5308416</vt:i4>
      </vt:variant>
      <vt:variant>
        <vt:i4>66</vt:i4>
      </vt:variant>
      <vt:variant>
        <vt:i4>0</vt:i4>
      </vt:variant>
      <vt:variant>
        <vt:i4>5</vt:i4>
      </vt:variant>
      <vt:variant>
        <vt:lpwstr>http://www.nevo.co.il/law/74501/2.a.b</vt:lpwstr>
      </vt:variant>
      <vt:variant>
        <vt:lpwstr/>
      </vt:variant>
      <vt:variant>
        <vt:i4>2883686</vt:i4>
      </vt:variant>
      <vt:variant>
        <vt:i4>63</vt:i4>
      </vt:variant>
      <vt:variant>
        <vt:i4>0</vt:i4>
      </vt:variant>
      <vt:variant>
        <vt:i4>5</vt:i4>
      </vt:variant>
      <vt:variant>
        <vt:lpwstr>http://www.nevo.co.il/law/5227/2.a</vt:lpwstr>
      </vt:variant>
      <vt:variant>
        <vt:lpwstr/>
      </vt:variant>
      <vt:variant>
        <vt:i4>8323175</vt:i4>
      </vt:variant>
      <vt:variant>
        <vt:i4>60</vt:i4>
      </vt:variant>
      <vt:variant>
        <vt:i4>0</vt:i4>
      </vt:variant>
      <vt:variant>
        <vt:i4>5</vt:i4>
      </vt:variant>
      <vt:variant>
        <vt:lpwstr>http://www.nevo.co.il/law/5227</vt:lpwstr>
      </vt:variant>
      <vt:variant>
        <vt:lpwstr/>
      </vt:variant>
      <vt:variant>
        <vt:i4>4784200</vt:i4>
      </vt:variant>
      <vt:variant>
        <vt:i4>57</vt:i4>
      </vt:variant>
      <vt:variant>
        <vt:i4>0</vt:i4>
      </vt:variant>
      <vt:variant>
        <vt:i4>5</vt:i4>
      </vt:variant>
      <vt:variant>
        <vt:lpwstr>http://www.nevo.co.il/law/5227/67</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458834</vt:i4>
      </vt:variant>
      <vt:variant>
        <vt:i4>51</vt:i4>
      </vt:variant>
      <vt:variant>
        <vt:i4>0</vt:i4>
      </vt:variant>
      <vt:variant>
        <vt:i4>5</vt:i4>
      </vt:variant>
      <vt:variant>
        <vt:lpwstr>http://www.nevo.co.il/law/70301/413c</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5308416</vt:i4>
      </vt:variant>
      <vt:variant>
        <vt:i4>39</vt:i4>
      </vt:variant>
      <vt:variant>
        <vt:i4>0</vt:i4>
      </vt:variant>
      <vt:variant>
        <vt:i4>5</vt:i4>
      </vt:variant>
      <vt:variant>
        <vt:lpwstr>http://www.nevo.co.il/law/74501/2.a.b</vt:lpwstr>
      </vt:variant>
      <vt:variant>
        <vt:lpwstr/>
      </vt:variant>
      <vt:variant>
        <vt:i4>8257634</vt:i4>
      </vt:variant>
      <vt:variant>
        <vt:i4>36</vt:i4>
      </vt:variant>
      <vt:variant>
        <vt:i4>0</vt:i4>
      </vt:variant>
      <vt:variant>
        <vt:i4>5</vt:i4>
      </vt:variant>
      <vt:variant>
        <vt:lpwstr>http://www.nevo.co.il/law/74501</vt:lpwstr>
      </vt:variant>
      <vt:variant>
        <vt:lpwstr/>
      </vt:variant>
      <vt:variant>
        <vt:i4>4784200</vt:i4>
      </vt:variant>
      <vt:variant>
        <vt:i4>33</vt:i4>
      </vt:variant>
      <vt:variant>
        <vt:i4>0</vt:i4>
      </vt:variant>
      <vt:variant>
        <vt:i4>5</vt:i4>
      </vt:variant>
      <vt:variant>
        <vt:lpwstr>http://www.nevo.co.il/law/5227/67</vt:lpwstr>
      </vt:variant>
      <vt:variant>
        <vt:lpwstr/>
      </vt:variant>
      <vt:variant>
        <vt:i4>2883686</vt:i4>
      </vt:variant>
      <vt:variant>
        <vt:i4>30</vt:i4>
      </vt:variant>
      <vt:variant>
        <vt:i4>0</vt:i4>
      </vt:variant>
      <vt:variant>
        <vt:i4>5</vt:i4>
      </vt:variant>
      <vt:variant>
        <vt:lpwstr>http://www.nevo.co.il/law/5227/2.a</vt:lpwstr>
      </vt:variant>
      <vt:variant>
        <vt:lpwstr/>
      </vt:variant>
      <vt:variant>
        <vt:i4>8323175</vt:i4>
      </vt:variant>
      <vt:variant>
        <vt:i4>27</vt:i4>
      </vt:variant>
      <vt:variant>
        <vt:i4>0</vt:i4>
      </vt:variant>
      <vt:variant>
        <vt:i4>5</vt:i4>
      </vt:variant>
      <vt:variant>
        <vt:lpwstr>http://www.nevo.co.il/law/5227</vt:lpwstr>
      </vt:variant>
      <vt:variant>
        <vt:lpwstr/>
      </vt:variant>
      <vt:variant>
        <vt:i4>3604579</vt:i4>
      </vt:variant>
      <vt:variant>
        <vt:i4>24</vt:i4>
      </vt:variant>
      <vt:variant>
        <vt:i4>0</vt:i4>
      </vt:variant>
      <vt:variant>
        <vt:i4>5</vt:i4>
      </vt:variant>
      <vt:variant>
        <vt:lpwstr>http://www.nevo.co.il/law/70301/fCa(1)S</vt:lpwstr>
      </vt:variant>
      <vt:variant>
        <vt:lpwstr/>
      </vt:variant>
      <vt:variant>
        <vt:i4>458834</vt:i4>
      </vt:variant>
      <vt:variant>
        <vt:i4>21</vt:i4>
      </vt:variant>
      <vt:variant>
        <vt:i4>0</vt:i4>
      </vt:variant>
      <vt:variant>
        <vt:i4>5</vt:i4>
      </vt:variant>
      <vt:variant>
        <vt:lpwstr>http://www.nevo.co.il/law/70301/413c</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6619233</vt:i4>
      </vt:variant>
      <vt:variant>
        <vt:i4>12</vt:i4>
      </vt:variant>
      <vt:variant>
        <vt:i4>0</vt:i4>
      </vt:variant>
      <vt:variant>
        <vt:i4>5</vt:i4>
      </vt:variant>
      <vt:variant>
        <vt:lpwstr>http://www.nevo.co.il/law/70301/40a</vt:lpwstr>
      </vt:variant>
      <vt:variant>
        <vt:lpwstr/>
      </vt:variant>
      <vt:variant>
        <vt:i4>786511</vt:i4>
      </vt:variant>
      <vt:variant>
        <vt:i4>9</vt:i4>
      </vt:variant>
      <vt:variant>
        <vt:i4>0</vt:i4>
      </vt:variant>
      <vt:variant>
        <vt:i4>5</vt:i4>
      </vt:variant>
      <vt:variant>
        <vt:lpwstr>http://www.nevo.co.il/law/70301/40.if</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3537</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דניאל אברמוב;נהוראי-מאיר אוחנה</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20230821</vt:lpwstr>
  </property>
  <property fmtid="{D5CDD505-2E9C-101B-9397-08002B2CF9AE}" pid="13" name="TYPE_N_DATE">
    <vt:lpwstr>39020230821</vt:lpwstr>
  </property>
  <property fmtid="{D5CDD505-2E9C-101B-9397-08002B2CF9AE}" pid="14" name="WORDNUMPAGES">
    <vt:lpwstr>13</vt:lpwstr>
  </property>
  <property fmtid="{D5CDD505-2E9C-101B-9397-08002B2CF9AE}" pid="15" name="TYPE_ABS_DATE">
    <vt:lpwstr>390020230821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27894608;5601503;6034921;26913995;6049859;5762686;5587527;6473037;6950458;26934681;28883087;27494821;28722692;28916087;28300349;27982146;28020221;26589532;23825396;22793926;23226232;29277417;7948470;20513526;5833181</vt:lpwstr>
  </property>
  <property fmtid="{D5CDD505-2E9C-101B-9397-08002B2CF9AE}" pid="36" name="LAWLISTTMP1">
    <vt:lpwstr>70301/144.b;031;413c;275;fCa(1)S;040a:2;040.if;032</vt:lpwstr>
  </property>
  <property fmtid="{D5CDD505-2E9C-101B-9397-08002B2CF9AE}" pid="37" name="LAWLISTTMP2">
    <vt:lpwstr>5227/067;002.a</vt:lpwstr>
  </property>
  <property fmtid="{D5CDD505-2E9C-101B-9397-08002B2CF9AE}" pid="38" name="LAWLISTTMP3">
    <vt:lpwstr>74501/002.a.b</vt:lpwstr>
  </property>
</Properties>
</file>