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7101EF" w:rsidRPr="000A2042" w14:paraId="4A519FCB" w14:textId="77777777" w:rsidTr="007C0BD4">
        <w:trPr>
          <w:trHeight w:hRule="exact" w:val="418"/>
          <w:jc w:val="center"/>
        </w:trPr>
        <w:tc>
          <w:tcPr>
            <w:tcW w:w="8721" w:type="dxa"/>
            <w:gridSpan w:val="2"/>
          </w:tcPr>
          <w:p w14:paraId="1553C8F8" w14:textId="77777777" w:rsidR="007101EF" w:rsidRPr="000A2042" w:rsidRDefault="007101EF" w:rsidP="00265248">
            <w:pPr>
              <w:pStyle w:val="a3"/>
              <w:jc w:val="center"/>
              <w:rPr>
                <w:rFonts w:ascii="Tahoma" w:hAnsi="Tahoma" w:cs="Tahoma"/>
                <w:color w:val="000080"/>
                <w:rtl/>
              </w:rPr>
            </w:pPr>
            <w:bookmarkStart w:id="0" w:name="LastJudge"/>
            <w:r w:rsidRPr="000A2042">
              <w:rPr>
                <w:rFonts w:ascii="Tahoma" w:hAnsi="Tahoma" w:cs="Tahoma"/>
                <w:b/>
                <w:bCs/>
                <w:color w:val="000080"/>
                <w:rtl/>
              </w:rPr>
              <w:t>בית המשפט המחוזי מרכז-לוד</w:t>
            </w:r>
          </w:p>
        </w:tc>
      </w:tr>
      <w:tr w:rsidR="007101EF" w:rsidRPr="000A2042" w14:paraId="54C68C0A" w14:textId="77777777" w:rsidTr="007C0BD4">
        <w:trPr>
          <w:trHeight w:val="337"/>
          <w:jc w:val="center"/>
        </w:trPr>
        <w:tc>
          <w:tcPr>
            <w:tcW w:w="5056" w:type="dxa"/>
          </w:tcPr>
          <w:p w14:paraId="386C1673" w14:textId="77777777" w:rsidR="007101EF" w:rsidRPr="000A2042" w:rsidRDefault="007101EF" w:rsidP="00265248">
            <w:pPr>
              <w:rPr>
                <w:rFonts w:cs="FrankRuehl"/>
                <w:sz w:val="28"/>
                <w:szCs w:val="28"/>
                <w:rtl/>
              </w:rPr>
            </w:pPr>
            <w:r w:rsidRPr="000A2042">
              <w:rPr>
                <w:rFonts w:cs="FrankRuehl"/>
                <w:sz w:val="28"/>
                <w:szCs w:val="28"/>
                <w:rtl/>
              </w:rPr>
              <w:t>ת"פ</w:t>
            </w:r>
            <w:r w:rsidRPr="000A2042">
              <w:rPr>
                <w:rFonts w:cs="FrankRuehl" w:hint="cs"/>
                <w:sz w:val="28"/>
                <w:szCs w:val="28"/>
                <w:rtl/>
              </w:rPr>
              <w:t xml:space="preserve"> </w:t>
            </w:r>
            <w:r w:rsidRPr="000A2042">
              <w:rPr>
                <w:rFonts w:cs="FrankRuehl"/>
                <w:sz w:val="28"/>
                <w:szCs w:val="28"/>
                <w:rtl/>
              </w:rPr>
              <w:t>47450-01-23</w:t>
            </w:r>
            <w:r w:rsidRPr="000A2042">
              <w:rPr>
                <w:rFonts w:cs="FrankRuehl" w:hint="cs"/>
                <w:sz w:val="28"/>
                <w:szCs w:val="28"/>
                <w:rtl/>
              </w:rPr>
              <w:t xml:space="preserve"> </w:t>
            </w:r>
            <w:r w:rsidRPr="000A2042">
              <w:rPr>
                <w:rFonts w:cs="FrankRuehl"/>
                <w:sz w:val="28"/>
                <w:szCs w:val="28"/>
                <w:rtl/>
              </w:rPr>
              <w:t>מדינת ישראל נ' חין(עציר)</w:t>
            </w:r>
          </w:p>
          <w:p w14:paraId="25A5FC3E" w14:textId="77777777" w:rsidR="007101EF" w:rsidRPr="000A2042" w:rsidRDefault="007101EF" w:rsidP="00265248">
            <w:pPr>
              <w:pStyle w:val="a3"/>
              <w:rPr>
                <w:rFonts w:cs="FrankRuehl"/>
                <w:sz w:val="28"/>
                <w:szCs w:val="28"/>
                <w:rtl/>
              </w:rPr>
            </w:pPr>
          </w:p>
        </w:tc>
        <w:tc>
          <w:tcPr>
            <w:tcW w:w="3665" w:type="dxa"/>
          </w:tcPr>
          <w:p w14:paraId="6BCA8E6B" w14:textId="77777777" w:rsidR="007101EF" w:rsidRPr="000A2042" w:rsidRDefault="007101EF" w:rsidP="00265248">
            <w:pPr>
              <w:pStyle w:val="a3"/>
              <w:jc w:val="right"/>
              <w:rPr>
                <w:rFonts w:cs="FrankRuehl"/>
                <w:sz w:val="28"/>
                <w:szCs w:val="28"/>
                <w:rtl/>
              </w:rPr>
            </w:pPr>
          </w:p>
        </w:tc>
      </w:tr>
    </w:tbl>
    <w:p w14:paraId="5FF74E7F" w14:textId="77777777" w:rsidR="007101EF" w:rsidRPr="000A2042" w:rsidRDefault="007101EF" w:rsidP="007C0BD4">
      <w:pPr>
        <w:pStyle w:val="a3"/>
        <w:rPr>
          <w:rtl/>
        </w:rPr>
      </w:pPr>
      <w:r w:rsidRPr="000A204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101EF" w:rsidRPr="000A2042" w14:paraId="47269CC6" w14:textId="77777777" w:rsidTr="007101EF">
        <w:trPr>
          <w:trHeight w:val="295"/>
          <w:jc w:val="center"/>
        </w:trPr>
        <w:tc>
          <w:tcPr>
            <w:tcW w:w="923" w:type="dxa"/>
            <w:tcBorders>
              <w:top w:val="nil"/>
              <w:left w:val="nil"/>
              <w:bottom w:val="nil"/>
              <w:right w:val="nil"/>
            </w:tcBorders>
            <w:shd w:val="clear" w:color="auto" w:fill="auto"/>
          </w:tcPr>
          <w:p w14:paraId="2D8B496F" w14:textId="77777777" w:rsidR="007101EF" w:rsidRPr="000A2042" w:rsidRDefault="007101EF" w:rsidP="007101EF">
            <w:pPr>
              <w:jc w:val="both"/>
              <w:rPr>
                <w:rFonts w:ascii="David" w:hAnsi="David"/>
                <w:sz w:val="26"/>
                <w:szCs w:val="26"/>
              </w:rPr>
            </w:pPr>
            <w:r w:rsidRPr="000A2042">
              <w:rPr>
                <w:rFonts w:ascii="David" w:hAnsi="David" w:hint="cs"/>
                <w:sz w:val="26"/>
                <w:szCs w:val="26"/>
                <w:rtl/>
              </w:rPr>
              <w:t>ל</w:t>
            </w:r>
            <w:r w:rsidRPr="000A204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38D055C" w14:textId="77777777" w:rsidR="007101EF" w:rsidRPr="000A2042" w:rsidRDefault="007101EF" w:rsidP="00265248">
            <w:pPr>
              <w:rPr>
                <w:rFonts w:ascii="David" w:hAnsi="David"/>
                <w:b/>
                <w:bCs/>
                <w:sz w:val="26"/>
                <w:szCs w:val="26"/>
                <w:rtl/>
              </w:rPr>
            </w:pPr>
            <w:r w:rsidRPr="000A2042">
              <w:rPr>
                <w:rFonts w:ascii="David" w:hAnsi="David"/>
                <w:b/>
                <w:bCs/>
                <w:sz w:val="26"/>
                <w:szCs w:val="26"/>
                <w:rtl/>
              </w:rPr>
              <w:t>כבוד השופטת  מרב גרינברג</w:t>
            </w:r>
          </w:p>
          <w:p w14:paraId="641372AF" w14:textId="77777777" w:rsidR="007101EF" w:rsidRPr="000A2042" w:rsidRDefault="007101EF" w:rsidP="00265248">
            <w:pPr>
              <w:rPr>
                <w:rFonts w:ascii="David" w:hAnsi="David"/>
                <w:sz w:val="26"/>
                <w:szCs w:val="26"/>
                <w:rtl/>
              </w:rPr>
            </w:pPr>
          </w:p>
          <w:p w14:paraId="5923A2BA" w14:textId="77777777" w:rsidR="007101EF" w:rsidRPr="000A2042" w:rsidRDefault="007101EF" w:rsidP="007101EF">
            <w:pPr>
              <w:jc w:val="both"/>
              <w:rPr>
                <w:rFonts w:ascii="David" w:hAnsi="David"/>
                <w:sz w:val="26"/>
                <w:szCs w:val="26"/>
              </w:rPr>
            </w:pPr>
          </w:p>
        </w:tc>
      </w:tr>
      <w:tr w:rsidR="007101EF" w:rsidRPr="000A2042" w14:paraId="43C1FB47" w14:textId="77777777" w:rsidTr="007101EF">
        <w:trPr>
          <w:trHeight w:val="355"/>
          <w:jc w:val="center"/>
        </w:trPr>
        <w:tc>
          <w:tcPr>
            <w:tcW w:w="923" w:type="dxa"/>
            <w:tcBorders>
              <w:top w:val="nil"/>
              <w:left w:val="nil"/>
              <w:bottom w:val="nil"/>
              <w:right w:val="nil"/>
            </w:tcBorders>
            <w:shd w:val="clear" w:color="auto" w:fill="auto"/>
          </w:tcPr>
          <w:p w14:paraId="2F5944A7" w14:textId="77777777" w:rsidR="007101EF" w:rsidRPr="000A2042" w:rsidRDefault="007101EF" w:rsidP="007101EF">
            <w:pPr>
              <w:jc w:val="both"/>
              <w:rPr>
                <w:rFonts w:ascii="David" w:hAnsi="David"/>
                <w:sz w:val="26"/>
                <w:szCs w:val="26"/>
              </w:rPr>
            </w:pPr>
            <w:bookmarkStart w:id="1" w:name="FirstAppellant"/>
            <w:r w:rsidRPr="000A2042">
              <w:rPr>
                <w:rFonts w:ascii="David" w:hAnsi="David"/>
                <w:sz w:val="26"/>
                <w:szCs w:val="26"/>
                <w:rtl/>
              </w:rPr>
              <w:t>בעניין:</w:t>
            </w:r>
          </w:p>
        </w:tc>
        <w:tc>
          <w:tcPr>
            <w:tcW w:w="3219" w:type="dxa"/>
            <w:tcBorders>
              <w:top w:val="nil"/>
              <w:left w:val="nil"/>
              <w:bottom w:val="nil"/>
              <w:right w:val="nil"/>
            </w:tcBorders>
            <w:shd w:val="clear" w:color="auto" w:fill="auto"/>
          </w:tcPr>
          <w:p w14:paraId="0EAB83A7" w14:textId="77777777" w:rsidR="007101EF" w:rsidRPr="000A2042" w:rsidRDefault="007101EF" w:rsidP="007101EF">
            <w:pPr>
              <w:suppressLineNumbers/>
            </w:pPr>
            <w:r w:rsidRPr="000A2042">
              <w:rPr>
                <w:rFonts w:ascii="Arial" w:hAnsi="Arial" w:hint="cs"/>
                <w:b/>
                <w:bCs/>
                <w:sz w:val="26"/>
                <w:szCs w:val="26"/>
                <w:rtl/>
              </w:rPr>
              <w:t>ה</w:t>
            </w:r>
            <w:r w:rsidRPr="000A2042">
              <w:rPr>
                <w:rFonts w:ascii="Arial" w:hAnsi="Arial"/>
                <w:b/>
                <w:bCs/>
                <w:sz w:val="26"/>
                <w:szCs w:val="26"/>
                <w:rtl/>
              </w:rPr>
              <w:t>מאשימה</w:t>
            </w:r>
          </w:p>
          <w:p w14:paraId="64E64DFF" w14:textId="77777777" w:rsidR="007101EF" w:rsidRPr="000A2042" w:rsidRDefault="007101EF" w:rsidP="00265248">
            <w:pPr>
              <w:rPr>
                <w:rFonts w:ascii="David" w:hAnsi="David"/>
                <w:sz w:val="26"/>
                <w:szCs w:val="26"/>
              </w:rPr>
            </w:pPr>
          </w:p>
        </w:tc>
        <w:tc>
          <w:tcPr>
            <w:tcW w:w="4678" w:type="dxa"/>
            <w:tcBorders>
              <w:top w:val="nil"/>
              <w:left w:val="nil"/>
              <w:bottom w:val="nil"/>
              <w:right w:val="nil"/>
            </w:tcBorders>
            <w:shd w:val="clear" w:color="auto" w:fill="auto"/>
            <w:vAlign w:val="center"/>
          </w:tcPr>
          <w:p w14:paraId="724B0F8B" w14:textId="77777777" w:rsidR="007101EF" w:rsidRPr="000A2042" w:rsidRDefault="007101EF" w:rsidP="007101EF">
            <w:pPr>
              <w:suppressLineNumbers/>
              <w:rPr>
                <w:rtl/>
              </w:rPr>
            </w:pPr>
            <w:r w:rsidRPr="000A2042">
              <w:rPr>
                <w:rFonts w:ascii="Arial" w:hAnsi="Arial"/>
                <w:b/>
                <w:bCs/>
                <w:sz w:val="26"/>
                <w:szCs w:val="26"/>
                <w:rtl/>
              </w:rPr>
              <w:t>מדינת ישראל</w:t>
            </w:r>
          </w:p>
          <w:p w14:paraId="44A03484" w14:textId="77777777" w:rsidR="007101EF" w:rsidRPr="000A2042" w:rsidRDefault="007101EF" w:rsidP="007101EF">
            <w:pPr>
              <w:suppressLineNumbers/>
            </w:pPr>
            <w:r w:rsidRPr="000A2042">
              <w:rPr>
                <w:rFonts w:hint="cs"/>
                <w:rtl/>
              </w:rPr>
              <w:t>באמצעות עו"ד גבי פאר, פמ"מ (פלילי)</w:t>
            </w:r>
          </w:p>
          <w:p w14:paraId="510B90E1" w14:textId="77777777" w:rsidR="007101EF" w:rsidRPr="000A2042" w:rsidRDefault="007101EF" w:rsidP="00265248">
            <w:pPr>
              <w:rPr>
                <w:rFonts w:ascii="David" w:hAnsi="David"/>
                <w:sz w:val="26"/>
                <w:szCs w:val="26"/>
              </w:rPr>
            </w:pPr>
          </w:p>
        </w:tc>
      </w:tr>
      <w:bookmarkEnd w:id="1"/>
      <w:tr w:rsidR="007101EF" w:rsidRPr="000A2042" w14:paraId="611E1FEE" w14:textId="77777777" w:rsidTr="007101EF">
        <w:trPr>
          <w:trHeight w:val="355"/>
          <w:jc w:val="center"/>
        </w:trPr>
        <w:tc>
          <w:tcPr>
            <w:tcW w:w="923" w:type="dxa"/>
            <w:tcBorders>
              <w:top w:val="nil"/>
              <w:left w:val="nil"/>
              <w:bottom w:val="nil"/>
              <w:right w:val="nil"/>
            </w:tcBorders>
            <w:shd w:val="clear" w:color="auto" w:fill="auto"/>
          </w:tcPr>
          <w:p w14:paraId="03D1B015" w14:textId="77777777" w:rsidR="007101EF" w:rsidRPr="000A2042" w:rsidRDefault="007101EF" w:rsidP="007101E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E5CCE94" w14:textId="77777777" w:rsidR="007101EF" w:rsidRPr="000A2042" w:rsidRDefault="007101EF" w:rsidP="007101EF">
            <w:pPr>
              <w:jc w:val="center"/>
              <w:rPr>
                <w:rFonts w:ascii="David" w:hAnsi="David"/>
                <w:b/>
                <w:bCs/>
                <w:sz w:val="26"/>
                <w:szCs w:val="26"/>
                <w:rtl/>
              </w:rPr>
            </w:pPr>
          </w:p>
          <w:p w14:paraId="696DB90A" w14:textId="77777777" w:rsidR="007101EF" w:rsidRPr="000A2042" w:rsidRDefault="007101EF" w:rsidP="007101EF">
            <w:pPr>
              <w:jc w:val="center"/>
              <w:rPr>
                <w:rFonts w:ascii="David" w:hAnsi="David"/>
                <w:b/>
                <w:bCs/>
                <w:sz w:val="26"/>
                <w:szCs w:val="26"/>
                <w:rtl/>
              </w:rPr>
            </w:pPr>
            <w:r w:rsidRPr="000A2042">
              <w:rPr>
                <w:rFonts w:ascii="David" w:hAnsi="David"/>
                <w:b/>
                <w:bCs/>
                <w:sz w:val="26"/>
                <w:szCs w:val="26"/>
                <w:rtl/>
              </w:rPr>
              <w:t>נגד</w:t>
            </w:r>
          </w:p>
          <w:p w14:paraId="31609418" w14:textId="77777777" w:rsidR="007101EF" w:rsidRPr="000A2042" w:rsidRDefault="007101EF" w:rsidP="007101EF">
            <w:pPr>
              <w:jc w:val="both"/>
              <w:rPr>
                <w:rFonts w:ascii="David" w:hAnsi="David"/>
                <w:sz w:val="26"/>
                <w:szCs w:val="26"/>
              </w:rPr>
            </w:pPr>
          </w:p>
        </w:tc>
      </w:tr>
      <w:tr w:rsidR="007101EF" w:rsidRPr="000A2042" w14:paraId="4DEADD90" w14:textId="77777777" w:rsidTr="007101EF">
        <w:trPr>
          <w:trHeight w:val="355"/>
          <w:jc w:val="center"/>
        </w:trPr>
        <w:tc>
          <w:tcPr>
            <w:tcW w:w="923" w:type="dxa"/>
            <w:tcBorders>
              <w:top w:val="nil"/>
              <w:left w:val="nil"/>
              <w:bottom w:val="nil"/>
              <w:right w:val="nil"/>
            </w:tcBorders>
            <w:shd w:val="clear" w:color="auto" w:fill="auto"/>
          </w:tcPr>
          <w:p w14:paraId="5BBBC4AD" w14:textId="77777777" w:rsidR="007101EF" w:rsidRPr="000A2042" w:rsidRDefault="007101EF" w:rsidP="00265248">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D750B2C" w14:textId="77777777" w:rsidR="007101EF" w:rsidRPr="000A2042" w:rsidRDefault="007101EF" w:rsidP="00265248">
            <w:pPr>
              <w:rPr>
                <w:rFonts w:ascii="Arial" w:hAnsi="Arial"/>
                <w:b/>
                <w:bCs/>
                <w:sz w:val="26"/>
                <w:szCs w:val="26"/>
                <w:rtl/>
              </w:rPr>
            </w:pPr>
            <w:r w:rsidRPr="000A204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E3A6729" w14:textId="77777777" w:rsidR="007101EF" w:rsidRPr="000A2042" w:rsidRDefault="007101EF" w:rsidP="007101EF">
            <w:pPr>
              <w:suppressLineNumbers/>
              <w:rPr>
                <w:rtl/>
              </w:rPr>
            </w:pPr>
            <w:r w:rsidRPr="000A2042">
              <w:rPr>
                <w:rFonts w:ascii="Arial" w:hAnsi="Arial"/>
                <w:b/>
                <w:bCs/>
                <w:sz w:val="26"/>
                <w:szCs w:val="26"/>
                <w:rtl/>
              </w:rPr>
              <w:t>עודאי חין (עציר)</w:t>
            </w:r>
          </w:p>
          <w:p w14:paraId="41945102" w14:textId="77777777" w:rsidR="007101EF" w:rsidRPr="000A2042" w:rsidRDefault="007101EF" w:rsidP="007101EF">
            <w:pPr>
              <w:suppressLineNumbers/>
              <w:rPr>
                <w:rtl/>
              </w:rPr>
            </w:pPr>
            <w:r w:rsidRPr="000A2042">
              <w:rPr>
                <w:rFonts w:hint="cs"/>
                <w:rtl/>
              </w:rPr>
              <w:t>על-ידי ב"כ עו"ד איהב ג'לג'ולי</w:t>
            </w:r>
          </w:p>
          <w:p w14:paraId="71F48DA5" w14:textId="77777777" w:rsidR="007101EF" w:rsidRPr="000A2042" w:rsidRDefault="007101EF" w:rsidP="00265248">
            <w:pPr>
              <w:rPr>
                <w:rFonts w:ascii="David" w:hAnsi="David"/>
                <w:sz w:val="26"/>
                <w:szCs w:val="26"/>
              </w:rPr>
            </w:pPr>
          </w:p>
        </w:tc>
      </w:tr>
      <w:bookmarkEnd w:id="2"/>
    </w:tbl>
    <w:p w14:paraId="4642C96F" w14:textId="77777777" w:rsidR="000A2042" w:rsidRPr="000A2042" w:rsidRDefault="000A2042" w:rsidP="000A2042">
      <w:pPr>
        <w:spacing w:before="120" w:after="120" w:line="240" w:lineRule="exact"/>
        <w:ind w:left="283" w:hanging="283"/>
        <w:jc w:val="both"/>
        <w:rPr>
          <w:rFonts w:ascii="FrankRuehl" w:hAnsi="FrankRuehl" w:cs="FrankRuehl"/>
          <w:rtl/>
        </w:rPr>
      </w:pPr>
    </w:p>
    <w:p w14:paraId="0B36854A" w14:textId="77777777" w:rsidR="000A2042" w:rsidRPr="000A2042" w:rsidRDefault="000A2042" w:rsidP="000A2042">
      <w:pPr>
        <w:rPr>
          <w:sz w:val="26"/>
          <w:szCs w:val="26"/>
          <w:rtl/>
        </w:rPr>
      </w:pPr>
    </w:p>
    <w:p w14:paraId="45A412D1" w14:textId="77777777" w:rsidR="007C0BD4" w:rsidRPr="007C0BD4" w:rsidRDefault="007C0BD4" w:rsidP="007C0BD4">
      <w:pPr>
        <w:spacing w:before="120" w:after="120" w:line="240" w:lineRule="exact"/>
        <w:ind w:left="283" w:hanging="283"/>
        <w:jc w:val="both"/>
        <w:rPr>
          <w:rFonts w:ascii="FrankRuehl" w:hAnsi="FrankRuehl" w:cs="FrankRuehl"/>
          <w:rtl/>
        </w:rPr>
      </w:pPr>
      <w:bookmarkStart w:id="3" w:name="LawTable"/>
      <w:bookmarkEnd w:id="3"/>
    </w:p>
    <w:p w14:paraId="4272B8D6" w14:textId="77777777" w:rsidR="007C0BD4" w:rsidRPr="007C0BD4" w:rsidRDefault="007C0BD4" w:rsidP="007C0BD4">
      <w:pPr>
        <w:spacing w:before="120" w:after="120" w:line="240" w:lineRule="exact"/>
        <w:ind w:left="283" w:hanging="283"/>
        <w:jc w:val="both"/>
        <w:rPr>
          <w:rFonts w:ascii="FrankRuehl" w:hAnsi="FrankRuehl" w:cs="FrankRuehl"/>
          <w:rtl/>
        </w:rPr>
      </w:pPr>
      <w:r w:rsidRPr="007C0BD4">
        <w:rPr>
          <w:rFonts w:ascii="FrankRuehl" w:hAnsi="FrankRuehl" w:cs="FrankRuehl"/>
          <w:rtl/>
        </w:rPr>
        <w:t xml:space="preserve">חקיקה שאוזכרה: </w:t>
      </w:r>
    </w:p>
    <w:p w14:paraId="4629CC93" w14:textId="77777777" w:rsidR="007C0BD4" w:rsidRPr="007C0BD4" w:rsidRDefault="007C0BD4" w:rsidP="007C0BD4">
      <w:pPr>
        <w:spacing w:before="120" w:after="120" w:line="240" w:lineRule="exact"/>
        <w:ind w:left="283" w:hanging="283"/>
        <w:jc w:val="both"/>
        <w:rPr>
          <w:rFonts w:ascii="FrankRuehl" w:hAnsi="FrankRuehl" w:cs="FrankRuehl"/>
          <w:color w:val="0000FF"/>
          <w:rtl/>
        </w:rPr>
      </w:pPr>
      <w:hyperlink r:id="rId7" w:history="1">
        <w:r w:rsidRPr="007C0BD4">
          <w:rPr>
            <w:rStyle w:val="Hyperlink"/>
            <w:rFonts w:ascii="FrankRuehl" w:hAnsi="FrankRuehl" w:cs="FrankRuehl"/>
            <w:u w:val="none"/>
            <w:rtl/>
          </w:rPr>
          <w:t>חוק העונשין, תשל"ז-1977</w:t>
        </w:r>
      </w:hyperlink>
      <w:r w:rsidRPr="007C0BD4">
        <w:rPr>
          <w:rFonts w:ascii="FrankRuehl" w:hAnsi="FrankRuehl" w:cs="FrankRuehl"/>
          <w:color w:val="0000FF"/>
          <w:rtl/>
        </w:rPr>
        <w:t xml:space="preserve">: סע'  </w:t>
      </w:r>
      <w:hyperlink r:id="rId8" w:history="1">
        <w:r w:rsidRPr="007C0BD4">
          <w:rPr>
            <w:rStyle w:val="Hyperlink"/>
            <w:rFonts w:ascii="FrankRuehl" w:hAnsi="FrankRuehl" w:cs="FrankRuehl"/>
            <w:u w:val="none"/>
          </w:rPr>
          <w:t>144</w:t>
        </w:r>
      </w:hyperlink>
      <w:r w:rsidRPr="007C0BD4">
        <w:rPr>
          <w:rFonts w:ascii="FrankRuehl" w:hAnsi="FrankRuehl" w:cs="FrankRuehl"/>
          <w:color w:val="0000FF"/>
          <w:rtl/>
        </w:rPr>
        <w:t>(א)</w:t>
      </w:r>
    </w:p>
    <w:p w14:paraId="4C99ED48" w14:textId="77777777" w:rsidR="007101EF" w:rsidRPr="007C0BD4" w:rsidRDefault="007101EF" w:rsidP="007C0BD4">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101EF" w14:paraId="06A2E2A0" w14:textId="77777777" w:rsidTr="007101EF">
        <w:trPr>
          <w:trHeight w:val="355"/>
          <w:jc w:val="center"/>
        </w:trPr>
        <w:tc>
          <w:tcPr>
            <w:tcW w:w="8820" w:type="dxa"/>
            <w:tcBorders>
              <w:top w:val="nil"/>
              <w:left w:val="nil"/>
              <w:bottom w:val="nil"/>
              <w:right w:val="nil"/>
            </w:tcBorders>
            <w:shd w:val="clear" w:color="auto" w:fill="auto"/>
          </w:tcPr>
          <w:p w14:paraId="4830C0BE" w14:textId="77777777" w:rsidR="000A2042" w:rsidRPr="000A2042" w:rsidRDefault="000A2042" w:rsidP="000A2042">
            <w:pPr>
              <w:jc w:val="center"/>
              <w:rPr>
                <w:rFonts w:ascii="David" w:hAnsi="David"/>
                <w:b/>
                <w:bCs/>
                <w:sz w:val="32"/>
                <w:szCs w:val="32"/>
                <w:u w:val="single"/>
                <w:rtl/>
              </w:rPr>
            </w:pPr>
            <w:bookmarkStart w:id="5" w:name="PsakDin" w:colFirst="0" w:colLast="0"/>
            <w:bookmarkEnd w:id="0"/>
            <w:r w:rsidRPr="000A2042">
              <w:rPr>
                <w:rFonts w:ascii="David" w:hAnsi="David"/>
                <w:b/>
                <w:bCs/>
                <w:sz w:val="32"/>
                <w:szCs w:val="32"/>
                <w:u w:val="single"/>
                <w:rtl/>
              </w:rPr>
              <w:t>גזר דין</w:t>
            </w:r>
          </w:p>
          <w:p w14:paraId="115F0DD8" w14:textId="77777777" w:rsidR="007101EF" w:rsidRPr="000A2042" w:rsidRDefault="007101EF" w:rsidP="000A2042">
            <w:pPr>
              <w:jc w:val="center"/>
              <w:rPr>
                <w:rFonts w:ascii="David" w:hAnsi="David"/>
                <w:bCs/>
                <w:sz w:val="32"/>
                <w:szCs w:val="32"/>
                <w:u w:val="single"/>
                <w:rtl/>
              </w:rPr>
            </w:pPr>
          </w:p>
        </w:tc>
      </w:tr>
      <w:bookmarkEnd w:id="5"/>
    </w:tbl>
    <w:p w14:paraId="31DCCEB8" w14:textId="77777777" w:rsidR="007101EF" w:rsidRDefault="007101EF" w:rsidP="007101EF">
      <w:pPr>
        <w:rPr>
          <w:rFonts w:ascii="Arial" w:hAnsi="Arial"/>
          <w:b/>
          <w:bCs/>
          <w:sz w:val="26"/>
          <w:szCs w:val="26"/>
          <w:rtl/>
        </w:rPr>
      </w:pPr>
    </w:p>
    <w:p w14:paraId="7EF34454" w14:textId="77777777" w:rsidR="007101EF" w:rsidRDefault="007101EF" w:rsidP="007101EF">
      <w:pPr>
        <w:rPr>
          <w:rFonts w:ascii="Arial" w:hAnsi="Arial"/>
          <w:b/>
          <w:bCs/>
          <w:sz w:val="26"/>
          <w:szCs w:val="26"/>
          <w:rtl/>
        </w:rPr>
      </w:pPr>
    </w:p>
    <w:p w14:paraId="55914266" w14:textId="77777777" w:rsidR="007101EF" w:rsidRPr="000F2247" w:rsidRDefault="007101EF" w:rsidP="007101EF">
      <w:pPr>
        <w:rPr>
          <w:rFonts w:ascii="Arial" w:hAnsi="Arial"/>
          <w:b/>
          <w:bCs/>
          <w:sz w:val="26"/>
          <w:szCs w:val="26"/>
          <w:rtl/>
        </w:rPr>
      </w:pPr>
    </w:p>
    <w:p w14:paraId="40AD34DF" w14:textId="77777777" w:rsidR="007101EF" w:rsidRDefault="007101EF" w:rsidP="007101EF">
      <w:pPr>
        <w:numPr>
          <w:ilvl w:val="0"/>
          <w:numId w:val="1"/>
        </w:numPr>
        <w:spacing w:after="160" w:line="360" w:lineRule="auto"/>
        <w:contextualSpacing/>
        <w:jc w:val="both"/>
        <w:rPr>
          <w:rFonts w:ascii="David" w:eastAsia="David" w:hAnsi="David"/>
        </w:rPr>
      </w:pPr>
      <w:bookmarkStart w:id="6" w:name="ABSTRACT_START"/>
      <w:bookmarkEnd w:id="6"/>
      <w:r>
        <w:rPr>
          <w:rFonts w:ascii="David" w:eastAsia="David" w:hAnsi="David"/>
          <w:rtl/>
        </w:rPr>
        <w:t xml:space="preserve">הנאשם הורשע, במסגרת הסדר דיוני, בעובדות כתב אישום מתוקן בעבירת החזקת נשק, תחמושת ואביזרי נשק, </w:t>
      </w:r>
      <w:r>
        <w:rPr>
          <w:rFonts w:ascii="David" w:eastAsia="David" w:hAnsi="David"/>
          <w:b/>
          <w:bCs/>
          <w:rtl/>
        </w:rPr>
        <w:t xml:space="preserve">לפי </w:t>
      </w:r>
      <w:hyperlink r:id="rId9" w:history="1">
        <w:r w:rsidR="007C0BD4" w:rsidRPr="007C0BD4">
          <w:rPr>
            <w:rStyle w:val="Hyperlink"/>
            <w:rFonts w:ascii="David" w:eastAsia="David" w:hAnsi="David"/>
            <w:b/>
            <w:bCs/>
            <w:color w:val="0000FF"/>
            <w:rtl/>
          </w:rPr>
          <w:t>סעיף 144(א)</w:t>
        </w:r>
      </w:hyperlink>
      <w:r>
        <w:rPr>
          <w:rFonts w:ascii="David" w:eastAsia="David" w:hAnsi="David"/>
          <w:b/>
          <w:bCs/>
          <w:rtl/>
        </w:rPr>
        <w:t xml:space="preserve"> רישא וסיפא ל</w:t>
      </w:r>
      <w:hyperlink r:id="rId10" w:history="1">
        <w:r w:rsidR="000A2042" w:rsidRPr="000A2042">
          <w:rPr>
            <w:rFonts w:ascii="David" w:eastAsia="David" w:hAnsi="David"/>
            <w:b/>
            <w:bCs/>
            <w:color w:val="0000FF"/>
            <w:u w:val="single"/>
            <w:rtl/>
          </w:rPr>
          <w:t>חוק העונשין</w:t>
        </w:r>
      </w:hyperlink>
      <w:r>
        <w:rPr>
          <w:rFonts w:ascii="David" w:eastAsia="David" w:hAnsi="David"/>
          <w:b/>
          <w:bCs/>
          <w:rtl/>
        </w:rPr>
        <w:t>, תשל"ז-1977</w:t>
      </w:r>
      <w:r>
        <w:rPr>
          <w:rFonts w:ascii="David" w:eastAsia="David" w:hAnsi="David"/>
          <w:rtl/>
        </w:rPr>
        <w:t xml:space="preserve">. </w:t>
      </w:r>
    </w:p>
    <w:p w14:paraId="4FD2257A" w14:textId="77777777" w:rsidR="007101EF" w:rsidRDefault="007101EF" w:rsidP="007101EF">
      <w:pPr>
        <w:spacing w:line="360" w:lineRule="auto"/>
        <w:ind w:left="720"/>
        <w:contextualSpacing/>
        <w:jc w:val="both"/>
        <w:rPr>
          <w:rFonts w:ascii="David" w:eastAsia="David" w:hAnsi="David"/>
        </w:rPr>
      </w:pPr>
    </w:p>
    <w:p w14:paraId="4BF4AAB0" w14:textId="77777777" w:rsidR="007101EF" w:rsidRDefault="007101EF" w:rsidP="007101EF">
      <w:pPr>
        <w:numPr>
          <w:ilvl w:val="0"/>
          <w:numId w:val="1"/>
        </w:numPr>
        <w:spacing w:after="160" w:line="360" w:lineRule="auto"/>
        <w:contextualSpacing/>
        <w:jc w:val="both"/>
        <w:rPr>
          <w:rFonts w:ascii="David" w:eastAsia="David" w:hAnsi="David"/>
          <w:rtl/>
        </w:rPr>
      </w:pPr>
      <w:r>
        <w:rPr>
          <w:rFonts w:ascii="David" w:eastAsia="David" w:hAnsi="David"/>
          <w:rtl/>
        </w:rPr>
        <w:t xml:space="preserve">כמפורט בעובדות כתב האישום המתוקן, ביום 5.1.23 החזיק הנאשם ברכבו בעיר קלנסווה מאחורי מושב הנהג על רצפת הרכב בתוך תיק שהכיל שני כלי נשק מסוג תת מקלע מאולתר ובהם שתי מחסניות ריקות מתאימות  ו-62 כדורי תחמושת תואמת. </w:t>
      </w:r>
    </w:p>
    <w:p w14:paraId="0444F4F6" w14:textId="77777777" w:rsidR="007101EF" w:rsidRDefault="007101EF" w:rsidP="007101EF">
      <w:pPr>
        <w:spacing w:line="360" w:lineRule="auto"/>
        <w:ind w:left="720"/>
        <w:contextualSpacing/>
        <w:jc w:val="both"/>
        <w:rPr>
          <w:rFonts w:ascii="David" w:eastAsia="David" w:hAnsi="David"/>
        </w:rPr>
      </w:pPr>
    </w:p>
    <w:p w14:paraId="64763EBB" w14:textId="77777777" w:rsidR="007101EF" w:rsidRDefault="007101EF" w:rsidP="007101EF">
      <w:pPr>
        <w:spacing w:line="360" w:lineRule="auto"/>
        <w:ind w:firstLine="360"/>
        <w:jc w:val="both"/>
        <w:rPr>
          <w:rFonts w:ascii="David" w:eastAsia="David" w:hAnsi="David"/>
          <w:b/>
          <w:bCs/>
          <w:u w:val="single"/>
          <w:rtl/>
        </w:rPr>
      </w:pPr>
      <w:bookmarkStart w:id="7" w:name="ABSTRACT_END"/>
      <w:bookmarkEnd w:id="7"/>
      <w:r>
        <w:rPr>
          <w:rFonts w:ascii="David" w:eastAsia="David" w:hAnsi="David"/>
          <w:b/>
          <w:bCs/>
          <w:u w:val="single"/>
          <w:rtl/>
        </w:rPr>
        <w:t>תסקיר שירות המבחן</w:t>
      </w:r>
    </w:p>
    <w:p w14:paraId="27518312" w14:textId="77777777" w:rsidR="007101EF" w:rsidRDefault="007101EF" w:rsidP="007101EF">
      <w:pPr>
        <w:numPr>
          <w:ilvl w:val="0"/>
          <w:numId w:val="1"/>
        </w:numPr>
        <w:spacing w:after="160" w:line="360" w:lineRule="auto"/>
        <w:contextualSpacing/>
        <w:jc w:val="both"/>
        <w:rPr>
          <w:rFonts w:ascii="David" w:eastAsia="David" w:hAnsi="David"/>
          <w:rtl/>
        </w:rPr>
      </w:pPr>
      <w:r>
        <w:rPr>
          <w:rFonts w:ascii="David" w:eastAsia="David" w:hAnsi="David"/>
          <w:rtl/>
        </w:rPr>
        <w:t xml:space="preserve">הנאשם הופנה בהסכמה לתסקיר. הנאשם כבן 24, לומד בקורס קבלן שיפוצים, עובד כעוזר בניין מקצועי בתחום עבודות הגמר, מחוות דעת מעבידו עולה כי שבע רצון מעבודתו, הנאשם עובד מסור ומקצועי שמיועד לקידום. הנאשם נעדר עבר פלילי, במסגרת הליך המעצר הומלץ על שחרורו, הנאשם היה נתון בפיקוח מעצרים, השתלב בטיפול קבוצתי, גילה מחויבות ואחריות והגיע באופן רציף למפגשי הקבוצה. הנאשם צמצם מאחריותו </w:t>
      </w:r>
      <w:r>
        <w:rPr>
          <w:rFonts w:ascii="David" w:eastAsia="David" w:hAnsi="David"/>
          <w:rtl/>
        </w:rPr>
        <w:lastRenderedPageBreak/>
        <w:t xml:space="preserve">למיוחס לו, לדבריו, תקופה קצרה עובר לאירוע, הכיר חברים חדשים שידע שהם מנהלים אורח חיים שולי, לטענתו הסיע אותם ברכבו אך לא היה מודע לתכולת התיק. לדבריו חבריו נעצרו אתו ומאז נותק ביניהם הקשר. בצד זאת, גילה מודעות לבחירותיו הבעייתיות שהובילו למעורבותו בעבירה. הנאשם הודה כי מתנהל בדפוסים מרצים ומתקשה בהפעלת שיקול דעת מתאים, שירות המבחן התרשם מנזקקות טיפולית בולטת ועל כן בא בבקשת דחייה לצורך המשך שילוב הנאשם בטיפול ייעודי בתחום צעירים בסיכון. </w:t>
      </w:r>
    </w:p>
    <w:p w14:paraId="7D1E1C08" w14:textId="77777777" w:rsidR="007101EF" w:rsidRDefault="007101EF" w:rsidP="007101EF">
      <w:pPr>
        <w:spacing w:line="360" w:lineRule="auto"/>
        <w:ind w:left="720"/>
        <w:contextualSpacing/>
        <w:jc w:val="both"/>
        <w:rPr>
          <w:rFonts w:ascii="David" w:eastAsia="David" w:hAnsi="David"/>
        </w:rPr>
      </w:pPr>
    </w:p>
    <w:p w14:paraId="07265E96" w14:textId="77777777" w:rsidR="007101EF" w:rsidRDefault="007101EF" w:rsidP="007101EF">
      <w:pPr>
        <w:numPr>
          <w:ilvl w:val="0"/>
          <w:numId w:val="1"/>
        </w:numPr>
        <w:spacing w:after="160" w:line="360" w:lineRule="auto"/>
        <w:contextualSpacing/>
        <w:jc w:val="both"/>
        <w:rPr>
          <w:rFonts w:ascii="David" w:eastAsia="David" w:hAnsi="David"/>
        </w:rPr>
      </w:pPr>
      <w:r>
        <w:rPr>
          <w:rFonts w:ascii="David" w:eastAsia="David" w:hAnsi="David"/>
          <w:rtl/>
        </w:rPr>
        <w:t xml:space="preserve">בתסקירו המשלים (3.12.24) סקר שירות המבחן את התקדמותו הטיפולית של הנאשם, הנאשם שולב בקבוצה לצעירים עוברי חוק המשלבת טיולים ושהייה בשטח ככלי טיפולי, הגיע למפגשים הקבוצתיים בקביעות, גילה רצינות ומסירות ומבטא ערכים חברתיים חיוביים ונורמטיביים. הנאשם מצא בקבוצה מקור תמיכה משמעותי אך עדיין ניכר פער בין מעשיו לבין תפקודו התקין, ולהערכת גורמי הטיפול התקדמות בטיפול תפחית את רמת מסוכנותו. לאור ההליך הטיפול התחזקה התרשמות שירות המבחן כי הנאשם נעדר דפוסים עברייניים מושרשים, הטיפול עונה על צרכיו הטיפוליים של הנאשם ומפחית את הסיכון מצדו. לפיכך באו בהמלצה טיפולית להעמידו בצו מבחן ולהטיל עליו מאסר בדרך של עבודות שירות, במידה ויוטל עליו מאסר בפועל סבור שירות המבחן כי הדבר עשוי לגרום לרגרסיה בתפקודו החיובי ולחשוף אותו לאוכלוסייה שולית.  </w:t>
      </w:r>
    </w:p>
    <w:p w14:paraId="660767BF" w14:textId="77777777" w:rsidR="007101EF" w:rsidRDefault="007101EF" w:rsidP="007101EF">
      <w:pPr>
        <w:pStyle w:val="a9"/>
        <w:rPr>
          <w:rFonts w:ascii="David" w:eastAsia="David" w:hAnsi="David"/>
          <w:rtl/>
        </w:rPr>
      </w:pPr>
    </w:p>
    <w:p w14:paraId="452400A0" w14:textId="77777777" w:rsidR="007101EF" w:rsidRDefault="007101EF" w:rsidP="007101EF">
      <w:pPr>
        <w:spacing w:line="360" w:lineRule="auto"/>
        <w:ind w:firstLine="360"/>
        <w:jc w:val="both"/>
        <w:rPr>
          <w:rFonts w:ascii="David" w:eastAsia="David" w:hAnsi="David"/>
          <w:b/>
          <w:bCs/>
          <w:u w:val="single"/>
          <w:rtl/>
        </w:rPr>
      </w:pPr>
      <w:r>
        <w:rPr>
          <w:rFonts w:ascii="David" w:eastAsia="David" w:hAnsi="David"/>
          <w:b/>
          <w:bCs/>
          <w:u w:val="single"/>
          <w:rtl/>
        </w:rPr>
        <w:t>תמצית הטיעונים לעונש</w:t>
      </w:r>
    </w:p>
    <w:p w14:paraId="1138C5BB" w14:textId="77777777" w:rsidR="007101EF" w:rsidRDefault="007101EF" w:rsidP="007101EF">
      <w:pPr>
        <w:numPr>
          <w:ilvl w:val="0"/>
          <w:numId w:val="1"/>
        </w:numPr>
        <w:spacing w:after="160" w:line="360" w:lineRule="auto"/>
        <w:contextualSpacing/>
        <w:jc w:val="both"/>
        <w:rPr>
          <w:rFonts w:ascii="David" w:eastAsia="David" w:hAnsi="David"/>
          <w:rtl/>
        </w:rPr>
      </w:pPr>
      <w:r>
        <w:rPr>
          <w:rFonts w:ascii="David" w:eastAsia="David" w:hAnsi="David"/>
          <w:rtl/>
        </w:rPr>
        <w:t xml:space="preserve">ב"כ המאשימה, עו"ד גבי פאר, עמד בטיעוניו על חומרת עבירות הנשק, הערכים המוגנים שנפגעו ופוטנציאל הנזק שעלול היה להיגרם מהחזקת נשק בלתי חוקי. לשיטת המאשימה, מדובר במעשה החזקת נשק חמור הגובל בעבירת נשיאה, כולל תכנון מוקדם, הנשק הוחזק שלא בסמוך לבית הנאשם, סוג הנשק כולל שני כלי נשק התקפיים ותחמושת מתאימה, פגיעת מעשי הנאשם בערכים המוגנים היא ברף גבוה. עוד נטען, שמתסקיר הנאשם עולה שנוטל אחריות חלקית על המעשים, לדבריו לא ידע מה הכיל התיק שהיה שייך לשני חבריו. לפיכך עותרת המאשימה למתחם עונשי הנע בין 40-60 חודשי מאסר וענישה נלווית של מאסר על תנאי וקנס. אשר לנאשם, נטען כי מדובר בבחור צעיר, ללא עבר פלילי, מתסקירו עולים פערים משמעותיים בין החלקים המתפקדים באישיותו לבין המיוחס לו בכתב האישום. הנאשם מתקשה להציב לו ולחבריו גבולות ומטשטש את חומרת התנהגותו. שירות המבחן התמקד בסקירת הליכי הטיפול אך לא טיפל בעמדת הנאשם באשר למיוחס לו, המאשימה מבקשת שלא לאמץ את המלצת שירות המבחן, ליתן משקל משמעותי לשיקולי הרתעה ולמקם את עונשו של הנאשם בתחתית המתחם.  </w:t>
      </w:r>
    </w:p>
    <w:p w14:paraId="4A0654F9" w14:textId="77777777" w:rsidR="007101EF" w:rsidRDefault="007101EF" w:rsidP="007101EF">
      <w:pPr>
        <w:spacing w:line="360" w:lineRule="auto"/>
        <w:ind w:left="720"/>
        <w:contextualSpacing/>
        <w:jc w:val="both"/>
        <w:rPr>
          <w:rFonts w:ascii="David" w:eastAsia="David" w:hAnsi="David"/>
        </w:rPr>
      </w:pPr>
    </w:p>
    <w:p w14:paraId="6FF6BD94" w14:textId="77777777" w:rsidR="007101EF" w:rsidRDefault="007101EF" w:rsidP="007101EF">
      <w:pPr>
        <w:numPr>
          <w:ilvl w:val="0"/>
          <w:numId w:val="1"/>
        </w:numPr>
        <w:spacing w:after="160" w:line="360" w:lineRule="auto"/>
        <w:contextualSpacing/>
        <w:jc w:val="both"/>
        <w:rPr>
          <w:rFonts w:ascii="David" w:eastAsia="David" w:hAnsi="David"/>
        </w:rPr>
      </w:pPr>
      <w:r w:rsidRPr="00234C6D">
        <w:rPr>
          <w:rFonts w:ascii="David" w:eastAsia="David" w:hAnsi="David"/>
          <w:rtl/>
        </w:rPr>
        <w:t>ב"כ הנאשם, עו"ד ג'לג'ולי, ביקש לאמץ את המלצת שירות המבחן ולהימנע מלהטיל על הנאשם עונש מאסר בפועל. לדבריו הנאשם אינו בעל הנשק, חבריו שנעצרו א</w:t>
      </w:r>
      <w:r w:rsidRPr="00234C6D">
        <w:rPr>
          <w:rFonts w:ascii="David" w:eastAsia="David" w:hAnsi="David" w:hint="cs"/>
          <w:rtl/>
        </w:rPr>
        <w:t>י</w:t>
      </w:r>
      <w:r w:rsidRPr="00234C6D">
        <w:rPr>
          <w:rFonts w:ascii="David" w:eastAsia="David" w:hAnsi="David"/>
          <w:rtl/>
        </w:rPr>
        <w:t xml:space="preserve">תו בעלי עבר </w:t>
      </w:r>
      <w:r w:rsidRPr="00234C6D">
        <w:rPr>
          <w:rFonts w:ascii="David" w:eastAsia="David" w:hAnsi="David"/>
          <w:rtl/>
        </w:rPr>
        <w:lastRenderedPageBreak/>
        <w:t>פלילי, והוא נשא באחריות על החזקת הנשק מאחר שנמצאו ברכבו. עוד נטען כי הנשק הוחזק במשך זמן קצר מאחר שנתפסו סמוך לבית החבר. אשר לתסקירים, נטען כי התמונה המשתקפת מהם חיובית, הנאשם שהה 5 חודשים במעצר ולאחר מכן תקופה ממושכת בתנאי פקא"ל. הנאשם שיתף פעולה באופן מלא עם שירות המבחן, הקפיד להגיע למפגשים ועבר הליך שיקום רציני ומוצלח. על כן סבור שראוי לסטות בעניינו לקולא מהמתחם, הנאשם לומד ועובד והתרחק מחברה שולית</w:t>
      </w:r>
      <w:r w:rsidRPr="00234C6D">
        <w:rPr>
          <w:rFonts w:ascii="David" w:eastAsia="David" w:hAnsi="David" w:hint="cs"/>
          <w:rtl/>
        </w:rPr>
        <w:t>.</w:t>
      </w:r>
    </w:p>
    <w:p w14:paraId="67D3D0E6" w14:textId="77777777" w:rsidR="007101EF" w:rsidRPr="00234C6D" w:rsidRDefault="007101EF" w:rsidP="007101EF">
      <w:pPr>
        <w:spacing w:after="160" w:line="360" w:lineRule="auto"/>
        <w:ind w:left="720"/>
        <w:contextualSpacing/>
        <w:jc w:val="both"/>
        <w:rPr>
          <w:rFonts w:ascii="David" w:eastAsia="David" w:hAnsi="David"/>
          <w:b/>
          <w:bCs/>
          <w:u w:val="single"/>
        </w:rPr>
      </w:pPr>
    </w:p>
    <w:p w14:paraId="4401E464" w14:textId="77777777" w:rsidR="007101EF" w:rsidRDefault="007101EF" w:rsidP="007101EF">
      <w:pPr>
        <w:numPr>
          <w:ilvl w:val="0"/>
          <w:numId w:val="1"/>
        </w:numPr>
        <w:spacing w:after="160" w:line="360" w:lineRule="auto"/>
        <w:contextualSpacing/>
        <w:jc w:val="both"/>
        <w:rPr>
          <w:rFonts w:ascii="David" w:eastAsia="David" w:hAnsi="David"/>
          <w:b/>
          <w:bCs/>
          <w:u w:val="single"/>
          <w:rtl/>
        </w:rPr>
      </w:pPr>
      <w:r>
        <w:rPr>
          <w:rFonts w:ascii="David" w:eastAsia="David" w:hAnsi="David"/>
          <w:b/>
          <w:bCs/>
          <w:rtl/>
        </w:rPr>
        <w:t>הנאשם בדברו האחרון</w:t>
      </w:r>
      <w:r>
        <w:rPr>
          <w:rFonts w:ascii="David" w:eastAsia="David" w:hAnsi="David"/>
          <w:rtl/>
        </w:rPr>
        <w:t xml:space="preserve"> הודה שטעה ולמד מטעותו, מאז ששוחרר ממעצר ניצל את התקופה כדי להתקדם בעבודה ובהליך הטיפולי ולהיות אדם טוב יותר.  </w:t>
      </w:r>
    </w:p>
    <w:p w14:paraId="17A3AC31" w14:textId="77777777" w:rsidR="007101EF" w:rsidRDefault="007101EF" w:rsidP="007101EF">
      <w:pPr>
        <w:spacing w:line="360" w:lineRule="auto"/>
        <w:ind w:left="720"/>
        <w:contextualSpacing/>
        <w:jc w:val="both"/>
        <w:rPr>
          <w:rFonts w:ascii="David" w:eastAsia="David" w:hAnsi="David"/>
          <w:b/>
          <w:bCs/>
          <w:u w:val="single"/>
          <w:rtl/>
        </w:rPr>
      </w:pPr>
    </w:p>
    <w:p w14:paraId="7D11A1CC" w14:textId="77777777" w:rsidR="007101EF" w:rsidRDefault="007101EF" w:rsidP="007101EF">
      <w:pPr>
        <w:spacing w:line="360" w:lineRule="auto"/>
        <w:ind w:left="720"/>
        <w:contextualSpacing/>
        <w:jc w:val="both"/>
        <w:rPr>
          <w:rFonts w:ascii="David" w:eastAsia="David" w:hAnsi="David"/>
          <w:b/>
          <w:bCs/>
          <w:u w:val="single"/>
          <w:rtl/>
        </w:rPr>
      </w:pPr>
      <w:r>
        <w:rPr>
          <w:rFonts w:ascii="David" w:eastAsia="David" w:hAnsi="David"/>
          <w:b/>
          <w:bCs/>
          <w:u w:val="single"/>
          <w:rtl/>
        </w:rPr>
        <w:t>דיון והכרעה</w:t>
      </w:r>
    </w:p>
    <w:p w14:paraId="287912AF" w14:textId="77777777" w:rsidR="007101EF" w:rsidRDefault="007101EF" w:rsidP="007101EF">
      <w:pPr>
        <w:spacing w:line="360" w:lineRule="auto"/>
        <w:ind w:left="720"/>
        <w:contextualSpacing/>
        <w:jc w:val="both"/>
        <w:rPr>
          <w:rFonts w:ascii="David" w:eastAsia="David" w:hAnsi="David"/>
          <w:b/>
          <w:bCs/>
          <w:u w:val="single"/>
          <w:rtl/>
        </w:rPr>
      </w:pPr>
      <w:r>
        <w:rPr>
          <w:rFonts w:ascii="David" w:eastAsia="David" w:hAnsi="David"/>
          <w:b/>
          <w:bCs/>
          <w:u w:val="single"/>
          <w:rtl/>
        </w:rPr>
        <w:t>מתחם העונש ההולם</w:t>
      </w:r>
    </w:p>
    <w:p w14:paraId="47CE9BEA" w14:textId="77777777" w:rsidR="007101EF" w:rsidRDefault="007101EF" w:rsidP="007101EF">
      <w:pPr>
        <w:numPr>
          <w:ilvl w:val="0"/>
          <w:numId w:val="1"/>
        </w:numPr>
        <w:spacing w:after="160" w:line="360" w:lineRule="auto"/>
        <w:contextualSpacing/>
        <w:jc w:val="both"/>
        <w:rPr>
          <w:rtl/>
        </w:rPr>
      </w:pPr>
      <w:r>
        <w:rPr>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5C403FC4" w14:textId="77777777" w:rsidR="007101EF" w:rsidRDefault="007101EF" w:rsidP="007101EF">
      <w:pPr>
        <w:ind w:left="720"/>
        <w:contextualSpacing/>
      </w:pPr>
    </w:p>
    <w:p w14:paraId="27DB214A" w14:textId="77777777" w:rsidR="007101EF" w:rsidRDefault="007101EF" w:rsidP="007101EF">
      <w:pPr>
        <w:numPr>
          <w:ilvl w:val="0"/>
          <w:numId w:val="1"/>
        </w:numPr>
        <w:spacing w:after="160" w:line="360" w:lineRule="auto"/>
        <w:contextualSpacing/>
        <w:jc w:val="both"/>
        <w:rPr>
          <w:rFonts w:ascii="David" w:eastAsia="David" w:hAnsi="David"/>
          <w:rtl/>
        </w:rPr>
      </w:pPr>
      <w:r>
        <w:rPr>
          <w:rFonts w:ascii="David" w:eastAsia="David" w:hAnsi="David"/>
          <w:rtl/>
        </w:rPr>
        <w:t>עבירות הנשק, על כל סוגיהן ומיניהן, הפכו ל"מכת מדינה" קשה ומגלמות סכנה ממשית לשלום הציבור ולביטחונו. בהתאם לכך, נרתמו בתי המשפט למאבק בתופעה, ובשנים האחרונות ניכרת מגמת החמרה בענישה לצורך מיגור עבירות אלו, תוך מתן משקל לשיקולי הרתעה, אף אם הנאשמים נעדרי עבר פלילי, והאירוע הוא בגדר חריג בנוף חייהם הנורמטיבי (</w:t>
      </w:r>
      <w:hyperlink r:id="rId11" w:history="1">
        <w:r w:rsidR="000A2042" w:rsidRPr="000A2042">
          <w:rPr>
            <w:rFonts w:ascii="David" w:eastAsia="David" w:hAnsi="David"/>
            <w:color w:val="0000FF"/>
            <w:u w:val="single"/>
            <w:rtl/>
          </w:rPr>
          <w:t>ע"פ 2482/22</w:t>
        </w:r>
      </w:hyperlink>
      <w:r>
        <w:rPr>
          <w:rFonts w:ascii="David" w:eastAsia="David" w:hAnsi="David"/>
          <w:rtl/>
        </w:rPr>
        <w:t xml:space="preserve"> </w:t>
      </w:r>
      <w:r>
        <w:rPr>
          <w:rFonts w:ascii="David" w:eastAsia="David" w:hAnsi="David"/>
          <w:b/>
          <w:bCs/>
          <w:rtl/>
        </w:rPr>
        <w:t>מדינת ישראל נ' אחמד קדורה</w:t>
      </w:r>
      <w:r>
        <w:rPr>
          <w:rFonts w:ascii="David" w:eastAsia="David" w:hAnsi="David"/>
          <w:rtl/>
        </w:rPr>
        <w:t xml:space="preserve">, פס' 5-6 (14.4.2022); </w:t>
      </w:r>
      <w:hyperlink r:id="rId12" w:history="1">
        <w:r w:rsidR="000A2042" w:rsidRPr="000A2042">
          <w:rPr>
            <w:rFonts w:ascii="David" w:eastAsia="David" w:hAnsi="David"/>
            <w:color w:val="0000FF"/>
            <w:u w:val="single"/>
            <w:rtl/>
          </w:rPr>
          <w:t>ע"פ 5813/21</w:t>
        </w:r>
      </w:hyperlink>
      <w:r>
        <w:rPr>
          <w:rFonts w:ascii="David" w:eastAsia="David" w:hAnsi="David"/>
          <w:rtl/>
        </w:rPr>
        <w:t xml:space="preserve"> </w:t>
      </w:r>
      <w:r>
        <w:rPr>
          <w:rFonts w:ascii="David" w:eastAsia="David" w:hAnsi="David"/>
          <w:b/>
          <w:bCs/>
          <w:rtl/>
        </w:rPr>
        <w:t>מוחמד ג'בארין נ' מדינת ישראל</w:t>
      </w:r>
      <w:r>
        <w:rPr>
          <w:rFonts w:ascii="David" w:eastAsia="David" w:hAnsi="David"/>
          <w:rtl/>
        </w:rPr>
        <w:t>, פס' 14</w:t>
      </w:r>
      <w:r>
        <w:rPr>
          <w:rFonts w:ascii="David" w:eastAsia="David" w:hAnsi="David"/>
          <w:b/>
          <w:bCs/>
          <w:rtl/>
        </w:rPr>
        <w:t xml:space="preserve"> </w:t>
      </w:r>
      <w:r>
        <w:rPr>
          <w:rFonts w:ascii="David" w:eastAsia="David" w:hAnsi="David"/>
          <w:rtl/>
        </w:rPr>
        <w:t>(31.5.2022); ב</w:t>
      </w:r>
      <w:hyperlink r:id="rId13" w:history="1">
        <w:r w:rsidR="000A2042" w:rsidRPr="000A2042">
          <w:rPr>
            <w:rFonts w:ascii="David" w:eastAsia="David" w:hAnsi="David"/>
            <w:color w:val="0000FF"/>
            <w:u w:val="single"/>
            <w:rtl/>
          </w:rPr>
          <w:t>ע"פ 6011/21</w:t>
        </w:r>
      </w:hyperlink>
      <w:r>
        <w:rPr>
          <w:rFonts w:ascii="David" w:eastAsia="David" w:hAnsi="David"/>
          <w:rtl/>
        </w:rPr>
        <w:t xml:space="preserve"> </w:t>
      </w:r>
      <w:r>
        <w:rPr>
          <w:rFonts w:ascii="David" w:eastAsia="David" w:hAnsi="David"/>
          <w:b/>
          <w:bCs/>
          <w:rtl/>
        </w:rPr>
        <w:t>חאלד דסוקי נ' מדנית ישראל</w:t>
      </w:r>
      <w:r>
        <w:rPr>
          <w:rFonts w:ascii="David" w:eastAsia="David" w:hAnsi="David"/>
          <w:rtl/>
        </w:rPr>
        <w:t xml:space="preserve">  (25.11.2021); </w:t>
      </w:r>
      <w:hyperlink r:id="rId14" w:history="1">
        <w:r w:rsidR="000A2042" w:rsidRPr="000A2042">
          <w:rPr>
            <w:rFonts w:ascii="David" w:eastAsia="David" w:hAnsi="David"/>
            <w:color w:val="0000FF"/>
            <w:spacing w:val="10"/>
            <w:sz w:val="20"/>
            <w:u w:val="single"/>
            <w:shd w:val="clear" w:color="auto" w:fill="FFFFFF"/>
            <w:rtl/>
          </w:rPr>
          <w:t>ע"פ 8320/21</w:t>
        </w:r>
      </w:hyperlink>
      <w:r>
        <w:rPr>
          <w:rFonts w:ascii="David" w:eastAsia="David" w:hAnsi="David"/>
          <w:spacing w:val="10"/>
          <w:sz w:val="20"/>
          <w:shd w:val="clear" w:color="auto" w:fill="FFFFFF"/>
          <w:rtl/>
        </w:rPr>
        <w:t xml:space="preserve"> </w:t>
      </w:r>
      <w:r>
        <w:rPr>
          <w:rFonts w:ascii="David" w:eastAsia="David" w:hAnsi="David"/>
          <w:b/>
          <w:bCs/>
          <w:spacing w:val="10"/>
          <w:sz w:val="20"/>
          <w:shd w:val="clear" w:color="auto" w:fill="FFFFFF"/>
          <w:rtl/>
        </w:rPr>
        <w:t>מדינת ישראל נ' מחמד בסילה</w:t>
      </w:r>
      <w:r>
        <w:rPr>
          <w:rFonts w:ascii="David" w:eastAsia="David" w:hAnsi="David"/>
          <w:spacing w:val="10"/>
          <w:sz w:val="20"/>
          <w:shd w:val="clear" w:color="auto" w:fill="FFFFFF"/>
          <w:rtl/>
        </w:rPr>
        <w:t>, פס' 10 (28.12.2021)</w:t>
      </w:r>
      <w:r>
        <w:rPr>
          <w:rFonts w:ascii="David" w:eastAsia="David" w:hAnsi="David"/>
          <w:rtl/>
        </w:rPr>
        <w:t xml:space="preserve">; </w:t>
      </w:r>
      <w:hyperlink r:id="rId15" w:history="1">
        <w:r w:rsidR="000A2042" w:rsidRPr="000A2042">
          <w:rPr>
            <w:rFonts w:ascii="David" w:eastAsia="David" w:hAnsi="David"/>
            <w:color w:val="0000FF"/>
            <w:u w:val="single"/>
            <w:rtl/>
          </w:rPr>
          <w:t>ע"פ 2283/22</w:t>
        </w:r>
      </w:hyperlink>
      <w:r>
        <w:rPr>
          <w:rFonts w:ascii="David" w:eastAsia="David" w:hAnsi="David"/>
          <w:rtl/>
        </w:rPr>
        <w:t xml:space="preserve"> </w:t>
      </w:r>
      <w:r>
        <w:rPr>
          <w:rFonts w:ascii="David" w:eastAsia="David" w:hAnsi="David"/>
          <w:b/>
          <w:bCs/>
          <w:rtl/>
        </w:rPr>
        <w:t>אל נבארי נ' מדינת ישראל</w:t>
      </w:r>
      <w:r>
        <w:rPr>
          <w:rFonts w:ascii="David" w:eastAsia="David" w:hAnsi="David"/>
          <w:rtl/>
        </w:rPr>
        <w:t xml:space="preserve"> (31.7.2022); ע"פ 78/21 </w:t>
      </w:r>
      <w:r>
        <w:rPr>
          <w:rFonts w:ascii="David" w:eastAsia="David" w:hAnsi="David"/>
          <w:b/>
          <w:bCs/>
          <w:rtl/>
        </w:rPr>
        <w:t>פלוני נ' מדינת</w:t>
      </w:r>
      <w:r>
        <w:rPr>
          <w:rFonts w:ascii="David" w:eastAsia="David" w:hAnsi="David"/>
          <w:rtl/>
        </w:rPr>
        <w:t xml:space="preserve"> </w:t>
      </w:r>
      <w:r>
        <w:rPr>
          <w:rFonts w:ascii="David" w:eastAsia="David" w:hAnsi="David"/>
          <w:b/>
          <w:bCs/>
          <w:rtl/>
        </w:rPr>
        <w:t>ישראל</w:t>
      </w:r>
      <w:r>
        <w:rPr>
          <w:rFonts w:ascii="David" w:eastAsia="David" w:hAnsi="David"/>
          <w:rtl/>
        </w:rPr>
        <w:t xml:space="preserve"> (26.7.2022)).</w:t>
      </w:r>
      <w:r>
        <w:rPr>
          <w:rtl/>
        </w:rPr>
        <w:t xml:space="preserve"> </w:t>
      </w:r>
    </w:p>
    <w:p w14:paraId="1C98DA9E" w14:textId="77777777" w:rsidR="007101EF" w:rsidRDefault="007101EF" w:rsidP="007101EF">
      <w:pPr>
        <w:spacing w:line="360" w:lineRule="auto"/>
        <w:ind w:left="720"/>
        <w:contextualSpacing/>
        <w:jc w:val="both"/>
        <w:rPr>
          <w:rFonts w:ascii="David" w:eastAsia="Calibri" w:hAnsi="David"/>
          <w:rtl/>
        </w:rPr>
      </w:pPr>
    </w:p>
    <w:p w14:paraId="2F07A4DC" w14:textId="77777777" w:rsidR="007101EF" w:rsidRDefault="007101EF" w:rsidP="007101EF">
      <w:pPr>
        <w:numPr>
          <w:ilvl w:val="0"/>
          <w:numId w:val="1"/>
        </w:numPr>
        <w:spacing w:after="160" w:line="360" w:lineRule="auto"/>
        <w:contextualSpacing/>
        <w:jc w:val="both"/>
        <w:rPr>
          <w:rFonts w:ascii="David" w:eastAsia="David" w:hAnsi="David"/>
          <w:rtl/>
        </w:rPr>
      </w:pPr>
      <w:r>
        <w:rPr>
          <w:rFonts w:ascii="David" w:eastAsia="David" w:hAnsi="David"/>
          <w:rtl/>
        </w:rPr>
        <w:t>בתי המשפט עמדו, חזור ושנה, על החומרה הרבה הגלומה בהחזקת נשק שלא כדין המצריכה מענה הולם בדמות עונשי מאסר משמעותיים.  "</w:t>
      </w:r>
      <w:r>
        <w:rPr>
          <w:rFonts w:ascii="David" w:eastAsia="David" w:hAnsi="David"/>
          <w:b/>
          <w:bCs/>
          <w:rtl/>
        </w:rPr>
        <w:t>עצם החזקת נשק בעל פוטנציאל קטילה מבלי שיש עליו ועל בעליו פיקוח מוסדר של הרשויות טומן בחובו סיכון, כאשר המחזיק בו נתון תמיד לחשש שיתפתה לעשות בו שימוש, ולו ברגעי  לחץ ופחד</w:t>
      </w:r>
      <w:r>
        <w:rPr>
          <w:rFonts w:ascii="David" w:eastAsia="David" w:hAnsi="David"/>
          <w:rtl/>
        </w:rPr>
        <w:t>" (</w:t>
      </w:r>
      <w:hyperlink r:id="rId16" w:history="1">
        <w:r w:rsidR="000A2042" w:rsidRPr="000A2042">
          <w:rPr>
            <w:rFonts w:ascii="David" w:eastAsia="David" w:hAnsi="David"/>
            <w:color w:val="0000FF"/>
            <w:u w:val="single"/>
            <w:rtl/>
          </w:rPr>
          <w:t>ע"פ 4945/13</w:t>
        </w:r>
      </w:hyperlink>
      <w:r>
        <w:rPr>
          <w:rFonts w:ascii="David" w:eastAsia="David" w:hAnsi="David"/>
          <w:rtl/>
        </w:rPr>
        <w:t xml:space="preserve"> </w:t>
      </w:r>
      <w:r>
        <w:rPr>
          <w:rFonts w:ascii="David" w:eastAsia="David" w:hAnsi="David"/>
          <w:b/>
          <w:bCs/>
          <w:rtl/>
        </w:rPr>
        <w:t>מדינת ישראל נ' עבד אלכרים</w:t>
      </w:r>
      <w:r>
        <w:rPr>
          <w:rFonts w:ascii="David" w:eastAsia="David" w:hAnsi="David"/>
          <w:rtl/>
        </w:rPr>
        <w:t xml:space="preserve"> (19.1.2014); </w:t>
      </w:r>
      <w:hyperlink r:id="rId17" w:history="1">
        <w:r w:rsidR="000A2042" w:rsidRPr="000A2042">
          <w:rPr>
            <w:rFonts w:eastAsia="David"/>
            <w:color w:val="0000FF"/>
            <w:u w:val="single"/>
            <w:rtl/>
          </w:rPr>
          <w:t>ע"פ 147/21</w:t>
        </w:r>
      </w:hyperlink>
      <w:r w:rsidR="000A2042">
        <w:rPr>
          <w:rFonts w:ascii="David" w:hAnsi="David"/>
          <w:color w:val="000000"/>
          <w:spacing w:val="10"/>
          <w:rtl/>
        </w:rPr>
        <w:t xml:space="preserve"> </w:t>
      </w:r>
      <w:r>
        <w:rPr>
          <w:rFonts w:ascii="David" w:hAnsi="David"/>
          <w:b/>
          <w:bCs/>
          <w:color w:val="000000"/>
          <w:rtl/>
        </w:rPr>
        <w:t>מדינת ישראל נ' ביטון</w:t>
      </w:r>
      <w:r>
        <w:rPr>
          <w:rFonts w:ascii="David" w:hAnsi="David"/>
          <w:color w:val="000000"/>
          <w:spacing w:val="10"/>
          <w:rtl/>
        </w:rPr>
        <w:t xml:space="preserve">, </w:t>
      </w:r>
      <w:r w:rsidRPr="00745B6F">
        <w:rPr>
          <w:rFonts w:ascii="David" w:eastAsia="David" w:hAnsi="David"/>
          <w:rtl/>
        </w:rPr>
        <w:t>פסקה 10</w:t>
      </w:r>
      <w:r w:rsidR="000A2042">
        <w:rPr>
          <w:rFonts w:ascii="David" w:eastAsia="David" w:hAnsi="David"/>
          <w:rtl/>
        </w:rPr>
        <w:t xml:space="preserve"> </w:t>
      </w:r>
      <w:r w:rsidRPr="00745B6F">
        <w:rPr>
          <w:rFonts w:ascii="David" w:eastAsia="David" w:hAnsi="David"/>
          <w:rtl/>
        </w:rPr>
        <w:t xml:space="preserve"> (</w:t>
      </w:r>
      <w:r w:rsidRPr="00745B6F">
        <w:rPr>
          <w:rFonts w:ascii="David" w:eastAsia="David" w:hAnsi="David"/>
        </w:rPr>
        <w:t>14.2.2021</w:t>
      </w:r>
      <w:r w:rsidRPr="00745B6F">
        <w:rPr>
          <w:rFonts w:ascii="David" w:eastAsia="David" w:hAnsi="David"/>
          <w:rtl/>
        </w:rPr>
        <w:t>)). מגמה זו לידי ביטוי גם בחקיקה, במסגרת תיקון 140 לחוק, בו נקבעו עונשי מינימום לעבירות נשק, באופן שככלל, העונש שיושת בגין עבירות אלו, לא יפחת מרבע העונש המרבי שנקבע לעבירה.</w:t>
      </w:r>
    </w:p>
    <w:p w14:paraId="534C4E02" w14:textId="77777777" w:rsidR="007101EF" w:rsidRDefault="007101EF" w:rsidP="007101EF">
      <w:pPr>
        <w:ind w:left="720"/>
        <w:contextualSpacing/>
        <w:jc w:val="both"/>
        <w:rPr>
          <w:rFonts w:ascii="David" w:eastAsia="David" w:hAnsi="David"/>
        </w:rPr>
      </w:pPr>
    </w:p>
    <w:p w14:paraId="31598482" w14:textId="77777777" w:rsidR="007101EF" w:rsidRDefault="007101EF" w:rsidP="007101EF">
      <w:pPr>
        <w:numPr>
          <w:ilvl w:val="0"/>
          <w:numId w:val="1"/>
        </w:numPr>
        <w:overflowPunct w:val="0"/>
        <w:autoSpaceDE w:val="0"/>
        <w:autoSpaceDN w:val="0"/>
        <w:adjustRightInd w:val="0"/>
        <w:spacing w:after="160" w:line="360" w:lineRule="auto"/>
        <w:contextualSpacing/>
        <w:jc w:val="both"/>
        <w:textAlignment w:val="baseline"/>
        <w:rPr>
          <w:rtl/>
        </w:rPr>
      </w:pPr>
      <w:r>
        <w:rPr>
          <w:rtl/>
        </w:rPr>
        <w:t>מעשיו של הנאשם פגעו פגיעה מוחשית בערכים המוגנים של שמירה על חיי אדם ושלמות גופו. הנאשם החזיק בתוך תיק ברכבו שני כלי נשק התקפיים טעונים במחסנית ולצדם תחמושת תואמת.</w:t>
      </w:r>
      <w:r>
        <w:rPr>
          <w:b/>
          <w:bCs/>
          <w:rtl/>
        </w:rPr>
        <w:t xml:space="preserve"> </w:t>
      </w:r>
      <w:r>
        <w:rPr>
          <w:rtl/>
        </w:rPr>
        <w:t>הנאשם טען בתסקירו שנסע עם חבריו ברכב והתיק שייך להם, סיבת החזקת הנשק לא הובהרה. לחומרה אציין את ריבוי כלי הנשק, סוג כלי הנשק</w:t>
      </w:r>
      <w:r>
        <w:rPr>
          <w:rFonts w:eastAsia="David"/>
          <w:rtl/>
        </w:rPr>
        <w:t xml:space="preserve"> – הפסיקה מייחסת משנה חומרה להחזקת נשק התקפי</w:t>
      </w:r>
      <w:r>
        <w:rPr>
          <w:rFonts w:eastAsia="David" w:hint="cs"/>
          <w:rtl/>
        </w:rPr>
        <w:t xml:space="preserve">- </w:t>
      </w:r>
      <w:r>
        <w:rPr>
          <w:rFonts w:eastAsia="David"/>
          <w:rtl/>
        </w:rPr>
        <w:t>נשק "</w:t>
      </w:r>
      <w:r>
        <w:rPr>
          <w:rFonts w:eastAsia="David"/>
          <w:b/>
          <w:bCs/>
          <w:rtl/>
        </w:rPr>
        <w:t>ארוך, אוטומטי ובעל פוטנציאל קטלני גבוה</w:t>
      </w:r>
      <w:r>
        <w:rPr>
          <w:rFonts w:eastAsia="David"/>
          <w:rtl/>
        </w:rPr>
        <w:t>" (ע"פ 1695/22</w:t>
      </w:r>
      <w:r>
        <w:rPr>
          <w:rFonts w:eastAsia="David"/>
          <w:b/>
          <w:bCs/>
          <w:rtl/>
        </w:rPr>
        <w:t xml:space="preserve">מדינת ישראל נ' מוחמד גנאים ואח' </w:t>
      </w:r>
      <w:r>
        <w:rPr>
          <w:rFonts w:eastAsia="David"/>
          <w:rtl/>
        </w:rPr>
        <w:t>(29.3.2022)</w:t>
      </w:r>
      <w:r>
        <w:rPr>
          <w:rtl/>
        </w:rPr>
        <w:t xml:space="preserve">, החזקתו ברכב ולא במקום סגור ופוטנציאל הנזק משימוש בו. עם זאת, לא נטען כי בכוונת הנאשם לעשות שימוש מידי בכלי הנשק. </w:t>
      </w:r>
    </w:p>
    <w:p w14:paraId="523D4AA3" w14:textId="77777777" w:rsidR="007101EF" w:rsidRPr="007101EF" w:rsidRDefault="007101EF" w:rsidP="007101EF">
      <w:pPr>
        <w:spacing w:after="160" w:line="360" w:lineRule="auto"/>
        <w:ind w:left="720"/>
        <w:contextualSpacing/>
        <w:jc w:val="both"/>
        <w:rPr>
          <w:rFonts w:ascii="Calibri" w:eastAsia="Calibri" w:hAnsi="Calibri"/>
          <w:b/>
          <w:bCs/>
        </w:rPr>
      </w:pPr>
    </w:p>
    <w:p w14:paraId="14654022" w14:textId="77777777" w:rsidR="007101EF" w:rsidRPr="007101EF" w:rsidRDefault="007101EF" w:rsidP="007101EF">
      <w:pPr>
        <w:numPr>
          <w:ilvl w:val="0"/>
          <w:numId w:val="1"/>
        </w:numPr>
        <w:spacing w:after="160" w:line="360" w:lineRule="auto"/>
        <w:contextualSpacing/>
        <w:jc w:val="both"/>
        <w:rPr>
          <w:rFonts w:ascii="Calibri" w:eastAsia="Calibri" w:hAnsi="Calibri"/>
          <w:b/>
          <w:bCs/>
          <w:rtl/>
        </w:rPr>
      </w:pPr>
      <w:r>
        <w:rPr>
          <w:rFonts w:eastAsia="David"/>
          <w:b/>
          <w:bCs/>
          <w:rtl/>
        </w:rPr>
        <w:t>מדיניות הענישה הנוהגת</w:t>
      </w:r>
      <w:r>
        <w:rPr>
          <w:rFonts w:eastAsia="David"/>
          <w:rtl/>
        </w:rPr>
        <w:t xml:space="preserve">- </w:t>
      </w:r>
      <w:r>
        <w:rPr>
          <w:rtl/>
        </w:rPr>
        <w:t xml:space="preserve">מגמת ההחמרה משתקפת בעונשים שמוטלים על המבצעים עבירות בנשק אף אם הם נעדרי עבר פלילי ועברו הליכי טיפול. כך נקבע </w:t>
      </w:r>
      <w:r>
        <w:rPr>
          <w:u w:val="single"/>
          <w:rtl/>
        </w:rPr>
        <w:t>ב</w:t>
      </w:r>
      <w:hyperlink r:id="rId18" w:history="1">
        <w:r w:rsidR="000A2042" w:rsidRPr="000A2042">
          <w:rPr>
            <w:color w:val="0000FF"/>
            <w:u w:val="single"/>
            <w:rtl/>
          </w:rPr>
          <w:t>רע"פ 2718/04</w:t>
        </w:r>
      </w:hyperlink>
      <w:r>
        <w:rPr>
          <w:rtl/>
        </w:rPr>
        <w:t xml:space="preserve"> </w:t>
      </w:r>
      <w:r>
        <w:rPr>
          <w:rFonts w:ascii="David" w:hAnsi="David"/>
          <w:b/>
          <w:bCs/>
          <w:rtl/>
        </w:rPr>
        <w:t>אבו דאחל  נ' מדינת ישראל</w:t>
      </w:r>
      <w:r>
        <w:rPr>
          <w:rtl/>
        </w:rPr>
        <w:t xml:space="preserve">  (מיום 29.3.2004) כי "</w:t>
      </w:r>
      <w:r>
        <w:rPr>
          <w:b/>
          <w:bCs/>
          <w:rtl/>
        </w:rPr>
        <w:t xml:space="preserve">הסכנה הטמונה בעבירה חמורה של החזקת נשק מצדיקה הטלת עונשי מאסר לריצוי בפועל גם על מי שזו עבירתו הראשונה. בבוא בית המשפט לשקול את הענישה מסוג זה, עליו לתת משקל נכבד יותר לאינטרס הציבורי ולצורך להרתיע עבריינים בכח מלבצע עבירות דומות, על פני נסיבות האישיות של העבריין" </w:t>
      </w:r>
      <w:r w:rsidRPr="00CD372A">
        <w:rPr>
          <w:rtl/>
        </w:rPr>
        <w:t>(עוד ראו</w:t>
      </w:r>
      <w:r>
        <w:rPr>
          <w:b/>
          <w:bCs/>
          <w:rtl/>
        </w:rPr>
        <w:t xml:space="preserve"> </w:t>
      </w:r>
      <w:hyperlink r:id="rId19" w:history="1">
        <w:r w:rsidR="000A2042" w:rsidRPr="000A2042">
          <w:rPr>
            <w:color w:val="0000FF"/>
            <w:u w:val="single"/>
            <w:rtl/>
          </w:rPr>
          <w:t>ע"פ 8846/15</w:t>
        </w:r>
      </w:hyperlink>
      <w:r>
        <w:rPr>
          <w:b/>
          <w:bCs/>
          <w:rtl/>
        </w:rPr>
        <w:t xml:space="preserve"> דראז נ' מדינת ישראל </w:t>
      </w:r>
      <w:r>
        <w:rPr>
          <w:rtl/>
        </w:rPr>
        <w:t>(מיום 13.3.2016)</w:t>
      </w:r>
      <w:r>
        <w:rPr>
          <w:b/>
          <w:bCs/>
          <w:rtl/>
        </w:rPr>
        <w:t xml:space="preserve">; </w:t>
      </w:r>
      <w:hyperlink r:id="rId20" w:history="1">
        <w:r w:rsidR="000A2042" w:rsidRPr="000A2042">
          <w:rPr>
            <w:color w:val="0000FF"/>
            <w:u w:val="single"/>
            <w:rtl/>
          </w:rPr>
          <w:t>ע"פ 5330/20</w:t>
        </w:r>
      </w:hyperlink>
      <w:r>
        <w:rPr>
          <w:b/>
          <w:bCs/>
          <w:rtl/>
        </w:rPr>
        <w:t xml:space="preserve"> ענבתאוי נ' מדינת ישראל, </w:t>
      </w:r>
      <w:r>
        <w:rPr>
          <w:rtl/>
        </w:rPr>
        <w:t>פסקה 14 (מיום 22.11.2020)</w:t>
      </w:r>
      <w:r w:rsidRPr="00CD372A">
        <w:rPr>
          <w:rtl/>
        </w:rPr>
        <w:t>.</w:t>
      </w:r>
      <w:r>
        <w:rPr>
          <w:rtl/>
        </w:rPr>
        <w:t xml:space="preserve"> הפסיקה הר"מ דנה במקרים שבהם החזיק או נשא נאשם נשק ברכב, העונשים בעבירות החזקת נשק נמוכים מאלו שמוטלים על נאשמים שהורשעו בנשיאה/הובלת נשק באותן נסיבות: </w:t>
      </w:r>
    </w:p>
    <w:p w14:paraId="0B5A27EE" w14:textId="77777777" w:rsidR="007101EF" w:rsidRDefault="007101EF" w:rsidP="007101EF">
      <w:pPr>
        <w:spacing w:line="360" w:lineRule="atLeast"/>
        <w:ind w:left="720"/>
        <w:jc w:val="both"/>
        <w:rPr>
          <w:rFonts w:eastAsia="David"/>
          <w:rtl/>
        </w:rPr>
      </w:pPr>
    </w:p>
    <w:p w14:paraId="1CBA8531" w14:textId="77777777" w:rsidR="007101EF" w:rsidRDefault="007101EF" w:rsidP="007101EF">
      <w:pPr>
        <w:spacing w:line="360" w:lineRule="atLeast"/>
        <w:ind w:left="720"/>
        <w:jc w:val="both"/>
        <w:rPr>
          <w:rFonts w:eastAsia="David"/>
          <w:rtl/>
        </w:rPr>
      </w:pPr>
      <w:r w:rsidRPr="00CD372A">
        <w:rPr>
          <w:rFonts w:eastAsia="David"/>
          <w:rtl/>
        </w:rPr>
        <w:t>ב</w:t>
      </w:r>
      <w:hyperlink r:id="rId21" w:history="1">
        <w:r w:rsidR="000A2042" w:rsidRPr="000A2042">
          <w:rPr>
            <w:rFonts w:eastAsia="David"/>
            <w:color w:val="0000FF"/>
            <w:u w:val="single"/>
            <w:rtl/>
          </w:rPr>
          <w:t>ע"פ 309/22</w:t>
        </w:r>
      </w:hyperlink>
      <w:r>
        <w:rPr>
          <w:rFonts w:ascii="David" w:eastAsia="David" w:hAnsi="David"/>
          <w:rtl/>
        </w:rPr>
        <w:t xml:space="preserve"> </w:t>
      </w:r>
      <w:r>
        <w:rPr>
          <w:rFonts w:ascii="David" w:eastAsia="David" w:hAnsi="David" w:hint="cs"/>
          <w:b/>
          <w:bCs/>
          <w:rtl/>
        </w:rPr>
        <w:t>מדינת ישראל נ' ביאדסה</w:t>
      </w:r>
      <w:r>
        <w:rPr>
          <w:rFonts w:ascii="David" w:eastAsia="David" w:hAnsi="David" w:hint="cs"/>
          <w:rtl/>
        </w:rPr>
        <w:t xml:space="preserve"> (10.5.2022), </w:t>
      </w:r>
      <w:r>
        <w:rPr>
          <w:rFonts w:eastAsia="David"/>
          <w:rtl/>
        </w:rPr>
        <w:t xml:space="preserve">הורשע נאשם, נעדר עבר פלילי, בעבירות החזקת נשק, נשיאה והובלה – רובה מסוג קלצ'ניקוב, מחסנית תואמת ומלאה, אקדח חצי אוטומטי טעון במחסנית תואמת עם 27 כדורים וכדור נוסף בקנה, ומחסנית נוספת. בית המשפט המחוזי קבע מתחם עונשי הנע בין 19 ל-54 חודשי מאסר וגזר על הנאשם 19 מאסר חודשי מאסר בפועל. ערעור המדינה התקבל ועונשו הוחמר ל-30 חודשים; </w:t>
      </w:r>
    </w:p>
    <w:p w14:paraId="3A947754" w14:textId="77777777" w:rsidR="007101EF" w:rsidRDefault="007101EF" w:rsidP="007101EF">
      <w:pPr>
        <w:spacing w:line="360" w:lineRule="atLeast"/>
        <w:ind w:left="720"/>
        <w:jc w:val="both"/>
        <w:rPr>
          <w:rFonts w:eastAsia="David"/>
          <w:rtl/>
        </w:rPr>
      </w:pPr>
    </w:p>
    <w:p w14:paraId="6CB292C7" w14:textId="77777777" w:rsidR="007101EF" w:rsidRDefault="000A2042" w:rsidP="007101EF">
      <w:pPr>
        <w:spacing w:line="360" w:lineRule="atLeast"/>
        <w:ind w:left="720"/>
        <w:jc w:val="both"/>
        <w:rPr>
          <w:rFonts w:eastAsia="David"/>
          <w:rtl/>
        </w:rPr>
      </w:pPr>
      <w:hyperlink r:id="rId22" w:history="1">
        <w:r w:rsidRPr="000A2042">
          <w:rPr>
            <w:rFonts w:eastAsia="David"/>
            <w:color w:val="0000FF"/>
            <w:u w:val="single"/>
            <w:rtl/>
          </w:rPr>
          <w:t>ע"פ 3851/23</w:t>
        </w:r>
      </w:hyperlink>
      <w:r w:rsidR="007101EF">
        <w:rPr>
          <w:rFonts w:eastAsia="David"/>
          <w:rtl/>
        </w:rPr>
        <w:t xml:space="preserve"> </w:t>
      </w:r>
      <w:r w:rsidR="007101EF">
        <w:rPr>
          <w:rFonts w:eastAsia="David"/>
          <w:b/>
          <w:bCs/>
          <w:rtl/>
        </w:rPr>
        <w:t>בוהדנה נ' מדינת ישראל</w:t>
      </w:r>
      <w:r w:rsidR="007101EF">
        <w:rPr>
          <w:rFonts w:eastAsia="David"/>
          <w:rtl/>
        </w:rPr>
        <w:t xml:space="preserve"> (13.6.</w:t>
      </w:r>
      <w:r w:rsidR="007101EF">
        <w:rPr>
          <w:rFonts w:eastAsia="David" w:hint="cs"/>
          <w:rtl/>
        </w:rPr>
        <w:t>20</w:t>
      </w:r>
      <w:r w:rsidR="007101EF">
        <w:rPr>
          <w:rFonts w:eastAsia="David"/>
          <w:rtl/>
        </w:rPr>
        <w:t>23), הנאשם הורשע על יסוד הודאתו בעבירות של החזקה, נשיאה והובלת נשק, בכך שנשא ברכב במושב ליד הנהג אקדח טעון במחסנית ובה כדורים. נקבע מתחם שנע בין 30-48 חודשי מאסר, על הנאשם נגזרו 42 חודשי מאסר, ערעורו נדחה;</w:t>
      </w:r>
    </w:p>
    <w:p w14:paraId="19B5BE27" w14:textId="77777777" w:rsidR="007101EF" w:rsidRDefault="000A2042" w:rsidP="007101EF">
      <w:pPr>
        <w:spacing w:line="360" w:lineRule="atLeast"/>
        <w:ind w:left="720"/>
        <w:jc w:val="both"/>
        <w:rPr>
          <w:rFonts w:eastAsia="David"/>
          <w:rtl/>
        </w:rPr>
      </w:pPr>
      <w:hyperlink r:id="rId23" w:history="1">
        <w:r w:rsidRPr="000A2042">
          <w:rPr>
            <w:rFonts w:eastAsia="David"/>
            <w:color w:val="0000FF"/>
            <w:u w:val="single"/>
            <w:rtl/>
          </w:rPr>
          <w:t>ע"פ 5856/22</w:t>
        </w:r>
      </w:hyperlink>
      <w:r w:rsidR="007101EF">
        <w:rPr>
          <w:rFonts w:eastAsia="David"/>
          <w:rtl/>
        </w:rPr>
        <w:t xml:space="preserve"> </w:t>
      </w:r>
      <w:r w:rsidR="007101EF">
        <w:rPr>
          <w:rFonts w:eastAsia="David"/>
          <w:b/>
          <w:bCs/>
          <w:rtl/>
        </w:rPr>
        <w:t>סויטאת נ' מדינת ישראל</w:t>
      </w:r>
      <w:r w:rsidR="007101EF">
        <w:rPr>
          <w:rFonts w:eastAsia="David"/>
          <w:rtl/>
        </w:rPr>
        <w:t xml:space="preserve"> (21.3.</w:t>
      </w:r>
      <w:r w:rsidR="007101EF">
        <w:rPr>
          <w:rFonts w:eastAsia="David" w:hint="cs"/>
          <w:rtl/>
        </w:rPr>
        <w:t>20</w:t>
      </w:r>
      <w:r w:rsidR="007101EF">
        <w:rPr>
          <w:rFonts w:eastAsia="David"/>
          <w:rtl/>
        </w:rPr>
        <w:t>23)- הנאשם הורשע בכך שנסע עם אדם אחר כשהוא נושא אקדח ובו מחסנית ריקה, הנאשם ניסה להימלט משוטרים שביקשו לערוך חיפוש ברכב. על הנאשם נגזרו 28 חודשי מאסר, ערעורו נדחה;</w:t>
      </w:r>
    </w:p>
    <w:p w14:paraId="6C4C9A55" w14:textId="77777777" w:rsidR="007101EF" w:rsidRDefault="007101EF" w:rsidP="007101EF">
      <w:pPr>
        <w:spacing w:line="360" w:lineRule="atLeast"/>
        <w:ind w:left="720"/>
        <w:jc w:val="both"/>
        <w:rPr>
          <w:rFonts w:ascii="David" w:eastAsia="David" w:hAnsi="David"/>
          <w:rtl/>
        </w:rPr>
      </w:pPr>
    </w:p>
    <w:p w14:paraId="51C9A99C" w14:textId="77777777" w:rsidR="007101EF" w:rsidRDefault="007101EF" w:rsidP="007101EF">
      <w:pPr>
        <w:spacing w:line="360" w:lineRule="atLeast"/>
        <w:ind w:left="720"/>
        <w:jc w:val="both"/>
        <w:rPr>
          <w:rFonts w:ascii="David" w:eastAsia="David" w:hAnsi="David"/>
          <w:rtl/>
        </w:rPr>
      </w:pPr>
      <w:r>
        <w:rPr>
          <w:rFonts w:ascii="David" w:eastAsia="David" w:hAnsi="David"/>
          <w:rtl/>
        </w:rPr>
        <w:t>ב</w:t>
      </w:r>
      <w:hyperlink r:id="rId24" w:history="1">
        <w:r w:rsidR="000A2042" w:rsidRPr="000A2042">
          <w:rPr>
            <w:rFonts w:ascii="David" w:eastAsia="David" w:hAnsi="David"/>
            <w:color w:val="0000FF"/>
            <w:u w:val="single"/>
            <w:rtl/>
          </w:rPr>
          <w:t>ע"פ 637/24</w:t>
        </w:r>
      </w:hyperlink>
      <w:r>
        <w:rPr>
          <w:rFonts w:ascii="David" w:eastAsia="David" w:hAnsi="David"/>
          <w:rtl/>
        </w:rPr>
        <w:t xml:space="preserve"> </w:t>
      </w:r>
      <w:r>
        <w:rPr>
          <w:rFonts w:ascii="David" w:eastAsia="David" w:hAnsi="David"/>
          <w:b/>
          <w:bCs/>
          <w:rtl/>
        </w:rPr>
        <w:t xml:space="preserve">זועבי נ' מדינת ישראל </w:t>
      </w:r>
      <w:r>
        <w:rPr>
          <w:rFonts w:ascii="David" w:eastAsia="David" w:hAnsi="David"/>
          <w:rtl/>
        </w:rPr>
        <w:t>(19.2.</w:t>
      </w:r>
      <w:r>
        <w:rPr>
          <w:rFonts w:ascii="David" w:eastAsia="David" w:hAnsi="David" w:hint="cs"/>
          <w:rtl/>
        </w:rPr>
        <w:t>20</w:t>
      </w:r>
      <w:r>
        <w:rPr>
          <w:rFonts w:ascii="David" w:eastAsia="David" w:hAnsi="David"/>
          <w:rtl/>
        </w:rPr>
        <w:t xml:space="preserve">24) נדחה ערעור נאשם שהורשע בהחזקה בצוותא ברכב רובה סער דמוי </w:t>
      </w:r>
      <w:r>
        <w:rPr>
          <w:rFonts w:ascii="David" w:eastAsia="David" w:hAnsi="David"/>
        </w:rPr>
        <w:t>M-16</w:t>
      </w:r>
      <w:r>
        <w:rPr>
          <w:rFonts w:ascii="David" w:eastAsia="David" w:hAnsi="David"/>
          <w:rtl/>
        </w:rPr>
        <w:t xml:space="preserve"> טעון במחסנית ריקה מתאימה. נקבע מתחם הנע בין 36-20 חודשי מאסר. בהתחשב בהודאתו לאחר שהתקיימו מספר דיוני הוכחות, תקופת מעצר ממושכת ונסיבותיו האישיות, ומנגד הרשעה קודמת שאינה מתחום הנשק, נדון למאסר בן 20 חודשים; </w:t>
      </w:r>
    </w:p>
    <w:p w14:paraId="407CB3E4" w14:textId="77777777" w:rsidR="007101EF" w:rsidRDefault="007101EF" w:rsidP="007101EF">
      <w:pPr>
        <w:spacing w:line="360" w:lineRule="auto"/>
        <w:ind w:left="720"/>
        <w:contextualSpacing/>
        <w:jc w:val="both"/>
        <w:rPr>
          <w:rFonts w:ascii="David" w:eastAsia="David" w:hAnsi="David"/>
          <w:rtl/>
        </w:rPr>
      </w:pPr>
    </w:p>
    <w:p w14:paraId="0B0E1317" w14:textId="77777777" w:rsidR="007101EF" w:rsidRDefault="007101EF" w:rsidP="007101EF">
      <w:pPr>
        <w:spacing w:line="360" w:lineRule="auto"/>
        <w:ind w:left="720"/>
        <w:contextualSpacing/>
        <w:jc w:val="both"/>
        <w:rPr>
          <w:rtl/>
        </w:rPr>
      </w:pPr>
      <w:r>
        <w:rPr>
          <w:rtl/>
        </w:rPr>
        <w:t>ב</w:t>
      </w:r>
      <w:hyperlink r:id="rId25" w:history="1">
        <w:r w:rsidR="000A2042" w:rsidRPr="000A2042">
          <w:rPr>
            <w:color w:val="0000FF"/>
            <w:u w:val="single"/>
            <w:rtl/>
          </w:rPr>
          <w:t>ע"פ 166/22</w:t>
        </w:r>
      </w:hyperlink>
      <w:r>
        <w:rPr>
          <w:rtl/>
        </w:rPr>
        <w:t xml:space="preserve"> </w:t>
      </w:r>
      <w:r>
        <w:rPr>
          <w:b/>
          <w:bCs/>
          <w:rtl/>
        </w:rPr>
        <w:t xml:space="preserve">טאהא נ' מדינת ישראל </w:t>
      </w:r>
      <w:r>
        <w:rPr>
          <w:rtl/>
        </w:rPr>
        <w:t xml:space="preserve">(1.6.2022) הורשע נאשם בהחזקת תת מקלע מאולתר ברכבו, הנאשם החזיקו לבקשת אחר, הנשק נמצא בחיפוש שערך שוטר ברכב. נקבע מתחם הנע בין 40-20 חודשי מאסר. הנאשם, צעיר ללא עבר, נדון למאסר בן 22 חודשים. ערעורו נדחה; </w:t>
      </w:r>
    </w:p>
    <w:p w14:paraId="35FF03FE" w14:textId="77777777" w:rsidR="007101EF" w:rsidRDefault="007101EF" w:rsidP="007101EF">
      <w:pPr>
        <w:spacing w:line="360" w:lineRule="auto"/>
        <w:ind w:left="720"/>
        <w:contextualSpacing/>
        <w:jc w:val="both"/>
        <w:rPr>
          <w:rFonts w:ascii="David" w:eastAsia="David" w:hAnsi="David"/>
          <w:rtl/>
        </w:rPr>
      </w:pPr>
    </w:p>
    <w:p w14:paraId="1348E850" w14:textId="77777777" w:rsidR="007101EF" w:rsidRDefault="000A2042" w:rsidP="007101EF">
      <w:pPr>
        <w:spacing w:line="360" w:lineRule="auto"/>
        <w:ind w:left="720"/>
        <w:contextualSpacing/>
        <w:jc w:val="both"/>
        <w:rPr>
          <w:rFonts w:eastAsia="David"/>
        </w:rPr>
      </w:pPr>
      <w:hyperlink r:id="rId26" w:history="1">
        <w:r w:rsidRPr="000A2042">
          <w:rPr>
            <w:rFonts w:eastAsia="David"/>
            <w:color w:val="0000FF"/>
            <w:u w:val="single"/>
            <w:rtl/>
          </w:rPr>
          <w:t>ע"פ 1695/22</w:t>
        </w:r>
      </w:hyperlink>
      <w:r w:rsidR="007101EF">
        <w:rPr>
          <w:rFonts w:eastAsia="David"/>
          <w:rtl/>
        </w:rPr>
        <w:t xml:space="preserve"> </w:t>
      </w:r>
      <w:r w:rsidR="007101EF">
        <w:rPr>
          <w:rFonts w:eastAsia="David" w:hint="cs"/>
          <w:b/>
          <w:bCs/>
          <w:rtl/>
        </w:rPr>
        <w:t xml:space="preserve">מדינת ישראל נ' גנאים ואח' </w:t>
      </w:r>
      <w:r w:rsidR="007101EF">
        <w:rPr>
          <w:rFonts w:eastAsia="David" w:hint="cs"/>
          <w:rtl/>
        </w:rPr>
        <w:t xml:space="preserve">(29.3.2022) הוחמר עונשו של נאשם שהחזיק תת מקלע מאולתר בתצורה של רובה סער </w:t>
      </w:r>
      <w:r w:rsidR="007101EF">
        <w:rPr>
          <w:rFonts w:eastAsia="David"/>
        </w:rPr>
        <w:t>M16</w:t>
      </w:r>
      <w:r w:rsidR="007101EF">
        <w:rPr>
          <w:rFonts w:eastAsia="David"/>
          <w:rtl/>
        </w:rPr>
        <w:t xml:space="preserve">, לצד מחסנית מאולתרת תואמת. הנאשם צעיר ללא עבר פלילי נדון ל-19 חודשים. בית המשפט העליון קיבל את ערעור המדינה והעמיד את עונשו על 22 חודשי מאסר, בהתחשב, בין היתר, בסוג הנשק;  </w:t>
      </w:r>
    </w:p>
    <w:p w14:paraId="6F051203" w14:textId="77777777" w:rsidR="007101EF" w:rsidRDefault="007101EF" w:rsidP="007101EF">
      <w:pPr>
        <w:spacing w:line="360" w:lineRule="auto"/>
        <w:ind w:left="720"/>
        <w:contextualSpacing/>
        <w:jc w:val="both"/>
        <w:rPr>
          <w:rtl/>
        </w:rPr>
      </w:pPr>
    </w:p>
    <w:p w14:paraId="3090EBD6" w14:textId="77777777" w:rsidR="007101EF" w:rsidRDefault="007101EF" w:rsidP="007101EF">
      <w:pPr>
        <w:spacing w:line="360" w:lineRule="auto"/>
        <w:ind w:left="720"/>
        <w:contextualSpacing/>
        <w:jc w:val="both"/>
        <w:rPr>
          <w:rtl/>
        </w:rPr>
      </w:pPr>
      <w:r>
        <w:rPr>
          <w:rtl/>
        </w:rPr>
        <w:t>ב</w:t>
      </w:r>
      <w:hyperlink r:id="rId27" w:history="1">
        <w:r w:rsidR="000A2042" w:rsidRPr="000A2042">
          <w:rPr>
            <w:color w:val="0000FF"/>
            <w:u w:val="single"/>
            <w:rtl/>
          </w:rPr>
          <w:t>ע"פ 1826/19</w:t>
        </w:r>
      </w:hyperlink>
      <w:r>
        <w:rPr>
          <w:rtl/>
        </w:rPr>
        <w:t xml:space="preserve"> </w:t>
      </w:r>
      <w:r>
        <w:rPr>
          <w:b/>
          <w:bCs/>
          <w:rtl/>
        </w:rPr>
        <w:t>אבו עסא נ' מדינת ישראל</w:t>
      </w:r>
      <w:r>
        <w:rPr>
          <w:rtl/>
        </w:rPr>
        <w:t xml:space="preserve">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42B43633" w14:textId="77777777" w:rsidR="007101EF" w:rsidRDefault="007101EF" w:rsidP="007101EF">
      <w:pPr>
        <w:spacing w:line="360" w:lineRule="auto"/>
        <w:ind w:left="720"/>
        <w:contextualSpacing/>
        <w:jc w:val="both"/>
        <w:rPr>
          <w:rFonts w:ascii="Arial" w:eastAsia="David" w:hAnsi="Arial"/>
        </w:rPr>
      </w:pPr>
    </w:p>
    <w:p w14:paraId="16902AFB" w14:textId="77777777" w:rsidR="007101EF" w:rsidRDefault="007101EF" w:rsidP="007101EF">
      <w:pPr>
        <w:spacing w:line="360" w:lineRule="auto"/>
        <w:ind w:left="720"/>
        <w:contextualSpacing/>
        <w:jc w:val="both"/>
        <w:rPr>
          <w:rFonts w:ascii="Arial" w:eastAsia="David" w:hAnsi="Arial"/>
          <w:rtl/>
        </w:rPr>
      </w:pPr>
      <w:r>
        <w:rPr>
          <w:rFonts w:ascii="Arial" w:eastAsia="David" w:hAnsi="Arial"/>
          <w:rtl/>
        </w:rPr>
        <w:t xml:space="preserve">בת"פ (מח' מרכז) </w:t>
      </w:r>
      <w:r>
        <w:rPr>
          <w:rFonts w:ascii="Arial" w:eastAsia="David" w:hAnsi="Arial"/>
          <w:b/>
          <w:bCs/>
          <w:rtl/>
        </w:rPr>
        <w:t xml:space="preserve">מדינת ישראל נ' מתאני </w:t>
      </w:r>
      <w:r>
        <w:rPr>
          <w:rFonts w:ascii="Arial" w:eastAsia="David" w:hAnsi="Arial"/>
          <w:rtl/>
        </w:rPr>
        <w:t>(7.2.</w:t>
      </w:r>
      <w:r>
        <w:rPr>
          <w:rFonts w:ascii="Arial" w:eastAsia="David" w:hAnsi="Arial" w:hint="cs"/>
          <w:rtl/>
        </w:rPr>
        <w:t>20</w:t>
      </w:r>
      <w:r>
        <w:rPr>
          <w:rFonts w:ascii="Arial" w:eastAsia="David" w:hAnsi="Arial"/>
          <w:rtl/>
        </w:rPr>
        <w:t xml:space="preserve">24) הורשע הנאשם בהחזקת נשק מסוג קרלו ברכבו, מחסנית תואמת ו-39 כדורי תחמושת תואמים עטופים בחולצה ובשקיות. במהלך הנסיעה נהג במהירות גבוהה וזגזג בנסיעתו, בנוסף הורשע בעבירת הפרעה לשוטר. נקבע מתחם ענישה הנע בין 36-18 חודשי מאסר. הנאשם צעיר, לחובתו הרשעות קודמות בעבירות נשק ואלימות בגינן נדון לעונשי מאסר. נדון למאסר בן 26 חודשים, בנוסף הופעל מאסר מותנה באופן חופף ומצטבר כך שירצה 36 חודשי מאסר; </w:t>
      </w:r>
    </w:p>
    <w:p w14:paraId="33CD9A9A" w14:textId="77777777" w:rsidR="007101EF" w:rsidRDefault="007101EF" w:rsidP="007101EF">
      <w:pPr>
        <w:spacing w:line="360" w:lineRule="auto"/>
        <w:ind w:left="720"/>
        <w:contextualSpacing/>
        <w:jc w:val="both"/>
        <w:rPr>
          <w:rFonts w:ascii="Arial" w:eastAsia="David" w:hAnsi="Arial"/>
          <w:rtl/>
        </w:rPr>
      </w:pPr>
    </w:p>
    <w:p w14:paraId="71B0E15B" w14:textId="77777777" w:rsidR="007101EF" w:rsidRDefault="007101EF" w:rsidP="007101EF">
      <w:pPr>
        <w:spacing w:line="360" w:lineRule="auto"/>
        <w:ind w:left="720"/>
        <w:contextualSpacing/>
        <w:jc w:val="both"/>
        <w:rPr>
          <w:rFonts w:ascii="David" w:eastAsia="David" w:hAnsi="David"/>
          <w:rtl/>
        </w:rPr>
      </w:pPr>
      <w:r>
        <w:rPr>
          <w:rFonts w:ascii="David" w:eastAsia="David" w:hAnsi="David"/>
          <w:rtl/>
        </w:rPr>
        <w:t>ב</w:t>
      </w:r>
      <w:hyperlink r:id="rId28" w:history="1">
        <w:r w:rsidR="000A2042" w:rsidRPr="000A2042">
          <w:rPr>
            <w:rFonts w:ascii="David" w:eastAsia="David" w:hAnsi="David"/>
            <w:color w:val="0000FF"/>
            <w:u w:val="single"/>
            <w:rtl/>
          </w:rPr>
          <w:t>ת"פ (מח' מרכז) 25009-02-23</w:t>
        </w:r>
      </w:hyperlink>
      <w:r>
        <w:rPr>
          <w:rFonts w:ascii="David" w:eastAsia="David" w:hAnsi="David"/>
          <w:rtl/>
        </w:rPr>
        <w:t xml:space="preserve"> </w:t>
      </w:r>
      <w:r>
        <w:rPr>
          <w:rFonts w:ascii="David" w:eastAsia="David" w:hAnsi="David"/>
          <w:b/>
          <w:bCs/>
          <w:rtl/>
        </w:rPr>
        <w:t xml:space="preserve">מדינת ישראל נ' אלדראגה </w:t>
      </w:r>
      <w:r>
        <w:rPr>
          <w:rFonts w:ascii="David" w:eastAsia="David" w:hAnsi="David"/>
          <w:rtl/>
        </w:rPr>
        <w:t xml:space="preserve">(גזר דיני מיום 14.2.24) הורשע הנאשם בעבירת נשיאה והובלה נשק ותחמושת – אקדח ומחסנית, על גופו נמצאה תחמושת תואמת. נקבע מתחם ענישה הנע בין 40-20 חודשים. בהתחשב בגילו הצעיר, עברו הנקי, שמירתו על אורח חיים יציב והליך טיפולי ראשוני שעבר במסגרת שירות המבחן, נדון למאסר בן 20 חודשים. </w:t>
      </w:r>
    </w:p>
    <w:p w14:paraId="29C250FA" w14:textId="77777777" w:rsidR="007101EF" w:rsidRDefault="007101EF" w:rsidP="007101EF">
      <w:pPr>
        <w:spacing w:line="360" w:lineRule="auto"/>
        <w:ind w:left="720"/>
        <w:contextualSpacing/>
        <w:jc w:val="both"/>
        <w:rPr>
          <w:rFonts w:ascii="David" w:eastAsia="David" w:hAnsi="David"/>
          <w:rtl/>
        </w:rPr>
      </w:pPr>
    </w:p>
    <w:p w14:paraId="1EA95679" w14:textId="77777777" w:rsidR="007101EF" w:rsidRDefault="000A2042" w:rsidP="007101EF">
      <w:pPr>
        <w:spacing w:line="360" w:lineRule="auto"/>
        <w:ind w:left="720"/>
        <w:contextualSpacing/>
        <w:jc w:val="both"/>
        <w:rPr>
          <w:rFonts w:ascii="David" w:eastAsia="David" w:hAnsi="David"/>
          <w:rtl/>
        </w:rPr>
      </w:pPr>
      <w:hyperlink r:id="rId29" w:history="1">
        <w:r w:rsidRPr="000A2042">
          <w:rPr>
            <w:rFonts w:ascii="David" w:eastAsia="David" w:hAnsi="David"/>
            <w:color w:val="0000FF"/>
            <w:u w:val="single"/>
            <w:rtl/>
          </w:rPr>
          <w:t>ת"פ (מח'-חיפה) 39808-05-23</w:t>
        </w:r>
      </w:hyperlink>
      <w:r w:rsidR="007101EF">
        <w:rPr>
          <w:rFonts w:ascii="David" w:eastAsia="David" w:hAnsi="David"/>
          <w:rtl/>
        </w:rPr>
        <w:t xml:space="preserve"> </w:t>
      </w:r>
      <w:r w:rsidR="007101EF">
        <w:rPr>
          <w:rFonts w:ascii="David" w:eastAsia="David" w:hAnsi="David"/>
          <w:b/>
          <w:bCs/>
          <w:rtl/>
        </w:rPr>
        <w:t>מדינת ישראל נ' זיבאק</w:t>
      </w:r>
      <w:r w:rsidR="007101EF">
        <w:rPr>
          <w:rFonts w:ascii="David" w:eastAsia="David" w:hAnsi="David"/>
          <w:rtl/>
        </w:rPr>
        <w:t xml:space="preserve"> (10.6.</w:t>
      </w:r>
      <w:r w:rsidR="007101EF">
        <w:rPr>
          <w:rFonts w:ascii="David" w:eastAsia="David" w:hAnsi="David" w:hint="cs"/>
          <w:rtl/>
        </w:rPr>
        <w:t>20</w:t>
      </w:r>
      <w:r w:rsidR="007101EF">
        <w:rPr>
          <w:rFonts w:ascii="David" w:eastAsia="David" w:hAnsi="David"/>
          <w:rtl/>
        </w:rPr>
        <w:t xml:space="preserve">24)- הנאשמים הורשעו בעבירות נשיאת נשק בצוותא ושימוש ברכב ללא רשות בצוותא, הנאשמים נשאו שני אקדחים טעונים במחסנית, שהכילו תחמושת. נקבע מתחם הנע בין 36-54 חודשי מאסר, על נאשם 1 הוטל עונש מאסר בתחתית המתחם. </w:t>
      </w:r>
    </w:p>
    <w:p w14:paraId="616716A7" w14:textId="77777777" w:rsidR="007101EF" w:rsidRDefault="007101EF" w:rsidP="007101EF">
      <w:pPr>
        <w:spacing w:line="360" w:lineRule="auto"/>
        <w:ind w:left="720"/>
        <w:contextualSpacing/>
        <w:jc w:val="both"/>
        <w:rPr>
          <w:rFonts w:ascii="David" w:eastAsia="David" w:hAnsi="David"/>
          <w:rtl/>
        </w:rPr>
      </w:pPr>
    </w:p>
    <w:p w14:paraId="4ADCF56F" w14:textId="77777777" w:rsidR="007101EF" w:rsidRDefault="007101EF" w:rsidP="007101EF">
      <w:pPr>
        <w:numPr>
          <w:ilvl w:val="0"/>
          <w:numId w:val="1"/>
        </w:numPr>
        <w:spacing w:after="160" w:line="360" w:lineRule="auto"/>
        <w:contextualSpacing/>
        <w:jc w:val="both"/>
        <w:rPr>
          <w:rFonts w:ascii="David" w:eastAsia="David" w:hAnsi="David"/>
          <w:rtl/>
        </w:rPr>
      </w:pPr>
      <w:r>
        <w:rPr>
          <w:rFonts w:ascii="David" w:eastAsia="David" w:hAnsi="David"/>
          <w:rtl/>
        </w:rPr>
        <w:t>לאחר שבחנתי את נסיבות מעשי הנאשם, מידת הפגיעה בערכים המוגנים ומדיניות הענישה הנוהגת, אני קובעת מתחם ענישה שנע</w:t>
      </w:r>
      <w:r>
        <w:rPr>
          <w:rFonts w:ascii="David" w:eastAsia="David" w:hAnsi="David"/>
          <w:b/>
          <w:bCs/>
          <w:rtl/>
        </w:rPr>
        <w:t xml:space="preserve"> בין 30-52 חודשי מאסר. </w:t>
      </w:r>
    </w:p>
    <w:p w14:paraId="19C08B54" w14:textId="77777777" w:rsidR="007101EF" w:rsidRDefault="007101EF" w:rsidP="007101EF">
      <w:pPr>
        <w:spacing w:line="360" w:lineRule="auto"/>
        <w:ind w:left="720"/>
        <w:contextualSpacing/>
        <w:jc w:val="both"/>
        <w:rPr>
          <w:rFonts w:ascii="David" w:eastAsia="David" w:hAnsi="David"/>
        </w:rPr>
      </w:pPr>
    </w:p>
    <w:p w14:paraId="0AADCD7E" w14:textId="77777777" w:rsidR="007101EF" w:rsidRDefault="007101EF" w:rsidP="007101EF">
      <w:pPr>
        <w:spacing w:line="360" w:lineRule="auto"/>
        <w:ind w:left="720"/>
        <w:contextualSpacing/>
        <w:jc w:val="both"/>
        <w:rPr>
          <w:rFonts w:ascii="David" w:eastAsia="David" w:hAnsi="David"/>
          <w:b/>
          <w:bCs/>
          <w:u w:val="single"/>
          <w:rtl/>
        </w:rPr>
      </w:pPr>
      <w:r>
        <w:rPr>
          <w:rFonts w:ascii="David" w:eastAsia="David" w:hAnsi="David"/>
          <w:b/>
          <w:bCs/>
          <w:u w:val="single"/>
          <w:rtl/>
        </w:rPr>
        <w:t>גזירת העונש המתאים לנאשם</w:t>
      </w:r>
    </w:p>
    <w:p w14:paraId="48B1022F" w14:textId="77777777" w:rsidR="007101EF" w:rsidRDefault="007101EF" w:rsidP="007101EF">
      <w:pPr>
        <w:numPr>
          <w:ilvl w:val="0"/>
          <w:numId w:val="1"/>
        </w:numPr>
        <w:spacing w:after="160" w:line="360" w:lineRule="auto"/>
        <w:contextualSpacing/>
        <w:jc w:val="both"/>
        <w:rPr>
          <w:rFonts w:ascii="David" w:eastAsia="David" w:hAnsi="David"/>
        </w:rPr>
      </w:pPr>
      <w:r>
        <w:rPr>
          <w:rFonts w:ascii="David" w:eastAsia="David" w:hAnsi="David"/>
          <w:rtl/>
        </w:rPr>
        <w:t>הנאשם כבן 23, ללא עבר פלילי, נעצר בגין תיק</w:t>
      </w:r>
      <w:r>
        <w:rPr>
          <w:rFonts w:ascii="David" w:eastAsia="David" w:hAnsi="David" w:hint="cs"/>
          <w:rtl/>
        </w:rPr>
        <w:t xml:space="preserve"> זה, </w:t>
      </w:r>
      <w:r>
        <w:rPr>
          <w:rFonts w:ascii="David" w:eastAsia="David" w:hAnsi="David"/>
          <w:rtl/>
        </w:rPr>
        <w:t>שהה חמישה חודשים במעצר ממש ולאחר מכן תקופה ארוכה בתנאי פקא"ל, בין לבין הוקלו תנאיו, הותר לו לצאת לעבודה, הנאשם לומד ועובד בתחום בניין ושיפוצים וזוכה להערכת מעבידו (ר' אסופת מסמכים נ/1)</w:t>
      </w:r>
      <w:r>
        <w:rPr>
          <w:rFonts w:ascii="David" w:eastAsia="David" w:hAnsi="David" w:hint="cs"/>
          <w:rtl/>
        </w:rPr>
        <w:t>.</w:t>
      </w:r>
    </w:p>
    <w:p w14:paraId="49ADB3BE" w14:textId="77777777" w:rsidR="007101EF" w:rsidRDefault="007101EF" w:rsidP="007101EF">
      <w:pPr>
        <w:spacing w:line="360" w:lineRule="auto"/>
        <w:ind w:left="720"/>
        <w:contextualSpacing/>
        <w:jc w:val="both"/>
        <w:rPr>
          <w:rFonts w:ascii="David" w:eastAsia="David" w:hAnsi="David"/>
        </w:rPr>
      </w:pPr>
    </w:p>
    <w:p w14:paraId="27D564BB" w14:textId="77777777" w:rsidR="007101EF" w:rsidRDefault="007101EF" w:rsidP="007101EF">
      <w:pPr>
        <w:numPr>
          <w:ilvl w:val="0"/>
          <w:numId w:val="1"/>
        </w:numPr>
        <w:spacing w:after="160" w:line="360" w:lineRule="auto"/>
        <w:contextualSpacing/>
        <w:jc w:val="both"/>
        <w:rPr>
          <w:rFonts w:ascii="David" w:eastAsia="David" w:hAnsi="David"/>
        </w:rPr>
      </w:pPr>
      <w:r>
        <w:rPr>
          <w:rFonts w:ascii="David" w:eastAsia="David" w:hAnsi="David"/>
          <w:rtl/>
        </w:rPr>
        <w:t xml:space="preserve"> </w:t>
      </w:r>
      <w:r>
        <w:rPr>
          <w:rFonts w:ascii="David" w:eastAsia="David" w:hAnsi="David" w:hint="cs"/>
          <w:rtl/>
        </w:rPr>
        <w:t xml:space="preserve">הנאשם שולב בטיפול שירות מבחן כבר בהליך המעצר, השתלב בקבוצות טיפוליות, שיתף פעולה והגיע למפגשים בקביעות. שירות המבחן התרשם מנאשם נעדר דפוסים עברייניים שבתקופת ביצוע העבירה היה מעורב בחברה שולית, התקשה להציב גבולות ופעל באופן שגוי. </w:t>
      </w:r>
    </w:p>
    <w:p w14:paraId="40861234" w14:textId="77777777" w:rsidR="007101EF" w:rsidRDefault="007101EF" w:rsidP="007101EF">
      <w:pPr>
        <w:spacing w:after="160" w:line="360" w:lineRule="auto"/>
        <w:ind w:left="720"/>
        <w:contextualSpacing/>
        <w:jc w:val="both"/>
        <w:rPr>
          <w:rFonts w:ascii="David" w:eastAsia="David" w:hAnsi="David"/>
        </w:rPr>
      </w:pPr>
    </w:p>
    <w:p w14:paraId="72753E89" w14:textId="77777777" w:rsidR="007101EF" w:rsidRDefault="007101EF" w:rsidP="007101EF">
      <w:pPr>
        <w:numPr>
          <w:ilvl w:val="0"/>
          <w:numId w:val="1"/>
        </w:numPr>
        <w:spacing w:after="160" w:line="360" w:lineRule="auto"/>
        <w:contextualSpacing/>
        <w:jc w:val="both"/>
        <w:rPr>
          <w:rFonts w:ascii="David" w:eastAsia="David" w:hAnsi="David"/>
          <w:rtl/>
        </w:rPr>
      </w:pPr>
      <w:r>
        <w:rPr>
          <w:rFonts w:ascii="David" w:eastAsia="David" w:hAnsi="David"/>
          <w:rtl/>
        </w:rPr>
        <w:t xml:space="preserve">הנאשם נטל אחריות חלקית ביותר על מעשיו, טען שהנשק שייך לחבריו שנסעו איתו ולא היה מודע לתכולת התיק. יש טעם רב בטיעוני המאשימה, כי שירות המבחן לא העמיק בסוגיית יחסו של הנאשם לעבירה גם בשלבים מתקדמים של הליכי הטיפול. בצד זאת, ניכר שהנאשם נתרם מהטיפול ומבטא שאיפות נורמטיביות, הנאשם מגלה מוטיבציה טיפולית במשך תקופה ארוכה, עובד ומנהל אורח חיים יציב,  הסיכון הנשקף ממנו להישנות ביצוע עבירות נשק פחת, והסיכוי כי ישתקם בעתיד יתחזק. </w:t>
      </w:r>
    </w:p>
    <w:p w14:paraId="16ED1252" w14:textId="77777777" w:rsidR="007101EF" w:rsidRDefault="007101EF" w:rsidP="007101EF">
      <w:pPr>
        <w:spacing w:line="360" w:lineRule="auto"/>
        <w:ind w:left="720"/>
        <w:contextualSpacing/>
        <w:jc w:val="both"/>
        <w:rPr>
          <w:rFonts w:ascii="David" w:eastAsia="David" w:hAnsi="David"/>
        </w:rPr>
      </w:pPr>
    </w:p>
    <w:p w14:paraId="1FE493B5" w14:textId="77777777" w:rsidR="007101EF" w:rsidRDefault="007101EF" w:rsidP="007101EF">
      <w:pPr>
        <w:numPr>
          <w:ilvl w:val="0"/>
          <w:numId w:val="1"/>
        </w:numPr>
        <w:spacing w:after="160" w:line="360" w:lineRule="auto"/>
        <w:contextualSpacing/>
        <w:jc w:val="both"/>
        <w:rPr>
          <w:rFonts w:ascii="David" w:eastAsia="David" w:hAnsi="David"/>
        </w:rPr>
      </w:pPr>
      <w:r>
        <w:rPr>
          <w:rFonts w:ascii="David" w:eastAsia="David" w:hAnsi="David"/>
          <w:rtl/>
        </w:rPr>
        <w:t xml:space="preserve">עם זאת, אין מקום לאמץ את המלצת שירות המבחן, ואף לא לחרוג חריגה משמעותית ממתחם הענישה לקולא. המקרים שבהם מצאו בתי המשפט לחרוג בעבירות נשק חריגה לקולא מטעמי שיקום עד כדי הימנעות מעונש מאסר ממש ספורים וחריגים. לרב מדובר במקרי שיקום יוצאי דופן או מקרים "מאד מיוחדים", ראו </w:t>
      </w:r>
      <w:hyperlink r:id="rId30" w:history="1">
        <w:r w:rsidR="000A2042" w:rsidRPr="000A2042">
          <w:rPr>
            <w:color w:val="0000FF"/>
            <w:u w:val="single"/>
            <w:rtl/>
          </w:rPr>
          <w:t>ע"פ 6332/22</w:t>
        </w:r>
      </w:hyperlink>
      <w:r>
        <w:rPr>
          <w:rFonts w:ascii="David" w:hAnsi="David"/>
          <w:rtl/>
        </w:rPr>
        <w:t xml:space="preserve"> </w:t>
      </w:r>
      <w:r>
        <w:rPr>
          <w:rFonts w:ascii="David" w:hAnsi="David"/>
          <w:b/>
          <w:bCs/>
          <w:rtl/>
        </w:rPr>
        <w:t>פדידה נ' מדינת ישראל</w:t>
      </w:r>
      <w:r>
        <w:rPr>
          <w:rFonts w:ascii="David" w:hAnsi="David"/>
          <w:rtl/>
        </w:rPr>
        <w:t xml:space="preserve"> (16.2.2023); </w:t>
      </w:r>
      <w:hyperlink r:id="rId31" w:history="1">
        <w:r w:rsidR="000A2042" w:rsidRPr="000A2042">
          <w:rPr>
            <w:rFonts w:ascii="David" w:hAnsi="David"/>
            <w:color w:val="0000FF"/>
            <w:u w:val="single"/>
            <w:rtl/>
          </w:rPr>
          <w:t>ע"פ 5807/20</w:t>
        </w:r>
      </w:hyperlink>
      <w:r>
        <w:rPr>
          <w:rFonts w:ascii="David" w:hAnsi="David"/>
          <w:rtl/>
        </w:rPr>
        <w:t xml:space="preserve"> </w:t>
      </w:r>
      <w:r>
        <w:rPr>
          <w:rFonts w:ascii="David" w:hAnsi="David"/>
          <w:b/>
          <w:bCs/>
          <w:rtl/>
        </w:rPr>
        <w:t>מוחמד שיבלי נ' מדינת ישראל</w:t>
      </w:r>
      <w:r>
        <w:rPr>
          <w:rFonts w:ascii="David" w:hAnsi="David"/>
          <w:rtl/>
        </w:rPr>
        <w:t xml:space="preserve"> (30.12.</w:t>
      </w:r>
      <w:r>
        <w:rPr>
          <w:rFonts w:ascii="David" w:hAnsi="David" w:hint="cs"/>
          <w:rtl/>
        </w:rPr>
        <w:t>20</w:t>
      </w:r>
      <w:r>
        <w:rPr>
          <w:rFonts w:ascii="David" w:hAnsi="David"/>
          <w:rtl/>
        </w:rPr>
        <w:t xml:space="preserve">20); </w:t>
      </w:r>
      <w:hyperlink r:id="rId32" w:history="1">
        <w:r w:rsidR="000A2042" w:rsidRPr="000A2042">
          <w:rPr>
            <w:rFonts w:ascii="David" w:hAnsi="David"/>
            <w:color w:val="0000FF"/>
            <w:u w:val="single"/>
            <w:rtl/>
          </w:rPr>
          <w:t>ע"פ 4332/21</w:t>
        </w:r>
      </w:hyperlink>
      <w:r>
        <w:rPr>
          <w:rFonts w:ascii="David" w:hAnsi="David"/>
          <w:rtl/>
        </w:rPr>
        <w:t xml:space="preserve"> </w:t>
      </w:r>
      <w:r>
        <w:rPr>
          <w:rFonts w:ascii="David" w:hAnsi="David"/>
          <w:b/>
          <w:bCs/>
          <w:rtl/>
        </w:rPr>
        <w:t>עאסלה נ' מדינת ישראל</w:t>
      </w:r>
      <w:r>
        <w:rPr>
          <w:rFonts w:ascii="David" w:hAnsi="David"/>
          <w:rtl/>
        </w:rPr>
        <w:t xml:space="preserve"> (20.2.2022)).</w:t>
      </w:r>
      <w:r>
        <w:rPr>
          <w:rtl/>
        </w:rPr>
        <w:t xml:space="preserve"> </w:t>
      </w:r>
      <w:r>
        <w:rPr>
          <w:rFonts w:ascii="David" w:hAnsi="David"/>
          <w:rtl/>
        </w:rPr>
        <w:t>עוד ראו</w:t>
      </w:r>
      <w:r>
        <w:rPr>
          <w:rtl/>
        </w:rPr>
        <w:t xml:space="preserve"> </w:t>
      </w:r>
      <w:hyperlink r:id="rId33" w:history="1">
        <w:r w:rsidR="000A2042" w:rsidRPr="000A2042">
          <w:rPr>
            <w:rFonts w:ascii="David" w:eastAsia="David" w:hAnsi="David"/>
            <w:color w:val="0000FF"/>
            <w:u w:val="single"/>
            <w:rtl/>
          </w:rPr>
          <w:t>ע"פ 1936/24</w:t>
        </w:r>
      </w:hyperlink>
      <w:r>
        <w:rPr>
          <w:rFonts w:ascii="David" w:eastAsia="David" w:hAnsi="David"/>
          <w:rtl/>
        </w:rPr>
        <w:t xml:space="preserve"> </w:t>
      </w:r>
      <w:r>
        <w:rPr>
          <w:rFonts w:ascii="David" w:eastAsia="David" w:hAnsi="David"/>
          <w:b/>
          <w:bCs/>
          <w:rtl/>
        </w:rPr>
        <w:t>בשארה נ' מדינת ישראל</w:t>
      </w:r>
      <w:r>
        <w:rPr>
          <w:rFonts w:ascii="David" w:eastAsia="David" w:hAnsi="David"/>
          <w:rtl/>
        </w:rPr>
        <w:t xml:space="preserve"> </w:t>
      </w:r>
      <w:r>
        <w:rPr>
          <w:rFonts w:ascii="David" w:eastAsia="David" w:hAnsi="David" w:hint="cs"/>
          <w:rtl/>
        </w:rPr>
        <w:t xml:space="preserve">(23.2.2025) </w:t>
      </w:r>
      <w:r>
        <w:rPr>
          <w:rFonts w:ascii="David" w:eastAsia="David" w:hAnsi="David"/>
          <w:rtl/>
        </w:rPr>
        <w:t xml:space="preserve">שניתן לאחרונה. עניינו של הנאשם שלפניי אינו כולל הליך שיקום יוצא דופן או נסיבות ייחודיות, ועל כן אינו נופל בגדר המקרים המאפשרים הסתפקות בעונש שיקומי והעדפת שיקוליו האישיים של הנאשם על פני שיקולי גמול והרתעה. </w:t>
      </w:r>
    </w:p>
    <w:p w14:paraId="1F0337E9" w14:textId="77777777" w:rsidR="007101EF" w:rsidRDefault="007101EF" w:rsidP="007101EF">
      <w:pPr>
        <w:spacing w:after="160" w:line="360" w:lineRule="auto"/>
        <w:ind w:left="720"/>
        <w:contextualSpacing/>
        <w:jc w:val="both"/>
        <w:rPr>
          <w:rFonts w:ascii="David" w:eastAsia="David" w:hAnsi="David"/>
        </w:rPr>
      </w:pPr>
    </w:p>
    <w:p w14:paraId="59849F1D" w14:textId="77777777" w:rsidR="007101EF" w:rsidRDefault="007101EF" w:rsidP="007101EF">
      <w:pPr>
        <w:numPr>
          <w:ilvl w:val="0"/>
          <w:numId w:val="1"/>
        </w:numPr>
        <w:spacing w:after="160" w:line="360" w:lineRule="auto"/>
        <w:contextualSpacing/>
        <w:jc w:val="both"/>
        <w:rPr>
          <w:rFonts w:ascii="David" w:eastAsia="David" w:hAnsi="David"/>
          <w:rtl/>
        </w:rPr>
      </w:pPr>
      <w:r>
        <w:rPr>
          <w:rFonts w:ascii="David" w:eastAsia="David" w:hAnsi="David"/>
          <w:rtl/>
        </w:rPr>
        <w:t>באיזון הנדרש בין השיקולים השונים, חומרת מעשיו ושיקולי הרתעת הרבים ומנגד גילו הצעיר של הנאשם, עברו הנקי והתקדמות טיפולית שמעידה על סיכויי שיקום מצאתי מקום לחריגה מסוימת ממתחם הענישה, לא נעלמה מעיניי הערכת שירות המבחן כי עונש מאסר בפועל עלול להביא לנסיגה בתפקודו, יש לקוות שהנאשם ישכיל להשתמש בכלים שקיבל במסגרת הטיפול גם ב</w:t>
      </w:r>
      <w:r>
        <w:rPr>
          <w:rFonts w:ascii="David" w:eastAsia="David" w:hAnsi="David" w:hint="cs"/>
          <w:rtl/>
        </w:rPr>
        <w:t>תקופת</w:t>
      </w:r>
      <w:r>
        <w:rPr>
          <w:rFonts w:ascii="David" w:eastAsia="David" w:hAnsi="David"/>
          <w:rtl/>
        </w:rPr>
        <w:t xml:space="preserve"> מאסרו.</w:t>
      </w:r>
    </w:p>
    <w:p w14:paraId="4FD90196" w14:textId="77777777" w:rsidR="007101EF" w:rsidRDefault="007101EF" w:rsidP="007101EF">
      <w:pPr>
        <w:pStyle w:val="a9"/>
        <w:rPr>
          <w:rFonts w:ascii="David" w:eastAsia="David" w:hAnsi="David" w:cs="David"/>
          <w:sz w:val="24"/>
          <w:szCs w:val="24"/>
        </w:rPr>
      </w:pPr>
    </w:p>
    <w:p w14:paraId="531EC077" w14:textId="77777777" w:rsidR="007101EF" w:rsidRDefault="007101EF" w:rsidP="007101EF">
      <w:pPr>
        <w:numPr>
          <w:ilvl w:val="0"/>
          <w:numId w:val="1"/>
        </w:numPr>
        <w:spacing w:after="160" w:line="360" w:lineRule="auto"/>
        <w:contextualSpacing/>
        <w:jc w:val="both"/>
        <w:rPr>
          <w:rFonts w:ascii="David" w:eastAsia="David" w:hAnsi="David"/>
          <w:rtl/>
        </w:rPr>
      </w:pPr>
      <w:r>
        <w:rPr>
          <w:rFonts w:ascii="David" w:eastAsia="David" w:hAnsi="David"/>
          <w:rtl/>
        </w:rPr>
        <w:t>אשר על כן, אני גוזרת על הנאשם את העונשים הבאים:</w:t>
      </w:r>
    </w:p>
    <w:p w14:paraId="5DCA816D" w14:textId="77777777" w:rsidR="007101EF" w:rsidRDefault="007101EF" w:rsidP="007101EF">
      <w:pPr>
        <w:ind w:left="720"/>
        <w:contextualSpacing/>
        <w:rPr>
          <w:rFonts w:ascii="David" w:eastAsia="David" w:hAnsi="David"/>
          <w:b/>
          <w:bCs/>
        </w:rPr>
      </w:pPr>
    </w:p>
    <w:p w14:paraId="3CD41787" w14:textId="77777777" w:rsidR="007101EF" w:rsidRDefault="007101EF" w:rsidP="007101EF">
      <w:pPr>
        <w:numPr>
          <w:ilvl w:val="0"/>
          <w:numId w:val="2"/>
        </w:numPr>
        <w:spacing w:line="360" w:lineRule="auto"/>
        <w:contextualSpacing/>
        <w:jc w:val="both"/>
        <w:rPr>
          <w:rFonts w:ascii="David" w:eastAsia="David" w:hAnsi="David"/>
          <w:b/>
          <w:bCs/>
          <w:rtl/>
        </w:rPr>
      </w:pPr>
      <w:r>
        <w:rPr>
          <w:rFonts w:ascii="David" w:eastAsia="David" w:hAnsi="David"/>
          <w:b/>
          <w:bCs/>
          <w:rtl/>
        </w:rPr>
        <w:t xml:space="preserve">24 חודשי מאסר בפועל </w:t>
      </w:r>
      <w:r>
        <w:rPr>
          <w:rFonts w:ascii="David" w:eastAsia="David" w:hAnsi="David"/>
          <w:rtl/>
        </w:rPr>
        <w:t xml:space="preserve">בניכוי ימי מעצרו  </w:t>
      </w:r>
      <w:r>
        <w:rPr>
          <w:rFonts w:ascii="David" w:eastAsia="David" w:hAnsi="David"/>
          <w:b/>
          <w:bCs/>
          <w:rtl/>
        </w:rPr>
        <w:t xml:space="preserve">5.1.23-9.6.23. </w:t>
      </w:r>
    </w:p>
    <w:p w14:paraId="2F976338" w14:textId="77777777" w:rsidR="007101EF" w:rsidRDefault="007101EF" w:rsidP="007101EF">
      <w:pPr>
        <w:numPr>
          <w:ilvl w:val="0"/>
          <w:numId w:val="2"/>
        </w:numPr>
        <w:spacing w:line="360" w:lineRule="auto"/>
        <w:contextualSpacing/>
        <w:jc w:val="both"/>
        <w:rPr>
          <w:rFonts w:ascii="David" w:eastAsia="David" w:hAnsi="David"/>
        </w:rPr>
      </w:pPr>
      <w:r>
        <w:rPr>
          <w:rFonts w:ascii="David" w:eastAsia="David" w:hAnsi="David"/>
          <w:rtl/>
        </w:rPr>
        <w:t xml:space="preserve">מאסר על תנאי בן 10 חודשים לבל יעבור הנאשם עבירת נשק מסוג פשע תוך 3 שנים מיום שחרורו ממאסר. </w:t>
      </w:r>
    </w:p>
    <w:p w14:paraId="5DC638A1" w14:textId="77777777" w:rsidR="007101EF" w:rsidRDefault="007101EF" w:rsidP="007101EF">
      <w:pPr>
        <w:numPr>
          <w:ilvl w:val="0"/>
          <w:numId w:val="2"/>
        </w:numPr>
        <w:spacing w:line="360" w:lineRule="auto"/>
        <w:contextualSpacing/>
        <w:jc w:val="both"/>
        <w:rPr>
          <w:rFonts w:ascii="David" w:eastAsia="David" w:hAnsi="David"/>
        </w:rPr>
      </w:pPr>
      <w:r>
        <w:rPr>
          <w:rFonts w:ascii="David" w:eastAsia="David" w:hAnsi="David"/>
          <w:rtl/>
        </w:rPr>
        <w:t xml:space="preserve">קנס בסך 6,000 ₪ או 30 ימי מאסר. הקנס ישולם בחמישה תשלומים שווים ורצופים החל מיום </w:t>
      </w:r>
      <w:r>
        <w:rPr>
          <w:rFonts w:ascii="David" w:eastAsia="David" w:hAnsi="David" w:hint="cs"/>
          <w:rtl/>
        </w:rPr>
        <w:t>5.6.25</w:t>
      </w:r>
    </w:p>
    <w:p w14:paraId="187757CD" w14:textId="77777777" w:rsidR="007101EF" w:rsidRDefault="007101EF" w:rsidP="007101EF">
      <w:pPr>
        <w:numPr>
          <w:ilvl w:val="0"/>
          <w:numId w:val="2"/>
        </w:numPr>
        <w:spacing w:line="360" w:lineRule="auto"/>
        <w:contextualSpacing/>
        <w:jc w:val="both"/>
        <w:rPr>
          <w:rFonts w:ascii="David" w:eastAsia="David" w:hAnsi="David"/>
        </w:rPr>
      </w:pPr>
      <w:r>
        <w:rPr>
          <w:rFonts w:ascii="David" w:eastAsia="David" w:hAnsi="David"/>
          <w:rtl/>
        </w:rPr>
        <w:t xml:space="preserve">מאפשרת לנאשם להפקיד עד ליום 5.6.25 סך של </w:t>
      </w:r>
      <w:r>
        <w:rPr>
          <w:rFonts w:ascii="David" w:eastAsia="David" w:hAnsi="David" w:hint="cs"/>
          <w:rtl/>
        </w:rPr>
        <w:t>10,000</w:t>
      </w:r>
      <w:r>
        <w:rPr>
          <w:rFonts w:ascii="David" w:eastAsia="David" w:hAnsi="David"/>
          <w:rtl/>
        </w:rPr>
        <w:t xml:space="preserve"> ₪ לטובת שחרור רכבו. לא יופקד הכסף- יחולט הרכב ל.ז 38699301 לטובת המדינה</w:t>
      </w:r>
      <w:r>
        <w:rPr>
          <w:rFonts w:ascii="David" w:eastAsia="David" w:hAnsi="David" w:hint="cs"/>
          <w:rtl/>
        </w:rPr>
        <w:t>.</w:t>
      </w:r>
    </w:p>
    <w:p w14:paraId="357008BF" w14:textId="77777777" w:rsidR="007101EF" w:rsidRDefault="007101EF" w:rsidP="007101EF">
      <w:pPr>
        <w:numPr>
          <w:ilvl w:val="0"/>
          <w:numId w:val="2"/>
        </w:numPr>
        <w:spacing w:line="360" w:lineRule="auto"/>
        <w:contextualSpacing/>
        <w:jc w:val="both"/>
        <w:rPr>
          <w:rFonts w:ascii="David" w:eastAsia="David" w:hAnsi="David"/>
        </w:rPr>
      </w:pPr>
      <w:r>
        <w:rPr>
          <w:rFonts w:ascii="David" w:eastAsia="David" w:hAnsi="David"/>
          <w:rtl/>
        </w:rPr>
        <w:t xml:space="preserve">הנאשם יתייצב לריצוי מאסרו ביום </w:t>
      </w:r>
      <w:r>
        <w:rPr>
          <w:rFonts w:ascii="David" w:eastAsia="David" w:hAnsi="David" w:hint="cs"/>
          <w:rtl/>
        </w:rPr>
        <w:t>25.5.25</w:t>
      </w:r>
      <w:r>
        <w:rPr>
          <w:rFonts w:ascii="David" w:eastAsia="David" w:hAnsi="David"/>
          <w:rtl/>
        </w:rPr>
        <w:t xml:space="preserve"> עד השעה 10:00 בבימ"ר "הדרים". לצורך הבטחת התייצבותו תעמודנה הערבויות בתיק המעצר שיושבו לאחר מכן למפקיד. </w:t>
      </w:r>
    </w:p>
    <w:p w14:paraId="260C66D9" w14:textId="77777777" w:rsidR="007101EF" w:rsidRDefault="007101EF" w:rsidP="007101EF">
      <w:pPr>
        <w:spacing w:line="360" w:lineRule="auto"/>
        <w:ind w:left="1080"/>
        <w:contextualSpacing/>
        <w:jc w:val="both"/>
        <w:rPr>
          <w:rFonts w:ascii="David" w:eastAsia="David" w:hAnsi="David"/>
        </w:rPr>
      </w:pPr>
    </w:p>
    <w:p w14:paraId="44D2560B" w14:textId="77777777" w:rsidR="007101EF" w:rsidRDefault="007101EF" w:rsidP="007101EF">
      <w:pPr>
        <w:spacing w:line="360" w:lineRule="auto"/>
        <w:ind w:left="1080"/>
        <w:contextualSpacing/>
        <w:jc w:val="both"/>
        <w:rPr>
          <w:rFonts w:ascii="David" w:eastAsia="David" w:hAnsi="David"/>
          <w:rtl/>
        </w:rPr>
      </w:pPr>
      <w:r>
        <w:rPr>
          <w:rFonts w:ascii="David" w:eastAsia="David" w:hAnsi="David"/>
          <w:rtl/>
        </w:rPr>
        <w:t xml:space="preserve">הנשק והתחמושת-יושמדו. </w:t>
      </w:r>
    </w:p>
    <w:p w14:paraId="543BBB36" w14:textId="77777777" w:rsidR="007101EF" w:rsidRDefault="007101EF" w:rsidP="007101EF">
      <w:pPr>
        <w:spacing w:line="360" w:lineRule="auto"/>
        <w:jc w:val="both"/>
        <w:rPr>
          <w:rFonts w:ascii="David" w:eastAsia="David" w:hAnsi="David"/>
          <w:rtl/>
        </w:rPr>
      </w:pPr>
    </w:p>
    <w:p w14:paraId="1289F0F2" w14:textId="77777777" w:rsidR="007101EF" w:rsidRPr="000F2247" w:rsidRDefault="000A2042" w:rsidP="007101EF">
      <w:pPr>
        <w:rPr>
          <w:rFonts w:ascii="Arial" w:hAnsi="Arial"/>
          <w:b/>
          <w:bCs/>
          <w:sz w:val="26"/>
          <w:szCs w:val="26"/>
          <w:rtl/>
        </w:rPr>
      </w:pPr>
      <w:r w:rsidRPr="000A2042">
        <w:rPr>
          <w:rFonts w:ascii="David" w:eastAsia="David" w:hAnsi="David"/>
          <w:b/>
          <w:bCs/>
          <w:color w:val="FFFFFF"/>
          <w:sz w:val="2"/>
          <w:szCs w:val="2"/>
          <w:rtl/>
        </w:rPr>
        <w:t>5129371</w:t>
      </w:r>
      <w:r w:rsidR="007101EF">
        <w:rPr>
          <w:rFonts w:ascii="David" w:eastAsia="David" w:hAnsi="David"/>
          <w:b/>
          <w:bCs/>
          <w:rtl/>
        </w:rPr>
        <w:t>זכות ערעור לבית המשפט העליון תוך 45 יום.</w:t>
      </w:r>
    </w:p>
    <w:p w14:paraId="50ED1DB9" w14:textId="77777777" w:rsidR="007101EF" w:rsidRPr="000A2042" w:rsidRDefault="000A2042" w:rsidP="007101EF">
      <w:pPr>
        <w:rPr>
          <w:rFonts w:ascii="Arial" w:hAnsi="Arial"/>
          <w:b/>
          <w:bCs/>
          <w:color w:val="FFFFFF"/>
          <w:sz w:val="2"/>
          <w:szCs w:val="2"/>
          <w:rtl/>
        </w:rPr>
      </w:pPr>
      <w:r w:rsidRPr="000A2042">
        <w:rPr>
          <w:rFonts w:ascii="Arial" w:hAnsi="Arial"/>
          <w:b/>
          <w:bCs/>
          <w:color w:val="FFFFFF"/>
          <w:sz w:val="2"/>
          <w:szCs w:val="2"/>
          <w:rtl/>
        </w:rPr>
        <w:t>54678313</w:t>
      </w:r>
    </w:p>
    <w:p w14:paraId="339A29AF" w14:textId="77777777" w:rsidR="007101EF" w:rsidRPr="000F2247" w:rsidRDefault="007101EF" w:rsidP="007101EF">
      <w:pPr>
        <w:rPr>
          <w:rFonts w:ascii="Arial" w:hAnsi="Arial"/>
          <w:b/>
          <w:bCs/>
          <w:sz w:val="26"/>
          <w:szCs w:val="26"/>
          <w:rtl/>
        </w:rPr>
      </w:pPr>
    </w:p>
    <w:p w14:paraId="3C3DF27F" w14:textId="77777777" w:rsidR="007101EF" w:rsidRPr="000F2247" w:rsidRDefault="000A2042" w:rsidP="007101E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ניסן תשפ"ה, 06 אפריל 2025, במעמד הצדדים. </w:t>
      </w:r>
      <w:bookmarkEnd w:id="8"/>
      <w:r w:rsidR="007101EF">
        <w:rPr>
          <w:rFonts w:ascii="Arial" w:hAnsi="Arial"/>
          <w:b/>
          <w:bCs/>
          <w:sz w:val="26"/>
          <w:szCs w:val="26"/>
          <w:rtl/>
        </w:rPr>
        <w:tab/>
      </w:r>
      <w:r w:rsidR="007101EF">
        <w:rPr>
          <w:rFonts w:ascii="Arial" w:hAnsi="Arial"/>
          <w:b/>
          <w:bCs/>
          <w:sz w:val="26"/>
          <w:szCs w:val="26"/>
          <w:rtl/>
        </w:rPr>
        <w:tab/>
      </w:r>
      <w:r w:rsidR="007101EF">
        <w:rPr>
          <w:rFonts w:ascii="Arial" w:hAnsi="Arial"/>
          <w:b/>
          <w:bCs/>
          <w:sz w:val="26"/>
          <w:szCs w:val="26"/>
          <w:rtl/>
        </w:rPr>
        <w:tab/>
      </w:r>
      <w:r w:rsidR="007101EF">
        <w:rPr>
          <w:rFonts w:ascii="Arial" w:hAnsi="Arial"/>
          <w:b/>
          <w:bCs/>
          <w:sz w:val="26"/>
          <w:szCs w:val="26"/>
          <w:rtl/>
        </w:rPr>
        <w:tab/>
      </w:r>
      <w:r w:rsidR="007101EF">
        <w:rPr>
          <w:rFonts w:ascii="Arial" w:hAnsi="Arial"/>
          <w:b/>
          <w:bCs/>
          <w:sz w:val="26"/>
          <w:szCs w:val="26"/>
          <w:rtl/>
        </w:rPr>
        <w:tab/>
      </w:r>
      <w:r w:rsidR="007101EF">
        <w:rPr>
          <w:rFonts w:ascii="Arial" w:hAnsi="Arial"/>
          <w:b/>
          <w:bCs/>
          <w:sz w:val="26"/>
          <w:szCs w:val="26"/>
          <w:rtl/>
        </w:rPr>
        <w:tab/>
      </w:r>
      <w:r w:rsidR="007101EF">
        <w:rPr>
          <w:rFonts w:ascii="Arial" w:hAnsi="Arial"/>
          <w:b/>
          <w:bCs/>
          <w:sz w:val="26"/>
          <w:szCs w:val="26"/>
          <w:rtl/>
        </w:rPr>
        <w:tab/>
      </w:r>
      <w:r w:rsidR="007101EF">
        <w:rPr>
          <w:rFonts w:ascii="Arial" w:hAnsi="Arial" w:hint="cs"/>
          <w:b/>
          <w:bCs/>
          <w:sz w:val="26"/>
          <w:szCs w:val="26"/>
          <w:rtl/>
        </w:rPr>
        <w:t xml:space="preserve">         </w:t>
      </w:r>
    </w:p>
    <w:p w14:paraId="2F8CB666" w14:textId="77777777" w:rsidR="000A2042" w:rsidRDefault="000A2042" w:rsidP="000A2042">
      <w:pPr>
        <w:rPr>
          <w:rtl/>
        </w:rPr>
      </w:pPr>
    </w:p>
    <w:p w14:paraId="443E2CBD" w14:textId="77777777" w:rsidR="000A2042" w:rsidRDefault="000A2042" w:rsidP="000A204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04725A7" w14:textId="77777777" w:rsidR="007C0BD4" w:rsidRPr="007C0BD4" w:rsidRDefault="007C0BD4" w:rsidP="007C0BD4">
      <w:pPr>
        <w:keepNext/>
        <w:rPr>
          <w:rFonts w:ascii="David" w:hAnsi="David"/>
          <w:color w:val="000000"/>
          <w:sz w:val="22"/>
          <w:szCs w:val="22"/>
          <w:rtl/>
        </w:rPr>
      </w:pPr>
    </w:p>
    <w:p w14:paraId="647C4D16" w14:textId="77777777" w:rsidR="007C0BD4" w:rsidRPr="007C0BD4" w:rsidRDefault="007C0BD4" w:rsidP="007C0BD4">
      <w:pPr>
        <w:keepNext/>
        <w:rPr>
          <w:rFonts w:ascii="David" w:hAnsi="David"/>
          <w:color w:val="000000"/>
          <w:sz w:val="22"/>
          <w:szCs w:val="22"/>
          <w:rtl/>
        </w:rPr>
      </w:pPr>
      <w:r w:rsidRPr="007C0BD4">
        <w:rPr>
          <w:rFonts w:ascii="David" w:hAnsi="David"/>
          <w:color w:val="000000"/>
          <w:sz w:val="22"/>
          <w:szCs w:val="22"/>
          <w:rtl/>
        </w:rPr>
        <w:t>מרב גרינברג 54678313-/</w:t>
      </w:r>
    </w:p>
    <w:p w14:paraId="0FA62188" w14:textId="77777777" w:rsidR="000A2042" w:rsidRPr="000A2042" w:rsidRDefault="007C0BD4" w:rsidP="007C0BD4">
      <w:pPr>
        <w:rPr>
          <w:color w:val="0000FF"/>
          <w:u w:val="single"/>
        </w:rPr>
      </w:pPr>
      <w:r w:rsidRPr="007C0BD4">
        <w:rPr>
          <w:color w:val="000000"/>
          <w:u w:val="single"/>
          <w:rtl/>
        </w:rPr>
        <w:t>נוסח מסמך זה כפוף לשינויי ניסוח ועריכה</w:t>
      </w:r>
    </w:p>
    <w:sectPr w:rsidR="000A2042" w:rsidRPr="000A2042" w:rsidSect="007C0BD4">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FDAB4" w14:textId="77777777" w:rsidR="000B2671" w:rsidRDefault="000B2671" w:rsidP="002327C4">
      <w:r>
        <w:separator/>
      </w:r>
    </w:p>
  </w:endnote>
  <w:endnote w:type="continuationSeparator" w:id="0">
    <w:p w14:paraId="2EAF2B40" w14:textId="77777777" w:rsidR="000B2671" w:rsidRDefault="000B2671" w:rsidP="0023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CE136" w14:textId="77777777" w:rsidR="007C0BD4" w:rsidRDefault="007C0BD4" w:rsidP="007C0BD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3188F23" w14:textId="77777777" w:rsidR="00265248" w:rsidRPr="007C0BD4" w:rsidRDefault="007C0BD4" w:rsidP="007C0BD4">
    <w:pPr>
      <w:pStyle w:val="a5"/>
      <w:pBdr>
        <w:top w:val="single" w:sz="4" w:space="1" w:color="auto"/>
        <w:between w:val="single" w:sz="4" w:space="0" w:color="auto"/>
      </w:pBdr>
      <w:spacing w:after="60"/>
      <w:jc w:val="center"/>
      <w:rPr>
        <w:rFonts w:ascii="FrankRuehl" w:hAnsi="FrankRuehl" w:cs="FrankRuehl"/>
        <w:color w:val="000000"/>
      </w:rPr>
    </w:pPr>
    <w:r w:rsidRPr="007C0BD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40171" w14:textId="77777777" w:rsidR="007C0BD4" w:rsidRDefault="007C0BD4" w:rsidP="007C0BD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5547">
      <w:rPr>
        <w:rFonts w:ascii="FrankRuehl" w:hAnsi="FrankRuehl" w:cs="FrankRuehl"/>
        <w:noProof/>
        <w:rtl/>
      </w:rPr>
      <w:t>1</w:t>
    </w:r>
    <w:r>
      <w:rPr>
        <w:rFonts w:ascii="FrankRuehl" w:hAnsi="FrankRuehl" w:cs="FrankRuehl"/>
        <w:rtl/>
      </w:rPr>
      <w:fldChar w:fldCharType="end"/>
    </w:r>
  </w:p>
  <w:p w14:paraId="51C81721" w14:textId="77777777" w:rsidR="00265248" w:rsidRPr="007C0BD4" w:rsidRDefault="007C0BD4" w:rsidP="007C0BD4">
    <w:pPr>
      <w:pStyle w:val="a5"/>
      <w:pBdr>
        <w:top w:val="single" w:sz="4" w:space="1" w:color="auto"/>
        <w:between w:val="single" w:sz="4" w:space="0" w:color="auto"/>
      </w:pBdr>
      <w:spacing w:after="60"/>
      <w:jc w:val="center"/>
      <w:rPr>
        <w:rFonts w:ascii="FrankRuehl" w:hAnsi="FrankRuehl" w:cs="FrankRuehl"/>
        <w:color w:val="000000"/>
      </w:rPr>
    </w:pPr>
    <w:r w:rsidRPr="007C0BD4">
      <w:rPr>
        <w:rFonts w:ascii="FrankRuehl" w:hAnsi="FrankRuehl" w:cs="FrankRuehl"/>
        <w:color w:val="000000"/>
      </w:rPr>
      <w:pict w14:anchorId="2DE26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7E72C" w14:textId="77777777" w:rsidR="000B2671" w:rsidRDefault="000B2671" w:rsidP="002327C4">
      <w:r>
        <w:separator/>
      </w:r>
    </w:p>
  </w:footnote>
  <w:footnote w:type="continuationSeparator" w:id="0">
    <w:p w14:paraId="691C56D2" w14:textId="77777777" w:rsidR="000B2671" w:rsidRDefault="000B2671" w:rsidP="00232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B60B3" w14:textId="77777777" w:rsidR="000A2042" w:rsidRPr="007C0BD4" w:rsidRDefault="007C0BD4" w:rsidP="007C0B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47450-01-23</w:t>
    </w:r>
    <w:r>
      <w:rPr>
        <w:rFonts w:ascii="David" w:hAnsi="David"/>
        <w:color w:val="000000"/>
        <w:sz w:val="22"/>
        <w:szCs w:val="22"/>
        <w:rtl/>
      </w:rPr>
      <w:tab/>
      <w:t xml:space="preserve"> מדינת ישראל נ' עודאי חין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4D02D" w14:textId="77777777" w:rsidR="000A2042" w:rsidRPr="007C0BD4" w:rsidRDefault="007C0BD4" w:rsidP="007C0B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47450-01-23</w:t>
    </w:r>
    <w:r>
      <w:rPr>
        <w:rFonts w:ascii="David" w:hAnsi="David"/>
        <w:color w:val="000000"/>
        <w:sz w:val="22"/>
        <w:szCs w:val="22"/>
        <w:rtl/>
      </w:rPr>
      <w:tab/>
      <w:t xml:space="preserve"> מדינת ישראל נ' עודאי חין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518A7C54"/>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2444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45626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01EF"/>
    <w:rsid w:val="000A2042"/>
    <w:rsid w:val="000B2671"/>
    <w:rsid w:val="002327C4"/>
    <w:rsid w:val="00265248"/>
    <w:rsid w:val="0028663F"/>
    <w:rsid w:val="00322869"/>
    <w:rsid w:val="00675547"/>
    <w:rsid w:val="007101EF"/>
    <w:rsid w:val="007C0BD4"/>
    <w:rsid w:val="008A54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C0FC83"/>
  <w15:chartTrackingRefBased/>
  <w15:docId w15:val="{5F5496A0-14A1-4604-BF08-B2AC6D66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01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101EF"/>
    <w:pPr>
      <w:tabs>
        <w:tab w:val="center" w:pos="4153"/>
        <w:tab w:val="right" w:pos="8306"/>
      </w:tabs>
    </w:pPr>
  </w:style>
  <w:style w:type="character" w:customStyle="1" w:styleId="a4">
    <w:name w:val="כותרת עליונה תו"/>
    <w:link w:val="a3"/>
    <w:rsid w:val="007101EF"/>
    <w:rPr>
      <w:rFonts w:ascii="Times New Roman" w:eastAsia="Times New Roman" w:hAnsi="Times New Roman" w:cs="David"/>
      <w:sz w:val="24"/>
      <w:szCs w:val="24"/>
    </w:rPr>
  </w:style>
  <w:style w:type="paragraph" w:styleId="a5">
    <w:name w:val="footer"/>
    <w:basedOn w:val="a"/>
    <w:link w:val="a6"/>
    <w:rsid w:val="007101EF"/>
    <w:pPr>
      <w:tabs>
        <w:tab w:val="center" w:pos="4153"/>
        <w:tab w:val="right" w:pos="8306"/>
      </w:tabs>
    </w:pPr>
  </w:style>
  <w:style w:type="character" w:customStyle="1" w:styleId="a6">
    <w:name w:val="כותרת תחתונה תו"/>
    <w:link w:val="a5"/>
    <w:rsid w:val="007101EF"/>
    <w:rPr>
      <w:rFonts w:ascii="Times New Roman" w:eastAsia="Times New Roman" w:hAnsi="Times New Roman" w:cs="David"/>
      <w:sz w:val="24"/>
      <w:szCs w:val="24"/>
    </w:rPr>
  </w:style>
  <w:style w:type="table" w:styleId="a7">
    <w:name w:val="Table Grid"/>
    <w:basedOn w:val="a1"/>
    <w:rsid w:val="007101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101EF"/>
  </w:style>
  <w:style w:type="paragraph" w:styleId="a9">
    <w:name w:val="List Paragraph"/>
    <w:basedOn w:val="a"/>
    <w:qFormat/>
    <w:rsid w:val="007101EF"/>
    <w:pPr>
      <w:spacing w:after="160" w:line="256" w:lineRule="auto"/>
      <w:ind w:left="720"/>
      <w:contextualSpacing/>
    </w:pPr>
    <w:rPr>
      <w:rFonts w:ascii="Calibri" w:eastAsia="Calibri" w:hAnsi="Calibri" w:cs="Arial"/>
      <w:sz w:val="22"/>
      <w:szCs w:val="22"/>
    </w:rPr>
  </w:style>
  <w:style w:type="character" w:styleId="Hyperlink">
    <w:name w:val="Hyperlink"/>
    <w:rsid w:val="000A20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911638" TargetMode="External"/><Relationship Id="rId18" Type="http://schemas.openxmlformats.org/officeDocument/2006/relationships/hyperlink" Target="http://www.nevo.co.il/case/5852404" TargetMode="External"/><Relationship Id="rId26" Type="http://schemas.openxmlformats.org/officeDocument/2006/relationships/hyperlink" Target="http://www.nevo.co.il/case/28384637" TargetMode="External"/><Relationship Id="rId39" Type="http://schemas.openxmlformats.org/officeDocument/2006/relationships/fontTable" Target="fontTable.xml"/><Relationship Id="rId21" Type="http://schemas.openxmlformats.org/officeDocument/2006/relationships/hyperlink" Target="http://www.nevo.co.il/case/2824327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7894608" TargetMode="External"/><Relationship Id="rId17" Type="http://schemas.openxmlformats.org/officeDocument/2006/relationships/hyperlink" Target="http://www.nevo.co.il/case/27309272" TargetMode="External"/><Relationship Id="rId25" Type="http://schemas.openxmlformats.org/officeDocument/2006/relationships/hyperlink" Target="http://www.nevo.co.il/case/28229995" TargetMode="External"/><Relationship Id="rId33" Type="http://schemas.openxmlformats.org/officeDocument/2006/relationships/hyperlink" Target="http://www.nevo.co.il/case/30500343"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6888657" TargetMode="External"/><Relationship Id="rId29" Type="http://schemas.openxmlformats.org/officeDocument/2006/relationships/hyperlink" Target="http://www.nevo.co.il/case/296628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8513828" TargetMode="External"/><Relationship Id="rId24" Type="http://schemas.openxmlformats.org/officeDocument/2006/relationships/hyperlink" Target="http://www.nevo.co.il/case/30376202" TargetMode="External"/><Relationship Id="rId32" Type="http://schemas.openxmlformats.org/officeDocument/2006/relationships/hyperlink" Target="http://www.nevo.co.il/case/2772118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8452933" TargetMode="External"/><Relationship Id="rId23" Type="http://schemas.openxmlformats.org/officeDocument/2006/relationships/hyperlink" Target="http://www.nevo.co.il/case/28916087" TargetMode="External"/><Relationship Id="rId28" Type="http://schemas.openxmlformats.org/officeDocument/2006/relationships/hyperlink" Target="http://www.nevo.co.il/case/29390630"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0817891" TargetMode="External"/><Relationship Id="rId31" Type="http://schemas.openxmlformats.org/officeDocument/2006/relationships/hyperlink" Target="http://www.nevo.co.il/case/2693468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152132" TargetMode="External"/><Relationship Id="rId22" Type="http://schemas.openxmlformats.org/officeDocument/2006/relationships/hyperlink" Target="http://www.nevo.co.il/case/29677445" TargetMode="External"/><Relationship Id="rId27" Type="http://schemas.openxmlformats.org/officeDocument/2006/relationships/hyperlink" Target="http://www.nevo.co.il/case/25528737" TargetMode="External"/><Relationship Id="rId30" Type="http://schemas.openxmlformats.org/officeDocument/2006/relationships/hyperlink" Target="http://www.nevo.co.il/case/28963593"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2380</Words>
  <Characters>11900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14252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3276919</vt:i4>
      </vt:variant>
      <vt:variant>
        <vt:i4>78</vt:i4>
      </vt:variant>
      <vt:variant>
        <vt:i4>0</vt:i4>
      </vt:variant>
      <vt:variant>
        <vt:i4>5</vt:i4>
      </vt:variant>
      <vt:variant>
        <vt:lpwstr>http://www.nevo.co.il/case/30500343</vt:lpwstr>
      </vt:variant>
      <vt:variant>
        <vt:lpwstr/>
      </vt:variant>
      <vt:variant>
        <vt:i4>3932272</vt:i4>
      </vt:variant>
      <vt:variant>
        <vt:i4>75</vt:i4>
      </vt:variant>
      <vt:variant>
        <vt:i4>0</vt:i4>
      </vt:variant>
      <vt:variant>
        <vt:i4>5</vt:i4>
      </vt:variant>
      <vt:variant>
        <vt:lpwstr>http://www.nevo.co.il/case/27721185</vt:lpwstr>
      </vt:variant>
      <vt:variant>
        <vt:lpwstr/>
      </vt:variant>
      <vt:variant>
        <vt:i4>3604599</vt:i4>
      </vt:variant>
      <vt:variant>
        <vt:i4>72</vt:i4>
      </vt:variant>
      <vt:variant>
        <vt:i4>0</vt:i4>
      </vt:variant>
      <vt:variant>
        <vt:i4>5</vt:i4>
      </vt:variant>
      <vt:variant>
        <vt:lpwstr>http://www.nevo.co.il/case/26934681</vt:lpwstr>
      </vt:variant>
      <vt:variant>
        <vt:lpwstr/>
      </vt:variant>
      <vt:variant>
        <vt:i4>3211391</vt:i4>
      </vt:variant>
      <vt:variant>
        <vt:i4>69</vt:i4>
      </vt:variant>
      <vt:variant>
        <vt:i4>0</vt:i4>
      </vt:variant>
      <vt:variant>
        <vt:i4>5</vt:i4>
      </vt:variant>
      <vt:variant>
        <vt:lpwstr>http://www.nevo.co.il/case/28963593</vt:lpwstr>
      </vt:variant>
      <vt:variant>
        <vt:lpwstr/>
      </vt:variant>
      <vt:variant>
        <vt:i4>4128883</vt:i4>
      </vt:variant>
      <vt:variant>
        <vt:i4>66</vt:i4>
      </vt:variant>
      <vt:variant>
        <vt:i4>0</vt:i4>
      </vt:variant>
      <vt:variant>
        <vt:i4>5</vt:i4>
      </vt:variant>
      <vt:variant>
        <vt:lpwstr>http://www.nevo.co.il/case/29662894</vt:lpwstr>
      </vt:variant>
      <vt:variant>
        <vt:lpwstr/>
      </vt:variant>
      <vt:variant>
        <vt:i4>3276914</vt:i4>
      </vt:variant>
      <vt:variant>
        <vt:i4>63</vt:i4>
      </vt:variant>
      <vt:variant>
        <vt:i4>0</vt:i4>
      </vt:variant>
      <vt:variant>
        <vt:i4>5</vt:i4>
      </vt:variant>
      <vt:variant>
        <vt:lpwstr>http://www.nevo.co.il/case/29390630</vt:lpwstr>
      </vt:variant>
      <vt:variant>
        <vt:lpwstr/>
      </vt:variant>
      <vt:variant>
        <vt:i4>3932276</vt:i4>
      </vt:variant>
      <vt:variant>
        <vt:i4>60</vt:i4>
      </vt:variant>
      <vt:variant>
        <vt:i4>0</vt:i4>
      </vt:variant>
      <vt:variant>
        <vt:i4>5</vt:i4>
      </vt:variant>
      <vt:variant>
        <vt:lpwstr>http://www.nevo.co.il/case/25528737</vt:lpwstr>
      </vt:variant>
      <vt:variant>
        <vt:lpwstr/>
      </vt:variant>
      <vt:variant>
        <vt:i4>3539058</vt:i4>
      </vt:variant>
      <vt:variant>
        <vt:i4>57</vt:i4>
      </vt:variant>
      <vt:variant>
        <vt:i4>0</vt:i4>
      </vt:variant>
      <vt:variant>
        <vt:i4>5</vt:i4>
      </vt:variant>
      <vt:variant>
        <vt:lpwstr>http://www.nevo.co.il/case/28384637</vt:lpwstr>
      </vt:variant>
      <vt:variant>
        <vt:lpwstr/>
      </vt:variant>
      <vt:variant>
        <vt:i4>3145847</vt:i4>
      </vt:variant>
      <vt:variant>
        <vt:i4>54</vt:i4>
      </vt:variant>
      <vt:variant>
        <vt:i4>0</vt:i4>
      </vt:variant>
      <vt:variant>
        <vt:i4>5</vt:i4>
      </vt:variant>
      <vt:variant>
        <vt:lpwstr>http://www.nevo.co.il/case/28229995</vt:lpwstr>
      </vt:variant>
      <vt:variant>
        <vt:lpwstr/>
      </vt:variant>
      <vt:variant>
        <vt:i4>3539057</vt:i4>
      </vt:variant>
      <vt:variant>
        <vt:i4>51</vt:i4>
      </vt:variant>
      <vt:variant>
        <vt:i4>0</vt:i4>
      </vt:variant>
      <vt:variant>
        <vt:i4>5</vt:i4>
      </vt:variant>
      <vt:variant>
        <vt:lpwstr>http://www.nevo.co.il/case/30376202</vt:lpwstr>
      </vt:variant>
      <vt:variant>
        <vt:lpwstr/>
      </vt:variant>
      <vt:variant>
        <vt:i4>3473533</vt:i4>
      </vt:variant>
      <vt:variant>
        <vt:i4>48</vt:i4>
      </vt:variant>
      <vt:variant>
        <vt:i4>0</vt:i4>
      </vt:variant>
      <vt:variant>
        <vt:i4>5</vt:i4>
      </vt:variant>
      <vt:variant>
        <vt:lpwstr>http://www.nevo.co.il/case/28916087</vt:lpwstr>
      </vt:variant>
      <vt:variant>
        <vt:lpwstr/>
      </vt:variant>
      <vt:variant>
        <vt:i4>3604606</vt:i4>
      </vt:variant>
      <vt:variant>
        <vt:i4>45</vt:i4>
      </vt:variant>
      <vt:variant>
        <vt:i4>0</vt:i4>
      </vt:variant>
      <vt:variant>
        <vt:i4>5</vt:i4>
      </vt:variant>
      <vt:variant>
        <vt:lpwstr>http://www.nevo.co.il/case/29677445</vt:lpwstr>
      </vt:variant>
      <vt:variant>
        <vt:lpwstr/>
      </vt:variant>
      <vt:variant>
        <vt:i4>3407994</vt:i4>
      </vt:variant>
      <vt:variant>
        <vt:i4>42</vt:i4>
      </vt:variant>
      <vt:variant>
        <vt:i4>0</vt:i4>
      </vt:variant>
      <vt:variant>
        <vt:i4>5</vt:i4>
      </vt:variant>
      <vt:variant>
        <vt:lpwstr>http://www.nevo.co.il/case/28243273</vt:lpwstr>
      </vt:variant>
      <vt:variant>
        <vt:lpwstr/>
      </vt:variant>
      <vt:variant>
        <vt:i4>3604604</vt:i4>
      </vt:variant>
      <vt:variant>
        <vt:i4>39</vt:i4>
      </vt:variant>
      <vt:variant>
        <vt:i4>0</vt:i4>
      </vt:variant>
      <vt:variant>
        <vt:i4>5</vt:i4>
      </vt:variant>
      <vt:variant>
        <vt:lpwstr>http://www.nevo.co.il/case/26888657</vt:lpwstr>
      </vt:variant>
      <vt:variant>
        <vt:lpwstr/>
      </vt:variant>
      <vt:variant>
        <vt:i4>3407997</vt:i4>
      </vt:variant>
      <vt:variant>
        <vt:i4>36</vt:i4>
      </vt:variant>
      <vt:variant>
        <vt:i4>0</vt:i4>
      </vt:variant>
      <vt:variant>
        <vt:i4>5</vt:i4>
      </vt:variant>
      <vt:variant>
        <vt:lpwstr>http://www.nevo.co.il/case/20817891</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4128881</vt:i4>
      </vt:variant>
      <vt:variant>
        <vt:i4>30</vt:i4>
      </vt:variant>
      <vt:variant>
        <vt:i4>0</vt:i4>
      </vt:variant>
      <vt:variant>
        <vt:i4>5</vt:i4>
      </vt:variant>
      <vt:variant>
        <vt:lpwstr>http://www.nevo.co.il/case/27309272</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3604592</vt:i4>
      </vt:variant>
      <vt:variant>
        <vt:i4>24</vt:i4>
      </vt:variant>
      <vt:variant>
        <vt:i4>0</vt:i4>
      </vt:variant>
      <vt:variant>
        <vt:i4>5</vt:i4>
      </vt:variant>
      <vt:variant>
        <vt:lpwstr>http://www.nevo.co.il/case/28452933</vt:lpwstr>
      </vt:variant>
      <vt:variant>
        <vt:lpwstr/>
      </vt:variant>
      <vt:variant>
        <vt:i4>3276920</vt:i4>
      </vt:variant>
      <vt:variant>
        <vt:i4>21</vt:i4>
      </vt:variant>
      <vt:variant>
        <vt:i4>0</vt:i4>
      </vt:variant>
      <vt:variant>
        <vt:i4>5</vt:i4>
      </vt:variant>
      <vt:variant>
        <vt:lpwstr>http://www.nevo.co.il/case/28152132</vt:lpwstr>
      </vt:variant>
      <vt:variant>
        <vt:lpwstr/>
      </vt:variant>
      <vt:variant>
        <vt:i4>3735668</vt:i4>
      </vt:variant>
      <vt:variant>
        <vt:i4>18</vt:i4>
      </vt:variant>
      <vt:variant>
        <vt:i4>0</vt:i4>
      </vt:variant>
      <vt:variant>
        <vt:i4>5</vt:i4>
      </vt:variant>
      <vt:variant>
        <vt:lpwstr>http://www.nevo.co.il/case/27911638</vt:lpwstr>
      </vt:variant>
      <vt:variant>
        <vt:lpwstr/>
      </vt:variant>
      <vt:variant>
        <vt:i4>4063356</vt:i4>
      </vt:variant>
      <vt:variant>
        <vt:i4>15</vt:i4>
      </vt:variant>
      <vt:variant>
        <vt:i4>0</vt:i4>
      </vt:variant>
      <vt:variant>
        <vt:i4>5</vt:i4>
      </vt:variant>
      <vt:variant>
        <vt:lpwstr>http://www.nevo.co.il/case/27894608</vt:lpwstr>
      </vt:variant>
      <vt:variant>
        <vt:lpwstr/>
      </vt:variant>
      <vt:variant>
        <vt:i4>3539061</vt:i4>
      </vt:variant>
      <vt:variant>
        <vt:i4>12</vt:i4>
      </vt:variant>
      <vt:variant>
        <vt:i4>0</vt:i4>
      </vt:variant>
      <vt:variant>
        <vt:i4>5</vt:i4>
      </vt:variant>
      <vt:variant>
        <vt:lpwstr>http://www.nevo.co.il/case/28513828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47450</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עודאי חין</vt:lpwstr>
  </property>
  <property fmtid="{D5CDD505-2E9C-101B-9397-08002B2CF9AE}" pid="10" name="LAWYER">
    <vt:lpwstr>איהב ג'לג'ולי;גבי פאר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20250406</vt:lpwstr>
  </property>
  <property fmtid="{D5CDD505-2E9C-101B-9397-08002B2CF9AE}" pid="14" name="TYPE_N_DATE">
    <vt:lpwstr>39020250406</vt:lpwstr>
  </property>
  <property fmtid="{D5CDD505-2E9C-101B-9397-08002B2CF9AE}" pid="15" name="CASESLISTTMP1">
    <vt:lpwstr>28513828;27894608;27911638;28152132;28452933;7791493;27309272;5852404;20817891;26888657;28243273;29677445;28916087;30376202;28229995;28384637;25528737;29390630;29662894;28963593;26934681;27721185;30500343</vt:lpwstr>
  </property>
  <property fmtid="{D5CDD505-2E9C-101B-9397-08002B2CF9AE}" pid="16" name="CASENOTES1">
    <vt:lpwstr>ProcID=133;209&amp;PartA=78&amp;PartC=21</vt:lpwstr>
  </property>
  <property fmtid="{D5CDD505-2E9C-101B-9397-08002B2CF9AE}" pid="17" name="WORDNUMPAGES">
    <vt:lpwstr>7</vt:lpwstr>
  </property>
  <property fmtid="{D5CDD505-2E9C-101B-9397-08002B2CF9AE}" pid="18" name="TYPE_ABS_DATE">
    <vt:lpwstr>390020250406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vt:lpwstr>
  </property>
  <property fmtid="{D5CDD505-2E9C-101B-9397-08002B2CF9AE}" pid="37" name="ISABSTRACT">
    <vt:lpwstr>Y</vt:lpwstr>
  </property>
</Properties>
</file>